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252289FB" w:rsidR="00AA7D26" w:rsidRPr="00005884" w:rsidRDefault="004A5E57" w:rsidP="004A5E57">
            <w:pPr>
              <w:ind w:left="-107"/>
              <w:outlineLvl w:val="2"/>
              <w:rPr>
                <w:rFonts w:ascii="Tahoma" w:hAnsi="Tahoma" w:cs="Tahoma"/>
                <w:bCs/>
                <w:color w:val="000000"/>
                <w:sz w:val="14"/>
                <w:szCs w:val="14"/>
                <w:lang w:val="it-IT" w:eastAsia="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005884" w:rsidRPr="00005884">
              <w:rPr>
                <w:rFonts w:ascii="Tahoma" w:hAnsi="Tahoma" w:cs="Tahoma"/>
                <w:color w:val="000000"/>
                <w:sz w:val="14"/>
                <w:szCs w:val="14"/>
                <w:shd w:val="clear" w:color="auto" w:fill="FFFFFF"/>
                <w:lang w:val="it-IT"/>
              </w:rPr>
              <w:t>Marco Bravi, Antonio Marzocchella, Giuseppe Caputo</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5A87D786" w:rsidR="00E978D0" w:rsidRPr="00B57B36" w:rsidRDefault="003E313A" w:rsidP="00E978D0">
      <w:pPr>
        <w:pStyle w:val="CETTitle"/>
      </w:pPr>
      <w:r w:rsidRPr="003E313A">
        <w:t xml:space="preserve">Eco-Friendly Biosurfactant Gel from </w:t>
      </w:r>
      <w:proofErr w:type="spellStart"/>
      <w:r w:rsidRPr="00714C58">
        <w:rPr>
          <w:i/>
          <w:iCs/>
        </w:rPr>
        <w:t>Starmerella</w:t>
      </w:r>
      <w:proofErr w:type="spellEnd"/>
      <w:r w:rsidRPr="00714C58">
        <w:rPr>
          <w:i/>
          <w:iCs/>
        </w:rPr>
        <w:t xml:space="preserve"> </w:t>
      </w:r>
      <w:proofErr w:type="spellStart"/>
      <w:r w:rsidRPr="00714C58">
        <w:rPr>
          <w:i/>
          <w:iCs/>
        </w:rPr>
        <w:t>bombicola</w:t>
      </w:r>
      <w:proofErr w:type="spellEnd"/>
      <w:r w:rsidRPr="003E313A">
        <w:t xml:space="preserve"> for Crude Oil Removal on Coral Surfaces</w:t>
      </w:r>
    </w:p>
    <w:p w14:paraId="0488FED2" w14:textId="4E441528" w:rsidR="00B57E6F" w:rsidRPr="003B3F2B" w:rsidRDefault="00C33ED1" w:rsidP="00D50971">
      <w:pPr>
        <w:pStyle w:val="CETAuthors"/>
        <w:jc w:val="center"/>
        <w:rPr>
          <w:lang w:val="pt-BR"/>
        </w:rPr>
      </w:pPr>
      <w:r w:rsidRPr="003B3F2B">
        <w:rPr>
          <w:lang w:val="pt-BR"/>
        </w:rPr>
        <w:t>Fabíola C.G. de Almeida</w:t>
      </w:r>
      <w:r w:rsidRPr="003B3F2B">
        <w:rPr>
          <w:vertAlign w:val="superscript"/>
          <w:lang w:val="pt-BR"/>
        </w:rPr>
        <w:t>1*</w:t>
      </w:r>
      <w:r w:rsidRPr="003B3F2B">
        <w:rPr>
          <w:lang w:val="pt-BR"/>
        </w:rPr>
        <w:t xml:space="preserve">, </w:t>
      </w:r>
      <w:r w:rsidR="00D50971" w:rsidRPr="003B3F2B">
        <w:rPr>
          <w:lang w:val="pt-BR"/>
        </w:rPr>
        <w:t>Maria</w:t>
      </w:r>
      <w:r w:rsidRPr="003B3F2B">
        <w:rPr>
          <w:lang w:val="pt-BR"/>
        </w:rPr>
        <w:t xml:space="preserve"> </w:t>
      </w:r>
      <w:r w:rsidR="00D50971" w:rsidRPr="003B3F2B">
        <w:rPr>
          <w:lang w:val="pt-BR"/>
        </w:rPr>
        <w:t xml:space="preserve">Eduarda P. </w:t>
      </w:r>
      <w:r w:rsidRPr="003B3F2B">
        <w:rPr>
          <w:lang w:val="pt-BR"/>
        </w:rPr>
        <w:t>da Silva</w:t>
      </w:r>
      <w:r w:rsidR="005E30F0" w:rsidRPr="003B3F2B">
        <w:rPr>
          <w:vertAlign w:val="superscript"/>
          <w:lang w:val="pt-BR"/>
        </w:rPr>
        <w:t>2</w:t>
      </w:r>
      <w:r w:rsidRPr="003B3F2B">
        <w:rPr>
          <w:lang w:val="pt-BR"/>
        </w:rPr>
        <w:t>, Káren G.O. Bezerra</w:t>
      </w:r>
      <w:r w:rsidRPr="003B3F2B">
        <w:rPr>
          <w:vertAlign w:val="superscript"/>
          <w:lang w:val="pt-BR"/>
        </w:rPr>
        <w:t>1</w:t>
      </w:r>
      <w:r w:rsidRPr="003B3F2B">
        <w:rPr>
          <w:lang w:val="pt-BR"/>
        </w:rPr>
        <w:t>, Maria da Glória C. da Silva</w:t>
      </w:r>
      <w:r w:rsidRPr="003B3F2B">
        <w:rPr>
          <w:vertAlign w:val="superscript"/>
          <w:lang w:val="pt-BR"/>
        </w:rPr>
        <w:t>1</w:t>
      </w:r>
      <w:r w:rsidR="005E30F0" w:rsidRPr="003B3F2B">
        <w:rPr>
          <w:lang w:val="pt-BR"/>
        </w:rPr>
        <w:t>,</w:t>
      </w:r>
      <w:r w:rsidRPr="003B3F2B">
        <w:rPr>
          <w:lang w:val="pt-BR"/>
        </w:rPr>
        <w:t xml:space="preserve"> Leonie A. Sarubbo</w:t>
      </w:r>
      <w:r w:rsidRPr="003B3F2B">
        <w:rPr>
          <w:vertAlign w:val="superscript"/>
          <w:lang w:val="pt-BR"/>
        </w:rPr>
        <w:t>1,2</w:t>
      </w:r>
      <w:r w:rsidR="005E30F0" w:rsidRPr="003B3F2B">
        <w:rPr>
          <w:vertAlign w:val="superscript"/>
          <w:lang w:val="pt-BR"/>
        </w:rPr>
        <w:t>,3</w:t>
      </w:r>
    </w:p>
    <w:p w14:paraId="236787C4" w14:textId="486C4FC4" w:rsidR="00606870" w:rsidRDefault="00606870" w:rsidP="00606870">
      <w:pPr>
        <w:pStyle w:val="CETAddress"/>
      </w:pPr>
      <w:r w:rsidRPr="00606870">
        <w:rPr>
          <w:vertAlign w:val="superscript"/>
        </w:rPr>
        <w:t>1</w:t>
      </w:r>
      <w:r>
        <w:t xml:space="preserve"> Advanced Institute of Technology and Innovation - IATI, Rua Potira, n. 31, Prado, 50751310, Recife, Pernambuco, Brazil.</w:t>
      </w:r>
    </w:p>
    <w:p w14:paraId="46045657" w14:textId="082794DA" w:rsidR="005E30F0" w:rsidRDefault="005E30F0" w:rsidP="00606870">
      <w:pPr>
        <w:pStyle w:val="CETAddress"/>
      </w:pPr>
      <w:r w:rsidRPr="005E30F0">
        <w:rPr>
          <w:vertAlign w:val="superscript"/>
        </w:rPr>
        <w:t>2</w:t>
      </w:r>
      <w:r>
        <w:t xml:space="preserve"> </w:t>
      </w:r>
      <w:r w:rsidRPr="005E30F0">
        <w:t>Postgraduate Program in Chemical Engineering, Federal University of Pernambuco, Recife, Brazil.</w:t>
      </w:r>
    </w:p>
    <w:p w14:paraId="55D02A0B" w14:textId="4206D0FE" w:rsidR="00606870" w:rsidRPr="003B3F2B" w:rsidRDefault="005E30F0" w:rsidP="00606870">
      <w:pPr>
        <w:pStyle w:val="CETAddress"/>
        <w:rPr>
          <w:lang w:val="pt-BR"/>
        </w:rPr>
      </w:pPr>
      <w:r w:rsidRPr="003B3F2B">
        <w:rPr>
          <w:vertAlign w:val="superscript"/>
          <w:lang w:val="pt-BR"/>
        </w:rPr>
        <w:t>3</w:t>
      </w:r>
      <w:r w:rsidR="00606870" w:rsidRPr="003B3F2B">
        <w:rPr>
          <w:lang w:val="pt-BR"/>
        </w:rPr>
        <w:t xml:space="preserve"> Catholic University of Pernambuco, Rua do Príncipe, n. 526, Boa Vista, CEP: 50050-900, Recife, Pernambuco, Brazil.</w:t>
      </w:r>
    </w:p>
    <w:p w14:paraId="73F1267A" w14:textId="2845F19B" w:rsidR="00B57E6F" w:rsidRPr="00B57B36" w:rsidRDefault="005E30F0" w:rsidP="00B57E6F">
      <w:pPr>
        <w:pStyle w:val="CETemail"/>
      </w:pPr>
      <w:r w:rsidRPr="005E30F0">
        <w:t>* Corresponding author’s email address: fabiola.almeida@iati.org.br</w:t>
      </w:r>
    </w:p>
    <w:p w14:paraId="5A18BE35" w14:textId="6053C275" w:rsidR="00714C58" w:rsidRDefault="00714C58" w:rsidP="00D65898">
      <w:pPr>
        <w:pStyle w:val="CETListbullets"/>
      </w:pPr>
      <w:r>
        <w:t xml:space="preserve">    </w:t>
      </w:r>
      <w:r w:rsidR="00E85326" w:rsidRPr="00E85326">
        <w:t xml:space="preserve">This study evaluated the potential of a biosurfactant produced by </w:t>
      </w:r>
      <w:proofErr w:type="spellStart"/>
      <w:r w:rsidR="00E85326" w:rsidRPr="00E85326">
        <w:rPr>
          <w:i/>
          <w:iCs/>
        </w:rPr>
        <w:t>Starmerella</w:t>
      </w:r>
      <w:proofErr w:type="spellEnd"/>
      <w:r w:rsidR="00E85326" w:rsidRPr="00E85326">
        <w:rPr>
          <w:i/>
          <w:iCs/>
        </w:rPr>
        <w:t xml:space="preserve"> </w:t>
      </w:r>
      <w:proofErr w:type="spellStart"/>
      <w:r w:rsidR="00E85326" w:rsidRPr="00E85326">
        <w:rPr>
          <w:i/>
          <w:iCs/>
        </w:rPr>
        <w:t>bombicola</w:t>
      </w:r>
      <w:proofErr w:type="spellEnd"/>
      <w:r w:rsidR="00E85326" w:rsidRPr="00E85326">
        <w:t xml:space="preserve"> ATCC22214 formulated as a gel for oil removal from coral surfaces in marine environments. The biosurfactant was produced in a 50 L bioreactor and exhibited an anionic profile, </w:t>
      </w:r>
      <w:r w:rsidR="00C85890">
        <w:t>achieving</w:t>
      </w:r>
      <w:r w:rsidRPr="00714C58">
        <w:t xml:space="preserve"> a surface tension reduction of 32.08 </w:t>
      </w:r>
      <w:proofErr w:type="spellStart"/>
      <w:r w:rsidRPr="00714C58">
        <w:t>mN</w:t>
      </w:r>
      <w:proofErr w:type="spellEnd"/>
      <w:r w:rsidRPr="00714C58">
        <w:t xml:space="preserve">/m, an emulsification index of 93%, </w:t>
      </w:r>
      <w:r w:rsidR="00C85890">
        <w:t>a yield of 13.5 g/L, and a Critical Micelle Concentration (CMC) of</w:t>
      </w:r>
      <w:r w:rsidRPr="00714C58">
        <w:t xml:space="preserve"> 0.65 g/L.</w:t>
      </w:r>
      <w:r>
        <w:t xml:space="preserve"> </w:t>
      </w:r>
      <w:r w:rsidRPr="00714C58">
        <w:t>The biosurfactant was incorporated into a sodium alginate–based gel formulation</w:t>
      </w:r>
      <w:r w:rsidR="00C85890">
        <w:t xml:space="preserve"> that exhibited</w:t>
      </w:r>
      <w:r w:rsidRPr="00714C58">
        <w:t xml:space="preserve"> physicochemical stability and </w:t>
      </w:r>
      <w:proofErr w:type="spellStart"/>
      <w:r w:rsidRPr="00714C58">
        <w:t>favorable</w:t>
      </w:r>
      <w:proofErr w:type="spellEnd"/>
      <w:r w:rsidRPr="00714C58">
        <w:t xml:space="preserve"> organoleptic properties. Ecotoxicological assays using </w:t>
      </w:r>
      <w:r w:rsidRPr="0082448A">
        <w:rPr>
          <w:i/>
          <w:iCs/>
        </w:rPr>
        <w:t>Artemia salina</w:t>
      </w:r>
      <w:r w:rsidRPr="00714C58">
        <w:t xml:space="preserve"> indicated low toxicity and environmental safety. Marine organism recruitment further confirmed its non-toxic </w:t>
      </w:r>
      <w:proofErr w:type="spellStart"/>
      <w:r w:rsidRPr="00714C58">
        <w:t>behavior</w:t>
      </w:r>
      <w:proofErr w:type="spellEnd"/>
      <w:r w:rsidRPr="00714C58">
        <w:t>. Cleaning assays demonstrated effective solubilization and removal of crude oil. More than 90% of oil adhered to coral surfaces was successfully removed. The results highlight the gel’s high cleaning efficiency and ecological compatibility. Thus, the biosurfactant-based gel represents a sustainable alternative for marine oil remediation</w:t>
      </w:r>
      <w:r>
        <w:t>.</w:t>
      </w:r>
    </w:p>
    <w:p w14:paraId="476B2F2E" w14:textId="77777777" w:rsidR="00600535" w:rsidRPr="00B57B36" w:rsidRDefault="00600535" w:rsidP="00600535">
      <w:pPr>
        <w:pStyle w:val="CETHeading1"/>
        <w:rPr>
          <w:lang w:val="en-GB"/>
        </w:rPr>
      </w:pPr>
      <w:r w:rsidRPr="00B57B36">
        <w:rPr>
          <w:lang w:val="en-GB"/>
        </w:rPr>
        <w:t>Introduction</w:t>
      </w:r>
    </w:p>
    <w:p w14:paraId="7FBB256F" w14:textId="3A3F77E8" w:rsidR="00D65898" w:rsidRPr="001F1ED7" w:rsidRDefault="00FC2FA0" w:rsidP="00D65898">
      <w:pPr>
        <w:pStyle w:val="CETBodytext"/>
        <w:rPr>
          <w:lang w:val="en-GB"/>
        </w:rPr>
      </w:pPr>
      <w:bookmarkStart w:id="1" w:name="_Hlk217724066"/>
      <w:r>
        <w:rPr>
          <w:lang w:val="en-GB"/>
        </w:rPr>
        <w:t xml:space="preserve">    </w:t>
      </w:r>
      <w:r w:rsidR="00D65898" w:rsidRPr="00D65898">
        <w:rPr>
          <w:lang w:val="en-GB"/>
        </w:rPr>
        <w:t xml:space="preserve">Hydrocarbon pollution in </w:t>
      </w:r>
      <w:r w:rsidR="00D65898" w:rsidRPr="001F1ED7">
        <w:rPr>
          <w:lang w:val="en-GB"/>
        </w:rPr>
        <w:t xml:space="preserve">marine environments is a global concern driven by the increasing exploration and transportation of petroleum. Leaks and oil spills release large quantities of toxic compounds into the oceans, causing substantial damage to marine fauna and flora and severely affecting sensitive ecosystems such as coral reefs. Conventional remediation approaches, including </w:t>
      </w:r>
      <w:r w:rsidR="00C85890" w:rsidRPr="001F1ED7">
        <w:rPr>
          <w:lang w:val="en-GB"/>
        </w:rPr>
        <w:t>chemical dispersants, have</w:t>
      </w:r>
      <w:r w:rsidR="00D65898" w:rsidRPr="001F1ED7">
        <w:rPr>
          <w:lang w:val="en-GB"/>
        </w:rPr>
        <w:t xml:space="preserve"> limited ecological applicability due to their toxicity and the persistence of adverse impacts on marine biological systems (Wei et al., 2024; Olaleye et al., 2024; Zhang et al., 2024). One potential solution to the low bioavailability of hydrophobic pollutants involves the use of surfactants. These compounds </w:t>
      </w:r>
      <w:r w:rsidR="00C85890" w:rsidRPr="001F1ED7">
        <w:rPr>
          <w:lang w:val="en-GB"/>
        </w:rPr>
        <w:t xml:space="preserve">have molecular structures containing both hydrophilic and hydrophobic moieties, which tend to accumulate at interfaces between fluid phases with different degrees of polarity (e.g., </w:t>
      </w:r>
      <w:r w:rsidR="00D65898" w:rsidRPr="001F1ED7">
        <w:rPr>
          <w:lang w:val="en-GB"/>
        </w:rPr>
        <w:t>oil/water and water/oil). Surfactants exhibit surface</w:t>
      </w:r>
      <w:r w:rsidR="00C85890" w:rsidRPr="001F1ED7">
        <w:rPr>
          <w:lang w:val="en-GB"/>
        </w:rPr>
        <w:t>- and interfacial–tension–reducing</w:t>
      </w:r>
      <w:r w:rsidR="00D65898" w:rsidRPr="001F1ED7">
        <w:rPr>
          <w:lang w:val="en-GB"/>
        </w:rPr>
        <w:t xml:space="preserve"> properties, conferring detergent, emulsifying, lubricating, solubilizing, and dispersing capacities (Santos et al., 2016; Eras-Muñoz et al., 2022).</w:t>
      </w:r>
    </w:p>
    <w:p w14:paraId="1D15B59E" w14:textId="77777777" w:rsidR="00D65898" w:rsidRPr="001F1ED7" w:rsidRDefault="00D65898" w:rsidP="00D65898">
      <w:pPr>
        <w:pStyle w:val="CETBodytext"/>
        <w:rPr>
          <w:lang w:val="en-GB"/>
        </w:rPr>
      </w:pPr>
      <w:r w:rsidRPr="001F1ED7">
        <w:rPr>
          <w:lang w:val="en-GB"/>
        </w:rPr>
        <w:t xml:space="preserve">    Biosurfactants are amphiphilic molecules produced by microorganisms that reduce surface and interfacial tension between immiscible phases, thereby facilitating the emulsification of oil in water. These compounds offer significant advantages over synthetic surfactants, including biodegradability, low toxicity, and high efficiency under extreme environmental conditions of salinity, temperature, and pH (Markam et al., 2024). Among biosurfactants, </w:t>
      </w:r>
      <w:proofErr w:type="spellStart"/>
      <w:r w:rsidRPr="001F1ED7">
        <w:rPr>
          <w:lang w:val="en-GB"/>
        </w:rPr>
        <w:t>sophorolipids</w:t>
      </w:r>
      <w:proofErr w:type="spellEnd"/>
      <w:r w:rsidRPr="001F1ED7">
        <w:rPr>
          <w:lang w:val="en-GB"/>
        </w:rPr>
        <w:t xml:space="preserve"> produced by the yeast </w:t>
      </w:r>
      <w:proofErr w:type="spellStart"/>
      <w:r w:rsidRPr="001F1ED7">
        <w:rPr>
          <w:i/>
          <w:iCs/>
          <w:lang w:val="en-GB"/>
        </w:rPr>
        <w:t>Starmerella</w:t>
      </w:r>
      <w:proofErr w:type="spellEnd"/>
      <w:r w:rsidRPr="001F1ED7">
        <w:rPr>
          <w:i/>
          <w:iCs/>
          <w:lang w:val="en-GB"/>
        </w:rPr>
        <w:t xml:space="preserve"> </w:t>
      </w:r>
      <w:proofErr w:type="spellStart"/>
      <w:r w:rsidRPr="001F1ED7">
        <w:rPr>
          <w:i/>
          <w:iCs/>
          <w:lang w:val="en-GB"/>
        </w:rPr>
        <w:t>bombicola</w:t>
      </w:r>
      <w:proofErr w:type="spellEnd"/>
      <w:r w:rsidRPr="001F1ED7">
        <w:rPr>
          <w:lang w:val="en-GB"/>
        </w:rPr>
        <w:t xml:space="preserve"> stand out for their superior surface-active properties and strong capacity to emulsify petroleum-derived hydrocarbons (Sarubbo et al., 2022; Eras-Muñoz et al., 2022).</w:t>
      </w:r>
    </w:p>
    <w:p w14:paraId="74F16305" w14:textId="75DDAC9D" w:rsidR="00D65898" w:rsidRPr="001F1ED7" w:rsidRDefault="00D65898" w:rsidP="00C22061">
      <w:pPr>
        <w:pStyle w:val="CETBodytext"/>
        <w:rPr>
          <w:lang w:val="en-GB"/>
        </w:rPr>
      </w:pPr>
      <w:r w:rsidRPr="001F1ED7">
        <w:rPr>
          <w:lang w:val="en-GB"/>
        </w:rPr>
        <w:t xml:space="preserve">   Therefore, biosurfactants represent a promising alternative for environmental remediation, including oil spill cleanup and wastewater treatment, as they influence the hydrophobicity of microbial cell surfaces—an essential factor in </w:t>
      </w:r>
      <w:r w:rsidR="00C85890" w:rsidRPr="001F1ED7">
        <w:rPr>
          <w:lang w:val="en-GB"/>
        </w:rPr>
        <w:t>biodegradation</w:t>
      </w:r>
      <w:r w:rsidRPr="001F1ED7">
        <w:rPr>
          <w:lang w:val="en-GB"/>
        </w:rPr>
        <w:t xml:space="preserve">. In addition, biosurfactants can enhance hydrocarbon biodegradation by emulsifying the contaminant. The aim of this study was to produce a biosurfactant from the yeast </w:t>
      </w:r>
      <w:proofErr w:type="spellStart"/>
      <w:r w:rsidRPr="001F1ED7">
        <w:rPr>
          <w:i/>
          <w:iCs/>
          <w:lang w:val="en-GB"/>
        </w:rPr>
        <w:t>Starmerella</w:t>
      </w:r>
      <w:proofErr w:type="spellEnd"/>
      <w:r w:rsidRPr="001F1ED7">
        <w:rPr>
          <w:i/>
          <w:iCs/>
          <w:lang w:val="en-GB"/>
        </w:rPr>
        <w:t xml:space="preserve"> </w:t>
      </w:r>
      <w:proofErr w:type="spellStart"/>
      <w:r w:rsidRPr="001F1ED7">
        <w:rPr>
          <w:i/>
          <w:iCs/>
          <w:lang w:val="en-GB"/>
        </w:rPr>
        <w:t>bombicola</w:t>
      </w:r>
      <w:proofErr w:type="spellEnd"/>
      <w:r w:rsidRPr="001F1ED7">
        <w:rPr>
          <w:lang w:val="en-GB"/>
        </w:rPr>
        <w:t xml:space="preserve"> </w:t>
      </w:r>
      <w:r w:rsidRPr="001F1ED7">
        <w:rPr>
          <w:lang w:val="en-GB"/>
        </w:rPr>
        <w:lastRenderedPageBreak/>
        <w:t>ATCC 22214</w:t>
      </w:r>
      <w:r w:rsidR="00906E46">
        <w:rPr>
          <w:lang w:val="en-GB"/>
        </w:rPr>
        <w:t xml:space="preserve">, evaluate its properties and potential toxicity, and formulate a gel for </w:t>
      </w:r>
      <w:r w:rsidRPr="001F1ED7">
        <w:rPr>
          <w:lang w:val="en-GB"/>
        </w:rPr>
        <w:t>safe application in the remediation of petroleum-contaminated coral surfaces.</w:t>
      </w:r>
    </w:p>
    <w:p w14:paraId="5741900F" w14:textId="006EC488" w:rsidR="00453E24" w:rsidRPr="001F1ED7" w:rsidRDefault="006D5A23" w:rsidP="001672BD">
      <w:pPr>
        <w:pStyle w:val="CETHeading1"/>
      </w:pPr>
      <w:r w:rsidRPr="001F1ED7">
        <w:t xml:space="preserve">Material and Methods </w:t>
      </w:r>
    </w:p>
    <w:bookmarkEnd w:id="1"/>
    <w:p w14:paraId="0636B784" w14:textId="089D226A" w:rsidR="00453E24" w:rsidRPr="001F1ED7" w:rsidRDefault="00F627D9" w:rsidP="00453E24">
      <w:pPr>
        <w:pStyle w:val="CETheadingx"/>
      </w:pPr>
      <w:r w:rsidRPr="001F1ED7">
        <w:t>Production media</w:t>
      </w:r>
      <w:r w:rsidR="009C7EBB" w:rsidRPr="001F1ED7">
        <w:t xml:space="preserve"> of biosurfactant </w:t>
      </w:r>
      <w:r w:rsidRPr="001F1ED7">
        <w:t>and culture conditions</w:t>
      </w:r>
    </w:p>
    <w:p w14:paraId="71D57A09" w14:textId="00081092" w:rsidR="003B739D" w:rsidRPr="001F1ED7" w:rsidRDefault="003B739D" w:rsidP="00C85890">
      <w:pPr>
        <w:pStyle w:val="CETBodytext"/>
        <w:rPr>
          <w:lang w:val="en-GB"/>
        </w:rPr>
      </w:pPr>
      <w:r w:rsidRPr="001F1ED7">
        <w:t xml:space="preserve">The yeast </w:t>
      </w:r>
      <w:proofErr w:type="spellStart"/>
      <w:r w:rsidRPr="001F1ED7">
        <w:rPr>
          <w:i/>
          <w:iCs/>
        </w:rPr>
        <w:t>Starmerella</w:t>
      </w:r>
      <w:proofErr w:type="spellEnd"/>
      <w:r w:rsidRPr="001F1ED7">
        <w:rPr>
          <w:i/>
          <w:iCs/>
        </w:rPr>
        <w:t xml:space="preserve"> </w:t>
      </w:r>
      <w:proofErr w:type="spellStart"/>
      <w:r w:rsidRPr="001F1ED7">
        <w:rPr>
          <w:i/>
          <w:iCs/>
        </w:rPr>
        <w:t>bombicola</w:t>
      </w:r>
      <w:proofErr w:type="spellEnd"/>
      <w:r w:rsidRPr="001F1ED7">
        <w:t xml:space="preserve"> ATCC 22214 was used </w:t>
      </w:r>
      <w:r w:rsidR="00C85890" w:rsidRPr="001F1ED7">
        <w:t>to produce</w:t>
      </w:r>
      <w:r w:rsidRPr="001F1ED7">
        <w:t xml:space="preserve"> </w:t>
      </w:r>
      <w:r w:rsidR="00A4718D" w:rsidRPr="001F1ED7">
        <w:t xml:space="preserve">the </w:t>
      </w:r>
      <w:r w:rsidRPr="001F1ED7">
        <w:t>biosurfactant. Biosurfactant production was carried out by the yeast in a 50 L bioreactor, using the medium described by Konishi et al. (2015). The medium consisted of 50 g/L olive oil as a hydrophobic source, 25.0 g/L glucose</w:t>
      </w:r>
      <w:r w:rsidR="00A4718D" w:rsidRPr="001F1ED7">
        <w:t xml:space="preserve"> as the soluble substrate</w:t>
      </w:r>
      <w:r w:rsidRPr="001F1ED7">
        <w:t>, 1.0 g/L yeast extract, 0.5 g/L KH</w:t>
      </w:r>
      <w:r w:rsidRPr="001F1ED7">
        <w:rPr>
          <w:vertAlign w:val="subscript"/>
        </w:rPr>
        <w:t>2</w:t>
      </w:r>
      <w:r w:rsidRPr="001F1ED7">
        <w:t>PO</w:t>
      </w:r>
      <w:r w:rsidRPr="001F1ED7">
        <w:rPr>
          <w:vertAlign w:val="subscript"/>
        </w:rPr>
        <w:t>4</w:t>
      </w:r>
      <w:r w:rsidR="00A4718D" w:rsidRPr="001F1ED7">
        <w:rPr>
          <w:vertAlign w:val="subscript"/>
        </w:rPr>
        <w:t>,</w:t>
      </w:r>
      <w:r w:rsidR="00A4718D" w:rsidRPr="001F1ED7">
        <w:t xml:space="preserve"> and </w:t>
      </w:r>
      <w:r w:rsidRPr="001F1ED7">
        <w:t>0.5 g/L MgSO</w:t>
      </w:r>
      <w:r w:rsidRPr="001F1ED7">
        <w:rPr>
          <w:vertAlign w:val="subscript"/>
        </w:rPr>
        <w:t>4</w:t>
      </w:r>
      <w:r w:rsidRPr="001F1ED7">
        <w:t>·7H</w:t>
      </w:r>
      <w:r w:rsidRPr="001F1ED7">
        <w:rPr>
          <w:vertAlign w:val="subscript"/>
        </w:rPr>
        <w:t>2</w:t>
      </w:r>
      <w:r w:rsidRPr="001F1ED7">
        <w:t>O</w:t>
      </w:r>
      <w:r w:rsidR="00A4718D" w:rsidRPr="001F1ED7">
        <w:t xml:space="preserve"> in </w:t>
      </w:r>
      <w:r w:rsidRPr="001F1ED7">
        <w:t xml:space="preserve">distilled water. The medium was dissolved and sterilized </w:t>
      </w:r>
      <w:r w:rsidR="00C85890" w:rsidRPr="001F1ED7">
        <w:t>by autoclaving</w:t>
      </w:r>
      <w:r w:rsidRPr="001F1ED7">
        <w:t xml:space="preserve"> at 121 °C for 20 minutes. </w:t>
      </w:r>
      <w:r w:rsidR="00C85890" w:rsidRPr="001F1ED7">
        <w:rPr>
          <w:lang w:val="en-GB"/>
        </w:rPr>
        <w:t xml:space="preserve">The inoculum was standardized </w:t>
      </w:r>
      <w:r w:rsidR="00A4718D" w:rsidRPr="001F1ED7">
        <w:rPr>
          <w:lang w:val="en-GB"/>
        </w:rPr>
        <w:t>to 10% (v/v), and biosurfactant production was performed in a 50 L Bioreactor (</w:t>
      </w:r>
      <w:proofErr w:type="spellStart"/>
      <w:r w:rsidR="00A4718D" w:rsidRPr="001F1ED7">
        <w:rPr>
          <w:lang w:val="en-GB"/>
        </w:rPr>
        <w:t>Allbiom</w:t>
      </w:r>
      <w:proofErr w:type="spellEnd"/>
      <w:r w:rsidR="00A4718D" w:rsidRPr="001F1ED7">
        <w:rPr>
          <w:lang w:val="en-GB"/>
        </w:rPr>
        <w:t xml:space="preserve">, </w:t>
      </w:r>
      <w:proofErr w:type="spellStart"/>
      <w:r w:rsidR="00A4718D" w:rsidRPr="001F1ED7">
        <w:rPr>
          <w:lang w:val="en-GB"/>
        </w:rPr>
        <w:t>Cajuru</w:t>
      </w:r>
      <w:proofErr w:type="spellEnd"/>
      <w:r w:rsidR="00A4718D" w:rsidRPr="001F1ED7">
        <w:rPr>
          <w:lang w:val="en-GB"/>
        </w:rPr>
        <w:t xml:space="preserve">, Brazil) at 250 rpm and 0.5 </w:t>
      </w:r>
      <w:proofErr w:type="spellStart"/>
      <w:r w:rsidR="00A4718D" w:rsidRPr="001F1ED7">
        <w:rPr>
          <w:lang w:val="en-GB"/>
        </w:rPr>
        <w:t>vvm</w:t>
      </w:r>
      <w:proofErr w:type="spellEnd"/>
      <w:r w:rsidR="00A4718D" w:rsidRPr="001F1ED7">
        <w:rPr>
          <w:lang w:val="en-GB"/>
        </w:rPr>
        <w:t xml:space="preserve"> at 30 °C for 8</w:t>
      </w:r>
      <w:r w:rsidR="00C85890" w:rsidRPr="001F1ED7">
        <w:rPr>
          <w:lang w:val="en-GB"/>
        </w:rPr>
        <w:t xml:space="preserve"> days (192 h)</w:t>
      </w:r>
      <w:r w:rsidRPr="001F1ED7">
        <w:t>. After this period, the fermentative broth</w:t>
      </w:r>
      <w:r w:rsidR="00C85890" w:rsidRPr="001F1ED7">
        <w:t xml:space="preserve"> </w:t>
      </w:r>
      <w:r w:rsidRPr="001F1ED7">
        <w:t xml:space="preserve">was subjected to surface tension analysis and </w:t>
      </w:r>
      <w:r w:rsidR="00C85890" w:rsidRPr="001F1ED7">
        <w:t>to emulsification activity assays</w:t>
      </w:r>
      <w:r w:rsidRPr="001F1ED7">
        <w:t>.</w:t>
      </w:r>
    </w:p>
    <w:p w14:paraId="62E2EFB5" w14:textId="11DF9071" w:rsidR="00445E67" w:rsidRPr="001F1ED7" w:rsidRDefault="00445E67" w:rsidP="00445E67">
      <w:pPr>
        <w:pStyle w:val="CETheadingx"/>
      </w:pPr>
      <w:bookmarkStart w:id="2" w:name="_Hlk217644493"/>
      <w:r w:rsidRPr="001F1ED7">
        <w:t xml:space="preserve">Surface activity </w:t>
      </w:r>
    </w:p>
    <w:bookmarkEnd w:id="2"/>
    <w:p w14:paraId="558CB857" w14:textId="1B9E4F9F" w:rsidR="00445E67" w:rsidRPr="001F1ED7" w:rsidRDefault="008D2D16" w:rsidP="00445E67">
      <w:pPr>
        <w:pStyle w:val="CETBodytext"/>
      </w:pPr>
      <w:r w:rsidRPr="001F1ED7">
        <w:t>Surface tension of the fermentative broth was measured using a Du Nouy Tensiometer model Sigma 70</w:t>
      </w:r>
      <w:r w:rsidR="00C85890" w:rsidRPr="001F1ED7">
        <w:t>0</w:t>
      </w:r>
      <w:r w:rsidRPr="001F1ED7">
        <w:t xml:space="preserve"> (KSV Instruments Ltd., Finland) at room temperature. Measurements were performed at 25 ± 1 °C after a platinum ring was dipped in the solution to reach equilibrium. Each measurement was performed in triplicate</w:t>
      </w:r>
      <w:r w:rsidR="00C85890" w:rsidRPr="001F1ED7">
        <w:t>,</w:t>
      </w:r>
      <w:r w:rsidRPr="001F1ED7">
        <w:t xml:space="preserve"> and the average value was reported.</w:t>
      </w:r>
    </w:p>
    <w:p w14:paraId="63C07913" w14:textId="1D530460" w:rsidR="00445E67" w:rsidRPr="001F1ED7" w:rsidRDefault="00445E67" w:rsidP="00445E67">
      <w:pPr>
        <w:pStyle w:val="CETheadingx"/>
      </w:pPr>
      <w:r w:rsidRPr="001F1ED7">
        <w:t>Emulsification activity</w:t>
      </w:r>
    </w:p>
    <w:p w14:paraId="44A8A589" w14:textId="58EBC252" w:rsidR="00445E67" w:rsidRPr="001F1ED7" w:rsidRDefault="00445E67" w:rsidP="00445E67">
      <w:pPr>
        <w:pStyle w:val="CETBodytext"/>
      </w:pPr>
      <w:r w:rsidRPr="001F1ED7">
        <w:t xml:space="preserve">Emulsification activity was measured using the method described by Cooper and Goldenberg (1987), </w:t>
      </w:r>
      <w:r w:rsidR="005F4425">
        <w:t xml:space="preserve">in which 2 mL of an oil (motor oil, petroleum, or diesel oil) was added to 2 mL of the biosurfactant solution in a graduated screw-cap test tube and then </w:t>
      </w:r>
      <w:r w:rsidRPr="001F1ED7">
        <w:t>vortexed at high speed for 2 minutes</w:t>
      </w:r>
      <w:r w:rsidR="00C85890" w:rsidRPr="001F1ED7">
        <w:t>.</w:t>
      </w:r>
      <w:r w:rsidRPr="001F1ED7">
        <w:t xml:space="preserve"> The emulsion stability was determined after 24 h, and the emulsification index was calculated by dividing the measured height of the emulsion layer by the mixture's total height and multiplying by 100. The assays were carried out in triplicate and did not vary more than 5%</w:t>
      </w:r>
      <w:r w:rsidR="00834377" w:rsidRPr="001F1ED7">
        <w:t xml:space="preserve"> (v/v)</w:t>
      </w:r>
      <w:r w:rsidRPr="001F1ED7">
        <w:t>.</w:t>
      </w:r>
    </w:p>
    <w:p w14:paraId="6AA5D00F" w14:textId="2DB6D60D" w:rsidR="007624E0" w:rsidRPr="001F1ED7" w:rsidRDefault="00CF4426" w:rsidP="007624E0">
      <w:pPr>
        <w:pStyle w:val="CETheadingx"/>
      </w:pPr>
      <w:r w:rsidRPr="001F1ED7">
        <w:t xml:space="preserve">Isolation and determination of the </w:t>
      </w:r>
      <w:r w:rsidR="00C91E30">
        <w:t>c</w:t>
      </w:r>
      <w:r w:rsidR="007624E0" w:rsidRPr="001F1ED7">
        <w:t>ritical micelle concentration (CMC)</w:t>
      </w:r>
    </w:p>
    <w:p w14:paraId="41A0DA0B" w14:textId="2DB7D574" w:rsidR="007624E0" w:rsidRPr="001F1ED7" w:rsidRDefault="007624E0" w:rsidP="009035A1">
      <w:pPr>
        <w:pStyle w:val="CETBodytext"/>
      </w:pPr>
      <w:r w:rsidRPr="001F1ED7">
        <w:t>The fermentative broth was placed in a separatory funnel for biosurfactant extraction using ethyl acetate (1:1, v/v)</w:t>
      </w:r>
      <w:r w:rsidR="008E7444" w:rsidRPr="001F1ED7">
        <w:t xml:space="preserve"> (</w:t>
      </w:r>
      <w:proofErr w:type="spellStart"/>
      <w:r w:rsidR="008E7444" w:rsidRPr="001F1ED7">
        <w:t>Daverey</w:t>
      </w:r>
      <w:proofErr w:type="spellEnd"/>
      <w:r w:rsidR="008E7444" w:rsidRPr="001F1ED7">
        <w:t xml:space="preserve"> &amp; </w:t>
      </w:r>
      <w:proofErr w:type="spellStart"/>
      <w:r w:rsidR="008E7444" w:rsidRPr="001F1ED7">
        <w:t>Pakshirajan</w:t>
      </w:r>
      <w:proofErr w:type="spellEnd"/>
      <w:r w:rsidR="008E7444" w:rsidRPr="001F1ED7">
        <w:t>, 2010)</w:t>
      </w:r>
      <w:r w:rsidRPr="001F1ED7">
        <w:t>. The concentration at which micelles began to form was defined as the Critical Micelle Concentration (CMC). The CMC of the biosurfactant was determined over a concentration range of 0.001–3% (w/v) in distilled water, followed by surface tension measurements. The surface tension at each concentration was determined in triplicate. The maximum standard deviation associated with the surface activity measurements was ±</w:t>
      </w:r>
      <w:r w:rsidR="007C2AC3" w:rsidRPr="001F1ED7">
        <w:t xml:space="preserve"> </w:t>
      </w:r>
      <w:r w:rsidRPr="001F1ED7">
        <w:t xml:space="preserve">0.2 </w:t>
      </w:r>
      <w:proofErr w:type="spellStart"/>
      <w:r w:rsidRPr="001F1ED7">
        <w:t>mN</w:t>
      </w:r>
      <w:proofErr w:type="spellEnd"/>
      <w:r w:rsidRPr="001F1ED7">
        <w:t xml:space="preserve">/m. The CMC of the </w:t>
      </w:r>
      <w:r w:rsidR="00C85890" w:rsidRPr="001F1ED7">
        <w:t xml:space="preserve">biosurfactant </w:t>
      </w:r>
      <w:r w:rsidRPr="001F1ED7">
        <w:t>was estimated from the constant surface tension value.</w:t>
      </w:r>
    </w:p>
    <w:p w14:paraId="446482CC" w14:textId="169F1951" w:rsidR="009C5649" w:rsidRPr="001F1ED7" w:rsidRDefault="00B31196" w:rsidP="009C5649">
      <w:pPr>
        <w:pStyle w:val="CETheadingx"/>
      </w:pPr>
      <w:r w:rsidRPr="001F1ED7">
        <w:t>C</w:t>
      </w:r>
      <w:r w:rsidR="00CF4426" w:rsidRPr="001F1ED7">
        <w:t xml:space="preserve">haracterization of the </w:t>
      </w:r>
      <w:r w:rsidR="009D4690" w:rsidRPr="001F1ED7">
        <w:t>isolate</w:t>
      </w:r>
      <w:r w:rsidR="009D4690">
        <w:t xml:space="preserve">d </w:t>
      </w:r>
      <w:r w:rsidR="00CF4426" w:rsidRPr="001F1ED7">
        <w:t xml:space="preserve">biosurfactant </w:t>
      </w:r>
    </w:p>
    <w:p w14:paraId="08F9C219" w14:textId="0D775BEA" w:rsidR="009C5649" w:rsidRPr="001F1ED7" w:rsidRDefault="008D2D16" w:rsidP="009035A1">
      <w:pPr>
        <w:pStyle w:val="CETheadingx"/>
        <w:numPr>
          <w:ilvl w:val="0"/>
          <w:numId w:val="0"/>
        </w:numPr>
        <w:spacing w:before="0" w:after="0" w:line="264" w:lineRule="auto"/>
        <w:jc w:val="both"/>
        <w:rPr>
          <w:b w:val="0"/>
        </w:rPr>
      </w:pPr>
      <w:r w:rsidRPr="001F1ED7">
        <w:rPr>
          <w:b w:val="0"/>
        </w:rPr>
        <w:t>The isolated biosurfactant was chemically characterized by determining total protein content (Bradford, 1976), carbohydrates (Dubois et al., 1956), and lipids (Manocha</w:t>
      </w:r>
      <w:r w:rsidR="00BC29D9">
        <w:rPr>
          <w:b w:val="0"/>
        </w:rPr>
        <w:t xml:space="preserve"> et al.</w:t>
      </w:r>
      <w:r w:rsidRPr="001F1ED7">
        <w:rPr>
          <w:b w:val="0"/>
        </w:rPr>
        <w:t xml:space="preserve">, 1980). The ionic charge of the biosurfactant was determined using the agar double diffusion technique, adapted from Luna et al. (2016). Test tubes contained 2 mL of a 1% </w:t>
      </w:r>
      <w:r w:rsidR="00834377" w:rsidRPr="001F1ED7">
        <w:rPr>
          <w:b w:val="0"/>
        </w:rPr>
        <w:t xml:space="preserve">(v/v) </w:t>
      </w:r>
      <w:r w:rsidRPr="001F1ED7">
        <w:rPr>
          <w:b w:val="0"/>
        </w:rPr>
        <w:t>solution of the fractions and 2 mL of a pure compound with a known ionic charge. The anionic reference was sodium dodecyl sulfate (SDS)</w:t>
      </w:r>
      <w:r w:rsidR="004800B5" w:rsidRPr="001F1ED7">
        <w:rPr>
          <w:b w:val="0"/>
        </w:rPr>
        <w:t>,</w:t>
      </w:r>
      <w:r w:rsidRPr="001F1ED7">
        <w:rPr>
          <w:b w:val="0"/>
        </w:rPr>
        <w:t xml:space="preserve"> and the cationic reference was barium chloride. The appearance of precipitation in the tubes (indicative of ionic character) was monitored for 48 h at room temperature. A tube containing the junction of SDS and barium chloride served as the standard.</w:t>
      </w:r>
    </w:p>
    <w:p w14:paraId="226E87A8" w14:textId="3B8A45E4" w:rsidR="00522699" w:rsidRPr="001F1ED7" w:rsidRDefault="00522699" w:rsidP="00453E24">
      <w:pPr>
        <w:pStyle w:val="CETheadingx"/>
      </w:pPr>
      <w:r w:rsidRPr="001F1ED7">
        <w:t xml:space="preserve">Biosurfactant </w:t>
      </w:r>
      <w:r w:rsidR="009D4690">
        <w:t>g</w:t>
      </w:r>
      <w:r w:rsidRPr="001F1ED7">
        <w:t xml:space="preserve">el </w:t>
      </w:r>
      <w:r w:rsidR="009D4690">
        <w:t>f</w:t>
      </w:r>
      <w:r w:rsidRPr="001F1ED7">
        <w:t>ormulation</w:t>
      </w:r>
    </w:p>
    <w:p w14:paraId="3484FADB" w14:textId="79E7D7CC" w:rsidR="00522699" w:rsidRPr="001F1ED7" w:rsidRDefault="008D2D16" w:rsidP="00522699">
      <w:pPr>
        <w:pStyle w:val="CETBodytext"/>
      </w:pPr>
      <w:r w:rsidRPr="001F1ED7">
        <w:t xml:space="preserve">The isolated biosurfactant </w:t>
      </w:r>
      <w:r w:rsidR="00C85890" w:rsidRPr="001F1ED7">
        <w:t>(</w:t>
      </w:r>
      <w:r w:rsidR="00C85890" w:rsidRPr="001F1ED7">
        <w:rPr>
          <w:lang w:val="en-GB"/>
        </w:rPr>
        <w:t xml:space="preserve">5.0% w/v) </w:t>
      </w:r>
      <w:r w:rsidRPr="001F1ED7">
        <w:t>was incorporated into a gel base containing</w:t>
      </w:r>
      <w:r w:rsidR="00C85890" w:rsidRPr="001F1ED7">
        <w:t xml:space="preserve"> </w:t>
      </w:r>
      <w:r w:rsidR="00C85890" w:rsidRPr="001F1ED7">
        <w:rPr>
          <w:lang w:val="en-GB"/>
        </w:rPr>
        <w:t xml:space="preserve">sodium alginate (0.6% w/v), glycerine (1.0% w/v), and triethanolamine (0.2% w/v). </w:t>
      </w:r>
      <w:r w:rsidRPr="001F1ED7">
        <w:t xml:space="preserve">The formulation was adjusted to achieve an appropriate consistency for </w:t>
      </w:r>
      <w:r w:rsidR="00C770AF" w:rsidRPr="001F1ED7">
        <w:t>experimental application, while preserving organoleptic characteristics (color, odor, and texture) and solution stability.</w:t>
      </w:r>
      <w:r w:rsidR="00B31196" w:rsidRPr="001F1ED7">
        <w:t xml:space="preserve"> After formulation, ecotoxicity tests (using </w:t>
      </w:r>
      <w:r w:rsidR="00B31196" w:rsidRPr="001F1ED7">
        <w:rPr>
          <w:i/>
          <w:iCs/>
        </w:rPr>
        <w:t>Artemia salina</w:t>
      </w:r>
      <w:r w:rsidR="00B31196" w:rsidRPr="001F1ED7">
        <w:t xml:space="preserve"> as an indicator organism) and recruitment tests in aquatic environments were conducted to assess </w:t>
      </w:r>
      <w:r w:rsidR="004800B5" w:rsidRPr="001F1ED7">
        <w:t>potential</w:t>
      </w:r>
      <w:r w:rsidR="00B31196" w:rsidRPr="001F1ED7">
        <w:t xml:space="preserve"> adverse effects of the biosurfactant gel.</w:t>
      </w:r>
    </w:p>
    <w:p w14:paraId="1D1565BA" w14:textId="36F4CD70" w:rsidR="00B31196" w:rsidRPr="001F1ED7" w:rsidRDefault="00B31196" w:rsidP="00453E24">
      <w:pPr>
        <w:pStyle w:val="CETheadingx"/>
      </w:pPr>
      <w:r w:rsidRPr="001F1ED7">
        <w:t xml:space="preserve">Toxicity tests using </w:t>
      </w:r>
      <w:r w:rsidRPr="009D4690">
        <w:rPr>
          <w:i/>
          <w:iCs/>
        </w:rPr>
        <w:t>Artemia salina</w:t>
      </w:r>
      <w:r w:rsidRPr="001F1ED7">
        <w:t xml:space="preserve"> and recruitment tests in aquatic environments </w:t>
      </w:r>
    </w:p>
    <w:p w14:paraId="1DFE3DFB" w14:textId="1C0CF263" w:rsidR="00AB62C0" w:rsidRPr="001F1ED7" w:rsidRDefault="00B2218E" w:rsidP="00B31196">
      <w:pPr>
        <w:pStyle w:val="CETBodytext"/>
      </w:pPr>
      <w:r>
        <w:t>The t</w:t>
      </w:r>
      <w:r w:rsidR="00AB62C0" w:rsidRPr="001F1ED7">
        <w:t xml:space="preserve">oxicity </w:t>
      </w:r>
      <w:proofErr w:type="spellStart"/>
      <w:r w:rsidR="00AB62C0" w:rsidRPr="001F1ED7">
        <w:t>t</w:t>
      </w:r>
      <w:r>
        <w:t>of</w:t>
      </w:r>
      <w:proofErr w:type="spellEnd"/>
      <w:r>
        <w:t xml:space="preserve"> the biosurfactant gel was evaluated </w:t>
      </w:r>
      <w:r w:rsidR="00682722">
        <w:t>against</w:t>
      </w:r>
      <w:r w:rsidR="00AB62C0" w:rsidRPr="001F1ED7">
        <w:t xml:space="preserve"> </w:t>
      </w:r>
      <w:r w:rsidR="00AB62C0" w:rsidRPr="001F1ED7">
        <w:rPr>
          <w:i/>
          <w:iCs/>
        </w:rPr>
        <w:t>Artemia salina</w:t>
      </w:r>
      <w:r w:rsidR="00AB62C0" w:rsidRPr="001F1ED7">
        <w:t xml:space="preserve"> at concentrations of 1:1, 1:2</w:t>
      </w:r>
      <w:r w:rsidR="004800B5" w:rsidRPr="001F1ED7">
        <w:t xml:space="preserve"> (v/v)</w:t>
      </w:r>
      <w:r w:rsidR="00AB62C0" w:rsidRPr="001F1ED7">
        <w:t xml:space="preserve">, and undiluted (pure), using </w:t>
      </w:r>
      <w:r w:rsidR="00682722">
        <w:t xml:space="preserve">the </w:t>
      </w:r>
      <w:r w:rsidR="00AB62C0" w:rsidRPr="001F1ED7">
        <w:t xml:space="preserve">larvae of the microcrustacean as the indicator organism, in accordance with Silva et al. (2010). The recruitment tests in aquatic environments were based on the </w:t>
      </w:r>
      <w:r w:rsidR="004800B5" w:rsidRPr="001F1ED7">
        <w:t xml:space="preserve">study by Fernandes et al. </w:t>
      </w:r>
      <w:r w:rsidR="004800B5" w:rsidRPr="001F1ED7">
        <w:lastRenderedPageBreak/>
        <w:t>(2010), who analyzed larval adhesion and the establishment of the fouling community by installing metal plates at preselected locations to monitor larval recruitment</w:t>
      </w:r>
      <w:r w:rsidR="00AB62C0" w:rsidRPr="001F1ED7">
        <w:t xml:space="preserve">. In field activities, the experimental protocol involved metal plates measuring 20 cm in height, 10 cm in width, and 0.5 cm in thickness. Samples (50 mL) of the </w:t>
      </w:r>
      <w:r w:rsidR="00E07760">
        <w:t xml:space="preserve">biosurfactant </w:t>
      </w:r>
      <w:r w:rsidR="004800B5" w:rsidRPr="001F1ED7">
        <w:t>gel</w:t>
      </w:r>
      <w:r w:rsidR="00AB62C0" w:rsidRPr="001F1ED7">
        <w:t xml:space="preserve"> were incorporated into a commercial water-based white paint (IQUINE Ltda., Recife, Brazil) at concentrations of 2.5, 5.0, 7.5</w:t>
      </w:r>
      <w:r w:rsidR="00980872" w:rsidRPr="001F1ED7">
        <w:t>,</w:t>
      </w:r>
      <w:r w:rsidR="00AB62C0" w:rsidRPr="001F1ED7">
        <w:t xml:space="preserve"> and 10.0% (</w:t>
      </w:r>
      <w:r w:rsidR="00C163F7">
        <w:t>w</w:t>
      </w:r>
      <w:r w:rsidR="00AB62C0" w:rsidRPr="001F1ED7">
        <w:t>/</w:t>
      </w:r>
      <w:r w:rsidR="00C163F7">
        <w:t>w</w:t>
      </w:r>
      <w:r w:rsidR="00AB62C0" w:rsidRPr="001F1ED7">
        <w:t>).</w:t>
      </w:r>
      <w:r w:rsidR="000550F6" w:rsidRPr="001F1ED7">
        <w:t xml:space="preserve"> </w:t>
      </w:r>
      <w:r w:rsidR="00AB62C0" w:rsidRPr="001F1ED7">
        <w:t>Each side of each plate constituted the same condition (duplicate experiments). The plates were fixed to aluminum rails, with the structure positioned in the Atlantic Ocean</w:t>
      </w:r>
      <w:r w:rsidR="004800B5" w:rsidRPr="001F1ED7">
        <w:t xml:space="preserve"> and supported by buoys connected to the Pina Basin pier in Recife, Pernambuco, Brazil, where it</w:t>
      </w:r>
      <w:r w:rsidR="00AB62C0" w:rsidRPr="001F1ED7">
        <w:t xml:space="preserve"> remained for 15 days.</w:t>
      </w:r>
    </w:p>
    <w:p w14:paraId="18BAFA6F" w14:textId="384286E4" w:rsidR="00453E24" w:rsidRPr="001F1ED7" w:rsidRDefault="008E7444" w:rsidP="00453E24">
      <w:pPr>
        <w:pStyle w:val="CETheadingx"/>
      </w:pPr>
      <w:r w:rsidRPr="001F1ED7">
        <w:t xml:space="preserve">Oil </w:t>
      </w:r>
      <w:r w:rsidR="00434CE7" w:rsidRPr="001F1ED7">
        <w:t>removal tests on coral surface</w:t>
      </w:r>
    </w:p>
    <w:p w14:paraId="4C3FA916" w14:textId="137191C8" w:rsidR="006E3336" w:rsidRPr="001F1ED7" w:rsidRDefault="006E3336" w:rsidP="006E3336">
      <w:pPr>
        <w:pStyle w:val="CETBodytext"/>
      </w:pPr>
      <w:r w:rsidRPr="001F1ED7">
        <w:t xml:space="preserve">The cleaning test was carried out according to the methodology described by Da Silva et al. (2024), with adaptations involving corals. A known mass </w:t>
      </w:r>
      <w:r w:rsidR="004800B5" w:rsidRPr="001F1ED7">
        <w:t xml:space="preserve">of coral was </w:t>
      </w:r>
      <w:r w:rsidRPr="001F1ED7">
        <w:t>uniformly contaminated with 500 µL of petroleum</w:t>
      </w:r>
      <w:r w:rsidR="004800B5" w:rsidRPr="001F1ED7">
        <w:t xml:space="preserve"> at the surface</w:t>
      </w:r>
      <w:r w:rsidRPr="001F1ED7">
        <w:t xml:space="preserve">; subsequently, the coral was left at rest for 48 h to allow greater oil adhesion. The contaminated section of the coral was then </w:t>
      </w:r>
      <w:r w:rsidR="004800B5" w:rsidRPr="001F1ED7">
        <w:t xml:space="preserve">exposed to </w:t>
      </w:r>
      <w:r w:rsidRPr="001F1ED7">
        <w:t>the formulated biosurfactant gel for 2 min. Afterwards, the coral was immersed in distilled water to remove any excess biosurfactant gel. The coral was subsequently dried in an oven at 40 °C for 30 min, and its mass was recorded. Oil removal was calculated using the following equation:</w:t>
      </w:r>
    </w:p>
    <w:p w14:paraId="4146A1D6" w14:textId="77777777" w:rsidR="006E3336" w:rsidRPr="001F1ED7" w:rsidRDefault="006E3336" w:rsidP="006E3336">
      <w:pPr>
        <w:pStyle w:val="CETBodytext"/>
      </w:pPr>
    </w:p>
    <w:p w14:paraId="4DBB5759" w14:textId="2DDD83FC" w:rsidR="006E3336" w:rsidRPr="001F1ED7" w:rsidRDefault="006E3336" w:rsidP="006E3336">
      <w:pPr>
        <w:pStyle w:val="CETBodytext"/>
      </w:pPr>
      <w:r w:rsidRPr="001F1ED7">
        <w:rPr>
          <w:i/>
          <w:iCs/>
        </w:rPr>
        <w:t xml:space="preserve">Oil removal (%) = </w:t>
      </w:r>
      <w:r w:rsidR="004800B5" w:rsidRPr="001F1ED7">
        <w:rPr>
          <w:i/>
          <w:iCs/>
        </w:rPr>
        <w:t>[</w:t>
      </w:r>
      <w:r w:rsidRPr="001F1ED7">
        <w:rPr>
          <w:i/>
          <w:iCs/>
        </w:rPr>
        <w:t>(Mc − Mw)</w:t>
      </w:r>
      <w:proofErr w:type="gramStart"/>
      <w:r w:rsidRPr="001F1ED7">
        <w:rPr>
          <w:i/>
          <w:iCs/>
        </w:rPr>
        <w:t>/(</w:t>
      </w:r>
      <w:proofErr w:type="gramEnd"/>
      <w:r w:rsidRPr="001F1ED7">
        <w:rPr>
          <w:i/>
          <w:iCs/>
        </w:rPr>
        <w:t>Mc − Mi)</w:t>
      </w:r>
      <w:r w:rsidR="004800B5" w:rsidRPr="001F1ED7">
        <w:rPr>
          <w:i/>
          <w:iCs/>
        </w:rPr>
        <w:t xml:space="preserve">] </w:t>
      </w:r>
      <w:r w:rsidR="004800B5" w:rsidRPr="001F1ED7">
        <w:rPr>
          <w:i/>
          <w:iCs/>
        </w:rPr>
        <w:sym w:font="Symbol" w:char="F0B4"/>
      </w:r>
      <w:r w:rsidR="004800B5" w:rsidRPr="001F1ED7">
        <w:rPr>
          <w:i/>
          <w:iCs/>
        </w:rPr>
        <w:t xml:space="preserve"> 100</w:t>
      </w:r>
      <w:r w:rsidRPr="001F1ED7">
        <w:rPr>
          <w:i/>
          <w:iCs/>
        </w:rPr>
        <w:t xml:space="preserve">                                                                                                        </w:t>
      </w:r>
      <w:proofErr w:type="gramStart"/>
      <w:r w:rsidR="0088479A" w:rsidRPr="001F1ED7">
        <w:rPr>
          <w:i/>
          <w:iCs/>
        </w:rPr>
        <w:t xml:space="preserve">  </w:t>
      </w:r>
      <w:r w:rsidRPr="001F1ED7">
        <w:rPr>
          <w:i/>
          <w:iCs/>
        </w:rPr>
        <w:t xml:space="preserve"> </w:t>
      </w:r>
      <w:r w:rsidRPr="001F1ED7">
        <w:t>(</w:t>
      </w:r>
      <w:proofErr w:type="gramEnd"/>
      <w:r w:rsidRPr="001F1ED7">
        <w:t>1)</w:t>
      </w:r>
    </w:p>
    <w:p w14:paraId="2712CB8C" w14:textId="77777777" w:rsidR="006E3336" w:rsidRPr="001F1ED7" w:rsidRDefault="006E3336" w:rsidP="006E3336">
      <w:pPr>
        <w:pStyle w:val="CETBodytext"/>
      </w:pPr>
    </w:p>
    <w:p w14:paraId="6A2F2280" w14:textId="2DDA3BB0" w:rsidR="008E7444" w:rsidRPr="001F1ED7" w:rsidRDefault="002B79C8" w:rsidP="006E3336">
      <w:pPr>
        <w:pStyle w:val="CETBodytext"/>
      </w:pPr>
      <w:r w:rsidRPr="001F1ED7">
        <w:t xml:space="preserve">where Mc is the mass of </w:t>
      </w:r>
      <w:proofErr w:type="gramStart"/>
      <w:r w:rsidRPr="001F1ED7">
        <w:t>the coral</w:t>
      </w:r>
      <w:proofErr w:type="gramEnd"/>
      <w:r w:rsidRPr="001F1ED7">
        <w:t xml:space="preserve"> contaminated by oil, Mw is the mass of the coral after cleaning, and Mi is the initial mass of the coral (before contamination).</w:t>
      </w:r>
    </w:p>
    <w:p w14:paraId="588D0BA6" w14:textId="5905816B" w:rsidR="006D5A23" w:rsidRPr="001F1ED7" w:rsidRDefault="006D5A23" w:rsidP="006D5A23">
      <w:pPr>
        <w:pStyle w:val="CETHeading1"/>
        <w:rPr>
          <w:lang w:val="en-GB"/>
        </w:rPr>
      </w:pPr>
      <w:r w:rsidRPr="001F1ED7">
        <w:rPr>
          <w:lang w:val="en-GB"/>
        </w:rPr>
        <w:t>Results &amp; Discussion</w:t>
      </w:r>
    </w:p>
    <w:p w14:paraId="37CA692C" w14:textId="03236EE8" w:rsidR="00F45097" w:rsidRPr="001F1ED7" w:rsidRDefault="00F45097" w:rsidP="00600535">
      <w:pPr>
        <w:pStyle w:val="CETBodytext"/>
        <w:rPr>
          <w:lang w:val="en-GB"/>
        </w:rPr>
      </w:pPr>
      <w:r w:rsidRPr="001F1ED7">
        <w:rPr>
          <w:lang w:val="en-GB"/>
        </w:rPr>
        <w:t xml:space="preserve">Nowadays, the quality of a new surfactant agent is typically assessed </w:t>
      </w:r>
      <w:r w:rsidR="004800B5" w:rsidRPr="001F1ED7">
        <w:rPr>
          <w:lang w:val="en-GB"/>
        </w:rPr>
        <w:t>by measuring</w:t>
      </w:r>
      <w:r w:rsidRPr="001F1ED7">
        <w:rPr>
          <w:lang w:val="en-GB"/>
        </w:rPr>
        <w:t xml:space="preserve"> surface tension and emulsifying capacity. Res</w:t>
      </w:r>
      <w:r w:rsidR="00E67551">
        <w:rPr>
          <w:lang w:val="en-GB"/>
        </w:rPr>
        <w:t>ults</w:t>
      </w:r>
      <w:r w:rsidRPr="001F1ED7">
        <w:rPr>
          <w:lang w:val="en-GB"/>
        </w:rPr>
        <w:t xml:space="preserve"> indicate</w:t>
      </w:r>
      <w:r w:rsidR="00E67551">
        <w:rPr>
          <w:lang w:val="en-GB"/>
        </w:rPr>
        <w:t>d</w:t>
      </w:r>
      <w:r w:rsidRPr="001F1ED7">
        <w:rPr>
          <w:lang w:val="en-GB"/>
        </w:rPr>
        <w:t xml:space="preserve"> that the surfactant produced by the yeast </w:t>
      </w:r>
      <w:proofErr w:type="spellStart"/>
      <w:r w:rsidRPr="001F1ED7">
        <w:rPr>
          <w:i/>
          <w:iCs/>
          <w:lang w:val="en-GB"/>
        </w:rPr>
        <w:t>Starmerella</w:t>
      </w:r>
      <w:proofErr w:type="spellEnd"/>
      <w:r w:rsidRPr="001F1ED7">
        <w:rPr>
          <w:i/>
          <w:iCs/>
          <w:lang w:val="en-GB"/>
        </w:rPr>
        <w:t xml:space="preserve"> </w:t>
      </w:r>
      <w:proofErr w:type="spellStart"/>
      <w:r w:rsidRPr="001F1ED7">
        <w:rPr>
          <w:i/>
          <w:iCs/>
          <w:lang w:val="en-GB"/>
        </w:rPr>
        <w:t>bombicola</w:t>
      </w:r>
      <w:proofErr w:type="spellEnd"/>
      <w:r w:rsidRPr="001F1ED7">
        <w:rPr>
          <w:lang w:val="en-GB"/>
        </w:rPr>
        <w:t xml:space="preserve"> ATCC 22214 in a 50 L bioreactor exhibited a surface tension of 32.08 ± 0.08 </w:t>
      </w:r>
      <w:proofErr w:type="spellStart"/>
      <w:r w:rsidRPr="001F1ED7">
        <w:rPr>
          <w:lang w:val="en-GB"/>
        </w:rPr>
        <w:t>mN</w:t>
      </w:r>
      <w:proofErr w:type="spellEnd"/>
      <w:r w:rsidRPr="001F1ED7">
        <w:rPr>
          <w:lang w:val="en-GB"/>
        </w:rPr>
        <w:t xml:space="preserve">/m and a pH of 6.2 at the end of fermentation (Figure 1). The biosurfactant extraction yielded 13.5 g/L, with a critical micelle concentration (CMC) of 0.65 g/L of </w:t>
      </w:r>
      <w:r w:rsidR="00831DDC">
        <w:rPr>
          <w:lang w:val="en-GB"/>
        </w:rPr>
        <w:t>isolated</w:t>
      </w:r>
      <w:r w:rsidRPr="001F1ED7">
        <w:rPr>
          <w:lang w:val="en-GB"/>
        </w:rPr>
        <w:t xml:space="preserve"> biosurfactant in ethyl acetate. Furthermore, the surfactant demonstrated the ability to form stable emulsions with high efficiency </w:t>
      </w:r>
      <w:r w:rsidR="004800B5" w:rsidRPr="001F1ED7">
        <w:rPr>
          <w:lang w:val="en-GB"/>
        </w:rPr>
        <w:t>in motor oil (93.75 ± 0.25</w:t>
      </w:r>
      <w:r w:rsidR="00025FCB">
        <w:rPr>
          <w:lang w:val="en-GB"/>
        </w:rPr>
        <w:t xml:space="preserve"> </w:t>
      </w:r>
      <w:r w:rsidR="00025FCB" w:rsidRPr="001F1ED7">
        <w:rPr>
          <w:lang w:val="en-GB"/>
        </w:rPr>
        <w:t>%</w:t>
      </w:r>
      <w:r w:rsidR="004800B5" w:rsidRPr="001F1ED7">
        <w:rPr>
          <w:lang w:val="en-GB"/>
        </w:rPr>
        <w:t>)</w:t>
      </w:r>
      <w:r w:rsidR="00F43F87">
        <w:rPr>
          <w:lang w:val="en-GB"/>
        </w:rPr>
        <w:t>, petroleum (99.00 ± 0.1 %), and</w:t>
      </w:r>
      <w:r w:rsidR="004800B5" w:rsidRPr="001F1ED7">
        <w:rPr>
          <w:lang w:val="en-GB"/>
        </w:rPr>
        <w:t xml:space="preserve"> diesel (90.50 ± 0.2</w:t>
      </w:r>
      <w:r w:rsidR="00E22CD7">
        <w:rPr>
          <w:lang w:val="en-GB"/>
        </w:rPr>
        <w:t xml:space="preserve"> </w:t>
      </w:r>
      <w:r w:rsidR="00E22CD7" w:rsidRPr="001F1ED7">
        <w:rPr>
          <w:lang w:val="en-GB"/>
        </w:rPr>
        <w:t>%</w:t>
      </w:r>
      <w:r w:rsidR="004800B5" w:rsidRPr="001F1ED7">
        <w:rPr>
          <w:lang w:val="en-GB"/>
        </w:rPr>
        <w:t>), indicating potential applications in remediation processes in which</w:t>
      </w:r>
      <w:r w:rsidRPr="001F1ED7">
        <w:rPr>
          <w:lang w:val="en-GB"/>
        </w:rPr>
        <w:t xml:space="preserve"> these oils are contaminants. Biosynthesis of yeast-derived biosurfactants involves </w:t>
      </w:r>
      <w:r w:rsidR="004800B5" w:rsidRPr="001F1ED7">
        <w:rPr>
          <w:lang w:val="en-GB"/>
        </w:rPr>
        <w:t xml:space="preserve">the production of structures containing a variety of hydroxylated fatty acids and carbohydrates, which are </w:t>
      </w:r>
      <w:r w:rsidRPr="001F1ED7">
        <w:rPr>
          <w:lang w:val="en-GB"/>
        </w:rPr>
        <w:t xml:space="preserve">characterized by unique surfactant properties. Preliminary analysis of the biosurfactant produced by </w:t>
      </w:r>
      <w:r w:rsidRPr="001F1ED7">
        <w:rPr>
          <w:i/>
          <w:iCs/>
          <w:lang w:val="en-GB"/>
        </w:rPr>
        <w:t xml:space="preserve">S. </w:t>
      </w:r>
      <w:proofErr w:type="spellStart"/>
      <w:r w:rsidRPr="001F1ED7">
        <w:rPr>
          <w:i/>
          <w:iCs/>
          <w:lang w:val="en-GB"/>
        </w:rPr>
        <w:t>bombicola</w:t>
      </w:r>
      <w:proofErr w:type="spellEnd"/>
      <w:r w:rsidRPr="001F1ED7">
        <w:rPr>
          <w:lang w:val="en-GB"/>
        </w:rPr>
        <w:t xml:space="preserve"> ATCC 22214 revealed a glycolipid composed of 53% (w/w) carbohydrates and 45% (w/w) lipids, with an anionic charge.</w:t>
      </w:r>
    </w:p>
    <w:p w14:paraId="06F3925C" w14:textId="77777777" w:rsidR="00AE784B" w:rsidRPr="001F1ED7" w:rsidRDefault="00AE784B" w:rsidP="00600535">
      <w:pPr>
        <w:pStyle w:val="CETBodytext"/>
        <w:rPr>
          <w:lang w:val="en-GB"/>
        </w:rPr>
      </w:pPr>
    </w:p>
    <w:p w14:paraId="71529192" w14:textId="643CE103" w:rsidR="006D29E8" w:rsidRPr="001F1ED7" w:rsidRDefault="00AE784B" w:rsidP="00B10FD5">
      <w:pPr>
        <w:pStyle w:val="CETBodytext"/>
        <w:jc w:val="center"/>
        <w:rPr>
          <w:lang w:val="en-GB"/>
        </w:rPr>
      </w:pPr>
      <w:r w:rsidRPr="001F1ED7">
        <w:rPr>
          <w:noProof/>
          <w:lang w:val="en-GB"/>
        </w:rPr>
        <w:drawing>
          <wp:inline distT="0" distB="0" distL="0" distR="0" wp14:anchorId="2B2FDC4C" wp14:editId="00A4C921">
            <wp:extent cx="2785745" cy="1847850"/>
            <wp:effectExtent l="0" t="0" r="0" b="0"/>
            <wp:docPr id="177189697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96970" name="Imagem 1771896970"/>
                    <pic:cNvPicPr/>
                  </pic:nvPicPr>
                  <pic:blipFill rotWithShape="1">
                    <a:blip r:embed="rId10"/>
                    <a:srcRect l="1545" t="2625" r="1588" b="1885"/>
                    <a:stretch>
                      <a:fillRect/>
                    </a:stretch>
                  </pic:blipFill>
                  <pic:spPr bwMode="auto">
                    <a:xfrm>
                      <a:off x="0" y="0"/>
                      <a:ext cx="2813971" cy="1866573"/>
                    </a:xfrm>
                    <a:prstGeom prst="rect">
                      <a:avLst/>
                    </a:prstGeom>
                    <a:ln>
                      <a:noFill/>
                    </a:ln>
                    <a:extLst>
                      <a:ext uri="{53640926-AAD7-44D8-BBD7-CCE9431645EC}">
                        <a14:shadowObscured xmlns:a14="http://schemas.microsoft.com/office/drawing/2010/main"/>
                      </a:ext>
                    </a:extLst>
                  </pic:spPr>
                </pic:pic>
              </a:graphicData>
            </a:graphic>
          </wp:inline>
        </w:drawing>
      </w:r>
      <w:bookmarkStart w:id="3" w:name="_Hlk217814196"/>
    </w:p>
    <w:p w14:paraId="717B0FFC" w14:textId="77777777" w:rsidR="00AE784B" w:rsidRPr="001F1ED7" w:rsidRDefault="00AE784B" w:rsidP="00600535">
      <w:pPr>
        <w:pStyle w:val="CETBodytext"/>
        <w:rPr>
          <w:lang w:val="en-GB"/>
        </w:rPr>
      </w:pPr>
    </w:p>
    <w:p w14:paraId="4913BD89" w14:textId="04E528DE" w:rsidR="006D29E8" w:rsidRPr="001F1ED7" w:rsidRDefault="006D29E8" w:rsidP="00A64B03">
      <w:pPr>
        <w:pStyle w:val="CETBodytext"/>
        <w:rPr>
          <w:rStyle w:val="CETCaptionCarattere"/>
        </w:rPr>
      </w:pPr>
      <w:r w:rsidRPr="001F1ED7">
        <w:rPr>
          <w:rStyle w:val="CETCaptionCarattere"/>
        </w:rPr>
        <w:t xml:space="preserve">Figure 1: </w:t>
      </w:r>
      <w:r w:rsidR="000D46D4" w:rsidRPr="001F1ED7">
        <w:rPr>
          <w:rStyle w:val="CETCaptionCarattere"/>
        </w:rPr>
        <w:t xml:space="preserve">Illustration of the steps in the </w:t>
      </w:r>
      <w:r w:rsidR="00C27506" w:rsidRPr="001F1ED7">
        <w:rPr>
          <w:rStyle w:val="CETCaptionCarattere"/>
        </w:rPr>
        <w:t xml:space="preserve">(A) </w:t>
      </w:r>
      <w:r w:rsidR="000D46D4" w:rsidRPr="001F1ED7">
        <w:rPr>
          <w:rStyle w:val="CETCaptionCarattere"/>
        </w:rPr>
        <w:t>biosurfactant production</w:t>
      </w:r>
      <w:r w:rsidR="009B5569" w:rsidRPr="001F1ED7">
        <w:rPr>
          <w:rStyle w:val="CETCaptionCarattere"/>
        </w:rPr>
        <w:t xml:space="preserve"> </w:t>
      </w:r>
      <w:r w:rsidR="000D46D4" w:rsidRPr="001F1ED7">
        <w:rPr>
          <w:rStyle w:val="CETCaptionCarattere"/>
        </w:rPr>
        <w:t>and</w:t>
      </w:r>
      <w:r w:rsidR="00C27506" w:rsidRPr="001F1ED7">
        <w:rPr>
          <w:rStyle w:val="CETCaptionCarattere"/>
        </w:rPr>
        <w:t xml:space="preserve"> (B) </w:t>
      </w:r>
      <w:r w:rsidR="000D46D4" w:rsidRPr="001F1ED7">
        <w:rPr>
          <w:rStyle w:val="CETCaptionCarattere"/>
        </w:rPr>
        <w:t>isolation.</w:t>
      </w:r>
    </w:p>
    <w:bookmarkEnd w:id="3"/>
    <w:p w14:paraId="27C86C8B" w14:textId="77777777" w:rsidR="008C2143" w:rsidRPr="001F1ED7" w:rsidRDefault="008C2143" w:rsidP="004C03E8">
      <w:pPr>
        <w:pStyle w:val="CETBodytext"/>
        <w:jc w:val="center"/>
        <w:rPr>
          <w:lang w:val="en-GB"/>
        </w:rPr>
      </w:pPr>
    </w:p>
    <w:p w14:paraId="618D4A83" w14:textId="6A364F90" w:rsidR="006D29E8" w:rsidRDefault="00A74E37" w:rsidP="00600535">
      <w:pPr>
        <w:pStyle w:val="CETBodytext"/>
        <w:rPr>
          <w:lang w:val="en-GB"/>
        </w:rPr>
      </w:pPr>
      <w:r w:rsidRPr="001F1ED7">
        <w:rPr>
          <w:lang w:val="en-GB"/>
        </w:rPr>
        <w:t xml:space="preserve">The </w:t>
      </w:r>
      <w:bookmarkStart w:id="4" w:name="_Hlk217814323"/>
      <w:r w:rsidRPr="001F1ED7">
        <w:rPr>
          <w:lang w:val="en-GB"/>
        </w:rPr>
        <w:t xml:space="preserve">biosurfactant gel formulation </w:t>
      </w:r>
      <w:bookmarkEnd w:id="4"/>
      <w:r w:rsidRPr="001F1ED7">
        <w:rPr>
          <w:lang w:val="en-GB"/>
        </w:rPr>
        <w:t xml:space="preserve">exhibited highly stable behavior, with the </w:t>
      </w:r>
      <w:bookmarkStart w:id="5" w:name="_Hlk217814296"/>
      <w:r w:rsidRPr="001F1ED7">
        <w:rPr>
          <w:lang w:val="en-GB"/>
        </w:rPr>
        <w:t>isolated biosurfactant (5.0%</w:t>
      </w:r>
      <w:r w:rsidR="00543D64" w:rsidRPr="001F1ED7">
        <w:rPr>
          <w:lang w:val="en-GB"/>
        </w:rPr>
        <w:t xml:space="preserve"> w/v</w:t>
      </w:r>
      <w:r w:rsidRPr="001F1ED7">
        <w:rPr>
          <w:lang w:val="en-GB"/>
        </w:rPr>
        <w:t>) incorporated into a gel base containing sodium alginate (0.6%</w:t>
      </w:r>
      <w:r w:rsidR="00543D64" w:rsidRPr="001F1ED7">
        <w:rPr>
          <w:lang w:val="en-GB"/>
        </w:rPr>
        <w:t xml:space="preserve"> w/v</w:t>
      </w:r>
      <w:r w:rsidRPr="001F1ED7">
        <w:rPr>
          <w:lang w:val="en-GB"/>
        </w:rPr>
        <w:t xml:space="preserve">), </w:t>
      </w:r>
      <w:r w:rsidR="004F43BC" w:rsidRPr="001F1ED7">
        <w:rPr>
          <w:lang w:val="en-GB"/>
        </w:rPr>
        <w:t>glycerine</w:t>
      </w:r>
      <w:r w:rsidRPr="001F1ED7">
        <w:rPr>
          <w:lang w:val="en-GB"/>
        </w:rPr>
        <w:t xml:space="preserve"> (1.0%</w:t>
      </w:r>
      <w:r w:rsidR="00543D64" w:rsidRPr="001F1ED7">
        <w:rPr>
          <w:lang w:val="en-GB"/>
        </w:rPr>
        <w:t xml:space="preserve"> w/v</w:t>
      </w:r>
      <w:r w:rsidRPr="001F1ED7">
        <w:rPr>
          <w:lang w:val="en-GB"/>
        </w:rPr>
        <w:t>), and triethanolamine (0.2%</w:t>
      </w:r>
      <w:r w:rsidR="00543D64" w:rsidRPr="001F1ED7">
        <w:rPr>
          <w:lang w:val="en-GB"/>
        </w:rPr>
        <w:t xml:space="preserve"> w/v</w:t>
      </w:r>
      <w:r w:rsidRPr="001F1ED7">
        <w:rPr>
          <w:lang w:val="en-GB"/>
        </w:rPr>
        <w:t xml:space="preserve">). </w:t>
      </w:r>
      <w:bookmarkEnd w:id="5"/>
      <w:r w:rsidRPr="001F1ED7">
        <w:rPr>
          <w:lang w:val="en-GB"/>
        </w:rPr>
        <w:t>The formulation maintained its organoleptic properties, displaying a pearlescent</w:t>
      </w:r>
      <w:r w:rsidR="00A70BC0">
        <w:rPr>
          <w:lang w:val="en-GB"/>
        </w:rPr>
        <w:t xml:space="preserve">, translucent appearance, a pleasant </w:t>
      </w:r>
      <w:proofErr w:type="spellStart"/>
      <w:r w:rsidR="00A70BC0">
        <w:rPr>
          <w:lang w:val="en-GB"/>
        </w:rPr>
        <w:t>odor</w:t>
      </w:r>
      <w:proofErr w:type="spellEnd"/>
      <w:r w:rsidR="00A70BC0">
        <w:rPr>
          <w:lang w:val="en-GB"/>
        </w:rPr>
        <w:t>, and a fluid,</w:t>
      </w:r>
      <w:r w:rsidRPr="001F1ED7">
        <w:rPr>
          <w:lang w:val="en-GB"/>
        </w:rPr>
        <w:t xml:space="preserve"> homogeneous consistency</w:t>
      </w:r>
      <w:r w:rsidR="00A70BC0">
        <w:rPr>
          <w:lang w:val="en-GB"/>
        </w:rPr>
        <w:t xml:space="preserve"> (Figure 2)</w:t>
      </w:r>
      <w:r w:rsidRPr="001F1ED7">
        <w:rPr>
          <w:lang w:val="en-GB"/>
        </w:rPr>
        <w:t>.</w:t>
      </w:r>
      <w:r w:rsidR="00D544D5" w:rsidRPr="001F1ED7">
        <w:rPr>
          <w:lang w:val="en-GB"/>
        </w:rPr>
        <w:t xml:space="preserve"> </w:t>
      </w:r>
      <w:r w:rsidR="004A2E4B" w:rsidRPr="001F1ED7">
        <w:rPr>
          <w:lang w:val="en-GB"/>
        </w:rPr>
        <w:t xml:space="preserve">In addition, the absence of toxicity is </w:t>
      </w:r>
      <w:r w:rsidR="00980872" w:rsidRPr="001F1ED7">
        <w:rPr>
          <w:lang w:val="en-GB"/>
        </w:rPr>
        <w:t>fundamental to</w:t>
      </w:r>
      <w:r w:rsidR="004A2E4B" w:rsidRPr="001F1ED7">
        <w:rPr>
          <w:lang w:val="en-GB"/>
        </w:rPr>
        <w:t xml:space="preserve"> the application of an environmentally friendly product (Almeida et al., 2019). Accordingly, the toxicity assessment of the biosurfactant gel was carried out using the microcrustacean </w:t>
      </w:r>
      <w:r w:rsidR="004A2E4B" w:rsidRPr="001F1ED7">
        <w:rPr>
          <w:i/>
          <w:iCs/>
          <w:lang w:val="en-GB"/>
        </w:rPr>
        <w:t xml:space="preserve">Artemia </w:t>
      </w:r>
      <w:r w:rsidR="004A2E4B" w:rsidRPr="001F1ED7">
        <w:rPr>
          <w:i/>
          <w:iCs/>
          <w:lang w:val="en-GB"/>
        </w:rPr>
        <w:lastRenderedPageBreak/>
        <w:t>salina</w:t>
      </w:r>
      <w:r w:rsidR="004A2E4B" w:rsidRPr="001F1ED7">
        <w:rPr>
          <w:lang w:val="en-GB"/>
        </w:rPr>
        <w:t xml:space="preserve"> at concentrations of</w:t>
      </w:r>
      <w:r w:rsidR="00586087" w:rsidRPr="001F1ED7">
        <w:rPr>
          <w:lang w:val="en-GB"/>
        </w:rPr>
        <w:t xml:space="preserve"> 1</w:t>
      </w:r>
      <w:r w:rsidR="004A2E4B" w:rsidRPr="001F1ED7">
        <w:rPr>
          <w:lang w:val="en-GB"/>
        </w:rPr>
        <w:t>:1</w:t>
      </w:r>
      <w:r w:rsidR="008473A1">
        <w:rPr>
          <w:lang w:val="en-GB"/>
        </w:rPr>
        <w:t xml:space="preserve"> (v/v)</w:t>
      </w:r>
      <w:r w:rsidR="004A2E4B" w:rsidRPr="001F1ED7">
        <w:rPr>
          <w:lang w:val="en-GB"/>
        </w:rPr>
        <w:t>, 1:2</w:t>
      </w:r>
      <w:r w:rsidR="008473A1">
        <w:rPr>
          <w:lang w:val="en-GB"/>
        </w:rPr>
        <w:t xml:space="preserve"> (v/v)</w:t>
      </w:r>
      <w:r w:rsidR="00A70BC0">
        <w:rPr>
          <w:lang w:val="en-GB"/>
        </w:rPr>
        <w:t>,</w:t>
      </w:r>
      <w:r w:rsidR="00586087" w:rsidRPr="001F1ED7">
        <w:rPr>
          <w:lang w:val="en-GB"/>
        </w:rPr>
        <w:t xml:space="preserve"> </w:t>
      </w:r>
      <w:r w:rsidR="004A2E4B" w:rsidRPr="001F1ED7">
        <w:rPr>
          <w:lang w:val="en-GB"/>
        </w:rPr>
        <w:t>and undiluted (pure). The formulation showed satisfactory results, as mortality rates between 10 and 20</w:t>
      </w:r>
      <w:r w:rsidR="007C2AC3" w:rsidRPr="001F1ED7">
        <w:rPr>
          <w:lang w:val="en-GB"/>
        </w:rPr>
        <w:t xml:space="preserve"> </w:t>
      </w:r>
      <w:r w:rsidR="004A2E4B" w:rsidRPr="001F1ED7">
        <w:rPr>
          <w:lang w:val="en-GB"/>
        </w:rPr>
        <w:t>%</w:t>
      </w:r>
      <w:r w:rsidR="009B5569" w:rsidRPr="001F1ED7">
        <w:rPr>
          <w:lang w:val="en-GB"/>
        </w:rPr>
        <w:t xml:space="preserve"> (w/v)</w:t>
      </w:r>
      <w:r w:rsidR="001D7D9C" w:rsidRPr="001F1ED7">
        <w:rPr>
          <w:lang w:val="en-GB"/>
        </w:rPr>
        <w:t xml:space="preserve"> </w:t>
      </w:r>
      <w:r w:rsidR="004A2E4B" w:rsidRPr="001F1ED7">
        <w:rPr>
          <w:lang w:val="en-GB"/>
        </w:rPr>
        <w:t xml:space="preserve">were observed across all tested concentrations (Table </w:t>
      </w:r>
      <w:r w:rsidR="00671204">
        <w:rPr>
          <w:lang w:val="en-GB"/>
        </w:rPr>
        <w:t>1</w:t>
      </w:r>
      <w:r w:rsidR="004A2E4B" w:rsidRPr="001F1ED7">
        <w:rPr>
          <w:lang w:val="en-GB"/>
        </w:rPr>
        <w:t>).</w:t>
      </w:r>
    </w:p>
    <w:p w14:paraId="03EAA3CC" w14:textId="77777777" w:rsidR="008473A1" w:rsidRDefault="008473A1" w:rsidP="00B10FD5">
      <w:pPr>
        <w:pStyle w:val="CETBodytext"/>
        <w:jc w:val="center"/>
        <w:rPr>
          <w:lang w:val="en-GB"/>
        </w:rPr>
      </w:pPr>
    </w:p>
    <w:p w14:paraId="372C3324" w14:textId="77777777" w:rsidR="00A70BC0" w:rsidRPr="001F1ED7" w:rsidRDefault="00A70BC0" w:rsidP="00B10FD5">
      <w:pPr>
        <w:pStyle w:val="CETBodytext"/>
        <w:jc w:val="center"/>
        <w:rPr>
          <w:lang w:val="en-GB"/>
        </w:rPr>
      </w:pPr>
    </w:p>
    <w:p w14:paraId="321A9430" w14:textId="1056353A" w:rsidR="00086493" w:rsidRPr="001F1ED7" w:rsidRDefault="00B10FD5" w:rsidP="00B10FD5">
      <w:pPr>
        <w:pStyle w:val="CETBodytext"/>
        <w:jc w:val="center"/>
        <w:rPr>
          <w:lang w:val="en-GB"/>
        </w:rPr>
      </w:pPr>
      <w:r w:rsidRPr="001F1ED7">
        <w:rPr>
          <w:noProof/>
          <w:lang w:val="en-GB"/>
        </w:rPr>
        <mc:AlternateContent>
          <mc:Choice Requires="wps">
            <w:drawing>
              <wp:anchor distT="0" distB="0" distL="114300" distR="114300" simplePos="0" relativeHeight="251663360" behindDoc="0" locked="0" layoutInCell="1" allowOverlap="1" wp14:anchorId="0F7318E2" wp14:editId="6E64E66B">
                <wp:simplePos x="0" y="0"/>
                <wp:positionH relativeFrom="column">
                  <wp:posOffset>3101975</wp:posOffset>
                </wp:positionH>
                <wp:positionV relativeFrom="paragraph">
                  <wp:posOffset>1132840</wp:posOffset>
                </wp:positionV>
                <wp:extent cx="260985" cy="213171"/>
                <wp:effectExtent l="0" t="0" r="0" b="0"/>
                <wp:wrapNone/>
                <wp:docPr id="660726454" name="Caixa de Texto 5"/>
                <wp:cNvGraphicFramePr/>
                <a:graphic xmlns:a="http://schemas.openxmlformats.org/drawingml/2006/main">
                  <a:graphicData uri="http://schemas.microsoft.com/office/word/2010/wordprocessingShape">
                    <wps:wsp>
                      <wps:cNvSpPr txBox="1"/>
                      <wps:spPr>
                        <a:xfrm>
                          <a:off x="0" y="0"/>
                          <a:ext cx="260985" cy="213171"/>
                        </a:xfrm>
                        <a:prstGeom prst="rect">
                          <a:avLst/>
                        </a:prstGeom>
                        <a:noFill/>
                        <a:ln w="6350">
                          <a:noFill/>
                        </a:ln>
                      </wps:spPr>
                      <wps:txbx>
                        <w:txbxContent>
                          <w:p w14:paraId="04B6BDB7" w14:textId="5817F4B0" w:rsidR="00A22078" w:rsidRPr="00EF76CF" w:rsidRDefault="00A22078" w:rsidP="00A22078">
                            <w:pPr>
                              <w:rPr>
                                <w:color w:val="FFFFFF" w:themeColor="background1"/>
                                <w:lang w:val="pt-BR"/>
                              </w:rPr>
                            </w:pPr>
                            <w:r w:rsidRPr="00EF76CF">
                              <w:rPr>
                                <w:color w:val="FFFFFF" w:themeColor="background1"/>
                                <w:lang w:val="pt-B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7318E2" id="_x0000_t202" coordsize="21600,21600" o:spt="202" path="m,l,21600r21600,l21600,xe">
                <v:stroke joinstyle="miter"/>
                <v:path gradientshapeok="t" o:connecttype="rect"/>
              </v:shapetype>
              <v:shape id="Caixa de Texto 5" o:spid="_x0000_s1026" type="#_x0000_t202" style="position:absolute;left:0;text-align:left;margin-left:244.25pt;margin-top:89.2pt;width:20.55pt;height:16.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0EFwIAACs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" filled="f" stroked="f" strokeweight=".5pt">
                <v:textbox>
                  <w:txbxContent>
                    <w:p w14:paraId="04B6BDB7" w14:textId="5817F4B0" w:rsidR="00A22078" w:rsidRPr="00EF76CF" w:rsidRDefault="00A22078" w:rsidP="00A22078">
                      <w:pPr>
                        <w:rPr>
                          <w:color w:val="FFFFFF" w:themeColor="background1"/>
                          <w:lang w:val="pt-BR"/>
                        </w:rPr>
                      </w:pPr>
                      <w:r w:rsidRPr="00EF76CF">
                        <w:rPr>
                          <w:color w:val="FFFFFF" w:themeColor="background1"/>
                          <w:lang w:val="pt-BR"/>
                        </w:rPr>
                        <w:t>B</w:t>
                      </w:r>
                    </w:p>
                  </w:txbxContent>
                </v:textbox>
              </v:shape>
            </w:pict>
          </mc:Fallback>
        </mc:AlternateContent>
      </w:r>
      <w:r w:rsidRPr="001F1ED7">
        <w:rPr>
          <w:noProof/>
          <w:lang w:val="en-GB"/>
        </w:rPr>
        <mc:AlternateContent>
          <mc:Choice Requires="wps">
            <w:drawing>
              <wp:anchor distT="0" distB="0" distL="114300" distR="114300" simplePos="0" relativeHeight="251661312" behindDoc="0" locked="0" layoutInCell="1" allowOverlap="1" wp14:anchorId="56DB5A41" wp14:editId="381B8BE6">
                <wp:simplePos x="0" y="0"/>
                <wp:positionH relativeFrom="column">
                  <wp:posOffset>2200910</wp:posOffset>
                </wp:positionH>
                <wp:positionV relativeFrom="paragraph">
                  <wp:posOffset>198755</wp:posOffset>
                </wp:positionV>
                <wp:extent cx="261258" cy="213756"/>
                <wp:effectExtent l="0" t="0" r="0" b="0"/>
                <wp:wrapNone/>
                <wp:docPr id="35985979" name="Caixa de Texto 5"/>
                <wp:cNvGraphicFramePr/>
                <a:graphic xmlns:a="http://schemas.openxmlformats.org/drawingml/2006/main">
                  <a:graphicData uri="http://schemas.microsoft.com/office/word/2010/wordprocessingShape">
                    <wps:wsp>
                      <wps:cNvSpPr txBox="1"/>
                      <wps:spPr>
                        <a:xfrm>
                          <a:off x="0" y="0"/>
                          <a:ext cx="261258" cy="213756"/>
                        </a:xfrm>
                        <a:prstGeom prst="rect">
                          <a:avLst/>
                        </a:prstGeom>
                        <a:noFill/>
                        <a:ln w="6350">
                          <a:noFill/>
                        </a:ln>
                      </wps:spPr>
                      <wps:txbx>
                        <w:txbxContent>
                          <w:p w14:paraId="1E1EE1E7" w14:textId="31E6E08D" w:rsidR="00A22078" w:rsidRPr="00EF76CF" w:rsidRDefault="00A22078" w:rsidP="00A22078">
                            <w:pPr>
                              <w:rPr>
                                <w:color w:val="FFFFFF" w:themeColor="background1"/>
                                <w:lang w:val="pt-BR"/>
                              </w:rPr>
                            </w:pPr>
                            <w:r w:rsidRPr="00EF76CF">
                              <w:rPr>
                                <w:color w:val="FFFFFF" w:themeColor="background1"/>
                                <w:lang w:val="pt-B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DB5A41" id="_x0000_s1027" type="#_x0000_t202" style="position:absolute;left:0;text-align:left;margin-left:173.3pt;margin-top:15.65pt;width:20.55pt;height:16.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" filled="f" stroked="f" strokeweight=".5pt">
                <v:textbox>
                  <w:txbxContent>
                    <w:p w14:paraId="1E1EE1E7" w14:textId="31E6E08D" w:rsidR="00A22078" w:rsidRPr="00EF76CF" w:rsidRDefault="00A22078" w:rsidP="00A22078">
                      <w:pPr>
                        <w:rPr>
                          <w:color w:val="FFFFFF" w:themeColor="background1"/>
                          <w:lang w:val="pt-BR"/>
                        </w:rPr>
                      </w:pPr>
                      <w:r w:rsidRPr="00EF76CF">
                        <w:rPr>
                          <w:color w:val="FFFFFF" w:themeColor="background1"/>
                          <w:lang w:val="pt-BR"/>
                        </w:rPr>
                        <w:t>C</w:t>
                      </w:r>
                    </w:p>
                  </w:txbxContent>
                </v:textbox>
              </v:shape>
            </w:pict>
          </mc:Fallback>
        </mc:AlternateContent>
      </w:r>
      <w:r w:rsidRPr="001F1ED7">
        <w:rPr>
          <w:noProof/>
          <w:lang w:val="en-GB"/>
        </w:rPr>
        <mc:AlternateContent>
          <mc:Choice Requires="wps">
            <w:drawing>
              <wp:anchor distT="0" distB="0" distL="114300" distR="114300" simplePos="0" relativeHeight="251659264" behindDoc="0" locked="0" layoutInCell="1" allowOverlap="1" wp14:anchorId="5C6A85F1" wp14:editId="7D6893C5">
                <wp:simplePos x="0" y="0"/>
                <wp:positionH relativeFrom="column">
                  <wp:posOffset>3415030</wp:posOffset>
                </wp:positionH>
                <wp:positionV relativeFrom="paragraph">
                  <wp:posOffset>210185</wp:posOffset>
                </wp:positionV>
                <wp:extent cx="261258" cy="201880"/>
                <wp:effectExtent l="0" t="0" r="0" b="0"/>
                <wp:wrapNone/>
                <wp:docPr id="686707020" name="Caixa de Texto 5"/>
                <wp:cNvGraphicFramePr/>
                <a:graphic xmlns:a="http://schemas.openxmlformats.org/drawingml/2006/main">
                  <a:graphicData uri="http://schemas.microsoft.com/office/word/2010/wordprocessingShape">
                    <wps:wsp>
                      <wps:cNvSpPr txBox="1"/>
                      <wps:spPr>
                        <a:xfrm>
                          <a:off x="0" y="0"/>
                          <a:ext cx="261258" cy="201880"/>
                        </a:xfrm>
                        <a:prstGeom prst="rect">
                          <a:avLst/>
                        </a:prstGeom>
                        <a:noFill/>
                        <a:ln w="6350">
                          <a:noFill/>
                        </a:ln>
                      </wps:spPr>
                      <wps:txbx>
                        <w:txbxContent>
                          <w:p w14:paraId="2FB09282" w14:textId="5AE2C855" w:rsidR="00A22078" w:rsidRPr="00EF76CF" w:rsidRDefault="00A22078">
                            <w:pPr>
                              <w:rPr>
                                <w:color w:val="FFFFFF" w:themeColor="background1"/>
                                <w:lang w:val="pt-BR"/>
                              </w:rPr>
                            </w:pPr>
                            <w:r w:rsidRPr="00EF76CF">
                              <w:rPr>
                                <w:color w:val="FFFFFF" w:themeColor="background1"/>
                                <w:lang w:val="pt-B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A85F1" id="_x0000_s1028" type="#_x0000_t202" style="position:absolute;left:0;text-align:left;margin-left:268.9pt;margin-top:16.55pt;width:20.55pt;height:15.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LVGgIAADI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" filled="f" stroked="f" strokeweight=".5pt">
                <v:textbox>
                  <w:txbxContent>
                    <w:p w14:paraId="2FB09282" w14:textId="5AE2C855" w:rsidR="00A22078" w:rsidRPr="00EF76CF" w:rsidRDefault="00A22078">
                      <w:pPr>
                        <w:rPr>
                          <w:color w:val="FFFFFF" w:themeColor="background1"/>
                          <w:lang w:val="pt-BR"/>
                        </w:rPr>
                      </w:pPr>
                      <w:r w:rsidRPr="00EF76CF">
                        <w:rPr>
                          <w:color w:val="FFFFFF" w:themeColor="background1"/>
                          <w:lang w:val="pt-BR"/>
                        </w:rPr>
                        <w:t>A</w:t>
                      </w:r>
                    </w:p>
                  </w:txbxContent>
                </v:textbox>
              </v:shape>
            </w:pict>
          </mc:Fallback>
        </mc:AlternateContent>
      </w:r>
      <w:r w:rsidR="00EF76CF" w:rsidRPr="001F1ED7">
        <w:rPr>
          <w:noProof/>
          <w:lang w:val="en-GB"/>
        </w:rPr>
        <w:drawing>
          <wp:inline distT="0" distB="0" distL="0" distR="0" wp14:anchorId="73F08C87" wp14:editId="0DDB4E06">
            <wp:extent cx="1640265" cy="2045215"/>
            <wp:effectExtent l="7303" t="0" r="5397" b="5398"/>
            <wp:docPr id="49652319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23196" name="Imagem 496523196"/>
                    <pic:cNvPicPr/>
                  </pic:nvPicPr>
                  <pic:blipFill rotWithShape="1">
                    <a:blip r:embed="rId11"/>
                    <a:srcRect l="8441" r="11317"/>
                    <a:stretch>
                      <a:fillRect/>
                    </a:stretch>
                  </pic:blipFill>
                  <pic:spPr bwMode="auto">
                    <a:xfrm rot="5400000">
                      <a:off x="0" y="0"/>
                      <a:ext cx="1687951" cy="2104674"/>
                    </a:xfrm>
                    <a:prstGeom prst="rect">
                      <a:avLst/>
                    </a:prstGeom>
                    <a:ln>
                      <a:noFill/>
                    </a:ln>
                    <a:extLst>
                      <a:ext uri="{53640926-AAD7-44D8-BBD7-CCE9431645EC}">
                        <a14:shadowObscured xmlns:a14="http://schemas.microsoft.com/office/drawing/2010/main"/>
                      </a:ext>
                    </a:extLst>
                  </pic:spPr>
                </pic:pic>
              </a:graphicData>
            </a:graphic>
          </wp:inline>
        </w:drawing>
      </w:r>
    </w:p>
    <w:p w14:paraId="177B3295" w14:textId="77777777" w:rsidR="00086493" w:rsidRPr="001F1ED7" w:rsidRDefault="00086493" w:rsidP="00086493">
      <w:pPr>
        <w:pStyle w:val="CETBodytext"/>
        <w:rPr>
          <w:lang w:val="en-GB"/>
        </w:rPr>
      </w:pPr>
    </w:p>
    <w:p w14:paraId="4B325ED6" w14:textId="0D6B035D" w:rsidR="00086493" w:rsidRPr="001F1ED7" w:rsidRDefault="00086493" w:rsidP="00086493">
      <w:pPr>
        <w:pStyle w:val="CETBodytext"/>
        <w:rPr>
          <w:i/>
          <w:iCs/>
          <w:lang w:val="en-GB"/>
        </w:rPr>
      </w:pPr>
      <w:r w:rsidRPr="001F1ED7">
        <w:rPr>
          <w:i/>
          <w:iCs/>
          <w:lang w:val="en-GB"/>
        </w:rPr>
        <w:t xml:space="preserve">Figure </w:t>
      </w:r>
      <w:r w:rsidR="00543D64" w:rsidRPr="001F1ED7">
        <w:rPr>
          <w:i/>
          <w:iCs/>
          <w:lang w:val="en-GB"/>
        </w:rPr>
        <w:t>2</w:t>
      </w:r>
      <w:r w:rsidRPr="001F1ED7">
        <w:rPr>
          <w:i/>
          <w:iCs/>
          <w:lang w:val="en-GB"/>
        </w:rPr>
        <w:t xml:space="preserve">: </w:t>
      </w:r>
      <w:r w:rsidR="006D7F50" w:rsidRPr="001F1ED7">
        <w:rPr>
          <w:i/>
          <w:iCs/>
          <w:lang w:val="en-GB"/>
        </w:rPr>
        <w:t>Illustration of the biosurfactant gel formulation (A)</w:t>
      </w:r>
      <w:r w:rsidR="00980872" w:rsidRPr="001F1ED7">
        <w:rPr>
          <w:i/>
          <w:iCs/>
          <w:lang w:val="en-GB"/>
        </w:rPr>
        <w:t>; Illustration</w:t>
      </w:r>
      <w:r w:rsidR="006D7F50" w:rsidRPr="001F1ED7">
        <w:rPr>
          <w:i/>
          <w:iCs/>
          <w:lang w:val="en-GB"/>
        </w:rPr>
        <w:t xml:space="preserve"> </w:t>
      </w:r>
      <w:r w:rsidR="00980872" w:rsidRPr="001F1ED7">
        <w:rPr>
          <w:i/>
          <w:iCs/>
          <w:lang w:val="en-GB"/>
        </w:rPr>
        <w:t>of</w:t>
      </w:r>
      <w:r w:rsidR="006D7F50" w:rsidRPr="001F1ED7">
        <w:rPr>
          <w:i/>
          <w:iCs/>
          <w:lang w:val="en-GB"/>
        </w:rPr>
        <w:t xml:space="preserve"> the isolated biosurfactant 5.0%</w:t>
      </w:r>
      <w:r w:rsidR="009B5569" w:rsidRPr="001F1ED7">
        <w:rPr>
          <w:i/>
          <w:iCs/>
          <w:lang w:val="en-GB"/>
        </w:rPr>
        <w:t xml:space="preserve"> (w/v)</w:t>
      </w:r>
      <w:r w:rsidR="00980872" w:rsidRPr="001F1ED7">
        <w:rPr>
          <w:i/>
          <w:iCs/>
          <w:lang w:val="en-GB"/>
        </w:rPr>
        <w:t xml:space="preserve"> plus</w:t>
      </w:r>
      <w:r w:rsidR="006D7F50" w:rsidRPr="001F1ED7">
        <w:rPr>
          <w:i/>
          <w:iCs/>
          <w:lang w:val="en-GB"/>
        </w:rPr>
        <w:t xml:space="preserve"> </w:t>
      </w:r>
      <w:r w:rsidR="009B5569" w:rsidRPr="001F1ED7">
        <w:rPr>
          <w:i/>
          <w:iCs/>
        </w:rPr>
        <w:t>glycerin</w:t>
      </w:r>
      <w:r w:rsidR="006D7F50" w:rsidRPr="001F1ED7">
        <w:rPr>
          <w:i/>
          <w:iCs/>
          <w:lang w:val="en-GB"/>
        </w:rPr>
        <w:t xml:space="preserve"> 1.0%</w:t>
      </w:r>
      <w:r w:rsidR="009B5569" w:rsidRPr="001F1ED7">
        <w:rPr>
          <w:i/>
          <w:iCs/>
          <w:lang w:val="en-GB"/>
        </w:rPr>
        <w:t xml:space="preserve"> (w/v)</w:t>
      </w:r>
      <w:r w:rsidR="006D7F50" w:rsidRPr="001F1ED7">
        <w:rPr>
          <w:i/>
          <w:iCs/>
          <w:lang w:val="en-GB"/>
        </w:rPr>
        <w:t xml:space="preserve"> </w:t>
      </w:r>
      <w:r w:rsidR="004800B5" w:rsidRPr="001F1ED7">
        <w:rPr>
          <w:i/>
          <w:iCs/>
          <w:lang w:val="en-GB"/>
        </w:rPr>
        <w:t>and</w:t>
      </w:r>
      <w:r w:rsidR="006D7F50" w:rsidRPr="001F1ED7">
        <w:rPr>
          <w:i/>
          <w:iCs/>
          <w:lang w:val="en-GB"/>
        </w:rPr>
        <w:t xml:space="preserve"> triethanolamine 0.2%</w:t>
      </w:r>
      <w:r w:rsidR="009B5569" w:rsidRPr="001F1ED7">
        <w:rPr>
          <w:i/>
          <w:iCs/>
          <w:lang w:val="en-GB"/>
        </w:rPr>
        <w:t xml:space="preserve"> (w/v)</w:t>
      </w:r>
      <w:r w:rsidR="006D7F50" w:rsidRPr="001F1ED7">
        <w:rPr>
          <w:i/>
          <w:iCs/>
          <w:lang w:val="en-GB"/>
        </w:rPr>
        <w:t xml:space="preserve"> (B)</w:t>
      </w:r>
      <w:r w:rsidR="00A4718D" w:rsidRPr="001F1ED7">
        <w:rPr>
          <w:i/>
          <w:iCs/>
          <w:lang w:val="en-GB"/>
        </w:rPr>
        <w:t>; G</w:t>
      </w:r>
      <w:r w:rsidR="006D7F50" w:rsidRPr="001F1ED7">
        <w:rPr>
          <w:i/>
          <w:iCs/>
          <w:lang w:val="en-GB"/>
        </w:rPr>
        <w:t>el base</w:t>
      </w:r>
      <w:r w:rsidR="00A4718D" w:rsidRPr="001F1ED7">
        <w:rPr>
          <w:i/>
          <w:iCs/>
          <w:lang w:val="en-GB"/>
        </w:rPr>
        <w:t xml:space="preserve"> of</w:t>
      </w:r>
      <w:r w:rsidR="006D7F50" w:rsidRPr="001F1ED7">
        <w:rPr>
          <w:i/>
          <w:iCs/>
          <w:lang w:val="en-GB"/>
        </w:rPr>
        <w:t xml:space="preserve"> sodium alginate 0.6%</w:t>
      </w:r>
      <w:r w:rsidR="009B5569" w:rsidRPr="001F1ED7">
        <w:rPr>
          <w:i/>
          <w:iCs/>
          <w:lang w:val="en-GB"/>
        </w:rPr>
        <w:t xml:space="preserve"> (w/v)</w:t>
      </w:r>
      <w:r w:rsidR="006D7F50" w:rsidRPr="001F1ED7">
        <w:rPr>
          <w:i/>
          <w:iCs/>
          <w:lang w:val="en-GB"/>
        </w:rPr>
        <w:t xml:space="preserve"> (C).</w:t>
      </w:r>
    </w:p>
    <w:p w14:paraId="0834DDD1" w14:textId="7B386E8D" w:rsidR="004A2E4B" w:rsidRPr="001F1ED7" w:rsidRDefault="004A2E4B" w:rsidP="004A2E4B">
      <w:pPr>
        <w:pStyle w:val="CETTabletitle"/>
      </w:pPr>
      <w:r w:rsidRPr="001F1ED7">
        <w:t>Table 1:</w:t>
      </w:r>
      <w:r w:rsidR="00151E73" w:rsidRPr="001F1ED7">
        <w:t xml:space="preserve"> </w:t>
      </w:r>
      <w:r w:rsidR="00662B38" w:rsidRPr="001F1ED7">
        <w:t xml:space="preserve">Toxicity tests using Artemia salina </w:t>
      </w:r>
      <w:bookmarkStart w:id="6" w:name="_Hlk217671633"/>
      <w:r w:rsidR="00151E73" w:rsidRPr="001F1ED7">
        <w:t xml:space="preserve">in </w:t>
      </w:r>
      <w:r w:rsidR="00662B38" w:rsidRPr="001F1ED7">
        <w:t xml:space="preserve">different concentrations of </w:t>
      </w:r>
      <w:r w:rsidR="004800B5" w:rsidRPr="001F1ED7">
        <w:t>biosurfactant</w:t>
      </w:r>
      <w:r w:rsidR="00662B38" w:rsidRPr="001F1ED7">
        <w:t xml:space="preserve"> </w:t>
      </w:r>
      <w:r w:rsidR="00151E73" w:rsidRPr="001F1ED7">
        <w:t xml:space="preserve">gel </w:t>
      </w:r>
      <w:r w:rsidR="00662B38" w:rsidRPr="001F1ED7">
        <w:t>produced</w:t>
      </w:r>
      <w:r w:rsidR="007F145A" w:rsidRPr="001F1ED7">
        <w:t>.</w:t>
      </w:r>
      <w:r w:rsidR="00662B38" w:rsidRPr="001F1ED7">
        <w:t xml:space="preserve"> </w:t>
      </w:r>
      <w:bookmarkEnd w:id="6"/>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945"/>
        <w:gridCol w:w="1955"/>
        <w:gridCol w:w="1199"/>
        <w:gridCol w:w="1980"/>
        <w:gridCol w:w="37"/>
      </w:tblGrid>
      <w:tr w:rsidR="004A2E4B" w:rsidRPr="001F1ED7" w14:paraId="2E1A8F67" w14:textId="77777777" w:rsidTr="00543D64">
        <w:trPr>
          <w:trHeight w:val="293"/>
        </w:trPr>
        <w:tc>
          <w:tcPr>
            <w:tcW w:w="2945" w:type="dxa"/>
            <w:tcBorders>
              <w:top w:val="single" w:sz="12" w:space="0" w:color="008000"/>
              <w:bottom w:val="single" w:sz="6" w:space="0" w:color="008000"/>
            </w:tcBorders>
            <w:shd w:val="clear" w:color="auto" w:fill="FFFFFF"/>
          </w:tcPr>
          <w:p w14:paraId="5C762528" w14:textId="241E406B" w:rsidR="004A2E4B" w:rsidRPr="001F1ED7" w:rsidRDefault="00662B38" w:rsidP="00662B38">
            <w:pPr>
              <w:pStyle w:val="CETBodytext"/>
              <w:jc w:val="center"/>
              <w:rPr>
                <w:lang w:val="en-GB"/>
              </w:rPr>
            </w:pPr>
            <w:r w:rsidRPr="001F1ED7">
              <w:rPr>
                <w:lang w:val="en-GB"/>
              </w:rPr>
              <w:t>Marine Organism</w:t>
            </w:r>
          </w:p>
        </w:tc>
        <w:tc>
          <w:tcPr>
            <w:tcW w:w="5134" w:type="dxa"/>
            <w:gridSpan w:val="3"/>
            <w:tcBorders>
              <w:top w:val="single" w:sz="12" w:space="0" w:color="008000"/>
              <w:bottom w:val="single" w:sz="6" w:space="0" w:color="008000"/>
            </w:tcBorders>
            <w:shd w:val="clear" w:color="auto" w:fill="FFFFFF"/>
          </w:tcPr>
          <w:p w14:paraId="1C4BB7A5" w14:textId="5B2B4139" w:rsidR="004A2E4B" w:rsidRPr="001F1ED7" w:rsidRDefault="00662B38" w:rsidP="00662B38">
            <w:pPr>
              <w:pStyle w:val="CETBodytext"/>
              <w:ind w:right="-1"/>
              <w:jc w:val="center"/>
              <w:rPr>
                <w:rFonts w:cs="Arial"/>
                <w:szCs w:val="18"/>
                <w:lang w:val="en-GB"/>
              </w:rPr>
            </w:pPr>
            <w:r w:rsidRPr="001F1ED7">
              <w:rPr>
                <w:rFonts w:cs="Arial"/>
                <w:szCs w:val="18"/>
                <w:lang w:val="en-GB"/>
              </w:rPr>
              <w:t>B</w:t>
            </w:r>
            <w:r w:rsidR="004A2E4B" w:rsidRPr="001F1ED7">
              <w:rPr>
                <w:rFonts w:cs="Arial"/>
                <w:szCs w:val="18"/>
                <w:lang w:val="en-GB"/>
              </w:rPr>
              <w:t xml:space="preserve">iosurfactant </w:t>
            </w:r>
            <w:r w:rsidRPr="001F1ED7">
              <w:rPr>
                <w:rFonts w:cs="Arial"/>
                <w:szCs w:val="18"/>
                <w:lang w:val="en-GB"/>
              </w:rPr>
              <w:t>G</w:t>
            </w:r>
            <w:r w:rsidR="004A2E4B" w:rsidRPr="001F1ED7">
              <w:rPr>
                <w:rFonts w:cs="Arial"/>
                <w:szCs w:val="18"/>
                <w:lang w:val="en-GB"/>
              </w:rPr>
              <w:t>el Concentration</w:t>
            </w:r>
          </w:p>
        </w:tc>
        <w:tc>
          <w:tcPr>
            <w:tcW w:w="37" w:type="dxa"/>
            <w:tcBorders>
              <w:top w:val="single" w:sz="12" w:space="0" w:color="008000"/>
              <w:bottom w:val="single" w:sz="6" w:space="0" w:color="008000"/>
            </w:tcBorders>
            <w:shd w:val="clear" w:color="auto" w:fill="FFFFFF"/>
          </w:tcPr>
          <w:p w14:paraId="1FD0F382" w14:textId="77777777" w:rsidR="004A2E4B" w:rsidRPr="001F1ED7" w:rsidRDefault="004A2E4B" w:rsidP="00F7456A">
            <w:pPr>
              <w:pStyle w:val="CETBodytext"/>
              <w:ind w:right="-1"/>
              <w:rPr>
                <w:rFonts w:cs="Arial"/>
                <w:szCs w:val="18"/>
                <w:lang w:val="en-GB"/>
              </w:rPr>
            </w:pPr>
          </w:p>
        </w:tc>
      </w:tr>
      <w:tr w:rsidR="004A2E4B" w:rsidRPr="001F1ED7" w14:paraId="6D309EB2" w14:textId="77777777" w:rsidTr="00543D64">
        <w:trPr>
          <w:trHeight w:val="243"/>
        </w:trPr>
        <w:tc>
          <w:tcPr>
            <w:tcW w:w="2945" w:type="dxa"/>
            <w:tcBorders>
              <w:top w:val="single" w:sz="12" w:space="0" w:color="008000"/>
              <w:bottom w:val="single" w:sz="6" w:space="0" w:color="008000"/>
            </w:tcBorders>
            <w:shd w:val="clear" w:color="auto" w:fill="FFFFFF"/>
          </w:tcPr>
          <w:p w14:paraId="10AC2AF4" w14:textId="77777777" w:rsidR="004A2E4B" w:rsidRPr="001F1ED7" w:rsidRDefault="004A2E4B" w:rsidP="00662B38">
            <w:pPr>
              <w:pStyle w:val="CETBodytext"/>
              <w:jc w:val="center"/>
              <w:rPr>
                <w:lang w:val="en-GB"/>
              </w:rPr>
            </w:pPr>
          </w:p>
        </w:tc>
        <w:tc>
          <w:tcPr>
            <w:tcW w:w="1955" w:type="dxa"/>
            <w:tcBorders>
              <w:top w:val="single" w:sz="12" w:space="0" w:color="008000"/>
              <w:bottom w:val="single" w:sz="6" w:space="0" w:color="008000"/>
            </w:tcBorders>
            <w:shd w:val="clear" w:color="auto" w:fill="FFFFFF"/>
          </w:tcPr>
          <w:p w14:paraId="37F88EBC" w14:textId="54458349" w:rsidR="004A2E4B" w:rsidRPr="001F1ED7" w:rsidRDefault="004A2E4B" w:rsidP="00662B38">
            <w:pPr>
              <w:pStyle w:val="CETBodytext"/>
              <w:jc w:val="center"/>
              <w:rPr>
                <w:lang w:val="en-GB"/>
              </w:rPr>
            </w:pPr>
            <w:r w:rsidRPr="001F1ED7">
              <w:rPr>
                <w:lang w:val="en-GB"/>
              </w:rPr>
              <w:t>1:1</w:t>
            </w:r>
            <w:r w:rsidR="004800B5" w:rsidRPr="001F1ED7">
              <w:rPr>
                <w:lang w:val="en-GB"/>
              </w:rPr>
              <w:t xml:space="preserve"> (v/v)</w:t>
            </w:r>
          </w:p>
        </w:tc>
        <w:tc>
          <w:tcPr>
            <w:tcW w:w="1199" w:type="dxa"/>
            <w:tcBorders>
              <w:top w:val="single" w:sz="12" w:space="0" w:color="008000"/>
              <w:bottom w:val="single" w:sz="6" w:space="0" w:color="008000"/>
            </w:tcBorders>
            <w:shd w:val="clear" w:color="auto" w:fill="FFFFFF"/>
          </w:tcPr>
          <w:p w14:paraId="55888FB2" w14:textId="6601DDC1" w:rsidR="004A2E4B" w:rsidRPr="001F1ED7" w:rsidRDefault="00662B38" w:rsidP="00662B38">
            <w:pPr>
              <w:pStyle w:val="CETBodytext"/>
              <w:rPr>
                <w:lang w:val="en-GB"/>
              </w:rPr>
            </w:pPr>
            <w:r w:rsidRPr="001F1ED7">
              <w:rPr>
                <w:lang w:val="en-GB"/>
              </w:rPr>
              <w:t xml:space="preserve">     </w:t>
            </w:r>
            <w:r w:rsidR="004A2E4B" w:rsidRPr="001F1ED7">
              <w:rPr>
                <w:lang w:val="en-GB"/>
              </w:rPr>
              <w:t>1:2</w:t>
            </w:r>
            <w:r w:rsidR="004800B5" w:rsidRPr="001F1ED7">
              <w:rPr>
                <w:lang w:val="en-GB"/>
              </w:rPr>
              <w:t xml:space="preserve"> (v/v)</w:t>
            </w:r>
          </w:p>
        </w:tc>
        <w:tc>
          <w:tcPr>
            <w:tcW w:w="1979" w:type="dxa"/>
            <w:tcBorders>
              <w:top w:val="single" w:sz="12" w:space="0" w:color="008000"/>
              <w:bottom w:val="single" w:sz="6" w:space="0" w:color="008000"/>
            </w:tcBorders>
            <w:shd w:val="clear" w:color="auto" w:fill="FFFFFF"/>
          </w:tcPr>
          <w:p w14:paraId="72FD91DA" w14:textId="09B9EF67" w:rsidR="004A2E4B" w:rsidRPr="001F1ED7" w:rsidRDefault="00662B38" w:rsidP="00662B38">
            <w:pPr>
              <w:pStyle w:val="CETBodytext"/>
              <w:ind w:right="-1"/>
              <w:jc w:val="center"/>
              <w:rPr>
                <w:rFonts w:cs="Arial"/>
                <w:szCs w:val="18"/>
                <w:lang w:val="en-GB"/>
              </w:rPr>
            </w:pPr>
            <w:r w:rsidRPr="001F1ED7">
              <w:rPr>
                <w:lang w:val="en-GB"/>
              </w:rPr>
              <w:t xml:space="preserve">undiluted </w:t>
            </w:r>
          </w:p>
        </w:tc>
        <w:tc>
          <w:tcPr>
            <w:tcW w:w="37" w:type="dxa"/>
            <w:tcBorders>
              <w:top w:val="single" w:sz="12" w:space="0" w:color="008000"/>
              <w:bottom w:val="single" w:sz="6" w:space="0" w:color="008000"/>
            </w:tcBorders>
            <w:shd w:val="clear" w:color="auto" w:fill="FFFFFF"/>
          </w:tcPr>
          <w:p w14:paraId="04D15182" w14:textId="77777777" w:rsidR="004A2E4B" w:rsidRPr="001F1ED7" w:rsidRDefault="004A2E4B" w:rsidP="00F7456A">
            <w:pPr>
              <w:pStyle w:val="CETBodytext"/>
              <w:ind w:right="-1"/>
              <w:rPr>
                <w:rFonts w:cs="Arial"/>
                <w:szCs w:val="18"/>
                <w:lang w:val="en-GB"/>
              </w:rPr>
            </w:pPr>
          </w:p>
        </w:tc>
      </w:tr>
      <w:tr w:rsidR="00662B38" w:rsidRPr="001F1ED7" w14:paraId="2B5C3BCE" w14:textId="77777777" w:rsidTr="00543D64">
        <w:trPr>
          <w:trHeight w:val="280"/>
        </w:trPr>
        <w:tc>
          <w:tcPr>
            <w:tcW w:w="2945" w:type="dxa"/>
            <w:vMerge w:val="restart"/>
            <w:shd w:val="clear" w:color="auto" w:fill="FFFFFF"/>
          </w:tcPr>
          <w:p w14:paraId="72BDED25" w14:textId="77777777" w:rsidR="00662B38" w:rsidRPr="001F1ED7" w:rsidRDefault="00662B38" w:rsidP="00662B38">
            <w:pPr>
              <w:pStyle w:val="CETBodytext"/>
              <w:jc w:val="center"/>
              <w:rPr>
                <w:i/>
                <w:iCs/>
                <w:lang w:val="en-GB"/>
              </w:rPr>
            </w:pPr>
            <w:r w:rsidRPr="001F1ED7">
              <w:rPr>
                <w:i/>
                <w:iCs/>
                <w:lang w:val="en-GB"/>
              </w:rPr>
              <w:t>Artemia salina</w:t>
            </w:r>
          </w:p>
          <w:p w14:paraId="4BFC3FB4" w14:textId="34910867" w:rsidR="00662B38" w:rsidRPr="001F1ED7" w:rsidRDefault="00662B38" w:rsidP="00662B38">
            <w:pPr>
              <w:pStyle w:val="CETBodytext"/>
              <w:ind w:right="-1"/>
              <w:jc w:val="center"/>
              <w:rPr>
                <w:i/>
                <w:iCs/>
                <w:lang w:val="en-GB"/>
              </w:rPr>
            </w:pPr>
            <w:r w:rsidRPr="001F1ED7">
              <w:rPr>
                <w:rFonts w:cs="Arial"/>
                <w:szCs w:val="18"/>
                <w:lang w:val="en-GB"/>
              </w:rPr>
              <w:t>(amount of mortality %)</w:t>
            </w:r>
          </w:p>
        </w:tc>
        <w:tc>
          <w:tcPr>
            <w:tcW w:w="1955" w:type="dxa"/>
            <w:vMerge w:val="restart"/>
            <w:shd w:val="clear" w:color="auto" w:fill="FFFFFF"/>
          </w:tcPr>
          <w:p w14:paraId="4156672A" w14:textId="77777777" w:rsidR="00662B38" w:rsidRPr="001F1ED7" w:rsidRDefault="00662B38" w:rsidP="00662B38">
            <w:pPr>
              <w:pStyle w:val="CETBodytext"/>
              <w:jc w:val="center"/>
              <w:rPr>
                <w:lang w:val="en-GB"/>
              </w:rPr>
            </w:pPr>
          </w:p>
          <w:p w14:paraId="2724BBB4" w14:textId="43CF4482" w:rsidR="00662B38" w:rsidRPr="001F1ED7" w:rsidRDefault="00662B38" w:rsidP="00662B38">
            <w:pPr>
              <w:pStyle w:val="CETBodytext"/>
              <w:jc w:val="center"/>
              <w:rPr>
                <w:lang w:val="en-GB"/>
              </w:rPr>
            </w:pPr>
            <w:r w:rsidRPr="001F1ED7">
              <w:rPr>
                <w:lang w:val="en-GB"/>
              </w:rPr>
              <w:t xml:space="preserve">10 ± 0.2 </w:t>
            </w:r>
          </w:p>
        </w:tc>
        <w:tc>
          <w:tcPr>
            <w:tcW w:w="3179" w:type="dxa"/>
            <w:gridSpan w:val="2"/>
            <w:vMerge w:val="restart"/>
            <w:shd w:val="clear" w:color="auto" w:fill="FFFFFF"/>
          </w:tcPr>
          <w:p w14:paraId="29C9EE12" w14:textId="77777777" w:rsidR="00662B38" w:rsidRPr="001F1ED7" w:rsidRDefault="00662B38" w:rsidP="00662B38">
            <w:pPr>
              <w:pStyle w:val="CETBodytext"/>
              <w:ind w:right="-1"/>
              <w:rPr>
                <w:lang w:val="en-GB"/>
              </w:rPr>
            </w:pPr>
          </w:p>
          <w:p w14:paraId="3B4A6238" w14:textId="2C1642C3" w:rsidR="00662B38" w:rsidRPr="001F1ED7" w:rsidRDefault="00662B38" w:rsidP="00662B38">
            <w:pPr>
              <w:pStyle w:val="CETBodytext"/>
              <w:ind w:right="-1"/>
              <w:rPr>
                <w:rFonts w:cs="Arial"/>
                <w:szCs w:val="18"/>
                <w:lang w:val="en-GB"/>
              </w:rPr>
            </w:pPr>
            <w:r w:rsidRPr="001F1ED7">
              <w:rPr>
                <w:lang w:val="en-GB"/>
              </w:rPr>
              <w:t xml:space="preserve">   10 ± 0.3                   20 ± 0.1</w:t>
            </w:r>
          </w:p>
        </w:tc>
        <w:tc>
          <w:tcPr>
            <w:tcW w:w="37" w:type="dxa"/>
            <w:shd w:val="clear" w:color="auto" w:fill="FFFFFF"/>
          </w:tcPr>
          <w:p w14:paraId="2FA6C18E" w14:textId="77777777" w:rsidR="00662B38" w:rsidRPr="001F1ED7" w:rsidRDefault="00662B38" w:rsidP="00F7456A">
            <w:pPr>
              <w:pStyle w:val="CETBodytext"/>
              <w:ind w:right="-1"/>
              <w:rPr>
                <w:rFonts w:cs="Arial"/>
                <w:szCs w:val="18"/>
                <w:lang w:val="en-GB"/>
              </w:rPr>
            </w:pPr>
          </w:p>
        </w:tc>
      </w:tr>
      <w:tr w:rsidR="00662B38" w:rsidRPr="001F1ED7" w14:paraId="51586B8F" w14:textId="77777777" w:rsidTr="00543D64">
        <w:trPr>
          <w:trHeight w:val="59"/>
        </w:trPr>
        <w:tc>
          <w:tcPr>
            <w:tcW w:w="2945" w:type="dxa"/>
            <w:vMerge/>
            <w:shd w:val="clear" w:color="auto" w:fill="FFFFFF"/>
          </w:tcPr>
          <w:p w14:paraId="0C6F11CD" w14:textId="5033EAA7" w:rsidR="00662B38" w:rsidRPr="001F1ED7" w:rsidRDefault="00662B38" w:rsidP="00662B38">
            <w:pPr>
              <w:pStyle w:val="CETBodytext"/>
              <w:ind w:right="-1"/>
              <w:jc w:val="center"/>
              <w:rPr>
                <w:rFonts w:cs="Arial"/>
                <w:szCs w:val="18"/>
                <w:lang w:val="en-GB"/>
              </w:rPr>
            </w:pPr>
          </w:p>
        </w:tc>
        <w:tc>
          <w:tcPr>
            <w:tcW w:w="1955" w:type="dxa"/>
            <w:vMerge/>
            <w:shd w:val="clear" w:color="auto" w:fill="FFFFFF"/>
          </w:tcPr>
          <w:p w14:paraId="1C0A8F49" w14:textId="77777777" w:rsidR="00662B38" w:rsidRPr="001F1ED7" w:rsidRDefault="00662B38" w:rsidP="00662B38">
            <w:pPr>
              <w:pStyle w:val="CETBodytext"/>
              <w:ind w:right="-1"/>
              <w:jc w:val="center"/>
              <w:rPr>
                <w:rFonts w:cs="Arial"/>
                <w:szCs w:val="18"/>
                <w:lang w:val="en-GB"/>
              </w:rPr>
            </w:pPr>
          </w:p>
        </w:tc>
        <w:tc>
          <w:tcPr>
            <w:tcW w:w="3179" w:type="dxa"/>
            <w:gridSpan w:val="2"/>
            <w:vMerge/>
            <w:shd w:val="clear" w:color="auto" w:fill="FFFFFF"/>
          </w:tcPr>
          <w:p w14:paraId="77E3AEC5" w14:textId="77777777" w:rsidR="00662B38" w:rsidRPr="001F1ED7" w:rsidRDefault="00662B38" w:rsidP="00662B38">
            <w:pPr>
              <w:pStyle w:val="CETBodytext"/>
              <w:ind w:right="-1"/>
              <w:jc w:val="center"/>
              <w:rPr>
                <w:rFonts w:cs="Arial"/>
                <w:szCs w:val="18"/>
                <w:lang w:val="en-GB"/>
              </w:rPr>
            </w:pPr>
          </w:p>
        </w:tc>
        <w:tc>
          <w:tcPr>
            <w:tcW w:w="37" w:type="dxa"/>
            <w:shd w:val="clear" w:color="auto" w:fill="FFFFFF"/>
          </w:tcPr>
          <w:p w14:paraId="74B4A630" w14:textId="77777777" w:rsidR="00662B38" w:rsidRPr="001F1ED7" w:rsidRDefault="00662B38" w:rsidP="00F7456A">
            <w:pPr>
              <w:pStyle w:val="CETBodytext"/>
              <w:ind w:right="-1"/>
              <w:rPr>
                <w:rFonts w:cs="Arial"/>
                <w:szCs w:val="18"/>
                <w:lang w:val="en-GB"/>
              </w:rPr>
            </w:pPr>
          </w:p>
        </w:tc>
      </w:tr>
    </w:tbl>
    <w:p w14:paraId="0A931617" w14:textId="77777777" w:rsidR="00387E9E" w:rsidRPr="001F1ED7" w:rsidRDefault="00387E9E" w:rsidP="00600535">
      <w:pPr>
        <w:pStyle w:val="CETBodytext"/>
        <w:rPr>
          <w:lang w:val="en-GB"/>
        </w:rPr>
      </w:pPr>
    </w:p>
    <w:p w14:paraId="0E222569" w14:textId="41008E2F" w:rsidR="00EB3A4B" w:rsidRPr="001F1ED7" w:rsidRDefault="00E66726" w:rsidP="00600535">
      <w:pPr>
        <w:pStyle w:val="CETBodytext"/>
        <w:rPr>
          <w:lang w:val="en-GB"/>
        </w:rPr>
      </w:pPr>
      <w:r w:rsidRPr="001F1ED7">
        <w:rPr>
          <w:lang w:val="en-GB"/>
        </w:rPr>
        <w:t xml:space="preserve">Biofouling involves the deposition of micro- and macro-organisms on submerged surfaces, beginning with biofilm formation that can evolve into more complex biological communities (Callow, 2011; Yebra et al., 2004). The biosurfactant gel formulation was evaluated for its effect on the fouling process of marine organisms. The absence of interference with this process indicates that the formulation is non-toxic. In the recruitment test, relative frequency and abundance data are essential for understanding the fouling process. After 15 days of immersion in an aquatic environment, the plates were analyzed separately using a laboratory magnifying glass. Figure 3 presents </w:t>
      </w:r>
      <w:r w:rsidR="00980872" w:rsidRPr="001F1ED7">
        <w:rPr>
          <w:lang w:val="en-GB"/>
        </w:rPr>
        <w:t xml:space="preserve">data from counting encrusting organisms on the plates, indicating that the biosurfactant gel is not toxic to the marine environment, as </w:t>
      </w:r>
      <w:r w:rsidR="003F76CC">
        <w:rPr>
          <w:lang w:val="en-GB"/>
        </w:rPr>
        <w:t>the average abundance of encrusting organisms exceeded 2,000 units on both sides of each plate</w:t>
      </w:r>
      <w:r w:rsidRPr="001F1ED7">
        <w:rPr>
          <w:lang w:val="en-GB"/>
        </w:rPr>
        <w:t xml:space="preserve"> compared with the control.</w:t>
      </w:r>
    </w:p>
    <w:p w14:paraId="088A134E" w14:textId="2C7FB579" w:rsidR="00600535" w:rsidRPr="00B57B36" w:rsidRDefault="007B3E39" w:rsidP="00B10FD5">
      <w:pPr>
        <w:pStyle w:val="CETCaption"/>
        <w:jc w:val="center"/>
      </w:pPr>
      <w:r w:rsidRPr="001F1ED7">
        <w:rPr>
          <w:noProof/>
          <w:shd w:val="clear" w:color="auto" w:fill="BFBFBF" w:themeFill="background1" w:themeFillShade="BF"/>
        </w:rPr>
        <w:drawing>
          <wp:inline distT="0" distB="0" distL="0" distR="0" wp14:anchorId="3A61BF58" wp14:editId="112DC75E">
            <wp:extent cx="2802797" cy="1447800"/>
            <wp:effectExtent l="19050" t="19050" r="17145" b="19050"/>
            <wp:docPr id="159442478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24786" name="Imagem 1594424786"/>
                    <pic:cNvPicPr/>
                  </pic:nvPicPr>
                  <pic:blipFill>
                    <a:blip r:embed="rId12"/>
                    <a:stretch>
                      <a:fillRect/>
                    </a:stretch>
                  </pic:blipFill>
                  <pic:spPr>
                    <a:xfrm>
                      <a:off x="0" y="0"/>
                      <a:ext cx="2911122" cy="1503756"/>
                    </a:xfrm>
                    <a:prstGeom prst="rect">
                      <a:avLst/>
                    </a:prstGeom>
                    <a:ln>
                      <a:solidFill>
                        <a:schemeClr val="bg1">
                          <a:lumMod val="85000"/>
                        </a:schemeClr>
                      </a:solidFill>
                    </a:ln>
                  </pic:spPr>
                </pic:pic>
              </a:graphicData>
            </a:graphic>
          </wp:inline>
        </w:drawing>
      </w:r>
    </w:p>
    <w:p w14:paraId="65E73FAD" w14:textId="745CBDD0" w:rsidR="00600535" w:rsidRPr="00BD077D" w:rsidRDefault="00600535" w:rsidP="00BD077D">
      <w:pPr>
        <w:pStyle w:val="CETCaption"/>
      </w:pPr>
      <w:r w:rsidRPr="00BD077D">
        <w:rPr>
          <w:rStyle w:val="CETCaptionCarattere"/>
          <w:i/>
        </w:rPr>
        <w:t xml:space="preserve">Figure </w:t>
      </w:r>
      <w:r w:rsidR="00E52EE4">
        <w:rPr>
          <w:rStyle w:val="CETCaptionCarattere"/>
          <w:i/>
        </w:rPr>
        <w:t>3</w:t>
      </w:r>
      <w:r w:rsidRPr="00BD077D">
        <w:rPr>
          <w:rStyle w:val="CETCaptionCarattere"/>
          <w:i/>
        </w:rPr>
        <w:t xml:space="preserve">: </w:t>
      </w:r>
      <w:r w:rsidR="00A64B03" w:rsidRPr="00A64B03">
        <w:t>Relative frequency of fouling on control plate</w:t>
      </w:r>
      <w:r w:rsidR="00327DEF">
        <w:t xml:space="preserve"> (without the addition of any compound)</w:t>
      </w:r>
      <w:r w:rsidR="00A64B03" w:rsidRPr="00A64B03">
        <w:t xml:space="preserve">, plate with </w:t>
      </w:r>
      <w:r w:rsidR="00327DEF">
        <w:t xml:space="preserve">commercial </w:t>
      </w:r>
      <w:r w:rsidR="00A64B03" w:rsidRPr="00A64B03">
        <w:t xml:space="preserve">paint alone, and plates with </w:t>
      </w:r>
      <w:r w:rsidR="00327DEF">
        <w:t>comme</w:t>
      </w:r>
      <w:r w:rsidR="00EE4BD4">
        <w:t xml:space="preserve">rcial </w:t>
      </w:r>
      <w:r w:rsidR="00A64B03" w:rsidRPr="00A64B03">
        <w:t xml:space="preserve">paint containing </w:t>
      </w:r>
      <w:r w:rsidR="00980872">
        <w:t xml:space="preserve">different concentrations </w:t>
      </w:r>
      <w:r w:rsidR="00EE4BD4">
        <w:t xml:space="preserve">of </w:t>
      </w:r>
      <w:proofErr w:type="gramStart"/>
      <w:r w:rsidR="00EE4BD4">
        <w:t xml:space="preserve">the </w:t>
      </w:r>
      <w:r w:rsidR="00980872">
        <w:t xml:space="preserve"> biosurfactant</w:t>
      </w:r>
      <w:proofErr w:type="gramEnd"/>
      <w:r w:rsidR="00980872">
        <w:t xml:space="preserve"> gel produced (2.5, 5.0, 7.5, e 10% w/v)</w:t>
      </w:r>
    </w:p>
    <w:p w14:paraId="00ADF906" w14:textId="38EC5189" w:rsidR="00DD3F1C" w:rsidRDefault="00003644" w:rsidP="00DD3F1C">
      <w:pPr>
        <w:pStyle w:val="CETBodytext"/>
        <w:rPr>
          <w:lang w:val="en-GB"/>
        </w:rPr>
      </w:pPr>
      <w:r>
        <w:rPr>
          <w:lang w:val="en-GB"/>
        </w:rPr>
        <w:t>T</w:t>
      </w:r>
      <w:r w:rsidRPr="00003644">
        <w:rPr>
          <w:lang w:val="en-GB"/>
        </w:rPr>
        <w:t xml:space="preserve">o evaluate the </w:t>
      </w:r>
      <w:r w:rsidR="00980872">
        <w:rPr>
          <w:lang w:val="en-GB"/>
        </w:rPr>
        <w:t>biosurfactant gel's ability to emulsify hydrophobic pollutants, tests were conducted to assess</w:t>
      </w:r>
      <w:r w:rsidRPr="00003644">
        <w:rPr>
          <w:lang w:val="en-GB"/>
        </w:rPr>
        <w:t xml:space="preserve"> its cleaning capacity on petroleum-impregnated coral. To illustrate the gel’s efficiency more clearly, only part of the contaminated surface was </w:t>
      </w:r>
      <w:r w:rsidR="00980872">
        <w:rPr>
          <w:lang w:val="en-GB"/>
        </w:rPr>
        <w:t>cleaned</w:t>
      </w:r>
      <w:r w:rsidRPr="00003644">
        <w:rPr>
          <w:lang w:val="en-GB"/>
        </w:rPr>
        <w:t>, allowing comparison with the untreated section, as shown in Figure 4.</w:t>
      </w:r>
    </w:p>
    <w:p w14:paraId="5A9D4ABE" w14:textId="77777777" w:rsidR="00CB7322" w:rsidRDefault="00CB7322" w:rsidP="00DD3F1C">
      <w:pPr>
        <w:pStyle w:val="CETBodytext"/>
        <w:rPr>
          <w:lang w:val="en-GB"/>
        </w:rPr>
      </w:pPr>
    </w:p>
    <w:p w14:paraId="3529BA31" w14:textId="77777777" w:rsidR="000D46D4" w:rsidRDefault="00CB7322" w:rsidP="000D46D4">
      <w:pPr>
        <w:pStyle w:val="CETBodytext"/>
        <w:rPr>
          <w:rStyle w:val="CETCaptionCarattere"/>
        </w:rPr>
      </w:pPr>
      <w:r>
        <w:rPr>
          <w:noProof/>
          <w:lang w:val="en-GB"/>
        </w:rPr>
        <w:lastRenderedPageBreak/>
        <w:drawing>
          <wp:inline distT="0" distB="0" distL="0" distR="0" wp14:anchorId="70870ECE" wp14:editId="6A9E6209">
            <wp:extent cx="2581275" cy="1904365"/>
            <wp:effectExtent l="0" t="0" r="0" b="635"/>
            <wp:docPr id="31557180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71805" name="Imagem 315571805"/>
                    <pic:cNvPicPr/>
                  </pic:nvPicPr>
                  <pic:blipFill>
                    <a:blip r:embed="rId13"/>
                    <a:stretch>
                      <a:fillRect/>
                    </a:stretch>
                  </pic:blipFill>
                  <pic:spPr>
                    <a:xfrm>
                      <a:off x="0" y="0"/>
                      <a:ext cx="2600732" cy="1918720"/>
                    </a:xfrm>
                    <a:prstGeom prst="rect">
                      <a:avLst/>
                    </a:prstGeom>
                  </pic:spPr>
                </pic:pic>
              </a:graphicData>
            </a:graphic>
          </wp:inline>
        </w:drawing>
      </w:r>
    </w:p>
    <w:p w14:paraId="40C2742D" w14:textId="77777777" w:rsidR="000D46D4" w:rsidRDefault="000D46D4" w:rsidP="000D46D4">
      <w:pPr>
        <w:pStyle w:val="CETBodytext"/>
        <w:rPr>
          <w:rStyle w:val="CETCaptionCarattere"/>
        </w:rPr>
      </w:pPr>
    </w:p>
    <w:p w14:paraId="196C4FFA" w14:textId="2A3FBE1C" w:rsidR="0023505F" w:rsidRPr="00646D8D" w:rsidRDefault="0023505F" w:rsidP="000D46D4">
      <w:pPr>
        <w:pStyle w:val="CETBodytext"/>
      </w:pPr>
      <w:r w:rsidRPr="00646D8D">
        <w:rPr>
          <w:rStyle w:val="CETCaptionCarattere"/>
        </w:rPr>
        <w:t xml:space="preserve">Figure </w:t>
      </w:r>
      <w:r w:rsidR="00E52EE4" w:rsidRPr="00646D8D">
        <w:rPr>
          <w:rStyle w:val="CETCaptionCarattere"/>
        </w:rPr>
        <w:t>4</w:t>
      </w:r>
      <w:r w:rsidRPr="00646D8D">
        <w:rPr>
          <w:rStyle w:val="CETCaptionCarattere"/>
        </w:rPr>
        <w:t xml:space="preserve">: </w:t>
      </w:r>
      <w:r w:rsidR="000D46D4" w:rsidRPr="00646D8D">
        <w:t>Illustration of the steps in the process of cleaning oil-impregnated corals using biosurfactant gel</w:t>
      </w:r>
      <w:r w:rsidR="00980872">
        <w:t xml:space="preserve">: </w:t>
      </w:r>
      <w:r w:rsidR="000D46D4" w:rsidRPr="00646D8D">
        <w:t xml:space="preserve"> </w:t>
      </w:r>
      <w:r w:rsidR="00980872">
        <w:t>C</w:t>
      </w:r>
      <w:r w:rsidR="000D46D4" w:rsidRPr="00646D8D">
        <w:t>ollected corals (A)</w:t>
      </w:r>
      <w:r w:rsidR="00980872">
        <w:t>;</w:t>
      </w:r>
      <w:r w:rsidR="000D46D4" w:rsidRPr="00646D8D">
        <w:t xml:space="preserve"> </w:t>
      </w:r>
      <w:r w:rsidR="00980872">
        <w:t>C</w:t>
      </w:r>
      <w:r w:rsidR="000D46D4" w:rsidRPr="00646D8D">
        <w:t>ontamination of the coral surface (B)</w:t>
      </w:r>
      <w:r w:rsidR="00980872">
        <w:t>; A</w:t>
      </w:r>
      <w:r w:rsidR="000D46D4" w:rsidRPr="00646D8D">
        <w:t>ddition of the gel to the contaminated surface (C)</w:t>
      </w:r>
      <w:r w:rsidR="00980872">
        <w:t>;</w:t>
      </w:r>
      <w:r w:rsidR="000D46D4" w:rsidRPr="00646D8D">
        <w:t xml:space="preserve"> </w:t>
      </w:r>
      <w:r w:rsidR="00980872">
        <w:t>C</w:t>
      </w:r>
      <w:r w:rsidR="000D46D4" w:rsidRPr="00646D8D">
        <w:t xml:space="preserve">ontact of the </w:t>
      </w:r>
      <w:r w:rsidR="00980872">
        <w:t xml:space="preserve">coral with </w:t>
      </w:r>
      <w:r w:rsidR="000D46D4" w:rsidRPr="00646D8D">
        <w:t>gel for one minute (D)</w:t>
      </w:r>
      <w:r w:rsidR="00980872">
        <w:t>;</w:t>
      </w:r>
      <w:r w:rsidR="000D46D4" w:rsidRPr="00646D8D">
        <w:t xml:space="preserve"> </w:t>
      </w:r>
      <w:r w:rsidR="00980872">
        <w:t>C</w:t>
      </w:r>
      <w:r w:rsidR="00980872" w:rsidRPr="00646D8D">
        <w:t xml:space="preserve">ontact of the </w:t>
      </w:r>
      <w:r w:rsidR="00980872">
        <w:t xml:space="preserve">coral with gel </w:t>
      </w:r>
      <w:r w:rsidR="000D46D4" w:rsidRPr="00646D8D">
        <w:t>for two minutes (E)</w:t>
      </w:r>
      <w:r w:rsidR="00980872">
        <w:t xml:space="preserve">; Coral </w:t>
      </w:r>
      <w:r w:rsidR="000D46D4" w:rsidRPr="00646D8D">
        <w:t>after washing (F).</w:t>
      </w:r>
    </w:p>
    <w:p w14:paraId="4D47384A" w14:textId="77777777" w:rsidR="000D46D4" w:rsidRDefault="000D46D4" w:rsidP="000D46D4">
      <w:pPr>
        <w:pStyle w:val="CETBodytext"/>
        <w:rPr>
          <w:lang w:val="en-GB"/>
        </w:rPr>
      </w:pPr>
    </w:p>
    <w:p w14:paraId="700AEC5E" w14:textId="617EC40C" w:rsidR="00C27506" w:rsidRPr="00AF5A5D" w:rsidRDefault="00C27506" w:rsidP="00DD3F1C">
      <w:pPr>
        <w:pStyle w:val="CETBodytext"/>
      </w:pPr>
      <w:r w:rsidRPr="00C27506">
        <w:rPr>
          <w:lang w:val="en-GB"/>
        </w:rPr>
        <w:t xml:space="preserve">The biosurfactant gel solubilized and removed 90.5% ± 0.02 of the petroleum adhered to the surface of the tested coral. This result demonstrates the feasibility of the biosurfactant gel as a biotechnological additive for remediation processes in environments contaminated </w:t>
      </w:r>
      <w:r w:rsidRPr="001F1ED7">
        <w:rPr>
          <w:lang w:val="en-GB"/>
        </w:rPr>
        <w:t xml:space="preserve">with petroleum and its derivatives. Moreover, the results are comparable to those reported in other studies that demonstrated significant removal of petroleum and its derivatives using biosurfactants in soils and on various surfaces. The application of biosurfactants alone in marine and industrial settings for oil treatment has shown promising outcomes. Studies comparing two biosurfactants with chemical surfactants, such as polysorbate 20 and polysorbate 80, demonstrated comparable dispersion and emulsification performance (Rodríguez-López et al., 2018). In addition, surfactants derived from plant sources exhibited superior surface-active properties compared with Tween 80 and the synthetic surfactant sodium lauryl </w:t>
      </w:r>
      <w:proofErr w:type="spellStart"/>
      <w:r w:rsidRPr="001F1ED7">
        <w:rPr>
          <w:lang w:val="en-GB"/>
        </w:rPr>
        <w:t>sulfate</w:t>
      </w:r>
      <w:proofErr w:type="spellEnd"/>
      <w:r w:rsidRPr="001F1ED7">
        <w:rPr>
          <w:lang w:val="en-GB"/>
        </w:rPr>
        <w:t xml:space="preserve"> (SLS) (</w:t>
      </w:r>
      <w:proofErr w:type="spellStart"/>
      <w:r w:rsidRPr="001F1ED7">
        <w:rPr>
          <w:lang w:val="en-GB"/>
        </w:rPr>
        <w:t>Tmáková</w:t>
      </w:r>
      <w:proofErr w:type="spellEnd"/>
      <w:r w:rsidRPr="001F1ED7">
        <w:rPr>
          <w:lang w:val="en-GB"/>
        </w:rPr>
        <w:t xml:space="preserve"> et al., 2015).</w:t>
      </w:r>
    </w:p>
    <w:p w14:paraId="72CA6F87" w14:textId="4844CA97" w:rsidR="007F145A" w:rsidRPr="007F145A" w:rsidRDefault="00600535" w:rsidP="00DD3F1C">
      <w:pPr>
        <w:pStyle w:val="CETHeading1"/>
        <w:rPr>
          <w:lang w:val="en-GB"/>
        </w:rPr>
      </w:pPr>
      <w:r w:rsidRPr="00B57B36">
        <w:rPr>
          <w:lang w:val="en-GB"/>
        </w:rPr>
        <w:t>Conclusions</w:t>
      </w:r>
    </w:p>
    <w:p w14:paraId="07A6D20F" w14:textId="093BCBF2" w:rsidR="007F145A" w:rsidRPr="00280FAF" w:rsidRDefault="007F145A" w:rsidP="00DD3F1C">
      <w:pPr>
        <w:pStyle w:val="CETBodytext"/>
        <w:rPr>
          <w:lang w:val="en-GB"/>
        </w:rPr>
        <w:sectPr w:rsidR="007F145A" w:rsidRPr="00280FAF" w:rsidSect="008314D7">
          <w:type w:val="continuous"/>
          <w:pgSz w:w="11906" w:h="16838" w:code="9"/>
          <w:pgMar w:top="1701" w:right="1418" w:bottom="1701" w:left="1701" w:header="1701" w:footer="0" w:gutter="0"/>
          <w:cols w:space="708"/>
          <w:formProt w:val="0"/>
          <w:titlePg/>
          <w:docGrid w:linePitch="360"/>
        </w:sectPr>
      </w:pPr>
      <w:r w:rsidRPr="007F145A">
        <w:rPr>
          <w:lang w:val="en-GB"/>
        </w:rPr>
        <w:t xml:space="preserve">The use of a biosurfactant produced by </w:t>
      </w:r>
      <w:proofErr w:type="spellStart"/>
      <w:r w:rsidRPr="007F145A">
        <w:rPr>
          <w:i/>
          <w:iCs/>
          <w:lang w:val="en-GB"/>
        </w:rPr>
        <w:t>Starmerella</w:t>
      </w:r>
      <w:proofErr w:type="spellEnd"/>
      <w:r w:rsidRPr="007F145A">
        <w:rPr>
          <w:i/>
          <w:iCs/>
          <w:lang w:val="en-GB"/>
        </w:rPr>
        <w:t xml:space="preserve"> </w:t>
      </w:r>
      <w:proofErr w:type="spellStart"/>
      <w:r w:rsidRPr="007F145A">
        <w:rPr>
          <w:i/>
          <w:iCs/>
          <w:lang w:val="en-GB"/>
        </w:rPr>
        <w:t>bombicola</w:t>
      </w:r>
      <w:proofErr w:type="spellEnd"/>
      <w:r w:rsidRPr="007F145A">
        <w:rPr>
          <w:lang w:val="en-GB"/>
        </w:rPr>
        <w:t xml:space="preserve"> ATCC 22214 in gel form proved </w:t>
      </w:r>
      <w:r w:rsidR="00980872">
        <w:rPr>
          <w:lang w:val="en-GB"/>
        </w:rPr>
        <w:t>a promising approach for removing</w:t>
      </w:r>
      <w:r w:rsidRPr="007F145A">
        <w:rPr>
          <w:lang w:val="en-GB"/>
        </w:rPr>
        <w:t xml:space="preserve"> crude oil from coral surfaces, exhibiting high emulsifying activity, low toxicity, and effective cleaning performance. These characteristics support the potential of biosurfactants as environmentally friendly alternatives to synthetic surfactants and chemical dispersants in marine environmental remediation strategies. Importantly, the adoption of such biosurfactant gels could contribute to the protection and resilience of coral reef ecosystems by enabling targeted oil removal with reduced ecological disruption compared with conventional dispersants. Future studies should focus on full-scale applications and tests under natural conditions, as well as on evaluating the impacts on coral communities and marine microbiota.</w:t>
      </w:r>
    </w:p>
    <w:p w14:paraId="7DFFBF41" w14:textId="715D33B4" w:rsidR="00280FAF" w:rsidRPr="00280FAF" w:rsidRDefault="00280FAF" w:rsidP="00280FAF">
      <w:pPr>
        <w:pStyle w:val="CETBodytext"/>
        <w:jc w:val="left"/>
        <w:rPr>
          <w:rFonts w:eastAsia="SimSun"/>
        </w:rPr>
        <w:sectPr w:rsidR="00280FAF" w:rsidRPr="00280FAF" w:rsidSect="008314D7">
          <w:type w:val="continuous"/>
          <w:pgSz w:w="11906" w:h="16838" w:code="9"/>
          <w:pgMar w:top="1701" w:right="1418" w:bottom="1701" w:left="1701" w:header="1701" w:footer="0" w:gutter="0"/>
          <w:cols w:space="708"/>
          <w:formProt w:val="0"/>
          <w:titlePg/>
          <w:docGrid w:linePitch="360"/>
        </w:sectPr>
      </w:pPr>
    </w:p>
    <w:p w14:paraId="38BFE636" w14:textId="49414A6E" w:rsidR="00280FAF" w:rsidRPr="003B3F2B" w:rsidRDefault="00280FAF" w:rsidP="00280FAF">
      <w:pPr>
        <w:pStyle w:val="CETBodytext"/>
        <w:jc w:val="left"/>
        <w:rPr>
          <w:rFonts w:eastAsia="SimSun"/>
          <w:lang w:val="en-GB"/>
        </w:rPr>
        <w:sectPr w:rsidR="00280FAF" w:rsidRPr="003B3F2B" w:rsidSect="008314D7">
          <w:type w:val="continuous"/>
          <w:pgSz w:w="11906" w:h="16838" w:code="9"/>
          <w:pgMar w:top="1701" w:right="1418" w:bottom="1701" w:left="1701" w:header="1701" w:footer="0" w:gutter="0"/>
          <w:cols w:num="2" w:space="708"/>
          <w:formProt w:val="0"/>
          <w:titlePg/>
          <w:docGrid w:linePitch="360"/>
        </w:sectPr>
      </w:pPr>
    </w:p>
    <w:p w14:paraId="459D05E6" w14:textId="77777777" w:rsidR="00600535" w:rsidRPr="00B57B36" w:rsidRDefault="00600535" w:rsidP="00600535">
      <w:pPr>
        <w:pStyle w:val="CETAcknowledgementstitle"/>
      </w:pPr>
      <w:r w:rsidRPr="00B57B36">
        <w:t>Acknowledgments</w:t>
      </w:r>
    </w:p>
    <w:p w14:paraId="076368BF" w14:textId="06A391A0" w:rsidR="00C27506" w:rsidRPr="00B57B36" w:rsidRDefault="000D46D4" w:rsidP="00600535">
      <w:pPr>
        <w:pStyle w:val="CETBodytext"/>
        <w:rPr>
          <w:lang w:val="en-GB"/>
        </w:rPr>
      </w:pPr>
      <w:r w:rsidRPr="000D46D4">
        <w:rPr>
          <w:lang w:val="en-GB"/>
        </w:rPr>
        <w:t>This work supported by the National Council for Scientific and Technological Development (</w:t>
      </w:r>
      <w:proofErr w:type="spellStart"/>
      <w:r w:rsidRPr="000D46D4">
        <w:rPr>
          <w:lang w:val="en-GB"/>
        </w:rPr>
        <w:t>CNPq</w:t>
      </w:r>
      <w:proofErr w:type="spellEnd"/>
      <w:r w:rsidRPr="000D46D4">
        <w:rPr>
          <w:lang w:val="en-GB"/>
        </w:rPr>
        <w:t>), the Foundation for the Support of Science and Technology of the State of Pernambuco (FACEPE) and the Coordination for the Improvement of Higher-Level Education Personnel (CAPES). The authors are grateful to the Centre of Sciences and Technology of the Catholic University of Pernambuco (UNICAP) and to the Advanced Institute of Technology and Innovation (IATI), Brazil.</w:t>
      </w:r>
    </w:p>
    <w:p w14:paraId="2053DA55" w14:textId="55B20246" w:rsidR="00C665B2" w:rsidRPr="001F1ED7" w:rsidRDefault="00600535" w:rsidP="00F235CE">
      <w:pPr>
        <w:pStyle w:val="CETReference"/>
      </w:pPr>
      <w:r w:rsidRPr="001F1ED7">
        <w:t>References</w:t>
      </w:r>
    </w:p>
    <w:p w14:paraId="4C61403B" w14:textId="1516A2C7" w:rsidR="00210F6A" w:rsidRPr="001F1ED7" w:rsidRDefault="00C665B2" w:rsidP="00B22EE1">
      <w:pPr>
        <w:pStyle w:val="CETReferencetext"/>
        <w:rPr>
          <w:color w:val="000000" w:themeColor="text1"/>
        </w:rPr>
      </w:pPr>
      <w:r w:rsidRPr="001F1ED7">
        <w:t xml:space="preserve"> </w:t>
      </w:r>
      <w:r w:rsidRPr="001F1ED7">
        <w:rPr>
          <w:color w:val="000000" w:themeColor="text1"/>
        </w:rPr>
        <w:t>Almeida F.C.G</w:t>
      </w:r>
      <w:r w:rsidR="00210F6A" w:rsidRPr="001F1ED7">
        <w:rPr>
          <w:color w:val="000000" w:themeColor="text1"/>
        </w:rPr>
        <w:t>.,</w:t>
      </w:r>
      <w:r w:rsidRPr="001F1ED7">
        <w:rPr>
          <w:color w:val="000000" w:themeColor="text1"/>
        </w:rPr>
        <w:t xml:space="preserve"> Rocha e Silva N</w:t>
      </w:r>
      <w:r w:rsidR="00210F6A" w:rsidRPr="001F1ED7">
        <w:rPr>
          <w:color w:val="000000" w:themeColor="text1"/>
        </w:rPr>
        <w:t>.</w:t>
      </w:r>
      <w:r w:rsidRPr="001F1ED7">
        <w:rPr>
          <w:color w:val="000000" w:themeColor="text1"/>
        </w:rPr>
        <w:t>M</w:t>
      </w:r>
      <w:r w:rsidR="00210F6A" w:rsidRPr="001F1ED7">
        <w:rPr>
          <w:color w:val="000000" w:themeColor="text1"/>
        </w:rPr>
        <w:t>.</w:t>
      </w:r>
      <w:r w:rsidRPr="001F1ED7">
        <w:rPr>
          <w:color w:val="000000" w:themeColor="text1"/>
        </w:rPr>
        <w:t>P</w:t>
      </w:r>
      <w:r w:rsidR="00210F6A" w:rsidRPr="001F1ED7">
        <w:rPr>
          <w:color w:val="000000" w:themeColor="text1"/>
        </w:rPr>
        <w:t>.</w:t>
      </w:r>
      <w:r w:rsidRPr="001F1ED7">
        <w:rPr>
          <w:color w:val="000000" w:themeColor="text1"/>
        </w:rPr>
        <w:t>, Souza T</w:t>
      </w:r>
      <w:r w:rsidR="00210F6A" w:rsidRPr="001F1ED7">
        <w:rPr>
          <w:color w:val="000000" w:themeColor="text1"/>
        </w:rPr>
        <w:t>.</w:t>
      </w:r>
      <w:r w:rsidRPr="001F1ED7">
        <w:rPr>
          <w:color w:val="000000" w:themeColor="text1"/>
        </w:rPr>
        <w:t>C</w:t>
      </w:r>
      <w:r w:rsidR="00210F6A" w:rsidRPr="001F1ED7">
        <w:rPr>
          <w:color w:val="000000" w:themeColor="text1"/>
        </w:rPr>
        <w:t>.</w:t>
      </w:r>
      <w:r w:rsidRPr="001F1ED7">
        <w:rPr>
          <w:color w:val="000000" w:themeColor="text1"/>
        </w:rPr>
        <w:t>, Almeida D</w:t>
      </w:r>
      <w:r w:rsidR="00210F6A" w:rsidRPr="001F1ED7">
        <w:rPr>
          <w:color w:val="000000" w:themeColor="text1"/>
        </w:rPr>
        <w:t>.</w:t>
      </w:r>
      <w:r w:rsidRPr="001F1ED7">
        <w:rPr>
          <w:color w:val="000000" w:themeColor="text1"/>
        </w:rPr>
        <w:t>G</w:t>
      </w:r>
      <w:r w:rsidR="00210F6A" w:rsidRPr="001F1ED7">
        <w:rPr>
          <w:color w:val="000000" w:themeColor="text1"/>
        </w:rPr>
        <w:t>.</w:t>
      </w:r>
      <w:r w:rsidRPr="001F1ED7">
        <w:rPr>
          <w:color w:val="000000" w:themeColor="text1"/>
        </w:rPr>
        <w:t>, Luna J</w:t>
      </w:r>
      <w:r w:rsidR="00210F6A" w:rsidRPr="001F1ED7">
        <w:rPr>
          <w:color w:val="000000" w:themeColor="text1"/>
        </w:rPr>
        <w:t>.</w:t>
      </w:r>
      <w:r w:rsidRPr="001F1ED7">
        <w:rPr>
          <w:color w:val="000000" w:themeColor="text1"/>
        </w:rPr>
        <w:t>M</w:t>
      </w:r>
      <w:r w:rsidR="00210F6A" w:rsidRPr="001F1ED7">
        <w:rPr>
          <w:color w:val="000000" w:themeColor="text1"/>
        </w:rPr>
        <w:t>.</w:t>
      </w:r>
      <w:r w:rsidRPr="001F1ED7">
        <w:rPr>
          <w:color w:val="000000" w:themeColor="text1"/>
        </w:rPr>
        <w:t>, Farias C</w:t>
      </w:r>
      <w:r w:rsidR="00210F6A" w:rsidRPr="001F1ED7">
        <w:rPr>
          <w:color w:val="000000" w:themeColor="text1"/>
        </w:rPr>
        <w:t>.</w:t>
      </w:r>
      <w:r w:rsidRPr="001F1ED7">
        <w:rPr>
          <w:color w:val="000000" w:themeColor="text1"/>
        </w:rPr>
        <w:t>B</w:t>
      </w:r>
      <w:r w:rsidR="00210F6A" w:rsidRPr="001F1ED7">
        <w:rPr>
          <w:color w:val="000000" w:themeColor="text1"/>
        </w:rPr>
        <w:t>.</w:t>
      </w:r>
      <w:r w:rsidRPr="001F1ED7">
        <w:rPr>
          <w:color w:val="000000" w:themeColor="text1"/>
        </w:rPr>
        <w:t>B</w:t>
      </w:r>
      <w:r w:rsidR="00210F6A" w:rsidRPr="001F1ED7">
        <w:rPr>
          <w:color w:val="000000" w:themeColor="text1"/>
        </w:rPr>
        <w:t>.</w:t>
      </w:r>
      <w:r w:rsidRPr="001F1ED7">
        <w:rPr>
          <w:color w:val="000000" w:themeColor="text1"/>
        </w:rPr>
        <w:t>, Rufino R</w:t>
      </w:r>
      <w:r w:rsidR="00210F6A" w:rsidRPr="001F1ED7">
        <w:rPr>
          <w:color w:val="000000" w:themeColor="text1"/>
        </w:rPr>
        <w:t>.</w:t>
      </w:r>
      <w:r w:rsidRPr="001F1ED7">
        <w:rPr>
          <w:color w:val="000000" w:themeColor="text1"/>
        </w:rPr>
        <w:t>D</w:t>
      </w:r>
      <w:r w:rsidR="00210F6A" w:rsidRPr="001F1ED7">
        <w:rPr>
          <w:color w:val="000000" w:themeColor="text1"/>
        </w:rPr>
        <w:t>.</w:t>
      </w:r>
      <w:r w:rsidRPr="001F1ED7">
        <w:rPr>
          <w:color w:val="000000" w:themeColor="text1"/>
        </w:rPr>
        <w:t>, Sarubbo L</w:t>
      </w:r>
      <w:r w:rsidR="00210F6A" w:rsidRPr="001F1ED7">
        <w:rPr>
          <w:color w:val="000000" w:themeColor="text1"/>
        </w:rPr>
        <w:t>.</w:t>
      </w:r>
      <w:r w:rsidRPr="001F1ED7">
        <w:rPr>
          <w:color w:val="000000" w:themeColor="text1"/>
        </w:rPr>
        <w:t>A.</w:t>
      </w:r>
      <w:r w:rsidR="00210F6A" w:rsidRPr="001F1ED7">
        <w:rPr>
          <w:color w:val="000000" w:themeColor="text1"/>
        </w:rPr>
        <w:t>,</w:t>
      </w:r>
      <w:r w:rsidRPr="001F1ED7">
        <w:rPr>
          <w:color w:val="000000" w:themeColor="text1"/>
        </w:rPr>
        <w:t xml:space="preserve"> 2019</w:t>
      </w:r>
      <w:r w:rsidR="008E18EA" w:rsidRPr="001F1ED7">
        <w:rPr>
          <w:color w:val="000000" w:themeColor="text1"/>
        </w:rPr>
        <w:t>,</w:t>
      </w:r>
      <w:r w:rsidRPr="001F1ED7">
        <w:rPr>
          <w:color w:val="000000" w:themeColor="text1"/>
        </w:rPr>
        <w:t xml:space="preserve"> Surfactant Activity of Artocarpus Heterophyllus Fruit Extract and Application in Oil Removal of Solid Surface, Chemical Engineering Transactions, 74, 1135</w:t>
      </w:r>
      <w:r w:rsidR="00962881" w:rsidRPr="001F1ED7">
        <w:t>–</w:t>
      </w:r>
      <w:r w:rsidRPr="001F1ED7">
        <w:rPr>
          <w:color w:val="000000" w:themeColor="text1"/>
        </w:rPr>
        <w:t>1140.</w:t>
      </w:r>
    </w:p>
    <w:p w14:paraId="6B95AB6D" w14:textId="378E421A" w:rsidR="00CD25F6" w:rsidRPr="001F1ED7" w:rsidRDefault="00CD25F6" w:rsidP="00CD25F6">
      <w:pPr>
        <w:pStyle w:val="CETReferencetext"/>
        <w:rPr>
          <w:color w:val="000000" w:themeColor="text1"/>
        </w:rPr>
      </w:pPr>
      <w:r w:rsidRPr="001F1ED7">
        <w:rPr>
          <w:color w:val="000000" w:themeColor="text1"/>
        </w:rPr>
        <w:t>Bradford M.M., 1976, A rapid sensitive method for the quantification of microgram quantities of protein utilising the principle of protein-Dye Binding. Analytical Biochemistry, 72, 248</w:t>
      </w:r>
      <w:r w:rsidR="00962881" w:rsidRPr="001F1ED7">
        <w:t>–</w:t>
      </w:r>
      <w:r w:rsidRPr="001F1ED7">
        <w:rPr>
          <w:color w:val="000000" w:themeColor="text1"/>
        </w:rPr>
        <w:t>254.</w:t>
      </w:r>
    </w:p>
    <w:p w14:paraId="33C36467" w14:textId="77777777" w:rsidR="00790457" w:rsidRPr="001F1ED7" w:rsidRDefault="00790457" w:rsidP="00790457">
      <w:pPr>
        <w:pStyle w:val="CETReferencetext"/>
        <w:rPr>
          <w:color w:val="000000" w:themeColor="text1"/>
        </w:rPr>
      </w:pPr>
      <w:r w:rsidRPr="001F1ED7">
        <w:rPr>
          <w:color w:val="000000" w:themeColor="text1"/>
        </w:rPr>
        <w:t>Callow J.A., Callow M.E., 2011, Trends in the development of environmentally friendly fouling-resistant marine coatings, Nature Communications, 2, 244.</w:t>
      </w:r>
    </w:p>
    <w:p w14:paraId="02687C8A" w14:textId="53599F16" w:rsidR="00CD25F6" w:rsidRPr="001F1ED7" w:rsidRDefault="00CD25F6" w:rsidP="00790457">
      <w:pPr>
        <w:pStyle w:val="CETReferencetext"/>
        <w:rPr>
          <w:color w:val="000000" w:themeColor="text1"/>
        </w:rPr>
      </w:pPr>
      <w:r w:rsidRPr="001F1ED7">
        <w:rPr>
          <w:color w:val="000000" w:themeColor="text1"/>
        </w:rPr>
        <w:lastRenderedPageBreak/>
        <w:t>Cooper D</w:t>
      </w:r>
      <w:r w:rsidR="00DB7945" w:rsidRPr="001F1ED7">
        <w:rPr>
          <w:color w:val="000000" w:themeColor="text1"/>
        </w:rPr>
        <w:t>.</w:t>
      </w:r>
      <w:r w:rsidRPr="001F1ED7">
        <w:rPr>
          <w:color w:val="000000" w:themeColor="text1"/>
        </w:rPr>
        <w:t>G</w:t>
      </w:r>
      <w:r w:rsidR="00DB7945" w:rsidRPr="001F1ED7">
        <w:rPr>
          <w:color w:val="000000" w:themeColor="text1"/>
        </w:rPr>
        <w:t>.</w:t>
      </w:r>
      <w:r w:rsidRPr="001F1ED7">
        <w:rPr>
          <w:color w:val="000000" w:themeColor="text1"/>
        </w:rPr>
        <w:t>, Goldenberg BG. 1987, Surface-active Agents from Two Bacillus Species, Applied and Environmental Microbiology, 53, 224</w:t>
      </w:r>
      <w:r w:rsidR="00962881" w:rsidRPr="001F1ED7">
        <w:t>–</w:t>
      </w:r>
      <w:r w:rsidRPr="001F1ED7">
        <w:rPr>
          <w:color w:val="000000" w:themeColor="text1"/>
        </w:rPr>
        <w:t>229.</w:t>
      </w:r>
    </w:p>
    <w:p w14:paraId="1D8EF3B3" w14:textId="71E4C874" w:rsidR="00790457" w:rsidRPr="001F1ED7" w:rsidRDefault="00790457" w:rsidP="00790457">
      <w:pPr>
        <w:pStyle w:val="CETReferencetext"/>
        <w:rPr>
          <w:color w:val="000000" w:themeColor="text1"/>
        </w:rPr>
      </w:pPr>
      <w:proofErr w:type="spellStart"/>
      <w:r w:rsidRPr="001F1ED7">
        <w:rPr>
          <w:color w:val="000000" w:themeColor="text1"/>
        </w:rPr>
        <w:t>Daverey</w:t>
      </w:r>
      <w:proofErr w:type="spellEnd"/>
      <w:r w:rsidRPr="001F1ED7">
        <w:rPr>
          <w:color w:val="000000" w:themeColor="text1"/>
        </w:rPr>
        <w:t xml:space="preserve"> A., </w:t>
      </w:r>
      <w:proofErr w:type="spellStart"/>
      <w:r w:rsidRPr="001F1ED7">
        <w:rPr>
          <w:color w:val="000000" w:themeColor="text1"/>
        </w:rPr>
        <w:t>Pakshirajan</w:t>
      </w:r>
      <w:proofErr w:type="spellEnd"/>
      <w:r w:rsidRPr="001F1ED7">
        <w:rPr>
          <w:color w:val="000000" w:themeColor="text1"/>
        </w:rPr>
        <w:t xml:space="preserve"> K., 2010, </w:t>
      </w:r>
      <w:proofErr w:type="spellStart"/>
      <w:r w:rsidRPr="001F1ED7">
        <w:rPr>
          <w:color w:val="000000" w:themeColor="text1"/>
        </w:rPr>
        <w:t>Sophorolipids</w:t>
      </w:r>
      <w:proofErr w:type="spellEnd"/>
      <w:r w:rsidRPr="001F1ED7">
        <w:rPr>
          <w:color w:val="000000" w:themeColor="text1"/>
        </w:rPr>
        <w:t xml:space="preserve"> from </w:t>
      </w:r>
      <w:r w:rsidRPr="001F1ED7">
        <w:rPr>
          <w:i/>
          <w:iCs/>
          <w:color w:val="000000" w:themeColor="text1"/>
        </w:rPr>
        <w:t xml:space="preserve">Candida </w:t>
      </w:r>
      <w:proofErr w:type="spellStart"/>
      <w:r w:rsidRPr="001F1ED7">
        <w:rPr>
          <w:i/>
          <w:iCs/>
          <w:color w:val="000000" w:themeColor="text1"/>
        </w:rPr>
        <w:t>bombicola</w:t>
      </w:r>
      <w:proofErr w:type="spellEnd"/>
      <w:r w:rsidRPr="001F1ED7">
        <w:rPr>
          <w:color w:val="000000" w:themeColor="text1"/>
        </w:rPr>
        <w:t xml:space="preserve"> using mixed hydrophilic substrates: production, purification and </w:t>
      </w:r>
      <w:proofErr w:type="spellStart"/>
      <w:r w:rsidRPr="001F1ED7">
        <w:rPr>
          <w:color w:val="000000" w:themeColor="text1"/>
        </w:rPr>
        <w:t>characterizatio</w:t>
      </w:r>
      <w:proofErr w:type="spellEnd"/>
      <w:r w:rsidRPr="001F1ED7">
        <w:rPr>
          <w:color w:val="000000" w:themeColor="text1"/>
        </w:rPr>
        <w:t xml:space="preserve">, Colloids and Surfaces B: </w:t>
      </w:r>
      <w:proofErr w:type="spellStart"/>
      <w:r w:rsidRPr="001F1ED7">
        <w:rPr>
          <w:color w:val="000000" w:themeColor="text1"/>
        </w:rPr>
        <w:t>Biointerfaces</w:t>
      </w:r>
      <w:proofErr w:type="spellEnd"/>
      <w:r w:rsidRPr="001F1ED7">
        <w:rPr>
          <w:color w:val="000000" w:themeColor="text1"/>
        </w:rPr>
        <w:t>, 79, 246</w:t>
      </w:r>
      <w:r w:rsidR="00962881" w:rsidRPr="001F1ED7">
        <w:t>–</w:t>
      </w:r>
      <w:r w:rsidRPr="001F1ED7">
        <w:rPr>
          <w:color w:val="000000" w:themeColor="text1"/>
        </w:rPr>
        <w:t>253.</w:t>
      </w:r>
    </w:p>
    <w:p w14:paraId="088C94E5" w14:textId="77777777" w:rsidR="00790457" w:rsidRPr="001F1ED7" w:rsidRDefault="00790457" w:rsidP="00790457">
      <w:pPr>
        <w:pStyle w:val="CETReferencetext"/>
        <w:rPr>
          <w:color w:val="000000" w:themeColor="text1"/>
        </w:rPr>
      </w:pPr>
      <w:r w:rsidRPr="001F1ED7">
        <w:rPr>
          <w:color w:val="000000" w:themeColor="text1"/>
        </w:rPr>
        <w:t>Da Silva I.A., de Almeida F.C.G., Alves R.N., Cunha M.C., de Oliveira J.C.M., Fernandes M.L.B., Sarubbo L.A., 2024, The formulation of a natural detergent with a biosurfactant cultivated in a low-cost medium for use in coastal environmental remediation, Fermentation, 10, 7, 332.</w:t>
      </w:r>
    </w:p>
    <w:p w14:paraId="71E3D27C" w14:textId="2CB2E112" w:rsidR="006657AA" w:rsidRPr="001F1ED7" w:rsidRDefault="006657AA" w:rsidP="00790457">
      <w:pPr>
        <w:pStyle w:val="CETReferencetext"/>
        <w:rPr>
          <w:color w:val="000000" w:themeColor="text1"/>
        </w:rPr>
      </w:pPr>
      <w:r w:rsidRPr="001F1ED7">
        <w:rPr>
          <w:color w:val="000000" w:themeColor="text1"/>
        </w:rPr>
        <w:tab/>
        <w:t>D</w:t>
      </w:r>
      <w:r w:rsidR="00CD25F6" w:rsidRPr="001F1ED7">
        <w:rPr>
          <w:color w:val="000000" w:themeColor="text1"/>
        </w:rPr>
        <w:t>ubois</w:t>
      </w:r>
      <w:r w:rsidRPr="001F1ED7">
        <w:rPr>
          <w:color w:val="000000" w:themeColor="text1"/>
        </w:rPr>
        <w:t xml:space="preserve"> M</w:t>
      </w:r>
      <w:r w:rsidR="00DB7945" w:rsidRPr="001F1ED7">
        <w:rPr>
          <w:color w:val="000000" w:themeColor="text1"/>
        </w:rPr>
        <w:t>.</w:t>
      </w:r>
      <w:r w:rsidRPr="001F1ED7">
        <w:rPr>
          <w:color w:val="000000" w:themeColor="text1"/>
        </w:rPr>
        <w:t>, 1956</w:t>
      </w:r>
      <w:r w:rsidR="00DB7945" w:rsidRPr="001F1ED7">
        <w:rPr>
          <w:color w:val="000000" w:themeColor="text1"/>
        </w:rPr>
        <w:t>,</w:t>
      </w:r>
      <w:r w:rsidRPr="001F1ED7">
        <w:rPr>
          <w:color w:val="000000" w:themeColor="text1"/>
        </w:rPr>
        <w:t xml:space="preserve"> Colorimetric Method for Determination of Sugars and Related Substances</w:t>
      </w:r>
      <w:r w:rsidR="00DB7945" w:rsidRPr="001F1ED7">
        <w:rPr>
          <w:color w:val="000000" w:themeColor="text1"/>
        </w:rPr>
        <w:t>,</w:t>
      </w:r>
      <w:r w:rsidRPr="001F1ED7">
        <w:rPr>
          <w:color w:val="000000" w:themeColor="text1"/>
        </w:rPr>
        <w:t xml:space="preserve"> </w:t>
      </w:r>
      <w:proofErr w:type="spellStart"/>
      <w:r w:rsidRPr="001F1ED7">
        <w:rPr>
          <w:color w:val="000000" w:themeColor="text1"/>
        </w:rPr>
        <w:t>Química</w:t>
      </w:r>
      <w:proofErr w:type="spellEnd"/>
      <w:r w:rsidRPr="001F1ED7">
        <w:rPr>
          <w:color w:val="000000" w:themeColor="text1"/>
        </w:rPr>
        <w:t xml:space="preserve"> </w:t>
      </w:r>
      <w:proofErr w:type="spellStart"/>
      <w:r w:rsidRPr="001F1ED7">
        <w:rPr>
          <w:color w:val="000000" w:themeColor="text1"/>
        </w:rPr>
        <w:t>Analítica</w:t>
      </w:r>
      <w:proofErr w:type="spellEnd"/>
      <w:r w:rsidRPr="001F1ED7">
        <w:rPr>
          <w:color w:val="000000" w:themeColor="text1"/>
        </w:rPr>
        <w:t>, 28, 350</w:t>
      </w:r>
      <w:r w:rsidR="00962881" w:rsidRPr="001F1ED7">
        <w:t>–</w:t>
      </w:r>
      <w:r w:rsidRPr="001F1ED7">
        <w:rPr>
          <w:color w:val="000000" w:themeColor="text1"/>
        </w:rPr>
        <w:t>356.</w:t>
      </w:r>
    </w:p>
    <w:p w14:paraId="27784777" w14:textId="5E934187" w:rsidR="009D19C0" w:rsidRPr="001F1ED7" w:rsidRDefault="009D19C0" w:rsidP="00790457">
      <w:pPr>
        <w:pStyle w:val="CETReferencetext"/>
        <w:rPr>
          <w:color w:val="000000" w:themeColor="text1"/>
        </w:rPr>
      </w:pPr>
      <w:r w:rsidRPr="001F1ED7">
        <w:rPr>
          <w:color w:val="000000" w:themeColor="text1"/>
        </w:rPr>
        <w:t xml:space="preserve">Eras-Muñoz E., </w:t>
      </w:r>
      <w:proofErr w:type="spellStart"/>
      <w:r w:rsidRPr="001F1ED7">
        <w:rPr>
          <w:color w:val="000000" w:themeColor="text1"/>
        </w:rPr>
        <w:t>Farré</w:t>
      </w:r>
      <w:proofErr w:type="spellEnd"/>
      <w:r w:rsidRPr="001F1ED7">
        <w:rPr>
          <w:color w:val="000000" w:themeColor="text1"/>
        </w:rPr>
        <w:t xml:space="preserve"> A., Sánchez A., Font X., Gea T., 2022, Microbial biosurfactants: a review of recent environmental applications, Bioengineered, 13, 5, 12365</w:t>
      </w:r>
      <w:r w:rsidR="00962881" w:rsidRPr="001F1ED7">
        <w:t>–</w:t>
      </w:r>
      <w:r w:rsidRPr="001F1ED7">
        <w:rPr>
          <w:color w:val="000000" w:themeColor="text1"/>
        </w:rPr>
        <w:t>12391.</w:t>
      </w:r>
    </w:p>
    <w:p w14:paraId="561AF4FA" w14:textId="1F5CE3C9" w:rsidR="00790457" w:rsidRPr="001F1ED7" w:rsidRDefault="00790457" w:rsidP="00790457">
      <w:pPr>
        <w:pStyle w:val="CETReferencetext"/>
        <w:rPr>
          <w:color w:val="000000" w:themeColor="text1"/>
        </w:rPr>
      </w:pPr>
      <w:r w:rsidRPr="001F1ED7">
        <w:rPr>
          <w:color w:val="000000" w:themeColor="text1"/>
        </w:rPr>
        <w:t>Fernandes M.L.B., Silva A.K.P., Ferreira G.F.A., Nery P.P.C.F., Chaves A.C., Magalhães J.S., Campos J.D.S., Oliveira P.L.S., 2010, Qualitative study of succession of the encrusting fauna on artificial reefs in an area under the influence of a thermoelectric power plant in Pernambuco, Brazil, Northeastern Journal of Zoology, 4, 82</w:t>
      </w:r>
      <w:r w:rsidR="00962881" w:rsidRPr="001F1ED7">
        <w:t>–</w:t>
      </w:r>
      <w:r w:rsidRPr="001F1ED7">
        <w:rPr>
          <w:color w:val="000000" w:themeColor="text1"/>
        </w:rPr>
        <w:t>96.</w:t>
      </w:r>
    </w:p>
    <w:p w14:paraId="149F637D" w14:textId="5CF1BD20" w:rsidR="008E18EA" w:rsidRPr="001F1ED7" w:rsidRDefault="006657AA" w:rsidP="008E18EA">
      <w:pPr>
        <w:pStyle w:val="CETReferencetext"/>
        <w:rPr>
          <w:color w:val="000000" w:themeColor="text1"/>
        </w:rPr>
      </w:pPr>
      <w:r w:rsidRPr="001F1ED7">
        <w:rPr>
          <w:color w:val="000000" w:themeColor="text1"/>
        </w:rPr>
        <w:t xml:space="preserve">Konishi m., Yoshida Y., Horiuchi J.I., 2015, Efficient production of </w:t>
      </w:r>
      <w:proofErr w:type="spellStart"/>
      <w:r w:rsidRPr="001F1ED7">
        <w:rPr>
          <w:color w:val="000000" w:themeColor="text1"/>
        </w:rPr>
        <w:t>sophorolipids</w:t>
      </w:r>
      <w:proofErr w:type="spellEnd"/>
      <w:r w:rsidRPr="001F1ED7">
        <w:rPr>
          <w:color w:val="000000" w:themeColor="text1"/>
        </w:rPr>
        <w:t xml:space="preserve"> by </w:t>
      </w:r>
      <w:proofErr w:type="spellStart"/>
      <w:r w:rsidRPr="001F1ED7">
        <w:rPr>
          <w:i/>
          <w:iCs/>
          <w:color w:val="000000" w:themeColor="text1"/>
        </w:rPr>
        <w:t>Starmerella</w:t>
      </w:r>
      <w:proofErr w:type="spellEnd"/>
      <w:r w:rsidRPr="001F1ED7">
        <w:rPr>
          <w:i/>
          <w:iCs/>
          <w:color w:val="000000" w:themeColor="text1"/>
        </w:rPr>
        <w:t xml:space="preserve"> </w:t>
      </w:r>
      <w:proofErr w:type="spellStart"/>
      <w:r w:rsidRPr="001F1ED7">
        <w:rPr>
          <w:i/>
          <w:iCs/>
          <w:color w:val="000000" w:themeColor="text1"/>
        </w:rPr>
        <w:t>bombicola</w:t>
      </w:r>
      <w:proofErr w:type="spellEnd"/>
      <w:r w:rsidRPr="001F1ED7">
        <w:rPr>
          <w:color w:val="000000" w:themeColor="text1"/>
        </w:rPr>
        <w:t xml:space="preserve"> using a corncob hydrolysate medium, Journal of Bioscience and Bioengineering, 119, 3, 317</w:t>
      </w:r>
      <w:r w:rsidR="00962881" w:rsidRPr="001F1ED7">
        <w:t>–</w:t>
      </w:r>
      <w:r w:rsidRPr="001F1ED7">
        <w:rPr>
          <w:color w:val="000000" w:themeColor="text1"/>
        </w:rPr>
        <w:t>322.</w:t>
      </w:r>
    </w:p>
    <w:p w14:paraId="672D7038" w14:textId="3FD5B699" w:rsidR="00F235CE" w:rsidRPr="001F1ED7" w:rsidRDefault="00F235CE" w:rsidP="00F235CE">
      <w:pPr>
        <w:pStyle w:val="CETReferencetext"/>
        <w:rPr>
          <w:color w:val="000000" w:themeColor="text1"/>
        </w:rPr>
      </w:pPr>
      <w:r w:rsidRPr="001F1ED7">
        <w:rPr>
          <w:color w:val="000000" w:themeColor="text1"/>
        </w:rPr>
        <w:t xml:space="preserve">Luna J. M., Rufino R. D., Sarubbo L.A., </w:t>
      </w:r>
      <w:r w:rsidR="008E18EA" w:rsidRPr="001F1ED7">
        <w:rPr>
          <w:color w:val="000000" w:themeColor="text1"/>
        </w:rPr>
        <w:t xml:space="preserve">2016, </w:t>
      </w:r>
      <w:r w:rsidRPr="001F1ED7">
        <w:rPr>
          <w:color w:val="000000" w:themeColor="text1"/>
        </w:rPr>
        <w:t xml:space="preserve">Biosurfactant from </w:t>
      </w:r>
      <w:r w:rsidRPr="001F1ED7">
        <w:rPr>
          <w:i/>
          <w:iCs/>
          <w:color w:val="000000" w:themeColor="text1"/>
        </w:rPr>
        <w:t xml:space="preserve">Candida </w:t>
      </w:r>
      <w:proofErr w:type="spellStart"/>
      <w:r w:rsidRPr="001F1ED7">
        <w:rPr>
          <w:i/>
          <w:iCs/>
          <w:color w:val="000000" w:themeColor="text1"/>
        </w:rPr>
        <w:t>sphaerica</w:t>
      </w:r>
      <w:proofErr w:type="spellEnd"/>
      <w:r w:rsidRPr="001F1ED7">
        <w:rPr>
          <w:color w:val="000000" w:themeColor="text1"/>
        </w:rPr>
        <w:t xml:space="preserve"> UCP0995 exhibiting heavy metal remediation properties, Process Safety and Environmental Protection, 102, 558</w:t>
      </w:r>
      <w:r w:rsidR="00962881" w:rsidRPr="001F1ED7">
        <w:t>–</w:t>
      </w:r>
      <w:r w:rsidRPr="001F1ED7">
        <w:rPr>
          <w:color w:val="000000" w:themeColor="text1"/>
        </w:rPr>
        <w:t>566.</w:t>
      </w:r>
    </w:p>
    <w:p w14:paraId="62206D15" w14:textId="33563355" w:rsidR="00CD25F6" w:rsidRPr="001F1ED7" w:rsidRDefault="00CD25F6" w:rsidP="006657AA">
      <w:pPr>
        <w:pStyle w:val="CETReferencetext"/>
        <w:rPr>
          <w:color w:val="000000" w:themeColor="text1"/>
        </w:rPr>
      </w:pPr>
      <w:r w:rsidRPr="001F1ED7">
        <w:rPr>
          <w:color w:val="000000" w:themeColor="text1"/>
        </w:rPr>
        <w:t xml:space="preserve">Manocha M.S., San-Blas G., Centeno S., 1980, Lipid composition of Paracoccidioides </w:t>
      </w:r>
      <w:proofErr w:type="spellStart"/>
      <w:r w:rsidRPr="001F1ED7">
        <w:rPr>
          <w:color w:val="000000" w:themeColor="text1"/>
        </w:rPr>
        <w:t>brasiliensis</w:t>
      </w:r>
      <w:proofErr w:type="spellEnd"/>
      <w:r w:rsidRPr="001F1ED7">
        <w:rPr>
          <w:color w:val="000000" w:themeColor="text1"/>
        </w:rPr>
        <w:t>: possible correlation with virulence of different strains, Microbiology, 117, 1, 147</w:t>
      </w:r>
      <w:r w:rsidR="00962881" w:rsidRPr="001F1ED7">
        <w:t>–</w:t>
      </w:r>
      <w:r w:rsidRPr="001F1ED7">
        <w:rPr>
          <w:color w:val="000000" w:themeColor="text1"/>
        </w:rPr>
        <w:t>154.</w:t>
      </w:r>
    </w:p>
    <w:p w14:paraId="6E614EC5" w14:textId="5CF41F39" w:rsidR="00BB5DEF" w:rsidRPr="001F1ED7" w:rsidRDefault="00BB5DEF" w:rsidP="006657AA">
      <w:pPr>
        <w:pStyle w:val="CETReferencetext"/>
        <w:rPr>
          <w:color w:val="000000" w:themeColor="text1"/>
        </w:rPr>
      </w:pPr>
      <w:r w:rsidRPr="001F1ED7">
        <w:rPr>
          <w:color w:val="000000" w:themeColor="text1"/>
        </w:rPr>
        <w:t>Markam S.S., Raj A., Kumar A., Khan, M. L., 2024, Microbial biosurfactants: Green alternatives and sustainable solution for augmenting pesticide remediation and management of organic waste, Current Research in Microbial Sciences, 7, 100266.</w:t>
      </w:r>
    </w:p>
    <w:p w14:paraId="57464C78" w14:textId="0B4A1BA9" w:rsidR="00BB5DEF" w:rsidRPr="001F1ED7" w:rsidRDefault="00BB5DEF" w:rsidP="006657AA">
      <w:pPr>
        <w:pStyle w:val="CETReferencetext"/>
        <w:rPr>
          <w:color w:val="000000" w:themeColor="text1"/>
        </w:rPr>
      </w:pPr>
      <w:r w:rsidRPr="001F1ED7">
        <w:rPr>
          <w:color w:val="000000" w:themeColor="text1"/>
        </w:rPr>
        <w:t xml:space="preserve">Olaleye S.A., Isibor P.O., Agbontaen D.O., </w:t>
      </w:r>
      <w:proofErr w:type="spellStart"/>
      <w:r w:rsidRPr="001F1ED7">
        <w:rPr>
          <w:color w:val="000000" w:themeColor="text1"/>
        </w:rPr>
        <w:t>Imoobe</w:t>
      </w:r>
      <w:proofErr w:type="spellEnd"/>
      <w:r w:rsidRPr="001F1ED7">
        <w:rPr>
          <w:color w:val="000000" w:themeColor="text1"/>
        </w:rPr>
        <w:t xml:space="preserve"> T.O., Kayode-Edwards I.I., 2024, Impacts of Oil and Gas Exploration. In: Arctic Marine Ecotoxicology: Climate Change, Pollutants, and Their Far-Reaching Effects. Cham: Springer Nature Switzerland, 195</w:t>
      </w:r>
      <w:r w:rsidR="00962881" w:rsidRPr="001F1ED7">
        <w:t>–</w:t>
      </w:r>
      <w:r w:rsidRPr="001F1ED7">
        <w:rPr>
          <w:color w:val="000000" w:themeColor="text1"/>
        </w:rPr>
        <w:t>209.</w:t>
      </w:r>
    </w:p>
    <w:p w14:paraId="51A17CA8" w14:textId="04EBCC68" w:rsidR="00BB5DEF" w:rsidRPr="001F1ED7" w:rsidRDefault="006657AA" w:rsidP="00BB5DEF">
      <w:pPr>
        <w:pStyle w:val="CETReferencetext"/>
        <w:rPr>
          <w:color w:val="000000" w:themeColor="text1"/>
        </w:rPr>
      </w:pPr>
      <w:r w:rsidRPr="001F1ED7">
        <w:rPr>
          <w:color w:val="000000" w:themeColor="text1"/>
        </w:rPr>
        <w:t>Rodríguez-López L., Rincón-</w:t>
      </w:r>
      <w:proofErr w:type="spellStart"/>
      <w:r w:rsidRPr="001F1ED7">
        <w:rPr>
          <w:color w:val="000000" w:themeColor="text1"/>
        </w:rPr>
        <w:t>Fontán</w:t>
      </w:r>
      <w:proofErr w:type="spellEnd"/>
      <w:r w:rsidRPr="001F1ED7">
        <w:rPr>
          <w:color w:val="000000" w:themeColor="text1"/>
        </w:rPr>
        <w:t xml:space="preserve"> M., Vecino X., Cruz J.M., Moldes A.B., 2018, Biological surfactants vs. Polysorbates: Comparison of their emulsifier, Tenside Surfactants Detergents, 55, 273</w:t>
      </w:r>
      <w:r w:rsidR="00962881" w:rsidRPr="001F1ED7">
        <w:t>–</w:t>
      </w:r>
      <w:r w:rsidRPr="001F1ED7">
        <w:rPr>
          <w:color w:val="000000" w:themeColor="text1"/>
        </w:rPr>
        <w:t>280.</w:t>
      </w:r>
    </w:p>
    <w:p w14:paraId="05D88238" w14:textId="2E3D280E" w:rsidR="00BB5DEF" w:rsidRPr="001F1ED7" w:rsidRDefault="00BB5DEF" w:rsidP="00BB5DEF">
      <w:pPr>
        <w:pStyle w:val="CETReferencetext"/>
        <w:rPr>
          <w:color w:val="000000" w:themeColor="text1"/>
        </w:rPr>
      </w:pPr>
      <w:r w:rsidRPr="001F1ED7">
        <w:rPr>
          <w:color w:val="000000" w:themeColor="text1"/>
        </w:rPr>
        <w:t>Santos D.K.F., Luna J.M., Rufino R.D., Santos V.A., Sarubbo L.A., 2016, Biosurfactants: Multifunctional Biomolecules of the 21st Century, International Journal of Molecular Sciences, 17, 401</w:t>
      </w:r>
      <w:r w:rsidR="00962881" w:rsidRPr="001F1ED7">
        <w:t>–</w:t>
      </w:r>
      <w:r w:rsidRPr="001F1ED7">
        <w:rPr>
          <w:color w:val="000000" w:themeColor="text1"/>
        </w:rPr>
        <w:t>430.</w:t>
      </w:r>
    </w:p>
    <w:p w14:paraId="67145A3E" w14:textId="46404BA8" w:rsidR="00B22EE1" w:rsidRPr="001F1ED7" w:rsidRDefault="00C665B2" w:rsidP="00B22EE1">
      <w:pPr>
        <w:pStyle w:val="CETReferencetext"/>
        <w:rPr>
          <w:color w:val="000000" w:themeColor="text1"/>
        </w:rPr>
      </w:pPr>
      <w:r w:rsidRPr="001F1ED7">
        <w:rPr>
          <w:color w:val="000000" w:themeColor="text1"/>
        </w:rPr>
        <w:t>S</w:t>
      </w:r>
      <w:r w:rsidR="00210F6A" w:rsidRPr="001F1ED7">
        <w:rPr>
          <w:color w:val="000000" w:themeColor="text1"/>
        </w:rPr>
        <w:t>ilva</w:t>
      </w:r>
      <w:r w:rsidRPr="001F1ED7">
        <w:rPr>
          <w:color w:val="000000" w:themeColor="text1"/>
        </w:rPr>
        <w:t xml:space="preserve"> S.N.R.L., F</w:t>
      </w:r>
      <w:r w:rsidR="00210F6A" w:rsidRPr="001F1ED7">
        <w:rPr>
          <w:color w:val="000000" w:themeColor="text1"/>
        </w:rPr>
        <w:t>arias</w:t>
      </w:r>
      <w:r w:rsidRPr="001F1ED7">
        <w:rPr>
          <w:color w:val="000000" w:themeColor="text1"/>
        </w:rPr>
        <w:t xml:space="preserve"> C.B.B., R</w:t>
      </w:r>
      <w:r w:rsidR="00210F6A" w:rsidRPr="001F1ED7">
        <w:rPr>
          <w:color w:val="000000" w:themeColor="text1"/>
        </w:rPr>
        <w:t>ufino</w:t>
      </w:r>
      <w:r w:rsidRPr="001F1ED7">
        <w:rPr>
          <w:color w:val="000000" w:themeColor="text1"/>
        </w:rPr>
        <w:t xml:space="preserve"> R.D., L</w:t>
      </w:r>
      <w:r w:rsidR="00210F6A" w:rsidRPr="001F1ED7">
        <w:rPr>
          <w:color w:val="000000" w:themeColor="text1"/>
        </w:rPr>
        <w:t>una</w:t>
      </w:r>
      <w:r w:rsidRPr="001F1ED7">
        <w:rPr>
          <w:color w:val="000000" w:themeColor="text1"/>
        </w:rPr>
        <w:t xml:space="preserve"> J.M., S</w:t>
      </w:r>
      <w:r w:rsidR="00210F6A" w:rsidRPr="001F1ED7">
        <w:rPr>
          <w:color w:val="000000" w:themeColor="text1"/>
        </w:rPr>
        <w:t xml:space="preserve">arubbo </w:t>
      </w:r>
      <w:r w:rsidRPr="001F1ED7">
        <w:rPr>
          <w:color w:val="000000" w:themeColor="text1"/>
        </w:rPr>
        <w:t>L.A.</w:t>
      </w:r>
      <w:r w:rsidR="00210F6A" w:rsidRPr="001F1ED7">
        <w:rPr>
          <w:color w:val="000000" w:themeColor="text1"/>
        </w:rPr>
        <w:t>, 2010,</w:t>
      </w:r>
      <w:r w:rsidRPr="001F1ED7">
        <w:rPr>
          <w:color w:val="000000" w:themeColor="text1"/>
        </w:rPr>
        <w:t xml:space="preserve"> Glycerol as substrate </w:t>
      </w:r>
      <w:proofErr w:type="gramStart"/>
      <w:r w:rsidRPr="001F1ED7">
        <w:rPr>
          <w:color w:val="000000" w:themeColor="text1"/>
        </w:rPr>
        <w:t>for the production of</w:t>
      </w:r>
      <w:proofErr w:type="gramEnd"/>
      <w:r w:rsidRPr="001F1ED7">
        <w:rPr>
          <w:color w:val="000000" w:themeColor="text1"/>
        </w:rPr>
        <w:t xml:space="preserve"> biosurfactant by </w:t>
      </w:r>
      <w:r w:rsidRPr="001F1ED7">
        <w:rPr>
          <w:i/>
          <w:iCs/>
          <w:color w:val="000000" w:themeColor="text1"/>
        </w:rPr>
        <w:t>Pseudomonas aeruginosa</w:t>
      </w:r>
      <w:r w:rsidRPr="001F1ED7">
        <w:rPr>
          <w:color w:val="000000" w:themeColor="text1"/>
        </w:rPr>
        <w:t xml:space="preserve"> UCP0992</w:t>
      </w:r>
      <w:r w:rsidR="00790457" w:rsidRPr="001F1ED7">
        <w:rPr>
          <w:color w:val="000000" w:themeColor="text1"/>
        </w:rPr>
        <w:t>,</w:t>
      </w:r>
      <w:r w:rsidRPr="001F1ED7">
        <w:rPr>
          <w:color w:val="000000" w:themeColor="text1"/>
        </w:rPr>
        <w:t xml:space="preserve"> Colloids and Surfaces. B, </w:t>
      </w:r>
      <w:proofErr w:type="spellStart"/>
      <w:r w:rsidRPr="001F1ED7">
        <w:rPr>
          <w:color w:val="000000" w:themeColor="text1"/>
        </w:rPr>
        <w:t>Biointerfaces</w:t>
      </w:r>
      <w:proofErr w:type="spellEnd"/>
      <w:r w:rsidRPr="001F1ED7">
        <w:rPr>
          <w:color w:val="000000" w:themeColor="text1"/>
        </w:rPr>
        <w:t>, 79, 174</w:t>
      </w:r>
      <w:r w:rsidR="00962881" w:rsidRPr="001F1ED7">
        <w:t>–</w:t>
      </w:r>
      <w:r w:rsidRPr="001F1ED7">
        <w:rPr>
          <w:color w:val="000000" w:themeColor="text1"/>
        </w:rPr>
        <w:t>183.</w:t>
      </w:r>
    </w:p>
    <w:p w14:paraId="544FD57E" w14:textId="1FAE626E" w:rsidR="001B45DB" w:rsidRPr="001F1ED7" w:rsidRDefault="001B45DB" w:rsidP="00B22EE1">
      <w:pPr>
        <w:pStyle w:val="CETReferencetext"/>
        <w:rPr>
          <w:color w:val="000000" w:themeColor="text1"/>
        </w:rPr>
      </w:pPr>
      <w:r w:rsidRPr="001F1ED7">
        <w:rPr>
          <w:color w:val="000000" w:themeColor="text1"/>
        </w:rPr>
        <w:t>Sarubbo L.A., Silva M.D.G.C, Durval I.J.B., Bezerra K.G.O., Ribeiro B.G., Silva I.A., Twigg M.S., Banat I.M., 2022, Biosurfactants: Production, properties, applications, trends, and general perspectives, Biochemical Engineering Journal, 181, 108377.</w:t>
      </w:r>
    </w:p>
    <w:p w14:paraId="3B2BEEC9" w14:textId="2B8A73C0" w:rsidR="006657AA" w:rsidRPr="001F1ED7" w:rsidRDefault="006657AA" w:rsidP="006657AA">
      <w:pPr>
        <w:pStyle w:val="CETReferencetext"/>
        <w:rPr>
          <w:color w:val="000000" w:themeColor="text1"/>
        </w:rPr>
      </w:pPr>
      <w:proofErr w:type="spellStart"/>
      <w:r w:rsidRPr="001F1ED7">
        <w:rPr>
          <w:color w:val="000000" w:themeColor="text1"/>
        </w:rPr>
        <w:t>Tmáková</w:t>
      </w:r>
      <w:proofErr w:type="spellEnd"/>
      <w:r w:rsidRPr="001F1ED7">
        <w:rPr>
          <w:color w:val="000000" w:themeColor="text1"/>
        </w:rPr>
        <w:t xml:space="preserve"> L., </w:t>
      </w:r>
      <w:proofErr w:type="spellStart"/>
      <w:r w:rsidRPr="001F1ED7">
        <w:rPr>
          <w:color w:val="000000" w:themeColor="text1"/>
        </w:rPr>
        <w:t>Sekretár</w:t>
      </w:r>
      <w:proofErr w:type="spellEnd"/>
      <w:r w:rsidRPr="001F1ED7">
        <w:rPr>
          <w:color w:val="000000" w:themeColor="text1"/>
        </w:rPr>
        <w:t xml:space="preserve"> S., Schmidt S., 2015, Plant-derived surfactants as an alternative to synthetic surfactants: Surface and antioxidant activities, Chemical Papers. 70, 188</w:t>
      </w:r>
      <w:r w:rsidR="00962881" w:rsidRPr="001F1ED7">
        <w:t>–</w:t>
      </w:r>
      <w:r w:rsidRPr="001F1ED7">
        <w:rPr>
          <w:color w:val="000000" w:themeColor="text1"/>
        </w:rPr>
        <w:t>196.</w:t>
      </w:r>
    </w:p>
    <w:p w14:paraId="31E8BD11" w14:textId="08EE984E" w:rsidR="00790457" w:rsidRPr="001F1ED7" w:rsidRDefault="00790457" w:rsidP="00790457">
      <w:pPr>
        <w:pStyle w:val="CETReferencetext"/>
        <w:rPr>
          <w:color w:val="000000" w:themeColor="text1"/>
        </w:rPr>
      </w:pPr>
      <w:r w:rsidRPr="001F1ED7">
        <w:rPr>
          <w:color w:val="000000" w:themeColor="text1"/>
        </w:rPr>
        <w:t>Yebra D.M. Kill S., Dam-Johansen K., 2004, Antifouling technology—Past, present and future steps towards efficient and environmentally friendly antifouling coatings, Progress in Organic Coatings, 50, 75</w:t>
      </w:r>
      <w:r w:rsidR="00962881" w:rsidRPr="001F1ED7">
        <w:t>–</w:t>
      </w:r>
      <w:r w:rsidRPr="001F1ED7">
        <w:rPr>
          <w:color w:val="000000" w:themeColor="text1"/>
        </w:rPr>
        <w:t>104.</w:t>
      </w:r>
    </w:p>
    <w:p w14:paraId="2FBA3B3C" w14:textId="28EE95A3" w:rsidR="001B45DB" w:rsidRPr="001F1ED7" w:rsidRDefault="001B45DB" w:rsidP="00790457">
      <w:pPr>
        <w:pStyle w:val="CETReferencetext"/>
        <w:rPr>
          <w:color w:val="000000" w:themeColor="text1"/>
        </w:rPr>
      </w:pPr>
      <w:r w:rsidRPr="001F1ED7">
        <w:rPr>
          <w:color w:val="000000" w:themeColor="text1"/>
        </w:rPr>
        <w:t>Wei Z., Wei Y., Liu Y., Niu S., Xu Y., Park J.H., Wang J.J., 2024, Biochar-based materials as remediation strategy in petroleum hydrocarbon-contaminated soil and water: Performances, mechanisms, and environmental impact, Journal of Environmental Sciences, 138, 350</w:t>
      </w:r>
      <w:r w:rsidR="00962881" w:rsidRPr="001F1ED7">
        <w:t>–</w:t>
      </w:r>
      <w:r w:rsidRPr="001F1ED7">
        <w:rPr>
          <w:color w:val="000000" w:themeColor="text1"/>
        </w:rPr>
        <w:t>372.</w:t>
      </w:r>
    </w:p>
    <w:p w14:paraId="41362D60" w14:textId="0EA68749" w:rsidR="00BB5DEF" w:rsidRPr="00F235CE" w:rsidRDefault="00BB5DEF" w:rsidP="00790457">
      <w:pPr>
        <w:pStyle w:val="CETReferencetext"/>
        <w:rPr>
          <w:color w:val="000000" w:themeColor="text1"/>
        </w:rPr>
      </w:pPr>
      <w:r w:rsidRPr="001F1ED7">
        <w:rPr>
          <w:color w:val="000000" w:themeColor="text1"/>
        </w:rPr>
        <w:t>Zhang Z., Sun H., Guo, Y., 2024, The impact of marine oil spills on the ecosystem, International Journal of Engineering Science and Technology, 2, 1, 2958</w:t>
      </w:r>
      <w:r w:rsidR="00962881" w:rsidRPr="001F1ED7">
        <w:t>–</w:t>
      </w:r>
      <w:r w:rsidRPr="001F1ED7">
        <w:rPr>
          <w:color w:val="000000" w:themeColor="text1"/>
        </w:rPr>
        <w:t>2857.</w:t>
      </w:r>
    </w:p>
    <w:p w14:paraId="19C4FC68" w14:textId="77777777" w:rsidR="004628D2" w:rsidRDefault="004628D2" w:rsidP="00FA5F5F">
      <w:pPr>
        <w:pStyle w:val="CETHeading1"/>
        <w:numPr>
          <w:ilvl w:val="0"/>
          <w:numId w:val="0"/>
        </w:numPr>
      </w:pPr>
    </w:p>
    <w:sectPr w:rsidR="004628D2"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D8B9E" w14:textId="77777777" w:rsidR="00BB1B52" w:rsidRDefault="00BB1B52" w:rsidP="004F5E36">
      <w:r>
        <w:separator/>
      </w:r>
    </w:p>
  </w:endnote>
  <w:endnote w:type="continuationSeparator" w:id="0">
    <w:p w14:paraId="0B3F9CFF" w14:textId="77777777" w:rsidR="00BB1B52" w:rsidRDefault="00BB1B5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E5C8B" w14:textId="77777777" w:rsidR="00BB1B52" w:rsidRDefault="00BB1B52" w:rsidP="004F5E36">
      <w:r>
        <w:separator/>
      </w:r>
    </w:p>
  </w:footnote>
  <w:footnote w:type="continuationSeparator" w:id="0">
    <w:p w14:paraId="02A55376" w14:textId="77777777" w:rsidR="00BB1B52" w:rsidRDefault="00BB1B5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644"/>
    <w:rsid w:val="000052FB"/>
    <w:rsid w:val="00005884"/>
    <w:rsid w:val="00005A19"/>
    <w:rsid w:val="000117CB"/>
    <w:rsid w:val="000242F2"/>
    <w:rsid w:val="00025FCB"/>
    <w:rsid w:val="0003148D"/>
    <w:rsid w:val="00031EEC"/>
    <w:rsid w:val="00051566"/>
    <w:rsid w:val="000550F6"/>
    <w:rsid w:val="000562A9"/>
    <w:rsid w:val="00062A9A"/>
    <w:rsid w:val="00065058"/>
    <w:rsid w:val="00086493"/>
    <w:rsid w:val="00086C39"/>
    <w:rsid w:val="00087CE1"/>
    <w:rsid w:val="000A03B2"/>
    <w:rsid w:val="000D0268"/>
    <w:rsid w:val="000D1F97"/>
    <w:rsid w:val="000D34BE"/>
    <w:rsid w:val="000D46D4"/>
    <w:rsid w:val="000E102F"/>
    <w:rsid w:val="000E36F1"/>
    <w:rsid w:val="000E3A73"/>
    <w:rsid w:val="000E414A"/>
    <w:rsid w:val="000E75FD"/>
    <w:rsid w:val="000F093C"/>
    <w:rsid w:val="000F787B"/>
    <w:rsid w:val="0012091F"/>
    <w:rsid w:val="00124AAD"/>
    <w:rsid w:val="00126BC2"/>
    <w:rsid w:val="001308B6"/>
    <w:rsid w:val="0013121F"/>
    <w:rsid w:val="00131FE6"/>
    <w:rsid w:val="0013263F"/>
    <w:rsid w:val="001331DF"/>
    <w:rsid w:val="00133F49"/>
    <w:rsid w:val="00134DE4"/>
    <w:rsid w:val="00137E5E"/>
    <w:rsid w:val="0014034D"/>
    <w:rsid w:val="00140FE3"/>
    <w:rsid w:val="00144D16"/>
    <w:rsid w:val="00150E59"/>
    <w:rsid w:val="00151E73"/>
    <w:rsid w:val="00152DE3"/>
    <w:rsid w:val="00164CF9"/>
    <w:rsid w:val="001667A6"/>
    <w:rsid w:val="001672BD"/>
    <w:rsid w:val="00184AD6"/>
    <w:rsid w:val="00191E82"/>
    <w:rsid w:val="001A249D"/>
    <w:rsid w:val="001A2FA1"/>
    <w:rsid w:val="001A3984"/>
    <w:rsid w:val="001A4AF7"/>
    <w:rsid w:val="001B0349"/>
    <w:rsid w:val="001B1E93"/>
    <w:rsid w:val="001B45DB"/>
    <w:rsid w:val="001B5094"/>
    <w:rsid w:val="001B65C1"/>
    <w:rsid w:val="001C260F"/>
    <w:rsid w:val="001C33F1"/>
    <w:rsid w:val="001C684B"/>
    <w:rsid w:val="001D0CFB"/>
    <w:rsid w:val="001D179A"/>
    <w:rsid w:val="001D21AF"/>
    <w:rsid w:val="001D53FC"/>
    <w:rsid w:val="001D7D9C"/>
    <w:rsid w:val="001F1ED7"/>
    <w:rsid w:val="001F2285"/>
    <w:rsid w:val="001F3C91"/>
    <w:rsid w:val="001F42A5"/>
    <w:rsid w:val="001F7B9D"/>
    <w:rsid w:val="00201C93"/>
    <w:rsid w:val="00210F6A"/>
    <w:rsid w:val="002224B4"/>
    <w:rsid w:val="0023505F"/>
    <w:rsid w:val="002447EF"/>
    <w:rsid w:val="00251550"/>
    <w:rsid w:val="00263B05"/>
    <w:rsid w:val="0027221A"/>
    <w:rsid w:val="00275B61"/>
    <w:rsid w:val="00280FAF"/>
    <w:rsid w:val="002810BE"/>
    <w:rsid w:val="00282656"/>
    <w:rsid w:val="00296B83"/>
    <w:rsid w:val="002B4015"/>
    <w:rsid w:val="002B78CE"/>
    <w:rsid w:val="002B79C8"/>
    <w:rsid w:val="002C2FB6"/>
    <w:rsid w:val="002E5FA7"/>
    <w:rsid w:val="002F3309"/>
    <w:rsid w:val="003008CE"/>
    <w:rsid w:val="003009B7"/>
    <w:rsid w:val="00300E56"/>
    <w:rsid w:val="0030152C"/>
    <w:rsid w:val="0030469C"/>
    <w:rsid w:val="00321CA6"/>
    <w:rsid w:val="00323763"/>
    <w:rsid w:val="00323C5F"/>
    <w:rsid w:val="00327DEF"/>
    <w:rsid w:val="00334C09"/>
    <w:rsid w:val="00337C7C"/>
    <w:rsid w:val="00370BC4"/>
    <w:rsid w:val="003723D4"/>
    <w:rsid w:val="00381905"/>
    <w:rsid w:val="00381E57"/>
    <w:rsid w:val="00384CC8"/>
    <w:rsid w:val="003871FD"/>
    <w:rsid w:val="00387E9E"/>
    <w:rsid w:val="003A1E30"/>
    <w:rsid w:val="003A2829"/>
    <w:rsid w:val="003A7D1C"/>
    <w:rsid w:val="003B304B"/>
    <w:rsid w:val="003B3146"/>
    <w:rsid w:val="003B3F2B"/>
    <w:rsid w:val="003B739D"/>
    <w:rsid w:val="003D1E02"/>
    <w:rsid w:val="003E21DF"/>
    <w:rsid w:val="003E313A"/>
    <w:rsid w:val="003F015E"/>
    <w:rsid w:val="003F18A8"/>
    <w:rsid w:val="003F76CC"/>
    <w:rsid w:val="00400414"/>
    <w:rsid w:val="00401EC8"/>
    <w:rsid w:val="0041446B"/>
    <w:rsid w:val="0042617D"/>
    <w:rsid w:val="00434CE7"/>
    <w:rsid w:val="0044071E"/>
    <w:rsid w:val="0044329C"/>
    <w:rsid w:val="00445E67"/>
    <w:rsid w:val="00453E24"/>
    <w:rsid w:val="00457456"/>
    <w:rsid w:val="004577FE"/>
    <w:rsid w:val="00457B9C"/>
    <w:rsid w:val="0046164A"/>
    <w:rsid w:val="004628D2"/>
    <w:rsid w:val="00462DCD"/>
    <w:rsid w:val="004648AD"/>
    <w:rsid w:val="00465B13"/>
    <w:rsid w:val="004703A9"/>
    <w:rsid w:val="004760DE"/>
    <w:rsid w:val="004763D7"/>
    <w:rsid w:val="004800B5"/>
    <w:rsid w:val="004A004E"/>
    <w:rsid w:val="004A24CF"/>
    <w:rsid w:val="004A2E4B"/>
    <w:rsid w:val="004A5E57"/>
    <w:rsid w:val="004A75FB"/>
    <w:rsid w:val="004C03E8"/>
    <w:rsid w:val="004C194F"/>
    <w:rsid w:val="004C3D1D"/>
    <w:rsid w:val="004C3D84"/>
    <w:rsid w:val="004C7913"/>
    <w:rsid w:val="004E4DD6"/>
    <w:rsid w:val="004F43BC"/>
    <w:rsid w:val="004F5E36"/>
    <w:rsid w:val="00507B47"/>
    <w:rsid w:val="00507BEF"/>
    <w:rsid w:val="00507CC9"/>
    <w:rsid w:val="005119A5"/>
    <w:rsid w:val="00522699"/>
    <w:rsid w:val="005278B7"/>
    <w:rsid w:val="00532016"/>
    <w:rsid w:val="005346C8"/>
    <w:rsid w:val="00543D64"/>
    <w:rsid w:val="00543E7D"/>
    <w:rsid w:val="00547A68"/>
    <w:rsid w:val="005531C9"/>
    <w:rsid w:val="00562F4F"/>
    <w:rsid w:val="00570C43"/>
    <w:rsid w:val="005807F8"/>
    <w:rsid w:val="00586087"/>
    <w:rsid w:val="00592274"/>
    <w:rsid w:val="00596180"/>
    <w:rsid w:val="005B1544"/>
    <w:rsid w:val="005B2110"/>
    <w:rsid w:val="005B61E6"/>
    <w:rsid w:val="005C77E1"/>
    <w:rsid w:val="005D668A"/>
    <w:rsid w:val="005D6A2F"/>
    <w:rsid w:val="005E0592"/>
    <w:rsid w:val="005E1A82"/>
    <w:rsid w:val="005E30F0"/>
    <w:rsid w:val="005E794C"/>
    <w:rsid w:val="005F0A28"/>
    <w:rsid w:val="005F0E5E"/>
    <w:rsid w:val="005F4425"/>
    <w:rsid w:val="00600535"/>
    <w:rsid w:val="00606870"/>
    <w:rsid w:val="00610CD6"/>
    <w:rsid w:val="00620DEE"/>
    <w:rsid w:val="00621F92"/>
    <w:rsid w:val="0062280A"/>
    <w:rsid w:val="006231E1"/>
    <w:rsid w:val="00625639"/>
    <w:rsid w:val="00631B33"/>
    <w:rsid w:val="0064184D"/>
    <w:rsid w:val="006422CC"/>
    <w:rsid w:val="00646D8D"/>
    <w:rsid w:val="00651D18"/>
    <w:rsid w:val="00660E3E"/>
    <w:rsid w:val="00662B38"/>
    <w:rsid w:val="00662E74"/>
    <w:rsid w:val="006657AA"/>
    <w:rsid w:val="00671204"/>
    <w:rsid w:val="00680C23"/>
    <w:rsid w:val="00682722"/>
    <w:rsid w:val="00683E23"/>
    <w:rsid w:val="00693766"/>
    <w:rsid w:val="006A3281"/>
    <w:rsid w:val="006B4888"/>
    <w:rsid w:val="006C2E45"/>
    <w:rsid w:val="006C359C"/>
    <w:rsid w:val="006C5579"/>
    <w:rsid w:val="006D29E8"/>
    <w:rsid w:val="006D5A23"/>
    <w:rsid w:val="006D6E8B"/>
    <w:rsid w:val="006D7209"/>
    <w:rsid w:val="006D7F50"/>
    <w:rsid w:val="006E3336"/>
    <w:rsid w:val="006E737D"/>
    <w:rsid w:val="006F4CAC"/>
    <w:rsid w:val="00707DD1"/>
    <w:rsid w:val="00713973"/>
    <w:rsid w:val="00714C58"/>
    <w:rsid w:val="00720A24"/>
    <w:rsid w:val="00732386"/>
    <w:rsid w:val="0073514D"/>
    <w:rsid w:val="00742382"/>
    <w:rsid w:val="007447F3"/>
    <w:rsid w:val="0075499F"/>
    <w:rsid w:val="007617CC"/>
    <w:rsid w:val="007624E0"/>
    <w:rsid w:val="007661C8"/>
    <w:rsid w:val="00766427"/>
    <w:rsid w:val="0077098D"/>
    <w:rsid w:val="00785BF9"/>
    <w:rsid w:val="00790457"/>
    <w:rsid w:val="007931FA"/>
    <w:rsid w:val="007A4861"/>
    <w:rsid w:val="007A7BBA"/>
    <w:rsid w:val="007B0C50"/>
    <w:rsid w:val="007B3E39"/>
    <w:rsid w:val="007B48F9"/>
    <w:rsid w:val="007C1A43"/>
    <w:rsid w:val="007C2AC3"/>
    <w:rsid w:val="007D0951"/>
    <w:rsid w:val="007E347B"/>
    <w:rsid w:val="007E5DF3"/>
    <w:rsid w:val="007F145A"/>
    <w:rsid w:val="007F27C8"/>
    <w:rsid w:val="0080013E"/>
    <w:rsid w:val="00813288"/>
    <w:rsid w:val="008168FC"/>
    <w:rsid w:val="0082448A"/>
    <w:rsid w:val="00830996"/>
    <w:rsid w:val="008314D7"/>
    <w:rsid w:val="00831DDC"/>
    <w:rsid w:val="00834377"/>
    <w:rsid w:val="008345F1"/>
    <w:rsid w:val="008473A1"/>
    <w:rsid w:val="00865B07"/>
    <w:rsid w:val="008667EA"/>
    <w:rsid w:val="0087637F"/>
    <w:rsid w:val="008775D8"/>
    <w:rsid w:val="0088479A"/>
    <w:rsid w:val="00892AD5"/>
    <w:rsid w:val="008A1512"/>
    <w:rsid w:val="008C2143"/>
    <w:rsid w:val="008D2D16"/>
    <w:rsid w:val="008D32B9"/>
    <w:rsid w:val="008D433B"/>
    <w:rsid w:val="008D4A16"/>
    <w:rsid w:val="008E155A"/>
    <w:rsid w:val="008E18EA"/>
    <w:rsid w:val="008E209A"/>
    <w:rsid w:val="008E45BC"/>
    <w:rsid w:val="008E566E"/>
    <w:rsid w:val="008E7444"/>
    <w:rsid w:val="0090161A"/>
    <w:rsid w:val="00901EB6"/>
    <w:rsid w:val="009035A1"/>
    <w:rsid w:val="009041F8"/>
    <w:rsid w:val="00904C62"/>
    <w:rsid w:val="00906E46"/>
    <w:rsid w:val="00922BA8"/>
    <w:rsid w:val="00924DAC"/>
    <w:rsid w:val="00927058"/>
    <w:rsid w:val="00942750"/>
    <w:rsid w:val="009450CE"/>
    <w:rsid w:val="009459BB"/>
    <w:rsid w:val="00947179"/>
    <w:rsid w:val="0095084A"/>
    <w:rsid w:val="0095164B"/>
    <w:rsid w:val="0095391F"/>
    <w:rsid w:val="00954090"/>
    <w:rsid w:val="009573E7"/>
    <w:rsid w:val="00962881"/>
    <w:rsid w:val="0096302A"/>
    <w:rsid w:val="00963E05"/>
    <w:rsid w:val="00964A45"/>
    <w:rsid w:val="00967843"/>
    <w:rsid w:val="00967D54"/>
    <w:rsid w:val="00971028"/>
    <w:rsid w:val="00980872"/>
    <w:rsid w:val="00993B84"/>
    <w:rsid w:val="00996483"/>
    <w:rsid w:val="00996F5A"/>
    <w:rsid w:val="009A27DC"/>
    <w:rsid w:val="009B041A"/>
    <w:rsid w:val="009B5569"/>
    <w:rsid w:val="009C37C3"/>
    <w:rsid w:val="009C5649"/>
    <w:rsid w:val="009C7C86"/>
    <w:rsid w:val="009C7EBB"/>
    <w:rsid w:val="009D19C0"/>
    <w:rsid w:val="009D2FF7"/>
    <w:rsid w:val="009D4690"/>
    <w:rsid w:val="009E7884"/>
    <w:rsid w:val="009E788A"/>
    <w:rsid w:val="009F0E08"/>
    <w:rsid w:val="00A079AE"/>
    <w:rsid w:val="00A1763D"/>
    <w:rsid w:val="00A17CEC"/>
    <w:rsid w:val="00A22078"/>
    <w:rsid w:val="00A26CBB"/>
    <w:rsid w:val="00A27EF0"/>
    <w:rsid w:val="00A42361"/>
    <w:rsid w:val="00A4718D"/>
    <w:rsid w:val="00A50B20"/>
    <w:rsid w:val="00A51390"/>
    <w:rsid w:val="00A60D13"/>
    <w:rsid w:val="00A64B03"/>
    <w:rsid w:val="00A70BC0"/>
    <w:rsid w:val="00A7223D"/>
    <w:rsid w:val="00A72745"/>
    <w:rsid w:val="00A74E37"/>
    <w:rsid w:val="00A76EFC"/>
    <w:rsid w:val="00A87D50"/>
    <w:rsid w:val="00A91010"/>
    <w:rsid w:val="00A97F29"/>
    <w:rsid w:val="00AA702E"/>
    <w:rsid w:val="00AA7D26"/>
    <w:rsid w:val="00AB0964"/>
    <w:rsid w:val="00AB5011"/>
    <w:rsid w:val="00AB62C0"/>
    <w:rsid w:val="00AC7368"/>
    <w:rsid w:val="00AD0278"/>
    <w:rsid w:val="00AD16B9"/>
    <w:rsid w:val="00AE0EE7"/>
    <w:rsid w:val="00AE377D"/>
    <w:rsid w:val="00AE784B"/>
    <w:rsid w:val="00AF0EBA"/>
    <w:rsid w:val="00AF5A5D"/>
    <w:rsid w:val="00B02C8A"/>
    <w:rsid w:val="00B10FD5"/>
    <w:rsid w:val="00B17FBD"/>
    <w:rsid w:val="00B209F1"/>
    <w:rsid w:val="00B2218E"/>
    <w:rsid w:val="00B22EE1"/>
    <w:rsid w:val="00B31196"/>
    <w:rsid w:val="00B315A6"/>
    <w:rsid w:val="00B31813"/>
    <w:rsid w:val="00B33365"/>
    <w:rsid w:val="00B5381C"/>
    <w:rsid w:val="00B569E1"/>
    <w:rsid w:val="00B57B36"/>
    <w:rsid w:val="00B57E6F"/>
    <w:rsid w:val="00B8686D"/>
    <w:rsid w:val="00B93F69"/>
    <w:rsid w:val="00BA2E6C"/>
    <w:rsid w:val="00BB1A03"/>
    <w:rsid w:val="00BB1B52"/>
    <w:rsid w:val="00BB1DDC"/>
    <w:rsid w:val="00BB5DEF"/>
    <w:rsid w:val="00BC29D9"/>
    <w:rsid w:val="00BC30C9"/>
    <w:rsid w:val="00BD077D"/>
    <w:rsid w:val="00BE3E58"/>
    <w:rsid w:val="00C01616"/>
    <w:rsid w:val="00C0162B"/>
    <w:rsid w:val="00C068ED"/>
    <w:rsid w:val="00C14F44"/>
    <w:rsid w:val="00C163F7"/>
    <w:rsid w:val="00C208E9"/>
    <w:rsid w:val="00C22061"/>
    <w:rsid w:val="00C22E0C"/>
    <w:rsid w:val="00C27506"/>
    <w:rsid w:val="00C33ED1"/>
    <w:rsid w:val="00C345B1"/>
    <w:rsid w:val="00C40142"/>
    <w:rsid w:val="00C42EEE"/>
    <w:rsid w:val="00C52C3C"/>
    <w:rsid w:val="00C57182"/>
    <w:rsid w:val="00C57863"/>
    <w:rsid w:val="00C640AF"/>
    <w:rsid w:val="00C655FD"/>
    <w:rsid w:val="00C665B2"/>
    <w:rsid w:val="00C75407"/>
    <w:rsid w:val="00C770AF"/>
    <w:rsid w:val="00C841C6"/>
    <w:rsid w:val="00C85890"/>
    <w:rsid w:val="00C870A8"/>
    <w:rsid w:val="00C91E30"/>
    <w:rsid w:val="00C94434"/>
    <w:rsid w:val="00CA0D75"/>
    <w:rsid w:val="00CA1C95"/>
    <w:rsid w:val="00CA5A9C"/>
    <w:rsid w:val="00CA7C08"/>
    <w:rsid w:val="00CB7322"/>
    <w:rsid w:val="00CC4C20"/>
    <w:rsid w:val="00CD25F6"/>
    <w:rsid w:val="00CD3517"/>
    <w:rsid w:val="00CD5FE2"/>
    <w:rsid w:val="00CD6E76"/>
    <w:rsid w:val="00CE7C68"/>
    <w:rsid w:val="00CF29CA"/>
    <w:rsid w:val="00CF4426"/>
    <w:rsid w:val="00D02B4C"/>
    <w:rsid w:val="00D040C4"/>
    <w:rsid w:val="00D20AD1"/>
    <w:rsid w:val="00D2582C"/>
    <w:rsid w:val="00D40246"/>
    <w:rsid w:val="00D46B7E"/>
    <w:rsid w:val="00D50971"/>
    <w:rsid w:val="00D544D5"/>
    <w:rsid w:val="00D56179"/>
    <w:rsid w:val="00D57C84"/>
    <w:rsid w:val="00D6057D"/>
    <w:rsid w:val="00D65898"/>
    <w:rsid w:val="00D71640"/>
    <w:rsid w:val="00D77A04"/>
    <w:rsid w:val="00D836C5"/>
    <w:rsid w:val="00D84576"/>
    <w:rsid w:val="00DA1399"/>
    <w:rsid w:val="00DA24C6"/>
    <w:rsid w:val="00DA4D7B"/>
    <w:rsid w:val="00DB7945"/>
    <w:rsid w:val="00DD271C"/>
    <w:rsid w:val="00DD3F1C"/>
    <w:rsid w:val="00DD4BFB"/>
    <w:rsid w:val="00DE264A"/>
    <w:rsid w:val="00DF5072"/>
    <w:rsid w:val="00E02D18"/>
    <w:rsid w:val="00E041E7"/>
    <w:rsid w:val="00E07760"/>
    <w:rsid w:val="00E07BBE"/>
    <w:rsid w:val="00E22CD7"/>
    <w:rsid w:val="00E23CA1"/>
    <w:rsid w:val="00E409A8"/>
    <w:rsid w:val="00E42918"/>
    <w:rsid w:val="00E47D61"/>
    <w:rsid w:val="00E50C12"/>
    <w:rsid w:val="00E50E15"/>
    <w:rsid w:val="00E52EE4"/>
    <w:rsid w:val="00E65B91"/>
    <w:rsid w:val="00E66726"/>
    <w:rsid w:val="00E67551"/>
    <w:rsid w:val="00E7209D"/>
    <w:rsid w:val="00E72EAD"/>
    <w:rsid w:val="00E77223"/>
    <w:rsid w:val="00E8528B"/>
    <w:rsid w:val="00E85326"/>
    <w:rsid w:val="00E85B94"/>
    <w:rsid w:val="00E978D0"/>
    <w:rsid w:val="00EA4613"/>
    <w:rsid w:val="00EA7F91"/>
    <w:rsid w:val="00EB1523"/>
    <w:rsid w:val="00EB3A4B"/>
    <w:rsid w:val="00EC0E49"/>
    <w:rsid w:val="00EC101F"/>
    <w:rsid w:val="00EC1D9F"/>
    <w:rsid w:val="00EE0131"/>
    <w:rsid w:val="00EE17B0"/>
    <w:rsid w:val="00EE4BD4"/>
    <w:rsid w:val="00EF06D9"/>
    <w:rsid w:val="00EF0982"/>
    <w:rsid w:val="00EF76CF"/>
    <w:rsid w:val="00F12A73"/>
    <w:rsid w:val="00F235CE"/>
    <w:rsid w:val="00F3049E"/>
    <w:rsid w:val="00F30C64"/>
    <w:rsid w:val="00F32BA2"/>
    <w:rsid w:val="00F32CDB"/>
    <w:rsid w:val="00F3348F"/>
    <w:rsid w:val="00F37280"/>
    <w:rsid w:val="00F41EE4"/>
    <w:rsid w:val="00F43F87"/>
    <w:rsid w:val="00F45097"/>
    <w:rsid w:val="00F565FE"/>
    <w:rsid w:val="00F627D9"/>
    <w:rsid w:val="00F63A70"/>
    <w:rsid w:val="00F63D8C"/>
    <w:rsid w:val="00F7534E"/>
    <w:rsid w:val="00F87D05"/>
    <w:rsid w:val="00F93EDF"/>
    <w:rsid w:val="00FA1802"/>
    <w:rsid w:val="00FA21D0"/>
    <w:rsid w:val="00FA5F5F"/>
    <w:rsid w:val="00FB730C"/>
    <w:rsid w:val="00FC2695"/>
    <w:rsid w:val="00FC2FA0"/>
    <w:rsid w:val="00FC3E03"/>
    <w:rsid w:val="00FC3FC1"/>
    <w:rsid w:val="00FC629B"/>
    <w:rsid w:val="00FF408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3468</Words>
  <Characters>18732</Characters>
  <Application>Microsoft Office Word</Application>
  <DocSecurity>0</DocSecurity>
  <Lines>156</Lines>
  <Paragraphs>44</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Leonie Sarubbo | IATI</cp:lastModifiedBy>
  <cp:revision>3</cp:revision>
  <cp:lastPrinted>2015-05-12T18:31:00Z</cp:lastPrinted>
  <dcterms:created xsi:type="dcterms:W3CDTF">2026-03-11T02:27:00Z</dcterms:created>
  <dcterms:modified xsi:type="dcterms:W3CDTF">2026-03-11T02:28:00Z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34049049-9038-4986-bd11-ea885ed74708</vt:lpwstr>
  </property>
</Properties>
</file>