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0958BF">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223FC527" w:rsidR="000A03B2" w:rsidRPr="00B57B36" w:rsidRDefault="00A76EFC" w:rsidP="0098048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98048F" w:rsidRPr="0098048F">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5349CB">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0958BF">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0958BF">
        <w:trPr>
          <w:trHeight w:val="68"/>
          <w:jc w:val="center"/>
        </w:trPr>
        <w:tc>
          <w:tcPr>
            <w:tcW w:w="8782" w:type="dxa"/>
            <w:gridSpan w:val="2"/>
          </w:tcPr>
          <w:p w14:paraId="61A9EE96" w14:textId="73EFBEAF" w:rsidR="00DF5498" w:rsidRPr="006168F1" w:rsidRDefault="00DF5498" w:rsidP="00DF5498">
            <w:pPr>
              <w:ind w:left="-107"/>
              <w:outlineLvl w:val="2"/>
              <w:rPr>
                <w:rFonts w:ascii="Tahoma" w:hAnsi="Tahoma" w:cs="Tahoma"/>
                <w:bCs/>
                <w:color w:val="000000"/>
                <w:sz w:val="14"/>
                <w:szCs w:val="14"/>
                <w:lang w:val="en-US" w:eastAsia="it-IT"/>
              </w:rPr>
            </w:pPr>
            <w:r w:rsidRPr="006168F1">
              <w:rPr>
                <w:rFonts w:ascii="Tahoma" w:hAnsi="Tahoma" w:cs="Tahoma"/>
                <w:iCs/>
                <w:color w:val="333333"/>
                <w:sz w:val="14"/>
                <w:szCs w:val="14"/>
                <w:lang w:val="en-US" w:eastAsia="it-IT"/>
              </w:rPr>
              <w:t xml:space="preserve">Guest Editors: </w:t>
            </w:r>
          </w:p>
          <w:p w14:paraId="1B0F1814" w14:textId="2437CDDC" w:rsidR="000A03B2" w:rsidRPr="00B57B36" w:rsidRDefault="00DF5498" w:rsidP="00DF5498">
            <w:pPr>
              <w:tabs>
                <w:tab w:val="left" w:pos="-108"/>
              </w:tabs>
              <w:spacing w:line="140" w:lineRule="atLeast"/>
              <w:ind w:left="-107"/>
              <w:jc w:val="left"/>
            </w:pPr>
            <w:r w:rsidRPr="00DF5498">
              <w:rPr>
                <w:rFonts w:ascii="Tahoma" w:hAnsi="Tahoma" w:cs="Tahoma"/>
                <w:iCs/>
                <w:color w:val="333333"/>
                <w:sz w:val="14"/>
                <w:szCs w:val="14"/>
                <w:lang w:eastAsia="it-IT"/>
              </w:rPr>
              <w:t>Copyright © 202</w:t>
            </w:r>
            <w:r w:rsidR="005349CB">
              <w:rPr>
                <w:rFonts w:ascii="Tahoma" w:hAnsi="Tahoma" w:cs="Tahoma"/>
                <w:iCs/>
                <w:color w:val="333333"/>
                <w:sz w:val="14"/>
                <w:szCs w:val="14"/>
                <w:lang w:eastAsia="it-IT"/>
              </w:rPr>
              <w:t>6</w:t>
            </w:r>
            <w:r w:rsidRPr="00DF5498">
              <w:rPr>
                <w:rFonts w:ascii="Tahoma" w:hAnsi="Tahoma" w:cs="Tahoma"/>
                <w:iCs/>
                <w:color w:val="333333"/>
                <w:sz w:val="14"/>
                <w:szCs w:val="14"/>
                <w:lang w:eastAsia="it-IT"/>
              </w:rPr>
              <w:t>, AIDIC Servizi S.r.l.</w:t>
            </w:r>
            <w:r w:rsidRPr="00DF5498">
              <w:rPr>
                <w:rFonts w:ascii="Tahoma" w:hAnsi="Tahoma" w:cs="Tahoma"/>
                <w:iCs/>
                <w:color w:val="333333"/>
                <w:sz w:val="14"/>
                <w:szCs w:val="14"/>
                <w:lang w:eastAsia="it-IT"/>
              </w:rPr>
              <w:br/>
            </w:r>
            <w:r w:rsidRPr="00DF5498">
              <w:rPr>
                <w:rFonts w:ascii="Tahoma" w:hAnsi="Tahoma" w:cs="Tahoma"/>
                <w:b/>
                <w:iCs/>
                <w:color w:val="000000"/>
                <w:sz w:val="14"/>
                <w:szCs w:val="14"/>
                <w:lang w:eastAsia="it-IT"/>
              </w:rPr>
              <w:t>ISBN</w:t>
            </w:r>
            <w:r w:rsidRPr="00DF5498">
              <w:rPr>
                <w:rFonts w:ascii="Tahoma" w:hAnsi="Tahoma" w:cs="Tahoma"/>
                <w:iCs/>
                <w:color w:val="000000"/>
                <w:sz w:val="14"/>
                <w:szCs w:val="14"/>
                <w:lang w:eastAsia="it-IT"/>
              </w:rPr>
              <w:t xml:space="preserve"> </w:t>
            </w:r>
            <w:r w:rsidRPr="00DF5498">
              <w:rPr>
                <w:rFonts w:ascii="Tahoma" w:hAnsi="Tahoma" w:cs="Tahoma"/>
                <w:sz w:val="14"/>
                <w:szCs w:val="14"/>
                <w:lang w:eastAsia="it-IT"/>
              </w:rPr>
              <w:t>979-12-81206-</w:t>
            </w:r>
            <w:r w:rsidR="005349CB">
              <w:rPr>
                <w:rFonts w:ascii="Tahoma" w:hAnsi="Tahoma" w:cs="Tahoma"/>
                <w:sz w:val="14"/>
                <w:szCs w:val="14"/>
                <w:lang w:eastAsia="it-IT"/>
              </w:rPr>
              <w:t>XX</w:t>
            </w:r>
            <w:r w:rsidRPr="00DF5498">
              <w:rPr>
                <w:rFonts w:ascii="Tahoma" w:hAnsi="Tahoma" w:cs="Tahoma"/>
                <w:sz w:val="14"/>
                <w:szCs w:val="14"/>
                <w:lang w:eastAsia="it-IT"/>
              </w:rPr>
              <w:t>-</w:t>
            </w:r>
            <w:r w:rsidR="005349CB">
              <w:rPr>
                <w:rFonts w:ascii="Tahoma" w:hAnsi="Tahoma" w:cs="Tahoma"/>
                <w:sz w:val="14"/>
                <w:szCs w:val="14"/>
                <w:lang w:eastAsia="it-IT"/>
              </w:rPr>
              <w:t>Y</w:t>
            </w:r>
            <w:r w:rsidRPr="00DF5498">
              <w:rPr>
                <w:rFonts w:ascii="Tahoma" w:hAnsi="Tahoma" w:cs="Tahoma"/>
                <w:iCs/>
                <w:color w:val="333333"/>
                <w:sz w:val="14"/>
                <w:szCs w:val="14"/>
                <w:lang w:eastAsia="it-IT"/>
              </w:rPr>
              <w:t xml:space="preserve">; </w:t>
            </w:r>
            <w:r w:rsidRPr="00DF5498">
              <w:rPr>
                <w:rFonts w:ascii="Tahoma" w:hAnsi="Tahoma" w:cs="Tahoma"/>
                <w:b/>
                <w:iCs/>
                <w:color w:val="333333"/>
                <w:sz w:val="14"/>
                <w:szCs w:val="14"/>
                <w:lang w:eastAsia="it-IT"/>
              </w:rPr>
              <w:t>ISSN</w:t>
            </w:r>
            <w:r w:rsidRPr="00DF5498">
              <w:rPr>
                <w:rFonts w:ascii="Tahoma" w:hAnsi="Tahoma" w:cs="Tahoma"/>
                <w:iCs/>
                <w:color w:val="333333"/>
                <w:sz w:val="14"/>
                <w:szCs w:val="14"/>
                <w:lang w:eastAsia="it-IT"/>
              </w:rPr>
              <w:t xml:space="preserve"> 2283-9216</w:t>
            </w:r>
          </w:p>
        </w:tc>
      </w:tr>
    </w:tbl>
    <w:p w14:paraId="72BC80FC" w14:textId="669424DC" w:rsidR="00AD7DF2" w:rsidRPr="00ED6454" w:rsidRDefault="00AD7DF2" w:rsidP="00AD7DF2">
      <w:pPr>
        <w:pStyle w:val="CETTitle"/>
        <w:jc w:val="both"/>
        <w:rPr>
          <w:highlight w:val="yellow"/>
          <w:lang w:val="en-US"/>
        </w:rPr>
      </w:pPr>
      <w:bookmarkStart w:id="0" w:name="_Hlk216111625"/>
      <w:r w:rsidRPr="00753133">
        <w:t>Safe Management of Pressure Equipment</w:t>
      </w:r>
      <w:r>
        <w:t xml:space="preserve"> and </w:t>
      </w:r>
      <w:r w:rsidRPr="00753133">
        <w:t>Assemblies in B</w:t>
      </w:r>
      <w:r w:rsidRPr="00583BFD">
        <w:t xml:space="preserve">iofuel </w:t>
      </w:r>
      <w:r>
        <w:t>Establishments</w:t>
      </w:r>
    </w:p>
    <w:p w14:paraId="44AD4686" w14:textId="4FA4E608" w:rsidR="00AD7DF2" w:rsidRPr="00E71A1C" w:rsidRDefault="001C03D1" w:rsidP="00AD7DF2">
      <w:pPr>
        <w:pStyle w:val="CETAuthors"/>
        <w:rPr>
          <w:lang w:val="it-IT"/>
        </w:rPr>
      </w:pPr>
      <w:bookmarkStart w:id="1" w:name="_Hlk176710373"/>
      <w:r w:rsidRPr="001C03D1">
        <w:rPr>
          <w:lang w:val="it-IT"/>
        </w:rPr>
        <w:t>Giovanni Grillone</w:t>
      </w:r>
      <w:r w:rsidRPr="001C03D1">
        <w:rPr>
          <w:vertAlign w:val="superscript"/>
          <w:lang w:val="it-IT"/>
        </w:rPr>
        <w:t>a</w:t>
      </w:r>
      <w:r>
        <w:rPr>
          <w:lang w:val="it-IT"/>
        </w:rPr>
        <w:t xml:space="preserve">, </w:t>
      </w:r>
      <w:r w:rsidR="00AD7DF2" w:rsidRPr="00E71A1C">
        <w:rPr>
          <w:lang w:val="it-IT"/>
        </w:rPr>
        <w:t>Vincenzo Nastasi</w:t>
      </w:r>
      <w:r w:rsidR="00AD7DF2">
        <w:rPr>
          <w:vertAlign w:val="superscript"/>
          <w:lang w:val="it-IT"/>
        </w:rPr>
        <w:t>a</w:t>
      </w:r>
      <w:r w:rsidR="0030714F">
        <w:rPr>
          <w:vertAlign w:val="superscript"/>
          <w:lang w:val="it-IT"/>
        </w:rPr>
        <w:t>,</w:t>
      </w:r>
      <w:r w:rsidR="008365FA" w:rsidRPr="001C03D1">
        <w:rPr>
          <w:lang w:val="it-IT"/>
        </w:rPr>
        <w:t>*</w:t>
      </w:r>
      <w:r w:rsidR="00AD7DF2">
        <w:rPr>
          <w:lang w:val="it-IT"/>
        </w:rPr>
        <w:t>,</w:t>
      </w:r>
      <w:bookmarkEnd w:id="1"/>
      <w:r>
        <w:rPr>
          <w:lang w:val="it-IT"/>
        </w:rPr>
        <w:t xml:space="preserve"> </w:t>
      </w:r>
      <w:r w:rsidR="00AD7DF2">
        <w:rPr>
          <w:lang w:val="it-IT"/>
        </w:rPr>
        <w:t>Eleonora Genco</w:t>
      </w:r>
      <w:r w:rsidR="008365FA">
        <w:rPr>
          <w:vertAlign w:val="superscript"/>
          <w:lang w:val="it-IT"/>
        </w:rPr>
        <w:t>b</w:t>
      </w:r>
      <w:r w:rsidR="00AD7DF2">
        <w:rPr>
          <w:lang w:val="it-IT"/>
        </w:rPr>
        <w:t>,</w:t>
      </w:r>
      <w:r>
        <w:rPr>
          <w:lang w:val="it-IT"/>
        </w:rPr>
        <w:t xml:space="preserve"> </w:t>
      </w:r>
      <w:r w:rsidRPr="001C03D1">
        <w:rPr>
          <w:lang w:val="it-IT"/>
        </w:rPr>
        <w:t>Antonino Muratore</w:t>
      </w:r>
      <w:r w:rsidR="008365FA">
        <w:rPr>
          <w:vertAlign w:val="superscript"/>
          <w:lang w:val="it-IT"/>
        </w:rPr>
        <w:t>c</w:t>
      </w:r>
    </w:p>
    <w:p w14:paraId="467749A3" w14:textId="77777777" w:rsidR="00AD7DF2" w:rsidRDefault="00AD7DF2" w:rsidP="00AD7DF2">
      <w:pPr>
        <w:pStyle w:val="CETAddress"/>
        <w:rPr>
          <w:lang w:val="it-IT"/>
        </w:rPr>
      </w:pPr>
      <w:r>
        <w:rPr>
          <w:vertAlign w:val="superscript"/>
          <w:lang w:val="it-IT"/>
        </w:rPr>
        <w:t>a</w:t>
      </w:r>
      <w:r w:rsidRPr="00753133">
        <w:rPr>
          <w:lang w:val="it-IT"/>
        </w:rPr>
        <w:t>Inail, UOT Palermo, Viale del Fante 58/D - 90146 Palermo, Italy</w:t>
      </w:r>
    </w:p>
    <w:p w14:paraId="74DF9F95" w14:textId="7D8A1B6F" w:rsidR="00D87970" w:rsidRDefault="001C03D1" w:rsidP="00D87970">
      <w:pPr>
        <w:pStyle w:val="CETAddress"/>
        <w:rPr>
          <w:lang w:val="it-IT"/>
        </w:rPr>
      </w:pPr>
      <w:r>
        <w:rPr>
          <w:vertAlign w:val="superscript"/>
          <w:lang w:val="it-IT"/>
        </w:rPr>
        <w:t>b</w:t>
      </w:r>
      <w:r w:rsidR="00D87970" w:rsidRPr="00F35418">
        <w:rPr>
          <w:lang w:val="it-IT"/>
        </w:rPr>
        <w:t>Università di Palermo, Scuola di Specializzazione in Medicina del Lavoro, Piazza delle Cliniche, 2 - 90127 Palermo, Italy</w:t>
      </w:r>
    </w:p>
    <w:p w14:paraId="527B8248" w14:textId="6D931337" w:rsidR="001C03D1" w:rsidRPr="00F35418" w:rsidRDefault="001C03D1" w:rsidP="00D87970">
      <w:pPr>
        <w:pStyle w:val="CETAddress"/>
        <w:rPr>
          <w:lang w:val="it-IT"/>
        </w:rPr>
      </w:pPr>
      <w:r>
        <w:rPr>
          <w:vertAlign w:val="superscript"/>
          <w:lang w:val="it-IT"/>
        </w:rPr>
        <w:t>c</w:t>
      </w:r>
      <w:r w:rsidRPr="00753133">
        <w:rPr>
          <w:lang w:val="it-IT"/>
        </w:rPr>
        <w:t>Inail, UOT Como, Via Petrarca 4 - 22100 Como, Italy</w:t>
      </w:r>
    </w:p>
    <w:p w14:paraId="5BC525DA" w14:textId="62CC2C51" w:rsidR="00AD7DF2" w:rsidRPr="000B3BE6" w:rsidRDefault="00AD7DF2" w:rsidP="00AD7DF2">
      <w:pPr>
        <w:pStyle w:val="CETemail"/>
      </w:pPr>
      <w:r w:rsidRPr="00753133">
        <w:rPr>
          <w:vertAlign w:val="superscript"/>
          <w:lang w:val="en-US"/>
        </w:rPr>
        <w:t>*</w:t>
      </w:r>
      <w:r w:rsidR="008365FA">
        <w:rPr>
          <w:lang w:val="en-US"/>
        </w:rPr>
        <w:t>v</w:t>
      </w:r>
      <w:r w:rsidR="00D87970">
        <w:rPr>
          <w:lang w:val="en-US"/>
        </w:rPr>
        <w:t>.</w:t>
      </w:r>
      <w:r w:rsidR="008365FA">
        <w:rPr>
          <w:lang w:val="en-US"/>
        </w:rPr>
        <w:t>nastasi</w:t>
      </w:r>
      <w:r w:rsidRPr="00753133">
        <w:t>@inail.it</w:t>
      </w:r>
    </w:p>
    <w:p w14:paraId="5C8A40B7" w14:textId="78B35A38" w:rsidR="004E4F10" w:rsidRPr="0038023C" w:rsidRDefault="004E4F10" w:rsidP="0038023C">
      <w:pPr>
        <w:pStyle w:val="CETBodytext"/>
        <w:rPr>
          <w:lang w:val="en-GB"/>
        </w:rPr>
      </w:pPr>
      <w:r w:rsidRPr="0038023C">
        <w:rPr>
          <w:lang w:val="en-GB"/>
        </w:rPr>
        <w:t xml:space="preserve">The use of biofuels, derived from biomass as raw material, represents an alternative to fossil </w:t>
      </w:r>
      <w:r w:rsidR="009F5210" w:rsidRPr="0038023C">
        <w:rPr>
          <w:lang w:val="en-GB"/>
        </w:rPr>
        <w:t>fuels and</w:t>
      </w:r>
      <w:r w:rsidRPr="0038023C">
        <w:rPr>
          <w:lang w:val="en-GB"/>
        </w:rPr>
        <w:t xml:space="preserve"> contributes to reducing greenhouse gas emissions and increasing energy security.</w:t>
      </w:r>
    </w:p>
    <w:p w14:paraId="006BC3F6" w14:textId="6E2D2342" w:rsidR="004E4F10" w:rsidRPr="0038023C" w:rsidRDefault="004E4F10" w:rsidP="004E4F10">
      <w:pPr>
        <w:rPr>
          <w:szCs w:val="18"/>
          <w:lang w:val="en-US"/>
        </w:rPr>
      </w:pPr>
      <w:r w:rsidRPr="0038023C">
        <w:rPr>
          <w:szCs w:val="18"/>
          <w:lang w:val="en-US"/>
        </w:rPr>
        <w:t xml:space="preserve">The European Directive 2023/2413, Renewable Energy Directive III (RED III), promotes the use </w:t>
      </w:r>
      <w:r w:rsidR="009F5210" w:rsidRPr="0038023C">
        <w:rPr>
          <w:szCs w:val="18"/>
          <w:lang w:val="en-US"/>
        </w:rPr>
        <w:t>of advanced</w:t>
      </w:r>
      <w:r w:rsidRPr="0038023C">
        <w:rPr>
          <w:szCs w:val="18"/>
          <w:lang w:val="en-US"/>
        </w:rPr>
        <w:t xml:space="preserve"> biofuels and biogas (with a target of 5.5% in the transport sector by 2030) and encourages the development of production and storage plants for innovative fuels.</w:t>
      </w:r>
    </w:p>
    <w:p w14:paraId="03E52931" w14:textId="1C2F3CEE" w:rsidR="004E4F10" w:rsidRPr="0038023C" w:rsidRDefault="004E4F10" w:rsidP="004E4F10">
      <w:pPr>
        <w:rPr>
          <w:szCs w:val="18"/>
          <w:lang w:val="en-US"/>
        </w:rPr>
      </w:pPr>
      <w:r w:rsidRPr="0038023C">
        <w:rPr>
          <w:szCs w:val="18"/>
          <w:lang w:val="en-US"/>
        </w:rPr>
        <w:t xml:space="preserve">The RED III Directive distinguishes between “conventional” biofuels (produced, for example, </w:t>
      </w:r>
      <w:r w:rsidR="009F5210" w:rsidRPr="0038023C">
        <w:rPr>
          <w:szCs w:val="18"/>
          <w:lang w:val="en-US"/>
        </w:rPr>
        <w:t>from crops</w:t>
      </w:r>
      <w:r w:rsidRPr="0038023C">
        <w:rPr>
          <w:szCs w:val="18"/>
          <w:lang w:val="en-US"/>
        </w:rPr>
        <w:t xml:space="preserve"> such as corn or rapeseed) and second-generation or advanced biofuels (produced </w:t>
      </w:r>
      <w:r w:rsidR="009F5210" w:rsidRPr="0038023C">
        <w:rPr>
          <w:szCs w:val="18"/>
          <w:lang w:val="en-US"/>
        </w:rPr>
        <w:t>from organic</w:t>
      </w:r>
      <w:r w:rsidRPr="0038023C">
        <w:rPr>
          <w:szCs w:val="18"/>
          <w:lang w:val="en-US"/>
        </w:rPr>
        <w:t xml:space="preserve"> waste, used oils, agricultural or forestry residues, which do not compete with the food sector).</w:t>
      </w:r>
    </w:p>
    <w:p w14:paraId="74E772AE" w14:textId="3FA25200" w:rsidR="004E4F10" w:rsidRPr="0038023C" w:rsidRDefault="004E4F10" w:rsidP="004E4F10">
      <w:pPr>
        <w:rPr>
          <w:szCs w:val="18"/>
          <w:lang w:val="en-US"/>
        </w:rPr>
      </w:pPr>
      <w:r w:rsidRPr="0038023C">
        <w:rPr>
          <w:szCs w:val="18"/>
          <w:lang w:val="en-US"/>
        </w:rPr>
        <w:t xml:space="preserve">In the context of biofuel establishment, pressure equipment and assemblies are essential for </w:t>
      </w:r>
      <w:r w:rsidR="009F5210" w:rsidRPr="0038023C">
        <w:rPr>
          <w:szCs w:val="18"/>
          <w:lang w:val="en-US"/>
        </w:rPr>
        <w:t>various processes</w:t>
      </w:r>
      <w:r w:rsidRPr="0038023C">
        <w:rPr>
          <w:szCs w:val="18"/>
          <w:lang w:val="en-US"/>
        </w:rPr>
        <w:t xml:space="preserve">, such as hydrogen production, deoxygenation, isomerization, and separation units, </w:t>
      </w:r>
      <w:r w:rsidR="009F5210" w:rsidRPr="0038023C">
        <w:rPr>
          <w:szCs w:val="18"/>
          <w:lang w:val="en-US"/>
        </w:rPr>
        <w:t>in order</w:t>
      </w:r>
      <w:r w:rsidRPr="0038023C">
        <w:rPr>
          <w:szCs w:val="18"/>
          <w:lang w:val="en-US"/>
        </w:rPr>
        <w:t xml:space="preserve"> to obtain hydrotreated vegetable oil (HVO), sustainable aviation fuel (SAF), bio-LPG, etc. Examples of pressure equipment used in production processes are: vessels, heat </w:t>
      </w:r>
      <w:r w:rsidR="009F5210" w:rsidRPr="0038023C">
        <w:rPr>
          <w:szCs w:val="18"/>
          <w:lang w:val="en-US"/>
        </w:rPr>
        <w:t>exchangers, reactors</w:t>
      </w:r>
      <w:r w:rsidRPr="0038023C">
        <w:rPr>
          <w:szCs w:val="18"/>
          <w:lang w:val="en-US"/>
        </w:rPr>
        <w:t>, furnaces, pressurized piping connecting the equipment. To ensure safe management, it is crucial that such pressure equipment and assemblies are designed, manufactured, commissioned and operated in compliance with current regulations to prevent accidents and ensure the safety and health of workers</w:t>
      </w:r>
      <w:r w:rsidR="00C41B69" w:rsidRPr="0038023C">
        <w:rPr>
          <w:szCs w:val="18"/>
          <w:lang w:val="en-US"/>
        </w:rPr>
        <w:t xml:space="preserve"> and citizens living near the plant</w:t>
      </w:r>
      <w:r w:rsidRPr="0038023C">
        <w:rPr>
          <w:szCs w:val="18"/>
          <w:lang w:val="en-US"/>
        </w:rPr>
        <w:t xml:space="preserve">, as well as the integrity of the processes. </w:t>
      </w:r>
    </w:p>
    <w:p w14:paraId="7A70AF5B" w14:textId="7B79C709" w:rsidR="003229CB" w:rsidRPr="0038023C" w:rsidRDefault="004E4F10" w:rsidP="003229CB">
      <w:pPr>
        <w:rPr>
          <w:szCs w:val="18"/>
          <w:lang w:val="en-US"/>
        </w:rPr>
      </w:pPr>
      <w:r w:rsidRPr="0038023C">
        <w:rPr>
          <w:szCs w:val="18"/>
          <w:lang w:val="en-US"/>
        </w:rPr>
        <w:t>The purpose of this article is to provide a comprehensive view of the safe management of pressure</w:t>
      </w:r>
      <w:r w:rsidR="000623FE">
        <w:rPr>
          <w:szCs w:val="18"/>
          <w:lang w:val="en-US"/>
        </w:rPr>
        <w:t xml:space="preserve"> </w:t>
      </w:r>
      <w:r w:rsidRPr="0038023C">
        <w:rPr>
          <w:szCs w:val="18"/>
          <w:lang w:val="en-US"/>
        </w:rPr>
        <w:t>equipment and systems in biotechnological industries, in compliance with European regulations.</w:t>
      </w:r>
    </w:p>
    <w:p w14:paraId="5B759F29" w14:textId="1BC34B23" w:rsidR="004E4F10" w:rsidRPr="0038023C" w:rsidRDefault="00C41B69" w:rsidP="002B1CCE">
      <w:pPr>
        <w:rPr>
          <w:szCs w:val="18"/>
          <w:lang w:val="en-US"/>
        </w:rPr>
      </w:pPr>
      <w:r w:rsidRPr="0038023C">
        <w:rPr>
          <w:szCs w:val="18"/>
          <w:lang w:val="en-US"/>
        </w:rPr>
        <w:t>Furthermore, authors describe the main effects on the health of workers and citizens living near industrial plants</w:t>
      </w:r>
      <w:r w:rsidR="00051B7B" w:rsidRPr="0038023C">
        <w:rPr>
          <w:szCs w:val="18"/>
          <w:lang w:val="en-US"/>
        </w:rPr>
        <w:t xml:space="preserve"> containing pressure equipment</w:t>
      </w:r>
      <w:r w:rsidRPr="0038023C">
        <w:rPr>
          <w:szCs w:val="18"/>
          <w:lang w:val="en-US"/>
        </w:rPr>
        <w:t xml:space="preserve">, due to accidents causing fires, explosions and release of toxic substances. </w:t>
      </w:r>
    </w:p>
    <w:bookmarkEnd w:id="0"/>
    <w:p w14:paraId="328C8EA7" w14:textId="6C67D921" w:rsidR="00837D16" w:rsidRDefault="000825F7" w:rsidP="00837D16">
      <w:pPr>
        <w:pStyle w:val="CETBodytext"/>
        <w:rPr>
          <w:szCs w:val="18"/>
        </w:rPr>
      </w:pPr>
      <w:r w:rsidRPr="006141BF">
        <w:rPr>
          <w:i/>
          <w:szCs w:val="18"/>
        </w:rPr>
        <w:t>Keywords</w:t>
      </w:r>
      <w:r w:rsidRPr="0038023C">
        <w:rPr>
          <w:szCs w:val="18"/>
        </w:rPr>
        <w:t xml:space="preserve">: </w:t>
      </w:r>
      <w:r w:rsidR="00E70AA8" w:rsidRPr="0038023C">
        <w:rPr>
          <w:szCs w:val="18"/>
        </w:rPr>
        <w:t xml:space="preserve">Industrial </w:t>
      </w:r>
      <w:r w:rsidR="00753133" w:rsidRPr="0038023C">
        <w:rPr>
          <w:szCs w:val="18"/>
        </w:rPr>
        <w:t>Biotechnology</w:t>
      </w:r>
      <w:r w:rsidRPr="0038023C">
        <w:rPr>
          <w:szCs w:val="18"/>
        </w:rPr>
        <w:t xml:space="preserve">, </w:t>
      </w:r>
      <w:r w:rsidR="00E70AA8" w:rsidRPr="0038023C">
        <w:rPr>
          <w:szCs w:val="18"/>
        </w:rPr>
        <w:t>P</w:t>
      </w:r>
      <w:r w:rsidR="00753133" w:rsidRPr="0038023C">
        <w:rPr>
          <w:szCs w:val="18"/>
        </w:rPr>
        <w:t xml:space="preserve">ressure </w:t>
      </w:r>
      <w:r w:rsidR="00E70AA8" w:rsidRPr="0038023C">
        <w:rPr>
          <w:szCs w:val="18"/>
        </w:rPr>
        <w:t>E</w:t>
      </w:r>
      <w:r w:rsidR="00753133" w:rsidRPr="0038023C">
        <w:rPr>
          <w:szCs w:val="18"/>
        </w:rPr>
        <w:t>quipment</w:t>
      </w:r>
      <w:r w:rsidRPr="0038023C">
        <w:rPr>
          <w:szCs w:val="18"/>
        </w:rPr>
        <w:t xml:space="preserve">, </w:t>
      </w:r>
      <w:r w:rsidR="00E70AA8" w:rsidRPr="0038023C">
        <w:rPr>
          <w:szCs w:val="18"/>
        </w:rPr>
        <w:t>S</w:t>
      </w:r>
      <w:r w:rsidRPr="0038023C">
        <w:rPr>
          <w:szCs w:val="18"/>
        </w:rPr>
        <w:t xml:space="preserve">afe </w:t>
      </w:r>
      <w:r w:rsidR="00E70AA8" w:rsidRPr="0038023C">
        <w:rPr>
          <w:szCs w:val="18"/>
        </w:rPr>
        <w:t>M</w:t>
      </w:r>
      <w:r w:rsidRPr="0038023C">
        <w:rPr>
          <w:szCs w:val="18"/>
        </w:rPr>
        <w:t xml:space="preserve">anagement, </w:t>
      </w:r>
      <w:r w:rsidR="001A2790" w:rsidRPr="0038023C">
        <w:rPr>
          <w:szCs w:val="18"/>
          <w:lang w:val="en-GB"/>
        </w:rPr>
        <w:t>Occupational Safety and Health</w:t>
      </w:r>
      <w:r w:rsidR="00C41B69" w:rsidRPr="0038023C">
        <w:rPr>
          <w:szCs w:val="18"/>
          <w:lang w:val="en-GB"/>
        </w:rPr>
        <w:t>,</w:t>
      </w:r>
      <w:r w:rsidR="00C41B69" w:rsidRPr="0038023C">
        <w:rPr>
          <w:szCs w:val="18"/>
        </w:rPr>
        <w:t xml:space="preserve"> </w:t>
      </w:r>
      <w:r w:rsidR="002A47A9">
        <w:rPr>
          <w:szCs w:val="18"/>
        </w:rPr>
        <w:t>W</w:t>
      </w:r>
      <w:r w:rsidR="00C41B69" w:rsidRPr="0038023C">
        <w:rPr>
          <w:szCs w:val="18"/>
        </w:rPr>
        <w:t xml:space="preserve">orkers’ health, </w:t>
      </w:r>
      <w:r w:rsidR="002A47A9">
        <w:rPr>
          <w:szCs w:val="18"/>
        </w:rPr>
        <w:t>C</w:t>
      </w:r>
      <w:r w:rsidR="00C41B69" w:rsidRPr="0038023C">
        <w:rPr>
          <w:szCs w:val="18"/>
        </w:rPr>
        <w:t>itizens’ health</w:t>
      </w:r>
      <w:r w:rsidR="002A47A9">
        <w:rPr>
          <w:szCs w:val="18"/>
        </w:rPr>
        <w:t>.</w:t>
      </w:r>
    </w:p>
    <w:p w14:paraId="75C3F2FA" w14:textId="7451ABC3" w:rsidR="005F220A" w:rsidRPr="00B57B36" w:rsidRDefault="005F220A" w:rsidP="005F220A">
      <w:pPr>
        <w:pStyle w:val="CETHeading1"/>
        <w:rPr>
          <w:lang w:val="en-GB"/>
        </w:rPr>
      </w:pPr>
      <w:r w:rsidRPr="00B57B36">
        <w:rPr>
          <w:lang w:val="en-GB"/>
        </w:rPr>
        <w:t>Introduction</w:t>
      </w:r>
      <w:r>
        <w:rPr>
          <w:lang w:val="en-GB"/>
        </w:rPr>
        <w:t xml:space="preserve"> </w:t>
      </w:r>
      <w:r w:rsidRPr="005F220A">
        <w:rPr>
          <w:lang w:val="en-GB"/>
        </w:rPr>
        <w:t xml:space="preserve">to </w:t>
      </w:r>
      <w:r>
        <w:rPr>
          <w:lang w:val="en-GB"/>
        </w:rPr>
        <w:t>b</w:t>
      </w:r>
      <w:r w:rsidRPr="005F220A">
        <w:rPr>
          <w:lang w:val="en-GB"/>
        </w:rPr>
        <w:t xml:space="preserve">iofuel </w:t>
      </w:r>
      <w:r>
        <w:rPr>
          <w:lang w:val="en-GB"/>
        </w:rPr>
        <w:t>p</w:t>
      </w:r>
      <w:r w:rsidRPr="005F220A">
        <w:rPr>
          <w:lang w:val="en-GB"/>
        </w:rPr>
        <w:t xml:space="preserve">roduction </w:t>
      </w:r>
      <w:r>
        <w:rPr>
          <w:lang w:val="en-GB"/>
        </w:rPr>
        <w:t>p</w:t>
      </w:r>
      <w:r w:rsidRPr="005F220A">
        <w:rPr>
          <w:lang w:val="en-GB"/>
        </w:rPr>
        <w:t>lants</w:t>
      </w:r>
    </w:p>
    <w:p w14:paraId="5695040E" w14:textId="77777777" w:rsidR="005F220A" w:rsidRDefault="005F220A" w:rsidP="005F220A">
      <w:pPr>
        <w:pStyle w:val="CETBodytext"/>
        <w:rPr>
          <w:lang w:val="en-GB"/>
        </w:rPr>
      </w:pPr>
      <w:r w:rsidRPr="005F220A">
        <w:rPr>
          <w:lang w:val="en-GB"/>
        </w:rPr>
        <w:t>For an adequate energy transition, the European Union (EU Regulation No. 2023/435, the so-called “REPowerEU Plan”) promotes the conversion of oil refineries into biorefineries for the production of sustainable fuels, with the aim of achieving decarbonization by 2030–2050.</w:t>
      </w:r>
    </w:p>
    <w:p w14:paraId="17B16F3E" w14:textId="1563FEFC" w:rsidR="005F220A" w:rsidRPr="005F220A" w:rsidRDefault="005F220A" w:rsidP="005F220A">
      <w:pPr>
        <w:pStyle w:val="CETBodytext"/>
        <w:rPr>
          <w:lang w:val="en-GB"/>
        </w:rPr>
      </w:pPr>
      <w:r w:rsidRPr="005F220A">
        <w:rPr>
          <w:lang w:val="en-GB"/>
        </w:rPr>
        <w:t>The environmental advantages</w:t>
      </w:r>
      <w:r>
        <w:rPr>
          <w:lang w:val="en-GB"/>
        </w:rPr>
        <w:t xml:space="preserve">, </w:t>
      </w:r>
      <w:r w:rsidRPr="005F220A">
        <w:rPr>
          <w:lang w:val="en-GB"/>
        </w:rPr>
        <w:t>naturally associated with economic benefits</w:t>
      </w:r>
      <w:r>
        <w:rPr>
          <w:lang w:val="en-GB"/>
        </w:rPr>
        <w:t xml:space="preserve">, </w:t>
      </w:r>
      <w:r w:rsidRPr="005F220A">
        <w:rPr>
          <w:lang w:val="en-GB"/>
        </w:rPr>
        <w:t>of the production and use of biofuels, as a renewable energy source, include:</w:t>
      </w:r>
      <w:r w:rsidR="004C2F72">
        <w:rPr>
          <w:lang w:val="en-GB"/>
        </w:rPr>
        <w:t xml:space="preserve"> </w:t>
      </w:r>
      <w:r w:rsidRPr="005F220A">
        <w:rPr>
          <w:lang w:val="en-GB"/>
        </w:rPr>
        <w:t>a) significantly lower CO</w:t>
      </w:r>
      <w:r w:rsidRPr="005F220A">
        <w:rPr>
          <w:rFonts w:ascii="Cambria Math" w:hAnsi="Cambria Math" w:cs="Cambria Math"/>
          <w:lang w:val="en-GB"/>
        </w:rPr>
        <w:t>₂</w:t>
      </w:r>
      <w:r w:rsidRPr="005F220A">
        <w:rPr>
          <w:lang w:val="en-GB"/>
        </w:rPr>
        <w:t xml:space="preserve"> emissions, the main gas suspected to contribute to the greenhouse effect, compared with those produced by fossil fuels;</w:t>
      </w:r>
      <w:r w:rsidR="004C2F72">
        <w:rPr>
          <w:lang w:val="en-GB"/>
        </w:rPr>
        <w:t xml:space="preserve"> </w:t>
      </w:r>
      <w:r w:rsidRPr="005F220A">
        <w:rPr>
          <w:lang w:val="en-GB"/>
        </w:rPr>
        <w:t xml:space="preserve">b) the absence of </w:t>
      </w:r>
      <w:r w:rsidR="00F47FC3" w:rsidRPr="005F220A">
        <w:rPr>
          <w:lang w:val="en-GB"/>
        </w:rPr>
        <w:t>sulphur</w:t>
      </w:r>
      <w:r w:rsidRPr="005F220A">
        <w:rPr>
          <w:lang w:val="en-GB"/>
        </w:rPr>
        <w:t xml:space="preserve"> oxides emissions (responsible for acid rain), as the </w:t>
      </w:r>
      <w:r w:rsidR="00F47FC3" w:rsidRPr="005F220A">
        <w:rPr>
          <w:lang w:val="en-GB"/>
        </w:rPr>
        <w:t>sulphur</w:t>
      </w:r>
      <w:r w:rsidRPr="005F220A">
        <w:rPr>
          <w:lang w:val="en-GB"/>
        </w:rPr>
        <w:t xml:space="preserve"> content of biofuels is generally negligible;</w:t>
      </w:r>
      <w:r w:rsidR="004C2F72">
        <w:rPr>
          <w:lang w:val="en-GB"/>
        </w:rPr>
        <w:t xml:space="preserve"> </w:t>
      </w:r>
      <w:r w:rsidRPr="005F220A">
        <w:rPr>
          <w:lang w:val="en-GB"/>
        </w:rPr>
        <w:t xml:space="preserve">c) </w:t>
      </w:r>
      <w:r w:rsidR="00F47FC3" w:rsidRPr="005F220A">
        <w:rPr>
          <w:lang w:val="en-GB"/>
        </w:rPr>
        <w:t>favourable</w:t>
      </w:r>
      <w:r w:rsidRPr="005F220A">
        <w:rPr>
          <w:lang w:val="en-GB"/>
        </w:rPr>
        <w:t xml:space="preserve"> chemical–physical properties in terms of calorific value, anti-knock performance, and volatility point (generally higher than that of fossil fuels, e.g. biodiesel);</w:t>
      </w:r>
      <w:r w:rsidR="004C2F72">
        <w:rPr>
          <w:lang w:val="en-GB"/>
        </w:rPr>
        <w:t xml:space="preserve"> </w:t>
      </w:r>
      <w:r w:rsidRPr="005F220A">
        <w:rPr>
          <w:lang w:val="en-GB"/>
        </w:rPr>
        <w:t>d) fewer issues related to transport and storage compared with conventional fuels, as biofuels are biodegradable and hardly self-ignitable.</w:t>
      </w:r>
    </w:p>
    <w:p w14:paraId="00EFDE1F" w14:textId="0D05525A" w:rsidR="005F220A" w:rsidRDefault="005F220A" w:rsidP="005F220A">
      <w:pPr>
        <w:pStyle w:val="CETBodytext"/>
        <w:rPr>
          <w:lang w:val="en-GB"/>
        </w:rPr>
      </w:pPr>
      <w:r w:rsidRPr="005F220A">
        <w:rPr>
          <w:lang w:val="en-GB"/>
        </w:rPr>
        <w:t>Biofuels produced from plant and animal biomass (waste), which do not compete with the food chain, include hydrotreated vegetable oil (HVO), sustainable aviation fuel (SAF), bio-LPG, bio-naphtha, etc.</w:t>
      </w:r>
    </w:p>
    <w:p w14:paraId="79832571" w14:textId="0180A4CE" w:rsidR="00F47FC3" w:rsidRDefault="00F47FC3" w:rsidP="005F220A">
      <w:pPr>
        <w:pStyle w:val="CETBodytext"/>
        <w:rPr>
          <w:lang w:val="en-GB"/>
        </w:rPr>
      </w:pPr>
      <w:r w:rsidRPr="00F47FC3">
        <w:rPr>
          <w:lang w:val="en-GB"/>
        </w:rPr>
        <w:lastRenderedPageBreak/>
        <w:t>Figure 1 shows a block diagram of a biorefinery producing biofuels through the “Ecofining™” technology, developed by ENI (Ente Nazionale Idrocarburi, an Italian state-participated multinational energy company) in partnership with Honeywell UOP (U.S.</w:t>
      </w:r>
      <w:r>
        <w:rPr>
          <w:lang w:val="en-GB"/>
        </w:rPr>
        <w:t>A.</w:t>
      </w:r>
      <w:r w:rsidRPr="00F47FC3">
        <w:rPr>
          <w:lang w:val="en-GB"/>
        </w:rPr>
        <w:t xml:space="preserve"> multinational that develops and supplies technologies for petrochemical processing and biofuel production).</w:t>
      </w:r>
    </w:p>
    <w:p w14:paraId="235A7C68" w14:textId="77777777" w:rsidR="000B26C7" w:rsidRPr="000B26C7" w:rsidRDefault="000B26C7" w:rsidP="005F220A">
      <w:pPr>
        <w:pStyle w:val="CETBodytext"/>
        <w:rPr>
          <w:sz w:val="8"/>
          <w:szCs w:val="8"/>
          <w:lang w:val="en-GB"/>
        </w:rPr>
      </w:pPr>
    </w:p>
    <w:p w14:paraId="66C803D4" w14:textId="1CF39659" w:rsidR="009630CA" w:rsidRDefault="00F302ED" w:rsidP="009630CA">
      <w:pPr>
        <w:jc w:val="center"/>
        <w:rPr>
          <w:sz w:val="20"/>
          <w:lang w:val="it-IT"/>
        </w:rPr>
      </w:pPr>
      <w:r>
        <w:rPr>
          <w:noProof/>
          <w:sz w:val="20"/>
          <w:lang w:val="it-IT"/>
        </w:rPr>
        <w:drawing>
          <wp:inline distT="0" distB="0" distL="0" distR="0" wp14:anchorId="17BFB0F9" wp14:editId="0F0A65E4">
            <wp:extent cx="4048125" cy="2566670"/>
            <wp:effectExtent l="0" t="0" r="9525" b="0"/>
            <wp:docPr id="136698475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8125" cy="2566670"/>
                    </a:xfrm>
                    <a:prstGeom prst="rect">
                      <a:avLst/>
                    </a:prstGeom>
                    <a:noFill/>
                  </pic:spPr>
                </pic:pic>
              </a:graphicData>
            </a:graphic>
          </wp:inline>
        </w:drawing>
      </w:r>
    </w:p>
    <w:p w14:paraId="0574FD32" w14:textId="181F3F5D" w:rsidR="00D43CFC" w:rsidRPr="00F47FC3" w:rsidRDefault="00F47FC3" w:rsidP="00F47FC3">
      <w:pPr>
        <w:pStyle w:val="CETBodytext"/>
        <w:rPr>
          <w:lang w:val="en-GB"/>
        </w:rPr>
      </w:pPr>
      <w:r w:rsidRPr="00F47FC3">
        <w:rPr>
          <w:lang w:val="en-GB"/>
        </w:rPr>
        <w:t>Figure 1 – Block diagram of a biorefinery producing biofuels through the “Ecofining™” technology (developed by the multinational companies ENI and Honeywell UOP).</w:t>
      </w:r>
    </w:p>
    <w:p w14:paraId="163D80DB" w14:textId="77777777" w:rsidR="004E7B49" w:rsidRPr="00EA4361" w:rsidRDefault="004E7B49" w:rsidP="004E7B49">
      <w:pPr>
        <w:jc w:val="left"/>
        <w:rPr>
          <w:sz w:val="20"/>
        </w:rPr>
      </w:pPr>
    </w:p>
    <w:p w14:paraId="26F62C21" w14:textId="77777777" w:rsidR="004E7B49" w:rsidRPr="004E7B49" w:rsidRDefault="004E7B49" w:rsidP="004E7B49">
      <w:pPr>
        <w:pStyle w:val="CETBodytext"/>
        <w:rPr>
          <w:lang w:val="en-GB"/>
        </w:rPr>
      </w:pPr>
      <w:r w:rsidRPr="004E7B49">
        <w:rPr>
          <w:lang w:val="en-GB"/>
        </w:rPr>
        <w:t>The main industrial processes used by Ecofining™ technology to produce biofuels from vegetable and animal biomass (waste streams) are divided into the following units:</w:t>
      </w:r>
    </w:p>
    <w:p w14:paraId="3DEBC8CD" w14:textId="77777777" w:rsidR="004E7B49" w:rsidRPr="004E7B49" w:rsidRDefault="004E7B49" w:rsidP="004E7B49">
      <w:pPr>
        <w:pStyle w:val="CETBodytext"/>
        <w:numPr>
          <w:ilvl w:val="0"/>
          <w:numId w:val="33"/>
        </w:numPr>
        <w:rPr>
          <w:lang w:val="en-GB"/>
        </w:rPr>
      </w:pPr>
      <w:r w:rsidRPr="004E7B49">
        <w:rPr>
          <w:lang w:val="en-GB"/>
        </w:rPr>
        <w:t>Steam reforming unit: production of hydrogen (H</w:t>
      </w:r>
      <w:r w:rsidRPr="004E7B49">
        <w:rPr>
          <w:rFonts w:ascii="Cambria Math" w:hAnsi="Cambria Math" w:cs="Cambria Math"/>
          <w:lang w:val="en-GB"/>
        </w:rPr>
        <w:t>₂</w:t>
      </w:r>
      <w:r w:rsidRPr="004E7B49">
        <w:rPr>
          <w:lang w:val="en-GB"/>
        </w:rPr>
        <w:t>) and steam from methane (CH</w:t>
      </w:r>
      <w:r w:rsidRPr="004E7B49">
        <w:rPr>
          <w:rFonts w:ascii="Cambria Math" w:hAnsi="Cambria Math" w:cs="Cambria Math"/>
          <w:lang w:val="en-GB"/>
        </w:rPr>
        <w:t>₄</w:t>
      </w:r>
      <w:r w:rsidRPr="004E7B49">
        <w:rPr>
          <w:lang w:val="en-GB"/>
        </w:rPr>
        <w:t>) and demineralized water (H</w:t>
      </w:r>
      <w:r w:rsidRPr="004E7B49">
        <w:rPr>
          <w:rFonts w:ascii="Cambria Math" w:hAnsi="Cambria Math" w:cs="Cambria Math"/>
          <w:lang w:val="en-GB"/>
        </w:rPr>
        <w:t>₂</w:t>
      </w:r>
      <w:r w:rsidRPr="004E7B49">
        <w:rPr>
          <w:lang w:val="en-GB"/>
        </w:rPr>
        <w:t>O);</w:t>
      </w:r>
    </w:p>
    <w:p w14:paraId="59C88796" w14:textId="40BBECAD" w:rsidR="004E7B49" w:rsidRPr="004E7B49" w:rsidRDefault="004E7B49" w:rsidP="004E7B49">
      <w:pPr>
        <w:pStyle w:val="CETBodytext"/>
        <w:numPr>
          <w:ilvl w:val="0"/>
          <w:numId w:val="33"/>
        </w:numPr>
        <w:rPr>
          <w:lang w:val="en-GB"/>
        </w:rPr>
      </w:pPr>
      <w:r w:rsidRPr="004E7B49">
        <w:rPr>
          <w:lang w:val="en-GB"/>
        </w:rPr>
        <w:t>Biomass treatment unit: processing of vegetable oils, regenerated used cooking oil, and animal fats;</w:t>
      </w:r>
    </w:p>
    <w:p w14:paraId="7C6F446A" w14:textId="77777777" w:rsidR="004E7B49" w:rsidRPr="004E7B49" w:rsidRDefault="004E7B49" w:rsidP="004E7B49">
      <w:pPr>
        <w:pStyle w:val="CETBodytext"/>
        <w:numPr>
          <w:ilvl w:val="0"/>
          <w:numId w:val="33"/>
        </w:numPr>
        <w:rPr>
          <w:lang w:val="en-GB"/>
        </w:rPr>
      </w:pPr>
      <w:r w:rsidRPr="004E7B49">
        <w:rPr>
          <w:lang w:val="en-GB"/>
        </w:rPr>
        <w:t>Deoxygenation unit: removal of contaminants and oxygen from vegetable oils and animal fats using hydrogen;</w:t>
      </w:r>
    </w:p>
    <w:p w14:paraId="4FE2B6F9" w14:textId="77777777" w:rsidR="004E7B49" w:rsidRPr="004E7B49" w:rsidRDefault="004E7B49" w:rsidP="004E7B49">
      <w:pPr>
        <w:pStyle w:val="CETBodytext"/>
        <w:numPr>
          <w:ilvl w:val="0"/>
          <w:numId w:val="33"/>
        </w:numPr>
        <w:rPr>
          <w:lang w:val="en-GB"/>
        </w:rPr>
      </w:pPr>
      <w:r w:rsidRPr="004E7B49">
        <w:rPr>
          <w:lang w:val="en-GB"/>
        </w:rPr>
        <w:t>Isomerization unit: improvement of the cold-flow properties of the biofuel;</w:t>
      </w:r>
    </w:p>
    <w:p w14:paraId="0349D9CA" w14:textId="4CE551C1" w:rsidR="004E7B49" w:rsidRDefault="004E7B49" w:rsidP="004E7B49">
      <w:pPr>
        <w:pStyle w:val="CETBodytext"/>
        <w:numPr>
          <w:ilvl w:val="0"/>
          <w:numId w:val="33"/>
        </w:numPr>
        <w:rPr>
          <w:lang w:val="en-GB"/>
        </w:rPr>
      </w:pPr>
      <w:r w:rsidRPr="004E7B49">
        <w:rPr>
          <w:lang w:val="en-GB"/>
        </w:rPr>
        <w:t xml:space="preserve">Product separation unit: separation of final products (HVO, </w:t>
      </w:r>
      <w:r w:rsidR="006141BF">
        <w:rPr>
          <w:lang w:val="en-GB"/>
        </w:rPr>
        <w:t>B</w:t>
      </w:r>
      <w:r w:rsidRPr="004E7B49">
        <w:rPr>
          <w:lang w:val="en-GB"/>
        </w:rPr>
        <w:t xml:space="preserve">iojet fuel, LPG, and </w:t>
      </w:r>
      <w:r w:rsidR="006141BF">
        <w:rPr>
          <w:lang w:val="en-GB"/>
        </w:rPr>
        <w:t>N</w:t>
      </w:r>
      <w:r w:rsidRPr="004E7B49">
        <w:rPr>
          <w:lang w:val="en-GB"/>
        </w:rPr>
        <w:t>aphtha).</w:t>
      </w:r>
    </w:p>
    <w:p w14:paraId="53AF8A97" w14:textId="0528212D" w:rsidR="00501EFA" w:rsidRDefault="00501EFA" w:rsidP="00501EFA">
      <w:pPr>
        <w:pStyle w:val="CETBodytext"/>
        <w:rPr>
          <w:lang w:val="en-GB"/>
        </w:rPr>
      </w:pPr>
      <w:r w:rsidRPr="00501EFA">
        <w:rPr>
          <w:lang w:val="en-GB"/>
        </w:rPr>
        <w:t>All the above-mentioned process units handle fluids, conveyed by pumps and compressors, through a wide range of pressure equipment and pressure assemblies (several thousand units), such as vessels, heat exchangers, reactors, furnaces, connecting piping, etc.</w:t>
      </w:r>
    </w:p>
    <w:p w14:paraId="1752A6D2" w14:textId="02ABDDF6" w:rsidR="00501EFA" w:rsidRDefault="00501EFA" w:rsidP="00501EFA">
      <w:pPr>
        <w:pStyle w:val="CETBodytext"/>
        <w:rPr>
          <w:lang w:val="en-GB"/>
        </w:rPr>
      </w:pPr>
      <w:r w:rsidRPr="00501EFA">
        <w:rPr>
          <w:lang w:val="en-GB"/>
        </w:rPr>
        <w:t xml:space="preserve">The aim of the </w:t>
      </w:r>
      <w:r w:rsidR="00FF3447">
        <w:rPr>
          <w:lang w:val="en-GB"/>
        </w:rPr>
        <w:t>paper</w:t>
      </w:r>
      <w:r w:rsidRPr="00501EFA">
        <w:rPr>
          <w:lang w:val="en-GB"/>
        </w:rPr>
        <w:t>, in light of the authors’ institutional experience</w:t>
      </w:r>
      <w:r w:rsidR="00F41AA9">
        <w:rPr>
          <w:lang w:val="en-GB"/>
        </w:rPr>
        <w:t xml:space="preserve"> (some </w:t>
      </w:r>
      <w:r w:rsidR="00F41AA9" w:rsidRPr="00F41AA9">
        <w:rPr>
          <w:lang w:val="en-GB"/>
        </w:rPr>
        <w:t>authors are testing equipment and pressure systems present in the Biorefinery</w:t>
      </w:r>
      <w:r w:rsidR="00F41AA9">
        <w:rPr>
          <w:lang w:val="en-GB"/>
        </w:rPr>
        <w:t xml:space="preserve"> located in Gela</w:t>
      </w:r>
      <w:r w:rsidR="00F41AA9" w:rsidRPr="00F41AA9">
        <w:rPr>
          <w:lang w:val="en-GB"/>
        </w:rPr>
        <w:t>, currently the largest biorefinery in Italy</w:t>
      </w:r>
      <w:r w:rsidR="00F41AA9">
        <w:rPr>
          <w:lang w:val="en-GB"/>
        </w:rPr>
        <w:t>)</w:t>
      </w:r>
      <w:r w:rsidRPr="00501EFA">
        <w:rPr>
          <w:lang w:val="en-GB"/>
        </w:rPr>
        <w:t>, is to provide a concise yet comprehensive overview of the design, construction, and safe operation of pressure equipment and pressure assemblies used in biorefineries producing biofuels, in accordance with the relevant European and Italian regulatory frameworks. Indeed, the loss of fluid from pressure equipment and/or pressure assemblies operating at high pressures and temperatures in biorefineries may trigger fires, explosions, and toxic releases into the surrounding environment, with potentially very serious consequences for the safety and health of workers and of citizens living near such plants, which almost always fall within the scope of the European Directive on the control of major accident hazards (Directive 2012/18/EU of the European Union, the so-called “Seveso III”). Finally, the main effects on the safety and health of workers and the general population, as well as on the environment, in the event of fires, explosions, or toxic clouds are described.</w:t>
      </w:r>
    </w:p>
    <w:p w14:paraId="0F9C5250" w14:textId="2E134C38" w:rsidR="0031164C" w:rsidRPr="00B57B36" w:rsidRDefault="0031164C" w:rsidP="0031164C">
      <w:pPr>
        <w:pStyle w:val="CETHeading1"/>
        <w:rPr>
          <w:lang w:val="en-GB"/>
        </w:rPr>
      </w:pPr>
      <w:r w:rsidRPr="0031164C">
        <w:rPr>
          <w:lang w:val="en-GB"/>
        </w:rPr>
        <w:t>Design and Construction of Pressure Equipment and Assemblies</w:t>
      </w:r>
    </w:p>
    <w:p w14:paraId="6023CFCF" w14:textId="5ACC4282" w:rsidR="00EA4361" w:rsidRPr="00EA4361" w:rsidRDefault="00EA4361" w:rsidP="00927C6D">
      <w:pPr>
        <w:pStyle w:val="CETBodytext"/>
        <w:rPr>
          <w:lang w:val="en-GB"/>
        </w:rPr>
      </w:pPr>
      <w:r w:rsidRPr="00EA4361">
        <w:rPr>
          <w:lang w:val="en-GB"/>
        </w:rPr>
        <w:t>The most common incidental event involving pressure equipment and pressure assemblies originates from a loss of the contained fluid, leading to fire, explosion, or the release of toxic substances. In the most severe cases, structural failure of such pressure equipment or assemblies may result in physical explosions (rupture), projecting not only the contained fluid but also fragments of the equipment itself into the surrounding environment.</w:t>
      </w:r>
      <w:r w:rsidR="00092A08">
        <w:rPr>
          <w:lang w:val="en-GB"/>
        </w:rPr>
        <w:t xml:space="preserve"> </w:t>
      </w:r>
      <w:r w:rsidRPr="00EA4361">
        <w:rPr>
          <w:lang w:val="en-GB"/>
        </w:rPr>
        <w:t>Therefore, the primary preventive measure is to avoid fluid leakage from pressure equipment and assemblies by designing and manufacturing them in compliance with appropriate Essential Safety Requirements, which in Europe are laid down in the product directive “Pressure Equipment Directive” 2014/68/EU, hereinafter referred to as the “PED”.</w:t>
      </w:r>
      <w:r w:rsidR="00092A08">
        <w:rPr>
          <w:lang w:val="en-GB"/>
        </w:rPr>
        <w:t xml:space="preserve"> </w:t>
      </w:r>
      <w:r w:rsidRPr="00EA4361">
        <w:rPr>
          <w:lang w:val="en-GB"/>
        </w:rPr>
        <w:t xml:space="preserve">This Directive is primarily addressed to designers and </w:t>
      </w:r>
      <w:r w:rsidRPr="00EA4361">
        <w:rPr>
          <w:lang w:val="en-GB"/>
        </w:rPr>
        <w:lastRenderedPageBreak/>
        <w:t xml:space="preserve">manufacturers of the aforementioned equipment, excluding those </w:t>
      </w:r>
      <w:r w:rsidR="00FF3447" w:rsidRPr="00FF3447">
        <w:rPr>
          <w:lang w:val="en-GB"/>
        </w:rPr>
        <w:t xml:space="preserve">with a maximum allowable pressure </w:t>
      </w:r>
      <w:r w:rsidRPr="00EA4361">
        <w:rPr>
          <w:lang w:val="en-GB"/>
        </w:rPr>
        <w:t>(P</w:t>
      </w:r>
      <w:r w:rsidR="00FF3447">
        <w:rPr>
          <w:lang w:val="en-GB"/>
        </w:rPr>
        <w:t>S</w:t>
      </w:r>
      <w:r w:rsidRPr="00EA4361">
        <w:rPr>
          <w:lang w:val="en-GB"/>
        </w:rPr>
        <w:t>) lower than 0.5 bar (including full vacuum and/or external pressure). The PED Directive assigns a risk category to each item of pressure equipment or assembly based on:</w:t>
      </w:r>
    </w:p>
    <w:p w14:paraId="58E832A1" w14:textId="2A586B72" w:rsidR="00EA4361" w:rsidRPr="00EA4361" w:rsidRDefault="00EA4361" w:rsidP="00EA4361">
      <w:pPr>
        <w:pStyle w:val="CETBodytext"/>
        <w:numPr>
          <w:ilvl w:val="0"/>
          <w:numId w:val="35"/>
        </w:numPr>
        <w:rPr>
          <w:lang w:val="en-GB"/>
        </w:rPr>
      </w:pPr>
      <w:r w:rsidRPr="00EA4361">
        <w:rPr>
          <w:lang w:val="en-GB"/>
        </w:rPr>
        <w:t>the type of equipment;</w:t>
      </w:r>
    </w:p>
    <w:p w14:paraId="5EEB430C" w14:textId="06A6895F" w:rsidR="00EA4361" w:rsidRPr="00EA4361" w:rsidRDefault="00EA4361" w:rsidP="00EA4361">
      <w:pPr>
        <w:pStyle w:val="CETBodytext"/>
        <w:numPr>
          <w:ilvl w:val="0"/>
          <w:numId w:val="35"/>
        </w:numPr>
        <w:rPr>
          <w:lang w:val="en-GB"/>
        </w:rPr>
      </w:pPr>
      <w:r w:rsidRPr="00EA4361">
        <w:rPr>
          <w:lang w:val="en-GB"/>
        </w:rPr>
        <w:t>the working fluid, in terms of physical state and hazardous properties;</w:t>
      </w:r>
    </w:p>
    <w:p w14:paraId="0278072B" w14:textId="3DF0A4E1" w:rsidR="00EA4361" w:rsidRPr="00EA4361" w:rsidRDefault="00EA4361" w:rsidP="00EA4361">
      <w:pPr>
        <w:pStyle w:val="CETBodytext"/>
        <w:numPr>
          <w:ilvl w:val="0"/>
          <w:numId w:val="35"/>
        </w:numPr>
        <w:rPr>
          <w:lang w:val="en-GB"/>
        </w:rPr>
      </w:pPr>
      <w:r w:rsidRPr="00EA4361">
        <w:rPr>
          <w:lang w:val="en-GB"/>
        </w:rPr>
        <w:t>the pressure;</w:t>
      </w:r>
    </w:p>
    <w:p w14:paraId="49A62B57" w14:textId="53F21B63" w:rsidR="00EA4361" w:rsidRDefault="00EA4361" w:rsidP="00EA4361">
      <w:pPr>
        <w:pStyle w:val="CETBodytext"/>
        <w:numPr>
          <w:ilvl w:val="0"/>
          <w:numId w:val="35"/>
        </w:numPr>
        <w:rPr>
          <w:lang w:val="en-GB"/>
        </w:rPr>
      </w:pPr>
      <w:r w:rsidRPr="00EA4361">
        <w:rPr>
          <w:lang w:val="en-GB"/>
        </w:rPr>
        <w:t>the containment geometry, namely volume (for vessels) and diameter (for piping).</w:t>
      </w:r>
    </w:p>
    <w:p w14:paraId="3E229DCD" w14:textId="77777777" w:rsidR="00EA4361" w:rsidRPr="00EA4361" w:rsidRDefault="00EA4361" w:rsidP="00EA4361">
      <w:pPr>
        <w:pStyle w:val="CETBodytext"/>
        <w:rPr>
          <w:lang w:val="en-GB"/>
        </w:rPr>
      </w:pPr>
      <w:r w:rsidRPr="00EA4361">
        <w:rPr>
          <w:lang w:val="en-GB"/>
        </w:rPr>
        <w:t>In turn, the intrinsic risk of a pressurized fluid differs according to:</w:t>
      </w:r>
    </w:p>
    <w:p w14:paraId="73127437" w14:textId="1468261E" w:rsidR="00EA4361" w:rsidRDefault="00EA4361" w:rsidP="00EA4361">
      <w:pPr>
        <w:pStyle w:val="CETBodytext"/>
        <w:numPr>
          <w:ilvl w:val="0"/>
          <w:numId w:val="34"/>
        </w:numPr>
        <w:rPr>
          <w:lang w:val="en-GB"/>
        </w:rPr>
      </w:pPr>
      <w:r w:rsidRPr="00EA4361">
        <w:rPr>
          <w:lang w:val="en-GB"/>
        </w:rPr>
        <w:t>Physical state (compressibility):</w:t>
      </w:r>
      <w:r>
        <w:rPr>
          <w:lang w:val="en-GB"/>
        </w:rPr>
        <w:t xml:space="preserve"> </w:t>
      </w:r>
      <w:r w:rsidRPr="00EA4361">
        <w:rPr>
          <w:lang w:val="en-GB"/>
        </w:rPr>
        <w:t>Liquids → low stored energy → low risk;</w:t>
      </w:r>
    </w:p>
    <w:p w14:paraId="08884310" w14:textId="51FAB72E" w:rsidR="00EA4361" w:rsidRPr="00EA4361" w:rsidRDefault="00EA4361" w:rsidP="00EA4361">
      <w:pPr>
        <w:pStyle w:val="CETBodytext"/>
        <w:numPr>
          <w:ilvl w:val="0"/>
          <w:numId w:val="34"/>
        </w:numPr>
        <w:rPr>
          <w:lang w:val="en-GB"/>
        </w:rPr>
      </w:pPr>
      <w:r w:rsidRPr="00EA4361">
        <w:rPr>
          <w:lang w:val="en-GB"/>
        </w:rPr>
        <w:t>Gases and vapours → high stored energy → high risk.</w:t>
      </w:r>
    </w:p>
    <w:p w14:paraId="75D4C307" w14:textId="77777777" w:rsidR="00EA4361" w:rsidRPr="00EA4361" w:rsidRDefault="00EA4361" w:rsidP="00EA4361">
      <w:pPr>
        <w:pStyle w:val="CETBodytext"/>
        <w:rPr>
          <w:lang w:val="en-GB"/>
        </w:rPr>
      </w:pPr>
      <w:r w:rsidRPr="00EA4361">
        <w:rPr>
          <w:lang w:val="en-GB"/>
        </w:rPr>
        <w:t>It is also necessary to identify the hazard classification of the fluid (Group):</w:t>
      </w:r>
    </w:p>
    <w:p w14:paraId="1849BC92" w14:textId="5BDEDE03" w:rsidR="00EA4361" w:rsidRPr="00EA4361" w:rsidRDefault="00EA4361" w:rsidP="00EA4361">
      <w:pPr>
        <w:pStyle w:val="CETBodytext"/>
        <w:numPr>
          <w:ilvl w:val="0"/>
          <w:numId w:val="34"/>
        </w:numPr>
        <w:rPr>
          <w:lang w:val="en-GB"/>
        </w:rPr>
      </w:pPr>
      <w:r w:rsidRPr="00EA4361">
        <w:rPr>
          <w:lang w:val="en-GB"/>
        </w:rPr>
        <w:t>Group 1 → Explosive, flammable, toxic, oxidizing substances (hazardous fluids);</w:t>
      </w:r>
    </w:p>
    <w:p w14:paraId="54FACF49" w14:textId="703396E9" w:rsidR="00B72BF6" w:rsidRDefault="00EA4361" w:rsidP="00EA4361">
      <w:pPr>
        <w:pStyle w:val="CETBodytext"/>
        <w:numPr>
          <w:ilvl w:val="0"/>
          <w:numId w:val="34"/>
        </w:numPr>
        <w:rPr>
          <w:lang w:val="en-GB"/>
        </w:rPr>
      </w:pPr>
      <w:r w:rsidRPr="00EA4361">
        <w:rPr>
          <w:lang w:val="en-GB"/>
        </w:rPr>
        <w:t>Group 2 → Non-hazardous fluids (all others).</w:t>
      </w:r>
    </w:p>
    <w:p w14:paraId="60177246" w14:textId="75A1A569" w:rsidR="00EA4361" w:rsidRPr="00EA4361" w:rsidRDefault="00EA4361" w:rsidP="00EA4361">
      <w:pPr>
        <w:pStyle w:val="CETBodytext"/>
        <w:rPr>
          <w:lang w:val="en-GB"/>
        </w:rPr>
      </w:pPr>
      <w:r w:rsidRPr="00EA4361">
        <w:rPr>
          <w:lang w:val="en-GB"/>
        </w:rPr>
        <w:t xml:space="preserve">Based on all these elements (a, b, c, d), the PED identifies </w:t>
      </w:r>
      <w:r>
        <w:rPr>
          <w:lang w:val="en-GB"/>
        </w:rPr>
        <w:t>9</w:t>
      </w:r>
      <w:r w:rsidRPr="00EA4361">
        <w:rPr>
          <w:lang w:val="en-GB"/>
        </w:rPr>
        <w:t xml:space="preserve"> tables that define the PED risk category and, consequently, the design requirements, conformity assessment procedures, and CE marking obligations.</w:t>
      </w:r>
    </w:p>
    <w:p w14:paraId="7E87C756" w14:textId="77777777" w:rsidR="00EA4361" w:rsidRPr="00EA4361" w:rsidRDefault="00EA4361" w:rsidP="00EA4361">
      <w:pPr>
        <w:pStyle w:val="CETBodytext"/>
        <w:rPr>
          <w:lang w:val="en-GB"/>
        </w:rPr>
      </w:pPr>
      <w:r w:rsidRPr="00EA4361">
        <w:rPr>
          <w:lang w:val="en-GB"/>
        </w:rPr>
        <w:t>From this PED risk categorization derive the obligations related to design, conformity assessment, and CE marking of the relevant equipment/assemblies.</w:t>
      </w:r>
    </w:p>
    <w:p w14:paraId="099A3ADD" w14:textId="083FA952" w:rsidR="00E94F27" w:rsidRDefault="00EA4361" w:rsidP="00EA4361">
      <w:pPr>
        <w:pStyle w:val="CETBodytext"/>
        <w:rPr>
          <w:lang w:val="en-GB"/>
        </w:rPr>
      </w:pPr>
      <w:r w:rsidRPr="00EA4361">
        <w:rPr>
          <w:lang w:val="en-GB"/>
        </w:rPr>
        <w:t>Figure 2 shows, by way of example, which PED table</w:t>
      </w:r>
      <w:r>
        <w:rPr>
          <w:lang w:val="en-GB"/>
        </w:rPr>
        <w:t xml:space="preserve"> - </w:t>
      </w:r>
      <w:r w:rsidRPr="00EA4361">
        <w:rPr>
          <w:lang w:val="en-GB"/>
        </w:rPr>
        <w:t>and therefore which risk category</w:t>
      </w:r>
      <w:r>
        <w:rPr>
          <w:lang w:val="en-GB"/>
        </w:rPr>
        <w:t xml:space="preserve"> - </w:t>
      </w:r>
      <w:r w:rsidRPr="00EA4361">
        <w:rPr>
          <w:lang w:val="en-GB"/>
        </w:rPr>
        <w:t>applies to pressure vessels or piping, depending on the nature of the fluid (gas or liquid) and its hazard classification (Group 1 = hazardous fluid; Group 2 = non-hazardous fluid).</w:t>
      </w:r>
    </w:p>
    <w:p w14:paraId="077E5A1B" w14:textId="2BAC433B" w:rsidR="00EA4361" w:rsidRPr="00652190" w:rsidRDefault="00E94F27" w:rsidP="00EA4361">
      <w:pPr>
        <w:pStyle w:val="CETBodytext"/>
        <w:jc w:val="center"/>
        <w:rPr>
          <w:lang w:val="en-GB"/>
        </w:rPr>
      </w:pPr>
      <w:r w:rsidRPr="00C94CC5">
        <w:rPr>
          <w:noProof/>
        </w:rPr>
        <w:drawing>
          <wp:inline distT="0" distB="0" distL="0" distR="0" wp14:anchorId="0A9C007C" wp14:editId="151C9424">
            <wp:extent cx="4155141" cy="1061720"/>
            <wp:effectExtent l="0" t="0" r="0" b="5080"/>
            <wp:docPr id="194553396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368" t="11513" r="28320" b="13342"/>
                    <a:stretch>
                      <a:fillRect/>
                    </a:stretch>
                  </pic:blipFill>
                  <pic:spPr bwMode="auto">
                    <a:xfrm>
                      <a:off x="0" y="0"/>
                      <a:ext cx="4189475" cy="1070493"/>
                    </a:xfrm>
                    <a:prstGeom prst="rect">
                      <a:avLst/>
                    </a:prstGeom>
                    <a:noFill/>
                    <a:ln>
                      <a:noFill/>
                    </a:ln>
                    <a:extLst>
                      <a:ext uri="{53640926-AAD7-44D8-BBD7-CCE9431645EC}">
                        <a14:shadowObscured xmlns:a14="http://schemas.microsoft.com/office/drawing/2010/main"/>
                      </a:ext>
                    </a:extLst>
                  </pic:spPr>
                </pic:pic>
              </a:graphicData>
            </a:graphic>
          </wp:inline>
        </w:drawing>
      </w:r>
    </w:p>
    <w:p w14:paraId="1F611999" w14:textId="3B61E3E2" w:rsidR="00EA4361" w:rsidRDefault="00EA4361" w:rsidP="00EA4361">
      <w:pPr>
        <w:pStyle w:val="CETBodytext"/>
        <w:rPr>
          <w:lang w:val="en-GB"/>
        </w:rPr>
      </w:pPr>
      <w:r w:rsidRPr="00EA4361">
        <w:rPr>
          <w:lang w:val="en-GB"/>
        </w:rPr>
        <w:t xml:space="preserve">Figure 2 – Diagram of the </w:t>
      </w:r>
      <w:r>
        <w:rPr>
          <w:lang w:val="en-GB"/>
        </w:rPr>
        <w:t>9</w:t>
      </w:r>
      <w:r w:rsidRPr="00EA4361">
        <w:rPr>
          <w:lang w:val="en-GB"/>
        </w:rPr>
        <w:t xml:space="preserve"> tables included in the PED Directive for pressure vessels and piping, based on the nature of the fluid (gas or liquid) and its hazard classification (Group 1 = hazardous fluid, Group 2 = non-hazardous fluid).</w:t>
      </w:r>
    </w:p>
    <w:p w14:paraId="3A19B4D0" w14:textId="77777777" w:rsidR="00EA4361" w:rsidRDefault="00EA4361" w:rsidP="00EA4361">
      <w:pPr>
        <w:pStyle w:val="CETBodytext"/>
        <w:rPr>
          <w:lang w:val="en-GB"/>
        </w:rPr>
      </w:pPr>
    </w:p>
    <w:p w14:paraId="63DB5011" w14:textId="12B7371A" w:rsidR="00D64D00" w:rsidRPr="00D64D00" w:rsidRDefault="00D64D00" w:rsidP="00D64D00">
      <w:pPr>
        <w:pStyle w:val="CETBodytext"/>
        <w:rPr>
          <w:lang w:val="en-GB"/>
        </w:rPr>
      </w:pPr>
      <w:r w:rsidRPr="00D64D00">
        <w:rPr>
          <w:lang w:val="en-GB"/>
        </w:rPr>
        <w:t>PED assembly mean</w:t>
      </w:r>
      <w:r>
        <w:rPr>
          <w:lang w:val="en-GB"/>
        </w:rPr>
        <w:t>s</w:t>
      </w:r>
      <w:r w:rsidRPr="00D64D00">
        <w:rPr>
          <w:lang w:val="en-GB"/>
        </w:rPr>
        <w:t xml:space="preserve">: </w:t>
      </w:r>
      <w:r w:rsidR="000B4054" w:rsidRPr="000B4054">
        <w:rPr>
          <w:lang w:val="en-GB"/>
        </w:rPr>
        <w:t>several pieces of pressure equipment assembled by a manufacturer to constitute an integrated and functional whole</w:t>
      </w:r>
      <w:r w:rsidRPr="00D64D00">
        <w:rPr>
          <w:lang w:val="en-GB"/>
        </w:rPr>
        <w:t>.</w:t>
      </w:r>
      <w:r w:rsidR="00EE0CD8">
        <w:rPr>
          <w:lang w:val="en-GB"/>
        </w:rPr>
        <w:t xml:space="preserve"> </w:t>
      </w:r>
      <w:r w:rsidRPr="00D64D00">
        <w:rPr>
          <w:lang w:val="en-GB"/>
        </w:rPr>
        <w:t>The intrinsic characteristics of the definition of an assembly are:</w:t>
      </w:r>
    </w:p>
    <w:p w14:paraId="6F9B7D35" w14:textId="06C7AAAB" w:rsidR="00D64D00" w:rsidRPr="00D64D00" w:rsidRDefault="00D64D00" w:rsidP="00D64D00">
      <w:pPr>
        <w:pStyle w:val="CETBodytext"/>
        <w:rPr>
          <w:lang w:val="en-GB"/>
        </w:rPr>
      </w:pPr>
      <w:r w:rsidRPr="00D64D00">
        <w:rPr>
          <w:lang w:val="en-GB"/>
        </w:rPr>
        <w:t xml:space="preserve">a) integrated components: designed and connected in a compatible </w:t>
      </w:r>
      <w:r>
        <w:rPr>
          <w:lang w:val="en-GB"/>
        </w:rPr>
        <w:t>way</w:t>
      </w:r>
      <w:r w:rsidRPr="00D64D00">
        <w:rPr>
          <w:lang w:val="en-GB"/>
        </w:rPr>
        <w:t>;</w:t>
      </w:r>
    </w:p>
    <w:p w14:paraId="3B1F3CB6" w14:textId="77777777" w:rsidR="00D64D00" w:rsidRPr="00D64D00" w:rsidRDefault="00D64D00" w:rsidP="00D64D00">
      <w:pPr>
        <w:pStyle w:val="CETBodytext"/>
        <w:rPr>
          <w:lang w:val="en-GB"/>
        </w:rPr>
      </w:pPr>
      <w:r w:rsidRPr="00D64D00">
        <w:rPr>
          <w:lang w:val="en-GB"/>
        </w:rPr>
        <w:t>b) functional components: serving a single operational purpose;</w:t>
      </w:r>
    </w:p>
    <w:p w14:paraId="3868DFAB" w14:textId="77777777" w:rsidR="00D64D00" w:rsidRPr="00D64D00" w:rsidRDefault="00D64D00" w:rsidP="00D64D00">
      <w:pPr>
        <w:pStyle w:val="CETBodytext"/>
        <w:rPr>
          <w:lang w:val="en-GB"/>
        </w:rPr>
      </w:pPr>
      <w:r w:rsidRPr="00D64D00">
        <w:rPr>
          <w:lang w:val="en-GB"/>
        </w:rPr>
        <w:t>c) the various components are joined together by a single manufacturer;</w:t>
      </w:r>
    </w:p>
    <w:p w14:paraId="27D484C4" w14:textId="2A597CE3" w:rsidR="00D64D00" w:rsidRDefault="00D64D00" w:rsidP="00D64D00">
      <w:pPr>
        <w:pStyle w:val="CETBodytext"/>
        <w:rPr>
          <w:lang w:val="en-GB"/>
        </w:rPr>
      </w:pPr>
      <w:r w:rsidRPr="00D64D00">
        <w:rPr>
          <w:lang w:val="en-GB"/>
        </w:rPr>
        <w:t>d) manufacture (assembly) may be carried out either in a workshop or at the final user’s premises.</w:t>
      </w:r>
    </w:p>
    <w:p w14:paraId="124092D2" w14:textId="77777777" w:rsidR="00D64D00" w:rsidRPr="00D64D00" w:rsidRDefault="00D64D00" w:rsidP="00D64D00">
      <w:pPr>
        <w:pStyle w:val="CETBodytext"/>
        <w:rPr>
          <w:lang w:val="en-GB"/>
        </w:rPr>
      </w:pPr>
      <w:r w:rsidRPr="00D64D00">
        <w:rPr>
          <w:lang w:val="en-GB"/>
        </w:rPr>
        <w:t>The essential safety requirements set out in the PED Directive (Annex I, Directive 2014/68/EU) are intended to:</w:t>
      </w:r>
    </w:p>
    <w:p w14:paraId="753BC876" w14:textId="1BC19C93" w:rsidR="00D64D00" w:rsidRDefault="008417A6" w:rsidP="00D64D00">
      <w:pPr>
        <w:pStyle w:val="CETBodytext"/>
        <w:numPr>
          <w:ilvl w:val="0"/>
          <w:numId w:val="37"/>
        </w:numPr>
        <w:rPr>
          <w:lang w:val="en-GB"/>
        </w:rPr>
      </w:pPr>
      <w:r w:rsidRPr="008417A6">
        <w:rPr>
          <w:lang w:val="en-GB"/>
        </w:rPr>
        <w:t>eliminate or reduce hazards as far as is reasonably practicable</w:t>
      </w:r>
      <w:r w:rsidR="00D64D00" w:rsidRPr="00D64D00">
        <w:rPr>
          <w:lang w:val="en-GB"/>
        </w:rPr>
        <w:t>;</w:t>
      </w:r>
    </w:p>
    <w:p w14:paraId="5483E303" w14:textId="17F7B44A" w:rsidR="00D64D00" w:rsidRDefault="008417A6" w:rsidP="00D64D00">
      <w:pPr>
        <w:pStyle w:val="CETBodytext"/>
        <w:numPr>
          <w:ilvl w:val="0"/>
          <w:numId w:val="37"/>
        </w:numPr>
        <w:rPr>
          <w:lang w:val="en-GB"/>
        </w:rPr>
      </w:pPr>
      <w:r w:rsidRPr="008417A6">
        <w:rPr>
          <w:lang w:val="en-GB"/>
        </w:rPr>
        <w:t>apply appropriate protection measures against hazards which cannot be eliminated</w:t>
      </w:r>
      <w:r w:rsidR="00D64D00" w:rsidRPr="00D64D00">
        <w:rPr>
          <w:lang w:val="en-GB"/>
        </w:rPr>
        <w:t>;</w:t>
      </w:r>
    </w:p>
    <w:p w14:paraId="4F821678" w14:textId="0368506A" w:rsidR="00EA4361" w:rsidRPr="00D64D00" w:rsidRDefault="008417A6" w:rsidP="00D64D00">
      <w:pPr>
        <w:pStyle w:val="CETBodytext"/>
        <w:numPr>
          <w:ilvl w:val="0"/>
          <w:numId w:val="37"/>
        </w:numPr>
        <w:rPr>
          <w:lang w:val="en-GB"/>
        </w:rPr>
      </w:pPr>
      <w:r w:rsidRPr="008417A6">
        <w:rPr>
          <w:lang w:val="en-GB"/>
        </w:rPr>
        <w:t>inform users of residual hazards and indicate whether it is necessary to take appropriate special measures to reduce the risks at the time of installation and/or use</w:t>
      </w:r>
      <w:r w:rsidR="00D64D00" w:rsidRPr="00D64D00">
        <w:rPr>
          <w:lang w:val="en-GB"/>
        </w:rPr>
        <w:t>.</w:t>
      </w:r>
    </w:p>
    <w:p w14:paraId="06978485" w14:textId="03DA38C6" w:rsidR="00D64D00" w:rsidRPr="00D64D00" w:rsidRDefault="00D64D00" w:rsidP="00D64D00">
      <w:pPr>
        <w:pStyle w:val="CETBodytext"/>
        <w:rPr>
          <w:lang w:val="en-GB"/>
        </w:rPr>
      </w:pPr>
      <w:r w:rsidRPr="00D64D00">
        <w:rPr>
          <w:lang w:val="en-GB"/>
        </w:rPr>
        <w:t xml:space="preserve">During the design phase, the following aspects must be </w:t>
      </w:r>
      <w:r w:rsidR="00927C6D" w:rsidRPr="00D64D00">
        <w:rPr>
          <w:lang w:val="en-GB"/>
        </w:rPr>
        <w:t>considered</w:t>
      </w:r>
      <w:r w:rsidRPr="00D64D00">
        <w:rPr>
          <w:lang w:val="en-GB"/>
        </w:rPr>
        <w:t>:</w:t>
      </w:r>
    </w:p>
    <w:p w14:paraId="55FCBFE5" w14:textId="77777777" w:rsidR="00D64D00" w:rsidRPr="00D64D00" w:rsidRDefault="00D64D00" w:rsidP="00D64D00">
      <w:pPr>
        <w:pStyle w:val="CETBodytext"/>
        <w:numPr>
          <w:ilvl w:val="0"/>
          <w:numId w:val="37"/>
        </w:numPr>
        <w:rPr>
          <w:lang w:val="en-GB"/>
        </w:rPr>
      </w:pPr>
      <w:r w:rsidRPr="00D64D00">
        <w:rPr>
          <w:lang w:val="en-GB"/>
        </w:rPr>
        <w:t>all foreseeable loads (pressure, weight, temperature, wind, seismic actions, etc.);</w:t>
      </w:r>
    </w:p>
    <w:p w14:paraId="1CB67029" w14:textId="77777777" w:rsidR="00D64D00" w:rsidRPr="00D64D00" w:rsidRDefault="00D64D00" w:rsidP="00D64D00">
      <w:pPr>
        <w:pStyle w:val="CETBodytext"/>
        <w:numPr>
          <w:ilvl w:val="0"/>
          <w:numId w:val="37"/>
        </w:numPr>
        <w:rPr>
          <w:lang w:val="en-GB"/>
        </w:rPr>
      </w:pPr>
      <w:r w:rsidRPr="00D64D00">
        <w:rPr>
          <w:lang w:val="en-GB"/>
        </w:rPr>
        <w:t>a codified calculation method (design by formulas, by analysis, by fracture mechanics, or by testing);</w:t>
      </w:r>
    </w:p>
    <w:p w14:paraId="0D470444" w14:textId="77777777" w:rsidR="00D64D00" w:rsidRPr="00D64D00" w:rsidRDefault="00D64D00" w:rsidP="00D64D00">
      <w:pPr>
        <w:pStyle w:val="CETBodytext"/>
        <w:numPr>
          <w:ilvl w:val="0"/>
          <w:numId w:val="37"/>
        </w:numPr>
        <w:rPr>
          <w:lang w:val="en-GB"/>
        </w:rPr>
      </w:pPr>
      <w:r w:rsidRPr="00D64D00">
        <w:rPr>
          <w:lang w:val="en-GB"/>
        </w:rPr>
        <w:t>all damage mechanisms that may reasonably be expected during operation (corrosion, fatigue, creep, etc.);</w:t>
      </w:r>
    </w:p>
    <w:p w14:paraId="654C78B6" w14:textId="31F50BBA" w:rsidR="00EA4361" w:rsidRDefault="00D64D00" w:rsidP="00D64D00">
      <w:pPr>
        <w:pStyle w:val="CETBodytext"/>
        <w:numPr>
          <w:ilvl w:val="0"/>
          <w:numId w:val="37"/>
        </w:numPr>
        <w:rPr>
          <w:lang w:val="en-GB"/>
        </w:rPr>
      </w:pPr>
      <w:r w:rsidRPr="00D64D00">
        <w:rPr>
          <w:lang w:val="en-GB"/>
        </w:rPr>
        <w:t>all safety accessories intended to protect pressure equipment against exceeding allowable limits.</w:t>
      </w:r>
    </w:p>
    <w:p w14:paraId="79822F2F" w14:textId="77777777" w:rsidR="00927C6D" w:rsidRDefault="00D64D00" w:rsidP="00D64D00">
      <w:pPr>
        <w:pStyle w:val="CETBodytext"/>
        <w:rPr>
          <w:lang w:val="en-GB"/>
        </w:rPr>
      </w:pPr>
      <w:r>
        <w:rPr>
          <w:lang w:val="en-GB"/>
        </w:rPr>
        <w:t>Finally</w:t>
      </w:r>
      <w:r w:rsidRPr="00D64D00">
        <w:rPr>
          <w:lang w:val="en-GB"/>
        </w:rPr>
        <w:t>, the manufacturer must prepare a technical file including:</w:t>
      </w:r>
      <w:r w:rsidR="00B36C2C">
        <w:rPr>
          <w:lang w:val="en-GB"/>
        </w:rPr>
        <w:t xml:space="preserve"> </w:t>
      </w:r>
      <w:r w:rsidRPr="00D64D00">
        <w:rPr>
          <w:lang w:val="en-GB"/>
        </w:rPr>
        <w:t>a) structural calculations in accordance with the applicable reference code;</w:t>
      </w:r>
      <w:r w:rsidR="00B36C2C">
        <w:rPr>
          <w:lang w:val="en-GB"/>
        </w:rPr>
        <w:t xml:space="preserve"> </w:t>
      </w:r>
      <w:r w:rsidRPr="00D64D00">
        <w:rPr>
          <w:lang w:val="en-GB"/>
        </w:rPr>
        <w:t>b) verification of compliance with the Essential Safety Requirements set out in Annex I of the PED Directive (checklist);</w:t>
      </w:r>
      <w:r w:rsidR="00B36C2C">
        <w:rPr>
          <w:lang w:val="en-GB"/>
        </w:rPr>
        <w:t xml:space="preserve"> </w:t>
      </w:r>
      <w:r w:rsidRPr="00D64D00">
        <w:rPr>
          <w:lang w:val="en-GB"/>
        </w:rPr>
        <w:t>c) construction drawings and/or isometric drawings (piping);</w:t>
      </w:r>
      <w:r w:rsidR="00B36C2C">
        <w:rPr>
          <w:lang w:val="en-GB"/>
        </w:rPr>
        <w:t xml:space="preserve"> </w:t>
      </w:r>
      <w:r w:rsidRPr="00D64D00">
        <w:rPr>
          <w:lang w:val="en-GB"/>
        </w:rPr>
        <w:t>d) risk analysis and assessment of any residual risks;</w:t>
      </w:r>
      <w:r w:rsidR="00B36C2C">
        <w:rPr>
          <w:lang w:val="en-GB"/>
        </w:rPr>
        <w:t xml:space="preserve"> </w:t>
      </w:r>
      <w:r w:rsidRPr="00D64D00">
        <w:rPr>
          <w:lang w:val="en-GB"/>
        </w:rPr>
        <w:t>e) operating and maintenance manual of the pressure equipment/pressure assembly;</w:t>
      </w:r>
      <w:r w:rsidR="00B36C2C">
        <w:rPr>
          <w:lang w:val="en-GB"/>
        </w:rPr>
        <w:t xml:space="preserve"> </w:t>
      </w:r>
      <w:r w:rsidRPr="00D64D00">
        <w:rPr>
          <w:lang w:val="en-GB"/>
        </w:rPr>
        <w:t>f) certificates of approval for construction materials (e.g. plates);</w:t>
      </w:r>
      <w:r w:rsidR="00B36C2C">
        <w:rPr>
          <w:lang w:val="en-GB"/>
        </w:rPr>
        <w:t xml:space="preserve"> </w:t>
      </w:r>
      <w:r w:rsidRPr="00D64D00">
        <w:rPr>
          <w:lang w:val="en-GB"/>
        </w:rPr>
        <w:t>g) professional qualification of welders;</w:t>
      </w:r>
      <w:r w:rsidR="00B36C2C">
        <w:rPr>
          <w:lang w:val="en-GB"/>
        </w:rPr>
        <w:t xml:space="preserve"> </w:t>
      </w:r>
      <w:r w:rsidRPr="00D64D00">
        <w:rPr>
          <w:lang w:val="en-GB"/>
        </w:rPr>
        <w:t>h) professional qualification of personnel performing non-destructive testing (NDT</w:t>
      </w:r>
      <w:r w:rsidR="005A2C7E">
        <w:rPr>
          <w:rStyle w:val="Rimandonotaapidipagina"/>
          <w:lang w:val="en-GB"/>
        </w:rPr>
        <w:footnoteReference w:id="1"/>
      </w:r>
      <w:r w:rsidRPr="00D64D00">
        <w:rPr>
          <w:lang w:val="en-GB"/>
        </w:rPr>
        <w:t>);</w:t>
      </w:r>
      <w:r w:rsidR="00B36C2C">
        <w:rPr>
          <w:lang w:val="en-GB"/>
        </w:rPr>
        <w:t xml:space="preserve"> </w:t>
      </w:r>
      <w:r w:rsidRPr="00D64D00">
        <w:rPr>
          <w:lang w:val="en-GB"/>
        </w:rPr>
        <w:t>i) hydraulic test report, signed and approved by a notified body, in accordance with European legislation;</w:t>
      </w:r>
      <w:r w:rsidR="00B36C2C">
        <w:rPr>
          <w:lang w:val="en-GB"/>
        </w:rPr>
        <w:t xml:space="preserve"> </w:t>
      </w:r>
      <w:r w:rsidRPr="00D64D00">
        <w:rPr>
          <w:lang w:val="en-GB"/>
        </w:rPr>
        <w:t>j) EU Declaration of Conformity, in accordance with European Union (EU) regulations.</w:t>
      </w:r>
    </w:p>
    <w:p w14:paraId="7075B282" w14:textId="3117CF8D" w:rsidR="00D64D00" w:rsidRDefault="00D64D00" w:rsidP="00D64D00">
      <w:pPr>
        <w:pStyle w:val="CETBodytext"/>
        <w:rPr>
          <w:lang w:val="en-GB"/>
        </w:rPr>
      </w:pPr>
      <w:r w:rsidRPr="00D64D00">
        <w:rPr>
          <w:lang w:val="en-GB"/>
        </w:rPr>
        <w:lastRenderedPageBreak/>
        <w:t>The purchase of pressure equipment and pressure assemblies designed and manufactured in compliance with the PED allows the employer to minimize the risk of potential incidents involving such equipment.</w:t>
      </w:r>
    </w:p>
    <w:p w14:paraId="142FE0E4" w14:textId="69BB471E" w:rsidR="008600CE" w:rsidRPr="00B57B36" w:rsidRDefault="008600CE" w:rsidP="00DA6643">
      <w:pPr>
        <w:pStyle w:val="CETHeading1"/>
        <w:jc w:val="both"/>
        <w:rPr>
          <w:lang w:val="en-GB"/>
        </w:rPr>
      </w:pPr>
      <w:r w:rsidRPr="008600CE">
        <w:rPr>
          <w:lang w:val="en-GB"/>
        </w:rPr>
        <w:t xml:space="preserve">Installation and safe use of pressure equipment and pressure assemblies, with reference </w:t>
      </w:r>
      <w:r w:rsidRPr="006B1668">
        <w:rPr>
          <w:lang w:val="en-GB"/>
        </w:rPr>
        <w:t>to Italian regulations</w:t>
      </w:r>
    </w:p>
    <w:p w14:paraId="1067C3D8" w14:textId="77777777" w:rsidR="006B1668" w:rsidRPr="006B1668" w:rsidRDefault="006B1668" w:rsidP="006B1668">
      <w:pPr>
        <w:pStyle w:val="CETBodytext"/>
        <w:rPr>
          <w:lang w:val="en-GB"/>
        </w:rPr>
      </w:pPr>
      <w:r w:rsidRPr="006B1668">
        <w:rPr>
          <w:lang w:val="en-GB"/>
        </w:rPr>
        <w:t>The widespread use of work equipment, such as pressure equipment and/or pressure assemblies, led the European Union to issue Directive 2009/104/EC, which sets out the minimum safety and health requirements for the use of work equipment by workers and supports employers in defining a safe management approach.</w:t>
      </w:r>
    </w:p>
    <w:p w14:paraId="07FA523C" w14:textId="24547CD6" w:rsidR="006B1668" w:rsidRPr="00EA4361" w:rsidRDefault="006B1668" w:rsidP="006B1668">
      <w:pPr>
        <w:pStyle w:val="CETBodytext"/>
        <w:rPr>
          <w:lang w:val="en-GB"/>
        </w:rPr>
      </w:pPr>
      <w:r>
        <w:rPr>
          <w:lang w:val="en-GB"/>
        </w:rPr>
        <w:t>Following</w:t>
      </w:r>
      <w:r w:rsidRPr="006B1668">
        <w:rPr>
          <w:lang w:val="en-GB"/>
        </w:rPr>
        <w:t xml:space="preserve"> Directive 2009/104/EC, each EU Member State has identified its own pathway for the placing into service and the correct use, during the operational phase, of pressure equipment and/or pressure assemblies.</w:t>
      </w:r>
    </w:p>
    <w:p w14:paraId="25D16F31" w14:textId="77777777" w:rsidR="006B1668" w:rsidRPr="006B1668" w:rsidRDefault="006B1668" w:rsidP="006B1668">
      <w:pPr>
        <w:pStyle w:val="CETBodytext"/>
        <w:rPr>
          <w:lang w:val="en-GB"/>
        </w:rPr>
      </w:pPr>
      <w:r w:rsidRPr="006B1668">
        <w:rPr>
          <w:lang w:val="en-GB"/>
        </w:rPr>
        <w:t>In Italy, in order to ensure workers’ safety, the legislator requires employers to comply with a series of obligations in the management of pressure equipment. The main obligations can be summarised as follows:</w:t>
      </w:r>
    </w:p>
    <w:p w14:paraId="62AA62AB" w14:textId="77777777" w:rsidR="006B1668" w:rsidRDefault="006B1668" w:rsidP="00930FFB">
      <w:pPr>
        <w:pStyle w:val="Paragrafoelenco"/>
        <w:numPr>
          <w:ilvl w:val="0"/>
          <w:numId w:val="31"/>
        </w:numPr>
      </w:pPr>
      <w:r w:rsidRPr="006B1668">
        <w:rPr>
          <w:szCs w:val="18"/>
        </w:rPr>
        <w:t>Risk</w:t>
      </w:r>
      <w:r w:rsidRPr="006B1668">
        <w:t xml:space="preserve"> assessment: identifying and assessing the risks associated with the use of pressure equipment, in order to adopt the necessary preventive and protective measures;</w:t>
      </w:r>
    </w:p>
    <w:p w14:paraId="26F866DF" w14:textId="3B0FDD0C" w:rsidR="006B1668" w:rsidRDefault="006B1668" w:rsidP="008629A7">
      <w:pPr>
        <w:pStyle w:val="Paragrafoelenco"/>
        <w:numPr>
          <w:ilvl w:val="0"/>
          <w:numId w:val="31"/>
        </w:numPr>
      </w:pPr>
      <w:r w:rsidRPr="006B1668">
        <w:t>Notification of commissioning and registration of equipment: ensuring that pressure equipment complies with the applicable regulations and is subject to commissioning inspections, including registration, which must be requested from the territorially competent INAIL</w:t>
      </w:r>
      <w:r>
        <w:t xml:space="preserve"> (</w:t>
      </w:r>
      <w:r w:rsidRPr="006B1668">
        <w:t>National Institute for Insurance against Accidents at Work</w:t>
      </w:r>
      <w:r>
        <w:t>, public institution)</w:t>
      </w:r>
      <w:r w:rsidRPr="006B1668">
        <w:t xml:space="preserve"> in accordance with Ministerial Decree No. 329/2004;</w:t>
      </w:r>
    </w:p>
    <w:p w14:paraId="0DDFDBED" w14:textId="77777777" w:rsidR="006B1668" w:rsidRDefault="006B1668" w:rsidP="006B1668">
      <w:pPr>
        <w:pStyle w:val="Paragrafoelenco"/>
        <w:numPr>
          <w:ilvl w:val="0"/>
          <w:numId w:val="31"/>
        </w:numPr>
      </w:pPr>
      <w:r w:rsidRPr="006B1668">
        <w:t xml:space="preserve">Periodic inspections: subjecting pressure equipment to periodic inspections of operational efficiency and structural integrity, in accordance with the deadlines established by Italian legislation (Legislative Decree No. 81/2008 and Decree of the Ministry of Labor </w:t>
      </w:r>
      <w:r w:rsidRPr="0038023C">
        <w:rPr>
          <w:szCs w:val="18"/>
        </w:rPr>
        <w:t xml:space="preserve">and Social Policies </w:t>
      </w:r>
      <w:r w:rsidRPr="006B1668">
        <w:t>of 11 April 2011);</w:t>
      </w:r>
    </w:p>
    <w:p w14:paraId="749379BA" w14:textId="77777777" w:rsidR="006B1668" w:rsidRDefault="006B1668" w:rsidP="006B1668">
      <w:pPr>
        <w:pStyle w:val="Paragrafoelenco"/>
        <w:numPr>
          <w:ilvl w:val="0"/>
          <w:numId w:val="31"/>
        </w:numPr>
      </w:pPr>
      <w:r w:rsidRPr="006B1668">
        <w:t>Adequate maintenance: ensuring routine and extraordinary maintenance of the equipment, in compliance with the manufacturer’s instructions and applicable technical standards;</w:t>
      </w:r>
    </w:p>
    <w:p w14:paraId="09E21CF0" w14:textId="7873265B" w:rsidR="006B1668" w:rsidRDefault="006B1668" w:rsidP="006B1668">
      <w:pPr>
        <w:pStyle w:val="Paragrafoelenco"/>
        <w:numPr>
          <w:ilvl w:val="0"/>
          <w:numId w:val="31"/>
        </w:numPr>
      </w:pPr>
      <w:r w:rsidRPr="006B1668">
        <w:t>Training and information: providing workers with adequate training and information on the risks associated with the use of pressure equipment and on the safety procedures to be followed (Legislative Decree No. 81/2008).</w:t>
      </w:r>
    </w:p>
    <w:p w14:paraId="0774E2A1" w14:textId="77777777" w:rsidR="006B1668" w:rsidRDefault="006B1668" w:rsidP="006B1668">
      <w:r>
        <w:t>It is noted that, at the time of commissioning the pressure equipment or pressure assembly, the user/employer must, in Italy and pursuant to Article 6 of Ministerial Decree (DM) 329/04, prepare a technical report containing:</w:t>
      </w:r>
    </w:p>
    <w:p w14:paraId="34D0537A" w14:textId="77777777" w:rsidR="006B1668" w:rsidRDefault="006B1668" w:rsidP="006B1668">
      <w:pPr>
        <w:pStyle w:val="Paragrafoelenco"/>
        <w:numPr>
          <w:ilvl w:val="0"/>
          <w:numId w:val="38"/>
        </w:numPr>
      </w:pPr>
      <w:r>
        <w:t>the installation layout, or the P&amp;I (Piping &amp; Instrumentation) diagram of the plant;</w:t>
      </w:r>
    </w:p>
    <w:p w14:paraId="15CBCC87" w14:textId="77777777" w:rsidR="006B1668" w:rsidRDefault="006B1668" w:rsidP="00CD6067">
      <w:pPr>
        <w:pStyle w:val="Paragrafoelenco"/>
        <w:numPr>
          <w:ilvl w:val="0"/>
          <w:numId w:val="38"/>
        </w:numPr>
      </w:pPr>
      <w:r>
        <w:t>the identification details of the installed equipment or assemblies, including the operating limits (pressure, temperature, etc.) and the process fluids specified by the manufacturers;</w:t>
      </w:r>
    </w:p>
    <w:p w14:paraId="5EEF0AAA" w14:textId="77777777" w:rsidR="006B1668" w:rsidRDefault="006B1668" w:rsidP="00484D56">
      <w:pPr>
        <w:pStyle w:val="Paragrafoelenco"/>
        <w:numPr>
          <w:ilvl w:val="0"/>
          <w:numId w:val="38"/>
        </w:numPr>
      </w:pPr>
      <w:r>
        <w:t>a description of the process and the technological function of the individual items of equipment or assemblies;</w:t>
      </w:r>
    </w:p>
    <w:p w14:paraId="364AB621" w14:textId="77777777" w:rsidR="006B1668" w:rsidRDefault="006B1668" w:rsidP="009548A7">
      <w:pPr>
        <w:pStyle w:val="Paragrafoelenco"/>
        <w:numPr>
          <w:ilvl w:val="0"/>
          <w:numId w:val="38"/>
        </w:numPr>
      </w:pPr>
      <w:r>
        <w:t>the measures adopted to ensure that installation and connection to the rest of the plant have been carried out correctly, taking into account the residual risks arising from use or from reasonably foreseeable misuse, as indicated by the manufacturer in the operating instructions;</w:t>
      </w:r>
    </w:p>
    <w:p w14:paraId="5B092604" w14:textId="0904524E" w:rsidR="00F91B4B" w:rsidRDefault="006B1668" w:rsidP="00240963">
      <w:pPr>
        <w:pStyle w:val="Paragrafoelenco"/>
        <w:numPr>
          <w:ilvl w:val="0"/>
          <w:numId w:val="38"/>
        </w:numPr>
      </w:pPr>
      <w:r>
        <w:t>the measures adopted in relation to risks associated with installation, as identified through the risk assessment.</w:t>
      </w:r>
      <w:r w:rsidR="00F91B4B">
        <w:t xml:space="preserve"> </w:t>
      </w:r>
      <w:r>
        <w:t>For equipment and assemblies identified as a potential source of major accidents pursuant to the applicable legislation (European Directive 2012/18/EU, SEVESO III), the adopted measures shall be consistent with the accident scenarios identified by the risk analysis carried out in compliance with that legislation;</w:t>
      </w:r>
    </w:p>
    <w:p w14:paraId="58372018" w14:textId="77777777" w:rsidR="00F91B4B" w:rsidRDefault="006B1668" w:rsidP="0020627D">
      <w:pPr>
        <w:pStyle w:val="Paragrafoelenco"/>
        <w:numPr>
          <w:ilvl w:val="0"/>
          <w:numId w:val="38"/>
        </w:numPr>
      </w:pPr>
      <w:r>
        <w:t>the measures adopted for pressure equipment not forming part of an assembly and installed and assembled by the user within the plant;</w:t>
      </w:r>
    </w:p>
    <w:p w14:paraId="2DF58CD8" w14:textId="479C74BC" w:rsidR="006B1668" w:rsidRPr="006B1668" w:rsidRDefault="006B1668" w:rsidP="0020627D">
      <w:pPr>
        <w:pStyle w:val="Paragrafoelenco"/>
        <w:numPr>
          <w:ilvl w:val="0"/>
          <w:numId w:val="38"/>
        </w:numPr>
      </w:pPr>
      <w:r>
        <w:t>a list of equipment, or parts thereof, designed and operated under creep conditions and/or low-cycle fatigue.</w:t>
      </w:r>
    </w:p>
    <w:p w14:paraId="4B805232" w14:textId="44721A40" w:rsidR="006B1668" w:rsidRDefault="00F91B4B" w:rsidP="008600CE">
      <w:pPr>
        <w:pStyle w:val="CETBodytext"/>
        <w:rPr>
          <w:lang w:val="en-GB"/>
        </w:rPr>
      </w:pPr>
      <w:r w:rsidRPr="00F91B4B">
        <w:rPr>
          <w:lang w:val="en-GB"/>
        </w:rPr>
        <w:t>Finally, in addition to the regulatory checks described above, the employer responsible for pressure equipment and assemblies must ensure that appropriate maintenance and internal inspections are carried out by suitably qualified in-house personnel</w:t>
      </w:r>
      <w:r w:rsidR="00055FCC">
        <w:rPr>
          <w:lang w:val="en-GB"/>
        </w:rPr>
        <w:t xml:space="preserve"> (</w:t>
      </w:r>
      <w:r w:rsidR="00055FCC" w:rsidRPr="009E414D">
        <w:rPr>
          <w:lang w:val="en-GB"/>
        </w:rPr>
        <w:t>Muratore et al., 2021</w:t>
      </w:r>
      <w:r w:rsidR="00055FCC">
        <w:rPr>
          <w:lang w:val="en-GB"/>
        </w:rPr>
        <w:t>)</w:t>
      </w:r>
      <w:r w:rsidRPr="00F91B4B">
        <w:rPr>
          <w:lang w:val="en-GB"/>
        </w:rPr>
        <w:t xml:space="preserve">, </w:t>
      </w:r>
      <w:r w:rsidR="00055FCC" w:rsidRPr="00F91B4B">
        <w:rPr>
          <w:lang w:val="en-GB"/>
        </w:rPr>
        <w:t>to</w:t>
      </w:r>
      <w:r w:rsidRPr="00F91B4B">
        <w:rPr>
          <w:lang w:val="en-GB"/>
        </w:rPr>
        <w:t xml:space="preserve"> monitor and guarantee safety over time, with such activities duly recorded in dedicated registers</w:t>
      </w:r>
      <w:r w:rsidR="009E414D">
        <w:rPr>
          <w:lang w:val="en-GB"/>
        </w:rPr>
        <w:t>.</w:t>
      </w:r>
    </w:p>
    <w:p w14:paraId="0B362038" w14:textId="79703818" w:rsidR="004E3E63" w:rsidRPr="00B57B36" w:rsidRDefault="004E3E63" w:rsidP="00DA6643">
      <w:pPr>
        <w:pStyle w:val="CETHeading1"/>
        <w:jc w:val="both"/>
        <w:rPr>
          <w:lang w:val="en-GB"/>
        </w:rPr>
      </w:pPr>
      <w:r w:rsidRPr="004E3E63">
        <w:rPr>
          <w:lang w:val="en-GB"/>
        </w:rPr>
        <w:t>Pressure equipment and pressure assemblies installed in establishments with a major accident hazard</w:t>
      </w:r>
    </w:p>
    <w:p w14:paraId="34565BF5" w14:textId="7BD0EF4D" w:rsidR="004E3E63" w:rsidRPr="004E3E63" w:rsidRDefault="004E3E63" w:rsidP="004E3E63">
      <w:pPr>
        <w:pStyle w:val="CETBodytext"/>
        <w:rPr>
          <w:lang w:val="en-GB"/>
        </w:rPr>
      </w:pPr>
      <w:r w:rsidRPr="004E3E63">
        <w:rPr>
          <w:lang w:val="en-GB"/>
        </w:rPr>
        <w:t>The European Directive 2012/18/EU (S</w:t>
      </w:r>
      <w:r w:rsidR="008C2B93">
        <w:rPr>
          <w:lang w:val="en-GB"/>
        </w:rPr>
        <w:t>eveso</w:t>
      </w:r>
      <w:r w:rsidRPr="004E3E63">
        <w:rPr>
          <w:lang w:val="en-GB"/>
        </w:rPr>
        <w:t xml:space="preserve"> III) defines a “major accident” when three conditions are met:</w:t>
      </w:r>
    </w:p>
    <w:p w14:paraId="2E3B0329" w14:textId="2AABBF02" w:rsidR="004E3E63" w:rsidRDefault="00C80A85" w:rsidP="00C80A85">
      <w:pPr>
        <w:pStyle w:val="CETBodytext"/>
        <w:rPr>
          <w:lang w:val="en-GB"/>
        </w:rPr>
      </w:pPr>
      <w:r>
        <w:rPr>
          <w:lang w:val="en-GB"/>
        </w:rPr>
        <w:t xml:space="preserve">1) </w:t>
      </w:r>
      <w:r w:rsidR="004E3E63" w:rsidRPr="004E3E63">
        <w:rPr>
          <w:lang w:val="en-GB"/>
        </w:rPr>
        <w:t>the accident must result from uncontrolled developments;</w:t>
      </w:r>
      <w:r>
        <w:rPr>
          <w:lang w:val="en-GB"/>
        </w:rPr>
        <w:t xml:space="preserve"> 2) </w:t>
      </w:r>
      <w:r w:rsidR="004E3E63" w:rsidRPr="004E3E63">
        <w:rPr>
          <w:lang w:val="en-GB"/>
        </w:rPr>
        <w:t>one or more hazardous substances must be involved;</w:t>
      </w:r>
      <w:r>
        <w:rPr>
          <w:lang w:val="en-GB"/>
        </w:rPr>
        <w:t xml:space="preserve"> 3) </w:t>
      </w:r>
      <w:r w:rsidR="004E3E63" w:rsidRPr="004E3E63">
        <w:rPr>
          <w:lang w:val="en-GB"/>
        </w:rPr>
        <w:t>the accident must be of significant magnitude and give rise to a serious, immediate or delayed hazard to human health or the environment, inside or outside the establishment (i.e.:</w:t>
      </w:r>
      <w:r w:rsidR="004E3E63">
        <w:rPr>
          <w:lang w:val="en-GB"/>
        </w:rPr>
        <w:t xml:space="preserve"> </w:t>
      </w:r>
      <w:r w:rsidR="004E3E63" w:rsidRPr="004E3E63">
        <w:rPr>
          <w:lang w:val="en-GB"/>
        </w:rPr>
        <w:t>a) potential danger to human life;</w:t>
      </w:r>
      <w:r w:rsidR="004E3E63">
        <w:rPr>
          <w:lang w:val="en-GB"/>
        </w:rPr>
        <w:t xml:space="preserve"> </w:t>
      </w:r>
      <w:r w:rsidR="004E3E63" w:rsidRPr="004E3E63">
        <w:rPr>
          <w:lang w:val="en-GB"/>
        </w:rPr>
        <w:t xml:space="preserve">b) potential danger to the health of </w:t>
      </w:r>
      <w:r w:rsidR="004E3E63">
        <w:rPr>
          <w:lang w:val="en-GB"/>
        </w:rPr>
        <w:t>a large number of people</w:t>
      </w:r>
      <w:r w:rsidR="004E3E63" w:rsidRPr="004E3E63">
        <w:rPr>
          <w:lang w:val="en-GB"/>
        </w:rPr>
        <w:t>;</w:t>
      </w:r>
      <w:r w:rsidR="004E3E63">
        <w:rPr>
          <w:lang w:val="en-GB"/>
        </w:rPr>
        <w:t xml:space="preserve"> </w:t>
      </w:r>
      <w:r w:rsidR="004E3E63" w:rsidRPr="004E3E63">
        <w:rPr>
          <w:lang w:val="en-GB"/>
        </w:rPr>
        <w:t>c) potential environmental hazard;</w:t>
      </w:r>
      <w:r w:rsidR="004E3E63">
        <w:rPr>
          <w:lang w:val="en-GB"/>
        </w:rPr>
        <w:t xml:space="preserve"> </w:t>
      </w:r>
      <w:r w:rsidR="004E3E63" w:rsidRPr="004E3E63">
        <w:rPr>
          <w:lang w:val="en-GB"/>
        </w:rPr>
        <w:t>d) potential material hazard, namely serious material damage inside or outside the establishment).</w:t>
      </w:r>
    </w:p>
    <w:p w14:paraId="2490CB43" w14:textId="35C5F7D5" w:rsidR="00145343" w:rsidRPr="00145343" w:rsidRDefault="00145343" w:rsidP="00145343">
      <w:pPr>
        <w:pStyle w:val="CETBodytext"/>
        <w:rPr>
          <w:lang w:val="en-GB"/>
        </w:rPr>
      </w:pPr>
      <w:r w:rsidRPr="00145343">
        <w:rPr>
          <w:lang w:val="en-GB"/>
        </w:rPr>
        <w:lastRenderedPageBreak/>
        <w:t>For industrial biotechnology plants handling dangerous substances in quantities and qualities exceeding the thresholds set out in Annex I of European Directive 2012/18/EU (Seveso III), the employer/plant operator shall identify, describe, analyse, and quantitatively characterize the accident sequences that may lead to a major accident, as well as the reasonably foreseeable scenarios that may subsequently occur.</w:t>
      </w:r>
    </w:p>
    <w:p w14:paraId="73337CFF" w14:textId="67B419ED" w:rsidR="004E3E63" w:rsidRPr="004E3E63" w:rsidRDefault="00145343" w:rsidP="00145343">
      <w:pPr>
        <w:pStyle w:val="CETBodytext"/>
        <w:rPr>
          <w:lang w:val="en-GB"/>
        </w:rPr>
      </w:pPr>
      <w:r w:rsidRPr="00145343">
        <w:rPr>
          <w:lang w:val="en-GB"/>
        </w:rPr>
        <w:t>Each identified scenario shall be correlated with internal or external causes affecting the establishment, namely</w:t>
      </w:r>
      <w:r w:rsidR="004E3E63" w:rsidRPr="004E3E63">
        <w:rPr>
          <w:lang w:val="en-GB"/>
        </w:rPr>
        <w:t>:</w:t>
      </w:r>
    </w:p>
    <w:p w14:paraId="0C6B95D4" w14:textId="77777777" w:rsidR="004E3E63" w:rsidRPr="004E3E63" w:rsidRDefault="004E3E63" w:rsidP="00145343">
      <w:pPr>
        <w:pStyle w:val="CETBodytext"/>
        <w:numPr>
          <w:ilvl w:val="0"/>
          <w:numId w:val="39"/>
        </w:numPr>
        <w:rPr>
          <w:lang w:val="en-GB"/>
        </w:rPr>
      </w:pPr>
      <w:r w:rsidRPr="004E3E63">
        <w:rPr>
          <w:lang w:val="en-GB"/>
        </w:rPr>
        <w:t>operational causes;</w:t>
      </w:r>
    </w:p>
    <w:p w14:paraId="6FC94353" w14:textId="67724991" w:rsidR="004E3E63" w:rsidRPr="004E3E63" w:rsidRDefault="004E3E63" w:rsidP="004E3E63">
      <w:pPr>
        <w:pStyle w:val="CETBodytext"/>
        <w:numPr>
          <w:ilvl w:val="0"/>
          <w:numId w:val="39"/>
        </w:numPr>
        <w:rPr>
          <w:lang w:val="en-GB"/>
        </w:rPr>
      </w:pPr>
      <w:r w:rsidRPr="004E3E63">
        <w:rPr>
          <w:lang w:val="en-GB"/>
        </w:rPr>
        <w:t>external causes (e.g. domino effects, etc.)</w:t>
      </w:r>
      <w:r w:rsidR="00CD5F29">
        <w:rPr>
          <w:lang w:val="en-GB"/>
        </w:rPr>
        <w:t>;</w:t>
      </w:r>
    </w:p>
    <w:p w14:paraId="59338E4D" w14:textId="57691E4F" w:rsidR="004E3E63" w:rsidRPr="00CD5F29" w:rsidRDefault="004E3E63" w:rsidP="004E3E63">
      <w:pPr>
        <w:pStyle w:val="CETBodytext"/>
        <w:numPr>
          <w:ilvl w:val="0"/>
          <w:numId w:val="39"/>
        </w:numPr>
      </w:pPr>
      <w:r w:rsidRPr="00CD5F29">
        <w:t>natural causes (e.g. earthquakes, floods, lightning, etc.</w:t>
      </w:r>
      <w:r w:rsidR="001C03D1" w:rsidRPr="00CD5F29">
        <w:t>)</w:t>
      </w:r>
      <w:r w:rsidR="00CD5F29">
        <w:t xml:space="preserve"> (</w:t>
      </w:r>
      <w:r w:rsidR="00CD5F29" w:rsidRPr="00CD5F29">
        <w:t>Muratore et al., 2022</w:t>
      </w:r>
      <w:r w:rsidR="00CD5F29">
        <w:t>).</w:t>
      </w:r>
      <w:r w:rsidR="001C03D1" w:rsidRPr="00CD5F29">
        <w:t xml:space="preserve"> </w:t>
      </w:r>
    </w:p>
    <w:p w14:paraId="0119237F" w14:textId="42BF8EC6" w:rsidR="00145343" w:rsidRDefault="00145343" w:rsidP="00145343">
      <w:pPr>
        <w:pStyle w:val="CETBodytext"/>
        <w:rPr>
          <w:lang w:val="en-GB"/>
        </w:rPr>
      </w:pPr>
      <w:r w:rsidRPr="00145343">
        <w:rPr>
          <w:lang w:val="en-GB"/>
        </w:rPr>
        <w:t>Furthermore, it is necessary to describe:</w:t>
      </w:r>
      <w:r w:rsidR="00DA429B">
        <w:rPr>
          <w:lang w:val="en-GB"/>
        </w:rPr>
        <w:t xml:space="preserve"> </w:t>
      </w:r>
      <w:r w:rsidRPr="00145343">
        <w:rPr>
          <w:lang w:val="en-GB"/>
        </w:rPr>
        <w:t>a) the behaviour of the establishment in the event of partial or total unavailability of utility networks such as electricity, water, steam, nitrogen, or compressed air;</w:t>
      </w:r>
      <w:r w:rsidR="00DA429B">
        <w:rPr>
          <w:lang w:val="en-GB"/>
        </w:rPr>
        <w:t xml:space="preserve"> </w:t>
      </w:r>
      <w:r w:rsidRPr="00145343">
        <w:rPr>
          <w:lang w:val="en-GB"/>
        </w:rPr>
        <w:t>b) the measures adopted to ensure the operation of critical equipment even under emergency conditions.</w:t>
      </w:r>
      <w:r w:rsidR="00092A08">
        <w:rPr>
          <w:lang w:val="en-GB"/>
        </w:rPr>
        <w:t xml:space="preserve"> </w:t>
      </w:r>
      <w:r w:rsidRPr="00145343">
        <w:rPr>
          <w:lang w:val="en-GB"/>
        </w:rPr>
        <w:t>Critical equipment refers to installations, storage systems, and pressure equipment which, as a result of failure, human error, or natural disasters, may trigger a major accident.</w:t>
      </w:r>
      <w:r w:rsidR="00092A08">
        <w:rPr>
          <w:lang w:val="en-GB"/>
        </w:rPr>
        <w:t xml:space="preserve"> </w:t>
      </w:r>
      <w:r w:rsidR="00683AE0" w:rsidRPr="00683AE0">
        <w:rPr>
          <w:lang w:val="en-GB"/>
        </w:rPr>
        <w:t>Besides, the</w:t>
      </w:r>
      <w:r w:rsidRPr="00683AE0">
        <w:rPr>
          <w:lang w:val="en-GB"/>
        </w:rPr>
        <w:t xml:space="preserve"> Seveso</w:t>
      </w:r>
      <w:r w:rsidRPr="00145343">
        <w:rPr>
          <w:lang w:val="en-GB"/>
        </w:rPr>
        <w:t xml:space="preserve"> III Directive requires the employer/operator of the establishment to implement a Safety Management System (SMS) aimed at the prevention of major accidents.</w:t>
      </w:r>
      <w:r w:rsidR="00092A08">
        <w:rPr>
          <w:lang w:val="en-GB"/>
        </w:rPr>
        <w:t xml:space="preserve"> </w:t>
      </w:r>
      <w:r w:rsidRPr="00145343">
        <w:rPr>
          <w:lang w:val="en-GB"/>
        </w:rPr>
        <w:t xml:space="preserve">Furthermore, </w:t>
      </w:r>
      <w:r w:rsidR="008C2B93" w:rsidRPr="00145343">
        <w:rPr>
          <w:lang w:val="en-GB"/>
        </w:rPr>
        <w:t>based on</w:t>
      </w:r>
      <w:r w:rsidRPr="00145343">
        <w:rPr>
          <w:lang w:val="en-GB"/>
        </w:rPr>
        <w:t xml:space="preserve"> the quantity and/or the hazardous properties of the dangerous substances present, establishments are classified as lower-tier establishments (LTE) or upper-tier establishments (UTE), with progressively increasing obligations regarding major-accident prevention, monitoring, and information.</w:t>
      </w:r>
      <w:r w:rsidR="00092A08">
        <w:rPr>
          <w:lang w:val="en-GB"/>
        </w:rPr>
        <w:t xml:space="preserve"> </w:t>
      </w:r>
      <w:r w:rsidR="008C2B93" w:rsidRPr="00145343">
        <w:rPr>
          <w:lang w:val="en-GB"/>
        </w:rPr>
        <w:t>Where</w:t>
      </w:r>
      <w:r w:rsidRPr="00145343">
        <w:rPr>
          <w:lang w:val="en-GB"/>
        </w:rPr>
        <w:t xml:space="preserve"> the establishment concerned is classified as an upper-tier establishment, the operator </w:t>
      </w:r>
      <w:r w:rsidR="008C2B93">
        <w:rPr>
          <w:lang w:val="en-GB"/>
        </w:rPr>
        <w:t>must produce</w:t>
      </w:r>
      <w:r w:rsidRPr="00145343">
        <w:rPr>
          <w:lang w:val="en-GB"/>
        </w:rPr>
        <w:t xml:space="preserve"> a Safety Report. This document provides a detailed and comprehensive assessment of major-accident hazards, describes the measures adopted to prevent major accidents and to limit their consequences for human health and the environment, and includes an analysis of the potential accident scenarios and their foreseeable effects.</w:t>
      </w:r>
      <w:r w:rsidR="00B377EE">
        <w:rPr>
          <w:lang w:val="en-GB"/>
        </w:rPr>
        <w:t xml:space="preserve"> </w:t>
      </w:r>
      <w:r w:rsidRPr="00145343">
        <w:rPr>
          <w:lang w:val="en-GB"/>
        </w:rPr>
        <w:t>The Safety Report is subject to examination and approval by the competent authorities, which may request additional information, require amendments, or impose additional measures to ensure a high level of protection.</w:t>
      </w:r>
    </w:p>
    <w:p w14:paraId="1965CF95" w14:textId="2459FCFD" w:rsidR="00420A4C" w:rsidRPr="00B57B36" w:rsidRDefault="00420A4C" w:rsidP="00DA6643">
      <w:pPr>
        <w:pStyle w:val="CETHeading1"/>
        <w:jc w:val="both"/>
        <w:rPr>
          <w:lang w:val="en-GB"/>
        </w:rPr>
      </w:pPr>
      <w:r w:rsidRPr="00420A4C">
        <w:rPr>
          <w:lang w:val="en-GB"/>
        </w:rPr>
        <w:t>Effects on the health of workers, population and environment due to loss of fluid from pressure equipment and/or pressure assemblies</w:t>
      </w:r>
    </w:p>
    <w:p w14:paraId="57A362B8" w14:textId="5088AB16" w:rsidR="009910F1" w:rsidRPr="0038023C" w:rsidRDefault="00B72BF6" w:rsidP="009910F1">
      <w:pPr>
        <w:pStyle w:val="CETBodytext"/>
        <w:rPr>
          <w:szCs w:val="18"/>
        </w:rPr>
      </w:pPr>
      <w:r w:rsidRPr="00B72BF6">
        <w:rPr>
          <w:szCs w:val="18"/>
        </w:rPr>
        <w:t xml:space="preserve">The uncontrolled release of pressurized fluids (e.g., due to the rupture of </w:t>
      </w:r>
      <w:r w:rsidR="00F260DE">
        <w:rPr>
          <w:szCs w:val="18"/>
        </w:rPr>
        <w:t>vessels</w:t>
      </w:r>
      <w:r w:rsidRPr="00B72BF6">
        <w:rPr>
          <w:szCs w:val="18"/>
        </w:rPr>
        <w:t>, reactors, pipelines, valves, etc.) may lead to severe accident scenarios (fires, explosions, toxic releases), with serious effects on the safety and health of workers and of the population living in the vicinity of such facilities, as well as on environmental matrices.</w:t>
      </w:r>
      <w:r w:rsidR="001C03D1">
        <w:rPr>
          <w:szCs w:val="18"/>
        </w:rPr>
        <w:t xml:space="preserve"> </w:t>
      </w:r>
      <w:r w:rsidR="009910F1" w:rsidRPr="0038023C">
        <w:rPr>
          <w:szCs w:val="18"/>
        </w:rPr>
        <w:t xml:space="preserve">The effects caused by </w:t>
      </w:r>
      <w:bookmarkStart w:id="2" w:name="_Hlk220010783"/>
      <w:r w:rsidR="009910F1" w:rsidRPr="0038023C">
        <w:rPr>
          <w:szCs w:val="18"/>
        </w:rPr>
        <w:t xml:space="preserve">fires, explosions or toxic </w:t>
      </w:r>
      <w:r w:rsidR="00F260DE" w:rsidRPr="0038023C">
        <w:rPr>
          <w:szCs w:val="18"/>
        </w:rPr>
        <w:t>clouds</w:t>
      </w:r>
      <w:r w:rsidR="009910F1" w:rsidRPr="0038023C">
        <w:rPr>
          <w:szCs w:val="18"/>
        </w:rPr>
        <w:t xml:space="preserve"> </w:t>
      </w:r>
      <w:bookmarkEnd w:id="2"/>
      <w:r w:rsidR="009910F1" w:rsidRPr="0038023C">
        <w:rPr>
          <w:szCs w:val="18"/>
        </w:rPr>
        <w:t>in the event of an accident can be divided into:</w:t>
      </w:r>
    </w:p>
    <w:p w14:paraId="7F315EA0" w14:textId="5173AA54" w:rsidR="009910F1" w:rsidRPr="0038023C" w:rsidRDefault="009910F1" w:rsidP="009910F1">
      <w:pPr>
        <w:pStyle w:val="CETBodytext"/>
        <w:rPr>
          <w:szCs w:val="18"/>
        </w:rPr>
      </w:pPr>
      <w:r w:rsidRPr="00F260DE">
        <w:rPr>
          <w:i/>
          <w:szCs w:val="18"/>
        </w:rPr>
        <w:t>a) Effects on the health of workers and population</w:t>
      </w:r>
      <w:r w:rsidRPr="0038023C">
        <w:rPr>
          <w:szCs w:val="18"/>
        </w:rPr>
        <w:t>: 1) in the event of a fire caused by flammable substances, the effects of heat and combustion fumes can cause burns, intoxication and damage to the respiratory tract; 2) in the event of an explosion, the effects due to the shock waves can show distant throwing of material, causing trauma; 3) in the event of toxic release (substances released in the gaseous state), there may be cases of acute intoxication caused by inhalation, ingestion or contact with the toxic substances, causing malaise, watery eyes, nausea, difficulty breathing, loss of consciousness and, in more severe cases, lethal effects.</w:t>
      </w:r>
      <w:r w:rsidR="00092A08">
        <w:rPr>
          <w:szCs w:val="18"/>
        </w:rPr>
        <w:t xml:space="preserve"> </w:t>
      </w:r>
      <w:r w:rsidRPr="0038023C">
        <w:rPr>
          <w:szCs w:val="18"/>
        </w:rPr>
        <w:t>Obviously, the effects of the accident are much more serious on workers, especially those who are close to the site of the accident and in any case within the plant, than population, because, although they are trained for such eventualities, they may be unprepared due to the speed and proximity to the accident site or a delay in the implementation of appropriate protective measures (e.g., putting on suitable masks or leaving the hazardous area and/or the establishment in an appropriate manner) and due to the shock of the accident itself. For this reason, in order to respond promptly to accidental events in the initial phase, the employer is advised to provide constant information and training for plant workers over time.</w:t>
      </w:r>
      <w:r w:rsidR="00092A08">
        <w:rPr>
          <w:szCs w:val="18"/>
        </w:rPr>
        <w:t xml:space="preserve"> </w:t>
      </w:r>
      <w:r w:rsidRPr="0038023C">
        <w:rPr>
          <w:szCs w:val="18"/>
        </w:rPr>
        <w:t>Referring to toxic releases, site-specific health risk analysis is an indispensable tool and the risk to be quantified is that arising from the potential exposure of a receptor subject to one or more pollutant sources through various absorption routes: by inhalation, by contact with skin and mucous membranes, by ingestion or even through more than one of these routes simultaneously.</w:t>
      </w:r>
    </w:p>
    <w:p w14:paraId="24082A25" w14:textId="7F415C57" w:rsidR="009910F1" w:rsidRPr="0038023C" w:rsidRDefault="009910F1" w:rsidP="009910F1">
      <w:pPr>
        <w:pStyle w:val="CETBodytext"/>
        <w:rPr>
          <w:szCs w:val="18"/>
        </w:rPr>
      </w:pPr>
      <w:r w:rsidRPr="0038023C">
        <w:rPr>
          <w:szCs w:val="18"/>
        </w:rPr>
        <w:t xml:space="preserve">It is mentioned that the most used mathematical model for risk analysis, in this case "chemical" (in accordance with the requirements of Title IX "protection from chemical agents" of Legislative Decree </w:t>
      </w:r>
      <w:r w:rsidR="00810642">
        <w:rPr>
          <w:szCs w:val="18"/>
        </w:rPr>
        <w:t>No</w:t>
      </w:r>
      <w:r w:rsidR="00516319">
        <w:rPr>
          <w:szCs w:val="18"/>
        </w:rPr>
        <w:t>.</w:t>
      </w:r>
      <w:r w:rsidR="00810642">
        <w:rPr>
          <w:szCs w:val="18"/>
        </w:rPr>
        <w:t xml:space="preserve"> </w:t>
      </w:r>
      <w:r w:rsidRPr="0038023C">
        <w:rPr>
          <w:szCs w:val="18"/>
        </w:rPr>
        <w:t>81/08), is a risk matrix involving two parameters: P (danger, represented by the intrinsic characteristics, i.e. the toxicological and chemical-physical properties of the chemical substances involved) and E (exposure, i.e. the way in which the worker and/or exposed subjects come into contact with substances: dermal contact, inhalation, ingestion) (D’orsi et al., 2015).</w:t>
      </w:r>
    </w:p>
    <w:p w14:paraId="68459765" w14:textId="60E72BC1" w:rsidR="009910F1" w:rsidRDefault="009910F1" w:rsidP="009910F1">
      <w:pPr>
        <w:pStyle w:val="CETBodytext"/>
        <w:rPr>
          <w:szCs w:val="18"/>
        </w:rPr>
      </w:pPr>
      <w:r w:rsidRPr="0038023C">
        <w:rPr>
          <w:i/>
          <w:szCs w:val="18"/>
        </w:rPr>
        <w:t>b) Effects on environment</w:t>
      </w:r>
      <w:r w:rsidRPr="0038023C">
        <w:rPr>
          <w:szCs w:val="18"/>
        </w:rPr>
        <w:t xml:space="preserve">: 1) in the case of toxic release there is </w:t>
      </w:r>
      <w:r w:rsidR="005A2C7E" w:rsidRPr="0038023C">
        <w:rPr>
          <w:szCs w:val="18"/>
        </w:rPr>
        <w:t>possible</w:t>
      </w:r>
      <w:r w:rsidRPr="0038023C">
        <w:rPr>
          <w:szCs w:val="18"/>
        </w:rPr>
        <w:t xml:space="preserve"> contamination of the soil, water, atmosphere and food by the released substances; 2) damage to neighboring structures and in particular collapse of buildings or parts thereof, breaking of glass, damage to the plants with further explosions, fires (possible domino effect).</w:t>
      </w:r>
    </w:p>
    <w:p w14:paraId="5CC937E8" w14:textId="7C26C193" w:rsidR="00420A4C" w:rsidRPr="00B57B36" w:rsidRDefault="00DA6643" w:rsidP="00420A4C">
      <w:pPr>
        <w:pStyle w:val="CETHeading1"/>
        <w:rPr>
          <w:lang w:val="en-GB"/>
        </w:rPr>
      </w:pPr>
      <w:r>
        <w:rPr>
          <w:lang w:val="en-GB"/>
        </w:rPr>
        <w:lastRenderedPageBreak/>
        <w:t>Conclusions</w:t>
      </w:r>
    </w:p>
    <w:p w14:paraId="2668962C" w14:textId="2174259A" w:rsidR="00851A7B" w:rsidRDefault="00DA6643" w:rsidP="00420A4C">
      <w:pPr>
        <w:pStyle w:val="CETBodytext"/>
        <w:rPr>
          <w:lang w:val="en-GB"/>
        </w:rPr>
      </w:pPr>
      <w:r w:rsidRPr="00DA6643">
        <w:rPr>
          <w:lang w:val="en-GB"/>
        </w:rPr>
        <w:t xml:space="preserve">The </w:t>
      </w:r>
      <w:r w:rsidR="00F260DE">
        <w:rPr>
          <w:lang w:val="en-GB"/>
        </w:rPr>
        <w:t>paper</w:t>
      </w:r>
      <w:r w:rsidRPr="00DA6643">
        <w:rPr>
          <w:lang w:val="en-GB"/>
        </w:rPr>
        <w:t xml:space="preserve"> describes the main steps for the proper safety management of pressure equipment and pressure assemblies </w:t>
      </w:r>
      <w:r w:rsidR="00714949" w:rsidRPr="00DA6643">
        <w:rPr>
          <w:lang w:val="en-GB"/>
        </w:rPr>
        <w:t xml:space="preserve">(numbering in the thousands, such as vessels, heat exchangers, reactors, furnaces, interconnecting piping, </w:t>
      </w:r>
      <w:r w:rsidR="00714949">
        <w:rPr>
          <w:lang w:val="en-GB"/>
        </w:rPr>
        <w:t xml:space="preserve">etc.), </w:t>
      </w:r>
      <w:r w:rsidRPr="00DA6643">
        <w:rPr>
          <w:lang w:val="en-GB"/>
        </w:rPr>
        <w:t xml:space="preserve">serving new </w:t>
      </w:r>
      <w:r w:rsidR="00F260DE" w:rsidRPr="00F260DE">
        <w:rPr>
          <w:lang w:val="en-GB"/>
        </w:rPr>
        <w:t>Biofuel Establishments</w:t>
      </w:r>
      <w:r w:rsidRPr="00DA6643">
        <w:rPr>
          <w:lang w:val="en-GB"/>
        </w:rPr>
        <w:t xml:space="preserve">, </w:t>
      </w:r>
      <w:r>
        <w:rPr>
          <w:lang w:val="en-GB"/>
        </w:rPr>
        <w:t>following</w:t>
      </w:r>
      <w:r w:rsidRPr="00DA6643">
        <w:rPr>
          <w:lang w:val="en-GB"/>
        </w:rPr>
        <w:t xml:space="preserve"> the European Directives “PED” and “Seveso III”</w:t>
      </w:r>
      <w:r w:rsidR="00C80A85">
        <w:rPr>
          <w:lang w:val="en-GB"/>
        </w:rPr>
        <w:t xml:space="preserve">, in order </w:t>
      </w:r>
      <w:r w:rsidR="00C80A85" w:rsidRPr="00DA6643">
        <w:rPr>
          <w:lang w:val="en-GB"/>
        </w:rPr>
        <w:t xml:space="preserve">to prevent serious adverse effects on the safety and health of workers and </w:t>
      </w:r>
      <w:r w:rsidR="00C80A85" w:rsidRPr="00614CB2">
        <w:rPr>
          <w:lang w:val="en-GB"/>
        </w:rPr>
        <w:t>population living in the vicinity of such facilities</w:t>
      </w:r>
      <w:r w:rsidR="00C80A85" w:rsidRPr="00DA6643">
        <w:rPr>
          <w:lang w:val="en-GB"/>
        </w:rPr>
        <w:t>, as well as environmental damage</w:t>
      </w:r>
      <w:r w:rsidRPr="00DA6643">
        <w:rPr>
          <w:lang w:val="en-GB"/>
        </w:rPr>
        <w:t xml:space="preserve">. </w:t>
      </w:r>
    </w:p>
    <w:p w14:paraId="183A5140" w14:textId="072B6259" w:rsidR="00DA6643" w:rsidRDefault="00DA6643" w:rsidP="00420A4C">
      <w:pPr>
        <w:pStyle w:val="CETBodytext"/>
        <w:rPr>
          <w:lang w:val="en-GB"/>
        </w:rPr>
      </w:pPr>
      <w:r w:rsidRPr="00DA6643">
        <w:rPr>
          <w:lang w:val="en-GB"/>
        </w:rPr>
        <w:t>The installation of pressure equipment and assemblies designed and manufactured in accordance with the PED allows the employer to minimize pressure-related risks that may involve such equipment/assemblies, preventing uncontrolled releases of fluids that could lead to fires, explosions, and environmental releases.</w:t>
      </w:r>
    </w:p>
    <w:p w14:paraId="74B7A61A" w14:textId="6A63DCA3" w:rsidR="00DA6643" w:rsidRDefault="00DA6643" w:rsidP="00DA6643">
      <w:pPr>
        <w:pStyle w:val="CETBodytext"/>
        <w:rPr>
          <w:lang w:val="en-GB"/>
        </w:rPr>
      </w:pPr>
      <w:r w:rsidRPr="00DA6643">
        <w:rPr>
          <w:lang w:val="en-GB"/>
        </w:rPr>
        <w:t>The subsequent phase of the safe operational management of pressure equipment and assemblies is governed by European legislation and</w:t>
      </w:r>
      <w:r w:rsidR="00F260DE">
        <w:rPr>
          <w:lang w:val="en-GB"/>
        </w:rPr>
        <w:t xml:space="preserve"> </w:t>
      </w:r>
      <w:r w:rsidRPr="00DA6643">
        <w:rPr>
          <w:lang w:val="en-GB"/>
        </w:rPr>
        <w:t xml:space="preserve">by Italian </w:t>
      </w:r>
      <w:r w:rsidR="00F260DE" w:rsidRPr="00DA6643">
        <w:rPr>
          <w:lang w:val="en-GB"/>
        </w:rPr>
        <w:t>legislation</w:t>
      </w:r>
      <w:r w:rsidRPr="00DA6643">
        <w:rPr>
          <w:lang w:val="en-GB"/>
        </w:rPr>
        <w:t xml:space="preserve">. These require maintenance activities and internal inspections carried out by the </w:t>
      </w:r>
      <w:r w:rsidR="00750B97">
        <w:rPr>
          <w:lang w:val="en-GB"/>
        </w:rPr>
        <w:t>employer</w:t>
      </w:r>
      <w:r w:rsidRPr="00DA6643">
        <w:rPr>
          <w:lang w:val="en-GB"/>
        </w:rPr>
        <w:t xml:space="preserve"> (through competent personnel), as well as specific periodic inspections performed by external bodies as provided for by the applicable legislation.</w:t>
      </w:r>
      <w:r w:rsidR="0021303E">
        <w:rPr>
          <w:lang w:val="en-GB"/>
        </w:rPr>
        <w:t xml:space="preserve"> </w:t>
      </w:r>
      <w:r w:rsidRPr="00DA6643">
        <w:rPr>
          <w:lang w:val="en-GB"/>
        </w:rPr>
        <w:t xml:space="preserve">In addition, in the case of establishments falling within the scope of European Directive 2012/18/EU (Seveso III), the </w:t>
      </w:r>
      <w:r w:rsidR="00614CB2">
        <w:rPr>
          <w:lang w:val="en-GB"/>
        </w:rPr>
        <w:t>employer/</w:t>
      </w:r>
      <w:r w:rsidRPr="00DA6643">
        <w:rPr>
          <w:lang w:val="en-GB"/>
        </w:rPr>
        <w:t xml:space="preserve">operator of the establishment shall ensure the preparation of the appropriate mandatory documentation, which enables the identification, anticipation, and management of major accident scenarios, in order to adequately prepare workers, emergency response teams, as well as citizens living in the </w:t>
      </w:r>
      <w:r w:rsidR="00750B97" w:rsidRPr="00750B97">
        <w:rPr>
          <w:lang w:val="en-GB"/>
        </w:rPr>
        <w:t>proximity</w:t>
      </w:r>
      <w:r w:rsidRPr="00DA6643">
        <w:rPr>
          <w:lang w:val="en-GB"/>
        </w:rPr>
        <w:t xml:space="preserve"> of such establishments, for these events.</w:t>
      </w:r>
    </w:p>
    <w:p w14:paraId="64D604E5" w14:textId="77777777" w:rsidR="00B441F4" w:rsidRPr="00B57B36" w:rsidRDefault="00B441F4" w:rsidP="00B441F4">
      <w:pPr>
        <w:pStyle w:val="CETReference"/>
      </w:pPr>
      <w:r w:rsidRPr="00B57B36">
        <w:t>References</w:t>
      </w:r>
    </w:p>
    <w:p w14:paraId="09D85E00" w14:textId="3F8A763B" w:rsidR="00B55295" w:rsidRPr="0038023C" w:rsidRDefault="00B55295" w:rsidP="00B55295">
      <w:pPr>
        <w:pStyle w:val="CETReferencetext"/>
        <w:rPr>
          <w:szCs w:val="18"/>
        </w:rPr>
      </w:pPr>
      <w:bookmarkStart w:id="3" w:name="_Hlk220251615"/>
      <w:r w:rsidRPr="0038023C">
        <w:rPr>
          <w:szCs w:val="18"/>
        </w:rPr>
        <w:t xml:space="preserve">Decree of the Ministry of Labor </w:t>
      </w:r>
      <w:bookmarkEnd w:id="3"/>
      <w:r w:rsidRPr="0038023C">
        <w:rPr>
          <w:szCs w:val="18"/>
        </w:rPr>
        <w:t>and Social Policies issued on April 11, 2011. Regulation of the methods for carrying out the periodic checks referred to in Annex VII of the legislative decree of 9 April 2008, n. 81, as well as the criteria for the qualification of the subjects referred to in article 71, paragraph 13, of the same legislative decree. Off</w:t>
      </w:r>
      <w:r w:rsidR="002F7E86">
        <w:rPr>
          <w:szCs w:val="18"/>
        </w:rPr>
        <w:t>icial</w:t>
      </w:r>
      <w:r w:rsidRPr="0038023C">
        <w:rPr>
          <w:szCs w:val="18"/>
        </w:rPr>
        <w:t xml:space="preserve"> J</w:t>
      </w:r>
      <w:r w:rsidR="002F7E86">
        <w:rPr>
          <w:szCs w:val="18"/>
        </w:rPr>
        <w:t xml:space="preserve">. </w:t>
      </w:r>
      <w:r w:rsidRPr="0038023C">
        <w:rPr>
          <w:szCs w:val="18"/>
        </w:rPr>
        <w:t>Italian Republic, Gen</w:t>
      </w:r>
      <w:r w:rsidR="002F7E86">
        <w:rPr>
          <w:szCs w:val="18"/>
        </w:rPr>
        <w:t>.</w:t>
      </w:r>
      <w:r w:rsidRPr="0038023C">
        <w:rPr>
          <w:szCs w:val="18"/>
        </w:rPr>
        <w:t xml:space="preserve"> Series n.98 (29 April 2011), Ordinary Supplement n. 111.</w:t>
      </w:r>
    </w:p>
    <w:p w14:paraId="410C441C" w14:textId="51738F32" w:rsidR="002A4215" w:rsidRDefault="002A4215" w:rsidP="002A4215">
      <w:pPr>
        <w:pStyle w:val="CETReferencetext"/>
        <w:rPr>
          <w:szCs w:val="18"/>
        </w:rPr>
      </w:pPr>
      <w:r w:rsidRPr="0038023C">
        <w:rPr>
          <w:szCs w:val="18"/>
        </w:rPr>
        <w:t>Decree of the Ministry of Product Activities, No. 329, issued on December 1, 2004. Regulation providing norms to put into service and using pressure equipment and the assemblies defined by the Article 19 of the Legislative Decree n. 93 of 25 February 2000. Official Journal of the Italian Republic, Gen. Series no.22.</w:t>
      </w:r>
    </w:p>
    <w:p w14:paraId="2CAC8F59" w14:textId="77777777" w:rsidR="00092A08" w:rsidRDefault="00092A08" w:rsidP="00092A08">
      <w:pPr>
        <w:pStyle w:val="CETReferencetext"/>
        <w:rPr>
          <w:szCs w:val="18"/>
        </w:rPr>
      </w:pPr>
      <w:r w:rsidRPr="00507E57">
        <w:rPr>
          <w:szCs w:val="18"/>
          <w:lang w:val="en-US"/>
        </w:rPr>
        <w:t xml:space="preserve">D’Orsi F., Guerriero G., Pietrantonio E., 2015. </w:t>
      </w:r>
      <w:r w:rsidRPr="0038023C">
        <w:rPr>
          <w:szCs w:val="18"/>
          <w:lang w:val="it-IT"/>
        </w:rPr>
        <w:t xml:space="preserve">La Valutazione del Rischio Chimico (“Chemical Risk Assessment”, in Italian language). </w:t>
      </w:r>
      <w:r w:rsidRPr="0038023C">
        <w:rPr>
          <w:szCs w:val="18"/>
        </w:rPr>
        <w:t>EPC Editore, ISBN 978-88-6310-673-2, 656 pp.</w:t>
      </w:r>
    </w:p>
    <w:p w14:paraId="191D2722" w14:textId="38572B6B" w:rsidR="00CC7F57" w:rsidRPr="0038023C" w:rsidRDefault="00CC7F57" w:rsidP="00CC7F57">
      <w:pPr>
        <w:pStyle w:val="CETReferencetext"/>
        <w:rPr>
          <w:szCs w:val="18"/>
          <w:lang w:val="en-US"/>
        </w:rPr>
      </w:pPr>
      <w:r w:rsidRPr="0038023C">
        <w:rPr>
          <w:szCs w:val="18"/>
        </w:rPr>
        <w:t>European</w:t>
      </w:r>
      <w:r w:rsidRPr="0038023C">
        <w:rPr>
          <w:szCs w:val="18"/>
          <w:lang w:val="en-US"/>
        </w:rPr>
        <w:t xml:space="preserve"> Union, 2009, Directive </w:t>
      </w:r>
      <w:r w:rsidRPr="0038023C">
        <w:rPr>
          <w:szCs w:val="18"/>
        </w:rPr>
        <w:t xml:space="preserve">2009/104/EC </w:t>
      </w:r>
      <w:r w:rsidRPr="0038023C">
        <w:rPr>
          <w:szCs w:val="18"/>
          <w:lang w:val="en-US"/>
        </w:rPr>
        <w:t xml:space="preserve">of the European Parliament and of the Council </w:t>
      </w:r>
      <w:r w:rsidRPr="0038023C">
        <w:rPr>
          <w:szCs w:val="18"/>
        </w:rPr>
        <w:t xml:space="preserve">of 16 September 2009 concerning the minimum safety and health requirements for the use of work equipment by workers at work (second individual Directive within the meaning of Article 16(1) of Directive 89/391/EEC), </w:t>
      </w:r>
      <w:r w:rsidRPr="0038023C">
        <w:rPr>
          <w:szCs w:val="18"/>
          <w:lang w:val="en-US"/>
        </w:rPr>
        <w:t xml:space="preserve">Official Journal of the European Union, </w:t>
      </w:r>
      <w:r w:rsidR="006A1907" w:rsidRPr="0038023C">
        <w:rPr>
          <w:szCs w:val="18"/>
          <w:lang w:val="en-US"/>
        </w:rPr>
        <w:t>L 260/5, 3.10.2009, pp. 5–19.</w:t>
      </w:r>
    </w:p>
    <w:p w14:paraId="34E975C4" w14:textId="77777777" w:rsidR="006A1907" w:rsidRPr="0038023C" w:rsidRDefault="006A1907" w:rsidP="006A1907">
      <w:pPr>
        <w:pStyle w:val="CETReferencetext"/>
        <w:rPr>
          <w:szCs w:val="18"/>
        </w:rPr>
      </w:pPr>
      <w:r w:rsidRPr="0038023C">
        <w:rPr>
          <w:szCs w:val="18"/>
          <w:lang w:val="en-US"/>
        </w:rPr>
        <w:t xml:space="preserve">European Union, 2012. </w:t>
      </w:r>
      <w:bookmarkStart w:id="4" w:name="_Hlk219993166"/>
      <w:r w:rsidRPr="0038023C">
        <w:rPr>
          <w:szCs w:val="18"/>
        </w:rPr>
        <w:t xml:space="preserve">Directive 2012/18/EU of the European Parliament </w:t>
      </w:r>
      <w:bookmarkEnd w:id="4"/>
      <w:r w:rsidRPr="0038023C">
        <w:rPr>
          <w:szCs w:val="18"/>
        </w:rPr>
        <w:t xml:space="preserve">and of the Council </w:t>
      </w:r>
      <w:r w:rsidRPr="0038023C">
        <w:rPr>
          <w:szCs w:val="18"/>
          <w:lang w:val="en-US"/>
        </w:rPr>
        <w:t>of 4 July 2012</w:t>
      </w:r>
      <w:r w:rsidRPr="0038023C">
        <w:rPr>
          <w:szCs w:val="18"/>
        </w:rPr>
        <w:t xml:space="preserve"> on the control of major-accident hazards involving dangerous substances, amending and subsequently repealing Council Directive 96/82/EC (SEVESO III), </w:t>
      </w:r>
      <w:r w:rsidRPr="0038023C">
        <w:rPr>
          <w:szCs w:val="18"/>
          <w:lang w:val="en-US"/>
        </w:rPr>
        <w:t>Official Journal of the European Union, L197, p.1-37.</w:t>
      </w:r>
    </w:p>
    <w:p w14:paraId="0D4B086D" w14:textId="476F6FB4" w:rsidR="00B55295" w:rsidRDefault="00B55295" w:rsidP="00B55295">
      <w:pPr>
        <w:pStyle w:val="CETReferencetext"/>
        <w:rPr>
          <w:szCs w:val="18"/>
          <w:lang w:val="en-US"/>
        </w:rPr>
      </w:pPr>
      <w:r w:rsidRPr="0038023C">
        <w:rPr>
          <w:szCs w:val="18"/>
        </w:rPr>
        <w:t>European</w:t>
      </w:r>
      <w:r w:rsidRPr="0038023C">
        <w:rPr>
          <w:szCs w:val="18"/>
          <w:lang w:val="en-US"/>
        </w:rPr>
        <w:t xml:space="preserve"> Union, 2014, Directive 2014/68/EU of the European Parliament and of the Council of 15 May 2014 on the harmonization of the laws of the Member States relating to the making available on the market of pressure equipment (recast), Official Journal of the European Union, N. 189, 27.6.2014, p. 164–259.</w:t>
      </w:r>
    </w:p>
    <w:p w14:paraId="1F47F98B" w14:textId="4D0E99C1" w:rsidR="00504B3D" w:rsidRDefault="00504B3D" w:rsidP="00504B3D">
      <w:pPr>
        <w:pStyle w:val="CETReferencetext"/>
        <w:rPr>
          <w:szCs w:val="18"/>
          <w:lang w:val="en-US"/>
        </w:rPr>
      </w:pPr>
      <w:r w:rsidRPr="0038023C">
        <w:rPr>
          <w:szCs w:val="18"/>
        </w:rPr>
        <w:t>European</w:t>
      </w:r>
      <w:r w:rsidRPr="0038023C">
        <w:rPr>
          <w:szCs w:val="18"/>
          <w:lang w:val="en-US"/>
        </w:rPr>
        <w:t xml:space="preserve"> Union, 20</w:t>
      </w:r>
      <w:r>
        <w:rPr>
          <w:szCs w:val="18"/>
          <w:lang w:val="en-US"/>
        </w:rPr>
        <w:t>23</w:t>
      </w:r>
      <w:r w:rsidRPr="0038023C">
        <w:rPr>
          <w:szCs w:val="18"/>
          <w:lang w:val="en-US"/>
        </w:rPr>
        <w:t>, Directive</w:t>
      </w:r>
      <w:r>
        <w:rPr>
          <w:szCs w:val="18"/>
          <w:lang w:val="en-US"/>
        </w:rPr>
        <w:t xml:space="preserve"> </w:t>
      </w:r>
      <w:r w:rsidRPr="00855000">
        <w:rPr>
          <w:szCs w:val="18"/>
          <w:lang w:val="en-US"/>
        </w:rPr>
        <w:t>2023/2413</w:t>
      </w:r>
      <w:r>
        <w:rPr>
          <w:szCs w:val="18"/>
          <w:lang w:val="en-US"/>
        </w:rPr>
        <w:t xml:space="preserve"> </w:t>
      </w:r>
      <w:r w:rsidRPr="0038023C">
        <w:rPr>
          <w:szCs w:val="18"/>
          <w:lang w:val="en-US"/>
        </w:rPr>
        <w:t xml:space="preserve">of the European Parliament and of the Council </w:t>
      </w:r>
      <w:r w:rsidRPr="0038023C">
        <w:rPr>
          <w:szCs w:val="18"/>
        </w:rPr>
        <w:t xml:space="preserve">of </w:t>
      </w:r>
      <w:r w:rsidRPr="00855000">
        <w:rPr>
          <w:szCs w:val="18"/>
        </w:rPr>
        <w:t>18 October 2023</w:t>
      </w:r>
      <w:r>
        <w:rPr>
          <w:szCs w:val="18"/>
        </w:rPr>
        <w:t xml:space="preserve"> </w:t>
      </w:r>
      <w:r w:rsidRPr="00855000">
        <w:rPr>
          <w:szCs w:val="18"/>
        </w:rPr>
        <w:t>amending Directive (EU) 2018/2001, Regulation (EU) 2018/1999 and Directive 98/70/EC as regards the promotion of energy from renewable sources, and repealing Council Directive (EU) 2015/65</w:t>
      </w:r>
      <w:r>
        <w:rPr>
          <w:szCs w:val="18"/>
        </w:rPr>
        <w:t>2</w:t>
      </w:r>
      <w:r w:rsidRPr="0038023C">
        <w:rPr>
          <w:szCs w:val="18"/>
        </w:rPr>
        <w:t xml:space="preserve">, </w:t>
      </w:r>
      <w:r w:rsidRPr="0038023C">
        <w:rPr>
          <w:szCs w:val="18"/>
          <w:lang w:val="en-US"/>
        </w:rPr>
        <w:t>Official J</w:t>
      </w:r>
      <w:r w:rsidR="004134C1">
        <w:rPr>
          <w:szCs w:val="18"/>
          <w:lang w:val="en-US"/>
        </w:rPr>
        <w:t xml:space="preserve">. </w:t>
      </w:r>
      <w:r w:rsidRPr="0038023C">
        <w:rPr>
          <w:szCs w:val="18"/>
          <w:lang w:val="en-US"/>
        </w:rPr>
        <w:t>of the European Union, L</w:t>
      </w:r>
      <w:r>
        <w:rPr>
          <w:szCs w:val="18"/>
          <w:lang w:val="en-US"/>
        </w:rPr>
        <w:t xml:space="preserve"> series,</w:t>
      </w:r>
      <w:r w:rsidRPr="0038023C">
        <w:rPr>
          <w:szCs w:val="18"/>
          <w:lang w:val="en-US"/>
        </w:rPr>
        <w:t xml:space="preserve"> </w:t>
      </w:r>
      <w:r>
        <w:rPr>
          <w:szCs w:val="18"/>
          <w:lang w:val="en-US"/>
        </w:rPr>
        <w:t>31.10.2023</w:t>
      </w:r>
      <w:r w:rsidR="004134C1">
        <w:rPr>
          <w:szCs w:val="18"/>
          <w:lang w:val="en-US"/>
        </w:rPr>
        <w:t>, 77pp</w:t>
      </w:r>
      <w:r>
        <w:rPr>
          <w:szCs w:val="18"/>
          <w:lang w:val="en-US"/>
        </w:rPr>
        <w:t>.</w:t>
      </w:r>
    </w:p>
    <w:p w14:paraId="22F91937" w14:textId="28A8C350" w:rsidR="00092A08" w:rsidRPr="0038023C" w:rsidRDefault="00092A08" w:rsidP="00092A08">
      <w:pPr>
        <w:pStyle w:val="CETReferencetext"/>
        <w:rPr>
          <w:szCs w:val="18"/>
        </w:rPr>
      </w:pPr>
      <w:r w:rsidRPr="0038023C">
        <w:rPr>
          <w:szCs w:val="18"/>
        </w:rPr>
        <w:t xml:space="preserve">Legislative Decree </w:t>
      </w:r>
      <w:r w:rsidR="003B1CFD">
        <w:rPr>
          <w:szCs w:val="18"/>
        </w:rPr>
        <w:t xml:space="preserve">No. </w:t>
      </w:r>
      <w:r w:rsidRPr="0038023C">
        <w:rPr>
          <w:szCs w:val="18"/>
        </w:rPr>
        <w:t>81/08: Legislative Decree 9 April 2008, n. 81, as modified by Legislative Decree 3 August 2009, n. 109. “Implementation of Article 1 of Law 3 August 2007, no. 123, concerning the protection of health and safety in the workplace”, Official J</w:t>
      </w:r>
      <w:r w:rsidR="003B1CFD">
        <w:rPr>
          <w:szCs w:val="18"/>
        </w:rPr>
        <w:t>.</w:t>
      </w:r>
      <w:r w:rsidRPr="0038023C">
        <w:rPr>
          <w:szCs w:val="18"/>
        </w:rPr>
        <w:t xml:space="preserve"> Italian Republic, Ge</w:t>
      </w:r>
      <w:r w:rsidR="003B1CFD">
        <w:rPr>
          <w:szCs w:val="18"/>
        </w:rPr>
        <w:t>n.</w:t>
      </w:r>
      <w:r w:rsidRPr="0038023C">
        <w:rPr>
          <w:szCs w:val="18"/>
        </w:rPr>
        <w:t xml:space="preserve"> Series</w:t>
      </w:r>
      <w:r w:rsidR="003B1CFD">
        <w:rPr>
          <w:szCs w:val="18"/>
        </w:rPr>
        <w:t xml:space="preserve"> </w:t>
      </w:r>
      <w:r w:rsidRPr="0038023C">
        <w:rPr>
          <w:szCs w:val="18"/>
        </w:rPr>
        <w:t xml:space="preserve">101, 30 April 2008 </w:t>
      </w:r>
      <w:r w:rsidR="003B1CFD">
        <w:rPr>
          <w:szCs w:val="18"/>
        </w:rPr>
        <w:t>–</w:t>
      </w:r>
      <w:r w:rsidRPr="0038023C">
        <w:rPr>
          <w:szCs w:val="18"/>
        </w:rPr>
        <w:t xml:space="preserve"> Ord</w:t>
      </w:r>
      <w:r w:rsidR="003B1CFD">
        <w:rPr>
          <w:szCs w:val="18"/>
        </w:rPr>
        <w:t>.</w:t>
      </w:r>
      <w:r w:rsidRPr="0038023C">
        <w:rPr>
          <w:szCs w:val="18"/>
        </w:rPr>
        <w:t xml:space="preserve"> Supp</w:t>
      </w:r>
      <w:r w:rsidR="003B1CFD">
        <w:rPr>
          <w:szCs w:val="18"/>
        </w:rPr>
        <w:t>l.</w:t>
      </w:r>
      <w:r w:rsidRPr="0038023C">
        <w:rPr>
          <w:szCs w:val="18"/>
        </w:rPr>
        <w:t xml:space="preserve"> n. 108; Supplementary Decree: Official J</w:t>
      </w:r>
      <w:r w:rsidR="003B1CFD">
        <w:rPr>
          <w:szCs w:val="18"/>
        </w:rPr>
        <w:t>.</w:t>
      </w:r>
      <w:r w:rsidRPr="0038023C">
        <w:rPr>
          <w:szCs w:val="18"/>
        </w:rPr>
        <w:t xml:space="preserve"> Italian Republic, Gen</w:t>
      </w:r>
      <w:r w:rsidR="003B1CFD">
        <w:rPr>
          <w:szCs w:val="18"/>
        </w:rPr>
        <w:t>.</w:t>
      </w:r>
      <w:r w:rsidRPr="0038023C">
        <w:rPr>
          <w:szCs w:val="18"/>
        </w:rPr>
        <w:t xml:space="preserve"> Series 180, </w:t>
      </w:r>
      <w:r w:rsidR="003B1CFD">
        <w:rPr>
          <w:szCs w:val="18"/>
        </w:rPr>
        <w:t>08/05/</w:t>
      </w:r>
      <w:r w:rsidRPr="0038023C">
        <w:rPr>
          <w:szCs w:val="18"/>
        </w:rPr>
        <w:t xml:space="preserve">2009 </w:t>
      </w:r>
      <w:r w:rsidR="003B1CFD">
        <w:rPr>
          <w:szCs w:val="18"/>
        </w:rPr>
        <w:t>–</w:t>
      </w:r>
      <w:r w:rsidRPr="0038023C">
        <w:rPr>
          <w:szCs w:val="18"/>
        </w:rPr>
        <w:t xml:space="preserve"> Ord</w:t>
      </w:r>
      <w:r w:rsidR="003B1CFD">
        <w:rPr>
          <w:szCs w:val="18"/>
        </w:rPr>
        <w:t>.</w:t>
      </w:r>
      <w:r w:rsidRPr="0038023C">
        <w:rPr>
          <w:szCs w:val="18"/>
        </w:rPr>
        <w:t xml:space="preserve"> Supp</w:t>
      </w:r>
      <w:r w:rsidR="003B1CFD">
        <w:rPr>
          <w:szCs w:val="18"/>
        </w:rPr>
        <w:t>l.</w:t>
      </w:r>
      <w:r w:rsidRPr="0038023C">
        <w:rPr>
          <w:szCs w:val="18"/>
        </w:rPr>
        <w:t xml:space="preserve"> n. 142/L.</w:t>
      </w:r>
    </w:p>
    <w:p w14:paraId="369FF26F" w14:textId="7193DFFB" w:rsidR="009E414D" w:rsidRPr="009E414D" w:rsidRDefault="009E414D" w:rsidP="009E414D">
      <w:pPr>
        <w:pStyle w:val="CETReferencetext"/>
        <w:rPr>
          <w:lang w:val="en-US"/>
        </w:rPr>
      </w:pPr>
      <w:r w:rsidRPr="009E414D">
        <w:rPr>
          <w:lang w:val="en-US"/>
        </w:rPr>
        <w:t xml:space="preserve">Muratore A., Giannelli G., Nastasi V., Sferruzza G., Grillone G., Delle Site C., 2022, Flood risk identification </w:t>
      </w:r>
      <w:r w:rsidRPr="001D6551">
        <w:rPr>
          <w:lang w:val="en-US"/>
        </w:rPr>
        <w:t>a</w:t>
      </w:r>
      <w:r w:rsidRPr="009E414D">
        <w:rPr>
          <w:lang w:val="en-US"/>
        </w:rPr>
        <w:t>nd</w:t>
      </w:r>
      <w:r w:rsidRPr="001D6551">
        <w:rPr>
          <w:lang w:val="en-US"/>
        </w:rPr>
        <w:t xml:space="preserve"> </w:t>
      </w:r>
      <w:r w:rsidRPr="009E414D">
        <w:rPr>
          <w:lang w:val="en-US"/>
        </w:rPr>
        <w:t>analysis for pressure equipment. Proceedings of 32nd European Safety and Reliability Conference, Dublin,</w:t>
      </w:r>
      <w:r w:rsidRPr="001D6551">
        <w:rPr>
          <w:lang w:val="en-US"/>
        </w:rPr>
        <w:t xml:space="preserve"> </w:t>
      </w:r>
      <w:r w:rsidRPr="009E414D">
        <w:rPr>
          <w:lang w:val="en-US"/>
        </w:rPr>
        <w:t>Ireland, 28 August - 1 September 2022, ESREL2022 Organizers, pp. 885-890. Published by Research</w:t>
      </w:r>
      <w:r w:rsidRPr="001D6551">
        <w:rPr>
          <w:lang w:val="en-US"/>
        </w:rPr>
        <w:t xml:space="preserve"> Publishing, Singapore. ISBN: 978-981-18-5183-4. DOI: 10.3850/978-981-18-5183-4_R17-03-059-cd.</w:t>
      </w:r>
    </w:p>
    <w:p w14:paraId="2FCBB7BB" w14:textId="7F5D09B0" w:rsidR="009E414D" w:rsidRDefault="001D6551" w:rsidP="001D6551">
      <w:pPr>
        <w:pStyle w:val="CETReferencetext"/>
        <w:rPr>
          <w:szCs w:val="18"/>
          <w:lang w:val="en-US"/>
        </w:rPr>
      </w:pPr>
      <w:r w:rsidRPr="001D6551">
        <w:rPr>
          <w:szCs w:val="18"/>
          <w:lang w:val="en-US"/>
        </w:rPr>
        <w:t>Muratore A., Giannelli G., Nastasi V., Sferruzza G., Grillone G., 2021, Risk assessment of pressure equipment during use phase, Proceedings of the 31st European Safety and Reliability Conference, Angers, France,</w:t>
      </w:r>
      <w:r>
        <w:rPr>
          <w:szCs w:val="18"/>
          <w:lang w:val="en-US"/>
        </w:rPr>
        <w:t xml:space="preserve"> </w:t>
      </w:r>
      <w:r w:rsidRPr="001D6551">
        <w:rPr>
          <w:szCs w:val="18"/>
          <w:lang w:val="en-US"/>
        </w:rPr>
        <w:t xml:space="preserve">19-23 September 2021, ESREL2021 Organizers, Publisher: Research Publishing, Singapore. ISBN: 978-981-18-2016-8, pp.2420-2425, </w:t>
      </w:r>
      <w:r>
        <w:rPr>
          <w:szCs w:val="18"/>
          <w:lang w:val="en-US"/>
        </w:rPr>
        <w:t>DOI</w:t>
      </w:r>
      <w:r w:rsidRPr="001D6551">
        <w:rPr>
          <w:szCs w:val="18"/>
          <w:lang w:val="en-US"/>
        </w:rPr>
        <w:t>: 10.3850/978-981-18-2016-8_305-cd.</w:t>
      </w:r>
    </w:p>
    <w:p w14:paraId="7D11BE8E" w14:textId="219193AA" w:rsidR="00A66245" w:rsidRDefault="00E34645" w:rsidP="00507E57">
      <w:pPr>
        <w:pStyle w:val="CETReferencetext"/>
        <w:rPr>
          <w:szCs w:val="18"/>
          <w:lang w:val="en-US"/>
        </w:rPr>
      </w:pPr>
      <w:r w:rsidRPr="007B50B0">
        <w:rPr>
          <w:noProof/>
          <w:szCs w:val="18"/>
          <w:lang w:val="en-US"/>
        </w:rPr>
        <w:t xml:space="preserve">Regulation (EU) 2023/435 </w:t>
      </w:r>
      <w:r w:rsidRPr="0038023C">
        <w:rPr>
          <w:szCs w:val="18"/>
          <w:lang w:val="en-US"/>
        </w:rPr>
        <w:t xml:space="preserve">of the European Parliament and of the Council </w:t>
      </w:r>
      <w:r w:rsidRPr="0038023C">
        <w:rPr>
          <w:szCs w:val="18"/>
        </w:rPr>
        <w:t xml:space="preserve">of </w:t>
      </w:r>
      <w:r w:rsidRPr="007B50B0">
        <w:rPr>
          <w:noProof/>
          <w:szCs w:val="18"/>
          <w:lang w:val="en-US"/>
        </w:rPr>
        <w:t xml:space="preserve">27 February </w:t>
      </w:r>
      <w:r w:rsidRPr="0038023C">
        <w:rPr>
          <w:szCs w:val="18"/>
        </w:rPr>
        <w:t xml:space="preserve">2023 amending Regulation (EU) 2021/241 as regards REPowerEU chapters in recovery and resilience plans and amending Regulations (EU) No 1303/2013, (EU) 2021/1060 and (EU) 2021/1755, and Directive 2003/87/EC, </w:t>
      </w:r>
      <w:r w:rsidRPr="0038023C">
        <w:rPr>
          <w:szCs w:val="18"/>
          <w:lang w:val="en-US"/>
        </w:rPr>
        <w:t>Official Journal of the European Union, L. 63/1, 28.2.2023, pp. 1–27.</w:t>
      </w:r>
    </w:p>
    <w:sectPr w:rsidR="00A66245"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C310" w14:textId="77777777" w:rsidR="00E018B9" w:rsidRDefault="00E018B9" w:rsidP="004F5E36">
      <w:r>
        <w:separator/>
      </w:r>
    </w:p>
  </w:endnote>
  <w:endnote w:type="continuationSeparator" w:id="0">
    <w:p w14:paraId="0C8559E8" w14:textId="77777777" w:rsidR="00E018B9" w:rsidRDefault="00E018B9"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1D87" w14:textId="77777777" w:rsidR="00E018B9" w:rsidRDefault="00E018B9" w:rsidP="004F5E36">
      <w:r>
        <w:separator/>
      </w:r>
    </w:p>
  </w:footnote>
  <w:footnote w:type="continuationSeparator" w:id="0">
    <w:p w14:paraId="54718D43" w14:textId="77777777" w:rsidR="00E018B9" w:rsidRDefault="00E018B9" w:rsidP="004F5E36">
      <w:r>
        <w:continuationSeparator/>
      </w:r>
    </w:p>
  </w:footnote>
  <w:footnote w:id="1">
    <w:p w14:paraId="2E831FF9" w14:textId="34BA6056" w:rsidR="005A2C7E" w:rsidRPr="005A2C7E" w:rsidRDefault="005A2C7E">
      <w:pPr>
        <w:pStyle w:val="Testonotaapidipagina"/>
        <w:rPr>
          <w:lang w:val="en-US"/>
        </w:rPr>
      </w:pPr>
      <w:r>
        <w:rPr>
          <w:rStyle w:val="Rimandonotaapidipagina"/>
        </w:rPr>
        <w:footnoteRef/>
      </w:r>
      <w:r>
        <w:t xml:space="preserve"> </w:t>
      </w:r>
      <w:r w:rsidRPr="005A2C7E">
        <w:rPr>
          <w:lang w:val="en-US"/>
        </w:rPr>
        <w:t>Recommended NDT: 1) Visual Testing (VT), Remote Visual Inspection (RVI) and penetrant testing (PT) on the equipment surface (fluid side)</w:t>
      </w:r>
      <w:r>
        <w:rPr>
          <w:lang w:val="en-US"/>
        </w:rPr>
        <w:t xml:space="preserve">; 2) </w:t>
      </w:r>
      <w:r w:rsidRPr="005A2C7E">
        <w:rPr>
          <w:lang w:val="en-US"/>
        </w:rPr>
        <w:t>Radiographic Testing (RT) and Ultrasonic Testing (UT) in welded joints</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7D64BA"/>
    <w:multiLevelType w:val="hybridMultilevel"/>
    <w:tmpl w:val="FD240E76"/>
    <w:lvl w:ilvl="0" w:tplc="553668F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058E47AD"/>
    <w:multiLevelType w:val="multilevel"/>
    <w:tmpl w:val="E5FC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DA5E6E"/>
    <w:multiLevelType w:val="hybridMultilevel"/>
    <w:tmpl w:val="EB06082E"/>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3" w15:restartNumberingAfterBreak="0">
    <w:nsid w:val="0F2B05D4"/>
    <w:multiLevelType w:val="hybridMultilevel"/>
    <w:tmpl w:val="F48E78FA"/>
    <w:lvl w:ilvl="0" w:tplc="9CEC7C38">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F5A22E8"/>
    <w:multiLevelType w:val="hybridMultilevel"/>
    <w:tmpl w:val="715899D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1352B4"/>
    <w:multiLevelType w:val="hybridMultilevel"/>
    <w:tmpl w:val="30B629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15:restartNumberingAfterBreak="0">
    <w:nsid w:val="25C64FC3"/>
    <w:multiLevelType w:val="hybridMultilevel"/>
    <w:tmpl w:val="95E046E0"/>
    <w:lvl w:ilvl="0" w:tplc="553668F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F8D78EF"/>
    <w:multiLevelType w:val="hybridMultilevel"/>
    <w:tmpl w:val="794E16F8"/>
    <w:lvl w:ilvl="0" w:tplc="553668F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1E229D"/>
    <w:multiLevelType w:val="hybridMultilevel"/>
    <w:tmpl w:val="18CCBF1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51E0394"/>
    <w:multiLevelType w:val="hybridMultilevel"/>
    <w:tmpl w:val="806658E2"/>
    <w:lvl w:ilvl="0" w:tplc="14B0F7A8">
      <w:start w:val="1"/>
      <w:numFmt w:val="bullet"/>
      <w:lvlText w:val=""/>
      <w:lvlJc w:val="left"/>
      <w:pPr>
        <w:ind w:left="227" w:hanging="227"/>
      </w:pPr>
      <w:rPr>
        <w:rFonts w:ascii="Symbol" w:hAnsi="Symbol" w:hint="default"/>
      </w:rPr>
    </w:lvl>
    <w:lvl w:ilvl="1" w:tplc="04100003" w:tentative="1">
      <w:start w:val="1"/>
      <w:numFmt w:val="bullet"/>
      <w:lvlText w:val="o"/>
      <w:lvlJc w:val="left"/>
      <w:pPr>
        <w:ind w:left="1327" w:hanging="360"/>
      </w:pPr>
      <w:rPr>
        <w:rFonts w:ascii="Courier New" w:hAnsi="Courier New" w:cs="Courier New" w:hint="default"/>
      </w:rPr>
    </w:lvl>
    <w:lvl w:ilvl="2" w:tplc="04100005" w:tentative="1">
      <w:start w:val="1"/>
      <w:numFmt w:val="bullet"/>
      <w:lvlText w:val=""/>
      <w:lvlJc w:val="left"/>
      <w:pPr>
        <w:ind w:left="2047" w:hanging="360"/>
      </w:pPr>
      <w:rPr>
        <w:rFonts w:ascii="Wingdings" w:hAnsi="Wingdings" w:hint="default"/>
      </w:rPr>
    </w:lvl>
    <w:lvl w:ilvl="3" w:tplc="04100001" w:tentative="1">
      <w:start w:val="1"/>
      <w:numFmt w:val="bullet"/>
      <w:lvlText w:val=""/>
      <w:lvlJc w:val="left"/>
      <w:pPr>
        <w:ind w:left="2767" w:hanging="360"/>
      </w:pPr>
      <w:rPr>
        <w:rFonts w:ascii="Symbol" w:hAnsi="Symbol" w:hint="default"/>
      </w:rPr>
    </w:lvl>
    <w:lvl w:ilvl="4" w:tplc="04100003" w:tentative="1">
      <w:start w:val="1"/>
      <w:numFmt w:val="bullet"/>
      <w:lvlText w:val="o"/>
      <w:lvlJc w:val="left"/>
      <w:pPr>
        <w:ind w:left="3487" w:hanging="360"/>
      </w:pPr>
      <w:rPr>
        <w:rFonts w:ascii="Courier New" w:hAnsi="Courier New" w:cs="Courier New" w:hint="default"/>
      </w:rPr>
    </w:lvl>
    <w:lvl w:ilvl="5" w:tplc="04100005" w:tentative="1">
      <w:start w:val="1"/>
      <w:numFmt w:val="bullet"/>
      <w:lvlText w:val=""/>
      <w:lvlJc w:val="left"/>
      <w:pPr>
        <w:ind w:left="4207" w:hanging="360"/>
      </w:pPr>
      <w:rPr>
        <w:rFonts w:ascii="Wingdings" w:hAnsi="Wingdings" w:hint="default"/>
      </w:rPr>
    </w:lvl>
    <w:lvl w:ilvl="6" w:tplc="04100001" w:tentative="1">
      <w:start w:val="1"/>
      <w:numFmt w:val="bullet"/>
      <w:lvlText w:val=""/>
      <w:lvlJc w:val="left"/>
      <w:pPr>
        <w:ind w:left="4927" w:hanging="360"/>
      </w:pPr>
      <w:rPr>
        <w:rFonts w:ascii="Symbol" w:hAnsi="Symbol" w:hint="default"/>
      </w:rPr>
    </w:lvl>
    <w:lvl w:ilvl="7" w:tplc="04100003" w:tentative="1">
      <w:start w:val="1"/>
      <w:numFmt w:val="bullet"/>
      <w:lvlText w:val="o"/>
      <w:lvlJc w:val="left"/>
      <w:pPr>
        <w:ind w:left="5647" w:hanging="360"/>
      </w:pPr>
      <w:rPr>
        <w:rFonts w:ascii="Courier New" w:hAnsi="Courier New" w:cs="Courier New" w:hint="default"/>
      </w:rPr>
    </w:lvl>
    <w:lvl w:ilvl="8" w:tplc="04100005" w:tentative="1">
      <w:start w:val="1"/>
      <w:numFmt w:val="bullet"/>
      <w:lvlText w:val=""/>
      <w:lvlJc w:val="left"/>
      <w:pPr>
        <w:ind w:left="6367" w:hanging="360"/>
      </w:pPr>
      <w:rPr>
        <w:rFonts w:ascii="Wingdings" w:hAnsi="Wingdings" w:hint="default"/>
      </w:rPr>
    </w:lvl>
  </w:abstractNum>
  <w:abstractNum w:abstractNumId="22"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81F1E39"/>
    <w:multiLevelType w:val="hybridMultilevel"/>
    <w:tmpl w:val="036ED1A4"/>
    <w:lvl w:ilvl="0" w:tplc="26E817B6">
      <w:start w:val="1"/>
      <w:numFmt w:val="lowerLetter"/>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2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A44261"/>
    <w:multiLevelType w:val="hybridMultilevel"/>
    <w:tmpl w:val="C980D5E8"/>
    <w:lvl w:ilvl="0" w:tplc="553668F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543F5F"/>
    <w:multiLevelType w:val="hybridMultilevel"/>
    <w:tmpl w:val="7DB626DE"/>
    <w:lvl w:ilvl="0" w:tplc="553668F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E4D064C"/>
    <w:multiLevelType w:val="hybridMultilevel"/>
    <w:tmpl w:val="79A66BE2"/>
    <w:lvl w:ilvl="0" w:tplc="553668F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F465914"/>
    <w:multiLevelType w:val="hybridMultilevel"/>
    <w:tmpl w:val="5E06648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7F20D0D"/>
    <w:multiLevelType w:val="hybridMultilevel"/>
    <w:tmpl w:val="495A8F34"/>
    <w:lvl w:ilvl="0" w:tplc="03C4F584">
      <w:start w:val="1"/>
      <w:numFmt w:val="lowerLetter"/>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35"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AD7324"/>
    <w:multiLevelType w:val="hybridMultilevel"/>
    <w:tmpl w:val="24649B2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6ECD6FB0"/>
    <w:multiLevelType w:val="hybridMultilevel"/>
    <w:tmpl w:val="0EF643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72083034">
    <w:abstractNumId w:val="16"/>
  </w:num>
  <w:num w:numId="2" w16cid:durableId="1261600310">
    <w:abstractNumId w:val="8"/>
  </w:num>
  <w:num w:numId="3" w16cid:durableId="1902405756">
    <w:abstractNumId w:val="3"/>
  </w:num>
  <w:num w:numId="4" w16cid:durableId="385299274">
    <w:abstractNumId w:val="2"/>
  </w:num>
  <w:num w:numId="5" w16cid:durableId="1976372920">
    <w:abstractNumId w:val="1"/>
  </w:num>
  <w:num w:numId="6" w16cid:durableId="763382951">
    <w:abstractNumId w:val="0"/>
  </w:num>
  <w:num w:numId="7" w16cid:durableId="591865391">
    <w:abstractNumId w:val="9"/>
  </w:num>
  <w:num w:numId="8" w16cid:durableId="698893387">
    <w:abstractNumId w:val="7"/>
  </w:num>
  <w:num w:numId="9" w16cid:durableId="1196626088">
    <w:abstractNumId w:val="6"/>
  </w:num>
  <w:num w:numId="10" w16cid:durableId="1149009541">
    <w:abstractNumId w:val="5"/>
  </w:num>
  <w:num w:numId="11" w16cid:durableId="1203857653">
    <w:abstractNumId w:val="4"/>
  </w:num>
  <w:num w:numId="12" w16cid:durableId="1992127411">
    <w:abstractNumId w:val="28"/>
  </w:num>
  <w:num w:numId="13" w16cid:durableId="1963488165">
    <w:abstractNumId w:val="21"/>
  </w:num>
  <w:num w:numId="14" w16cid:durableId="1898977806">
    <w:abstractNumId w:val="29"/>
  </w:num>
  <w:num w:numId="15" w16cid:durableId="1039472561">
    <w:abstractNumId w:val="35"/>
  </w:num>
  <w:num w:numId="16" w16cid:durableId="1969899373">
    <w:abstractNumId w:val="33"/>
  </w:num>
  <w:num w:numId="17" w16cid:durableId="955255907">
    <w:abstractNumId w:val="20"/>
  </w:num>
  <w:num w:numId="18" w16cid:durableId="1471165192">
    <w:abstractNumId w:val="21"/>
    <w:lvlOverride w:ilvl="0">
      <w:startOverride w:val="1"/>
    </w:lvlOverride>
  </w:num>
  <w:num w:numId="19" w16cid:durableId="834609226">
    <w:abstractNumId w:val="26"/>
  </w:num>
  <w:num w:numId="20" w16cid:durableId="1042367625">
    <w:abstractNumId w:val="25"/>
  </w:num>
  <w:num w:numId="21" w16cid:durableId="319888943">
    <w:abstractNumId w:val="23"/>
  </w:num>
  <w:num w:numId="22" w16cid:durableId="1606032498">
    <w:abstractNumId w:val="22"/>
  </w:num>
  <w:num w:numId="23" w16cid:durableId="1458525906">
    <w:abstractNumId w:val="12"/>
  </w:num>
  <w:num w:numId="24" w16cid:durableId="80420200">
    <w:abstractNumId w:val="34"/>
  </w:num>
  <w:num w:numId="25" w16cid:durableId="1933081138">
    <w:abstractNumId w:val="15"/>
  </w:num>
  <w:num w:numId="26" w16cid:durableId="951398253">
    <w:abstractNumId w:val="24"/>
  </w:num>
  <w:num w:numId="27" w16cid:durableId="2014186077">
    <w:abstractNumId w:val="11"/>
  </w:num>
  <w:num w:numId="28" w16cid:durableId="1409032362">
    <w:abstractNumId w:val="13"/>
  </w:num>
  <w:num w:numId="29" w16cid:durableId="840394092">
    <w:abstractNumId w:val="18"/>
  </w:num>
  <w:num w:numId="30" w16cid:durableId="2002192565">
    <w:abstractNumId w:val="17"/>
  </w:num>
  <w:num w:numId="31" w16cid:durableId="2013414583">
    <w:abstractNumId w:val="27"/>
  </w:num>
  <w:num w:numId="32" w16cid:durableId="174804256">
    <w:abstractNumId w:val="36"/>
  </w:num>
  <w:num w:numId="33" w16cid:durableId="1258439983">
    <w:abstractNumId w:val="30"/>
  </w:num>
  <w:num w:numId="34" w16cid:durableId="1143430041">
    <w:abstractNumId w:val="14"/>
  </w:num>
  <w:num w:numId="35" w16cid:durableId="524943481">
    <w:abstractNumId w:val="32"/>
  </w:num>
  <w:num w:numId="36" w16cid:durableId="2011830099">
    <w:abstractNumId w:val="37"/>
  </w:num>
  <w:num w:numId="37" w16cid:durableId="601962065">
    <w:abstractNumId w:val="10"/>
  </w:num>
  <w:num w:numId="38" w16cid:durableId="697244314">
    <w:abstractNumId w:val="19"/>
  </w:num>
  <w:num w:numId="39" w16cid:durableId="331958819">
    <w:abstractNumId w:val="31"/>
  </w:num>
  <w:num w:numId="40" w16cid:durableId="720708045">
    <w:abstractNumId w:val="16"/>
  </w:num>
  <w:num w:numId="41" w16cid:durableId="11744918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137D4"/>
    <w:rsid w:val="00025B54"/>
    <w:rsid w:val="000276FF"/>
    <w:rsid w:val="0003077B"/>
    <w:rsid w:val="0003148D"/>
    <w:rsid w:val="00031EEC"/>
    <w:rsid w:val="00050723"/>
    <w:rsid w:val="0005097D"/>
    <w:rsid w:val="00051566"/>
    <w:rsid w:val="00051B7B"/>
    <w:rsid w:val="00053E73"/>
    <w:rsid w:val="00054288"/>
    <w:rsid w:val="000552AE"/>
    <w:rsid w:val="00055FCC"/>
    <w:rsid w:val="000562A9"/>
    <w:rsid w:val="000623FE"/>
    <w:rsid w:val="00062A9A"/>
    <w:rsid w:val="00065058"/>
    <w:rsid w:val="000825F7"/>
    <w:rsid w:val="000861CF"/>
    <w:rsid w:val="00086C39"/>
    <w:rsid w:val="00090C2B"/>
    <w:rsid w:val="00092A08"/>
    <w:rsid w:val="000958BF"/>
    <w:rsid w:val="000A03B2"/>
    <w:rsid w:val="000A0BAE"/>
    <w:rsid w:val="000B11D6"/>
    <w:rsid w:val="000B26C7"/>
    <w:rsid w:val="000B3BE6"/>
    <w:rsid w:val="000B4054"/>
    <w:rsid w:val="000B5DA8"/>
    <w:rsid w:val="000B6907"/>
    <w:rsid w:val="000B73B8"/>
    <w:rsid w:val="000D0268"/>
    <w:rsid w:val="000D34BE"/>
    <w:rsid w:val="000D3B49"/>
    <w:rsid w:val="000D7114"/>
    <w:rsid w:val="000E102F"/>
    <w:rsid w:val="000E15BE"/>
    <w:rsid w:val="000E36F1"/>
    <w:rsid w:val="000E3A73"/>
    <w:rsid w:val="000E414A"/>
    <w:rsid w:val="000F093C"/>
    <w:rsid w:val="000F787B"/>
    <w:rsid w:val="00105F21"/>
    <w:rsid w:val="0012091F"/>
    <w:rsid w:val="00121181"/>
    <w:rsid w:val="00126BC2"/>
    <w:rsid w:val="001308B6"/>
    <w:rsid w:val="0013121F"/>
    <w:rsid w:val="00131378"/>
    <w:rsid w:val="00131FE6"/>
    <w:rsid w:val="0013263F"/>
    <w:rsid w:val="001331DF"/>
    <w:rsid w:val="00134DE4"/>
    <w:rsid w:val="00136911"/>
    <w:rsid w:val="0014034D"/>
    <w:rsid w:val="001429E2"/>
    <w:rsid w:val="00144D16"/>
    <w:rsid w:val="00145343"/>
    <w:rsid w:val="00150E59"/>
    <w:rsid w:val="00152DE3"/>
    <w:rsid w:val="00153CCD"/>
    <w:rsid w:val="00164CF9"/>
    <w:rsid w:val="00165009"/>
    <w:rsid w:val="001667A6"/>
    <w:rsid w:val="00174491"/>
    <w:rsid w:val="00184AD6"/>
    <w:rsid w:val="001A2790"/>
    <w:rsid w:val="001A300C"/>
    <w:rsid w:val="001A4AF7"/>
    <w:rsid w:val="001B0349"/>
    <w:rsid w:val="001B1E93"/>
    <w:rsid w:val="001B527D"/>
    <w:rsid w:val="001B65C1"/>
    <w:rsid w:val="001C03D1"/>
    <w:rsid w:val="001C684B"/>
    <w:rsid w:val="001D0CFB"/>
    <w:rsid w:val="001D21AF"/>
    <w:rsid w:val="001D49C8"/>
    <w:rsid w:val="001D53FC"/>
    <w:rsid w:val="001D6551"/>
    <w:rsid w:val="001E2D45"/>
    <w:rsid w:val="001E30D0"/>
    <w:rsid w:val="001F42A5"/>
    <w:rsid w:val="001F7B9D"/>
    <w:rsid w:val="00201C93"/>
    <w:rsid w:val="0021303E"/>
    <w:rsid w:val="00216FAF"/>
    <w:rsid w:val="00220DBD"/>
    <w:rsid w:val="002224B4"/>
    <w:rsid w:val="00230931"/>
    <w:rsid w:val="00236784"/>
    <w:rsid w:val="00236E56"/>
    <w:rsid w:val="002447EF"/>
    <w:rsid w:val="00251550"/>
    <w:rsid w:val="00253EF7"/>
    <w:rsid w:val="00263B05"/>
    <w:rsid w:val="00267921"/>
    <w:rsid w:val="002706BF"/>
    <w:rsid w:val="0027221A"/>
    <w:rsid w:val="00275B61"/>
    <w:rsid w:val="00280FAF"/>
    <w:rsid w:val="00282656"/>
    <w:rsid w:val="00292A4C"/>
    <w:rsid w:val="00295FBC"/>
    <w:rsid w:val="00296B83"/>
    <w:rsid w:val="002A4215"/>
    <w:rsid w:val="002A47A9"/>
    <w:rsid w:val="002B1CCE"/>
    <w:rsid w:val="002B4015"/>
    <w:rsid w:val="002B78CE"/>
    <w:rsid w:val="002C2FB6"/>
    <w:rsid w:val="002E5FA7"/>
    <w:rsid w:val="002F3309"/>
    <w:rsid w:val="002F3490"/>
    <w:rsid w:val="002F6A2C"/>
    <w:rsid w:val="002F7E86"/>
    <w:rsid w:val="003008CE"/>
    <w:rsid w:val="003009B7"/>
    <w:rsid w:val="00300E56"/>
    <w:rsid w:val="0030152C"/>
    <w:rsid w:val="0030469C"/>
    <w:rsid w:val="0030714F"/>
    <w:rsid w:val="0031164C"/>
    <w:rsid w:val="00316CBF"/>
    <w:rsid w:val="00321CA6"/>
    <w:rsid w:val="00322725"/>
    <w:rsid w:val="003228E6"/>
    <w:rsid w:val="003229CB"/>
    <w:rsid w:val="00323763"/>
    <w:rsid w:val="00323C5F"/>
    <w:rsid w:val="00334C09"/>
    <w:rsid w:val="00337E2F"/>
    <w:rsid w:val="00354DA5"/>
    <w:rsid w:val="00355DC2"/>
    <w:rsid w:val="00355F1C"/>
    <w:rsid w:val="00356450"/>
    <w:rsid w:val="003723D4"/>
    <w:rsid w:val="0038023C"/>
    <w:rsid w:val="00381905"/>
    <w:rsid w:val="00384CC8"/>
    <w:rsid w:val="003871FD"/>
    <w:rsid w:val="00387EA2"/>
    <w:rsid w:val="0039294E"/>
    <w:rsid w:val="00397552"/>
    <w:rsid w:val="003A1E30"/>
    <w:rsid w:val="003A2829"/>
    <w:rsid w:val="003A7018"/>
    <w:rsid w:val="003A72CF"/>
    <w:rsid w:val="003A7D1C"/>
    <w:rsid w:val="003B1CFD"/>
    <w:rsid w:val="003B304B"/>
    <w:rsid w:val="003B3146"/>
    <w:rsid w:val="003C676E"/>
    <w:rsid w:val="003E3952"/>
    <w:rsid w:val="003F015E"/>
    <w:rsid w:val="003F6F48"/>
    <w:rsid w:val="00400414"/>
    <w:rsid w:val="004134C1"/>
    <w:rsid w:val="0041446B"/>
    <w:rsid w:val="00420A4C"/>
    <w:rsid w:val="004314DA"/>
    <w:rsid w:val="00434F11"/>
    <w:rsid w:val="00435DD7"/>
    <w:rsid w:val="0044071E"/>
    <w:rsid w:val="0044329C"/>
    <w:rsid w:val="00453E24"/>
    <w:rsid w:val="00454316"/>
    <w:rsid w:val="00454973"/>
    <w:rsid w:val="00457456"/>
    <w:rsid w:val="004577FE"/>
    <w:rsid w:val="00457B9C"/>
    <w:rsid w:val="00457D3F"/>
    <w:rsid w:val="00460B4D"/>
    <w:rsid w:val="0046164A"/>
    <w:rsid w:val="004628D2"/>
    <w:rsid w:val="00462DCD"/>
    <w:rsid w:val="004648AD"/>
    <w:rsid w:val="004703A9"/>
    <w:rsid w:val="004760DE"/>
    <w:rsid w:val="004763D7"/>
    <w:rsid w:val="004856CA"/>
    <w:rsid w:val="00490CAE"/>
    <w:rsid w:val="00490D14"/>
    <w:rsid w:val="004A004E"/>
    <w:rsid w:val="004A24CF"/>
    <w:rsid w:val="004A274B"/>
    <w:rsid w:val="004A3AFC"/>
    <w:rsid w:val="004A5266"/>
    <w:rsid w:val="004C1177"/>
    <w:rsid w:val="004C2F72"/>
    <w:rsid w:val="004C3C21"/>
    <w:rsid w:val="004C3D10"/>
    <w:rsid w:val="004C3D1D"/>
    <w:rsid w:val="004C3D84"/>
    <w:rsid w:val="004C4EAF"/>
    <w:rsid w:val="004C7913"/>
    <w:rsid w:val="004E3E63"/>
    <w:rsid w:val="004E4DD6"/>
    <w:rsid w:val="004E4F10"/>
    <w:rsid w:val="004E7B49"/>
    <w:rsid w:val="004F1434"/>
    <w:rsid w:val="004F2218"/>
    <w:rsid w:val="004F3786"/>
    <w:rsid w:val="004F3EC2"/>
    <w:rsid w:val="004F5E36"/>
    <w:rsid w:val="004F68D8"/>
    <w:rsid w:val="00501E37"/>
    <w:rsid w:val="00501EFA"/>
    <w:rsid w:val="00503123"/>
    <w:rsid w:val="00504B3D"/>
    <w:rsid w:val="00507B47"/>
    <w:rsid w:val="00507BEF"/>
    <w:rsid w:val="00507CC9"/>
    <w:rsid w:val="00507E57"/>
    <w:rsid w:val="0051189C"/>
    <w:rsid w:val="005119A5"/>
    <w:rsid w:val="00516319"/>
    <w:rsid w:val="00520028"/>
    <w:rsid w:val="00520169"/>
    <w:rsid w:val="005230DF"/>
    <w:rsid w:val="0052388B"/>
    <w:rsid w:val="005247B0"/>
    <w:rsid w:val="005257B7"/>
    <w:rsid w:val="005264E1"/>
    <w:rsid w:val="005278B7"/>
    <w:rsid w:val="00530F93"/>
    <w:rsid w:val="00532016"/>
    <w:rsid w:val="005346C8"/>
    <w:rsid w:val="005349CB"/>
    <w:rsid w:val="00543E7D"/>
    <w:rsid w:val="00547A68"/>
    <w:rsid w:val="005531C9"/>
    <w:rsid w:val="00557E00"/>
    <w:rsid w:val="00560AAE"/>
    <w:rsid w:val="00570C43"/>
    <w:rsid w:val="00573C7C"/>
    <w:rsid w:val="005801B3"/>
    <w:rsid w:val="00584525"/>
    <w:rsid w:val="005A2C7E"/>
    <w:rsid w:val="005B2110"/>
    <w:rsid w:val="005B61E6"/>
    <w:rsid w:val="005B6957"/>
    <w:rsid w:val="005C77E1"/>
    <w:rsid w:val="005D2EC1"/>
    <w:rsid w:val="005D4C52"/>
    <w:rsid w:val="005D668A"/>
    <w:rsid w:val="005D6A2F"/>
    <w:rsid w:val="005E1218"/>
    <w:rsid w:val="005E1A82"/>
    <w:rsid w:val="005E794C"/>
    <w:rsid w:val="005E7D8E"/>
    <w:rsid w:val="005F0A28"/>
    <w:rsid w:val="005F0E5E"/>
    <w:rsid w:val="005F220A"/>
    <w:rsid w:val="00600535"/>
    <w:rsid w:val="00604879"/>
    <w:rsid w:val="00610CD6"/>
    <w:rsid w:val="006141BF"/>
    <w:rsid w:val="00614CB2"/>
    <w:rsid w:val="006168F1"/>
    <w:rsid w:val="00620DEE"/>
    <w:rsid w:val="00621F92"/>
    <w:rsid w:val="00622340"/>
    <w:rsid w:val="0062280A"/>
    <w:rsid w:val="00625639"/>
    <w:rsid w:val="00631B33"/>
    <w:rsid w:val="0064184D"/>
    <w:rsid w:val="006422CC"/>
    <w:rsid w:val="006452B9"/>
    <w:rsid w:val="00645665"/>
    <w:rsid w:val="00646BB7"/>
    <w:rsid w:val="00652190"/>
    <w:rsid w:val="00660E3E"/>
    <w:rsid w:val="00662E74"/>
    <w:rsid w:val="00673682"/>
    <w:rsid w:val="00680C23"/>
    <w:rsid w:val="00683AE0"/>
    <w:rsid w:val="00693766"/>
    <w:rsid w:val="00697578"/>
    <w:rsid w:val="006A0C35"/>
    <w:rsid w:val="006A1907"/>
    <w:rsid w:val="006A3281"/>
    <w:rsid w:val="006B1668"/>
    <w:rsid w:val="006B4888"/>
    <w:rsid w:val="006B7B76"/>
    <w:rsid w:val="006C2E45"/>
    <w:rsid w:val="006C359C"/>
    <w:rsid w:val="006C5579"/>
    <w:rsid w:val="006C65FB"/>
    <w:rsid w:val="006D6E8B"/>
    <w:rsid w:val="006E51DF"/>
    <w:rsid w:val="006E737D"/>
    <w:rsid w:val="006F5EA9"/>
    <w:rsid w:val="00702320"/>
    <w:rsid w:val="007028F8"/>
    <w:rsid w:val="00707DD1"/>
    <w:rsid w:val="00713973"/>
    <w:rsid w:val="00714343"/>
    <w:rsid w:val="00714949"/>
    <w:rsid w:val="00720A24"/>
    <w:rsid w:val="007233A9"/>
    <w:rsid w:val="0072713D"/>
    <w:rsid w:val="00727239"/>
    <w:rsid w:val="00732386"/>
    <w:rsid w:val="0073514D"/>
    <w:rsid w:val="007447F3"/>
    <w:rsid w:val="00750B97"/>
    <w:rsid w:val="00752B39"/>
    <w:rsid w:val="00753133"/>
    <w:rsid w:val="0075499F"/>
    <w:rsid w:val="00764BBF"/>
    <w:rsid w:val="007661C8"/>
    <w:rsid w:val="00770973"/>
    <w:rsid w:val="0077098D"/>
    <w:rsid w:val="00782597"/>
    <w:rsid w:val="00785A2C"/>
    <w:rsid w:val="007931FA"/>
    <w:rsid w:val="007946AB"/>
    <w:rsid w:val="007959D5"/>
    <w:rsid w:val="007A4041"/>
    <w:rsid w:val="007A4861"/>
    <w:rsid w:val="007A536A"/>
    <w:rsid w:val="007A7625"/>
    <w:rsid w:val="007A777B"/>
    <w:rsid w:val="007A7BBA"/>
    <w:rsid w:val="007B0C50"/>
    <w:rsid w:val="007B48F9"/>
    <w:rsid w:val="007B50B0"/>
    <w:rsid w:val="007B5DDB"/>
    <w:rsid w:val="007C1A43"/>
    <w:rsid w:val="007C3911"/>
    <w:rsid w:val="007C678D"/>
    <w:rsid w:val="007D0951"/>
    <w:rsid w:val="007D439B"/>
    <w:rsid w:val="007E709B"/>
    <w:rsid w:val="0080013E"/>
    <w:rsid w:val="00810642"/>
    <w:rsid w:val="00813288"/>
    <w:rsid w:val="008168FC"/>
    <w:rsid w:val="00825BAB"/>
    <w:rsid w:val="00830996"/>
    <w:rsid w:val="008311AC"/>
    <w:rsid w:val="00831A2A"/>
    <w:rsid w:val="00832383"/>
    <w:rsid w:val="0083294F"/>
    <w:rsid w:val="008345F1"/>
    <w:rsid w:val="008365FA"/>
    <w:rsid w:val="00837D16"/>
    <w:rsid w:val="008417A6"/>
    <w:rsid w:val="00842089"/>
    <w:rsid w:val="00845368"/>
    <w:rsid w:val="00851A7B"/>
    <w:rsid w:val="00852853"/>
    <w:rsid w:val="00852A9F"/>
    <w:rsid w:val="00855000"/>
    <w:rsid w:val="008600CE"/>
    <w:rsid w:val="00865B07"/>
    <w:rsid w:val="008667EA"/>
    <w:rsid w:val="00867F74"/>
    <w:rsid w:val="00871FBE"/>
    <w:rsid w:val="0087637F"/>
    <w:rsid w:val="008771FE"/>
    <w:rsid w:val="00882DA4"/>
    <w:rsid w:val="00892AD5"/>
    <w:rsid w:val="00893B77"/>
    <w:rsid w:val="00894273"/>
    <w:rsid w:val="008A1512"/>
    <w:rsid w:val="008A18AA"/>
    <w:rsid w:val="008A52FA"/>
    <w:rsid w:val="008B0672"/>
    <w:rsid w:val="008C2B93"/>
    <w:rsid w:val="008D32B9"/>
    <w:rsid w:val="008D433B"/>
    <w:rsid w:val="008D4A16"/>
    <w:rsid w:val="008E29A5"/>
    <w:rsid w:val="008E566E"/>
    <w:rsid w:val="008F02D0"/>
    <w:rsid w:val="0090161A"/>
    <w:rsid w:val="00901EB6"/>
    <w:rsid w:val="00904C62"/>
    <w:rsid w:val="00906768"/>
    <w:rsid w:val="009068F0"/>
    <w:rsid w:val="00922BA8"/>
    <w:rsid w:val="00924DAC"/>
    <w:rsid w:val="00927058"/>
    <w:rsid w:val="00927C6D"/>
    <w:rsid w:val="00937440"/>
    <w:rsid w:val="00940977"/>
    <w:rsid w:val="00942750"/>
    <w:rsid w:val="00942F3E"/>
    <w:rsid w:val="00945054"/>
    <w:rsid w:val="009450CE"/>
    <w:rsid w:val="0094584B"/>
    <w:rsid w:val="009459BB"/>
    <w:rsid w:val="009465FF"/>
    <w:rsid w:val="00947179"/>
    <w:rsid w:val="00947493"/>
    <w:rsid w:val="0095164B"/>
    <w:rsid w:val="00954090"/>
    <w:rsid w:val="009573E7"/>
    <w:rsid w:val="009630CA"/>
    <w:rsid w:val="00963E05"/>
    <w:rsid w:val="00964A45"/>
    <w:rsid w:val="00967843"/>
    <w:rsid w:val="00967D54"/>
    <w:rsid w:val="00971028"/>
    <w:rsid w:val="0098048F"/>
    <w:rsid w:val="009910F1"/>
    <w:rsid w:val="009938A7"/>
    <w:rsid w:val="00993B84"/>
    <w:rsid w:val="00996483"/>
    <w:rsid w:val="00996F5A"/>
    <w:rsid w:val="009A361F"/>
    <w:rsid w:val="009A4EDE"/>
    <w:rsid w:val="009B041A"/>
    <w:rsid w:val="009B209B"/>
    <w:rsid w:val="009B557A"/>
    <w:rsid w:val="009B5F3A"/>
    <w:rsid w:val="009C0FA1"/>
    <w:rsid w:val="009C16AB"/>
    <w:rsid w:val="009C37C3"/>
    <w:rsid w:val="009C6F78"/>
    <w:rsid w:val="009C7C86"/>
    <w:rsid w:val="009D2FF7"/>
    <w:rsid w:val="009E414D"/>
    <w:rsid w:val="009E7884"/>
    <w:rsid w:val="009E788A"/>
    <w:rsid w:val="009F0E08"/>
    <w:rsid w:val="009F5210"/>
    <w:rsid w:val="00A03DBA"/>
    <w:rsid w:val="00A05942"/>
    <w:rsid w:val="00A07D3B"/>
    <w:rsid w:val="00A1589E"/>
    <w:rsid w:val="00A15B59"/>
    <w:rsid w:val="00A1763D"/>
    <w:rsid w:val="00A17CEC"/>
    <w:rsid w:val="00A27EF0"/>
    <w:rsid w:val="00A3193A"/>
    <w:rsid w:val="00A35B79"/>
    <w:rsid w:val="00A42361"/>
    <w:rsid w:val="00A50B20"/>
    <w:rsid w:val="00A51129"/>
    <w:rsid w:val="00A51390"/>
    <w:rsid w:val="00A51BD8"/>
    <w:rsid w:val="00A53D61"/>
    <w:rsid w:val="00A56BC8"/>
    <w:rsid w:val="00A57F77"/>
    <w:rsid w:val="00A60D13"/>
    <w:rsid w:val="00A62989"/>
    <w:rsid w:val="00A62E9E"/>
    <w:rsid w:val="00A66245"/>
    <w:rsid w:val="00A70D57"/>
    <w:rsid w:val="00A7223D"/>
    <w:rsid w:val="00A72745"/>
    <w:rsid w:val="00A756B2"/>
    <w:rsid w:val="00A766C0"/>
    <w:rsid w:val="00A76EFC"/>
    <w:rsid w:val="00A80C11"/>
    <w:rsid w:val="00A87D50"/>
    <w:rsid w:val="00A91010"/>
    <w:rsid w:val="00A97F29"/>
    <w:rsid w:val="00AA702E"/>
    <w:rsid w:val="00AA7D26"/>
    <w:rsid w:val="00AB0964"/>
    <w:rsid w:val="00AB5011"/>
    <w:rsid w:val="00AC683B"/>
    <w:rsid w:val="00AC7368"/>
    <w:rsid w:val="00AD0648"/>
    <w:rsid w:val="00AD1133"/>
    <w:rsid w:val="00AD16B9"/>
    <w:rsid w:val="00AD7DF2"/>
    <w:rsid w:val="00AE2C91"/>
    <w:rsid w:val="00AE377D"/>
    <w:rsid w:val="00AF0EBA"/>
    <w:rsid w:val="00AF18AB"/>
    <w:rsid w:val="00AF4A69"/>
    <w:rsid w:val="00B02C8A"/>
    <w:rsid w:val="00B03E06"/>
    <w:rsid w:val="00B17FBD"/>
    <w:rsid w:val="00B24252"/>
    <w:rsid w:val="00B315A6"/>
    <w:rsid w:val="00B31813"/>
    <w:rsid w:val="00B33365"/>
    <w:rsid w:val="00B35092"/>
    <w:rsid w:val="00B36C2C"/>
    <w:rsid w:val="00B377EE"/>
    <w:rsid w:val="00B441F4"/>
    <w:rsid w:val="00B52494"/>
    <w:rsid w:val="00B55295"/>
    <w:rsid w:val="00B57B36"/>
    <w:rsid w:val="00B57E6F"/>
    <w:rsid w:val="00B63475"/>
    <w:rsid w:val="00B71BF9"/>
    <w:rsid w:val="00B71E82"/>
    <w:rsid w:val="00B72BF6"/>
    <w:rsid w:val="00B72F5B"/>
    <w:rsid w:val="00B7583B"/>
    <w:rsid w:val="00B762C3"/>
    <w:rsid w:val="00B84574"/>
    <w:rsid w:val="00B8686D"/>
    <w:rsid w:val="00B93F69"/>
    <w:rsid w:val="00BA033C"/>
    <w:rsid w:val="00BA21BB"/>
    <w:rsid w:val="00BB1DDC"/>
    <w:rsid w:val="00BB5A92"/>
    <w:rsid w:val="00BC30C9"/>
    <w:rsid w:val="00BC4D42"/>
    <w:rsid w:val="00BD077D"/>
    <w:rsid w:val="00BD1138"/>
    <w:rsid w:val="00BE3E58"/>
    <w:rsid w:val="00BE59AA"/>
    <w:rsid w:val="00C0114F"/>
    <w:rsid w:val="00C01530"/>
    <w:rsid w:val="00C01616"/>
    <w:rsid w:val="00C0162B"/>
    <w:rsid w:val="00C068ED"/>
    <w:rsid w:val="00C22E0C"/>
    <w:rsid w:val="00C345B1"/>
    <w:rsid w:val="00C40142"/>
    <w:rsid w:val="00C416BC"/>
    <w:rsid w:val="00C41B69"/>
    <w:rsid w:val="00C52C3C"/>
    <w:rsid w:val="00C57182"/>
    <w:rsid w:val="00C57863"/>
    <w:rsid w:val="00C640AF"/>
    <w:rsid w:val="00C655FD"/>
    <w:rsid w:val="00C75407"/>
    <w:rsid w:val="00C80A85"/>
    <w:rsid w:val="00C81B4C"/>
    <w:rsid w:val="00C841C6"/>
    <w:rsid w:val="00C870A8"/>
    <w:rsid w:val="00C94434"/>
    <w:rsid w:val="00C976EE"/>
    <w:rsid w:val="00CA0D75"/>
    <w:rsid w:val="00CA1C95"/>
    <w:rsid w:val="00CA5A9C"/>
    <w:rsid w:val="00CC3199"/>
    <w:rsid w:val="00CC43A4"/>
    <w:rsid w:val="00CC4C20"/>
    <w:rsid w:val="00CC5EA4"/>
    <w:rsid w:val="00CC7F57"/>
    <w:rsid w:val="00CD2C56"/>
    <w:rsid w:val="00CD3517"/>
    <w:rsid w:val="00CD594C"/>
    <w:rsid w:val="00CD5F29"/>
    <w:rsid w:val="00CD5FE2"/>
    <w:rsid w:val="00CD6DFB"/>
    <w:rsid w:val="00CE7C68"/>
    <w:rsid w:val="00CF377B"/>
    <w:rsid w:val="00D02B4C"/>
    <w:rsid w:val="00D040C4"/>
    <w:rsid w:val="00D040FE"/>
    <w:rsid w:val="00D1634A"/>
    <w:rsid w:val="00D20AD1"/>
    <w:rsid w:val="00D229A6"/>
    <w:rsid w:val="00D2582C"/>
    <w:rsid w:val="00D30D62"/>
    <w:rsid w:val="00D33B22"/>
    <w:rsid w:val="00D37D2E"/>
    <w:rsid w:val="00D43CFC"/>
    <w:rsid w:val="00D46B7E"/>
    <w:rsid w:val="00D57C84"/>
    <w:rsid w:val="00D6057D"/>
    <w:rsid w:val="00D62889"/>
    <w:rsid w:val="00D64D00"/>
    <w:rsid w:val="00D71640"/>
    <w:rsid w:val="00D7257C"/>
    <w:rsid w:val="00D80437"/>
    <w:rsid w:val="00D836C5"/>
    <w:rsid w:val="00D84576"/>
    <w:rsid w:val="00D87970"/>
    <w:rsid w:val="00DA1399"/>
    <w:rsid w:val="00DA24C6"/>
    <w:rsid w:val="00DA3281"/>
    <w:rsid w:val="00DA3CCE"/>
    <w:rsid w:val="00DA429B"/>
    <w:rsid w:val="00DA4D7B"/>
    <w:rsid w:val="00DA6643"/>
    <w:rsid w:val="00DB4C60"/>
    <w:rsid w:val="00DB51F3"/>
    <w:rsid w:val="00DC3295"/>
    <w:rsid w:val="00DD271C"/>
    <w:rsid w:val="00DE264A"/>
    <w:rsid w:val="00DF5072"/>
    <w:rsid w:val="00DF5498"/>
    <w:rsid w:val="00DF6F8C"/>
    <w:rsid w:val="00E018B9"/>
    <w:rsid w:val="00E02D18"/>
    <w:rsid w:val="00E041E7"/>
    <w:rsid w:val="00E15F77"/>
    <w:rsid w:val="00E213B9"/>
    <w:rsid w:val="00E23CA1"/>
    <w:rsid w:val="00E34645"/>
    <w:rsid w:val="00E409A8"/>
    <w:rsid w:val="00E50C12"/>
    <w:rsid w:val="00E53FA7"/>
    <w:rsid w:val="00E65B91"/>
    <w:rsid w:val="00E70AA8"/>
    <w:rsid w:val="00E7209D"/>
    <w:rsid w:val="00E72EAD"/>
    <w:rsid w:val="00E74E4E"/>
    <w:rsid w:val="00E77223"/>
    <w:rsid w:val="00E776C1"/>
    <w:rsid w:val="00E8528B"/>
    <w:rsid w:val="00E85B94"/>
    <w:rsid w:val="00E92364"/>
    <w:rsid w:val="00E93740"/>
    <w:rsid w:val="00E94F27"/>
    <w:rsid w:val="00E978D0"/>
    <w:rsid w:val="00EA4361"/>
    <w:rsid w:val="00EA4613"/>
    <w:rsid w:val="00EA7F91"/>
    <w:rsid w:val="00EB1523"/>
    <w:rsid w:val="00EB748E"/>
    <w:rsid w:val="00EC0E49"/>
    <w:rsid w:val="00EC101F"/>
    <w:rsid w:val="00EC1D9F"/>
    <w:rsid w:val="00EC7565"/>
    <w:rsid w:val="00ED5998"/>
    <w:rsid w:val="00ED6454"/>
    <w:rsid w:val="00EE0131"/>
    <w:rsid w:val="00EE0CD8"/>
    <w:rsid w:val="00EE17B0"/>
    <w:rsid w:val="00EE7D00"/>
    <w:rsid w:val="00EF06D9"/>
    <w:rsid w:val="00F17A49"/>
    <w:rsid w:val="00F260DE"/>
    <w:rsid w:val="00F274F7"/>
    <w:rsid w:val="00F302ED"/>
    <w:rsid w:val="00F3049E"/>
    <w:rsid w:val="00F30C64"/>
    <w:rsid w:val="00F32802"/>
    <w:rsid w:val="00F32BA2"/>
    <w:rsid w:val="00F32CDB"/>
    <w:rsid w:val="00F373DE"/>
    <w:rsid w:val="00F417B2"/>
    <w:rsid w:val="00F41AA9"/>
    <w:rsid w:val="00F47235"/>
    <w:rsid w:val="00F47FC3"/>
    <w:rsid w:val="00F548EF"/>
    <w:rsid w:val="00F5492B"/>
    <w:rsid w:val="00F565FE"/>
    <w:rsid w:val="00F63A70"/>
    <w:rsid w:val="00F63D8C"/>
    <w:rsid w:val="00F745CC"/>
    <w:rsid w:val="00F7534E"/>
    <w:rsid w:val="00F754E8"/>
    <w:rsid w:val="00F84D9F"/>
    <w:rsid w:val="00F91B4B"/>
    <w:rsid w:val="00F92A4C"/>
    <w:rsid w:val="00F93EDF"/>
    <w:rsid w:val="00FA1373"/>
    <w:rsid w:val="00FA1802"/>
    <w:rsid w:val="00FA1D4E"/>
    <w:rsid w:val="00FA21D0"/>
    <w:rsid w:val="00FA4EF0"/>
    <w:rsid w:val="00FA5F5F"/>
    <w:rsid w:val="00FA7C3A"/>
    <w:rsid w:val="00FB2BDC"/>
    <w:rsid w:val="00FB3E28"/>
    <w:rsid w:val="00FB630C"/>
    <w:rsid w:val="00FB730C"/>
    <w:rsid w:val="00FC2695"/>
    <w:rsid w:val="00FC3E03"/>
    <w:rsid w:val="00FC3FC1"/>
    <w:rsid w:val="00FD297E"/>
    <w:rsid w:val="00FD5848"/>
    <w:rsid w:val="00FD772D"/>
    <w:rsid w:val="00FE0407"/>
    <w:rsid w:val="00FE3E20"/>
    <w:rsid w:val="00FF3447"/>
    <w:rsid w:val="00FF714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F32802"/>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Rimandonotaapidipagina">
    <w:name w:val="footnote reference"/>
    <w:basedOn w:val="Carpredefinitoparagrafo"/>
    <w:uiPriority w:val="99"/>
    <w:semiHidden/>
    <w:unhideWhenUsed/>
    <w:rsid w:val="005A2C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8580">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28154">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3324">
      <w:bodyDiv w:val="1"/>
      <w:marLeft w:val="0"/>
      <w:marRight w:val="0"/>
      <w:marTop w:val="0"/>
      <w:marBottom w:val="0"/>
      <w:divBdr>
        <w:top w:val="none" w:sz="0" w:space="0" w:color="auto"/>
        <w:left w:val="none" w:sz="0" w:space="0" w:color="auto"/>
        <w:bottom w:val="none" w:sz="0" w:space="0" w:color="auto"/>
        <w:right w:val="none" w:sz="0" w:space="0" w:color="auto"/>
      </w:divBdr>
    </w:div>
    <w:div w:id="1964578242">
      <w:bodyDiv w:val="1"/>
      <w:marLeft w:val="0"/>
      <w:marRight w:val="0"/>
      <w:marTop w:val="0"/>
      <w:marBottom w:val="0"/>
      <w:divBdr>
        <w:top w:val="none" w:sz="0" w:space="0" w:color="auto"/>
        <w:left w:val="none" w:sz="0" w:space="0" w:color="auto"/>
        <w:bottom w:val="none" w:sz="0" w:space="0" w:color="auto"/>
        <w:right w:val="none" w:sz="0" w:space="0" w:color="auto"/>
      </w:divBdr>
    </w:div>
    <w:div w:id="2076391472">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7C62D-B978-48D7-A9B2-C95D2A38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4134</Words>
  <Characters>23567</Characters>
  <Application>Microsoft Office Word</Application>
  <DocSecurity>0</DocSecurity>
  <Lines>196</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Grillone Giovanni</cp:lastModifiedBy>
  <cp:revision>12</cp:revision>
  <cp:lastPrinted>2015-05-12T18:31:00Z</cp:lastPrinted>
  <dcterms:created xsi:type="dcterms:W3CDTF">2026-03-09T09:52:00Z</dcterms:created>
  <dcterms:modified xsi:type="dcterms:W3CDTF">2026-03-09T10:35:00Z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