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183295" w:rsidRPr="00B57B36" w14:paraId="42EFEE0C" w14:textId="77777777" w:rsidTr="00BD0C1D">
        <w:trPr>
          <w:trHeight w:val="852"/>
          <w:jc w:val="center"/>
        </w:trPr>
        <w:tc>
          <w:tcPr>
            <w:tcW w:w="6946" w:type="dxa"/>
            <w:vMerge w:val="restart"/>
            <w:tcBorders>
              <w:right w:val="single" w:sz="4" w:space="0" w:color="auto"/>
            </w:tcBorders>
          </w:tcPr>
          <w:p w14:paraId="003DB702" w14:textId="77777777" w:rsidR="00183295" w:rsidRPr="00B57B36" w:rsidRDefault="00183295" w:rsidP="00BD0C1D">
            <w:pPr>
              <w:tabs>
                <w:tab w:val="left" w:pos="-108"/>
              </w:tabs>
              <w:ind w:left="-108"/>
              <w:jc w:val="left"/>
              <w:rPr>
                <w:rFonts w:cs="Arial"/>
                <w:b/>
                <w:bCs/>
                <w:i/>
                <w:iCs/>
                <w:color w:val="000066"/>
                <w:sz w:val="12"/>
                <w:szCs w:val="12"/>
                <w:lang w:eastAsia="it-IT"/>
              </w:rPr>
            </w:pPr>
            <w:bookmarkStart w:id="0" w:name="_Hlk213762030"/>
            <w:r w:rsidRPr="00B57B36">
              <w:rPr>
                <w:rFonts w:ascii="AdvP6960" w:hAnsi="AdvP6960" w:cs="AdvP6960"/>
                <w:noProof/>
                <w:color w:val="241F20"/>
                <w:szCs w:val="18"/>
                <w:lang w:val="it-IT" w:eastAsia="it-IT"/>
              </w:rPr>
              <w:drawing>
                <wp:inline distT="0" distB="0" distL="0" distR="0" wp14:anchorId="662EA15B" wp14:editId="25F10AD5">
                  <wp:extent cx="640080" cy="373380"/>
                  <wp:effectExtent l="0" t="0" r="7620" b="7620"/>
                  <wp:docPr id="93005490" name="Immagine 93005490"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5AA28252" w14:textId="77777777" w:rsidR="00183295" w:rsidRPr="00B57B36" w:rsidRDefault="00183295" w:rsidP="00BD0C1D">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Pr>
                <w:rFonts w:cs="Arial"/>
                <w:b/>
                <w:bCs/>
                <w:i/>
                <w:iCs/>
                <w:color w:val="000066"/>
                <w:sz w:val="22"/>
                <w:szCs w:val="22"/>
                <w:lang w:eastAsia="it-IT"/>
              </w:rPr>
              <w:t xml:space="preserve"> xxx, 2026</w:t>
            </w:r>
          </w:p>
        </w:tc>
        <w:tc>
          <w:tcPr>
            <w:tcW w:w="1843" w:type="dxa"/>
            <w:tcBorders>
              <w:left w:val="single" w:sz="4" w:space="0" w:color="auto"/>
              <w:bottom w:val="nil"/>
              <w:right w:val="single" w:sz="4" w:space="0" w:color="auto"/>
            </w:tcBorders>
          </w:tcPr>
          <w:p w14:paraId="276E5F48" w14:textId="77777777" w:rsidR="00183295" w:rsidRPr="00B57B36" w:rsidRDefault="00183295" w:rsidP="00BD0C1D">
            <w:pPr>
              <w:spacing w:line="140" w:lineRule="atLeast"/>
              <w:jc w:val="right"/>
              <w:rPr>
                <w:rFonts w:cs="Arial"/>
                <w:sz w:val="14"/>
                <w:szCs w:val="14"/>
              </w:rPr>
            </w:pPr>
            <w:r w:rsidRPr="00B57B36">
              <w:rPr>
                <w:rFonts w:cs="Arial"/>
                <w:sz w:val="14"/>
                <w:szCs w:val="14"/>
              </w:rPr>
              <w:t>A publication of</w:t>
            </w:r>
          </w:p>
          <w:p w14:paraId="504A06B3" w14:textId="77777777" w:rsidR="00183295" w:rsidRPr="00B57B36" w:rsidRDefault="00183295" w:rsidP="00BD0C1D">
            <w:pPr>
              <w:jc w:val="right"/>
            </w:pPr>
            <w:r w:rsidRPr="00B57B36">
              <w:rPr>
                <w:noProof/>
                <w:lang w:val="it-IT" w:eastAsia="it-IT"/>
              </w:rPr>
              <w:drawing>
                <wp:inline distT="0" distB="0" distL="0" distR="0" wp14:anchorId="2B396100" wp14:editId="534B0BC0">
                  <wp:extent cx="670560" cy="358140"/>
                  <wp:effectExtent l="0" t="0" r="0" b="3810"/>
                  <wp:docPr id="719835606" name="Immagine 71983560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183295" w:rsidRPr="00B57B36" w14:paraId="014B8495" w14:textId="77777777" w:rsidTr="00BD0C1D">
        <w:trPr>
          <w:trHeight w:val="567"/>
          <w:jc w:val="center"/>
        </w:trPr>
        <w:tc>
          <w:tcPr>
            <w:tcW w:w="6946" w:type="dxa"/>
            <w:vMerge/>
            <w:tcBorders>
              <w:right w:val="single" w:sz="4" w:space="0" w:color="auto"/>
            </w:tcBorders>
          </w:tcPr>
          <w:p w14:paraId="098C2737" w14:textId="77777777" w:rsidR="00183295" w:rsidRPr="00B57B36" w:rsidRDefault="00183295" w:rsidP="00BD0C1D">
            <w:pPr>
              <w:tabs>
                <w:tab w:val="left" w:pos="-108"/>
              </w:tabs>
            </w:pPr>
          </w:p>
        </w:tc>
        <w:tc>
          <w:tcPr>
            <w:tcW w:w="1843" w:type="dxa"/>
            <w:tcBorders>
              <w:left w:val="single" w:sz="4" w:space="0" w:color="auto"/>
              <w:bottom w:val="nil"/>
              <w:right w:val="single" w:sz="4" w:space="0" w:color="auto"/>
            </w:tcBorders>
          </w:tcPr>
          <w:p w14:paraId="60C92F30" w14:textId="77777777" w:rsidR="00183295" w:rsidRPr="00B57B36" w:rsidRDefault="00183295" w:rsidP="00BD0C1D">
            <w:pPr>
              <w:spacing w:line="140" w:lineRule="atLeast"/>
              <w:jc w:val="right"/>
              <w:rPr>
                <w:rFonts w:cs="Arial"/>
                <w:sz w:val="14"/>
                <w:szCs w:val="14"/>
              </w:rPr>
            </w:pPr>
            <w:r w:rsidRPr="00B57B36">
              <w:rPr>
                <w:rFonts w:cs="Arial"/>
                <w:sz w:val="14"/>
                <w:szCs w:val="14"/>
              </w:rPr>
              <w:t>The Italian Association</w:t>
            </w:r>
          </w:p>
          <w:p w14:paraId="212425D9" w14:textId="77777777" w:rsidR="00183295" w:rsidRPr="00B57B36" w:rsidRDefault="00183295" w:rsidP="00BD0C1D">
            <w:pPr>
              <w:spacing w:line="140" w:lineRule="atLeast"/>
              <w:jc w:val="right"/>
              <w:rPr>
                <w:rFonts w:cs="Arial"/>
                <w:sz w:val="14"/>
                <w:szCs w:val="14"/>
              </w:rPr>
            </w:pPr>
            <w:r w:rsidRPr="00B57B36">
              <w:rPr>
                <w:rFonts w:cs="Arial"/>
                <w:sz w:val="14"/>
                <w:szCs w:val="14"/>
              </w:rPr>
              <w:t>of Chemical Engineering</w:t>
            </w:r>
          </w:p>
          <w:p w14:paraId="02CCAE68" w14:textId="77777777" w:rsidR="00183295" w:rsidRPr="000D0268" w:rsidRDefault="00183295" w:rsidP="00BD0C1D">
            <w:pPr>
              <w:spacing w:line="140" w:lineRule="atLeast"/>
              <w:jc w:val="right"/>
              <w:rPr>
                <w:rFonts w:cs="Arial"/>
                <w:sz w:val="13"/>
                <w:szCs w:val="13"/>
              </w:rPr>
            </w:pPr>
            <w:r w:rsidRPr="000D0268">
              <w:rPr>
                <w:rFonts w:cs="Arial"/>
                <w:sz w:val="13"/>
                <w:szCs w:val="13"/>
              </w:rPr>
              <w:t>Online at www.cetjournal.it</w:t>
            </w:r>
          </w:p>
        </w:tc>
      </w:tr>
      <w:tr w:rsidR="00183295" w:rsidRPr="00B57B36" w14:paraId="4114C51D" w14:textId="77777777" w:rsidTr="00BD0C1D">
        <w:trPr>
          <w:trHeight w:val="68"/>
          <w:jc w:val="center"/>
        </w:trPr>
        <w:tc>
          <w:tcPr>
            <w:tcW w:w="8789" w:type="dxa"/>
            <w:gridSpan w:val="2"/>
          </w:tcPr>
          <w:p w14:paraId="4929EF78" w14:textId="77777777" w:rsidR="00183295" w:rsidRPr="00005884" w:rsidRDefault="00183295" w:rsidP="00BD0C1D">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Pr="00005884">
              <w:rPr>
                <w:rFonts w:ascii="Tahoma" w:hAnsi="Tahoma" w:cs="Tahoma"/>
                <w:color w:val="000000"/>
                <w:sz w:val="14"/>
                <w:szCs w:val="14"/>
                <w:shd w:val="clear" w:color="auto" w:fill="FFFFFF"/>
                <w:lang w:val="it-IT"/>
              </w:rPr>
              <w:t>Marco Bravi, Antonio Marzocchella, Giuseppe Caputo</w:t>
            </w:r>
          </w:p>
          <w:p w14:paraId="68D4A6ED" w14:textId="77777777" w:rsidR="00183295" w:rsidRPr="00B57B36" w:rsidRDefault="00183295" w:rsidP="00BD0C1D">
            <w:pPr>
              <w:tabs>
                <w:tab w:val="left" w:pos="-108"/>
              </w:tabs>
              <w:spacing w:line="140" w:lineRule="atLeast"/>
              <w:ind w:left="-107"/>
              <w:jc w:val="left"/>
            </w:pPr>
            <w:r>
              <w:rPr>
                <w:rFonts w:ascii="Tahoma" w:hAnsi="Tahoma" w:cs="Tahoma"/>
                <w:iCs/>
                <w:color w:val="333333"/>
                <w:sz w:val="14"/>
                <w:szCs w:val="14"/>
                <w:lang w:eastAsia="it-IT"/>
              </w:rPr>
              <w:t>Copyright © 2026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81206-xx-x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667AB792" w14:textId="5B573C0E" w:rsidR="00183295" w:rsidRPr="0045484C" w:rsidRDefault="00183295" w:rsidP="00183295">
      <w:pPr>
        <w:pStyle w:val="CETAcknowledgementstitle"/>
        <w:rPr>
          <w:rStyle w:val="Riferimentointenso"/>
          <w:rFonts w:ascii="Times New Roman" w:eastAsia="Amasis MT Pro" w:hAnsi="Times New Roman"/>
          <w:sz w:val="20"/>
        </w:rPr>
      </w:pPr>
      <w:r w:rsidRPr="0045484C">
        <w:rPr>
          <w:rStyle w:val="Riferimentointenso"/>
          <w:rFonts w:ascii="Times New Roman" w:eastAsia="Amasis MT Pro" w:hAnsi="Times New Roman"/>
          <w:sz w:val="20"/>
        </w:rPr>
        <w:t>VALORIZATION OF FOOD INDUSTRY BY-PRODUCTS THROUGH THE CULTIVATION OF THE MICROALGA CHROMOCHLORIS ZOFINGIENSIS</w:t>
      </w:r>
    </w:p>
    <w:p w14:paraId="0CE15B6C" w14:textId="1AA11D81" w:rsidR="00183295" w:rsidRPr="00954ACB" w:rsidRDefault="00183295" w:rsidP="00183295">
      <w:pPr>
        <w:pStyle w:val="CETAuthors"/>
        <w:rPr>
          <w:vertAlign w:val="superscript"/>
          <w:lang w:val="it-IT" w:eastAsia="it-IT"/>
        </w:rPr>
      </w:pPr>
      <w:r w:rsidRPr="00954ACB">
        <w:rPr>
          <w:lang w:val="it-IT" w:eastAsia="it-IT"/>
        </w:rPr>
        <w:t>Simona Cozzolino</w:t>
      </w:r>
      <w:r w:rsidRPr="00954ACB">
        <w:rPr>
          <w:vertAlign w:val="superscript"/>
          <w:lang w:val="it-IT" w:eastAsia="it-IT"/>
        </w:rPr>
        <w:t>1*</w:t>
      </w:r>
      <w:r w:rsidRPr="00954ACB">
        <w:rPr>
          <w:lang w:val="it-IT" w:eastAsia="it-IT"/>
        </w:rPr>
        <w:t>, Giovanni Luca Russo</w:t>
      </w:r>
      <w:r w:rsidRPr="00954ACB">
        <w:rPr>
          <w:vertAlign w:val="superscript"/>
          <w:lang w:val="it-IT" w:eastAsia="it-IT"/>
        </w:rPr>
        <w:t>2*</w:t>
      </w:r>
      <w:r w:rsidRPr="00954ACB">
        <w:rPr>
          <w:lang w:val="it-IT" w:eastAsia="it-IT"/>
        </w:rPr>
        <w:t>,</w:t>
      </w:r>
      <w:bookmarkStart w:id="1" w:name="_Hlk190687228"/>
      <w:r w:rsidRPr="00954ACB">
        <w:rPr>
          <w:lang w:val="it-IT" w:eastAsia="it-IT"/>
        </w:rPr>
        <w:t xml:space="preserve"> Fabio Orlandi</w:t>
      </w:r>
      <w:r w:rsidRPr="00954ACB">
        <w:rPr>
          <w:vertAlign w:val="superscript"/>
          <w:lang w:val="it-IT" w:eastAsia="it-IT"/>
        </w:rPr>
        <w:t>3</w:t>
      </w:r>
      <w:r w:rsidRPr="00954ACB">
        <w:rPr>
          <w:lang w:val="it-IT" w:eastAsia="it-IT"/>
        </w:rPr>
        <w:t>, Paolo Masi</w:t>
      </w:r>
      <w:r w:rsidRPr="00954ACB">
        <w:rPr>
          <w:vertAlign w:val="superscript"/>
          <w:lang w:val="it-IT" w:eastAsia="it-IT"/>
        </w:rPr>
        <w:t>1,2</w:t>
      </w:r>
      <w:r w:rsidRPr="00954ACB">
        <w:rPr>
          <w:lang w:val="it-IT" w:eastAsia="it-IT"/>
        </w:rPr>
        <w:t xml:space="preserve">, </w:t>
      </w:r>
      <w:r w:rsidR="00361791" w:rsidRPr="00954ACB">
        <w:rPr>
          <w:lang w:val="it-IT" w:eastAsia="it-IT"/>
        </w:rPr>
        <w:t>Antonio Luca Langellotti</w:t>
      </w:r>
      <w:r w:rsidR="00361791" w:rsidRPr="00954ACB">
        <w:rPr>
          <w:vertAlign w:val="superscript"/>
          <w:lang w:val="it-IT" w:eastAsia="it-IT"/>
        </w:rPr>
        <w:t>1</w:t>
      </w:r>
      <w:r w:rsidR="00361791" w:rsidRPr="00954ACB">
        <w:rPr>
          <w:lang w:val="it-IT" w:eastAsia="it-IT"/>
        </w:rPr>
        <w:t xml:space="preserve">, </w:t>
      </w:r>
      <w:r w:rsidRPr="00954ACB">
        <w:rPr>
          <w:lang w:val="it-IT" w:eastAsia="it-IT"/>
        </w:rPr>
        <w:t>Antonino Pollio</w:t>
      </w:r>
      <w:r w:rsidRPr="00954ACB">
        <w:rPr>
          <w:vertAlign w:val="superscript"/>
          <w:lang w:val="it-IT" w:eastAsia="it-IT"/>
        </w:rPr>
        <w:t>4</w:t>
      </w:r>
      <w:r w:rsidRPr="00954ACB">
        <w:rPr>
          <w:lang w:val="it-IT" w:eastAsia="it-IT"/>
        </w:rPr>
        <w:t>,Prospero Di Pierro</w:t>
      </w:r>
      <w:bookmarkEnd w:id="1"/>
      <w:r w:rsidRPr="00954ACB">
        <w:rPr>
          <w:vertAlign w:val="superscript"/>
          <w:lang w:val="it-IT" w:eastAsia="it-IT"/>
        </w:rPr>
        <w:t>1,2</w:t>
      </w:r>
    </w:p>
    <w:p w14:paraId="1F1B32C2" w14:textId="5191C051" w:rsidR="00183295" w:rsidRPr="00954ACB" w:rsidRDefault="003923E6" w:rsidP="00183295">
      <w:pPr>
        <w:pStyle w:val="CETAddress"/>
        <w:rPr>
          <w:rFonts w:eastAsia="Amasis MT Pro"/>
          <w:lang w:val="en-US"/>
        </w:rPr>
      </w:pPr>
      <w:r w:rsidRPr="003923E6">
        <w:rPr>
          <w:rFonts w:eastAsia="Amasis MT Pro"/>
          <w:vertAlign w:val="superscript"/>
          <w:lang w:val="en-US"/>
        </w:rPr>
        <w:t>1</w:t>
      </w:r>
      <w:r w:rsidR="0073011F">
        <w:rPr>
          <w:rFonts w:eastAsia="Amasis MT Pro"/>
          <w:lang w:val="en-US"/>
        </w:rPr>
        <w:t>Centre for Innovation and Development in Food Industry</w:t>
      </w:r>
      <w:r w:rsidR="0073011F" w:rsidRPr="00954ACB">
        <w:rPr>
          <w:rFonts w:eastAsia="Amasis MT Pro"/>
          <w:lang w:val="en-US"/>
        </w:rPr>
        <w:t xml:space="preserve">, </w:t>
      </w:r>
      <w:r w:rsidR="0033581D" w:rsidRPr="00954ACB">
        <w:rPr>
          <w:rFonts w:eastAsia="Amasis MT Pro"/>
          <w:lang w:val="en-US"/>
        </w:rPr>
        <w:t>CAISIAL</w:t>
      </w:r>
      <w:r w:rsidR="0033581D">
        <w:rPr>
          <w:rFonts w:eastAsia="Amasis MT Pro"/>
          <w:lang w:val="en-US"/>
        </w:rPr>
        <w:t>,</w:t>
      </w:r>
      <w:r w:rsidR="0033581D" w:rsidRPr="00954ACB">
        <w:rPr>
          <w:rFonts w:eastAsia="Amasis MT Pro"/>
          <w:lang w:val="en-US"/>
        </w:rPr>
        <w:t xml:space="preserve"> </w:t>
      </w:r>
      <w:r w:rsidR="0073011F" w:rsidRPr="00954ACB">
        <w:rPr>
          <w:rFonts w:eastAsia="Amasis MT Pro"/>
          <w:lang w:val="en-US"/>
        </w:rPr>
        <w:t>University of Naples Federico II, 80055 Portici, Italy</w:t>
      </w:r>
    </w:p>
    <w:p w14:paraId="71770694" w14:textId="37BBE24D" w:rsidR="00183295" w:rsidRPr="00954ACB" w:rsidRDefault="003923E6" w:rsidP="00183295">
      <w:pPr>
        <w:pStyle w:val="CETAddress"/>
        <w:rPr>
          <w:rFonts w:eastAsia="Amasis MT Pro"/>
          <w:lang w:val="en-US"/>
        </w:rPr>
      </w:pPr>
      <w:r w:rsidRPr="003923E6">
        <w:rPr>
          <w:rFonts w:eastAsia="Amasis MT Pro"/>
          <w:vertAlign w:val="superscript"/>
          <w:lang w:val="en-US"/>
        </w:rPr>
        <w:t>2</w:t>
      </w:r>
      <w:r w:rsidR="00183295" w:rsidRPr="00954ACB">
        <w:rPr>
          <w:rFonts w:eastAsia="Amasis MT Pro"/>
          <w:lang w:val="en-US"/>
        </w:rPr>
        <w:t>Department of Agricultural Sciences, University of Naples Federico II, 80055 Portici, Italy</w:t>
      </w:r>
    </w:p>
    <w:p w14:paraId="7E444E41" w14:textId="09A104DE" w:rsidR="00183295" w:rsidRPr="00954ACB" w:rsidRDefault="003923E6" w:rsidP="00183295">
      <w:pPr>
        <w:pStyle w:val="CETAddress"/>
        <w:rPr>
          <w:rFonts w:eastAsia="Amasis MT Pro"/>
          <w:lang w:val="en-US"/>
        </w:rPr>
      </w:pPr>
      <w:r w:rsidRPr="003923E6">
        <w:rPr>
          <w:rFonts w:eastAsia="Amasis MT Pro"/>
          <w:vertAlign w:val="superscript"/>
          <w:lang w:val="en-US"/>
        </w:rPr>
        <w:t>3</w:t>
      </w:r>
      <w:r w:rsidR="00183295" w:rsidRPr="00954ACB">
        <w:rPr>
          <w:rFonts w:eastAsia="Amasis MT Pro"/>
          <w:lang w:val="en-US"/>
        </w:rPr>
        <w:t xml:space="preserve">Department </w:t>
      </w:r>
      <w:r w:rsidR="0073011F" w:rsidRPr="0063608C">
        <w:rPr>
          <w:rFonts w:eastAsia="Amasis MT Pro"/>
        </w:rPr>
        <w:t>of Civil and Environmental Engineering</w:t>
      </w:r>
      <w:r w:rsidR="0073011F" w:rsidRPr="00954ACB">
        <w:rPr>
          <w:rFonts w:eastAsia="Amasis MT Pro"/>
          <w:lang w:val="en-US"/>
        </w:rPr>
        <w:t>, University of Perugia, 0612</w:t>
      </w:r>
      <w:r w:rsidR="0073011F">
        <w:rPr>
          <w:rFonts w:eastAsia="Amasis MT Pro"/>
          <w:lang w:val="en-US"/>
        </w:rPr>
        <w:t>5</w:t>
      </w:r>
      <w:r w:rsidR="0073011F" w:rsidRPr="00954ACB">
        <w:rPr>
          <w:rFonts w:eastAsia="Amasis MT Pro"/>
          <w:lang w:val="en-US"/>
        </w:rPr>
        <w:t xml:space="preserve"> Perugia, Italy</w:t>
      </w:r>
    </w:p>
    <w:p w14:paraId="1D7B026F" w14:textId="20684F2B" w:rsidR="00183295" w:rsidRPr="00954ACB" w:rsidRDefault="003923E6" w:rsidP="00183295">
      <w:pPr>
        <w:pStyle w:val="CETAddress"/>
        <w:rPr>
          <w:rFonts w:eastAsia="Amasis MT Pro"/>
          <w:lang w:val="en-US"/>
        </w:rPr>
      </w:pPr>
      <w:r w:rsidRPr="003923E6">
        <w:rPr>
          <w:rFonts w:eastAsia="Amasis MT Pro"/>
          <w:vertAlign w:val="superscript"/>
          <w:lang w:val="en-US"/>
        </w:rPr>
        <w:t>4</w:t>
      </w:r>
      <w:r w:rsidR="00183295" w:rsidRPr="00954ACB">
        <w:rPr>
          <w:rFonts w:eastAsia="Amasis MT Pro"/>
          <w:lang w:val="en-US"/>
        </w:rPr>
        <w:t>Department of Biological Sciences, University of Naples Federico II, 80126 Naples, Italy</w:t>
      </w:r>
    </w:p>
    <w:p w14:paraId="473A5235" w14:textId="77777777" w:rsidR="00183295" w:rsidRPr="00954ACB" w:rsidRDefault="00183295" w:rsidP="00183295">
      <w:pPr>
        <w:shd w:val="clear" w:color="auto" w:fill="FFFFFF" w:themeFill="background1"/>
        <w:spacing w:before="240" w:after="240" w:line="240" w:lineRule="auto"/>
        <w:ind w:right="-1"/>
        <w:contextualSpacing/>
        <w:rPr>
          <w:rFonts w:ascii="Times New Roman" w:eastAsia="Amasis MT Pro" w:hAnsi="Times New Roman"/>
          <w:sz w:val="20"/>
          <w:lang w:val="it-IT"/>
        </w:rPr>
      </w:pPr>
      <w:r w:rsidRPr="00954ACB">
        <w:rPr>
          <w:rStyle w:val="CETBodytextCarattere"/>
          <w:rFonts w:eastAsia="Amasis MT Pro"/>
          <w:lang w:val="it-IT"/>
        </w:rPr>
        <w:t>Simona Cozzolino</w:t>
      </w:r>
      <w:r w:rsidRPr="00954ACB">
        <w:rPr>
          <w:rFonts w:ascii="Times New Roman" w:eastAsia="Amasis MT Pro" w:hAnsi="Times New Roman"/>
          <w:sz w:val="20"/>
          <w:lang w:val="it-IT"/>
        </w:rPr>
        <w:t xml:space="preserve"> (e-mail: </w:t>
      </w:r>
      <w:hyperlink r:id="rId8">
        <w:r w:rsidRPr="00954ACB">
          <w:rPr>
            <w:rStyle w:val="Collegamentoipertestuale"/>
            <w:rFonts w:ascii="Times New Roman" w:eastAsia="Amasis MT Pro" w:hAnsi="Times New Roman"/>
            <w:sz w:val="20"/>
            <w:lang w:val="it-IT"/>
          </w:rPr>
          <w:t>simona.cozzolino@unina.it</w:t>
        </w:r>
      </w:hyperlink>
      <w:r w:rsidRPr="00954ACB">
        <w:rPr>
          <w:rFonts w:ascii="Times New Roman" w:eastAsia="Amasis MT Pro" w:hAnsi="Times New Roman"/>
          <w:sz w:val="20"/>
          <w:lang w:val="it-IT"/>
        </w:rPr>
        <w:t>)</w:t>
      </w:r>
    </w:p>
    <w:p w14:paraId="2370A188" w14:textId="77777777" w:rsidR="00183295" w:rsidRPr="00954ACB" w:rsidRDefault="00183295" w:rsidP="00183295">
      <w:pPr>
        <w:shd w:val="clear" w:color="auto" w:fill="FFFFFF" w:themeFill="background1"/>
        <w:spacing w:before="240" w:after="240" w:line="240" w:lineRule="auto"/>
        <w:ind w:right="-1"/>
        <w:contextualSpacing/>
        <w:rPr>
          <w:rFonts w:ascii="Times New Roman" w:eastAsia="Amasis MT Pro" w:hAnsi="Times New Roman"/>
          <w:sz w:val="20"/>
          <w:lang w:val="it-IT"/>
        </w:rPr>
      </w:pPr>
    </w:p>
    <w:p w14:paraId="32F1B5EC" w14:textId="77777777" w:rsidR="00183295" w:rsidRPr="0045484C" w:rsidRDefault="00183295" w:rsidP="00183295">
      <w:pPr>
        <w:pStyle w:val="CETBodytext"/>
        <w:rPr>
          <w:rFonts w:eastAsia="Amasis MT Pro"/>
        </w:rPr>
      </w:pPr>
      <w:r w:rsidRPr="0045484C">
        <w:rPr>
          <w:lang w:eastAsia="it-IT"/>
        </w:rPr>
        <w:t xml:space="preserve">The bioconversion of low-value food industry by-products into high-value compounds through microbial processes represents a promising route toward circular bioeconomy. This study explored the potential of the green microalga </w:t>
      </w:r>
      <w:proofErr w:type="spellStart"/>
      <w:r w:rsidRPr="0045484C">
        <w:rPr>
          <w:i/>
          <w:iCs/>
          <w:lang w:eastAsia="it-IT"/>
        </w:rPr>
        <w:t>Chromochloris</w:t>
      </w:r>
      <w:proofErr w:type="spellEnd"/>
      <w:r w:rsidRPr="0045484C">
        <w:rPr>
          <w:i/>
          <w:iCs/>
          <w:lang w:eastAsia="it-IT"/>
        </w:rPr>
        <w:t xml:space="preserve"> </w:t>
      </w:r>
      <w:proofErr w:type="spellStart"/>
      <w:r w:rsidRPr="0045484C">
        <w:rPr>
          <w:i/>
          <w:iCs/>
          <w:lang w:eastAsia="it-IT"/>
        </w:rPr>
        <w:t>zofingiensis</w:t>
      </w:r>
      <w:proofErr w:type="spellEnd"/>
      <w:r w:rsidRPr="0045484C">
        <w:rPr>
          <w:lang w:eastAsia="it-IT"/>
        </w:rPr>
        <w:t xml:space="preserve"> to grow mixotrophically using nutrients derived from industrial by-products. After preliminary screening on simple sugars and organic nitrogen sources, four by-products were selected: beet blackstrap molasses (MOL), cheese whey permeate (CWP), spent brewery yeast (SBY), and corn steep liquor (CSL).</w:t>
      </w:r>
    </w:p>
    <w:p w14:paraId="7DDCFE90" w14:textId="2612A2DA" w:rsidR="00183295" w:rsidRPr="00137BE6" w:rsidRDefault="00183295" w:rsidP="00183295">
      <w:pPr>
        <w:pStyle w:val="CETBodytext"/>
        <w:rPr>
          <w:rFonts w:eastAsia="Amasis MT Pro"/>
        </w:rPr>
      </w:pPr>
      <w:r w:rsidRPr="0045484C">
        <w:rPr>
          <w:i/>
          <w:iCs/>
          <w:lang w:eastAsia="it-IT"/>
        </w:rPr>
        <w:t xml:space="preserve">C. </w:t>
      </w:r>
      <w:proofErr w:type="spellStart"/>
      <w:r w:rsidRPr="0045484C">
        <w:rPr>
          <w:i/>
          <w:iCs/>
          <w:lang w:eastAsia="it-IT"/>
        </w:rPr>
        <w:t>zofingiensis</w:t>
      </w:r>
      <w:proofErr w:type="spellEnd"/>
      <w:r w:rsidRPr="0045484C">
        <w:rPr>
          <w:lang w:eastAsia="it-IT"/>
        </w:rPr>
        <w:t xml:space="preserve"> showed high productivity on all substrates, achieving up to fourfold higher biomass daily yield compared to autotrophic controls (0.4 g/L/d with MOL or CSL vs. 0.1 g/L/d in BBM). Among all substrates, CSL exhibited the most pronounced effect, yielding up to 2.29 g/L dry weight biomass with 5 g/L supplementation, over 3.5 times higher than controls.</w:t>
      </w:r>
      <w:r w:rsidR="00130428">
        <w:rPr>
          <w:lang w:eastAsia="it-IT"/>
        </w:rPr>
        <w:t xml:space="preserve"> </w:t>
      </w:r>
      <w:r w:rsidR="00130428" w:rsidRPr="00130428">
        <w:rPr>
          <w:lang w:eastAsia="it-IT"/>
        </w:rPr>
        <w:t>Pigment productivity was maximized with corn steep liquor at 5 g L</w:t>
      </w:r>
      <w:r w:rsidR="00130428" w:rsidRPr="00130428">
        <w:rPr>
          <w:rFonts w:ascii="Cambria Math" w:hAnsi="Cambria Math" w:cs="Cambria Math"/>
          <w:lang w:eastAsia="it-IT"/>
        </w:rPr>
        <w:t>⁻</w:t>
      </w:r>
      <w:r w:rsidR="00130428" w:rsidRPr="00130428">
        <w:rPr>
          <w:rFonts w:cs="Arial"/>
          <w:lang w:eastAsia="it-IT"/>
        </w:rPr>
        <w:t>¹</w:t>
      </w:r>
      <w:r w:rsidR="00130428" w:rsidRPr="00130428">
        <w:rPr>
          <w:lang w:eastAsia="it-IT"/>
        </w:rPr>
        <w:t>, reaching 7.80 mg L</w:t>
      </w:r>
      <w:r w:rsidR="00130428" w:rsidRPr="00130428">
        <w:rPr>
          <w:rFonts w:ascii="Cambria Math" w:hAnsi="Cambria Math" w:cs="Cambria Math"/>
          <w:lang w:eastAsia="it-IT"/>
        </w:rPr>
        <w:t>⁻</w:t>
      </w:r>
      <w:r w:rsidR="00130428" w:rsidRPr="00130428">
        <w:rPr>
          <w:rFonts w:cs="Arial"/>
          <w:lang w:eastAsia="it-IT"/>
        </w:rPr>
        <w:t>¹</w:t>
      </w:r>
      <w:r w:rsidR="00130428" w:rsidRPr="00130428">
        <w:rPr>
          <w:lang w:eastAsia="it-IT"/>
        </w:rPr>
        <w:t xml:space="preserve"> d</w:t>
      </w:r>
      <w:r w:rsidR="00130428" w:rsidRPr="00130428">
        <w:rPr>
          <w:rFonts w:ascii="Cambria Math" w:hAnsi="Cambria Math" w:cs="Cambria Math"/>
          <w:lang w:eastAsia="it-IT"/>
        </w:rPr>
        <w:t>⁻</w:t>
      </w:r>
      <w:r w:rsidR="00130428" w:rsidRPr="00130428">
        <w:rPr>
          <w:rFonts w:cs="Arial"/>
          <w:lang w:eastAsia="it-IT"/>
        </w:rPr>
        <w:t>¹</w:t>
      </w:r>
      <w:r w:rsidR="00130428" w:rsidRPr="00130428">
        <w:rPr>
          <w:lang w:eastAsia="it-IT"/>
        </w:rPr>
        <w:t xml:space="preserve"> total carotenoids and 1.41 mg L</w:t>
      </w:r>
      <w:r w:rsidR="00130428" w:rsidRPr="00130428">
        <w:rPr>
          <w:rFonts w:ascii="Cambria Math" w:hAnsi="Cambria Math" w:cs="Cambria Math"/>
          <w:lang w:eastAsia="it-IT"/>
        </w:rPr>
        <w:t>⁻</w:t>
      </w:r>
      <w:r w:rsidR="00130428" w:rsidRPr="00130428">
        <w:rPr>
          <w:rFonts w:cs="Arial"/>
          <w:lang w:eastAsia="it-IT"/>
        </w:rPr>
        <w:t>¹</w:t>
      </w:r>
      <w:r w:rsidR="00130428" w:rsidRPr="00130428">
        <w:rPr>
          <w:lang w:eastAsia="it-IT"/>
        </w:rPr>
        <w:t xml:space="preserve"> d</w:t>
      </w:r>
      <w:r w:rsidR="00130428" w:rsidRPr="00130428">
        <w:rPr>
          <w:rFonts w:ascii="Cambria Math" w:hAnsi="Cambria Math" w:cs="Cambria Math"/>
          <w:lang w:eastAsia="it-IT"/>
        </w:rPr>
        <w:t>⁻</w:t>
      </w:r>
      <w:r w:rsidR="00130428" w:rsidRPr="00130428">
        <w:rPr>
          <w:rFonts w:cs="Arial"/>
          <w:lang w:eastAsia="it-IT"/>
        </w:rPr>
        <w:t>¹</w:t>
      </w:r>
      <w:r w:rsidR="00130428" w:rsidRPr="00130428">
        <w:rPr>
          <w:lang w:eastAsia="it-IT"/>
        </w:rPr>
        <w:t xml:space="preserve"> astaxanthin, about </w:t>
      </w:r>
      <w:proofErr w:type="gramStart"/>
      <w:r w:rsidR="00130428" w:rsidRPr="00130428">
        <w:rPr>
          <w:lang w:eastAsia="it-IT"/>
        </w:rPr>
        <w:t>5.4 fold</w:t>
      </w:r>
      <w:proofErr w:type="gramEnd"/>
      <w:r w:rsidR="00130428" w:rsidRPr="00130428">
        <w:rPr>
          <w:lang w:eastAsia="it-IT"/>
        </w:rPr>
        <w:t xml:space="preserve"> and </w:t>
      </w:r>
      <w:proofErr w:type="gramStart"/>
      <w:r w:rsidR="00130428" w:rsidRPr="00130428">
        <w:rPr>
          <w:lang w:eastAsia="it-IT"/>
        </w:rPr>
        <w:t>4.9 fold</w:t>
      </w:r>
      <w:proofErr w:type="gramEnd"/>
      <w:r w:rsidR="00130428" w:rsidRPr="00130428">
        <w:rPr>
          <w:lang w:eastAsia="it-IT"/>
        </w:rPr>
        <w:t xml:space="preserve"> higher than the control, respectively.</w:t>
      </w:r>
    </w:p>
    <w:p w14:paraId="221EE6BB" w14:textId="77777777" w:rsidR="00183295" w:rsidRDefault="00183295" w:rsidP="00183295">
      <w:pPr>
        <w:pStyle w:val="CETHeading1"/>
        <w:numPr>
          <w:ilvl w:val="0"/>
          <w:numId w:val="0"/>
        </w:numPr>
      </w:pPr>
      <w:r w:rsidRPr="004A285B">
        <w:t>Introduction</w:t>
      </w:r>
    </w:p>
    <w:p w14:paraId="2D53D99D" w14:textId="17D53844" w:rsidR="00B91641" w:rsidRPr="004A285B" w:rsidRDefault="00183295" w:rsidP="00B91641">
      <w:pPr>
        <w:pStyle w:val="CETBodytext"/>
      </w:pPr>
      <w:r w:rsidRPr="004A285B">
        <w:t xml:space="preserve">Globally, approximately 30% of food produced for human consumption is lost or wasted each year, accounting for about 1.3 billion tons (FAO, 2013). Of this, over 700 million tons originate from the </w:t>
      </w:r>
      <w:proofErr w:type="spellStart"/>
      <w:r w:rsidRPr="004A285B">
        <w:t>agro</w:t>
      </w:r>
      <w:proofErr w:type="spellEnd"/>
      <w:r w:rsidRPr="004A285B">
        <w:t xml:space="preserve">-food industry. A significant portion of these materials consists of nutrient-rich food by-products and wastes (FBW) that can be valorized as low-cost substrates for biotechnological processes. Typical examples include sugar molasses (rich in fermentable sugars), corn steep liquor (CSL, a nitrogen source), whey permeate (WP, rich in lactose), </w:t>
      </w:r>
      <w:r w:rsidR="000B2543">
        <w:t xml:space="preserve">spent </w:t>
      </w:r>
      <w:r w:rsidRPr="004A285B">
        <w:t xml:space="preserve">yeast extract (containing peptides and vitamins), and glycerol, a by-product of biodiesel production. Complex organic fractions such as polysaccharides, lipids, and proteins often require hydrolysis to release assimilable monomers (Ende et al., 2019). </w:t>
      </w:r>
      <w:r w:rsidR="00361791">
        <w:t>FBW p</w:t>
      </w:r>
      <w:r w:rsidRPr="004A285B">
        <w:t>re-treatment can enhance substrate suitability by improving bioavailability, reducing color, removing inhibitory compounds, and increasing stability during storage and transport (</w:t>
      </w:r>
      <w:r w:rsidR="00B92082">
        <w:t>Russo et al., 2024</w:t>
      </w:r>
      <w:r w:rsidRPr="004A285B">
        <w:t>; Massa et al., 2017).</w:t>
      </w:r>
      <w:r w:rsidR="00B91641" w:rsidRPr="00B91641">
        <w:rPr>
          <w:i/>
          <w:iCs/>
        </w:rPr>
        <w:t xml:space="preserve"> </w:t>
      </w:r>
      <w:r w:rsidR="00B91641" w:rsidRPr="00EA15AB">
        <w:rPr>
          <w:i/>
          <w:iCs/>
        </w:rPr>
        <w:t>C</w:t>
      </w:r>
      <w:r w:rsidR="00B91641">
        <w:rPr>
          <w:i/>
          <w:iCs/>
        </w:rPr>
        <w:t>.</w:t>
      </w:r>
      <w:r w:rsidR="00B91641" w:rsidRPr="00EA15AB">
        <w:rPr>
          <w:i/>
          <w:iCs/>
        </w:rPr>
        <w:t xml:space="preserve"> </w:t>
      </w:r>
      <w:proofErr w:type="spellStart"/>
      <w:r w:rsidR="00B91641" w:rsidRPr="00EA15AB">
        <w:rPr>
          <w:i/>
          <w:iCs/>
        </w:rPr>
        <w:t>zofingiensis</w:t>
      </w:r>
      <w:proofErr w:type="spellEnd"/>
      <w:r w:rsidR="00B91641" w:rsidRPr="004A285B">
        <w:t xml:space="preserve"> </w:t>
      </w:r>
      <w:r w:rsidR="00B91641">
        <w:t xml:space="preserve">is a green microalga </w:t>
      </w:r>
      <w:r w:rsidR="00C94F12">
        <w:t>with high biorefinery potential</w:t>
      </w:r>
      <w:r w:rsidR="00B91641" w:rsidRPr="004A285B">
        <w:t xml:space="preserve"> due to its ability to assimilate organic carbon sources under mixotrophic conditions and to synthesize high-value carotenoids such as astaxanthin</w:t>
      </w:r>
      <w:r w:rsidR="00337C05">
        <w:t xml:space="preserve"> (</w:t>
      </w:r>
      <w:proofErr w:type="spellStart"/>
      <w:r w:rsidR="00337C05">
        <w:t>Tambat</w:t>
      </w:r>
      <w:proofErr w:type="spellEnd"/>
      <w:r w:rsidR="00337C05">
        <w:t xml:space="preserve"> et al., 2023).</w:t>
      </w:r>
      <w:r w:rsidR="00B91641" w:rsidRPr="004A285B">
        <w:t xml:space="preserve"> </w:t>
      </w:r>
      <w:r w:rsidR="00C94F12">
        <w:t>Thus, t</w:t>
      </w:r>
      <w:r w:rsidR="00B91641" w:rsidRPr="004A285B">
        <w:t>his microalga is a promising platform for the sustainable bioconversion of agro-industrial residues into bioactive compounds with nutraceutical, pharmaceutical, and cosmetic relevance, supporting circular bioeconomy strategies and waste valorization within the food sector.</w:t>
      </w:r>
    </w:p>
    <w:p w14:paraId="5C6E8502" w14:textId="0A0F5EE0" w:rsidR="00183295" w:rsidRPr="004A285B" w:rsidRDefault="00183295" w:rsidP="00183295">
      <w:pPr>
        <w:pStyle w:val="CETBodytext"/>
      </w:pPr>
      <w:r w:rsidRPr="004A285B">
        <w:t>Th</w:t>
      </w:r>
      <w:r w:rsidR="00B91641">
        <w:t>e aim of this</w:t>
      </w:r>
      <w:r w:rsidR="00375804">
        <w:t xml:space="preserve"> </w:t>
      </w:r>
      <w:r w:rsidRPr="004A285B">
        <w:t xml:space="preserve">study </w:t>
      </w:r>
      <w:r w:rsidR="00B91641">
        <w:t xml:space="preserve">was to </w:t>
      </w:r>
      <w:r w:rsidRPr="004A285B">
        <w:t>evaluate the potential of selected agro-industrial by-products as</w:t>
      </w:r>
      <w:r w:rsidR="00B91641">
        <w:t xml:space="preserve"> </w:t>
      </w:r>
      <w:r w:rsidR="00375804">
        <w:t>low-cost</w:t>
      </w:r>
      <w:r w:rsidRPr="004A285B">
        <w:t xml:space="preserve"> nutrient sources for the cultivation of </w:t>
      </w:r>
      <w:r w:rsidRPr="00EA15AB">
        <w:rPr>
          <w:i/>
          <w:iCs/>
        </w:rPr>
        <w:t>C</w:t>
      </w:r>
      <w:r w:rsidR="00361791">
        <w:rPr>
          <w:i/>
          <w:iCs/>
        </w:rPr>
        <w:t>.</w:t>
      </w:r>
      <w:r w:rsidRPr="00EA15AB">
        <w:rPr>
          <w:i/>
          <w:iCs/>
        </w:rPr>
        <w:t xml:space="preserve"> </w:t>
      </w:r>
      <w:proofErr w:type="spellStart"/>
      <w:r w:rsidRPr="00EA15AB">
        <w:rPr>
          <w:i/>
          <w:iCs/>
        </w:rPr>
        <w:t>zofingiensis</w:t>
      </w:r>
      <w:proofErr w:type="spellEnd"/>
      <w:r w:rsidRPr="004A285B">
        <w:t xml:space="preserve">. The experimental design comprised </w:t>
      </w:r>
      <w:r>
        <w:t>two</w:t>
      </w:r>
      <w:r w:rsidRPr="004A285B">
        <w:t xml:space="preserve"> main steps: (a) evaluation of mixotrophic growth on pure organic substrates (sugars, amino acids, peptides), (b) assessment of growth performance using individual and </w:t>
      </w:r>
      <w:r>
        <w:t>blended.</w:t>
      </w:r>
    </w:p>
    <w:p w14:paraId="37F87E20" w14:textId="77777777" w:rsidR="00183295" w:rsidRPr="004402CA" w:rsidRDefault="00183295" w:rsidP="00183295">
      <w:pPr>
        <w:pStyle w:val="CETHeading1"/>
        <w:numPr>
          <w:ilvl w:val="0"/>
          <w:numId w:val="0"/>
        </w:numPr>
      </w:pPr>
      <w:r w:rsidRPr="004402CA">
        <w:lastRenderedPageBreak/>
        <w:t>2. MATERIALS AND METHODS</w:t>
      </w:r>
    </w:p>
    <w:p w14:paraId="530B7102" w14:textId="77777777" w:rsidR="00183295" w:rsidRPr="004402CA" w:rsidRDefault="00183295" w:rsidP="00183295">
      <w:pPr>
        <w:pStyle w:val="CETheadingx"/>
      </w:pPr>
      <w:r w:rsidRPr="004402CA">
        <w:t>2.1 Experimental Design</w:t>
      </w:r>
    </w:p>
    <w:p w14:paraId="4C394B52" w14:textId="56B3E9FB" w:rsidR="009B21EA" w:rsidRDefault="009B21EA" w:rsidP="00183295">
      <w:pPr>
        <w:pStyle w:val="CETBodytext"/>
      </w:pPr>
      <w:r w:rsidRPr="009B21EA">
        <w:t xml:space="preserve">The experimental design focused on vegetative growth screening. First, </w:t>
      </w:r>
      <w:r w:rsidRPr="000A470D">
        <w:rPr>
          <w:i/>
        </w:rPr>
        <w:t xml:space="preserve">C. </w:t>
      </w:r>
      <w:proofErr w:type="spellStart"/>
      <w:r w:rsidRPr="000A470D">
        <w:rPr>
          <w:i/>
        </w:rPr>
        <w:t>zofingiensis</w:t>
      </w:r>
      <w:proofErr w:type="spellEnd"/>
      <w:r w:rsidRPr="009B21EA">
        <w:t xml:space="preserve"> was cultivated in four standard media (BBM, BBM-3N, BG11, KUHL) to select the basal formulation. Second, we ran short screening trials to quantify the effect of inoculum density, defined organic nitrogen sources (yeast extract, peptone, monosodium glutamate), defined organic carbon sources (glucose, fructose, lactose, sucrose, maltose, galactose, lactic acid, and a lactose–lactic acid mix), and C/N ratio on growth performance. Third, food industry by-products were chemically characterized and tested as single supplements at 2.5 and 5 g/L (dry-weight basis), including corn steep liquor, beet molasses, cheese whey permeate, and spent brewery yeast, and growth was assessed after </w:t>
      </w:r>
      <w:r w:rsidR="00452923">
        <w:t>6</w:t>
      </w:r>
      <w:r w:rsidRPr="009B21EA">
        <w:t xml:space="preserve"> days using </w:t>
      </w:r>
      <w:proofErr w:type="spellStart"/>
      <w:r w:rsidRPr="009B21EA">
        <w:t>Cmax</w:t>
      </w:r>
      <w:proofErr w:type="spellEnd"/>
      <w:r w:rsidRPr="009B21EA">
        <w:t>, productivity, and specific growth rate.</w:t>
      </w:r>
    </w:p>
    <w:p w14:paraId="41C50D07" w14:textId="788AD87B" w:rsidR="00183295" w:rsidRPr="004402CA" w:rsidRDefault="00183295" w:rsidP="00183295">
      <w:pPr>
        <w:pStyle w:val="CETheadingx"/>
      </w:pPr>
      <w:r w:rsidRPr="004402CA">
        <w:t>2.2 Cultivation Systems</w:t>
      </w:r>
      <w:r w:rsidR="000A470D">
        <w:t xml:space="preserve"> and Growth Assessment</w:t>
      </w:r>
    </w:p>
    <w:p w14:paraId="3F91974A" w14:textId="4B53FB00" w:rsidR="00183295" w:rsidRPr="004402CA" w:rsidRDefault="00C94F12" w:rsidP="00183295">
      <w:pPr>
        <w:pStyle w:val="CETBodytext"/>
      </w:pPr>
      <w:r>
        <w:t xml:space="preserve">Lab </w:t>
      </w:r>
      <w:r w:rsidR="00BE7AC0">
        <w:t xml:space="preserve">scale </w:t>
      </w:r>
      <w:r w:rsidR="00183295" w:rsidRPr="004402CA">
        <w:t>cultures</w:t>
      </w:r>
      <w:r w:rsidR="00BE7AC0">
        <w:t xml:space="preserve"> of 50 mL</w:t>
      </w:r>
      <w:r w:rsidR="00183295" w:rsidRPr="004402CA">
        <w:t xml:space="preserve"> were c</w:t>
      </w:r>
      <w:r w:rsidR="00BE7AC0">
        <w:t>arried out</w:t>
      </w:r>
      <w:r w:rsidR="00183295" w:rsidRPr="004402CA">
        <w:t xml:space="preserve"> in sterile </w:t>
      </w:r>
      <w:r w:rsidR="00BE7AC0">
        <w:t>polycarbonate cylindrical</w:t>
      </w:r>
      <w:r w:rsidR="00183295" w:rsidRPr="004402CA">
        <w:t xml:space="preserve"> containers (125 × 75 × 80 mm, light path ~0.5 cm) on an orbital shaker (70 rpm)</w:t>
      </w:r>
      <w:r w:rsidR="00BE7AC0">
        <w:t xml:space="preserve">. </w:t>
      </w:r>
      <w:r w:rsidR="00183295" w:rsidRPr="004402CA">
        <w:t xml:space="preserve"> Illumination was provided by red</w:t>
      </w:r>
      <w:r w:rsidR="0018164C">
        <w:t>/blue</w:t>
      </w:r>
      <w:r w:rsidR="00183295" w:rsidRPr="004402CA">
        <w:t xml:space="preserve"> LEDs </w:t>
      </w:r>
      <w:r w:rsidR="0018164C">
        <w:t xml:space="preserve">(ratio 3:1) at incident light of </w:t>
      </w:r>
      <w:r w:rsidR="00183295" w:rsidRPr="004402CA">
        <w:t>1</w:t>
      </w:r>
      <w:r w:rsidR="0018164C">
        <w:t>5</w:t>
      </w:r>
      <w:r w:rsidR="00183295" w:rsidRPr="004402CA">
        <w:t>0 µE m</w:t>
      </w:r>
      <w:r w:rsidR="00183295" w:rsidRPr="004402CA">
        <w:rPr>
          <w:rFonts w:ascii="Cambria Math" w:hAnsi="Cambria Math" w:cs="Cambria Math"/>
        </w:rPr>
        <w:t>⁻</w:t>
      </w:r>
      <w:r w:rsidR="00183295" w:rsidRPr="004402CA">
        <w:rPr>
          <w:rFonts w:cs="Arial"/>
        </w:rPr>
        <w:t>²</w:t>
      </w:r>
      <w:r w:rsidR="00183295" w:rsidRPr="004402CA">
        <w:t xml:space="preserve"> s</w:t>
      </w:r>
      <w:r w:rsidR="00183295" w:rsidRPr="004402CA">
        <w:rPr>
          <w:rFonts w:ascii="Cambria Math" w:hAnsi="Cambria Math" w:cs="Cambria Math"/>
        </w:rPr>
        <w:t>⁻</w:t>
      </w:r>
      <w:r w:rsidR="00183295" w:rsidRPr="004402CA">
        <w:rPr>
          <w:rFonts w:cs="Arial"/>
        </w:rPr>
        <w:t>¹</w:t>
      </w:r>
      <w:r w:rsidR="00183295" w:rsidRPr="004402CA">
        <w:t>)</w:t>
      </w:r>
      <w:r w:rsidR="0018164C">
        <w:t>. Temperature in the climatic chamber</w:t>
      </w:r>
      <w:r w:rsidR="009B21EA">
        <w:t>s</w:t>
      </w:r>
      <w:r w:rsidR="0018164C">
        <w:t xml:space="preserve"> </w:t>
      </w:r>
      <w:r w:rsidR="009B21EA">
        <w:t xml:space="preserve">were </w:t>
      </w:r>
      <w:r w:rsidR="0018164C">
        <w:t xml:space="preserve">kept at </w:t>
      </w:r>
      <w:r w:rsidR="00183295" w:rsidRPr="004402CA">
        <w:t xml:space="preserve">25 </w:t>
      </w:r>
      <w:r w:rsidR="00183295" w:rsidRPr="004402CA">
        <w:rPr>
          <w:rFonts w:cs="Arial"/>
        </w:rPr>
        <w:t>±</w:t>
      </w:r>
      <w:r w:rsidR="00183295" w:rsidRPr="004402CA">
        <w:t xml:space="preserve"> 1 </w:t>
      </w:r>
      <w:r w:rsidR="00183295" w:rsidRPr="004402CA">
        <w:rPr>
          <w:rFonts w:cs="Arial"/>
        </w:rPr>
        <w:t>°</w:t>
      </w:r>
      <w:r w:rsidR="00183295" w:rsidRPr="004402CA">
        <w:t>C.</w:t>
      </w:r>
    </w:p>
    <w:p w14:paraId="103F5EA1" w14:textId="3FECD452" w:rsidR="00183295" w:rsidRPr="004402CA" w:rsidRDefault="00183295" w:rsidP="00183295">
      <w:pPr>
        <w:pStyle w:val="CETBodytext"/>
      </w:pPr>
      <w:r w:rsidRPr="00977282">
        <w:rPr>
          <w:lang w:val="en-GB"/>
        </w:rPr>
        <w:t xml:space="preserve">The specific growth rate </w:t>
      </w:r>
      <w:r w:rsidRPr="00977282">
        <w:rPr>
          <w:rFonts w:ascii="Cambria Math" w:hAnsi="Cambria Math" w:cs="Cambria Math"/>
          <w:lang w:val="en-GB"/>
        </w:rPr>
        <w:t>𝜇</w:t>
      </w:r>
      <w:r w:rsidRPr="00977282">
        <w:rPr>
          <w:lang w:val="en-GB"/>
        </w:rPr>
        <w:t xml:space="preserve"> (day</w:t>
      </w:r>
      <w:r w:rsidRPr="00977282">
        <w:rPr>
          <w:rFonts w:ascii="Cambria Math" w:hAnsi="Cambria Math" w:cs="Cambria Math"/>
          <w:lang w:val="en-GB"/>
        </w:rPr>
        <w:t>⁻</w:t>
      </w:r>
      <w:r w:rsidRPr="00977282">
        <w:rPr>
          <w:rFonts w:cs="Arial"/>
          <w:lang w:val="en-GB"/>
        </w:rPr>
        <w:t>¹</w:t>
      </w:r>
      <w:r w:rsidRPr="00977282">
        <w:rPr>
          <w:lang w:val="en-GB"/>
        </w:rPr>
        <w:t>) and the daily biomass productivity P (mg L</w:t>
      </w:r>
      <w:r w:rsidRPr="00977282">
        <w:rPr>
          <w:rFonts w:ascii="Cambria Math" w:hAnsi="Cambria Math" w:cs="Cambria Math"/>
          <w:lang w:val="en-GB"/>
        </w:rPr>
        <w:t>⁻</w:t>
      </w:r>
      <w:r w:rsidRPr="00977282">
        <w:rPr>
          <w:rFonts w:cs="Arial"/>
          <w:lang w:val="en-GB"/>
        </w:rPr>
        <w:t>¹</w:t>
      </w:r>
      <w:r w:rsidRPr="00977282">
        <w:rPr>
          <w:lang w:val="en-GB"/>
        </w:rPr>
        <w:t xml:space="preserve"> day</w:t>
      </w:r>
      <w:r w:rsidRPr="00977282">
        <w:rPr>
          <w:rFonts w:ascii="Cambria Math" w:hAnsi="Cambria Math" w:cs="Cambria Math"/>
          <w:lang w:val="en-GB"/>
        </w:rPr>
        <w:t>⁻</w:t>
      </w:r>
      <w:r w:rsidRPr="00977282">
        <w:rPr>
          <w:rFonts w:cs="Arial"/>
          <w:lang w:val="en-GB"/>
        </w:rPr>
        <w:t>¹</w:t>
      </w:r>
      <w:r w:rsidRPr="00977282">
        <w:rPr>
          <w:lang w:val="en-GB"/>
        </w:rPr>
        <w:t>) were calculated using the following equations (</w:t>
      </w:r>
      <w:proofErr w:type="spellStart"/>
      <w:r w:rsidRPr="00977282">
        <w:rPr>
          <w:lang w:val="en-GB"/>
        </w:rPr>
        <w:t>Minyuk</w:t>
      </w:r>
      <w:proofErr w:type="spellEnd"/>
      <w:r w:rsidRPr="00977282">
        <w:rPr>
          <w:lang w:val="en-GB"/>
        </w:rPr>
        <w:t xml:space="preserve"> et al., 2020).</w:t>
      </w:r>
    </w:p>
    <w:p w14:paraId="6A1E129D" w14:textId="7B9A1F62" w:rsidR="00183295" w:rsidRPr="004402CA" w:rsidRDefault="00183295" w:rsidP="00183295">
      <w:pPr>
        <w:pStyle w:val="CETEquation"/>
      </w:pPr>
      <m:oMathPara>
        <m:oMath>
          <m:r>
            <w:rPr>
              <w:rFonts w:ascii="Cambria Math" w:hAnsi="Cambria Math"/>
            </w:rPr>
            <m:t>μ</m:t>
          </m:r>
          <m:r>
            <m:rPr>
              <m:sty m:val="p"/>
            </m:rPr>
            <w:rPr>
              <w:rFonts w:ascii="Cambria Math" w:hAnsi="Cambria Math"/>
            </w:rPr>
            <m:t>=</m:t>
          </m:r>
          <m:f>
            <m:fPr>
              <m:ctrlPr>
                <w:rPr>
                  <w:rFonts w:ascii="Cambria Math" w:hAnsi="Cambria Math"/>
                </w:rPr>
              </m:ctrlPr>
            </m:fPr>
            <m:num>
              <m:r>
                <m:rPr>
                  <m:sty m:val="p"/>
                </m:rPr>
                <w:rPr>
                  <w:rFonts w:ascii="Cambria Math" w:hAnsi="Cambria Math"/>
                </w:rPr>
                <m:t>ln⁡</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-ln⁡</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den>
          </m:f>
          <m:r>
            <m:rPr>
              <m:sty m:val="p"/>
            </m:rPr>
            <w:rPr>
              <w:rFonts w:ascii="Cambria Math" w:hAnsi="Cambria Math"/>
            </w:rPr>
            <m:t>,</m:t>
          </m:r>
          <m:r>
            <w:rPr>
              <w:rFonts w:ascii="Cambria Math" w:hAnsi="Cambria Math"/>
            </w:rPr>
            <m:t>P</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den>
          </m:f>
          <m:r>
            <m:rPr>
              <m:sty m:val="p"/>
            </m:rPr>
            <w:rPr>
              <w:rFonts w:ascii="Cambria Math" w:hAnsi="Cambria Math"/>
            </w:rPr>
            <w:br/>
          </m:r>
        </m:oMath>
      </m:oMathPara>
      <w:r w:rsidR="00C94F12">
        <w:t>Where</w:t>
      </w:r>
      <w:r w:rsidRPr="004402CA">
        <w:t xml:space="preserve"> </w:t>
      </w:r>
      <m:oMath>
        <m:r>
          <w:rPr>
            <w:rFonts w:ascii="Cambria Math" w:hAnsi="Cambria Math"/>
          </w:rPr>
          <m:t>C</m:t>
        </m:r>
        <m:r>
          <m:rPr>
            <m:sty m:val="p"/>
          </m:rPr>
          <w:rPr>
            <w:rFonts w:ascii="Cambria Math" w:hAnsi="Cambria Math"/>
          </w:rPr>
          <m:t xml:space="preserve"> </m:t>
        </m:r>
      </m:oMath>
      <w:r w:rsidRPr="004402CA">
        <w:t xml:space="preserve">is </w:t>
      </w:r>
      <w:r w:rsidR="000A470D">
        <w:t xml:space="preserve">the dry </w:t>
      </w:r>
      <w:r w:rsidRPr="004402CA">
        <w:t>biomass (g L</w:t>
      </w:r>
      <w:r w:rsidRPr="004402CA">
        <w:rPr>
          <w:rFonts w:ascii="Cambria Math" w:hAnsi="Cambria Math" w:cs="Cambria Math"/>
        </w:rPr>
        <w:t>⁻</w:t>
      </w:r>
      <w:r w:rsidRPr="004402CA">
        <w:rPr>
          <w:rFonts w:cs="Arial"/>
        </w:rPr>
        <w:t>¹</w:t>
      </w:r>
      <w:r w:rsidRPr="004402CA">
        <w:t xml:space="preserve">) and </w:t>
      </w:r>
      <m:oMath>
        <m:r>
          <w:rPr>
            <w:rFonts w:ascii="Cambria Math" w:hAnsi="Cambria Math"/>
          </w:rPr>
          <m:t>t</m:t>
        </m:r>
      </m:oMath>
      <w:r w:rsidR="00C94F12">
        <w:t xml:space="preserve"> </w:t>
      </w:r>
      <w:r w:rsidRPr="004402CA">
        <w:t xml:space="preserve">is </w:t>
      </w:r>
      <w:r w:rsidR="00C94F12">
        <w:t xml:space="preserve">cultivation </w:t>
      </w:r>
      <w:r w:rsidRPr="004402CA">
        <w:t xml:space="preserve">time (days). </w:t>
      </w:r>
    </w:p>
    <w:p w14:paraId="1EBCFFDB" w14:textId="77777777" w:rsidR="00183295" w:rsidRPr="00954ACB" w:rsidRDefault="00183295" w:rsidP="00183295">
      <w:pPr>
        <w:pStyle w:val="CETBodytext"/>
        <w:rPr>
          <w:b/>
        </w:rPr>
      </w:pPr>
      <w:r w:rsidRPr="00954ACB">
        <w:rPr>
          <w:b/>
        </w:rPr>
        <w:t>2.4 Pigment Analysis</w:t>
      </w:r>
    </w:p>
    <w:p w14:paraId="53B040D6" w14:textId="25EFCAC5" w:rsidR="00183295" w:rsidRPr="004402CA" w:rsidRDefault="00183295" w:rsidP="00183295">
      <w:pPr>
        <w:pStyle w:val="CETBodytext"/>
      </w:pPr>
      <w:r w:rsidRPr="004402CA">
        <w:t>Pigments were extracted from 50 mg lyophilized biomass with methanol</w:t>
      </w:r>
      <w:r>
        <w:t xml:space="preserve"> </w:t>
      </w:r>
      <w:r w:rsidRPr="00977282">
        <w:rPr>
          <w:lang w:val="en-GB"/>
        </w:rPr>
        <w:t xml:space="preserve">following the protocol modified from </w:t>
      </w:r>
      <w:proofErr w:type="spellStart"/>
      <w:r w:rsidRPr="00977282">
        <w:rPr>
          <w:lang w:val="en-GB"/>
        </w:rPr>
        <w:t>Lichtenthaler</w:t>
      </w:r>
      <w:proofErr w:type="spellEnd"/>
      <w:r w:rsidRPr="00977282">
        <w:rPr>
          <w:lang w:val="en-GB"/>
        </w:rPr>
        <w:t xml:space="preserve"> &amp; Wellburn (1983)</w:t>
      </w:r>
      <w:r w:rsidRPr="004402CA">
        <w:t>, vortexed with quartz beads, and measured (400–750 nm). Chlorophyll a, b, and total carotenoids were calculated (Wellburn, 1994; Franke et al., 2022), and astaxanthin quantified by</w:t>
      </w:r>
      <w:r w:rsidR="00C94F12">
        <w:t xml:space="preserve"> the following equation</w:t>
      </w:r>
      <w:r w:rsidRPr="004402CA">
        <w:t>:</w:t>
      </w:r>
    </w:p>
    <w:p w14:paraId="2BB42823" w14:textId="4E992D29" w:rsidR="00183295" w:rsidRPr="004402CA" w:rsidRDefault="00183295" w:rsidP="00183295">
      <w:pPr>
        <w:pStyle w:val="CETEquation"/>
      </w:pPr>
      <m:oMathPara>
        <m:oMath>
          <m:r>
            <m:rPr>
              <m:sty m:val="p"/>
            </m:rPr>
            <w:rPr>
              <w:rFonts w:ascii="Cambria Math" w:hAnsi="Cambria Math"/>
            </w:rPr>
            <m:t>[</m:t>
          </m:r>
          <m:r>
            <m:rPr>
              <m:nor/>
            </m:rPr>
            <m:t>Astaxanthin</m:t>
          </m:r>
          <m:r>
            <m:rPr>
              <m:sty m:val="p"/>
            </m:rPr>
            <w:rPr>
              <w:rFonts w:ascii="Cambria Math" w:hAnsi="Cambria Math"/>
            </w:rPr>
            <m:t>]=(</m:t>
          </m:r>
          <m:sSub>
            <m:sSubPr>
              <m:ctrlPr>
                <w:rPr>
                  <w:rFonts w:ascii="Cambria Math" w:hAnsi="Cambria Math"/>
                </w:rPr>
              </m:ctrlPr>
            </m:sSubPr>
            <m:e>
              <m:r>
                <m:rPr>
                  <m:nor/>
                </m:rPr>
                <m:t>Abs</m:t>
              </m:r>
            </m:e>
            <m:sub>
              <m:r>
                <m:rPr>
                  <m:sty m:val="p"/>
                </m:rPr>
                <w:rPr>
                  <w:rFonts w:ascii="Cambria Math" w:hAnsi="Cambria Math"/>
                </w:rPr>
                <m:t>530</m:t>
              </m:r>
            </m:sub>
          </m:sSub>
          <m:r>
            <m:rPr>
              <m:sty m:val="p"/>
            </m:rPr>
            <w:rPr>
              <w:rFonts w:ascii="Cambria Math" w:hAnsi="Cambria Math"/>
            </w:rPr>
            <m:t>-</m:t>
          </m:r>
          <m:sSub>
            <m:sSubPr>
              <m:ctrlPr>
                <w:rPr>
                  <w:rFonts w:ascii="Cambria Math" w:hAnsi="Cambria Math"/>
                </w:rPr>
              </m:ctrlPr>
            </m:sSubPr>
            <m:e>
              <m:r>
                <m:rPr>
                  <m:nor/>
                </m:rPr>
                <m:t>Abs</m:t>
              </m:r>
            </m:e>
            <m:sub>
              <m:r>
                <m:rPr>
                  <m:sty m:val="p"/>
                </m:rPr>
                <w:rPr>
                  <w:rFonts w:ascii="Cambria Math" w:hAnsi="Cambria Math"/>
                </w:rPr>
                <m:t>750</m:t>
              </m:r>
            </m:sub>
          </m:sSub>
          <m:r>
            <m:rPr>
              <m:sty m:val="p"/>
            </m:rPr>
            <w:rPr>
              <w:rFonts w:ascii="Cambria Math" w:hAnsi="Cambria Math"/>
            </w:rPr>
            <m:t>)×6.365+0.092</m:t>
          </m:r>
        </m:oMath>
      </m:oMathPara>
    </w:p>
    <w:p w14:paraId="39748AC0" w14:textId="77777777" w:rsidR="00183295" w:rsidRPr="004402CA" w:rsidRDefault="00183295" w:rsidP="00183295">
      <w:pPr>
        <w:pStyle w:val="CETBodytext"/>
      </w:pPr>
      <w:r w:rsidRPr="004402CA">
        <w:t>Values were normalized to biomass and expressed as mg L</w:t>
      </w:r>
      <w:r w:rsidRPr="004402CA">
        <w:rPr>
          <w:rFonts w:ascii="Cambria Math" w:hAnsi="Cambria Math" w:cs="Cambria Math"/>
        </w:rPr>
        <w:t>⁻</w:t>
      </w:r>
      <w:r w:rsidRPr="004402CA">
        <w:rPr>
          <w:rFonts w:cs="Arial"/>
        </w:rPr>
        <w:t>¹</w:t>
      </w:r>
      <w:r w:rsidRPr="004402CA">
        <w:t xml:space="preserve"> day</w:t>
      </w:r>
      <w:r w:rsidRPr="004402CA">
        <w:rPr>
          <w:rFonts w:ascii="Cambria Math" w:hAnsi="Cambria Math" w:cs="Cambria Math"/>
        </w:rPr>
        <w:t>⁻</w:t>
      </w:r>
      <w:r w:rsidRPr="004402CA">
        <w:rPr>
          <w:rFonts w:cs="Arial"/>
        </w:rPr>
        <w:t>¹</w:t>
      </w:r>
      <w:r w:rsidRPr="004402CA">
        <w:t>.</w:t>
      </w:r>
    </w:p>
    <w:p w14:paraId="46FBBEE4" w14:textId="2B584AFD" w:rsidR="00183295" w:rsidRPr="004402CA" w:rsidRDefault="00183295" w:rsidP="00183295">
      <w:pPr>
        <w:pStyle w:val="CETheadingx"/>
      </w:pPr>
      <w:r w:rsidRPr="00137BE6">
        <w:t xml:space="preserve">2.5 </w:t>
      </w:r>
      <w:r w:rsidR="009B21EA">
        <w:t xml:space="preserve">Food </w:t>
      </w:r>
      <w:r w:rsidRPr="00137BE6">
        <w:t>By-product Characterization</w:t>
      </w:r>
    </w:p>
    <w:p w14:paraId="42D7142F" w14:textId="39AE7571" w:rsidR="00183295" w:rsidRDefault="00183295" w:rsidP="00183295">
      <w:pPr>
        <w:pStyle w:val="CETBodytext"/>
      </w:pPr>
      <w:r w:rsidRPr="004402CA">
        <w:t>Beet molasses, corn steep liquor (CSL), ultrafiltered buffalo</w:t>
      </w:r>
      <w:r w:rsidR="00AE37AB">
        <w:t xml:space="preserve"> cheese whey </w:t>
      </w:r>
      <w:proofErr w:type="gramStart"/>
      <w:r w:rsidR="00AE37AB">
        <w:t>permeate</w:t>
      </w:r>
      <w:proofErr w:type="gramEnd"/>
      <w:r w:rsidR="00AE37AB">
        <w:t xml:space="preserve"> (CWP)</w:t>
      </w:r>
      <w:r w:rsidRPr="004402CA">
        <w:t>, and spent brewery yeast (SBY) were analyzed for dry matter, ash, salt, moisture, pH, sugars, and nitrogen. Protein, reducing sugars, and polysaccharides were measured via Bradford, DNS, and Dubois assays, respectively. SBY was autolyzed (7% w/w, 50 °C, 24 h), centrifuged, and sterilized (121 °C, 20 min)</w:t>
      </w:r>
      <w:r w:rsidR="00C94F12">
        <w:t xml:space="preserve"> following the protocol reported by </w:t>
      </w:r>
      <w:r w:rsidR="00740335">
        <w:t>Russo et al., 2022</w:t>
      </w:r>
      <w:r w:rsidRPr="004402CA">
        <w:t>.</w:t>
      </w:r>
    </w:p>
    <w:p w14:paraId="6648DBF5" w14:textId="4F24369F" w:rsidR="0094469D" w:rsidRDefault="0094469D" w:rsidP="00183295">
      <w:pPr>
        <w:pStyle w:val="CETBodytext"/>
      </w:pPr>
      <w:r w:rsidRPr="0094469D">
        <w:t xml:space="preserve">Molasses exhibited a very high dry matter content and the highest </w:t>
      </w:r>
      <w:r w:rsidR="000E1DB8" w:rsidRPr="000E1DB8">
        <w:t>glucose equivalent</w:t>
      </w:r>
      <w:r w:rsidRPr="0094469D">
        <w:t xml:space="preserve"> value (666.27 g kg</w:t>
      </w:r>
      <w:r w:rsidRPr="0094469D">
        <w:rPr>
          <w:rFonts w:ascii="Cambria Math" w:hAnsi="Cambria Math" w:cs="Cambria Math"/>
        </w:rPr>
        <w:t>⁻</w:t>
      </w:r>
      <w:r w:rsidRPr="0094469D">
        <w:rPr>
          <w:rFonts w:cs="Arial"/>
        </w:rPr>
        <w:t>¹</w:t>
      </w:r>
      <w:r w:rsidRPr="0094469D">
        <w:t xml:space="preserve">), indicating a strong prevalence of organic carbon, </w:t>
      </w:r>
      <w:r w:rsidR="00D40558">
        <w:t>with</w:t>
      </w:r>
      <w:r w:rsidRPr="0094469D">
        <w:t xml:space="preserve"> negligible </w:t>
      </w:r>
      <w:r w:rsidR="000E1DB8">
        <w:t>protein</w:t>
      </w:r>
      <w:r w:rsidRPr="0094469D">
        <w:t xml:space="preserve"> value (1.83 g kg</w:t>
      </w:r>
      <w:r w:rsidRPr="0094469D">
        <w:rPr>
          <w:rFonts w:ascii="Cambria Math" w:hAnsi="Cambria Math" w:cs="Cambria Math"/>
        </w:rPr>
        <w:t>⁻</w:t>
      </w:r>
      <w:r w:rsidRPr="0094469D">
        <w:rPr>
          <w:rFonts w:cs="Arial"/>
        </w:rPr>
        <w:t>¹</w:t>
      </w:r>
      <w:r w:rsidRPr="0094469D">
        <w:t>)</w:t>
      </w:r>
      <w:r w:rsidR="00D40558">
        <w:t>.</w:t>
      </w:r>
      <w:r w:rsidRPr="0094469D">
        <w:t xml:space="preserve"> Whey </w:t>
      </w:r>
      <w:proofErr w:type="gramStart"/>
      <w:r w:rsidR="00CB241D" w:rsidRPr="0094469D">
        <w:t>permeates,</w:t>
      </w:r>
      <w:proofErr w:type="gramEnd"/>
      <w:r w:rsidR="00CB241D" w:rsidRPr="0094469D">
        <w:t xml:space="preserve"> showed</w:t>
      </w:r>
      <w:r w:rsidRPr="0094469D">
        <w:t xml:space="preserve"> appreciable </w:t>
      </w:r>
      <w:r w:rsidR="000E1DB8">
        <w:t>reducing sugars</w:t>
      </w:r>
      <w:r w:rsidRPr="0094469D">
        <w:t xml:space="preserve"> and </w:t>
      </w:r>
      <w:r w:rsidR="000E1DB8">
        <w:t>protein</w:t>
      </w:r>
      <w:r w:rsidRPr="0094469D">
        <w:t xml:space="preserve"> values, indicating the presence of readily available soluble organic nitrogen. Corn steep liquor was characterized by high dry matter and ash contents and a very high </w:t>
      </w:r>
      <w:r w:rsidR="000E1DB8">
        <w:t>protein</w:t>
      </w:r>
      <w:r w:rsidRPr="0094469D">
        <w:t xml:space="preserve"> value (304.15 g kg</w:t>
      </w:r>
      <w:r w:rsidRPr="0094469D">
        <w:rPr>
          <w:rFonts w:ascii="Cambria Math" w:hAnsi="Cambria Math" w:cs="Cambria Math"/>
        </w:rPr>
        <w:t>⁻</w:t>
      </w:r>
      <w:r w:rsidRPr="0094469D">
        <w:rPr>
          <w:rFonts w:cs="Arial"/>
        </w:rPr>
        <w:t>¹</w:t>
      </w:r>
      <w:r w:rsidRPr="0094469D">
        <w:t xml:space="preserve">), Spent brewery yeast showed intermediate dry matter and high </w:t>
      </w:r>
      <w:r w:rsidR="000E1DB8" w:rsidRPr="0094469D">
        <w:t>carbohydrate content</w:t>
      </w:r>
      <w:r w:rsidRPr="0094469D">
        <w:t xml:space="preserve"> and </w:t>
      </w:r>
      <w:r w:rsidR="000E1DB8">
        <w:t>protein</w:t>
      </w:r>
      <w:r w:rsidRPr="0094469D">
        <w:t xml:space="preserve"> values</w:t>
      </w:r>
      <w:r w:rsidR="00D40558">
        <w:t>.</w:t>
      </w:r>
    </w:p>
    <w:p w14:paraId="502E235E" w14:textId="77777777" w:rsidR="00183295" w:rsidRPr="004402CA" w:rsidRDefault="00183295" w:rsidP="00183295">
      <w:pPr>
        <w:pStyle w:val="CETBodytext"/>
      </w:pPr>
    </w:p>
    <w:p w14:paraId="150FB441" w14:textId="420B1CA5" w:rsidR="00183295" w:rsidRPr="004402CA" w:rsidRDefault="00183295" w:rsidP="00183295">
      <w:pPr>
        <w:pStyle w:val="CETBodytext"/>
        <w:jc w:val="left"/>
      </w:pPr>
      <w:r w:rsidRPr="004402CA">
        <w:rPr>
          <w:rStyle w:val="CETheadingxCarattere"/>
          <w:rFonts w:eastAsiaTheme="majorEastAsia"/>
        </w:rPr>
        <w:t>2.6 Statistical Analysis</w:t>
      </w:r>
      <w:r w:rsidRPr="004402CA">
        <w:br/>
        <w:t>Experiments were conducted in triplicate, and data are reported as mean ± SD. One-way ANOVA was used to assess significant differences (p &lt; 0.05), followed by Tukey’s post-hoc test when applicable. Analyses were performed using IBM© SPSS© Statistics 23 (SPSS, Inc., Chicago, IL, USA)</w:t>
      </w:r>
      <w:r w:rsidR="00740335">
        <w:t>.</w:t>
      </w:r>
    </w:p>
    <w:p w14:paraId="33D9A92B" w14:textId="77777777" w:rsidR="00183295" w:rsidRDefault="00183295" w:rsidP="00183295">
      <w:pPr>
        <w:pStyle w:val="CETHeading1"/>
        <w:numPr>
          <w:ilvl w:val="0"/>
          <w:numId w:val="0"/>
        </w:numPr>
      </w:pPr>
      <w:r w:rsidRPr="004402CA">
        <w:t>3.RESULTS AND DISCUSSION</w:t>
      </w:r>
    </w:p>
    <w:p w14:paraId="403B9A6E" w14:textId="77777777" w:rsidR="00183295" w:rsidRPr="00851F27" w:rsidRDefault="00183295" w:rsidP="00183295">
      <w:pPr>
        <w:pStyle w:val="CETheadingx"/>
      </w:pPr>
      <w:r>
        <w:t xml:space="preserve"> 3.1 </w:t>
      </w:r>
      <w:r w:rsidRPr="00851F27">
        <w:t>Evaluation of Growth Performance in Standard Culture Media</w:t>
      </w:r>
    </w:p>
    <w:p w14:paraId="68D1C24A" w14:textId="671CAC64" w:rsidR="00183295" w:rsidRPr="008402C0" w:rsidRDefault="00183295" w:rsidP="00FE2A6F">
      <w:pPr>
        <w:pStyle w:val="CETBodytext"/>
      </w:pPr>
      <w:r w:rsidRPr="00851F27">
        <w:t xml:space="preserve">Four standard media (BG11, KUHL, BBM, BBM-3N) were compared to assess </w:t>
      </w:r>
      <w:r w:rsidRPr="00AD6A41">
        <w:rPr>
          <w:i/>
        </w:rPr>
        <w:t xml:space="preserve">C. </w:t>
      </w:r>
      <w:proofErr w:type="spellStart"/>
      <w:r w:rsidRPr="00AD6A41">
        <w:rPr>
          <w:i/>
        </w:rPr>
        <w:t>zofingiensis</w:t>
      </w:r>
      <w:proofErr w:type="spellEnd"/>
      <w:r w:rsidRPr="00851F27">
        <w:t xml:space="preserve"> </w:t>
      </w:r>
      <w:r w:rsidR="00FE2A6F">
        <w:t xml:space="preserve">vegetative </w:t>
      </w:r>
      <w:r w:rsidRPr="00851F27">
        <w:t>growth.</w:t>
      </w:r>
      <w:r w:rsidR="001818F4">
        <w:t xml:space="preserve"> The results are reported in Figure 1.</w:t>
      </w:r>
      <w:r w:rsidRPr="00851F27">
        <w:t xml:space="preserve"> </w:t>
      </w:r>
    </w:p>
    <w:p w14:paraId="4C80765C" w14:textId="3713947A" w:rsidR="00183295" w:rsidRPr="008402C0" w:rsidRDefault="00A850D7" w:rsidP="0011026A">
      <w:pPr>
        <w:pStyle w:val="CETBodytext"/>
        <w:jc w:val="center"/>
        <w:rPr>
          <w:rStyle w:val="Enfasigrassetto"/>
          <w:b w:val="0"/>
          <w:bCs w:val="0"/>
        </w:rPr>
      </w:pPr>
      <w:r>
        <w:rPr>
          <w:noProof/>
          <w:lang w:eastAsia="it-IT"/>
        </w:rPr>
        <w:lastRenderedPageBreak/>
        <w:drawing>
          <wp:inline distT="0" distB="0" distL="0" distR="0" wp14:anchorId="22E65FC8" wp14:editId="5F9CF023">
            <wp:extent cx="3162650" cy="189672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4871" cy="1910052"/>
                    </a:xfrm>
                    <a:prstGeom prst="rect">
                      <a:avLst/>
                    </a:prstGeom>
                    <a:noFill/>
                    <a:ln>
                      <a:noFill/>
                    </a:ln>
                  </pic:spPr>
                </pic:pic>
              </a:graphicData>
            </a:graphic>
          </wp:inline>
        </w:drawing>
      </w:r>
      <w:r w:rsidR="0011026A">
        <w:rPr>
          <w:b/>
        </w:rPr>
        <w:br/>
      </w:r>
      <w:r w:rsidR="00183295" w:rsidRPr="009C0E9C">
        <w:rPr>
          <w:b/>
        </w:rPr>
        <w:t>Figure</w:t>
      </w:r>
      <w:r w:rsidR="00FE2A6F" w:rsidRPr="009C0E9C">
        <w:rPr>
          <w:b/>
        </w:rPr>
        <w:t xml:space="preserve"> </w:t>
      </w:r>
      <w:r w:rsidR="00183295" w:rsidRPr="009C0E9C">
        <w:rPr>
          <w:b/>
        </w:rPr>
        <w:t>1</w:t>
      </w:r>
      <w:r w:rsidR="00FE2A6F" w:rsidRPr="009C0E9C">
        <w:rPr>
          <w:b/>
        </w:rPr>
        <w:t>.</w:t>
      </w:r>
      <w:r w:rsidR="00183295" w:rsidRPr="00954ACB">
        <w:t xml:space="preserve"> </w:t>
      </w:r>
      <w:r w:rsidR="00183295" w:rsidRPr="00A850D7">
        <w:rPr>
          <w:i/>
          <w:iCs/>
        </w:rPr>
        <w:t>Growth curve</w:t>
      </w:r>
      <w:r w:rsidR="009C0E9C" w:rsidRPr="00A850D7">
        <w:rPr>
          <w:i/>
          <w:iCs/>
        </w:rPr>
        <w:t>s</w:t>
      </w:r>
      <w:r w:rsidR="00183295" w:rsidRPr="00A850D7">
        <w:rPr>
          <w:i/>
          <w:iCs/>
        </w:rPr>
        <w:t xml:space="preserve"> of C. </w:t>
      </w:r>
      <w:proofErr w:type="spellStart"/>
      <w:r w:rsidR="00183295" w:rsidRPr="00A850D7">
        <w:rPr>
          <w:i/>
          <w:iCs/>
        </w:rPr>
        <w:t>zofingiensis</w:t>
      </w:r>
      <w:proofErr w:type="spellEnd"/>
      <w:r w:rsidR="00183295" w:rsidRPr="00A850D7">
        <w:rPr>
          <w:i/>
          <w:iCs/>
        </w:rPr>
        <w:t xml:space="preserve"> cultured in four standard media (BG11, KUHL, BBM, BBM-3N).</w:t>
      </w:r>
      <w:r w:rsidR="00183295" w:rsidRPr="00954ACB">
        <w:t xml:space="preserve"> </w:t>
      </w:r>
      <w:r w:rsidR="0011026A">
        <w:br/>
      </w:r>
    </w:p>
    <w:p w14:paraId="3CE1B238" w14:textId="13FDD2C6" w:rsidR="00FE2A6F" w:rsidRPr="00851F27" w:rsidRDefault="00FE2A6F" w:rsidP="00FE2A6F">
      <w:pPr>
        <w:pStyle w:val="CETBodytext"/>
      </w:pPr>
      <w:r w:rsidRPr="00851F27">
        <w:t>All cultures (0.147 g/L initial biomass</w:t>
      </w:r>
      <w:r>
        <w:t xml:space="preserve"> DW</w:t>
      </w:r>
      <w:r w:rsidRPr="00851F27">
        <w:t xml:space="preserve">) showed a </w:t>
      </w:r>
      <w:r w:rsidR="00B8368A">
        <w:t>3</w:t>
      </w:r>
      <w:r w:rsidRPr="00851F27">
        <w:t xml:space="preserve">-day lag phase and entered exponential growth from </w:t>
      </w:r>
      <w:r>
        <w:t>d</w:t>
      </w:r>
      <w:r w:rsidRPr="00851F27">
        <w:t xml:space="preserve">ay </w:t>
      </w:r>
      <w:r w:rsidR="00B8368A">
        <w:t>5-6</w:t>
      </w:r>
      <w:r w:rsidRPr="00851F27">
        <w:t xml:space="preserve">. Biomass </w:t>
      </w:r>
      <w:r w:rsidR="00CB241D" w:rsidRPr="00851F27">
        <w:t>increased</w:t>
      </w:r>
      <w:r>
        <w:t xml:space="preserve"> to</w:t>
      </w:r>
      <w:r w:rsidRPr="00851F27">
        <w:t xml:space="preserve"> </w:t>
      </w:r>
      <w:r w:rsidR="007C749E">
        <w:t>d</w:t>
      </w:r>
      <w:r w:rsidRPr="00851F27">
        <w:t xml:space="preserve">ay </w:t>
      </w:r>
      <w:r w:rsidR="00570975">
        <w:t>12</w:t>
      </w:r>
      <w:r>
        <w:t xml:space="preserve"> in all conditions</w:t>
      </w:r>
      <w:r w:rsidRPr="00851F27">
        <w:t xml:space="preserve">, with BG11 achieving the highest value (2.908 g/L) and BBM the lowest (1.408 g/L). BBM-3N outperformed BBM but remained below KUHL and BG11, indicating that nitrogen enrichment alone does not </w:t>
      </w:r>
      <w:r>
        <w:t>explain the best performing formulation</w:t>
      </w:r>
      <w:r w:rsidRPr="00851F27">
        <w:t>.</w:t>
      </w:r>
    </w:p>
    <w:p w14:paraId="397EEF4D" w14:textId="754735BA" w:rsidR="00FE2A6F" w:rsidRDefault="00FE2A6F" w:rsidP="00FE2A6F">
      <w:pPr>
        <w:pStyle w:val="CETBodytext"/>
      </w:pPr>
      <w:r w:rsidRPr="00851F27">
        <w:t xml:space="preserve">Growth-rate profiles reflected similar trends: BG11 and BBM-3N supported faster early growth, whereas KUHL exhibited the highest rates between </w:t>
      </w:r>
      <w:r>
        <w:t>d</w:t>
      </w:r>
      <w:r w:rsidRPr="00851F27">
        <w:t xml:space="preserve">ays </w:t>
      </w:r>
      <w:r w:rsidR="00B8368A">
        <w:t>3</w:t>
      </w:r>
      <w:r>
        <w:t xml:space="preserve"> to </w:t>
      </w:r>
      <w:r w:rsidR="00B8368A">
        <w:t>9</w:t>
      </w:r>
      <w:r w:rsidRPr="00851F27">
        <w:t xml:space="preserve">, </w:t>
      </w:r>
      <w:r>
        <w:t>supporting</w:t>
      </w:r>
      <w:r w:rsidRPr="00851F27">
        <w:t xml:space="preserve"> mid-phase cultivation. </w:t>
      </w:r>
      <w:r>
        <w:t xml:space="preserve">These results </w:t>
      </w:r>
      <w:r w:rsidR="00740335">
        <w:t xml:space="preserve">identify </w:t>
      </w:r>
      <w:r w:rsidR="00740335" w:rsidRPr="00851F27">
        <w:t>BG</w:t>
      </w:r>
      <w:r w:rsidRPr="00851F27">
        <w:t>11</w:t>
      </w:r>
      <w:r w:rsidR="00AD6A41">
        <w:t xml:space="preserve"> and Kuhl</w:t>
      </w:r>
      <w:r w:rsidRPr="00851F27">
        <w:t xml:space="preserve"> </w:t>
      </w:r>
      <w:r>
        <w:t xml:space="preserve">as the most supportive media for </w:t>
      </w:r>
      <w:r w:rsidRPr="000A470D">
        <w:rPr>
          <w:i/>
        </w:rPr>
        <w:t xml:space="preserve">C. </w:t>
      </w:r>
      <w:proofErr w:type="spellStart"/>
      <w:r w:rsidRPr="000A470D">
        <w:rPr>
          <w:i/>
        </w:rPr>
        <w:t>zofingiensis</w:t>
      </w:r>
      <w:proofErr w:type="spellEnd"/>
      <w:r>
        <w:t xml:space="preserve"> growth and highlight the need for medium renewal or semi-continuous operation after day </w:t>
      </w:r>
      <w:r w:rsidR="00B8368A">
        <w:t>12</w:t>
      </w:r>
      <w:r>
        <w:t xml:space="preserve"> to maintain productivity.</w:t>
      </w:r>
    </w:p>
    <w:p w14:paraId="6F75248F" w14:textId="18A2B676" w:rsidR="00183295" w:rsidRPr="0094212F" w:rsidRDefault="00183295" w:rsidP="0094212F">
      <w:pPr>
        <w:pStyle w:val="CETheadingx"/>
      </w:pPr>
      <w:r w:rsidRPr="0094212F">
        <w:t>3.2. Combined Analysis of Growth Performance Under Varying Inoculum Levels, Nitrogen</w:t>
      </w:r>
      <w:r w:rsidR="00FE2A6F">
        <w:t>-Organic Carbon</w:t>
      </w:r>
      <w:r w:rsidRPr="0094212F">
        <w:t xml:space="preserve"> Sources, and C/N Ratios</w:t>
      </w:r>
    </w:p>
    <w:p w14:paraId="7C08855F" w14:textId="07B8FB3E" w:rsidR="00183295" w:rsidRDefault="00183295" w:rsidP="00183295">
      <w:pPr>
        <w:pStyle w:val="CETBodytext"/>
      </w:pPr>
      <w:r>
        <w:t xml:space="preserve">A set of cultivation trials was carried out to assess the effects of initial inoculum concentration, nitrogen source supplementation, organic carbon addition, and C/N ratio on the growth performance of </w:t>
      </w:r>
      <w:r>
        <w:rPr>
          <w:rStyle w:val="Enfasicorsivo"/>
        </w:rPr>
        <w:t xml:space="preserve">C. </w:t>
      </w:r>
      <w:proofErr w:type="spellStart"/>
      <w:r>
        <w:rPr>
          <w:rStyle w:val="Enfasicorsivo"/>
        </w:rPr>
        <w:t>zofingiensis</w:t>
      </w:r>
      <w:proofErr w:type="spellEnd"/>
      <w:r>
        <w:t>.</w:t>
      </w:r>
      <w:r w:rsidR="000D7488">
        <w:t xml:space="preserve"> The results are reported in Figure 2.</w:t>
      </w:r>
    </w:p>
    <w:p w14:paraId="4765E960" w14:textId="6B82536F" w:rsidR="00452923" w:rsidRDefault="00452923" w:rsidP="00CB241D">
      <w:pPr>
        <w:pStyle w:val="CETBodytext"/>
        <w:jc w:val="center"/>
      </w:pPr>
      <w:r>
        <w:rPr>
          <w:noProof/>
        </w:rPr>
        <w:drawing>
          <wp:inline distT="0" distB="0" distL="0" distR="0" wp14:anchorId="1C1CF5B6" wp14:editId="1FC8A67B">
            <wp:extent cx="3523376" cy="3520378"/>
            <wp:effectExtent l="0" t="0" r="1270" b="4445"/>
            <wp:docPr id="1093617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2698" cy="3539683"/>
                    </a:xfrm>
                    <a:prstGeom prst="rect">
                      <a:avLst/>
                    </a:prstGeom>
                    <a:noFill/>
                  </pic:spPr>
                </pic:pic>
              </a:graphicData>
            </a:graphic>
          </wp:inline>
        </w:drawing>
      </w:r>
    </w:p>
    <w:p w14:paraId="73ACAD68" w14:textId="0BF22061" w:rsidR="00BD0256" w:rsidRDefault="00BD0256" w:rsidP="000A470D">
      <w:pPr>
        <w:pStyle w:val="CETBodytext"/>
        <w:jc w:val="center"/>
      </w:pPr>
    </w:p>
    <w:p w14:paraId="14D133E5" w14:textId="32CD4500" w:rsidR="00BD0256" w:rsidRPr="00A850D7" w:rsidRDefault="00BD0256" w:rsidP="00183295">
      <w:pPr>
        <w:pStyle w:val="CETBodytext"/>
        <w:rPr>
          <w:i/>
          <w:iCs/>
        </w:rPr>
      </w:pPr>
      <w:r w:rsidRPr="0011026A">
        <w:rPr>
          <w:b/>
        </w:rPr>
        <w:t>Figure 2</w:t>
      </w:r>
      <w:r w:rsidRPr="002A4EF3">
        <w:t xml:space="preserve">. </w:t>
      </w:r>
      <w:r w:rsidR="0011026A" w:rsidRPr="00A850D7">
        <w:rPr>
          <w:i/>
          <w:iCs/>
        </w:rPr>
        <w:t>Effect of inoculum concentration (A)</w:t>
      </w:r>
      <w:r w:rsidR="006848B3">
        <w:rPr>
          <w:i/>
          <w:iCs/>
        </w:rPr>
        <w:t xml:space="preserve">, </w:t>
      </w:r>
      <w:r w:rsidR="006848B3" w:rsidRPr="00A850D7">
        <w:rPr>
          <w:i/>
          <w:iCs/>
        </w:rPr>
        <w:t>organic nitrogen sources and doses (peptone, yeast extract, monosodium glutamate) (B)</w:t>
      </w:r>
      <w:r w:rsidR="006848B3">
        <w:rPr>
          <w:i/>
          <w:iCs/>
        </w:rPr>
        <w:t xml:space="preserve"> and carbon/nitrogen ratio (</w:t>
      </w:r>
      <w:r w:rsidR="006848B3" w:rsidRPr="00A850D7">
        <w:rPr>
          <w:i/>
          <w:iCs/>
        </w:rPr>
        <w:t>C/N</w:t>
      </w:r>
      <w:r w:rsidR="006848B3">
        <w:rPr>
          <w:i/>
          <w:iCs/>
        </w:rPr>
        <w:t>)</w:t>
      </w:r>
      <w:r w:rsidR="006848B3" w:rsidRPr="00A850D7">
        <w:rPr>
          <w:i/>
          <w:iCs/>
        </w:rPr>
        <w:t xml:space="preserve"> (C)</w:t>
      </w:r>
      <w:r w:rsidR="006848B3">
        <w:rPr>
          <w:i/>
          <w:iCs/>
        </w:rPr>
        <w:t xml:space="preserve"> m</w:t>
      </w:r>
      <w:r w:rsidR="0011026A" w:rsidRPr="00A850D7">
        <w:rPr>
          <w:i/>
          <w:iCs/>
        </w:rPr>
        <w:t>aximum biomass concentration (</w:t>
      </w:r>
      <w:proofErr w:type="spellStart"/>
      <w:r w:rsidR="0011026A" w:rsidRPr="00A850D7">
        <w:rPr>
          <w:i/>
          <w:iCs/>
        </w:rPr>
        <w:t>Cmax</w:t>
      </w:r>
      <w:proofErr w:type="spellEnd"/>
      <w:r w:rsidR="0011026A" w:rsidRPr="00A850D7">
        <w:rPr>
          <w:i/>
          <w:iCs/>
        </w:rPr>
        <w:t>, g/L), biomass</w:t>
      </w:r>
      <w:r w:rsidR="006848B3">
        <w:rPr>
          <w:i/>
          <w:iCs/>
        </w:rPr>
        <w:t xml:space="preserve"> daily</w:t>
      </w:r>
      <w:r w:rsidR="0011026A" w:rsidRPr="00A850D7">
        <w:rPr>
          <w:i/>
          <w:iCs/>
        </w:rPr>
        <w:t xml:space="preserve"> productivity (P), and specific growth rate (μ)</w:t>
      </w:r>
      <w:r w:rsidR="00452923">
        <w:rPr>
          <w:i/>
          <w:iCs/>
        </w:rPr>
        <w:t xml:space="preserve"> </w:t>
      </w:r>
      <w:proofErr w:type="gramStart"/>
      <w:r w:rsidR="0011026A" w:rsidRPr="00A850D7">
        <w:rPr>
          <w:i/>
          <w:iCs/>
        </w:rPr>
        <w:t>of for</w:t>
      </w:r>
      <w:proofErr w:type="gramEnd"/>
      <w:r w:rsidR="0011026A" w:rsidRPr="00A850D7">
        <w:rPr>
          <w:i/>
          <w:iCs/>
        </w:rPr>
        <w:t xml:space="preserve"> </w:t>
      </w:r>
      <w:r w:rsidR="0011026A" w:rsidRPr="00C4424F">
        <w:rPr>
          <w:i/>
          <w:iCs/>
        </w:rPr>
        <w:t xml:space="preserve">C. </w:t>
      </w:r>
      <w:proofErr w:type="spellStart"/>
      <w:r w:rsidR="0011026A" w:rsidRPr="00C4424F">
        <w:rPr>
          <w:i/>
          <w:iCs/>
        </w:rPr>
        <w:t>zofingiensis</w:t>
      </w:r>
      <w:proofErr w:type="spellEnd"/>
      <w:r w:rsidR="00452923">
        <w:rPr>
          <w:i/>
          <w:iCs/>
        </w:rPr>
        <w:t>.</w:t>
      </w:r>
    </w:p>
    <w:p w14:paraId="6DB651CC" w14:textId="77777777" w:rsidR="00BD0256" w:rsidRDefault="00BD0256" w:rsidP="00183295">
      <w:pPr>
        <w:pStyle w:val="CETBodytext"/>
      </w:pPr>
    </w:p>
    <w:p w14:paraId="648C119C" w14:textId="2E9AC782" w:rsidR="00183295" w:rsidRDefault="00183295" w:rsidP="00183295">
      <w:pPr>
        <w:pStyle w:val="CETBodytext"/>
      </w:pPr>
      <w:r>
        <w:lastRenderedPageBreak/>
        <w:t xml:space="preserve">Under high irradiance and reduced light-path conditions, increasing the inoculum from 100 to 600 mg/L resulted in a substantial increase in biomass production, with daily productivity rising from 0.029 to 0.198 g/L/d. </w:t>
      </w:r>
      <w:r w:rsidR="00BD0256">
        <w:t xml:space="preserve"> </w:t>
      </w:r>
      <w:r w:rsidR="00BD0256" w:rsidRPr="00BD0256">
        <w:t>The μ plateau at intermediate inoculum density fits typical light and mass-transfer constraints that appear as cultures become denser</w:t>
      </w:r>
      <w:r w:rsidR="000A470D">
        <w:t xml:space="preserve">. </w:t>
      </w:r>
      <w:r w:rsidR="00B916D8" w:rsidRPr="00B916D8">
        <w:t xml:space="preserve">Nitrogen source selection strongly affected growth. </w:t>
      </w:r>
      <w:r w:rsidR="00B916D8">
        <w:t>The control</w:t>
      </w:r>
      <w:r w:rsidR="00B916D8" w:rsidRPr="00B916D8">
        <w:t xml:space="preserve"> gave the lowest performance</w:t>
      </w:r>
      <w:r w:rsidR="00B916D8">
        <w:t>.</w:t>
      </w:r>
      <w:r w:rsidR="00B916D8" w:rsidRPr="00B916D8">
        <w:t xml:space="preserve"> Yeast extract at 2.5 g/L achieved the best overall performance</w:t>
      </w:r>
      <w:r w:rsidR="00B916D8">
        <w:t>,</w:t>
      </w:r>
      <w:r w:rsidR="00B916D8" w:rsidRPr="00B916D8" w:rsidDel="00B916D8">
        <w:t xml:space="preserve"> </w:t>
      </w:r>
      <w:r w:rsidR="00B916D8">
        <w:t xml:space="preserve">while increasing it to 5 g/L reduced </w:t>
      </w:r>
      <w:proofErr w:type="spellStart"/>
      <w:r w:rsidR="00B916D8">
        <w:t>C</w:t>
      </w:r>
      <w:r w:rsidR="00B916D8" w:rsidRPr="00E540AE">
        <w:rPr>
          <w:vertAlign w:val="subscript"/>
        </w:rPr>
        <w:t>max</w:t>
      </w:r>
      <w:proofErr w:type="spellEnd"/>
      <w:r w:rsidR="00B916D8">
        <w:t xml:space="preserve"> and productivity.</w:t>
      </w:r>
      <w:r w:rsidR="002E0447">
        <w:t xml:space="preserve"> </w:t>
      </w:r>
      <w:r w:rsidR="002E0447" w:rsidRPr="002E0447">
        <w:t xml:space="preserve">Yeast extract likely improved growth through readily assimilable amino acids, peptides, and vitamins, while the drop at 5 g/L suggests an upper concentration range where osmotic load, metabolic imbalance, or inhibitory compounds reduce net biomass output. This pattern aligns with broader evidence that medium formulation and nutrient balance drive </w:t>
      </w:r>
      <w:r w:rsidR="002E0447" w:rsidRPr="002C326D">
        <w:rPr>
          <w:i/>
        </w:rPr>
        <w:t xml:space="preserve">C. </w:t>
      </w:r>
      <w:proofErr w:type="spellStart"/>
      <w:r w:rsidR="002E0447" w:rsidRPr="002C326D">
        <w:rPr>
          <w:i/>
        </w:rPr>
        <w:t>zofingiensis</w:t>
      </w:r>
      <w:proofErr w:type="spellEnd"/>
      <w:r w:rsidR="002E0447" w:rsidRPr="002E0447">
        <w:t xml:space="preserve"> productivity and downstream biorefinery performance, rather than nitrogen concentration alone</w:t>
      </w:r>
      <w:r w:rsidR="002E0447">
        <w:t xml:space="preserve"> </w:t>
      </w:r>
      <w:r w:rsidR="00B92082">
        <w:t>(Wood et al., 2024)</w:t>
      </w:r>
      <w:r w:rsidR="002E0447" w:rsidRPr="002E0447">
        <w:t>.</w:t>
      </w:r>
      <w:r w:rsidR="00B916D8" w:rsidDel="00B916D8">
        <w:t xml:space="preserve"> </w:t>
      </w:r>
    </w:p>
    <w:p w14:paraId="6C8C6ACE" w14:textId="013514A4" w:rsidR="00183295" w:rsidRDefault="00183295" w:rsidP="00183295">
      <w:pPr>
        <w:pStyle w:val="CETBodytext"/>
      </w:pPr>
      <w:r>
        <w:t xml:space="preserve">In mixotrophic conditions, the addition of simple sugars significantly enhanced biomass accumulation. Glucose and fructose yielded the highest </w:t>
      </w:r>
      <w:proofErr w:type="spellStart"/>
      <w:r>
        <w:t>C</w:t>
      </w:r>
      <w:r w:rsidRPr="0018164C">
        <w:rPr>
          <w:vertAlign w:val="subscript"/>
        </w:rPr>
        <w:t>max</w:t>
      </w:r>
      <w:proofErr w:type="spellEnd"/>
      <w:r>
        <w:t xml:space="preserve"> (≈1.26-1.27 g/L) and growth rates (0.361-0.363 µ), while galactose and lactic acid produced moderate improvements. Lactose resulted in the lowest biomass, indicating limited utilization efficiency.</w:t>
      </w:r>
      <w:r w:rsidR="00F72402">
        <w:t xml:space="preserve"> </w:t>
      </w:r>
      <w:r w:rsidR="00F72402" w:rsidRPr="00F72402">
        <w:t xml:space="preserve">The carbon source ranking, with glucose and fructose as top performers, matches recent physiological evidence that </w:t>
      </w:r>
      <w:r w:rsidR="00F72402" w:rsidRPr="00AD6A41">
        <w:rPr>
          <w:i/>
        </w:rPr>
        <w:t xml:space="preserve">C. </w:t>
      </w:r>
      <w:proofErr w:type="spellStart"/>
      <w:r w:rsidR="00F72402" w:rsidRPr="00AD6A41">
        <w:rPr>
          <w:i/>
        </w:rPr>
        <w:t>zofingiensis</w:t>
      </w:r>
      <w:proofErr w:type="spellEnd"/>
      <w:r w:rsidR="00F72402" w:rsidRPr="00F72402">
        <w:t xml:space="preserve"> responds strongly to these sugars and shifts metabolism toward sugar-supported growth in light, while other sugars show weaker utilization</w:t>
      </w:r>
      <w:r w:rsidR="00F72402">
        <w:t xml:space="preserve"> </w:t>
      </w:r>
      <w:r w:rsidR="00B92082">
        <w:t>(Hu et al., 2024)</w:t>
      </w:r>
      <w:r w:rsidR="00F72402" w:rsidRPr="00F72402">
        <w:t>.</w:t>
      </w:r>
    </w:p>
    <w:p w14:paraId="61EA5892" w14:textId="0BFC67A3" w:rsidR="00183295" w:rsidRDefault="00183295" w:rsidP="00183295">
      <w:pPr>
        <w:pStyle w:val="CETBodytext"/>
      </w:pPr>
      <w:r>
        <w:t>Evaluation of different C/N ratios revealed that growth increased up to a C/N ratio of 12.5, where the maximum biomass (5.45 g/L) was achieved. Higher ratios (18.75-25) led to reduced biomass and productivity, suggesting carbon excess and nitrogen limitation</w:t>
      </w:r>
      <w:r w:rsidR="00F72402">
        <w:t>. T</w:t>
      </w:r>
      <w:r w:rsidR="00F72402" w:rsidRPr="00F72402">
        <w:t>he C/N response follows established mixotrophic behavior, where moderate C/N supports maximal biomass, while high C/N promotes nitrogen limitation and reduces growth stability</w:t>
      </w:r>
      <w:r w:rsidR="00AD6A41">
        <w:t xml:space="preserve"> </w:t>
      </w:r>
      <w:r w:rsidR="00B27DFD">
        <w:t>(Oliviero et al., 2022)</w:t>
      </w:r>
      <w:r w:rsidR="00F72402" w:rsidRPr="00F72402">
        <w:t>.</w:t>
      </w:r>
      <w:r w:rsidR="009F02A9">
        <w:t xml:space="preserve"> </w:t>
      </w:r>
      <w:r w:rsidR="009F02A9" w:rsidRPr="009F02A9">
        <w:t xml:space="preserve">This outcome is useful for the next step of this paper, since </w:t>
      </w:r>
      <w:r w:rsidR="009F02A9">
        <w:t>FBW</w:t>
      </w:r>
      <w:r w:rsidR="009F02A9" w:rsidRPr="009F02A9">
        <w:t xml:space="preserve"> supply carbon and nitrogen in fixed ratios.</w:t>
      </w:r>
    </w:p>
    <w:p w14:paraId="16121D5B" w14:textId="0441B3C9" w:rsidR="00183295" w:rsidRDefault="00183295" w:rsidP="00183295">
      <w:pPr>
        <w:pStyle w:val="CETheadingx"/>
        <w:rPr>
          <w:lang w:val="en-GB"/>
        </w:rPr>
      </w:pPr>
      <w:r>
        <w:t xml:space="preserve">3.3 </w:t>
      </w:r>
      <w:r w:rsidRPr="008C51A6">
        <w:rPr>
          <w:lang w:val="en-GB"/>
        </w:rPr>
        <w:t xml:space="preserve">Growth Tests with Food </w:t>
      </w:r>
      <w:r w:rsidR="0018164C">
        <w:rPr>
          <w:lang w:val="en-GB"/>
        </w:rPr>
        <w:t>By-product</w:t>
      </w:r>
      <w:r w:rsidRPr="008C51A6">
        <w:rPr>
          <w:lang w:val="en-GB"/>
        </w:rPr>
        <w:t xml:space="preserve"> Substrates</w:t>
      </w:r>
    </w:p>
    <w:p w14:paraId="5FA54702" w14:textId="6D208FBC" w:rsidR="00DA5040" w:rsidRDefault="00D91482" w:rsidP="00183295">
      <w:pPr>
        <w:pStyle w:val="CETBodytext"/>
      </w:pPr>
      <w:r>
        <w:t>T</w:t>
      </w:r>
      <w:r w:rsidR="00183295" w:rsidRPr="008C51A6">
        <w:t>he effect</w:t>
      </w:r>
      <w:r>
        <w:t>s</w:t>
      </w:r>
      <w:r w:rsidR="00183295" w:rsidRPr="008C51A6">
        <w:t xml:space="preserve"> of different </w:t>
      </w:r>
      <w:r>
        <w:t>FBW</w:t>
      </w:r>
      <w:r w:rsidR="00183295" w:rsidRPr="008C51A6">
        <w:t xml:space="preserve"> on the </w:t>
      </w:r>
      <w:r w:rsidR="00AF5767">
        <w:t>biomass and pigment production</w:t>
      </w:r>
      <w:r w:rsidR="00183295" w:rsidRPr="008C51A6">
        <w:t xml:space="preserve"> of </w:t>
      </w:r>
      <w:r w:rsidR="00183295" w:rsidRPr="0018164C">
        <w:rPr>
          <w:rFonts w:eastAsiaTheme="majorEastAsia"/>
          <w:i/>
          <w:iCs/>
        </w:rPr>
        <w:t>C</w:t>
      </w:r>
      <w:r w:rsidR="0018164C" w:rsidRPr="0018164C">
        <w:rPr>
          <w:rFonts w:eastAsiaTheme="majorEastAsia"/>
          <w:i/>
          <w:iCs/>
        </w:rPr>
        <w:t>.</w:t>
      </w:r>
      <w:r w:rsidR="00183295" w:rsidRPr="0018164C">
        <w:rPr>
          <w:rFonts w:eastAsiaTheme="majorEastAsia"/>
          <w:i/>
          <w:iCs/>
        </w:rPr>
        <w:t xml:space="preserve"> </w:t>
      </w:r>
      <w:proofErr w:type="spellStart"/>
      <w:r w:rsidR="00183295" w:rsidRPr="0018164C">
        <w:rPr>
          <w:rFonts w:eastAsiaTheme="majorEastAsia"/>
          <w:i/>
          <w:iCs/>
        </w:rPr>
        <w:t>zofingiensis</w:t>
      </w:r>
      <w:proofErr w:type="spellEnd"/>
      <w:r w:rsidR="00183295" w:rsidRPr="008C51A6">
        <w:t xml:space="preserve"> </w:t>
      </w:r>
      <w:r w:rsidRPr="00D91482">
        <w:t xml:space="preserve">by supplementing CSL, CWP, beet molasses, </w:t>
      </w:r>
      <w:r>
        <w:t>and</w:t>
      </w:r>
      <w:r w:rsidRPr="00D91482">
        <w:t xml:space="preserve"> SBY at 2.5 </w:t>
      </w:r>
      <w:r>
        <w:t>and</w:t>
      </w:r>
      <w:r w:rsidRPr="00D91482">
        <w:t xml:space="preserve"> 5 g/L (dry-weight basis)</w:t>
      </w:r>
      <w:r>
        <w:t xml:space="preserve"> </w:t>
      </w:r>
      <w:proofErr w:type="gramStart"/>
      <w:r w:rsidR="00183295" w:rsidRPr="008C51A6">
        <w:t>was</w:t>
      </w:r>
      <w:proofErr w:type="gramEnd"/>
      <w:r w:rsidR="00183295" w:rsidRPr="008C51A6">
        <w:t xml:space="preserve"> evaluated. </w:t>
      </w:r>
      <w:r w:rsidR="00DA5040">
        <w:t>The results are reported in Figure 3.</w:t>
      </w:r>
    </w:p>
    <w:p w14:paraId="1137875D" w14:textId="302A5F93" w:rsidR="00B2386D" w:rsidRDefault="006848B3" w:rsidP="00DA5040">
      <w:pPr>
        <w:pStyle w:val="CETCaption"/>
      </w:pPr>
      <w:r>
        <w:rPr>
          <w:noProof/>
        </w:rPr>
        <w:drawing>
          <wp:inline distT="0" distB="0" distL="0" distR="0" wp14:anchorId="05D0228D" wp14:editId="3E6A43D8">
            <wp:extent cx="5606983" cy="2973705"/>
            <wp:effectExtent l="0" t="0" r="0" b="0"/>
            <wp:docPr id="384107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0256" cy="2986048"/>
                    </a:xfrm>
                    <a:prstGeom prst="rect">
                      <a:avLst/>
                    </a:prstGeom>
                    <a:noFill/>
                  </pic:spPr>
                </pic:pic>
              </a:graphicData>
            </a:graphic>
          </wp:inline>
        </w:drawing>
      </w:r>
    </w:p>
    <w:p w14:paraId="54B48C05" w14:textId="5C1B0A9C" w:rsidR="00DA5040" w:rsidRDefault="00DA5040" w:rsidP="00DA5040">
      <w:pPr>
        <w:pStyle w:val="CETCaption"/>
      </w:pPr>
      <w:r>
        <w:t xml:space="preserve">Fig. 3 </w:t>
      </w:r>
      <w:r w:rsidR="00C9044F" w:rsidRPr="00C9044F">
        <w:t xml:space="preserve">Growth </w:t>
      </w:r>
      <w:r w:rsidR="006848B3">
        <w:t xml:space="preserve">performances </w:t>
      </w:r>
      <w:r w:rsidR="00C9044F" w:rsidRPr="00C9044F">
        <w:t xml:space="preserve">and pigment profile of </w:t>
      </w:r>
      <w:proofErr w:type="spellStart"/>
      <w:r w:rsidR="00C9044F" w:rsidRPr="00C9044F">
        <w:t>Chromochloris</w:t>
      </w:r>
      <w:proofErr w:type="spellEnd"/>
      <w:r w:rsidR="00C9044F" w:rsidRPr="00C9044F">
        <w:t xml:space="preserve"> </w:t>
      </w:r>
      <w:proofErr w:type="spellStart"/>
      <w:r w:rsidR="00C9044F" w:rsidRPr="00C9044F">
        <w:t>zofingiensis</w:t>
      </w:r>
      <w:proofErr w:type="spellEnd"/>
      <w:r w:rsidR="00C9044F" w:rsidRPr="00C9044F">
        <w:t xml:space="preserve"> in </w:t>
      </w:r>
      <w:r w:rsidR="002F151F">
        <w:t>media</w:t>
      </w:r>
      <w:r w:rsidR="00C9044F" w:rsidRPr="00C9044F">
        <w:t xml:space="preserve"> supplemented with corn steep liquor (CSL), cheese whey </w:t>
      </w:r>
      <w:proofErr w:type="gramStart"/>
      <w:r w:rsidR="00C9044F" w:rsidRPr="00C9044F">
        <w:t>permeate</w:t>
      </w:r>
      <w:proofErr w:type="gramEnd"/>
      <w:r w:rsidR="00C9044F" w:rsidRPr="00C9044F">
        <w:t xml:space="preserve"> (CWP), beet molasses (MOL), or spent brewery yeast (SBY) at 2.5 or 5 g/L (dry weight). </w:t>
      </w:r>
      <w:proofErr w:type="spellStart"/>
      <w:r w:rsidR="00C9044F" w:rsidRPr="00C9044F">
        <w:t>Panels</w:t>
      </w:r>
      <w:proofErr w:type="spellEnd"/>
      <w:r w:rsidR="00C9044F" w:rsidRPr="00C9044F">
        <w:t xml:space="preserve"> report </w:t>
      </w:r>
      <w:proofErr w:type="spellStart"/>
      <w:r w:rsidR="00C9044F" w:rsidRPr="00C9044F">
        <w:t>Cmax</w:t>
      </w:r>
      <w:proofErr w:type="spellEnd"/>
      <w:r w:rsidR="00C9044F" w:rsidRPr="00C9044F">
        <w:t xml:space="preserve"> (g/L), biomass productivity P (g/L/day), specific growth rate μ (day</w:t>
      </w:r>
      <w:r w:rsidR="00C9044F" w:rsidRPr="00C9044F">
        <w:rPr>
          <w:rFonts w:ascii="Cambria Math" w:hAnsi="Cambria Math" w:cs="Cambria Math"/>
        </w:rPr>
        <w:t>⁻</w:t>
      </w:r>
      <w:r w:rsidR="00C9044F" w:rsidRPr="00C9044F">
        <w:rPr>
          <w:rFonts w:cs="Arial"/>
        </w:rPr>
        <w:t>¹</w:t>
      </w:r>
      <w:r w:rsidR="00C9044F" w:rsidRPr="00C9044F">
        <w:t>), total chlorophyll (mg/g DW), carotenoids</w:t>
      </w:r>
      <w:r w:rsidR="006848B3">
        <w:t xml:space="preserve"> productivity</w:t>
      </w:r>
      <w:r w:rsidR="00C9044F" w:rsidRPr="00C9044F">
        <w:t xml:space="preserve"> (mg/</w:t>
      </w:r>
      <w:r w:rsidR="006848B3">
        <w:t>L/day</w:t>
      </w:r>
      <w:r w:rsidR="00C9044F" w:rsidRPr="00C9044F">
        <w:t xml:space="preserve"> DW), astaxanthin </w:t>
      </w:r>
      <w:r w:rsidR="006848B3">
        <w:t>productivity</w:t>
      </w:r>
      <w:r w:rsidR="006848B3" w:rsidRPr="00C9044F">
        <w:t xml:space="preserve"> (mg/</w:t>
      </w:r>
      <w:r w:rsidR="006848B3">
        <w:t>L/day</w:t>
      </w:r>
      <w:r w:rsidR="006848B3" w:rsidRPr="00C9044F">
        <w:t xml:space="preserve"> DW)</w:t>
      </w:r>
      <w:r w:rsidR="00C9044F" w:rsidRPr="00C9044F">
        <w:t xml:space="preserve">. Bar </w:t>
      </w:r>
      <w:proofErr w:type="spellStart"/>
      <w:r w:rsidR="00C9044F" w:rsidRPr="00C9044F">
        <w:t>color</w:t>
      </w:r>
      <w:proofErr w:type="spellEnd"/>
      <w:r w:rsidR="00C9044F" w:rsidRPr="00C9044F">
        <w:t xml:space="preserve"> groups substrates, hatch marks indicate dose.</w:t>
      </w:r>
    </w:p>
    <w:p w14:paraId="4FFCF6FC" w14:textId="05CE58A3" w:rsidR="00183295" w:rsidRPr="008C51A6" w:rsidRDefault="00183295" w:rsidP="00183295">
      <w:pPr>
        <w:pStyle w:val="CETBodytext"/>
      </w:pPr>
      <w:r w:rsidRPr="008C51A6">
        <w:t>The results showed that microalgal growth</w:t>
      </w:r>
      <w:r w:rsidR="002F151F">
        <w:t xml:space="preserve"> and pigments</w:t>
      </w:r>
      <w:r w:rsidRPr="008C51A6">
        <w:t xml:space="preserve"> w</w:t>
      </w:r>
      <w:r w:rsidR="002F151F">
        <w:t>ere</w:t>
      </w:r>
      <w:r w:rsidRPr="008C51A6">
        <w:t xml:space="preserve"> significantly affected by the type and concentration of food-based waste (FBW) added to the culture medium.</w:t>
      </w:r>
    </w:p>
    <w:p w14:paraId="51A09427" w14:textId="556CFEFB" w:rsidR="002F151F" w:rsidRDefault="002F151F" w:rsidP="00183295">
      <w:pPr>
        <w:pStyle w:val="CETBodytext"/>
        <w:rPr>
          <w:rFonts w:cs="Arial"/>
        </w:rPr>
      </w:pPr>
      <w:r w:rsidRPr="002F151F">
        <w:lastRenderedPageBreak/>
        <w:t>The control showed the lowest biomass output</w:t>
      </w:r>
      <w:r>
        <w:t xml:space="preserve"> </w:t>
      </w:r>
      <w:r w:rsidRPr="002F151F">
        <w:t>(</w:t>
      </w:r>
      <w:proofErr w:type="spellStart"/>
      <w:r w:rsidRPr="002F151F">
        <w:t>Cmax</w:t>
      </w:r>
      <w:proofErr w:type="spellEnd"/>
      <w:r w:rsidRPr="002F151F">
        <w:t xml:space="preserve"> 0.6</w:t>
      </w:r>
      <w:r>
        <w:t>4</w:t>
      </w:r>
      <w:r w:rsidRPr="002F151F">
        <w:t xml:space="preserve"> g/L, P 0.09 g/L/day, μ 0.26 day</w:t>
      </w:r>
      <w:r w:rsidRPr="002F151F">
        <w:rPr>
          <w:rFonts w:ascii="Cambria Math" w:hAnsi="Cambria Math" w:cs="Cambria Math"/>
        </w:rPr>
        <w:t>⁻</w:t>
      </w:r>
      <w:r w:rsidRPr="002F151F">
        <w:rPr>
          <w:rFonts w:cs="Arial"/>
        </w:rPr>
        <w:t>¹</w:t>
      </w:r>
      <w:r>
        <w:rPr>
          <w:rFonts w:cs="Arial"/>
        </w:rPr>
        <w:t xml:space="preserve">) </w:t>
      </w:r>
      <w:r w:rsidRPr="002F151F">
        <w:rPr>
          <w:rFonts w:cs="Arial"/>
        </w:rPr>
        <w:t>but the highest pigment concentrations, with high total chlorophyll and carotenoids per biomass, which fits a more photoautotrophic allocation in the absence of external organic nutrients.</w:t>
      </w:r>
      <w:r w:rsidR="004154EC">
        <w:rPr>
          <w:rFonts w:cs="Arial"/>
        </w:rPr>
        <w:t xml:space="preserve"> </w:t>
      </w:r>
      <w:r w:rsidR="004154EC" w:rsidRPr="004154EC">
        <w:rPr>
          <w:rFonts w:cs="Arial"/>
        </w:rPr>
        <w:t>CSL produced the strongest growth response and a clear dose effect, reaching the highest biomass</w:t>
      </w:r>
      <w:r w:rsidR="004154EC">
        <w:rPr>
          <w:rFonts w:cs="Arial"/>
        </w:rPr>
        <w:t xml:space="preserve"> </w:t>
      </w:r>
      <w:r w:rsidR="004154EC" w:rsidRPr="004154EC">
        <w:rPr>
          <w:rFonts w:cs="Arial"/>
        </w:rPr>
        <w:t xml:space="preserve">and the highest P and μ, while maintaining high total chlorophyll and high carotenoids per biomass. This pattern matches the role of CSL as a nitrogen-rich stream with vitamins and minerals that </w:t>
      </w:r>
      <w:proofErr w:type="gramStart"/>
      <w:r w:rsidR="004154EC" w:rsidRPr="004154EC">
        <w:rPr>
          <w:rFonts w:cs="Arial"/>
        </w:rPr>
        <w:t>supports</w:t>
      </w:r>
      <w:proofErr w:type="gramEnd"/>
      <w:r w:rsidR="004154EC" w:rsidRPr="004154EC">
        <w:rPr>
          <w:rFonts w:cs="Arial"/>
        </w:rPr>
        <w:t xml:space="preserve"> rapid biomass formation, and it aligns with recent work</w:t>
      </w:r>
      <w:r w:rsidR="00F91561">
        <w:rPr>
          <w:rFonts w:cs="Arial"/>
        </w:rPr>
        <w:t>s</w:t>
      </w:r>
      <w:r w:rsidR="004154EC" w:rsidRPr="004154EC">
        <w:rPr>
          <w:rFonts w:cs="Arial"/>
        </w:rPr>
        <w:t xml:space="preserve"> where CSL supports microalgal growth alone or in blends with sugar-rich residues</w:t>
      </w:r>
      <w:r w:rsidR="00B27DFD">
        <w:rPr>
          <w:rFonts w:cs="Arial"/>
        </w:rPr>
        <w:t xml:space="preserve"> (Russo et al., 2024)</w:t>
      </w:r>
      <w:r w:rsidR="00F91561">
        <w:rPr>
          <w:rFonts w:cs="Arial"/>
        </w:rPr>
        <w:t xml:space="preserve"> and growth of </w:t>
      </w:r>
      <w:proofErr w:type="spellStart"/>
      <w:r w:rsidR="00F91561" w:rsidRPr="00CB241D">
        <w:rPr>
          <w:rFonts w:cs="Arial"/>
          <w:i/>
          <w:iCs/>
        </w:rPr>
        <w:t>Yarrowa</w:t>
      </w:r>
      <w:proofErr w:type="spellEnd"/>
      <w:r w:rsidR="00F91561" w:rsidRPr="00CB241D">
        <w:rPr>
          <w:rFonts w:cs="Arial"/>
          <w:i/>
          <w:iCs/>
        </w:rPr>
        <w:t xml:space="preserve"> </w:t>
      </w:r>
      <w:proofErr w:type="spellStart"/>
      <w:r w:rsidR="00F91561" w:rsidRPr="00CB241D">
        <w:rPr>
          <w:rFonts w:cs="Arial"/>
          <w:i/>
          <w:iCs/>
        </w:rPr>
        <w:t>lipolitica</w:t>
      </w:r>
      <w:proofErr w:type="spellEnd"/>
      <w:r w:rsidR="00F91561">
        <w:rPr>
          <w:rFonts w:cs="Arial"/>
        </w:rPr>
        <w:t xml:space="preserve"> (Santos et al.,2018)</w:t>
      </w:r>
      <w:r w:rsidR="004154EC" w:rsidRPr="004154EC">
        <w:rPr>
          <w:rFonts w:cs="Arial"/>
        </w:rPr>
        <w:t>.</w:t>
      </w:r>
      <w:r w:rsidR="00FE5EC6">
        <w:rPr>
          <w:rFonts w:cs="Arial"/>
        </w:rPr>
        <w:t xml:space="preserve"> Moreover, </w:t>
      </w:r>
      <w:r w:rsidR="00FE5EC6" w:rsidRPr="00FE5EC6">
        <w:rPr>
          <w:rFonts w:cs="Arial"/>
        </w:rPr>
        <w:t>CSL 5 delivered the highest astaxanthin productivity, 1.41 mg L</w:t>
      </w:r>
      <w:r w:rsidR="00FE5EC6" w:rsidRPr="00FE5EC6">
        <w:rPr>
          <w:rFonts w:ascii="Cambria Math" w:hAnsi="Cambria Math" w:cs="Cambria Math"/>
        </w:rPr>
        <w:t>⁻</w:t>
      </w:r>
      <w:r w:rsidR="00FE5EC6" w:rsidRPr="00FE5EC6">
        <w:rPr>
          <w:rFonts w:cs="Arial"/>
        </w:rPr>
        <w:t>¹ d</w:t>
      </w:r>
      <w:r w:rsidR="00FE5EC6" w:rsidRPr="00FE5EC6">
        <w:rPr>
          <w:rFonts w:ascii="Cambria Math" w:hAnsi="Cambria Math" w:cs="Cambria Math"/>
        </w:rPr>
        <w:t>⁻</w:t>
      </w:r>
      <w:r w:rsidR="00FE5EC6" w:rsidRPr="00FE5EC6">
        <w:rPr>
          <w:rFonts w:cs="Arial"/>
        </w:rPr>
        <w:t>¹, about 4.9 fold higher than the control (0.29 mg L</w:t>
      </w:r>
      <w:r w:rsidR="00FE5EC6" w:rsidRPr="00FE5EC6">
        <w:rPr>
          <w:rFonts w:ascii="Cambria Math" w:hAnsi="Cambria Math" w:cs="Cambria Math"/>
        </w:rPr>
        <w:t>⁻</w:t>
      </w:r>
      <w:r w:rsidR="00FE5EC6" w:rsidRPr="00FE5EC6">
        <w:rPr>
          <w:rFonts w:cs="Arial"/>
        </w:rPr>
        <w:t>¹ d</w:t>
      </w:r>
      <w:r w:rsidR="00FE5EC6" w:rsidRPr="00FE5EC6">
        <w:rPr>
          <w:rFonts w:ascii="Cambria Math" w:hAnsi="Cambria Math" w:cs="Cambria Math"/>
        </w:rPr>
        <w:t>⁻</w:t>
      </w:r>
      <w:r w:rsidR="00FE5EC6" w:rsidRPr="00FE5EC6">
        <w:rPr>
          <w:rFonts w:cs="Arial"/>
        </w:rPr>
        <w:t>¹)</w:t>
      </w:r>
      <w:r w:rsidR="00533869">
        <w:rPr>
          <w:rFonts w:cs="Arial"/>
        </w:rPr>
        <w:t xml:space="preserve"> </w:t>
      </w:r>
      <w:r w:rsidR="00533869" w:rsidRPr="00533869">
        <w:rPr>
          <w:rFonts w:cs="Arial"/>
        </w:rPr>
        <w:t>Molasses also enhanced growth, especially at 5 g/L, while total chlorophyll and carotenoids per biomass remained lower than CSL and the control, which is consistent with reports that sugar-rich by-products drive mixotrophic biomass accumulation while reducing chlorophyll density per cell through metabolic rebalancing</w:t>
      </w:r>
      <w:r w:rsidR="00533869">
        <w:rPr>
          <w:rFonts w:cs="Arial"/>
        </w:rPr>
        <w:t xml:space="preserve"> </w:t>
      </w:r>
      <w:r w:rsidR="00B27DFD">
        <w:rPr>
          <w:rFonts w:cs="Arial"/>
        </w:rPr>
        <w:t>(Oliviero et al., 2022)</w:t>
      </w:r>
      <w:r w:rsidR="00533869" w:rsidRPr="00533869">
        <w:rPr>
          <w:rFonts w:cs="Arial"/>
        </w:rPr>
        <w:t>.</w:t>
      </w:r>
    </w:p>
    <w:p w14:paraId="0016F944" w14:textId="5590B857" w:rsidR="00533869" w:rsidRDefault="00533869" w:rsidP="00183295">
      <w:pPr>
        <w:pStyle w:val="CETBodytext"/>
      </w:pPr>
      <w:r w:rsidRPr="00533869">
        <w:t xml:space="preserve">CWP increased growth compared with the control, with a modest dose response in </w:t>
      </w:r>
      <w:proofErr w:type="spellStart"/>
      <w:r w:rsidRPr="00533869">
        <w:t>C</w:t>
      </w:r>
      <w:r w:rsidRPr="00E540AE">
        <w:rPr>
          <w:vertAlign w:val="subscript"/>
        </w:rPr>
        <w:t>max</w:t>
      </w:r>
      <w:proofErr w:type="spellEnd"/>
      <w:r w:rsidRPr="00533869">
        <w:t xml:space="preserve"> and P, and it showed the highest astaxanthin fraction at 5 g/L (about 26% of total carotenoids), suggesting that whey-derived supplementation supported growth while also promoting a more carotenogenic pigment partitioning under these conditions.</w:t>
      </w:r>
      <w:r>
        <w:t xml:space="preserve"> </w:t>
      </w:r>
      <w:r w:rsidR="00FE5EC6" w:rsidRPr="00FE5EC6">
        <w:t>Even though CWP 5 showed the highest astaxanthin share (about 26% of total carotenoids), its astaxanthin productivity was 0.42 mg L</w:t>
      </w:r>
      <w:r w:rsidR="00FE5EC6" w:rsidRPr="00FE5EC6">
        <w:rPr>
          <w:rFonts w:ascii="Cambria Math" w:hAnsi="Cambria Math" w:cs="Cambria Math"/>
        </w:rPr>
        <w:t>⁻</w:t>
      </w:r>
      <w:r w:rsidR="00FE5EC6" w:rsidRPr="00FE5EC6">
        <w:rPr>
          <w:rFonts w:cs="Arial"/>
        </w:rPr>
        <w:t>¹</w:t>
      </w:r>
      <w:r w:rsidR="00FE5EC6" w:rsidRPr="00FE5EC6">
        <w:t xml:space="preserve"> d</w:t>
      </w:r>
      <w:r w:rsidR="00FE5EC6" w:rsidRPr="00FE5EC6">
        <w:rPr>
          <w:rFonts w:ascii="Cambria Math" w:hAnsi="Cambria Math" w:cs="Cambria Math"/>
        </w:rPr>
        <w:t>⁻</w:t>
      </w:r>
      <w:r w:rsidR="00FE5EC6" w:rsidRPr="00FE5EC6">
        <w:rPr>
          <w:rFonts w:cs="Arial"/>
        </w:rPr>
        <w:t>¹</w:t>
      </w:r>
      <w:r w:rsidR="00FE5EC6" w:rsidRPr="00FE5EC6">
        <w:t xml:space="preserve">, because biomass productivity and total carotenoid content were lower than CSL conditions. </w:t>
      </w:r>
      <w:r>
        <w:t>SBY increased growth relative to the control but did not improve performance at 5 g/L, and pigments dropped sharply at 5 g/L, which points to saturation or inhibition linked to by-product load, such as reduced light penetration, lower nutrient bioavailability, or inhibitory soluble fractions.</w:t>
      </w:r>
    </w:p>
    <w:p w14:paraId="1CB6AC38" w14:textId="2E677F64" w:rsidR="00183295" w:rsidRPr="008C51A6" w:rsidRDefault="00183295" w:rsidP="00183295">
      <w:pPr>
        <w:pStyle w:val="CETBodytext"/>
      </w:pPr>
      <w:r w:rsidRPr="008C51A6">
        <w:t xml:space="preserve">CWP supported biomass accumulation compared to the control, although the increase was less pronounced than that observed with CSL, suggesting a lower nutritional efficiency or the need for nutrient balancing or co-substrate supplementation. </w:t>
      </w:r>
    </w:p>
    <w:p w14:paraId="53FE3F0A" w14:textId="444EA35A" w:rsidR="00183295" w:rsidRPr="00F83649" w:rsidRDefault="00533869" w:rsidP="00183295">
      <w:pPr>
        <w:pStyle w:val="CETBodytext"/>
        <w:rPr>
          <w:lang w:val="en-GB"/>
        </w:rPr>
      </w:pPr>
      <w:r>
        <w:t>T</w:t>
      </w:r>
      <w:r w:rsidR="00183295" w:rsidRPr="008C51A6">
        <w:t>hese results highlight the importance of selecting and optimizing both the type and concentration of food industry by-products and suggest</w:t>
      </w:r>
      <w:r>
        <w:t>s</w:t>
      </w:r>
      <w:r w:rsidR="00183295" w:rsidRPr="008C51A6">
        <w:t xml:space="preserve"> </w:t>
      </w:r>
      <w:r>
        <w:t>a</w:t>
      </w:r>
      <w:r w:rsidRPr="00533869">
        <w:t xml:space="preserve"> pairing </w:t>
      </w:r>
      <w:r>
        <w:t xml:space="preserve">of </w:t>
      </w:r>
      <w:r w:rsidRPr="00533869">
        <w:t>a nitrogen-rich stream with a carbon-rich stream (molasses or whey-derived sugars) to improve growth while tuning pigment targets.</w:t>
      </w:r>
    </w:p>
    <w:p w14:paraId="7BB0D35F" w14:textId="77777777" w:rsidR="00183295" w:rsidRDefault="00183295" w:rsidP="00183295">
      <w:pPr>
        <w:pStyle w:val="CETHeading1"/>
        <w:numPr>
          <w:ilvl w:val="0"/>
          <w:numId w:val="0"/>
        </w:numPr>
      </w:pPr>
      <w:r>
        <w:t>4. CONCLUSION</w:t>
      </w:r>
    </w:p>
    <w:p w14:paraId="49A9D7F3" w14:textId="2CC3E635" w:rsidR="00183295" w:rsidRPr="003923E6" w:rsidRDefault="00183295" w:rsidP="00183295">
      <w:pPr>
        <w:pStyle w:val="CETBodytext"/>
      </w:pPr>
      <w:r w:rsidRPr="003923E6">
        <w:t xml:space="preserve">This work systematically evaluated the potential of </w:t>
      </w:r>
      <w:r w:rsidRPr="003923E6">
        <w:rPr>
          <w:rFonts w:eastAsiaTheme="majorEastAsia"/>
          <w:i/>
          <w:iCs/>
        </w:rPr>
        <w:t>C</w:t>
      </w:r>
      <w:r w:rsidR="0018164C">
        <w:rPr>
          <w:rFonts w:eastAsiaTheme="majorEastAsia"/>
          <w:i/>
          <w:iCs/>
        </w:rPr>
        <w:t>.</w:t>
      </w:r>
      <w:r w:rsidRPr="003923E6">
        <w:rPr>
          <w:rFonts w:eastAsiaTheme="majorEastAsia"/>
          <w:i/>
          <w:iCs/>
        </w:rPr>
        <w:t xml:space="preserve"> </w:t>
      </w:r>
      <w:proofErr w:type="spellStart"/>
      <w:r w:rsidRPr="003923E6">
        <w:rPr>
          <w:rFonts w:eastAsiaTheme="majorEastAsia"/>
          <w:i/>
          <w:iCs/>
        </w:rPr>
        <w:t>zofingiensis</w:t>
      </w:r>
      <w:proofErr w:type="spellEnd"/>
      <w:r w:rsidRPr="003923E6">
        <w:t xml:space="preserve"> as a biotechnological platform for the valorization of food industry by-products and </w:t>
      </w:r>
      <w:proofErr w:type="gramStart"/>
      <w:r w:rsidRPr="003923E6">
        <w:t>for the production of</w:t>
      </w:r>
      <w:proofErr w:type="gramEnd"/>
      <w:r w:rsidRPr="003923E6">
        <w:t xml:space="preserve"> high value-added compounds, with particular emphasis on carotenoids and astaxanthin. The results clearly demonstrate that both growth and secondary metabolism of this microalga are strongly affected by culture medium composition and operating conditions.</w:t>
      </w:r>
    </w:p>
    <w:p w14:paraId="13CE699C" w14:textId="77777777" w:rsidR="00183295" w:rsidRPr="003923E6" w:rsidRDefault="00183295" w:rsidP="00CB241D">
      <w:pPr>
        <w:pStyle w:val="CETBodytext"/>
      </w:pPr>
      <w:r w:rsidRPr="003923E6">
        <w:t>The comparison among standard media showed that BG11 and KUHL support the highest growth performance, while nitrogen enrichment of BBM improves biomass production without achieving optimal levels, confirming that balanced nutrient availability is essential to maximize productivity. The analysis of cultivation parameters identified optimal growth conditions, including an initial inoculum of approximately 400 mg/L, yeast extract at 2.5 g/L as nitrogen source, glucose or fructose as carbon sources, and a C/N ratio of 12.5 as the most efficient configuration for biomass production.</w:t>
      </w:r>
    </w:p>
    <w:p w14:paraId="70B64176" w14:textId="137CD3DB" w:rsidR="00183295" w:rsidRPr="003923E6" w:rsidRDefault="00183295" w:rsidP="00183295">
      <w:pPr>
        <w:pStyle w:val="CETBodytext"/>
      </w:pPr>
      <w:r w:rsidRPr="003923E6">
        <w:t xml:space="preserve">Corn steep liquor was identified as the most effective substrate for enhancing growth and productivity, </w:t>
      </w:r>
      <w:proofErr w:type="gramStart"/>
      <w:r w:rsidR="00D3679D" w:rsidRPr="003923E6">
        <w:t>while</w:t>
      </w:r>
      <w:r w:rsidRPr="003923E6">
        <w:t xml:space="preserve"> </w:t>
      </w:r>
      <w:r w:rsidR="00D3679D">
        <w:t>spent</w:t>
      </w:r>
      <w:proofErr w:type="gramEnd"/>
      <w:r w:rsidR="00D3679D">
        <w:t xml:space="preserve"> </w:t>
      </w:r>
      <w:r w:rsidRPr="003923E6">
        <w:t xml:space="preserve">brewery </w:t>
      </w:r>
      <w:proofErr w:type="gramStart"/>
      <w:r w:rsidRPr="003923E6">
        <w:t>yeast  and</w:t>
      </w:r>
      <w:proofErr w:type="gramEnd"/>
      <w:r w:rsidRPr="003923E6">
        <w:t xml:space="preserve"> </w:t>
      </w:r>
      <w:proofErr w:type="gramStart"/>
      <w:r w:rsidRPr="003923E6">
        <w:t>cheese whey</w:t>
      </w:r>
      <w:proofErr w:type="gramEnd"/>
      <w:r w:rsidRPr="003923E6">
        <w:t xml:space="preserve"> permeate supported growth to a lesser extent. SBY was essential to achieve maximum biomass yields, highlighting the importance of balanced nutrient supply.</w:t>
      </w:r>
      <w:r w:rsidR="00130428">
        <w:t xml:space="preserve"> </w:t>
      </w:r>
      <w:r w:rsidR="00130428" w:rsidRPr="00130428">
        <w:t xml:space="preserve">From an industrial perspective, corn steep liquor stands out as a low cost and widely available substrate, but future scale up should account for </w:t>
      </w:r>
      <w:proofErr w:type="gramStart"/>
      <w:r w:rsidR="00130428" w:rsidRPr="00130428">
        <w:t>batch to batch</w:t>
      </w:r>
      <w:proofErr w:type="gramEnd"/>
      <w:r w:rsidR="00130428" w:rsidRPr="00130428">
        <w:t xml:space="preserve"> variability in composition, possible inhibition at high organic loads, simple pretreatments such as filtration and pH adjustment, and typical mixotrophic constraints including contamination control, oxygen transfer, foaming, and light gradients in larger reactors.</w:t>
      </w:r>
    </w:p>
    <w:bookmarkEnd w:id="0"/>
    <w:p w14:paraId="0EFA63A7" w14:textId="77777777" w:rsidR="00183295" w:rsidRDefault="00183295" w:rsidP="00CB241D">
      <w:pPr>
        <w:pStyle w:val="CETBodytext"/>
      </w:pPr>
    </w:p>
    <w:p w14:paraId="36CDAFB9" w14:textId="77777777" w:rsidR="00183295" w:rsidRPr="00CB241D" w:rsidRDefault="00183295" w:rsidP="00CB241D">
      <w:pPr>
        <w:pStyle w:val="CETReference"/>
      </w:pPr>
      <w:r w:rsidRPr="00CB241D">
        <w:t>REFERENCES</w:t>
      </w:r>
    </w:p>
    <w:p w14:paraId="3A5EBD20" w14:textId="77777777" w:rsidR="00101A99" w:rsidRDefault="00101A99" w:rsidP="005E0A30">
      <w:pPr>
        <w:pStyle w:val="CETReferencetext"/>
        <w:ind w:left="0" w:firstLine="0"/>
      </w:pPr>
    </w:p>
    <w:p w14:paraId="2BCD1A5A" w14:textId="5BFE004F" w:rsidR="0078593E" w:rsidRPr="00CB241D" w:rsidRDefault="0078593E" w:rsidP="00CB241D">
      <w:pPr>
        <w:pStyle w:val="CETReferencetext"/>
      </w:pPr>
      <w:r w:rsidRPr="00CB241D">
        <w:t>Ende, S. S., &amp; Noke, A.</w:t>
      </w:r>
      <w:r w:rsidR="00F91561" w:rsidRPr="00CB241D">
        <w:t>,</w:t>
      </w:r>
      <w:r w:rsidRPr="00CB241D">
        <w:t>2019</w:t>
      </w:r>
      <w:r w:rsidR="00F91561" w:rsidRPr="00CB241D">
        <w:t>,</w:t>
      </w:r>
      <w:r w:rsidRPr="00CB241D">
        <w:t xml:space="preserve"> Heterotrophic microalgae production on food waste and by-products. Journal of Applied Phycology, 31(3), 1565-1571.</w:t>
      </w:r>
    </w:p>
    <w:p w14:paraId="6D7E1800" w14:textId="466F805A" w:rsidR="00183295" w:rsidRPr="00CB241D" w:rsidRDefault="00183295" w:rsidP="00CB241D">
      <w:pPr>
        <w:pStyle w:val="CETReferencetext"/>
      </w:pPr>
      <w:r w:rsidRPr="00CB241D">
        <w:t xml:space="preserve">Franke, S., </w:t>
      </w:r>
      <w:proofErr w:type="spellStart"/>
      <w:r w:rsidRPr="00CB241D">
        <w:t>Steingröwer</w:t>
      </w:r>
      <w:proofErr w:type="spellEnd"/>
      <w:r w:rsidRPr="00CB241D">
        <w:t xml:space="preserve">, J., Walther, T., &amp; </w:t>
      </w:r>
      <w:proofErr w:type="spellStart"/>
      <w:r w:rsidRPr="00CB241D">
        <w:t>Krujatz</w:t>
      </w:r>
      <w:proofErr w:type="spellEnd"/>
      <w:r w:rsidRPr="00CB241D">
        <w:t>, F.</w:t>
      </w:r>
      <w:r w:rsidR="00F91561" w:rsidRPr="00CB241D">
        <w:t>,</w:t>
      </w:r>
      <w:r w:rsidRPr="00CB241D">
        <w:t>2022</w:t>
      </w:r>
      <w:r w:rsidR="00F91561" w:rsidRPr="00CB241D">
        <w:t>,</w:t>
      </w:r>
      <w:r w:rsidRPr="00CB241D">
        <w:t xml:space="preserve"> The </w:t>
      </w:r>
      <w:r w:rsidR="00B53D16" w:rsidRPr="00CB241D">
        <w:t>o</w:t>
      </w:r>
      <w:r w:rsidRPr="00CB241D">
        <w:t xml:space="preserve">xygen </w:t>
      </w:r>
      <w:proofErr w:type="spellStart"/>
      <w:proofErr w:type="gramStart"/>
      <w:r w:rsidR="00B53D16" w:rsidRPr="00CB241D">
        <w:t>p</w:t>
      </w:r>
      <w:r w:rsidRPr="00CB241D">
        <w:t>aradigm</w:t>
      </w:r>
      <w:r w:rsidR="00B53D16" w:rsidRPr="00CB241D">
        <w:t>.Q</w:t>
      </w:r>
      <w:r w:rsidRPr="00CB241D">
        <w:t>uantitative</w:t>
      </w:r>
      <w:proofErr w:type="spellEnd"/>
      <w:proofErr w:type="gramEnd"/>
      <w:r w:rsidRPr="00CB241D">
        <w:t xml:space="preserve"> </w:t>
      </w:r>
      <w:r w:rsidR="00B53D16" w:rsidRPr="00CB241D">
        <w:t>i</w:t>
      </w:r>
      <w:r w:rsidRPr="00CB241D">
        <w:t xml:space="preserve">mpact </w:t>
      </w:r>
      <w:r w:rsidR="00E0370D" w:rsidRPr="00CB241D">
        <w:t>o</w:t>
      </w:r>
      <w:r w:rsidRPr="00CB241D">
        <w:t xml:space="preserve">f </w:t>
      </w:r>
      <w:r w:rsidR="00E0370D" w:rsidRPr="00CB241D">
        <w:t>h</w:t>
      </w:r>
      <w:r w:rsidRPr="00CB241D">
        <w:t xml:space="preserve">igh </w:t>
      </w:r>
      <w:r w:rsidR="00B53D16" w:rsidRPr="00CB241D">
        <w:t>c</w:t>
      </w:r>
      <w:r w:rsidRPr="00CB241D">
        <w:t xml:space="preserve">oncentrations </w:t>
      </w:r>
      <w:r w:rsidR="00E0370D" w:rsidRPr="00CB241D">
        <w:t>o</w:t>
      </w:r>
      <w:r w:rsidRPr="00CB241D">
        <w:t xml:space="preserve">f </w:t>
      </w:r>
      <w:r w:rsidR="00E0370D" w:rsidRPr="00CB241D">
        <w:t>d</w:t>
      </w:r>
      <w:r w:rsidRPr="00CB241D">
        <w:t xml:space="preserve">issolved </w:t>
      </w:r>
      <w:r w:rsidR="00E0370D" w:rsidRPr="00CB241D">
        <w:t>o</w:t>
      </w:r>
      <w:r w:rsidRPr="00CB241D">
        <w:t xml:space="preserve">xygen </w:t>
      </w:r>
      <w:r w:rsidR="00E0370D" w:rsidRPr="00CB241D">
        <w:t>o</w:t>
      </w:r>
      <w:r w:rsidRPr="00CB241D">
        <w:t xml:space="preserve">n </w:t>
      </w:r>
      <w:r w:rsidR="00E0370D" w:rsidRPr="00CB241D">
        <w:t>k</w:t>
      </w:r>
      <w:r w:rsidRPr="00CB241D">
        <w:t xml:space="preserve">inetics </w:t>
      </w:r>
      <w:r w:rsidR="00E0370D" w:rsidRPr="00CB241D">
        <w:t>a</w:t>
      </w:r>
      <w:r w:rsidRPr="00CB241D">
        <w:t xml:space="preserve">nd </w:t>
      </w:r>
      <w:r w:rsidR="00E0370D" w:rsidRPr="00CB241D">
        <w:t>l</w:t>
      </w:r>
      <w:r w:rsidRPr="00CB241D">
        <w:t>arge-</w:t>
      </w:r>
      <w:r w:rsidR="00E0370D" w:rsidRPr="00CB241D">
        <w:t>s</w:t>
      </w:r>
      <w:r w:rsidRPr="00CB241D">
        <w:t xml:space="preserve">cale </w:t>
      </w:r>
      <w:r w:rsidR="00E0370D" w:rsidRPr="00CB241D">
        <w:t>p</w:t>
      </w:r>
      <w:r w:rsidRPr="00CB241D">
        <w:t xml:space="preserve">roduction </w:t>
      </w:r>
      <w:r w:rsidR="00E0370D" w:rsidRPr="00CB241D">
        <w:t>of</w:t>
      </w:r>
      <w:r w:rsidRPr="00CB241D">
        <w:t xml:space="preserve"> </w:t>
      </w:r>
      <w:proofErr w:type="spellStart"/>
      <w:r w:rsidRPr="00CB241D">
        <w:t>Arthrospira</w:t>
      </w:r>
      <w:proofErr w:type="spellEnd"/>
      <w:r w:rsidRPr="00CB241D">
        <w:t xml:space="preserve"> </w:t>
      </w:r>
      <w:r w:rsidR="00E0370D" w:rsidRPr="00CB241D">
        <w:t>p</w:t>
      </w:r>
      <w:r w:rsidRPr="00CB241D">
        <w:t xml:space="preserve">latensis. </w:t>
      </w:r>
      <w:proofErr w:type="spellStart"/>
      <w:r w:rsidRPr="00CB241D">
        <w:t>Chemengineering</w:t>
      </w:r>
      <w:proofErr w:type="spellEnd"/>
      <w:r w:rsidRPr="00CB241D">
        <w:t>, 6(1), 14.</w:t>
      </w:r>
    </w:p>
    <w:p w14:paraId="140E39BC" w14:textId="49AD0B69" w:rsidR="00B92082" w:rsidRPr="00CB241D" w:rsidRDefault="00B92082" w:rsidP="00CB241D">
      <w:pPr>
        <w:pStyle w:val="CETReferencetext"/>
      </w:pPr>
      <w:r w:rsidRPr="00CB241D">
        <w:t>Hu, Y., Kim, N., Roth, M. S., Louie, K. B., Kosina, S. M., Upadhyaya, S., ... &amp; Northen, T. R.</w:t>
      </w:r>
      <w:r w:rsidR="00F91561" w:rsidRPr="00CB241D">
        <w:t xml:space="preserve">, </w:t>
      </w:r>
      <w:r w:rsidRPr="00CB241D">
        <w:t>2024</w:t>
      </w:r>
      <w:r w:rsidR="00F91561" w:rsidRPr="00CB241D">
        <w:t>,</w:t>
      </w:r>
      <w:r w:rsidRPr="00CB241D">
        <w:t xml:space="preserve"> Green microalga </w:t>
      </w:r>
      <w:proofErr w:type="spellStart"/>
      <w:r w:rsidRPr="00CB241D">
        <w:t>Chromochloris</w:t>
      </w:r>
      <w:proofErr w:type="spellEnd"/>
      <w:r w:rsidRPr="00CB241D">
        <w:t xml:space="preserve"> </w:t>
      </w:r>
      <w:proofErr w:type="spellStart"/>
      <w:r w:rsidRPr="00CB241D">
        <w:t>zofingiensis</w:t>
      </w:r>
      <w:proofErr w:type="spellEnd"/>
      <w:r w:rsidRPr="00CB241D">
        <w:t xml:space="preserve"> conserves substrate uptake pattern but changes their metabolic uses across trophic transition. Frontiers in Microbiology, 15, 1470054.</w:t>
      </w:r>
    </w:p>
    <w:p w14:paraId="196BA579" w14:textId="043EBBBD" w:rsidR="00183295" w:rsidRPr="00E540AE" w:rsidRDefault="00183295" w:rsidP="00CB241D">
      <w:pPr>
        <w:pStyle w:val="CETReferencetext"/>
        <w:rPr>
          <w:lang w:val="it-IT"/>
        </w:rPr>
      </w:pPr>
      <w:proofErr w:type="spellStart"/>
      <w:r w:rsidRPr="00CB241D">
        <w:lastRenderedPageBreak/>
        <w:t>Lichtenthaler</w:t>
      </w:r>
      <w:proofErr w:type="spellEnd"/>
      <w:r w:rsidRPr="00CB241D">
        <w:t>, H. K., &amp; Wellburn, A. R.</w:t>
      </w:r>
      <w:r w:rsidR="00F91561" w:rsidRPr="00CB241D">
        <w:t xml:space="preserve">, </w:t>
      </w:r>
      <w:r w:rsidRPr="00CB241D">
        <w:t>1983</w:t>
      </w:r>
      <w:r w:rsidR="00F91561" w:rsidRPr="00CB241D">
        <w:t>,</w:t>
      </w:r>
      <w:r w:rsidRPr="00CB241D">
        <w:t xml:space="preserve"> Determinations </w:t>
      </w:r>
      <w:r w:rsidR="00E0370D" w:rsidRPr="00CB241D">
        <w:t>o</w:t>
      </w:r>
      <w:r w:rsidRPr="00CB241D">
        <w:t xml:space="preserve">f </w:t>
      </w:r>
      <w:r w:rsidR="00E0370D" w:rsidRPr="00CB241D">
        <w:t>t</w:t>
      </w:r>
      <w:r w:rsidRPr="00CB241D">
        <w:t xml:space="preserve">otal </w:t>
      </w:r>
      <w:r w:rsidR="00E0370D" w:rsidRPr="00CB241D">
        <w:t>c</w:t>
      </w:r>
      <w:r w:rsidRPr="00CB241D">
        <w:t xml:space="preserve">arotenoids </w:t>
      </w:r>
      <w:r w:rsidR="00E0370D" w:rsidRPr="00CB241D">
        <w:t>a</w:t>
      </w:r>
      <w:r w:rsidRPr="00CB241D">
        <w:t xml:space="preserve">nd </w:t>
      </w:r>
      <w:r w:rsidR="00E0370D" w:rsidRPr="00CB241D">
        <w:t>c</w:t>
      </w:r>
      <w:r w:rsidRPr="00CB241D">
        <w:t xml:space="preserve">hlorophylls A </w:t>
      </w:r>
      <w:r w:rsidR="00E0370D" w:rsidRPr="00CB241D">
        <w:t>a</w:t>
      </w:r>
      <w:r w:rsidRPr="00CB241D">
        <w:t xml:space="preserve">nd B </w:t>
      </w:r>
      <w:r w:rsidR="00E0370D" w:rsidRPr="00CB241D">
        <w:t>o</w:t>
      </w:r>
      <w:r w:rsidRPr="00CB241D">
        <w:t xml:space="preserve">f </w:t>
      </w:r>
      <w:r w:rsidR="00E0370D" w:rsidRPr="00CB241D">
        <w:t>l</w:t>
      </w:r>
      <w:r w:rsidRPr="00CB241D">
        <w:t xml:space="preserve">eaf </w:t>
      </w:r>
      <w:r w:rsidR="00E0370D" w:rsidRPr="00CB241D">
        <w:t>e</w:t>
      </w:r>
      <w:r w:rsidRPr="00CB241D">
        <w:t xml:space="preserve">xtracts </w:t>
      </w:r>
      <w:r w:rsidR="00E0370D" w:rsidRPr="00CB241D">
        <w:t>i</w:t>
      </w:r>
      <w:r w:rsidRPr="00CB241D">
        <w:t xml:space="preserve">n </w:t>
      </w:r>
      <w:r w:rsidR="00E0370D" w:rsidRPr="00CB241D">
        <w:t>d</w:t>
      </w:r>
      <w:r w:rsidRPr="00CB241D">
        <w:t xml:space="preserve">ifferent </w:t>
      </w:r>
      <w:r w:rsidR="00E0370D" w:rsidRPr="00CB241D">
        <w:t>s</w:t>
      </w:r>
      <w:r w:rsidRPr="00CB241D">
        <w:t>olvents.</w:t>
      </w:r>
      <w:r w:rsidR="0078593E" w:rsidRPr="00CB241D">
        <w:t xml:space="preserve"> </w:t>
      </w:r>
      <w:r w:rsidR="0078593E" w:rsidRPr="00E540AE">
        <w:rPr>
          <w:lang w:val="it-IT"/>
        </w:rPr>
        <w:t>Biochemical Society Transactions, 11(5), 591-592</w:t>
      </w:r>
    </w:p>
    <w:p w14:paraId="5A354EF0" w14:textId="219FD5B5" w:rsidR="0078593E" w:rsidRPr="00CB241D" w:rsidRDefault="0078593E" w:rsidP="00CB241D">
      <w:pPr>
        <w:pStyle w:val="CETReferencetext"/>
      </w:pPr>
      <w:r w:rsidRPr="00E540AE">
        <w:rPr>
          <w:lang w:val="it-IT"/>
        </w:rPr>
        <w:t xml:space="preserve">Massa, M., Buono, S., Langellotti, A. L., Castaldo, L., Martello, A., Paduano, A., ... </w:t>
      </w:r>
      <w:r w:rsidRPr="0033581D">
        <w:rPr>
          <w:lang w:val="it-IT"/>
        </w:rPr>
        <w:t>&amp; Fogliano, V.</w:t>
      </w:r>
      <w:r w:rsidR="00F91561" w:rsidRPr="0033581D">
        <w:rPr>
          <w:lang w:val="it-IT"/>
        </w:rPr>
        <w:t xml:space="preserve">, </w:t>
      </w:r>
      <w:r w:rsidRPr="0033581D">
        <w:rPr>
          <w:lang w:val="it-IT"/>
        </w:rPr>
        <w:t>2017</w:t>
      </w:r>
      <w:r w:rsidR="00F91561" w:rsidRPr="0033581D">
        <w:rPr>
          <w:lang w:val="it-IT"/>
        </w:rPr>
        <w:t>,</w:t>
      </w:r>
      <w:r w:rsidRPr="0033581D">
        <w:rPr>
          <w:lang w:val="it-IT"/>
        </w:rPr>
        <w:t xml:space="preserve"> Evaluation of </w:t>
      </w:r>
      <w:proofErr w:type="spellStart"/>
      <w:r w:rsidRPr="0033581D">
        <w:rPr>
          <w:lang w:val="it-IT"/>
        </w:rPr>
        <w:t>anaerobic</w:t>
      </w:r>
      <w:proofErr w:type="spellEnd"/>
      <w:r w:rsidRPr="0033581D">
        <w:rPr>
          <w:lang w:val="it-IT"/>
        </w:rPr>
        <w:t xml:space="preserve"> </w:t>
      </w:r>
      <w:proofErr w:type="spellStart"/>
      <w:r w:rsidRPr="0033581D">
        <w:rPr>
          <w:lang w:val="it-IT"/>
        </w:rPr>
        <w:t>digestates</w:t>
      </w:r>
      <w:proofErr w:type="spellEnd"/>
      <w:r w:rsidRPr="0033581D">
        <w:rPr>
          <w:lang w:val="it-IT"/>
        </w:rPr>
        <w:t xml:space="preserve"> from </w:t>
      </w:r>
      <w:proofErr w:type="spellStart"/>
      <w:r w:rsidRPr="0033581D">
        <w:rPr>
          <w:lang w:val="it-IT"/>
        </w:rPr>
        <w:t>different</w:t>
      </w:r>
      <w:proofErr w:type="spellEnd"/>
      <w:r w:rsidRPr="0033581D">
        <w:rPr>
          <w:lang w:val="it-IT"/>
        </w:rPr>
        <w:t xml:space="preserve"> </w:t>
      </w:r>
      <w:proofErr w:type="spellStart"/>
      <w:r w:rsidRPr="0033581D">
        <w:rPr>
          <w:lang w:val="it-IT"/>
        </w:rPr>
        <w:t>feedstocks</w:t>
      </w:r>
      <w:proofErr w:type="spellEnd"/>
      <w:r w:rsidRPr="0033581D">
        <w:rPr>
          <w:lang w:val="it-IT"/>
        </w:rPr>
        <w:t xml:space="preserve"> </w:t>
      </w:r>
      <w:proofErr w:type="spellStart"/>
      <w:r w:rsidRPr="0033581D">
        <w:rPr>
          <w:lang w:val="it-IT"/>
        </w:rPr>
        <w:t>as</w:t>
      </w:r>
      <w:proofErr w:type="spellEnd"/>
      <w:r w:rsidRPr="0033581D">
        <w:rPr>
          <w:lang w:val="it-IT"/>
        </w:rPr>
        <w:t xml:space="preserve"> </w:t>
      </w:r>
      <w:proofErr w:type="spellStart"/>
      <w:r w:rsidRPr="0033581D">
        <w:rPr>
          <w:lang w:val="it-IT"/>
        </w:rPr>
        <w:t>growth</w:t>
      </w:r>
      <w:proofErr w:type="spellEnd"/>
      <w:r w:rsidRPr="0033581D">
        <w:rPr>
          <w:lang w:val="it-IT"/>
        </w:rPr>
        <w:t xml:space="preserve"> media for </w:t>
      </w:r>
      <w:proofErr w:type="spellStart"/>
      <w:r w:rsidRPr="0033581D">
        <w:rPr>
          <w:lang w:val="it-IT"/>
        </w:rPr>
        <w:t>Tetradesmus</w:t>
      </w:r>
      <w:proofErr w:type="spellEnd"/>
      <w:r w:rsidRPr="0033581D">
        <w:rPr>
          <w:lang w:val="it-IT"/>
        </w:rPr>
        <w:t xml:space="preserve"> </w:t>
      </w:r>
      <w:proofErr w:type="spellStart"/>
      <w:r w:rsidRPr="0033581D">
        <w:rPr>
          <w:lang w:val="it-IT"/>
        </w:rPr>
        <w:t>obliquus</w:t>
      </w:r>
      <w:proofErr w:type="spellEnd"/>
      <w:r w:rsidRPr="0033581D">
        <w:rPr>
          <w:lang w:val="it-IT"/>
        </w:rPr>
        <w:t xml:space="preserve">, </w:t>
      </w:r>
      <w:proofErr w:type="spellStart"/>
      <w:r w:rsidRPr="0033581D">
        <w:rPr>
          <w:lang w:val="it-IT"/>
        </w:rPr>
        <w:t>Botryococcus</w:t>
      </w:r>
      <w:proofErr w:type="spellEnd"/>
      <w:r w:rsidRPr="0033581D">
        <w:rPr>
          <w:lang w:val="it-IT"/>
        </w:rPr>
        <w:t xml:space="preserve"> </w:t>
      </w:r>
      <w:proofErr w:type="spellStart"/>
      <w:r w:rsidRPr="0033581D">
        <w:rPr>
          <w:lang w:val="it-IT"/>
        </w:rPr>
        <w:t>braunii</w:t>
      </w:r>
      <w:proofErr w:type="spellEnd"/>
      <w:r w:rsidRPr="0033581D">
        <w:rPr>
          <w:lang w:val="it-IT"/>
        </w:rPr>
        <w:t xml:space="preserve">, </w:t>
      </w:r>
      <w:proofErr w:type="spellStart"/>
      <w:r w:rsidRPr="0033581D">
        <w:rPr>
          <w:lang w:val="it-IT"/>
        </w:rPr>
        <w:t>Phaeodactylum</w:t>
      </w:r>
      <w:proofErr w:type="spellEnd"/>
      <w:r w:rsidRPr="0033581D">
        <w:rPr>
          <w:lang w:val="it-IT"/>
        </w:rPr>
        <w:t xml:space="preserve"> </w:t>
      </w:r>
      <w:proofErr w:type="spellStart"/>
      <w:r w:rsidRPr="0033581D">
        <w:rPr>
          <w:lang w:val="it-IT"/>
        </w:rPr>
        <w:t>tricornutum</w:t>
      </w:r>
      <w:proofErr w:type="spellEnd"/>
      <w:r w:rsidRPr="0033581D">
        <w:rPr>
          <w:lang w:val="it-IT"/>
        </w:rPr>
        <w:t xml:space="preserve"> and </w:t>
      </w:r>
      <w:proofErr w:type="spellStart"/>
      <w:r w:rsidRPr="0033581D">
        <w:rPr>
          <w:lang w:val="it-IT"/>
        </w:rPr>
        <w:t>Arthrospira</w:t>
      </w:r>
      <w:proofErr w:type="spellEnd"/>
      <w:r w:rsidRPr="0033581D">
        <w:rPr>
          <w:lang w:val="it-IT"/>
        </w:rPr>
        <w:t xml:space="preserve"> maxima. </w:t>
      </w:r>
      <w:r w:rsidRPr="00CB241D">
        <w:t>New Biotechnology, 36, 8-16.</w:t>
      </w:r>
    </w:p>
    <w:p w14:paraId="147208E9" w14:textId="34C97FA8" w:rsidR="00183295" w:rsidRPr="00CB241D" w:rsidRDefault="00183295" w:rsidP="00CB241D">
      <w:pPr>
        <w:pStyle w:val="CETReferencetext"/>
      </w:pPr>
      <w:proofErr w:type="spellStart"/>
      <w:r w:rsidRPr="00CB241D">
        <w:t>Minyuk</w:t>
      </w:r>
      <w:proofErr w:type="spellEnd"/>
      <w:r w:rsidRPr="00CB241D">
        <w:t>, G., Sidorov, R., &amp; Solovchenko, A.</w:t>
      </w:r>
      <w:r w:rsidR="00F91561" w:rsidRPr="00CB241D">
        <w:t xml:space="preserve">, </w:t>
      </w:r>
      <w:r w:rsidRPr="00CB241D">
        <w:t>2020</w:t>
      </w:r>
      <w:r w:rsidR="00F91561" w:rsidRPr="00CB241D">
        <w:t>,</w:t>
      </w:r>
      <w:r w:rsidRPr="00CB241D">
        <w:t xml:space="preserve"> Effect </w:t>
      </w:r>
      <w:r w:rsidR="0001511A" w:rsidRPr="00CB241D">
        <w:t>o</w:t>
      </w:r>
      <w:r w:rsidRPr="00CB241D">
        <w:t xml:space="preserve">f </w:t>
      </w:r>
      <w:r w:rsidR="0001511A" w:rsidRPr="00CB241D">
        <w:t>n</w:t>
      </w:r>
      <w:r w:rsidRPr="00CB241D">
        <w:t xml:space="preserve">itrogen </w:t>
      </w:r>
      <w:r w:rsidR="0001511A" w:rsidRPr="00CB241D">
        <w:t>s</w:t>
      </w:r>
      <w:r w:rsidRPr="00CB241D">
        <w:t xml:space="preserve">ource </w:t>
      </w:r>
      <w:r w:rsidR="007E6286" w:rsidRPr="00CB241D">
        <w:t>o</w:t>
      </w:r>
      <w:r w:rsidRPr="00CB241D">
        <w:t xml:space="preserve">n </w:t>
      </w:r>
      <w:r w:rsidR="007E6286" w:rsidRPr="00CB241D">
        <w:t>the</w:t>
      </w:r>
      <w:r w:rsidRPr="00CB241D">
        <w:t xml:space="preserve"> </w:t>
      </w:r>
      <w:r w:rsidR="007E6286" w:rsidRPr="00CB241D">
        <w:t>g</w:t>
      </w:r>
      <w:r w:rsidRPr="00CB241D">
        <w:t xml:space="preserve">rowth, </w:t>
      </w:r>
      <w:r w:rsidR="007E6286" w:rsidRPr="00CB241D">
        <w:t>l</w:t>
      </w:r>
      <w:r w:rsidRPr="00CB241D">
        <w:t xml:space="preserve">ipid, </w:t>
      </w:r>
      <w:r w:rsidR="007E6286" w:rsidRPr="00CB241D">
        <w:t>a</w:t>
      </w:r>
      <w:r w:rsidRPr="00CB241D">
        <w:t xml:space="preserve">nd </w:t>
      </w:r>
      <w:r w:rsidR="007E6286" w:rsidRPr="00CB241D">
        <w:t>v</w:t>
      </w:r>
      <w:r w:rsidRPr="00CB241D">
        <w:t xml:space="preserve">aluable </w:t>
      </w:r>
      <w:r w:rsidR="007E6286" w:rsidRPr="00CB241D">
        <w:t>c</w:t>
      </w:r>
      <w:r w:rsidRPr="00CB241D">
        <w:t xml:space="preserve">arotenoid </w:t>
      </w:r>
      <w:r w:rsidR="007E6286" w:rsidRPr="00CB241D">
        <w:t>p</w:t>
      </w:r>
      <w:r w:rsidRPr="00CB241D">
        <w:t xml:space="preserve">roduction </w:t>
      </w:r>
      <w:r w:rsidR="00E0370D" w:rsidRPr="00CB241D">
        <w:t>in t</w:t>
      </w:r>
      <w:r w:rsidRPr="00CB241D">
        <w:t xml:space="preserve">he </w:t>
      </w:r>
      <w:r w:rsidR="007E6286" w:rsidRPr="00CB241D">
        <w:t>g</w:t>
      </w:r>
      <w:r w:rsidRPr="00CB241D">
        <w:t xml:space="preserve">reen </w:t>
      </w:r>
      <w:r w:rsidR="007E6286" w:rsidRPr="00CB241D">
        <w:t>m</w:t>
      </w:r>
      <w:r w:rsidRPr="00CB241D">
        <w:t xml:space="preserve">icroalga </w:t>
      </w:r>
      <w:proofErr w:type="spellStart"/>
      <w:r w:rsidRPr="00CB241D">
        <w:t>Chromochloris</w:t>
      </w:r>
      <w:proofErr w:type="spellEnd"/>
      <w:r w:rsidRPr="00CB241D">
        <w:t xml:space="preserve"> </w:t>
      </w:r>
      <w:proofErr w:type="spellStart"/>
      <w:r w:rsidR="007E6286" w:rsidRPr="00CB241D">
        <w:t>z</w:t>
      </w:r>
      <w:r w:rsidRPr="00CB241D">
        <w:t>ofingiensis</w:t>
      </w:r>
      <w:proofErr w:type="spellEnd"/>
      <w:r w:rsidRPr="00CB241D">
        <w:t xml:space="preserve">. Journal </w:t>
      </w:r>
      <w:r w:rsidR="00B53D16" w:rsidRPr="00CB241D">
        <w:t>o</w:t>
      </w:r>
      <w:r w:rsidRPr="00CB241D">
        <w:t>f Applied Phycology, 32, 923-935.</w:t>
      </w:r>
    </w:p>
    <w:p w14:paraId="03728F21" w14:textId="05AAD1E6" w:rsidR="00B27DFD" w:rsidRPr="00CB241D" w:rsidRDefault="00B27DFD" w:rsidP="00CB241D">
      <w:pPr>
        <w:pStyle w:val="CETReferencetext"/>
      </w:pPr>
      <w:r w:rsidRPr="00CB241D">
        <w:t xml:space="preserve">Oliviero, M., Langellotti, A. L., Russo, G. L., Baselice, M., Donadio, A., </w:t>
      </w:r>
      <w:proofErr w:type="spellStart"/>
      <w:r w:rsidRPr="00CB241D">
        <w:t>Ritieni</w:t>
      </w:r>
      <w:proofErr w:type="spellEnd"/>
      <w:r w:rsidRPr="00CB241D">
        <w:t>, A., Graziani, G., &amp; Masi, P.</w:t>
      </w:r>
      <w:r w:rsidR="00F91561" w:rsidRPr="00CB241D">
        <w:t xml:space="preserve">, </w:t>
      </w:r>
      <w:r w:rsidRPr="00CB241D">
        <w:t>2022</w:t>
      </w:r>
      <w:r w:rsidR="00F91561" w:rsidRPr="00CB241D">
        <w:t>,</w:t>
      </w:r>
      <w:r w:rsidRPr="00CB241D">
        <w:t xml:space="preserve"> Use of </w:t>
      </w:r>
      <w:r w:rsidR="007E6286" w:rsidRPr="00CB241D">
        <w:t>d</w:t>
      </w:r>
      <w:r w:rsidRPr="00CB241D">
        <w:t xml:space="preserve">ifferent </w:t>
      </w:r>
      <w:r w:rsidR="007E6286" w:rsidRPr="00CB241D">
        <w:t>o</w:t>
      </w:r>
      <w:r w:rsidRPr="00CB241D">
        <w:t xml:space="preserve">rganic </w:t>
      </w:r>
      <w:r w:rsidR="007E6286" w:rsidRPr="00CB241D">
        <w:t>c</w:t>
      </w:r>
      <w:r w:rsidRPr="00CB241D">
        <w:t xml:space="preserve">arbon </w:t>
      </w:r>
      <w:r w:rsidR="007E6286" w:rsidRPr="00CB241D">
        <w:t>s</w:t>
      </w:r>
      <w:r w:rsidRPr="00CB241D">
        <w:t xml:space="preserve">ources in Cynara cardunculus Cells: Effects on </w:t>
      </w:r>
      <w:r w:rsidR="007E6286" w:rsidRPr="00CB241D">
        <w:t>b</w:t>
      </w:r>
      <w:r w:rsidRPr="00CB241D">
        <w:t xml:space="preserve">iomass </w:t>
      </w:r>
      <w:r w:rsidR="007E6286" w:rsidRPr="00CB241D">
        <w:t>p</w:t>
      </w:r>
      <w:r w:rsidRPr="00CB241D">
        <w:t xml:space="preserve">roductivity and </w:t>
      </w:r>
      <w:r w:rsidR="007E6286" w:rsidRPr="00CB241D">
        <w:t>s</w:t>
      </w:r>
      <w:r w:rsidRPr="00CB241D">
        <w:t xml:space="preserve">econdary </w:t>
      </w:r>
      <w:r w:rsidR="007E6286" w:rsidRPr="00CB241D">
        <w:t>m</w:t>
      </w:r>
      <w:r w:rsidRPr="00CB241D">
        <w:t>etabolites. Plants, 11(5), 701.</w:t>
      </w:r>
      <w:r w:rsidR="000B797D" w:rsidRPr="00CB241D" w:rsidDel="000B797D">
        <w:t xml:space="preserve"> </w:t>
      </w:r>
    </w:p>
    <w:p w14:paraId="19BCCB02" w14:textId="4F13C081" w:rsidR="00740335" w:rsidRPr="00CB241D" w:rsidRDefault="00740335" w:rsidP="00CB241D">
      <w:pPr>
        <w:pStyle w:val="CETReferencetext"/>
      </w:pPr>
      <w:r w:rsidRPr="00CB241D">
        <w:t>Russo, G. L., Langellotti, A. L., Verardo, V., Martín-García, B., Di Pierro, P., Sorrentino, A., Baselice, M., Oliviero, M., Sacchi, R., &amp; Masi, P.</w:t>
      </w:r>
      <w:r w:rsidR="00F91561" w:rsidRPr="00CB241D">
        <w:t xml:space="preserve">, </w:t>
      </w:r>
      <w:r w:rsidRPr="00CB241D">
        <w:t>2022</w:t>
      </w:r>
      <w:r w:rsidR="00F91561" w:rsidRPr="00CB241D">
        <w:t>,</w:t>
      </w:r>
      <w:r w:rsidRPr="00CB241D">
        <w:t xml:space="preserve"> Formulation of </w:t>
      </w:r>
      <w:r w:rsidR="007E6286" w:rsidRPr="00CB241D">
        <w:t>n</w:t>
      </w:r>
      <w:r w:rsidRPr="00CB241D">
        <w:t xml:space="preserve">ew </w:t>
      </w:r>
      <w:r w:rsidR="007E6286" w:rsidRPr="00CB241D">
        <w:t>m</w:t>
      </w:r>
      <w:r w:rsidRPr="00CB241D">
        <w:t xml:space="preserve">edia from </w:t>
      </w:r>
      <w:r w:rsidR="007E6286" w:rsidRPr="00CB241D">
        <w:t>d</w:t>
      </w:r>
      <w:r w:rsidRPr="00CB241D">
        <w:t xml:space="preserve">airy and </w:t>
      </w:r>
      <w:r w:rsidR="007E6286" w:rsidRPr="00CB241D">
        <w:t>b</w:t>
      </w:r>
      <w:r w:rsidRPr="00CB241D">
        <w:t xml:space="preserve">rewery </w:t>
      </w:r>
      <w:r w:rsidR="007E6286" w:rsidRPr="00CB241D">
        <w:t>w</w:t>
      </w:r>
      <w:r w:rsidRPr="00CB241D">
        <w:t xml:space="preserve">astes for a </w:t>
      </w:r>
      <w:r w:rsidR="007E6286" w:rsidRPr="00CB241D">
        <w:t>s</w:t>
      </w:r>
      <w:r w:rsidRPr="00CB241D">
        <w:t xml:space="preserve">ustainable </w:t>
      </w:r>
      <w:r w:rsidR="007E6286" w:rsidRPr="00CB241D">
        <w:t>p</w:t>
      </w:r>
      <w:r w:rsidRPr="00CB241D">
        <w:t>roduction of DHA-Rich</w:t>
      </w:r>
      <w:r w:rsidR="007E6286" w:rsidRPr="00CB241D">
        <w:t xml:space="preserve"> </w:t>
      </w:r>
      <w:r w:rsidRPr="00CB241D">
        <w:t>Oil by </w:t>
      </w:r>
      <w:proofErr w:type="spellStart"/>
      <w:r w:rsidRPr="00CB241D">
        <w:t>Aurantiochytrium</w:t>
      </w:r>
      <w:proofErr w:type="spellEnd"/>
      <w:r w:rsidRPr="00CB241D">
        <w:t xml:space="preserve"> </w:t>
      </w:r>
      <w:proofErr w:type="spellStart"/>
      <w:r w:rsidRPr="00CB241D">
        <w:t>mangrovei</w:t>
      </w:r>
      <w:proofErr w:type="spellEnd"/>
      <w:r w:rsidRPr="00CB241D">
        <w:t>. Marine Drugs, 20(1), 39.</w:t>
      </w:r>
    </w:p>
    <w:p w14:paraId="6B2ADBFB" w14:textId="335C83C4" w:rsidR="00B92082" w:rsidRPr="00CB241D" w:rsidRDefault="00B92082" w:rsidP="00CB241D">
      <w:pPr>
        <w:pStyle w:val="CETReferencetext"/>
      </w:pPr>
      <w:r w:rsidRPr="00CB241D">
        <w:t>Russo, G. L., Langellotti, A. L., Verardo, V., Garcia, B. M., Oliviero, M., &amp; Masi, P.</w:t>
      </w:r>
      <w:r w:rsidR="00F91561" w:rsidRPr="00CB241D">
        <w:t xml:space="preserve">, </w:t>
      </w:r>
      <w:r w:rsidRPr="00CB241D">
        <w:t>2024</w:t>
      </w:r>
      <w:r w:rsidR="00F91561" w:rsidRPr="00CB241D">
        <w:t>,</w:t>
      </w:r>
      <w:r w:rsidRPr="00CB241D">
        <w:t xml:space="preserve"> Sustainable cultivation of </w:t>
      </w:r>
      <w:proofErr w:type="spellStart"/>
      <w:r w:rsidRPr="00CB241D">
        <w:t>Porphyridium</w:t>
      </w:r>
      <w:proofErr w:type="spellEnd"/>
      <w:r w:rsidRPr="00CB241D">
        <w:t xml:space="preserve"> </w:t>
      </w:r>
      <w:proofErr w:type="spellStart"/>
      <w:r w:rsidRPr="00CB241D">
        <w:t>cruentum</w:t>
      </w:r>
      <w:proofErr w:type="spellEnd"/>
      <w:r w:rsidRPr="00CB241D">
        <w:t xml:space="preserve"> via agro-industrial by-products: A study on biomass and lipid enhancement. Biocatalysis and Agricultural Biotechnology, 60, 103341.</w:t>
      </w:r>
    </w:p>
    <w:p w14:paraId="265DBB79" w14:textId="77777777" w:rsidR="00F91561" w:rsidRPr="00CB241D" w:rsidRDefault="00F91561" w:rsidP="00CB241D">
      <w:pPr>
        <w:pStyle w:val="CETReferencetext"/>
      </w:pPr>
      <w:r w:rsidRPr="00CB241D">
        <w:t xml:space="preserve">Santos, F., Freitas, K., Neto, J. C., Ana, G. F. S., Rocha-Leao, M. H., &amp; Amaral, P., 2018, Tiger nut (Cyperus esculentus) milk byproduct and corn steep liquor for biosurfactant production by </w:t>
      </w:r>
      <w:proofErr w:type="spellStart"/>
      <w:r w:rsidRPr="00CB241D">
        <w:t>Yarrowia</w:t>
      </w:r>
      <w:proofErr w:type="spellEnd"/>
      <w:r w:rsidRPr="00CB241D">
        <w:t xml:space="preserve"> </w:t>
      </w:r>
      <w:proofErr w:type="spellStart"/>
      <w:r w:rsidRPr="00CB241D">
        <w:t>lipolytica</w:t>
      </w:r>
      <w:proofErr w:type="spellEnd"/>
      <w:r w:rsidRPr="00CB241D">
        <w:t>. Chemical Engineering Transactions, 65, 331-336.</w:t>
      </w:r>
    </w:p>
    <w:p w14:paraId="383E9921" w14:textId="19B0F921" w:rsidR="00EE6330" w:rsidRPr="00CB241D" w:rsidRDefault="00EE6330" w:rsidP="00CB241D">
      <w:pPr>
        <w:pStyle w:val="CETReferencetext"/>
      </w:pPr>
      <w:proofErr w:type="spellStart"/>
      <w:r w:rsidRPr="00CB241D">
        <w:t>Tambat</w:t>
      </w:r>
      <w:proofErr w:type="spellEnd"/>
      <w:r w:rsidRPr="00CB241D">
        <w:t xml:space="preserve">, V. S., Patel, A. K., Singhania, R. R., </w:t>
      </w:r>
      <w:proofErr w:type="spellStart"/>
      <w:r w:rsidRPr="00CB241D">
        <w:t>Vadrale</w:t>
      </w:r>
      <w:proofErr w:type="spellEnd"/>
      <w:r w:rsidRPr="00CB241D">
        <w:t>, A. P., Tiwari, A., Chen, C. W., &amp; Dong, C. D.</w:t>
      </w:r>
      <w:r w:rsidR="00F91561" w:rsidRPr="00CB241D">
        <w:t xml:space="preserve">, </w:t>
      </w:r>
      <w:r w:rsidRPr="00CB241D">
        <w:t>2023</w:t>
      </w:r>
      <w:r w:rsidR="00F91561" w:rsidRPr="00CB241D">
        <w:t>,</w:t>
      </w:r>
      <w:r w:rsidRPr="00CB241D">
        <w:t xml:space="preserve"> Sustainable mixotrophic microalgae refinery of astaxanthin and lipid from Chlorella </w:t>
      </w:r>
      <w:proofErr w:type="spellStart"/>
      <w:r w:rsidRPr="00CB241D">
        <w:t>zofingiensis</w:t>
      </w:r>
      <w:proofErr w:type="spellEnd"/>
      <w:r w:rsidRPr="00CB241D">
        <w:t>. Bioresource Technology, 387, 129635.</w:t>
      </w:r>
    </w:p>
    <w:p w14:paraId="431C9B1B" w14:textId="3E817279" w:rsidR="00183295" w:rsidRPr="00CB241D" w:rsidRDefault="000B797D" w:rsidP="00CB241D">
      <w:pPr>
        <w:pStyle w:val="CETReferencetext"/>
      </w:pPr>
      <w:r w:rsidRPr="00CB241D">
        <w:t>Wellburn, A. R.</w:t>
      </w:r>
      <w:r w:rsidR="00F91561" w:rsidRPr="00CB241D">
        <w:t xml:space="preserve">, </w:t>
      </w:r>
      <w:r w:rsidRPr="00CB241D">
        <w:t>1994</w:t>
      </w:r>
      <w:r w:rsidR="00F91561" w:rsidRPr="00CB241D">
        <w:t>,</w:t>
      </w:r>
      <w:r w:rsidRPr="00CB241D">
        <w:t xml:space="preserve"> The spectral determination of chlorophylls a and b, as well as total carotenoids, using various solvents with spectrophotometers of different resolution. Journal of plant physiology, 144(3), 307-313</w:t>
      </w:r>
      <w:r w:rsidR="00183295" w:rsidRPr="00CB241D">
        <w:t>.</w:t>
      </w:r>
    </w:p>
    <w:p w14:paraId="6D129031" w14:textId="0140089F" w:rsidR="000B797D" w:rsidRPr="00CB241D" w:rsidRDefault="000B797D" w:rsidP="00CB241D">
      <w:pPr>
        <w:pStyle w:val="CETReferencetext"/>
      </w:pPr>
      <w:r w:rsidRPr="00CB241D">
        <w:t xml:space="preserve">Wood, E. E., Ross, M. E., </w:t>
      </w:r>
      <w:proofErr w:type="spellStart"/>
      <w:r w:rsidRPr="00CB241D">
        <w:t>Jubeau</w:t>
      </w:r>
      <w:proofErr w:type="spellEnd"/>
      <w:r w:rsidRPr="00CB241D">
        <w:t xml:space="preserve">, S., </w:t>
      </w:r>
      <w:proofErr w:type="spellStart"/>
      <w:r w:rsidRPr="00CB241D">
        <w:t>Montalescot</w:t>
      </w:r>
      <w:proofErr w:type="spellEnd"/>
      <w:r w:rsidRPr="00CB241D">
        <w:t>, V., &amp; Stanley, M. S.</w:t>
      </w:r>
      <w:r w:rsidR="00F91561" w:rsidRPr="00CB241D">
        <w:t xml:space="preserve">, </w:t>
      </w:r>
      <w:r w:rsidRPr="00CB241D">
        <w:t>2024</w:t>
      </w:r>
      <w:r w:rsidR="00F91561" w:rsidRPr="00CB241D">
        <w:t>,</w:t>
      </w:r>
      <w:r w:rsidRPr="00CB241D">
        <w:t xml:space="preserve"> Progress towards a targeted biorefinery of </w:t>
      </w:r>
      <w:proofErr w:type="spellStart"/>
      <w:r w:rsidRPr="00CB241D">
        <w:t>Chromochloris</w:t>
      </w:r>
      <w:proofErr w:type="spellEnd"/>
      <w:r w:rsidRPr="00CB241D">
        <w:t xml:space="preserve"> </w:t>
      </w:r>
      <w:proofErr w:type="spellStart"/>
      <w:r w:rsidRPr="00CB241D">
        <w:t>zofingiensis</w:t>
      </w:r>
      <w:proofErr w:type="spellEnd"/>
      <w:r w:rsidRPr="00CB241D">
        <w:t>: a review. Biomass Conversion and Biorefinery, 14(7), 8127-8152.</w:t>
      </w:r>
    </w:p>
    <w:p w14:paraId="465413B7" w14:textId="77777777" w:rsidR="000B797D" w:rsidRPr="00CB241D" w:rsidRDefault="000B797D" w:rsidP="00CB241D">
      <w:pPr>
        <w:pStyle w:val="CETReferencetext"/>
      </w:pPr>
    </w:p>
    <w:p w14:paraId="19F8B147" w14:textId="77777777" w:rsidR="000D2428" w:rsidRPr="00B53D16" w:rsidRDefault="000D2428" w:rsidP="00CB241D">
      <w:pPr>
        <w:pStyle w:val="CETReferencetext"/>
        <w:ind w:left="0" w:firstLine="0"/>
      </w:pPr>
    </w:p>
    <w:sectPr w:rsidR="000D2428" w:rsidRPr="00B53D16" w:rsidSect="00183295">
      <w:pgSz w:w="11906" w:h="16838" w:code="9"/>
      <w:pgMar w:top="1701" w:right="1418" w:bottom="1701" w:left="1701" w:header="1701"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6960">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16cid:durableId="79077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95"/>
    <w:rsid w:val="0001511A"/>
    <w:rsid w:val="000A344E"/>
    <w:rsid w:val="000A470D"/>
    <w:rsid w:val="000B2543"/>
    <w:rsid w:val="000B797D"/>
    <w:rsid w:val="000D2428"/>
    <w:rsid w:val="000D3E47"/>
    <w:rsid w:val="000D7488"/>
    <w:rsid w:val="000E1DB8"/>
    <w:rsid w:val="00101A99"/>
    <w:rsid w:val="0011026A"/>
    <w:rsid w:val="00130428"/>
    <w:rsid w:val="00150789"/>
    <w:rsid w:val="0018164C"/>
    <w:rsid w:val="001818F4"/>
    <w:rsid w:val="00183295"/>
    <w:rsid w:val="00207156"/>
    <w:rsid w:val="00216151"/>
    <w:rsid w:val="00247534"/>
    <w:rsid w:val="002C326D"/>
    <w:rsid w:val="002D676B"/>
    <w:rsid w:val="002E0447"/>
    <w:rsid w:val="002F151F"/>
    <w:rsid w:val="002F775E"/>
    <w:rsid w:val="0033581D"/>
    <w:rsid w:val="00337C05"/>
    <w:rsid w:val="00361791"/>
    <w:rsid w:val="00375804"/>
    <w:rsid w:val="003923E6"/>
    <w:rsid w:val="00397FFE"/>
    <w:rsid w:val="003B5B1C"/>
    <w:rsid w:val="004154EC"/>
    <w:rsid w:val="00452923"/>
    <w:rsid w:val="005154DB"/>
    <w:rsid w:val="00532A59"/>
    <w:rsid w:val="00533869"/>
    <w:rsid w:val="00570975"/>
    <w:rsid w:val="005E0A30"/>
    <w:rsid w:val="00616A19"/>
    <w:rsid w:val="006848B3"/>
    <w:rsid w:val="00727263"/>
    <w:rsid w:val="0073011F"/>
    <w:rsid w:val="00740335"/>
    <w:rsid w:val="00774423"/>
    <w:rsid w:val="0078593E"/>
    <w:rsid w:val="007C749E"/>
    <w:rsid w:val="007D2BF3"/>
    <w:rsid w:val="007E6286"/>
    <w:rsid w:val="00913D3E"/>
    <w:rsid w:val="0094212F"/>
    <w:rsid w:val="0094469D"/>
    <w:rsid w:val="00995DC0"/>
    <w:rsid w:val="009B21EA"/>
    <w:rsid w:val="009C0E9C"/>
    <w:rsid w:val="009F02A9"/>
    <w:rsid w:val="00A850D7"/>
    <w:rsid w:val="00AB4525"/>
    <w:rsid w:val="00AD6A41"/>
    <w:rsid w:val="00AE37AB"/>
    <w:rsid w:val="00AF5767"/>
    <w:rsid w:val="00B2386D"/>
    <w:rsid w:val="00B27DFD"/>
    <w:rsid w:val="00B53D16"/>
    <w:rsid w:val="00B8368A"/>
    <w:rsid w:val="00B91641"/>
    <w:rsid w:val="00B916D8"/>
    <w:rsid w:val="00B92082"/>
    <w:rsid w:val="00BD0256"/>
    <w:rsid w:val="00BD7F68"/>
    <w:rsid w:val="00BE7AC0"/>
    <w:rsid w:val="00C4424F"/>
    <w:rsid w:val="00C9044F"/>
    <w:rsid w:val="00C94F12"/>
    <w:rsid w:val="00CB241D"/>
    <w:rsid w:val="00D0436C"/>
    <w:rsid w:val="00D23EF5"/>
    <w:rsid w:val="00D3679D"/>
    <w:rsid w:val="00D40558"/>
    <w:rsid w:val="00D91482"/>
    <w:rsid w:val="00DA5040"/>
    <w:rsid w:val="00DE3433"/>
    <w:rsid w:val="00E0370D"/>
    <w:rsid w:val="00E2311A"/>
    <w:rsid w:val="00E25AAE"/>
    <w:rsid w:val="00E540AE"/>
    <w:rsid w:val="00E87B5F"/>
    <w:rsid w:val="00EE6330"/>
    <w:rsid w:val="00F118DF"/>
    <w:rsid w:val="00F6270E"/>
    <w:rsid w:val="00F72402"/>
    <w:rsid w:val="00F85A7E"/>
    <w:rsid w:val="00F91561"/>
    <w:rsid w:val="00FD01C1"/>
    <w:rsid w:val="00FE2A6F"/>
    <w:rsid w:val="00FE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3EA1"/>
  <w15:chartTrackingRefBased/>
  <w15:docId w15:val="{2EEF80E6-9D49-44AA-880D-F1CA1DBB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183295"/>
    <w:pPr>
      <w:tabs>
        <w:tab w:val="right" w:pos="7100"/>
      </w:tabs>
      <w:spacing w:after="0" w:line="264" w:lineRule="auto"/>
      <w:jc w:val="both"/>
    </w:pPr>
    <w:rPr>
      <w:rFonts w:ascii="Arial" w:eastAsia="Times New Roman" w:hAnsi="Arial" w:cs="Times New Roman"/>
      <w:kern w:val="0"/>
      <w:sz w:val="18"/>
      <w:szCs w:val="20"/>
      <w:lang w:val="en-GB"/>
      <w14:ligatures w14:val="none"/>
    </w:rPr>
  </w:style>
  <w:style w:type="paragraph" w:styleId="Titolo1">
    <w:name w:val="heading 1"/>
    <w:basedOn w:val="Normale"/>
    <w:next w:val="Normale"/>
    <w:link w:val="Titolo1Carattere"/>
    <w:uiPriority w:val="9"/>
    <w:qFormat/>
    <w:rsid w:val="00183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83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8329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8329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8329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8329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329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329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329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329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8329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8329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8329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8329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832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32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32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32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3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32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329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32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329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3295"/>
    <w:rPr>
      <w:i/>
      <w:iCs/>
      <w:color w:val="404040" w:themeColor="text1" w:themeTint="BF"/>
    </w:rPr>
  </w:style>
  <w:style w:type="paragraph" w:styleId="Paragrafoelenco">
    <w:name w:val="List Paragraph"/>
    <w:basedOn w:val="Normale"/>
    <w:uiPriority w:val="34"/>
    <w:qFormat/>
    <w:rsid w:val="00183295"/>
    <w:pPr>
      <w:ind w:left="720"/>
      <w:contextualSpacing/>
    </w:pPr>
  </w:style>
  <w:style w:type="character" w:styleId="Enfasiintensa">
    <w:name w:val="Intense Emphasis"/>
    <w:basedOn w:val="Carpredefinitoparagrafo"/>
    <w:uiPriority w:val="21"/>
    <w:qFormat/>
    <w:rsid w:val="00183295"/>
    <w:rPr>
      <w:i/>
      <w:iCs/>
      <w:color w:val="2F5496" w:themeColor="accent1" w:themeShade="BF"/>
    </w:rPr>
  </w:style>
  <w:style w:type="paragraph" w:styleId="Citazioneintensa">
    <w:name w:val="Intense Quote"/>
    <w:basedOn w:val="Normale"/>
    <w:next w:val="Normale"/>
    <w:link w:val="CitazioneintensaCarattere"/>
    <w:uiPriority w:val="30"/>
    <w:qFormat/>
    <w:rsid w:val="00183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83295"/>
    <w:rPr>
      <w:i/>
      <w:iCs/>
      <w:color w:val="2F5496" w:themeColor="accent1" w:themeShade="BF"/>
    </w:rPr>
  </w:style>
  <w:style w:type="character" w:styleId="Riferimentointenso">
    <w:name w:val="Intense Reference"/>
    <w:basedOn w:val="Carpredefinitoparagrafo"/>
    <w:uiPriority w:val="32"/>
    <w:qFormat/>
    <w:rsid w:val="00183295"/>
    <w:rPr>
      <w:b/>
      <w:bCs/>
      <w:smallCaps/>
      <w:color w:val="2F5496" w:themeColor="accent1" w:themeShade="BF"/>
      <w:spacing w:val="5"/>
    </w:rPr>
  </w:style>
  <w:style w:type="paragraph" w:customStyle="1" w:styleId="CETAuthors">
    <w:name w:val="CET Authors"/>
    <w:basedOn w:val="CETBodytext"/>
    <w:link w:val="CETAuthorsCarattere"/>
    <w:qFormat/>
    <w:rsid w:val="00183295"/>
    <w:pPr>
      <w:keepNext/>
      <w:suppressAutoHyphens/>
      <w:spacing w:after="120"/>
    </w:pPr>
    <w:rPr>
      <w:noProof/>
      <w:sz w:val="24"/>
      <w:lang w:val="en-GB"/>
    </w:rPr>
  </w:style>
  <w:style w:type="character" w:customStyle="1" w:styleId="CETAuthorsCarattere">
    <w:name w:val="CET Authors Carattere"/>
    <w:link w:val="CETAuthors"/>
    <w:rsid w:val="00183295"/>
    <w:rPr>
      <w:rFonts w:ascii="Arial" w:eastAsia="Times New Roman" w:hAnsi="Arial" w:cs="Times New Roman"/>
      <w:noProof/>
      <w:kern w:val="0"/>
      <w:sz w:val="24"/>
      <w:szCs w:val="20"/>
      <w:lang w:val="en-GB"/>
      <w14:ligatures w14:val="none"/>
    </w:rPr>
  </w:style>
  <w:style w:type="paragraph" w:customStyle="1" w:styleId="CETHeading1">
    <w:name w:val="CET Heading1"/>
    <w:next w:val="CETBodytext"/>
    <w:qFormat/>
    <w:rsid w:val="00183295"/>
    <w:pPr>
      <w:keepNext/>
      <w:numPr>
        <w:ilvl w:val="1"/>
        <w:numId w:val="1"/>
      </w:numPr>
      <w:tabs>
        <w:tab w:val="num" w:pos="360"/>
      </w:tabs>
      <w:suppressAutoHyphens/>
      <w:spacing w:before="240" w:after="120" w:line="240" w:lineRule="auto"/>
    </w:pPr>
    <w:rPr>
      <w:rFonts w:ascii="Arial" w:eastAsia="Times New Roman" w:hAnsi="Arial" w:cs="Times New Roman"/>
      <w:b/>
      <w:kern w:val="0"/>
      <w:sz w:val="20"/>
      <w:szCs w:val="20"/>
      <w:lang w:val="en-US"/>
      <w14:ligatures w14:val="none"/>
    </w:rPr>
  </w:style>
  <w:style w:type="paragraph" w:customStyle="1" w:styleId="CETBodytext">
    <w:name w:val="CET Body text"/>
    <w:link w:val="CETBodytextCarattere"/>
    <w:qFormat/>
    <w:rsid w:val="00183295"/>
    <w:pPr>
      <w:tabs>
        <w:tab w:val="right" w:pos="7100"/>
      </w:tabs>
      <w:spacing w:after="0" w:line="264" w:lineRule="auto"/>
      <w:jc w:val="both"/>
    </w:pPr>
    <w:rPr>
      <w:rFonts w:ascii="Arial" w:eastAsia="Times New Roman" w:hAnsi="Arial" w:cs="Times New Roman"/>
      <w:kern w:val="0"/>
      <w:sz w:val="18"/>
      <w:szCs w:val="20"/>
      <w:lang w:val="en-US"/>
      <w14:ligatures w14:val="none"/>
    </w:rPr>
  </w:style>
  <w:style w:type="paragraph" w:customStyle="1" w:styleId="CETheadingx">
    <w:name w:val="CET headingx"/>
    <w:next w:val="CETBodytext"/>
    <w:link w:val="CETheadingxCarattere"/>
    <w:autoRedefine/>
    <w:qFormat/>
    <w:rsid w:val="0094212F"/>
    <w:pPr>
      <w:keepNext/>
      <w:suppressAutoHyphens/>
      <w:spacing w:before="120" w:after="120" w:line="240" w:lineRule="auto"/>
    </w:pPr>
    <w:rPr>
      <w:rFonts w:ascii="Arial" w:eastAsia="Times New Roman" w:hAnsi="Arial" w:cs="Times New Roman"/>
      <w:b/>
      <w:kern w:val="0"/>
      <w:sz w:val="18"/>
      <w:szCs w:val="20"/>
      <w:lang w:val="en-US"/>
      <w14:ligatures w14:val="none"/>
    </w:rPr>
  </w:style>
  <w:style w:type="paragraph" w:customStyle="1" w:styleId="CETAddress">
    <w:name w:val="CET Address"/>
    <w:link w:val="CETAddressCarattere"/>
    <w:qFormat/>
    <w:rsid w:val="00183295"/>
    <w:pPr>
      <w:keepNext/>
      <w:suppressAutoHyphens/>
      <w:spacing w:after="0" w:line="276" w:lineRule="auto"/>
      <w:contextualSpacing/>
    </w:pPr>
    <w:rPr>
      <w:rFonts w:ascii="Arial" w:eastAsia="Times New Roman" w:hAnsi="Arial" w:cs="Times New Roman"/>
      <w:noProof/>
      <w:kern w:val="0"/>
      <w:sz w:val="16"/>
      <w:szCs w:val="20"/>
      <w:lang w:val="en-GB"/>
      <w14:ligatures w14:val="none"/>
    </w:rPr>
  </w:style>
  <w:style w:type="table" w:styleId="Tabellasemplice1">
    <w:name w:val="Table Simple 1"/>
    <w:basedOn w:val="Tabellanormale"/>
    <w:semiHidden/>
    <w:rsid w:val="00183295"/>
    <w:pPr>
      <w:numPr>
        <w:ilvl w:val="3"/>
        <w:numId w:val="1"/>
      </w:numPr>
      <w:spacing w:after="0" w:line="264" w:lineRule="auto"/>
      <w:jc w:val="both"/>
    </w:pPr>
    <w:rPr>
      <w:rFonts w:ascii="Times New Roman" w:eastAsia="Times New Roman" w:hAnsi="Times New Roman" w:cs="Times New Roman"/>
      <w:kern w:val="0"/>
      <w:sz w:val="20"/>
      <w:szCs w:val="20"/>
      <w:lang w:eastAsia="it-I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183295"/>
    <w:rPr>
      <w:rFonts w:ascii="Arial" w:eastAsia="Times New Roman" w:hAnsi="Arial" w:cs="Times New Roman"/>
      <w:kern w:val="0"/>
      <w:sz w:val="18"/>
      <w:szCs w:val="20"/>
      <w:lang w:val="en-US"/>
      <w14:ligatures w14:val="none"/>
    </w:rPr>
  </w:style>
  <w:style w:type="paragraph" w:customStyle="1" w:styleId="CETReference">
    <w:name w:val="CET Reference"/>
    <w:qFormat/>
    <w:rsid w:val="00183295"/>
    <w:pPr>
      <w:spacing w:before="200" w:after="120" w:line="240" w:lineRule="auto"/>
    </w:pPr>
    <w:rPr>
      <w:rFonts w:ascii="Arial" w:eastAsia="Times New Roman" w:hAnsi="Arial" w:cs="Times New Roman"/>
      <w:b/>
      <w:kern w:val="0"/>
      <w:sz w:val="18"/>
      <w:szCs w:val="20"/>
      <w:lang w:val="en-GB"/>
      <w14:ligatures w14:val="none"/>
    </w:rPr>
  </w:style>
  <w:style w:type="paragraph" w:customStyle="1" w:styleId="CETCaption">
    <w:name w:val="CET Caption"/>
    <w:link w:val="CETCaptionCarattere"/>
    <w:qFormat/>
    <w:rsid w:val="00183295"/>
    <w:pPr>
      <w:spacing w:before="240" w:after="240" w:line="264" w:lineRule="auto"/>
      <w:jc w:val="both"/>
    </w:pPr>
    <w:rPr>
      <w:rFonts w:ascii="Arial" w:eastAsia="Times New Roman" w:hAnsi="Arial" w:cs="Times New Roman"/>
      <w:i/>
      <w:kern w:val="0"/>
      <w:sz w:val="18"/>
      <w:szCs w:val="20"/>
      <w:lang w:val="en-GB"/>
      <w14:ligatures w14:val="none"/>
    </w:rPr>
  </w:style>
  <w:style w:type="character" w:customStyle="1" w:styleId="CETheadingxCarattere">
    <w:name w:val="CET headingx Carattere"/>
    <w:link w:val="CETheadingx"/>
    <w:rsid w:val="0094212F"/>
    <w:rPr>
      <w:rFonts w:ascii="Arial" w:eastAsia="Times New Roman" w:hAnsi="Arial" w:cs="Times New Roman"/>
      <w:b/>
      <w:kern w:val="0"/>
      <w:sz w:val="18"/>
      <w:szCs w:val="20"/>
      <w:lang w:val="en-US"/>
      <w14:ligatures w14:val="none"/>
    </w:rPr>
  </w:style>
  <w:style w:type="character" w:customStyle="1" w:styleId="CETCaptionCarattere">
    <w:name w:val="CET Caption Carattere"/>
    <w:link w:val="CETCaption"/>
    <w:rsid w:val="00183295"/>
    <w:rPr>
      <w:rFonts w:ascii="Arial" w:eastAsia="Times New Roman" w:hAnsi="Arial" w:cs="Times New Roman"/>
      <w:i/>
      <w:kern w:val="0"/>
      <w:sz w:val="18"/>
      <w:szCs w:val="20"/>
      <w:lang w:val="en-GB"/>
      <w14:ligatures w14:val="none"/>
    </w:rPr>
  </w:style>
  <w:style w:type="character" w:customStyle="1" w:styleId="CETAddressCarattere">
    <w:name w:val="CET Address Carattere"/>
    <w:basedOn w:val="Carpredefinitoparagrafo"/>
    <w:link w:val="CETAddress"/>
    <w:rsid w:val="00183295"/>
    <w:rPr>
      <w:rFonts w:ascii="Arial" w:eastAsia="Times New Roman" w:hAnsi="Arial" w:cs="Times New Roman"/>
      <w:noProof/>
      <w:kern w:val="0"/>
      <w:sz w:val="16"/>
      <w:szCs w:val="20"/>
      <w:lang w:val="en-GB"/>
      <w14:ligatures w14:val="none"/>
    </w:rPr>
  </w:style>
  <w:style w:type="character" w:styleId="Collegamentoipertestuale">
    <w:name w:val="Hyperlink"/>
    <w:basedOn w:val="Carpredefinitoparagrafo"/>
    <w:uiPriority w:val="99"/>
    <w:unhideWhenUsed/>
    <w:rsid w:val="00183295"/>
    <w:rPr>
      <w:color w:val="0563C1" w:themeColor="hyperlink"/>
      <w:u w:val="single"/>
    </w:rPr>
  </w:style>
  <w:style w:type="paragraph" w:customStyle="1" w:styleId="CETReferencetext">
    <w:name w:val="CET Reference text"/>
    <w:qFormat/>
    <w:rsid w:val="00183295"/>
    <w:pPr>
      <w:spacing w:after="0" w:line="264" w:lineRule="auto"/>
      <w:ind w:left="284" w:hanging="284"/>
      <w:jc w:val="both"/>
    </w:pPr>
    <w:rPr>
      <w:rFonts w:ascii="Arial" w:eastAsia="Times New Roman" w:hAnsi="Arial" w:cs="Times New Roman"/>
      <w:kern w:val="0"/>
      <w:sz w:val="18"/>
      <w:szCs w:val="20"/>
      <w:lang w:val="en-GB"/>
      <w14:ligatures w14:val="none"/>
    </w:rPr>
  </w:style>
  <w:style w:type="paragraph" w:customStyle="1" w:styleId="CETAcknowledgementstitle">
    <w:name w:val="CET Acknowledgements title"/>
    <w:next w:val="CETBodytext"/>
    <w:qFormat/>
    <w:rsid w:val="00183295"/>
    <w:pPr>
      <w:spacing w:before="200" w:after="120" w:line="276" w:lineRule="auto"/>
    </w:pPr>
    <w:rPr>
      <w:rFonts w:ascii="Arial" w:eastAsia="Times New Roman" w:hAnsi="Arial" w:cs="Times New Roman"/>
      <w:b/>
      <w:kern w:val="0"/>
      <w:sz w:val="18"/>
      <w:szCs w:val="20"/>
      <w:lang w:val="en-GB"/>
      <w14:ligatures w14:val="none"/>
    </w:rPr>
  </w:style>
  <w:style w:type="paragraph" w:customStyle="1" w:styleId="CETEquation">
    <w:name w:val="CET Equation"/>
    <w:basedOn w:val="CETBodytext"/>
    <w:next w:val="CETBodytext"/>
    <w:qFormat/>
    <w:rsid w:val="00183295"/>
    <w:pPr>
      <w:spacing w:before="120" w:after="120"/>
      <w:jc w:val="left"/>
    </w:pPr>
    <w:rPr>
      <w:lang w:val="en-GB"/>
    </w:rPr>
  </w:style>
  <w:style w:type="character" w:styleId="Enfasigrassetto">
    <w:name w:val="Strong"/>
    <w:basedOn w:val="Carpredefinitoparagrafo"/>
    <w:uiPriority w:val="22"/>
    <w:qFormat/>
    <w:rsid w:val="00183295"/>
    <w:rPr>
      <w:b/>
      <w:bCs/>
    </w:rPr>
  </w:style>
  <w:style w:type="character" w:styleId="Enfasicorsivo">
    <w:name w:val="Emphasis"/>
    <w:basedOn w:val="Carpredefinitoparagrafo"/>
    <w:uiPriority w:val="20"/>
    <w:qFormat/>
    <w:rsid w:val="00183295"/>
    <w:rPr>
      <w:i/>
      <w:iCs/>
    </w:rPr>
  </w:style>
  <w:style w:type="character" w:styleId="Rimandocommento">
    <w:name w:val="annotation reference"/>
    <w:basedOn w:val="Carpredefinitoparagrafo"/>
    <w:uiPriority w:val="99"/>
    <w:semiHidden/>
    <w:unhideWhenUsed/>
    <w:rsid w:val="00B91641"/>
    <w:rPr>
      <w:sz w:val="16"/>
      <w:szCs w:val="16"/>
    </w:rPr>
  </w:style>
  <w:style w:type="paragraph" w:styleId="Testocommento">
    <w:name w:val="annotation text"/>
    <w:basedOn w:val="Normale"/>
    <w:link w:val="TestocommentoCarattere"/>
    <w:uiPriority w:val="99"/>
    <w:unhideWhenUsed/>
    <w:rsid w:val="00B91641"/>
    <w:pPr>
      <w:spacing w:line="240" w:lineRule="auto"/>
    </w:pPr>
    <w:rPr>
      <w:sz w:val="20"/>
    </w:rPr>
  </w:style>
  <w:style w:type="character" w:customStyle="1" w:styleId="TestocommentoCarattere">
    <w:name w:val="Testo commento Carattere"/>
    <w:basedOn w:val="Carpredefinitoparagrafo"/>
    <w:link w:val="Testocommento"/>
    <w:uiPriority w:val="99"/>
    <w:rsid w:val="00B91641"/>
    <w:rPr>
      <w:rFonts w:ascii="Arial" w:eastAsia="Times New Roman" w:hAnsi="Arial" w:cs="Times New Roman"/>
      <w:kern w:val="0"/>
      <w:sz w:val="20"/>
      <w:szCs w:val="20"/>
      <w:lang w:val="en-GB"/>
      <w14:ligatures w14:val="none"/>
    </w:rPr>
  </w:style>
  <w:style w:type="paragraph" w:styleId="Soggettocommento">
    <w:name w:val="annotation subject"/>
    <w:basedOn w:val="Testocommento"/>
    <w:next w:val="Testocommento"/>
    <w:link w:val="SoggettocommentoCarattere"/>
    <w:uiPriority w:val="99"/>
    <w:semiHidden/>
    <w:unhideWhenUsed/>
    <w:rsid w:val="00B91641"/>
    <w:rPr>
      <w:b/>
      <w:bCs/>
    </w:rPr>
  </w:style>
  <w:style w:type="character" w:customStyle="1" w:styleId="SoggettocommentoCarattere">
    <w:name w:val="Soggetto commento Carattere"/>
    <w:basedOn w:val="TestocommentoCarattere"/>
    <w:link w:val="Soggettocommento"/>
    <w:uiPriority w:val="99"/>
    <w:semiHidden/>
    <w:rsid w:val="00B91641"/>
    <w:rPr>
      <w:rFonts w:ascii="Arial" w:eastAsia="Times New Roman" w:hAnsi="Arial" w:cs="Times New Roman"/>
      <w:b/>
      <w:bCs/>
      <w:kern w:val="0"/>
      <w:sz w:val="20"/>
      <w:szCs w:val="20"/>
      <w:lang w:val="en-GB"/>
      <w14:ligatures w14:val="none"/>
    </w:rPr>
  </w:style>
  <w:style w:type="paragraph" w:styleId="Testofumetto">
    <w:name w:val="Balloon Text"/>
    <w:basedOn w:val="Normale"/>
    <w:link w:val="TestofumettoCarattere"/>
    <w:uiPriority w:val="99"/>
    <w:semiHidden/>
    <w:unhideWhenUsed/>
    <w:rsid w:val="00B91641"/>
    <w:pPr>
      <w:spacing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B91641"/>
    <w:rPr>
      <w:rFonts w:ascii="Segoe UI" w:eastAsia="Times New Roman" w:hAnsi="Segoe UI" w:cs="Segoe UI"/>
      <w:kern w:val="0"/>
      <w:sz w:val="18"/>
      <w:szCs w:val="18"/>
      <w:lang w:val="en-GB"/>
      <w14:ligatures w14:val="none"/>
    </w:rPr>
  </w:style>
  <w:style w:type="character" w:styleId="Menzionenonrisolta">
    <w:name w:val="Unresolved Mention"/>
    <w:basedOn w:val="Carpredefinitoparagrafo"/>
    <w:uiPriority w:val="99"/>
    <w:semiHidden/>
    <w:unhideWhenUsed/>
    <w:rsid w:val="009F02A9"/>
    <w:rPr>
      <w:color w:val="605E5C"/>
      <w:shd w:val="clear" w:color="auto" w:fill="E1DFDD"/>
    </w:rPr>
  </w:style>
  <w:style w:type="paragraph" w:styleId="Revisione">
    <w:name w:val="Revision"/>
    <w:hidden/>
    <w:uiPriority w:val="99"/>
    <w:semiHidden/>
    <w:rsid w:val="00B92082"/>
    <w:pPr>
      <w:spacing w:after="0" w:line="240" w:lineRule="auto"/>
    </w:pPr>
    <w:rPr>
      <w:rFonts w:ascii="Arial" w:eastAsia="Times New Roman" w:hAnsi="Arial" w:cs="Times New Roman"/>
      <w:kern w:val="0"/>
      <w:sz w:val="1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cozzolino@uni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Segnaposto1</b:Tag>
    <b:SourceType>JournalArticle</b:SourceType>
    <b:Guid>{D07A74CE-9384-43E0-A9AC-52A95DD89DF7}</b:Guid>
    <b:RefOrder>1</b:RefOrder>
  </b:Source>
</b:Sources>
</file>

<file path=customXml/itemProps1.xml><?xml version="1.0" encoding="utf-8"?>
<ds:datastoreItem xmlns:ds="http://schemas.openxmlformats.org/officeDocument/2006/customXml" ds:itemID="{CFC59354-78C3-4248-A770-4D20C5A5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3005</Words>
  <Characters>17130</Characters>
  <Application>Microsoft Office Word</Application>
  <DocSecurity>0</DocSecurity>
  <Lines>142</Lines>
  <Paragraphs>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SIMONA</cp:lastModifiedBy>
  <cp:revision>3</cp:revision>
  <dcterms:created xsi:type="dcterms:W3CDTF">2026-03-03T16:07:00Z</dcterms:created>
  <dcterms:modified xsi:type="dcterms:W3CDTF">2026-03-04T14:27:00Z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2025-12-19T11:03:11Z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4375ee5c-ebaf-4087-95d9-ef602b02eb8c</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