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72FD498" w:rsidR="00E978D0" w:rsidRPr="00B57B36" w:rsidRDefault="0000464D" w:rsidP="00E978D0">
      <w:pPr>
        <w:pStyle w:val="CETTitle"/>
      </w:pPr>
      <w:r>
        <w:t xml:space="preserve">Magnetic MOF Nanocomposites </w:t>
      </w:r>
      <w:r w:rsidR="00E27EC9">
        <w:t>as</w:t>
      </w:r>
      <w:r>
        <w:t xml:space="preserve"> a Double-Mechanism Functional Material </w:t>
      </w:r>
      <w:r w:rsidR="00E27EC9">
        <w:t>f</w:t>
      </w:r>
      <w:r>
        <w:t>or Antibiotic Degradation</w:t>
      </w:r>
    </w:p>
    <w:p w14:paraId="0488FED2" w14:textId="77C92E6A" w:rsidR="00B57E6F" w:rsidRPr="00B57B36" w:rsidRDefault="0000464D" w:rsidP="00B57E6F">
      <w:pPr>
        <w:pStyle w:val="CETAuthors"/>
      </w:pPr>
      <w:r>
        <w:t>Katja Vasić</w:t>
      </w:r>
      <w:r w:rsidR="00B57E6F" w:rsidRPr="00B57B36">
        <w:rPr>
          <w:vertAlign w:val="superscript"/>
        </w:rPr>
        <w:t>a</w:t>
      </w:r>
      <w:r>
        <w:rPr>
          <w:vertAlign w:val="superscript"/>
        </w:rPr>
        <w:t>,b</w:t>
      </w:r>
      <w:r w:rsidR="00B57E6F" w:rsidRPr="00B57B36">
        <w:t xml:space="preserve">, </w:t>
      </w:r>
      <w:r>
        <w:t>Mateja Primožič</w:t>
      </w:r>
      <w:r>
        <w:rPr>
          <w:vertAlign w:val="superscript"/>
        </w:rPr>
        <w:t>a</w:t>
      </w:r>
      <w:r w:rsidR="00B57E6F" w:rsidRPr="00B57B36">
        <w:t>,</w:t>
      </w:r>
      <w:r>
        <w:t xml:space="preserve"> Željko Knez</w:t>
      </w:r>
      <w:r>
        <w:rPr>
          <w:vertAlign w:val="superscript"/>
        </w:rPr>
        <w:t>a</w:t>
      </w:r>
      <w:r w:rsidRPr="00B57B36">
        <w:rPr>
          <w:vertAlign w:val="superscript"/>
        </w:rPr>
        <w:t>,</w:t>
      </w:r>
      <w:r>
        <w:rPr>
          <w:vertAlign w:val="superscript"/>
        </w:rPr>
        <w:t>c</w:t>
      </w:r>
      <w:r w:rsidRPr="00B57B36">
        <w:t>,</w:t>
      </w:r>
      <w:r>
        <w:t xml:space="preserve"> Maja Leitgeb</w:t>
      </w:r>
      <w:r>
        <w:rPr>
          <w:vertAlign w:val="superscript"/>
        </w:rPr>
        <w:t>a</w:t>
      </w:r>
      <w:r w:rsidRPr="00B57B36">
        <w:rPr>
          <w:vertAlign w:val="superscript"/>
        </w:rPr>
        <w:t>,</w:t>
      </w:r>
      <w:r>
        <w:rPr>
          <w:vertAlign w:val="superscript"/>
        </w:rPr>
        <w:t>c,</w:t>
      </w:r>
      <w:r w:rsidRPr="00B57B36">
        <w:t>*</w:t>
      </w:r>
    </w:p>
    <w:p w14:paraId="2AF5B359" w14:textId="77777777" w:rsidR="0000464D" w:rsidRDefault="00B57E6F" w:rsidP="00B57E6F">
      <w:pPr>
        <w:pStyle w:val="CETAddress"/>
      </w:pPr>
      <w:r w:rsidRPr="00B57B36">
        <w:rPr>
          <w:vertAlign w:val="superscript"/>
        </w:rPr>
        <w:t>a</w:t>
      </w:r>
      <w:r w:rsidR="0000464D" w:rsidRPr="0000464D">
        <w:t xml:space="preserve"> University of Maribor, Faculty of Chemistry and Chemical Engineering, Laboratory of Separation Processes and Product Design, Smetanova ulica 17, 2000 Maribor, Slovenia </w:t>
      </w:r>
    </w:p>
    <w:p w14:paraId="1AA2D9A4" w14:textId="77777777" w:rsidR="0000464D" w:rsidRDefault="00B57E6F" w:rsidP="0000464D">
      <w:pPr>
        <w:pStyle w:val="CETAddress"/>
      </w:pPr>
      <w:r w:rsidRPr="00B57B36">
        <w:rPr>
          <w:vertAlign w:val="superscript"/>
        </w:rPr>
        <w:t>b</w:t>
      </w:r>
      <w:r w:rsidR="0000464D" w:rsidRPr="0000464D">
        <w:t xml:space="preserve"> University of Maribor, Faculty of Electrical Engineering and Computer Science, Institute of Electrical Power Engineering, Laboratory for applied electromagnetics, Koroška cesta 46, 2000 Maribor</w:t>
      </w:r>
    </w:p>
    <w:p w14:paraId="426D9216" w14:textId="3C306496" w:rsidR="0000464D" w:rsidRDefault="0000464D" w:rsidP="0000464D">
      <w:pPr>
        <w:pStyle w:val="CETAddress"/>
      </w:pPr>
      <w:r w:rsidRPr="0000464D">
        <w:rPr>
          <w:vertAlign w:val="superscript"/>
        </w:rPr>
        <w:t>c</w:t>
      </w:r>
      <w:r w:rsidRPr="0000464D">
        <w:t>University of Maribor, Faculty of Medicine, Taborska ulica 8, 2000 Maribor, Slovenia</w:t>
      </w:r>
    </w:p>
    <w:p w14:paraId="73F1267A" w14:textId="1C1A0395" w:rsidR="00B57E6F" w:rsidRDefault="00197017" w:rsidP="0000464D">
      <w:pPr>
        <w:pStyle w:val="CETAddress"/>
      </w:pPr>
      <w:hyperlink r:id="rId10" w:history="1">
        <w:r w:rsidRPr="00C106B1">
          <w:rPr>
            <w:rStyle w:val="Hiperpovezava"/>
          </w:rPr>
          <w:t>maja.leitgeb@um.si</w:t>
        </w:r>
      </w:hyperlink>
    </w:p>
    <w:p w14:paraId="61D1E1C0" w14:textId="77777777" w:rsidR="000C4763" w:rsidRDefault="000C4763" w:rsidP="000C4763">
      <w:pPr>
        <w:pStyle w:val="CETBodytext"/>
      </w:pPr>
    </w:p>
    <w:p w14:paraId="478C1579" w14:textId="32992240" w:rsidR="000C4763" w:rsidRPr="000C4763" w:rsidRDefault="000C4763" w:rsidP="000C4763">
      <w:pPr>
        <w:pStyle w:val="CETBodytext"/>
      </w:pPr>
      <w:r w:rsidRPr="000C4763">
        <w:t>The widespread use of antibiotics has led to their continuous release into aquatic environments, creating significant environmental and public health concerns. In this study, magnetic metal–organic framework nanocomposites (mZIF-8) were developed as multifunctional materials enabling simultaneous adsorption and enzymatic degradation of penicillin (PEN). Fe</w:t>
      </w:r>
      <w:r w:rsidRPr="000C4763">
        <w:rPr>
          <w:rFonts w:ascii="Cambria Math" w:hAnsi="Cambria Math" w:cs="Cambria Math"/>
        </w:rPr>
        <w:t>₃</w:t>
      </w:r>
      <w:r w:rsidRPr="000C4763">
        <w:t>O</w:t>
      </w:r>
      <w:r w:rsidRPr="000C4763">
        <w:rPr>
          <w:rFonts w:ascii="Cambria Math" w:hAnsi="Cambria Math" w:cs="Cambria Math"/>
        </w:rPr>
        <w:t>₄</w:t>
      </w:r>
      <w:r w:rsidRPr="000C4763">
        <w:t xml:space="preserve"> nanoparticles coated with arabinogalactan were incorporated into ZIF-8 to allow magnetic recovery, while </w:t>
      </w:r>
      <w:r w:rsidRPr="000C4763">
        <w:rPr>
          <w:rFonts w:cs="Arial"/>
        </w:rPr>
        <w:t>β</w:t>
      </w:r>
      <w:r w:rsidRPr="000C4763">
        <w:t>-lactamase was covalently immobilized using glutaraldehyde (GA). The immobilization process was optimized by varying GA concentration, with the highest residual enzyme activity (59%) and immobilization efficiency (90%) obtained at 5% (v/v) GA. The β-lactamase@mZIF-8 system exhibited a dual removal mechanism combining rapid adsorption and catalytic degradation. At 0.1 mg/mL PEN, nearly complete removal was achieved within 40 min, primarily driven by adsorption. At 1 mg/mL, adsorption remained dominant but enzymatic catalysis accelerated removal kinetics. At 10 mg/mL, adsorption capacity became saturated, while immobilized β-lactamase enabled continued degradation, reducing PEN concentration to 6% after 192 h. These results demonstrate that enzyme immobilization on magnetic ZIF-8 significantly enhances pollutant removal efficiency and extends the operational range of adsorption-based systems for antibiotic remediation.</w:t>
      </w:r>
    </w:p>
    <w:p w14:paraId="476B2F2E" w14:textId="77777777" w:rsidR="00600535" w:rsidRPr="00B57B36" w:rsidRDefault="00600535" w:rsidP="00600535">
      <w:pPr>
        <w:pStyle w:val="CETHeading1"/>
        <w:rPr>
          <w:lang w:val="en-GB"/>
        </w:rPr>
      </w:pPr>
      <w:r w:rsidRPr="00B57B36">
        <w:rPr>
          <w:lang w:val="en-GB"/>
        </w:rPr>
        <w:t>Introduction</w:t>
      </w:r>
    </w:p>
    <w:p w14:paraId="13CD366D" w14:textId="22C118DF" w:rsidR="006D76E6" w:rsidRDefault="006D76E6" w:rsidP="006D76E6">
      <w:pPr>
        <w:pStyle w:val="CETBodytext"/>
        <w:rPr>
          <w:lang w:val="en-GB"/>
        </w:rPr>
      </w:pPr>
      <w:r w:rsidRPr="006D76E6">
        <w:rPr>
          <w:lang w:val="en-GB"/>
        </w:rPr>
        <w:t>The presence of antibiotics in aquatic environments represents a serious environmental challenge due to their extensive use in medicine and agriculture, which leads to continuous release into wastewater and surface waters (Barathe et al., 2024; Ehalt Macedo et al., 2025). The long-term persistence of antibiotic residues promotes antimicrobial resistance, negatively affects aquatic ecosystems, and poses risks to human health (Yan et al., 2024). Among the most frequently detected compounds are β-lactam antibiotics, such as penicillin, largely due to their widespread and prolonged use (Sta Ana et al., 2021). One promising approach for their removal involves enzymatic degradation using β-lactamase, a hydrolytic enzyme that cleaves the β-lactam ring and inactivates the antibiotic (Lin et al., 2025). However, the practical application of free β-lactamase remains limited by poor stability, sensitivity to environmental conditions, and low reusability, motivating the development of suitable immobilization supports (Yang et al., 2021).</w:t>
      </w:r>
      <w:r>
        <w:rPr>
          <w:lang w:val="en-GB"/>
        </w:rPr>
        <w:t xml:space="preserve"> </w:t>
      </w:r>
      <w:r w:rsidRPr="006D76E6">
        <w:rPr>
          <w:lang w:val="en-GB"/>
        </w:rPr>
        <w:t>Metal–organic frameworks (MOFs) are attractive materials for enzyme immobilization due to their high surface area, porosity, chemical functionality, and structural versatility (Bhuyan and Ahmaruzzaman, 2022). Enzyme immobilization within MOFs can enhance catalytic activity and stability while improving resistance to denaturation (Rodríguez-Mejía et al., 2025). Zeolitic imidazolate frameworks, particularly ZIF-8, combine high chemical stability, biocompatibility, and a porous architecture favorable for water treatment applications (Bergaoui et al., 2021; Wu et al., 2019; Dai et al., 2021). Nevertheless, pristine ZIF-8 suffers from limited reusability due to separation challenges, which has led to the development of magnetic MOF nanocomposites incorporating Fe</w:t>
      </w:r>
      <w:r w:rsidRPr="006D76E6">
        <w:rPr>
          <w:rFonts w:ascii="Cambria Math" w:hAnsi="Cambria Math" w:cs="Cambria Math"/>
          <w:lang w:val="en-GB"/>
        </w:rPr>
        <w:t>₃</w:t>
      </w:r>
      <w:r w:rsidRPr="006D76E6">
        <w:rPr>
          <w:lang w:val="en-GB"/>
        </w:rPr>
        <w:t>O</w:t>
      </w:r>
      <w:r w:rsidRPr="006D76E6">
        <w:rPr>
          <w:rFonts w:ascii="Cambria Math" w:hAnsi="Cambria Math" w:cs="Cambria Math"/>
          <w:lang w:val="en-GB"/>
        </w:rPr>
        <w:t>₄</w:t>
      </w:r>
      <w:r w:rsidRPr="006D76E6">
        <w:rPr>
          <w:lang w:val="en-GB"/>
        </w:rPr>
        <w:t xml:space="preserve"> nanoparticles (Subhadarshini et al., 2026). Magnetic functionalization enables efficient material recovery using an external magnetic field, significantly enhancing practical applicability (Aghayi-Anaraki and Safarifard, 2020; Meteku et al., 2020).</w:t>
      </w:r>
      <w:r>
        <w:rPr>
          <w:lang w:val="en-GB"/>
        </w:rPr>
        <w:t xml:space="preserve"> </w:t>
      </w:r>
      <w:r w:rsidRPr="006D76E6">
        <w:rPr>
          <w:lang w:val="en-GB"/>
        </w:rPr>
        <w:t xml:space="preserve">Immobilization of β-lactamase onto magnetic ZIF-8 nanocomposites can be achieved via physical adsorption, encapsulation, or covalent attachment, with the porous structure providing a favorable microenvironment for catalysis (Hu et al., 2021). Such systems have demonstrated efficient degradation of β-lactam antibiotics, improved enzyme stability across a broad pH range, and sustained activity over multiple reuse cycles (Q. Wang et al., 2023). In this study, </w:t>
      </w:r>
      <w:r w:rsidRPr="006D76E6">
        <w:rPr>
          <w:lang w:val="en-GB"/>
        </w:rPr>
        <w:lastRenderedPageBreak/>
        <w:t>magnetic MOF nanocomposites with immobilized β-lactamase (β-lact@Fe</w:t>
      </w:r>
      <w:r w:rsidRPr="006D76E6">
        <w:rPr>
          <w:rFonts w:ascii="Cambria Math" w:hAnsi="Cambria Math" w:cs="Cambria Math"/>
          <w:lang w:val="en-GB"/>
        </w:rPr>
        <w:t>₃</w:t>
      </w:r>
      <w:r w:rsidRPr="006D76E6">
        <w:rPr>
          <w:lang w:val="en-GB"/>
        </w:rPr>
        <w:t>O</w:t>
      </w:r>
      <w:r w:rsidRPr="006D76E6">
        <w:rPr>
          <w:rFonts w:ascii="Cambria Math" w:hAnsi="Cambria Math" w:cs="Cambria Math"/>
          <w:lang w:val="en-GB"/>
        </w:rPr>
        <w:t>₄</w:t>
      </w:r>
      <w:r w:rsidRPr="006D76E6">
        <w:rPr>
          <w:lang w:val="en-GB"/>
        </w:rPr>
        <w:t>/ZIF-8) were prepared as a promising platform for sustainable antibiotic removal from water. The synergistic combination of enzymatic selectivity, MOF adsorption properties, and magnetic separability offers strong potential for environmentally friendly water treatment technologies and future industrial implementation (J. Wang et al., 2023).</w:t>
      </w:r>
    </w:p>
    <w:p w14:paraId="77EA0CAB" w14:textId="25F4C079" w:rsidR="00557EA1" w:rsidRDefault="00557EA1" w:rsidP="00557EA1">
      <w:pPr>
        <w:pStyle w:val="CETHeading1"/>
      </w:pPr>
      <w:r>
        <w:t>Materials and Methods</w:t>
      </w:r>
    </w:p>
    <w:p w14:paraId="4A073BE8" w14:textId="4D8145EB" w:rsidR="00557EA1" w:rsidRPr="00B57B36" w:rsidRDefault="00557EA1" w:rsidP="00557EA1">
      <w:pPr>
        <w:pStyle w:val="CETheadingx"/>
      </w:pPr>
      <w:r>
        <w:t>Materials</w:t>
      </w:r>
    </w:p>
    <w:p w14:paraId="74467308" w14:textId="1C90C047" w:rsidR="00D51059" w:rsidRDefault="00D51059" w:rsidP="00600535">
      <w:pPr>
        <w:pStyle w:val="CETBodytext"/>
        <w:rPr>
          <w:lang w:val="en-GB"/>
        </w:rPr>
      </w:pPr>
      <w:r w:rsidRPr="00D51059">
        <w:rPr>
          <w:lang w:val="en-GB"/>
        </w:rPr>
        <w:t xml:space="preserve">β-lactamase, zinc acetate (99%), 2-methylimidazole (2-MIM, 98%), </w:t>
      </w:r>
      <w:r>
        <w:rPr>
          <w:lang w:val="en-GB"/>
        </w:rPr>
        <w:t>bovine serum albumin, ammonia, arabinogalactan, Coomassie Brilliant Blue, di-potassium hydrogenphosphate, potassium dihydrogen phosphate, HEPES (</w:t>
      </w:r>
      <w:r w:rsidRPr="00D51059">
        <w:rPr>
          <w:lang w:val="en-GB"/>
        </w:rPr>
        <w:t>4-(2-hidroks</w:t>
      </w:r>
      <w:r>
        <w:rPr>
          <w:lang w:val="en-GB"/>
        </w:rPr>
        <w:t>y</w:t>
      </w:r>
      <w:r w:rsidRPr="00D51059">
        <w:rPr>
          <w:lang w:val="en-GB"/>
        </w:rPr>
        <w:t>et</w:t>
      </w:r>
      <w:r>
        <w:rPr>
          <w:lang w:val="en-GB"/>
        </w:rPr>
        <w:t>hy</w:t>
      </w:r>
      <w:r w:rsidRPr="00D51059">
        <w:rPr>
          <w:lang w:val="en-GB"/>
        </w:rPr>
        <w:t>l)-1-piperazinet</w:t>
      </w:r>
      <w:r>
        <w:rPr>
          <w:lang w:val="en-GB"/>
        </w:rPr>
        <w:t>ic</w:t>
      </w:r>
      <w:r w:rsidRPr="00D51059">
        <w:rPr>
          <w:lang w:val="en-GB"/>
        </w:rPr>
        <w:t>sulfon</w:t>
      </w:r>
      <w:r>
        <w:rPr>
          <w:lang w:val="en-GB"/>
        </w:rPr>
        <w:t xml:space="preserve">ic acid), glutaraldehyde </w:t>
      </w:r>
      <w:r w:rsidRPr="00D51059">
        <w:rPr>
          <w:lang w:val="en-GB"/>
        </w:rPr>
        <w:t xml:space="preserve">were purchased from </w:t>
      </w:r>
      <w:r>
        <w:rPr>
          <w:lang w:val="en-GB"/>
        </w:rPr>
        <w:t>Sigma-Aldrich, Germany. ABTS (</w:t>
      </w:r>
      <w:r w:rsidRPr="00D51059">
        <w:rPr>
          <w:lang w:val="en-GB"/>
        </w:rPr>
        <w:t>2,2'-azino-bis(3-etilbenzotiazolin-6-sulfon</w:t>
      </w:r>
      <w:r>
        <w:rPr>
          <w:lang w:val="en-GB"/>
        </w:rPr>
        <w:t>ic acid</w:t>
      </w:r>
      <w:r w:rsidRPr="00D51059">
        <w:rPr>
          <w:lang w:val="en-GB"/>
        </w:rPr>
        <w:t>)</w:t>
      </w:r>
      <w:r>
        <w:rPr>
          <w:lang w:val="en-GB"/>
        </w:rPr>
        <w:t xml:space="preserve"> was purchased from Roche. Acetonitrile, iron (II) and (III) chloride hexahydrate were purchased from Merck. </w:t>
      </w:r>
    </w:p>
    <w:p w14:paraId="675074D4" w14:textId="4A22C729" w:rsidR="00D51059" w:rsidRPr="00D51059" w:rsidRDefault="008B172C" w:rsidP="00BB720B">
      <w:pPr>
        <w:pStyle w:val="CETheadingx"/>
      </w:pPr>
      <w:r w:rsidRPr="008B172C">
        <w:t>Synthesis of AG-MNPs</w:t>
      </w:r>
    </w:p>
    <w:p w14:paraId="5163F98C" w14:textId="14005165" w:rsidR="00F81112" w:rsidRPr="00F81112" w:rsidRDefault="00166452" w:rsidP="00600535">
      <w:pPr>
        <w:pStyle w:val="CETBodytext"/>
        <w:rPr>
          <w:lang w:val="en-GB"/>
        </w:rPr>
      </w:pPr>
      <w:r w:rsidRPr="00166452">
        <w:rPr>
          <w:lang w:val="en-GB"/>
        </w:rPr>
        <w:t>Ferric (III) ions (FeCl</w:t>
      </w:r>
      <w:r w:rsidRPr="00166452">
        <w:rPr>
          <w:vertAlign w:val="subscript"/>
          <w:lang w:val="en-GB"/>
        </w:rPr>
        <w:t>3</w:t>
      </w:r>
      <w:r w:rsidRPr="00166452">
        <w:rPr>
          <w:lang w:val="en-GB"/>
        </w:rPr>
        <w:t>∙6H</w:t>
      </w:r>
      <w:r w:rsidRPr="00166452">
        <w:rPr>
          <w:vertAlign w:val="subscript"/>
          <w:lang w:val="en-GB"/>
        </w:rPr>
        <w:t>2</w:t>
      </w:r>
      <w:r w:rsidRPr="00166452">
        <w:rPr>
          <w:lang w:val="en-GB"/>
        </w:rPr>
        <w:t>O) and ferrous (II) ions (FeCl</w:t>
      </w:r>
      <w:r w:rsidRPr="00166452">
        <w:rPr>
          <w:vertAlign w:val="subscript"/>
          <w:lang w:val="en-GB"/>
        </w:rPr>
        <w:t>2</w:t>
      </w:r>
      <w:r w:rsidRPr="00166452">
        <w:rPr>
          <w:lang w:val="en-GB"/>
        </w:rPr>
        <w:t>∙4H</w:t>
      </w:r>
      <w:r w:rsidRPr="00166452">
        <w:rPr>
          <w:vertAlign w:val="subscript"/>
          <w:lang w:val="en-GB"/>
        </w:rPr>
        <w:t>2</w:t>
      </w:r>
      <w:r w:rsidRPr="00166452">
        <w:rPr>
          <w:lang w:val="en-GB"/>
        </w:rPr>
        <w:t xml:space="preserve">O) were combined in a 2:1 M ratio and dissolved completely in 40 mL of deionized water. 20 mL of </w:t>
      </w:r>
      <w:r>
        <w:rPr>
          <w:lang w:val="en-GB"/>
        </w:rPr>
        <w:t xml:space="preserve">arabinogalactan (AG) </w:t>
      </w:r>
      <w:r w:rsidRPr="00166452">
        <w:rPr>
          <w:lang w:val="en-GB"/>
        </w:rPr>
        <w:t>solution and 5 mL of 25% ammonium solution were added into a three-neck flask equipped with a mechanical stirrer. Later on, solutions of FeCl</w:t>
      </w:r>
      <w:r w:rsidRPr="00166452">
        <w:rPr>
          <w:vertAlign w:val="subscript"/>
          <w:lang w:val="en-GB"/>
        </w:rPr>
        <w:t>3</w:t>
      </w:r>
      <w:r w:rsidRPr="00166452">
        <w:rPr>
          <w:lang w:val="en-GB"/>
        </w:rPr>
        <w:t>∙6H</w:t>
      </w:r>
      <w:r w:rsidRPr="00166452">
        <w:rPr>
          <w:vertAlign w:val="subscript"/>
          <w:lang w:val="en-GB"/>
        </w:rPr>
        <w:t>2</w:t>
      </w:r>
      <w:r w:rsidRPr="00166452">
        <w:rPr>
          <w:lang w:val="en-GB"/>
        </w:rPr>
        <w:t>O and FeCl</w:t>
      </w:r>
      <w:r w:rsidRPr="00166452">
        <w:rPr>
          <w:vertAlign w:val="subscript"/>
          <w:lang w:val="en-GB"/>
        </w:rPr>
        <w:t>2</w:t>
      </w:r>
      <w:r w:rsidRPr="00166452">
        <w:rPr>
          <w:lang w:val="en-GB"/>
        </w:rPr>
        <w:t>∙4H</w:t>
      </w:r>
      <w:r w:rsidRPr="00166452">
        <w:rPr>
          <w:vertAlign w:val="subscript"/>
          <w:lang w:val="en-GB"/>
        </w:rPr>
        <w:t>2</w:t>
      </w:r>
      <w:r w:rsidRPr="00166452">
        <w:rPr>
          <w:lang w:val="en-GB"/>
        </w:rPr>
        <w:t xml:space="preserve">O were added to the mixture. The solution was vigorously stirred at </w:t>
      </w:r>
      <w:r>
        <w:rPr>
          <w:lang w:val="en-GB"/>
        </w:rPr>
        <w:t>8</w:t>
      </w:r>
      <w:r w:rsidRPr="00166452">
        <w:rPr>
          <w:lang w:val="en-GB"/>
        </w:rPr>
        <w:t xml:space="preserve">00 rpm in a nitrogen atmosphere and heated to 85 °C for 1 h. After synthesis, the </w:t>
      </w:r>
      <w:r>
        <w:rPr>
          <w:lang w:val="en-GB"/>
        </w:rPr>
        <w:t>AG-MNPs</w:t>
      </w:r>
      <w:r w:rsidRPr="00166452">
        <w:rPr>
          <w:lang w:val="en-GB"/>
        </w:rPr>
        <w:t xml:space="preserve"> were washed three times with deionized water and two times with ethanol, using a magnet to remove excess ammonia and </w:t>
      </w:r>
      <w:r>
        <w:rPr>
          <w:lang w:val="en-GB"/>
        </w:rPr>
        <w:t>AG</w:t>
      </w:r>
      <w:r w:rsidRPr="00166452">
        <w:rPr>
          <w:lang w:val="en-GB"/>
        </w:rPr>
        <w:t xml:space="preserve">, and later on dried at </w:t>
      </w:r>
      <w:r>
        <w:rPr>
          <w:lang w:val="en-GB"/>
        </w:rPr>
        <w:t>5</w:t>
      </w:r>
      <w:r w:rsidRPr="00166452">
        <w:rPr>
          <w:lang w:val="en-GB"/>
        </w:rPr>
        <w:t>0 °C.</w:t>
      </w:r>
    </w:p>
    <w:p w14:paraId="2AA031FB" w14:textId="4C0F52C7" w:rsidR="00D51059" w:rsidRPr="008B172C" w:rsidRDefault="00F81112" w:rsidP="00BB720B">
      <w:pPr>
        <w:pStyle w:val="CETheadingx"/>
      </w:pPr>
      <w:r w:rsidRPr="008B172C">
        <w:t>Synthesis of ZIF-8</w:t>
      </w:r>
    </w:p>
    <w:p w14:paraId="54D63BE9" w14:textId="7221AC75" w:rsidR="00D51059" w:rsidRDefault="00860B8F" w:rsidP="00600535">
      <w:pPr>
        <w:pStyle w:val="CETBodytext"/>
        <w:rPr>
          <w:lang w:val="en-GB"/>
        </w:rPr>
      </w:pPr>
      <w:r w:rsidRPr="00860B8F">
        <w:rPr>
          <w:lang w:val="en-GB"/>
        </w:rPr>
        <w:t xml:space="preserve">The enzyme </w:t>
      </w:r>
      <w:r>
        <w:rPr>
          <w:rFonts w:ascii="Calibri" w:hAnsi="Calibri" w:cs="Calibri"/>
          <w:lang w:val="en-GB"/>
        </w:rPr>
        <w:t>β</w:t>
      </w:r>
      <w:r>
        <w:rPr>
          <w:lang w:val="en-GB"/>
        </w:rPr>
        <w:t xml:space="preserve">-lactamase </w:t>
      </w:r>
      <w:r w:rsidRPr="00860B8F">
        <w:rPr>
          <w:lang w:val="en-GB"/>
        </w:rPr>
        <w:t xml:space="preserve">was added to a 2-methylimidazole solution (160 mM, 20 mL, pH 10.3) prepared in deionized water. Separately, zinc acetate dihydrate (40 mM, 20 mL) was dissolved in deionized water. The two solutions were then rapidly combined and agitated for 10 s. The resulting mixture was aged at room temperature for </w:t>
      </w:r>
      <w:r>
        <w:rPr>
          <w:lang w:val="en-GB"/>
        </w:rPr>
        <w:t>24</w:t>
      </w:r>
      <w:r w:rsidRPr="00860B8F">
        <w:rPr>
          <w:lang w:val="en-GB"/>
        </w:rPr>
        <w:t xml:space="preserve"> h to allow precipitation. The solid product was collected by centrifugation at 11,000 rpm for 10 min, washed sequentially with deionized water and ethanol, and subjected to sonication and centrifugation twice in each solvent.</w:t>
      </w:r>
    </w:p>
    <w:p w14:paraId="459FB655" w14:textId="1BAE4F4A" w:rsidR="00860B8F" w:rsidRPr="008B172C" w:rsidRDefault="00166452" w:rsidP="00BB720B">
      <w:pPr>
        <w:pStyle w:val="CETheadingx"/>
      </w:pPr>
      <w:r w:rsidRPr="008B172C">
        <w:t>Synthesis of magnetic ZIF-8</w:t>
      </w:r>
      <w:r w:rsidR="007C021B" w:rsidRPr="008B172C">
        <w:t xml:space="preserve"> (mZIF-8)</w:t>
      </w:r>
    </w:p>
    <w:p w14:paraId="00DB1771" w14:textId="3BE34396" w:rsidR="00D51059" w:rsidRDefault="00964588" w:rsidP="00600535">
      <w:pPr>
        <w:pStyle w:val="CETBodytext"/>
        <w:rPr>
          <w:lang w:val="en-GB"/>
        </w:rPr>
      </w:pPr>
      <w:r w:rsidRPr="00964588">
        <w:rPr>
          <w:lang w:val="en-GB"/>
        </w:rPr>
        <w:t xml:space="preserve">The </w:t>
      </w:r>
      <w:r>
        <w:rPr>
          <w:lang w:val="en-GB"/>
        </w:rPr>
        <w:t xml:space="preserve">magnetic </w:t>
      </w:r>
      <w:r w:rsidRPr="00964588">
        <w:rPr>
          <w:lang w:val="en-GB"/>
        </w:rPr>
        <w:t>ZIF-8 nanocomposite was prepared by an ultrasonication-assisted method using a</w:t>
      </w:r>
      <w:r>
        <w:rPr>
          <w:lang w:val="en-GB"/>
        </w:rPr>
        <w:t>n ultrasound bath</w:t>
      </w:r>
      <w:r w:rsidRPr="00964588">
        <w:rPr>
          <w:lang w:val="en-GB"/>
        </w:rPr>
        <w:t>. Equal masses of ZIF-8 (</w:t>
      </w:r>
      <w:r w:rsidR="000F14B4">
        <w:rPr>
          <w:lang w:val="en-GB"/>
        </w:rPr>
        <w:t>20 mg</w:t>
      </w:r>
      <w:r w:rsidRPr="00964588">
        <w:rPr>
          <w:lang w:val="en-GB"/>
        </w:rPr>
        <w:t>) and</w:t>
      </w:r>
      <w:r>
        <w:rPr>
          <w:lang w:val="en-GB"/>
        </w:rPr>
        <w:t xml:space="preserve"> AG-MNPs</w:t>
      </w:r>
      <w:r w:rsidRPr="00964588">
        <w:rPr>
          <w:lang w:val="en-GB"/>
        </w:rPr>
        <w:t xml:space="preserve"> (</w:t>
      </w:r>
      <w:r w:rsidR="000F14B4">
        <w:rPr>
          <w:lang w:val="en-GB"/>
        </w:rPr>
        <w:t>20 mg</w:t>
      </w:r>
      <w:r w:rsidRPr="00964588">
        <w:rPr>
          <w:lang w:val="en-GB"/>
        </w:rPr>
        <w:t xml:space="preserve">) were dispersed in methanol and ultrasonicated for 1 h to promote homogeneous mixing and effective incorporation of </w:t>
      </w:r>
      <w:r w:rsidR="000F14B4">
        <w:rPr>
          <w:lang w:val="en-GB"/>
        </w:rPr>
        <w:t xml:space="preserve">AG coated </w:t>
      </w:r>
      <w:r w:rsidRPr="00964588">
        <w:rPr>
          <w:lang w:val="en-GB"/>
        </w:rPr>
        <w:t>Fe</w:t>
      </w:r>
      <w:r w:rsidRPr="00964588">
        <w:rPr>
          <w:rFonts w:ascii="Cambria Math" w:hAnsi="Cambria Math" w:cs="Cambria Math"/>
          <w:lang w:val="en-GB"/>
        </w:rPr>
        <w:t>₃</w:t>
      </w:r>
      <w:r w:rsidRPr="00964588">
        <w:rPr>
          <w:lang w:val="en-GB"/>
        </w:rPr>
        <w:t>O</w:t>
      </w:r>
      <w:r w:rsidRPr="00964588">
        <w:rPr>
          <w:rFonts w:ascii="Cambria Math" w:hAnsi="Cambria Math" w:cs="Cambria Math"/>
          <w:lang w:val="en-GB"/>
        </w:rPr>
        <w:t>₄</w:t>
      </w:r>
      <w:r w:rsidRPr="00964588">
        <w:rPr>
          <w:lang w:val="en-GB"/>
        </w:rPr>
        <w:t xml:space="preserve"> nanoparticles into the ZIF-8 matrix. The resulting suspension was rinsed with ethanol and dried at </w:t>
      </w:r>
      <w:r w:rsidR="000F14B4">
        <w:rPr>
          <w:lang w:val="en-GB"/>
        </w:rPr>
        <w:t>4</w:t>
      </w:r>
      <w:r w:rsidRPr="00964588">
        <w:rPr>
          <w:lang w:val="en-GB"/>
        </w:rPr>
        <w:t xml:space="preserve">0 </w:t>
      </w:r>
      <w:r w:rsidRPr="00964588">
        <w:rPr>
          <w:rFonts w:cs="Arial"/>
          <w:lang w:val="en-GB"/>
        </w:rPr>
        <w:t>°</w:t>
      </w:r>
      <w:r w:rsidRPr="00964588">
        <w:rPr>
          <w:lang w:val="en-GB"/>
        </w:rPr>
        <w:t xml:space="preserve">C for 8 h to obtain a stable powder, which was designated as the </w:t>
      </w:r>
      <w:r w:rsidR="000F14B4">
        <w:rPr>
          <w:lang w:val="en-GB"/>
        </w:rPr>
        <w:t xml:space="preserve">magnetic </w:t>
      </w:r>
      <w:r w:rsidRPr="00964588">
        <w:rPr>
          <w:lang w:val="en-GB"/>
        </w:rPr>
        <w:t>ZIF-8 nanocomposite</w:t>
      </w:r>
      <w:r w:rsidR="000F14B4">
        <w:rPr>
          <w:lang w:val="en-GB"/>
        </w:rPr>
        <w:t>.</w:t>
      </w:r>
    </w:p>
    <w:p w14:paraId="29371D63" w14:textId="78BF6716" w:rsidR="00D51059" w:rsidRPr="008B172C" w:rsidRDefault="00434854" w:rsidP="00BB720B">
      <w:pPr>
        <w:pStyle w:val="CETheadingx"/>
      </w:pPr>
      <w:r w:rsidRPr="008B172C">
        <w:t>Enzyme immobilization</w:t>
      </w:r>
    </w:p>
    <w:p w14:paraId="4A81910B" w14:textId="153C5E09" w:rsidR="00D51059" w:rsidRDefault="0028096C" w:rsidP="0028096C">
      <w:pPr>
        <w:pStyle w:val="CETBodytext"/>
        <w:rPr>
          <w:lang w:val="en-GB"/>
        </w:rPr>
      </w:pPr>
      <w:r>
        <w:rPr>
          <w:lang w:val="en-GB"/>
        </w:rPr>
        <w:t>A</w:t>
      </w:r>
      <w:r w:rsidR="007338AE">
        <w:rPr>
          <w:lang w:val="en-GB"/>
        </w:rPr>
        <w:t>t</w:t>
      </w:r>
      <w:r>
        <w:rPr>
          <w:lang w:val="en-GB"/>
        </w:rPr>
        <w:t xml:space="preserve"> first, glutaraldehyde (GA) was used for surface activation of mZIF-8. </w:t>
      </w:r>
      <w:r w:rsidRPr="0028096C">
        <w:rPr>
          <w:lang w:val="en-GB"/>
        </w:rPr>
        <w:t>mZIF-8 (20 mg) was dispersed in a 1.5 mL microcentrifuge tube with appropriate volumes of GA</w:t>
      </w:r>
      <w:r>
        <w:rPr>
          <w:lang w:val="en-GB"/>
        </w:rPr>
        <w:t xml:space="preserve"> with</w:t>
      </w:r>
      <w:r w:rsidRPr="0028096C">
        <w:rPr>
          <w:lang w:val="en-GB"/>
        </w:rPr>
        <w:t xml:space="preserve"> HEPES buffer and </w:t>
      </w:r>
      <w:r>
        <w:rPr>
          <w:lang w:val="en-GB"/>
        </w:rPr>
        <w:t>stirred</w:t>
      </w:r>
      <w:r w:rsidRPr="0028096C">
        <w:rPr>
          <w:lang w:val="en-GB"/>
        </w:rPr>
        <w:t xml:space="preserve"> at 300 rpm for 1 h. After magnetic separation, the supernatant was discarded. </w:t>
      </w:r>
      <w:r>
        <w:rPr>
          <w:lang w:val="en-GB"/>
        </w:rPr>
        <w:t>E</w:t>
      </w:r>
      <w:r w:rsidRPr="0028096C">
        <w:rPr>
          <w:lang w:val="en-GB"/>
        </w:rPr>
        <w:t>nzyme</w:t>
      </w:r>
      <w:r>
        <w:rPr>
          <w:lang w:val="en-GB"/>
        </w:rPr>
        <w:t xml:space="preserve"> </w:t>
      </w:r>
      <w:r>
        <w:rPr>
          <w:rFonts w:ascii="Calibri" w:hAnsi="Calibri" w:cs="Calibri"/>
          <w:lang w:val="en-GB"/>
        </w:rPr>
        <w:t>β</w:t>
      </w:r>
      <w:r>
        <w:rPr>
          <w:lang w:val="en-GB"/>
        </w:rPr>
        <w:t>-lactamase</w:t>
      </w:r>
      <w:r w:rsidRPr="0028096C">
        <w:rPr>
          <w:lang w:val="en-GB"/>
        </w:rPr>
        <w:t xml:space="preserve"> solution (100 μL, 1 mg</w:t>
      </w:r>
      <w:r w:rsidR="007338AE">
        <w:rPr>
          <w:lang w:val="en-GB"/>
        </w:rPr>
        <w:t>/mL</w:t>
      </w:r>
      <w:r w:rsidRPr="0028096C">
        <w:rPr>
          <w:lang w:val="en-GB"/>
        </w:rPr>
        <w:t xml:space="preserve">) and 900 </w:t>
      </w:r>
      <w:r w:rsidRPr="0028096C">
        <w:rPr>
          <w:rFonts w:cs="Arial"/>
          <w:lang w:val="en-GB"/>
        </w:rPr>
        <w:t>μ</w:t>
      </w:r>
      <w:r w:rsidRPr="0028096C">
        <w:rPr>
          <w:lang w:val="en-GB"/>
        </w:rPr>
        <w:t xml:space="preserve">L HEPES buffer were then added, followed by incubation at 300 rpm for 1 h. The particles were magnetically separated, and the supernatant was collected for protein quantification using the Bradford </w:t>
      </w:r>
      <w:r>
        <w:rPr>
          <w:lang w:val="en-GB"/>
        </w:rPr>
        <w:t>method</w:t>
      </w:r>
      <w:r w:rsidRPr="0028096C">
        <w:rPr>
          <w:lang w:val="en-GB"/>
        </w:rPr>
        <w:t xml:space="preserve">. Finally, 570 </w:t>
      </w:r>
      <w:r w:rsidRPr="0028096C">
        <w:rPr>
          <w:rFonts w:cs="Arial"/>
          <w:lang w:val="en-GB"/>
        </w:rPr>
        <w:t>μ</w:t>
      </w:r>
      <w:r w:rsidRPr="0028096C">
        <w:rPr>
          <w:lang w:val="en-GB"/>
        </w:rPr>
        <w:t>L of HEPES buffer was added to the β-lactamase@mZIF-8 conjugate for activity determination.</w:t>
      </w:r>
    </w:p>
    <w:p w14:paraId="1A174B1A" w14:textId="22211251" w:rsidR="00D51059" w:rsidRPr="008B172C" w:rsidRDefault="008B172C" w:rsidP="00BB720B">
      <w:pPr>
        <w:pStyle w:val="CETheadingx"/>
      </w:pPr>
      <w:r w:rsidRPr="008B172C">
        <w:t>Activity assay</w:t>
      </w:r>
    </w:p>
    <w:p w14:paraId="0DF9C1AC" w14:textId="765964D7" w:rsidR="00D51059" w:rsidRDefault="008B172C" w:rsidP="00600535">
      <w:pPr>
        <w:pStyle w:val="CETBodytext"/>
        <w:rPr>
          <w:lang w:val="en-GB"/>
        </w:rPr>
      </w:pPr>
      <w:r w:rsidRPr="008B172C">
        <w:rPr>
          <w:lang w:val="en-GB"/>
        </w:rPr>
        <w:t>β-Lactamase activity was assessed spectrophotometrically. The nitrocefin solution contained 5 mg of nitrocefin, 250 μL of DSMO, 4.75 mL of 25 mM HEPES buffer. The reaction that contained 570 μL of β-lactamase enzyme in 50 mM HEPES buffer was initiated with 30 μL of prepared nitrocefin. β-Lactamase activity was monitored by measuring the increase in absorbance at 482 nm for 1 min at room temperature.</w:t>
      </w:r>
    </w:p>
    <w:p w14:paraId="7E797E04" w14:textId="2D7EA794" w:rsidR="00D51059" w:rsidRPr="008B172C" w:rsidRDefault="008B172C" w:rsidP="00BB720B">
      <w:pPr>
        <w:pStyle w:val="CETheadingx"/>
      </w:pPr>
      <w:r w:rsidRPr="008B172C">
        <w:t>Assessment of PEN concentration</w:t>
      </w:r>
    </w:p>
    <w:p w14:paraId="72B85E7C" w14:textId="3CEE8038" w:rsidR="00D51059" w:rsidRDefault="008B172C" w:rsidP="00600535">
      <w:pPr>
        <w:pStyle w:val="CETBodytext"/>
        <w:rPr>
          <w:lang w:val="en-GB"/>
        </w:rPr>
      </w:pPr>
      <w:r w:rsidRPr="008B172C">
        <w:rPr>
          <w:lang w:val="en-GB"/>
        </w:rPr>
        <w:t xml:space="preserve">PEN degradation study was performed using 0.1 mg/mL of PEN solution with </w:t>
      </w:r>
      <w:r w:rsidRPr="00CB5CB9">
        <w:rPr>
          <w:lang w:val="en-GB"/>
        </w:rPr>
        <w:t>20 mg of immobilized β-lactamase.</w:t>
      </w:r>
      <w:r w:rsidRPr="008B172C">
        <w:rPr>
          <w:lang w:val="en-GB"/>
        </w:rPr>
        <w:t xml:space="preserve"> Then, the mixture solution was incubated at room temperature for 120 min at 200 rpm. The remaining concentrations of PEN were monitored by HPLC method, using Agilent HPLC with an UltimateR XB C18 column (4.6 × 150 mm, 5 μm) at a flow rate of 1.0 mL min-1, column temperature of 30 °C, mobile phase of methanol and phosphate (0.1 M potassium dihydrogen phosphate, pH 3.5) at a ratio of 50:50, injection volume of 20 μL and detection wavelength of 225 nm (P. Wang et al. 2021).</w:t>
      </w:r>
    </w:p>
    <w:p w14:paraId="422AB5D3" w14:textId="648B3C5D" w:rsidR="00D51059" w:rsidRDefault="008B172C" w:rsidP="008B172C">
      <w:pPr>
        <w:pStyle w:val="CETHeading1"/>
      </w:pPr>
      <w:r>
        <w:t>Results and Discussion</w:t>
      </w:r>
    </w:p>
    <w:p w14:paraId="549AFC53" w14:textId="1A1F801D" w:rsidR="005E1033" w:rsidRPr="005E1033" w:rsidRDefault="005E1033" w:rsidP="005E1033">
      <w:pPr>
        <w:pStyle w:val="CETBodytext"/>
        <w:rPr>
          <w:b/>
          <w:bCs/>
        </w:rPr>
      </w:pPr>
      <w:r w:rsidRPr="005E1033">
        <w:rPr>
          <w:b/>
          <w:bCs/>
        </w:rPr>
        <w:t xml:space="preserve">3.1 Activity and immobilization efficiency of </w:t>
      </w:r>
      <w:r w:rsidRPr="005E1033">
        <w:rPr>
          <w:b/>
          <w:bCs/>
          <w:lang w:val="en-GB"/>
        </w:rPr>
        <w:t>β-lactamase</w:t>
      </w:r>
      <w:r w:rsidRPr="005E1033">
        <w:rPr>
          <w:rFonts w:cs="Arial"/>
          <w:b/>
          <w:bCs/>
          <w:lang w:val="en-GB"/>
        </w:rPr>
        <w:t>@</w:t>
      </w:r>
      <w:r w:rsidRPr="005E1033">
        <w:rPr>
          <w:b/>
          <w:bCs/>
          <w:lang w:val="en-GB"/>
        </w:rPr>
        <w:t>mZIF-8</w:t>
      </w:r>
    </w:p>
    <w:p w14:paraId="46AAEC93" w14:textId="3BA3DF3A" w:rsidR="00D51059" w:rsidRDefault="005E1033" w:rsidP="00600535">
      <w:pPr>
        <w:pStyle w:val="CETBodytext"/>
        <w:rPr>
          <w:lang w:val="en-GB"/>
        </w:rPr>
      </w:pPr>
      <w:r w:rsidRPr="005E1033">
        <w:rPr>
          <w:lang w:val="en-GB"/>
        </w:rPr>
        <w:lastRenderedPageBreak/>
        <w:t>The immobilization of β-lactamase onto the mZIF-8 support was optimized by varying the concentration of GA used as a cross</w:t>
      </w:r>
      <w:r>
        <w:rPr>
          <w:lang w:val="en-GB"/>
        </w:rPr>
        <w:t>-</w:t>
      </w:r>
      <w:r w:rsidRPr="005E1033">
        <w:rPr>
          <w:lang w:val="en-GB"/>
        </w:rPr>
        <w:t xml:space="preserve">linking </w:t>
      </w:r>
      <w:r>
        <w:rPr>
          <w:lang w:val="en-GB"/>
        </w:rPr>
        <w:t>re</w:t>
      </w:r>
      <w:r w:rsidRPr="005E1033">
        <w:rPr>
          <w:lang w:val="en-GB"/>
        </w:rPr>
        <w:t xml:space="preserve">agent. Different </w:t>
      </w:r>
      <w:r>
        <w:rPr>
          <w:lang w:val="en-GB"/>
        </w:rPr>
        <w:t>concentrations</w:t>
      </w:r>
      <w:r w:rsidRPr="005E1033">
        <w:rPr>
          <w:lang w:val="en-GB"/>
        </w:rPr>
        <w:t xml:space="preserve"> of GA (0, 2.5, 5.0, 7.5, and 10.0% v/v) were </w:t>
      </w:r>
      <w:r>
        <w:rPr>
          <w:lang w:val="en-GB"/>
        </w:rPr>
        <w:t>used</w:t>
      </w:r>
      <w:r w:rsidRPr="005E1033">
        <w:rPr>
          <w:lang w:val="en-GB"/>
        </w:rPr>
        <w:t xml:space="preserve"> to identify conditions that promote efficient covalent enzyme attachment while preserving </w:t>
      </w:r>
      <w:r>
        <w:rPr>
          <w:lang w:val="en-GB"/>
        </w:rPr>
        <w:t xml:space="preserve">its </w:t>
      </w:r>
      <w:r w:rsidRPr="005E1033">
        <w:rPr>
          <w:lang w:val="en-GB"/>
        </w:rPr>
        <w:t xml:space="preserve">catalytic activity. As </w:t>
      </w:r>
      <w:r w:rsidRPr="00E759C4">
        <w:rPr>
          <w:lang w:val="en-GB"/>
        </w:rPr>
        <w:t xml:space="preserve">shown in Figure </w:t>
      </w:r>
      <w:r w:rsidR="00E759C4" w:rsidRPr="00E759C4">
        <w:rPr>
          <w:lang w:val="en-GB"/>
        </w:rPr>
        <w:t>1</w:t>
      </w:r>
      <w:r w:rsidRPr="00E759C4">
        <w:rPr>
          <w:lang w:val="en-GB"/>
        </w:rPr>
        <w:t>,</w:t>
      </w:r>
      <w:r w:rsidRPr="005E1033">
        <w:rPr>
          <w:lang w:val="en-GB"/>
        </w:rPr>
        <w:t xml:space="preserve"> the residual activity of immobilized β-lactamase</w:t>
      </w:r>
      <w:r>
        <w:rPr>
          <w:rFonts w:cs="Arial"/>
          <w:lang w:val="en-GB"/>
        </w:rPr>
        <w:t>@</w:t>
      </w:r>
      <w:r w:rsidRPr="005E1033">
        <w:rPr>
          <w:lang w:val="en-GB"/>
        </w:rPr>
        <w:t xml:space="preserve">mZIF-8 (0.1 mg/mL) initially increased with increasing GA concentration. In the absence of GA, the enzyme retained approximately 34% of its activity, which </w:t>
      </w:r>
      <w:r>
        <w:rPr>
          <w:lang w:val="en-GB"/>
        </w:rPr>
        <w:t>increased</w:t>
      </w:r>
      <w:r w:rsidRPr="005E1033">
        <w:rPr>
          <w:lang w:val="en-GB"/>
        </w:rPr>
        <w:t xml:space="preserve"> to 48% at 2.5% (v/v) GA and reached a maximum of about 59% at 5.0% (v/v). Further increases in GA concentration led to a gradual decline in activity, decreasing to 54% at 7.5% (v/v) and 45% at 10.0% (v/v). A similar trend was observed for immobilization efficiency, which remained relatively high </w:t>
      </w:r>
      <w:r>
        <w:rPr>
          <w:lang w:val="en-GB"/>
        </w:rPr>
        <w:t>for</w:t>
      </w:r>
      <w:r w:rsidRPr="005E1033">
        <w:rPr>
          <w:lang w:val="en-GB"/>
        </w:rPr>
        <w:t xml:space="preserve"> all samples (70–90%), indicating successful enzyme attachment to the carrier surface. The highest immobilization efficiency (approximately 90%) was achieved at 5.0% (v/v) GA, coinciding with the maximum residual activity. These results suggest that </w:t>
      </w:r>
      <w:r>
        <w:rPr>
          <w:lang w:val="en-GB"/>
        </w:rPr>
        <w:t>such</w:t>
      </w:r>
      <w:r w:rsidRPr="005E1033">
        <w:rPr>
          <w:lang w:val="en-GB"/>
        </w:rPr>
        <w:t xml:space="preserve"> GA concentration provides an optimal balance between effective covalent binding and preservation of enzymatic function. Moderate cross</w:t>
      </w:r>
      <w:r>
        <w:rPr>
          <w:lang w:val="en-GB"/>
        </w:rPr>
        <w:t>-</w:t>
      </w:r>
      <w:r w:rsidRPr="005E1033">
        <w:rPr>
          <w:lang w:val="en-GB"/>
        </w:rPr>
        <w:t>linking likely stabilizes the enzyme on the support while maintaining its native conformation and accessibility of the active site. In contrast, excessive GA concentrations may induce over</w:t>
      </w:r>
      <w:r>
        <w:rPr>
          <w:lang w:val="en-GB"/>
        </w:rPr>
        <w:t xml:space="preserve"> </w:t>
      </w:r>
      <w:r w:rsidRPr="005E1033">
        <w:rPr>
          <w:lang w:val="en-GB"/>
        </w:rPr>
        <w:t>cross</w:t>
      </w:r>
      <w:r>
        <w:rPr>
          <w:lang w:val="en-GB"/>
        </w:rPr>
        <w:t>-</w:t>
      </w:r>
      <w:r w:rsidRPr="005E1033">
        <w:rPr>
          <w:lang w:val="en-GB"/>
        </w:rPr>
        <w:t xml:space="preserve">linking, leading to reduced enzyme flexibility, restricted substrate diffusion, and consequently </w:t>
      </w:r>
      <w:r>
        <w:rPr>
          <w:lang w:val="en-GB"/>
        </w:rPr>
        <w:t>limited</w:t>
      </w:r>
      <w:r w:rsidRPr="005E1033">
        <w:rPr>
          <w:lang w:val="en-GB"/>
        </w:rPr>
        <w:t xml:space="preserve"> catalytic performance.</w:t>
      </w:r>
    </w:p>
    <w:p w14:paraId="1812CDF6" w14:textId="666C9241" w:rsidR="00D51059" w:rsidRDefault="00DE321B" w:rsidP="00600535">
      <w:pPr>
        <w:pStyle w:val="CETBodytext"/>
        <w:rPr>
          <w:lang w:val="en-GB"/>
        </w:rPr>
      </w:pPr>
      <w:r>
        <w:rPr>
          <w:noProof/>
        </w:rPr>
        <w:drawing>
          <wp:inline distT="0" distB="0" distL="0" distR="0" wp14:anchorId="0C2BD529" wp14:editId="1EC1AB66">
            <wp:extent cx="5048250" cy="2423872"/>
            <wp:effectExtent l="0" t="0" r="0" b="0"/>
            <wp:docPr id="87526325" name="Slika 1" descr="Slika, ki vsebuje besede besedilo, posnetek zaslona, diagram,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6325" name="Slika 1" descr="Slika, ki vsebuje besede besedilo, posnetek zaslona, diagram, številka&#10;&#10;Vsebina, ustvarjena z UI, morda ni pravil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2423872"/>
                    </a:xfrm>
                    <a:prstGeom prst="rect">
                      <a:avLst/>
                    </a:prstGeom>
                    <a:noFill/>
                    <a:ln>
                      <a:noFill/>
                    </a:ln>
                  </pic:spPr>
                </pic:pic>
              </a:graphicData>
            </a:graphic>
          </wp:inline>
        </w:drawing>
      </w:r>
    </w:p>
    <w:p w14:paraId="145F617C" w14:textId="4F288D47" w:rsidR="00D51059" w:rsidRPr="002A795D" w:rsidRDefault="002E06F7" w:rsidP="00600535">
      <w:pPr>
        <w:pStyle w:val="CETBodytext"/>
        <w:rPr>
          <w:sz w:val="16"/>
          <w:szCs w:val="18"/>
          <w:lang w:val="en-GB"/>
        </w:rPr>
      </w:pPr>
      <w:r w:rsidRPr="002A795D">
        <w:rPr>
          <w:i/>
          <w:iCs/>
          <w:sz w:val="16"/>
          <w:szCs w:val="18"/>
          <w:lang w:val="en-GB"/>
        </w:rPr>
        <w:t xml:space="preserve">Figure 1: </w:t>
      </w:r>
      <w:r w:rsidR="00E759C4" w:rsidRPr="002A795D">
        <w:rPr>
          <w:i/>
          <w:iCs/>
          <w:sz w:val="16"/>
          <w:szCs w:val="18"/>
          <w:lang w:val="en-GB"/>
        </w:rPr>
        <w:t>Residual activity and immobilization efficiency of β-lactamase@mZIF-8 (enzyme concentration 0.1 mg/mL) as a function of GA concentration (% v/v), under the following conditions: 20 mg mZIF-8, 1 h functionalization with GA and 1 h immobilization with 0.1 mg/mL β-lactamase, 25 °C, 300 rpm.</w:t>
      </w:r>
    </w:p>
    <w:p w14:paraId="6679CBA3" w14:textId="77777777" w:rsidR="00D51059" w:rsidRDefault="00D51059" w:rsidP="00600535">
      <w:pPr>
        <w:pStyle w:val="CETBodytext"/>
        <w:rPr>
          <w:lang w:val="en-GB"/>
        </w:rPr>
      </w:pPr>
    </w:p>
    <w:p w14:paraId="1FAFFF89" w14:textId="43A6FFEE" w:rsidR="005E1033" w:rsidRPr="008B172C" w:rsidRDefault="005E1033" w:rsidP="005E1033">
      <w:pPr>
        <w:pStyle w:val="CETBodytext"/>
        <w:rPr>
          <w:b/>
          <w:bCs/>
          <w:lang w:val="en-GB"/>
        </w:rPr>
      </w:pPr>
      <w:r w:rsidRPr="008B172C">
        <w:rPr>
          <w:b/>
          <w:bCs/>
          <w:lang w:val="en-GB"/>
        </w:rPr>
        <w:t>3.</w:t>
      </w:r>
      <w:r>
        <w:rPr>
          <w:b/>
          <w:bCs/>
          <w:lang w:val="en-GB"/>
        </w:rPr>
        <w:t>2</w:t>
      </w:r>
      <w:r w:rsidRPr="008B172C">
        <w:rPr>
          <w:b/>
          <w:bCs/>
          <w:lang w:val="en-GB"/>
        </w:rPr>
        <w:t xml:space="preserve"> PEN degradation </w:t>
      </w:r>
      <w:r w:rsidR="001C77E3">
        <w:rPr>
          <w:b/>
          <w:bCs/>
          <w:lang w:val="en-GB"/>
        </w:rPr>
        <w:t xml:space="preserve">(0.1 mg/mL) </w:t>
      </w:r>
      <w:r w:rsidRPr="008B172C">
        <w:rPr>
          <w:b/>
          <w:bCs/>
          <w:lang w:val="en-GB"/>
        </w:rPr>
        <w:t>using β-lactamase@mZIF-8</w:t>
      </w:r>
    </w:p>
    <w:p w14:paraId="6165D70C" w14:textId="77777777" w:rsidR="00BB720B" w:rsidRDefault="005E1033" w:rsidP="00600535">
      <w:pPr>
        <w:pStyle w:val="CETBodytext"/>
        <w:rPr>
          <w:lang w:val="en-GB"/>
        </w:rPr>
      </w:pPr>
      <w:r w:rsidRPr="005E1033">
        <w:rPr>
          <w:lang w:val="en-GB"/>
        </w:rPr>
        <w:t xml:space="preserve">In this study, the removal of penicillin (PEN) at an initial concentration of 0.1 mg/mL was investigated using different enzymatic and adsorption-based systems. For the enzymatic experiments, β-lactamase was applied at a concentration of 0.1 mg/mL, enabling a direct comparison between free and immobilized enzyme systems and allowing the contribution of enzymatic degradation to be distinguished from adsorption effects. The primary objective was to elucidate the dual removal mechanism of PEN, namely adsorption onto the mZIF-8 carrier and enzymatic degradation. As shown in </w:t>
      </w:r>
      <w:r w:rsidRPr="00CB5CB9">
        <w:rPr>
          <w:lang w:val="en-GB"/>
        </w:rPr>
        <w:t xml:space="preserve">Figure </w:t>
      </w:r>
      <w:r w:rsidR="00CB5CB9" w:rsidRPr="00CB5CB9">
        <w:rPr>
          <w:lang w:val="en-GB"/>
        </w:rPr>
        <w:t>2,</w:t>
      </w:r>
      <w:r w:rsidRPr="00CB5CB9">
        <w:rPr>
          <w:lang w:val="en-GB"/>
        </w:rPr>
        <w:t xml:space="preserve"> free</w:t>
      </w:r>
      <w:r w:rsidRPr="005E1033">
        <w:rPr>
          <w:lang w:val="en-GB"/>
        </w:rPr>
        <w:t xml:space="preserve"> β-lactamase exhibited relatively limited degradation efficiency, reducing the PEN concentration to approximately 70% after 90 min, corresponding to about 30% substrate degradation. </w:t>
      </w:r>
    </w:p>
    <w:p w14:paraId="5A9FE860" w14:textId="77777777" w:rsidR="00BB720B" w:rsidRDefault="00BB720B" w:rsidP="00BB720B">
      <w:pPr>
        <w:pStyle w:val="CETBodytext"/>
        <w:rPr>
          <w:lang w:val="en-GB"/>
        </w:rPr>
      </w:pPr>
      <w:r>
        <w:rPr>
          <w:noProof/>
        </w:rPr>
        <w:drawing>
          <wp:inline distT="0" distB="0" distL="0" distR="0" wp14:anchorId="4CC47269" wp14:editId="276607C7">
            <wp:extent cx="5027295" cy="2145483"/>
            <wp:effectExtent l="0" t="0" r="1905" b="7620"/>
            <wp:docPr id="1496121056" name="Slika 2" descr="Slika, ki vsebuje besede diagram, vrstica, besedilo, grafični prikaz&#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21056" name="Slika 2" descr="Slika, ki vsebuje besede diagram, vrstica, besedilo, grafični prikaz&#10;&#10;Vsebina, ustvarjena z UI, morda ni pravil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064" cy="2148799"/>
                    </a:xfrm>
                    <a:prstGeom prst="rect">
                      <a:avLst/>
                    </a:prstGeom>
                    <a:noFill/>
                    <a:ln>
                      <a:noFill/>
                    </a:ln>
                  </pic:spPr>
                </pic:pic>
              </a:graphicData>
            </a:graphic>
          </wp:inline>
        </w:drawing>
      </w:r>
    </w:p>
    <w:p w14:paraId="43A28490" w14:textId="77777777" w:rsidR="00BB720B" w:rsidRPr="002A795D" w:rsidRDefault="00BB720B" w:rsidP="00BB720B">
      <w:pPr>
        <w:pStyle w:val="CETBodytext"/>
        <w:rPr>
          <w:i/>
          <w:iCs/>
          <w:sz w:val="16"/>
          <w:szCs w:val="18"/>
          <w:lang w:val="en-GB"/>
        </w:rPr>
      </w:pPr>
      <w:r w:rsidRPr="002A795D">
        <w:rPr>
          <w:i/>
          <w:iCs/>
          <w:sz w:val="16"/>
          <w:szCs w:val="18"/>
          <w:lang w:val="en-GB"/>
        </w:rPr>
        <w:t>Figure 2: Fraction of PEN degradation/adsorption at an initial concentration of 0.1 mg/mL using β-lactamase (β-lactamase 0.1 mg/mL), as a function of time, under the following conditions: 20 mg mZIF-8, 1 h functionalization with 7.5% (v/v) GA, 1 h immobilization, 25 °C, 300 rpm.</w:t>
      </w:r>
    </w:p>
    <w:p w14:paraId="2F39E200" w14:textId="77777777" w:rsidR="00BB720B" w:rsidRDefault="00BB720B" w:rsidP="00600535">
      <w:pPr>
        <w:pStyle w:val="CETBodytext"/>
        <w:rPr>
          <w:lang w:val="en-GB"/>
        </w:rPr>
      </w:pPr>
    </w:p>
    <w:p w14:paraId="598B6BC0" w14:textId="1AF7CB2B" w:rsidR="00D51059" w:rsidRDefault="005E1033" w:rsidP="00600535">
      <w:pPr>
        <w:pStyle w:val="CETBodytext"/>
        <w:rPr>
          <w:lang w:val="en-GB"/>
        </w:rPr>
      </w:pPr>
      <w:r w:rsidRPr="005E1033">
        <w:rPr>
          <w:lang w:val="en-GB"/>
        </w:rPr>
        <w:t>This moderate performance is expected, as free enzymes in homogeneous solution are subject to diffusion limitations, less favorable reaction conditions, and partial destabilization, which collectively result in slower catalytic turnover. In contrast, the mZIF-8 carrier demonstrated an exceptionally high adsorption capacity, with the PEN concentration decreasing to approximately 17% within 10 min and becoming undetectable after 20 min, confirming that adsorption is the dominant removal mechanism due to the high porosity and large specific surface area of ​​mZIF-8. When β-lactamase was immobilized on mZIF-8, PEN removal proceeded slightly more slowly than with the bare carrier, which can be attributed to partial pore blocking and reduced surface accessibility caused by the enzyme layer. The inactivated β-lactamase@mZIF-8 system retained 42% of PEN after 10 min and 13% after 30 min, with complete removal observed after 40 min. The use of inactivated enzyme controls allowed the adsorption contribution to be isolated, enabling the difference between active and inactive systems to be attributed to true enzymatic degradation. Comparison of these systems indicates that, although adsorption onto mZIF-8 is the primary driver of PEN removal, immobilized β-lactamase provides an additional catalytic contribution that accelerates overall removal kinetics. These results demonstrate that mZIF-8 functions as a highly efficient PEN adsorbent, while enzyme immobilization enhances system functionality by introducing a secondary degradation pathway, with inactive controls playing a critical role in clarifying the underlying removal mechanisms.</w:t>
      </w:r>
    </w:p>
    <w:p w14:paraId="720B8EF4" w14:textId="77777777" w:rsidR="00D51059" w:rsidRDefault="00D51059" w:rsidP="00600535">
      <w:pPr>
        <w:pStyle w:val="CETBodytext"/>
        <w:rPr>
          <w:lang w:val="en-GB"/>
        </w:rPr>
      </w:pPr>
    </w:p>
    <w:p w14:paraId="6A3076CE" w14:textId="77260E95" w:rsidR="001C77E3" w:rsidRPr="008B172C" w:rsidRDefault="001C77E3" w:rsidP="001C77E3">
      <w:pPr>
        <w:pStyle w:val="CETBodytext"/>
        <w:rPr>
          <w:b/>
          <w:bCs/>
          <w:lang w:val="en-GB"/>
        </w:rPr>
      </w:pPr>
      <w:r w:rsidRPr="008B172C">
        <w:rPr>
          <w:b/>
          <w:bCs/>
          <w:lang w:val="en-GB"/>
        </w:rPr>
        <w:t>3.</w:t>
      </w:r>
      <w:r>
        <w:rPr>
          <w:b/>
          <w:bCs/>
          <w:lang w:val="en-GB"/>
        </w:rPr>
        <w:t>3</w:t>
      </w:r>
      <w:r w:rsidRPr="008B172C">
        <w:rPr>
          <w:b/>
          <w:bCs/>
          <w:lang w:val="en-GB"/>
        </w:rPr>
        <w:t xml:space="preserve"> PEN degradation </w:t>
      </w:r>
      <w:r>
        <w:rPr>
          <w:b/>
          <w:bCs/>
          <w:lang w:val="en-GB"/>
        </w:rPr>
        <w:t xml:space="preserve">(1 mg/mL) </w:t>
      </w:r>
      <w:r w:rsidRPr="008B172C">
        <w:rPr>
          <w:b/>
          <w:bCs/>
          <w:lang w:val="en-GB"/>
        </w:rPr>
        <w:t>using β-lactamase@mZIF-8</w:t>
      </w:r>
    </w:p>
    <w:p w14:paraId="4AA73294" w14:textId="77777777" w:rsidR="006D76E6" w:rsidRDefault="001C77E3" w:rsidP="00600535">
      <w:pPr>
        <w:pStyle w:val="CETBodytext"/>
        <w:rPr>
          <w:lang w:val="en-GB"/>
        </w:rPr>
      </w:pPr>
      <w:r w:rsidRPr="001C77E3">
        <w:rPr>
          <w:lang w:val="en-GB"/>
        </w:rPr>
        <w:t xml:space="preserve">In the next step, the initial PEN concentration was increased to 1 mg/mL, while all other experimental conditions were kept constant (β-lactamase concentration of 0.1 mg/mL). The aim of this experiment was to evaluate the system performance at higher substrate loading and to </w:t>
      </w:r>
      <w:r>
        <w:rPr>
          <w:lang w:val="en-GB"/>
        </w:rPr>
        <w:t>investigate</w:t>
      </w:r>
      <w:r w:rsidRPr="001C77E3">
        <w:rPr>
          <w:lang w:val="en-GB"/>
        </w:rPr>
        <w:t xml:space="preserve"> the relative contributions of adsorption onto mZIF-8 and enzymatic degradation. The results obtained at </w:t>
      </w:r>
      <w:r>
        <w:rPr>
          <w:lang w:val="en-GB"/>
        </w:rPr>
        <w:t>higher</w:t>
      </w:r>
      <w:r w:rsidRPr="001C77E3">
        <w:rPr>
          <w:lang w:val="en-GB"/>
        </w:rPr>
        <w:t xml:space="preserve"> PEN concentration are shown </w:t>
      </w:r>
      <w:r w:rsidRPr="00CB5CB9">
        <w:rPr>
          <w:lang w:val="en-GB"/>
        </w:rPr>
        <w:t>in Figure</w:t>
      </w:r>
      <w:r w:rsidR="00CB5CB9" w:rsidRPr="00CB5CB9">
        <w:rPr>
          <w:lang w:val="en-GB"/>
        </w:rPr>
        <w:t xml:space="preserve"> 3</w:t>
      </w:r>
      <w:r w:rsidRPr="00CB5CB9">
        <w:rPr>
          <w:lang w:val="en-GB"/>
        </w:rPr>
        <w:t>.</w:t>
      </w:r>
      <w:r w:rsidRPr="001C77E3">
        <w:rPr>
          <w:lang w:val="en-GB"/>
        </w:rPr>
        <w:t xml:space="preserve"> </w:t>
      </w:r>
    </w:p>
    <w:p w14:paraId="0F3EC594" w14:textId="77777777" w:rsidR="006D76E6" w:rsidRDefault="006D76E6" w:rsidP="006D76E6">
      <w:pPr>
        <w:pStyle w:val="CETBodytext"/>
        <w:rPr>
          <w:lang w:val="en-GB"/>
        </w:rPr>
      </w:pPr>
      <w:r>
        <w:rPr>
          <w:noProof/>
        </w:rPr>
        <w:drawing>
          <wp:inline distT="0" distB="0" distL="0" distR="0" wp14:anchorId="6FF579C7" wp14:editId="374DBB35">
            <wp:extent cx="5046345" cy="2126621"/>
            <wp:effectExtent l="0" t="0" r="1905" b="6985"/>
            <wp:docPr id="1885014439" name="Slika 3" descr="Slika, ki vsebuje besede vrstica, grafični prikaz, besedilo, diagra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14439" name="Slika 3" descr="Slika, ki vsebuje besede vrstica, grafični prikaz, besedilo, diagram&#10;&#10;Vsebina, ustvarjena z UI, morda ni pravil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571" cy="2132616"/>
                    </a:xfrm>
                    <a:prstGeom prst="rect">
                      <a:avLst/>
                    </a:prstGeom>
                    <a:noFill/>
                    <a:ln>
                      <a:noFill/>
                    </a:ln>
                  </pic:spPr>
                </pic:pic>
              </a:graphicData>
            </a:graphic>
          </wp:inline>
        </w:drawing>
      </w:r>
    </w:p>
    <w:p w14:paraId="762E796E" w14:textId="77777777" w:rsidR="006D76E6" w:rsidRPr="002A795D" w:rsidRDefault="006D76E6" w:rsidP="006D76E6">
      <w:pPr>
        <w:pStyle w:val="CETBodytext"/>
        <w:rPr>
          <w:i/>
          <w:iCs/>
          <w:sz w:val="16"/>
          <w:szCs w:val="18"/>
          <w:lang w:val="en-GB"/>
        </w:rPr>
      </w:pPr>
      <w:r w:rsidRPr="002A795D">
        <w:rPr>
          <w:i/>
          <w:iCs/>
          <w:sz w:val="16"/>
          <w:szCs w:val="18"/>
          <w:lang w:val="en-GB"/>
        </w:rPr>
        <w:t>Figure 3: PEN degradation/adsorption capacity at an initial concentration of 1 mg/mL (β-lactamase 0.1 mg/mL), as a function of time, under the following conditions: 20 mg mZIF-8, 1 h functionalization with 7.5% (v/v) GA, 1 h immobilization, 25 °C, 300 rpm.</w:t>
      </w:r>
    </w:p>
    <w:p w14:paraId="75EFE55B" w14:textId="77777777" w:rsidR="006D76E6" w:rsidRDefault="006D76E6" w:rsidP="00600535">
      <w:pPr>
        <w:pStyle w:val="CETBodytext"/>
        <w:rPr>
          <w:lang w:val="en-GB"/>
        </w:rPr>
      </w:pPr>
    </w:p>
    <w:p w14:paraId="58D967DB" w14:textId="0B4C43E4" w:rsidR="00D51059" w:rsidRDefault="001C77E3" w:rsidP="00600535">
      <w:pPr>
        <w:pStyle w:val="CETBodytext"/>
        <w:rPr>
          <w:lang w:val="en-GB"/>
        </w:rPr>
      </w:pPr>
      <w:r w:rsidRPr="001C77E3">
        <w:rPr>
          <w:lang w:val="en-GB"/>
        </w:rPr>
        <w:t xml:space="preserve">The use of free β-lactamase again demonstrated limited degradation efficiency under homogeneous conditions. After 10 min, approximately 95% of PEN remained in solution, while after 90 min the concentration decreased only to about 92%, indicating that free β-lactamase degraded approximately 8% of the substrate. This efficiency is even lower than that observed at 0.1 mg/mL PEN and can be attributed to enhanced diffusion limitations, partial saturation of enzyme active sites, and reduced enzyme–substrate accessibility at higher substrate concentrations. In contrast, mZIF-8 exhibited rapid and efficient PEN removal via adsorption, with the PEN fraction decreasing to approximately 43% after 10 min, 19% after 30 min, and 2% after 60 min, while complete removal was achieved after 90 min. Compared to experiments conducted at lower PEN concentration, adsorption kinetics were slower, which is consistent with progressive saturation of adsorption sites at higher substrate loadings. When β-lactamase was immobilized on mZIF-8, PEN removal proceeded slightly more slowly than with the bare carrier, with approximately 62% of PEN remaining after 10 min, 28% after 30 min, and about 5% after 50 min, followed by complete removal after 90 min. A similar but slower trend was observed for the inactivated β-lactamase@mZIF-8 control, where 72% and 54% of PEN remained after 10 and 30 min, respectively, and approximately 5% after 90 min. The use of inactivated enzyme controls enabled isolation of the adsorption contribution by occupying surface sites with an equivalent protein layer, thereby allowing the additional removal observed in the active system to be attributed to enzymatic degradation. Overall, these results confirm that mZIF-8 remains a highly effective adsorbent for PEN even at elevated concentrations, although adsorption kinetics are slowed due to site saturation. While the catalytic contribution of immobilized β-lactamase remains relatively modest compared to adsorption, the active enzyme system consistently outperforms the inactivated control, demonstrating that enzymatic degradation provides a measurable enhancement to PEN removal under high-substrate conditions. The inclusion of inactive controls is therefore </w:t>
      </w:r>
      <w:r w:rsidRPr="001C77E3">
        <w:rPr>
          <w:lang w:val="en-GB"/>
        </w:rPr>
        <w:lastRenderedPageBreak/>
        <w:t>essential for accurate mechanistic interpretation, as it enables clear differentiation between adsorption-driven removal and true enzymatic activity.</w:t>
      </w:r>
    </w:p>
    <w:p w14:paraId="315200B9" w14:textId="77777777" w:rsidR="00CB5CB9" w:rsidRDefault="00CB5CB9" w:rsidP="00DB0908">
      <w:pPr>
        <w:pStyle w:val="CETBodytext"/>
        <w:rPr>
          <w:b/>
          <w:bCs/>
          <w:lang w:val="en-GB"/>
        </w:rPr>
      </w:pPr>
    </w:p>
    <w:p w14:paraId="18E07773" w14:textId="1051EC8D" w:rsidR="00DB0908" w:rsidRPr="008B172C" w:rsidRDefault="00DB0908" w:rsidP="00DB0908">
      <w:pPr>
        <w:pStyle w:val="CETBodytext"/>
        <w:rPr>
          <w:b/>
          <w:bCs/>
          <w:lang w:val="en-GB"/>
        </w:rPr>
      </w:pPr>
      <w:r w:rsidRPr="008B172C">
        <w:rPr>
          <w:b/>
          <w:bCs/>
          <w:lang w:val="en-GB"/>
        </w:rPr>
        <w:t>3.</w:t>
      </w:r>
      <w:r>
        <w:rPr>
          <w:b/>
          <w:bCs/>
          <w:lang w:val="en-GB"/>
        </w:rPr>
        <w:t>4</w:t>
      </w:r>
      <w:r w:rsidRPr="008B172C">
        <w:rPr>
          <w:b/>
          <w:bCs/>
          <w:lang w:val="en-GB"/>
        </w:rPr>
        <w:t xml:space="preserve"> PEN degradation </w:t>
      </w:r>
      <w:r>
        <w:rPr>
          <w:b/>
          <w:bCs/>
          <w:lang w:val="en-GB"/>
        </w:rPr>
        <w:t xml:space="preserve">(10 mg/mL) </w:t>
      </w:r>
      <w:r w:rsidRPr="008B172C">
        <w:rPr>
          <w:b/>
          <w:bCs/>
          <w:lang w:val="en-GB"/>
        </w:rPr>
        <w:t>using β-lactamase@mZIF-8</w:t>
      </w:r>
    </w:p>
    <w:p w14:paraId="5BD6FC64" w14:textId="77777777" w:rsidR="006D76E6" w:rsidRDefault="00DB0908" w:rsidP="00DB0908">
      <w:pPr>
        <w:pStyle w:val="CETBodytext"/>
        <w:rPr>
          <w:lang w:val="en-GB"/>
        </w:rPr>
      </w:pPr>
      <w:r w:rsidRPr="00DB0908">
        <w:rPr>
          <w:lang w:val="en-GB"/>
        </w:rPr>
        <w:t xml:space="preserve">In the final step, the PEN concentration was further increased to 10 mg/mL in order to investigate system performance under extreme substrate loading and to assess whether high PEN levels could limit or suppress adsorption onto the mZIF-8 carrier. All other reaction conditions were kept constant. The degradation and adsorption behavior at this concentration is presented in Figure 4. </w:t>
      </w:r>
    </w:p>
    <w:p w14:paraId="2905A9AA" w14:textId="77777777" w:rsidR="006D76E6" w:rsidRDefault="006D76E6" w:rsidP="006D76E6">
      <w:pPr>
        <w:pStyle w:val="CETBodytext"/>
        <w:rPr>
          <w:lang w:val="en-GB"/>
        </w:rPr>
      </w:pPr>
      <w:r>
        <w:rPr>
          <w:noProof/>
        </w:rPr>
        <w:drawing>
          <wp:inline distT="0" distB="0" distL="0" distR="0" wp14:anchorId="1F096041" wp14:editId="45BE52AA">
            <wp:extent cx="4979670" cy="2223199"/>
            <wp:effectExtent l="0" t="0" r="0" b="5715"/>
            <wp:docPr id="182708154" name="Slika 4" descr="Slika, ki vsebuje besede vrstica, grafični prikaz, posnetek zaslona, diagra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8154" name="Slika 4" descr="Slika, ki vsebuje besede vrstica, grafični prikaz, posnetek zaslona, diagram&#10;&#10;Vsebina, ustvarjena z UI, morda ni pravil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5321" cy="2225722"/>
                    </a:xfrm>
                    <a:prstGeom prst="rect">
                      <a:avLst/>
                    </a:prstGeom>
                    <a:noFill/>
                    <a:ln>
                      <a:noFill/>
                    </a:ln>
                  </pic:spPr>
                </pic:pic>
              </a:graphicData>
            </a:graphic>
          </wp:inline>
        </w:drawing>
      </w:r>
    </w:p>
    <w:p w14:paraId="594AA0D8" w14:textId="77777777" w:rsidR="006D76E6" w:rsidRPr="002A795D" w:rsidRDefault="006D76E6" w:rsidP="006D76E6">
      <w:pPr>
        <w:pStyle w:val="CETBodytext"/>
        <w:rPr>
          <w:sz w:val="16"/>
          <w:szCs w:val="18"/>
          <w:lang w:val="en-GB"/>
        </w:rPr>
      </w:pPr>
      <w:r w:rsidRPr="002A795D">
        <w:rPr>
          <w:i/>
          <w:iCs/>
          <w:sz w:val="16"/>
          <w:szCs w:val="18"/>
          <w:lang w:val="en-GB"/>
        </w:rPr>
        <w:t>Figure 4: PEN degradation/adsorption at an initial concentration of 10 mg/mL (β-lactamase 0.1 mg/mL; laccase 1 mg/mL), as a function of time, under the following conditions: 20 mg mZIF-8, 1 h functionalization with 7.5% (v/v) GA, 1 h immobilization, 25 °C, 300 rpm.</w:t>
      </w:r>
    </w:p>
    <w:p w14:paraId="0C98DD4D" w14:textId="77777777" w:rsidR="006D76E6" w:rsidRDefault="006D76E6" w:rsidP="00DB0908">
      <w:pPr>
        <w:pStyle w:val="CETBodytext"/>
        <w:rPr>
          <w:lang w:val="en-GB"/>
        </w:rPr>
      </w:pPr>
    </w:p>
    <w:p w14:paraId="080A941B" w14:textId="2B4EE44B" w:rsidR="00DB0908" w:rsidRDefault="00DB0908" w:rsidP="00DB0908">
      <w:pPr>
        <w:pStyle w:val="CETBodytext"/>
        <w:rPr>
          <w:lang w:val="en-GB"/>
        </w:rPr>
      </w:pPr>
      <w:r w:rsidRPr="00DB0908">
        <w:rPr>
          <w:lang w:val="en-GB"/>
        </w:rPr>
        <w:t>When free β-lactamase was used, a pronounced lag phase was observed, indicating that the enzyme required a prolonged period to become effective under conditions of high substrate overload. During the initial time points (23–26 h), the PEN fraction decreased from 100% to approximately 70%, followed by a gradual acceleration of removal. After 96 h, around 7% of PEN remained, while complete degradation was achieved after 192 h. This behavior suggests that enzymatic activity is initially strongly limited by diffusion constraints, active-site saturation, and reduced enzyme–substrate accessibility at very high PEN concentrations. As the substrate concentration gradually decreases and enzymatic sites become available, β-lactamase activity increases, leading to accelerated degradation at later stages. Such response is characteristic of free enzymes operating in solution under severe substrate excess.</w:t>
      </w:r>
      <w:r>
        <w:rPr>
          <w:lang w:val="en-GB"/>
        </w:rPr>
        <w:t xml:space="preserve"> </w:t>
      </w:r>
      <w:r w:rsidRPr="00DB0908">
        <w:rPr>
          <w:lang w:val="en-GB"/>
        </w:rPr>
        <w:t>In contrast, enzyme-free mZIF-8 exhibited a rapid initial adsorption phase, followed by the establishment of an adsorption equilibrium. After an initial decrease to approximately 60%, the PEN fraction stabilized in the range of 30–32% even after 96, 144, and 192 h. This plateau indicates complete saturation of adsorption sites at high PEN concentration, beyond which further removal is no longer possible. These results clearly confirm the adsorption capacity limit of mZIF-8 under extreme substrate loading.</w:t>
      </w:r>
      <w:r>
        <w:rPr>
          <w:lang w:val="en-GB"/>
        </w:rPr>
        <w:t xml:space="preserve"> </w:t>
      </w:r>
      <w:r w:rsidRPr="00DB0908">
        <w:rPr>
          <w:lang w:val="en-GB"/>
        </w:rPr>
        <w:t>A markedly different behavior was observed for the β-lactamase@mZIF-8 system, which exhibited substantially higher overall PEN removal than adsorption alone. The PEN fraction decreased from 100% to 78% during the initial phase, further to approximately 30% after 96 h, and to about 6% after 192 h. This demonstrates that immobilized β-lactamase enables continued PEN degradation even after adsorption sites on the carrier are fully occupied. The enhanced long-term performance highlights the high stability of the immobilized enzyme and its improved effectiveness compared to the free enzyme form under high substrate stress.</w:t>
      </w:r>
      <w:r>
        <w:rPr>
          <w:lang w:val="en-GB"/>
        </w:rPr>
        <w:t xml:space="preserve"> </w:t>
      </w:r>
      <w:r w:rsidRPr="00DB0908">
        <w:rPr>
          <w:lang w:val="en-GB"/>
        </w:rPr>
        <w:t>The inactivated β-lactamase@mZIF-8 control showed a slower and clearly limited removal profile. The PEN fraction decreased to approximately 79% initially, then to about 38% after 96 h, and finally stabilized at around 33% after 192 h. The similarity between active and inactive systems during the early stages confirms that adsorption dominates initial PEN removal. However, the pronounced divergence observed at later time points demonstrates that only the active β-lactamase@mZIF-8 system is capable of further PEN degradation once adsorption equilibrium is reached. This confirms that immobilized β-lactamase plays a decisive role in PEN removal beyond the adsorption capacity of the carrier at high substrate concentrations.</w:t>
      </w:r>
      <w:r>
        <w:rPr>
          <w:lang w:val="en-GB"/>
        </w:rPr>
        <w:t xml:space="preserve"> </w:t>
      </w:r>
      <w:r w:rsidRPr="00DB0908">
        <w:rPr>
          <w:lang w:val="en-GB"/>
        </w:rPr>
        <w:t>Overall, the results obtained at 10 mg/mL PEN clearly reveal the intrinsic limitations of adsorption-based removal, as all systems lacking active enzyme reach a plateau at approximately 30–35% residual PEN, corresponding to full saturation of adsorption sites. In contrast, systems containing active immobilized β-lactamase enable continued degradation after adsorption saturation, demonstrating that enzymatic catalysis becomes the dominant removal mechanism under high substrate load. These findings highlight the importance of enzyme immobilization for maintaining removal efficiency at elevated contaminant concentrations and confirm the synergistic interaction between adsorption and catalysis within the β-lactamase@mZIF-8 hybrid system.</w:t>
      </w:r>
    </w:p>
    <w:p w14:paraId="23FF896B" w14:textId="11180C0C" w:rsidR="00D51059" w:rsidRDefault="001327DA" w:rsidP="001327DA">
      <w:pPr>
        <w:pStyle w:val="CETHeading1"/>
      </w:pPr>
      <w:r>
        <w:lastRenderedPageBreak/>
        <w:t>Conclusions</w:t>
      </w:r>
    </w:p>
    <w:p w14:paraId="5CD51282" w14:textId="0942B1B3" w:rsidR="00D51059" w:rsidRDefault="00DB0908" w:rsidP="00600535">
      <w:pPr>
        <w:pStyle w:val="CETBodytext"/>
        <w:rPr>
          <w:lang w:val="en-GB"/>
        </w:rPr>
      </w:pPr>
      <w:r w:rsidRPr="00DB0908">
        <w:rPr>
          <w:lang w:val="en-GB"/>
        </w:rPr>
        <w:t>In summary, the removal of PEN across a wide concentration range (0.1–10 mg/mL) is governed by a combined adsorption–catalysis mechanism, whose relative contributions depend strongly on substrate loading. At low PEN concentration (0.1 mg/mL), rapid and nearly complete removal is dominated by adsorption onto mZIF-8, with immobilized β-lactamase providing a modest but measurable catalytic contribution. At intermediate concentration (1.0 mg/mL), adsorption remains highly effective but becomes kinetically limited by progressive saturation of available sites, while enzymatic degradation contributes to accelerated removal compared to adsorption alone. At high PEN concentration (10 mg/mL), adsorption reaches a clear capacity limit, resulting in a persistent residual PEN fraction in systems lacking active enzyme. Under these conditions, immobilized β-lactamase enables continued PEN degradation beyond adsorption saturation, demonstrating enhanced stability and sustained catalytic activity compared to the free enzyme. Collectively, these results confirm that enzyme immobilization on mZIF-8 significantly extends the effective operating range of adsorption-based systems and becomes increasingly critical for efficient PEN removal at elevated substrate concentrations.</w:t>
      </w:r>
    </w:p>
    <w:p w14:paraId="459D05E6" w14:textId="77777777" w:rsidR="00600535" w:rsidRPr="002A795D" w:rsidRDefault="00600535" w:rsidP="00600535">
      <w:pPr>
        <w:pStyle w:val="CETAcknowledgementstitle"/>
        <w:rPr>
          <w:sz w:val="16"/>
          <w:szCs w:val="18"/>
        </w:rPr>
      </w:pPr>
      <w:r w:rsidRPr="002A795D">
        <w:rPr>
          <w:sz w:val="16"/>
          <w:szCs w:val="18"/>
        </w:rPr>
        <w:t>Acknowledgments</w:t>
      </w:r>
    </w:p>
    <w:p w14:paraId="33F8138F" w14:textId="306569A0" w:rsidR="00600535" w:rsidRPr="002A795D" w:rsidRDefault="00197017" w:rsidP="00600535">
      <w:pPr>
        <w:pStyle w:val="CETBodytext"/>
        <w:rPr>
          <w:sz w:val="16"/>
          <w:szCs w:val="18"/>
          <w:lang w:val="en-GB"/>
        </w:rPr>
      </w:pPr>
      <w:r w:rsidRPr="002A795D">
        <w:rPr>
          <w:sz w:val="16"/>
          <w:szCs w:val="18"/>
          <w:lang w:val="en-GB"/>
        </w:rPr>
        <w:t xml:space="preserve">This research was supported by the Slovenian Research </w:t>
      </w:r>
      <w:r w:rsidR="00DD6449" w:rsidRPr="002A795D">
        <w:rPr>
          <w:sz w:val="16"/>
          <w:szCs w:val="18"/>
          <w:lang w:val="en-GB"/>
        </w:rPr>
        <w:t xml:space="preserve">and Innovation </w:t>
      </w:r>
      <w:r w:rsidRPr="002A795D">
        <w:rPr>
          <w:sz w:val="16"/>
          <w:szCs w:val="18"/>
          <w:lang w:val="en-GB"/>
        </w:rPr>
        <w:t>Agency (AR</w:t>
      </w:r>
      <w:r w:rsidR="00DD6449" w:rsidRPr="002A795D">
        <w:rPr>
          <w:sz w:val="16"/>
          <w:szCs w:val="18"/>
          <w:lang w:val="en-GB"/>
        </w:rPr>
        <w:t>I</w:t>
      </w:r>
      <w:r w:rsidRPr="002A795D">
        <w:rPr>
          <w:sz w:val="16"/>
          <w:szCs w:val="18"/>
          <w:lang w:val="en-GB"/>
        </w:rPr>
        <w:t>S) within the frame of program P2-0046 (Separation Processes and Production Design) and program P2-0114 (Applied electromagnetics).</w:t>
      </w:r>
    </w:p>
    <w:p w14:paraId="4F1327F8" w14:textId="77777777" w:rsidR="00600535" w:rsidRPr="002A795D" w:rsidRDefault="00600535" w:rsidP="00600535">
      <w:pPr>
        <w:pStyle w:val="CETReference"/>
        <w:rPr>
          <w:sz w:val="16"/>
          <w:szCs w:val="18"/>
        </w:rPr>
      </w:pPr>
      <w:r w:rsidRPr="002A795D">
        <w:rPr>
          <w:sz w:val="16"/>
          <w:szCs w:val="18"/>
        </w:rPr>
        <w:t>References</w:t>
      </w:r>
    </w:p>
    <w:p w14:paraId="3316A8D9" w14:textId="77777777" w:rsidR="006D76E6" w:rsidRPr="005C3185" w:rsidRDefault="006D76E6" w:rsidP="006D76E6">
      <w:pPr>
        <w:pStyle w:val="CETReferencetext"/>
        <w:rPr>
          <w:sz w:val="17"/>
          <w:szCs w:val="17"/>
        </w:rPr>
      </w:pPr>
      <w:r w:rsidRPr="005C3185">
        <w:rPr>
          <w:sz w:val="17"/>
          <w:szCs w:val="17"/>
        </w:rPr>
        <w:t xml:space="preserve">Aghayi-Anaraki M., Safarifard V., 2020, Fe3O4@MOF Magnetic Nanocomposites: Synthesis and Applications, European Journal of Inorganic Chemistry, 20, 1916–1937. </w:t>
      </w:r>
    </w:p>
    <w:p w14:paraId="07584914" w14:textId="77777777" w:rsidR="006D76E6" w:rsidRPr="005C3185" w:rsidRDefault="006D76E6" w:rsidP="006D76E6">
      <w:pPr>
        <w:pStyle w:val="CETReferencetext"/>
        <w:rPr>
          <w:sz w:val="17"/>
          <w:szCs w:val="17"/>
        </w:rPr>
      </w:pPr>
      <w:r w:rsidRPr="005C3185">
        <w:rPr>
          <w:sz w:val="17"/>
          <w:szCs w:val="17"/>
        </w:rPr>
        <w:t xml:space="preserve">Barathe P., Kaur K., Reddy S., Shriram V., Kumar V., 2024, Antibiotic pollution and associated antimicrobial resistance in the environment, Journal of Hazardous Materials Letters, 5, 100105. </w:t>
      </w:r>
    </w:p>
    <w:p w14:paraId="60F8393D" w14:textId="77777777" w:rsidR="006D76E6" w:rsidRPr="005C3185" w:rsidRDefault="006D76E6" w:rsidP="006D76E6">
      <w:pPr>
        <w:pStyle w:val="CETReferencetext"/>
        <w:rPr>
          <w:sz w:val="17"/>
          <w:szCs w:val="17"/>
        </w:rPr>
      </w:pPr>
      <w:r w:rsidRPr="005C3185">
        <w:rPr>
          <w:sz w:val="17"/>
          <w:szCs w:val="17"/>
        </w:rPr>
        <w:t xml:space="preserve">Bergaoui M., Khalfaoui M., Awadallah-F A., Al-Muhtaseb S, 2021, A review of the features and applications of ZIF-8 and its derivatives for separating CO2 and isomers of C3- and C4- hydrocarbons, Journal of Natural Gas Science and Engineering, 96, 104289. </w:t>
      </w:r>
    </w:p>
    <w:p w14:paraId="2DB8C31C" w14:textId="77777777" w:rsidR="006D76E6" w:rsidRPr="005C3185" w:rsidRDefault="006D76E6" w:rsidP="006D76E6">
      <w:pPr>
        <w:pStyle w:val="CETReferencetext"/>
        <w:rPr>
          <w:sz w:val="17"/>
          <w:szCs w:val="17"/>
        </w:rPr>
      </w:pPr>
      <w:r w:rsidRPr="005C3185">
        <w:rPr>
          <w:sz w:val="17"/>
          <w:szCs w:val="17"/>
        </w:rPr>
        <w:t xml:space="preserve">Bhuyan A., Ahmaruzzaman Md., 2022, Metal-organic frameworks: A new generation potential material for aqueous environmental remediation, Inorganic Chemistry Communications, 140, 109436. </w:t>
      </w:r>
    </w:p>
    <w:p w14:paraId="4223065E" w14:textId="77777777" w:rsidR="006D76E6" w:rsidRPr="005C3185" w:rsidRDefault="006D76E6" w:rsidP="006D76E6">
      <w:pPr>
        <w:pStyle w:val="CETReferencetext"/>
        <w:rPr>
          <w:sz w:val="17"/>
          <w:szCs w:val="17"/>
        </w:rPr>
      </w:pPr>
      <w:r w:rsidRPr="005C3185">
        <w:rPr>
          <w:sz w:val="17"/>
          <w:szCs w:val="17"/>
        </w:rPr>
        <w:t xml:space="preserve">Dai H., Yuan X., Jiang L., Wang H., Zhang J., Zhang J., Xiong T., 2021, Recent advances on ZIF-8 composites for adsorption and photocatalytic wastewater pollutant removal: Fabrication, applications and perspective, Coordination Chemistry Reviews, 441, 213985. </w:t>
      </w:r>
    </w:p>
    <w:p w14:paraId="54B81632" w14:textId="77777777" w:rsidR="006D76E6" w:rsidRPr="005C3185" w:rsidRDefault="006D76E6" w:rsidP="006D76E6">
      <w:pPr>
        <w:pStyle w:val="CETReferencetext"/>
        <w:rPr>
          <w:sz w:val="17"/>
          <w:szCs w:val="17"/>
        </w:rPr>
      </w:pPr>
      <w:r w:rsidRPr="005C3185">
        <w:rPr>
          <w:sz w:val="17"/>
          <w:szCs w:val="17"/>
        </w:rPr>
        <w:t xml:space="preserve">Ehalt Macedo H., Lehner B., Nicell J. A., Khan U., Klein E. Y., 2025, Antibiotics in the global river system arising from human consumption, PNAS Nexus, 4(4), pgaf096. </w:t>
      </w:r>
    </w:p>
    <w:p w14:paraId="35385208" w14:textId="77777777" w:rsidR="006D76E6" w:rsidRPr="005C3185" w:rsidRDefault="006D76E6" w:rsidP="006D76E6">
      <w:pPr>
        <w:pStyle w:val="CETReferencetext"/>
        <w:rPr>
          <w:sz w:val="17"/>
          <w:szCs w:val="17"/>
        </w:rPr>
      </w:pPr>
      <w:r w:rsidRPr="005C3185">
        <w:rPr>
          <w:sz w:val="17"/>
          <w:szCs w:val="17"/>
        </w:rPr>
        <w:t xml:space="preserve">Hu Y., Zhou H., Dai L., Liu D., Al-Zuhair S., Du W., 2021, Lipase Immobilization on Macroporous ZIF-8 for Enhanced Enzymatic Biodiesel Production, ACS Omega, 6(3), 2143–2148. </w:t>
      </w:r>
    </w:p>
    <w:p w14:paraId="4CAFDCE4" w14:textId="77777777" w:rsidR="006D76E6" w:rsidRPr="005C3185" w:rsidRDefault="006D76E6" w:rsidP="006D76E6">
      <w:pPr>
        <w:pStyle w:val="CETReferencetext"/>
        <w:rPr>
          <w:sz w:val="17"/>
          <w:szCs w:val="17"/>
        </w:rPr>
      </w:pPr>
      <w:r w:rsidRPr="005C3185">
        <w:rPr>
          <w:sz w:val="17"/>
          <w:szCs w:val="17"/>
        </w:rPr>
        <w:t xml:space="preserve">Liang S., Wu X.-L., Xiong J., Yuan X., Liu S.-L., Zong M.-H., Lou W.-Y., 2022, Multivalent Ce-MOFs as biomimetic laccase nanozyme for environmental remediation, Chemical Engineering Journal, 450, 138220. </w:t>
      </w:r>
    </w:p>
    <w:p w14:paraId="11B9E475" w14:textId="77777777" w:rsidR="006D76E6" w:rsidRPr="005C3185" w:rsidRDefault="006D76E6" w:rsidP="006D76E6">
      <w:pPr>
        <w:pStyle w:val="CETReferencetext"/>
        <w:rPr>
          <w:sz w:val="17"/>
          <w:szCs w:val="17"/>
        </w:rPr>
      </w:pPr>
      <w:r w:rsidRPr="005C3185">
        <w:rPr>
          <w:sz w:val="17"/>
          <w:szCs w:val="17"/>
        </w:rPr>
        <w:t xml:space="preserve">Lin J., Wang T., Zhou Y., Cheng T., Liu H., Chen X., Luo W., Liu Q., Chu Y., Wang X., Xie F., Sha J., Song T., 2025, One-step degradation of 4 classes of β-lactam using β-lactamase enzyme cocktail, Scientific Reports, 15(1), 34701. </w:t>
      </w:r>
    </w:p>
    <w:p w14:paraId="237E16E0" w14:textId="77777777" w:rsidR="006D76E6" w:rsidRPr="005C3185" w:rsidRDefault="006D76E6" w:rsidP="006D76E6">
      <w:pPr>
        <w:pStyle w:val="CETReferencetext"/>
        <w:rPr>
          <w:sz w:val="17"/>
          <w:szCs w:val="17"/>
        </w:rPr>
      </w:pPr>
      <w:r w:rsidRPr="005C3185">
        <w:rPr>
          <w:sz w:val="17"/>
          <w:szCs w:val="17"/>
        </w:rPr>
        <w:t xml:space="preserve">Meteku B. E., Huang J., Zeng J., Subhan F., Feng F., Zhang Y., Qiu Z., Aslam S., Li G., Yan Z., 2020, Magnetic metal–organic framework composites for environmental monitoring and remediation, Coordination Chemistry Reviews, 413, 213261. </w:t>
      </w:r>
    </w:p>
    <w:p w14:paraId="374055F5" w14:textId="77777777" w:rsidR="006D76E6" w:rsidRPr="005C3185" w:rsidRDefault="006D76E6" w:rsidP="006D76E6">
      <w:pPr>
        <w:pStyle w:val="CETReferencetext"/>
        <w:rPr>
          <w:sz w:val="17"/>
          <w:szCs w:val="17"/>
        </w:rPr>
      </w:pPr>
      <w:r w:rsidRPr="005C3185">
        <w:rPr>
          <w:sz w:val="17"/>
          <w:szCs w:val="17"/>
        </w:rPr>
        <w:t xml:space="preserve">Rodríguez-Mejía Y., Bogireddy N. K. R., Romero-Romero F., Basavanag-Unnamatla M. V., Agarwal V., Varela-Guerrero V., 2025, In situ fabrication of ZIF-8 decorated tezontle for enzyme immobilization towards biodiesel production, RSC Advances, 15(33), 26632–26646. </w:t>
      </w:r>
    </w:p>
    <w:p w14:paraId="236D7629" w14:textId="77777777" w:rsidR="006D76E6" w:rsidRPr="005C3185" w:rsidRDefault="006D76E6" w:rsidP="006D76E6">
      <w:pPr>
        <w:pStyle w:val="CETReferencetext"/>
        <w:rPr>
          <w:sz w:val="17"/>
          <w:szCs w:val="17"/>
        </w:rPr>
      </w:pPr>
      <w:r w:rsidRPr="005C3185">
        <w:rPr>
          <w:sz w:val="17"/>
          <w:szCs w:val="17"/>
        </w:rPr>
        <w:t xml:space="preserve">Sta Ana K. M., Madriaga J., Espino M. P., 2021, β-Lactam antibiotics and antibiotic resistance in Asian lakes and rivers: An overview of contamination, sources and detection methods, Environmental Pollution, 275, 116624. </w:t>
      </w:r>
    </w:p>
    <w:p w14:paraId="395ABD90" w14:textId="77777777" w:rsidR="006D76E6" w:rsidRPr="005C3185" w:rsidRDefault="006D76E6" w:rsidP="006D76E6">
      <w:pPr>
        <w:pStyle w:val="CETReferencetext"/>
        <w:rPr>
          <w:sz w:val="17"/>
          <w:szCs w:val="17"/>
        </w:rPr>
      </w:pPr>
      <w:r w:rsidRPr="005C3185">
        <w:rPr>
          <w:sz w:val="17"/>
          <w:szCs w:val="17"/>
        </w:rPr>
        <w:t xml:space="preserve">Subhadarshini A., Behera S. A., Achary P. G. R., Mishra P. M., Nanda B., 2026, ZIF-8 based magnetic MOF nanocomposite: A dual functional material for amoxicillin degradation and bacteria elimination, Journal of Molecular Structure, 1349, 143702. </w:t>
      </w:r>
    </w:p>
    <w:p w14:paraId="69271FC4" w14:textId="77777777" w:rsidR="006D76E6" w:rsidRPr="005C3185" w:rsidRDefault="006D76E6" w:rsidP="006D76E6">
      <w:pPr>
        <w:pStyle w:val="CETReferencetext"/>
        <w:rPr>
          <w:sz w:val="17"/>
          <w:szCs w:val="17"/>
        </w:rPr>
      </w:pPr>
      <w:r w:rsidRPr="005C3185">
        <w:rPr>
          <w:sz w:val="17"/>
          <w:szCs w:val="17"/>
        </w:rPr>
        <w:t xml:space="preserve">Wang J., Zhao Y., Peng R., Wang Y., Zhang J., Zhu X., Kang H., Guo C., Mao Y., Kim J., Wang C., 2023, When enzyme meet MOFs: Emerging opportunities toward water treatment, Chemical Engineering Journal, 466, 142993. </w:t>
      </w:r>
    </w:p>
    <w:p w14:paraId="1CFA95F8" w14:textId="77777777" w:rsidR="006D76E6" w:rsidRPr="005C3185" w:rsidRDefault="006D76E6" w:rsidP="006D76E6">
      <w:pPr>
        <w:pStyle w:val="CETReferencetext"/>
        <w:rPr>
          <w:sz w:val="17"/>
          <w:szCs w:val="17"/>
        </w:rPr>
      </w:pPr>
      <w:r w:rsidRPr="005C3185">
        <w:rPr>
          <w:sz w:val="17"/>
          <w:szCs w:val="17"/>
        </w:rPr>
        <w:t xml:space="preserve">Wang Q., Sun Y., Zhao S., Bai C., Cong Z., Dong Y., Wang T., 2023, Metallo-β-lactamases immobilized by magnetic zeolitic imidazolate frameworks-8 for degradation of β-lactam antibiotics in an aqueous environment, RSC Advances, 13(49), 34884–34890. </w:t>
      </w:r>
    </w:p>
    <w:p w14:paraId="545816EC" w14:textId="77777777" w:rsidR="006D76E6" w:rsidRPr="005C3185" w:rsidRDefault="006D76E6" w:rsidP="006D76E6">
      <w:pPr>
        <w:pStyle w:val="CETReferencetext"/>
        <w:rPr>
          <w:sz w:val="17"/>
          <w:szCs w:val="17"/>
        </w:rPr>
      </w:pPr>
      <w:r w:rsidRPr="005C3185">
        <w:rPr>
          <w:sz w:val="17"/>
          <w:szCs w:val="17"/>
        </w:rPr>
        <w:t xml:space="preserve">Wu Y., Li B., Wang X., Yu S., Pang H., Liu Y., Liu X., Wang X., 2019, Magnetic metal-organic frameworks (Fe3O4@ZIF-8) composites for U(VI) and Eu(III) elimination: Simultaneously achieve favorable stability and functionality, Chemical Engineering Journal, 378, 122105. </w:t>
      </w:r>
    </w:p>
    <w:p w14:paraId="52742EAE" w14:textId="77777777" w:rsidR="006D76E6" w:rsidRPr="005C3185" w:rsidRDefault="006D76E6" w:rsidP="006D76E6">
      <w:pPr>
        <w:pStyle w:val="CETReferencetext"/>
        <w:rPr>
          <w:sz w:val="17"/>
          <w:szCs w:val="17"/>
        </w:rPr>
      </w:pPr>
      <w:r w:rsidRPr="005C3185">
        <w:rPr>
          <w:sz w:val="17"/>
          <w:szCs w:val="17"/>
        </w:rPr>
        <w:t xml:space="preserve">Yan F., An L., Xu X., Du W., Dai R., 2024, A review of antibiotics in surface water and their removal by advanced electrocoagulation technologies, Science of The Total Environment, 906, 167737. </w:t>
      </w:r>
    </w:p>
    <w:p w14:paraId="19C4FC68" w14:textId="384752FB" w:rsidR="004628D2" w:rsidRPr="005C3185" w:rsidRDefault="006D76E6" w:rsidP="00C84C56">
      <w:pPr>
        <w:pStyle w:val="CETReferencetext"/>
        <w:rPr>
          <w:sz w:val="17"/>
          <w:szCs w:val="17"/>
        </w:rPr>
      </w:pPr>
      <w:r w:rsidRPr="005C3185">
        <w:rPr>
          <w:sz w:val="17"/>
          <w:szCs w:val="17"/>
        </w:rPr>
        <w:t xml:space="preserve">Yang L., Hu D., Liu H., Wang X., Liu Y., Xia Q., Deng S., Hao Y., Jin Y., Xie M., 2021, Biodegradation pathway of penicillins by β-lactamase encapsulated in metal-organic frameworks, Journal of Hazardous Materials, 414, 125549. </w:t>
      </w:r>
    </w:p>
    <w:sectPr w:rsidR="004628D2" w:rsidRPr="005C3185" w:rsidSect="007F2F75">
      <w:type w:val="continuous"/>
      <w:pgSz w:w="11906" w:h="16838" w:code="9"/>
      <w:pgMar w:top="1276" w:right="1418" w:bottom="1276"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0B685" w14:textId="77777777" w:rsidR="002A2270" w:rsidRDefault="002A2270" w:rsidP="004F5E36">
      <w:r>
        <w:separator/>
      </w:r>
    </w:p>
  </w:endnote>
  <w:endnote w:type="continuationSeparator" w:id="0">
    <w:p w14:paraId="4880D435" w14:textId="77777777" w:rsidR="002A2270" w:rsidRDefault="002A227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C3513" w14:textId="77777777" w:rsidR="002A2270" w:rsidRDefault="002A2270" w:rsidP="004F5E36">
      <w:r>
        <w:separator/>
      </w:r>
    </w:p>
  </w:footnote>
  <w:footnote w:type="continuationSeparator" w:id="0">
    <w:p w14:paraId="3A11F970" w14:textId="77777777" w:rsidR="002A2270" w:rsidRDefault="002A227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preprost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64D"/>
    <w:rsid w:val="000052FB"/>
    <w:rsid w:val="00005884"/>
    <w:rsid w:val="00005A19"/>
    <w:rsid w:val="000117CB"/>
    <w:rsid w:val="0003148D"/>
    <w:rsid w:val="00031EEC"/>
    <w:rsid w:val="000414CD"/>
    <w:rsid w:val="00051566"/>
    <w:rsid w:val="000562A9"/>
    <w:rsid w:val="00062A9A"/>
    <w:rsid w:val="00065058"/>
    <w:rsid w:val="00086C39"/>
    <w:rsid w:val="000A03B2"/>
    <w:rsid w:val="000A5A29"/>
    <w:rsid w:val="000C4763"/>
    <w:rsid w:val="000D0268"/>
    <w:rsid w:val="000D2157"/>
    <w:rsid w:val="000D34BE"/>
    <w:rsid w:val="000E102F"/>
    <w:rsid w:val="000E36F1"/>
    <w:rsid w:val="000E3A73"/>
    <w:rsid w:val="000E414A"/>
    <w:rsid w:val="000E75FD"/>
    <w:rsid w:val="000F093C"/>
    <w:rsid w:val="000F14B4"/>
    <w:rsid w:val="000F2A1A"/>
    <w:rsid w:val="000F787B"/>
    <w:rsid w:val="0012091F"/>
    <w:rsid w:val="00124AAD"/>
    <w:rsid w:val="00126BC2"/>
    <w:rsid w:val="001308B6"/>
    <w:rsid w:val="0013121F"/>
    <w:rsid w:val="00131FE6"/>
    <w:rsid w:val="0013263F"/>
    <w:rsid w:val="001327DA"/>
    <w:rsid w:val="001331DF"/>
    <w:rsid w:val="00134DE4"/>
    <w:rsid w:val="0014034D"/>
    <w:rsid w:val="00140FE3"/>
    <w:rsid w:val="00144D16"/>
    <w:rsid w:val="00150E59"/>
    <w:rsid w:val="00152DE3"/>
    <w:rsid w:val="00164CF9"/>
    <w:rsid w:val="00166452"/>
    <w:rsid w:val="001667A6"/>
    <w:rsid w:val="00184AD6"/>
    <w:rsid w:val="00197017"/>
    <w:rsid w:val="001A4AF7"/>
    <w:rsid w:val="001B0349"/>
    <w:rsid w:val="001B1E93"/>
    <w:rsid w:val="001B65C1"/>
    <w:rsid w:val="001C260F"/>
    <w:rsid w:val="001C33F1"/>
    <w:rsid w:val="001C684B"/>
    <w:rsid w:val="001C77E3"/>
    <w:rsid w:val="001D0CFB"/>
    <w:rsid w:val="001D21AF"/>
    <w:rsid w:val="001D53FC"/>
    <w:rsid w:val="001F42A5"/>
    <w:rsid w:val="001F7B9D"/>
    <w:rsid w:val="00201C93"/>
    <w:rsid w:val="00221EEF"/>
    <w:rsid w:val="002224B4"/>
    <w:rsid w:val="002447EF"/>
    <w:rsid w:val="00251550"/>
    <w:rsid w:val="00263B05"/>
    <w:rsid w:val="0027221A"/>
    <w:rsid w:val="00275B61"/>
    <w:rsid w:val="0028096C"/>
    <w:rsid w:val="00280FAF"/>
    <w:rsid w:val="00282656"/>
    <w:rsid w:val="00296B83"/>
    <w:rsid w:val="002A2270"/>
    <w:rsid w:val="002A795D"/>
    <w:rsid w:val="002B4015"/>
    <w:rsid w:val="002B78CE"/>
    <w:rsid w:val="002C2FB6"/>
    <w:rsid w:val="002E06F7"/>
    <w:rsid w:val="002E5FA7"/>
    <w:rsid w:val="002F3309"/>
    <w:rsid w:val="003008CE"/>
    <w:rsid w:val="003009B7"/>
    <w:rsid w:val="00300E56"/>
    <w:rsid w:val="0030152C"/>
    <w:rsid w:val="0030469C"/>
    <w:rsid w:val="00321CA6"/>
    <w:rsid w:val="00323763"/>
    <w:rsid w:val="00323C5F"/>
    <w:rsid w:val="00334C09"/>
    <w:rsid w:val="003723D4"/>
    <w:rsid w:val="00381905"/>
    <w:rsid w:val="00384CC8"/>
    <w:rsid w:val="00385B48"/>
    <w:rsid w:val="003871FD"/>
    <w:rsid w:val="003A1E30"/>
    <w:rsid w:val="003A2829"/>
    <w:rsid w:val="003A7D1C"/>
    <w:rsid w:val="003B304B"/>
    <w:rsid w:val="003B3146"/>
    <w:rsid w:val="003D1E02"/>
    <w:rsid w:val="003D7061"/>
    <w:rsid w:val="003F015E"/>
    <w:rsid w:val="003F1798"/>
    <w:rsid w:val="00400414"/>
    <w:rsid w:val="0041446B"/>
    <w:rsid w:val="00434854"/>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A5E57"/>
    <w:rsid w:val="004C194F"/>
    <w:rsid w:val="004C3D1D"/>
    <w:rsid w:val="004C3D84"/>
    <w:rsid w:val="004C7913"/>
    <w:rsid w:val="004E4DD6"/>
    <w:rsid w:val="004F5E36"/>
    <w:rsid w:val="00507B47"/>
    <w:rsid w:val="00507BEF"/>
    <w:rsid w:val="00507CC9"/>
    <w:rsid w:val="005119A5"/>
    <w:rsid w:val="005278B7"/>
    <w:rsid w:val="00532016"/>
    <w:rsid w:val="005346C8"/>
    <w:rsid w:val="005432E8"/>
    <w:rsid w:val="00543E7D"/>
    <w:rsid w:val="00547A68"/>
    <w:rsid w:val="005531C9"/>
    <w:rsid w:val="00557EA1"/>
    <w:rsid w:val="00570C43"/>
    <w:rsid w:val="00592274"/>
    <w:rsid w:val="005B2110"/>
    <w:rsid w:val="005B61E6"/>
    <w:rsid w:val="005C3185"/>
    <w:rsid w:val="005C77E1"/>
    <w:rsid w:val="005D668A"/>
    <w:rsid w:val="005D6A2F"/>
    <w:rsid w:val="005E0592"/>
    <w:rsid w:val="005E1033"/>
    <w:rsid w:val="005E1A82"/>
    <w:rsid w:val="005E794C"/>
    <w:rsid w:val="005F0A28"/>
    <w:rsid w:val="005F0E5E"/>
    <w:rsid w:val="00600535"/>
    <w:rsid w:val="00610CD6"/>
    <w:rsid w:val="00620DEE"/>
    <w:rsid w:val="00621F92"/>
    <w:rsid w:val="0062280A"/>
    <w:rsid w:val="006231E1"/>
    <w:rsid w:val="00625639"/>
    <w:rsid w:val="00631B33"/>
    <w:rsid w:val="0064184D"/>
    <w:rsid w:val="006422CC"/>
    <w:rsid w:val="00642E87"/>
    <w:rsid w:val="00651D18"/>
    <w:rsid w:val="00660E3E"/>
    <w:rsid w:val="00662E74"/>
    <w:rsid w:val="00663B12"/>
    <w:rsid w:val="00680C23"/>
    <w:rsid w:val="00683E23"/>
    <w:rsid w:val="00693766"/>
    <w:rsid w:val="006A3281"/>
    <w:rsid w:val="006B0E6A"/>
    <w:rsid w:val="006B4888"/>
    <w:rsid w:val="006C2E45"/>
    <w:rsid w:val="006C359C"/>
    <w:rsid w:val="006C5579"/>
    <w:rsid w:val="006D6E8B"/>
    <w:rsid w:val="006D7209"/>
    <w:rsid w:val="006D76E6"/>
    <w:rsid w:val="006E737D"/>
    <w:rsid w:val="0070579A"/>
    <w:rsid w:val="00707DD1"/>
    <w:rsid w:val="00713973"/>
    <w:rsid w:val="00720A24"/>
    <w:rsid w:val="00732386"/>
    <w:rsid w:val="007338AE"/>
    <w:rsid w:val="0073514D"/>
    <w:rsid w:val="007447F3"/>
    <w:rsid w:val="0075499F"/>
    <w:rsid w:val="00754C1D"/>
    <w:rsid w:val="007617CC"/>
    <w:rsid w:val="007661C8"/>
    <w:rsid w:val="0077098D"/>
    <w:rsid w:val="00785BF9"/>
    <w:rsid w:val="007931FA"/>
    <w:rsid w:val="00796D90"/>
    <w:rsid w:val="007A4861"/>
    <w:rsid w:val="007A7BBA"/>
    <w:rsid w:val="007B0C50"/>
    <w:rsid w:val="007B48F9"/>
    <w:rsid w:val="007C021B"/>
    <w:rsid w:val="007C1A43"/>
    <w:rsid w:val="007D0951"/>
    <w:rsid w:val="007F27C8"/>
    <w:rsid w:val="007F2F75"/>
    <w:rsid w:val="0080013E"/>
    <w:rsid w:val="00813288"/>
    <w:rsid w:val="008168FC"/>
    <w:rsid w:val="00830996"/>
    <w:rsid w:val="008314D7"/>
    <w:rsid w:val="008345F1"/>
    <w:rsid w:val="00860B8F"/>
    <w:rsid w:val="00865B07"/>
    <w:rsid w:val="008667EA"/>
    <w:rsid w:val="0087637F"/>
    <w:rsid w:val="00892AD5"/>
    <w:rsid w:val="008A1512"/>
    <w:rsid w:val="008B172C"/>
    <w:rsid w:val="008D32B9"/>
    <w:rsid w:val="008D433B"/>
    <w:rsid w:val="008D4A16"/>
    <w:rsid w:val="008E209A"/>
    <w:rsid w:val="008E45BC"/>
    <w:rsid w:val="008E566E"/>
    <w:rsid w:val="0090161A"/>
    <w:rsid w:val="00901EB6"/>
    <w:rsid w:val="009041F8"/>
    <w:rsid w:val="00904C62"/>
    <w:rsid w:val="009126BA"/>
    <w:rsid w:val="00917020"/>
    <w:rsid w:val="00922BA8"/>
    <w:rsid w:val="00924DAC"/>
    <w:rsid w:val="00927058"/>
    <w:rsid w:val="00942750"/>
    <w:rsid w:val="009450CE"/>
    <w:rsid w:val="009459BB"/>
    <w:rsid w:val="00947179"/>
    <w:rsid w:val="0095164B"/>
    <w:rsid w:val="00954090"/>
    <w:rsid w:val="0095509C"/>
    <w:rsid w:val="009573E7"/>
    <w:rsid w:val="00963E05"/>
    <w:rsid w:val="00964588"/>
    <w:rsid w:val="00964A45"/>
    <w:rsid w:val="00967843"/>
    <w:rsid w:val="00967D54"/>
    <w:rsid w:val="00971028"/>
    <w:rsid w:val="00993B84"/>
    <w:rsid w:val="00996483"/>
    <w:rsid w:val="00996F5A"/>
    <w:rsid w:val="009B041A"/>
    <w:rsid w:val="009C37C3"/>
    <w:rsid w:val="009C7C86"/>
    <w:rsid w:val="009D2FF7"/>
    <w:rsid w:val="009D42EF"/>
    <w:rsid w:val="009D46E8"/>
    <w:rsid w:val="009E7884"/>
    <w:rsid w:val="009E788A"/>
    <w:rsid w:val="009F0E08"/>
    <w:rsid w:val="00A079AE"/>
    <w:rsid w:val="00A1763D"/>
    <w:rsid w:val="00A17CEC"/>
    <w:rsid w:val="00A26CBB"/>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1F6B"/>
    <w:rsid w:val="00AB5011"/>
    <w:rsid w:val="00AC7368"/>
    <w:rsid w:val="00AD0278"/>
    <w:rsid w:val="00AD16B9"/>
    <w:rsid w:val="00AE377D"/>
    <w:rsid w:val="00AF0EBA"/>
    <w:rsid w:val="00AF32BA"/>
    <w:rsid w:val="00B02C8A"/>
    <w:rsid w:val="00B17FBD"/>
    <w:rsid w:val="00B315A6"/>
    <w:rsid w:val="00B31813"/>
    <w:rsid w:val="00B33365"/>
    <w:rsid w:val="00B566FB"/>
    <w:rsid w:val="00B57B36"/>
    <w:rsid w:val="00B57E6F"/>
    <w:rsid w:val="00B8686D"/>
    <w:rsid w:val="00B93F69"/>
    <w:rsid w:val="00B96BE3"/>
    <w:rsid w:val="00BB1DDC"/>
    <w:rsid w:val="00BB720B"/>
    <w:rsid w:val="00BC30C9"/>
    <w:rsid w:val="00BD077D"/>
    <w:rsid w:val="00BD1D0B"/>
    <w:rsid w:val="00BE3E58"/>
    <w:rsid w:val="00C01616"/>
    <w:rsid w:val="00C0162B"/>
    <w:rsid w:val="00C068ED"/>
    <w:rsid w:val="00C208E9"/>
    <w:rsid w:val="00C22E0C"/>
    <w:rsid w:val="00C23E1E"/>
    <w:rsid w:val="00C31649"/>
    <w:rsid w:val="00C345B1"/>
    <w:rsid w:val="00C40142"/>
    <w:rsid w:val="00C52C3C"/>
    <w:rsid w:val="00C57182"/>
    <w:rsid w:val="00C57863"/>
    <w:rsid w:val="00C640AF"/>
    <w:rsid w:val="00C655FD"/>
    <w:rsid w:val="00C75407"/>
    <w:rsid w:val="00C841C6"/>
    <w:rsid w:val="00C84C56"/>
    <w:rsid w:val="00C870A8"/>
    <w:rsid w:val="00C94434"/>
    <w:rsid w:val="00CA0D75"/>
    <w:rsid w:val="00CA1C95"/>
    <w:rsid w:val="00CA5A9C"/>
    <w:rsid w:val="00CB5CB9"/>
    <w:rsid w:val="00CC4C20"/>
    <w:rsid w:val="00CD3517"/>
    <w:rsid w:val="00CD355B"/>
    <w:rsid w:val="00CD5FE2"/>
    <w:rsid w:val="00CE7C68"/>
    <w:rsid w:val="00D02B4C"/>
    <w:rsid w:val="00D040C4"/>
    <w:rsid w:val="00D20AD1"/>
    <w:rsid w:val="00D2582C"/>
    <w:rsid w:val="00D46B7E"/>
    <w:rsid w:val="00D51059"/>
    <w:rsid w:val="00D56B68"/>
    <w:rsid w:val="00D57C84"/>
    <w:rsid w:val="00D6057D"/>
    <w:rsid w:val="00D71640"/>
    <w:rsid w:val="00D73CA9"/>
    <w:rsid w:val="00D836C5"/>
    <w:rsid w:val="00D84576"/>
    <w:rsid w:val="00D90C80"/>
    <w:rsid w:val="00DA1399"/>
    <w:rsid w:val="00DA24C6"/>
    <w:rsid w:val="00DA4D7B"/>
    <w:rsid w:val="00DB0908"/>
    <w:rsid w:val="00DD271C"/>
    <w:rsid w:val="00DD6449"/>
    <w:rsid w:val="00DE264A"/>
    <w:rsid w:val="00DE321B"/>
    <w:rsid w:val="00DF5072"/>
    <w:rsid w:val="00E02D18"/>
    <w:rsid w:val="00E041E7"/>
    <w:rsid w:val="00E23CA1"/>
    <w:rsid w:val="00E27EC9"/>
    <w:rsid w:val="00E409A8"/>
    <w:rsid w:val="00E47D61"/>
    <w:rsid w:val="00E50C12"/>
    <w:rsid w:val="00E648AA"/>
    <w:rsid w:val="00E65B91"/>
    <w:rsid w:val="00E7209D"/>
    <w:rsid w:val="00E72EAD"/>
    <w:rsid w:val="00E759C4"/>
    <w:rsid w:val="00E77223"/>
    <w:rsid w:val="00E8528B"/>
    <w:rsid w:val="00E85B94"/>
    <w:rsid w:val="00E978D0"/>
    <w:rsid w:val="00EA4613"/>
    <w:rsid w:val="00EA7F91"/>
    <w:rsid w:val="00EB1523"/>
    <w:rsid w:val="00EC0E49"/>
    <w:rsid w:val="00EC101F"/>
    <w:rsid w:val="00EC1D9F"/>
    <w:rsid w:val="00EE0131"/>
    <w:rsid w:val="00EE17B0"/>
    <w:rsid w:val="00EF06D9"/>
    <w:rsid w:val="00EF0982"/>
    <w:rsid w:val="00F126FF"/>
    <w:rsid w:val="00F3049E"/>
    <w:rsid w:val="00F30C64"/>
    <w:rsid w:val="00F32BA2"/>
    <w:rsid w:val="00F32CDB"/>
    <w:rsid w:val="00F3348F"/>
    <w:rsid w:val="00F37280"/>
    <w:rsid w:val="00F41EE4"/>
    <w:rsid w:val="00F565FE"/>
    <w:rsid w:val="00F63A70"/>
    <w:rsid w:val="00F63D8C"/>
    <w:rsid w:val="00F7534E"/>
    <w:rsid w:val="00F81112"/>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slov1">
    <w:name w:val="heading 1"/>
    <w:basedOn w:val="CETHeading1"/>
    <w:next w:val="Navaden"/>
    <w:link w:val="Naslov1Znak"/>
    <w:uiPriority w:val="9"/>
    <w:rsid w:val="004F5E36"/>
    <w:pPr>
      <w:tabs>
        <w:tab w:val="clear" w:pos="360"/>
        <w:tab w:val="right" w:pos="7100"/>
      </w:tabs>
      <w:jc w:val="both"/>
      <w:outlineLvl w:val="0"/>
    </w:pPr>
    <w:rPr>
      <w:lang w:val="en-GB"/>
    </w:rPr>
  </w:style>
  <w:style w:type="paragraph" w:styleId="Naslov2">
    <w:name w:val="heading 2"/>
    <w:basedOn w:val="Navaden"/>
    <w:next w:val="Navaden"/>
    <w:link w:val="Naslov2Znak"/>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slov9">
    <w:name w:val="heading 9"/>
    <w:basedOn w:val="Navaden"/>
    <w:next w:val="Navaden"/>
    <w:link w:val="Naslov9Znak"/>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preprosta1">
    <w:name w:val="Table Simple 1"/>
    <w:basedOn w:val="Navadnatabel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Pripombasklic">
    <w:name w:val="annotation reference"/>
    <w:basedOn w:val="Privzetapisavaodstavka"/>
    <w:uiPriority w:val="99"/>
    <w:semiHidden/>
    <w:unhideWhenUsed/>
    <w:rsid w:val="004577FE"/>
    <w:rPr>
      <w:sz w:val="16"/>
      <w:szCs w:val="16"/>
    </w:rPr>
  </w:style>
  <w:style w:type="paragraph" w:styleId="Besedilooblaka">
    <w:name w:val="Balloon Text"/>
    <w:basedOn w:val="Navaden"/>
    <w:link w:val="BesedilooblakaZnak"/>
    <w:uiPriority w:val="99"/>
    <w:semiHidden/>
    <w:unhideWhenUsed/>
    <w:rsid w:val="000D34B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34BE"/>
    <w:rPr>
      <w:rFonts w:ascii="Tahoma" w:hAnsi="Tahoma" w:cs="Tahoma"/>
      <w:sz w:val="16"/>
      <w:szCs w:val="16"/>
    </w:rPr>
  </w:style>
  <w:style w:type="paragraph" w:styleId="Bibliografija">
    <w:name w:val="Bibliography"/>
    <w:basedOn w:val="CETReferencetext"/>
    <w:uiPriority w:val="37"/>
    <w:unhideWhenUsed/>
    <w:rsid w:val="00631B33"/>
    <w:pPr>
      <w:spacing w:line="240" w:lineRule="auto"/>
      <w:ind w:left="720" w:hanging="720"/>
    </w:pPr>
  </w:style>
  <w:style w:type="paragraph" w:styleId="Telobesedila2">
    <w:name w:val="Body Text 2"/>
    <w:basedOn w:val="Navaden"/>
    <w:link w:val="Telobesedila2Znak"/>
    <w:uiPriority w:val="99"/>
    <w:semiHidden/>
    <w:unhideWhenUsed/>
    <w:rsid w:val="0003148D"/>
    <w:pPr>
      <w:spacing w:after="120" w:line="480" w:lineRule="auto"/>
    </w:pPr>
  </w:style>
  <w:style w:type="character" w:customStyle="1" w:styleId="Telobesedila2Znak">
    <w:name w:val="Telo besedila 2 Znak"/>
    <w:basedOn w:val="Privzetapisavaodstavka"/>
    <w:link w:val="Telobesedila2"/>
    <w:uiPriority w:val="99"/>
    <w:semiHidden/>
    <w:rsid w:val="0003148D"/>
  </w:style>
  <w:style w:type="paragraph" w:styleId="Telobesedila3">
    <w:name w:val="Body Text 3"/>
    <w:basedOn w:val="Navaden"/>
    <w:link w:val="Telobesedila3Znak"/>
    <w:uiPriority w:val="99"/>
    <w:semiHidden/>
    <w:unhideWhenUsed/>
    <w:rsid w:val="0003148D"/>
    <w:pPr>
      <w:spacing w:after="120"/>
    </w:pPr>
    <w:rPr>
      <w:sz w:val="16"/>
      <w:szCs w:val="16"/>
    </w:rPr>
  </w:style>
  <w:style w:type="character" w:customStyle="1" w:styleId="Telobesedila3Znak">
    <w:name w:val="Telo besedila 3 Znak"/>
    <w:basedOn w:val="Privzetapisavaodstavka"/>
    <w:link w:val="Telobesedila3"/>
    <w:uiPriority w:val="99"/>
    <w:semiHidden/>
    <w:rsid w:val="0003148D"/>
    <w:rPr>
      <w:sz w:val="16"/>
      <w:szCs w:val="16"/>
    </w:rPr>
  </w:style>
  <w:style w:type="paragraph" w:styleId="Telobesedila">
    <w:name w:val="Body Text"/>
    <w:basedOn w:val="Navaden"/>
    <w:link w:val="TelobesedilaZnak"/>
    <w:uiPriority w:val="99"/>
    <w:semiHidden/>
    <w:unhideWhenUsed/>
    <w:rsid w:val="0003148D"/>
    <w:pPr>
      <w:spacing w:after="120"/>
    </w:pPr>
  </w:style>
  <w:style w:type="character" w:customStyle="1" w:styleId="TelobesedilaZnak">
    <w:name w:val="Telo besedila Znak"/>
    <w:basedOn w:val="Privzetapisavaodstavka"/>
    <w:link w:val="Telobesedila"/>
    <w:uiPriority w:val="99"/>
    <w:semiHidden/>
    <w:rsid w:val="0003148D"/>
  </w:style>
  <w:style w:type="paragraph" w:styleId="Datum">
    <w:name w:val="Date"/>
    <w:basedOn w:val="Navaden"/>
    <w:next w:val="Navaden"/>
    <w:link w:val="DatumZnak"/>
    <w:uiPriority w:val="99"/>
    <w:semiHidden/>
    <w:unhideWhenUsed/>
    <w:rsid w:val="0003148D"/>
  </w:style>
  <w:style w:type="character" w:customStyle="1" w:styleId="DatumZnak">
    <w:name w:val="Datum Znak"/>
    <w:basedOn w:val="Privzetapisavaodstavka"/>
    <w:link w:val="Datum"/>
    <w:uiPriority w:val="99"/>
    <w:semiHidden/>
    <w:rsid w:val="0003148D"/>
  </w:style>
  <w:style w:type="paragraph" w:styleId="Napis">
    <w:name w:val="caption"/>
    <w:basedOn w:val="Navaden"/>
    <w:next w:val="Navaden"/>
    <w:uiPriority w:val="35"/>
    <w:semiHidden/>
    <w:unhideWhenUsed/>
    <w:qFormat/>
    <w:rsid w:val="0003148D"/>
    <w:pPr>
      <w:spacing w:line="240" w:lineRule="auto"/>
    </w:pPr>
    <w:rPr>
      <w:b/>
      <w:bCs/>
      <w:color w:val="4F81BD" w:themeColor="accent1"/>
      <w:szCs w:val="18"/>
    </w:rPr>
  </w:style>
  <w:style w:type="paragraph" w:styleId="Seznam">
    <w:name w:val="List"/>
    <w:basedOn w:val="Navaden"/>
    <w:uiPriority w:val="99"/>
    <w:semiHidden/>
    <w:unhideWhenUsed/>
    <w:rsid w:val="0003148D"/>
    <w:pPr>
      <w:ind w:left="283" w:hanging="283"/>
      <w:contextualSpacing/>
    </w:pPr>
  </w:style>
  <w:style w:type="paragraph" w:styleId="Seznam2">
    <w:name w:val="List 2"/>
    <w:basedOn w:val="Navaden"/>
    <w:uiPriority w:val="99"/>
    <w:semiHidden/>
    <w:unhideWhenUsed/>
    <w:rsid w:val="0003148D"/>
    <w:pPr>
      <w:ind w:left="566" w:hanging="283"/>
      <w:contextualSpacing/>
    </w:pPr>
  </w:style>
  <w:style w:type="paragraph" w:styleId="Seznam3">
    <w:name w:val="List 3"/>
    <w:basedOn w:val="Navaden"/>
    <w:uiPriority w:val="99"/>
    <w:semiHidden/>
    <w:unhideWhenUsed/>
    <w:rsid w:val="0003148D"/>
    <w:pPr>
      <w:ind w:left="849" w:hanging="283"/>
      <w:contextualSpacing/>
    </w:pPr>
  </w:style>
  <w:style w:type="paragraph" w:styleId="Seznam4">
    <w:name w:val="List 4"/>
    <w:basedOn w:val="Navaden"/>
    <w:uiPriority w:val="99"/>
    <w:semiHidden/>
    <w:unhideWhenUsed/>
    <w:rsid w:val="0003148D"/>
    <w:pPr>
      <w:ind w:left="1132" w:hanging="283"/>
      <w:contextualSpacing/>
    </w:pPr>
  </w:style>
  <w:style w:type="paragraph" w:styleId="Seznam5">
    <w:name w:val="List 5"/>
    <w:basedOn w:val="Navaden"/>
    <w:uiPriority w:val="99"/>
    <w:semiHidden/>
    <w:unhideWhenUsed/>
    <w:rsid w:val="0003148D"/>
    <w:pPr>
      <w:ind w:left="1415" w:hanging="283"/>
      <w:contextualSpacing/>
    </w:pPr>
  </w:style>
  <w:style w:type="paragraph" w:styleId="Seznam-nadaljevanje">
    <w:name w:val="List Continue"/>
    <w:basedOn w:val="Navaden"/>
    <w:uiPriority w:val="99"/>
    <w:semiHidden/>
    <w:unhideWhenUsed/>
    <w:rsid w:val="0003148D"/>
    <w:pPr>
      <w:spacing w:after="120"/>
      <w:ind w:left="283"/>
      <w:contextualSpacing/>
    </w:pPr>
  </w:style>
  <w:style w:type="paragraph" w:styleId="Seznam-nadaljevanje2">
    <w:name w:val="List Continue 2"/>
    <w:basedOn w:val="Navaden"/>
    <w:uiPriority w:val="99"/>
    <w:semiHidden/>
    <w:unhideWhenUsed/>
    <w:rsid w:val="0003148D"/>
    <w:pPr>
      <w:spacing w:after="120"/>
      <w:ind w:left="566"/>
      <w:contextualSpacing/>
    </w:pPr>
  </w:style>
  <w:style w:type="paragraph" w:styleId="Seznam-nadaljevanje3">
    <w:name w:val="List Continue 3"/>
    <w:basedOn w:val="Navaden"/>
    <w:uiPriority w:val="99"/>
    <w:semiHidden/>
    <w:unhideWhenUsed/>
    <w:rsid w:val="0003148D"/>
    <w:pPr>
      <w:spacing w:after="120"/>
      <w:ind w:left="849"/>
      <w:contextualSpacing/>
    </w:pPr>
  </w:style>
  <w:style w:type="paragraph" w:styleId="Seznam-nadaljevanje4">
    <w:name w:val="List Continue 4"/>
    <w:basedOn w:val="Navaden"/>
    <w:uiPriority w:val="99"/>
    <w:semiHidden/>
    <w:unhideWhenUsed/>
    <w:rsid w:val="0003148D"/>
    <w:pPr>
      <w:spacing w:after="120"/>
      <w:ind w:left="1132"/>
      <w:contextualSpacing/>
    </w:pPr>
  </w:style>
  <w:style w:type="paragraph" w:styleId="Seznam-nadaljevanje5">
    <w:name w:val="List Continue 5"/>
    <w:basedOn w:val="Navaden"/>
    <w:uiPriority w:val="99"/>
    <w:semiHidden/>
    <w:unhideWhenUsed/>
    <w:rsid w:val="0003148D"/>
    <w:pPr>
      <w:spacing w:after="120"/>
      <w:ind w:left="1415"/>
      <w:contextualSpacing/>
    </w:pPr>
  </w:style>
  <w:style w:type="paragraph" w:styleId="Podpis">
    <w:name w:val="Signature"/>
    <w:basedOn w:val="Navaden"/>
    <w:link w:val="PodpisZnak"/>
    <w:uiPriority w:val="99"/>
    <w:semiHidden/>
    <w:unhideWhenUsed/>
    <w:rsid w:val="0003148D"/>
    <w:pPr>
      <w:spacing w:line="240" w:lineRule="auto"/>
      <w:ind w:left="4252"/>
    </w:pPr>
  </w:style>
  <w:style w:type="character" w:customStyle="1" w:styleId="PodpisZnak">
    <w:name w:val="Podpis Znak"/>
    <w:basedOn w:val="Privzetapisavaodstavka"/>
    <w:link w:val="Podpis"/>
    <w:uiPriority w:val="99"/>
    <w:semiHidden/>
    <w:rsid w:val="0003148D"/>
  </w:style>
  <w:style w:type="paragraph" w:styleId="E-potnipodpis">
    <w:name w:val="E-mail Signature"/>
    <w:basedOn w:val="Navaden"/>
    <w:link w:val="E-potnipodpisZnak"/>
    <w:uiPriority w:val="99"/>
    <w:semiHidden/>
    <w:unhideWhenUsed/>
    <w:rsid w:val="0003148D"/>
    <w:pPr>
      <w:spacing w:line="240" w:lineRule="auto"/>
    </w:pPr>
  </w:style>
  <w:style w:type="character" w:customStyle="1" w:styleId="E-potnipodpisZnak">
    <w:name w:val="E-poštni podpis Znak"/>
    <w:basedOn w:val="Privzetapisavaodstavka"/>
    <w:link w:val="E-potnipodpis"/>
    <w:uiPriority w:val="99"/>
    <w:semiHidden/>
    <w:rsid w:val="0003148D"/>
  </w:style>
  <w:style w:type="paragraph" w:styleId="Uvodnipozdrav">
    <w:name w:val="Salutation"/>
    <w:basedOn w:val="Navaden"/>
    <w:next w:val="Navaden"/>
    <w:link w:val="UvodnipozdravZnak"/>
    <w:uiPriority w:val="99"/>
    <w:semiHidden/>
    <w:unhideWhenUsed/>
    <w:rsid w:val="0003148D"/>
  </w:style>
  <w:style w:type="character" w:customStyle="1" w:styleId="UvodnipozdravZnak">
    <w:name w:val="Uvodni pozdrav Znak"/>
    <w:basedOn w:val="Privzetapisavaodstavka"/>
    <w:link w:val="Uvodnipozdrav"/>
    <w:uiPriority w:val="99"/>
    <w:semiHidden/>
    <w:rsid w:val="0003148D"/>
  </w:style>
  <w:style w:type="paragraph" w:styleId="Zakljunipozdrav">
    <w:name w:val="Closing"/>
    <w:basedOn w:val="Navaden"/>
    <w:link w:val="ZakljunipozdravZnak"/>
    <w:uiPriority w:val="99"/>
    <w:semiHidden/>
    <w:unhideWhenUsed/>
    <w:rsid w:val="0003148D"/>
    <w:pPr>
      <w:spacing w:line="240" w:lineRule="auto"/>
      <w:ind w:left="4252"/>
    </w:pPr>
  </w:style>
  <w:style w:type="character" w:customStyle="1" w:styleId="ZakljunipozdravZnak">
    <w:name w:val="Zaključni pozdrav Znak"/>
    <w:basedOn w:val="Privzetapisavaodstavka"/>
    <w:link w:val="Zakljunipozdrav"/>
    <w:uiPriority w:val="99"/>
    <w:semiHidden/>
    <w:rsid w:val="0003148D"/>
  </w:style>
  <w:style w:type="paragraph" w:styleId="Stvarnokazalo1">
    <w:name w:val="index 1"/>
    <w:basedOn w:val="Navaden"/>
    <w:next w:val="Navaden"/>
    <w:autoRedefine/>
    <w:uiPriority w:val="99"/>
    <w:semiHidden/>
    <w:unhideWhenUsed/>
    <w:rsid w:val="0003148D"/>
    <w:pPr>
      <w:spacing w:line="240" w:lineRule="auto"/>
      <w:ind w:left="220" w:hanging="220"/>
    </w:pPr>
  </w:style>
  <w:style w:type="paragraph" w:styleId="Stvarnokazalo2">
    <w:name w:val="index 2"/>
    <w:basedOn w:val="Navaden"/>
    <w:next w:val="Navaden"/>
    <w:autoRedefine/>
    <w:uiPriority w:val="99"/>
    <w:semiHidden/>
    <w:unhideWhenUsed/>
    <w:rsid w:val="0003148D"/>
    <w:pPr>
      <w:spacing w:line="240" w:lineRule="auto"/>
      <w:ind w:left="440" w:hanging="220"/>
    </w:pPr>
  </w:style>
  <w:style w:type="paragraph" w:styleId="Stvarnokazalo3">
    <w:name w:val="index 3"/>
    <w:basedOn w:val="Navaden"/>
    <w:next w:val="Navaden"/>
    <w:autoRedefine/>
    <w:uiPriority w:val="99"/>
    <w:semiHidden/>
    <w:unhideWhenUsed/>
    <w:rsid w:val="0003148D"/>
    <w:pPr>
      <w:spacing w:line="240" w:lineRule="auto"/>
      <w:ind w:left="660" w:hanging="220"/>
    </w:pPr>
  </w:style>
  <w:style w:type="paragraph" w:styleId="Stvarnokazalo4">
    <w:name w:val="index 4"/>
    <w:basedOn w:val="Navaden"/>
    <w:next w:val="Navaden"/>
    <w:autoRedefine/>
    <w:uiPriority w:val="99"/>
    <w:semiHidden/>
    <w:unhideWhenUsed/>
    <w:rsid w:val="0003148D"/>
    <w:pPr>
      <w:spacing w:line="240" w:lineRule="auto"/>
      <w:ind w:left="880" w:hanging="220"/>
    </w:pPr>
  </w:style>
  <w:style w:type="paragraph" w:styleId="Stvarnokazalo5">
    <w:name w:val="index 5"/>
    <w:basedOn w:val="Navaden"/>
    <w:next w:val="Navaden"/>
    <w:autoRedefine/>
    <w:uiPriority w:val="99"/>
    <w:semiHidden/>
    <w:unhideWhenUsed/>
    <w:rsid w:val="0003148D"/>
    <w:pPr>
      <w:spacing w:line="240" w:lineRule="auto"/>
      <w:ind w:left="1100" w:hanging="220"/>
    </w:pPr>
  </w:style>
  <w:style w:type="paragraph" w:styleId="Stvarnokazalo6">
    <w:name w:val="index 6"/>
    <w:basedOn w:val="Navaden"/>
    <w:next w:val="Navaden"/>
    <w:autoRedefine/>
    <w:uiPriority w:val="99"/>
    <w:semiHidden/>
    <w:unhideWhenUsed/>
    <w:rsid w:val="0003148D"/>
    <w:pPr>
      <w:spacing w:line="240" w:lineRule="auto"/>
      <w:ind w:left="1320" w:hanging="220"/>
    </w:pPr>
  </w:style>
  <w:style w:type="paragraph" w:styleId="Stvarnokazalo7">
    <w:name w:val="index 7"/>
    <w:basedOn w:val="Navaden"/>
    <w:next w:val="Navaden"/>
    <w:autoRedefine/>
    <w:uiPriority w:val="99"/>
    <w:semiHidden/>
    <w:unhideWhenUsed/>
    <w:rsid w:val="0003148D"/>
    <w:pPr>
      <w:spacing w:line="240" w:lineRule="auto"/>
      <w:ind w:left="1540" w:hanging="220"/>
    </w:pPr>
  </w:style>
  <w:style w:type="paragraph" w:styleId="Stvarnokazalo8">
    <w:name w:val="index 8"/>
    <w:basedOn w:val="Navaden"/>
    <w:next w:val="Navaden"/>
    <w:autoRedefine/>
    <w:uiPriority w:val="99"/>
    <w:semiHidden/>
    <w:unhideWhenUsed/>
    <w:rsid w:val="0003148D"/>
    <w:pPr>
      <w:spacing w:line="240" w:lineRule="auto"/>
      <w:ind w:left="1760" w:hanging="220"/>
    </w:pPr>
  </w:style>
  <w:style w:type="paragraph" w:styleId="Stvarnokazalo9">
    <w:name w:val="index 9"/>
    <w:basedOn w:val="Navaden"/>
    <w:next w:val="Navaden"/>
    <w:autoRedefine/>
    <w:uiPriority w:val="99"/>
    <w:semiHidden/>
    <w:unhideWhenUsed/>
    <w:rsid w:val="0003148D"/>
    <w:pPr>
      <w:spacing w:line="240" w:lineRule="auto"/>
      <w:ind w:left="1980" w:hanging="220"/>
    </w:pPr>
  </w:style>
  <w:style w:type="paragraph" w:styleId="Kazaloslik">
    <w:name w:val="table of figures"/>
    <w:basedOn w:val="Navaden"/>
    <w:next w:val="Navaden"/>
    <w:uiPriority w:val="99"/>
    <w:semiHidden/>
    <w:unhideWhenUsed/>
    <w:rsid w:val="0003148D"/>
  </w:style>
  <w:style w:type="paragraph" w:styleId="Kazalovirov">
    <w:name w:val="table of authorities"/>
    <w:basedOn w:val="Navaden"/>
    <w:next w:val="Navaden"/>
    <w:uiPriority w:val="99"/>
    <w:semiHidden/>
    <w:unhideWhenUsed/>
    <w:rsid w:val="0003148D"/>
    <w:pPr>
      <w:ind w:left="220" w:hanging="220"/>
    </w:pPr>
  </w:style>
  <w:style w:type="paragraph" w:styleId="Naslovnaslovnika">
    <w:name w:val="envelope address"/>
    <w:basedOn w:val="Navade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naslov">
    <w:name w:val="HTML Address"/>
    <w:basedOn w:val="Navaden"/>
    <w:link w:val="HTMLnaslovZnak"/>
    <w:uiPriority w:val="99"/>
    <w:semiHidden/>
    <w:unhideWhenUsed/>
    <w:rsid w:val="0003148D"/>
    <w:pPr>
      <w:spacing w:line="240" w:lineRule="auto"/>
    </w:pPr>
    <w:rPr>
      <w:i/>
      <w:iCs/>
    </w:rPr>
  </w:style>
  <w:style w:type="character" w:customStyle="1" w:styleId="HTMLnaslovZnak">
    <w:name w:val="HTML naslov Znak"/>
    <w:basedOn w:val="Privzetapisavaodstavka"/>
    <w:link w:val="HTMLnaslov"/>
    <w:uiPriority w:val="99"/>
    <w:semiHidden/>
    <w:rsid w:val="0003148D"/>
    <w:rPr>
      <w:i/>
      <w:iCs/>
    </w:rPr>
  </w:style>
  <w:style w:type="paragraph" w:styleId="Naslovpoiljatelja">
    <w:name w:val="envelope return"/>
    <w:basedOn w:val="Navaden"/>
    <w:uiPriority w:val="99"/>
    <w:semiHidden/>
    <w:unhideWhenUsed/>
    <w:rsid w:val="0003148D"/>
    <w:pPr>
      <w:spacing w:line="240" w:lineRule="auto"/>
    </w:pPr>
    <w:rPr>
      <w:rFonts w:asciiTheme="majorHAnsi" w:eastAsiaTheme="majorEastAsia" w:hAnsiTheme="majorHAnsi" w:cstheme="majorBidi"/>
    </w:rPr>
  </w:style>
  <w:style w:type="paragraph" w:styleId="Glavasporoila">
    <w:name w:val="Message Header"/>
    <w:basedOn w:val="Navaden"/>
    <w:link w:val="GlavasporoilaZnak"/>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GlavasporoilaZnak">
    <w:name w:val="Glava sporočila Znak"/>
    <w:basedOn w:val="Privzetapisavaodstavka"/>
    <w:link w:val="Glavasporoila"/>
    <w:uiPriority w:val="99"/>
    <w:semiHidden/>
    <w:rsid w:val="0003148D"/>
    <w:rPr>
      <w:rFonts w:asciiTheme="majorHAnsi" w:eastAsiaTheme="majorEastAsia" w:hAnsiTheme="majorHAnsi" w:cstheme="majorBidi"/>
      <w:sz w:val="24"/>
      <w:szCs w:val="24"/>
      <w:shd w:val="pct20" w:color="auto" w:fill="auto"/>
    </w:rPr>
  </w:style>
  <w:style w:type="paragraph" w:styleId="Opomba-naslov">
    <w:name w:val="Note Heading"/>
    <w:basedOn w:val="Navaden"/>
    <w:next w:val="Navaden"/>
    <w:link w:val="Opomba-naslovZnak"/>
    <w:uiPriority w:val="99"/>
    <w:semiHidden/>
    <w:unhideWhenUsed/>
    <w:rsid w:val="0003148D"/>
    <w:pPr>
      <w:spacing w:line="240" w:lineRule="auto"/>
    </w:pPr>
  </w:style>
  <w:style w:type="character" w:customStyle="1" w:styleId="Opomba-naslovZnak">
    <w:name w:val="Opomba - naslov Znak"/>
    <w:basedOn w:val="Privzetapisavaodstavka"/>
    <w:link w:val="Opomba-naslov"/>
    <w:uiPriority w:val="99"/>
    <w:semiHidden/>
    <w:rsid w:val="0003148D"/>
  </w:style>
  <w:style w:type="paragraph" w:styleId="Zgradbadokumenta">
    <w:name w:val="Document Map"/>
    <w:basedOn w:val="Navaden"/>
    <w:link w:val="ZgradbadokumentaZnak"/>
    <w:uiPriority w:val="99"/>
    <w:semiHidden/>
    <w:unhideWhenUsed/>
    <w:rsid w:val="0003148D"/>
    <w:pPr>
      <w:spacing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03148D"/>
    <w:rPr>
      <w:rFonts w:ascii="Tahoma" w:hAnsi="Tahoma" w:cs="Tahoma"/>
      <w:sz w:val="16"/>
      <w:szCs w:val="16"/>
    </w:rPr>
  </w:style>
  <w:style w:type="paragraph" w:styleId="Navadensplet">
    <w:name w:val="Normal (Web)"/>
    <w:basedOn w:val="Navaden"/>
    <w:uiPriority w:val="99"/>
    <w:semiHidden/>
    <w:unhideWhenUsed/>
    <w:rsid w:val="0003148D"/>
    <w:rPr>
      <w:sz w:val="24"/>
      <w:szCs w:val="24"/>
    </w:rPr>
  </w:style>
  <w:style w:type="paragraph" w:styleId="Otevilenseznam">
    <w:name w:val="List Number"/>
    <w:basedOn w:val="Navaden"/>
    <w:uiPriority w:val="99"/>
    <w:semiHidden/>
    <w:unhideWhenUsed/>
    <w:rsid w:val="0003148D"/>
    <w:pPr>
      <w:numPr>
        <w:numId w:val="2"/>
      </w:numPr>
      <w:contextualSpacing/>
    </w:pPr>
  </w:style>
  <w:style w:type="paragraph" w:styleId="Otevilenseznam2">
    <w:name w:val="List Number 2"/>
    <w:basedOn w:val="Navaden"/>
    <w:uiPriority w:val="99"/>
    <w:semiHidden/>
    <w:unhideWhenUsed/>
    <w:rsid w:val="0003148D"/>
    <w:pPr>
      <w:numPr>
        <w:numId w:val="3"/>
      </w:numPr>
      <w:contextualSpacing/>
    </w:pPr>
  </w:style>
  <w:style w:type="paragraph" w:styleId="Otevilenseznam3">
    <w:name w:val="List Number 3"/>
    <w:basedOn w:val="Navaden"/>
    <w:uiPriority w:val="99"/>
    <w:semiHidden/>
    <w:unhideWhenUsed/>
    <w:rsid w:val="0003148D"/>
    <w:pPr>
      <w:numPr>
        <w:numId w:val="4"/>
      </w:numPr>
      <w:contextualSpacing/>
    </w:pPr>
  </w:style>
  <w:style w:type="paragraph" w:styleId="Otevilenseznam4">
    <w:name w:val="List Number 4"/>
    <w:basedOn w:val="Navaden"/>
    <w:uiPriority w:val="99"/>
    <w:semiHidden/>
    <w:unhideWhenUsed/>
    <w:rsid w:val="0003148D"/>
    <w:pPr>
      <w:numPr>
        <w:numId w:val="5"/>
      </w:numPr>
      <w:contextualSpacing/>
    </w:pPr>
  </w:style>
  <w:style w:type="paragraph" w:styleId="Otevilenseznam5">
    <w:name w:val="List Number 5"/>
    <w:basedOn w:val="Navaden"/>
    <w:uiPriority w:val="99"/>
    <w:semiHidden/>
    <w:unhideWhenUsed/>
    <w:rsid w:val="0003148D"/>
    <w:pPr>
      <w:numPr>
        <w:numId w:val="6"/>
      </w:numPr>
      <w:contextualSpacing/>
    </w:pPr>
  </w:style>
  <w:style w:type="paragraph" w:styleId="HTML-oblikovano">
    <w:name w:val="HTML Preformatted"/>
    <w:basedOn w:val="Navaden"/>
    <w:link w:val="HTML-oblikovanoZnak"/>
    <w:uiPriority w:val="99"/>
    <w:semiHidden/>
    <w:unhideWhenUsed/>
    <w:rsid w:val="0003148D"/>
    <w:pPr>
      <w:spacing w:line="240" w:lineRule="auto"/>
    </w:pPr>
    <w:rPr>
      <w:rFonts w:ascii="Consolas" w:hAnsi="Consolas" w:cs="Consolas"/>
    </w:rPr>
  </w:style>
  <w:style w:type="character" w:customStyle="1" w:styleId="HTML-oblikovanoZnak">
    <w:name w:val="HTML-oblikovano Znak"/>
    <w:basedOn w:val="Privzetapisavaodstavka"/>
    <w:link w:val="HTML-oblikovano"/>
    <w:uiPriority w:val="99"/>
    <w:semiHidden/>
    <w:rsid w:val="0003148D"/>
    <w:rPr>
      <w:rFonts w:ascii="Consolas" w:hAnsi="Consolas" w:cs="Consolas"/>
      <w:sz w:val="20"/>
      <w:szCs w:val="20"/>
    </w:rPr>
  </w:style>
  <w:style w:type="paragraph" w:styleId="Telobesedila-prvizamik">
    <w:name w:val="Body Text First Indent"/>
    <w:basedOn w:val="Telobesedila"/>
    <w:link w:val="Telobesedila-prvizamikZnak"/>
    <w:uiPriority w:val="99"/>
    <w:semiHidden/>
    <w:unhideWhenUsed/>
    <w:rsid w:val="0003148D"/>
    <w:pPr>
      <w:spacing w:after="200"/>
      <w:ind w:firstLine="360"/>
    </w:pPr>
  </w:style>
  <w:style w:type="character" w:customStyle="1" w:styleId="Telobesedila-prvizamikZnak">
    <w:name w:val="Telo besedila - prvi zamik Znak"/>
    <w:basedOn w:val="TelobesedilaZnak"/>
    <w:link w:val="Telobesedila-prvizamik"/>
    <w:uiPriority w:val="99"/>
    <w:semiHidden/>
    <w:rsid w:val="0003148D"/>
  </w:style>
  <w:style w:type="paragraph" w:styleId="Telobesedila-zamik">
    <w:name w:val="Body Text Indent"/>
    <w:basedOn w:val="Navaden"/>
    <w:link w:val="Telobesedila-zamikZnak"/>
    <w:uiPriority w:val="99"/>
    <w:semiHidden/>
    <w:unhideWhenUsed/>
    <w:rsid w:val="0003148D"/>
    <w:pPr>
      <w:spacing w:after="120"/>
      <w:ind w:left="283"/>
    </w:pPr>
  </w:style>
  <w:style w:type="character" w:customStyle="1" w:styleId="Telobesedila-zamikZnak">
    <w:name w:val="Telo besedila - zamik Znak"/>
    <w:basedOn w:val="Privzetapisavaodstavka"/>
    <w:link w:val="Telobesedila-zamik"/>
    <w:uiPriority w:val="99"/>
    <w:semiHidden/>
    <w:rsid w:val="0003148D"/>
  </w:style>
  <w:style w:type="paragraph" w:styleId="Telobesedila-prvizamik2">
    <w:name w:val="Body Text First Indent 2"/>
    <w:basedOn w:val="Telobesedila-zamik"/>
    <w:link w:val="Telobesedila-prvizamik2Znak"/>
    <w:uiPriority w:val="99"/>
    <w:semiHidden/>
    <w:unhideWhenUsed/>
    <w:rsid w:val="0003148D"/>
    <w:pPr>
      <w:spacing w:after="200"/>
      <w:ind w:left="360" w:firstLine="360"/>
    </w:pPr>
  </w:style>
  <w:style w:type="character" w:customStyle="1" w:styleId="Telobesedila-prvizamik2Znak">
    <w:name w:val="Telo besedila - prvi zamik 2 Znak"/>
    <w:basedOn w:val="Telobesedila-zamikZnak"/>
    <w:link w:val="Telobesedila-prvizamik2"/>
    <w:uiPriority w:val="99"/>
    <w:semiHidden/>
    <w:rsid w:val="0003148D"/>
  </w:style>
  <w:style w:type="paragraph" w:styleId="Oznaenseznam">
    <w:name w:val="List Bullet"/>
    <w:basedOn w:val="Navaden"/>
    <w:uiPriority w:val="99"/>
    <w:semiHidden/>
    <w:unhideWhenUsed/>
    <w:rsid w:val="0003148D"/>
    <w:pPr>
      <w:numPr>
        <w:numId w:val="7"/>
      </w:numPr>
      <w:contextualSpacing/>
    </w:pPr>
  </w:style>
  <w:style w:type="paragraph" w:styleId="Oznaenseznam2">
    <w:name w:val="List Bullet 2"/>
    <w:basedOn w:val="Navaden"/>
    <w:uiPriority w:val="99"/>
    <w:semiHidden/>
    <w:unhideWhenUsed/>
    <w:rsid w:val="0003148D"/>
    <w:pPr>
      <w:numPr>
        <w:numId w:val="8"/>
      </w:numPr>
      <w:contextualSpacing/>
    </w:pPr>
  </w:style>
  <w:style w:type="paragraph" w:styleId="Oznaenseznam3">
    <w:name w:val="List Bullet 3"/>
    <w:basedOn w:val="Navaden"/>
    <w:uiPriority w:val="99"/>
    <w:semiHidden/>
    <w:unhideWhenUsed/>
    <w:rsid w:val="0003148D"/>
    <w:pPr>
      <w:numPr>
        <w:numId w:val="9"/>
      </w:numPr>
      <w:contextualSpacing/>
    </w:pPr>
  </w:style>
  <w:style w:type="paragraph" w:styleId="Oznaenseznam4">
    <w:name w:val="List Bullet 4"/>
    <w:basedOn w:val="Navaden"/>
    <w:uiPriority w:val="99"/>
    <w:semiHidden/>
    <w:unhideWhenUsed/>
    <w:rsid w:val="0003148D"/>
    <w:pPr>
      <w:numPr>
        <w:numId w:val="10"/>
      </w:numPr>
      <w:contextualSpacing/>
    </w:pPr>
  </w:style>
  <w:style w:type="paragraph" w:styleId="Oznaenseznam5">
    <w:name w:val="List Bullet 5"/>
    <w:basedOn w:val="Navaden"/>
    <w:uiPriority w:val="99"/>
    <w:semiHidden/>
    <w:unhideWhenUsed/>
    <w:rsid w:val="0003148D"/>
    <w:pPr>
      <w:numPr>
        <w:numId w:val="11"/>
      </w:numPr>
      <w:contextualSpacing/>
    </w:pPr>
  </w:style>
  <w:style w:type="paragraph" w:styleId="Telobesedila-zamik2">
    <w:name w:val="Body Text Indent 2"/>
    <w:basedOn w:val="Navaden"/>
    <w:link w:val="Telobesedila-zamik2Znak"/>
    <w:uiPriority w:val="99"/>
    <w:semiHidden/>
    <w:unhideWhenUsed/>
    <w:rsid w:val="0003148D"/>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03148D"/>
  </w:style>
  <w:style w:type="paragraph" w:styleId="Telobesedila-zamik3">
    <w:name w:val="Body Text Indent 3"/>
    <w:basedOn w:val="Navaden"/>
    <w:link w:val="Telobesedila-zamik3Znak"/>
    <w:uiPriority w:val="99"/>
    <w:semiHidden/>
    <w:unhideWhenUsed/>
    <w:rsid w:val="0003148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3148D"/>
    <w:rPr>
      <w:sz w:val="16"/>
      <w:szCs w:val="16"/>
    </w:rPr>
  </w:style>
  <w:style w:type="paragraph" w:styleId="Navaden-zamik">
    <w:name w:val="Normal Indent"/>
    <w:basedOn w:val="Navaden"/>
    <w:uiPriority w:val="99"/>
    <w:semiHidden/>
    <w:unhideWhenUsed/>
    <w:rsid w:val="0003148D"/>
    <w:pPr>
      <w:ind w:left="720"/>
    </w:pPr>
  </w:style>
  <w:style w:type="paragraph" w:styleId="Pripombabesedilo">
    <w:name w:val="annotation text"/>
    <w:basedOn w:val="Navaden"/>
    <w:link w:val="PripombabesediloZnak"/>
    <w:uiPriority w:val="99"/>
    <w:unhideWhenUsed/>
    <w:rsid w:val="0003148D"/>
    <w:pPr>
      <w:spacing w:line="240" w:lineRule="auto"/>
    </w:pPr>
  </w:style>
  <w:style w:type="character" w:customStyle="1" w:styleId="PripombabesediloZnak">
    <w:name w:val="Pripomba – besedilo Znak"/>
    <w:basedOn w:val="Privzetapisavaodstavka"/>
    <w:link w:val="Pripombabesedilo"/>
    <w:uiPriority w:val="99"/>
    <w:rsid w:val="0003148D"/>
    <w:rPr>
      <w:sz w:val="20"/>
      <w:szCs w:val="20"/>
    </w:rPr>
  </w:style>
  <w:style w:type="paragraph" w:styleId="Zadevapripombe">
    <w:name w:val="annotation subject"/>
    <w:basedOn w:val="Pripombabesedilo"/>
    <w:next w:val="Pripombabesedilo"/>
    <w:link w:val="ZadevapripombeZnak"/>
    <w:uiPriority w:val="99"/>
    <w:semiHidden/>
    <w:unhideWhenUsed/>
    <w:rsid w:val="0003148D"/>
    <w:rPr>
      <w:b/>
      <w:bCs/>
    </w:rPr>
  </w:style>
  <w:style w:type="character" w:customStyle="1" w:styleId="ZadevapripombeZnak">
    <w:name w:val="Zadeva pripombe Znak"/>
    <w:basedOn w:val="PripombabesediloZnak"/>
    <w:link w:val="Zadevapripombe"/>
    <w:uiPriority w:val="99"/>
    <w:semiHidden/>
    <w:rsid w:val="0003148D"/>
    <w:rPr>
      <w:b/>
      <w:bCs/>
      <w:sz w:val="20"/>
      <w:szCs w:val="20"/>
    </w:rPr>
  </w:style>
  <w:style w:type="paragraph" w:styleId="Kazalovsebine1">
    <w:name w:val="toc 1"/>
    <w:basedOn w:val="Navaden"/>
    <w:next w:val="Navaden"/>
    <w:autoRedefine/>
    <w:uiPriority w:val="39"/>
    <w:semiHidden/>
    <w:unhideWhenUsed/>
    <w:rsid w:val="0003148D"/>
    <w:pPr>
      <w:spacing w:after="100"/>
    </w:pPr>
  </w:style>
  <w:style w:type="paragraph" w:styleId="Kazalovsebine2">
    <w:name w:val="toc 2"/>
    <w:basedOn w:val="Navaden"/>
    <w:next w:val="Navaden"/>
    <w:autoRedefine/>
    <w:uiPriority w:val="39"/>
    <w:semiHidden/>
    <w:unhideWhenUsed/>
    <w:rsid w:val="0003148D"/>
    <w:pPr>
      <w:spacing w:after="100"/>
      <w:ind w:left="220"/>
    </w:pPr>
  </w:style>
  <w:style w:type="paragraph" w:styleId="Kazalovsebine3">
    <w:name w:val="toc 3"/>
    <w:basedOn w:val="Navaden"/>
    <w:next w:val="Navaden"/>
    <w:autoRedefine/>
    <w:uiPriority w:val="39"/>
    <w:semiHidden/>
    <w:unhideWhenUsed/>
    <w:rsid w:val="0003148D"/>
    <w:pPr>
      <w:spacing w:after="100"/>
      <w:ind w:left="440"/>
    </w:pPr>
  </w:style>
  <w:style w:type="paragraph" w:styleId="Kazalovsebine4">
    <w:name w:val="toc 4"/>
    <w:basedOn w:val="Navaden"/>
    <w:next w:val="Navaden"/>
    <w:autoRedefine/>
    <w:uiPriority w:val="39"/>
    <w:semiHidden/>
    <w:unhideWhenUsed/>
    <w:rsid w:val="0003148D"/>
    <w:pPr>
      <w:spacing w:after="100"/>
      <w:ind w:left="660"/>
    </w:pPr>
  </w:style>
  <w:style w:type="paragraph" w:styleId="Kazalovsebine5">
    <w:name w:val="toc 5"/>
    <w:basedOn w:val="Navaden"/>
    <w:next w:val="Navaden"/>
    <w:autoRedefine/>
    <w:uiPriority w:val="39"/>
    <w:semiHidden/>
    <w:unhideWhenUsed/>
    <w:rsid w:val="0003148D"/>
    <w:pPr>
      <w:spacing w:after="100"/>
      <w:ind w:left="880"/>
    </w:pPr>
  </w:style>
  <w:style w:type="paragraph" w:styleId="Kazalovsebine6">
    <w:name w:val="toc 6"/>
    <w:basedOn w:val="Navaden"/>
    <w:next w:val="Navaden"/>
    <w:autoRedefine/>
    <w:uiPriority w:val="39"/>
    <w:semiHidden/>
    <w:unhideWhenUsed/>
    <w:rsid w:val="0003148D"/>
    <w:pPr>
      <w:spacing w:after="100"/>
      <w:ind w:left="1100"/>
    </w:pPr>
  </w:style>
  <w:style w:type="paragraph" w:styleId="Kazalovsebine7">
    <w:name w:val="toc 7"/>
    <w:basedOn w:val="Navaden"/>
    <w:next w:val="Navaden"/>
    <w:autoRedefine/>
    <w:uiPriority w:val="39"/>
    <w:semiHidden/>
    <w:unhideWhenUsed/>
    <w:rsid w:val="0003148D"/>
    <w:pPr>
      <w:spacing w:after="100"/>
      <w:ind w:left="1320"/>
    </w:pPr>
  </w:style>
  <w:style w:type="paragraph" w:styleId="Kazalovsebine8">
    <w:name w:val="toc 8"/>
    <w:basedOn w:val="Navaden"/>
    <w:next w:val="Navaden"/>
    <w:autoRedefine/>
    <w:uiPriority w:val="39"/>
    <w:semiHidden/>
    <w:unhideWhenUsed/>
    <w:rsid w:val="0003148D"/>
    <w:pPr>
      <w:spacing w:after="100"/>
      <w:ind w:left="1540"/>
    </w:pPr>
  </w:style>
  <w:style w:type="paragraph" w:styleId="Kazalovsebine9">
    <w:name w:val="toc 9"/>
    <w:basedOn w:val="Navaden"/>
    <w:next w:val="Navaden"/>
    <w:autoRedefine/>
    <w:uiPriority w:val="39"/>
    <w:semiHidden/>
    <w:unhideWhenUsed/>
    <w:rsid w:val="0003148D"/>
    <w:pPr>
      <w:spacing w:after="100"/>
      <w:ind w:left="1760"/>
    </w:pPr>
  </w:style>
  <w:style w:type="paragraph" w:styleId="Blokbesedila">
    <w:name w:val="Block Text"/>
    <w:basedOn w:val="Navade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besedilo">
    <w:name w:val="macro"/>
    <w:link w:val="MakrobesediloZnak"/>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besediloZnak">
    <w:name w:val="Makro besedilo Znak"/>
    <w:basedOn w:val="Privzetapisavaodstavka"/>
    <w:link w:val="Makrobesedilo"/>
    <w:uiPriority w:val="99"/>
    <w:semiHidden/>
    <w:rsid w:val="0003148D"/>
    <w:rPr>
      <w:rFonts w:ascii="Consolas" w:hAnsi="Consolas" w:cs="Consolas"/>
      <w:sz w:val="20"/>
      <w:szCs w:val="20"/>
    </w:rPr>
  </w:style>
  <w:style w:type="paragraph" w:styleId="Golobesedilo">
    <w:name w:val="Plain Text"/>
    <w:basedOn w:val="Navaden"/>
    <w:link w:val="GolobesediloZnak"/>
    <w:uiPriority w:val="99"/>
    <w:semiHidden/>
    <w:unhideWhenUsed/>
    <w:rsid w:val="0003148D"/>
    <w:pPr>
      <w:spacing w:line="240" w:lineRule="auto"/>
    </w:pPr>
    <w:rPr>
      <w:rFonts w:ascii="Consolas" w:hAnsi="Consolas" w:cs="Consolas"/>
      <w:sz w:val="21"/>
      <w:szCs w:val="21"/>
    </w:rPr>
  </w:style>
  <w:style w:type="character" w:customStyle="1" w:styleId="GolobesediloZnak">
    <w:name w:val="Golo besedilo Znak"/>
    <w:basedOn w:val="Privzetapisavaodstavka"/>
    <w:link w:val="Golobesedilo"/>
    <w:uiPriority w:val="99"/>
    <w:semiHidden/>
    <w:rsid w:val="0003148D"/>
    <w:rPr>
      <w:rFonts w:ascii="Consolas" w:hAnsi="Consolas" w:cs="Consolas"/>
      <w:sz w:val="21"/>
      <w:szCs w:val="21"/>
    </w:rPr>
  </w:style>
  <w:style w:type="paragraph" w:styleId="Sprotnaopomba-besedilo">
    <w:name w:val="footnote text"/>
    <w:basedOn w:val="Navaden"/>
    <w:link w:val="Sprotnaopomba-besediloZnak"/>
    <w:uiPriority w:val="99"/>
    <w:semiHidden/>
    <w:unhideWhenUsed/>
    <w:rsid w:val="0003148D"/>
    <w:pPr>
      <w:spacing w:line="240" w:lineRule="auto"/>
    </w:pPr>
  </w:style>
  <w:style w:type="character" w:customStyle="1" w:styleId="Sprotnaopomba-besediloZnak">
    <w:name w:val="Sprotna opomba - besedilo Znak"/>
    <w:basedOn w:val="Privzetapisavaodstavka"/>
    <w:link w:val="Sprotnaopomba-besedilo"/>
    <w:uiPriority w:val="99"/>
    <w:semiHidden/>
    <w:rsid w:val="0003148D"/>
    <w:rPr>
      <w:sz w:val="20"/>
      <w:szCs w:val="20"/>
    </w:rPr>
  </w:style>
  <w:style w:type="paragraph" w:styleId="Konnaopomba-besedilo">
    <w:name w:val="endnote text"/>
    <w:basedOn w:val="Navaden"/>
    <w:link w:val="Konnaopomba-besediloZnak"/>
    <w:uiPriority w:val="99"/>
    <w:semiHidden/>
    <w:unhideWhenUsed/>
    <w:rsid w:val="0003148D"/>
    <w:pPr>
      <w:spacing w:line="240" w:lineRule="auto"/>
    </w:pPr>
  </w:style>
  <w:style w:type="character" w:customStyle="1" w:styleId="Konnaopomba-besediloZnak">
    <w:name w:val="Končna opomba - besedilo Znak"/>
    <w:basedOn w:val="Privzetapisavaodstavka"/>
    <w:link w:val="Konnaopomba-besedilo"/>
    <w:uiPriority w:val="99"/>
    <w:semiHidden/>
    <w:rsid w:val="0003148D"/>
    <w:rPr>
      <w:sz w:val="20"/>
      <w:szCs w:val="20"/>
    </w:rPr>
  </w:style>
  <w:style w:type="character" w:customStyle="1" w:styleId="Naslov1Znak">
    <w:name w:val="Naslov 1 Znak"/>
    <w:basedOn w:val="Privzetapisavaodstavka"/>
    <w:link w:val="Naslov1"/>
    <w:uiPriority w:val="9"/>
    <w:rsid w:val="004F5E36"/>
    <w:rPr>
      <w:rFonts w:ascii="Arial" w:eastAsia="Times New Roman" w:hAnsi="Arial" w:cs="Times New Roman"/>
      <w:b/>
      <w:sz w:val="20"/>
      <w:szCs w:val="20"/>
      <w:lang w:val="en-GB"/>
    </w:rPr>
  </w:style>
  <w:style w:type="character" w:customStyle="1" w:styleId="Naslov2Znak">
    <w:name w:val="Naslov 2 Znak"/>
    <w:basedOn w:val="Privzetapisavaodstavka"/>
    <w:link w:val="Naslov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3148D"/>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03148D"/>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03148D"/>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03148D"/>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03148D"/>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03148D"/>
    <w:rPr>
      <w:rFonts w:asciiTheme="majorHAnsi" w:eastAsiaTheme="majorEastAsia" w:hAnsiTheme="majorHAnsi" w:cstheme="majorBidi"/>
      <w:i/>
      <w:iCs/>
      <w:color w:val="404040" w:themeColor="text1" w:themeTint="BF"/>
      <w:sz w:val="20"/>
      <w:szCs w:val="20"/>
    </w:rPr>
  </w:style>
  <w:style w:type="paragraph" w:styleId="Stvarnokazalo-naslov">
    <w:name w:val="index heading"/>
    <w:basedOn w:val="Navaden"/>
    <w:next w:val="Stvarnokazalo1"/>
    <w:uiPriority w:val="99"/>
    <w:semiHidden/>
    <w:unhideWhenUsed/>
    <w:rsid w:val="0003148D"/>
    <w:rPr>
      <w:rFonts w:asciiTheme="majorHAnsi" w:eastAsiaTheme="majorEastAsia" w:hAnsiTheme="majorHAnsi" w:cstheme="majorBidi"/>
      <w:b/>
      <w:bCs/>
    </w:rPr>
  </w:style>
  <w:style w:type="paragraph" w:styleId="Kazalovirov-naslov">
    <w:name w:val="toa heading"/>
    <w:basedOn w:val="Navaden"/>
    <w:next w:val="Navaden"/>
    <w:uiPriority w:val="99"/>
    <w:semiHidden/>
    <w:unhideWhenUsed/>
    <w:rsid w:val="0003148D"/>
    <w:pPr>
      <w:spacing w:before="120"/>
    </w:pPr>
    <w:rPr>
      <w:rFonts w:asciiTheme="majorHAnsi" w:eastAsiaTheme="majorEastAsia" w:hAnsiTheme="majorHAnsi" w:cstheme="majorBidi"/>
      <w:b/>
      <w:bCs/>
      <w:sz w:val="24"/>
      <w:szCs w:val="24"/>
    </w:rPr>
  </w:style>
  <w:style w:type="paragraph" w:styleId="NaslovTOC">
    <w:name w:val="TOC Heading"/>
    <w:basedOn w:val="Naslov1"/>
    <w:next w:val="Navade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rivzetapisavaodstavk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Glava">
    <w:name w:val="header"/>
    <w:basedOn w:val="Navaden"/>
    <w:link w:val="GlavaZnak"/>
    <w:uiPriority w:val="99"/>
    <w:unhideWhenUsed/>
    <w:rsid w:val="005278B7"/>
    <w:pPr>
      <w:tabs>
        <w:tab w:val="clear" w:pos="7100"/>
        <w:tab w:val="center" w:pos="4819"/>
        <w:tab w:val="right" w:pos="9638"/>
      </w:tabs>
      <w:spacing w:line="240" w:lineRule="auto"/>
    </w:pPr>
  </w:style>
  <w:style w:type="character" w:customStyle="1" w:styleId="GlavaZnak">
    <w:name w:val="Glava Znak"/>
    <w:basedOn w:val="Privzetapisavaodstavka"/>
    <w:link w:val="Glava"/>
    <w:uiPriority w:val="99"/>
    <w:rsid w:val="005278B7"/>
    <w:rPr>
      <w:rFonts w:ascii="Arial" w:eastAsia="Times New Roman" w:hAnsi="Arial" w:cs="Times New Roman"/>
      <w:sz w:val="18"/>
      <w:szCs w:val="20"/>
      <w:lang w:val="en-GB"/>
    </w:rPr>
  </w:style>
  <w:style w:type="paragraph" w:styleId="Noga">
    <w:name w:val="footer"/>
    <w:basedOn w:val="Navaden"/>
    <w:link w:val="NogaZnak"/>
    <w:uiPriority w:val="99"/>
    <w:unhideWhenUsed/>
    <w:rsid w:val="005278B7"/>
    <w:pPr>
      <w:tabs>
        <w:tab w:val="clear" w:pos="7100"/>
        <w:tab w:val="center" w:pos="4819"/>
        <w:tab w:val="right" w:pos="9638"/>
      </w:tabs>
      <w:spacing w:line="240" w:lineRule="auto"/>
    </w:pPr>
  </w:style>
  <w:style w:type="character" w:customStyle="1" w:styleId="NogaZnak">
    <w:name w:val="Noga Znak"/>
    <w:basedOn w:val="Privzetapisavaodstavka"/>
    <w:link w:val="Noga"/>
    <w:uiPriority w:val="99"/>
    <w:rsid w:val="005278B7"/>
    <w:rPr>
      <w:rFonts w:ascii="Arial" w:eastAsia="Times New Roman" w:hAnsi="Arial" w:cs="Times New Roman"/>
      <w:sz w:val="18"/>
      <w:szCs w:val="20"/>
      <w:lang w:val="en-GB"/>
    </w:rPr>
  </w:style>
  <w:style w:type="table" w:styleId="Tabelamrea">
    <w:name w:val="Table Grid"/>
    <w:basedOn w:val="Navadnatabela"/>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904C62"/>
    <w:rPr>
      <w:color w:val="0000FF" w:themeColor="hyperlink"/>
      <w:u w:val="single"/>
    </w:rPr>
  </w:style>
  <w:style w:type="character" w:customStyle="1" w:styleId="eudoraheader">
    <w:name w:val="eudoraheader"/>
    <w:basedOn w:val="Privzetapisavaodstavk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kseznama">
    <w:name w:val="List Paragraph"/>
    <w:basedOn w:val="Navaden"/>
    <w:uiPriority w:val="34"/>
    <w:rsid w:val="00280FAF"/>
    <w:pPr>
      <w:ind w:left="720"/>
      <w:contextualSpacing/>
    </w:pPr>
  </w:style>
  <w:style w:type="character" w:customStyle="1" w:styleId="gmail-apple-converted-space">
    <w:name w:val="gmail-apple-converted-space"/>
    <w:basedOn w:val="Privzetapisavaodstavka"/>
    <w:rsid w:val="00005A19"/>
  </w:style>
  <w:style w:type="character" w:styleId="Nerazreenaomemba">
    <w:name w:val="Unresolved Mention"/>
    <w:basedOn w:val="Privzetapisavaodstavka"/>
    <w:uiPriority w:val="99"/>
    <w:semiHidden/>
    <w:unhideWhenUsed/>
    <w:rsid w:val="00197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ja.leitgeb@um.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3811</Words>
  <Characters>23100</Characters>
  <Application>Microsoft Office Word</Application>
  <DocSecurity>0</DocSecurity>
  <Lines>308</Lines>
  <Paragraphs>81</Paragraphs>
  <ScaleCrop>false</ScaleCrop>
  <HeadingPairs>
    <vt:vector size="6" baseType="variant">
      <vt:variant>
        <vt:lpstr>Naslov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Katja Vasić</cp:lastModifiedBy>
  <cp:revision>3</cp:revision>
  <cp:lastPrinted>2015-05-12T18:31:00Z</cp:lastPrinted>
  <dcterms:created xsi:type="dcterms:W3CDTF">2026-03-04T13:13:00Z</dcterms:created>
  <dcterms:modified xsi:type="dcterms:W3CDTF">2026-03-04T13:26:00Z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