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BC3829">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eastAsia="en-GB"/>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eastAsia="en-GB"/>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BC3829">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BC3829">
        <w:trPr>
          <w:trHeight w:val="68"/>
          <w:jc w:val="center"/>
        </w:trPr>
        <w:tc>
          <w:tcPr>
            <w:tcW w:w="8782" w:type="dxa"/>
            <w:gridSpan w:val="2"/>
          </w:tcPr>
          <w:p w14:paraId="1D8DD3C9" w14:textId="252289FB"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Marco Bravi, Antonio Marzocchella, Giuseppe Caputo</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7DBA126C" w:rsidR="00E978D0" w:rsidRPr="00B57B36" w:rsidRDefault="009F13C8" w:rsidP="00E978D0">
      <w:pPr>
        <w:pStyle w:val="CETTitle"/>
      </w:pPr>
      <w:r w:rsidRPr="009F13C8">
        <w:t>Development of a rapid UV spectroscopic method for determining the</w:t>
      </w:r>
      <w:r w:rsidR="008A4A5D">
        <w:t xml:space="preserve"> </w:t>
      </w:r>
      <w:r w:rsidRPr="009F13C8">
        <w:t>enzyme activity in catechol carboxylation</w:t>
      </w:r>
    </w:p>
    <w:p w14:paraId="7B68042B" w14:textId="2519D585" w:rsidR="007407DF" w:rsidRPr="00C35DA2" w:rsidRDefault="007407DF" w:rsidP="00B57E6F">
      <w:pPr>
        <w:pStyle w:val="CETAddress"/>
        <w:rPr>
          <w:sz w:val="24"/>
          <w:lang w:val="it-IT"/>
        </w:rPr>
      </w:pPr>
      <w:r w:rsidRPr="00C35DA2">
        <w:rPr>
          <w:sz w:val="24"/>
          <w:lang w:val="it-IT"/>
        </w:rPr>
        <w:t>M. Di Giacomo</w:t>
      </w:r>
      <w:r w:rsidRPr="00C35DA2">
        <w:rPr>
          <w:sz w:val="24"/>
          <w:vertAlign w:val="superscript"/>
          <w:lang w:val="it-IT"/>
        </w:rPr>
        <w:t>a</w:t>
      </w:r>
      <w:r w:rsidRPr="00C35DA2">
        <w:rPr>
          <w:sz w:val="24"/>
          <w:lang w:val="it-IT"/>
        </w:rPr>
        <w:t>, R. Fernández Lafuente</w:t>
      </w:r>
      <w:r w:rsidRPr="00C35DA2">
        <w:rPr>
          <w:sz w:val="24"/>
          <w:vertAlign w:val="superscript"/>
          <w:lang w:val="it-IT"/>
        </w:rPr>
        <w:t>b</w:t>
      </w:r>
      <w:r w:rsidRPr="00C35DA2">
        <w:rPr>
          <w:sz w:val="24"/>
          <w:lang w:val="it-IT"/>
        </w:rPr>
        <w:t>, P. Abellanas-Perez</w:t>
      </w:r>
      <w:r w:rsidRPr="00C35DA2">
        <w:rPr>
          <w:sz w:val="24"/>
          <w:vertAlign w:val="superscript"/>
          <w:lang w:val="it-IT"/>
        </w:rPr>
        <w:t>b</w:t>
      </w:r>
      <w:r w:rsidRPr="00C35DA2">
        <w:rPr>
          <w:sz w:val="24"/>
          <w:lang w:val="it-IT"/>
        </w:rPr>
        <w:t>, C. K. Winkler</w:t>
      </w:r>
      <w:r w:rsidRPr="00C35DA2">
        <w:rPr>
          <w:sz w:val="24"/>
          <w:vertAlign w:val="superscript"/>
          <w:lang w:val="it-IT"/>
        </w:rPr>
        <w:t>c</w:t>
      </w:r>
      <w:r w:rsidRPr="00C35DA2">
        <w:rPr>
          <w:sz w:val="24"/>
          <w:lang w:val="it-IT"/>
        </w:rPr>
        <w:t>, P. Salatino</w:t>
      </w:r>
      <w:r w:rsidRPr="00C35DA2">
        <w:rPr>
          <w:sz w:val="24"/>
          <w:vertAlign w:val="superscript"/>
          <w:lang w:val="it-IT"/>
        </w:rPr>
        <w:t>a</w:t>
      </w:r>
      <w:r w:rsidRPr="00C35DA2">
        <w:rPr>
          <w:sz w:val="24"/>
          <w:lang w:val="it-IT"/>
        </w:rPr>
        <w:t>, M.E. Russo</w:t>
      </w:r>
      <w:r w:rsidRPr="00C35DA2">
        <w:rPr>
          <w:sz w:val="24"/>
          <w:vertAlign w:val="superscript"/>
          <w:lang w:val="it-IT"/>
        </w:rPr>
        <w:t>a</w:t>
      </w:r>
      <w:r w:rsidR="00D068EE" w:rsidRPr="00C35DA2">
        <w:rPr>
          <w:sz w:val="24"/>
          <w:vertAlign w:val="superscript"/>
          <w:lang w:val="it-IT"/>
        </w:rPr>
        <w:t>*</w:t>
      </w:r>
      <w:r w:rsidRPr="00C35DA2">
        <w:rPr>
          <w:sz w:val="24"/>
          <w:lang w:val="it-IT"/>
        </w:rPr>
        <w:t>, A. Marzocchella</w:t>
      </w:r>
      <w:r w:rsidRPr="00C35DA2">
        <w:rPr>
          <w:sz w:val="24"/>
          <w:vertAlign w:val="superscript"/>
          <w:lang w:val="it-IT"/>
        </w:rPr>
        <w:t>a</w:t>
      </w:r>
    </w:p>
    <w:p w14:paraId="4F8B40FF" w14:textId="60B0CF75" w:rsidR="003F129E" w:rsidRDefault="00B57E6F" w:rsidP="00B57E6F">
      <w:pPr>
        <w:pStyle w:val="CETAddress"/>
        <w:rPr>
          <w:lang w:val="it-IT"/>
        </w:rPr>
      </w:pPr>
      <w:r w:rsidRPr="003F129E">
        <w:rPr>
          <w:vertAlign w:val="superscript"/>
          <w:lang w:val="it-IT"/>
        </w:rPr>
        <w:t>a</w:t>
      </w:r>
      <w:r w:rsidR="003F129E" w:rsidRPr="003F129E">
        <w:rPr>
          <w:lang w:val="it-IT"/>
        </w:rPr>
        <w:t>Dipartimento di Ingegneria Chimica, dei Materiali e della Produzione Industriale - Università degli Studi di Napoli Federico II, P.le V. Tecchio 80, 80125 Napoli, Italy</w:t>
      </w:r>
    </w:p>
    <w:p w14:paraId="6CC29747" w14:textId="77777777" w:rsidR="00D8319D" w:rsidRPr="0081613B" w:rsidRDefault="00D8319D" w:rsidP="00D8319D">
      <w:pPr>
        <w:pStyle w:val="CETAddress"/>
        <w:rPr>
          <w:vertAlign w:val="superscript"/>
          <w:lang w:val="es-ES"/>
        </w:rPr>
      </w:pPr>
      <w:r w:rsidRPr="0081613B">
        <w:rPr>
          <w:vertAlign w:val="superscript"/>
          <w:lang w:val="es-ES"/>
        </w:rPr>
        <w:t xml:space="preserve">b </w:t>
      </w:r>
      <w:r w:rsidRPr="0081613B">
        <w:rPr>
          <w:lang w:val="es-ES"/>
        </w:rPr>
        <w:t>Instituto de Catálisis y Petrolquímica, Consejo Superior de Investigaciones Cientí</w:t>
      </w:r>
      <w:r w:rsidRPr="00D8319D">
        <w:rPr>
          <w:lang w:val="it-IT"/>
        </w:rPr>
        <w:t>ﬁ</w:t>
      </w:r>
      <w:r w:rsidRPr="0081613B">
        <w:rPr>
          <w:lang w:val="es-ES"/>
        </w:rPr>
        <w:t>cas, Cantoblanco, 28049 Madrid, Spain</w:t>
      </w:r>
    </w:p>
    <w:p w14:paraId="003267EC" w14:textId="77777777" w:rsidR="00D8319D" w:rsidRPr="0081613B" w:rsidRDefault="00D8319D" w:rsidP="00D8319D">
      <w:pPr>
        <w:pStyle w:val="CETAddress"/>
        <w:rPr>
          <w:lang w:val="en-US"/>
        </w:rPr>
      </w:pPr>
      <w:r w:rsidRPr="0081613B">
        <w:rPr>
          <w:vertAlign w:val="superscript"/>
          <w:lang w:val="en-US"/>
        </w:rPr>
        <w:t xml:space="preserve">c </w:t>
      </w:r>
      <w:r w:rsidRPr="0081613B">
        <w:rPr>
          <w:lang w:val="en-US"/>
        </w:rPr>
        <w:t>Department of Chemistry, University of Graz, Heinrichstrasse 28, 8010 Graz, Austria</w:t>
      </w:r>
    </w:p>
    <w:p w14:paraId="73F1267A" w14:textId="358A0FC3" w:rsidR="00B57E6F" w:rsidRPr="00D068EE" w:rsidRDefault="00FB6E2C" w:rsidP="00B57E6F">
      <w:pPr>
        <w:pStyle w:val="CETemail"/>
      </w:pPr>
      <w:r w:rsidRPr="00D068EE">
        <w:t>merusso</w:t>
      </w:r>
      <w:r w:rsidR="00B57E6F" w:rsidRPr="00D068EE">
        <w:t>@</w:t>
      </w:r>
      <w:r w:rsidRPr="00D068EE">
        <w:t>unina.it</w:t>
      </w:r>
    </w:p>
    <w:p w14:paraId="37A61FCE" w14:textId="73E837FE" w:rsidR="00DA24C6" w:rsidRPr="005D56A5" w:rsidRDefault="005D56A5" w:rsidP="00DC6A8B">
      <w:pPr>
        <w:pStyle w:val="CETListbullets"/>
        <w:ind w:left="0" w:firstLine="0"/>
        <w:rPr>
          <w:lang w:val="en-US"/>
        </w:rPr>
      </w:pPr>
      <w:r w:rsidRPr="005D56A5">
        <w:t>Biocatalytic fixation of CO</w:t>
      </w:r>
      <w:r w:rsidRPr="005D56A5">
        <w:rPr>
          <w:rFonts w:ascii="Cambria Math" w:hAnsi="Cambria Math" w:cs="Cambria Math"/>
        </w:rPr>
        <w:t>₂</w:t>
      </w:r>
      <w:r w:rsidRPr="005D56A5">
        <w:t xml:space="preserve"> into carboxylic acids offers a sustainable route to carbon capture and utilization. Microbial cofactor-free non-oxidative decarboxylases </w:t>
      </w:r>
      <w:proofErr w:type="spellStart"/>
      <w:r w:rsidRPr="005D56A5">
        <w:t>catalyze</w:t>
      </w:r>
      <w:proofErr w:type="spellEnd"/>
      <w:r w:rsidRPr="005D56A5">
        <w:t xml:space="preserve"> the reversible ortho-carboxylation of phenolic substrates under mild conditions in the presence of adequate concentrations of bicarbonate ions. The development of industrial biocatalysts based on immobilized DHDBs asks for a rapid method for the screening of immobilization techniques and optimization of carboxylation operating conditions. UV spectroscopy methods applied to DHDBs activity assay are scarce and not standardized, differing in solvent composition, wavelengths, and data analysis, while HPLC methods are more popular, as they are useful for substrate screening over a variety of phenols. The present contribution reports the development of a UV spectroscopic method for the analysis of both the carboxylation and decarboxylation reactions </w:t>
      </w:r>
      <w:proofErr w:type="spellStart"/>
      <w:r w:rsidRPr="005D56A5">
        <w:t>catalyzed</w:t>
      </w:r>
      <w:proofErr w:type="spellEnd"/>
      <w:r w:rsidRPr="005D56A5">
        <w:t xml:space="preserve"> by decarboxylases with 2,3-dihydroxybenzoic acid (2,3-DHBA) and catechol as substrates/products. Absorption spectra show which wavelengths provided the most significant differences among catechol and 2,3-DHBA, and the optimal ones were set to follow catechol and 2,3-DHBA concentration dynamics in the reaction mixture. The activity assay of 2,3-DHBD from Aspergillus oryzae was defined to the developed method with 0.05 g/L enzyme and 10 mM 2,3-DHBA. Further carboxylation tests of catechol proved the effectiveness of the method at relevant conditions for future optimization of 2,3-DHBD immobilization and continuous flow monitoring of phenols conversion by enzymatic carboxylation.</w:t>
      </w:r>
    </w:p>
    <w:p w14:paraId="1A888350" w14:textId="76320EEC" w:rsidR="00C71897" w:rsidRPr="00C71897" w:rsidRDefault="00600535" w:rsidP="00C71897">
      <w:pPr>
        <w:pStyle w:val="CETHeading1"/>
        <w:rPr>
          <w:lang w:val="en-GB"/>
        </w:rPr>
      </w:pPr>
      <w:r w:rsidRPr="00B57B36">
        <w:rPr>
          <w:lang w:val="en-GB"/>
        </w:rPr>
        <w:t>Introduction</w:t>
      </w:r>
    </w:p>
    <w:p w14:paraId="466D3486" w14:textId="141A8EE3" w:rsidR="004A1046" w:rsidRDefault="00C71897" w:rsidP="00C71897">
      <w:pPr>
        <w:pStyle w:val="CETListbullets"/>
        <w:ind w:left="0" w:firstLine="0"/>
      </w:pPr>
      <w:r>
        <w:t>Enzymatic processes for carbon capture and utilization (CCU) include both carbon fixation pathways and synthetic transformations that incorporate CO</w:t>
      </w:r>
      <w:r>
        <w:rPr>
          <w:rFonts w:ascii="Cambria Math" w:hAnsi="Cambria Math" w:cs="Cambria Math"/>
        </w:rPr>
        <w:t>₂</w:t>
      </w:r>
      <w:r>
        <w:t xml:space="preserve"> as a C</w:t>
      </w:r>
      <w:r>
        <w:rPr>
          <w:rFonts w:ascii="Cambria Math" w:hAnsi="Cambria Math" w:cs="Cambria Math"/>
        </w:rPr>
        <w:t>₁</w:t>
      </w:r>
      <w:r>
        <w:t xml:space="preserve"> (Marra et al., 2022; Russo et al., 2022). In this framework, non-oxidative decarboxylases </w:t>
      </w:r>
      <w:proofErr w:type="spellStart"/>
      <w:r>
        <w:t>catalyze</w:t>
      </w:r>
      <w:proofErr w:type="spellEnd"/>
      <w:r>
        <w:t xml:space="preserve"> the reversible ortho-carboxylation of phenolic substrates as a biocatalytic analogue of the Kolbe</w:t>
      </w:r>
      <w:r>
        <w:rPr>
          <w:rFonts w:cs="Arial"/>
        </w:rPr>
        <w:t>–</w:t>
      </w:r>
      <w:r>
        <w:t>Schmitt reaction under mild conditions and high selectivity (Tommasi 2010, Ren et al., 2016; Wuensch et al., 2014). Within this enzyme class, metal-dependent ortho-benzoic acid decarboxylases, including 2,3-dihydroxybenzoate decarboxylase from Aspergillus oryzae (2,3-DHBD_Ao), have been applied to the selective carboxylation of phenols in the presence of bicarbonate, near-ambient conditions (Hofer et al., 2021; Pesci et al., 2015). Equation 1 shows the carboxylation reaction for catechol</w:t>
      </w:r>
      <w:r w:rsidR="00BC31D3">
        <w:t>.</w:t>
      </w:r>
    </w:p>
    <w:p w14:paraId="1D3BC99E" w14:textId="77777777" w:rsidR="00245E67" w:rsidRDefault="00245E67" w:rsidP="00C71897">
      <w:pPr>
        <w:pStyle w:val="CETListbullets"/>
        <w:ind w:left="0" w:firstLine="0"/>
      </w:pPr>
    </w:p>
    <w:p w14:paraId="4E73E014" w14:textId="56671120" w:rsidR="00C16D2D" w:rsidRDefault="00C16D2D" w:rsidP="008D0A2E">
      <w:pPr>
        <w:pStyle w:val="CETListbullets"/>
        <w:ind w:left="0" w:firstLine="0"/>
      </w:pPr>
      <m:oMath>
        <m:r>
          <w:rPr>
            <w:rFonts w:ascii="Cambria Math" w:hAnsi="Cambria Math"/>
          </w:rPr>
          <m:t>Catechol+HC</m:t>
        </m:r>
        <m:sSubSup>
          <m:sSubSupPr>
            <m:ctrlPr>
              <w:rPr>
                <w:rFonts w:ascii="Cambria Math" w:hAnsi="Cambria Math"/>
                <w:i/>
              </w:rPr>
            </m:ctrlPr>
          </m:sSubSupPr>
          <m:e>
            <m:r>
              <w:rPr>
                <w:rFonts w:ascii="Cambria Math" w:hAnsi="Cambria Math"/>
              </w:rPr>
              <m:t>O</m:t>
            </m:r>
          </m:e>
          <m:sub>
            <m:r>
              <w:rPr>
                <w:rFonts w:ascii="Cambria Math" w:hAnsi="Cambria Math"/>
              </w:rPr>
              <m:t>3</m:t>
            </m:r>
          </m:sub>
          <m:sup>
            <m:r>
              <w:rPr>
                <w:rFonts w:ascii="Cambria Math" w:hAnsi="Cambria Math"/>
              </w:rPr>
              <m:t>-</m:t>
            </m:r>
          </m:sup>
        </m:sSubSup>
        <m:r>
          <w:rPr>
            <w:rFonts w:ascii="Cambria Math" w:hAnsi="Cambria Math"/>
          </w:rPr>
          <m:t xml:space="preserve"> </m:t>
        </m:r>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2,3DHBD</m:t>
                </m:r>
              </m:e>
            </m:groupChr>
          </m:e>
        </m:box>
        <m:r>
          <w:rPr>
            <w:rFonts w:ascii="Cambria Math" w:hAnsi="Cambria Math"/>
          </w:rPr>
          <m:t>2,3-DHBA+</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oMath>
      <w:r>
        <w:tab/>
      </w:r>
      <w:r w:rsidR="00B80FA3">
        <w:tab/>
      </w:r>
      <w:r w:rsidR="00B80FA3">
        <w:tab/>
      </w:r>
      <w:r>
        <w:tab/>
      </w:r>
      <w:r>
        <w:tab/>
      </w:r>
      <w:r>
        <w:tab/>
      </w:r>
      <w:r w:rsidRPr="000452FD">
        <w:t>Eq. 1</w:t>
      </w:r>
    </w:p>
    <w:p w14:paraId="6C8ACD94" w14:textId="77777777" w:rsidR="00245E67" w:rsidRDefault="00245E67" w:rsidP="008D0A2E">
      <w:pPr>
        <w:pStyle w:val="CETListbullets"/>
        <w:ind w:left="0" w:firstLine="0"/>
      </w:pPr>
    </w:p>
    <w:p w14:paraId="770F8A82" w14:textId="77777777" w:rsidR="00862B5D" w:rsidRDefault="00862B5D" w:rsidP="00862B5D">
      <w:pPr>
        <w:pStyle w:val="CETListbullets"/>
        <w:ind w:left="0" w:firstLine="0"/>
      </w:pPr>
      <w:r>
        <w:t>The scale-up of the phenol carboxylation by DHBDs relies on the development of stable and active immobilized biocatalysts to enable continuous operations (Marra et al., 2024). The optimization of immobilization strategies and reaction conditions requires rapid and valid analytical methods for the simultaneous quantification of both phenolic substrates and their corresponding carboxylic acids in multicomponent reaction mixtures. This requirement is critical due to the strong structural similarity between the substrate and the product.</w:t>
      </w:r>
    </w:p>
    <w:p w14:paraId="30784B32" w14:textId="77777777" w:rsidR="00862B5D" w:rsidRDefault="00862B5D" w:rsidP="00862B5D">
      <w:pPr>
        <w:pStyle w:val="CETListbullets"/>
        <w:ind w:left="0" w:firstLine="0"/>
      </w:pPr>
      <w:r>
        <w:lastRenderedPageBreak/>
        <w:t>Current analytical methods for decarboxylase activity assay are mainly based on chromatographic techniques, largely applied for substrate screening and carboxylation tests. Spectroscopic methods based on UV absorbance measurements have been used for decarboxylation activity assay of DHDBs with a poor unification of assay conditions (Santha et al., 1996; Kamath et al., 1987). The exploration of wide operating windows, optimal conditions for enzyme immobilization, and the characterization of the heterogeneous process in continuous bioreactors require a quick and effective methodology. Thus, UV-Visible spectroscopic assays represent an attractive alternative to HPLC. UV-based methods reported for DHBD activity determination lack standardization, differing in solvent composition and wavelength selection (Santha et al., 1996; Kamath et al., 1987), while colorimetric assays based on phenols-iron complex formation suffer from high pH sensitivity and are not suitable for online measurements (Yoshida, 2004), thereby limiting their broader applicability and comparability across studies.</w:t>
      </w:r>
    </w:p>
    <w:p w14:paraId="21B9A280" w14:textId="49B76E82" w:rsidR="007D0951" w:rsidRPr="00B57B36" w:rsidRDefault="00862B5D" w:rsidP="00862B5D">
      <w:pPr>
        <w:pStyle w:val="CETListbullets"/>
        <w:ind w:left="0" w:firstLine="0"/>
      </w:pPr>
      <w:r>
        <w:t>In this work, these limitations are addressed by developing a UV-spectroscopic assay for 2,3-DHBD_Ao that enables the quantitative analysis of both the direct decarboxylation and reverse carboxylation reactions of 2,3-DHBA and catechol. This approach offers a rapid and cost-effective analytical tool for determining initial rates and screening enzyme activity of both free and immobilized enzyme preparations, thereby supporting the future optimization of DHBD immobilization strategies and continuous phenol carboxylation processes.</w:t>
      </w:r>
    </w:p>
    <w:p w14:paraId="0636B784" w14:textId="7A4936C7" w:rsidR="00453E24" w:rsidRDefault="00685203" w:rsidP="001815A5">
      <w:pPr>
        <w:pStyle w:val="CETHeading1"/>
      </w:pPr>
      <w:r>
        <w:t>Materials and Methods</w:t>
      </w:r>
    </w:p>
    <w:p w14:paraId="7C2B0064" w14:textId="12BA7509" w:rsidR="00453E24" w:rsidRPr="00CB069F" w:rsidRDefault="001815A5" w:rsidP="00453E24">
      <w:pPr>
        <w:pStyle w:val="CETBodytext"/>
        <w:rPr>
          <w:lang w:val="en-GB"/>
        </w:rPr>
      </w:pPr>
      <w:r w:rsidRPr="00FC5C97">
        <w:rPr>
          <w:lang w:val="en-GB"/>
        </w:rPr>
        <w:t>2,3</w:t>
      </w:r>
      <w:r w:rsidR="00437417" w:rsidRPr="00FC5C97">
        <w:rPr>
          <w:lang w:val="en-GB"/>
        </w:rPr>
        <w:t>-</w:t>
      </w:r>
      <w:r w:rsidRPr="00FC5C97">
        <w:rPr>
          <w:lang w:val="en-GB"/>
        </w:rPr>
        <w:t>DHDB</w:t>
      </w:r>
      <w:r w:rsidR="00437417" w:rsidRPr="00FC5C97">
        <w:rPr>
          <w:lang w:val="en-GB"/>
        </w:rPr>
        <w:t xml:space="preserve"> from</w:t>
      </w:r>
      <w:r w:rsidR="00437417" w:rsidRPr="00FC5C97">
        <w:rPr>
          <w:i/>
          <w:iCs/>
          <w:lang w:val="en-GB"/>
        </w:rPr>
        <w:t xml:space="preserve"> Aspergillus Oryzae</w:t>
      </w:r>
      <w:r w:rsidR="00CB069F" w:rsidRPr="00FC5C97">
        <w:rPr>
          <w:lang w:val="en-GB"/>
        </w:rPr>
        <w:t xml:space="preserve"> was purchased by </w:t>
      </w:r>
      <w:proofErr w:type="spellStart"/>
      <w:r w:rsidR="00437417" w:rsidRPr="00FC5C97">
        <w:rPr>
          <w:lang w:val="en-GB"/>
        </w:rPr>
        <w:t>Enzyan</w:t>
      </w:r>
      <w:proofErr w:type="spellEnd"/>
      <w:r w:rsidR="00437417" w:rsidRPr="00FC5C97">
        <w:rPr>
          <w:lang w:val="en-GB"/>
        </w:rPr>
        <w:t xml:space="preserve"> Biocatalysis GmbH</w:t>
      </w:r>
      <w:r w:rsidR="00CB069F" w:rsidRPr="00FC5C97">
        <w:rPr>
          <w:lang w:val="en-GB"/>
        </w:rPr>
        <w:t xml:space="preserve"> (</w:t>
      </w:r>
      <w:r w:rsidR="00437417" w:rsidRPr="00FC5C97">
        <w:rPr>
          <w:lang w:val="en-GB"/>
        </w:rPr>
        <w:t>Graz, Austria</w:t>
      </w:r>
      <w:r w:rsidR="00CB069F" w:rsidRPr="00FC5C97">
        <w:rPr>
          <w:lang w:val="en-GB"/>
        </w:rPr>
        <w:t>)</w:t>
      </w:r>
      <w:r w:rsidR="00AE0FAA" w:rsidRPr="00FC5C97">
        <w:rPr>
          <w:lang w:val="en-GB"/>
        </w:rPr>
        <w:t xml:space="preserve"> </w:t>
      </w:r>
      <w:r w:rsidR="00483CB0" w:rsidRPr="00FC5C97">
        <w:rPr>
          <w:lang w:val="en-GB"/>
        </w:rPr>
        <w:t xml:space="preserve">in the form of </w:t>
      </w:r>
      <w:r w:rsidR="00AE0FAA" w:rsidRPr="00FC5C97">
        <w:rPr>
          <w:lang w:val="en-GB"/>
        </w:rPr>
        <w:t xml:space="preserve">concentrated </w:t>
      </w:r>
      <w:r w:rsidR="00483CB0" w:rsidRPr="00FC5C97">
        <w:rPr>
          <w:lang w:val="en-GB"/>
        </w:rPr>
        <w:t>(96 g L</w:t>
      </w:r>
      <w:r w:rsidR="00483CB0" w:rsidRPr="00FC5C97">
        <w:rPr>
          <w:vertAlign w:val="superscript"/>
          <w:lang w:val="en-GB"/>
        </w:rPr>
        <w:t>-1</w:t>
      </w:r>
      <w:r w:rsidR="00483CB0" w:rsidRPr="00FC5C97">
        <w:rPr>
          <w:lang w:val="en-GB"/>
        </w:rPr>
        <w:t xml:space="preserve">) </w:t>
      </w:r>
      <w:r w:rsidR="00387251" w:rsidRPr="00FC5C97">
        <w:rPr>
          <w:lang w:val="en-GB"/>
        </w:rPr>
        <w:t>aq</w:t>
      </w:r>
      <w:r w:rsidR="000447FE">
        <w:rPr>
          <w:lang w:val="en-GB"/>
        </w:rPr>
        <w:t>ueous</w:t>
      </w:r>
      <w:r w:rsidR="00387251" w:rsidRPr="00FC5C97">
        <w:rPr>
          <w:lang w:val="en-GB"/>
        </w:rPr>
        <w:t xml:space="preserve"> </w:t>
      </w:r>
      <w:r w:rsidR="00AE0FAA" w:rsidRPr="00FC5C97">
        <w:rPr>
          <w:lang w:val="en-GB"/>
        </w:rPr>
        <w:t>samples stored at -20°C until use</w:t>
      </w:r>
      <w:r w:rsidR="00CB069F" w:rsidRPr="00FC5C97">
        <w:rPr>
          <w:lang w:val="en-GB"/>
        </w:rPr>
        <w:t xml:space="preserve">. </w:t>
      </w:r>
      <w:r w:rsidR="00A1651F" w:rsidRPr="00FC5C97">
        <w:rPr>
          <w:lang w:val="en-GB"/>
        </w:rPr>
        <w:t xml:space="preserve">All reagents </w:t>
      </w:r>
      <w:r w:rsidR="007916C4" w:rsidRPr="00FC5C97">
        <w:rPr>
          <w:lang w:val="en-GB"/>
        </w:rPr>
        <w:t xml:space="preserve">and buffer salts </w:t>
      </w:r>
      <w:r w:rsidR="00A1651F" w:rsidRPr="00FC5C97">
        <w:rPr>
          <w:lang w:val="en-GB"/>
        </w:rPr>
        <w:t xml:space="preserve">were purchased by Merck </w:t>
      </w:r>
      <w:r w:rsidR="00437417" w:rsidRPr="00FC5C97">
        <w:rPr>
          <w:lang w:val="en-GB"/>
        </w:rPr>
        <w:t xml:space="preserve">KGaA (Darmstadt, Germany) </w:t>
      </w:r>
      <w:r w:rsidR="00C20704" w:rsidRPr="00FC5C97">
        <w:rPr>
          <w:lang w:val="en-GB"/>
        </w:rPr>
        <w:t>including HPLC</w:t>
      </w:r>
      <w:r w:rsidR="00A1651F" w:rsidRPr="00FC5C97">
        <w:rPr>
          <w:lang w:val="en-GB"/>
        </w:rPr>
        <w:t xml:space="preserve"> </w:t>
      </w:r>
      <w:r w:rsidR="00C20704" w:rsidRPr="00FC5C97">
        <w:rPr>
          <w:lang w:val="en-GB"/>
        </w:rPr>
        <w:t>grade trifluoracetic acid</w:t>
      </w:r>
      <w:r w:rsidR="001D328F" w:rsidRPr="00FC5C97">
        <w:rPr>
          <w:lang w:val="en-GB"/>
        </w:rPr>
        <w:t xml:space="preserve"> (TFA)</w:t>
      </w:r>
      <w:r w:rsidR="00437417" w:rsidRPr="00FC5C97">
        <w:rPr>
          <w:lang w:val="en-GB"/>
        </w:rPr>
        <w:t xml:space="preserve"> and</w:t>
      </w:r>
      <w:r w:rsidR="00C20704" w:rsidRPr="00FC5C97">
        <w:rPr>
          <w:lang w:val="en-GB"/>
        </w:rPr>
        <w:t xml:space="preserve"> </w:t>
      </w:r>
      <w:r w:rsidR="00437417" w:rsidRPr="00FC5C97">
        <w:rPr>
          <w:lang w:val="en-GB"/>
        </w:rPr>
        <w:t>acetonitrile.</w:t>
      </w:r>
    </w:p>
    <w:p w14:paraId="18BAFA6F" w14:textId="3F6FEAB9" w:rsidR="00453E24" w:rsidRPr="00B57B36" w:rsidRDefault="00843A86" w:rsidP="00453E24">
      <w:pPr>
        <w:pStyle w:val="CETheadingx"/>
      </w:pPr>
      <w:r>
        <w:t xml:space="preserve">Calibration of UV spectroscopic </w:t>
      </w:r>
      <w:r w:rsidR="007916C4">
        <w:t>analysis</w:t>
      </w:r>
    </w:p>
    <w:p w14:paraId="1E08EF9D" w14:textId="08D27FE7" w:rsidR="008F7D18" w:rsidRDefault="00DC0BD2" w:rsidP="00453E24">
      <w:pPr>
        <w:pStyle w:val="CETBodytext"/>
        <w:rPr>
          <w:lang w:val="en-GB"/>
        </w:rPr>
      </w:pPr>
      <w:r w:rsidRPr="00DC0BD2">
        <w:rPr>
          <w:lang w:val="en-GB"/>
        </w:rPr>
        <w:t>UV absorption spectra of ca</w:t>
      </w:r>
      <w:r>
        <w:rPr>
          <w:lang w:val="en-GB"/>
        </w:rPr>
        <w:t>techol and 2,3</w:t>
      </w:r>
      <w:r w:rsidR="001D328F">
        <w:rPr>
          <w:lang w:val="en-GB"/>
        </w:rPr>
        <w:t>-</w:t>
      </w:r>
      <w:r>
        <w:rPr>
          <w:lang w:val="en-GB"/>
        </w:rPr>
        <w:t xml:space="preserve">DHBA solutions were </w:t>
      </w:r>
      <w:r w:rsidR="002B789A">
        <w:rPr>
          <w:lang w:val="en-GB"/>
        </w:rPr>
        <w:t xml:space="preserve">measured in </w:t>
      </w:r>
      <w:r w:rsidR="005A1ED9">
        <w:rPr>
          <w:lang w:val="en-GB"/>
        </w:rPr>
        <w:t>a quartz</w:t>
      </w:r>
      <w:r w:rsidR="002B789A">
        <w:rPr>
          <w:lang w:val="en-GB"/>
        </w:rPr>
        <w:t xml:space="preserve"> cell </w:t>
      </w:r>
      <w:r w:rsidR="005A1ED9">
        <w:rPr>
          <w:lang w:val="en-GB"/>
        </w:rPr>
        <w:t xml:space="preserve">(1 cm optical length, 1 mL) </w:t>
      </w:r>
      <w:r w:rsidR="002B789A">
        <w:rPr>
          <w:lang w:val="en-GB"/>
        </w:rPr>
        <w:t>with Cary 60 (Varian Inc</w:t>
      </w:r>
      <w:r w:rsidR="007B7EF2">
        <w:rPr>
          <w:lang w:val="en-GB"/>
        </w:rPr>
        <w:t>.</w:t>
      </w:r>
      <w:r w:rsidR="002B789A">
        <w:rPr>
          <w:lang w:val="en-GB"/>
        </w:rPr>
        <w:t>) spectrophotometer at room temperature</w:t>
      </w:r>
      <w:r w:rsidR="000D37A1">
        <w:rPr>
          <w:lang w:val="en-GB"/>
        </w:rPr>
        <w:t>. Solvent</w:t>
      </w:r>
      <w:r w:rsidR="00307ECD">
        <w:rPr>
          <w:lang w:val="en-GB"/>
        </w:rPr>
        <w:t>s</w:t>
      </w:r>
      <w:r w:rsidR="000D37A1">
        <w:rPr>
          <w:lang w:val="en-GB"/>
        </w:rPr>
        <w:t xml:space="preserve"> were prepared with 0.1 M </w:t>
      </w:r>
      <w:r w:rsidR="00F82A70">
        <w:rPr>
          <w:lang w:val="en-GB"/>
        </w:rPr>
        <w:t xml:space="preserve">sodium </w:t>
      </w:r>
      <w:r w:rsidR="000D37A1">
        <w:rPr>
          <w:lang w:val="en-GB"/>
        </w:rPr>
        <w:t xml:space="preserve">phosphate </w:t>
      </w:r>
      <w:r w:rsidR="00F82A70">
        <w:rPr>
          <w:lang w:val="en-GB"/>
        </w:rPr>
        <w:t>at</w:t>
      </w:r>
      <w:r w:rsidR="00F82A70" w:rsidRPr="001D328F">
        <w:rPr>
          <w:lang w:val="en-GB"/>
        </w:rPr>
        <w:t xml:space="preserve"> </w:t>
      </w:r>
      <w:r w:rsidR="000D37A1" w:rsidRPr="001D328F">
        <w:rPr>
          <w:lang w:val="en-GB"/>
        </w:rPr>
        <w:t xml:space="preserve">pH </w:t>
      </w:r>
      <w:r w:rsidR="001D328F" w:rsidRPr="001D328F">
        <w:rPr>
          <w:lang w:val="en-GB"/>
        </w:rPr>
        <w:t>8.0</w:t>
      </w:r>
      <w:r w:rsidR="000D37A1">
        <w:rPr>
          <w:lang w:val="en-GB"/>
        </w:rPr>
        <w:t xml:space="preserve"> </w:t>
      </w:r>
      <w:r w:rsidR="003B5F6C">
        <w:rPr>
          <w:lang w:val="en-GB"/>
        </w:rPr>
        <w:t xml:space="preserve">(solvent D) </w:t>
      </w:r>
      <w:r w:rsidR="000D37A1">
        <w:rPr>
          <w:lang w:val="en-GB"/>
        </w:rPr>
        <w:t>and 3</w:t>
      </w:r>
      <w:r w:rsidR="007916C4">
        <w:rPr>
          <w:lang w:val="en-GB"/>
        </w:rPr>
        <w:t xml:space="preserve"> </w:t>
      </w:r>
      <w:r w:rsidR="000D37A1">
        <w:rPr>
          <w:lang w:val="en-GB"/>
        </w:rPr>
        <w:t>M KHCO</w:t>
      </w:r>
      <w:r w:rsidR="000D37A1" w:rsidRPr="000D37A1">
        <w:rPr>
          <w:vertAlign w:val="subscript"/>
          <w:lang w:val="en-GB"/>
        </w:rPr>
        <w:t>3</w:t>
      </w:r>
      <w:r w:rsidR="000D37A1">
        <w:rPr>
          <w:lang w:val="en-GB"/>
        </w:rPr>
        <w:t xml:space="preserve"> </w:t>
      </w:r>
      <w:r w:rsidR="000D37A1" w:rsidRPr="001D328F">
        <w:rPr>
          <w:lang w:val="en-GB"/>
        </w:rPr>
        <w:t xml:space="preserve">solution (pH </w:t>
      </w:r>
      <w:r w:rsidR="001D328F" w:rsidRPr="001D328F">
        <w:rPr>
          <w:lang w:val="en-GB"/>
        </w:rPr>
        <w:t>8.5</w:t>
      </w:r>
      <w:r w:rsidR="000D37A1" w:rsidRPr="001D328F">
        <w:rPr>
          <w:lang w:val="en-GB"/>
        </w:rPr>
        <w:t>)</w:t>
      </w:r>
      <w:r w:rsidR="003B5F6C">
        <w:rPr>
          <w:lang w:val="en-GB"/>
        </w:rPr>
        <w:t xml:space="preserve"> (solvent C)</w:t>
      </w:r>
      <w:r w:rsidR="000D37A1">
        <w:rPr>
          <w:lang w:val="en-GB"/>
        </w:rPr>
        <w:t xml:space="preserve">. </w:t>
      </w:r>
      <w:r w:rsidR="005C4F60">
        <w:rPr>
          <w:lang w:val="en-GB"/>
        </w:rPr>
        <w:t>The samples were diluted with a ‘quenching solution’ (QS) (</w:t>
      </w:r>
      <w:r w:rsidR="005C4F60" w:rsidRPr="001D328F">
        <w:rPr>
          <w:lang w:val="en-GB"/>
        </w:rPr>
        <w:t>3%</w:t>
      </w:r>
      <w:r w:rsidR="005C4F60">
        <w:rPr>
          <w:lang w:val="en-GB"/>
        </w:rPr>
        <w:t>v</w:t>
      </w:r>
      <w:r w:rsidR="005C4F60" w:rsidRPr="001D328F">
        <w:rPr>
          <w:lang w:val="en-GB"/>
        </w:rPr>
        <w:t>/v TFA, 50%v/v acetonitrile in water</w:t>
      </w:r>
      <w:r w:rsidR="005C4F60">
        <w:rPr>
          <w:lang w:val="en-GB"/>
        </w:rPr>
        <w:t xml:space="preserve">) </w:t>
      </w:r>
      <w:r w:rsidR="002E5FAD">
        <w:rPr>
          <w:lang w:val="en-GB"/>
        </w:rPr>
        <w:t xml:space="preserve">to apply the same </w:t>
      </w:r>
      <w:r w:rsidR="006868E7">
        <w:rPr>
          <w:lang w:val="en-GB"/>
        </w:rPr>
        <w:t>conditions</w:t>
      </w:r>
      <w:r w:rsidR="002E5FAD">
        <w:rPr>
          <w:lang w:val="en-GB"/>
        </w:rPr>
        <w:t xml:space="preserve"> </w:t>
      </w:r>
      <w:r w:rsidR="005C4F60">
        <w:rPr>
          <w:lang w:val="en-GB"/>
        </w:rPr>
        <w:t>of</w:t>
      </w:r>
      <w:r w:rsidR="00542374">
        <w:rPr>
          <w:lang w:val="en-GB"/>
        </w:rPr>
        <w:t xml:space="preserve"> the H</w:t>
      </w:r>
      <w:r w:rsidR="008638BD">
        <w:rPr>
          <w:lang w:val="en-GB"/>
        </w:rPr>
        <w:t>PLC</w:t>
      </w:r>
      <w:r w:rsidR="00542374">
        <w:rPr>
          <w:lang w:val="en-GB"/>
        </w:rPr>
        <w:t xml:space="preserve"> </w:t>
      </w:r>
      <w:r w:rsidR="005C4F60">
        <w:rPr>
          <w:lang w:val="en-GB"/>
        </w:rPr>
        <w:t xml:space="preserve">analysis </w:t>
      </w:r>
      <w:r w:rsidR="00542374">
        <w:rPr>
          <w:lang w:val="en-GB"/>
        </w:rPr>
        <w:t>(see section 2.2) and to stop the reaction by enzyme deactivation</w:t>
      </w:r>
      <w:r w:rsidR="00307ECD">
        <w:rPr>
          <w:lang w:val="en-GB"/>
        </w:rPr>
        <w:t xml:space="preserve">. The optimal dilution was selected to </w:t>
      </w:r>
      <w:r w:rsidR="00B06E83">
        <w:rPr>
          <w:lang w:val="en-GB"/>
        </w:rPr>
        <w:t xml:space="preserve">achieve the </w:t>
      </w:r>
      <w:r w:rsidR="00307ECD">
        <w:rPr>
          <w:lang w:val="en-GB"/>
        </w:rPr>
        <w:t>maxim</w:t>
      </w:r>
      <w:r w:rsidR="00B06E83">
        <w:rPr>
          <w:lang w:val="en-GB"/>
        </w:rPr>
        <w:t>um</w:t>
      </w:r>
      <w:r w:rsidR="00307ECD">
        <w:rPr>
          <w:lang w:val="en-GB"/>
        </w:rPr>
        <w:t xml:space="preserve"> </w:t>
      </w:r>
      <w:r w:rsidR="00C23505">
        <w:rPr>
          <w:lang w:val="en-GB"/>
        </w:rPr>
        <w:t>difference in absorbance spectra between catechol and 2,3</w:t>
      </w:r>
      <w:r w:rsidR="0081613B">
        <w:rPr>
          <w:lang w:val="en-GB"/>
        </w:rPr>
        <w:t>-</w:t>
      </w:r>
      <w:r w:rsidR="00C23505">
        <w:rPr>
          <w:lang w:val="en-GB"/>
        </w:rPr>
        <w:t>DHBA. Under this condition</w:t>
      </w:r>
      <w:r w:rsidR="00AF2851">
        <w:rPr>
          <w:lang w:val="en-GB"/>
        </w:rPr>
        <w:t>,</w:t>
      </w:r>
      <w:r w:rsidR="00C23505">
        <w:rPr>
          <w:lang w:val="en-GB"/>
        </w:rPr>
        <w:t xml:space="preserve"> the maximum </w:t>
      </w:r>
      <w:r w:rsidR="00AF2851">
        <w:rPr>
          <w:lang w:val="en-GB"/>
        </w:rPr>
        <w:t>wavelengths</w:t>
      </w:r>
      <w:r w:rsidR="00C23505">
        <w:rPr>
          <w:lang w:val="en-GB"/>
        </w:rPr>
        <w:t xml:space="preserve"> </w:t>
      </w:r>
      <w:r w:rsidR="00E63C68">
        <w:rPr>
          <w:lang w:val="en-GB"/>
        </w:rPr>
        <w:t>in single</w:t>
      </w:r>
      <w:r w:rsidR="00B06E83">
        <w:rPr>
          <w:lang w:val="en-GB"/>
        </w:rPr>
        <w:t>-</w:t>
      </w:r>
      <w:r w:rsidR="00E63C68">
        <w:rPr>
          <w:lang w:val="en-GB"/>
        </w:rPr>
        <w:t xml:space="preserve">component solutions </w:t>
      </w:r>
      <w:r w:rsidR="00C23505">
        <w:rPr>
          <w:lang w:val="en-GB"/>
        </w:rPr>
        <w:t xml:space="preserve">were selected. The </w:t>
      </w:r>
      <w:r w:rsidR="000E756E">
        <w:rPr>
          <w:lang w:val="en-GB"/>
        </w:rPr>
        <w:t>a</w:t>
      </w:r>
      <w:r w:rsidR="00C23505">
        <w:rPr>
          <w:lang w:val="en-GB"/>
        </w:rPr>
        <w:t xml:space="preserve">bsorbance </w:t>
      </w:r>
      <w:r w:rsidR="000E756E">
        <w:rPr>
          <w:lang w:val="en-GB"/>
        </w:rPr>
        <w:t xml:space="preserve">at </w:t>
      </w:r>
      <w:r w:rsidR="00AF2851">
        <w:rPr>
          <w:lang w:val="en-GB"/>
        </w:rPr>
        <w:t xml:space="preserve">the </w:t>
      </w:r>
      <w:r w:rsidR="000E756E">
        <w:rPr>
          <w:lang w:val="en-GB"/>
        </w:rPr>
        <w:t xml:space="preserve">maximum wavelengths </w:t>
      </w:r>
      <w:r w:rsidR="00C23505">
        <w:rPr>
          <w:lang w:val="en-GB"/>
        </w:rPr>
        <w:t xml:space="preserve">of bi-component solutions </w:t>
      </w:r>
      <w:r w:rsidR="000E756E">
        <w:rPr>
          <w:lang w:val="en-GB"/>
        </w:rPr>
        <w:t xml:space="preserve">was assessed by setting </w:t>
      </w:r>
      <w:r w:rsidR="00C23505">
        <w:rPr>
          <w:lang w:val="en-GB"/>
        </w:rPr>
        <w:t xml:space="preserve">relative concentrations of </w:t>
      </w:r>
      <w:r w:rsidR="000E756E">
        <w:rPr>
          <w:lang w:val="en-GB"/>
        </w:rPr>
        <w:t>catechol and 2,3</w:t>
      </w:r>
      <w:r w:rsidR="0081613B">
        <w:rPr>
          <w:lang w:val="en-GB"/>
        </w:rPr>
        <w:t>-</w:t>
      </w:r>
      <w:r w:rsidR="000E756E">
        <w:rPr>
          <w:lang w:val="en-GB"/>
        </w:rPr>
        <w:t>DHBA to mimic</w:t>
      </w:r>
      <w:r w:rsidR="001C49EE">
        <w:rPr>
          <w:lang w:val="en-GB"/>
        </w:rPr>
        <w:t xml:space="preserve"> the reaction solutions (</w:t>
      </w:r>
      <w:r w:rsidR="00AF2851">
        <w:rPr>
          <w:lang w:val="en-GB"/>
        </w:rPr>
        <w:t xml:space="preserve">according to overall stoichiometry </w:t>
      </w:r>
      <w:r w:rsidR="00AF2851" w:rsidRPr="00E63C68">
        <w:rPr>
          <w:lang w:val="en-GB"/>
        </w:rPr>
        <w:t xml:space="preserve">of </w:t>
      </w:r>
      <w:r w:rsidR="000D0431" w:rsidRPr="00E63C68">
        <w:rPr>
          <w:lang w:val="en-GB"/>
        </w:rPr>
        <w:t>E</w:t>
      </w:r>
      <w:r w:rsidR="00AF2851" w:rsidRPr="00E63C68">
        <w:rPr>
          <w:lang w:val="en-GB"/>
        </w:rPr>
        <w:t>q. 1).</w:t>
      </w:r>
      <w:r w:rsidR="00AF2851">
        <w:rPr>
          <w:lang w:val="en-GB"/>
        </w:rPr>
        <w:t xml:space="preserve"> </w:t>
      </w:r>
      <w:r w:rsidR="003B5F6C">
        <w:rPr>
          <w:lang w:val="en-GB"/>
        </w:rPr>
        <w:t>S</w:t>
      </w:r>
      <w:r w:rsidR="00941BCB">
        <w:rPr>
          <w:lang w:val="en-GB"/>
        </w:rPr>
        <w:t xml:space="preserve">ingle-component calibrations </w:t>
      </w:r>
      <w:r w:rsidR="003B5F6C">
        <w:rPr>
          <w:lang w:val="en-GB"/>
        </w:rPr>
        <w:t xml:space="preserve">provided extinction coefficients for catechol and </w:t>
      </w:r>
      <w:r w:rsidR="004B242F">
        <w:rPr>
          <w:lang w:val="en-GB"/>
        </w:rPr>
        <w:t>2,3-</w:t>
      </w:r>
      <w:r w:rsidR="003B5F6C">
        <w:rPr>
          <w:lang w:val="en-GB"/>
        </w:rPr>
        <w:t xml:space="preserve">DHBA in both solvent D and C. Then single-component and bi-component calibrations </w:t>
      </w:r>
      <w:r w:rsidR="00941BCB">
        <w:rPr>
          <w:lang w:val="en-GB"/>
        </w:rPr>
        <w:t xml:space="preserve">were compared to define </w:t>
      </w:r>
      <w:r w:rsidR="003B5F6C">
        <w:rPr>
          <w:lang w:val="en-GB"/>
        </w:rPr>
        <w:t xml:space="preserve">the relation between </w:t>
      </w:r>
      <w:r w:rsidR="009171BA">
        <w:rPr>
          <w:lang w:val="en-GB"/>
        </w:rPr>
        <w:t xml:space="preserve">the </w:t>
      </w:r>
      <w:r w:rsidR="005E0370">
        <w:rPr>
          <w:lang w:val="en-GB"/>
        </w:rPr>
        <w:t xml:space="preserve">catechol concentration and </w:t>
      </w:r>
      <w:r w:rsidR="00FB6AC8">
        <w:rPr>
          <w:lang w:val="en-GB"/>
        </w:rPr>
        <w:t xml:space="preserve">the absorbance of </w:t>
      </w:r>
      <w:r w:rsidR="005E0370">
        <w:rPr>
          <w:lang w:val="en-GB"/>
        </w:rPr>
        <w:t>bi</w:t>
      </w:r>
      <w:r w:rsidR="00334AD8">
        <w:rPr>
          <w:lang w:val="en-GB"/>
        </w:rPr>
        <w:t>-</w:t>
      </w:r>
      <w:r w:rsidR="005E0370">
        <w:rPr>
          <w:lang w:val="en-GB"/>
        </w:rPr>
        <w:t xml:space="preserve">component </w:t>
      </w:r>
      <w:r w:rsidR="00865CEA">
        <w:rPr>
          <w:lang w:val="en-GB"/>
        </w:rPr>
        <w:t>solution</w:t>
      </w:r>
      <w:r w:rsidR="00FB6AC8">
        <w:rPr>
          <w:lang w:val="en-GB"/>
        </w:rPr>
        <w:t>s</w:t>
      </w:r>
      <w:r w:rsidR="00865CEA">
        <w:rPr>
          <w:lang w:val="en-GB"/>
        </w:rPr>
        <w:t xml:space="preserve"> at the corresponding </w:t>
      </w:r>
      <w:r w:rsidR="00FB6AC8">
        <w:rPr>
          <w:lang w:val="en-GB"/>
        </w:rPr>
        <w:t xml:space="preserve">maximum </w:t>
      </w:r>
      <w:r w:rsidR="00865CEA">
        <w:rPr>
          <w:lang w:val="en-GB"/>
        </w:rPr>
        <w:t xml:space="preserve">wavelength. </w:t>
      </w:r>
    </w:p>
    <w:p w14:paraId="0779EB6E" w14:textId="4146E679" w:rsidR="002838EF" w:rsidRDefault="008F7D18" w:rsidP="00453E24">
      <w:pPr>
        <w:pStyle w:val="CETheadingx"/>
      </w:pPr>
      <w:r>
        <w:t>HPLC analysis</w:t>
      </w:r>
    </w:p>
    <w:p w14:paraId="1392D87F" w14:textId="197D3FCB" w:rsidR="00AD1EDF" w:rsidRPr="00FB6AC8" w:rsidRDefault="00FB6AC8" w:rsidP="00FA2D78">
      <w:pPr>
        <w:pStyle w:val="CETBodytext"/>
      </w:pPr>
      <w:r w:rsidRPr="00FB6AC8">
        <w:t>Catechol and 2,3</w:t>
      </w:r>
      <w:r w:rsidR="004B242F">
        <w:t>-</w:t>
      </w:r>
      <w:r w:rsidRPr="00FB6AC8">
        <w:t>DHBA concentrations were</w:t>
      </w:r>
      <w:r w:rsidR="00D04752">
        <w:t xml:space="preserve"> assessed through HPLC according </w:t>
      </w:r>
      <w:r w:rsidR="00D04752" w:rsidRPr="00334AD8">
        <w:t xml:space="preserve">to </w:t>
      </w:r>
      <w:r w:rsidR="001472DC" w:rsidRPr="00334AD8">
        <w:t xml:space="preserve">Pesci </w:t>
      </w:r>
      <w:r w:rsidR="00D04752" w:rsidRPr="00334AD8">
        <w:t>et al.</w:t>
      </w:r>
      <w:r w:rsidR="001472DC" w:rsidRPr="00334AD8">
        <w:t xml:space="preserve"> (</w:t>
      </w:r>
      <w:r w:rsidR="001472DC">
        <w:t>2015)</w:t>
      </w:r>
      <w:r w:rsidR="00CB0CCD">
        <w:t xml:space="preserve"> with </w:t>
      </w:r>
      <w:r w:rsidR="00CB0CCD" w:rsidRPr="0015794E">
        <w:t xml:space="preserve">an Infinity </w:t>
      </w:r>
      <w:r w:rsidR="0015794E" w:rsidRPr="0015794E">
        <w:t>1260</w:t>
      </w:r>
      <w:r w:rsidR="00CB0CCD" w:rsidRPr="0015794E">
        <w:t xml:space="preserve"> </w:t>
      </w:r>
      <w:r w:rsidR="00AA092E" w:rsidRPr="0015794E">
        <w:t>(</w:t>
      </w:r>
      <w:r w:rsidR="00CB0CCD" w:rsidRPr="0015794E">
        <w:t>Agilent</w:t>
      </w:r>
      <w:r w:rsidR="00CC48D8">
        <w:t xml:space="preserve"> Technologies</w:t>
      </w:r>
      <w:r w:rsidR="00AA092E" w:rsidRPr="0015794E">
        <w:t>)</w:t>
      </w:r>
      <w:r w:rsidR="00AA092E">
        <w:t xml:space="preserve"> </w:t>
      </w:r>
      <w:r w:rsidR="00AA092E" w:rsidRPr="00CB3EBB">
        <w:t xml:space="preserve">equipped with </w:t>
      </w:r>
      <w:r w:rsidR="001155C7" w:rsidRPr="00CB3EBB">
        <w:t>diode array</w:t>
      </w:r>
      <w:r w:rsidR="001472DC">
        <w:t>.</w:t>
      </w:r>
      <w:r w:rsidR="00071278">
        <w:t xml:space="preserve"> </w:t>
      </w:r>
      <w:r w:rsidR="009171BA">
        <w:t>E</w:t>
      </w:r>
      <w:r w:rsidR="00B350BB">
        <w:t xml:space="preserve">ach sample was </w:t>
      </w:r>
      <w:r w:rsidR="00334AD8">
        <w:t xml:space="preserve">diluted 1:10 </w:t>
      </w:r>
      <w:r w:rsidR="00B350BB">
        <w:t>in QS</w:t>
      </w:r>
      <w:r w:rsidR="00CB0CCD">
        <w:t xml:space="preserve"> and injected in a </w:t>
      </w:r>
      <w:r w:rsidR="00CB0CCD" w:rsidRPr="001472DC">
        <w:rPr>
          <w:lang w:val="en-GB"/>
        </w:rPr>
        <w:t>Luna</w:t>
      </w:r>
      <w:r w:rsidR="00CB0CCD" w:rsidRPr="001472DC">
        <w:rPr>
          <w:rFonts w:cs="Arial"/>
          <w:lang w:val="en-GB"/>
        </w:rPr>
        <w:t>®</w:t>
      </w:r>
      <w:r w:rsidR="00CB0CCD" w:rsidRPr="001472DC">
        <w:rPr>
          <w:lang w:val="en-GB"/>
        </w:rPr>
        <w:t xml:space="preserve"> C18(2) </w:t>
      </w:r>
      <w:r w:rsidR="00CB0CCD">
        <w:rPr>
          <w:lang w:val="en-GB"/>
        </w:rPr>
        <w:t>(</w:t>
      </w:r>
      <w:r w:rsidR="00C04453">
        <w:rPr>
          <w:lang w:val="en-GB"/>
        </w:rPr>
        <w:t>Phenomenex</w:t>
      </w:r>
      <w:r w:rsidR="00CB0CCD">
        <w:rPr>
          <w:lang w:val="en-GB"/>
        </w:rPr>
        <w:t xml:space="preserve">) </w:t>
      </w:r>
      <w:r w:rsidR="00CB0CCD" w:rsidRPr="001472DC">
        <w:rPr>
          <w:lang w:val="en-GB"/>
        </w:rPr>
        <w:t xml:space="preserve">column </w:t>
      </w:r>
      <w:r w:rsidR="00CB0CCD" w:rsidRPr="007A5CE5">
        <w:rPr>
          <w:lang w:val="en-GB"/>
        </w:rPr>
        <w:t xml:space="preserve">(250 × 4.6 mm, 5 µm, 100 Å) </w:t>
      </w:r>
      <w:r w:rsidR="00CB0CCD" w:rsidRPr="001472DC">
        <w:rPr>
          <w:lang w:val="en-GB"/>
        </w:rPr>
        <w:t xml:space="preserve">was operated at 30 </w:t>
      </w:r>
      <w:r w:rsidR="00CB0CCD" w:rsidRPr="001472DC">
        <w:rPr>
          <w:rFonts w:cs="Arial"/>
          <w:lang w:val="en-GB"/>
        </w:rPr>
        <w:t>°</w:t>
      </w:r>
      <w:r w:rsidR="00CB0CCD" w:rsidRPr="001472DC">
        <w:rPr>
          <w:lang w:val="en-GB"/>
        </w:rPr>
        <w:t>C</w:t>
      </w:r>
      <w:r w:rsidR="00B350BB">
        <w:t xml:space="preserve">. </w:t>
      </w:r>
      <w:r w:rsidR="001472DC" w:rsidRPr="001472DC">
        <w:rPr>
          <w:lang w:val="en-GB"/>
        </w:rPr>
        <w:t xml:space="preserve">The mobile phase </w:t>
      </w:r>
      <w:r w:rsidR="00285A89">
        <w:rPr>
          <w:lang w:val="en-GB"/>
        </w:rPr>
        <w:t xml:space="preserve">was </w:t>
      </w:r>
      <w:r w:rsidR="001472DC" w:rsidRPr="001472DC">
        <w:rPr>
          <w:lang w:val="en-GB"/>
        </w:rPr>
        <w:t>H</w:t>
      </w:r>
      <w:r w:rsidR="001472DC" w:rsidRPr="001472DC">
        <w:rPr>
          <w:rFonts w:ascii="Cambria Math" w:hAnsi="Cambria Math" w:cs="Cambria Math"/>
          <w:lang w:val="en-GB"/>
        </w:rPr>
        <w:t>₂</w:t>
      </w:r>
      <w:r w:rsidR="001472DC" w:rsidRPr="001472DC">
        <w:rPr>
          <w:lang w:val="en-GB"/>
        </w:rPr>
        <w:t>O</w:t>
      </w:r>
      <w:r w:rsidR="001472DC" w:rsidRPr="001472DC">
        <w:rPr>
          <w:rFonts w:cs="Arial"/>
          <w:lang w:val="en-GB"/>
        </w:rPr>
        <w:t>–</w:t>
      </w:r>
      <w:r w:rsidR="00285A89" w:rsidRPr="001472DC">
        <w:rPr>
          <w:lang w:val="en-GB"/>
        </w:rPr>
        <w:t>0.1%</w:t>
      </w:r>
      <w:r w:rsidR="000D0431">
        <w:rPr>
          <w:lang w:val="en-GB"/>
        </w:rPr>
        <w:t>TF</w:t>
      </w:r>
      <w:r w:rsidR="00285A89">
        <w:rPr>
          <w:lang w:val="en-GB"/>
        </w:rPr>
        <w:t>A</w:t>
      </w:r>
      <w:r w:rsidR="001472DC" w:rsidRPr="001472DC">
        <w:rPr>
          <w:lang w:val="en-GB"/>
        </w:rPr>
        <w:t xml:space="preserve"> and </w:t>
      </w:r>
      <w:r w:rsidR="007A5CE5">
        <w:rPr>
          <w:lang w:val="en-GB"/>
        </w:rPr>
        <w:t xml:space="preserve">a gradient of </w:t>
      </w:r>
      <w:r w:rsidR="001472DC" w:rsidRPr="001472DC">
        <w:rPr>
          <w:lang w:val="en-GB"/>
        </w:rPr>
        <w:t>acetonitrile</w:t>
      </w:r>
      <w:r w:rsidR="001472DC" w:rsidRPr="001472DC">
        <w:rPr>
          <w:rFonts w:cs="Arial"/>
          <w:lang w:val="en-GB"/>
        </w:rPr>
        <w:t>–</w:t>
      </w:r>
      <w:r w:rsidR="00285A89" w:rsidRPr="001472DC">
        <w:rPr>
          <w:lang w:val="en-GB"/>
        </w:rPr>
        <w:t>0.1%</w:t>
      </w:r>
      <w:r w:rsidR="000D0431">
        <w:rPr>
          <w:lang w:val="en-GB"/>
        </w:rPr>
        <w:t>TFA</w:t>
      </w:r>
      <w:r w:rsidR="001472DC" w:rsidRPr="001472DC">
        <w:rPr>
          <w:lang w:val="en-GB"/>
        </w:rPr>
        <w:t xml:space="preserve"> </w:t>
      </w:r>
      <w:r w:rsidR="00DD5D88">
        <w:rPr>
          <w:lang w:val="en-GB"/>
        </w:rPr>
        <w:t xml:space="preserve">was </w:t>
      </w:r>
      <w:r w:rsidR="001472DC" w:rsidRPr="001472DC">
        <w:rPr>
          <w:lang w:val="en-GB"/>
        </w:rPr>
        <w:t xml:space="preserve">applied </w:t>
      </w:r>
      <w:r w:rsidR="007A5CE5">
        <w:rPr>
          <w:lang w:val="en-GB"/>
        </w:rPr>
        <w:t>as follows</w:t>
      </w:r>
      <w:r w:rsidR="001472DC" w:rsidRPr="001472DC">
        <w:rPr>
          <w:lang w:val="en-GB"/>
        </w:rPr>
        <w:t>: 0</w:t>
      </w:r>
      <w:r w:rsidR="001472DC" w:rsidRPr="001472DC">
        <w:rPr>
          <w:rFonts w:cs="Arial"/>
          <w:lang w:val="en-GB"/>
        </w:rPr>
        <w:t>–</w:t>
      </w:r>
      <w:r w:rsidR="001472DC" w:rsidRPr="001472DC">
        <w:rPr>
          <w:lang w:val="en-GB"/>
        </w:rPr>
        <w:t>2 min, 2%; 2</w:t>
      </w:r>
      <w:r w:rsidR="001472DC" w:rsidRPr="001472DC">
        <w:rPr>
          <w:rFonts w:cs="Arial"/>
          <w:lang w:val="en-GB"/>
        </w:rPr>
        <w:t>–</w:t>
      </w:r>
      <w:r w:rsidR="001472DC" w:rsidRPr="001472DC">
        <w:rPr>
          <w:lang w:val="en-GB"/>
        </w:rPr>
        <w:t>20 min, 2</w:t>
      </w:r>
      <w:r w:rsidR="001472DC" w:rsidRPr="001472DC">
        <w:rPr>
          <w:rFonts w:cs="Arial"/>
          <w:lang w:val="en-GB"/>
        </w:rPr>
        <w:t>–</w:t>
      </w:r>
      <w:r w:rsidR="001472DC" w:rsidRPr="001472DC">
        <w:rPr>
          <w:lang w:val="en-GB"/>
        </w:rPr>
        <w:t>80%; 20</w:t>
      </w:r>
      <w:r w:rsidR="001472DC" w:rsidRPr="001472DC">
        <w:rPr>
          <w:rFonts w:cs="Arial"/>
          <w:lang w:val="en-GB"/>
        </w:rPr>
        <w:t>–</w:t>
      </w:r>
      <w:r w:rsidR="001472DC" w:rsidRPr="001472DC">
        <w:rPr>
          <w:lang w:val="en-GB"/>
        </w:rPr>
        <w:t xml:space="preserve">25 min, 95%, </w:t>
      </w:r>
      <w:r w:rsidR="007F44DA">
        <w:rPr>
          <w:lang w:val="en-GB"/>
        </w:rPr>
        <w:t xml:space="preserve">eventually </w:t>
      </w:r>
      <w:r w:rsidR="001472DC" w:rsidRPr="001472DC">
        <w:rPr>
          <w:lang w:val="en-GB"/>
        </w:rPr>
        <w:t xml:space="preserve">a 3 min </w:t>
      </w:r>
      <w:r w:rsidR="007F44DA">
        <w:rPr>
          <w:lang w:val="en-GB"/>
        </w:rPr>
        <w:t xml:space="preserve">0% </w:t>
      </w:r>
      <w:r w:rsidR="00CB0CCD">
        <w:rPr>
          <w:lang w:val="en-GB"/>
        </w:rPr>
        <w:t xml:space="preserve">was fed to </w:t>
      </w:r>
      <w:r w:rsidR="001472DC" w:rsidRPr="001472DC">
        <w:rPr>
          <w:lang w:val="en-GB"/>
        </w:rPr>
        <w:t xml:space="preserve">restore the initial conditions. </w:t>
      </w:r>
      <w:r w:rsidR="007A5CE5" w:rsidRPr="007A5CE5">
        <w:rPr>
          <w:lang w:val="en-GB"/>
        </w:rPr>
        <w:t xml:space="preserve">Catechol </w:t>
      </w:r>
      <w:r w:rsidR="007A5CE5" w:rsidRPr="006868E7">
        <w:rPr>
          <w:lang w:val="en-GB"/>
        </w:rPr>
        <w:t>and 2,3-DHBA were detected at 280 nm and 254 nm, respectively</w:t>
      </w:r>
      <w:r w:rsidR="00E260B1" w:rsidRPr="006868E7">
        <w:rPr>
          <w:lang w:val="en-GB"/>
        </w:rPr>
        <w:t xml:space="preserve"> (</w:t>
      </w:r>
      <w:r w:rsidR="00E260B1" w:rsidRPr="006868E7">
        <w:t xml:space="preserve">Pesci et al., 2015; Wuensch et al., </w:t>
      </w:r>
      <w:r w:rsidR="00227933" w:rsidRPr="006868E7">
        <w:t>2014</w:t>
      </w:r>
      <w:r w:rsidR="00E260B1" w:rsidRPr="006868E7">
        <w:rPr>
          <w:lang w:val="en-GB"/>
        </w:rPr>
        <w:t>)</w:t>
      </w:r>
      <w:r w:rsidR="007A5CE5" w:rsidRPr="006868E7">
        <w:rPr>
          <w:lang w:val="en-GB"/>
        </w:rPr>
        <w:t xml:space="preserve">. Calibration with standard </w:t>
      </w:r>
      <w:r w:rsidR="006868E7" w:rsidRPr="006868E7">
        <w:rPr>
          <w:lang w:val="en-GB"/>
        </w:rPr>
        <w:t>0</w:t>
      </w:r>
      <w:r w:rsidR="003A48DB" w:rsidRPr="006868E7">
        <w:rPr>
          <w:lang w:val="en-GB"/>
        </w:rPr>
        <w:t xml:space="preserve"> </w:t>
      </w:r>
      <w:r w:rsidR="006868E7" w:rsidRPr="006868E7">
        <w:rPr>
          <w:lang w:val="en-GB"/>
        </w:rPr>
        <w:t xml:space="preserve">– 50 </w:t>
      </w:r>
      <w:r w:rsidR="003A48DB" w:rsidRPr="006868E7">
        <w:rPr>
          <w:lang w:val="en-GB"/>
        </w:rPr>
        <w:t xml:space="preserve">mM </w:t>
      </w:r>
      <w:r w:rsidR="007A5CE5" w:rsidRPr="006868E7">
        <w:rPr>
          <w:lang w:val="en-GB"/>
        </w:rPr>
        <w:t>solutions gave elution times of 15.4 min and 16.5 min for catechol and 2,3-DHBA, respectively.</w:t>
      </w:r>
    </w:p>
    <w:p w14:paraId="612A2356" w14:textId="5BD1CBBE" w:rsidR="00AD1EDF" w:rsidRDefault="008F7D18" w:rsidP="00AD1EDF">
      <w:pPr>
        <w:pStyle w:val="CETheadingx"/>
      </w:pPr>
      <w:r>
        <w:t>2,3</w:t>
      </w:r>
      <w:r w:rsidR="00F870A4">
        <w:t>-</w:t>
      </w:r>
      <w:r>
        <w:t xml:space="preserve">DHDB activity assay: Decarboxylation tests </w:t>
      </w:r>
    </w:p>
    <w:p w14:paraId="069791CC" w14:textId="6CC88EAF" w:rsidR="00CD7E9B" w:rsidRPr="009D0F68" w:rsidRDefault="00071278" w:rsidP="00FA2D78">
      <w:pPr>
        <w:pStyle w:val="CETBodytext"/>
        <w:rPr>
          <w:lang w:val="en-GB"/>
        </w:rPr>
      </w:pPr>
      <w:r w:rsidRPr="005625E3">
        <w:rPr>
          <w:lang w:val="en-GB"/>
        </w:rPr>
        <w:t>Decarboxylation of 2,3</w:t>
      </w:r>
      <w:r w:rsidR="007A5CE5">
        <w:rPr>
          <w:lang w:val="en-GB"/>
        </w:rPr>
        <w:t>-</w:t>
      </w:r>
      <w:r w:rsidRPr="005625E3">
        <w:rPr>
          <w:lang w:val="en-GB"/>
        </w:rPr>
        <w:t xml:space="preserve">DHBA was </w:t>
      </w:r>
      <w:r w:rsidR="00F731FF" w:rsidRPr="005625E3">
        <w:rPr>
          <w:lang w:val="en-GB"/>
        </w:rPr>
        <w:t xml:space="preserve">applied to define </w:t>
      </w:r>
      <w:r w:rsidR="00B77248">
        <w:rPr>
          <w:lang w:val="en-GB"/>
        </w:rPr>
        <w:t>the</w:t>
      </w:r>
      <w:r w:rsidR="00F731FF" w:rsidRPr="005625E3">
        <w:rPr>
          <w:lang w:val="en-GB"/>
        </w:rPr>
        <w:t xml:space="preserve"> activity assay for 2,3</w:t>
      </w:r>
      <w:r w:rsidR="007A5CE5">
        <w:rPr>
          <w:lang w:val="en-GB"/>
        </w:rPr>
        <w:t>-</w:t>
      </w:r>
      <w:r w:rsidR="00F731FF" w:rsidRPr="005625E3">
        <w:rPr>
          <w:lang w:val="en-GB"/>
        </w:rPr>
        <w:t>DHBD_</w:t>
      </w:r>
      <w:r w:rsidR="00F731FF" w:rsidRPr="005625E3">
        <w:rPr>
          <w:i/>
          <w:iCs/>
          <w:lang w:val="en-GB"/>
        </w:rPr>
        <w:t>Ao</w:t>
      </w:r>
      <w:r w:rsidR="00E47664">
        <w:rPr>
          <w:lang w:val="en-GB"/>
        </w:rPr>
        <w:t xml:space="preserve"> at 30°C under stirring</w:t>
      </w:r>
      <w:r w:rsidR="00BA33FA">
        <w:rPr>
          <w:lang w:val="en-GB"/>
        </w:rPr>
        <w:t xml:space="preserve"> in solvent D</w:t>
      </w:r>
      <w:r w:rsidR="00B77248">
        <w:rPr>
          <w:lang w:val="en-GB"/>
        </w:rPr>
        <w:t>.</w:t>
      </w:r>
      <w:r w:rsidR="000416AB">
        <w:rPr>
          <w:lang w:val="en-GB"/>
        </w:rPr>
        <w:t xml:space="preserve"> </w:t>
      </w:r>
      <w:r w:rsidR="00B77248">
        <w:rPr>
          <w:lang w:val="en-GB"/>
        </w:rPr>
        <w:t>M</w:t>
      </w:r>
      <w:r w:rsidR="000416AB">
        <w:rPr>
          <w:lang w:val="en-GB"/>
        </w:rPr>
        <w:t>inimiz</w:t>
      </w:r>
      <w:r w:rsidR="00B77248">
        <w:rPr>
          <w:lang w:val="en-GB"/>
        </w:rPr>
        <w:t>ation</w:t>
      </w:r>
      <w:r w:rsidR="000416AB">
        <w:rPr>
          <w:lang w:val="en-GB"/>
        </w:rPr>
        <w:t xml:space="preserve"> </w:t>
      </w:r>
      <w:r w:rsidR="00B77248">
        <w:rPr>
          <w:lang w:val="en-GB"/>
        </w:rPr>
        <w:t xml:space="preserve">of </w:t>
      </w:r>
      <w:r w:rsidR="000416AB">
        <w:rPr>
          <w:lang w:val="en-GB"/>
        </w:rPr>
        <w:t>headspace and</w:t>
      </w:r>
      <w:r w:rsidR="007A5CE5">
        <w:rPr>
          <w:lang w:val="en-GB"/>
        </w:rPr>
        <w:t xml:space="preserve"> </w:t>
      </w:r>
      <w:r w:rsidR="00B77248">
        <w:rPr>
          <w:lang w:val="en-GB"/>
        </w:rPr>
        <w:t xml:space="preserve">addition of </w:t>
      </w:r>
      <w:r w:rsidR="007A5CE5" w:rsidRPr="007A5CE5">
        <w:rPr>
          <w:lang w:val="en-GB"/>
        </w:rPr>
        <w:t>ascorbic acid at an equimolar concentration with respect to 2,3-DHBA</w:t>
      </w:r>
      <w:r w:rsidR="00B77248">
        <w:rPr>
          <w:lang w:val="en-GB"/>
        </w:rPr>
        <w:t xml:space="preserve"> was necessary to avoid catechol </w:t>
      </w:r>
      <w:r w:rsidR="00E37766">
        <w:rPr>
          <w:lang w:val="en-GB"/>
        </w:rPr>
        <w:t>oxidation</w:t>
      </w:r>
      <w:r w:rsidR="000416AB">
        <w:rPr>
          <w:lang w:val="en-GB"/>
        </w:rPr>
        <w:t>.</w:t>
      </w:r>
      <w:r w:rsidR="00F731FF">
        <w:rPr>
          <w:color w:val="EE0000"/>
          <w:lang w:val="en-GB"/>
        </w:rPr>
        <w:t xml:space="preserve"> </w:t>
      </w:r>
      <w:r w:rsidR="009D0F68">
        <w:rPr>
          <w:lang w:val="en-GB"/>
        </w:rPr>
        <w:t xml:space="preserve">The reaction conditions were defined to </w:t>
      </w:r>
      <w:r w:rsidR="000E675D">
        <w:rPr>
          <w:lang w:val="en-GB"/>
        </w:rPr>
        <w:t xml:space="preserve">assess the concentrations of substrate and product after optimal dilution in QS. </w:t>
      </w:r>
      <w:r w:rsidR="008F7B5C">
        <w:rPr>
          <w:lang w:val="en-GB"/>
        </w:rPr>
        <w:t xml:space="preserve">The absorbance was measured at both </w:t>
      </w:r>
      <w:r w:rsidR="00AC1655">
        <w:rPr>
          <w:lang w:val="en-GB"/>
        </w:rPr>
        <w:t>selected wavelengths</w:t>
      </w:r>
      <w:r w:rsidR="008F7B5C">
        <w:rPr>
          <w:lang w:val="en-GB"/>
        </w:rPr>
        <w:t xml:space="preserve">. </w:t>
      </w:r>
      <w:r w:rsidR="004C5F0C">
        <w:rPr>
          <w:lang w:val="en-GB"/>
        </w:rPr>
        <w:t xml:space="preserve">Duration of the assay and enzyme concentration were tuned to </w:t>
      </w:r>
      <w:r w:rsidR="00AF045C">
        <w:rPr>
          <w:lang w:val="en-GB"/>
        </w:rPr>
        <w:t xml:space="preserve">verify the linear </w:t>
      </w:r>
      <w:r w:rsidR="00E37766">
        <w:rPr>
          <w:lang w:val="en-GB"/>
        </w:rPr>
        <w:t>time-</w:t>
      </w:r>
      <w:r w:rsidR="00AF045C">
        <w:rPr>
          <w:lang w:val="en-GB"/>
        </w:rPr>
        <w:t>decay of the substrate concentration.</w:t>
      </w:r>
    </w:p>
    <w:p w14:paraId="4A703506" w14:textId="4DAF0DE8" w:rsidR="00E2619A" w:rsidRDefault="00E2619A" w:rsidP="00E2619A">
      <w:pPr>
        <w:pStyle w:val="CETheadingx"/>
      </w:pPr>
      <w:r>
        <w:t>Enzymatic carboxylation of catechol</w:t>
      </w:r>
    </w:p>
    <w:p w14:paraId="4FFC2721" w14:textId="6D6AC962" w:rsidR="002610CC" w:rsidRPr="005F5EA0" w:rsidRDefault="005F5EA0" w:rsidP="002610CC">
      <w:pPr>
        <w:pStyle w:val="CETBodytext"/>
      </w:pPr>
      <w:r w:rsidRPr="006868E7">
        <w:t>Carboxylation of catechol was assessed with 2,3</w:t>
      </w:r>
      <w:r w:rsidR="00587A03" w:rsidRPr="006868E7">
        <w:t>-</w:t>
      </w:r>
      <w:r w:rsidRPr="006868E7">
        <w:t>DHDB_</w:t>
      </w:r>
      <w:r w:rsidRPr="006868E7">
        <w:rPr>
          <w:i/>
          <w:iCs/>
        </w:rPr>
        <w:t>Ao</w:t>
      </w:r>
      <w:r w:rsidRPr="006868E7">
        <w:t xml:space="preserve"> </w:t>
      </w:r>
      <w:r w:rsidR="00937016" w:rsidRPr="006868E7">
        <w:t xml:space="preserve">in solvent </w:t>
      </w:r>
      <w:r w:rsidR="006868E7" w:rsidRPr="006868E7">
        <w:t>C</w:t>
      </w:r>
      <w:r w:rsidR="00FF33C8">
        <w:t xml:space="preserve"> according to</w:t>
      </w:r>
      <w:r w:rsidRPr="006868E7">
        <w:t xml:space="preserve"> </w:t>
      </w:r>
      <w:r w:rsidR="00587A03" w:rsidRPr="006868E7">
        <w:t>Pesci et al. (2015)</w:t>
      </w:r>
      <w:r w:rsidR="000B044D" w:rsidRPr="006868E7">
        <w:t xml:space="preserve"> at 30°C in </w:t>
      </w:r>
      <w:r w:rsidR="00587A03" w:rsidRPr="006868E7">
        <w:t xml:space="preserve">5.0 </w:t>
      </w:r>
      <w:r w:rsidR="000B044D" w:rsidRPr="006868E7">
        <w:t>mL vials</w:t>
      </w:r>
      <w:r w:rsidR="006B27C5" w:rsidRPr="006868E7">
        <w:t xml:space="preserve"> with addition of ascorbic acid.</w:t>
      </w:r>
      <w:r w:rsidR="000B044D" w:rsidRPr="006868E7">
        <w:t xml:space="preserve"> </w:t>
      </w:r>
      <w:r w:rsidR="006B27C5" w:rsidRPr="006868E7">
        <w:t xml:space="preserve">The catechol </w:t>
      </w:r>
      <w:r w:rsidR="000B044D" w:rsidRPr="006868E7">
        <w:t>concentration decay</w:t>
      </w:r>
      <w:r w:rsidR="007F12DD" w:rsidRPr="006868E7">
        <w:t xml:space="preserve"> and acid product concentration increase were </w:t>
      </w:r>
      <w:r w:rsidR="00645597" w:rsidRPr="006868E7">
        <w:t xml:space="preserve">monitored </w:t>
      </w:r>
      <w:r w:rsidR="00FF33C8">
        <w:t xml:space="preserve">by </w:t>
      </w:r>
      <w:r w:rsidR="007F12DD" w:rsidRPr="006868E7">
        <w:t xml:space="preserve">UV absorbance </w:t>
      </w:r>
      <w:r w:rsidR="00645597" w:rsidRPr="006868E7">
        <w:t xml:space="preserve">measurements </w:t>
      </w:r>
      <w:r w:rsidR="007F12DD" w:rsidRPr="006868E7">
        <w:t xml:space="preserve">according to the method </w:t>
      </w:r>
      <w:r w:rsidR="001C6690" w:rsidRPr="006868E7">
        <w:t xml:space="preserve">described </w:t>
      </w:r>
      <w:r w:rsidR="007F12DD" w:rsidRPr="006868E7">
        <w:t>in section 2.1</w:t>
      </w:r>
      <w:r w:rsidR="001C6690" w:rsidRPr="006868E7">
        <w:t>.</w:t>
      </w:r>
      <w:r w:rsidR="008F7B5C">
        <w:t xml:space="preserve"> </w:t>
      </w:r>
    </w:p>
    <w:p w14:paraId="677EBFF0" w14:textId="6E88788C" w:rsidR="00600535" w:rsidRPr="00B57B36" w:rsidRDefault="00CD7E9B" w:rsidP="00600535">
      <w:pPr>
        <w:pStyle w:val="CETHeading1"/>
        <w:tabs>
          <w:tab w:val="clear" w:pos="360"/>
          <w:tab w:val="right" w:pos="7100"/>
        </w:tabs>
        <w:jc w:val="both"/>
        <w:rPr>
          <w:lang w:val="en-GB"/>
        </w:rPr>
      </w:pPr>
      <w:r>
        <w:rPr>
          <w:lang w:val="en-GB"/>
        </w:rPr>
        <w:lastRenderedPageBreak/>
        <w:t>Results and discussion</w:t>
      </w:r>
    </w:p>
    <w:p w14:paraId="04963A06" w14:textId="6CE009A4" w:rsidR="00600535" w:rsidRPr="00B57B36" w:rsidRDefault="00E2619A" w:rsidP="00FA5F5F">
      <w:pPr>
        <w:pStyle w:val="CETheadingx"/>
      </w:pPr>
      <w:r>
        <w:t>Spectra and calibration from UV spectroscopic analysis</w:t>
      </w:r>
    </w:p>
    <w:p w14:paraId="6D983F21" w14:textId="7EC26A50" w:rsidR="00555F1A" w:rsidRDefault="00555F1A" w:rsidP="00555F1A">
      <w:pPr>
        <w:pStyle w:val="CETBodytext"/>
      </w:pPr>
      <w:r w:rsidRPr="00555F1A">
        <w:t xml:space="preserve">Preliminary analyses were </w:t>
      </w:r>
      <w:r w:rsidR="001C5AE8">
        <w:t>carried out</w:t>
      </w:r>
      <w:r w:rsidRPr="00555F1A">
        <w:t xml:space="preserve"> to </w:t>
      </w:r>
      <w:r w:rsidR="00637C51">
        <w:t xml:space="preserve">analyze </w:t>
      </w:r>
      <w:r>
        <w:t xml:space="preserve">UV </w:t>
      </w:r>
      <w:r w:rsidR="004D431A">
        <w:t>a</w:t>
      </w:r>
      <w:r>
        <w:t xml:space="preserve">bsorbance spectra between </w:t>
      </w:r>
      <w:r w:rsidR="00637C51">
        <w:t>(</w:t>
      </w:r>
      <w:r>
        <w:t xml:space="preserve">200 </w:t>
      </w:r>
      <w:r w:rsidR="00637C51">
        <w:t>-</w:t>
      </w:r>
      <w:r>
        <w:t xml:space="preserve"> 400 nm</w:t>
      </w:r>
      <w:r w:rsidR="00637C51">
        <w:t>)</w:t>
      </w:r>
      <w:r>
        <w:t xml:space="preserve"> </w:t>
      </w:r>
      <w:r w:rsidR="001C5AE8">
        <w:t>for 10 mM</w:t>
      </w:r>
      <w:r>
        <w:t xml:space="preserve"> </w:t>
      </w:r>
      <w:r w:rsidRPr="00555F1A">
        <w:t>single</w:t>
      </w:r>
      <w:r w:rsidR="001C5AE8">
        <w:t>-</w:t>
      </w:r>
      <w:r w:rsidRPr="00555F1A">
        <w:t xml:space="preserve">component catechol and 2,3-DHBA solutions in </w:t>
      </w:r>
      <w:r>
        <w:t>solvent D</w:t>
      </w:r>
      <w:r w:rsidR="005C2B27">
        <w:t xml:space="preserve">. The optimal dilution in QS was selected </w:t>
      </w:r>
      <w:r w:rsidR="00433708">
        <w:t xml:space="preserve">by assessing the absorbance of </w:t>
      </w:r>
      <w:r w:rsidR="00D327C1">
        <w:t>10 mM single</w:t>
      </w:r>
      <w:r w:rsidR="00B06E83">
        <w:t>-</w:t>
      </w:r>
      <w:r w:rsidR="00433708">
        <w:t>component solutions</w:t>
      </w:r>
      <w:r w:rsidR="004D431A">
        <w:t xml:space="preserve"> </w:t>
      </w:r>
      <w:r w:rsidR="00433708">
        <w:t xml:space="preserve">at different </w:t>
      </w:r>
      <w:r w:rsidR="00574D0F">
        <w:t xml:space="preserve">sample-QS ratios including 1:10 ratio that is applied for HPLC method </w:t>
      </w:r>
      <w:r w:rsidR="00FE41F9">
        <w:t>(Pesci et al.</w:t>
      </w:r>
      <w:r w:rsidR="0007079E">
        <w:t xml:space="preserve"> 2015</w:t>
      </w:r>
      <w:r w:rsidR="00047950">
        <w:t>;</w:t>
      </w:r>
      <w:r w:rsidR="00FE41F9">
        <w:t xml:space="preserve"> Wuensch et a</w:t>
      </w:r>
      <w:r w:rsidR="00D327C1">
        <w:t>l</w:t>
      </w:r>
      <w:r w:rsidR="00FE41F9">
        <w:t>.</w:t>
      </w:r>
      <w:r w:rsidR="0007079E">
        <w:t xml:space="preserve"> 2014</w:t>
      </w:r>
      <w:r w:rsidR="00FE41F9">
        <w:t xml:space="preserve">). </w:t>
      </w:r>
      <w:r w:rsidR="00DF7DCA">
        <w:t xml:space="preserve">The </w:t>
      </w:r>
      <w:r w:rsidR="00DF7DCA" w:rsidRPr="00555F1A">
        <w:t xml:space="preserve">1:20 </w:t>
      </w:r>
      <w:r w:rsidR="00DF7DCA">
        <w:t>d</w:t>
      </w:r>
      <w:r w:rsidR="00FE41F9">
        <w:t xml:space="preserve">ilution ratio </w:t>
      </w:r>
      <w:r w:rsidR="00D41419">
        <w:t xml:space="preserve">provided the </w:t>
      </w:r>
      <w:r w:rsidR="001C5AE8">
        <w:t>maxim</w:t>
      </w:r>
      <w:r w:rsidR="00D41419">
        <w:t>um</w:t>
      </w:r>
      <w:r w:rsidR="00EA515D">
        <w:t xml:space="preserve"> absorbance difference</w:t>
      </w:r>
      <w:r w:rsidR="00D41419">
        <w:t xml:space="preserve"> between catechol and </w:t>
      </w:r>
      <w:r w:rsidR="00D41419" w:rsidRPr="00555F1A">
        <w:t>2,3-DHBA</w:t>
      </w:r>
      <w:r w:rsidRPr="00555F1A">
        <w:t xml:space="preserve">. </w:t>
      </w:r>
    </w:p>
    <w:p w14:paraId="14E1815D" w14:textId="77777777" w:rsidR="004A1046" w:rsidRPr="00555F1A" w:rsidRDefault="004A1046" w:rsidP="00555F1A">
      <w:pPr>
        <w:pStyle w:val="CETBodytext"/>
        <w:rPr>
          <w:lang w:val="en-GB"/>
        </w:rPr>
      </w:pPr>
    </w:p>
    <w:p w14:paraId="3A0E7455" w14:textId="21DF9259" w:rsidR="00FB553B" w:rsidRDefault="00FB553B" w:rsidP="002828F0">
      <w:pPr>
        <w:pStyle w:val="CETBodytext"/>
      </w:pPr>
      <w:r>
        <w:rPr>
          <w:noProof/>
          <w:lang w:val="en-GB" w:eastAsia="en-GB"/>
        </w:rPr>
        <w:drawing>
          <wp:inline distT="0" distB="0" distL="0" distR="0" wp14:anchorId="50BE2AD0" wp14:editId="000569C9">
            <wp:extent cx="2793600" cy="1980000"/>
            <wp:effectExtent l="0" t="0" r="0" b="1270"/>
            <wp:docPr id="132352396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3600" cy="1980000"/>
                    </a:xfrm>
                    <a:prstGeom prst="rect">
                      <a:avLst/>
                    </a:prstGeom>
                    <a:noFill/>
                  </pic:spPr>
                </pic:pic>
              </a:graphicData>
            </a:graphic>
          </wp:inline>
        </w:drawing>
      </w:r>
    </w:p>
    <w:p w14:paraId="7FD30B2E" w14:textId="671B5D17" w:rsidR="00FB553B" w:rsidRPr="00FB553B" w:rsidRDefault="00FB553B" w:rsidP="00A14817">
      <w:pPr>
        <w:pStyle w:val="CETBodytext"/>
        <w:spacing w:before="240" w:after="240"/>
        <w:rPr>
          <w:i/>
          <w:iCs/>
        </w:rPr>
      </w:pPr>
      <w:r w:rsidRPr="008F7B5C">
        <w:rPr>
          <w:b/>
          <w:bCs/>
          <w:i/>
          <w:iCs/>
        </w:rPr>
        <w:t>Figure 1.</w:t>
      </w:r>
      <w:r w:rsidRPr="00FB553B">
        <w:rPr>
          <w:i/>
          <w:iCs/>
        </w:rPr>
        <w:t xml:space="preserve"> UV absorbance spectra of 10 mM catechol and </w:t>
      </w:r>
      <w:r w:rsidR="003F056D">
        <w:rPr>
          <w:i/>
          <w:iCs/>
        </w:rPr>
        <w:t xml:space="preserve">10 mM </w:t>
      </w:r>
      <w:r w:rsidRPr="00FB553B">
        <w:rPr>
          <w:i/>
          <w:iCs/>
        </w:rPr>
        <w:t>2,3-DHBA solutions</w:t>
      </w:r>
      <w:r w:rsidR="00744429">
        <w:rPr>
          <w:i/>
          <w:iCs/>
        </w:rPr>
        <w:t xml:space="preserve"> in solvent D</w:t>
      </w:r>
      <w:r w:rsidRPr="00FB553B">
        <w:rPr>
          <w:i/>
          <w:iCs/>
        </w:rPr>
        <w:t xml:space="preserve"> upon 1:20 dilution in QS</w:t>
      </w:r>
      <w:r w:rsidR="00744429">
        <w:rPr>
          <w:i/>
          <w:iCs/>
        </w:rPr>
        <w:t>.</w:t>
      </w:r>
    </w:p>
    <w:p w14:paraId="78481BD0" w14:textId="26FC055A" w:rsidR="008F4E12" w:rsidRDefault="001C5AE8" w:rsidP="008F4E12">
      <w:pPr>
        <w:pStyle w:val="CETBodytext"/>
        <w:rPr>
          <w:rFonts w:cs="Arial"/>
          <w:szCs w:val="24"/>
          <w:lang w:eastAsia="it-IT"/>
        </w:rPr>
      </w:pPr>
      <w:r>
        <w:t xml:space="preserve">As </w:t>
      </w:r>
      <w:r w:rsidR="00DB1351">
        <w:t>reported</w:t>
      </w:r>
      <w:r>
        <w:t xml:space="preserve"> in Figure 1, both solutions exhibit</w:t>
      </w:r>
      <w:r w:rsidR="00DB1351">
        <w:t>ed</w:t>
      </w:r>
      <w:r>
        <w:t xml:space="preserve"> nearly </w:t>
      </w:r>
      <w:r w:rsidR="00F82A70">
        <w:t xml:space="preserve">similar </w:t>
      </w:r>
      <w:r>
        <w:t>a</w:t>
      </w:r>
      <w:r w:rsidRPr="00555F1A">
        <w:t>bsorbance below 260 nm</w:t>
      </w:r>
      <w:r>
        <w:t>.</w:t>
      </w:r>
      <w:r w:rsidRPr="00555F1A">
        <w:t xml:space="preserve"> </w:t>
      </w:r>
      <w:r>
        <w:t xml:space="preserve">In </w:t>
      </w:r>
      <w:r w:rsidR="00DB1351">
        <w:t xml:space="preserve">the </w:t>
      </w:r>
      <w:r w:rsidRPr="00555F1A">
        <w:t>spectr</w:t>
      </w:r>
      <w:r w:rsidR="00DB1351">
        <w:t>um of c</w:t>
      </w:r>
      <w:r w:rsidR="00DB1351" w:rsidRPr="00555F1A">
        <w:t xml:space="preserve">atechol </w:t>
      </w:r>
      <w:r w:rsidR="00DB1351">
        <w:t>solution</w:t>
      </w:r>
      <w:r>
        <w:t>, the absorbance</w:t>
      </w:r>
      <w:r w:rsidRPr="00555F1A">
        <w:t xml:space="preserve"> </w:t>
      </w:r>
      <w:r w:rsidR="00102A5E">
        <w:t xml:space="preserve">was </w:t>
      </w:r>
      <w:r w:rsidRPr="00555F1A">
        <w:t>almost negligible in the range 2</w:t>
      </w:r>
      <w:r w:rsidR="00102A5E">
        <w:t>9</w:t>
      </w:r>
      <w:r w:rsidRPr="00555F1A">
        <w:t>0-</w:t>
      </w:r>
      <w:r>
        <w:t>4</w:t>
      </w:r>
      <w:r w:rsidRPr="00555F1A">
        <w:t>00 nm</w:t>
      </w:r>
      <w:r w:rsidR="00102A5E">
        <w:t>.</w:t>
      </w:r>
      <w:r>
        <w:t xml:space="preserve"> </w:t>
      </w:r>
      <w:r w:rsidR="001B31CF">
        <w:t xml:space="preserve">The </w:t>
      </w:r>
      <w:r>
        <w:t>spectr</w:t>
      </w:r>
      <w:r w:rsidR="001B31CF">
        <w:t xml:space="preserve">um of </w:t>
      </w:r>
      <w:r w:rsidR="001B31CF" w:rsidRPr="00555F1A">
        <w:t>2,3-DHBA</w:t>
      </w:r>
      <w:r w:rsidR="001B31CF">
        <w:t xml:space="preserve"> solution</w:t>
      </w:r>
      <w:r>
        <w:t xml:space="preserve"> </w:t>
      </w:r>
      <w:r w:rsidRPr="00555F1A">
        <w:t xml:space="preserve">showed </w:t>
      </w:r>
      <w:r w:rsidR="001B31CF">
        <w:t xml:space="preserve">a </w:t>
      </w:r>
      <w:r w:rsidRPr="00555F1A">
        <w:t xml:space="preserve">minimum </w:t>
      </w:r>
      <w:r w:rsidR="001B31CF">
        <w:t>between</w:t>
      </w:r>
      <w:r w:rsidRPr="00555F1A">
        <w:t xml:space="preserve"> 260-280 nm and a</w:t>
      </w:r>
      <w:r>
        <w:t xml:space="preserve"> prominent</w:t>
      </w:r>
      <w:r w:rsidRPr="00555F1A">
        <w:t xml:space="preserve"> peak at 320 nm. </w:t>
      </w:r>
      <w:r w:rsidR="001B31CF">
        <w:t xml:space="preserve">A </w:t>
      </w:r>
      <w:r w:rsidR="00B067F4" w:rsidRPr="001C5AE8">
        <w:rPr>
          <w:lang w:val="en-GB"/>
        </w:rPr>
        <w:t>similar</w:t>
      </w:r>
      <w:r w:rsidRPr="001C5AE8">
        <w:rPr>
          <w:lang w:val="en-GB"/>
        </w:rPr>
        <w:t xml:space="preserve"> </w:t>
      </w:r>
      <w:r w:rsidR="006868E7" w:rsidRPr="001C5AE8">
        <w:rPr>
          <w:lang w:val="en-GB"/>
        </w:rPr>
        <w:t>behaviour</w:t>
      </w:r>
      <w:r w:rsidRPr="001C5AE8">
        <w:rPr>
          <w:lang w:val="en-GB"/>
        </w:rPr>
        <w:t xml:space="preserve"> was observed for 10 mM single-component solutions in solvent C under the same dilution conditions (data not shown).</w:t>
      </w:r>
      <w:r w:rsidRPr="00555F1A">
        <w:t xml:space="preserve"> These preliminary </w:t>
      </w:r>
      <w:r>
        <w:t>results guided</w:t>
      </w:r>
      <w:r w:rsidRPr="00555F1A">
        <w:t xml:space="preserve"> the calibration of UV absorbance </w:t>
      </w:r>
      <w:r w:rsidRPr="001C5AE8">
        <w:rPr>
          <w:lang w:val="en-GB"/>
        </w:rPr>
        <w:t>measurements at 280 and 320 nm for the quantification of catechol and 2,3-DHBA, respectively,</w:t>
      </w:r>
      <w:r w:rsidR="00A4468F">
        <w:rPr>
          <w:lang w:val="en-GB"/>
        </w:rPr>
        <w:t xml:space="preserve"> </w:t>
      </w:r>
      <w:r w:rsidR="00F82A70">
        <w:rPr>
          <w:lang w:val="en-GB"/>
        </w:rPr>
        <w:t>with scarce interference of the other compound,</w:t>
      </w:r>
      <w:r w:rsidRPr="001C5AE8">
        <w:rPr>
          <w:lang w:val="en-GB"/>
        </w:rPr>
        <w:t xml:space="preserve"> in both single- and bi-component solutions</w:t>
      </w:r>
      <w:r w:rsidRPr="00555F1A">
        <w:t>.</w:t>
      </w:r>
      <w:r w:rsidR="008F4E12">
        <w:t xml:space="preserve"> </w:t>
      </w:r>
      <w:r w:rsidR="008F4E12" w:rsidRPr="00555F1A">
        <w:t xml:space="preserve">Calibration of 2,3-DHBA was performed at 320 nm using solutions </w:t>
      </w:r>
      <w:r w:rsidR="008F4E12" w:rsidRPr="001C5AE8">
        <w:rPr>
          <w:lang w:val="en-GB"/>
        </w:rPr>
        <w:t>ranging from 0 to 10 mM in both solvents C and D, diluted 1:20 in QS</w:t>
      </w:r>
      <w:r w:rsidR="008F4E12">
        <w:rPr>
          <w:lang w:val="en-GB"/>
        </w:rPr>
        <w:t xml:space="preserve"> (</w:t>
      </w:r>
      <w:r w:rsidR="008F4E12" w:rsidRPr="001C5AE8">
        <w:rPr>
          <w:lang w:val="en-GB"/>
        </w:rPr>
        <w:t>0–0.5 mM</w:t>
      </w:r>
      <w:r w:rsidR="008F4E12">
        <w:rPr>
          <w:lang w:val="en-GB"/>
        </w:rPr>
        <w:t xml:space="preserve"> final </w:t>
      </w:r>
      <w:r w:rsidR="008F4E12" w:rsidRPr="001C5AE8">
        <w:rPr>
          <w:lang w:val="en-GB"/>
        </w:rPr>
        <w:t>concentrations</w:t>
      </w:r>
      <w:r w:rsidR="008F4E12">
        <w:rPr>
          <w:lang w:val="en-GB"/>
        </w:rPr>
        <w:t>)</w:t>
      </w:r>
      <w:r w:rsidR="008F4E12" w:rsidRPr="001C5AE8">
        <w:rPr>
          <w:lang w:val="en-GB"/>
        </w:rPr>
        <w:t xml:space="preserve"> (Fig</w:t>
      </w:r>
      <w:r w:rsidR="008F4E12">
        <w:rPr>
          <w:lang w:val="en-GB"/>
        </w:rPr>
        <w:t>ure</w:t>
      </w:r>
      <w:r w:rsidR="008F4E12" w:rsidRPr="001C5AE8">
        <w:rPr>
          <w:lang w:val="en-GB"/>
        </w:rPr>
        <w:t xml:space="preserve"> 2A)</w:t>
      </w:r>
      <w:r w:rsidR="008F4E12" w:rsidRPr="00555F1A">
        <w:t>.</w:t>
      </w:r>
      <w:r w:rsidR="008F4E12">
        <w:t xml:space="preserve"> The m</w:t>
      </w:r>
      <w:r w:rsidR="008F4E12" w:rsidRPr="00555F1A">
        <w:t>olar extinction coefficient</w:t>
      </w:r>
      <w:r w:rsidR="008F4E12">
        <w:t xml:space="preserve">s </w:t>
      </w:r>
      <w:r w:rsidR="008F4E12" w:rsidRPr="00744429">
        <w:t>ɛ</w:t>
      </w:r>
      <w:r w:rsidR="008F4E12" w:rsidRPr="002828F0">
        <w:rPr>
          <w:vertAlign w:val="subscript"/>
        </w:rPr>
        <w:t>2,3-DHBA</w:t>
      </w:r>
      <w:r w:rsidR="008F4E12" w:rsidRPr="006868E7">
        <w:t>(320 nm)</w:t>
      </w:r>
      <w:r w:rsidR="008F4E12" w:rsidRPr="00555F1A">
        <w:t xml:space="preserve">= </w:t>
      </w:r>
      <w:r w:rsidR="008F4E12">
        <w:t>2.09</w:t>
      </w:r>
      <w:r w:rsidR="008F4E12" w:rsidRPr="00555F1A">
        <w:t xml:space="preserve"> mM</w:t>
      </w:r>
      <w:r w:rsidR="008F4E12" w:rsidRPr="00744429">
        <w:rPr>
          <w:vertAlign w:val="superscript"/>
        </w:rPr>
        <w:t>-1</w:t>
      </w:r>
      <w:r w:rsidR="008F4E12" w:rsidRPr="00555F1A">
        <w:t xml:space="preserve"> cm</w:t>
      </w:r>
      <w:r w:rsidR="008F4E12" w:rsidRPr="00EA515D">
        <w:rPr>
          <w:vertAlign w:val="superscript"/>
        </w:rPr>
        <w:t>-1</w:t>
      </w:r>
      <w:r w:rsidR="008F4E12">
        <w:t xml:space="preserve"> (solvent C) and 1.89 </w:t>
      </w:r>
      <w:r w:rsidR="008F4E12" w:rsidRPr="00555F1A">
        <w:t>mM</w:t>
      </w:r>
      <w:r w:rsidR="008F4E12" w:rsidRPr="00D93825">
        <w:rPr>
          <w:vertAlign w:val="superscript"/>
        </w:rPr>
        <w:t>-1</w:t>
      </w:r>
      <w:r w:rsidR="008F4E12" w:rsidRPr="00555F1A">
        <w:t xml:space="preserve"> cm</w:t>
      </w:r>
      <w:r w:rsidR="008F4E12" w:rsidRPr="00D93825">
        <w:rPr>
          <w:vertAlign w:val="superscript"/>
        </w:rPr>
        <w:t>-1</w:t>
      </w:r>
      <w:r w:rsidR="008F4E12">
        <w:t xml:space="preserve"> (solvent D)</w:t>
      </w:r>
      <w:r w:rsidR="008F4E12" w:rsidRPr="00555F1A">
        <w:t xml:space="preserve"> </w:t>
      </w:r>
      <w:r w:rsidR="008F4E12">
        <w:t>for</w:t>
      </w:r>
      <w:r w:rsidR="008F4E12" w:rsidRPr="00555F1A">
        <w:t xml:space="preserve"> 2,3-DHBA w</w:t>
      </w:r>
      <w:r w:rsidR="008F4E12">
        <w:t>ere</w:t>
      </w:r>
      <w:r w:rsidR="008F4E12" w:rsidRPr="00555F1A">
        <w:t xml:space="preserve"> </w:t>
      </w:r>
      <w:r w:rsidR="008F4E12">
        <w:t>determined</w:t>
      </w:r>
      <w:r w:rsidR="008F4E12" w:rsidRPr="00555F1A">
        <w:t xml:space="preserve"> from the linear regression of data set</w:t>
      </w:r>
      <w:r w:rsidR="008F4E12">
        <w:t xml:space="preserve">s in Figure 2A and were applied for the calculation of acid concentration in the bi-component solutions due to the poor contribution of catechol at wavelength larger than 290 nm (Figure 1). </w:t>
      </w:r>
      <w:r w:rsidR="008F4E12">
        <w:rPr>
          <w:rFonts w:cs="Arial"/>
          <w:szCs w:val="24"/>
          <w:lang w:eastAsia="it-IT"/>
        </w:rPr>
        <w:t>Due to</w:t>
      </w:r>
      <w:r w:rsidR="008F4E12" w:rsidRPr="00BE4A89">
        <w:rPr>
          <w:rFonts w:cs="Arial"/>
          <w:szCs w:val="24"/>
          <w:lang w:eastAsia="it-IT"/>
        </w:rPr>
        <w:t xml:space="preserve"> the evident </w:t>
      </w:r>
      <w:r w:rsidR="008F4E12">
        <w:rPr>
          <w:rFonts w:cs="Arial"/>
          <w:szCs w:val="24"/>
          <w:lang w:eastAsia="it-IT"/>
        </w:rPr>
        <w:t xml:space="preserve">overlap </w:t>
      </w:r>
      <w:r w:rsidR="008F4E12" w:rsidRPr="00BE4A89">
        <w:rPr>
          <w:rFonts w:cs="Arial"/>
          <w:szCs w:val="24"/>
          <w:lang w:eastAsia="it-IT"/>
        </w:rPr>
        <w:t>of catechol and 2,3</w:t>
      </w:r>
      <w:r w:rsidR="008F4E12">
        <w:rPr>
          <w:rFonts w:cs="Arial"/>
          <w:szCs w:val="24"/>
          <w:lang w:eastAsia="it-IT"/>
        </w:rPr>
        <w:t>-</w:t>
      </w:r>
      <w:r w:rsidR="008F4E12" w:rsidRPr="00BE4A89">
        <w:rPr>
          <w:rFonts w:cs="Arial"/>
          <w:szCs w:val="24"/>
          <w:lang w:eastAsia="it-IT"/>
        </w:rPr>
        <w:t xml:space="preserve">DHBA spectra at 280 nm, catechol </w:t>
      </w:r>
      <w:r w:rsidR="008F4E12">
        <w:rPr>
          <w:rFonts w:cs="Arial"/>
          <w:szCs w:val="24"/>
          <w:lang w:eastAsia="it-IT"/>
        </w:rPr>
        <w:t xml:space="preserve">concentration assessment </w:t>
      </w:r>
      <w:r w:rsidR="008F4E12" w:rsidRPr="00BE4A89">
        <w:rPr>
          <w:rFonts w:cs="Arial"/>
          <w:szCs w:val="24"/>
          <w:lang w:eastAsia="it-IT"/>
        </w:rPr>
        <w:t xml:space="preserve">was performed </w:t>
      </w:r>
      <w:r w:rsidR="008F4E12">
        <w:rPr>
          <w:rFonts w:cs="Arial"/>
          <w:szCs w:val="24"/>
          <w:lang w:eastAsia="it-IT"/>
        </w:rPr>
        <w:t xml:space="preserve">using </w:t>
      </w:r>
      <w:r w:rsidR="008F4E12" w:rsidRPr="00BE4A89">
        <w:rPr>
          <w:rFonts w:cs="Arial"/>
          <w:szCs w:val="24"/>
          <w:lang w:eastAsia="it-IT"/>
        </w:rPr>
        <w:t>bi</w:t>
      </w:r>
      <w:r w:rsidR="008F4E12">
        <w:rPr>
          <w:rFonts w:cs="Arial"/>
          <w:szCs w:val="24"/>
          <w:lang w:eastAsia="it-IT"/>
        </w:rPr>
        <w:t>-</w:t>
      </w:r>
      <w:r w:rsidR="008F4E12" w:rsidRPr="00BE4A89">
        <w:rPr>
          <w:rFonts w:cs="Arial"/>
          <w:szCs w:val="24"/>
          <w:lang w:eastAsia="it-IT"/>
        </w:rPr>
        <w:t xml:space="preserve">component solutions mimicking the </w:t>
      </w:r>
      <w:r w:rsidR="008F4E12">
        <w:rPr>
          <w:rFonts w:cs="Arial"/>
          <w:szCs w:val="24"/>
          <w:lang w:eastAsia="it-IT"/>
        </w:rPr>
        <w:t xml:space="preserve">decarboxylation </w:t>
      </w:r>
      <w:r w:rsidR="008F4E12" w:rsidRPr="00BE4A89">
        <w:rPr>
          <w:rFonts w:cs="Arial"/>
          <w:szCs w:val="24"/>
          <w:lang w:eastAsia="it-IT"/>
        </w:rPr>
        <w:t>reaction mixture</w:t>
      </w:r>
      <w:r w:rsidR="008F4E12">
        <w:rPr>
          <w:rFonts w:cs="Arial"/>
          <w:szCs w:val="24"/>
          <w:lang w:eastAsia="it-IT"/>
        </w:rPr>
        <w:t xml:space="preserve"> (from 0-10 mM to 10-0 mM catechol-2,3-DHBA)</w:t>
      </w:r>
      <w:r w:rsidR="00ED1148">
        <w:rPr>
          <w:rFonts w:cs="Arial"/>
          <w:szCs w:val="24"/>
          <w:lang w:eastAsia="it-IT"/>
        </w:rPr>
        <w:t xml:space="preserve"> (Figure 2B)</w:t>
      </w:r>
      <w:r w:rsidR="008F4E12">
        <w:rPr>
          <w:rFonts w:cs="Arial"/>
          <w:szCs w:val="24"/>
          <w:lang w:eastAsia="it-IT"/>
        </w:rPr>
        <w:t>.</w:t>
      </w:r>
      <w:r w:rsidR="008F4E12" w:rsidRPr="00BE4A89">
        <w:rPr>
          <w:rFonts w:cs="Arial"/>
          <w:szCs w:val="24"/>
          <w:lang w:eastAsia="it-IT"/>
        </w:rPr>
        <w:t xml:space="preserve"> </w:t>
      </w:r>
      <w:r w:rsidR="008F4E12">
        <w:rPr>
          <w:rFonts w:cs="Arial"/>
          <w:szCs w:val="24"/>
          <w:lang w:eastAsia="it-IT"/>
        </w:rPr>
        <w:t>Parity plot (Figure 2C) showed the absorbance values of the bi-component solution close (deviation &lt;10%) to the sum of absorbances from the single-component solutions for each considered concentration of acid and catechol (Eq. 2). Thus, the concentration of catechol can be calculated from the linear combination (Eq. 2-4) of the absorbance at 280 nm of the single-component solutions and according to the stoichiometry of Eq. 1.</w:t>
      </w:r>
    </w:p>
    <w:p w14:paraId="6F2551F9" w14:textId="77777777" w:rsidR="00EF0D91" w:rsidRDefault="00EF0D91" w:rsidP="008F4E12">
      <w:pPr>
        <w:pStyle w:val="CETBodytext"/>
        <w:rPr>
          <w:rFonts w:cs="Arial"/>
          <w:szCs w:val="24"/>
          <w:lang w:eastAsia="it-IT"/>
        </w:rPr>
      </w:pPr>
    </w:p>
    <w:p w14:paraId="26BDA9A9" w14:textId="77777777" w:rsidR="00EF0D91" w:rsidRPr="006868E7" w:rsidRDefault="00000000" w:rsidP="00EF0D91">
      <w:pPr>
        <w:pStyle w:val="CETBodytext"/>
        <w:spacing w:before="120" w:after="120"/>
        <w:rPr>
          <w:rFonts w:cs="Arial"/>
          <w:iCs/>
          <w:szCs w:val="24"/>
          <w:lang w:val="en-GB" w:eastAsia="it-IT"/>
        </w:rPr>
      </w:pPr>
      <m:oMath>
        <m:sSub>
          <m:sSubPr>
            <m:ctrlPr>
              <w:rPr>
                <w:rFonts w:ascii="Cambria Math" w:hAnsi="Cambria Math" w:cs="Arial"/>
                <w:i/>
                <w:iCs/>
                <w:szCs w:val="24"/>
                <w:lang w:val="en-GB" w:eastAsia="it-IT"/>
              </w:rPr>
            </m:ctrlPr>
          </m:sSubPr>
          <m:e>
            <m:r>
              <w:rPr>
                <w:rFonts w:ascii="Cambria Math" w:hAnsi="Cambria Math" w:cs="Arial"/>
                <w:szCs w:val="24"/>
                <w:lang w:val="en-GB" w:eastAsia="it-IT"/>
              </w:rPr>
              <m:t>Abs</m:t>
            </m:r>
          </m:e>
          <m:sub>
            <m:r>
              <w:rPr>
                <w:rFonts w:ascii="Cambria Math" w:hAnsi="Cambria Math" w:cs="Arial"/>
                <w:szCs w:val="24"/>
                <w:lang w:val="en-GB" w:eastAsia="it-IT"/>
              </w:rPr>
              <m:t>mix</m:t>
            </m:r>
          </m:sub>
        </m:sSub>
        <m:d>
          <m:dPr>
            <m:ctrlPr>
              <w:rPr>
                <w:rFonts w:ascii="Cambria Math" w:hAnsi="Cambria Math" w:cs="Arial"/>
                <w:i/>
                <w:iCs/>
                <w:szCs w:val="24"/>
                <w:lang w:val="en-GB" w:eastAsia="it-IT"/>
              </w:rPr>
            </m:ctrlPr>
          </m:dPr>
          <m:e>
            <m:r>
              <w:rPr>
                <w:rFonts w:ascii="Cambria Math" w:hAnsi="Cambria Math" w:cs="Arial"/>
                <w:szCs w:val="24"/>
                <w:lang w:val="en-GB" w:eastAsia="it-IT"/>
              </w:rPr>
              <m:t>280 nm</m:t>
            </m:r>
          </m:e>
        </m:d>
        <m:r>
          <w:rPr>
            <w:rFonts w:ascii="Cambria Math" w:hAnsi="Cambria Math" w:cs="Arial"/>
            <w:szCs w:val="24"/>
            <w:lang w:val="en-GB" w:eastAsia="it-IT"/>
          </w:rPr>
          <m:t>=</m:t>
        </m:r>
        <m:sSub>
          <m:sSubPr>
            <m:ctrlPr>
              <w:rPr>
                <w:rFonts w:ascii="Cambria Math" w:hAnsi="Cambria Math" w:cs="Arial"/>
                <w:i/>
                <w:iCs/>
                <w:szCs w:val="24"/>
                <w:lang w:val="en-GB" w:eastAsia="it-IT"/>
              </w:rPr>
            </m:ctrlPr>
          </m:sSubPr>
          <m:e>
            <m:r>
              <w:rPr>
                <w:rFonts w:ascii="Cambria Math" w:hAnsi="Cambria Math" w:cs="Arial"/>
                <w:szCs w:val="24"/>
                <w:lang w:val="en-GB" w:eastAsia="it-IT"/>
              </w:rPr>
              <m:t>C</m:t>
            </m:r>
          </m:e>
          <m:sub>
            <m:r>
              <w:rPr>
                <w:rFonts w:ascii="Cambria Math" w:hAnsi="Cambria Math" w:cs="Arial"/>
                <w:szCs w:val="24"/>
                <w:lang w:val="en-GB" w:eastAsia="it-IT"/>
              </w:rPr>
              <m:t>Cat</m:t>
            </m:r>
          </m:sub>
        </m:sSub>
        <m:r>
          <w:rPr>
            <w:rFonts w:ascii="Cambria Math" w:hAnsi="Cambria Math" w:cs="Arial"/>
            <w:szCs w:val="24"/>
            <w:lang w:val="en-GB" w:eastAsia="it-IT"/>
          </w:rPr>
          <m:t>∙</m:t>
        </m:r>
        <m:sSub>
          <m:sSubPr>
            <m:ctrlPr>
              <w:rPr>
                <w:rFonts w:ascii="Cambria Math" w:hAnsi="Cambria Math" w:cs="Arial"/>
                <w:i/>
                <w:iCs/>
                <w:szCs w:val="24"/>
                <w:lang w:val="en-GB" w:eastAsia="it-IT"/>
              </w:rPr>
            </m:ctrlPr>
          </m:sSubPr>
          <m:e>
            <m:r>
              <w:rPr>
                <w:rFonts w:ascii="Cambria Math" w:hAnsi="Cambria Math" w:cs="Arial"/>
                <w:szCs w:val="24"/>
                <w:lang w:val="en-GB" w:eastAsia="it-IT"/>
              </w:rPr>
              <m:t>ε</m:t>
            </m:r>
          </m:e>
          <m:sub>
            <m:r>
              <w:rPr>
                <w:rFonts w:ascii="Cambria Math" w:hAnsi="Cambria Math" w:cs="Arial"/>
                <w:szCs w:val="24"/>
                <w:lang w:val="en-GB" w:eastAsia="it-IT"/>
              </w:rPr>
              <m:t>Cat</m:t>
            </m:r>
          </m:sub>
        </m:sSub>
        <m:d>
          <m:dPr>
            <m:ctrlPr>
              <w:rPr>
                <w:rFonts w:ascii="Cambria Math" w:hAnsi="Cambria Math" w:cs="Arial"/>
                <w:i/>
                <w:iCs/>
                <w:szCs w:val="24"/>
                <w:lang w:val="en-GB" w:eastAsia="it-IT"/>
              </w:rPr>
            </m:ctrlPr>
          </m:dPr>
          <m:e>
            <m:r>
              <w:rPr>
                <w:rFonts w:ascii="Cambria Math" w:hAnsi="Cambria Math" w:cs="Arial"/>
                <w:szCs w:val="24"/>
                <w:lang w:val="en-GB" w:eastAsia="it-IT"/>
              </w:rPr>
              <m:t>280 nm</m:t>
            </m:r>
          </m:e>
        </m:d>
        <m:r>
          <w:rPr>
            <w:rFonts w:ascii="Cambria Math" w:hAnsi="Cambria Math" w:cs="Arial"/>
            <w:szCs w:val="24"/>
            <w:lang w:val="en-GB" w:eastAsia="it-IT"/>
          </w:rPr>
          <m:t>+</m:t>
        </m:r>
        <m:sSub>
          <m:sSubPr>
            <m:ctrlPr>
              <w:rPr>
                <w:rFonts w:ascii="Cambria Math" w:hAnsi="Cambria Math" w:cs="Arial"/>
                <w:i/>
                <w:iCs/>
                <w:szCs w:val="24"/>
                <w:lang w:val="en-GB" w:eastAsia="it-IT"/>
              </w:rPr>
            </m:ctrlPr>
          </m:sSubPr>
          <m:e>
            <m:r>
              <w:rPr>
                <w:rFonts w:ascii="Cambria Math" w:hAnsi="Cambria Math" w:cs="Arial"/>
                <w:szCs w:val="24"/>
                <w:lang w:val="en-GB" w:eastAsia="it-IT"/>
              </w:rPr>
              <m:t>C</m:t>
            </m:r>
          </m:e>
          <m:sub>
            <m:r>
              <w:rPr>
                <w:rFonts w:ascii="Cambria Math" w:hAnsi="Cambria Math" w:cs="Arial"/>
                <w:szCs w:val="24"/>
                <w:lang w:val="en-GB" w:eastAsia="it-IT"/>
              </w:rPr>
              <m:t>DHBA</m:t>
            </m:r>
          </m:sub>
        </m:sSub>
        <m:r>
          <w:rPr>
            <w:rFonts w:ascii="Cambria Math" w:hAnsi="Cambria Math" w:cs="Arial"/>
            <w:szCs w:val="24"/>
            <w:lang w:val="en-GB" w:eastAsia="it-IT"/>
          </w:rPr>
          <m:t>∙</m:t>
        </m:r>
        <m:sSub>
          <m:sSubPr>
            <m:ctrlPr>
              <w:rPr>
                <w:rFonts w:ascii="Cambria Math" w:hAnsi="Cambria Math" w:cs="Arial"/>
                <w:i/>
                <w:iCs/>
                <w:szCs w:val="24"/>
                <w:lang w:val="en-GB" w:eastAsia="it-IT"/>
              </w:rPr>
            </m:ctrlPr>
          </m:sSubPr>
          <m:e>
            <m:r>
              <w:rPr>
                <w:rFonts w:ascii="Cambria Math" w:hAnsi="Cambria Math" w:cs="Arial"/>
                <w:szCs w:val="24"/>
                <w:lang w:val="en-GB" w:eastAsia="it-IT"/>
              </w:rPr>
              <m:t>ε</m:t>
            </m:r>
          </m:e>
          <m:sub>
            <m:r>
              <w:rPr>
                <w:rFonts w:ascii="Cambria Math" w:hAnsi="Cambria Math" w:cs="Arial"/>
                <w:szCs w:val="24"/>
                <w:lang w:val="en-GB" w:eastAsia="it-IT"/>
              </w:rPr>
              <m:t>2,3-DHBA</m:t>
            </m:r>
          </m:sub>
        </m:sSub>
        <m:d>
          <m:dPr>
            <m:ctrlPr>
              <w:rPr>
                <w:rFonts w:ascii="Cambria Math" w:hAnsi="Cambria Math" w:cs="Arial"/>
                <w:i/>
                <w:iCs/>
                <w:szCs w:val="24"/>
                <w:lang w:val="en-GB" w:eastAsia="it-IT"/>
              </w:rPr>
            </m:ctrlPr>
          </m:dPr>
          <m:e>
            <m:r>
              <w:rPr>
                <w:rFonts w:ascii="Cambria Math" w:hAnsi="Cambria Math" w:cs="Arial"/>
                <w:szCs w:val="24"/>
                <w:lang w:val="en-GB" w:eastAsia="it-IT"/>
              </w:rPr>
              <m:t>280 nm</m:t>
            </m:r>
          </m:e>
        </m:d>
      </m:oMath>
      <w:r w:rsidR="00EF0D91">
        <w:rPr>
          <w:rFonts w:cs="Arial"/>
          <w:iCs/>
          <w:szCs w:val="24"/>
          <w:lang w:val="en-GB" w:eastAsia="it-IT"/>
        </w:rPr>
        <w:t xml:space="preserve"> </w:t>
      </w:r>
      <w:r w:rsidR="00EF0D91">
        <w:rPr>
          <w:rFonts w:cs="Arial"/>
          <w:iCs/>
          <w:szCs w:val="24"/>
          <w:lang w:val="en-GB" w:eastAsia="it-IT"/>
        </w:rPr>
        <w:tab/>
      </w:r>
      <w:r w:rsidR="00EF0D91">
        <w:rPr>
          <w:rFonts w:cs="Arial"/>
          <w:iCs/>
          <w:szCs w:val="24"/>
          <w:lang w:val="en-GB" w:eastAsia="it-IT"/>
        </w:rPr>
        <w:tab/>
      </w:r>
      <w:r w:rsidR="00EF0D91" w:rsidRPr="00270D41">
        <w:rPr>
          <w:rFonts w:cs="Arial"/>
          <w:iCs/>
          <w:szCs w:val="24"/>
          <w:lang w:val="en-GB" w:eastAsia="it-IT"/>
        </w:rPr>
        <w:t>E</w:t>
      </w:r>
      <w:r w:rsidR="00EF0D91" w:rsidRPr="006868E7">
        <w:rPr>
          <w:rFonts w:cs="Arial"/>
          <w:iCs/>
          <w:szCs w:val="24"/>
          <w:lang w:val="en-GB" w:eastAsia="it-IT"/>
        </w:rPr>
        <w:t>q. 2</w:t>
      </w:r>
    </w:p>
    <w:p w14:paraId="55228D1E" w14:textId="77777777" w:rsidR="00EF0D91" w:rsidRPr="006868E7" w:rsidRDefault="00000000" w:rsidP="00EF0D91">
      <w:pPr>
        <w:pStyle w:val="CETListbullets"/>
        <w:spacing w:before="120" w:after="120"/>
        <w:ind w:left="0" w:firstLine="0"/>
        <w:rPr>
          <w:rFonts w:cs="Arial"/>
          <w:szCs w:val="24"/>
          <w:lang w:eastAsia="it-IT"/>
        </w:rPr>
      </w:pPr>
      <m:oMath>
        <m:sSub>
          <m:sSubPr>
            <m:ctrlPr>
              <w:rPr>
                <w:rFonts w:ascii="Cambria Math" w:hAnsi="Cambria Math" w:cs="Arial"/>
                <w:i/>
                <w:iCs/>
                <w:szCs w:val="24"/>
                <w:lang w:eastAsia="it-IT"/>
              </w:rPr>
            </m:ctrlPr>
          </m:sSubPr>
          <m:e>
            <m:r>
              <w:rPr>
                <w:rFonts w:ascii="Cambria Math" w:hAnsi="Cambria Math" w:cs="Arial"/>
                <w:szCs w:val="24"/>
                <w:lang w:eastAsia="it-IT"/>
              </w:rPr>
              <m:t>C</m:t>
            </m:r>
          </m:e>
          <m:sub>
            <m:r>
              <w:rPr>
                <w:rFonts w:ascii="Cambria Math" w:hAnsi="Cambria Math" w:cs="Arial"/>
                <w:szCs w:val="24"/>
                <w:lang w:eastAsia="it-IT"/>
              </w:rPr>
              <m:t>DHBA</m:t>
            </m:r>
          </m:sub>
        </m:sSub>
        <m:r>
          <w:rPr>
            <w:rFonts w:ascii="Cambria Math" w:hAnsi="Cambria Math" w:cs="Arial"/>
            <w:szCs w:val="24"/>
            <w:lang w:eastAsia="it-IT"/>
          </w:rPr>
          <m:t>=</m:t>
        </m:r>
        <m:sSub>
          <m:sSubPr>
            <m:ctrlPr>
              <w:rPr>
                <w:rFonts w:ascii="Cambria Math" w:hAnsi="Cambria Math" w:cs="Arial"/>
                <w:i/>
                <w:iCs/>
                <w:szCs w:val="24"/>
                <w:lang w:eastAsia="it-IT"/>
              </w:rPr>
            </m:ctrlPr>
          </m:sSubPr>
          <m:e>
            <m:r>
              <w:rPr>
                <w:rFonts w:ascii="Cambria Math" w:hAnsi="Cambria Math" w:cs="Arial"/>
                <w:szCs w:val="24"/>
                <w:lang w:eastAsia="it-IT"/>
              </w:rPr>
              <m:t>C</m:t>
            </m:r>
          </m:e>
          <m:sub>
            <m:r>
              <w:rPr>
                <w:rFonts w:ascii="Cambria Math" w:hAnsi="Cambria Math" w:cs="Arial"/>
                <w:szCs w:val="24"/>
                <w:lang w:eastAsia="it-IT"/>
              </w:rPr>
              <m:t>DHBA_0</m:t>
            </m:r>
          </m:sub>
        </m:sSub>
        <m:r>
          <w:rPr>
            <w:rFonts w:ascii="Cambria Math" w:hAnsi="Cambria Math" w:cs="Arial"/>
            <w:szCs w:val="24"/>
            <w:lang w:eastAsia="it-IT"/>
          </w:rPr>
          <m:t>-</m:t>
        </m:r>
        <m:sSub>
          <m:sSubPr>
            <m:ctrlPr>
              <w:rPr>
                <w:rFonts w:ascii="Cambria Math" w:hAnsi="Cambria Math" w:cs="Arial"/>
                <w:i/>
                <w:iCs/>
                <w:szCs w:val="24"/>
                <w:lang w:eastAsia="it-IT"/>
              </w:rPr>
            </m:ctrlPr>
          </m:sSubPr>
          <m:e>
            <m:r>
              <w:rPr>
                <w:rFonts w:ascii="Cambria Math" w:hAnsi="Cambria Math" w:cs="Arial"/>
                <w:szCs w:val="24"/>
                <w:lang w:eastAsia="it-IT"/>
              </w:rPr>
              <m:t>C</m:t>
            </m:r>
          </m:e>
          <m:sub>
            <m:r>
              <w:rPr>
                <w:rFonts w:ascii="Cambria Math" w:hAnsi="Cambria Math" w:cs="Arial"/>
                <w:szCs w:val="24"/>
                <w:lang w:eastAsia="it-IT"/>
              </w:rPr>
              <m:t>Cat</m:t>
            </m:r>
          </m:sub>
        </m:sSub>
      </m:oMath>
      <w:r w:rsidR="00EF0D91">
        <w:rPr>
          <w:rFonts w:cs="Arial"/>
          <w:szCs w:val="24"/>
          <w:lang w:val="en-US" w:eastAsia="it-IT"/>
        </w:rPr>
        <w:t xml:space="preserve"> </w:t>
      </w:r>
      <w:r w:rsidR="00EF0D91">
        <w:rPr>
          <w:rFonts w:cs="Arial"/>
          <w:szCs w:val="24"/>
          <w:lang w:val="en-US" w:eastAsia="it-IT"/>
        </w:rPr>
        <w:tab/>
      </w:r>
      <w:r w:rsidR="00EF0D91">
        <w:rPr>
          <w:rFonts w:cs="Arial"/>
          <w:szCs w:val="24"/>
          <w:lang w:val="en-US" w:eastAsia="it-IT"/>
        </w:rPr>
        <w:tab/>
      </w:r>
      <w:r w:rsidR="00EF0D91">
        <w:rPr>
          <w:rFonts w:cs="Arial"/>
          <w:szCs w:val="24"/>
          <w:lang w:val="en-US" w:eastAsia="it-IT"/>
        </w:rPr>
        <w:tab/>
      </w:r>
      <w:r w:rsidR="00EF0D91">
        <w:rPr>
          <w:rFonts w:cs="Arial"/>
          <w:szCs w:val="24"/>
          <w:lang w:val="en-US" w:eastAsia="it-IT"/>
        </w:rPr>
        <w:tab/>
      </w:r>
      <w:r w:rsidR="00EF0D91">
        <w:rPr>
          <w:rFonts w:cs="Arial"/>
          <w:szCs w:val="24"/>
          <w:lang w:val="en-US" w:eastAsia="it-IT"/>
        </w:rPr>
        <w:tab/>
      </w:r>
      <w:r w:rsidR="00EF0D91">
        <w:rPr>
          <w:rFonts w:cs="Arial"/>
          <w:szCs w:val="24"/>
          <w:lang w:val="en-US" w:eastAsia="it-IT"/>
        </w:rPr>
        <w:tab/>
      </w:r>
      <w:r w:rsidR="00EF0D91">
        <w:rPr>
          <w:rFonts w:cs="Arial"/>
          <w:szCs w:val="24"/>
          <w:lang w:val="en-US" w:eastAsia="it-IT"/>
        </w:rPr>
        <w:tab/>
      </w:r>
      <w:r w:rsidR="00EF0D91">
        <w:rPr>
          <w:rFonts w:cs="Arial"/>
          <w:szCs w:val="24"/>
          <w:lang w:val="en-US" w:eastAsia="it-IT"/>
        </w:rPr>
        <w:tab/>
      </w:r>
      <w:r w:rsidR="00EF0D91">
        <w:rPr>
          <w:rFonts w:cs="Arial"/>
          <w:szCs w:val="24"/>
          <w:lang w:val="en-US" w:eastAsia="it-IT"/>
        </w:rPr>
        <w:tab/>
      </w:r>
      <w:r w:rsidR="00EF0D91" w:rsidRPr="006868E7">
        <w:rPr>
          <w:rFonts w:cs="Arial"/>
          <w:szCs w:val="24"/>
          <w:lang w:eastAsia="it-IT"/>
        </w:rPr>
        <w:t>Eq. 3</w:t>
      </w:r>
    </w:p>
    <w:p w14:paraId="298CAA51" w14:textId="77777777" w:rsidR="00EF0D91" w:rsidRDefault="00000000" w:rsidP="00EF0D91">
      <w:pPr>
        <w:pStyle w:val="CETListbullets"/>
        <w:spacing w:before="120" w:after="120"/>
        <w:ind w:left="0" w:firstLine="0"/>
        <w:rPr>
          <w:rFonts w:cs="Arial"/>
          <w:iCs/>
          <w:szCs w:val="24"/>
          <w:lang w:eastAsia="it-IT"/>
        </w:rPr>
      </w:pPr>
      <m:oMath>
        <m:sSub>
          <m:sSubPr>
            <m:ctrlPr>
              <w:rPr>
                <w:rFonts w:ascii="Cambria Math" w:hAnsi="Cambria Math" w:cs="Arial"/>
                <w:i/>
                <w:iCs/>
                <w:szCs w:val="24"/>
                <w:lang w:eastAsia="it-IT"/>
              </w:rPr>
            </m:ctrlPr>
          </m:sSubPr>
          <m:e>
            <m:r>
              <w:rPr>
                <w:rFonts w:ascii="Cambria Math" w:hAnsi="Cambria Math" w:cs="Arial"/>
                <w:szCs w:val="24"/>
                <w:lang w:eastAsia="it-IT"/>
              </w:rPr>
              <m:t>C</m:t>
            </m:r>
          </m:e>
          <m:sub>
            <m:r>
              <w:rPr>
                <w:rFonts w:ascii="Cambria Math" w:hAnsi="Cambria Math" w:cs="Arial"/>
                <w:szCs w:val="24"/>
                <w:lang w:eastAsia="it-IT"/>
              </w:rPr>
              <m:t>Cat</m:t>
            </m:r>
          </m:sub>
        </m:sSub>
        <m:r>
          <w:rPr>
            <w:rFonts w:ascii="Cambria Math" w:hAnsi="Cambria Math" w:cs="Arial"/>
            <w:szCs w:val="24"/>
            <w:lang w:eastAsia="it-IT"/>
          </w:rPr>
          <m:t>=</m:t>
        </m:r>
        <m:f>
          <m:fPr>
            <m:ctrlPr>
              <w:rPr>
                <w:rFonts w:ascii="Cambria Math" w:hAnsi="Cambria Math" w:cs="Arial"/>
                <w:i/>
                <w:iCs/>
                <w:szCs w:val="24"/>
                <w:lang w:eastAsia="it-IT"/>
              </w:rPr>
            </m:ctrlPr>
          </m:fPr>
          <m:num>
            <m:sSub>
              <m:sSubPr>
                <m:ctrlPr>
                  <w:rPr>
                    <w:rFonts w:ascii="Cambria Math" w:hAnsi="Cambria Math" w:cs="Arial"/>
                    <w:i/>
                    <w:iCs/>
                    <w:szCs w:val="24"/>
                    <w:lang w:eastAsia="it-IT"/>
                  </w:rPr>
                </m:ctrlPr>
              </m:sSubPr>
              <m:e>
                <m:r>
                  <w:rPr>
                    <w:rFonts w:ascii="Cambria Math" w:hAnsi="Cambria Math" w:cs="Arial"/>
                    <w:szCs w:val="24"/>
                    <w:lang w:eastAsia="it-IT"/>
                  </w:rPr>
                  <m:t>Abs</m:t>
                </m:r>
              </m:e>
              <m:sub>
                <m:r>
                  <w:rPr>
                    <w:rFonts w:ascii="Cambria Math" w:hAnsi="Cambria Math" w:cs="Arial"/>
                    <w:szCs w:val="24"/>
                    <w:lang w:eastAsia="it-IT"/>
                  </w:rPr>
                  <m:t>mix</m:t>
                </m:r>
              </m:sub>
            </m:sSub>
            <m:d>
              <m:dPr>
                <m:ctrlPr>
                  <w:rPr>
                    <w:rFonts w:ascii="Cambria Math" w:hAnsi="Cambria Math" w:cs="Arial"/>
                    <w:i/>
                    <w:iCs/>
                    <w:szCs w:val="24"/>
                    <w:lang w:eastAsia="it-IT"/>
                  </w:rPr>
                </m:ctrlPr>
              </m:dPr>
              <m:e>
                <m:r>
                  <w:rPr>
                    <w:rFonts w:ascii="Cambria Math" w:hAnsi="Cambria Math" w:cs="Arial"/>
                    <w:szCs w:val="24"/>
                    <w:lang w:eastAsia="it-IT"/>
                  </w:rPr>
                  <m:t>280 nm</m:t>
                </m:r>
              </m:e>
            </m:d>
            <m:r>
              <w:rPr>
                <w:rFonts w:ascii="Cambria Math" w:hAnsi="Cambria Math" w:cs="Arial"/>
                <w:szCs w:val="24"/>
                <w:lang w:eastAsia="it-IT"/>
              </w:rPr>
              <m:t>-</m:t>
            </m:r>
            <m:sSub>
              <m:sSubPr>
                <m:ctrlPr>
                  <w:rPr>
                    <w:rFonts w:ascii="Cambria Math" w:hAnsi="Cambria Math" w:cs="Arial"/>
                    <w:i/>
                    <w:iCs/>
                    <w:szCs w:val="24"/>
                    <w:lang w:eastAsia="it-IT"/>
                  </w:rPr>
                </m:ctrlPr>
              </m:sSubPr>
              <m:e>
                <m:r>
                  <w:rPr>
                    <w:rFonts w:ascii="Cambria Math" w:hAnsi="Cambria Math" w:cs="Arial"/>
                    <w:szCs w:val="24"/>
                    <w:lang w:eastAsia="it-IT"/>
                  </w:rPr>
                  <m:t>Abs</m:t>
                </m:r>
              </m:e>
              <m:sub>
                <m:r>
                  <w:rPr>
                    <w:rFonts w:ascii="Cambria Math" w:hAnsi="Cambria Math" w:cs="Arial"/>
                    <w:szCs w:val="24"/>
                    <w:lang w:eastAsia="it-IT"/>
                  </w:rPr>
                  <m:t>2,3-DHBA_0</m:t>
                </m:r>
              </m:sub>
            </m:sSub>
            <m:d>
              <m:dPr>
                <m:ctrlPr>
                  <w:rPr>
                    <w:rFonts w:ascii="Cambria Math" w:hAnsi="Cambria Math" w:cs="Arial"/>
                    <w:i/>
                    <w:iCs/>
                    <w:szCs w:val="24"/>
                    <w:lang w:eastAsia="it-IT"/>
                  </w:rPr>
                </m:ctrlPr>
              </m:dPr>
              <m:e>
                <m:r>
                  <w:rPr>
                    <w:rFonts w:ascii="Cambria Math" w:hAnsi="Cambria Math" w:cs="Arial"/>
                    <w:szCs w:val="24"/>
                    <w:lang w:eastAsia="it-IT"/>
                  </w:rPr>
                  <m:t>280 nm</m:t>
                </m:r>
              </m:e>
            </m:d>
          </m:num>
          <m:den>
            <m:sSub>
              <m:sSubPr>
                <m:ctrlPr>
                  <w:rPr>
                    <w:rFonts w:ascii="Cambria Math" w:hAnsi="Cambria Math" w:cs="Arial"/>
                    <w:i/>
                    <w:iCs/>
                    <w:szCs w:val="24"/>
                    <w:lang w:eastAsia="it-IT"/>
                  </w:rPr>
                </m:ctrlPr>
              </m:sSubPr>
              <m:e>
                <m:r>
                  <w:rPr>
                    <w:rFonts w:ascii="Cambria Math" w:hAnsi="Cambria Math" w:cs="Arial"/>
                    <w:szCs w:val="24"/>
                    <w:lang w:eastAsia="it-IT"/>
                  </w:rPr>
                  <m:t>ε</m:t>
                </m:r>
              </m:e>
              <m:sub>
                <m:r>
                  <w:rPr>
                    <w:rFonts w:ascii="Cambria Math" w:hAnsi="Cambria Math" w:cs="Arial"/>
                    <w:szCs w:val="24"/>
                    <w:lang w:eastAsia="it-IT"/>
                  </w:rPr>
                  <m:t>Cat</m:t>
                </m:r>
              </m:sub>
            </m:sSub>
            <m:d>
              <m:dPr>
                <m:ctrlPr>
                  <w:rPr>
                    <w:rFonts w:ascii="Cambria Math" w:hAnsi="Cambria Math" w:cs="Arial"/>
                    <w:i/>
                    <w:iCs/>
                    <w:szCs w:val="24"/>
                    <w:lang w:eastAsia="it-IT"/>
                  </w:rPr>
                </m:ctrlPr>
              </m:dPr>
              <m:e>
                <m:r>
                  <w:rPr>
                    <w:rFonts w:ascii="Cambria Math" w:hAnsi="Cambria Math" w:cs="Arial"/>
                    <w:szCs w:val="24"/>
                    <w:lang w:eastAsia="it-IT"/>
                  </w:rPr>
                  <m:t>280 nm</m:t>
                </m:r>
              </m:e>
            </m:d>
            <m:r>
              <w:rPr>
                <w:rFonts w:ascii="Cambria Math" w:hAnsi="Cambria Math" w:cs="Arial"/>
                <w:szCs w:val="24"/>
                <w:lang w:eastAsia="it-IT"/>
              </w:rPr>
              <m:t>-</m:t>
            </m:r>
            <m:sSub>
              <m:sSubPr>
                <m:ctrlPr>
                  <w:rPr>
                    <w:rFonts w:ascii="Cambria Math" w:hAnsi="Cambria Math" w:cs="Arial"/>
                    <w:i/>
                    <w:iCs/>
                    <w:szCs w:val="24"/>
                    <w:lang w:eastAsia="it-IT"/>
                  </w:rPr>
                </m:ctrlPr>
              </m:sSubPr>
              <m:e>
                <m:r>
                  <w:rPr>
                    <w:rFonts w:ascii="Cambria Math" w:hAnsi="Cambria Math" w:cs="Arial"/>
                    <w:szCs w:val="24"/>
                    <w:lang w:eastAsia="it-IT"/>
                  </w:rPr>
                  <m:t>ε</m:t>
                </m:r>
              </m:e>
              <m:sub>
                <m:r>
                  <w:rPr>
                    <w:rFonts w:ascii="Cambria Math" w:hAnsi="Cambria Math" w:cs="Arial"/>
                    <w:szCs w:val="24"/>
                    <w:lang w:eastAsia="it-IT"/>
                  </w:rPr>
                  <m:t>2,3-DHBA</m:t>
                </m:r>
              </m:sub>
            </m:sSub>
            <m:d>
              <m:dPr>
                <m:ctrlPr>
                  <w:rPr>
                    <w:rFonts w:ascii="Cambria Math" w:hAnsi="Cambria Math" w:cs="Arial"/>
                    <w:i/>
                    <w:iCs/>
                    <w:szCs w:val="24"/>
                    <w:lang w:eastAsia="it-IT"/>
                  </w:rPr>
                </m:ctrlPr>
              </m:dPr>
              <m:e>
                <m:r>
                  <w:rPr>
                    <w:rFonts w:ascii="Cambria Math" w:hAnsi="Cambria Math" w:cs="Arial"/>
                    <w:szCs w:val="24"/>
                    <w:lang w:eastAsia="it-IT"/>
                  </w:rPr>
                  <m:t>280 nm</m:t>
                </m:r>
              </m:e>
            </m:d>
          </m:den>
        </m:f>
      </m:oMath>
      <w:r w:rsidR="00EF0D91" w:rsidRPr="002509B4">
        <w:rPr>
          <w:rFonts w:cs="Arial"/>
          <w:iCs/>
          <w:szCs w:val="24"/>
          <w:lang w:eastAsia="it-IT"/>
        </w:rPr>
        <w:t xml:space="preserve"> </w:t>
      </w:r>
      <w:r w:rsidR="00EF0D91" w:rsidRPr="002509B4">
        <w:rPr>
          <w:rFonts w:cs="Arial"/>
          <w:iCs/>
          <w:szCs w:val="24"/>
          <w:lang w:eastAsia="it-IT"/>
        </w:rPr>
        <w:tab/>
      </w:r>
      <w:r w:rsidR="00EF0D91" w:rsidRPr="002509B4">
        <w:rPr>
          <w:rFonts w:cs="Arial"/>
          <w:iCs/>
          <w:szCs w:val="24"/>
          <w:lang w:eastAsia="it-IT"/>
        </w:rPr>
        <w:tab/>
      </w:r>
      <w:r w:rsidR="00EF0D91" w:rsidRPr="002509B4">
        <w:rPr>
          <w:rFonts w:cs="Arial"/>
          <w:iCs/>
          <w:szCs w:val="24"/>
          <w:lang w:eastAsia="it-IT"/>
        </w:rPr>
        <w:tab/>
      </w:r>
      <w:r w:rsidR="00EF0D91" w:rsidRPr="002509B4">
        <w:rPr>
          <w:rFonts w:cs="Arial"/>
          <w:iCs/>
          <w:szCs w:val="24"/>
          <w:lang w:eastAsia="it-IT"/>
        </w:rPr>
        <w:tab/>
      </w:r>
      <w:r w:rsidR="00EF0D91" w:rsidRPr="002509B4">
        <w:rPr>
          <w:rFonts w:cs="Arial"/>
          <w:iCs/>
          <w:szCs w:val="24"/>
          <w:lang w:eastAsia="it-IT"/>
        </w:rPr>
        <w:tab/>
      </w:r>
      <w:r w:rsidR="00EF0D91" w:rsidRPr="002509B4">
        <w:rPr>
          <w:rFonts w:cs="Arial"/>
          <w:iCs/>
          <w:szCs w:val="24"/>
          <w:lang w:eastAsia="it-IT"/>
        </w:rPr>
        <w:tab/>
      </w:r>
      <w:r w:rsidR="00EF0D91" w:rsidRPr="002509B4">
        <w:rPr>
          <w:rFonts w:cs="Arial"/>
          <w:iCs/>
          <w:szCs w:val="24"/>
          <w:lang w:eastAsia="it-IT"/>
        </w:rPr>
        <w:tab/>
        <w:t>E</w:t>
      </w:r>
      <w:r w:rsidR="00EF0D91" w:rsidRPr="006868E7">
        <w:rPr>
          <w:rFonts w:cs="Arial"/>
          <w:iCs/>
          <w:szCs w:val="24"/>
          <w:lang w:eastAsia="it-IT"/>
        </w:rPr>
        <w:t>q. 4</w:t>
      </w:r>
    </w:p>
    <w:p w14:paraId="158452AF" w14:textId="77777777" w:rsidR="009B663C" w:rsidRPr="006868E7" w:rsidRDefault="009B663C" w:rsidP="00EF0D91">
      <w:pPr>
        <w:pStyle w:val="CETListbullets"/>
        <w:spacing w:before="120" w:after="120"/>
        <w:ind w:left="0" w:firstLine="0"/>
        <w:rPr>
          <w:rFonts w:cs="Arial"/>
          <w:iCs/>
          <w:szCs w:val="24"/>
          <w:lang w:eastAsia="it-IT"/>
        </w:rPr>
      </w:pPr>
    </w:p>
    <w:p w14:paraId="39521058" w14:textId="160B7206" w:rsidR="00C16F5F" w:rsidRDefault="00EF0D91" w:rsidP="00EF0D91">
      <w:pPr>
        <w:pStyle w:val="CETListbullets"/>
        <w:ind w:left="0" w:firstLine="0"/>
        <w:rPr>
          <w:rFonts w:cs="Arial"/>
          <w:szCs w:val="24"/>
          <w:lang w:val="en-US" w:eastAsia="it-IT"/>
        </w:rPr>
      </w:pPr>
      <w:r>
        <w:rPr>
          <w:rFonts w:cs="Arial"/>
          <w:szCs w:val="24"/>
          <w:lang w:val="en-US" w:eastAsia="it-IT"/>
        </w:rPr>
        <w:t>The analysis of absorbance data was successfully verified in solvent C (data not shown)</w:t>
      </w:r>
      <w:r w:rsidRPr="00AC7D75">
        <w:rPr>
          <w:rFonts w:cs="Arial"/>
          <w:szCs w:val="24"/>
          <w:lang w:val="en-US" w:eastAsia="it-IT"/>
        </w:rPr>
        <w:t>. Th</w:t>
      </w:r>
      <w:r>
        <w:rPr>
          <w:rFonts w:cs="Arial"/>
          <w:szCs w:val="24"/>
          <w:lang w:val="en-US" w:eastAsia="it-IT"/>
        </w:rPr>
        <w:t>e</w:t>
      </w:r>
      <w:r w:rsidRPr="00AC7D75">
        <w:rPr>
          <w:rFonts w:cs="Arial"/>
          <w:szCs w:val="24"/>
          <w:lang w:val="en-US" w:eastAsia="it-IT"/>
        </w:rPr>
        <w:t xml:space="preserve"> </w:t>
      </w:r>
      <w:r>
        <w:rPr>
          <w:rFonts w:cs="Arial"/>
          <w:szCs w:val="24"/>
          <w:lang w:val="en-US" w:eastAsia="it-IT"/>
        </w:rPr>
        <w:t xml:space="preserve">catechol and 2,3-DHBA concentrations </w:t>
      </w:r>
      <w:r>
        <w:t>were thus assessed through the measurement of mixture absorbances at 280 and 320 nm</w:t>
      </w:r>
      <w:r w:rsidRPr="00AC7D75">
        <w:rPr>
          <w:rFonts w:cs="Arial"/>
          <w:szCs w:val="24"/>
          <w:lang w:val="en-US" w:eastAsia="it-IT"/>
        </w:rPr>
        <w:t xml:space="preserve"> </w:t>
      </w:r>
      <w:r>
        <w:rPr>
          <w:rFonts w:cs="Arial"/>
          <w:szCs w:val="24"/>
          <w:lang w:val="en-US" w:eastAsia="it-IT"/>
        </w:rPr>
        <w:t>in both decarboxylation and carboxylation reactive mixtures</w:t>
      </w:r>
      <w:r w:rsidRPr="00AC7D75">
        <w:rPr>
          <w:rFonts w:cs="Arial"/>
          <w:szCs w:val="24"/>
          <w:lang w:val="en-US" w:eastAsia="it-IT"/>
        </w:rPr>
        <w:t>.</w:t>
      </w:r>
    </w:p>
    <w:p w14:paraId="3FF902E1" w14:textId="77777777" w:rsidR="00C16F5F" w:rsidRDefault="00C16F5F" w:rsidP="00C16F5F">
      <w:pPr>
        <w:pStyle w:val="CETBodytext"/>
      </w:pPr>
    </w:p>
    <w:p w14:paraId="4EF03566" w14:textId="77777777" w:rsidR="00C16F5F" w:rsidRDefault="00C16F5F" w:rsidP="00C16F5F">
      <w:pPr>
        <w:pStyle w:val="CETBodytext"/>
        <w:jc w:val="center"/>
      </w:pPr>
      <w:r>
        <w:rPr>
          <w:noProof/>
        </w:rPr>
        <w:lastRenderedPageBreak/>
        <w:drawing>
          <wp:inline distT="0" distB="0" distL="0" distR="0" wp14:anchorId="06A9998D" wp14:editId="33746940">
            <wp:extent cx="5148000" cy="2160000"/>
            <wp:effectExtent l="0" t="0" r="0" b="0"/>
            <wp:docPr id="12792986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8000" cy="2160000"/>
                    </a:xfrm>
                    <a:prstGeom prst="rect">
                      <a:avLst/>
                    </a:prstGeom>
                    <a:noFill/>
                  </pic:spPr>
                </pic:pic>
              </a:graphicData>
            </a:graphic>
          </wp:inline>
        </w:drawing>
      </w:r>
    </w:p>
    <w:p w14:paraId="703D64B7" w14:textId="77777777" w:rsidR="00C16F5F" w:rsidRDefault="00C16F5F" w:rsidP="00C16F5F">
      <w:pPr>
        <w:pStyle w:val="CETBodytext"/>
        <w:jc w:val="center"/>
        <w:rPr>
          <w:rFonts w:cs="Arial"/>
          <w:b/>
          <w:bCs/>
          <w:i/>
          <w:iCs/>
          <w:szCs w:val="24"/>
          <w:lang w:eastAsia="it-IT"/>
        </w:rPr>
      </w:pPr>
      <w:r>
        <w:rPr>
          <w:rFonts w:cs="Arial"/>
          <w:b/>
          <w:bCs/>
          <w:i/>
          <w:iCs/>
          <w:noProof/>
          <w:szCs w:val="24"/>
          <w:lang w:eastAsia="it-IT"/>
        </w:rPr>
        <w:drawing>
          <wp:inline distT="0" distB="0" distL="0" distR="0" wp14:anchorId="13F68A7A" wp14:editId="742B3612">
            <wp:extent cx="2736000" cy="2160000"/>
            <wp:effectExtent l="0" t="0" r="7620" b="0"/>
            <wp:docPr id="181152619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6000" cy="2160000"/>
                    </a:xfrm>
                    <a:prstGeom prst="rect">
                      <a:avLst/>
                    </a:prstGeom>
                    <a:noFill/>
                  </pic:spPr>
                </pic:pic>
              </a:graphicData>
            </a:graphic>
          </wp:inline>
        </w:drawing>
      </w:r>
    </w:p>
    <w:p w14:paraId="5597EA01" w14:textId="7E4DB870" w:rsidR="00C16F5F" w:rsidRPr="00AC7D75" w:rsidRDefault="00C16F5F" w:rsidP="00C16F5F">
      <w:pPr>
        <w:pStyle w:val="CETListbullets"/>
        <w:ind w:left="0" w:firstLine="0"/>
        <w:rPr>
          <w:rFonts w:cs="Arial"/>
          <w:szCs w:val="24"/>
          <w:lang w:val="en-US" w:eastAsia="it-IT"/>
        </w:rPr>
      </w:pPr>
      <w:r w:rsidRPr="008F7B5C">
        <w:rPr>
          <w:rFonts w:cs="Arial"/>
          <w:b/>
          <w:bCs/>
          <w:i/>
          <w:iCs/>
          <w:szCs w:val="24"/>
          <w:lang w:eastAsia="it-IT"/>
        </w:rPr>
        <w:t>Figure 2.</w:t>
      </w:r>
      <w:r w:rsidRPr="00EA515D">
        <w:rPr>
          <w:rFonts w:cs="Arial"/>
          <w:i/>
          <w:iCs/>
          <w:szCs w:val="24"/>
          <w:lang w:eastAsia="it-IT"/>
        </w:rPr>
        <w:t xml:space="preserve"> </w:t>
      </w:r>
      <w:r w:rsidRPr="008F7B5C">
        <w:rPr>
          <w:rFonts w:cs="Arial"/>
          <w:b/>
          <w:bCs/>
          <w:i/>
          <w:iCs/>
          <w:szCs w:val="24"/>
          <w:lang w:eastAsia="it-IT"/>
        </w:rPr>
        <w:t>A)</w:t>
      </w:r>
      <w:r w:rsidRPr="00EA515D">
        <w:rPr>
          <w:rFonts w:cs="Arial"/>
          <w:i/>
          <w:iCs/>
          <w:szCs w:val="24"/>
          <w:lang w:eastAsia="it-IT"/>
        </w:rPr>
        <w:t xml:space="preserve"> Absorbance at 320 nm </w:t>
      </w:r>
      <w:r>
        <w:rPr>
          <w:rFonts w:cs="Arial"/>
          <w:i/>
          <w:iCs/>
          <w:szCs w:val="24"/>
          <w:lang w:eastAsia="it-IT"/>
        </w:rPr>
        <w:t xml:space="preserve">of </w:t>
      </w:r>
      <w:r w:rsidRPr="00EA515D">
        <w:rPr>
          <w:rFonts w:cs="Arial"/>
          <w:i/>
          <w:iCs/>
          <w:szCs w:val="24"/>
          <w:lang w:eastAsia="it-IT"/>
        </w:rPr>
        <w:t>2,3-DHBA solutions in solvent C and D</w:t>
      </w:r>
      <w:r>
        <w:rPr>
          <w:rFonts w:cs="Arial"/>
          <w:i/>
          <w:iCs/>
          <w:szCs w:val="24"/>
          <w:lang w:eastAsia="it-IT"/>
        </w:rPr>
        <w:t xml:space="preserve"> (</w:t>
      </w:r>
      <w:r w:rsidRPr="00EA515D">
        <w:rPr>
          <w:rFonts w:cs="Arial"/>
          <w:i/>
          <w:iCs/>
          <w:szCs w:val="24"/>
          <w:lang w:eastAsia="it-IT"/>
        </w:rPr>
        <w:t>1:20 diluted in Q</w:t>
      </w:r>
      <w:r w:rsidRPr="008F7B5C">
        <w:rPr>
          <w:rFonts w:cs="Arial"/>
          <w:szCs w:val="24"/>
          <w:lang w:eastAsia="it-IT"/>
        </w:rPr>
        <w:t>S</w:t>
      </w:r>
      <w:r>
        <w:rPr>
          <w:rFonts w:cs="Arial"/>
          <w:szCs w:val="24"/>
          <w:lang w:eastAsia="it-IT"/>
        </w:rPr>
        <w:t>)</w:t>
      </w:r>
      <w:r w:rsidRPr="008F7B5C">
        <w:rPr>
          <w:rFonts w:cs="Arial"/>
          <w:szCs w:val="24"/>
          <w:lang w:eastAsia="it-IT"/>
        </w:rPr>
        <w:t>.</w:t>
      </w:r>
      <w:r w:rsidRPr="008F7B5C">
        <w:rPr>
          <w:rFonts w:cs="Arial"/>
          <w:b/>
          <w:bCs/>
          <w:i/>
          <w:iCs/>
          <w:szCs w:val="24"/>
          <w:lang w:eastAsia="it-IT"/>
        </w:rPr>
        <w:t xml:space="preserve"> B)</w:t>
      </w:r>
      <w:r w:rsidRPr="00EA515D">
        <w:rPr>
          <w:rFonts w:cs="Arial"/>
          <w:i/>
          <w:iCs/>
          <w:szCs w:val="24"/>
          <w:lang w:eastAsia="it-IT"/>
        </w:rPr>
        <w:t xml:space="preserve"> Absorbance at 280 nm of single-component catechol (</w:t>
      </w:r>
      <w:r>
        <w:rPr>
          <w:rFonts w:cs="Arial"/>
          <w:i/>
          <w:iCs/>
          <w:szCs w:val="24"/>
          <w:lang w:eastAsia="it-IT"/>
        </w:rPr>
        <w:t>open black circle</w:t>
      </w:r>
      <w:r w:rsidRPr="00EA515D">
        <w:rPr>
          <w:rFonts w:cs="Arial"/>
          <w:i/>
          <w:iCs/>
          <w:szCs w:val="24"/>
          <w:lang w:eastAsia="it-IT"/>
        </w:rPr>
        <w:t>) and 2,3-DHBA (</w:t>
      </w:r>
      <w:r>
        <w:rPr>
          <w:rFonts w:cs="Arial"/>
          <w:i/>
          <w:iCs/>
          <w:szCs w:val="24"/>
          <w:lang w:eastAsia="it-IT"/>
        </w:rPr>
        <w:t>red diamonds</w:t>
      </w:r>
      <w:r w:rsidRPr="00EA515D">
        <w:rPr>
          <w:rFonts w:cs="Arial"/>
          <w:i/>
          <w:iCs/>
          <w:szCs w:val="24"/>
          <w:lang w:eastAsia="it-IT"/>
        </w:rPr>
        <w:t>) solutions, and bi-component mixtures (</w:t>
      </w:r>
      <w:r>
        <w:rPr>
          <w:rFonts w:cs="Arial"/>
          <w:i/>
          <w:iCs/>
          <w:szCs w:val="24"/>
          <w:lang w:eastAsia="it-IT"/>
        </w:rPr>
        <w:t>open black triangles</w:t>
      </w:r>
      <w:r w:rsidRPr="00EA515D">
        <w:rPr>
          <w:rFonts w:cs="Arial"/>
          <w:i/>
          <w:iCs/>
          <w:szCs w:val="24"/>
          <w:lang w:eastAsia="it-IT"/>
        </w:rPr>
        <w:t>)</w:t>
      </w:r>
      <w:r>
        <w:rPr>
          <w:rFonts w:cs="Arial"/>
          <w:i/>
          <w:iCs/>
          <w:szCs w:val="24"/>
          <w:lang w:eastAsia="it-IT"/>
        </w:rPr>
        <w:t>.</w:t>
      </w:r>
      <w:r w:rsidRPr="00EA515D">
        <w:rPr>
          <w:rFonts w:cs="Arial"/>
          <w:i/>
          <w:iCs/>
          <w:szCs w:val="24"/>
          <w:lang w:eastAsia="it-IT"/>
        </w:rPr>
        <w:t xml:space="preserve"> </w:t>
      </w:r>
      <w:r>
        <w:rPr>
          <w:rFonts w:cs="Arial"/>
          <w:i/>
          <w:iCs/>
          <w:szCs w:val="24"/>
          <w:lang w:eastAsia="it-IT"/>
        </w:rPr>
        <w:t xml:space="preserve">Catechol concentration is reported for bi-component solutions miking catechol conversion into 2,3 DHBA. All samples were </w:t>
      </w:r>
      <w:r w:rsidRPr="00EA515D">
        <w:rPr>
          <w:rFonts w:cs="Arial"/>
          <w:i/>
          <w:iCs/>
          <w:szCs w:val="24"/>
          <w:lang w:eastAsia="it-IT"/>
        </w:rPr>
        <w:t>dilut</w:t>
      </w:r>
      <w:r>
        <w:rPr>
          <w:rFonts w:cs="Arial"/>
          <w:i/>
          <w:iCs/>
          <w:szCs w:val="24"/>
          <w:lang w:eastAsia="it-IT"/>
        </w:rPr>
        <w:t>ed</w:t>
      </w:r>
      <w:r w:rsidRPr="00EA515D">
        <w:rPr>
          <w:rFonts w:cs="Arial"/>
          <w:i/>
          <w:iCs/>
          <w:szCs w:val="24"/>
          <w:lang w:eastAsia="it-IT"/>
        </w:rPr>
        <w:t xml:space="preserve"> 1:20 in QS</w:t>
      </w:r>
      <w:r>
        <w:rPr>
          <w:rFonts w:cs="Arial"/>
          <w:i/>
          <w:iCs/>
          <w:szCs w:val="24"/>
          <w:lang w:eastAsia="it-IT"/>
        </w:rPr>
        <w:t xml:space="preserve">. </w:t>
      </w:r>
      <w:r w:rsidRPr="00B067F4">
        <w:rPr>
          <w:rFonts w:cs="Arial"/>
          <w:b/>
          <w:bCs/>
          <w:i/>
          <w:iCs/>
          <w:szCs w:val="24"/>
          <w:lang w:eastAsia="it-IT"/>
        </w:rPr>
        <w:t>C)</w:t>
      </w:r>
      <w:r>
        <w:rPr>
          <w:rFonts w:cs="Arial"/>
          <w:i/>
          <w:iCs/>
          <w:szCs w:val="24"/>
          <w:lang w:eastAsia="it-IT"/>
        </w:rPr>
        <w:t xml:space="preserve"> Parity plot: absorbance of bi-component solution vs sum of absorbance of equimolar single-component solutions at 280 nm</w:t>
      </w:r>
      <w:r w:rsidRPr="00EA515D">
        <w:rPr>
          <w:rFonts w:cs="Arial"/>
          <w:i/>
          <w:iCs/>
          <w:szCs w:val="24"/>
          <w:lang w:eastAsia="it-IT"/>
        </w:rPr>
        <w:t>.</w:t>
      </w:r>
    </w:p>
    <w:p w14:paraId="74062F67" w14:textId="77777777" w:rsidR="00EF0D91" w:rsidRDefault="00EF0D91" w:rsidP="00EF0D91">
      <w:pPr>
        <w:pStyle w:val="CETheadingx"/>
      </w:pPr>
      <w:r>
        <w:t>2,3-DHBD_</w:t>
      </w:r>
      <w:r w:rsidRPr="00970726">
        <w:rPr>
          <w:i/>
          <w:iCs/>
        </w:rPr>
        <w:t>Ao</w:t>
      </w:r>
      <w:r>
        <w:t xml:space="preserve"> activity assay and carboxylation tests</w:t>
      </w:r>
    </w:p>
    <w:p w14:paraId="2C557ECD" w14:textId="77777777" w:rsidR="00EF0D91" w:rsidRDefault="00EF0D91" w:rsidP="00EF0D91">
      <w:pPr>
        <w:pStyle w:val="CETBodytext"/>
      </w:pPr>
      <w:r>
        <w:t>The conditions of the decarboxylation activity assay were selected from the analysis of the literature (see section 1). The decarboxylation reaction was fast enough to assays the activity at 0.05 g L</w:t>
      </w:r>
      <w:r>
        <w:rPr>
          <w:rFonts w:ascii="Cambria Math" w:hAnsi="Cambria Math" w:cs="Cambria Math"/>
        </w:rPr>
        <w:t>⁻</w:t>
      </w:r>
      <w:r>
        <w:rPr>
          <w:rFonts w:cs="Arial"/>
        </w:rPr>
        <w:t xml:space="preserve">¹ </w:t>
      </w:r>
      <w:r>
        <w:t xml:space="preserve">enzyme concentration and 10 mM 2,3-DHBA in solvent D. </w:t>
      </w:r>
      <w:r w:rsidRPr="00D215D7">
        <w:rPr>
          <w:lang w:val="en-GB"/>
        </w:rPr>
        <w:t xml:space="preserve">Reaction progress was followed by collecting samples </w:t>
      </w:r>
      <w:r>
        <w:rPr>
          <w:lang w:val="en-GB"/>
        </w:rPr>
        <w:t xml:space="preserve">from 0 to 30 min; samples </w:t>
      </w:r>
      <w:r w:rsidRPr="00D215D7">
        <w:rPr>
          <w:lang w:val="en-GB"/>
        </w:rPr>
        <w:t xml:space="preserve">were then </w:t>
      </w:r>
      <w:proofErr w:type="spellStart"/>
      <w:r w:rsidRPr="00D215D7">
        <w:rPr>
          <w:lang w:val="en-GB"/>
        </w:rPr>
        <w:t>analyzed</w:t>
      </w:r>
      <w:proofErr w:type="spellEnd"/>
      <w:r w:rsidRPr="00D215D7">
        <w:rPr>
          <w:lang w:val="en-GB"/>
        </w:rPr>
        <w:t xml:space="preserve"> using UV spectro</w:t>
      </w:r>
      <w:r>
        <w:rPr>
          <w:lang w:val="en-GB"/>
        </w:rPr>
        <w:t>scopy according to the developed methods</w:t>
      </w:r>
      <w:r w:rsidRPr="00D215D7">
        <w:rPr>
          <w:lang w:val="en-GB"/>
        </w:rPr>
        <w:t xml:space="preserve">. </w:t>
      </w:r>
      <w:r>
        <w:t xml:space="preserve">Validation of the UV assay was performed by comparison with the substrate and product concentrations assessed through HPLC. </w:t>
      </w:r>
    </w:p>
    <w:p w14:paraId="0EB21336" w14:textId="760A60BC" w:rsidR="000447FE" w:rsidRDefault="000447FE" w:rsidP="000447FE">
      <w:pPr>
        <w:pStyle w:val="CETBodytext"/>
      </w:pPr>
      <w:r>
        <w:t>The relative product concentration increased linearly over 30 min and data from UV measures were fairly confirmed by HPLC analysis (Figure 3). The assessed activity of 0.05 g L</w:t>
      </w:r>
      <w:r>
        <w:rPr>
          <w:rFonts w:ascii="Cambria Math" w:hAnsi="Cambria Math" w:cs="Cambria Math"/>
        </w:rPr>
        <w:t>⁻</w:t>
      </w:r>
      <w:r>
        <w:rPr>
          <w:rFonts w:cs="Arial"/>
        </w:rPr>
        <w:t xml:space="preserve">¹ </w:t>
      </w:r>
      <w:r>
        <w:t>2,3-DHBD_</w:t>
      </w:r>
      <w:r w:rsidRPr="00662078">
        <w:rPr>
          <w:i/>
          <w:iCs/>
        </w:rPr>
        <w:t>Ao</w:t>
      </w:r>
      <w:r w:rsidDel="002D7EAA">
        <w:t xml:space="preserve"> </w:t>
      </w:r>
      <w:r>
        <w:t>was 0.16 and 0.12 mM DHBA/min for initial concentration of substrates 9.8 and 12.9 mM, respectively.</w:t>
      </w:r>
    </w:p>
    <w:p w14:paraId="02AA2525" w14:textId="77777777" w:rsidR="00BA15CF" w:rsidRDefault="00BA15CF" w:rsidP="00BA15CF">
      <w:pPr>
        <w:pStyle w:val="CETBodytext"/>
      </w:pPr>
      <w:r>
        <w:t>The enzymatic carboxylation of catechol catalyzed by 2,3-DHBD_</w:t>
      </w:r>
      <w:r w:rsidRPr="007D4359">
        <w:rPr>
          <w:i/>
          <w:iCs/>
        </w:rPr>
        <w:t>Ao</w:t>
      </w:r>
      <w:r>
        <w:t xml:space="preserve"> was also evaluated using the developed UV–spectroscopic method with 10 mM catechol in 3 M KHCO</w:t>
      </w:r>
      <w:r w:rsidRPr="006868E7">
        <w:rPr>
          <w:vertAlign w:val="subscript"/>
        </w:rPr>
        <w:t>3</w:t>
      </w:r>
      <w:r>
        <w:t xml:space="preserve"> solution.</w:t>
      </w:r>
    </w:p>
    <w:p w14:paraId="36B0AD19" w14:textId="0B1D7E19" w:rsidR="00BA15CF" w:rsidRPr="00460C3D" w:rsidRDefault="00BA15CF" w:rsidP="00BA15CF">
      <w:pPr>
        <w:pStyle w:val="CETBodytext"/>
      </w:pPr>
      <w:r w:rsidRPr="00460C3D">
        <w:t xml:space="preserve">The produced 2,3-DHBA approached 3.3 mM in 24 h </w:t>
      </w:r>
      <w:r>
        <w:t xml:space="preserve">(Figure 4) </w:t>
      </w:r>
      <w:r w:rsidRPr="00460C3D">
        <w:t>and reflected the corresponding rounded theoretical concentration calculated according to the equilibrium constant 1.6 10</w:t>
      </w:r>
      <w:r w:rsidRPr="00460C3D">
        <w:rPr>
          <w:vertAlign w:val="superscript"/>
        </w:rPr>
        <w:t>-4</w:t>
      </w:r>
      <w:r w:rsidRPr="00460C3D">
        <w:t xml:space="preserve"> mM</w:t>
      </w:r>
      <w:r w:rsidRPr="00460C3D">
        <w:rPr>
          <w:vertAlign w:val="superscript"/>
        </w:rPr>
        <w:t>-1</w:t>
      </w:r>
      <w:r w:rsidRPr="00460C3D">
        <w:t xml:space="preserve"> (Pesci et al., 2015) assuming negligible bicarbonate consumption. The catechol theoretical concentration was 6.8 </w:t>
      </w:r>
      <w:proofErr w:type="spellStart"/>
      <w:r w:rsidRPr="00460C3D">
        <w:t>mM.</w:t>
      </w:r>
      <w:proofErr w:type="spellEnd"/>
      <w:r w:rsidRPr="00460C3D">
        <w:t xml:space="preserve"> The measured catechol concentration decreased below the expected minimum value. The </w:t>
      </w:r>
      <w:r w:rsidR="001969C3">
        <w:t xml:space="preserve">time course </w:t>
      </w:r>
      <w:r w:rsidR="00D7016C">
        <w:t xml:space="preserve">of </w:t>
      </w:r>
      <w:r w:rsidR="00D7016C" w:rsidRPr="00460C3D">
        <w:t>catechol concentration</w:t>
      </w:r>
      <w:r w:rsidRPr="00460C3D">
        <w:t xml:space="preserve"> was non monotonic and increased between 6 and 24h up to 5.6 </w:t>
      </w:r>
      <w:proofErr w:type="spellStart"/>
      <w:r w:rsidRPr="00460C3D">
        <w:t>mM.</w:t>
      </w:r>
      <w:proofErr w:type="spellEnd"/>
      <w:r w:rsidRPr="00460C3D">
        <w:t xml:space="preserve"> The data recorded at 24h had a 10% deviation from the stoichiometric equilibrium conversion consistent with the balance closure observed for data in Figure 3 (100 to 91% for UV and 100 to 95% for HPLC measures). The dynamics of catechol consumption </w:t>
      </w:r>
      <w:r w:rsidR="001969C3">
        <w:t xml:space="preserve">assessed </w:t>
      </w:r>
      <w:r w:rsidR="00BF2E42">
        <w:t xml:space="preserve">in </w:t>
      </w:r>
      <w:r w:rsidRPr="00460C3D">
        <w:t xml:space="preserve">carboxylation tests </w:t>
      </w:r>
      <w:r w:rsidR="00BF2E42">
        <w:t>may be affected by undesired oxidation, speciation of catechol deprotonated forms depending on pH, and kinetics of enzyme-substrate complex formation that asks for furt</w:t>
      </w:r>
      <w:r w:rsidR="00970DF2">
        <w:t>her investigation at variable enzyme concentrations</w:t>
      </w:r>
      <w:r>
        <w:t>.</w:t>
      </w:r>
    </w:p>
    <w:p w14:paraId="4CEB8716" w14:textId="77777777" w:rsidR="00BA15CF" w:rsidRPr="000447FE" w:rsidRDefault="00BA15CF" w:rsidP="000447FE">
      <w:pPr>
        <w:pStyle w:val="CETBodytext"/>
      </w:pPr>
    </w:p>
    <w:p w14:paraId="6194435E" w14:textId="6417BCBE" w:rsidR="00662078" w:rsidRDefault="00D93D5E" w:rsidP="00662078">
      <w:pPr>
        <w:pStyle w:val="CETBodytext"/>
      </w:pPr>
      <w:r>
        <w:rPr>
          <w:noProof/>
        </w:rPr>
        <w:lastRenderedPageBreak/>
        <w:drawing>
          <wp:inline distT="0" distB="0" distL="0" distR="0" wp14:anchorId="3CA7FAFE" wp14:editId="51DEE5F8">
            <wp:extent cx="2890800" cy="2160000"/>
            <wp:effectExtent l="0" t="0" r="5080" b="0"/>
            <wp:docPr id="143621792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0800" cy="2160000"/>
                    </a:xfrm>
                    <a:prstGeom prst="rect">
                      <a:avLst/>
                    </a:prstGeom>
                    <a:noFill/>
                  </pic:spPr>
                </pic:pic>
              </a:graphicData>
            </a:graphic>
          </wp:inline>
        </w:drawing>
      </w:r>
    </w:p>
    <w:p w14:paraId="1B5C1888" w14:textId="20754C34" w:rsidR="00406DC9" w:rsidRPr="00406DC9" w:rsidRDefault="00406DC9" w:rsidP="00A14817">
      <w:pPr>
        <w:pStyle w:val="CETBodytext"/>
        <w:spacing w:before="240" w:after="240"/>
        <w:rPr>
          <w:i/>
          <w:iCs/>
        </w:rPr>
      </w:pPr>
      <w:r w:rsidRPr="008F7B5C">
        <w:rPr>
          <w:b/>
          <w:bCs/>
          <w:i/>
          <w:iCs/>
        </w:rPr>
        <w:t>Figure 3.</w:t>
      </w:r>
      <w:r w:rsidRPr="00406DC9">
        <w:rPr>
          <w:i/>
          <w:iCs/>
        </w:rPr>
        <w:t xml:space="preserve"> Time-course of the </w:t>
      </w:r>
      <w:r w:rsidR="000C546D" w:rsidRPr="00406DC9">
        <w:rPr>
          <w:i/>
          <w:iCs/>
        </w:rPr>
        <w:t>relative concentration</w:t>
      </w:r>
      <w:r w:rsidR="000C546D">
        <w:rPr>
          <w:i/>
          <w:iCs/>
        </w:rPr>
        <w:t>s</w:t>
      </w:r>
      <w:r w:rsidR="000C546D" w:rsidRPr="00406DC9">
        <w:rPr>
          <w:i/>
          <w:iCs/>
        </w:rPr>
        <w:t xml:space="preserve"> </w:t>
      </w:r>
      <w:r w:rsidR="000C546D">
        <w:rPr>
          <w:i/>
          <w:iCs/>
        </w:rPr>
        <w:t>(</w:t>
      </w:r>
      <w:r w:rsidR="00612D54">
        <w:rPr>
          <w:i/>
          <w:iCs/>
        </w:rPr>
        <w:t xml:space="preserve">with respect </w:t>
      </w:r>
      <w:r w:rsidR="000C546D">
        <w:rPr>
          <w:i/>
          <w:iCs/>
        </w:rPr>
        <w:t xml:space="preserve">to initial </w:t>
      </w:r>
      <w:r w:rsidR="00612D54">
        <w:rPr>
          <w:i/>
          <w:iCs/>
        </w:rPr>
        <w:t>2,3 DHBA</w:t>
      </w:r>
      <w:r w:rsidR="000C546D">
        <w:rPr>
          <w:i/>
          <w:iCs/>
        </w:rPr>
        <w:t xml:space="preserve"> concentration) during </w:t>
      </w:r>
      <w:r w:rsidRPr="00406DC9">
        <w:rPr>
          <w:i/>
          <w:iCs/>
        </w:rPr>
        <w:t xml:space="preserve">decarboxylation </w:t>
      </w:r>
      <w:r w:rsidR="00EF67D3">
        <w:rPr>
          <w:i/>
          <w:iCs/>
        </w:rPr>
        <w:t xml:space="preserve">assay </w:t>
      </w:r>
      <w:r w:rsidRPr="00406DC9">
        <w:rPr>
          <w:i/>
          <w:iCs/>
        </w:rPr>
        <w:t>catalyzed by 2,3-DHBD_Ao</w:t>
      </w:r>
      <w:r w:rsidR="000C546D">
        <w:rPr>
          <w:i/>
          <w:iCs/>
        </w:rPr>
        <w:t xml:space="preserve"> (solvent D, 30°C)</w:t>
      </w:r>
      <w:r w:rsidRPr="00406DC9">
        <w:rPr>
          <w:i/>
          <w:iCs/>
        </w:rPr>
        <w:t>.</w:t>
      </w:r>
    </w:p>
    <w:p w14:paraId="7E56600B" w14:textId="36763EBD" w:rsidR="008F7B5C" w:rsidRDefault="00CB0CF9" w:rsidP="007D4359">
      <w:pPr>
        <w:pStyle w:val="CETBodytext"/>
      </w:pPr>
      <w:r>
        <w:rPr>
          <w:noProof/>
        </w:rPr>
        <w:drawing>
          <wp:inline distT="0" distB="0" distL="0" distR="0" wp14:anchorId="297AB2D1" wp14:editId="4B495C06">
            <wp:extent cx="2890520" cy="2331064"/>
            <wp:effectExtent l="0" t="0" r="5080" b="0"/>
            <wp:docPr id="137293127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223" cy="2334857"/>
                    </a:xfrm>
                    <a:prstGeom prst="rect">
                      <a:avLst/>
                    </a:prstGeom>
                    <a:noFill/>
                  </pic:spPr>
                </pic:pic>
              </a:graphicData>
            </a:graphic>
          </wp:inline>
        </w:drawing>
      </w:r>
    </w:p>
    <w:p w14:paraId="135D73CA" w14:textId="48D5AABF" w:rsidR="008F7B5C" w:rsidRPr="00460C3D" w:rsidRDefault="008F7B5C" w:rsidP="00A14817">
      <w:pPr>
        <w:pStyle w:val="CETBodytext"/>
        <w:spacing w:before="240" w:after="240"/>
      </w:pPr>
      <w:r w:rsidRPr="008F7B5C">
        <w:rPr>
          <w:b/>
          <w:bCs/>
          <w:i/>
          <w:iCs/>
        </w:rPr>
        <w:t>Figure 4.</w:t>
      </w:r>
      <w:r w:rsidRPr="008F7B5C">
        <w:rPr>
          <w:i/>
          <w:iCs/>
        </w:rPr>
        <w:t xml:space="preserve"> Catechol consumption </w:t>
      </w:r>
      <w:r w:rsidR="00C8752E">
        <w:rPr>
          <w:i/>
          <w:iCs/>
        </w:rPr>
        <w:t xml:space="preserve">and 2,3DHBA production </w:t>
      </w:r>
      <w:r w:rsidRPr="008F7B5C">
        <w:rPr>
          <w:i/>
          <w:iCs/>
        </w:rPr>
        <w:t xml:space="preserve">in carboxylation test with </w:t>
      </w:r>
      <w:r w:rsidRPr="00C8752E">
        <w:t>2,3-DHBD</w:t>
      </w:r>
      <w:r w:rsidRPr="008F7B5C">
        <w:rPr>
          <w:i/>
          <w:iCs/>
        </w:rPr>
        <w:t>_A</w:t>
      </w:r>
      <w:r w:rsidRPr="00460C3D">
        <w:rPr>
          <w:i/>
          <w:iCs/>
        </w:rPr>
        <w:t>o</w:t>
      </w:r>
      <w:r w:rsidR="00FB1924" w:rsidRPr="00460C3D">
        <w:rPr>
          <w:i/>
          <w:iCs/>
        </w:rPr>
        <w:t xml:space="preserve"> (</w:t>
      </w:r>
      <w:r w:rsidR="009E5EFB" w:rsidRPr="00460C3D">
        <w:rPr>
          <w:i/>
          <w:iCs/>
        </w:rPr>
        <w:t>b</w:t>
      </w:r>
      <w:r w:rsidRPr="00460C3D">
        <w:rPr>
          <w:i/>
          <w:iCs/>
        </w:rPr>
        <w:t>atch tests in Solvent C</w:t>
      </w:r>
      <w:r w:rsidR="00FB1924" w:rsidRPr="00460C3D">
        <w:rPr>
          <w:i/>
          <w:iCs/>
        </w:rPr>
        <w:t>, at 30°C)</w:t>
      </w:r>
      <w:r w:rsidRPr="00460C3D">
        <w:rPr>
          <w:i/>
          <w:iCs/>
        </w:rPr>
        <w:t xml:space="preserve">. Samples </w:t>
      </w:r>
      <w:r w:rsidR="00BD71B4" w:rsidRPr="00460C3D">
        <w:rPr>
          <w:i/>
          <w:iCs/>
        </w:rPr>
        <w:t xml:space="preserve">were </w:t>
      </w:r>
      <w:r w:rsidRPr="00460C3D">
        <w:rPr>
          <w:i/>
          <w:iCs/>
        </w:rPr>
        <w:t xml:space="preserve">analyzed </w:t>
      </w:r>
      <w:r w:rsidR="00FB1924" w:rsidRPr="00460C3D">
        <w:rPr>
          <w:i/>
          <w:iCs/>
        </w:rPr>
        <w:t>through</w:t>
      </w:r>
      <w:r w:rsidRPr="00460C3D">
        <w:rPr>
          <w:i/>
          <w:iCs/>
        </w:rPr>
        <w:t xml:space="preserve"> UV method upon 1:20 dilution in QS.</w:t>
      </w:r>
      <w:r w:rsidR="001446EE" w:rsidRPr="00460C3D">
        <w:rPr>
          <w:i/>
          <w:iCs/>
        </w:rPr>
        <w:t xml:space="preserve"> Dashed lines equilibrium concentrations</w:t>
      </w:r>
      <w:r w:rsidR="001446EE" w:rsidRPr="00460C3D">
        <w:t>.</w:t>
      </w:r>
    </w:p>
    <w:p w14:paraId="5BD8E295" w14:textId="15BC68C5" w:rsidR="007D4359" w:rsidRPr="007D4359" w:rsidRDefault="00A91ED8" w:rsidP="007D4359">
      <w:pPr>
        <w:pStyle w:val="CETBodytext"/>
      </w:pPr>
      <w:r w:rsidRPr="00460C3D">
        <w:t>T</w:t>
      </w:r>
      <w:r w:rsidR="00EA4A8C" w:rsidRPr="00460C3D">
        <w:t xml:space="preserve">he </w:t>
      </w:r>
      <w:r w:rsidRPr="00460C3D">
        <w:t xml:space="preserve">rapid and simultaneous assessment of catechol and carboxylic acid concentrations </w:t>
      </w:r>
      <w:r w:rsidR="009D21A8" w:rsidRPr="00460C3D">
        <w:t>wa</w:t>
      </w:r>
      <w:r w:rsidR="00097D2A" w:rsidRPr="00460C3D">
        <w:t xml:space="preserve">s proved and </w:t>
      </w:r>
      <w:r w:rsidR="009D21A8" w:rsidRPr="00460C3D">
        <w:t xml:space="preserve">allows further </w:t>
      </w:r>
      <w:r w:rsidR="00097D2A" w:rsidRPr="00460C3D">
        <w:t>screening of immobiliz</w:t>
      </w:r>
      <w:r w:rsidR="00F774D0" w:rsidRPr="00460C3D">
        <w:t xml:space="preserve">ed </w:t>
      </w:r>
      <w:r w:rsidR="00EA7A9A" w:rsidRPr="00460C3D">
        <w:t xml:space="preserve">DHBDs </w:t>
      </w:r>
      <w:r w:rsidR="00F774D0" w:rsidRPr="00460C3D">
        <w:t xml:space="preserve">activity </w:t>
      </w:r>
      <w:r w:rsidR="00AD0A97" w:rsidRPr="00460C3D">
        <w:t xml:space="preserve">by </w:t>
      </w:r>
      <w:r w:rsidR="00EA7A9A" w:rsidRPr="00460C3D">
        <w:t xml:space="preserve">decarboxylation tests </w:t>
      </w:r>
      <w:r w:rsidR="00C24941" w:rsidRPr="00460C3D">
        <w:t xml:space="preserve">as well as </w:t>
      </w:r>
      <w:r w:rsidR="002E2224">
        <w:t>adjustments for on</w:t>
      </w:r>
      <w:r w:rsidR="00B71227" w:rsidRPr="00460C3D">
        <w:t>-</w:t>
      </w:r>
      <w:r w:rsidR="00C24941" w:rsidRPr="00460C3D">
        <w:t xml:space="preserve">line measurements </w:t>
      </w:r>
      <w:r w:rsidR="00F774D0" w:rsidRPr="00460C3D">
        <w:t xml:space="preserve">of </w:t>
      </w:r>
      <w:r w:rsidR="00C24941" w:rsidRPr="00460C3D">
        <w:t xml:space="preserve">the </w:t>
      </w:r>
      <w:proofErr w:type="gramStart"/>
      <w:r w:rsidR="00C24941" w:rsidRPr="00460C3D">
        <w:t>adsorption</w:t>
      </w:r>
      <w:proofErr w:type="gramEnd"/>
      <w:r w:rsidR="00C24941" w:rsidRPr="00460C3D">
        <w:t xml:space="preserve"> of substrate</w:t>
      </w:r>
      <w:r w:rsidR="00F774D0" w:rsidRPr="00460C3D">
        <w:t>s</w:t>
      </w:r>
      <w:r w:rsidR="00C24941" w:rsidRPr="00460C3D">
        <w:t xml:space="preserve"> and product</w:t>
      </w:r>
      <w:r w:rsidR="00F774D0" w:rsidRPr="00460C3D">
        <w:t>s</w:t>
      </w:r>
      <w:r w:rsidR="00C24941" w:rsidRPr="00460C3D">
        <w:t xml:space="preserve"> on solid surface in case of heterogenous biocatalysts.</w:t>
      </w:r>
      <w:r w:rsidR="00EA7A9A" w:rsidRPr="00460C3D">
        <w:t xml:space="preserve"> </w:t>
      </w:r>
    </w:p>
    <w:p w14:paraId="68D26B83" w14:textId="77777777" w:rsidR="00600535" w:rsidRPr="00B57B36" w:rsidRDefault="00600535" w:rsidP="00600535">
      <w:pPr>
        <w:pStyle w:val="CETHeading1"/>
        <w:rPr>
          <w:lang w:val="en-GB"/>
        </w:rPr>
      </w:pPr>
      <w:r w:rsidRPr="00B57B36">
        <w:rPr>
          <w:lang w:val="en-GB"/>
        </w:rPr>
        <w:t>Conclusions</w:t>
      </w:r>
    </w:p>
    <w:p w14:paraId="0F519F9D" w14:textId="766B1F1C" w:rsidR="00155CBC" w:rsidRDefault="00155CBC" w:rsidP="00155CBC">
      <w:pPr>
        <w:pStyle w:val="CETBodytext"/>
        <w:rPr>
          <w:lang w:val="en-GB"/>
        </w:rPr>
      </w:pPr>
      <w:r w:rsidRPr="00155CBC">
        <w:rPr>
          <w:lang w:val="en-GB"/>
        </w:rPr>
        <w:t>A UV</w:t>
      </w:r>
      <w:r w:rsidR="00CA7330">
        <w:rPr>
          <w:lang w:val="en-GB"/>
        </w:rPr>
        <w:t>-</w:t>
      </w:r>
      <w:r w:rsidRPr="00155CBC">
        <w:rPr>
          <w:lang w:val="en-GB"/>
        </w:rPr>
        <w:t xml:space="preserve">spectroscopic assay was developed for the simultaneous quantification of catechol and 2,3-DHBA in reactions </w:t>
      </w:r>
      <w:proofErr w:type="spellStart"/>
      <w:r w:rsidRPr="00155CBC">
        <w:rPr>
          <w:lang w:val="en-GB"/>
        </w:rPr>
        <w:t>catalyzed</w:t>
      </w:r>
      <w:proofErr w:type="spellEnd"/>
      <w:r w:rsidRPr="00155CBC">
        <w:rPr>
          <w:lang w:val="en-GB"/>
        </w:rPr>
        <w:t xml:space="preserve"> by 2,3-DHBD_</w:t>
      </w:r>
      <w:r w:rsidRPr="00155CBC">
        <w:rPr>
          <w:i/>
          <w:iCs/>
          <w:lang w:val="en-GB"/>
        </w:rPr>
        <w:t>Ao</w:t>
      </w:r>
      <w:r w:rsidRPr="00155CBC">
        <w:rPr>
          <w:lang w:val="en-GB"/>
        </w:rPr>
        <w:t xml:space="preserve">. </w:t>
      </w:r>
      <w:r w:rsidR="000D7AFE">
        <w:rPr>
          <w:lang w:val="en-GB"/>
        </w:rPr>
        <w:t xml:space="preserve">The assessment of catechol and </w:t>
      </w:r>
      <w:r w:rsidR="000D7AFE" w:rsidRPr="00155CBC">
        <w:rPr>
          <w:lang w:val="en-GB"/>
        </w:rPr>
        <w:t xml:space="preserve">2,3-DHBA </w:t>
      </w:r>
      <w:r w:rsidR="000D7AFE">
        <w:rPr>
          <w:lang w:val="en-GB"/>
        </w:rPr>
        <w:t>concentr</w:t>
      </w:r>
      <w:r w:rsidR="0025791C">
        <w:rPr>
          <w:lang w:val="en-GB"/>
        </w:rPr>
        <w:t>a</w:t>
      </w:r>
      <w:r w:rsidR="000D7AFE">
        <w:rPr>
          <w:lang w:val="en-GB"/>
        </w:rPr>
        <w:t xml:space="preserve">tion in bi-component solutions </w:t>
      </w:r>
      <w:r w:rsidR="0025791C">
        <w:rPr>
          <w:lang w:val="en-GB"/>
        </w:rPr>
        <w:t xml:space="preserve">was possible </w:t>
      </w:r>
      <w:r w:rsidR="000B0D0D">
        <w:rPr>
          <w:lang w:val="en-GB"/>
        </w:rPr>
        <w:t>upon</w:t>
      </w:r>
      <w:r w:rsidR="0025791C">
        <w:rPr>
          <w:lang w:val="en-GB"/>
        </w:rPr>
        <w:t xml:space="preserve"> proper dilution of reactive samples in QS and analysis of absorbance </w:t>
      </w:r>
      <w:r w:rsidRPr="00155CBC">
        <w:rPr>
          <w:lang w:val="en-GB"/>
        </w:rPr>
        <w:t xml:space="preserve">at 280 and 320 nm. The </w:t>
      </w:r>
      <w:r w:rsidR="003A3132">
        <w:rPr>
          <w:lang w:val="en-GB"/>
        </w:rPr>
        <w:t xml:space="preserve">enzyme </w:t>
      </w:r>
      <w:r w:rsidR="000B0D0D">
        <w:rPr>
          <w:lang w:val="en-GB"/>
        </w:rPr>
        <w:t xml:space="preserve">activity </w:t>
      </w:r>
      <w:r w:rsidR="003A3132">
        <w:rPr>
          <w:lang w:val="en-GB"/>
        </w:rPr>
        <w:t>can be rapidly assessed by decarboxylation tests</w:t>
      </w:r>
      <w:r w:rsidR="00FB1751">
        <w:rPr>
          <w:lang w:val="en-GB"/>
        </w:rPr>
        <w:t xml:space="preserve">. Linear decrease of substrate concentration was observed for 30 min at the defined conditions and </w:t>
      </w:r>
      <w:r w:rsidRPr="00155CBC">
        <w:rPr>
          <w:lang w:val="en-GB"/>
        </w:rPr>
        <w:t>was validated against HPLC</w:t>
      </w:r>
      <w:r w:rsidR="00FB1751">
        <w:rPr>
          <w:lang w:val="en-GB"/>
        </w:rPr>
        <w:t xml:space="preserve"> data</w:t>
      </w:r>
      <w:r w:rsidRPr="00155CBC">
        <w:rPr>
          <w:lang w:val="en-GB"/>
        </w:rPr>
        <w:t>.</w:t>
      </w:r>
      <w:r w:rsidR="00CA7330">
        <w:rPr>
          <w:lang w:val="en-GB"/>
        </w:rPr>
        <w:t xml:space="preserve"> </w:t>
      </w:r>
      <w:r w:rsidRPr="00155CBC">
        <w:rPr>
          <w:lang w:val="en-GB"/>
        </w:rPr>
        <w:t xml:space="preserve">Application to catechol carboxylation confirmed the </w:t>
      </w:r>
      <w:r w:rsidR="005B75A8">
        <w:rPr>
          <w:lang w:val="en-GB"/>
        </w:rPr>
        <w:t xml:space="preserve">good performance of this method </w:t>
      </w:r>
      <w:r w:rsidR="00CA7330" w:rsidRPr="00155CBC">
        <w:rPr>
          <w:lang w:val="en-GB"/>
        </w:rPr>
        <w:t>and</w:t>
      </w:r>
      <w:r w:rsidRPr="00155CBC">
        <w:rPr>
          <w:lang w:val="en-GB"/>
        </w:rPr>
        <w:t xml:space="preserve"> highlighted its suitability for monitoring both </w:t>
      </w:r>
      <w:r w:rsidR="005B75A8">
        <w:rPr>
          <w:lang w:val="en-GB"/>
        </w:rPr>
        <w:t xml:space="preserve">carboxylation and </w:t>
      </w:r>
      <w:r w:rsidR="00C664DD">
        <w:rPr>
          <w:lang w:val="en-GB"/>
        </w:rPr>
        <w:t>d</w:t>
      </w:r>
      <w:r w:rsidR="005B75A8">
        <w:rPr>
          <w:lang w:val="en-GB"/>
        </w:rPr>
        <w:t>ecarboxy</w:t>
      </w:r>
      <w:r w:rsidR="00C664DD">
        <w:rPr>
          <w:lang w:val="en-GB"/>
        </w:rPr>
        <w:t>lati</w:t>
      </w:r>
      <w:r w:rsidR="005B75A8">
        <w:rPr>
          <w:lang w:val="en-GB"/>
        </w:rPr>
        <w:t>on</w:t>
      </w:r>
      <w:r w:rsidR="00C664DD">
        <w:rPr>
          <w:lang w:val="en-GB"/>
        </w:rPr>
        <w:t xml:space="preserve"> reactions</w:t>
      </w:r>
      <w:r w:rsidRPr="00155CBC">
        <w:rPr>
          <w:lang w:val="en-GB"/>
        </w:rPr>
        <w:t>. This approach provides a rapid, low-cost, and robust tool for screening free and immobilized</w:t>
      </w:r>
      <w:r w:rsidR="00C664DD">
        <w:rPr>
          <w:lang w:val="en-GB"/>
        </w:rPr>
        <w:t xml:space="preserve"> decarboxylases</w:t>
      </w:r>
      <w:r w:rsidRPr="00155CBC">
        <w:rPr>
          <w:lang w:val="en-GB"/>
        </w:rPr>
        <w:t xml:space="preserve">, optimizing reaction conditions, and supporting potential online monitoring of </w:t>
      </w:r>
      <w:r w:rsidR="00DB10AA">
        <w:rPr>
          <w:lang w:val="en-GB"/>
        </w:rPr>
        <w:t>phenols</w:t>
      </w:r>
      <w:r w:rsidRPr="00155CBC">
        <w:rPr>
          <w:lang w:val="en-GB"/>
        </w:rPr>
        <w:t xml:space="preserve"> carboxylation processes. Overall, the method facilitates systematic evaluation and development of 2,3-DHBD_</w:t>
      </w:r>
      <w:r w:rsidRPr="00CA7330">
        <w:rPr>
          <w:i/>
          <w:iCs/>
          <w:lang w:val="en-GB"/>
        </w:rPr>
        <w:t>Ao</w:t>
      </w:r>
      <w:r w:rsidRPr="00155CBC">
        <w:rPr>
          <w:lang w:val="en-GB"/>
        </w:rPr>
        <w:t xml:space="preserve"> as a biocatalyst for CO</w:t>
      </w:r>
      <w:r w:rsidRPr="00155CBC">
        <w:rPr>
          <w:rFonts w:ascii="Cambria Math" w:hAnsi="Cambria Math" w:cs="Cambria Math"/>
          <w:lang w:val="en-GB"/>
        </w:rPr>
        <w:t>₂</w:t>
      </w:r>
      <w:r w:rsidRPr="00155CBC">
        <w:rPr>
          <w:lang w:val="en-GB"/>
        </w:rPr>
        <w:t xml:space="preserve"> fixation into carboxylic acids.</w:t>
      </w:r>
    </w:p>
    <w:p w14:paraId="0178039D" w14:textId="77777777" w:rsidR="005D4E9B" w:rsidRDefault="00280FAF" w:rsidP="005D4E9B">
      <w:pPr>
        <w:pStyle w:val="CETHeadingxx"/>
        <w:rPr>
          <w:lang w:val="en-GB"/>
        </w:rPr>
      </w:pPr>
      <w:r w:rsidRPr="00703C28">
        <w:lastRenderedPageBreak/>
        <w:t>Nomenclature</w:t>
      </w:r>
    </w:p>
    <w:p w14:paraId="0E502614" w14:textId="38B1362C" w:rsidR="00280FAF" w:rsidRPr="005D4E9B" w:rsidRDefault="00703C28" w:rsidP="005D4E9B">
      <w:pPr>
        <w:pStyle w:val="CETBodytext"/>
        <w:jc w:val="left"/>
        <w:rPr>
          <w:lang w:val="en-GB"/>
        </w:rPr>
      </w:pPr>
      <w:r w:rsidRPr="005D4E9B">
        <w:rPr>
          <w:lang w:val="en-GB"/>
        </w:rPr>
        <w:t>2,3-DHBA</w:t>
      </w:r>
      <w:r w:rsidR="00280FAF" w:rsidRPr="005D4E9B">
        <w:rPr>
          <w:lang w:val="en-GB"/>
        </w:rPr>
        <w:t xml:space="preserve"> – </w:t>
      </w:r>
      <w:r w:rsidRPr="005D4E9B">
        <w:rPr>
          <w:lang w:val="en-GB"/>
        </w:rPr>
        <w:t>2,3-dihydroxybenzoic acid</w:t>
      </w:r>
    </w:p>
    <w:p w14:paraId="70091A0A" w14:textId="5CB5F79B" w:rsidR="005575F6" w:rsidRDefault="005575F6" w:rsidP="00280FAF">
      <w:pPr>
        <w:pStyle w:val="CETBodytext"/>
        <w:jc w:val="left"/>
        <w:rPr>
          <w:rFonts w:eastAsia="SimSun"/>
        </w:rPr>
      </w:pPr>
      <w:r w:rsidRPr="005625E3">
        <w:rPr>
          <w:lang w:val="en-GB"/>
        </w:rPr>
        <w:t>2,3</w:t>
      </w:r>
      <w:r>
        <w:rPr>
          <w:lang w:val="en-GB"/>
        </w:rPr>
        <w:t>-</w:t>
      </w:r>
      <w:r w:rsidRPr="005625E3">
        <w:rPr>
          <w:lang w:val="en-GB"/>
        </w:rPr>
        <w:t>DHBD_</w:t>
      </w:r>
      <w:r w:rsidRPr="005625E3">
        <w:rPr>
          <w:i/>
          <w:iCs/>
          <w:lang w:val="en-GB"/>
        </w:rPr>
        <w:t>Ao</w:t>
      </w:r>
      <w:r>
        <w:rPr>
          <w:i/>
          <w:iCs/>
          <w:lang w:val="en-GB"/>
        </w:rPr>
        <w:t xml:space="preserve"> </w:t>
      </w:r>
      <w:r w:rsidRPr="00703C28">
        <w:rPr>
          <w:rFonts w:eastAsia="SimSun"/>
        </w:rPr>
        <w:t>–</w:t>
      </w:r>
      <w:r>
        <w:rPr>
          <w:rFonts w:eastAsia="SimSun"/>
        </w:rPr>
        <w:t xml:space="preserve"> </w:t>
      </w:r>
      <w:r w:rsidRPr="00A62D91">
        <w:t xml:space="preserve">2,3-DHDB from </w:t>
      </w:r>
      <w:r w:rsidRPr="00C67FCA">
        <w:rPr>
          <w:i/>
          <w:iCs/>
        </w:rPr>
        <w:t>Aspergillus oryzae</w:t>
      </w:r>
    </w:p>
    <w:p w14:paraId="084278DE" w14:textId="69314F2F" w:rsidR="00555F1A" w:rsidRDefault="00555F1A" w:rsidP="00703C28">
      <w:pPr>
        <w:pStyle w:val="CETBodytext"/>
        <w:jc w:val="left"/>
      </w:pPr>
      <w:r w:rsidRPr="00555F1A">
        <w:t>ɛ</w:t>
      </w:r>
      <w:r>
        <w:t xml:space="preserve"> </w:t>
      </w:r>
      <w:r w:rsidRPr="00703C28">
        <w:rPr>
          <w:rFonts w:eastAsia="SimSun"/>
        </w:rPr>
        <w:t>–</w:t>
      </w:r>
      <w:r>
        <w:rPr>
          <w:rFonts w:eastAsia="SimSun"/>
        </w:rPr>
        <w:t xml:space="preserve"> </w:t>
      </w:r>
      <w:r w:rsidRPr="00555F1A">
        <w:t>Molar extinction coefficient</w:t>
      </w:r>
      <w:r w:rsidR="00A85732">
        <w:t>s</w:t>
      </w:r>
      <w:r w:rsidR="005D4F94">
        <w:t xml:space="preserve"> (</w:t>
      </w:r>
      <w:r w:rsidR="005D4F94" w:rsidRPr="00555F1A">
        <w:t>mM</w:t>
      </w:r>
      <w:r w:rsidR="005D4F94" w:rsidRPr="00744429">
        <w:rPr>
          <w:vertAlign w:val="superscript"/>
        </w:rPr>
        <w:t>-1</w:t>
      </w:r>
      <w:r w:rsidR="005D4F94" w:rsidRPr="00555F1A">
        <w:t xml:space="preserve"> cm</w:t>
      </w:r>
      <w:r w:rsidR="005D4F94" w:rsidRPr="00EA515D">
        <w:rPr>
          <w:vertAlign w:val="superscript"/>
        </w:rPr>
        <w:t>-1</w:t>
      </w:r>
      <w:r w:rsidR="005D4F94" w:rsidRPr="005D4F94">
        <w:t>)</w:t>
      </w:r>
    </w:p>
    <w:p w14:paraId="0DF0DD9B" w14:textId="1598214E" w:rsidR="00703C28" w:rsidRPr="00703C28" w:rsidRDefault="00703C28" w:rsidP="00703C28">
      <w:pPr>
        <w:pStyle w:val="CETBodytext"/>
        <w:jc w:val="left"/>
        <w:rPr>
          <w:rFonts w:eastAsia="SimSun"/>
        </w:rPr>
      </w:pPr>
      <w:r w:rsidRPr="00703C28">
        <w:t>HPLC</w:t>
      </w:r>
      <w:r w:rsidRPr="00703C28">
        <w:rPr>
          <w:rFonts w:eastAsia="SimSun"/>
        </w:rPr>
        <w:t xml:space="preserve"> – High Performance Liquid Chromatography</w:t>
      </w:r>
    </w:p>
    <w:p w14:paraId="459D05E6" w14:textId="77777777" w:rsidR="00600535" w:rsidRPr="00B57B36" w:rsidRDefault="00600535" w:rsidP="00600535">
      <w:pPr>
        <w:pStyle w:val="CETAcknowledgementstitle"/>
      </w:pPr>
      <w:r w:rsidRPr="00B57B36">
        <w:t>Acknowledgments</w:t>
      </w:r>
    </w:p>
    <w:p w14:paraId="48A5446A" w14:textId="245E6102" w:rsidR="00CC14D3" w:rsidRPr="0054341D" w:rsidRDefault="00124888" w:rsidP="00600535">
      <w:pPr>
        <w:pStyle w:val="CETBodytext"/>
        <w:rPr>
          <w:lang w:val="en-GB"/>
        </w:rPr>
      </w:pPr>
      <w:r w:rsidRPr="004A1046">
        <w:rPr>
          <w:szCs w:val="18"/>
          <w:lang w:val="en-GB"/>
        </w:rPr>
        <w:t xml:space="preserve">Sveva Buonocore is gratefully acknowledged for </w:t>
      </w:r>
      <w:r w:rsidR="00C92D3F">
        <w:rPr>
          <w:szCs w:val="18"/>
          <w:lang w:val="en-GB"/>
        </w:rPr>
        <w:t xml:space="preserve">support in </w:t>
      </w:r>
      <w:r w:rsidRPr="004A1046">
        <w:rPr>
          <w:szCs w:val="18"/>
          <w:lang w:val="en-GB"/>
        </w:rPr>
        <w:t xml:space="preserve">spectroscopic measurements. </w:t>
      </w:r>
      <w:r w:rsidR="00591F94" w:rsidRPr="00591F94">
        <w:rPr>
          <w:szCs w:val="18"/>
          <w:lang w:val="en-GB"/>
        </w:rPr>
        <w:t>M</w:t>
      </w:r>
      <w:r w:rsidR="005F7497">
        <w:rPr>
          <w:szCs w:val="18"/>
          <w:lang w:val="en-GB"/>
        </w:rPr>
        <w:t>.</w:t>
      </w:r>
      <w:r w:rsidR="00591F94" w:rsidRPr="00591F94">
        <w:rPr>
          <w:szCs w:val="18"/>
          <w:lang w:val="en-GB"/>
        </w:rPr>
        <w:t>D</w:t>
      </w:r>
      <w:r w:rsidR="005F7497">
        <w:rPr>
          <w:szCs w:val="18"/>
          <w:lang w:val="en-GB"/>
        </w:rPr>
        <w:t>.</w:t>
      </w:r>
      <w:r w:rsidR="00591F94" w:rsidRPr="00591F94">
        <w:rPr>
          <w:szCs w:val="18"/>
          <w:lang w:val="en-GB"/>
        </w:rPr>
        <w:t>G</w:t>
      </w:r>
      <w:r w:rsidR="005F7497">
        <w:rPr>
          <w:szCs w:val="18"/>
          <w:lang w:val="en-GB"/>
        </w:rPr>
        <w:t>.</w:t>
      </w:r>
      <w:r w:rsidR="00591F94" w:rsidRPr="00591F94">
        <w:rPr>
          <w:szCs w:val="18"/>
          <w:lang w:val="en-GB"/>
        </w:rPr>
        <w:t xml:space="preserve"> is recipient of a fellowship PhD in Biotechnology of the </w:t>
      </w:r>
      <w:r w:rsidR="00591F94" w:rsidRPr="005F7497">
        <w:rPr>
          <w:i/>
          <w:iCs/>
          <w:szCs w:val="18"/>
          <w:lang w:val="en-GB"/>
        </w:rPr>
        <w:t>Universit</w:t>
      </w:r>
      <w:r w:rsidR="005F7497" w:rsidRPr="005F7497">
        <w:rPr>
          <w:i/>
          <w:iCs/>
          <w:szCs w:val="18"/>
          <w:lang w:val="en-GB"/>
        </w:rPr>
        <w:t>à</w:t>
      </w:r>
      <w:r w:rsidR="00591F94" w:rsidRPr="005F7497">
        <w:rPr>
          <w:i/>
          <w:iCs/>
          <w:szCs w:val="18"/>
          <w:lang w:val="en-GB"/>
        </w:rPr>
        <w:t xml:space="preserve"> degli Studi di Napoli Federico II</w:t>
      </w:r>
      <w:r w:rsidR="00591F94" w:rsidRPr="00591F94">
        <w:rPr>
          <w:szCs w:val="18"/>
          <w:lang w:val="en-GB"/>
        </w:rPr>
        <w:t xml:space="preserve">, funded by the </w:t>
      </w:r>
      <w:r w:rsidR="00591F94" w:rsidRPr="005F7497">
        <w:rPr>
          <w:i/>
          <w:iCs/>
          <w:szCs w:val="18"/>
          <w:lang w:val="en-GB"/>
        </w:rPr>
        <w:t xml:space="preserve">Piano Nazionale di </w:t>
      </w:r>
      <w:proofErr w:type="spellStart"/>
      <w:r w:rsidR="00591F94" w:rsidRPr="005F7497">
        <w:rPr>
          <w:i/>
          <w:iCs/>
          <w:szCs w:val="18"/>
          <w:lang w:val="en-GB"/>
        </w:rPr>
        <w:t>Ripresa</w:t>
      </w:r>
      <w:proofErr w:type="spellEnd"/>
      <w:r w:rsidR="00591F94" w:rsidRPr="005F7497">
        <w:rPr>
          <w:i/>
          <w:iCs/>
          <w:szCs w:val="18"/>
          <w:lang w:val="en-GB"/>
        </w:rPr>
        <w:t xml:space="preserve"> e </w:t>
      </w:r>
      <w:proofErr w:type="spellStart"/>
      <w:r w:rsidR="00591F94" w:rsidRPr="005F7497">
        <w:rPr>
          <w:i/>
          <w:iCs/>
          <w:szCs w:val="18"/>
          <w:lang w:val="en-GB"/>
        </w:rPr>
        <w:t>Resilienza</w:t>
      </w:r>
      <w:proofErr w:type="spellEnd"/>
      <w:r w:rsidR="00591F94" w:rsidRPr="00591F94">
        <w:rPr>
          <w:szCs w:val="18"/>
          <w:lang w:val="en-GB"/>
        </w:rPr>
        <w:t xml:space="preserve"> 2022–25, PNRR DM351 – </w:t>
      </w:r>
      <w:r w:rsidR="00591F94" w:rsidRPr="00591F94">
        <w:rPr>
          <w:i/>
          <w:iCs/>
          <w:szCs w:val="18"/>
          <w:lang w:val="en-GB"/>
        </w:rPr>
        <w:t xml:space="preserve">Investimento </w:t>
      </w:r>
      <w:r w:rsidR="00591F94" w:rsidRPr="00591F94">
        <w:rPr>
          <w:szCs w:val="18"/>
          <w:lang w:val="en-GB"/>
        </w:rPr>
        <w:t xml:space="preserve">4.1 Ministry of University and Research of Italy. </w:t>
      </w:r>
      <w:r w:rsidR="000831EC" w:rsidRPr="004A1046">
        <w:rPr>
          <w:szCs w:val="18"/>
          <w:lang w:val="en-GB"/>
        </w:rPr>
        <w:t>T</w:t>
      </w:r>
      <w:r w:rsidR="002B6D0B" w:rsidRPr="004A1046">
        <w:rPr>
          <w:szCs w:val="18"/>
          <w:lang w:val="en-GB"/>
        </w:rPr>
        <w:t xml:space="preserve">he study is </w:t>
      </w:r>
      <w:r w:rsidR="005F7497">
        <w:rPr>
          <w:szCs w:val="18"/>
          <w:lang w:val="en-GB"/>
        </w:rPr>
        <w:t xml:space="preserve">partially </w:t>
      </w:r>
      <w:r w:rsidR="002B6D0B" w:rsidRPr="004A1046">
        <w:rPr>
          <w:szCs w:val="18"/>
          <w:lang w:val="en-GB"/>
        </w:rPr>
        <w:t xml:space="preserve">funded in the framework of the project </w:t>
      </w:r>
      <w:r w:rsidR="007E0B0A" w:rsidRPr="004A1046">
        <w:rPr>
          <w:bCs/>
          <w:szCs w:val="18"/>
        </w:rPr>
        <w:t>PRIN 2022 – 202249PTSY - Enzyme cascade for combined use of CO</w:t>
      </w:r>
      <w:r w:rsidR="007E0B0A" w:rsidRPr="004A1046">
        <w:rPr>
          <w:bCs/>
          <w:szCs w:val="18"/>
          <w:vertAlign w:val="subscript"/>
        </w:rPr>
        <w:t>2</w:t>
      </w:r>
      <w:r w:rsidR="007E0B0A" w:rsidRPr="004A1046">
        <w:rPr>
          <w:bCs/>
          <w:szCs w:val="18"/>
        </w:rPr>
        <w:t xml:space="preserve"> and Lignocellulose derived phenols for Carboxylic Acids production - </w:t>
      </w:r>
      <w:proofErr w:type="spellStart"/>
      <w:r w:rsidR="007E0B0A" w:rsidRPr="004A1046">
        <w:rPr>
          <w:bCs/>
          <w:szCs w:val="18"/>
        </w:rPr>
        <w:t>ELiCA</w:t>
      </w:r>
      <w:proofErr w:type="spellEnd"/>
      <w:r w:rsidR="007E0B0A" w:rsidRPr="004A1046">
        <w:rPr>
          <w:szCs w:val="18"/>
          <w:lang w:val="en-GB"/>
        </w:rPr>
        <w:t xml:space="preserve"> </w:t>
      </w:r>
      <w:r w:rsidR="003C7414" w:rsidRPr="004A1046">
        <w:rPr>
          <w:szCs w:val="18"/>
          <w:lang w:val="en-GB"/>
        </w:rPr>
        <w:t>f</w:t>
      </w:r>
      <w:r w:rsidR="007E0B0A" w:rsidRPr="004A1046">
        <w:rPr>
          <w:szCs w:val="18"/>
          <w:lang w:val="en-GB"/>
        </w:rPr>
        <w:t>u</w:t>
      </w:r>
      <w:r w:rsidR="003C7414" w:rsidRPr="004A1046">
        <w:rPr>
          <w:szCs w:val="18"/>
          <w:lang w:val="en-GB"/>
        </w:rPr>
        <w:t xml:space="preserve">nded by European Union - Next Generation EU, </w:t>
      </w:r>
      <w:proofErr w:type="spellStart"/>
      <w:r w:rsidR="003C7414" w:rsidRPr="004A1046">
        <w:rPr>
          <w:i/>
          <w:iCs/>
          <w:szCs w:val="18"/>
          <w:lang w:val="en-GB"/>
        </w:rPr>
        <w:t>Missione</w:t>
      </w:r>
      <w:proofErr w:type="spellEnd"/>
      <w:r w:rsidR="003C7414" w:rsidRPr="004A1046">
        <w:rPr>
          <w:i/>
          <w:iCs/>
          <w:szCs w:val="18"/>
          <w:lang w:val="en-GB"/>
        </w:rPr>
        <w:t xml:space="preserve"> 4 </w:t>
      </w:r>
      <w:proofErr w:type="spellStart"/>
      <w:r w:rsidR="003C7414" w:rsidRPr="004A1046">
        <w:rPr>
          <w:i/>
          <w:iCs/>
          <w:szCs w:val="18"/>
          <w:lang w:val="en-GB"/>
        </w:rPr>
        <w:t>Componente</w:t>
      </w:r>
      <w:proofErr w:type="spellEnd"/>
      <w:r w:rsidR="003C7414" w:rsidRPr="004A1046">
        <w:rPr>
          <w:i/>
          <w:iCs/>
          <w:szCs w:val="18"/>
          <w:lang w:val="en-GB"/>
        </w:rPr>
        <w:t xml:space="preserve"> 1</w:t>
      </w:r>
      <w:r w:rsidR="003C7414" w:rsidRPr="004A1046">
        <w:rPr>
          <w:szCs w:val="18"/>
          <w:lang w:val="en-GB"/>
        </w:rPr>
        <w:t xml:space="preserve"> </w:t>
      </w:r>
      <w:r w:rsidR="007916C4" w:rsidRPr="004A1046">
        <w:rPr>
          <w:rFonts w:cs="Arial"/>
          <w:i/>
          <w:iCs/>
          <w:szCs w:val="18"/>
          <w:lang w:val="en-GB"/>
        </w:rPr>
        <w:t xml:space="preserve">CUP </w:t>
      </w:r>
      <w:r w:rsidR="007916C4" w:rsidRPr="004A1046">
        <w:rPr>
          <w:rFonts w:eastAsiaTheme="minorHAnsi" w:cs="Arial"/>
          <w:szCs w:val="18"/>
          <w:lang w:val="en-GB"/>
        </w:rPr>
        <w:t>B</w:t>
      </w:r>
      <w:r w:rsidR="0054341D" w:rsidRPr="004A1046">
        <w:rPr>
          <w:szCs w:val="18"/>
          <w:lang w:val="en-GB"/>
        </w:rPr>
        <w:t>53C24006760006.</w:t>
      </w:r>
      <w:r w:rsidR="00745DA1" w:rsidRPr="004A1046">
        <w:rPr>
          <w:szCs w:val="18"/>
          <w:lang w:val="en-GB"/>
        </w:rPr>
        <w:t xml:space="preserve"> </w:t>
      </w:r>
    </w:p>
    <w:p w14:paraId="428B022A" w14:textId="2A15471C" w:rsidR="00E65B91" w:rsidRDefault="00600535" w:rsidP="00DF437C">
      <w:pPr>
        <w:pStyle w:val="CETReference"/>
      </w:pPr>
      <w:r w:rsidRPr="002B6D0B">
        <w:t>References</w:t>
      </w:r>
    </w:p>
    <w:p w14:paraId="1E9B7B08" w14:textId="5D3B312A" w:rsidR="003D68DB" w:rsidRDefault="008D00F6" w:rsidP="003D68DB">
      <w:pPr>
        <w:pStyle w:val="CETReferencetext"/>
        <w:rPr>
          <w:lang w:val="en-US"/>
        </w:rPr>
      </w:pPr>
      <w:r w:rsidRPr="008D00F6">
        <w:t xml:space="preserve">Hofer G., Sheng X., Braeuer S., Payer S. E., Plasch K., </w:t>
      </w:r>
      <w:proofErr w:type="spellStart"/>
      <w:r w:rsidRPr="008D00F6">
        <w:t>Goessler</w:t>
      </w:r>
      <w:proofErr w:type="spellEnd"/>
      <w:r w:rsidRPr="008D00F6">
        <w:t xml:space="preserve"> W., Faber K., Keller W., </w:t>
      </w:r>
      <w:proofErr w:type="spellStart"/>
      <w:r w:rsidRPr="008D00F6">
        <w:t>Himo</w:t>
      </w:r>
      <w:proofErr w:type="spellEnd"/>
      <w:r w:rsidRPr="008D00F6">
        <w:t xml:space="preserve"> F., Glueck S. M.</w:t>
      </w:r>
      <w:r w:rsidR="00744E24">
        <w:t>,</w:t>
      </w:r>
      <w:r w:rsidRPr="008D00F6">
        <w:t xml:space="preserve"> 2021. Metal Ion Promiscuity and Structure of 2,3-Dihydroxybenzoic Acid Decarboxylase of </w:t>
      </w:r>
      <w:r w:rsidRPr="00AA18EE">
        <w:rPr>
          <w:i/>
          <w:iCs/>
        </w:rPr>
        <w:t>Aspergillus oryzae</w:t>
      </w:r>
      <w:r w:rsidRPr="008D00F6">
        <w:t xml:space="preserve">. </w:t>
      </w:r>
      <w:proofErr w:type="spellStart"/>
      <w:r w:rsidRPr="00744E24">
        <w:t>ChemBioChem</w:t>
      </w:r>
      <w:proofErr w:type="spellEnd"/>
      <w:r w:rsidR="00F709E2">
        <w:t>,</w:t>
      </w:r>
      <w:r w:rsidR="00F7383F">
        <w:t xml:space="preserve"> </w:t>
      </w:r>
      <w:r w:rsidR="00F7383F" w:rsidRPr="00F7383F">
        <w:t>22, 652–656</w:t>
      </w:r>
      <w:r w:rsidR="00744E24">
        <w:t>.</w:t>
      </w:r>
    </w:p>
    <w:p w14:paraId="31A559B9" w14:textId="7A54F0F9" w:rsidR="0044367D" w:rsidRPr="00AA18EE" w:rsidRDefault="0044367D" w:rsidP="00FA2112">
      <w:pPr>
        <w:pStyle w:val="CETReferencetext"/>
      </w:pPr>
      <w:r w:rsidRPr="00D549A7">
        <w:rPr>
          <w:lang w:val="en-US"/>
        </w:rPr>
        <w:t>Kamath A. V</w:t>
      </w:r>
      <w:r w:rsidR="003B53A8">
        <w:rPr>
          <w:lang w:val="en-US"/>
        </w:rPr>
        <w:t>.</w:t>
      </w:r>
      <w:r w:rsidRPr="00D549A7">
        <w:rPr>
          <w:lang w:val="en-US"/>
        </w:rPr>
        <w:t>, Dasgupta D., Vaidyanathan C.S.</w:t>
      </w:r>
      <w:r w:rsidR="00744E24">
        <w:rPr>
          <w:lang w:val="en-US"/>
        </w:rPr>
        <w:t>,</w:t>
      </w:r>
      <w:r w:rsidRPr="00D549A7">
        <w:rPr>
          <w:lang w:val="en-US"/>
        </w:rPr>
        <w:t xml:space="preserve"> 1987</w:t>
      </w:r>
      <w:r w:rsidR="00E326E1">
        <w:rPr>
          <w:lang w:val="en-US"/>
        </w:rPr>
        <w:t>.</w:t>
      </w:r>
      <w:r w:rsidR="00051154" w:rsidRPr="00D549A7">
        <w:rPr>
          <w:lang w:val="en-US"/>
        </w:rPr>
        <w:t xml:space="preserve"> </w:t>
      </w:r>
      <w:r w:rsidRPr="00D549A7">
        <w:rPr>
          <w:lang w:val="en-US"/>
        </w:rPr>
        <w:t>Enzyme-</w:t>
      </w:r>
      <w:proofErr w:type="spellStart"/>
      <w:r w:rsidRPr="00D549A7">
        <w:rPr>
          <w:lang w:val="en-US"/>
        </w:rPr>
        <w:t>catalysed</w:t>
      </w:r>
      <w:proofErr w:type="spellEnd"/>
      <w:r w:rsidRPr="00D549A7">
        <w:rPr>
          <w:lang w:val="en-US"/>
        </w:rPr>
        <w:t xml:space="preserve"> non-oxidative decarboxylation of aromatic acids: I.</w:t>
      </w:r>
      <w:r w:rsidR="00573744">
        <w:rPr>
          <w:lang w:val="en-US"/>
        </w:rPr>
        <w:t xml:space="preserve"> </w:t>
      </w:r>
      <w:r w:rsidRPr="00D549A7">
        <w:rPr>
          <w:lang w:val="en-US"/>
        </w:rPr>
        <w:t xml:space="preserve">Purification and spectroscopic properties of 2,3 dihydroxybenzoic acid decarboxylase from </w:t>
      </w:r>
      <w:r w:rsidRPr="00BC31D3">
        <w:rPr>
          <w:i/>
          <w:iCs/>
          <w:lang w:val="en-US"/>
        </w:rPr>
        <w:t xml:space="preserve">Aspergillus </w:t>
      </w:r>
      <w:proofErr w:type="spellStart"/>
      <w:r w:rsidRPr="00BC31D3">
        <w:rPr>
          <w:i/>
          <w:iCs/>
          <w:lang w:val="en-US"/>
        </w:rPr>
        <w:t>niger</w:t>
      </w:r>
      <w:proofErr w:type="spellEnd"/>
      <w:r w:rsidRPr="00744E24">
        <w:rPr>
          <w:lang w:val="en-US"/>
        </w:rPr>
        <w:t xml:space="preserve">. </w:t>
      </w:r>
      <w:r w:rsidRPr="00744E24">
        <w:t>Biochem</w:t>
      </w:r>
      <w:r w:rsidR="00051154" w:rsidRPr="00744E24">
        <w:t xml:space="preserve">ical and </w:t>
      </w:r>
      <w:r w:rsidRPr="00744E24">
        <w:t>Biophys</w:t>
      </w:r>
      <w:r w:rsidR="00051154" w:rsidRPr="00744E24">
        <w:t>ical</w:t>
      </w:r>
      <w:r w:rsidRPr="00744E24">
        <w:t xml:space="preserve"> Res</w:t>
      </w:r>
      <w:r w:rsidR="00051154" w:rsidRPr="00744E24">
        <w:t>earch</w:t>
      </w:r>
      <w:r w:rsidRPr="00744E24">
        <w:t xml:space="preserve"> Commun</w:t>
      </w:r>
      <w:r w:rsidR="00051154" w:rsidRPr="00744E24">
        <w:t>ication</w:t>
      </w:r>
      <w:r w:rsidR="00E326E1" w:rsidRPr="00E326E1">
        <w:t>,</w:t>
      </w:r>
      <w:r w:rsidRPr="00AA18EE">
        <w:t xml:space="preserve"> 145, 586–595</w:t>
      </w:r>
      <w:r w:rsidR="00744E24">
        <w:t>.</w:t>
      </w:r>
      <w:r w:rsidRPr="00AA18EE">
        <w:t xml:space="preserve"> </w:t>
      </w:r>
    </w:p>
    <w:p w14:paraId="4BBCA768" w14:textId="50D9BE02" w:rsidR="00CA5E48" w:rsidRDefault="00CA5E48" w:rsidP="00FA2112">
      <w:pPr>
        <w:pStyle w:val="CETReferencetext"/>
      </w:pPr>
      <w:r w:rsidRPr="00FE7DF6">
        <w:rPr>
          <w:lang w:val="en-US"/>
        </w:rPr>
        <w:t>Marra L., Knuutila H., Russo M.E.</w:t>
      </w:r>
      <w:r w:rsidR="00744E24" w:rsidRPr="00FE7DF6">
        <w:rPr>
          <w:lang w:val="en-US"/>
        </w:rPr>
        <w:t>,</w:t>
      </w:r>
      <w:r w:rsidRPr="00FE7DF6">
        <w:rPr>
          <w:lang w:val="en-US"/>
        </w:rPr>
        <w:t xml:space="preserve"> 2022</w:t>
      </w:r>
      <w:r w:rsidR="00E326E1" w:rsidRPr="00FE7DF6">
        <w:rPr>
          <w:lang w:val="en-US"/>
        </w:rPr>
        <w:t>.</w:t>
      </w:r>
      <w:r w:rsidRPr="00FE7DF6">
        <w:rPr>
          <w:lang w:val="en-US"/>
        </w:rPr>
        <w:t xml:space="preserve"> </w:t>
      </w:r>
      <w:r w:rsidRPr="006868E7">
        <w:t>A novel CO</w:t>
      </w:r>
      <w:r w:rsidRPr="006868E7">
        <w:rPr>
          <w:vertAlign w:val="subscript"/>
        </w:rPr>
        <w:t>2</w:t>
      </w:r>
      <w:r w:rsidRPr="006868E7">
        <w:t xml:space="preserve"> capture and utilization strategy by enzyme catalysis: preliminary assessment of process layout. </w:t>
      </w:r>
      <w:r w:rsidRPr="00744E24">
        <w:t>Chemical Engineering Transactions</w:t>
      </w:r>
      <w:r w:rsidR="00E326E1">
        <w:rPr>
          <w:i/>
          <w:iCs/>
        </w:rPr>
        <w:t>,</w:t>
      </w:r>
      <w:r w:rsidRPr="006868E7">
        <w:t xml:space="preserve"> 93, 31–36</w:t>
      </w:r>
      <w:r w:rsidR="00744E24">
        <w:t>.</w:t>
      </w:r>
    </w:p>
    <w:p w14:paraId="1D477DA9" w14:textId="381BD727" w:rsidR="003B53A8" w:rsidRDefault="003B53A8" w:rsidP="003B53A8">
      <w:pPr>
        <w:pStyle w:val="CETReferencetext"/>
        <w:rPr>
          <w:lang w:val="en-US"/>
        </w:rPr>
      </w:pPr>
      <w:r w:rsidRPr="00C35DA2">
        <w:rPr>
          <w:lang w:val="en-US"/>
        </w:rPr>
        <w:t>Marra L., Russo M.E., Knuutila H.K., Marzocchella A., Salatino P.</w:t>
      </w:r>
      <w:r w:rsidR="00744E24">
        <w:rPr>
          <w:lang w:val="en-US"/>
        </w:rPr>
        <w:t>,</w:t>
      </w:r>
      <w:r w:rsidR="00E326E1" w:rsidRPr="00C35DA2">
        <w:rPr>
          <w:lang w:val="en-US"/>
        </w:rPr>
        <w:t xml:space="preserve"> </w:t>
      </w:r>
      <w:r w:rsidRPr="00C35DA2">
        <w:rPr>
          <w:lang w:val="en-US"/>
        </w:rPr>
        <w:t>2024</w:t>
      </w:r>
      <w:r w:rsidR="00E326E1" w:rsidRPr="00C35DA2">
        <w:rPr>
          <w:lang w:val="en-US"/>
        </w:rPr>
        <w:t>.</w:t>
      </w:r>
      <w:r w:rsidRPr="00C35DA2">
        <w:rPr>
          <w:lang w:val="en-US"/>
        </w:rPr>
        <w:t xml:space="preserve"> </w:t>
      </w:r>
      <w:r w:rsidRPr="00D549A7">
        <w:rPr>
          <w:lang w:val="en-US"/>
        </w:rPr>
        <w:t>CO</w:t>
      </w:r>
      <w:r w:rsidRPr="00575E71">
        <w:rPr>
          <w:vertAlign w:val="subscript"/>
          <w:lang w:val="en-US"/>
        </w:rPr>
        <w:t>2</w:t>
      </w:r>
      <w:r w:rsidRPr="00D549A7">
        <w:rPr>
          <w:lang w:val="en-US"/>
        </w:rPr>
        <w:t xml:space="preserve"> capture and utilization by biocatalytic synthesis of carboxylic acids: a process design study. </w:t>
      </w:r>
      <w:r w:rsidRPr="00744E24">
        <w:rPr>
          <w:lang w:val="en-US"/>
        </w:rPr>
        <w:t>Chemical Engineering Science</w:t>
      </w:r>
      <w:r w:rsidR="00E326E1" w:rsidRPr="00E326E1">
        <w:rPr>
          <w:lang w:val="en-US"/>
        </w:rPr>
        <w:t>,</w:t>
      </w:r>
      <w:r w:rsidRPr="00D549A7">
        <w:rPr>
          <w:lang w:val="en-US"/>
        </w:rPr>
        <w:t xml:space="preserve"> 285</w:t>
      </w:r>
      <w:r w:rsidR="00ED1D07">
        <w:rPr>
          <w:lang w:val="en-US"/>
        </w:rPr>
        <w:t>, 119618.</w:t>
      </w:r>
    </w:p>
    <w:p w14:paraId="70C198E9" w14:textId="664400B2" w:rsidR="008D00F6" w:rsidRDefault="001472DC" w:rsidP="00FA2112">
      <w:pPr>
        <w:pStyle w:val="CETReferencetext"/>
      </w:pPr>
      <w:r w:rsidRPr="00ED1D07">
        <w:rPr>
          <w:lang w:val="en-US"/>
        </w:rPr>
        <w:t xml:space="preserve">Pesci L., Glueck S. M., </w:t>
      </w:r>
      <w:proofErr w:type="spellStart"/>
      <w:r w:rsidRPr="00ED1D07">
        <w:rPr>
          <w:lang w:val="en-US"/>
        </w:rPr>
        <w:t>Gurikov</w:t>
      </w:r>
      <w:proofErr w:type="spellEnd"/>
      <w:r w:rsidRPr="00ED1D07">
        <w:rPr>
          <w:lang w:val="en-US"/>
        </w:rPr>
        <w:t xml:space="preserve"> P., Smirnova I., Faber K., Liese A.</w:t>
      </w:r>
      <w:r w:rsidR="00ED1D07">
        <w:rPr>
          <w:lang w:val="en-US"/>
        </w:rPr>
        <w:t>,</w:t>
      </w:r>
      <w:r w:rsidR="00B968B7" w:rsidRPr="00ED1D07">
        <w:rPr>
          <w:lang w:val="en-US"/>
        </w:rPr>
        <w:t xml:space="preserve"> </w:t>
      </w:r>
      <w:r w:rsidRPr="00ED1D07">
        <w:rPr>
          <w:lang w:val="en-US"/>
        </w:rPr>
        <w:t>2015</w:t>
      </w:r>
      <w:r w:rsidR="00E326E1" w:rsidRPr="00ED1D07">
        <w:rPr>
          <w:lang w:val="en-US"/>
        </w:rPr>
        <w:t>.</w:t>
      </w:r>
      <w:r w:rsidRPr="00ED1D07">
        <w:rPr>
          <w:lang w:val="en-US"/>
        </w:rPr>
        <w:t xml:space="preserve"> </w:t>
      </w:r>
      <w:r w:rsidRPr="008D00F6">
        <w:t xml:space="preserve">Biocatalytic carboxylation of phenol derivatives: kinetics and thermodynamics of the biological Kolbe-Schmitt synthesis. </w:t>
      </w:r>
      <w:r w:rsidRPr="00ED1D07">
        <w:t>The FEBS Journal,</w:t>
      </w:r>
      <w:r w:rsidRPr="008D00F6">
        <w:t xml:space="preserve"> 282(7), 1334–1345.</w:t>
      </w:r>
    </w:p>
    <w:p w14:paraId="17DDE83D" w14:textId="18EA20B1" w:rsidR="001D5D5B" w:rsidRPr="00FE7DF6" w:rsidRDefault="001D5D5B" w:rsidP="00FA2112">
      <w:pPr>
        <w:pStyle w:val="CETReferencetext"/>
        <w:rPr>
          <w:lang w:val="en-US"/>
        </w:rPr>
      </w:pPr>
      <w:r w:rsidRPr="001D5D5B">
        <w:t>Ren J., Yao, P. Yu S., Dong W., Chen Q., Feng J., Wu Q., Zhu D.</w:t>
      </w:r>
      <w:r w:rsidR="00ED1D07">
        <w:t xml:space="preserve">, </w:t>
      </w:r>
      <w:r w:rsidRPr="001D5D5B">
        <w:t>2016</w:t>
      </w:r>
      <w:r w:rsidR="00E326E1">
        <w:t>.</w:t>
      </w:r>
      <w:r w:rsidRPr="001D5D5B">
        <w:t xml:space="preserve"> An Unprecedented Effective Enzymatic Carboxylation of Phenols. </w:t>
      </w:r>
      <w:r w:rsidRPr="00FE7DF6">
        <w:rPr>
          <w:lang w:val="en-US"/>
        </w:rPr>
        <w:t>ACS Catalysis, 6(2), 564–567</w:t>
      </w:r>
      <w:r w:rsidR="00ED1D07" w:rsidRPr="00FE7DF6">
        <w:rPr>
          <w:lang w:val="en-US"/>
        </w:rPr>
        <w:t xml:space="preserve">. </w:t>
      </w:r>
    </w:p>
    <w:p w14:paraId="78F42D93" w14:textId="63F5BB2A" w:rsidR="00FB1782" w:rsidRPr="00042AB8" w:rsidRDefault="00FB1782" w:rsidP="00FA2112">
      <w:pPr>
        <w:pStyle w:val="CETReferencetext"/>
      </w:pPr>
      <w:r w:rsidRPr="00FE7DF6">
        <w:rPr>
          <w:lang w:val="en-US"/>
        </w:rPr>
        <w:t>Russo M.E., Capasso C., Marzocchella A.</w:t>
      </w:r>
      <w:r w:rsidRPr="00FE7DF6">
        <w:rPr>
          <w:i/>
          <w:iCs/>
          <w:lang w:val="en-US"/>
        </w:rPr>
        <w:t xml:space="preserve">, </w:t>
      </w:r>
      <w:r w:rsidRPr="00FE7DF6">
        <w:rPr>
          <w:lang w:val="en-US"/>
        </w:rPr>
        <w:t>Salatino P.</w:t>
      </w:r>
      <w:r w:rsidR="00C91257" w:rsidRPr="00FE7DF6">
        <w:rPr>
          <w:lang w:val="en-US"/>
        </w:rPr>
        <w:t xml:space="preserve">, </w:t>
      </w:r>
      <w:r w:rsidR="00FA6FDF" w:rsidRPr="00FE7DF6">
        <w:rPr>
          <w:lang w:val="en-US"/>
        </w:rPr>
        <w:t>2022</w:t>
      </w:r>
      <w:r w:rsidR="00E326E1" w:rsidRPr="00FE7DF6">
        <w:rPr>
          <w:lang w:val="en-US"/>
        </w:rPr>
        <w:t>.</w:t>
      </w:r>
      <w:r w:rsidR="00FA6FDF" w:rsidRPr="00FE7DF6">
        <w:rPr>
          <w:lang w:val="en-US"/>
        </w:rPr>
        <w:t xml:space="preserve"> </w:t>
      </w:r>
      <w:r w:rsidRPr="00FB1782">
        <w:t>Immobilization of carbonic anhydrase for CO</w:t>
      </w:r>
      <w:r w:rsidRPr="00FB1782">
        <w:rPr>
          <w:vertAlign w:val="subscript"/>
        </w:rPr>
        <w:t>2</w:t>
      </w:r>
      <w:r w:rsidRPr="00FB1782">
        <w:t> capture and utilization. </w:t>
      </w:r>
      <w:r w:rsidRPr="00C91257">
        <w:t>Appl</w:t>
      </w:r>
      <w:r w:rsidR="0090579E" w:rsidRPr="00C91257">
        <w:t>ied</w:t>
      </w:r>
      <w:r w:rsidRPr="00C91257">
        <w:t xml:space="preserve"> Microbiol</w:t>
      </w:r>
      <w:r w:rsidR="0090579E" w:rsidRPr="00C91257">
        <w:t>ogy and</w:t>
      </w:r>
      <w:r w:rsidRPr="00C91257">
        <w:t xml:space="preserve"> Biotechnol</w:t>
      </w:r>
      <w:r w:rsidR="0090579E" w:rsidRPr="00C91257">
        <w:t>ogy</w:t>
      </w:r>
      <w:r w:rsidR="00E326E1">
        <w:rPr>
          <w:i/>
          <w:iCs/>
        </w:rPr>
        <w:t>,</w:t>
      </w:r>
      <w:r w:rsidRPr="00FB1782">
        <w:t> </w:t>
      </w:r>
      <w:r w:rsidRPr="006868E7">
        <w:t>106</w:t>
      </w:r>
      <w:r w:rsidRPr="00FB1782">
        <w:t>, 3419–3430.</w:t>
      </w:r>
    </w:p>
    <w:p w14:paraId="61F86147" w14:textId="421C38F8" w:rsidR="0044367D" w:rsidRDefault="0044367D" w:rsidP="00FA2112">
      <w:pPr>
        <w:pStyle w:val="CETReferencetext"/>
      </w:pPr>
      <w:r w:rsidRPr="0044367D">
        <w:t>Santha R., Rao N.A., Vaidyanathan C.S.</w:t>
      </w:r>
      <w:r w:rsidR="00C91257">
        <w:t xml:space="preserve">, </w:t>
      </w:r>
      <w:r w:rsidRPr="0044367D">
        <w:t>1996</w:t>
      </w:r>
      <w:r w:rsidR="00E326E1">
        <w:t>).</w:t>
      </w:r>
      <w:r w:rsidRPr="0044367D">
        <w:t xml:space="preserve"> Identification of the active-site peptide of 2,3-dihydroxybenzoic acid decarboxylase from </w:t>
      </w:r>
      <w:r w:rsidRPr="00AA18EE">
        <w:rPr>
          <w:i/>
          <w:iCs/>
        </w:rPr>
        <w:t>Aspergillus oryzae</w:t>
      </w:r>
      <w:r w:rsidR="00E326E1">
        <w:t>.</w:t>
      </w:r>
      <w:r w:rsidRPr="0044367D">
        <w:t xml:space="preserve"> </w:t>
      </w:r>
      <w:proofErr w:type="spellStart"/>
      <w:r w:rsidRPr="00B269E8">
        <w:t>Biochimica</w:t>
      </w:r>
      <w:proofErr w:type="spellEnd"/>
      <w:r w:rsidRPr="00B269E8">
        <w:t xml:space="preserve"> et </w:t>
      </w:r>
      <w:proofErr w:type="spellStart"/>
      <w:r w:rsidRPr="00B269E8">
        <w:t>Biophysica</w:t>
      </w:r>
      <w:proofErr w:type="spellEnd"/>
      <w:r w:rsidRPr="00B269E8">
        <w:t xml:space="preserve"> Acta</w:t>
      </w:r>
      <w:r w:rsidR="00E326E1" w:rsidRPr="00B269E8">
        <w:t>,</w:t>
      </w:r>
      <w:r w:rsidRPr="0044367D">
        <w:t xml:space="preserve"> 1293, 191–200</w:t>
      </w:r>
      <w:r w:rsidR="00B269E8">
        <w:t>.</w:t>
      </w:r>
    </w:p>
    <w:p w14:paraId="7719C306" w14:textId="22B93C44" w:rsidR="00F27809" w:rsidRDefault="00F27809" w:rsidP="00F27809">
      <w:pPr>
        <w:pStyle w:val="CETReferencetext"/>
      </w:pPr>
      <w:r w:rsidRPr="006868E7">
        <w:t>Tommasi I</w:t>
      </w:r>
      <w:r>
        <w:t>.</w:t>
      </w:r>
      <w:r w:rsidRPr="006868E7">
        <w:t>C</w:t>
      </w:r>
      <w:r>
        <w:t>.</w:t>
      </w:r>
      <w:r w:rsidR="00B269E8">
        <w:t xml:space="preserve">, </w:t>
      </w:r>
      <w:r w:rsidRPr="006868E7">
        <w:t>2019</w:t>
      </w:r>
      <w:r w:rsidR="00E326E1">
        <w:t>.</w:t>
      </w:r>
      <w:r w:rsidRPr="006868E7">
        <w:t xml:space="preserve"> Carboxylation of </w:t>
      </w:r>
      <w:proofErr w:type="spellStart"/>
      <w:r w:rsidRPr="006868E7">
        <w:t>hydroxyaromatic</w:t>
      </w:r>
      <w:proofErr w:type="spellEnd"/>
      <w:r w:rsidRPr="006868E7">
        <w:t xml:space="preserve"> compounds</w:t>
      </w:r>
      <w:r>
        <w:t xml:space="preserve"> </w:t>
      </w:r>
      <w:r w:rsidRPr="006868E7">
        <w:t>with HCO</w:t>
      </w:r>
      <w:r w:rsidRPr="006868E7">
        <w:rPr>
          <w:vertAlign w:val="subscript"/>
        </w:rPr>
        <w:t>3</w:t>
      </w:r>
      <w:r w:rsidR="00A81CE4" w:rsidRPr="00A81CE4">
        <w:rPr>
          <w:vertAlign w:val="superscript"/>
        </w:rPr>
        <w:t>-</w:t>
      </w:r>
      <w:r w:rsidRPr="006868E7">
        <w:t xml:space="preserve"> by enzyme catalysis: recent advances open the perspective</w:t>
      </w:r>
      <w:r>
        <w:t xml:space="preserve"> </w:t>
      </w:r>
      <w:r w:rsidRPr="006868E7">
        <w:t xml:space="preserve">for </w:t>
      </w:r>
      <w:proofErr w:type="spellStart"/>
      <w:r w:rsidRPr="006868E7">
        <w:t>valorization</w:t>
      </w:r>
      <w:proofErr w:type="spellEnd"/>
      <w:r w:rsidRPr="006868E7">
        <w:t xml:space="preserve"> of lignin-derived aromatics. </w:t>
      </w:r>
      <w:r w:rsidRPr="00B269E8">
        <w:t>Catalysts</w:t>
      </w:r>
      <w:r w:rsidR="00E326E1">
        <w:rPr>
          <w:i/>
          <w:iCs/>
        </w:rPr>
        <w:t>,</w:t>
      </w:r>
      <w:r w:rsidRPr="006868E7">
        <w:t xml:space="preserve"> 9(1</w:t>
      </w:r>
      <w:r w:rsidR="0090579E" w:rsidRPr="006868E7">
        <w:t>)</w:t>
      </w:r>
      <w:r w:rsidR="0090579E">
        <w:t xml:space="preserve">, </w:t>
      </w:r>
      <w:r w:rsidRPr="006868E7">
        <w:t>37.</w:t>
      </w:r>
    </w:p>
    <w:p w14:paraId="0C895768" w14:textId="5B140030" w:rsidR="00224173" w:rsidRDefault="00490873" w:rsidP="00224173">
      <w:pPr>
        <w:pStyle w:val="CETReferencetext"/>
      </w:pPr>
      <w:r w:rsidRPr="00E326E1">
        <w:rPr>
          <w:lang w:val="es-ES"/>
        </w:rPr>
        <w:t xml:space="preserve">Yoshida M, Fukuhara N, Oikawa </w:t>
      </w:r>
      <w:r w:rsidR="00F7383F" w:rsidRPr="00E326E1">
        <w:rPr>
          <w:lang w:val="es-ES"/>
        </w:rPr>
        <w:t>T.</w:t>
      </w:r>
      <w:r w:rsidR="00B269E8">
        <w:rPr>
          <w:lang w:val="es-ES"/>
        </w:rPr>
        <w:t xml:space="preserve">, </w:t>
      </w:r>
      <w:r w:rsidR="00E326E1" w:rsidRPr="00E326E1">
        <w:rPr>
          <w:lang w:val="es-ES"/>
        </w:rPr>
        <w:t xml:space="preserve">2004. </w:t>
      </w:r>
      <w:r w:rsidR="00224173" w:rsidRPr="006868E7">
        <w:t>Thermophilic, Reversible -</w:t>
      </w:r>
      <w:proofErr w:type="spellStart"/>
      <w:r w:rsidR="00224173" w:rsidRPr="006868E7">
        <w:t>Resorcylate</w:t>
      </w:r>
      <w:proofErr w:type="spellEnd"/>
      <w:r w:rsidR="00224173" w:rsidRPr="006868E7">
        <w:t xml:space="preserve"> Decarboxylase from </w:t>
      </w:r>
      <w:r w:rsidR="00224173" w:rsidRPr="006868E7">
        <w:rPr>
          <w:i/>
          <w:iCs/>
        </w:rPr>
        <w:t>Rhizobium</w:t>
      </w:r>
      <w:r w:rsidR="00224173">
        <w:rPr>
          <w:i/>
          <w:iCs/>
        </w:rPr>
        <w:t xml:space="preserve"> </w:t>
      </w:r>
      <w:r w:rsidR="00224173" w:rsidRPr="006868E7">
        <w:t>sp. Strain MTP-10005: Purification, Molecular Characterization,</w:t>
      </w:r>
      <w:r w:rsidR="00224173">
        <w:t xml:space="preserve"> </w:t>
      </w:r>
      <w:r w:rsidR="00224173" w:rsidRPr="006868E7">
        <w:t>and Expression</w:t>
      </w:r>
      <w:r w:rsidR="00E326E1">
        <w:t>.</w:t>
      </w:r>
      <w:r w:rsidR="00224173">
        <w:t xml:space="preserve"> </w:t>
      </w:r>
      <w:r w:rsidR="0090579E" w:rsidRPr="00B269E8">
        <w:t>Journal of Bacteriology</w:t>
      </w:r>
      <w:r w:rsidR="00224173" w:rsidRPr="00B269E8">
        <w:t>,</w:t>
      </w:r>
      <w:r w:rsidR="00224173" w:rsidRPr="006868E7">
        <w:t xml:space="preserve"> 2004, 6855–6863</w:t>
      </w:r>
      <w:r w:rsidR="003B53A8">
        <w:t>.</w:t>
      </w:r>
    </w:p>
    <w:p w14:paraId="19C4FC68" w14:textId="2D18702A" w:rsidR="004628D2" w:rsidRDefault="001D5D5B" w:rsidP="00406DC9">
      <w:pPr>
        <w:pStyle w:val="CETReferencetext"/>
      </w:pPr>
      <w:r w:rsidRPr="001D5D5B">
        <w:t xml:space="preserve">Wuensch C., Gross J., Steinkellner G., </w:t>
      </w:r>
      <w:proofErr w:type="spellStart"/>
      <w:r w:rsidRPr="001D5D5B">
        <w:t>Lyskowski</w:t>
      </w:r>
      <w:proofErr w:type="spellEnd"/>
      <w:r w:rsidRPr="001D5D5B">
        <w:t xml:space="preserve"> A., Gruber K., Glueck S. M., Faber, K.</w:t>
      </w:r>
      <w:r w:rsidR="00B269E8">
        <w:t xml:space="preserve">, </w:t>
      </w:r>
      <w:r w:rsidRPr="001D5D5B">
        <w:t>2014</w:t>
      </w:r>
      <w:r w:rsidR="00E326E1">
        <w:t>.</w:t>
      </w:r>
      <w:r w:rsidRPr="001D5D5B">
        <w:t xml:space="preserve"> Regioselective ortho-carboxylation of phenols </w:t>
      </w:r>
      <w:proofErr w:type="spellStart"/>
      <w:r w:rsidRPr="001D5D5B">
        <w:t>catalyzed</w:t>
      </w:r>
      <w:proofErr w:type="spellEnd"/>
      <w:r w:rsidRPr="001D5D5B">
        <w:t xml:space="preserve"> by benzoic acid decarboxylases: a biocatalytic equivalent to the Kolbe–Schmitt reaction. </w:t>
      </w:r>
      <w:r w:rsidRPr="00B269E8">
        <w:t>RSC Advances</w:t>
      </w:r>
      <w:r w:rsidRPr="001D5D5B">
        <w:t>, 4(19), 9673</w:t>
      </w:r>
      <w:r w:rsidR="00B269E8">
        <w:t>.</w:t>
      </w:r>
    </w:p>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F2BC0" w14:textId="77777777" w:rsidR="00A15FBB" w:rsidRDefault="00A15FBB" w:rsidP="004F5E36">
      <w:r>
        <w:separator/>
      </w:r>
    </w:p>
  </w:endnote>
  <w:endnote w:type="continuationSeparator" w:id="0">
    <w:p w14:paraId="0639EE2F" w14:textId="77777777" w:rsidR="00A15FBB" w:rsidRDefault="00A15FBB"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A402" w14:textId="77777777" w:rsidR="00A15FBB" w:rsidRDefault="00A15FBB" w:rsidP="004F5E36">
      <w:r>
        <w:separator/>
      </w:r>
    </w:p>
  </w:footnote>
  <w:footnote w:type="continuationSeparator" w:id="0">
    <w:p w14:paraId="081E736A" w14:textId="77777777" w:rsidR="00A15FBB" w:rsidRDefault="00A15FBB"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6114C58A"/>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lang w:val="en-GB"/>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FD81512"/>
    <w:multiLevelType w:val="hybridMultilevel"/>
    <w:tmpl w:val="054695EC"/>
    <w:lvl w:ilvl="0" w:tplc="ACF83DC0">
      <w:start w:val="1"/>
      <w:numFmt w:val="decimal"/>
      <w:lvlText w:val="%1."/>
      <w:lvlJc w:val="left"/>
      <w:pPr>
        <w:ind w:left="-59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92715929">
    <w:abstractNumId w:val="10"/>
  </w:num>
  <w:num w:numId="2" w16cid:durableId="1510605740">
    <w:abstractNumId w:val="8"/>
  </w:num>
  <w:num w:numId="3" w16cid:durableId="1157260446">
    <w:abstractNumId w:val="3"/>
  </w:num>
  <w:num w:numId="4" w16cid:durableId="1610236062">
    <w:abstractNumId w:val="2"/>
  </w:num>
  <w:num w:numId="5" w16cid:durableId="1589004697">
    <w:abstractNumId w:val="1"/>
  </w:num>
  <w:num w:numId="6" w16cid:durableId="525027128">
    <w:abstractNumId w:val="0"/>
  </w:num>
  <w:num w:numId="7" w16cid:durableId="1461611494">
    <w:abstractNumId w:val="9"/>
  </w:num>
  <w:num w:numId="8" w16cid:durableId="462697699">
    <w:abstractNumId w:val="7"/>
  </w:num>
  <w:num w:numId="9" w16cid:durableId="901722507">
    <w:abstractNumId w:val="6"/>
  </w:num>
  <w:num w:numId="10" w16cid:durableId="1802534517">
    <w:abstractNumId w:val="5"/>
  </w:num>
  <w:num w:numId="11" w16cid:durableId="2140682876">
    <w:abstractNumId w:val="4"/>
  </w:num>
  <w:num w:numId="12" w16cid:durableId="1405879793">
    <w:abstractNumId w:val="18"/>
  </w:num>
  <w:num w:numId="13" w16cid:durableId="1982080149">
    <w:abstractNumId w:val="12"/>
  </w:num>
  <w:num w:numId="14" w16cid:durableId="1888562631">
    <w:abstractNumId w:val="19"/>
  </w:num>
  <w:num w:numId="15" w16cid:durableId="382172416">
    <w:abstractNumId w:val="21"/>
  </w:num>
  <w:num w:numId="16" w16cid:durableId="744448632">
    <w:abstractNumId w:val="20"/>
  </w:num>
  <w:num w:numId="17" w16cid:durableId="611666311">
    <w:abstractNumId w:val="11"/>
  </w:num>
  <w:num w:numId="18" w16cid:durableId="840698942">
    <w:abstractNumId w:val="12"/>
    <w:lvlOverride w:ilvl="0">
      <w:startOverride w:val="1"/>
    </w:lvlOverride>
  </w:num>
  <w:num w:numId="19" w16cid:durableId="286787999">
    <w:abstractNumId w:val="17"/>
  </w:num>
  <w:num w:numId="20" w16cid:durableId="1697467624">
    <w:abstractNumId w:val="16"/>
  </w:num>
  <w:num w:numId="21" w16cid:durableId="317997384">
    <w:abstractNumId w:val="14"/>
  </w:num>
  <w:num w:numId="22" w16cid:durableId="935480418">
    <w:abstractNumId w:val="13"/>
  </w:num>
  <w:num w:numId="23" w16cid:durableId="613564130">
    <w:abstractNumId w:val="10"/>
  </w:num>
  <w:num w:numId="24" w16cid:durableId="14801460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01A6"/>
    <w:rsid w:val="000117CB"/>
    <w:rsid w:val="0002106E"/>
    <w:rsid w:val="0003148D"/>
    <w:rsid w:val="00031EEC"/>
    <w:rsid w:val="0003284C"/>
    <w:rsid w:val="000416AB"/>
    <w:rsid w:val="00042AB8"/>
    <w:rsid w:val="000447FE"/>
    <w:rsid w:val="000452FD"/>
    <w:rsid w:val="00047950"/>
    <w:rsid w:val="00051154"/>
    <w:rsid w:val="000513AC"/>
    <w:rsid w:val="00051566"/>
    <w:rsid w:val="00056184"/>
    <w:rsid w:val="000562A9"/>
    <w:rsid w:val="00062A9A"/>
    <w:rsid w:val="00065058"/>
    <w:rsid w:val="00066E6B"/>
    <w:rsid w:val="0007079E"/>
    <w:rsid w:val="00071278"/>
    <w:rsid w:val="00072564"/>
    <w:rsid w:val="000831EC"/>
    <w:rsid w:val="00086C39"/>
    <w:rsid w:val="000903D4"/>
    <w:rsid w:val="00097D2A"/>
    <w:rsid w:val="000A03B2"/>
    <w:rsid w:val="000A06B3"/>
    <w:rsid w:val="000B044D"/>
    <w:rsid w:val="000B0D0D"/>
    <w:rsid w:val="000C546D"/>
    <w:rsid w:val="000D0268"/>
    <w:rsid w:val="000D0431"/>
    <w:rsid w:val="000D0A7C"/>
    <w:rsid w:val="000D34BE"/>
    <w:rsid w:val="000D37A1"/>
    <w:rsid w:val="000D5F58"/>
    <w:rsid w:val="000D7AFE"/>
    <w:rsid w:val="000E0BEF"/>
    <w:rsid w:val="000E102F"/>
    <w:rsid w:val="000E36F1"/>
    <w:rsid w:val="000E3A73"/>
    <w:rsid w:val="000E414A"/>
    <w:rsid w:val="000E5B50"/>
    <w:rsid w:val="000E675D"/>
    <w:rsid w:val="000E756E"/>
    <w:rsid w:val="000E75FD"/>
    <w:rsid w:val="000F093C"/>
    <w:rsid w:val="000F4DB1"/>
    <w:rsid w:val="000F6D4E"/>
    <w:rsid w:val="000F787B"/>
    <w:rsid w:val="00101ECA"/>
    <w:rsid w:val="00102A5E"/>
    <w:rsid w:val="00106100"/>
    <w:rsid w:val="001155C7"/>
    <w:rsid w:val="0012091F"/>
    <w:rsid w:val="00124888"/>
    <w:rsid w:val="00124AAD"/>
    <w:rsid w:val="00126BC2"/>
    <w:rsid w:val="001308B6"/>
    <w:rsid w:val="0013121F"/>
    <w:rsid w:val="00131FE6"/>
    <w:rsid w:val="0013263F"/>
    <w:rsid w:val="001331DF"/>
    <w:rsid w:val="00134DE4"/>
    <w:rsid w:val="001358CA"/>
    <w:rsid w:val="0014034D"/>
    <w:rsid w:val="00140FE3"/>
    <w:rsid w:val="0014126C"/>
    <w:rsid w:val="00141575"/>
    <w:rsid w:val="00143B80"/>
    <w:rsid w:val="001446EE"/>
    <w:rsid w:val="00144D16"/>
    <w:rsid w:val="001472DC"/>
    <w:rsid w:val="00150E59"/>
    <w:rsid w:val="00152DE3"/>
    <w:rsid w:val="00155CBC"/>
    <w:rsid w:val="0015794E"/>
    <w:rsid w:val="001639F2"/>
    <w:rsid w:val="00164CF9"/>
    <w:rsid w:val="001667A6"/>
    <w:rsid w:val="001716A6"/>
    <w:rsid w:val="0017463A"/>
    <w:rsid w:val="001815A5"/>
    <w:rsid w:val="00184AD6"/>
    <w:rsid w:val="00185794"/>
    <w:rsid w:val="00194FB8"/>
    <w:rsid w:val="001969C3"/>
    <w:rsid w:val="001A0F65"/>
    <w:rsid w:val="001A4AF7"/>
    <w:rsid w:val="001B0349"/>
    <w:rsid w:val="001B03AB"/>
    <w:rsid w:val="001B1E93"/>
    <w:rsid w:val="001B31CF"/>
    <w:rsid w:val="001B65C1"/>
    <w:rsid w:val="001B7A42"/>
    <w:rsid w:val="001C260F"/>
    <w:rsid w:val="001C33F1"/>
    <w:rsid w:val="001C49EE"/>
    <w:rsid w:val="001C5AE8"/>
    <w:rsid w:val="001C6690"/>
    <w:rsid w:val="001C684B"/>
    <w:rsid w:val="001D0CFB"/>
    <w:rsid w:val="001D0F5B"/>
    <w:rsid w:val="001D21AF"/>
    <w:rsid w:val="001D328F"/>
    <w:rsid w:val="001D53FC"/>
    <w:rsid w:val="001D5D5B"/>
    <w:rsid w:val="001E090D"/>
    <w:rsid w:val="001E4A4E"/>
    <w:rsid w:val="001E51B4"/>
    <w:rsid w:val="001F42A5"/>
    <w:rsid w:val="001F4CDF"/>
    <w:rsid w:val="001F7B9D"/>
    <w:rsid w:val="00201C93"/>
    <w:rsid w:val="00202AF3"/>
    <w:rsid w:val="0020571F"/>
    <w:rsid w:val="002224B4"/>
    <w:rsid w:val="00224173"/>
    <w:rsid w:val="00227933"/>
    <w:rsid w:val="00241E9C"/>
    <w:rsid w:val="002430CE"/>
    <w:rsid w:val="002447EF"/>
    <w:rsid w:val="00245492"/>
    <w:rsid w:val="00245E67"/>
    <w:rsid w:val="002509B4"/>
    <w:rsid w:val="00251550"/>
    <w:rsid w:val="00255E6B"/>
    <w:rsid w:val="0025791C"/>
    <w:rsid w:val="002610CC"/>
    <w:rsid w:val="00263B05"/>
    <w:rsid w:val="00265DAB"/>
    <w:rsid w:val="00267F89"/>
    <w:rsid w:val="00270D41"/>
    <w:rsid w:val="0027221A"/>
    <w:rsid w:val="00275B61"/>
    <w:rsid w:val="0028006D"/>
    <w:rsid w:val="00280FAF"/>
    <w:rsid w:val="00282656"/>
    <w:rsid w:val="002828F0"/>
    <w:rsid w:val="002838EF"/>
    <w:rsid w:val="00285A89"/>
    <w:rsid w:val="00296B83"/>
    <w:rsid w:val="002B4015"/>
    <w:rsid w:val="002B5A7F"/>
    <w:rsid w:val="002B6D0B"/>
    <w:rsid w:val="002B789A"/>
    <w:rsid w:val="002B78CE"/>
    <w:rsid w:val="002C2FB6"/>
    <w:rsid w:val="002C5706"/>
    <w:rsid w:val="002C5C17"/>
    <w:rsid w:val="002D20C2"/>
    <w:rsid w:val="002D7EAA"/>
    <w:rsid w:val="002E2224"/>
    <w:rsid w:val="002E5FA7"/>
    <w:rsid w:val="002E5FAD"/>
    <w:rsid w:val="002E73A8"/>
    <w:rsid w:val="002F3309"/>
    <w:rsid w:val="002F3CDC"/>
    <w:rsid w:val="002F60F3"/>
    <w:rsid w:val="002F657F"/>
    <w:rsid w:val="003008CE"/>
    <w:rsid w:val="003009B7"/>
    <w:rsid w:val="00300E56"/>
    <w:rsid w:val="0030152C"/>
    <w:rsid w:val="0030469C"/>
    <w:rsid w:val="00307ECD"/>
    <w:rsid w:val="003117E3"/>
    <w:rsid w:val="00320C4F"/>
    <w:rsid w:val="00321CA6"/>
    <w:rsid w:val="00321E5F"/>
    <w:rsid w:val="00323763"/>
    <w:rsid w:val="00323C5F"/>
    <w:rsid w:val="003335C4"/>
    <w:rsid w:val="00334AD8"/>
    <w:rsid w:val="00334C09"/>
    <w:rsid w:val="003535EE"/>
    <w:rsid w:val="003567E5"/>
    <w:rsid w:val="00360F22"/>
    <w:rsid w:val="003723D4"/>
    <w:rsid w:val="003726FE"/>
    <w:rsid w:val="003738D6"/>
    <w:rsid w:val="003742BE"/>
    <w:rsid w:val="00381905"/>
    <w:rsid w:val="003824CE"/>
    <w:rsid w:val="00384CC8"/>
    <w:rsid w:val="00385692"/>
    <w:rsid w:val="003871FD"/>
    <w:rsid w:val="00387251"/>
    <w:rsid w:val="00395411"/>
    <w:rsid w:val="003A1E30"/>
    <w:rsid w:val="003A2829"/>
    <w:rsid w:val="003A3132"/>
    <w:rsid w:val="003A48DB"/>
    <w:rsid w:val="003A7D1C"/>
    <w:rsid w:val="003B07F5"/>
    <w:rsid w:val="003B304B"/>
    <w:rsid w:val="003B3146"/>
    <w:rsid w:val="003B53A8"/>
    <w:rsid w:val="003B5F6C"/>
    <w:rsid w:val="003C7414"/>
    <w:rsid w:val="003D1E02"/>
    <w:rsid w:val="003D4286"/>
    <w:rsid w:val="003D68DB"/>
    <w:rsid w:val="003E0D83"/>
    <w:rsid w:val="003E70FC"/>
    <w:rsid w:val="003F015E"/>
    <w:rsid w:val="003F03ED"/>
    <w:rsid w:val="003F056D"/>
    <w:rsid w:val="003F129E"/>
    <w:rsid w:val="003F7E0B"/>
    <w:rsid w:val="00400414"/>
    <w:rsid w:val="00401277"/>
    <w:rsid w:val="00405725"/>
    <w:rsid w:val="00406DC9"/>
    <w:rsid w:val="0041446B"/>
    <w:rsid w:val="00415137"/>
    <w:rsid w:val="0042118D"/>
    <w:rsid w:val="004253CD"/>
    <w:rsid w:val="00433708"/>
    <w:rsid w:val="00437417"/>
    <w:rsid w:val="0044071E"/>
    <w:rsid w:val="0044329C"/>
    <w:rsid w:val="0044367D"/>
    <w:rsid w:val="0045152D"/>
    <w:rsid w:val="00453E24"/>
    <w:rsid w:val="00454012"/>
    <w:rsid w:val="00457456"/>
    <w:rsid w:val="004577FE"/>
    <w:rsid w:val="00457B9C"/>
    <w:rsid w:val="00460C3D"/>
    <w:rsid w:val="0046164A"/>
    <w:rsid w:val="004628D2"/>
    <w:rsid w:val="00462DCD"/>
    <w:rsid w:val="00464313"/>
    <w:rsid w:val="004648AD"/>
    <w:rsid w:val="004703A9"/>
    <w:rsid w:val="004705D5"/>
    <w:rsid w:val="00471070"/>
    <w:rsid w:val="0047191F"/>
    <w:rsid w:val="004735B7"/>
    <w:rsid w:val="004760DE"/>
    <w:rsid w:val="004763D7"/>
    <w:rsid w:val="00481B81"/>
    <w:rsid w:val="00483CB0"/>
    <w:rsid w:val="00490873"/>
    <w:rsid w:val="004A004E"/>
    <w:rsid w:val="004A1046"/>
    <w:rsid w:val="004A24CF"/>
    <w:rsid w:val="004A2657"/>
    <w:rsid w:val="004A5E57"/>
    <w:rsid w:val="004B1D3A"/>
    <w:rsid w:val="004B242F"/>
    <w:rsid w:val="004B4352"/>
    <w:rsid w:val="004B718F"/>
    <w:rsid w:val="004B72C0"/>
    <w:rsid w:val="004B7C83"/>
    <w:rsid w:val="004C194F"/>
    <w:rsid w:val="004C3D1D"/>
    <w:rsid w:val="004C3D84"/>
    <w:rsid w:val="004C5F0C"/>
    <w:rsid w:val="004C6165"/>
    <w:rsid w:val="004C7913"/>
    <w:rsid w:val="004D431A"/>
    <w:rsid w:val="004D4340"/>
    <w:rsid w:val="004E4DD6"/>
    <w:rsid w:val="004F5E36"/>
    <w:rsid w:val="004F6427"/>
    <w:rsid w:val="00502294"/>
    <w:rsid w:val="00507B47"/>
    <w:rsid w:val="00507BEF"/>
    <w:rsid w:val="00507CC9"/>
    <w:rsid w:val="00510535"/>
    <w:rsid w:val="005119A5"/>
    <w:rsid w:val="005201C2"/>
    <w:rsid w:val="005278B7"/>
    <w:rsid w:val="00532016"/>
    <w:rsid w:val="00533EBA"/>
    <w:rsid w:val="005346C8"/>
    <w:rsid w:val="00535672"/>
    <w:rsid w:val="00536983"/>
    <w:rsid w:val="00541434"/>
    <w:rsid w:val="00542374"/>
    <w:rsid w:val="0054341D"/>
    <w:rsid w:val="0054379A"/>
    <w:rsid w:val="00543AF5"/>
    <w:rsid w:val="00543E7D"/>
    <w:rsid w:val="005470BB"/>
    <w:rsid w:val="00547A68"/>
    <w:rsid w:val="00550205"/>
    <w:rsid w:val="005531C9"/>
    <w:rsid w:val="00553828"/>
    <w:rsid w:val="0055562C"/>
    <w:rsid w:val="00555F1A"/>
    <w:rsid w:val="005575F6"/>
    <w:rsid w:val="005625E3"/>
    <w:rsid w:val="00563557"/>
    <w:rsid w:val="00570C43"/>
    <w:rsid w:val="005724AE"/>
    <w:rsid w:val="00573744"/>
    <w:rsid w:val="00574D0F"/>
    <w:rsid w:val="00575E71"/>
    <w:rsid w:val="0057634B"/>
    <w:rsid w:val="0058048E"/>
    <w:rsid w:val="00587A03"/>
    <w:rsid w:val="00587D07"/>
    <w:rsid w:val="00591A71"/>
    <w:rsid w:val="00591F94"/>
    <w:rsid w:val="00592274"/>
    <w:rsid w:val="005A1ED9"/>
    <w:rsid w:val="005A6E21"/>
    <w:rsid w:val="005B2110"/>
    <w:rsid w:val="005B61E6"/>
    <w:rsid w:val="005B75A8"/>
    <w:rsid w:val="005C0104"/>
    <w:rsid w:val="005C1E4E"/>
    <w:rsid w:val="005C2B27"/>
    <w:rsid w:val="005C4F60"/>
    <w:rsid w:val="005C77E1"/>
    <w:rsid w:val="005D037B"/>
    <w:rsid w:val="005D4E9B"/>
    <w:rsid w:val="005D4F94"/>
    <w:rsid w:val="005D56A5"/>
    <w:rsid w:val="005D668A"/>
    <w:rsid w:val="005D6A2F"/>
    <w:rsid w:val="005E0370"/>
    <w:rsid w:val="005E0592"/>
    <w:rsid w:val="005E1A82"/>
    <w:rsid w:val="005E6A56"/>
    <w:rsid w:val="005E794C"/>
    <w:rsid w:val="005F0A28"/>
    <w:rsid w:val="005F0E5E"/>
    <w:rsid w:val="005F5863"/>
    <w:rsid w:val="005F5EA0"/>
    <w:rsid w:val="005F7497"/>
    <w:rsid w:val="00600535"/>
    <w:rsid w:val="006029D6"/>
    <w:rsid w:val="00603BEC"/>
    <w:rsid w:val="00610CD6"/>
    <w:rsid w:val="00612D54"/>
    <w:rsid w:val="00620DEE"/>
    <w:rsid w:val="00621F92"/>
    <w:rsid w:val="0062280A"/>
    <w:rsid w:val="006231E1"/>
    <w:rsid w:val="0062376C"/>
    <w:rsid w:val="00625639"/>
    <w:rsid w:val="006313DF"/>
    <w:rsid w:val="00631B33"/>
    <w:rsid w:val="00633B40"/>
    <w:rsid w:val="00636060"/>
    <w:rsid w:val="00637C51"/>
    <w:rsid w:val="0064184D"/>
    <w:rsid w:val="006422CC"/>
    <w:rsid w:val="00645597"/>
    <w:rsid w:val="00645F64"/>
    <w:rsid w:val="00650289"/>
    <w:rsid w:val="00651D18"/>
    <w:rsid w:val="00655FA7"/>
    <w:rsid w:val="0065785D"/>
    <w:rsid w:val="00660E3E"/>
    <w:rsid w:val="00662078"/>
    <w:rsid w:val="00662E74"/>
    <w:rsid w:val="00665893"/>
    <w:rsid w:val="006664BE"/>
    <w:rsid w:val="0066730A"/>
    <w:rsid w:val="00667E64"/>
    <w:rsid w:val="00674244"/>
    <w:rsid w:val="0067563E"/>
    <w:rsid w:val="00680B5B"/>
    <w:rsid w:val="00680C23"/>
    <w:rsid w:val="00683E23"/>
    <w:rsid w:val="00685203"/>
    <w:rsid w:val="006868E7"/>
    <w:rsid w:val="00693766"/>
    <w:rsid w:val="006A3281"/>
    <w:rsid w:val="006B27C5"/>
    <w:rsid w:val="006B3704"/>
    <w:rsid w:val="006B4888"/>
    <w:rsid w:val="006C2E45"/>
    <w:rsid w:val="006C359C"/>
    <w:rsid w:val="006C5579"/>
    <w:rsid w:val="006D02C4"/>
    <w:rsid w:val="006D5938"/>
    <w:rsid w:val="006D6E8B"/>
    <w:rsid w:val="006D7209"/>
    <w:rsid w:val="006E181C"/>
    <w:rsid w:val="006E25CE"/>
    <w:rsid w:val="006E737D"/>
    <w:rsid w:val="006E7CCF"/>
    <w:rsid w:val="006F0A04"/>
    <w:rsid w:val="007004FD"/>
    <w:rsid w:val="00703C28"/>
    <w:rsid w:val="00706F48"/>
    <w:rsid w:val="007078C3"/>
    <w:rsid w:val="00707DD1"/>
    <w:rsid w:val="00712D52"/>
    <w:rsid w:val="00713973"/>
    <w:rsid w:val="007140B0"/>
    <w:rsid w:val="0071615E"/>
    <w:rsid w:val="00717422"/>
    <w:rsid w:val="00720A24"/>
    <w:rsid w:val="00722715"/>
    <w:rsid w:val="00723041"/>
    <w:rsid w:val="00723241"/>
    <w:rsid w:val="00732386"/>
    <w:rsid w:val="00734A4A"/>
    <w:rsid w:val="0073514D"/>
    <w:rsid w:val="00735527"/>
    <w:rsid w:val="007407DF"/>
    <w:rsid w:val="00742575"/>
    <w:rsid w:val="00743A38"/>
    <w:rsid w:val="0074424F"/>
    <w:rsid w:val="00744429"/>
    <w:rsid w:val="007447F3"/>
    <w:rsid w:val="00744DB5"/>
    <w:rsid w:val="00744E24"/>
    <w:rsid w:val="00745DA1"/>
    <w:rsid w:val="0075499F"/>
    <w:rsid w:val="007558E5"/>
    <w:rsid w:val="00761516"/>
    <w:rsid w:val="007617CC"/>
    <w:rsid w:val="00765AEC"/>
    <w:rsid w:val="007661C8"/>
    <w:rsid w:val="007671C7"/>
    <w:rsid w:val="0077098D"/>
    <w:rsid w:val="00785BF9"/>
    <w:rsid w:val="007916C4"/>
    <w:rsid w:val="007931FA"/>
    <w:rsid w:val="00794180"/>
    <w:rsid w:val="00794B75"/>
    <w:rsid w:val="007962DA"/>
    <w:rsid w:val="007975CF"/>
    <w:rsid w:val="007A148B"/>
    <w:rsid w:val="007A2FC1"/>
    <w:rsid w:val="007A31D0"/>
    <w:rsid w:val="007A33FC"/>
    <w:rsid w:val="007A4861"/>
    <w:rsid w:val="007A5CE5"/>
    <w:rsid w:val="007A7BBA"/>
    <w:rsid w:val="007B0C50"/>
    <w:rsid w:val="007B2752"/>
    <w:rsid w:val="007B4477"/>
    <w:rsid w:val="007B48F9"/>
    <w:rsid w:val="007B7EF2"/>
    <w:rsid w:val="007C1A43"/>
    <w:rsid w:val="007C64E6"/>
    <w:rsid w:val="007D0951"/>
    <w:rsid w:val="007D4359"/>
    <w:rsid w:val="007E0B0A"/>
    <w:rsid w:val="007E1175"/>
    <w:rsid w:val="007E76C3"/>
    <w:rsid w:val="007F12DD"/>
    <w:rsid w:val="007F27C8"/>
    <w:rsid w:val="007F44DA"/>
    <w:rsid w:val="007F6E25"/>
    <w:rsid w:val="0080013E"/>
    <w:rsid w:val="008016FF"/>
    <w:rsid w:val="00806C15"/>
    <w:rsid w:val="00810EA9"/>
    <w:rsid w:val="00813288"/>
    <w:rsid w:val="0081613B"/>
    <w:rsid w:val="008168FC"/>
    <w:rsid w:val="00816ECE"/>
    <w:rsid w:val="008212A6"/>
    <w:rsid w:val="0082677F"/>
    <w:rsid w:val="00830996"/>
    <w:rsid w:val="008311F4"/>
    <w:rsid w:val="008314D7"/>
    <w:rsid w:val="00832DBC"/>
    <w:rsid w:val="008345F1"/>
    <w:rsid w:val="00840044"/>
    <w:rsid w:val="008430A0"/>
    <w:rsid w:val="00843A86"/>
    <w:rsid w:val="00843E37"/>
    <w:rsid w:val="008571D1"/>
    <w:rsid w:val="008628A7"/>
    <w:rsid w:val="00862B5D"/>
    <w:rsid w:val="008638BD"/>
    <w:rsid w:val="00865B07"/>
    <w:rsid w:val="00865CEA"/>
    <w:rsid w:val="008667EA"/>
    <w:rsid w:val="008704A9"/>
    <w:rsid w:val="00871D9C"/>
    <w:rsid w:val="0087232D"/>
    <w:rsid w:val="00874901"/>
    <w:rsid w:val="0087637F"/>
    <w:rsid w:val="008803F8"/>
    <w:rsid w:val="0088370B"/>
    <w:rsid w:val="00887800"/>
    <w:rsid w:val="008928FA"/>
    <w:rsid w:val="00892AD5"/>
    <w:rsid w:val="00893552"/>
    <w:rsid w:val="008A05FB"/>
    <w:rsid w:val="008A1512"/>
    <w:rsid w:val="008A4A5D"/>
    <w:rsid w:val="008B2BED"/>
    <w:rsid w:val="008C4A30"/>
    <w:rsid w:val="008C650A"/>
    <w:rsid w:val="008C7886"/>
    <w:rsid w:val="008D00F6"/>
    <w:rsid w:val="008D0A2E"/>
    <w:rsid w:val="008D32B9"/>
    <w:rsid w:val="008D433B"/>
    <w:rsid w:val="008D4A16"/>
    <w:rsid w:val="008D4BD1"/>
    <w:rsid w:val="008E209A"/>
    <w:rsid w:val="008E45BC"/>
    <w:rsid w:val="008E5507"/>
    <w:rsid w:val="008E566E"/>
    <w:rsid w:val="008E5F65"/>
    <w:rsid w:val="008F4E12"/>
    <w:rsid w:val="008F7B5C"/>
    <w:rsid w:val="008F7D18"/>
    <w:rsid w:val="0090161A"/>
    <w:rsid w:val="00901EB6"/>
    <w:rsid w:val="009041F8"/>
    <w:rsid w:val="00904C62"/>
    <w:rsid w:val="0090579E"/>
    <w:rsid w:val="00913727"/>
    <w:rsid w:val="009171BA"/>
    <w:rsid w:val="00922BA8"/>
    <w:rsid w:val="00924DAC"/>
    <w:rsid w:val="00926092"/>
    <w:rsid w:val="00927058"/>
    <w:rsid w:val="00930887"/>
    <w:rsid w:val="00937016"/>
    <w:rsid w:val="00940AD0"/>
    <w:rsid w:val="00941BCB"/>
    <w:rsid w:val="00942750"/>
    <w:rsid w:val="009450CE"/>
    <w:rsid w:val="009459BB"/>
    <w:rsid w:val="00947179"/>
    <w:rsid w:val="0095164B"/>
    <w:rsid w:val="00953825"/>
    <w:rsid w:val="00954090"/>
    <w:rsid w:val="009573E7"/>
    <w:rsid w:val="00963668"/>
    <w:rsid w:val="00963E05"/>
    <w:rsid w:val="00964A45"/>
    <w:rsid w:val="00967843"/>
    <w:rsid w:val="00967D54"/>
    <w:rsid w:val="00970726"/>
    <w:rsid w:val="00970DF2"/>
    <w:rsid w:val="00971028"/>
    <w:rsid w:val="00972110"/>
    <w:rsid w:val="00972F72"/>
    <w:rsid w:val="00982352"/>
    <w:rsid w:val="009910FF"/>
    <w:rsid w:val="00993B84"/>
    <w:rsid w:val="00994896"/>
    <w:rsid w:val="00996483"/>
    <w:rsid w:val="00996F5A"/>
    <w:rsid w:val="009A2EA1"/>
    <w:rsid w:val="009A332D"/>
    <w:rsid w:val="009A50FA"/>
    <w:rsid w:val="009B041A"/>
    <w:rsid w:val="009B545B"/>
    <w:rsid w:val="009B663C"/>
    <w:rsid w:val="009C37C3"/>
    <w:rsid w:val="009C4D84"/>
    <w:rsid w:val="009C7C86"/>
    <w:rsid w:val="009D01A7"/>
    <w:rsid w:val="009D0F68"/>
    <w:rsid w:val="009D21A8"/>
    <w:rsid w:val="009D2FF7"/>
    <w:rsid w:val="009D358F"/>
    <w:rsid w:val="009D4725"/>
    <w:rsid w:val="009D6D4D"/>
    <w:rsid w:val="009E1EFD"/>
    <w:rsid w:val="009E2E8B"/>
    <w:rsid w:val="009E5EFB"/>
    <w:rsid w:val="009E7884"/>
    <w:rsid w:val="009E788A"/>
    <w:rsid w:val="009F01BB"/>
    <w:rsid w:val="009F0E08"/>
    <w:rsid w:val="009F13C8"/>
    <w:rsid w:val="009F4254"/>
    <w:rsid w:val="009F7F54"/>
    <w:rsid w:val="00A079AE"/>
    <w:rsid w:val="00A14214"/>
    <w:rsid w:val="00A14817"/>
    <w:rsid w:val="00A15FBB"/>
    <w:rsid w:val="00A1651F"/>
    <w:rsid w:val="00A1763D"/>
    <w:rsid w:val="00A17CEC"/>
    <w:rsid w:val="00A22A7B"/>
    <w:rsid w:val="00A23156"/>
    <w:rsid w:val="00A26CBB"/>
    <w:rsid w:val="00A27EF0"/>
    <w:rsid w:val="00A4006A"/>
    <w:rsid w:val="00A42361"/>
    <w:rsid w:val="00A4468F"/>
    <w:rsid w:val="00A50B20"/>
    <w:rsid w:val="00A51390"/>
    <w:rsid w:val="00A60D13"/>
    <w:rsid w:val="00A6194B"/>
    <w:rsid w:val="00A62D91"/>
    <w:rsid w:val="00A6638E"/>
    <w:rsid w:val="00A7223D"/>
    <w:rsid w:val="00A72745"/>
    <w:rsid w:val="00A76EFC"/>
    <w:rsid w:val="00A81CE4"/>
    <w:rsid w:val="00A85732"/>
    <w:rsid w:val="00A863F0"/>
    <w:rsid w:val="00A8689A"/>
    <w:rsid w:val="00A87D50"/>
    <w:rsid w:val="00A91010"/>
    <w:rsid w:val="00A91ED8"/>
    <w:rsid w:val="00A97F29"/>
    <w:rsid w:val="00AA092E"/>
    <w:rsid w:val="00AA18EE"/>
    <w:rsid w:val="00AA702E"/>
    <w:rsid w:val="00AA7D26"/>
    <w:rsid w:val="00AB0964"/>
    <w:rsid w:val="00AB5011"/>
    <w:rsid w:val="00AC1655"/>
    <w:rsid w:val="00AC2D32"/>
    <w:rsid w:val="00AC2D7B"/>
    <w:rsid w:val="00AC60C4"/>
    <w:rsid w:val="00AC6689"/>
    <w:rsid w:val="00AC7368"/>
    <w:rsid w:val="00AC7D75"/>
    <w:rsid w:val="00AD0278"/>
    <w:rsid w:val="00AD0A97"/>
    <w:rsid w:val="00AD16B9"/>
    <w:rsid w:val="00AD1EDF"/>
    <w:rsid w:val="00AD6425"/>
    <w:rsid w:val="00AD71F7"/>
    <w:rsid w:val="00AE0FAA"/>
    <w:rsid w:val="00AE377D"/>
    <w:rsid w:val="00AF0414"/>
    <w:rsid w:val="00AF045C"/>
    <w:rsid w:val="00AF0EBA"/>
    <w:rsid w:val="00AF16AA"/>
    <w:rsid w:val="00AF2851"/>
    <w:rsid w:val="00B02C8A"/>
    <w:rsid w:val="00B067F4"/>
    <w:rsid w:val="00B06E83"/>
    <w:rsid w:val="00B10689"/>
    <w:rsid w:val="00B1164D"/>
    <w:rsid w:val="00B17FBD"/>
    <w:rsid w:val="00B269E8"/>
    <w:rsid w:val="00B26C09"/>
    <w:rsid w:val="00B312FB"/>
    <w:rsid w:val="00B315A6"/>
    <w:rsid w:val="00B31813"/>
    <w:rsid w:val="00B33365"/>
    <w:rsid w:val="00B350BB"/>
    <w:rsid w:val="00B44D20"/>
    <w:rsid w:val="00B53657"/>
    <w:rsid w:val="00B541E5"/>
    <w:rsid w:val="00B55813"/>
    <w:rsid w:val="00B56FD8"/>
    <w:rsid w:val="00B57B36"/>
    <w:rsid w:val="00B57E6F"/>
    <w:rsid w:val="00B71227"/>
    <w:rsid w:val="00B7303C"/>
    <w:rsid w:val="00B7454C"/>
    <w:rsid w:val="00B77248"/>
    <w:rsid w:val="00B80FA3"/>
    <w:rsid w:val="00B81510"/>
    <w:rsid w:val="00B8686D"/>
    <w:rsid w:val="00B905A4"/>
    <w:rsid w:val="00B93F69"/>
    <w:rsid w:val="00B968B7"/>
    <w:rsid w:val="00BA15CF"/>
    <w:rsid w:val="00BA33FA"/>
    <w:rsid w:val="00BA6982"/>
    <w:rsid w:val="00BB1DDC"/>
    <w:rsid w:val="00BB2013"/>
    <w:rsid w:val="00BB3F40"/>
    <w:rsid w:val="00BB51EC"/>
    <w:rsid w:val="00BB6D55"/>
    <w:rsid w:val="00BB7E84"/>
    <w:rsid w:val="00BC2135"/>
    <w:rsid w:val="00BC30C9"/>
    <w:rsid w:val="00BC31D3"/>
    <w:rsid w:val="00BC3829"/>
    <w:rsid w:val="00BD077D"/>
    <w:rsid w:val="00BD71B4"/>
    <w:rsid w:val="00BE3512"/>
    <w:rsid w:val="00BE3E58"/>
    <w:rsid w:val="00BF2E42"/>
    <w:rsid w:val="00BF3A60"/>
    <w:rsid w:val="00BF3CBD"/>
    <w:rsid w:val="00C01616"/>
    <w:rsid w:val="00C0162B"/>
    <w:rsid w:val="00C04453"/>
    <w:rsid w:val="00C068ED"/>
    <w:rsid w:val="00C11FC9"/>
    <w:rsid w:val="00C13775"/>
    <w:rsid w:val="00C16D2D"/>
    <w:rsid w:val="00C16F5F"/>
    <w:rsid w:val="00C20704"/>
    <w:rsid w:val="00C208E9"/>
    <w:rsid w:val="00C22E0C"/>
    <w:rsid w:val="00C23505"/>
    <w:rsid w:val="00C24941"/>
    <w:rsid w:val="00C344D6"/>
    <w:rsid w:val="00C345B1"/>
    <w:rsid w:val="00C34664"/>
    <w:rsid w:val="00C35DA2"/>
    <w:rsid w:val="00C40142"/>
    <w:rsid w:val="00C40CFB"/>
    <w:rsid w:val="00C449BC"/>
    <w:rsid w:val="00C47FBF"/>
    <w:rsid w:val="00C5020F"/>
    <w:rsid w:val="00C5038A"/>
    <w:rsid w:val="00C52C3C"/>
    <w:rsid w:val="00C55A02"/>
    <w:rsid w:val="00C56DAC"/>
    <w:rsid w:val="00C57182"/>
    <w:rsid w:val="00C57863"/>
    <w:rsid w:val="00C57A25"/>
    <w:rsid w:val="00C640AF"/>
    <w:rsid w:val="00C655FD"/>
    <w:rsid w:val="00C664DD"/>
    <w:rsid w:val="00C67EB6"/>
    <w:rsid w:val="00C67FCA"/>
    <w:rsid w:val="00C71897"/>
    <w:rsid w:val="00C73D33"/>
    <w:rsid w:val="00C7491F"/>
    <w:rsid w:val="00C75407"/>
    <w:rsid w:val="00C7597B"/>
    <w:rsid w:val="00C83AD2"/>
    <w:rsid w:val="00C841C6"/>
    <w:rsid w:val="00C870A8"/>
    <w:rsid w:val="00C8752E"/>
    <w:rsid w:val="00C91257"/>
    <w:rsid w:val="00C92D3F"/>
    <w:rsid w:val="00C94434"/>
    <w:rsid w:val="00CA0D75"/>
    <w:rsid w:val="00CA1C95"/>
    <w:rsid w:val="00CA4B37"/>
    <w:rsid w:val="00CA5A9C"/>
    <w:rsid w:val="00CA5E48"/>
    <w:rsid w:val="00CA7330"/>
    <w:rsid w:val="00CB069F"/>
    <w:rsid w:val="00CB0CCD"/>
    <w:rsid w:val="00CB0CF9"/>
    <w:rsid w:val="00CB2EEB"/>
    <w:rsid w:val="00CB3EBB"/>
    <w:rsid w:val="00CC14D3"/>
    <w:rsid w:val="00CC48D8"/>
    <w:rsid w:val="00CC4C20"/>
    <w:rsid w:val="00CD3517"/>
    <w:rsid w:val="00CD5FE2"/>
    <w:rsid w:val="00CD6881"/>
    <w:rsid w:val="00CD7E9B"/>
    <w:rsid w:val="00CE4110"/>
    <w:rsid w:val="00CE7C68"/>
    <w:rsid w:val="00CF43C0"/>
    <w:rsid w:val="00D02B4C"/>
    <w:rsid w:val="00D040C4"/>
    <w:rsid w:val="00D04752"/>
    <w:rsid w:val="00D068EE"/>
    <w:rsid w:val="00D20AD1"/>
    <w:rsid w:val="00D215D7"/>
    <w:rsid w:val="00D2582C"/>
    <w:rsid w:val="00D327C1"/>
    <w:rsid w:val="00D41040"/>
    <w:rsid w:val="00D41419"/>
    <w:rsid w:val="00D44B95"/>
    <w:rsid w:val="00D46B7E"/>
    <w:rsid w:val="00D479C6"/>
    <w:rsid w:val="00D53270"/>
    <w:rsid w:val="00D53D91"/>
    <w:rsid w:val="00D53FE4"/>
    <w:rsid w:val="00D549A7"/>
    <w:rsid w:val="00D56D37"/>
    <w:rsid w:val="00D57C84"/>
    <w:rsid w:val="00D6057D"/>
    <w:rsid w:val="00D618B2"/>
    <w:rsid w:val="00D64F3C"/>
    <w:rsid w:val="00D7007A"/>
    <w:rsid w:val="00D7016C"/>
    <w:rsid w:val="00D70DB6"/>
    <w:rsid w:val="00D71640"/>
    <w:rsid w:val="00D80113"/>
    <w:rsid w:val="00D8319D"/>
    <w:rsid w:val="00D836C5"/>
    <w:rsid w:val="00D84576"/>
    <w:rsid w:val="00D84838"/>
    <w:rsid w:val="00D8712D"/>
    <w:rsid w:val="00D93825"/>
    <w:rsid w:val="00D93D5E"/>
    <w:rsid w:val="00DA0F18"/>
    <w:rsid w:val="00DA1399"/>
    <w:rsid w:val="00DA24C6"/>
    <w:rsid w:val="00DA3A24"/>
    <w:rsid w:val="00DA4D7B"/>
    <w:rsid w:val="00DB10AA"/>
    <w:rsid w:val="00DB1351"/>
    <w:rsid w:val="00DB76C0"/>
    <w:rsid w:val="00DC0BD2"/>
    <w:rsid w:val="00DC27C1"/>
    <w:rsid w:val="00DC2BEC"/>
    <w:rsid w:val="00DC4C6B"/>
    <w:rsid w:val="00DC62AC"/>
    <w:rsid w:val="00DC6A8B"/>
    <w:rsid w:val="00DD01A1"/>
    <w:rsid w:val="00DD271C"/>
    <w:rsid w:val="00DD3136"/>
    <w:rsid w:val="00DD340A"/>
    <w:rsid w:val="00DD34BB"/>
    <w:rsid w:val="00DD5192"/>
    <w:rsid w:val="00DD5D88"/>
    <w:rsid w:val="00DE264A"/>
    <w:rsid w:val="00DE2C28"/>
    <w:rsid w:val="00DF437C"/>
    <w:rsid w:val="00DF5072"/>
    <w:rsid w:val="00DF7DCA"/>
    <w:rsid w:val="00E02A0D"/>
    <w:rsid w:val="00E02CE7"/>
    <w:rsid w:val="00E02D18"/>
    <w:rsid w:val="00E041E7"/>
    <w:rsid w:val="00E05B10"/>
    <w:rsid w:val="00E17211"/>
    <w:rsid w:val="00E232DE"/>
    <w:rsid w:val="00E23CA1"/>
    <w:rsid w:val="00E260B1"/>
    <w:rsid w:val="00E2619A"/>
    <w:rsid w:val="00E32280"/>
    <w:rsid w:val="00E326E1"/>
    <w:rsid w:val="00E37766"/>
    <w:rsid w:val="00E409A8"/>
    <w:rsid w:val="00E423FE"/>
    <w:rsid w:val="00E43C9F"/>
    <w:rsid w:val="00E46F5D"/>
    <w:rsid w:val="00E47664"/>
    <w:rsid w:val="00E47D61"/>
    <w:rsid w:val="00E50C12"/>
    <w:rsid w:val="00E57E63"/>
    <w:rsid w:val="00E60285"/>
    <w:rsid w:val="00E63C68"/>
    <w:rsid w:val="00E642B8"/>
    <w:rsid w:val="00E65B91"/>
    <w:rsid w:val="00E7079C"/>
    <w:rsid w:val="00E7209D"/>
    <w:rsid w:val="00E72EAD"/>
    <w:rsid w:val="00E737E6"/>
    <w:rsid w:val="00E77223"/>
    <w:rsid w:val="00E8528B"/>
    <w:rsid w:val="00E85B94"/>
    <w:rsid w:val="00E86F10"/>
    <w:rsid w:val="00E9187A"/>
    <w:rsid w:val="00E94551"/>
    <w:rsid w:val="00E978D0"/>
    <w:rsid w:val="00EA4613"/>
    <w:rsid w:val="00EA4A8C"/>
    <w:rsid w:val="00EA515D"/>
    <w:rsid w:val="00EA7021"/>
    <w:rsid w:val="00EA7A9A"/>
    <w:rsid w:val="00EA7F91"/>
    <w:rsid w:val="00EB1523"/>
    <w:rsid w:val="00EB246E"/>
    <w:rsid w:val="00EB3D85"/>
    <w:rsid w:val="00EC07FF"/>
    <w:rsid w:val="00EC0E49"/>
    <w:rsid w:val="00EC101F"/>
    <w:rsid w:val="00EC1D9F"/>
    <w:rsid w:val="00EC3F39"/>
    <w:rsid w:val="00ED1148"/>
    <w:rsid w:val="00ED186D"/>
    <w:rsid w:val="00ED1D07"/>
    <w:rsid w:val="00ED624E"/>
    <w:rsid w:val="00EE0131"/>
    <w:rsid w:val="00EE17B0"/>
    <w:rsid w:val="00EE3254"/>
    <w:rsid w:val="00EE3801"/>
    <w:rsid w:val="00EE42C8"/>
    <w:rsid w:val="00EE5740"/>
    <w:rsid w:val="00EE6719"/>
    <w:rsid w:val="00EF06D9"/>
    <w:rsid w:val="00EF0982"/>
    <w:rsid w:val="00EF0D91"/>
    <w:rsid w:val="00EF5F5C"/>
    <w:rsid w:val="00EF67D3"/>
    <w:rsid w:val="00F07FFE"/>
    <w:rsid w:val="00F12C12"/>
    <w:rsid w:val="00F27809"/>
    <w:rsid w:val="00F3049E"/>
    <w:rsid w:val="00F30C64"/>
    <w:rsid w:val="00F32BA2"/>
    <w:rsid w:val="00F32CDB"/>
    <w:rsid w:val="00F32DE9"/>
    <w:rsid w:val="00F3348F"/>
    <w:rsid w:val="00F35B58"/>
    <w:rsid w:val="00F37280"/>
    <w:rsid w:val="00F41EE4"/>
    <w:rsid w:val="00F56352"/>
    <w:rsid w:val="00F565FE"/>
    <w:rsid w:val="00F63A11"/>
    <w:rsid w:val="00F63A70"/>
    <w:rsid w:val="00F63D8C"/>
    <w:rsid w:val="00F709E2"/>
    <w:rsid w:val="00F731FF"/>
    <w:rsid w:val="00F7383F"/>
    <w:rsid w:val="00F7534E"/>
    <w:rsid w:val="00F774D0"/>
    <w:rsid w:val="00F82A70"/>
    <w:rsid w:val="00F830A3"/>
    <w:rsid w:val="00F83F73"/>
    <w:rsid w:val="00F85E0B"/>
    <w:rsid w:val="00F870A4"/>
    <w:rsid w:val="00F9247F"/>
    <w:rsid w:val="00F93EDF"/>
    <w:rsid w:val="00FA1802"/>
    <w:rsid w:val="00FA2112"/>
    <w:rsid w:val="00FA21D0"/>
    <w:rsid w:val="00FA2D78"/>
    <w:rsid w:val="00FA5F5F"/>
    <w:rsid w:val="00FA67DD"/>
    <w:rsid w:val="00FA6B65"/>
    <w:rsid w:val="00FA6FDF"/>
    <w:rsid w:val="00FB1751"/>
    <w:rsid w:val="00FB1782"/>
    <w:rsid w:val="00FB1924"/>
    <w:rsid w:val="00FB553B"/>
    <w:rsid w:val="00FB6AC8"/>
    <w:rsid w:val="00FB6E2C"/>
    <w:rsid w:val="00FB730C"/>
    <w:rsid w:val="00FC2695"/>
    <w:rsid w:val="00FC3E03"/>
    <w:rsid w:val="00FC3FC1"/>
    <w:rsid w:val="00FC5C97"/>
    <w:rsid w:val="00FD0BB3"/>
    <w:rsid w:val="00FD4631"/>
    <w:rsid w:val="00FD6CC6"/>
    <w:rsid w:val="00FE175B"/>
    <w:rsid w:val="00FE3918"/>
    <w:rsid w:val="00FE41F9"/>
    <w:rsid w:val="00FE55BD"/>
    <w:rsid w:val="00FE7DF6"/>
    <w:rsid w:val="00FF27C5"/>
    <w:rsid w:val="00FF33C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qFormat/>
    <w:rsid w:val="00280FAF"/>
    <w:pPr>
      <w:ind w:left="720"/>
      <w:contextualSpacing/>
    </w:pPr>
  </w:style>
  <w:style w:type="character" w:customStyle="1" w:styleId="gmail-apple-converted-space">
    <w:name w:val="gmail-apple-converted-space"/>
    <w:basedOn w:val="Carpredefinitoparagrafo"/>
    <w:rsid w:val="00005A19"/>
  </w:style>
  <w:style w:type="character" w:styleId="Testosegnaposto">
    <w:name w:val="Placeholder Text"/>
    <w:basedOn w:val="Carpredefinitoparagrafo"/>
    <w:uiPriority w:val="99"/>
    <w:semiHidden/>
    <w:rsid w:val="00C16D2D"/>
    <w:rPr>
      <w:color w:val="666666"/>
    </w:rPr>
  </w:style>
  <w:style w:type="character" w:customStyle="1" w:styleId="Menzionenonrisolta1">
    <w:name w:val="Menzione non risolta1"/>
    <w:basedOn w:val="Carpredefinitoparagrafo"/>
    <w:uiPriority w:val="99"/>
    <w:semiHidden/>
    <w:unhideWhenUsed/>
    <w:rsid w:val="001D5D5B"/>
    <w:rPr>
      <w:color w:val="605E5C"/>
      <w:shd w:val="clear" w:color="auto" w:fill="E1DFDD"/>
    </w:rPr>
  </w:style>
  <w:style w:type="paragraph" w:styleId="Revisione">
    <w:name w:val="Revision"/>
    <w:hidden/>
    <w:uiPriority w:val="99"/>
    <w:semiHidden/>
    <w:rsid w:val="00536983"/>
    <w:pPr>
      <w:spacing w:after="0" w:line="240" w:lineRule="auto"/>
    </w:pPr>
    <w:rPr>
      <w:rFonts w:ascii="Arial" w:eastAsia="Times New Roman" w:hAnsi="Arial" w:cs="Times New Roman"/>
      <w:sz w:val="18"/>
      <w:szCs w:val="20"/>
      <w:lang w:val="en-GB"/>
    </w:rPr>
  </w:style>
  <w:style w:type="character" w:styleId="Menzionenonrisolta">
    <w:name w:val="Unresolved Mention"/>
    <w:basedOn w:val="Carpredefinitoparagrafo"/>
    <w:uiPriority w:val="99"/>
    <w:semiHidden/>
    <w:unhideWhenUsed/>
    <w:rsid w:val="003B5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A5EF2-8585-43AA-AEB3-85BD0B443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2852</Words>
  <Characters>17085</Characters>
  <Application>Microsoft Office Word</Application>
  <DocSecurity>0</DocSecurity>
  <Lines>240</Lines>
  <Paragraphs>82</Paragraphs>
  <ScaleCrop>false</ScaleCrop>
  <HeadingPairs>
    <vt:vector size="8" baseType="variant">
      <vt:variant>
        <vt:lpstr>Titolo</vt:lpstr>
      </vt:variant>
      <vt:variant>
        <vt:i4>1</vt:i4>
      </vt:variant>
      <vt:variant>
        <vt:lpstr>Título</vt:lpstr>
      </vt:variant>
      <vt:variant>
        <vt:i4>1</vt:i4>
      </vt:variant>
      <vt:variant>
        <vt:lpstr>Títulos</vt:lpstr>
      </vt:variant>
      <vt:variant>
        <vt:i4>1</vt:i4>
      </vt:variant>
      <vt:variant>
        <vt:lpstr>Title</vt:lpstr>
      </vt:variant>
      <vt:variant>
        <vt:i4>1</vt:i4>
      </vt:variant>
    </vt:vector>
  </HeadingPairs>
  <TitlesOfParts>
    <vt:vector size="4" baseType="lpstr">
      <vt:lpstr/>
      <vt:lpstr/>
      <vt:lpstr>Development of a rapid UV spectroscopic method for determining the enzyme activi</vt:lpstr>
      <vt:lpstr/>
    </vt:vector>
  </TitlesOfParts>
  <Company>Dipartimento CMIC - Politecnico di Milano</Company>
  <LinksUpToDate>false</LinksUpToDate>
  <CharactersWithSpaces>19855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MARIA ELENA RUSSO</cp:lastModifiedBy>
  <cp:revision>17</cp:revision>
  <cp:lastPrinted>2015-05-12T18:31:00Z</cp:lastPrinted>
  <dcterms:created xsi:type="dcterms:W3CDTF">2026-04-03T13:02:00Z</dcterms:created>
  <dcterms:modified xsi:type="dcterms:W3CDTF">2026-04-03T13:24:00Z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SIP_Label_2ad0b24d-6422-44b0-b3de-abb3a9e8c81a_Enabled">
    <vt:lpwstr>true</vt:lpwstr>
  </property>
  <property fmtid="{D5CDD505-2E9C-101B-9397-08002B2CF9AE}" pid="5" name="MSIP_Label_2ad0b24d-6422-44b0-b3de-abb3a9e8c81a_SetDate">
    <vt:lpwstr>2025-11-25T18:08:54Z</vt:lpwstr>
  </property>
  <property fmtid="{D5CDD505-2E9C-101B-9397-08002B2CF9AE}" pid="6" name="MSIP_Label_2ad0b24d-6422-44b0-b3de-abb3a9e8c81a_Method">
    <vt:lpwstr>Standard</vt:lpwstr>
  </property>
  <property fmtid="{D5CDD505-2E9C-101B-9397-08002B2CF9AE}" pid="7" name="MSIP_Label_2ad0b24d-6422-44b0-b3de-abb3a9e8c81a_Name">
    <vt:lpwstr>defa4170-0d19-0005-0004-bc88714345d2</vt:lpwstr>
  </property>
  <property fmtid="{D5CDD505-2E9C-101B-9397-08002B2CF9AE}" pid="8" name="MSIP_Label_2ad0b24d-6422-44b0-b3de-abb3a9e8c81a_SiteId">
    <vt:lpwstr>2fcfe26a-bb62-46b0-b1e3-28f9da0c45fd</vt:lpwstr>
  </property>
  <property fmtid="{D5CDD505-2E9C-101B-9397-08002B2CF9AE}" pid="9" name="MSIP_Label_2ad0b24d-6422-44b0-b3de-abb3a9e8c81a_ActionId">
    <vt:lpwstr>989eb871-b1f0-4719-9801-10c6dda5bcfb</vt:lpwstr>
  </property>
  <property fmtid="{D5CDD505-2E9C-101B-9397-08002B2CF9AE}" pid="10" name="MSIP_Label_2ad0b24d-6422-44b0-b3de-abb3a9e8c81a_ContentBits">
    <vt:lpwstr>0</vt:lpwstr>
  </property>
  <property fmtid="{D5CDD505-2E9C-101B-9397-08002B2CF9AE}" pid="11" name="MSIP_Label_2ad0b24d-6422-44b0-b3de-abb3a9e8c81a_Tag">
    <vt:lpwstr>10, 3, 0, 1</vt:lpwstr>
  </property>
</Properties>
</file>