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A05F02F"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proofErr w:type="gramStart"/>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723169">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6661ED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843EAC">
              <w:rPr>
                <w:rFonts w:ascii="Tahoma" w:hAnsi="Tahoma" w:cs="Tahoma"/>
                <w:color w:val="000000"/>
                <w:sz w:val="14"/>
                <w:szCs w:val="14"/>
                <w:shd w:val="clear" w:color="auto" w:fill="FFFFFF"/>
                <w:lang w:val="it-IT"/>
              </w:rPr>
              <w:t>Marco Bravi, Antonio Marzocchella, Giuseppe Caputo</w:t>
            </w:r>
          </w:p>
          <w:p w14:paraId="1B0F1814" w14:textId="62155F0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723169">
              <w:rPr>
                <w:rFonts w:ascii="Tahoma" w:hAnsi="Tahoma" w:cs="Tahoma"/>
                <w:sz w:val="14"/>
                <w:szCs w:val="14"/>
              </w:rPr>
              <w:t>10-6</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427D3C7B" w:rsidR="00E978D0" w:rsidRPr="00B57B36" w:rsidRDefault="009B466A" w:rsidP="00E978D0">
      <w:pPr>
        <w:pStyle w:val="CETTitle"/>
      </w:pPr>
      <w:r w:rsidRPr="009B466A">
        <w:t>A two</w:t>
      </w:r>
      <w:r>
        <w:t>-</w:t>
      </w:r>
      <w:r w:rsidRPr="009B466A">
        <w:t xml:space="preserve">phase model for ABE fermentation with a modified </w:t>
      </w:r>
      <w:r w:rsidRPr="009B466A">
        <w:rPr>
          <w:i/>
        </w:rPr>
        <w:t>Clostridium acetobutylicum</w:t>
      </w:r>
      <w:r w:rsidRPr="009B466A">
        <w:t xml:space="preserve"> strain</w:t>
      </w:r>
    </w:p>
    <w:p w14:paraId="0488FED2" w14:textId="458214C4" w:rsidR="00B57E6F" w:rsidRPr="007E46B9" w:rsidRDefault="009B466A" w:rsidP="00B57E6F">
      <w:pPr>
        <w:pStyle w:val="CETAuthors"/>
        <w:rPr>
          <w:lang w:val="es-CO"/>
        </w:rPr>
      </w:pPr>
      <w:r w:rsidRPr="007E46B9">
        <w:rPr>
          <w:lang w:val="es-CO"/>
        </w:rPr>
        <w:t>Paula A. Tapias C.</w:t>
      </w:r>
      <w:r w:rsidRPr="007E46B9">
        <w:rPr>
          <w:vertAlign w:val="superscript"/>
          <w:lang w:val="es-CO"/>
        </w:rPr>
        <w:t>a</w:t>
      </w:r>
      <w:r w:rsidRPr="007E46B9">
        <w:rPr>
          <w:lang w:val="es-CO"/>
        </w:rPr>
        <w:t>, Karoll M. Rubiano M.</w:t>
      </w:r>
      <w:r w:rsidRPr="007E46B9">
        <w:rPr>
          <w:vertAlign w:val="superscript"/>
          <w:lang w:val="es-CO"/>
        </w:rPr>
        <w:t>a</w:t>
      </w:r>
      <w:r w:rsidRPr="007E46B9">
        <w:rPr>
          <w:lang w:val="es-CO"/>
        </w:rPr>
        <w:t>, Juan C. Barreiro P.</w:t>
      </w:r>
      <w:r w:rsidRPr="007E46B9">
        <w:rPr>
          <w:vertAlign w:val="superscript"/>
          <w:lang w:val="es-CO"/>
        </w:rPr>
        <w:t>a</w:t>
      </w:r>
      <w:r w:rsidRPr="007E46B9">
        <w:rPr>
          <w:lang w:val="es-CO"/>
        </w:rPr>
        <w:t>, Nicolas Muñoz Castrillón</w:t>
      </w:r>
      <w:r w:rsidRPr="007E46B9">
        <w:rPr>
          <w:vertAlign w:val="superscript"/>
          <w:lang w:val="es-CO"/>
        </w:rPr>
        <w:t>a</w:t>
      </w:r>
      <w:r w:rsidRPr="007E46B9">
        <w:rPr>
          <w:lang w:val="es-CO"/>
        </w:rPr>
        <w:t>, Jose M. Bernal M.</w:t>
      </w:r>
      <w:r w:rsidRPr="007E46B9">
        <w:rPr>
          <w:vertAlign w:val="superscript"/>
          <w:lang w:val="es-CO"/>
        </w:rPr>
        <w:t>b</w:t>
      </w:r>
      <w:r w:rsidRPr="007E46B9">
        <w:rPr>
          <w:lang w:val="es-CO"/>
        </w:rPr>
        <w:t>, Carlos A. M. Riascos</w:t>
      </w:r>
      <w:r w:rsidRPr="007E46B9">
        <w:rPr>
          <w:vertAlign w:val="superscript"/>
          <w:lang w:val="es-CO"/>
        </w:rPr>
        <w:t>b,</w:t>
      </w:r>
      <w:r w:rsidRPr="007E46B9">
        <w:rPr>
          <w:lang w:val="es-CO"/>
        </w:rPr>
        <w:t>*</w:t>
      </w:r>
    </w:p>
    <w:p w14:paraId="6B2D21B3" w14:textId="4A7A5167" w:rsidR="00B57E6F" w:rsidRPr="000D60E8" w:rsidRDefault="00B57E6F" w:rsidP="00B57E6F">
      <w:pPr>
        <w:pStyle w:val="CETAddress"/>
        <w:rPr>
          <w:lang w:val="es-CO"/>
        </w:rPr>
      </w:pPr>
      <w:r w:rsidRPr="000D60E8">
        <w:rPr>
          <w:vertAlign w:val="superscript"/>
          <w:lang w:val="es-CO"/>
        </w:rPr>
        <w:t>a</w:t>
      </w:r>
      <w:r w:rsidR="009B466A" w:rsidRPr="000D60E8">
        <w:rPr>
          <w:lang w:val="es-CO"/>
        </w:rPr>
        <w:t>Chemical and Environmental Engineering Department, Universidad Nacional de Colombia</w:t>
      </w:r>
      <w:r w:rsidRPr="000D60E8">
        <w:rPr>
          <w:lang w:val="es-CO"/>
        </w:rPr>
        <w:t xml:space="preserve">, </w:t>
      </w:r>
      <w:r w:rsidR="00A21243" w:rsidRPr="000D60E8">
        <w:rPr>
          <w:lang w:val="es-CO"/>
        </w:rPr>
        <w:t>Bogotá 111321, Colombia.</w:t>
      </w:r>
    </w:p>
    <w:p w14:paraId="3D72B0B0" w14:textId="3632808C" w:rsidR="00B57E6F" w:rsidRPr="00A21243" w:rsidRDefault="00B57E6F" w:rsidP="00B57E6F">
      <w:pPr>
        <w:pStyle w:val="CETAddress"/>
        <w:rPr>
          <w:lang w:val="es-CO"/>
        </w:rPr>
      </w:pPr>
      <w:r w:rsidRPr="00A21243">
        <w:rPr>
          <w:vertAlign w:val="superscript"/>
          <w:lang w:val="es-CO"/>
        </w:rPr>
        <w:t>b</w:t>
      </w:r>
      <w:r w:rsidR="009B466A" w:rsidRPr="00A21243">
        <w:rPr>
          <w:lang w:val="es-CO"/>
        </w:rPr>
        <w:t>Institute of Biotechnology, Universidad Nacional de Colombia</w:t>
      </w:r>
      <w:r w:rsidRPr="00A21243">
        <w:rPr>
          <w:lang w:val="es-CO"/>
        </w:rPr>
        <w:t xml:space="preserve">, </w:t>
      </w:r>
      <w:r w:rsidR="00A21243" w:rsidRPr="00A21243">
        <w:rPr>
          <w:lang w:val="es-CO"/>
        </w:rPr>
        <w:t>Bogotá 111321, Colombia</w:t>
      </w:r>
      <w:r w:rsidR="00A21243">
        <w:rPr>
          <w:lang w:val="es-CO"/>
        </w:rPr>
        <w:t>.</w:t>
      </w:r>
    </w:p>
    <w:p w14:paraId="73F1267A" w14:textId="623AA1B6" w:rsidR="00B57E6F" w:rsidRPr="00B57B36" w:rsidRDefault="00B57E6F" w:rsidP="00B57E6F">
      <w:pPr>
        <w:pStyle w:val="CETemail"/>
      </w:pPr>
      <w:r w:rsidRPr="00B57B36">
        <w:t>c</w:t>
      </w:r>
      <w:r w:rsidR="009B466A">
        <w:t>amartinezri</w:t>
      </w:r>
      <w:r w:rsidRPr="00B57B36">
        <w:t>@</w:t>
      </w:r>
      <w:r w:rsidR="009B466A">
        <w:t>unal.edu.co</w:t>
      </w:r>
    </w:p>
    <w:p w14:paraId="077AEFB3" w14:textId="22DDEEA5" w:rsidR="00C00C07" w:rsidRDefault="00C00C07" w:rsidP="00C00C07">
      <w:pPr>
        <w:rPr>
          <w:color w:val="000000"/>
        </w:rPr>
      </w:pPr>
      <w:r>
        <w:rPr>
          <w:color w:val="000000"/>
        </w:rPr>
        <w:t xml:space="preserve">Acetone-Butanol-Ethanol (ABE) fermentation has regained interest due to the environmental problems generated by fossil fuels and the need to modify production chains including considerations of sustainability and circular economy. This work focuses on the modelling of ABE fermentation, with a </w:t>
      </w:r>
      <w:r>
        <w:rPr>
          <w:i/>
          <w:color w:val="000000"/>
        </w:rPr>
        <w:t>Clostridium acetobutylicum</w:t>
      </w:r>
      <w:r>
        <w:rPr>
          <w:color w:val="000000"/>
        </w:rPr>
        <w:t xml:space="preserve"> mutated strain, </w:t>
      </w:r>
      <w:r w:rsidR="0081639C">
        <w:rPr>
          <w:color w:val="000000"/>
        </w:rPr>
        <w:t>to</w:t>
      </w:r>
      <w:r>
        <w:rPr>
          <w:color w:val="000000"/>
        </w:rPr>
        <w:t xml:space="preserve"> support the synthesis and improvement of butanol and acetone production process. To reach this objective, bioreactor fermentations with different glucose concentrations were developed. Results show that a two phases model (with a set of equations for the acidogenesis and another for the solventogenesis) generates satisfactory </w:t>
      </w:r>
      <w:r>
        <w:t>process predictions</w:t>
      </w:r>
      <w:r>
        <w:rPr>
          <w:color w:val="000000"/>
        </w:rPr>
        <w:t>. In acidogenesis, the main effect on growth and acid production is due to the inhibition by acids, which can be quantified as a function of the total concentration of acids. While in the solventogenesis, inhibition must be quantified as a function</w:t>
      </w:r>
      <w:r>
        <w:t xml:space="preserve"> of the total concentration of solvents. This model agrees with metabolic analysis that considers solvents generation being produced, simultaneously, from acids and sugars. For the studied system, acetone and butanol production is based on re-a</w:t>
      </w:r>
      <w:r>
        <w:rPr>
          <w:color w:val="000000"/>
        </w:rPr>
        <w:t>ssimilated acids and pyruvate from glycolysis, with a distribution that changes with glucose availability.</w:t>
      </w:r>
    </w:p>
    <w:p w14:paraId="476B2F2E" w14:textId="77777777" w:rsidR="00600535" w:rsidRPr="00B57B36" w:rsidRDefault="00600535" w:rsidP="00600535">
      <w:pPr>
        <w:pStyle w:val="CETHeading1"/>
        <w:rPr>
          <w:lang w:val="en-GB"/>
        </w:rPr>
      </w:pPr>
      <w:r w:rsidRPr="00B57B36">
        <w:rPr>
          <w:lang w:val="en-GB"/>
        </w:rPr>
        <w:t>Introduction</w:t>
      </w:r>
    </w:p>
    <w:p w14:paraId="58F7A5BD" w14:textId="5971CA9B" w:rsidR="005E4DF3" w:rsidRDefault="00AE112E" w:rsidP="009A559C">
      <w:pPr>
        <w:pStyle w:val="CETBodytext"/>
        <w:rPr>
          <w:lang w:val="en-GB"/>
        </w:rPr>
      </w:pPr>
      <w:r w:rsidRPr="007E46B9">
        <w:rPr>
          <w:lang w:val="en-GB"/>
        </w:rPr>
        <w:t>Mathematical modelling is a successful strategy for rigorous analysis of processes. This strategy allows an efficient estimation of operational conditions, which impacts the process performance</w:t>
      </w:r>
      <w:r w:rsidR="00765E20">
        <w:rPr>
          <w:lang w:val="en-GB"/>
        </w:rPr>
        <w:t>.</w:t>
      </w:r>
      <w:r>
        <w:rPr>
          <w:lang w:val="en-GB"/>
        </w:rPr>
        <w:t xml:space="preserve"> </w:t>
      </w:r>
      <w:r w:rsidR="00CA5ABE">
        <w:rPr>
          <w:lang w:val="en-GB"/>
        </w:rPr>
        <w:t xml:space="preserve">Bioprocess modelling is a key issue in </w:t>
      </w:r>
      <w:r w:rsidR="00407DD4">
        <w:rPr>
          <w:lang w:val="en-GB"/>
        </w:rPr>
        <w:t>process</w:t>
      </w:r>
      <w:r w:rsidR="009347F8">
        <w:rPr>
          <w:lang w:val="en-GB"/>
        </w:rPr>
        <w:t xml:space="preserve"> development and</w:t>
      </w:r>
      <w:r w:rsidR="00407DD4">
        <w:rPr>
          <w:lang w:val="en-GB"/>
        </w:rPr>
        <w:t xml:space="preserve"> </w:t>
      </w:r>
      <w:r w:rsidR="00CA5ABE">
        <w:rPr>
          <w:lang w:val="en-GB"/>
        </w:rPr>
        <w:t>improvement</w:t>
      </w:r>
      <w:r w:rsidR="00407DD4">
        <w:rPr>
          <w:lang w:val="en-GB"/>
        </w:rPr>
        <w:t xml:space="preserve"> due to predicti</w:t>
      </w:r>
      <w:r w:rsidR="007936BC">
        <w:rPr>
          <w:lang w:val="en-GB"/>
        </w:rPr>
        <w:t>ve</w:t>
      </w:r>
      <w:r w:rsidR="00407DD4">
        <w:rPr>
          <w:lang w:val="en-GB"/>
        </w:rPr>
        <w:t xml:space="preserve"> models are essential </w:t>
      </w:r>
      <w:r w:rsidR="009E3E28">
        <w:rPr>
          <w:lang w:val="en-GB"/>
        </w:rPr>
        <w:t>to support synthesis, optimization</w:t>
      </w:r>
      <w:r w:rsidR="009347F8">
        <w:rPr>
          <w:lang w:val="en-GB"/>
        </w:rPr>
        <w:t>, monitoring</w:t>
      </w:r>
      <w:r w:rsidR="009E3E28">
        <w:rPr>
          <w:lang w:val="en-GB"/>
        </w:rPr>
        <w:t xml:space="preserve"> and control</w:t>
      </w:r>
      <w:r w:rsidR="00407DD4">
        <w:rPr>
          <w:lang w:val="en-GB"/>
        </w:rPr>
        <w:t xml:space="preserve"> </w:t>
      </w:r>
      <w:r w:rsidR="009347F8">
        <w:rPr>
          <w:lang w:val="en-GB"/>
        </w:rPr>
        <w:t>of the processes</w:t>
      </w:r>
      <w:r w:rsidR="009E3E28">
        <w:rPr>
          <w:lang w:val="en-GB"/>
        </w:rPr>
        <w:t xml:space="preserve">. </w:t>
      </w:r>
      <w:r w:rsidR="00947153">
        <w:rPr>
          <w:lang w:val="en-GB"/>
        </w:rPr>
        <w:t>T</w:t>
      </w:r>
      <w:r w:rsidR="00CA5ABE">
        <w:rPr>
          <w:lang w:val="en-GB"/>
        </w:rPr>
        <w:t xml:space="preserve">he traditional strategy </w:t>
      </w:r>
      <w:r w:rsidR="00947153">
        <w:rPr>
          <w:lang w:val="en-GB"/>
        </w:rPr>
        <w:t xml:space="preserve">to develop mathematical predictive models for bioprocesses </w:t>
      </w:r>
      <w:r w:rsidR="00CA5ABE">
        <w:rPr>
          <w:lang w:val="en-GB"/>
        </w:rPr>
        <w:t>considers</w:t>
      </w:r>
      <w:r w:rsidR="009347F8">
        <w:rPr>
          <w:lang w:val="en-GB"/>
        </w:rPr>
        <w:t xml:space="preserve"> the combination of first-principles equations (mass, energy balances) with empirical equations for metabolic rates and growth kinetics</w:t>
      </w:r>
      <w:r w:rsidR="00CA5ABE">
        <w:rPr>
          <w:lang w:val="en-GB"/>
        </w:rPr>
        <w:t>, like Monod</w:t>
      </w:r>
      <w:r w:rsidR="009A559C">
        <w:rPr>
          <w:lang w:val="en-GB"/>
        </w:rPr>
        <w:t xml:space="preserve">´s </w:t>
      </w:r>
      <w:r w:rsidR="00F976A4">
        <w:rPr>
          <w:lang w:val="en-GB"/>
        </w:rPr>
        <w:t>equation; Mears et al. (2017) present an interesting work on the use of mechanistic models for bioprocesses</w:t>
      </w:r>
      <w:r w:rsidR="009A559C">
        <w:rPr>
          <w:lang w:val="en-GB"/>
        </w:rPr>
        <w:t>.</w:t>
      </w:r>
      <w:r w:rsidR="00F976A4">
        <w:rPr>
          <w:lang w:val="en-GB"/>
        </w:rPr>
        <w:t xml:space="preserve"> </w:t>
      </w:r>
    </w:p>
    <w:p w14:paraId="204C1392" w14:textId="6AE5651A" w:rsidR="00CA5ABE" w:rsidRDefault="00F976A4" w:rsidP="009A559C">
      <w:pPr>
        <w:pStyle w:val="CETBodytext"/>
        <w:rPr>
          <w:lang w:val="en-GB"/>
        </w:rPr>
      </w:pPr>
      <w:r>
        <w:rPr>
          <w:lang w:val="en-GB"/>
        </w:rPr>
        <w:t xml:space="preserve">Another strategy is </w:t>
      </w:r>
      <w:r w:rsidR="001159AD">
        <w:rPr>
          <w:lang w:val="en-GB"/>
        </w:rPr>
        <w:t xml:space="preserve">to employ only statistical models, such as </w:t>
      </w:r>
      <w:r w:rsidR="006C12E2">
        <w:rPr>
          <w:lang w:val="en-GB"/>
        </w:rPr>
        <w:t>R</w:t>
      </w:r>
      <w:r w:rsidR="001159AD">
        <w:rPr>
          <w:lang w:val="en-GB"/>
        </w:rPr>
        <w:t xml:space="preserve">esponse </w:t>
      </w:r>
      <w:r w:rsidR="006C12E2">
        <w:rPr>
          <w:lang w:val="en-GB"/>
        </w:rPr>
        <w:t>S</w:t>
      </w:r>
      <w:r w:rsidR="001159AD">
        <w:rPr>
          <w:lang w:val="en-GB"/>
        </w:rPr>
        <w:t>urface</w:t>
      </w:r>
      <w:r w:rsidR="006C12E2">
        <w:rPr>
          <w:lang w:val="en-GB"/>
        </w:rPr>
        <w:t xml:space="preserve"> Models (RSM)</w:t>
      </w:r>
      <w:r w:rsidR="005B693D">
        <w:rPr>
          <w:lang w:val="en-GB"/>
        </w:rPr>
        <w:t xml:space="preserve">; </w:t>
      </w:r>
      <w:r w:rsidR="005B693D" w:rsidRPr="005B693D">
        <w:rPr>
          <w:lang w:val="en-GB"/>
        </w:rPr>
        <w:t>Al-</w:t>
      </w:r>
      <w:proofErr w:type="spellStart"/>
      <w:r w:rsidR="005B693D" w:rsidRPr="005B693D">
        <w:rPr>
          <w:lang w:val="en-GB"/>
        </w:rPr>
        <w:t>Shorgani</w:t>
      </w:r>
      <w:proofErr w:type="spellEnd"/>
      <w:r w:rsidR="005B693D" w:rsidRPr="005B693D">
        <w:rPr>
          <w:lang w:val="en-GB"/>
        </w:rPr>
        <w:t xml:space="preserve"> et al.</w:t>
      </w:r>
      <w:r w:rsidR="005B693D">
        <w:rPr>
          <w:lang w:val="en-GB"/>
        </w:rPr>
        <w:t xml:space="preserve"> (</w:t>
      </w:r>
      <w:r w:rsidR="005B693D" w:rsidRPr="005B693D">
        <w:rPr>
          <w:lang w:val="en-GB"/>
        </w:rPr>
        <w:t>2016</w:t>
      </w:r>
      <w:r w:rsidR="005B693D">
        <w:rPr>
          <w:lang w:val="en-GB"/>
        </w:rPr>
        <w:t xml:space="preserve">) </w:t>
      </w:r>
      <w:r w:rsidR="006C12E2">
        <w:rPr>
          <w:lang w:val="en-GB"/>
        </w:rPr>
        <w:t>optimized butanol</w:t>
      </w:r>
      <w:r w:rsidR="009B6EC5">
        <w:rPr>
          <w:lang w:val="en-GB"/>
        </w:rPr>
        <w:t xml:space="preserve"> production</w:t>
      </w:r>
      <w:r w:rsidR="006C12E2">
        <w:rPr>
          <w:lang w:val="en-GB"/>
        </w:rPr>
        <w:t xml:space="preserve"> in </w:t>
      </w:r>
      <w:r w:rsidR="00F027F4">
        <w:rPr>
          <w:lang w:val="en-GB"/>
        </w:rPr>
        <w:t xml:space="preserve">an </w:t>
      </w:r>
      <w:r w:rsidR="006C12E2">
        <w:rPr>
          <w:lang w:val="en-GB"/>
        </w:rPr>
        <w:t xml:space="preserve">ABE fermentation employing </w:t>
      </w:r>
      <w:r w:rsidR="00F027F4">
        <w:rPr>
          <w:lang w:val="en-GB"/>
        </w:rPr>
        <w:t>an</w:t>
      </w:r>
      <w:r w:rsidR="006C12E2">
        <w:rPr>
          <w:lang w:val="en-GB"/>
        </w:rPr>
        <w:t xml:space="preserve"> RSM</w:t>
      </w:r>
      <w:r w:rsidR="009B6EC5">
        <w:rPr>
          <w:lang w:val="en-GB"/>
        </w:rPr>
        <w:t xml:space="preserve"> strategy,</w:t>
      </w:r>
      <w:r w:rsidR="006C12E2">
        <w:rPr>
          <w:lang w:val="en-GB"/>
        </w:rPr>
        <w:t xml:space="preserve"> and </w:t>
      </w:r>
      <w:r w:rsidR="005B693D">
        <w:rPr>
          <w:lang w:val="en-GB"/>
        </w:rPr>
        <w:t xml:space="preserve">suggest that </w:t>
      </w:r>
      <w:r w:rsidR="00F027F4">
        <w:rPr>
          <w:lang w:val="en-GB"/>
        </w:rPr>
        <w:t>it</w:t>
      </w:r>
      <w:r w:rsidR="006C12E2">
        <w:rPr>
          <w:lang w:val="en-GB"/>
        </w:rPr>
        <w:t xml:space="preserve"> is a valid and successful tool for process analysis</w:t>
      </w:r>
      <w:r>
        <w:rPr>
          <w:lang w:val="en-GB"/>
        </w:rPr>
        <w:t xml:space="preserve">. </w:t>
      </w:r>
      <w:r w:rsidR="005B693D">
        <w:rPr>
          <w:lang w:val="en-GB"/>
        </w:rPr>
        <w:t>O</w:t>
      </w:r>
      <w:r>
        <w:rPr>
          <w:lang w:val="en-GB"/>
        </w:rPr>
        <w:t xml:space="preserve">n the other hand, </w:t>
      </w:r>
      <w:r w:rsidR="006C12E2">
        <w:rPr>
          <w:lang w:val="en-GB"/>
        </w:rPr>
        <w:t xml:space="preserve">with the recent development in genetics and other omics, there is a tendency to increase </w:t>
      </w:r>
      <w:r>
        <w:rPr>
          <w:lang w:val="en-GB"/>
        </w:rPr>
        <w:t>t</w:t>
      </w:r>
      <w:r w:rsidR="009A559C" w:rsidRPr="009A559C">
        <w:rPr>
          <w:lang w:val="en-GB"/>
        </w:rPr>
        <w:t xml:space="preserve">he level of </w:t>
      </w:r>
      <w:r>
        <w:rPr>
          <w:lang w:val="en-GB"/>
        </w:rPr>
        <w:t>complexity</w:t>
      </w:r>
      <w:r w:rsidR="009A559C" w:rsidRPr="009A559C">
        <w:rPr>
          <w:lang w:val="en-GB"/>
        </w:rPr>
        <w:t xml:space="preserve"> </w:t>
      </w:r>
      <w:r w:rsidR="006C12E2">
        <w:rPr>
          <w:lang w:val="en-GB"/>
        </w:rPr>
        <w:t>of the models by</w:t>
      </w:r>
      <w:r>
        <w:rPr>
          <w:lang w:val="en-GB"/>
        </w:rPr>
        <w:t xml:space="preserve"> includ</w:t>
      </w:r>
      <w:r w:rsidR="006C12E2">
        <w:rPr>
          <w:lang w:val="en-GB"/>
        </w:rPr>
        <w:t>ing</w:t>
      </w:r>
      <w:r>
        <w:rPr>
          <w:lang w:val="en-GB"/>
        </w:rPr>
        <w:t xml:space="preserve"> </w:t>
      </w:r>
      <w:r w:rsidR="009A559C" w:rsidRPr="009A559C">
        <w:rPr>
          <w:lang w:val="en-GB"/>
        </w:rPr>
        <w:t>intracellular metabolism</w:t>
      </w:r>
      <w:r w:rsidR="009B6EC5">
        <w:rPr>
          <w:lang w:val="en-GB"/>
        </w:rPr>
        <w:t xml:space="preserve"> phenomenon</w:t>
      </w:r>
      <w:r w:rsidR="009A559C" w:rsidRPr="009A559C">
        <w:rPr>
          <w:lang w:val="en-GB"/>
        </w:rPr>
        <w:t xml:space="preserve">, </w:t>
      </w:r>
      <w:r w:rsidR="007936BC">
        <w:rPr>
          <w:lang w:val="en-GB"/>
        </w:rPr>
        <w:t xml:space="preserve">which </w:t>
      </w:r>
      <w:r w:rsidR="00F027F4">
        <w:rPr>
          <w:lang w:val="en-GB"/>
        </w:rPr>
        <w:t xml:space="preserve">requires </w:t>
      </w:r>
      <w:r>
        <w:rPr>
          <w:lang w:val="en-GB"/>
        </w:rPr>
        <w:t xml:space="preserve">to </w:t>
      </w:r>
      <w:r w:rsidR="009A559C" w:rsidRPr="009A559C">
        <w:rPr>
          <w:lang w:val="en-GB"/>
        </w:rPr>
        <w:t>describe</w:t>
      </w:r>
      <w:r>
        <w:rPr>
          <w:lang w:val="en-GB"/>
        </w:rPr>
        <w:t xml:space="preserve"> </w:t>
      </w:r>
      <w:r w:rsidR="009A559C" w:rsidRPr="009A559C">
        <w:rPr>
          <w:lang w:val="en-GB"/>
        </w:rPr>
        <w:t xml:space="preserve">the cell in terms of </w:t>
      </w:r>
      <w:r>
        <w:rPr>
          <w:lang w:val="en-GB"/>
        </w:rPr>
        <w:t>its</w:t>
      </w:r>
      <w:r w:rsidR="009A559C" w:rsidRPr="009A559C">
        <w:rPr>
          <w:lang w:val="en-GB"/>
        </w:rPr>
        <w:t xml:space="preserve"> int</w:t>
      </w:r>
      <w:r>
        <w:rPr>
          <w:lang w:val="en-GB"/>
        </w:rPr>
        <w:t>ernal</w:t>
      </w:r>
      <w:r w:rsidR="009A559C" w:rsidRPr="009A559C">
        <w:rPr>
          <w:lang w:val="en-GB"/>
        </w:rPr>
        <w:t xml:space="preserve"> components, such as ATP, NADH, metabolites, etc</w:t>
      </w:r>
      <w:r w:rsidR="007936BC">
        <w:rPr>
          <w:lang w:val="en-GB"/>
        </w:rPr>
        <w:t>. This strategy</w:t>
      </w:r>
      <w:r w:rsidR="00F027F4">
        <w:rPr>
          <w:lang w:val="en-GB"/>
        </w:rPr>
        <w:t xml:space="preserve"> is supported on </w:t>
      </w:r>
      <w:r w:rsidR="009A559C" w:rsidRPr="009A559C">
        <w:rPr>
          <w:lang w:val="en-GB"/>
        </w:rPr>
        <w:t xml:space="preserve">a detailed understanding of the </w:t>
      </w:r>
      <w:r w:rsidR="009A559C" w:rsidRPr="009A4B7F">
        <w:rPr>
          <w:lang w:val="en-GB"/>
        </w:rPr>
        <w:t>metaboli</w:t>
      </w:r>
      <w:r w:rsidRPr="009A4B7F">
        <w:rPr>
          <w:lang w:val="en-GB"/>
        </w:rPr>
        <w:t>sm</w:t>
      </w:r>
      <w:r w:rsidR="009A559C" w:rsidRPr="009A4B7F">
        <w:rPr>
          <w:lang w:val="en-GB"/>
        </w:rPr>
        <w:t xml:space="preserve"> pathways,</w:t>
      </w:r>
      <w:r w:rsidR="009A4B7F" w:rsidRPr="009A4B7F">
        <w:rPr>
          <w:lang w:val="en-GB"/>
        </w:rPr>
        <w:t xml:space="preserve"> and the regulation mechanisms</w:t>
      </w:r>
      <w:r w:rsidR="007152DD">
        <w:rPr>
          <w:lang w:val="en-GB"/>
        </w:rPr>
        <w:t>, as supported by Rivas-</w:t>
      </w:r>
      <w:proofErr w:type="spellStart"/>
      <w:r w:rsidR="007152DD">
        <w:rPr>
          <w:lang w:val="en-GB"/>
        </w:rPr>
        <w:t>Astroza</w:t>
      </w:r>
      <w:proofErr w:type="spellEnd"/>
      <w:r w:rsidR="007152DD">
        <w:rPr>
          <w:lang w:val="en-GB"/>
        </w:rPr>
        <w:t xml:space="preserve"> et al. (2021)</w:t>
      </w:r>
      <w:r w:rsidR="009A4B7F" w:rsidRPr="009A4B7F">
        <w:rPr>
          <w:lang w:val="en-GB"/>
        </w:rPr>
        <w:t>.</w:t>
      </w:r>
    </w:p>
    <w:p w14:paraId="572F3384" w14:textId="52124B8F" w:rsidR="00947153" w:rsidRDefault="001C5A39" w:rsidP="001C5A39">
      <w:pPr>
        <w:rPr>
          <w:color w:val="000000"/>
        </w:rPr>
      </w:pPr>
      <w:r>
        <w:rPr>
          <w:color w:val="000000"/>
        </w:rPr>
        <w:t>For ABE fermentation, the most commonly used substrate is starch, which is converted into glucose through hydrolysis. Additionally, hydrolysis can also convert other types of substrates from lignocellulosic material such</w:t>
      </w:r>
      <w:r w:rsidR="00D81863">
        <w:rPr>
          <w:color w:val="000000"/>
        </w:rPr>
        <w:t xml:space="preserve"> </w:t>
      </w:r>
      <w:r w:rsidR="00D81863">
        <w:rPr>
          <w:color w:val="000000"/>
        </w:rPr>
        <w:t>as hemicellulose and cellulose into simple sugars like xylose and glucose (Mayank et al., 2012). In the case of pentoses, such as xylose, the pentose phosphate pathway (PPP) is followed to produce pyruvate, generating 5 moles of adenosine triphosphate (ATP) and 5 moles of nicotinamide adenine dinucleotide (NADH) for every 3 moles of pentose (Jones &amp; Woods, 1986</w:t>
      </w:r>
      <w:r w:rsidR="00D81863">
        <w:t>)</w:t>
      </w:r>
      <w:r w:rsidR="00D81863">
        <w:rPr>
          <w:color w:val="000000"/>
        </w:rPr>
        <w:t>. Meanwhile, for hexoses, the Embden Meyerhof pathway (EMP) is followed; in this pathway, 1 mole of glucose produces 2 moles of pyruvate and has a net production of 2 moles</w:t>
      </w:r>
      <w:r w:rsidR="00D81863">
        <w:rPr>
          <w:color w:val="000000"/>
        </w:rPr>
        <w:t xml:space="preserve"> </w:t>
      </w:r>
      <w:r w:rsidR="00D81863">
        <w:rPr>
          <w:color w:val="000000"/>
        </w:rPr>
        <w:t>of ATP and 2 moles of NADH</w:t>
      </w:r>
      <w:r w:rsidR="00D81863">
        <w:t xml:space="preserve">, as shown in Figure 1. </w:t>
      </w:r>
      <w:r w:rsidR="00D81863">
        <w:rPr>
          <w:color w:val="000000"/>
        </w:rPr>
        <w:t>The pyruvate formed from sugars goes through a series of</w:t>
      </w:r>
    </w:p>
    <w:p w14:paraId="1722D522" w14:textId="2E574661" w:rsidR="00EB3FA0" w:rsidRDefault="00EB3FA0" w:rsidP="001B7619">
      <w:pPr>
        <w:pStyle w:val="CETBodytext"/>
        <w:spacing w:line="240" w:lineRule="auto"/>
        <w:jc w:val="center"/>
        <w:rPr>
          <w:lang w:val="en-GB"/>
        </w:rPr>
      </w:pPr>
      <w:r>
        <w:rPr>
          <w:b/>
          <w:noProof/>
        </w:rPr>
        <w:lastRenderedPageBreak/>
        <w:drawing>
          <wp:inline distT="0" distB="0" distL="0" distR="0" wp14:anchorId="6533C696" wp14:editId="4C4DA086">
            <wp:extent cx="3763203" cy="2777706"/>
            <wp:effectExtent l="0" t="0" r="8890" b="3810"/>
            <wp:docPr id="804511457"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11457" name="Imagen 1" descr="Diagram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81769" cy="2791410"/>
                    </a:xfrm>
                    <a:prstGeom prst="rect">
                      <a:avLst/>
                    </a:prstGeom>
                  </pic:spPr>
                </pic:pic>
              </a:graphicData>
            </a:graphic>
          </wp:inline>
        </w:drawing>
      </w:r>
    </w:p>
    <w:p w14:paraId="0B7DA6A3" w14:textId="77777777" w:rsidR="00947153" w:rsidRPr="00F80FFE" w:rsidRDefault="00947153" w:rsidP="001B7619">
      <w:pPr>
        <w:pStyle w:val="CETCaption"/>
        <w:spacing w:before="120"/>
      </w:pPr>
      <w:r>
        <w:t>Figure 1:</w:t>
      </w:r>
      <w:r w:rsidRPr="001C5A39">
        <w:t xml:space="preserve"> Major metabolic pathways of ABE fermentation, including some cofactors of the acidogenic phase and the solventogenic phase. Adapted from Moon et al. (2016)</w:t>
      </w:r>
      <w:r>
        <w:t>.</w:t>
      </w:r>
    </w:p>
    <w:p w14:paraId="080463B9" w14:textId="655034DB" w:rsidR="001C5A39" w:rsidRDefault="001C5A39" w:rsidP="001C5A39">
      <w:r>
        <w:rPr>
          <w:color w:val="000000"/>
        </w:rPr>
        <w:t>reactions to reach acetyl-CoA, and from this point, other pathways lead to the production of acetic acid</w:t>
      </w:r>
      <w:r w:rsidR="00D81863">
        <w:rPr>
          <w:color w:val="000000"/>
        </w:rPr>
        <w:t>,</w:t>
      </w:r>
      <w:r>
        <w:rPr>
          <w:color w:val="000000"/>
        </w:rPr>
        <w:t xml:space="preserve"> butyric acid</w:t>
      </w:r>
      <w:r w:rsidR="00D81863">
        <w:rPr>
          <w:color w:val="000000"/>
        </w:rPr>
        <w:t xml:space="preserve"> and ethanol.</w:t>
      </w:r>
      <w:r>
        <w:rPr>
          <w:color w:val="000000"/>
        </w:rPr>
        <w:t xml:space="preserve"> During this process, the pH decreases, ATP is produced, and the cell </w:t>
      </w:r>
      <w:r>
        <w:t>utilises</w:t>
      </w:r>
      <w:r>
        <w:rPr>
          <w:color w:val="000000"/>
        </w:rPr>
        <w:t xml:space="preserve"> this energy for growth. Subsequently, during the solventogenic phase, there is an energy </w:t>
      </w:r>
      <w:r w:rsidR="007E5144">
        <w:rPr>
          <w:color w:val="000000"/>
        </w:rPr>
        <w:t xml:space="preserve">consumption </w:t>
      </w:r>
      <w:r>
        <w:rPr>
          <w:color w:val="000000"/>
        </w:rPr>
        <w:t xml:space="preserve">associated with NADH, and the production of acetone from </w:t>
      </w:r>
      <w:proofErr w:type="spellStart"/>
      <w:r>
        <w:rPr>
          <w:color w:val="000000"/>
        </w:rPr>
        <w:t>acetoacetyl</w:t>
      </w:r>
      <w:proofErr w:type="spellEnd"/>
      <w:r>
        <w:rPr>
          <w:color w:val="000000"/>
        </w:rPr>
        <w:t>-CoA and butanol from butyryl-CoA begins (</w:t>
      </w:r>
      <w:r>
        <w:t>Moon et al., 2016</w:t>
      </w:r>
      <w:r>
        <w:rPr>
          <w:color w:val="000000"/>
        </w:rPr>
        <w:t>).</w:t>
      </w:r>
    </w:p>
    <w:p w14:paraId="17137046" w14:textId="0C9DB61D" w:rsidR="00D311EA" w:rsidRPr="00D311EA" w:rsidRDefault="00D311EA" w:rsidP="00D311EA">
      <w:pPr>
        <w:pStyle w:val="CETBodytext"/>
        <w:rPr>
          <w:lang w:val="en-GB"/>
        </w:rPr>
      </w:pPr>
      <w:r w:rsidRPr="00D311EA">
        <w:rPr>
          <w:lang w:val="en-GB"/>
        </w:rPr>
        <w:t xml:space="preserve">The modelling of ABE fermentation has been reported and reviewed in the literature (Mayank et al., 2012) with different strategies from </w:t>
      </w:r>
      <w:r w:rsidR="007E5144">
        <w:rPr>
          <w:lang w:val="en-GB"/>
        </w:rPr>
        <w:t>th</w:t>
      </w:r>
      <w:r w:rsidRPr="00D311EA">
        <w:rPr>
          <w:lang w:val="en-GB"/>
        </w:rPr>
        <w:t xml:space="preserve">e simplest to the most complex. </w:t>
      </w:r>
      <w:proofErr w:type="spellStart"/>
      <w:r w:rsidRPr="00D311EA">
        <w:rPr>
          <w:lang w:val="en-GB"/>
        </w:rPr>
        <w:t>Papoutsakis</w:t>
      </w:r>
      <w:proofErr w:type="spellEnd"/>
      <w:r w:rsidRPr="00D311EA">
        <w:rPr>
          <w:lang w:val="en-GB"/>
        </w:rPr>
        <w:t xml:space="preserve"> et al. (1984) considered stoichiometric fermentation equations. </w:t>
      </w:r>
      <w:proofErr w:type="spellStart"/>
      <w:r w:rsidRPr="00D311EA">
        <w:rPr>
          <w:lang w:val="en-GB"/>
        </w:rPr>
        <w:t>Mulchandani</w:t>
      </w:r>
      <w:proofErr w:type="spellEnd"/>
      <w:r w:rsidRPr="00D311EA">
        <w:rPr>
          <w:lang w:val="en-GB"/>
        </w:rPr>
        <w:t xml:space="preserve"> and </w:t>
      </w:r>
      <w:proofErr w:type="spellStart"/>
      <w:r w:rsidRPr="00D311EA">
        <w:rPr>
          <w:lang w:val="en-GB"/>
        </w:rPr>
        <w:t>Volesky</w:t>
      </w:r>
      <w:proofErr w:type="spellEnd"/>
      <w:r w:rsidRPr="00D311EA">
        <w:rPr>
          <w:lang w:val="en-GB"/>
        </w:rPr>
        <w:t xml:space="preserve"> (1986) considered a term for product inhibition. Subsequently, dynamic models that integrate enzymatic behaviour depending on the initial glucose concentration were developed (Li et al., 2011). The shift from acidogenesis to solventogenesis was considered by Buehler and Mesbah (2016) through a transfer function given by pH. Recently, Rivas-</w:t>
      </w:r>
      <w:proofErr w:type="spellStart"/>
      <w:r w:rsidRPr="00D311EA">
        <w:rPr>
          <w:lang w:val="en-GB"/>
        </w:rPr>
        <w:t>Astroza</w:t>
      </w:r>
      <w:proofErr w:type="spellEnd"/>
      <w:r w:rsidRPr="00D311EA">
        <w:rPr>
          <w:lang w:val="en-GB"/>
        </w:rPr>
        <w:t xml:space="preserve"> et al. (2021) proposed a model where the process is represented by three different cell types: acidogenic, solventogenic, and spores, this strategy allows to define specific parameters for each stage of the fermentation. Those works reflect that there is </w:t>
      </w:r>
      <w:r w:rsidR="007E5144" w:rsidRPr="00D311EA">
        <w:rPr>
          <w:lang w:val="en-GB"/>
        </w:rPr>
        <w:t xml:space="preserve">currently </w:t>
      </w:r>
      <w:r w:rsidRPr="00D311EA">
        <w:rPr>
          <w:lang w:val="en-GB"/>
        </w:rPr>
        <w:t xml:space="preserve">a deeper understanding of ABE fermentation. Which has led to new strategies, allowing novel and detailed approaches to this process. </w:t>
      </w:r>
    </w:p>
    <w:p w14:paraId="13470BF8" w14:textId="1550E8B8" w:rsidR="00D311EA" w:rsidRDefault="00D311EA" w:rsidP="00D311EA">
      <w:pPr>
        <w:pStyle w:val="CETBodytext"/>
        <w:rPr>
          <w:lang w:val="en-GB"/>
        </w:rPr>
      </w:pPr>
      <w:r w:rsidRPr="00D311EA">
        <w:rPr>
          <w:lang w:val="en-GB"/>
        </w:rPr>
        <w:t xml:space="preserve">This research focuses on the modelling of ABE fermentation with a </w:t>
      </w:r>
      <w:r w:rsidRPr="007E5144">
        <w:rPr>
          <w:i/>
          <w:lang w:val="en-GB"/>
        </w:rPr>
        <w:t>C. acetobutylicum</w:t>
      </w:r>
      <w:r w:rsidRPr="00D311EA">
        <w:rPr>
          <w:lang w:val="en-GB"/>
        </w:rPr>
        <w:t xml:space="preserve"> strain obtained by spontaneous mutation at the Institute of Biotechnology of Universidad Nacional de Colombia. Considering the multiple approaches for defining a production fermentation model, the current work limits itself to a black-box model (where only the input and output compounds are considered, without specifying what happens in the middle), this limitation is due to the complexity of including the details of the pathways, their dynamic behaviour and their influence on the bacterial functioning.</w:t>
      </w:r>
    </w:p>
    <w:p w14:paraId="30296EA0" w14:textId="63A313E9" w:rsidR="00783539" w:rsidRDefault="00783539" w:rsidP="00783539">
      <w:pPr>
        <w:pStyle w:val="CETHeading1"/>
        <w:rPr>
          <w:lang w:val="en-GB"/>
        </w:rPr>
      </w:pPr>
      <w:r>
        <w:rPr>
          <w:lang w:val="en-GB"/>
        </w:rPr>
        <w:t xml:space="preserve">Materials and </w:t>
      </w:r>
      <w:r w:rsidR="00BD6D2B">
        <w:rPr>
          <w:lang w:val="en-GB"/>
        </w:rPr>
        <w:t>m</w:t>
      </w:r>
      <w:r>
        <w:rPr>
          <w:lang w:val="en-GB"/>
        </w:rPr>
        <w:t>ethods</w:t>
      </w:r>
    </w:p>
    <w:p w14:paraId="31729872" w14:textId="58EB9DEB" w:rsidR="00783539" w:rsidRDefault="00042EDF" w:rsidP="00783539">
      <w:pPr>
        <w:pStyle w:val="CETheadingx"/>
      </w:pPr>
      <w:r>
        <w:t>Flask fermentations</w:t>
      </w:r>
    </w:p>
    <w:p w14:paraId="52DB2A11" w14:textId="2B6C92A2" w:rsidR="00B55619" w:rsidRPr="00B55619" w:rsidRDefault="00B55619" w:rsidP="00B55619">
      <w:pPr>
        <w:pStyle w:val="CETBodytext"/>
        <w:rPr>
          <w:lang w:val="en-GB"/>
        </w:rPr>
      </w:pPr>
      <w:r w:rsidRPr="00B55619">
        <w:rPr>
          <w:lang w:val="en-GB"/>
        </w:rPr>
        <w:t xml:space="preserve">ABE Fermentation studies started with flask fermentation for strain selection. Strains ATCC 824, IBUN IV (butanol hyper-producer mutant from </w:t>
      </w:r>
      <w:r w:rsidRPr="007E5144">
        <w:rPr>
          <w:i/>
          <w:lang w:val="en-GB"/>
        </w:rPr>
        <w:t>Clostridium Acetobutylicum</w:t>
      </w:r>
      <w:r w:rsidRPr="00B55619">
        <w:rPr>
          <w:lang w:val="en-GB"/>
        </w:rPr>
        <w:t xml:space="preserve"> DSM 1732), and IBUN 125C (</w:t>
      </w:r>
      <w:r w:rsidR="00B64D97">
        <w:rPr>
          <w:lang w:val="en-GB"/>
        </w:rPr>
        <w:t xml:space="preserve">A </w:t>
      </w:r>
      <w:r w:rsidRPr="00B55619">
        <w:rPr>
          <w:lang w:val="en-GB"/>
        </w:rPr>
        <w:t>Colombian native strain) were studied in two different mediums: Reinforced Clostridium Medium (RCM) and T6 Medium, in order to select the best producing conditions. Compositions for the mediums are as follows: RCM uses Yeast extract 3.0 g/L, Peptone from casein (Tryptone) 10.0 g/L, Meat extract 10.0 g/L, Glucose 5.0 g/L, Starch 10.0 g/L, Sodium chloride 5.0 g/L, Sodium acetate 3.0 g/L, L-Cysteine hydrochloride 0.5 g/L, and Agar 12.5 g/L. For T6 media is used: Potassium dihydrogen phosphate 0.5 g/L, Magnesium sulphate heptahydrate 0.3 g/L, Iron (II) sulphate heptahydrate 0.01 g/L, Ammonium acetate 3.0 g/L, Yeast extract 2.0 g/L, Peptone from casein (Tryptone) 6.0 g/L, L-Cysteine hydrochloride 0.5 g/L, Agar 0.5 g/L and Glucose 40.0 g/L.</w:t>
      </w:r>
    </w:p>
    <w:p w14:paraId="2C6A9A61" w14:textId="0D71CFFE" w:rsidR="00D82D88" w:rsidRPr="00B55619" w:rsidRDefault="00B55619" w:rsidP="00783539">
      <w:pPr>
        <w:pStyle w:val="CETBodytext"/>
        <w:rPr>
          <w:lang w:val="en-GB"/>
        </w:rPr>
      </w:pPr>
      <w:r w:rsidRPr="00B55619">
        <w:rPr>
          <w:lang w:val="en-GB"/>
        </w:rPr>
        <w:t xml:space="preserve">The medium pH was adjusted with Sodium hydroxide at 6.5 ± 0.1 and sterilised at 121°C for 15 minutes. Each fermentation occurred in a 50 mL glass flask filled at 80% capacity with medium, inoculated with 2 mL of the corresponding strain, and incubated at 37 °C for 72 and 96 hours. </w:t>
      </w:r>
    </w:p>
    <w:p w14:paraId="3BAEA044" w14:textId="12705C53" w:rsidR="00783539" w:rsidRDefault="00783539" w:rsidP="00783539">
      <w:pPr>
        <w:pStyle w:val="CETheadingx"/>
      </w:pPr>
      <w:r>
        <w:lastRenderedPageBreak/>
        <w:t>B</w:t>
      </w:r>
      <w:r w:rsidR="00042EDF">
        <w:t xml:space="preserve">ioreactor </w:t>
      </w:r>
      <w:r>
        <w:t>fermentations</w:t>
      </w:r>
    </w:p>
    <w:p w14:paraId="6C9857B8" w14:textId="05712045" w:rsidR="00D82D88" w:rsidRPr="00783539" w:rsidRDefault="00B55619" w:rsidP="00783539">
      <w:pPr>
        <w:pStyle w:val="CETBodytext"/>
      </w:pPr>
      <w:r w:rsidRPr="00B55619">
        <w:t>After strain selection, batch bioreactor experiments were used to generate data for the modelling analysis. To quantify the inhibitory and limiting effect of the substrate, three initial glucose concentrations were considered (80, 40, and 20 g/L); while the initial concentrations of other nutrients were fixed following the T6 Media composition. Fermentation experiments were performed in a 1 L BIOSTAT A (600 mL working volume) with no pH control, Samples of 2.0 mL of the fermentation broth were taken for analyses.</w:t>
      </w:r>
      <w:r>
        <w:t xml:space="preserve"> </w:t>
      </w:r>
    </w:p>
    <w:p w14:paraId="49E04957" w14:textId="4F21439E" w:rsidR="00783539" w:rsidRDefault="00783539" w:rsidP="00783539">
      <w:pPr>
        <w:pStyle w:val="CETheadingx"/>
      </w:pPr>
      <w:r>
        <w:t>Analytic</w:t>
      </w:r>
      <w:r w:rsidR="006E698A">
        <w:t>al methods</w:t>
      </w:r>
      <w:r>
        <w:t xml:space="preserve"> </w:t>
      </w:r>
    </w:p>
    <w:p w14:paraId="452B4407" w14:textId="77777777" w:rsidR="00B55619" w:rsidRDefault="00B55619" w:rsidP="00783539">
      <w:pPr>
        <w:pStyle w:val="CETBodytext"/>
      </w:pPr>
      <w:r w:rsidRPr="00B55619">
        <w:t xml:space="preserve">Concentrations of glucose, butanol, acetone, butyric and acetic acids from fermentation were measured by HPLC, in a Shimadzu chromatograph, using a 300 x 4 mm </w:t>
      </w:r>
      <w:proofErr w:type="spellStart"/>
      <w:r w:rsidRPr="00B55619">
        <w:t>Eurokat</w:t>
      </w:r>
      <w:proofErr w:type="spellEnd"/>
      <w:r w:rsidRPr="00B55619">
        <w:t xml:space="preserve"> H column, 5 mM H</w:t>
      </w:r>
      <w:r w:rsidRPr="00B55619">
        <w:rPr>
          <w:vertAlign w:val="subscript"/>
        </w:rPr>
        <w:t>2</w:t>
      </w:r>
      <w:r w:rsidRPr="00B55619">
        <w:t>SO</w:t>
      </w:r>
      <w:r w:rsidRPr="00B55619">
        <w:rPr>
          <w:vertAlign w:val="subscript"/>
        </w:rPr>
        <w:t>4</w:t>
      </w:r>
      <w:r w:rsidRPr="00B55619">
        <w:t>, at 0.5 mL/min and 85 °C, using a refractive index detector RID 10A; oven module CTO-20A; injection system SIL-20A HT; pumping system LC-20AD and control system CBM-20A.</w:t>
      </w:r>
    </w:p>
    <w:p w14:paraId="2789EC7D" w14:textId="6A81F132" w:rsidR="00E27F14" w:rsidRDefault="00B55619" w:rsidP="00783539">
      <w:pPr>
        <w:pStyle w:val="CETBodytext"/>
      </w:pPr>
      <w:r w:rsidRPr="00B55619">
        <w:t xml:space="preserve">Biomass was quantified by Dry Cell Weight (DCW) and by Optical Density at 600 nm (OD600). 2.0 mL of fermentation broth was taken out and centrifuged at 5500 rpm for 10 min. The supernatant was discarded, then cells were resuspended in 2.0 mL of distilled water. Optical density was determined at 600 nm with a UV spectrometer (BIO RAD </w:t>
      </w:r>
      <w:proofErr w:type="spellStart"/>
      <w:r w:rsidRPr="00B55619">
        <w:t>SmartSpec</w:t>
      </w:r>
      <w:proofErr w:type="spellEnd"/>
      <w:r w:rsidRPr="00B55619">
        <w:t xml:space="preserve">™ plus spectrophotometer). If the OD600 was above 1.00, the sample was diluted and then tested until the OD became less than 1.00. Dry cell weight was determined by taking 5.0 mL of fermentation broth, vacuum filtered through a nitrocellulose filter of 0.2 </w:t>
      </w:r>
      <w:proofErr w:type="spellStart"/>
      <w:r w:rsidRPr="00B55619">
        <w:t>micrometres</w:t>
      </w:r>
      <w:proofErr w:type="spellEnd"/>
      <w:r w:rsidRPr="00B55619">
        <w:t>, and dried at 40°C until constant weight, approximately for 48 h</w:t>
      </w:r>
      <w:r w:rsidR="00994A65">
        <w:t>.</w:t>
      </w:r>
      <w:r w:rsidR="00C83539">
        <w:t xml:space="preserve"> The observed relation was: </w:t>
      </w:r>
      <w:r w:rsidR="00C83539" w:rsidRPr="00B55619">
        <w:t>DCW</w:t>
      </w:r>
      <w:r w:rsidR="00C83539">
        <w:t xml:space="preserve"> = 0.2695 OD + 1.2195 (R</w:t>
      </w:r>
      <w:r w:rsidR="00C83539" w:rsidRPr="00C83539">
        <w:rPr>
          <w:vertAlign w:val="superscript"/>
        </w:rPr>
        <w:t>2</w:t>
      </w:r>
      <w:r w:rsidR="00C83539">
        <w:t xml:space="preserve"> = 0.98)</w:t>
      </w:r>
    </w:p>
    <w:p w14:paraId="7F6110C0" w14:textId="0D088D7A" w:rsidR="00BD6D2B" w:rsidRPr="00BD6D2B" w:rsidRDefault="00BD6D2B" w:rsidP="00BD6D2B">
      <w:pPr>
        <w:pStyle w:val="CETheadingx"/>
      </w:pPr>
      <w:r w:rsidRPr="00BD6D2B">
        <w:t>Model identification</w:t>
      </w:r>
    </w:p>
    <w:p w14:paraId="79497D56" w14:textId="77777777" w:rsidR="00BE4516" w:rsidRDefault="00BE4516" w:rsidP="00BE4516">
      <w:pPr>
        <w:pStyle w:val="CETBodytext"/>
      </w:pPr>
      <w:r>
        <w:t xml:space="preserve">A three-step strategy was employed for this analysis: the first step considered qualitative analysis of concentration profiles and specific rates to identify dependencies between metabolism and environmental conditions, and to propose the model structure. The second step considered a quantitative analysis based on specific rates to generate initial estimations of model parameters. In the third stage, the predictions of the concentration profiles were used for the final tune of the parameters. </w:t>
      </w:r>
    </w:p>
    <w:p w14:paraId="0E213BF5" w14:textId="3C5AE60C" w:rsidR="00715076" w:rsidRDefault="00BE4516" w:rsidP="00783539">
      <w:pPr>
        <w:pStyle w:val="CETBodytext"/>
      </w:pPr>
      <w:r>
        <w:t>The estimation of the specific rates, for the first and second steps, requires to adjust functions for concentration profiles and to derivate these functions; then, each specific rate was calculated from its definition:</w:t>
      </w:r>
    </w:p>
    <w:tbl>
      <w:tblPr>
        <w:tblW w:w="5000" w:type="pct"/>
        <w:tblLook w:val="04A0" w:firstRow="1" w:lastRow="0" w:firstColumn="1" w:lastColumn="0" w:noHBand="0" w:noVBand="1"/>
      </w:tblPr>
      <w:tblGrid>
        <w:gridCol w:w="7985"/>
        <w:gridCol w:w="802"/>
      </w:tblGrid>
      <w:tr w:rsidR="00715076" w:rsidRPr="00B57B36" w14:paraId="4F5478ED" w14:textId="77777777" w:rsidTr="00B26D04">
        <w:tc>
          <w:tcPr>
            <w:tcW w:w="7985" w:type="dxa"/>
            <w:shd w:val="clear" w:color="auto" w:fill="auto"/>
            <w:vAlign w:val="center"/>
          </w:tcPr>
          <w:p w14:paraId="268F1B28" w14:textId="19BD1760" w:rsidR="00715076" w:rsidRPr="005914F3" w:rsidRDefault="00C76038" w:rsidP="00B26D04">
            <w:pPr>
              <w:pStyle w:val="CETEquation"/>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i,exp</m:t>
                    </m:r>
                  </m:sub>
                </m:sSub>
                <m:r>
                  <w:rPr>
                    <w:rFonts w:ascii="Cambria Math" w:hAnsi="Cambria Math"/>
                  </w:rPr>
                  <m:t xml:space="preserve">=  </m:t>
                </m:r>
                <m:f>
                  <m:fPr>
                    <m:ctrlPr>
                      <w:rPr>
                        <w:rFonts w:ascii="Cambria Math" w:hAnsi="Cambria Math"/>
                        <w:i/>
                      </w:rPr>
                    </m:ctrlPr>
                  </m:fPr>
                  <m:num>
                    <m:r>
                      <w:rPr>
                        <w:rFonts w:ascii="Cambria Math" w:hAnsi="Cambria Math"/>
                      </w:rPr>
                      <m:t>d i(t)</m:t>
                    </m:r>
                  </m:num>
                  <m:den>
                    <m:r>
                      <w:rPr>
                        <w:rFonts w:ascii="Cambria Math" w:hAnsi="Cambria Math"/>
                      </w:rPr>
                      <m:t>dt</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X</m:t>
                    </m:r>
                  </m:den>
                </m:f>
              </m:oMath>
            </m:oMathPara>
          </w:p>
        </w:tc>
        <w:tc>
          <w:tcPr>
            <w:tcW w:w="802" w:type="dxa"/>
            <w:shd w:val="clear" w:color="auto" w:fill="auto"/>
            <w:vAlign w:val="center"/>
          </w:tcPr>
          <w:p w14:paraId="5B11A785" w14:textId="3EF2B24D" w:rsidR="00715076" w:rsidRPr="00B57B36" w:rsidRDefault="00715076" w:rsidP="00B26D04">
            <w:pPr>
              <w:pStyle w:val="CETEquation"/>
              <w:jc w:val="right"/>
            </w:pPr>
            <w:r w:rsidRPr="00B57B36">
              <w:t>(</w:t>
            </w:r>
            <w:r w:rsidR="004245C3">
              <w:t>1</w:t>
            </w:r>
            <w:r w:rsidRPr="00B57B36">
              <w:t>)</w:t>
            </w:r>
          </w:p>
        </w:tc>
      </w:tr>
    </w:tbl>
    <w:p w14:paraId="265105AF" w14:textId="5BB8DA99" w:rsidR="00715076" w:rsidRDefault="00A451A9" w:rsidP="00783539">
      <w:pPr>
        <w:pStyle w:val="CETBodytext"/>
      </w:pPr>
      <w:r>
        <w:t xml:space="preserve">where </w:t>
      </w:r>
      <w:r>
        <w:rPr>
          <w:rFonts w:ascii="Times New Roman" w:hAnsi="Times New Roman"/>
        </w:rPr>
        <w:t>µ</w:t>
      </w:r>
      <w:proofErr w:type="spellStart"/>
      <w:proofErr w:type="gramStart"/>
      <w:r w:rsidRPr="00A451A9">
        <w:rPr>
          <w:rFonts w:asciiTheme="majorHAnsi" w:hAnsiTheme="majorHAnsi"/>
          <w:i/>
          <w:vertAlign w:val="subscript"/>
        </w:rPr>
        <w:t>i,exp</w:t>
      </w:r>
      <w:proofErr w:type="spellEnd"/>
      <w:proofErr w:type="gramEnd"/>
      <w:r>
        <w:t xml:space="preserve"> is the experimental specific rate of generation or consumption of </w:t>
      </w:r>
      <w:proofErr w:type="spellStart"/>
      <w:r w:rsidRPr="00A451A9">
        <w:rPr>
          <w:rFonts w:asciiTheme="majorHAnsi" w:hAnsiTheme="majorHAnsi"/>
          <w:i/>
        </w:rPr>
        <w:t>i</w:t>
      </w:r>
      <w:proofErr w:type="spellEnd"/>
      <w:r>
        <w:t xml:space="preserve">, </w:t>
      </w:r>
      <w:proofErr w:type="spellStart"/>
      <w:r w:rsidRPr="00A451A9">
        <w:rPr>
          <w:rFonts w:asciiTheme="majorHAnsi" w:hAnsiTheme="majorHAnsi"/>
          <w:i/>
        </w:rPr>
        <w:t>i</w:t>
      </w:r>
      <w:proofErr w:type="spellEnd"/>
      <w:r>
        <w:t>(</w:t>
      </w:r>
      <w:r w:rsidRPr="00A451A9">
        <w:rPr>
          <w:rFonts w:asciiTheme="majorHAnsi" w:hAnsiTheme="majorHAnsi"/>
          <w:i/>
        </w:rPr>
        <w:t>t</w:t>
      </w:r>
      <w:r>
        <w:t xml:space="preserve">) is the function that </w:t>
      </w:r>
      <w:r w:rsidR="00BE4516">
        <w:t>adjust</w:t>
      </w:r>
      <w:r>
        <w:t xml:space="preserve">s the concentration profile of </w:t>
      </w:r>
      <w:proofErr w:type="spellStart"/>
      <w:r w:rsidRPr="00A451A9">
        <w:rPr>
          <w:rFonts w:asciiTheme="majorHAnsi" w:hAnsiTheme="majorHAnsi"/>
          <w:i/>
        </w:rPr>
        <w:t>i</w:t>
      </w:r>
      <w:proofErr w:type="spellEnd"/>
      <w:r w:rsidR="00E81F87">
        <w:t xml:space="preserve">, and </w:t>
      </w:r>
      <w:r w:rsidR="00E81F87" w:rsidRPr="00E81F87">
        <w:rPr>
          <w:rFonts w:asciiTheme="majorHAnsi" w:hAnsiTheme="majorHAnsi"/>
          <w:i/>
        </w:rPr>
        <w:t>X</w:t>
      </w:r>
      <w:r w:rsidR="00E81F87">
        <w:t xml:space="preserve"> is the biomass concentration. Therefore, for the initial estimation of model parameters</w:t>
      </w:r>
      <w:r w:rsidR="006063EA">
        <w:t>, the sum of squared residual</w:t>
      </w:r>
      <w:r w:rsidR="00E93BC9">
        <w:t>s</w:t>
      </w:r>
      <w:r w:rsidR="006063EA">
        <w:t xml:space="preserve"> between experimental and estimated specific rates was minimized</w:t>
      </w:r>
      <w:r w:rsidR="00292E3D">
        <w:t xml:space="preserve">; whereas, for the final tune of the parameters, the sum of squared residuals between experimental and estimated concentration was minimized. </w:t>
      </w:r>
      <w:r w:rsidR="00D12787">
        <w:t>For both minimization procedures, theoretical limits for yields were considered.</w:t>
      </w:r>
    </w:p>
    <w:p w14:paraId="0BEB8D18" w14:textId="35E94378" w:rsidR="00042EDF" w:rsidRDefault="00042EDF" w:rsidP="00783539">
      <w:pPr>
        <w:pStyle w:val="CETHeading1"/>
        <w:rPr>
          <w:lang w:val="en-GB"/>
        </w:rPr>
      </w:pPr>
      <w:r>
        <w:rPr>
          <w:lang w:val="en-GB"/>
        </w:rPr>
        <w:t>Results</w:t>
      </w:r>
      <w:r w:rsidR="006D2D34">
        <w:rPr>
          <w:lang w:val="en-GB"/>
        </w:rPr>
        <w:t xml:space="preserve"> and analysis</w:t>
      </w:r>
    </w:p>
    <w:p w14:paraId="245C412C" w14:textId="7599F626" w:rsidR="00042EDF" w:rsidRDefault="00BE4516" w:rsidP="00042EDF">
      <w:pPr>
        <w:pStyle w:val="CETBodytext"/>
      </w:pPr>
      <w:r w:rsidRPr="00BE4516">
        <w:t xml:space="preserve">From flask experiments, IBUN IV, a spontaneous mutant of </w:t>
      </w:r>
      <w:r w:rsidRPr="00BE4516">
        <w:rPr>
          <w:i/>
        </w:rPr>
        <w:t>Clostridium acetobutylicum</w:t>
      </w:r>
      <w:r w:rsidRPr="00BE4516">
        <w:t xml:space="preserve"> DSM 1732 strain, obtained at the Institute of Biotechnology of Universidad Nacional de Colombia, </w:t>
      </w:r>
      <w:r w:rsidR="00B64D97">
        <w:t xml:space="preserve">and T6 medium were </w:t>
      </w:r>
      <w:r w:rsidRPr="00BE4516">
        <w:t xml:space="preserve">selected due to </w:t>
      </w:r>
      <w:r w:rsidR="00B64D97">
        <w:t>the higher butanol production</w:t>
      </w:r>
      <w:r w:rsidR="00877806" w:rsidRPr="00BE4516">
        <w:t>.</w:t>
      </w:r>
      <w:r w:rsidR="00B64D97">
        <w:t xml:space="preserve"> In 96-h flask fermentations, t</w:t>
      </w:r>
      <w:r w:rsidR="00B64D97" w:rsidRPr="00B64D97">
        <w:t xml:space="preserve">he </w:t>
      </w:r>
      <w:proofErr w:type="spellStart"/>
      <w:r w:rsidR="00905335">
        <w:t>analysed</w:t>
      </w:r>
      <w:proofErr w:type="spellEnd"/>
      <w:r w:rsidR="00B64D97" w:rsidRPr="00B64D97">
        <w:t xml:space="preserve"> strains produced low levels of </w:t>
      </w:r>
      <w:r w:rsidR="00B64D97">
        <w:t>butyric</w:t>
      </w:r>
      <w:r w:rsidR="00B64D97" w:rsidRPr="00B64D97">
        <w:t xml:space="preserve"> acid (1,50 – 2,0</w:t>
      </w:r>
      <w:r w:rsidR="00B64D97">
        <w:t xml:space="preserve"> </w:t>
      </w:r>
      <w:r w:rsidR="00B64D97" w:rsidRPr="00B64D97">
        <w:t xml:space="preserve">g/L) </w:t>
      </w:r>
      <w:r w:rsidR="00B64D97">
        <w:t>i</w:t>
      </w:r>
      <w:r w:rsidR="00B64D97" w:rsidRPr="00B64D97">
        <w:t>n both mediums</w:t>
      </w:r>
      <w:r w:rsidR="00B64D97">
        <w:t xml:space="preserve">; </w:t>
      </w:r>
      <w:r w:rsidR="00B64D97" w:rsidRPr="00B64D97">
        <w:t>nevertheless</w:t>
      </w:r>
      <w:r w:rsidR="00B64D97">
        <w:t>,</w:t>
      </w:r>
      <w:r w:rsidR="00B64D97" w:rsidRPr="00B64D97">
        <w:t xml:space="preserve"> </w:t>
      </w:r>
      <w:r w:rsidR="00B64D97">
        <w:t xml:space="preserve">the </w:t>
      </w:r>
      <w:r w:rsidR="00B64D97" w:rsidRPr="00B64D97">
        <w:t>strain IBUN IV was the only one able to produce butanol having a higher final concentration in medium T6 (2,5</w:t>
      </w:r>
      <w:r w:rsidR="00B64D97">
        <w:t xml:space="preserve"> </w:t>
      </w:r>
      <w:r w:rsidR="00B64D97" w:rsidRPr="00B64D97">
        <w:t>g/L) in contrast to RCM medium (0,5</w:t>
      </w:r>
      <w:r w:rsidR="00B64D97">
        <w:t xml:space="preserve"> </w:t>
      </w:r>
      <w:r w:rsidR="00B64D97" w:rsidRPr="00B64D97">
        <w:t>g/L).</w:t>
      </w:r>
      <w:bookmarkStart w:id="0" w:name="_Hlk158584106"/>
      <w:r w:rsidR="00B64D97">
        <w:t xml:space="preserve"> </w:t>
      </w:r>
      <w:r w:rsidR="00C143F3">
        <w:t xml:space="preserve">Under these conditions, no ethanol production was observed, </w:t>
      </w:r>
      <w:r w:rsidR="00E229E4">
        <w:t xml:space="preserve">this metabolic </w:t>
      </w:r>
      <w:proofErr w:type="spellStart"/>
      <w:r w:rsidR="00B64D97">
        <w:t>behaviour</w:t>
      </w:r>
      <w:proofErr w:type="spellEnd"/>
      <w:r w:rsidR="00E229E4">
        <w:t xml:space="preserve"> r</w:t>
      </w:r>
      <w:r w:rsidR="00C143F3" w:rsidRPr="00C143F3">
        <w:t xml:space="preserve">equires </w:t>
      </w:r>
      <w:r w:rsidR="00C143F3">
        <w:t xml:space="preserve">a </w:t>
      </w:r>
      <w:r w:rsidR="00C143F3" w:rsidRPr="00C143F3">
        <w:t xml:space="preserve">careful </w:t>
      </w:r>
      <w:r w:rsidR="00814B07">
        <w:t xml:space="preserve">strain </w:t>
      </w:r>
      <w:r w:rsidR="00C143F3" w:rsidRPr="00C143F3">
        <w:t xml:space="preserve">analysis to identify the </w:t>
      </w:r>
      <w:r w:rsidR="00C143F3" w:rsidRPr="00C143F3">
        <w:t>involved</w:t>
      </w:r>
      <w:r w:rsidR="00C143F3" w:rsidRPr="00C143F3">
        <w:t xml:space="preserve"> mutation</w:t>
      </w:r>
      <w:r w:rsidR="00C143F3">
        <w:t>.</w:t>
      </w:r>
    </w:p>
    <w:bookmarkEnd w:id="0"/>
    <w:p w14:paraId="3B4E7CBC" w14:textId="68446704" w:rsidR="005914F3" w:rsidRDefault="00360498" w:rsidP="00994A65">
      <w:pPr>
        <w:pStyle w:val="CETBodytext"/>
        <w:widowControl w:val="0"/>
      </w:pPr>
      <w:r>
        <w:t>Bioreactor fermentations confirmed the main characteristic of ABE fermentation: metabolism is carried out in two phases. The first phase employs sugars to generate acids (butyric and acetic) and biomass</w:t>
      </w:r>
      <w:r w:rsidR="00AE11A4">
        <w:t xml:space="preserve"> (Equations </w:t>
      </w:r>
      <w:r w:rsidR="004245C3">
        <w:t>2</w:t>
      </w:r>
      <w:r w:rsidR="00AE11A4">
        <w:t xml:space="preserve"> to </w:t>
      </w:r>
      <w:r w:rsidR="004245C3">
        <w:t>5</w:t>
      </w:r>
      <w:r w:rsidR="00AE11A4">
        <w:t>)</w:t>
      </w:r>
      <w:r>
        <w:t>; whereas, in the second one sugars and acids are used to generate solvents (butanol and acetone) without biomass generation</w:t>
      </w:r>
      <w:r w:rsidR="00AE11A4">
        <w:t xml:space="preserve"> (Equations </w:t>
      </w:r>
      <w:r w:rsidR="004245C3">
        <w:t>6</w:t>
      </w:r>
      <w:r w:rsidR="00AE11A4">
        <w:t xml:space="preserve"> to 1</w:t>
      </w:r>
      <w:r w:rsidR="004245C3">
        <w:t>0</w:t>
      </w:r>
      <w:r w:rsidR="00AE11A4">
        <w:t>)</w:t>
      </w:r>
      <w:r>
        <w:t xml:space="preserve">. </w:t>
      </w:r>
      <w:r w:rsidR="00BE4516">
        <w:t>Therefore</w:t>
      </w:r>
      <w:r w:rsidR="00B669DB">
        <w:t>,</w:t>
      </w:r>
      <w:r>
        <w:t xml:space="preserve"> the switch between the metabolic phases generates changes in pH evolution.</w:t>
      </w:r>
      <w:r w:rsidR="005914F3">
        <w:t xml:space="preserve"> For acidogenesis,</w:t>
      </w:r>
      <w:r w:rsidR="00701F14">
        <w:t xml:space="preserve"> </w:t>
      </w:r>
      <w:r w:rsidR="005914F3">
        <w:t>metabolism is</w:t>
      </w:r>
      <w:r w:rsidR="00646724">
        <w:t xml:space="preserve"> </w:t>
      </w:r>
      <w:r w:rsidR="005914F3">
        <w:t>characterized by:</w:t>
      </w:r>
    </w:p>
    <w:p w14:paraId="6E2642D3" w14:textId="3CF77A61" w:rsidR="00646724" w:rsidRPr="00646724" w:rsidRDefault="00646724" w:rsidP="00131E97">
      <w:pPr>
        <w:pStyle w:val="CETBodytext"/>
        <w:numPr>
          <w:ilvl w:val="0"/>
          <w:numId w:val="27"/>
        </w:numPr>
        <w:rPr>
          <w:lang w:val="en-GB"/>
        </w:rPr>
      </w:pPr>
      <w:r w:rsidRPr="00646724">
        <w:rPr>
          <w:lang w:val="en-GB"/>
        </w:rPr>
        <w:t>Biomass growing as function of glucose concentration</w:t>
      </w:r>
      <w:r w:rsidR="00DE26C1">
        <w:rPr>
          <w:lang w:val="en-GB"/>
        </w:rPr>
        <w:t xml:space="preserve"> (</w:t>
      </w:r>
      <w:r w:rsidR="00DE26C1" w:rsidRPr="00DE26C1">
        <w:rPr>
          <w:rFonts w:asciiTheme="majorHAnsi" w:hAnsiTheme="majorHAnsi"/>
          <w:i/>
          <w:lang w:val="en-GB"/>
        </w:rPr>
        <w:t>S</w:t>
      </w:r>
      <w:r w:rsidR="00DE26C1">
        <w:rPr>
          <w:lang w:val="en-GB"/>
        </w:rPr>
        <w:t>)</w:t>
      </w:r>
      <w:r w:rsidRPr="00646724">
        <w:rPr>
          <w:lang w:val="en-GB"/>
        </w:rPr>
        <w:t xml:space="preserve"> and </w:t>
      </w:r>
      <w:r w:rsidR="00B170F3">
        <w:rPr>
          <w:lang w:val="en-GB"/>
        </w:rPr>
        <w:t xml:space="preserve">the total </w:t>
      </w:r>
      <w:r w:rsidRPr="00646724">
        <w:rPr>
          <w:lang w:val="en-GB"/>
        </w:rPr>
        <w:t>concentration</w:t>
      </w:r>
      <w:r w:rsidR="00B170F3">
        <w:rPr>
          <w:lang w:val="en-GB"/>
        </w:rPr>
        <w:t xml:space="preserve"> of acids</w:t>
      </w:r>
      <w:r w:rsidR="00DE26C1">
        <w:rPr>
          <w:lang w:val="en-GB"/>
        </w:rPr>
        <w:t xml:space="preserve"> (</w:t>
      </w:r>
      <w:r w:rsidR="00DE26C1" w:rsidRPr="00DE26C1">
        <w:rPr>
          <w:rFonts w:asciiTheme="majorHAnsi" w:hAnsiTheme="majorHAnsi"/>
          <w:i/>
          <w:lang w:val="en-GB"/>
        </w:rPr>
        <w:t>P</w:t>
      </w:r>
      <w:r w:rsidR="00DE26C1" w:rsidRPr="00DE26C1">
        <w:rPr>
          <w:rFonts w:asciiTheme="majorHAnsi" w:hAnsiTheme="majorHAnsi"/>
          <w:i/>
          <w:vertAlign w:val="subscript"/>
          <w:lang w:val="en-GB"/>
        </w:rPr>
        <w:t>A</w:t>
      </w:r>
      <w:r w:rsidR="00DE26C1">
        <w:rPr>
          <w:lang w:val="en-GB"/>
        </w:rPr>
        <w:t>)</w:t>
      </w:r>
      <w:r>
        <w:rPr>
          <w:lang w:val="en-GB"/>
        </w:rPr>
        <w:t>:</w:t>
      </w:r>
    </w:p>
    <w:tbl>
      <w:tblPr>
        <w:tblW w:w="5000" w:type="pct"/>
        <w:tblLook w:val="04A0" w:firstRow="1" w:lastRow="0" w:firstColumn="1" w:lastColumn="0" w:noHBand="0" w:noVBand="1"/>
      </w:tblPr>
      <w:tblGrid>
        <w:gridCol w:w="7985"/>
        <w:gridCol w:w="802"/>
      </w:tblGrid>
      <w:tr w:rsidR="005914F3" w:rsidRPr="00B57B36" w14:paraId="31E53231" w14:textId="77777777" w:rsidTr="005914F3">
        <w:tc>
          <w:tcPr>
            <w:tcW w:w="7985" w:type="dxa"/>
            <w:shd w:val="clear" w:color="auto" w:fill="auto"/>
            <w:vAlign w:val="center"/>
          </w:tcPr>
          <w:p w14:paraId="43A8E11E" w14:textId="347A0B55" w:rsidR="005914F3" w:rsidRPr="005914F3" w:rsidRDefault="00C76038" w:rsidP="00467608">
            <w:pPr>
              <w:pStyle w:val="CETEquation"/>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max</m:t>
                    </m:r>
                  </m:sub>
                </m:sSub>
                <m:f>
                  <m:fPr>
                    <m:ctrlPr>
                      <w:rPr>
                        <w:rFonts w:ascii="Cambria Math" w:hAnsi="Cambria Math"/>
                        <w:i/>
                      </w:rPr>
                    </m:ctrlPr>
                  </m:fPr>
                  <m:num>
                    <m:r>
                      <w:rPr>
                        <w:rFonts w:ascii="Cambria Math" w:hAnsi="Cambria Math"/>
                      </w:rPr>
                      <m:t>S</m:t>
                    </m:r>
                  </m:num>
                  <m:den>
                    <m:r>
                      <w:rPr>
                        <w:rFonts w:ascii="Cambria Math" w:hAnsi="Cambria Math"/>
                      </w:rPr>
                      <m:t>Ks+S+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den>
                </m:f>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A</m:t>
                                </m:r>
                              </m:sub>
                            </m:sSub>
                          </m:num>
                          <m:den>
                            <m:sSub>
                              <m:sSubPr>
                                <m:ctrlPr>
                                  <w:rPr>
                                    <w:rFonts w:ascii="Cambria Math" w:hAnsi="Cambria Math"/>
                                    <w:i/>
                                  </w:rPr>
                                </m:ctrlPr>
                              </m:sSubPr>
                              <m:e>
                                <m:r>
                                  <w:rPr>
                                    <w:rFonts w:ascii="Cambria Math" w:hAnsi="Cambria Math"/>
                                  </w:rPr>
                                  <m:t>K</m:t>
                                </m:r>
                              </m:e>
                              <m:sub>
                                <m:r>
                                  <w:rPr>
                                    <w:rFonts w:ascii="Cambria Math" w:hAnsi="Cambria Math"/>
                                  </w:rPr>
                                  <m:t>PA</m:t>
                                </m:r>
                              </m:sub>
                            </m:sSub>
                          </m:den>
                        </m:f>
                      </m:e>
                    </m:d>
                  </m:e>
                  <m:sup>
                    <m:r>
                      <w:rPr>
                        <w:rFonts w:ascii="Cambria Math" w:hAnsi="Cambria Math"/>
                      </w:rPr>
                      <m:t>α</m:t>
                    </m:r>
                  </m:sup>
                </m:sSup>
              </m:oMath>
            </m:oMathPara>
          </w:p>
        </w:tc>
        <w:tc>
          <w:tcPr>
            <w:tcW w:w="802" w:type="dxa"/>
            <w:shd w:val="clear" w:color="auto" w:fill="auto"/>
            <w:vAlign w:val="center"/>
          </w:tcPr>
          <w:p w14:paraId="40D120D4" w14:textId="793EBB67" w:rsidR="005914F3" w:rsidRPr="00B57B36" w:rsidRDefault="005914F3" w:rsidP="00467608">
            <w:pPr>
              <w:pStyle w:val="CETEquation"/>
              <w:jc w:val="right"/>
            </w:pPr>
            <w:r w:rsidRPr="00B57B36">
              <w:t>(</w:t>
            </w:r>
            <w:r w:rsidR="004245C3">
              <w:t>2</w:t>
            </w:r>
            <w:r w:rsidRPr="00B57B36">
              <w:t>)</w:t>
            </w:r>
          </w:p>
        </w:tc>
      </w:tr>
    </w:tbl>
    <w:p w14:paraId="140331AB" w14:textId="792FE6EC" w:rsidR="005914F3" w:rsidRDefault="001908B7" w:rsidP="00131E97">
      <w:pPr>
        <w:pStyle w:val="CETBodytext"/>
        <w:numPr>
          <w:ilvl w:val="0"/>
          <w:numId w:val="27"/>
        </w:numPr>
      </w:pPr>
      <w:r>
        <w:t>A</w:t>
      </w:r>
      <w:r w:rsidR="00646724">
        <w:t>cids (</w:t>
      </w:r>
      <w:r w:rsidR="00646724" w:rsidRPr="00DE26C1">
        <w:rPr>
          <w:rFonts w:asciiTheme="majorHAnsi" w:hAnsiTheme="majorHAnsi"/>
          <w:i/>
        </w:rPr>
        <w:t>BA</w:t>
      </w:r>
      <w:r w:rsidR="00646724">
        <w:t xml:space="preserve">: butyric acid, </w:t>
      </w:r>
      <w:r w:rsidR="00646724" w:rsidRPr="00DE26C1">
        <w:rPr>
          <w:rFonts w:asciiTheme="majorHAnsi" w:hAnsiTheme="majorHAnsi"/>
          <w:i/>
        </w:rPr>
        <w:t>AA</w:t>
      </w:r>
      <w:r w:rsidR="00646724">
        <w:t>: acetic acid) production</w:t>
      </w:r>
      <w:r>
        <w:t xml:space="preserve"> associated to growth</w:t>
      </w:r>
      <w:r w:rsidR="00646724">
        <w:t>:</w:t>
      </w:r>
    </w:p>
    <w:tbl>
      <w:tblPr>
        <w:tblW w:w="5000" w:type="pct"/>
        <w:tblLook w:val="04A0" w:firstRow="1" w:lastRow="0" w:firstColumn="1" w:lastColumn="0" w:noHBand="0" w:noVBand="1"/>
      </w:tblPr>
      <w:tblGrid>
        <w:gridCol w:w="7985"/>
        <w:gridCol w:w="802"/>
      </w:tblGrid>
      <w:tr w:rsidR="00646724" w:rsidRPr="00B57B36" w14:paraId="3EBE48BD" w14:textId="77777777" w:rsidTr="00467608">
        <w:tc>
          <w:tcPr>
            <w:tcW w:w="7985" w:type="dxa"/>
            <w:shd w:val="clear" w:color="auto" w:fill="auto"/>
            <w:vAlign w:val="center"/>
          </w:tcPr>
          <w:p w14:paraId="2D7E8C0E" w14:textId="16BFD985" w:rsidR="00646724" w:rsidRPr="005914F3" w:rsidRDefault="00C76038" w:rsidP="001B7619">
            <w:pPr>
              <w:pStyle w:val="CETEquation"/>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BA</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BA/X</m:t>
                        </m:r>
                      </m:sub>
                    </m:sSub>
                    <m:r>
                      <w:rPr>
                        <w:rFonts w:ascii="Cambria Math" w:hAnsi="Cambria Math"/>
                      </w:rPr>
                      <m:t xml:space="preserve"> * µ</m:t>
                    </m:r>
                  </m:e>
                  <m:sub>
                    <m:r>
                      <w:rPr>
                        <w:rFonts w:ascii="Cambria Math" w:hAnsi="Cambria Math"/>
                      </w:rPr>
                      <m:t>X</m:t>
                    </m:r>
                  </m:sub>
                </m:sSub>
              </m:oMath>
            </m:oMathPara>
          </w:p>
        </w:tc>
        <w:tc>
          <w:tcPr>
            <w:tcW w:w="802" w:type="dxa"/>
            <w:shd w:val="clear" w:color="auto" w:fill="auto"/>
            <w:vAlign w:val="center"/>
          </w:tcPr>
          <w:p w14:paraId="6ACFBE24" w14:textId="2AB790C4" w:rsidR="00646724" w:rsidRPr="00B57B36" w:rsidRDefault="00646724" w:rsidP="00467608">
            <w:pPr>
              <w:pStyle w:val="CETEquation"/>
              <w:jc w:val="right"/>
            </w:pPr>
            <w:r w:rsidRPr="00B57B36">
              <w:t>(</w:t>
            </w:r>
            <w:r w:rsidR="004245C3">
              <w:t>3</w:t>
            </w:r>
            <w:r w:rsidRPr="00B57B36">
              <w:t>)</w:t>
            </w:r>
          </w:p>
        </w:tc>
      </w:tr>
      <w:tr w:rsidR="008D59FA" w:rsidRPr="00B57B36" w14:paraId="446EED31" w14:textId="77777777" w:rsidTr="00467608">
        <w:tc>
          <w:tcPr>
            <w:tcW w:w="7985" w:type="dxa"/>
            <w:shd w:val="clear" w:color="auto" w:fill="auto"/>
            <w:vAlign w:val="center"/>
          </w:tcPr>
          <w:p w14:paraId="26B4E776" w14:textId="5283724F" w:rsidR="008D59FA" w:rsidRPr="008D59FA" w:rsidRDefault="00C76038" w:rsidP="005926C1">
            <w:pPr>
              <w:pStyle w:val="CETEquation"/>
              <w:spacing w:before="100"/>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AA</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AA/X</m:t>
                        </m:r>
                      </m:sub>
                    </m:sSub>
                    <m:r>
                      <w:rPr>
                        <w:rFonts w:ascii="Cambria Math" w:hAnsi="Cambria Math"/>
                      </w:rPr>
                      <m:t xml:space="preserve"> * µ</m:t>
                    </m:r>
                  </m:e>
                  <m:sub>
                    <m:r>
                      <w:rPr>
                        <w:rFonts w:ascii="Cambria Math" w:hAnsi="Cambria Math"/>
                      </w:rPr>
                      <m:t>X</m:t>
                    </m:r>
                  </m:sub>
                </m:sSub>
              </m:oMath>
            </m:oMathPara>
          </w:p>
        </w:tc>
        <w:tc>
          <w:tcPr>
            <w:tcW w:w="802" w:type="dxa"/>
            <w:shd w:val="clear" w:color="auto" w:fill="auto"/>
            <w:vAlign w:val="center"/>
          </w:tcPr>
          <w:p w14:paraId="05205524" w14:textId="39B645EC" w:rsidR="008D59FA" w:rsidRPr="00B57B36" w:rsidRDefault="008D59FA" w:rsidP="00467608">
            <w:pPr>
              <w:pStyle w:val="CETEquation"/>
              <w:jc w:val="right"/>
            </w:pPr>
            <w:r w:rsidRPr="00B57B36">
              <w:t>(</w:t>
            </w:r>
            <w:r w:rsidR="004245C3">
              <w:t>4</w:t>
            </w:r>
            <w:r w:rsidRPr="00B57B36">
              <w:t>)</w:t>
            </w:r>
          </w:p>
        </w:tc>
      </w:tr>
    </w:tbl>
    <w:p w14:paraId="6D96F5B1" w14:textId="28334159" w:rsidR="00C64F4A" w:rsidRDefault="00646724" w:rsidP="00131E97">
      <w:pPr>
        <w:pStyle w:val="CETBodytext"/>
        <w:numPr>
          <w:ilvl w:val="0"/>
          <w:numId w:val="27"/>
        </w:numPr>
      </w:pPr>
      <w:r>
        <w:t xml:space="preserve">Glucose consumption proportional to </w:t>
      </w:r>
      <w:r w:rsidR="00F06AC0">
        <w:t>growth</w:t>
      </w:r>
      <w:r>
        <w:t>:</w:t>
      </w:r>
    </w:p>
    <w:tbl>
      <w:tblPr>
        <w:tblW w:w="5000" w:type="pct"/>
        <w:tblLook w:val="04A0" w:firstRow="1" w:lastRow="0" w:firstColumn="1" w:lastColumn="0" w:noHBand="0" w:noVBand="1"/>
      </w:tblPr>
      <w:tblGrid>
        <w:gridCol w:w="7985"/>
        <w:gridCol w:w="802"/>
      </w:tblGrid>
      <w:tr w:rsidR="00646724" w:rsidRPr="00B57B36" w14:paraId="6FC8A236" w14:textId="77777777" w:rsidTr="00467608">
        <w:tc>
          <w:tcPr>
            <w:tcW w:w="7985" w:type="dxa"/>
            <w:shd w:val="clear" w:color="auto" w:fill="auto"/>
            <w:vAlign w:val="center"/>
          </w:tcPr>
          <w:p w14:paraId="5CE057CE" w14:textId="65230B18" w:rsidR="00646724" w:rsidRPr="005914F3" w:rsidRDefault="00C76038" w:rsidP="00467608">
            <w:pPr>
              <w:pStyle w:val="CETEquation"/>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-1/</m:t>
                    </m:r>
                    <m:sSub>
                      <m:sSubPr>
                        <m:ctrlPr>
                          <w:rPr>
                            <w:rFonts w:ascii="Cambria Math" w:hAnsi="Cambria Math"/>
                            <w:i/>
                          </w:rPr>
                        </m:ctrlPr>
                      </m:sSubPr>
                      <m:e>
                        <m:r>
                          <w:rPr>
                            <w:rFonts w:ascii="Cambria Math" w:hAnsi="Cambria Math"/>
                          </w:rPr>
                          <m:t>Y</m:t>
                        </m:r>
                      </m:e>
                      <m:sub>
                        <m:r>
                          <w:rPr>
                            <w:rFonts w:ascii="Cambria Math" w:hAnsi="Cambria Math"/>
                          </w:rPr>
                          <m:t>X/S</m:t>
                        </m:r>
                      </m:sub>
                    </m:sSub>
                    <m:r>
                      <w:rPr>
                        <w:rFonts w:ascii="Cambria Math" w:hAnsi="Cambria Math"/>
                      </w:rPr>
                      <m:t xml:space="preserve"> * µ</m:t>
                    </m:r>
                  </m:e>
                  <m:sub>
                    <m:r>
                      <w:rPr>
                        <w:rFonts w:ascii="Cambria Math" w:hAnsi="Cambria Math"/>
                      </w:rPr>
                      <m:t>X</m:t>
                    </m:r>
                  </m:sub>
                </m:sSub>
              </m:oMath>
            </m:oMathPara>
          </w:p>
        </w:tc>
        <w:tc>
          <w:tcPr>
            <w:tcW w:w="802" w:type="dxa"/>
            <w:shd w:val="clear" w:color="auto" w:fill="auto"/>
            <w:vAlign w:val="center"/>
          </w:tcPr>
          <w:p w14:paraId="25956822" w14:textId="01569023" w:rsidR="00646724" w:rsidRPr="00B57B36" w:rsidRDefault="00646724" w:rsidP="00467608">
            <w:pPr>
              <w:pStyle w:val="CETEquation"/>
              <w:jc w:val="right"/>
            </w:pPr>
            <w:r w:rsidRPr="00B57B36">
              <w:t>(</w:t>
            </w:r>
            <w:r w:rsidR="004245C3">
              <w:t>5</w:t>
            </w:r>
            <w:r w:rsidRPr="00B57B36">
              <w:t>)</w:t>
            </w:r>
          </w:p>
        </w:tc>
      </w:tr>
    </w:tbl>
    <w:p w14:paraId="27746C45" w14:textId="48C5368E" w:rsidR="000054FF" w:rsidRDefault="00646724" w:rsidP="00042EDF">
      <w:pPr>
        <w:pStyle w:val="CETBodytext"/>
      </w:pPr>
      <w:r>
        <w:t xml:space="preserve">On the other </w:t>
      </w:r>
      <w:r w:rsidR="001735FB">
        <w:t>hand</w:t>
      </w:r>
      <w:r>
        <w:t xml:space="preserve">, for </w:t>
      </w:r>
      <w:r w:rsidR="00BE4516">
        <w:t xml:space="preserve">the </w:t>
      </w:r>
      <w:r>
        <w:t xml:space="preserve">solventogenesis phase, </w:t>
      </w:r>
      <w:r w:rsidR="001908B7">
        <w:t xml:space="preserve">the </w:t>
      </w:r>
      <w:r>
        <w:t>model of the metabolism considers</w:t>
      </w:r>
      <w:r w:rsidR="000054FF">
        <w:t xml:space="preserve">: </w:t>
      </w:r>
    </w:p>
    <w:p w14:paraId="5D8F0098" w14:textId="4FB4216D" w:rsidR="00300F4A" w:rsidRDefault="000054FF" w:rsidP="00131E97">
      <w:pPr>
        <w:pStyle w:val="CETBodytext"/>
        <w:numPr>
          <w:ilvl w:val="0"/>
          <w:numId w:val="27"/>
        </w:numPr>
      </w:pPr>
      <w:r>
        <w:t xml:space="preserve">Biomass does not </w:t>
      </w:r>
      <w:r w:rsidR="00B170F3">
        <w:t>grow</w:t>
      </w:r>
      <w:r>
        <w:t xml:space="preserve"> (</w:t>
      </w:r>
      <w:r>
        <w:rPr>
          <w:rFonts w:ascii="Times New Roman" w:hAnsi="Times New Roman"/>
        </w:rPr>
        <w:t>µ</w:t>
      </w:r>
      <w:proofErr w:type="gramStart"/>
      <w:r w:rsidRPr="000054FF">
        <w:rPr>
          <w:rFonts w:asciiTheme="majorHAnsi" w:hAnsiTheme="majorHAnsi"/>
          <w:i/>
          <w:vertAlign w:val="subscript"/>
        </w:rPr>
        <w:t>X</w:t>
      </w:r>
      <w:r w:rsidR="00AE11A4">
        <w:rPr>
          <w:rFonts w:asciiTheme="majorHAnsi" w:hAnsiTheme="majorHAnsi"/>
          <w:i/>
          <w:vertAlign w:val="subscript"/>
        </w:rPr>
        <w:t>,S</w:t>
      </w:r>
      <w:proofErr w:type="gramEnd"/>
      <w:r>
        <w:t xml:space="preserve"> = 0),</w:t>
      </w:r>
    </w:p>
    <w:p w14:paraId="01F2BD0B" w14:textId="693E9B0F" w:rsidR="000054FF" w:rsidRPr="00AE11A4" w:rsidRDefault="000054FF" w:rsidP="00131E97">
      <w:pPr>
        <w:pStyle w:val="CETBodytext"/>
        <w:numPr>
          <w:ilvl w:val="0"/>
          <w:numId w:val="27"/>
        </w:numPr>
        <w:rPr>
          <w:spacing w:val="-2"/>
        </w:rPr>
      </w:pPr>
      <w:r w:rsidRPr="00AE11A4">
        <w:rPr>
          <w:spacing w:val="-2"/>
        </w:rPr>
        <w:t xml:space="preserve">Glucose consumption depends on glucose availability and it is inhibited by </w:t>
      </w:r>
      <w:r w:rsidR="00B170F3" w:rsidRPr="00AE11A4">
        <w:rPr>
          <w:spacing w:val="-2"/>
        </w:rPr>
        <w:t>total</w:t>
      </w:r>
      <w:r w:rsidRPr="00AE11A4">
        <w:rPr>
          <w:spacing w:val="-2"/>
        </w:rPr>
        <w:t xml:space="preserve"> concentration</w:t>
      </w:r>
      <w:r w:rsidR="00B170F3" w:rsidRPr="00AE11A4">
        <w:rPr>
          <w:spacing w:val="-2"/>
        </w:rPr>
        <w:t xml:space="preserve"> of </w:t>
      </w:r>
      <w:r w:rsidR="00AE11A4" w:rsidRPr="00AE11A4">
        <w:rPr>
          <w:spacing w:val="-2"/>
        </w:rPr>
        <w:t xml:space="preserve">solvents </w:t>
      </w:r>
      <w:r w:rsidRPr="00AE11A4">
        <w:rPr>
          <w:spacing w:val="-2"/>
        </w:rPr>
        <w:t>(</w:t>
      </w:r>
      <w:r w:rsidRPr="00AE11A4">
        <w:rPr>
          <w:rFonts w:asciiTheme="majorHAnsi" w:hAnsiTheme="majorHAnsi"/>
          <w:i/>
          <w:spacing w:val="-2"/>
        </w:rPr>
        <w:t>P</w:t>
      </w:r>
      <w:r w:rsidRPr="00AE11A4">
        <w:rPr>
          <w:rFonts w:asciiTheme="majorHAnsi" w:hAnsiTheme="majorHAnsi"/>
          <w:i/>
          <w:spacing w:val="-2"/>
          <w:vertAlign w:val="subscript"/>
        </w:rPr>
        <w:t>S</w:t>
      </w:r>
      <w:r w:rsidRPr="00AE11A4">
        <w:rPr>
          <w:spacing w:val="-2"/>
        </w:rPr>
        <w:t>):</w:t>
      </w:r>
    </w:p>
    <w:tbl>
      <w:tblPr>
        <w:tblW w:w="5000" w:type="pct"/>
        <w:tblLook w:val="04A0" w:firstRow="1" w:lastRow="0" w:firstColumn="1" w:lastColumn="0" w:noHBand="0" w:noVBand="1"/>
      </w:tblPr>
      <w:tblGrid>
        <w:gridCol w:w="7985"/>
        <w:gridCol w:w="802"/>
      </w:tblGrid>
      <w:tr w:rsidR="008D59FA" w:rsidRPr="00B57B36" w14:paraId="0E29884A" w14:textId="77777777" w:rsidTr="00467608">
        <w:tc>
          <w:tcPr>
            <w:tcW w:w="7985" w:type="dxa"/>
            <w:shd w:val="clear" w:color="auto" w:fill="auto"/>
            <w:vAlign w:val="center"/>
          </w:tcPr>
          <w:p w14:paraId="0F439040" w14:textId="4A239F50" w:rsidR="008D59FA" w:rsidRPr="001E569B" w:rsidRDefault="00C76038" w:rsidP="00467608">
            <w:pPr>
              <w:pStyle w:val="CETEquation"/>
              <w:rPr>
                <w:highlight w:val="yellow"/>
              </w:rPr>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S,S</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SS,max</m:t>
                    </m:r>
                  </m:sub>
                </m:sSub>
                <m:f>
                  <m:fPr>
                    <m:ctrlPr>
                      <w:rPr>
                        <w:rFonts w:ascii="Cambria Math" w:hAnsi="Cambria Math"/>
                        <w:i/>
                      </w:rPr>
                    </m:ctrlPr>
                  </m:fPr>
                  <m:num>
                    <m:r>
                      <w:rPr>
                        <w:rFonts w:ascii="Cambria Math" w:hAnsi="Cambria Math"/>
                      </w:rPr>
                      <m:t>S</m:t>
                    </m:r>
                  </m:num>
                  <m:den>
                    <m:r>
                      <w:rPr>
                        <w:rFonts w:ascii="Cambria Math" w:hAnsi="Cambria Math"/>
                      </w:rPr>
                      <m:t>Kss+S</m:t>
                    </m:r>
                  </m:den>
                </m:f>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m:t>
                                </m:r>
                              </m:sub>
                            </m:sSub>
                          </m:num>
                          <m:den>
                            <m:sSub>
                              <m:sSubPr>
                                <m:ctrlPr>
                                  <w:rPr>
                                    <w:rFonts w:ascii="Cambria Math" w:hAnsi="Cambria Math"/>
                                    <w:i/>
                                  </w:rPr>
                                </m:ctrlPr>
                              </m:sSubPr>
                              <m:e>
                                <m:r>
                                  <w:rPr>
                                    <w:rFonts w:ascii="Cambria Math" w:hAnsi="Cambria Math"/>
                                  </w:rPr>
                                  <m:t>K</m:t>
                                </m:r>
                              </m:e>
                              <m:sub>
                                <m:r>
                                  <w:rPr>
                                    <w:rFonts w:ascii="Cambria Math" w:hAnsi="Cambria Math"/>
                                  </w:rPr>
                                  <m:t>PS</m:t>
                                </m:r>
                              </m:sub>
                            </m:sSub>
                          </m:den>
                        </m:f>
                      </m:e>
                    </m:d>
                  </m:e>
                  <m:sup>
                    <m:r>
                      <w:rPr>
                        <w:rFonts w:ascii="Cambria Math" w:hAnsi="Cambria Math"/>
                      </w:rPr>
                      <m:t>α</m:t>
                    </m:r>
                  </m:sup>
                </m:sSup>
              </m:oMath>
            </m:oMathPara>
          </w:p>
        </w:tc>
        <w:tc>
          <w:tcPr>
            <w:tcW w:w="802" w:type="dxa"/>
            <w:shd w:val="clear" w:color="auto" w:fill="auto"/>
            <w:vAlign w:val="center"/>
          </w:tcPr>
          <w:p w14:paraId="2E0197CE" w14:textId="7F508908" w:rsidR="008D59FA" w:rsidRPr="00B57B36" w:rsidRDefault="008D59FA" w:rsidP="00467608">
            <w:pPr>
              <w:pStyle w:val="CETEquation"/>
              <w:jc w:val="right"/>
            </w:pPr>
            <w:r w:rsidRPr="00B57B36">
              <w:t>(</w:t>
            </w:r>
            <w:r w:rsidR="004245C3">
              <w:t>6</w:t>
            </w:r>
            <w:r w:rsidRPr="00B57B36">
              <w:t>)</w:t>
            </w:r>
          </w:p>
        </w:tc>
      </w:tr>
    </w:tbl>
    <w:p w14:paraId="47FBC9BA" w14:textId="22E3EF73" w:rsidR="008D59FA" w:rsidRDefault="00780D04" w:rsidP="00131E97">
      <w:pPr>
        <w:pStyle w:val="CETBodytext"/>
        <w:numPr>
          <w:ilvl w:val="0"/>
          <w:numId w:val="28"/>
        </w:numPr>
      </w:pPr>
      <w:r>
        <w:t xml:space="preserve">Acids </w:t>
      </w:r>
      <w:proofErr w:type="spellStart"/>
      <w:r w:rsidR="004E2845">
        <w:t>remetabolization</w:t>
      </w:r>
      <w:proofErr w:type="spellEnd"/>
      <w:r>
        <w:t xml:space="preserve"> </w:t>
      </w:r>
      <w:r w:rsidR="00537633">
        <w:t xml:space="preserve">is inhibited by </w:t>
      </w:r>
      <w:r w:rsidR="00B170F3">
        <w:t xml:space="preserve">the total concentration of </w:t>
      </w:r>
      <w:r w:rsidR="00537633">
        <w:t>solvents:</w:t>
      </w:r>
    </w:p>
    <w:tbl>
      <w:tblPr>
        <w:tblW w:w="5000" w:type="pct"/>
        <w:tblLook w:val="04A0" w:firstRow="1" w:lastRow="0" w:firstColumn="1" w:lastColumn="0" w:noHBand="0" w:noVBand="1"/>
      </w:tblPr>
      <w:tblGrid>
        <w:gridCol w:w="7985"/>
        <w:gridCol w:w="802"/>
      </w:tblGrid>
      <w:tr w:rsidR="00780D04" w:rsidRPr="00B57B36" w14:paraId="27A4CECE" w14:textId="77777777" w:rsidTr="00467608">
        <w:tc>
          <w:tcPr>
            <w:tcW w:w="7985" w:type="dxa"/>
            <w:shd w:val="clear" w:color="auto" w:fill="auto"/>
            <w:vAlign w:val="center"/>
          </w:tcPr>
          <w:p w14:paraId="69A945C4" w14:textId="5A9E136C" w:rsidR="00780D04" w:rsidRPr="005914F3" w:rsidRDefault="00C76038" w:rsidP="00994A65">
            <w:pPr>
              <w:pStyle w:val="CETEquation"/>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BA,S</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BA,S,max</m:t>
                    </m:r>
                  </m:sub>
                </m:sSub>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m:t>
                                </m:r>
                              </m:sub>
                            </m:sSub>
                          </m:num>
                          <m:den>
                            <m:sSub>
                              <m:sSubPr>
                                <m:ctrlPr>
                                  <w:rPr>
                                    <w:rFonts w:ascii="Cambria Math" w:hAnsi="Cambria Math"/>
                                    <w:i/>
                                  </w:rPr>
                                </m:ctrlPr>
                              </m:sSubPr>
                              <m:e>
                                <m:r>
                                  <w:rPr>
                                    <w:rFonts w:ascii="Cambria Math" w:hAnsi="Cambria Math"/>
                                  </w:rPr>
                                  <m:t>K</m:t>
                                </m:r>
                              </m:e>
                              <m:sub>
                                <m:r>
                                  <w:rPr>
                                    <w:rFonts w:ascii="Cambria Math" w:hAnsi="Cambria Math"/>
                                  </w:rPr>
                                  <m:t>PS2</m:t>
                                </m:r>
                              </m:sub>
                            </m:sSub>
                          </m:den>
                        </m:f>
                      </m:e>
                    </m:d>
                  </m:e>
                  <m:sup>
                    <m:r>
                      <w:rPr>
                        <w:rFonts w:ascii="Cambria Math" w:hAnsi="Cambria Math"/>
                      </w:rPr>
                      <m:t>α2</m:t>
                    </m:r>
                  </m:sup>
                </m:sSup>
              </m:oMath>
            </m:oMathPara>
          </w:p>
        </w:tc>
        <w:tc>
          <w:tcPr>
            <w:tcW w:w="802" w:type="dxa"/>
            <w:shd w:val="clear" w:color="auto" w:fill="auto"/>
            <w:vAlign w:val="center"/>
          </w:tcPr>
          <w:p w14:paraId="1DE65057" w14:textId="2CA7E1DE" w:rsidR="00780D04" w:rsidRPr="00B57B36" w:rsidRDefault="00780D04" w:rsidP="00467608">
            <w:pPr>
              <w:pStyle w:val="CETEquation"/>
              <w:jc w:val="right"/>
            </w:pPr>
            <w:r w:rsidRPr="00B57B36">
              <w:t>(</w:t>
            </w:r>
            <w:r w:rsidR="004245C3">
              <w:t>7</w:t>
            </w:r>
            <w:r w:rsidRPr="00B57B36">
              <w:t>)</w:t>
            </w:r>
          </w:p>
        </w:tc>
      </w:tr>
      <w:tr w:rsidR="00780D04" w:rsidRPr="00B57B36" w14:paraId="2CC7D9AD" w14:textId="77777777" w:rsidTr="00467608">
        <w:tc>
          <w:tcPr>
            <w:tcW w:w="7985" w:type="dxa"/>
            <w:shd w:val="clear" w:color="auto" w:fill="auto"/>
            <w:vAlign w:val="center"/>
          </w:tcPr>
          <w:p w14:paraId="789E8D53" w14:textId="1104E2F3" w:rsidR="00780D04" w:rsidRPr="008D59FA" w:rsidRDefault="00C76038" w:rsidP="00994A65">
            <w:pPr>
              <w:pStyle w:val="CETEquation"/>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AA,S</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AA,S,max</m:t>
                    </m:r>
                  </m:sub>
                </m:sSub>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m:t>
                                </m:r>
                              </m:sub>
                            </m:sSub>
                          </m:num>
                          <m:den>
                            <m:sSub>
                              <m:sSubPr>
                                <m:ctrlPr>
                                  <w:rPr>
                                    <w:rFonts w:ascii="Cambria Math" w:hAnsi="Cambria Math"/>
                                    <w:i/>
                                  </w:rPr>
                                </m:ctrlPr>
                              </m:sSubPr>
                              <m:e>
                                <m:r>
                                  <w:rPr>
                                    <w:rFonts w:ascii="Cambria Math" w:hAnsi="Cambria Math"/>
                                  </w:rPr>
                                  <m:t>K</m:t>
                                </m:r>
                              </m:e>
                              <m:sub>
                                <m:r>
                                  <w:rPr>
                                    <w:rFonts w:ascii="Cambria Math" w:hAnsi="Cambria Math"/>
                                  </w:rPr>
                                  <m:t>PS2</m:t>
                                </m:r>
                              </m:sub>
                            </m:sSub>
                          </m:den>
                        </m:f>
                      </m:e>
                    </m:d>
                  </m:e>
                  <m:sup>
                    <m:r>
                      <w:rPr>
                        <w:rFonts w:ascii="Cambria Math" w:hAnsi="Cambria Math"/>
                      </w:rPr>
                      <m:t>α2</m:t>
                    </m:r>
                  </m:sup>
                </m:sSup>
              </m:oMath>
            </m:oMathPara>
          </w:p>
        </w:tc>
        <w:tc>
          <w:tcPr>
            <w:tcW w:w="802" w:type="dxa"/>
            <w:shd w:val="clear" w:color="auto" w:fill="auto"/>
            <w:vAlign w:val="center"/>
          </w:tcPr>
          <w:p w14:paraId="75A096D8" w14:textId="33E4F4B6" w:rsidR="00780D04" w:rsidRPr="00B57B36" w:rsidRDefault="00780D04" w:rsidP="00467608">
            <w:pPr>
              <w:pStyle w:val="CETEquation"/>
              <w:jc w:val="right"/>
            </w:pPr>
            <w:r w:rsidRPr="00B57B36">
              <w:t>(</w:t>
            </w:r>
            <w:r w:rsidR="004245C3">
              <w:t>8</w:t>
            </w:r>
            <w:r w:rsidRPr="00B57B36">
              <w:t>)</w:t>
            </w:r>
          </w:p>
        </w:tc>
      </w:tr>
    </w:tbl>
    <w:p w14:paraId="60B34714" w14:textId="5B3FF86E" w:rsidR="000054FF" w:rsidRDefault="000054FF" w:rsidP="00131E97">
      <w:pPr>
        <w:pStyle w:val="CETBodytext"/>
        <w:numPr>
          <w:ilvl w:val="0"/>
          <w:numId w:val="28"/>
        </w:numPr>
      </w:pPr>
      <w:r>
        <w:t>Solvents (</w:t>
      </w:r>
      <w:r w:rsidRPr="00B26D04">
        <w:rPr>
          <w:rFonts w:asciiTheme="majorHAnsi" w:hAnsiTheme="majorHAnsi"/>
          <w:i/>
        </w:rPr>
        <w:t>B</w:t>
      </w:r>
      <w:r>
        <w:t xml:space="preserve">: butanol, </w:t>
      </w:r>
      <w:r w:rsidRPr="00B26D04">
        <w:rPr>
          <w:rFonts w:asciiTheme="majorHAnsi" w:hAnsiTheme="majorHAnsi"/>
          <w:i/>
        </w:rPr>
        <w:t>A</w:t>
      </w:r>
      <w:r>
        <w:t xml:space="preserve">: acetone) production </w:t>
      </w:r>
      <w:r w:rsidR="00F80FFE">
        <w:t xml:space="preserve">depends on </w:t>
      </w:r>
      <w:r>
        <w:t>glucose</w:t>
      </w:r>
      <w:r w:rsidR="00F80FFE">
        <w:t xml:space="preserve"> and acids metabolization:</w:t>
      </w:r>
    </w:p>
    <w:tbl>
      <w:tblPr>
        <w:tblW w:w="5000" w:type="pct"/>
        <w:tblLook w:val="04A0" w:firstRow="1" w:lastRow="0" w:firstColumn="1" w:lastColumn="0" w:noHBand="0" w:noVBand="1"/>
      </w:tblPr>
      <w:tblGrid>
        <w:gridCol w:w="7985"/>
        <w:gridCol w:w="802"/>
      </w:tblGrid>
      <w:tr w:rsidR="000054FF" w:rsidRPr="00B57B36" w14:paraId="6E632609" w14:textId="77777777" w:rsidTr="00B26D04">
        <w:tc>
          <w:tcPr>
            <w:tcW w:w="7985" w:type="dxa"/>
            <w:shd w:val="clear" w:color="auto" w:fill="auto"/>
            <w:vAlign w:val="center"/>
          </w:tcPr>
          <w:p w14:paraId="3ECEE029" w14:textId="4A60D410" w:rsidR="000054FF" w:rsidRPr="001E569B" w:rsidRDefault="00C76038" w:rsidP="00B26D04">
            <w:pPr>
              <w:pStyle w:val="CETEquation"/>
              <w:rPr>
                <w:highlight w:val="yellow"/>
              </w:rPr>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 Y</m:t>
                    </m:r>
                  </m:e>
                  <m:sub>
                    <m:r>
                      <w:rPr>
                        <w:rFonts w:ascii="Cambria Math" w:hAnsi="Cambria Math"/>
                      </w:rPr>
                      <m:t>B/S</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S,S</m:t>
                    </m:r>
                  </m:sub>
                </m:sSub>
                <m:r>
                  <w:rPr>
                    <w:rFonts w:ascii="Cambria Math" w:hAnsi="Cambria Math"/>
                  </w:rPr>
                  <m:t xml:space="preserve">  </m:t>
                </m:r>
                <m:sSub>
                  <m:sSubPr>
                    <m:ctrlPr>
                      <w:rPr>
                        <w:rFonts w:ascii="Cambria Math" w:hAnsi="Cambria Math"/>
                        <w:i/>
                      </w:rPr>
                    </m:ctrlPr>
                  </m:sSubPr>
                  <m:e>
                    <m:r>
                      <w:rPr>
                        <w:rFonts w:ascii="Cambria Math" w:hAnsi="Cambria Math"/>
                      </w:rPr>
                      <m:t>- Y</m:t>
                    </m:r>
                  </m:e>
                  <m:sub>
                    <m:r>
                      <w:rPr>
                        <w:rFonts w:ascii="Cambria Math" w:hAnsi="Cambria Math"/>
                      </w:rPr>
                      <m:t>B/BA</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BA,S</m:t>
                    </m:r>
                  </m:sub>
                </m:sSub>
                <m:r>
                  <w:rPr>
                    <w:rFonts w:ascii="Cambria Math" w:hAnsi="Cambria Math"/>
                  </w:rPr>
                  <m:t xml:space="preserve"> </m:t>
                </m:r>
              </m:oMath>
            </m:oMathPara>
          </w:p>
        </w:tc>
        <w:tc>
          <w:tcPr>
            <w:tcW w:w="802" w:type="dxa"/>
            <w:shd w:val="clear" w:color="auto" w:fill="auto"/>
            <w:vAlign w:val="center"/>
          </w:tcPr>
          <w:p w14:paraId="217A5D89" w14:textId="2DD6BEDC" w:rsidR="000054FF" w:rsidRPr="00B57B36" w:rsidRDefault="000054FF" w:rsidP="00B26D04">
            <w:pPr>
              <w:pStyle w:val="CETEquation"/>
              <w:jc w:val="right"/>
            </w:pPr>
            <w:r w:rsidRPr="00B57B36">
              <w:t>(</w:t>
            </w:r>
            <w:r w:rsidR="004245C3">
              <w:t>9</w:t>
            </w:r>
            <w:r w:rsidRPr="00B57B36">
              <w:t>)</w:t>
            </w:r>
          </w:p>
        </w:tc>
      </w:tr>
      <w:tr w:rsidR="000054FF" w:rsidRPr="00B57B36" w14:paraId="1CCEB43A" w14:textId="77777777" w:rsidTr="00B26D04">
        <w:tc>
          <w:tcPr>
            <w:tcW w:w="7985" w:type="dxa"/>
            <w:shd w:val="clear" w:color="auto" w:fill="auto"/>
            <w:vAlign w:val="center"/>
          </w:tcPr>
          <w:p w14:paraId="6CB71C3B" w14:textId="031D3548" w:rsidR="000054FF" w:rsidRPr="001E569B" w:rsidRDefault="00C76038" w:rsidP="00B26D04">
            <w:pPr>
              <w:pStyle w:val="CETEquation"/>
              <w:rPr>
                <w:highlight w:val="yellow"/>
              </w:rPr>
            </w:pPr>
            <m:oMathPara>
              <m:oMathParaPr>
                <m:jc m:val="left"/>
              </m:oMathParaPr>
              <m:oMath>
                <m:sSub>
                  <m:sSubPr>
                    <m:ctrlPr>
                      <w:rPr>
                        <w:rFonts w:ascii="Cambria Math" w:hAnsi="Cambria Math"/>
                        <w:i/>
                      </w:rPr>
                    </m:ctrlPr>
                  </m:sSubPr>
                  <m:e>
                    <m:r>
                      <w:rPr>
                        <w:rFonts w:ascii="Cambria Math" w:hAnsi="Cambria Math"/>
                      </w:rPr>
                      <m:t>µ</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 Y</m:t>
                    </m:r>
                  </m:e>
                  <m:sub>
                    <m:r>
                      <w:rPr>
                        <w:rFonts w:ascii="Cambria Math" w:hAnsi="Cambria Math"/>
                      </w:rPr>
                      <m:t>A/S</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S,S</m:t>
                    </m:r>
                  </m:sub>
                </m:sSub>
                <m:r>
                  <w:rPr>
                    <w:rFonts w:ascii="Cambria Math" w:hAnsi="Cambria Math"/>
                  </w:rPr>
                  <m:t xml:space="preserve">  </m:t>
                </m:r>
                <m:sSub>
                  <m:sSubPr>
                    <m:ctrlPr>
                      <w:rPr>
                        <w:rFonts w:ascii="Cambria Math" w:hAnsi="Cambria Math"/>
                        <w:i/>
                      </w:rPr>
                    </m:ctrlPr>
                  </m:sSubPr>
                  <m:e>
                    <m:r>
                      <w:rPr>
                        <w:rFonts w:ascii="Cambria Math" w:hAnsi="Cambria Math"/>
                      </w:rPr>
                      <m:t>- Y</m:t>
                    </m:r>
                  </m:e>
                  <m:sub>
                    <m:r>
                      <w:rPr>
                        <w:rFonts w:ascii="Cambria Math" w:hAnsi="Cambria Math"/>
                      </w:rPr>
                      <m:t>A/AA</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AA,S</m:t>
                    </m:r>
                  </m:sub>
                </m:sSub>
              </m:oMath>
            </m:oMathPara>
          </w:p>
        </w:tc>
        <w:tc>
          <w:tcPr>
            <w:tcW w:w="802" w:type="dxa"/>
            <w:shd w:val="clear" w:color="auto" w:fill="auto"/>
            <w:vAlign w:val="center"/>
          </w:tcPr>
          <w:p w14:paraId="47C2F21A" w14:textId="115F21B4" w:rsidR="000054FF" w:rsidRPr="00B57B36" w:rsidRDefault="000054FF" w:rsidP="00B26D04">
            <w:pPr>
              <w:pStyle w:val="CETEquation"/>
              <w:jc w:val="right"/>
            </w:pPr>
            <w:r>
              <w:t>(</w:t>
            </w:r>
            <w:r w:rsidR="00686440">
              <w:t>1</w:t>
            </w:r>
            <w:r w:rsidR="004245C3">
              <w:t>0</w:t>
            </w:r>
            <w:r>
              <w:t>)</w:t>
            </w:r>
          </w:p>
        </w:tc>
      </w:tr>
    </w:tbl>
    <w:p w14:paraId="55D53D5E" w14:textId="562C3D5D" w:rsidR="00C83539" w:rsidRDefault="002210B6" w:rsidP="00C83539">
      <w:pPr>
        <w:pStyle w:val="CETBodytext"/>
      </w:pPr>
      <w:bookmarkStart w:id="1" w:name="_Hlk158580977"/>
      <w:r>
        <w:t>Some simplification</w:t>
      </w:r>
      <w:r w:rsidR="00D728EF">
        <w:t>s</w:t>
      </w:r>
      <w:r>
        <w:t xml:space="preserve"> considered in the model are</w:t>
      </w:r>
      <w:r w:rsidR="0080588F">
        <w:t xml:space="preserve">: </w:t>
      </w:r>
      <w:proofErr w:type="spellStart"/>
      <w:r w:rsidR="0080588F">
        <w:t>i</w:t>
      </w:r>
      <w:proofErr w:type="spellEnd"/>
      <w:r w:rsidR="0080588F">
        <w:t xml:space="preserve">) </w:t>
      </w:r>
      <w:r>
        <w:t xml:space="preserve">there is </w:t>
      </w:r>
      <w:r w:rsidR="00501217">
        <w:t>not consumption</w:t>
      </w:r>
      <w:r>
        <w:t xml:space="preserve"> for maintenance of the cells, </w:t>
      </w:r>
      <w:r w:rsidR="0080588F">
        <w:t>ii)</w:t>
      </w:r>
      <w:r>
        <w:t xml:space="preserve"> the switch between the metabolic phases is instantaneous</w:t>
      </w:r>
      <w:r w:rsidR="0080588F">
        <w:t xml:space="preserve">, iii) the switch is </w:t>
      </w:r>
      <w:r>
        <w:t>simultaneous for both products (acetone and butanol).</w:t>
      </w:r>
      <w:bookmarkEnd w:id="1"/>
      <w:r>
        <w:t xml:space="preserve"> </w:t>
      </w:r>
      <w:r w:rsidR="003E1634">
        <w:t>T</w:t>
      </w:r>
      <w:r w:rsidR="002C1EBE">
        <w:t xml:space="preserve">he model </w:t>
      </w:r>
      <w:r w:rsidR="003E1634">
        <w:t xml:space="preserve">Parameters </w:t>
      </w:r>
      <w:r w:rsidR="002C1EBE">
        <w:t>are characterized in Table 1.</w:t>
      </w:r>
      <w:r w:rsidR="00947153">
        <w:t xml:space="preserve"> In </w:t>
      </w:r>
      <w:r w:rsidR="007E5144">
        <w:t xml:space="preserve">the </w:t>
      </w:r>
      <w:r w:rsidR="00947153">
        <w:t xml:space="preserve">performed experiments, </w:t>
      </w:r>
      <w:r w:rsidR="00DB79E4">
        <w:t>the lag phase</w:t>
      </w:r>
      <w:r w:rsidR="00947153">
        <w:t>,</w:t>
      </w:r>
      <w:r w:rsidR="002C1EBE">
        <w:t xml:space="preserve"> observed </w:t>
      </w:r>
      <w:r w:rsidR="00436C85">
        <w:t xml:space="preserve">before </w:t>
      </w:r>
      <w:r w:rsidR="00E217CB">
        <w:t>the acidogenesis phase</w:t>
      </w:r>
      <w:r w:rsidR="00994A65">
        <w:t xml:space="preserve">, </w:t>
      </w:r>
      <w:r w:rsidR="00DB79E4">
        <w:t>var</w:t>
      </w:r>
      <w:r w:rsidR="00436C85">
        <w:t xml:space="preserve">ied </w:t>
      </w:r>
      <w:r w:rsidR="00DB79E4">
        <w:t xml:space="preserve">between 3 and </w:t>
      </w:r>
      <w:r w:rsidR="00436C85">
        <w:t>6</w:t>
      </w:r>
      <w:r w:rsidR="00DB79E4">
        <w:t xml:space="preserve"> hours</w:t>
      </w:r>
      <w:r w:rsidR="00AE11A4">
        <w:t xml:space="preserve"> (Figure </w:t>
      </w:r>
      <w:r w:rsidR="00C83539">
        <w:t>2</w:t>
      </w:r>
      <w:r w:rsidR="00AE11A4">
        <w:t>)</w:t>
      </w:r>
      <w:r w:rsidR="00DB79E4">
        <w:t xml:space="preserve">. </w:t>
      </w:r>
      <w:r w:rsidR="00C83539">
        <w:t>This model satisfactorily adjusts the profiles of glucose, biomass and products, for performed experiments, as observed in Figure 2,</w:t>
      </w:r>
      <w:r w:rsidR="00C83539" w:rsidRPr="000D1A4D">
        <w:t xml:space="preserve"> </w:t>
      </w:r>
      <w:r w:rsidR="00C83539">
        <w:t xml:space="preserve">which confirms the considered mechanistic phenomena: </w:t>
      </w:r>
    </w:p>
    <w:p w14:paraId="70A01EFB" w14:textId="77777777" w:rsidR="00C83539" w:rsidRDefault="00C83539" w:rsidP="00C83539">
      <w:pPr>
        <w:pStyle w:val="CETBodytext"/>
        <w:numPr>
          <w:ilvl w:val="0"/>
          <w:numId w:val="28"/>
        </w:numPr>
      </w:pPr>
      <w:r>
        <w:t>Acids accumulation inhibits the metabolism during the acidogenesis phase.</w:t>
      </w:r>
    </w:p>
    <w:p w14:paraId="49D1693C" w14:textId="77777777" w:rsidR="00C83539" w:rsidRDefault="00C83539" w:rsidP="00C83539">
      <w:pPr>
        <w:pStyle w:val="CETBodytext"/>
        <w:numPr>
          <w:ilvl w:val="0"/>
          <w:numId w:val="28"/>
        </w:numPr>
      </w:pPr>
      <w:r>
        <w:t xml:space="preserve">Solvents accumulation inhibits the metabolic processes in solventogenesis phase. </w:t>
      </w:r>
    </w:p>
    <w:p w14:paraId="6EAA592D" w14:textId="0E21A78B" w:rsidR="00DB79E4" w:rsidRPr="00C44824" w:rsidRDefault="00C83539" w:rsidP="00705E63">
      <w:pPr>
        <w:pStyle w:val="CETBodytext"/>
        <w:numPr>
          <w:ilvl w:val="0"/>
          <w:numId w:val="28"/>
        </w:numPr>
        <w:rPr>
          <w:strike/>
        </w:rPr>
      </w:pPr>
      <w:r>
        <w:t>Solvents are generated from glucose and the corresponding acid.</w:t>
      </w:r>
    </w:p>
    <w:p w14:paraId="3C2538D1" w14:textId="75D1DFEC" w:rsidR="00C44824" w:rsidRPr="00C44824" w:rsidRDefault="00C44824" w:rsidP="00C44824">
      <w:pPr>
        <w:pStyle w:val="CETBodytext"/>
        <w:rPr>
          <w:lang w:val="en-GB"/>
        </w:rPr>
      </w:pPr>
      <w:r w:rsidRPr="00F7739C">
        <w:t>Concentration profiles show that</w:t>
      </w:r>
      <w:r>
        <w:t>,</w:t>
      </w:r>
      <w:r w:rsidRPr="00F7739C">
        <w:t xml:space="preserve"> in ABE fermentation without pH control, the metabolic switch happens when pH drops its minimum, and butyric and acetic acid concentrations reach 3.7 ± 0.2 and 6.6 ± 0.5 g/L</w:t>
      </w:r>
      <w:r>
        <w:t>,</w:t>
      </w:r>
      <w:r w:rsidRPr="00F7739C">
        <w:t xml:space="preserve"> respectively.</w:t>
      </w:r>
    </w:p>
    <w:p w14:paraId="7B8B455B" w14:textId="4006D1AE" w:rsidR="0096475D" w:rsidRDefault="0096475D" w:rsidP="0096475D">
      <w:pPr>
        <w:pStyle w:val="CETTabletitle"/>
      </w:pPr>
      <w:r w:rsidRPr="00B12ED3">
        <w:t>Table 1.</w:t>
      </w:r>
      <w:r>
        <w:t xml:space="preserve"> </w:t>
      </w:r>
      <w:r w:rsidR="00B669DB">
        <w:t>Parameter</w:t>
      </w:r>
      <w:r w:rsidR="00DE26C1">
        <w:t>s for</w:t>
      </w:r>
      <w:r w:rsidR="00B669DB">
        <w:t xml:space="preserve"> </w:t>
      </w:r>
      <w:r>
        <w:t xml:space="preserve">ABE fermentation </w:t>
      </w:r>
      <w:r w:rsidR="00B669DB">
        <w:t xml:space="preserve">model </w:t>
      </w:r>
      <w:r>
        <w:t>with IBUN-IV strain.</w:t>
      </w:r>
      <w:r w:rsidRPr="00B12ED3">
        <w:t xml:space="preserve">  </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5528"/>
        <w:gridCol w:w="992"/>
        <w:gridCol w:w="1276"/>
      </w:tblGrid>
      <w:tr w:rsidR="00B669DB" w:rsidRPr="00B57B36" w14:paraId="4AA2D719" w14:textId="77777777" w:rsidTr="007E52C0">
        <w:tc>
          <w:tcPr>
            <w:tcW w:w="993" w:type="dxa"/>
            <w:tcBorders>
              <w:top w:val="single" w:sz="12" w:space="0" w:color="008000"/>
              <w:bottom w:val="single" w:sz="6" w:space="0" w:color="008000"/>
            </w:tcBorders>
            <w:shd w:val="clear" w:color="auto" w:fill="FFFFFF"/>
          </w:tcPr>
          <w:p w14:paraId="5C2FBA06" w14:textId="0AFE65B6" w:rsidR="00B669DB" w:rsidRPr="00B57B36" w:rsidRDefault="00B669DB" w:rsidP="00B669DB">
            <w:pPr>
              <w:pStyle w:val="CETBodytext"/>
              <w:jc w:val="center"/>
              <w:rPr>
                <w:lang w:val="en-GB"/>
              </w:rPr>
            </w:pPr>
            <w:r>
              <w:rPr>
                <w:lang w:val="en-GB"/>
              </w:rPr>
              <w:t>Parameter</w:t>
            </w:r>
          </w:p>
        </w:tc>
        <w:tc>
          <w:tcPr>
            <w:tcW w:w="5528" w:type="dxa"/>
            <w:tcBorders>
              <w:top w:val="single" w:sz="12" w:space="0" w:color="008000"/>
              <w:bottom w:val="single" w:sz="6" w:space="0" w:color="008000"/>
            </w:tcBorders>
            <w:shd w:val="clear" w:color="auto" w:fill="FFFFFF"/>
          </w:tcPr>
          <w:p w14:paraId="607C3746" w14:textId="29BE7795" w:rsidR="00B669DB" w:rsidRPr="00B57B36" w:rsidRDefault="00B669DB" w:rsidP="00B669DB">
            <w:pPr>
              <w:pStyle w:val="CETBodytext"/>
              <w:jc w:val="center"/>
              <w:rPr>
                <w:lang w:val="en-GB"/>
              </w:rPr>
            </w:pPr>
            <w:r>
              <w:rPr>
                <w:lang w:val="en-GB"/>
              </w:rPr>
              <w:t>Meaning</w:t>
            </w:r>
          </w:p>
        </w:tc>
        <w:tc>
          <w:tcPr>
            <w:tcW w:w="992" w:type="dxa"/>
            <w:tcBorders>
              <w:top w:val="single" w:sz="12" w:space="0" w:color="008000"/>
              <w:bottom w:val="single" w:sz="6" w:space="0" w:color="008000"/>
            </w:tcBorders>
            <w:shd w:val="clear" w:color="auto" w:fill="FFFFFF"/>
          </w:tcPr>
          <w:p w14:paraId="18617530" w14:textId="0DC35F0E" w:rsidR="00B669DB" w:rsidRPr="00B57B36" w:rsidRDefault="00B669DB" w:rsidP="00B669DB">
            <w:pPr>
              <w:pStyle w:val="CETBodytext"/>
              <w:ind w:right="-1"/>
              <w:jc w:val="center"/>
              <w:rPr>
                <w:rFonts w:cs="Arial"/>
                <w:szCs w:val="18"/>
                <w:lang w:val="en-GB"/>
              </w:rPr>
            </w:pPr>
            <w:r>
              <w:rPr>
                <w:rFonts w:cs="Arial"/>
                <w:szCs w:val="18"/>
                <w:lang w:val="en-GB"/>
              </w:rPr>
              <w:t>Value</w:t>
            </w:r>
          </w:p>
        </w:tc>
        <w:tc>
          <w:tcPr>
            <w:tcW w:w="1276" w:type="dxa"/>
            <w:tcBorders>
              <w:top w:val="single" w:sz="12" w:space="0" w:color="008000"/>
              <w:bottom w:val="single" w:sz="6" w:space="0" w:color="008000"/>
            </w:tcBorders>
            <w:shd w:val="clear" w:color="auto" w:fill="FFFFFF"/>
          </w:tcPr>
          <w:p w14:paraId="6DD97678" w14:textId="5CBFD704" w:rsidR="00B669DB" w:rsidRPr="00B57B36" w:rsidRDefault="00B669DB" w:rsidP="00B669DB">
            <w:pPr>
              <w:pStyle w:val="CETBodytext"/>
              <w:ind w:right="-1"/>
              <w:jc w:val="center"/>
              <w:rPr>
                <w:rFonts w:cs="Arial"/>
                <w:szCs w:val="18"/>
                <w:lang w:val="en-GB"/>
              </w:rPr>
            </w:pPr>
            <w:r>
              <w:rPr>
                <w:rFonts w:cs="Arial"/>
                <w:szCs w:val="18"/>
                <w:lang w:val="en-GB"/>
              </w:rPr>
              <w:t>Units</w:t>
            </w:r>
          </w:p>
        </w:tc>
      </w:tr>
      <w:tr w:rsidR="00B669DB" w:rsidRPr="00B57B36" w14:paraId="77274A83" w14:textId="77777777" w:rsidTr="007E52C0">
        <w:tc>
          <w:tcPr>
            <w:tcW w:w="993" w:type="dxa"/>
            <w:shd w:val="clear" w:color="auto" w:fill="FFFFFF"/>
          </w:tcPr>
          <w:p w14:paraId="6422BD83" w14:textId="68397A15" w:rsidR="00B669DB" w:rsidRPr="008B157C" w:rsidRDefault="00B669DB" w:rsidP="008B157C">
            <w:pPr>
              <w:pStyle w:val="CETBodytext"/>
              <w:ind w:left="142"/>
              <w:rPr>
                <w:rFonts w:asciiTheme="majorHAnsi" w:hAnsiTheme="majorHAnsi"/>
                <w:lang w:val="en-GB"/>
              </w:rPr>
            </w:pPr>
            <w:r w:rsidRPr="008B157C">
              <w:rPr>
                <w:rFonts w:asciiTheme="majorHAnsi" w:hAnsiTheme="majorHAnsi"/>
                <w:lang w:val="en-GB"/>
              </w:rPr>
              <w:t>µ</w:t>
            </w:r>
            <w:r w:rsidRPr="00111B3D">
              <w:rPr>
                <w:rFonts w:asciiTheme="majorHAnsi" w:hAnsiTheme="majorHAnsi"/>
                <w:i/>
                <w:vertAlign w:val="subscript"/>
                <w:lang w:val="en-GB"/>
              </w:rPr>
              <w:t>max</w:t>
            </w:r>
          </w:p>
        </w:tc>
        <w:tc>
          <w:tcPr>
            <w:tcW w:w="5528" w:type="dxa"/>
            <w:shd w:val="clear" w:color="auto" w:fill="FFFFFF"/>
          </w:tcPr>
          <w:p w14:paraId="1031FF2E" w14:textId="0741A46E" w:rsidR="00B669DB" w:rsidRPr="00B57B36" w:rsidRDefault="00381C99" w:rsidP="00381C99">
            <w:pPr>
              <w:pStyle w:val="CETBodytext"/>
              <w:rPr>
                <w:lang w:val="en-GB"/>
              </w:rPr>
            </w:pPr>
            <w:r>
              <w:rPr>
                <w:lang w:val="en-GB"/>
              </w:rPr>
              <w:t>M</w:t>
            </w:r>
            <w:r w:rsidRPr="00381C99">
              <w:rPr>
                <w:lang w:val="en-GB"/>
              </w:rPr>
              <w:t>aximum specific</w:t>
            </w:r>
            <w:r>
              <w:rPr>
                <w:lang w:val="en-GB"/>
              </w:rPr>
              <w:t xml:space="preserve"> </w:t>
            </w:r>
            <w:r w:rsidRPr="00381C99">
              <w:rPr>
                <w:lang w:val="en-GB"/>
              </w:rPr>
              <w:t>growth rate</w:t>
            </w:r>
          </w:p>
        </w:tc>
        <w:tc>
          <w:tcPr>
            <w:tcW w:w="992" w:type="dxa"/>
            <w:shd w:val="clear" w:color="auto" w:fill="FFFFFF"/>
          </w:tcPr>
          <w:p w14:paraId="69173929" w14:textId="410394C1" w:rsidR="00B669DB" w:rsidRPr="00B57B36" w:rsidRDefault="00780D04" w:rsidP="00467608">
            <w:pPr>
              <w:pStyle w:val="CETBodytext"/>
              <w:ind w:right="281"/>
              <w:jc w:val="right"/>
              <w:rPr>
                <w:rFonts w:cs="Arial"/>
                <w:szCs w:val="18"/>
                <w:lang w:val="en-GB"/>
              </w:rPr>
            </w:pPr>
            <w:r>
              <w:rPr>
                <w:rFonts w:cs="Arial"/>
                <w:szCs w:val="18"/>
                <w:lang w:val="en-GB"/>
              </w:rPr>
              <w:t>0.19</w:t>
            </w:r>
          </w:p>
        </w:tc>
        <w:tc>
          <w:tcPr>
            <w:tcW w:w="1276" w:type="dxa"/>
            <w:shd w:val="clear" w:color="auto" w:fill="FFFFFF"/>
          </w:tcPr>
          <w:p w14:paraId="3AF8D59A" w14:textId="24176797" w:rsidR="00B669DB" w:rsidRPr="00B57B36" w:rsidRDefault="00B669DB" w:rsidP="00467608">
            <w:pPr>
              <w:pStyle w:val="CETBodytext"/>
              <w:ind w:left="286" w:right="-1"/>
              <w:rPr>
                <w:rFonts w:cs="Arial"/>
                <w:szCs w:val="18"/>
                <w:lang w:val="en-GB"/>
              </w:rPr>
            </w:pPr>
            <w:r>
              <w:rPr>
                <w:rFonts w:cs="Arial"/>
                <w:szCs w:val="18"/>
                <w:lang w:val="en-GB"/>
              </w:rPr>
              <w:t>h</w:t>
            </w:r>
            <w:r w:rsidRPr="008B157C">
              <w:rPr>
                <w:rFonts w:cs="Arial"/>
                <w:szCs w:val="18"/>
                <w:vertAlign w:val="superscript"/>
                <w:lang w:val="en-GB"/>
              </w:rPr>
              <w:t>-1</w:t>
            </w:r>
          </w:p>
        </w:tc>
      </w:tr>
      <w:tr w:rsidR="00B669DB" w:rsidRPr="00B57B36" w14:paraId="4ED15AD3" w14:textId="77777777" w:rsidTr="007E52C0">
        <w:tc>
          <w:tcPr>
            <w:tcW w:w="993" w:type="dxa"/>
            <w:shd w:val="clear" w:color="auto" w:fill="FFFFFF"/>
          </w:tcPr>
          <w:p w14:paraId="3DFA2ABA" w14:textId="0B60A939" w:rsidR="00B669DB" w:rsidRPr="008B157C" w:rsidRDefault="00780D04" w:rsidP="008B157C">
            <w:pPr>
              <w:pStyle w:val="CETBodytext"/>
              <w:ind w:left="142"/>
              <w:rPr>
                <w:rFonts w:asciiTheme="majorHAnsi" w:hAnsiTheme="majorHAnsi"/>
                <w:i/>
                <w:lang w:val="en-GB"/>
              </w:rPr>
            </w:pPr>
            <w:r w:rsidRPr="008B157C">
              <w:rPr>
                <w:rFonts w:asciiTheme="majorHAnsi" w:hAnsiTheme="majorHAnsi"/>
                <w:i/>
                <w:lang w:val="en-GB"/>
              </w:rPr>
              <w:t>K</w:t>
            </w:r>
            <w:r w:rsidR="008B157C" w:rsidRPr="008B157C">
              <w:rPr>
                <w:rFonts w:asciiTheme="majorHAnsi" w:hAnsiTheme="majorHAnsi"/>
                <w:i/>
                <w:vertAlign w:val="subscript"/>
                <w:lang w:val="en-GB"/>
              </w:rPr>
              <w:t>S</w:t>
            </w:r>
          </w:p>
        </w:tc>
        <w:tc>
          <w:tcPr>
            <w:tcW w:w="5528" w:type="dxa"/>
            <w:shd w:val="clear" w:color="auto" w:fill="FFFFFF"/>
          </w:tcPr>
          <w:p w14:paraId="4145FABC" w14:textId="3F1DD08E" w:rsidR="00B669DB" w:rsidRPr="00B57B36" w:rsidRDefault="00381C99" w:rsidP="00467608">
            <w:pPr>
              <w:pStyle w:val="CETBodytext"/>
              <w:rPr>
                <w:lang w:val="en-GB"/>
              </w:rPr>
            </w:pPr>
            <w:r>
              <w:rPr>
                <w:lang w:val="en-GB"/>
              </w:rPr>
              <w:t>Half-saturation constant</w:t>
            </w:r>
          </w:p>
        </w:tc>
        <w:tc>
          <w:tcPr>
            <w:tcW w:w="992" w:type="dxa"/>
            <w:shd w:val="clear" w:color="auto" w:fill="FFFFFF"/>
          </w:tcPr>
          <w:p w14:paraId="34B0DDFB" w14:textId="452355F8" w:rsidR="00B669DB" w:rsidRPr="00B57B36" w:rsidRDefault="00780D04" w:rsidP="00467608">
            <w:pPr>
              <w:pStyle w:val="CETBodytext"/>
              <w:ind w:right="281"/>
              <w:jc w:val="right"/>
              <w:rPr>
                <w:rFonts w:cs="Arial"/>
                <w:szCs w:val="18"/>
                <w:lang w:val="en-GB"/>
              </w:rPr>
            </w:pPr>
            <w:r>
              <w:rPr>
                <w:rFonts w:cs="Arial"/>
                <w:szCs w:val="18"/>
                <w:lang w:val="en-GB"/>
              </w:rPr>
              <w:t>1</w:t>
            </w:r>
            <w:r w:rsidR="00467608">
              <w:rPr>
                <w:rFonts w:cs="Arial"/>
                <w:szCs w:val="18"/>
                <w:lang w:val="en-GB"/>
              </w:rPr>
              <w:t>.0</w:t>
            </w:r>
            <w:r w:rsidR="00E90407">
              <w:rPr>
                <w:rFonts w:cs="Arial"/>
                <w:szCs w:val="18"/>
                <w:lang w:val="en-GB"/>
              </w:rPr>
              <w:t>0</w:t>
            </w:r>
          </w:p>
        </w:tc>
        <w:tc>
          <w:tcPr>
            <w:tcW w:w="1276" w:type="dxa"/>
            <w:shd w:val="clear" w:color="auto" w:fill="FFFFFF"/>
          </w:tcPr>
          <w:p w14:paraId="0040BE4E" w14:textId="6FAC626F" w:rsidR="00B669DB" w:rsidRPr="00B57B36" w:rsidRDefault="00780D04" w:rsidP="00467608">
            <w:pPr>
              <w:pStyle w:val="CETBodytext"/>
              <w:ind w:left="286" w:right="-1"/>
              <w:rPr>
                <w:rFonts w:cs="Arial"/>
                <w:szCs w:val="18"/>
                <w:lang w:val="en-GB"/>
              </w:rPr>
            </w:pPr>
            <w:r>
              <w:rPr>
                <w:rFonts w:cs="Arial"/>
                <w:szCs w:val="18"/>
                <w:lang w:val="en-GB"/>
              </w:rPr>
              <w:t>g/L</w:t>
            </w:r>
          </w:p>
        </w:tc>
      </w:tr>
      <w:tr w:rsidR="00780D04" w:rsidRPr="00B57B36" w14:paraId="30193D17" w14:textId="77777777" w:rsidTr="007E52C0">
        <w:tc>
          <w:tcPr>
            <w:tcW w:w="993" w:type="dxa"/>
            <w:shd w:val="clear" w:color="auto" w:fill="FFFFFF"/>
          </w:tcPr>
          <w:p w14:paraId="64540666" w14:textId="41DA4B17" w:rsidR="00780D04" w:rsidRPr="008B157C" w:rsidRDefault="00780D04" w:rsidP="008B157C">
            <w:pPr>
              <w:pStyle w:val="CETBodytext"/>
              <w:ind w:left="142"/>
              <w:rPr>
                <w:rFonts w:asciiTheme="majorHAnsi" w:hAnsiTheme="majorHAnsi"/>
                <w:i/>
                <w:lang w:val="en-GB"/>
              </w:rPr>
            </w:pPr>
            <w:r w:rsidRPr="008B157C">
              <w:rPr>
                <w:rFonts w:asciiTheme="majorHAnsi" w:hAnsiTheme="majorHAnsi"/>
                <w:i/>
                <w:lang w:val="en-GB"/>
              </w:rPr>
              <w:t>K</w:t>
            </w:r>
            <w:r w:rsidRPr="008B157C">
              <w:rPr>
                <w:rFonts w:asciiTheme="majorHAnsi" w:hAnsiTheme="majorHAnsi"/>
                <w:i/>
                <w:vertAlign w:val="subscript"/>
                <w:lang w:val="en-GB"/>
              </w:rPr>
              <w:t>i</w:t>
            </w:r>
          </w:p>
        </w:tc>
        <w:tc>
          <w:tcPr>
            <w:tcW w:w="5528" w:type="dxa"/>
            <w:shd w:val="clear" w:color="auto" w:fill="FFFFFF"/>
          </w:tcPr>
          <w:p w14:paraId="06866A60" w14:textId="2F125BA0" w:rsidR="00780D04" w:rsidRPr="00B57B36" w:rsidRDefault="00A757B1" w:rsidP="00467608">
            <w:pPr>
              <w:pStyle w:val="CETBodytext"/>
              <w:rPr>
                <w:lang w:val="en-GB"/>
              </w:rPr>
            </w:pPr>
            <w:r>
              <w:rPr>
                <w:lang w:val="en-GB"/>
              </w:rPr>
              <w:t xml:space="preserve">Constant for Inhibition </w:t>
            </w:r>
            <w:r w:rsidR="001A46D3">
              <w:rPr>
                <w:lang w:val="en-GB"/>
              </w:rPr>
              <w:t>by</w:t>
            </w:r>
            <w:r>
              <w:rPr>
                <w:lang w:val="en-GB"/>
              </w:rPr>
              <w:t xml:space="preserve"> substrate on growth</w:t>
            </w:r>
          </w:p>
        </w:tc>
        <w:tc>
          <w:tcPr>
            <w:tcW w:w="992" w:type="dxa"/>
            <w:shd w:val="clear" w:color="auto" w:fill="FFFFFF"/>
          </w:tcPr>
          <w:p w14:paraId="6DAB86E4" w14:textId="4AD02C27" w:rsidR="00780D04" w:rsidRDefault="00780D04" w:rsidP="00467608">
            <w:pPr>
              <w:pStyle w:val="CETBodytext"/>
              <w:ind w:right="281"/>
              <w:jc w:val="right"/>
              <w:rPr>
                <w:rFonts w:cs="Arial"/>
                <w:szCs w:val="18"/>
                <w:lang w:val="en-GB"/>
              </w:rPr>
            </w:pPr>
            <w:r>
              <w:rPr>
                <w:rFonts w:cs="Arial"/>
                <w:szCs w:val="18"/>
                <w:lang w:val="en-GB"/>
              </w:rPr>
              <w:t>120</w:t>
            </w:r>
          </w:p>
        </w:tc>
        <w:tc>
          <w:tcPr>
            <w:tcW w:w="1276" w:type="dxa"/>
            <w:shd w:val="clear" w:color="auto" w:fill="FFFFFF"/>
          </w:tcPr>
          <w:p w14:paraId="6862C47F" w14:textId="7B757C90" w:rsidR="00780D04" w:rsidRDefault="00780D04" w:rsidP="00467608">
            <w:pPr>
              <w:pStyle w:val="CETBodytext"/>
              <w:ind w:left="286" w:right="-1"/>
              <w:rPr>
                <w:rFonts w:cs="Arial"/>
                <w:szCs w:val="18"/>
                <w:lang w:val="en-GB"/>
              </w:rPr>
            </w:pPr>
            <w:r>
              <w:rPr>
                <w:rFonts w:cs="Arial"/>
                <w:szCs w:val="18"/>
                <w:lang w:val="en-GB"/>
              </w:rPr>
              <w:t>g/L</w:t>
            </w:r>
          </w:p>
        </w:tc>
      </w:tr>
      <w:tr w:rsidR="00780D04" w:rsidRPr="00B57B36" w14:paraId="7912DE1F" w14:textId="77777777" w:rsidTr="007E52C0">
        <w:tc>
          <w:tcPr>
            <w:tcW w:w="993" w:type="dxa"/>
            <w:shd w:val="clear" w:color="auto" w:fill="FFFFFF"/>
          </w:tcPr>
          <w:p w14:paraId="0D0424AB" w14:textId="6A7F02C4" w:rsidR="00780D04" w:rsidRPr="008B157C" w:rsidRDefault="00780D04" w:rsidP="008B157C">
            <w:pPr>
              <w:pStyle w:val="CETBodytext"/>
              <w:ind w:left="142"/>
              <w:rPr>
                <w:rFonts w:asciiTheme="majorHAnsi" w:hAnsiTheme="majorHAnsi"/>
                <w:i/>
                <w:lang w:val="en-GB"/>
              </w:rPr>
            </w:pPr>
            <w:r w:rsidRPr="008B157C">
              <w:rPr>
                <w:rFonts w:asciiTheme="majorHAnsi" w:hAnsiTheme="majorHAnsi"/>
                <w:i/>
                <w:lang w:val="en-GB"/>
              </w:rPr>
              <w:t>K</w:t>
            </w:r>
            <w:r w:rsidRPr="008B157C">
              <w:rPr>
                <w:rFonts w:asciiTheme="majorHAnsi" w:hAnsiTheme="majorHAnsi"/>
                <w:i/>
                <w:vertAlign w:val="subscript"/>
                <w:lang w:val="en-GB"/>
              </w:rPr>
              <w:t>PA</w:t>
            </w:r>
          </w:p>
        </w:tc>
        <w:tc>
          <w:tcPr>
            <w:tcW w:w="5528" w:type="dxa"/>
            <w:shd w:val="clear" w:color="auto" w:fill="FFFFFF"/>
          </w:tcPr>
          <w:p w14:paraId="72FF6951" w14:textId="12A62D95" w:rsidR="00780D04" w:rsidRPr="00B57B36" w:rsidRDefault="00A757B1" w:rsidP="00467608">
            <w:pPr>
              <w:pStyle w:val="CETBodytext"/>
              <w:rPr>
                <w:lang w:val="en-GB"/>
              </w:rPr>
            </w:pPr>
            <w:r>
              <w:rPr>
                <w:lang w:val="en-GB"/>
              </w:rPr>
              <w:t>C</w:t>
            </w:r>
            <w:r w:rsidR="001A46D3">
              <w:rPr>
                <w:lang w:val="en-GB"/>
              </w:rPr>
              <w:t xml:space="preserve">ritical </w:t>
            </w:r>
            <w:r w:rsidR="00111B3D">
              <w:rPr>
                <w:lang w:val="en-GB"/>
              </w:rPr>
              <w:t>concentration of acids for growth</w:t>
            </w:r>
          </w:p>
        </w:tc>
        <w:tc>
          <w:tcPr>
            <w:tcW w:w="992" w:type="dxa"/>
            <w:shd w:val="clear" w:color="auto" w:fill="FFFFFF"/>
          </w:tcPr>
          <w:p w14:paraId="4B784747" w14:textId="1BC540C5" w:rsidR="00780D04" w:rsidRDefault="00780D04" w:rsidP="00467608">
            <w:pPr>
              <w:pStyle w:val="CETBodytext"/>
              <w:ind w:right="281"/>
              <w:jc w:val="right"/>
              <w:rPr>
                <w:rFonts w:cs="Arial"/>
                <w:szCs w:val="18"/>
                <w:lang w:val="en-GB"/>
              </w:rPr>
            </w:pPr>
            <w:r>
              <w:rPr>
                <w:rFonts w:cs="Arial"/>
                <w:szCs w:val="18"/>
                <w:lang w:val="en-GB"/>
              </w:rPr>
              <w:t>1</w:t>
            </w:r>
            <w:r w:rsidR="00B26D04">
              <w:rPr>
                <w:rFonts w:cs="Arial"/>
                <w:szCs w:val="18"/>
                <w:lang w:val="en-GB"/>
              </w:rPr>
              <w:t>2.0</w:t>
            </w:r>
          </w:p>
        </w:tc>
        <w:tc>
          <w:tcPr>
            <w:tcW w:w="1276" w:type="dxa"/>
            <w:shd w:val="clear" w:color="auto" w:fill="FFFFFF"/>
          </w:tcPr>
          <w:p w14:paraId="60535C90" w14:textId="1ACE3D94" w:rsidR="00780D04" w:rsidRDefault="00780D04" w:rsidP="00467608">
            <w:pPr>
              <w:pStyle w:val="CETBodytext"/>
              <w:ind w:left="286" w:right="-1"/>
              <w:rPr>
                <w:rFonts w:cs="Arial"/>
                <w:szCs w:val="18"/>
                <w:lang w:val="en-GB"/>
              </w:rPr>
            </w:pPr>
            <w:r>
              <w:rPr>
                <w:rFonts w:cs="Arial"/>
                <w:szCs w:val="18"/>
                <w:lang w:val="en-GB"/>
              </w:rPr>
              <w:t>g/L</w:t>
            </w:r>
          </w:p>
        </w:tc>
      </w:tr>
      <w:tr w:rsidR="006C485D" w:rsidRPr="00B57B36" w14:paraId="7A637F90" w14:textId="77777777" w:rsidTr="007E52C0">
        <w:tc>
          <w:tcPr>
            <w:tcW w:w="993" w:type="dxa"/>
            <w:shd w:val="clear" w:color="auto" w:fill="FFFFFF"/>
          </w:tcPr>
          <w:p w14:paraId="5273063F" w14:textId="5621A8D4" w:rsidR="006C485D" w:rsidRPr="00C34341" w:rsidRDefault="006C485D" w:rsidP="008B157C">
            <w:pPr>
              <w:pStyle w:val="CETBodytext"/>
              <w:ind w:left="142"/>
              <w:rPr>
                <w:rFonts w:asciiTheme="majorHAnsi" w:hAnsiTheme="majorHAnsi"/>
                <w:i/>
                <w:lang w:val="en-GB"/>
              </w:rPr>
            </w:pPr>
            <w:r w:rsidRPr="00C34341">
              <w:rPr>
                <w:rFonts w:ascii="Times New Roman" w:hAnsi="Times New Roman"/>
                <w:i/>
                <w:lang w:val="en-GB"/>
              </w:rPr>
              <w:t>α</w:t>
            </w:r>
          </w:p>
        </w:tc>
        <w:tc>
          <w:tcPr>
            <w:tcW w:w="5528" w:type="dxa"/>
            <w:shd w:val="clear" w:color="auto" w:fill="FFFFFF"/>
          </w:tcPr>
          <w:p w14:paraId="21C381B8" w14:textId="62BF5AF8" w:rsidR="006C485D" w:rsidRDefault="001A46D3" w:rsidP="00467608">
            <w:pPr>
              <w:pStyle w:val="CETBodytext"/>
              <w:rPr>
                <w:lang w:val="en-GB"/>
              </w:rPr>
            </w:pPr>
            <w:r>
              <w:rPr>
                <w:lang w:val="en-GB"/>
              </w:rPr>
              <w:t xml:space="preserve">Exponent for </w:t>
            </w:r>
            <w:r w:rsidR="00111B3D">
              <w:rPr>
                <w:lang w:val="en-GB"/>
              </w:rPr>
              <w:t>i</w:t>
            </w:r>
            <w:r>
              <w:rPr>
                <w:lang w:val="en-GB"/>
              </w:rPr>
              <w:t>nhibition</w:t>
            </w:r>
          </w:p>
        </w:tc>
        <w:tc>
          <w:tcPr>
            <w:tcW w:w="992" w:type="dxa"/>
            <w:shd w:val="clear" w:color="auto" w:fill="FFFFFF"/>
          </w:tcPr>
          <w:p w14:paraId="645439B9" w14:textId="4BDFF83D" w:rsidR="006C485D" w:rsidRDefault="00C34341" w:rsidP="00467608">
            <w:pPr>
              <w:pStyle w:val="CETBodytext"/>
              <w:ind w:right="281"/>
              <w:jc w:val="right"/>
              <w:rPr>
                <w:rFonts w:cs="Arial"/>
                <w:szCs w:val="18"/>
                <w:lang w:val="en-GB"/>
              </w:rPr>
            </w:pPr>
            <w:r>
              <w:rPr>
                <w:rFonts w:cs="Arial"/>
                <w:szCs w:val="18"/>
                <w:lang w:val="en-GB"/>
              </w:rPr>
              <w:t>0.1</w:t>
            </w:r>
            <w:r w:rsidR="001A46D3">
              <w:rPr>
                <w:rFonts w:cs="Arial"/>
                <w:szCs w:val="18"/>
                <w:lang w:val="en-GB"/>
              </w:rPr>
              <w:t>5</w:t>
            </w:r>
          </w:p>
        </w:tc>
        <w:tc>
          <w:tcPr>
            <w:tcW w:w="1276" w:type="dxa"/>
            <w:shd w:val="clear" w:color="auto" w:fill="FFFFFF"/>
          </w:tcPr>
          <w:p w14:paraId="0E374BCC" w14:textId="462EECAE" w:rsidR="006C485D" w:rsidRDefault="006C485D" w:rsidP="00467608">
            <w:pPr>
              <w:pStyle w:val="CETBodytext"/>
              <w:ind w:left="286" w:right="-1"/>
              <w:rPr>
                <w:rFonts w:cs="Arial"/>
                <w:szCs w:val="18"/>
                <w:lang w:val="en-GB"/>
              </w:rPr>
            </w:pPr>
          </w:p>
        </w:tc>
      </w:tr>
      <w:tr w:rsidR="00780D04" w:rsidRPr="00B57B36" w14:paraId="65F16912" w14:textId="77777777" w:rsidTr="007E52C0">
        <w:tc>
          <w:tcPr>
            <w:tcW w:w="993" w:type="dxa"/>
            <w:shd w:val="clear" w:color="auto" w:fill="FFFFFF"/>
          </w:tcPr>
          <w:p w14:paraId="46F26573" w14:textId="724F9866" w:rsidR="00780D04" w:rsidRPr="008B157C" w:rsidRDefault="00780D04" w:rsidP="008B157C">
            <w:pPr>
              <w:pStyle w:val="CETBodytext"/>
              <w:ind w:left="142"/>
              <w:rPr>
                <w:rFonts w:asciiTheme="majorHAnsi" w:hAnsiTheme="majorHAnsi"/>
                <w:i/>
                <w:lang w:val="en-GB"/>
              </w:rPr>
            </w:pPr>
            <w:r w:rsidRPr="008B157C">
              <w:rPr>
                <w:rFonts w:asciiTheme="majorHAnsi" w:hAnsiTheme="majorHAnsi"/>
                <w:i/>
                <w:lang w:val="en-GB"/>
              </w:rPr>
              <w:t>Y</w:t>
            </w:r>
            <w:r w:rsidRPr="008B157C">
              <w:rPr>
                <w:rFonts w:asciiTheme="majorHAnsi" w:hAnsiTheme="majorHAnsi"/>
                <w:i/>
                <w:vertAlign w:val="subscript"/>
                <w:lang w:val="en-GB"/>
              </w:rPr>
              <w:t>BA/X</w:t>
            </w:r>
          </w:p>
        </w:tc>
        <w:tc>
          <w:tcPr>
            <w:tcW w:w="5528" w:type="dxa"/>
            <w:shd w:val="clear" w:color="auto" w:fill="FFFFFF"/>
          </w:tcPr>
          <w:p w14:paraId="5C2AB96D" w14:textId="52318449" w:rsidR="00780D04" w:rsidRPr="00B57B36" w:rsidRDefault="00780D04" w:rsidP="00467608">
            <w:pPr>
              <w:pStyle w:val="CETBodytext"/>
              <w:rPr>
                <w:lang w:val="en-GB"/>
              </w:rPr>
            </w:pPr>
            <w:r>
              <w:rPr>
                <w:lang w:val="en-GB"/>
              </w:rPr>
              <w:t xml:space="preserve">Yield from biomass to </w:t>
            </w:r>
            <w:r w:rsidR="00300F4A">
              <w:rPr>
                <w:lang w:val="en-GB"/>
              </w:rPr>
              <w:t>butyric acid</w:t>
            </w:r>
          </w:p>
        </w:tc>
        <w:tc>
          <w:tcPr>
            <w:tcW w:w="992" w:type="dxa"/>
            <w:shd w:val="clear" w:color="auto" w:fill="FFFFFF"/>
          </w:tcPr>
          <w:p w14:paraId="6E1883D4" w14:textId="70D5030D" w:rsidR="00780D04" w:rsidRDefault="00780D04" w:rsidP="00467608">
            <w:pPr>
              <w:pStyle w:val="CETBodytext"/>
              <w:ind w:right="281"/>
              <w:jc w:val="right"/>
              <w:rPr>
                <w:rFonts w:cs="Arial"/>
                <w:szCs w:val="18"/>
                <w:lang w:val="en-GB"/>
              </w:rPr>
            </w:pPr>
            <w:r>
              <w:rPr>
                <w:rFonts w:cs="Arial"/>
                <w:szCs w:val="18"/>
                <w:lang w:val="en-GB"/>
              </w:rPr>
              <w:t>1.80</w:t>
            </w:r>
          </w:p>
        </w:tc>
        <w:tc>
          <w:tcPr>
            <w:tcW w:w="1276" w:type="dxa"/>
            <w:shd w:val="clear" w:color="auto" w:fill="FFFFFF"/>
          </w:tcPr>
          <w:p w14:paraId="3D86582C" w14:textId="7BD0D1CF" w:rsidR="00780D04" w:rsidRDefault="00780D04" w:rsidP="00467608">
            <w:pPr>
              <w:pStyle w:val="CETBodytext"/>
              <w:ind w:left="286" w:right="-1"/>
              <w:rPr>
                <w:rFonts w:cs="Arial"/>
                <w:szCs w:val="18"/>
                <w:lang w:val="en-GB"/>
              </w:rPr>
            </w:pPr>
            <w:r>
              <w:rPr>
                <w:rFonts w:cs="Arial"/>
                <w:szCs w:val="18"/>
                <w:lang w:val="en-GB"/>
              </w:rPr>
              <w:t xml:space="preserve">g </w:t>
            </w:r>
            <w:r w:rsidRPr="008B157C">
              <w:rPr>
                <w:rFonts w:asciiTheme="majorHAnsi" w:hAnsiTheme="majorHAnsi" w:cs="Arial"/>
                <w:i/>
                <w:szCs w:val="18"/>
                <w:lang w:val="en-GB"/>
              </w:rPr>
              <w:t>BA</w:t>
            </w:r>
            <w:r>
              <w:rPr>
                <w:rFonts w:cs="Arial"/>
                <w:szCs w:val="18"/>
                <w:lang w:val="en-GB"/>
              </w:rPr>
              <w:t xml:space="preserve"> / g </w:t>
            </w:r>
            <w:r w:rsidRPr="008B157C">
              <w:rPr>
                <w:rFonts w:asciiTheme="majorHAnsi" w:hAnsiTheme="majorHAnsi" w:cs="Arial"/>
                <w:i/>
                <w:szCs w:val="18"/>
                <w:lang w:val="en-GB"/>
              </w:rPr>
              <w:t>X</w:t>
            </w:r>
          </w:p>
        </w:tc>
      </w:tr>
      <w:tr w:rsidR="00780D04" w:rsidRPr="00B57B36" w14:paraId="4F9E6DBB" w14:textId="77777777" w:rsidTr="007E52C0">
        <w:tc>
          <w:tcPr>
            <w:tcW w:w="993" w:type="dxa"/>
            <w:shd w:val="clear" w:color="auto" w:fill="FFFFFF"/>
          </w:tcPr>
          <w:p w14:paraId="79FEB95A" w14:textId="2DC92409" w:rsidR="00780D04" w:rsidRPr="008B157C" w:rsidRDefault="00780D04" w:rsidP="008B157C">
            <w:pPr>
              <w:pStyle w:val="CETBodytext"/>
              <w:ind w:left="142"/>
              <w:rPr>
                <w:rFonts w:asciiTheme="majorHAnsi" w:hAnsiTheme="majorHAnsi"/>
                <w:i/>
                <w:lang w:val="en-GB"/>
              </w:rPr>
            </w:pPr>
            <w:r w:rsidRPr="008B157C">
              <w:rPr>
                <w:rFonts w:asciiTheme="majorHAnsi" w:hAnsiTheme="majorHAnsi"/>
                <w:i/>
                <w:lang w:val="en-GB"/>
              </w:rPr>
              <w:t>Y</w:t>
            </w:r>
            <w:r w:rsidRPr="008B157C">
              <w:rPr>
                <w:rFonts w:asciiTheme="majorHAnsi" w:hAnsiTheme="majorHAnsi"/>
                <w:i/>
                <w:vertAlign w:val="subscript"/>
                <w:lang w:val="en-GB"/>
              </w:rPr>
              <w:t>AA/X</w:t>
            </w:r>
          </w:p>
        </w:tc>
        <w:tc>
          <w:tcPr>
            <w:tcW w:w="5528" w:type="dxa"/>
            <w:shd w:val="clear" w:color="auto" w:fill="FFFFFF"/>
          </w:tcPr>
          <w:p w14:paraId="3C19A59C" w14:textId="32CBBBF5" w:rsidR="00780D04" w:rsidRPr="00B57B36" w:rsidRDefault="00780D04" w:rsidP="00467608">
            <w:pPr>
              <w:pStyle w:val="CETBodytext"/>
              <w:rPr>
                <w:lang w:val="en-GB"/>
              </w:rPr>
            </w:pPr>
            <w:r>
              <w:rPr>
                <w:lang w:val="en-GB"/>
              </w:rPr>
              <w:t>Yield from biomass to</w:t>
            </w:r>
            <w:r w:rsidR="00300F4A">
              <w:rPr>
                <w:lang w:val="en-GB"/>
              </w:rPr>
              <w:t xml:space="preserve"> acetic acid</w:t>
            </w:r>
          </w:p>
        </w:tc>
        <w:tc>
          <w:tcPr>
            <w:tcW w:w="992" w:type="dxa"/>
            <w:shd w:val="clear" w:color="auto" w:fill="FFFFFF"/>
          </w:tcPr>
          <w:p w14:paraId="3EF32B83" w14:textId="2AFD6682" w:rsidR="00780D04" w:rsidRDefault="00B26D04" w:rsidP="00467608">
            <w:pPr>
              <w:pStyle w:val="CETBodytext"/>
              <w:ind w:right="281"/>
              <w:jc w:val="right"/>
              <w:rPr>
                <w:rFonts w:cs="Arial"/>
                <w:szCs w:val="18"/>
                <w:lang w:val="en-GB"/>
              </w:rPr>
            </w:pPr>
            <w:r>
              <w:rPr>
                <w:rFonts w:cs="Arial"/>
                <w:szCs w:val="18"/>
                <w:lang w:val="en-GB"/>
              </w:rPr>
              <w:t>1.1</w:t>
            </w:r>
            <w:r w:rsidR="003B4B5E">
              <w:rPr>
                <w:rFonts w:cs="Arial"/>
                <w:szCs w:val="18"/>
                <w:lang w:val="en-GB"/>
              </w:rPr>
              <w:t>0</w:t>
            </w:r>
          </w:p>
        </w:tc>
        <w:tc>
          <w:tcPr>
            <w:tcW w:w="1276" w:type="dxa"/>
            <w:shd w:val="clear" w:color="auto" w:fill="FFFFFF"/>
          </w:tcPr>
          <w:p w14:paraId="11D91244" w14:textId="4347DB16" w:rsidR="00780D04" w:rsidRDefault="00780D04" w:rsidP="00467608">
            <w:pPr>
              <w:pStyle w:val="CETBodytext"/>
              <w:ind w:left="286" w:right="-1"/>
              <w:rPr>
                <w:rFonts w:cs="Arial"/>
                <w:szCs w:val="18"/>
                <w:lang w:val="en-GB"/>
              </w:rPr>
            </w:pPr>
            <w:r>
              <w:rPr>
                <w:rFonts w:cs="Arial"/>
                <w:szCs w:val="18"/>
                <w:lang w:val="en-GB"/>
              </w:rPr>
              <w:t xml:space="preserve">g </w:t>
            </w:r>
            <w:r w:rsidRPr="008B157C">
              <w:rPr>
                <w:rFonts w:asciiTheme="majorHAnsi" w:hAnsiTheme="majorHAnsi" w:cs="Arial"/>
                <w:i/>
                <w:szCs w:val="18"/>
                <w:lang w:val="en-GB"/>
              </w:rPr>
              <w:t>AA</w:t>
            </w:r>
            <w:r>
              <w:rPr>
                <w:rFonts w:cs="Arial"/>
                <w:szCs w:val="18"/>
                <w:lang w:val="en-GB"/>
              </w:rPr>
              <w:t xml:space="preserve"> / g </w:t>
            </w:r>
            <w:r w:rsidRPr="008B157C">
              <w:rPr>
                <w:rFonts w:asciiTheme="majorHAnsi" w:hAnsiTheme="majorHAnsi" w:cs="Arial"/>
                <w:i/>
                <w:szCs w:val="18"/>
                <w:lang w:val="en-GB"/>
              </w:rPr>
              <w:t>X</w:t>
            </w:r>
          </w:p>
        </w:tc>
      </w:tr>
      <w:tr w:rsidR="00780D04" w:rsidRPr="00B57B36" w14:paraId="46DA9DCC" w14:textId="77777777" w:rsidTr="007E52C0">
        <w:tc>
          <w:tcPr>
            <w:tcW w:w="993" w:type="dxa"/>
            <w:shd w:val="clear" w:color="auto" w:fill="FFFFFF"/>
          </w:tcPr>
          <w:p w14:paraId="33C72674" w14:textId="6D451B0B" w:rsidR="00780D04" w:rsidRPr="00381C99" w:rsidRDefault="00780D04" w:rsidP="008B157C">
            <w:pPr>
              <w:pStyle w:val="CETBodytext"/>
              <w:ind w:left="142"/>
              <w:rPr>
                <w:rFonts w:asciiTheme="majorHAnsi" w:hAnsiTheme="majorHAnsi"/>
                <w:i/>
                <w:vertAlign w:val="subscript"/>
                <w:lang w:val="en-GB"/>
              </w:rPr>
            </w:pPr>
            <w:r w:rsidRPr="008B157C">
              <w:rPr>
                <w:rFonts w:asciiTheme="majorHAnsi" w:hAnsiTheme="majorHAnsi"/>
                <w:i/>
                <w:lang w:val="en-GB"/>
              </w:rPr>
              <w:t>Y</w:t>
            </w:r>
            <w:r w:rsidR="00381C99">
              <w:rPr>
                <w:rFonts w:asciiTheme="majorHAnsi" w:hAnsiTheme="majorHAnsi"/>
                <w:i/>
                <w:vertAlign w:val="subscript"/>
                <w:lang w:val="en-GB"/>
              </w:rPr>
              <w:t>X/S</w:t>
            </w:r>
          </w:p>
        </w:tc>
        <w:tc>
          <w:tcPr>
            <w:tcW w:w="5528" w:type="dxa"/>
            <w:shd w:val="clear" w:color="auto" w:fill="FFFFFF"/>
          </w:tcPr>
          <w:p w14:paraId="7A1AEF74" w14:textId="6E66E47D" w:rsidR="00780D04" w:rsidRPr="00B57B36" w:rsidRDefault="00780D04" w:rsidP="00467608">
            <w:pPr>
              <w:pStyle w:val="CETBodytext"/>
              <w:rPr>
                <w:lang w:val="en-GB"/>
              </w:rPr>
            </w:pPr>
            <w:r>
              <w:rPr>
                <w:lang w:val="en-GB"/>
              </w:rPr>
              <w:t>Yield from substrate to biomass</w:t>
            </w:r>
          </w:p>
        </w:tc>
        <w:tc>
          <w:tcPr>
            <w:tcW w:w="992" w:type="dxa"/>
            <w:shd w:val="clear" w:color="auto" w:fill="FFFFFF"/>
          </w:tcPr>
          <w:p w14:paraId="766121A2" w14:textId="3E454396" w:rsidR="00780D04" w:rsidRDefault="00AE5FD7" w:rsidP="00467608">
            <w:pPr>
              <w:pStyle w:val="CETBodytext"/>
              <w:ind w:right="281"/>
              <w:jc w:val="right"/>
              <w:rPr>
                <w:rFonts w:cs="Arial"/>
                <w:szCs w:val="18"/>
                <w:lang w:val="en-GB"/>
              </w:rPr>
            </w:pPr>
            <w:r>
              <w:rPr>
                <w:rFonts w:cs="Arial"/>
                <w:szCs w:val="18"/>
                <w:lang w:val="en-GB"/>
              </w:rPr>
              <w:t>0.18</w:t>
            </w:r>
          </w:p>
        </w:tc>
        <w:tc>
          <w:tcPr>
            <w:tcW w:w="1276" w:type="dxa"/>
            <w:shd w:val="clear" w:color="auto" w:fill="FFFFFF"/>
          </w:tcPr>
          <w:p w14:paraId="075444A8" w14:textId="1C5CCF3E" w:rsidR="00780D04" w:rsidRDefault="00780D04" w:rsidP="00467608">
            <w:pPr>
              <w:pStyle w:val="CETBodytext"/>
              <w:ind w:left="286" w:right="-1"/>
              <w:rPr>
                <w:rFonts w:cs="Arial"/>
                <w:szCs w:val="18"/>
                <w:lang w:val="en-GB"/>
              </w:rPr>
            </w:pPr>
            <w:r>
              <w:rPr>
                <w:rFonts w:cs="Arial"/>
                <w:szCs w:val="18"/>
                <w:lang w:val="en-GB"/>
              </w:rPr>
              <w:t xml:space="preserve">g </w:t>
            </w:r>
            <w:r w:rsidR="00AE5FD7">
              <w:rPr>
                <w:rFonts w:asciiTheme="majorHAnsi" w:hAnsiTheme="majorHAnsi" w:cs="Arial"/>
                <w:i/>
                <w:szCs w:val="18"/>
                <w:lang w:val="en-GB"/>
              </w:rPr>
              <w:t>X</w:t>
            </w:r>
            <w:r>
              <w:rPr>
                <w:rFonts w:cs="Arial"/>
                <w:szCs w:val="18"/>
                <w:lang w:val="en-GB"/>
              </w:rPr>
              <w:t xml:space="preserve"> / g </w:t>
            </w:r>
            <w:r w:rsidR="00AE5FD7" w:rsidRPr="00AE5FD7">
              <w:rPr>
                <w:rFonts w:asciiTheme="majorHAnsi" w:hAnsiTheme="majorHAnsi" w:cs="Arial"/>
                <w:i/>
                <w:szCs w:val="18"/>
                <w:lang w:val="en-GB"/>
              </w:rPr>
              <w:t>S</w:t>
            </w:r>
          </w:p>
        </w:tc>
      </w:tr>
      <w:tr w:rsidR="00111B3D" w:rsidRPr="00B57B36" w14:paraId="2CAD017D" w14:textId="77777777" w:rsidTr="007E52C0">
        <w:tc>
          <w:tcPr>
            <w:tcW w:w="993" w:type="dxa"/>
            <w:shd w:val="clear" w:color="auto" w:fill="FFFFFF"/>
          </w:tcPr>
          <w:p w14:paraId="4BF930CD" w14:textId="6804B092" w:rsidR="00111B3D" w:rsidRPr="008B157C" w:rsidRDefault="00111B3D" w:rsidP="00111B3D">
            <w:pPr>
              <w:pStyle w:val="CETBodytext"/>
              <w:ind w:left="142"/>
              <w:rPr>
                <w:rFonts w:asciiTheme="majorHAnsi" w:hAnsiTheme="majorHAnsi"/>
                <w:i/>
                <w:lang w:val="en-GB"/>
              </w:rPr>
            </w:pPr>
            <w:r w:rsidRPr="008B157C">
              <w:rPr>
                <w:rFonts w:asciiTheme="majorHAnsi" w:hAnsiTheme="majorHAnsi"/>
                <w:lang w:val="en-GB"/>
              </w:rPr>
              <w:t>µ</w:t>
            </w:r>
            <w:proofErr w:type="spellStart"/>
            <w:proofErr w:type="gramStart"/>
            <w:r w:rsidRPr="00111B3D">
              <w:rPr>
                <w:rFonts w:asciiTheme="majorHAnsi" w:hAnsiTheme="majorHAnsi"/>
                <w:i/>
                <w:vertAlign w:val="subscript"/>
                <w:lang w:val="en-GB"/>
              </w:rPr>
              <w:t>SS,max</w:t>
            </w:r>
            <w:proofErr w:type="spellEnd"/>
            <w:proofErr w:type="gramEnd"/>
          </w:p>
        </w:tc>
        <w:tc>
          <w:tcPr>
            <w:tcW w:w="5528" w:type="dxa"/>
            <w:shd w:val="clear" w:color="auto" w:fill="FFFFFF"/>
          </w:tcPr>
          <w:p w14:paraId="31D20037" w14:textId="1ADD606F" w:rsidR="00111B3D" w:rsidRDefault="00111B3D" w:rsidP="00111B3D">
            <w:pPr>
              <w:pStyle w:val="CETBodytext"/>
              <w:rPr>
                <w:lang w:val="en-GB"/>
              </w:rPr>
            </w:pPr>
            <w:r>
              <w:rPr>
                <w:lang w:val="en-GB"/>
              </w:rPr>
              <w:t>M</w:t>
            </w:r>
            <w:r w:rsidRPr="00381C99">
              <w:rPr>
                <w:lang w:val="en-GB"/>
              </w:rPr>
              <w:t>aximum specific</w:t>
            </w:r>
            <w:r>
              <w:rPr>
                <w:lang w:val="en-GB"/>
              </w:rPr>
              <w:t xml:space="preserve"> </w:t>
            </w:r>
            <w:r w:rsidRPr="00381C99">
              <w:rPr>
                <w:lang w:val="en-GB"/>
              </w:rPr>
              <w:t>rate</w:t>
            </w:r>
            <w:r>
              <w:rPr>
                <w:lang w:val="en-GB"/>
              </w:rPr>
              <w:t xml:space="preserve"> of glucose metabolization in solventogenesis</w:t>
            </w:r>
          </w:p>
        </w:tc>
        <w:tc>
          <w:tcPr>
            <w:tcW w:w="992" w:type="dxa"/>
            <w:shd w:val="clear" w:color="auto" w:fill="FFFFFF"/>
          </w:tcPr>
          <w:p w14:paraId="605F0C5B" w14:textId="6CCCBD4E" w:rsidR="00111B3D" w:rsidRDefault="00131E97" w:rsidP="00111B3D">
            <w:pPr>
              <w:pStyle w:val="CETBodytext"/>
              <w:ind w:right="281"/>
              <w:jc w:val="right"/>
              <w:rPr>
                <w:rFonts w:cs="Arial"/>
                <w:szCs w:val="18"/>
                <w:lang w:val="en-GB"/>
              </w:rPr>
            </w:pPr>
            <w:r>
              <w:rPr>
                <w:rFonts w:cs="Arial"/>
                <w:szCs w:val="18"/>
                <w:lang w:val="en-GB"/>
              </w:rPr>
              <w:t>-</w:t>
            </w:r>
            <w:r w:rsidR="00B26D04">
              <w:rPr>
                <w:rFonts w:cs="Arial"/>
                <w:szCs w:val="18"/>
                <w:lang w:val="en-GB"/>
              </w:rPr>
              <w:t>0.955</w:t>
            </w:r>
          </w:p>
        </w:tc>
        <w:tc>
          <w:tcPr>
            <w:tcW w:w="1276" w:type="dxa"/>
            <w:shd w:val="clear" w:color="auto" w:fill="FFFFFF"/>
          </w:tcPr>
          <w:p w14:paraId="3969D8C0" w14:textId="4290FCB6" w:rsidR="00111B3D" w:rsidRDefault="00111B3D" w:rsidP="00111B3D">
            <w:pPr>
              <w:pStyle w:val="CETBodytext"/>
              <w:ind w:left="286" w:right="-1"/>
              <w:rPr>
                <w:rFonts w:cs="Arial"/>
                <w:szCs w:val="18"/>
                <w:lang w:val="en-GB"/>
              </w:rPr>
            </w:pPr>
            <w:r>
              <w:rPr>
                <w:rFonts w:cs="Arial"/>
                <w:szCs w:val="18"/>
                <w:lang w:val="en-GB"/>
              </w:rPr>
              <w:t xml:space="preserve">g </w:t>
            </w:r>
            <w:r w:rsidRPr="00111B3D">
              <w:rPr>
                <w:rFonts w:asciiTheme="majorHAnsi" w:hAnsiTheme="majorHAnsi" w:cs="Arial"/>
                <w:i/>
                <w:szCs w:val="18"/>
                <w:lang w:val="en-GB"/>
              </w:rPr>
              <w:t>S</w:t>
            </w:r>
            <w:r>
              <w:rPr>
                <w:rFonts w:cs="Arial"/>
                <w:szCs w:val="18"/>
                <w:lang w:val="en-GB"/>
              </w:rPr>
              <w:t xml:space="preserve"> / g </w:t>
            </w:r>
            <w:r w:rsidRPr="00111B3D">
              <w:rPr>
                <w:rFonts w:asciiTheme="majorHAnsi" w:hAnsiTheme="majorHAnsi" w:cs="Arial"/>
                <w:i/>
                <w:szCs w:val="18"/>
                <w:lang w:val="en-GB"/>
              </w:rPr>
              <w:t>X</w:t>
            </w:r>
            <w:r>
              <w:rPr>
                <w:rFonts w:cs="Arial"/>
                <w:szCs w:val="18"/>
                <w:lang w:val="en-GB"/>
              </w:rPr>
              <w:t xml:space="preserve"> h</w:t>
            </w:r>
          </w:p>
        </w:tc>
      </w:tr>
      <w:tr w:rsidR="00111B3D" w:rsidRPr="00B57B36" w14:paraId="7C203B2A" w14:textId="77777777" w:rsidTr="007E52C0">
        <w:tc>
          <w:tcPr>
            <w:tcW w:w="993" w:type="dxa"/>
            <w:shd w:val="clear" w:color="auto" w:fill="FFFFFF"/>
          </w:tcPr>
          <w:p w14:paraId="29B7BBC2" w14:textId="2E5F9515" w:rsidR="00111B3D" w:rsidRPr="008B157C" w:rsidRDefault="00111B3D" w:rsidP="00111B3D">
            <w:pPr>
              <w:pStyle w:val="CETBodytext"/>
              <w:ind w:left="142"/>
              <w:rPr>
                <w:rFonts w:asciiTheme="majorHAnsi" w:hAnsiTheme="majorHAnsi"/>
                <w:i/>
                <w:lang w:val="en-GB"/>
              </w:rPr>
            </w:pPr>
            <w:r w:rsidRPr="008B157C">
              <w:rPr>
                <w:rFonts w:asciiTheme="majorHAnsi" w:hAnsiTheme="majorHAnsi"/>
                <w:i/>
                <w:lang w:val="en-GB"/>
              </w:rPr>
              <w:t>K</w:t>
            </w:r>
            <w:r w:rsidRPr="008B157C">
              <w:rPr>
                <w:rFonts w:asciiTheme="majorHAnsi" w:hAnsiTheme="majorHAnsi"/>
                <w:i/>
                <w:vertAlign w:val="subscript"/>
                <w:lang w:val="en-GB"/>
              </w:rPr>
              <w:t>S</w:t>
            </w:r>
            <w:r>
              <w:rPr>
                <w:rFonts w:asciiTheme="majorHAnsi" w:hAnsiTheme="majorHAnsi"/>
                <w:i/>
                <w:vertAlign w:val="subscript"/>
                <w:lang w:val="en-GB"/>
              </w:rPr>
              <w:t>S</w:t>
            </w:r>
          </w:p>
        </w:tc>
        <w:tc>
          <w:tcPr>
            <w:tcW w:w="5528" w:type="dxa"/>
            <w:shd w:val="clear" w:color="auto" w:fill="FFFFFF"/>
          </w:tcPr>
          <w:p w14:paraId="08AADAF2" w14:textId="26BA54F9" w:rsidR="00111B3D" w:rsidRDefault="00111B3D" w:rsidP="00111B3D">
            <w:pPr>
              <w:pStyle w:val="CETBodytext"/>
              <w:rPr>
                <w:lang w:val="en-GB"/>
              </w:rPr>
            </w:pPr>
            <w:r>
              <w:rPr>
                <w:lang w:val="en-GB"/>
              </w:rPr>
              <w:t>Half-saturation constant in solventogenesis</w:t>
            </w:r>
          </w:p>
        </w:tc>
        <w:tc>
          <w:tcPr>
            <w:tcW w:w="992" w:type="dxa"/>
            <w:shd w:val="clear" w:color="auto" w:fill="FFFFFF"/>
          </w:tcPr>
          <w:p w14:paraId="1D9E24BF" w14:textId="7D1C38B6" w:rsidR="00111B3D" w:rsidRDefault="00B26D04" w:rsidP="00111B3D">
            <w:pPr>
              <w:pStyle w:val="CETBodytext"/>
              <w:ind w:right="281"/>
              <w:jc w:val="right"/>
              <w:rPr>
                <w:rFonts w:cs="Arial"/>
                <w:szCs w:val="18"/>
                <w:lang w:val="en-GB"/>
              </w:rPr>
            </w:pPr>
            <w:r>
              <w:rPr>
                <w:rFonts w:cs="Arial"/>
                <w:szCs w:val="18"/>
                <w:lang w:val="en-GB"/>
              </w:rPr>
              <w:t>2.06</w:t>
            </w:r>
          </w:p>
        </w:tc>
        <w:tc>
          <w:tcPr>
            <w:tcW w:w="1276" w:type="dxa"/>
            <w:shd w:val="clear" w:color="auto" w:fill="FFFFFF"/>
          </w:tcPr>
          <w:p w14:paraId="56F47B04" w14:textId="23682F13" w:rsidR="00111B3D" w:rsidRDefault="00111B3D" w:rsidP="00111B3D">
            <w:pPr>
              <w:pStyle w:val="CETBodytext"/>
              <w:ind w:left="286" w:right="-1"/>
              <w:rPr>
                <w:rFonts w:cs="Arial"/>
                <w:szCs w:val="18"/>
                <w:lang w:val="en-GB"/>
              </w:rPr>
            </w:pPr>
            <w:r>
              <w:rPr>
                <w:rFonts w:cs="Arial"/>
                <w:szCs w:val="18"/>
                <w:lang w:val="en-GB"/>
              </w:rPr>
              <w:t>g/L</w:t>
            </w:r>
          </w:p>
        </w:tc>
      </w:tr>
      <w:tr w:rsidR="00111B3D" w:rsidRPr="00B57B36" w14:paraId="3935BCD9" w14:textId="77777777" w:rsidTr="007E52C0">
        <w:tc>
          <w:tcPr>
            <w:tcW w:w="993" w:type="dxa"/>
            <w:shd w:val="clear" w:color="auto" w:fill="FFFFFF"/>
          </w:tcPr>
          <w:p w14:paraId="3F69478D" w14:textId="0211E383" w:rsidR="00111B3D" w:rsidRPr="008B157C" w:rsidRDefault="00111B3D" w:rsidP="00111B3D">
            <w:pPr>
              <w:pStyle w:val="CETBodytext"/>
              <w:ind w:left="142"/>
              <w:rPr>
                <w:rFonts w:asciiTheme="majorHAnsi" w:hAnsiTheme="majorHAnsi"/>
                <w:i/>
                <w:lang w:val="en-GB"/>
              </w:rPr>
            </w:pPr>
            <w:r w:rsidRPr="008B157C">
              <w:rPr>
                <w:rFonts w:asciiTheme="majorHAnsi" w:hAnsiTheme="majorHAnsi"/>
                <w:i/>
                <w:lang w:val="en-GB"/>
              </w:rPr>
              <w:t>K</w:t>
            </w:r>
            <w:r w:rsidRPr="008B157C">
              <w:rPr>
                <w:rFonts w:asciiTheme="majorHAnsi" w:hAnsiTheme="majorHAnsi"/>
                <w:i/>
                <w:vertAlign w:val="subscript"/>
                <w:lang w:val="en-GB"/>
              </w:rPr>
              <w:t>P</w:t>
            </w:r>
            <w:r w:rsidR="00B26D04">
              <w:rPr>
                <w:rFonts w:asciiTheme="majorHAnsi" w:hAnsiTheme="majorHAnsi"/>
                <w:i/>
                <w:vertAlign w:val="subscript"/>
                <w:lang w:val="en-GB"/>
              </w:rPr>
              <w:t>S</w:t>
            </w:r>
          </w:p>
        </w:tc>
        <w:tc>
          <w:tcPr>
            <w:tcW w:w="5528" w:type="dxa"/>
            <w:shd w:val="clear" w:color="auto" w:fill="FFFFFF"/>
          </w:tcPr>
          <w:p w14:paraId="44EAB55A" w14:textId="017A6792" w:rsidR="00111B3D" w:rsidRDefault="00111B3D" w:rsidP="00111B3D">
            <w:pPr>
              <w:pStyle w:val="CETBodytext"/>
              <w:rPr>
                <w:lang w:val="en-GB"/>
              </w:rPr>
            </w:pPr>
            <w:r>
              <w:rPr>
                <w:lang w:val="en-GB"/>
              </w:rPr>
              <w:t xml:space="preserve">Critical concentration of solvents for </w:t>
            </w:r>
            <w:r w:rsidR="00B26D04">
              <w:rPr>
                <w:lang w:val="en-GB"/>
              </w:rPr>
              <w:t>glucose metabolization</w:t>
            </w:r>
          </w:p>
        </w:tc>
        <w:tc>
          <w:tcPr>
            <w:tcW w:w="992" w:type="dxa"/>
            <w:shd w:val="clear" w:color="auto" w:fill="FFFFFF"/>
          </w:tcPr>
          <w:p w14:paraId="7B3C2252" w14:textId="4C39A14C" w:rsidR="00111B3D" w:rsidRDefault="00B26D04" w:rsidP="00111B3D">
            <w:pPr>
              <w:pStyle w:val="CETBodytext"/>
              <w:ind w:right="281"/>
              <w:jc w:val="right"/>
              <w:rPr>
                <w:rFonts w:cs="Arial"/>
                <w:szCs w:val="18"/>
                <w:lang w:val="en-GB"/>
              </w:rPr>
            </w:pPr>
            <w:r>
              <w:rPr>
                <w:rFonts w:cs="Arial"/>
                <w:szCs w:val="18"/>
                <w:lang w:val="en-GB"/>
              </w:rPr>
              <w:t>36.5</w:t>
            </w:r>
          </w:p>
        </w:tc>
        <w:tc>
          <w:tcPr>
            <w:tcW w:w="1276" w:type="dxa"/>
            <w:shd w:val="clear" w:color="auto" w:fill="FFFFFF"/>
          </w:tcPr>
          <w:p w14:paraId="4CFDA1D1" w14:textId="29BE8FCE" w:rsidR="00111B3D" w:rsidRDefault="00111B3D" w:rsidP="00111B3D">
            <w:pPr>
              <w:pStyle w:val="CETBodytext"/>
              <w:ind w:left="286" w:right="-1"/>
              <w:rPr>
                <w:rFonts w:cs="Arial"/>
                <w:szCs w:val="18"/>
                <w:lang w:val="en-GB"/>
              </w:rPr>
            </w:pPr>
            <w:r>
              <w:rPr>
                <w:rFonts w:cs="Arial"/>
                <w:szCs w:val="18"/>
                <w:lang w:val="en-GB"/>
              </w:rPr>
              <w:t>g/L</w:t>
            </w:r>
          </w:p>
        </w:tc>
      </w:tr>
      <w:tr w:rsidR="00131E97" w:rsidRPr="00B57B36" w14:paraId="75189AFD" w14:textId="77777777" w:rsidTr="007E52C0">
        <w:tc>
          <w:tcPr>
            <w:tcW w:w="993" w:type="dxa"/>
            <w:shd w:val="clear" w:color="auto" w:fill="FFFFFF"/>
          </w:tcPr>
          <w:p w14:paraId="1238412A" w14:textId="5F181517" w:rsidR="00131E97" w:rsidRPr="008B157C" w:rsidRDefault="00131E97" w:rsidP="00131E97">
            <w:pPr>
              <w:pStyle w:val="CETBodytext"/>
              <w:ind w:left="142"/>
              <w:rPr>
                <w:rFonts w:asciiTheme="majorHAnsi" w:hAnsiTheme="majorHAnsi"/>
                <w:i/>
                <w:lang w:val="en-GB"/>
              </w:rPr>
            </w:pPr>
            <w:r w:rsidRPr="008B157C">
              <w:rPr>
                <w:rFonts w:asciiTheme="majorHAnsi" w:hAnsiTheme="majorHAnsi"/>
                <w:lang w:val="en-GB"/>
              </w:rPr>
              <w:t>µ</w:t>
            </w:r>
            <w:proofErr w:type="spellStart"/>
            <w:proofErr w:type="gramStart"/>
            <w:r>
              <w:rPr>
                <w:rFonts w:asciiTheme="majorHAnsi" w:hAnsiTheme="majorHAnsi"/>
                <w:i/>
                <w:vertAlign w:val="subscript"/>
                <w:lang w:val="en-GB"/>
              </w:rPr>
              <w:t>BA</w:t>
            </w:r>
            <w:r w:rsidRPr="00111B3D">
              <w:rPr>
                <w:rFonts w:asciiTheme="majorHAnsi" w:hAnsiTheme="majorHAnsi"/>
                <w:i/>
                <w:vertAlign w:val="subscript"/>
                <w:lang w:val="en-GB"/>
              </w:rPr>
              <w:t>,</w:t>
            </w:r>
            <w:r w:rsidR="003B4B5E">
              <w:rPr>
                <w:rFonts w:asciiTheme="majorHAnsi" w:hAnsiTheme="majorHAnsi"/>
                <w:i/>
                <w:vertAlign w:val="subscript"/>
                <w:lang w:val="en-GB"/>
              </w:rPr>
              <w:t>S</w:t>
            </w:r>
            <w:proofErr w:type="gramEnd"/>
            <w:r w:rsidR="003B4B5E">
              <w:rPr>
                <w:rFonts w:asciiTheme="majorHAnsi" w:hAnsiTheme="majorHAnsi"/>
                <w:i/>
                <w:vertAlign w:val="subscript"/>
                <w:lang w:val="en-GB"/>
              </w:rPr>
              <w:t>,</w:t>
            </w:r>
            <w:r w:rsidRPr="00111B3D">
              <w:rPr>
                <w:rFonts w:asciiTheme="majorHAnsi" w:hAnsiTheme="majorHAnsi"/>
                <w:i/>
                <w:vertAlign w:val="subscript"/>
                <w:lang w:val="en-GB"/>
              </w:rPr>
              <w:t>max</w:t>
            </w:r>
            <w:proofErr w:type="spellEnd"/>
          </w:p>
        </w:tc>
        <w:tc>
          <w:tcPr>
            <w:tcW w:w="5528" w:type="dxa"/>
            <w:shd w:val="clear" w:color="auto" w:fill="FFFFFF"/>
          </w:tcPr>
          <w:p w14:paraId="1328AF38" w14:textId="5FA3E618" w:rsidR="00131E97" w:rsidRDefault="00131E97" w:rsidP="00131E97">
            <w:pPr>
              <w:pStyle w:val="CETBodytext"/>
              <w:rPr>
                <w:lang w:val="en-GB"/>
              </w:rPr>
            </w:pPr>
            <w:r>
              <w:rPr>
                <w:lang w:val="en-GB"/>
              </w:rPr>
              <w:t>M</w:t>
            </w:r>
            <w:r w:rsidRPr="00381C99">
              <w:rPr>
                <w:lang w:val="en-GB"/>
              </w:rPr>
              <w:t>aximum specific</w:t>
            </w:r>
            <w:r>
              <w:rPr>
                <w:lang w:val="en-GB"/>
              </w:rPr>
              <w:t xml:space="preserve"> </w:t>
            </w:r>
            <w:r w:rsidRPr="00381C99">
              <w:rPr>
                <w:lang w:val="en-GB"/>
              </w:rPr>
              <w:t>rate</w:t>
            </w:r>
            <w:r>
              <w:rPr>
                <w:lang w:val="en-GB"/>
              </w:rPr>
              <w:t xml:space="preserve"> of </w:t>
            </w:r>
            <w:r w:rsidRPr="00131E97">
              <w:rPr>
                <w:rFonts w:asciiTheme="majorHAnsi" w:hAnsiTheme="majorHAnsi"/>
                <w:i/>
                <w:lang w:val="en-GB"/>
              </w:rPr>
              <w:t>BA</w:t>
            </w:r>
            <w:r>
              <w:rPr>
                <w:lang w:val="en-GB"/>
              </w:rPr>
              <w:t xml:space="preserve"> </w:t>
            </w:r>
            <w:proofErr w:type="spellStart"/>
            <w:r>
              <w:rPr>
                <w:lang w:val="en-GB"/>
              </w:rPr>
              <w:t>remetabolization</w:t>
            </w:r>
            <w:proofErr w:type="spellEnd"/>
            <w:r>
              <w:rPr>
                <w:lang w:val="en-GB"/>
              </w:rPr>
              <w:t xml:space="preserve"> in solventogenesis</w:t>
            </w:r>
          </w:p>
        </w:tc>
        <w:tc>
          <w:tcPr>
            <w:tcW w:w="992" w:type="dxa"/>
            <w:shd w:val="clear" w:color="auto" w:fill="FFFFFF"/>
          </w:tcPr>
          <w:p w14:paraId="1AD6AB59" w14:textId="5C823FB4" w:rsidR="00131E97" w:rsidRDefault="00131E97" w:rsidP="00131E97">
            <w:pPr>
              <w:pStyle w:val="CETBodytext"/>
              <w:ind w:right="281"/>
              <w:jc w:val="right"/>
              <w:rPr>
                <w:rFonts w:cs="Arial"/>
                <w:szCs w:val="18"/>
                <w:lang w:val="en-GB"/>
              </w:rPr>
            </w:pPr>
            <w:r>
              <w:rPr>
                <w:rFonts w:cs="Arial"/>
                <w:szCs w:val="18"/>
                <w:lang w:val="en-GB"/>
              </w:rPr>
              <w:t>-</w:t>
            </w:r>
            <w:r w:rsidR="003B4B5E">
              <w:rPr>
                <w:rFonts w:cs="Arial"/>
                <w:szCs w:val="18"/>
                <w:lang w:val="en-GB"/>
              </w:rPr>
              <w:t>0.22</w:t>
            </w:r>
          </w:p>
        </w:tc>
        <w:tc>
          <w:tcPr>
            <w:tcW w:w="1276" w:type="dxa"/>
            <w:shd w:val="clear" w:color="auto" w:fill="FFFFFF"/>
          </w:tcPr>
          <w:p w14:paraId="38782B0E" w14:textId="39A16D92" w:rsidR="00131E97" w:rsidRDefault="00131E97" w:rsidP="00131E97">
            <w:pPr>
              <w:pStyle w:val="CETBodytext"/>
              <w:ind w:left="286" w:right="-1"/>
              <w:rPr>
                <w:rFonts w:cs="Arial"/>
                <w:szCs w:val="18"/>
                <w:lang w:val="en-GB"/>
              </w:rPr>
            </w:pPr>
            <w:r>
              <w:rPr>
                <w:rFonts w:cs="Arial"/>
                <w:szCs w:val="18"/>
                <w:lang w:val="en-GB"/>
              </w:rPr>
              <w:t xml:space="preserve">g </w:t>
            </w:r>
            <w:r>
              <w:rPr>
                <w:rFonts w:asciiTheme="majorHAnsi" w:hAnsiTheme="majorHAnsi" w:cs="Arial"/>
                <w:i/>
                <w:szCs w:val="18"/>
                <w:lang w:val="en-GB"/>
              </w:rPr>
              <w:t>BA</w:t>
            </w:r>
            <w:r>
              <w:rPr>
                <w:rFonts w:cs="Arial"/>
                <w:szCs w:val="18"/>
                <w:lang w:val="en-GB"/>
              </w:rPr>
              <w:t xml:space="preserve"> / g </w:t>
            </w:r>
            <w:r w:rsidRPr="00111B3D">
              <w:rPr>
                <w:rFonts w:asciiTheme="majorHAnsi" w:hAnsiTheme="majorHAnsi" w:cs="Arial"/>
                <w:i/>
                <w:szCs w:val="18"/>
                <w:lang w:val="en-GB"/>
              </w:rPr>
              <w:t>X</w:t>
            </w:r>
            <w:r>
              <w:rPr>
                <w:rFonts w:cs="Arial"/>
                <w:szCs w:val="18"/>
                <w:lang w:val="en-GB"/>
              </w:rPr>
              <w:t xml:space="preserve"> h</w:t>
            </w:r>
          </w:p>
        </w:tc>
      </w:tr>
      <w:tr w:rsidR="00131E97" w:rsidRPr="00B57B36" w14:paraId="25BEC905" w14:textId="77777777" w:rsidTr="007E52C0">
        <w:tc>
          <w:tcPr>
            <w:tcW w:w="993" w:type="dxa"/>
            <w:shd w:val="clear" w:color="auto" w:fill="FFFFFF"/>
          </w:tcPr>
          <w:p w14:paraId="656C52E6" w14:textId="79A59254" w:rsidR="00131E97" w:rsidRPr="008B157C" w:rsidRDefault="00131E97" w:rsidP="00131E97">
            <w:pPr>
              <w:pStyle w:val="CETBodytext"/>
              <w:ind w:left="142"/>
              <w:rPr>
                <w:rFonts w:asciiTheme="majorHAnsi" w:hAnsiTheme="majorHAnsi"/>
                <w:lang w:val="en-GB"/>
              </w:rPr>
            </w:pPr>
            <w:r w:rsidRPr="008B157C">
              <w:rPr>
                <w:rFonts w:asciiTheme="majorHAnsi" w:hAnsiTheme="majorHAnsi"/>
                <w:lang w:val="en-GB"/>
              </w:rPr>
              <w:t>µ</w:t>
            </w:r>
            <w:proofErr w:type="spellStart"/>
            <w:proofErr w:type="gramStart"/>
            <w:r>
              <w:rPr>
                <w:rFonts w:asciiTheme="majorHAnsi" w:hAnsiTheme="majorHAnsi"/>
                <w:i/>
                <w:vertAlign w:val="subscript"/>
                <w:lang w:val="en-GB"/>
              </w:rPr>
              <w:t>AA</w:t>
            </w:r>
            <w:r w:rsidRPr="00111B3D">
              <w:rPr>
                <w:rFonts w:asciiTheme="majorHAnsi" w:hAnsiTheme="majorHAnsi"/>
                <w:i/>
                <w:vertAlign w:val="subscript"/>
                <w:lang w:val="en-GB"/>
              </w:rPr>
              <w:t>,</w:t>
            </w:r>
            <w:r w:rsidR="003B4B5E">
              <w:rPr>
                <w:rFonts w:asciiTheme="majorHAnsi" w:hAnsiTheme="majorHAnsi"/>
                <w:i/>
                <w:vertAlign w:val="subscript"/>
                <w:lang w:val="en-GB"/>
              </w:rPr>
              <w:t>S</w:t>
            </w:r>
            <w:proofErr w:type="gramEnd"/>
            <w:r w:rsidR="003B4B5E">
              <w:rPr>
                <w:rFonts w:asciiTheme="majorHAnsi" w:hAnsiTheme="majorHAnsi"/>
                <w:i/>
                <w:vertAlign w:val="subscript"/>
                <w:lang w:val="en-GB"/>
              </w:rPr>
              <w:t>,</w:t>
            </w:r>
            <w:r w:rsidRPr="00111B3D">
              <w:rPr>
                <w:rFonts w:asciiTheme="majorHAnsi" w:hAnsiTheme="majorHAnsi"/>
                <w:i/>
                <w:vertAlign w:val="subscript"/>
                <w:lang w:val="en-GB"/>
              </w:rPr>
              <w:t>max</w:t>
            </w:r>
            <w:proofErr w:type="spellEnd"/>
          </w:p>
        </w:tc>
        <w:tc>
          <w:tcPr>
            <w:tcW w:w="5528" w:type="dxa"/>
            <w:shd w:val="clear" w:color="auto" w:fill="FFFFFF"/>
          </w:tcPr>
          <w:p w14:paraId="07B537A5" w14:textId="5A6BD02A" w:rsidR="00131E97" w:rsidRDefault="00131E97" w:rsidP="00131E97">
            <w:pPr>
              <w:pStyle w:val="CETBodytext"/>
              <w:rPr>
                <w:lang w:val="en-GB"/>
              </w:rPr>
            </w:pPr>
            <w:r>
              <w:rPr>
                <w:lang w:val="en-GB"/>
              </w:rPr>
              <w:t>M</w:t>
            </w:r>
            <w:r w:rsidRPr="00381C99">
              <w:rPr>
                <w:lang w:val="en-GB"/>
              </w:rPr>
              <w:t>aximum specific</w:t>
            </w:r>
            <w:r>
              <w:rPr>
                <w:lang w:val="en-GB"/>
              </w:rPr>
              <w:t xml:space="preserve"> </w:t>
            </w:r>
            <w:r w:rsidRPr="00381C99">
              <w:rPr>
                <w:lang w:val="en-GB"/>
              </w:rPr>
              <w:t>rate</w:t>
            </w:r>
            <w:r>
              <w:rPr>
                <w:lang w:val="en-GB"/>
              </w:rPr>
              <w:t xml:space="preserve"> of </w:t>
            </w:r>
            <w:r w:rsidRPr="00131E97">
              <w:rPr>
                <w:rFonts w:asciiTheme="majorHAnsi" w:hAnsiTheme="majorHAnsi"/>
                <w:i/>
                <w:lang w:val="en-GB"/>
              </w:rPr>
              <w:t>AA</w:t>
            </w:r>
            <w:r>
              <w:rPr>
                <w:lang w:val="en-GB"/>
              </w:rPr>
              <w:t xml:space="preserve"> </w:t>
            </w:r>
            <w:proofErr w:type="spellStart"/>
            <w:r>
              <w:rPr>
                <w:lang w:val="en-GB"/>
              </w:rPr>
              <w:t>remetabolization</w:t>
            </w:r>
            <w:proofErr w:type="spellEnd"/>
            <w:r>
              <w:rPr>
                <w:lang w:val="en-GB"/>
              </w:rPr>
              <w:t xml:space="preserve"> in solventogenesis</w:t>
            </w:r>
          </w:p>
        </w:tc>
        <w:tc>
          <w:tcPr>
            <w:tcW w:w="992" w:type="dxa"/>
            <w:shd w:val="clear" w:color="auto" w:fill="FFFFFF"/>
          </w:tcPr>
          <w:p w14:paraId="4E24729B" w14:textId="097C4448" w:rsidR="00131E97" w:rsidRDefault="00131E97" w:rsidP="00131E97">
            <w:pPr>
              <w:pStyle w:val="CETBodytext"/>
              <w:ind w:right="281"/>
              <w:jc w:val="right"/>
              <w:rPr>
                <w:rFonts w:cs="Arial"/>
                <w:szCs w:val="18"/>
                <w:lang w:val="en-GB"/>
              </w:rPr>
            </w:pPr>
            <w:r>
              <w:rPr>
                <w:rFonts w:cs="Arial"/>
                <w:szCs w:val="18"/>
                <w:lang w:val="en-GB"/>
              </w:rPr>
              <w:t>-</w:t>
            </w:r>
            <w:r w:rsidR="003B4B5E">
              <w:rPr>
                <w:rFonts w:cs="Arial"/>
                <w:szCs w:val="18"/>
                <w:lang w:val="en-GB"/>
              </w:rPr>
              <w:t>0.22</w:t>
            </w:r>
          </w:p>
        </w:tc>
        <w:tc>
          <w:tcPr>
            <w:tcW w:w="1276" w:type="dxa"/>
            <w:shd w:val="clear" w:color="auto" w:fill="FFFFFF"/>
          </w:tcPr>
          <w:p w14:paraId="674D90F4" w14:textId="4F0406BB" w:rsidR="00131E97" w:rsidRDefault="00131E97" w:rsidP="00131E97">
            <w:pPr>
              <w:pStyle w:val="CETBodytext"/>
              <w:ind w:left="286" w:right="-1"/>
              <w:rPr>
                <w:rFonts w:cs="Arial"/>
                <w:szCs w:val="18"/>
                <w:lang w:val="en-GB"/>
              </w:rPr>
            </w:pPr>
            <w:r>
              <w:rPr>
                <w:rFonts w:cs="Arial"/>
                <w:szCs w:val="18"/>
                <w:lang w:val="en-GB"/>
              </w:rPr>
              <w:t xml:space="preserve">g </w:t>
            </w:r>
            <w:r>
              <w:rPr>
                <w:rFonts w:asciiTheme="majorHAnsi" w:hAnsiTheme="majorHAnsi" w:cs="Arial"/>
                <w:i/>
                <w:szCs w:val="18"/>
                <w:lang w:val="en-GB"/>
              </w:rPr>
              <w:t>AA</w:t>
            </w:r>
            <w:r>
              <w:rPr>
                <w:rFonts w:cs="Arial"/>
                <w:szCs w:val="18"/>
                <w:lang w:val="en-GB"/>
              </w:rPr>
              <w:t xml:space="preserve"> / g </w:t>
            </w:r>
            <w:r w:rsidRPr="00111B3D">
              <w:rPr>
                <w:rFonts w:asciiTheme="majorHAnsi" w:hAnsiTheme="majorHAnsi" w:cs="Arial"/>
                <w:i/>
                <w:szCs w:val="18"/>
                <w:lang w:val="en-GB"/>
              </w:rPr>
              <w:t>X</w:t>
            </w:r>
            <w:r>
              <w:rPr>
                <w:rFonts w:cs="Arial"/>
                <w:szCs w:val="18"/>
                <w:lang w:val="en-GB"/>
              </w:rPr>
              <w:t xml:space="preserve"> h</w:t>
            </w:r>
          </w:p>
        </w:tc>
      </w:tr>
      <w:tr w:rsidR="00131E97" w:rsidRPr="00B57B36" w14:paraId="064D031D" w14:textId="77777777" w:rsidTr="007E52C0">
        <w:tc>
          <w:tcPr>
            <w:tcW w:w="993" w:type="dxa"/>
            <w:shd w:val="clear" w:color="auto" w:fill="FFFFFF"/>
          </w:tcPr>
          <w:p w14:paraId="22C386F8" w14:textId="651D8AFF" w:rsidR="00131E97" w:rsidRPr="008B157C" w:rsidRDefault="00131E97" w:rsidP="00131E97">
            <w:pPr>
              <w:pStyle w:val="CETBodytext"/>
              <w:ind w:left="142"/>
              <w:rPr>
                <w:rFonts w:asciiTheme="majorHAnsi" w:hAnsiTheme="majorHAnsi"/>
                <w:i/>
                <w:lang w:val="en-GB"/>
              </w:rPr>
            </w:pPr>
            <w:r w:rsidRPr="008B157C">
              <w:rPr>
                <w:rFonts w:asciiTheme="majorHAnsi" w:hAnsiTheme="majorHAnsi"/>
                <w:i/>
                <w:lang w:val="en-GB"/>
              </w:rPr>
              <w:t>K</w:t>
            </w:r>
            <w:r w:rsidRPr="008B157C">
              <w:rPr>
                <w:rFonts w:asciiTheme="majorHAnsi" w:hAnsiTheme="majorHAnsi"/>
                <w:i/>
                <w:vertAlign w:val="subscript"/>
                <w:lang w:val="en-GB"/>
              </w:rPr>
              <w:t>P</w:t>
            </w:r>
            <w:r>
              <w:rPr>
                <w:rFonts w:asciiTheme="majorHAnsi" w:hAnsiTheme="majorHAnsi"/>
                <w:i/>
                <w:vertAlign w:val="subscript"/>
                <w:lang w:val="en-GB"/>
              </w:rPr>
              <w:t>S</w:t>
            </w:r>
            <w:r w:rsidRPr="00B26D04">
              <w:rPr>
                <w:rFonts w:asciiTheme="majorHAnsi" w:hAnsiTheme="majorHAnsi"/>
                <w:vertAlign w:val="subscript"/>
                <w:lang w:val="en-GB"/>
              </w:rPr>
              <w:t>2</w:t>
            </w:r>
          </w:p>
        </w:tc>
        <w:tc>
          <w:tcPr>
            <w:tcW w:w="5528" w:type="dxa"/>
            <w:shd w:val="clear" w:color="auto" w:fill="FFFFFF"/>
          </w:tcPr>
          <w:p w14:paraId="421DA844" w14:textId="2C01EE7F" w:rsidR="00131E97" w:rsidRDefault="00131E97" w:rsidP="00131E97">
            <w:pPr>
              <w:pStyle w:val="CETBodytext"/>
              <w:rPr>
                <w:lang w:val="en-GB"/>
              </w:rPr>
            </w:pPr>
            <w:r>
              <w:rPr>
                <w:lang w:val="en-GB"/>
              </w:rPr>
              <w:t xml:space="preserve">Critical concentration of solvents for acids </w:t>
            </w:r>
            <w:proofErr w:type="spellStart"/>
            <w:r>
              <w:rPr>
                <w:lang w:val="en-GB"/>
              </w:rPr>
              <w:t>remetabolization</w:t>
            </w:r>
            <w:proofErr w:type="spellEnd"/>
          </w:p>
        </w:tc>
        <w:tc>
          <w:tcPr>
            <w:tcW w:w="992" w:type="dxa"/>
            <w:shd w:val="clear" w:color="auto" w:fill="FFFFFF"/>
          </w:tcPr>
          <w:p w14:paraId="06CD202F" w14:textId="2EAA17A3" w:rsidR="00131E97" w:rsidRDefault="00131E97" w:rsidP="00131E97">
            <w:pPr>
              <w:pStyle w:val="CETBodytext"/>
              <w:ind w:right="281"/>
              <w:jc w:val="right"/>
              <w:rPr>
                <w:rFonts w:cs="Arial"/>
                <w:szCs w:val="18"/>
                <w:lang w:val="en-GB"/>
              </w:rPr>
            </w:pPr>
            <w:r>
              <w:rPr>
                <w:rFonts w:cs="Arial"/>
                <w:szCs w:val="18"/>
                <w:lang w:val="en-GB"/>
              </w:rPr>
              <w:t>2</w:t>
            </w:r>
            <w:r w:rsidR="003B4B5E">
              <w:rPr>
                <w:rFonts w:cs="Arial"/>
                <w:szCs w:val="18"/>
                <w:lang w:val="en-GB"/>
              </w:rPr>
              <w:t>4</w:t>
            </w:r>
            <w:r w:rsidR="00E90407">
              <w:rPr>
                <w:rFonts w:cs="Arial"/>
                <w:szCs w:val="18"/>
                <w:lang w:val="en-GB"/>
              </w:rPr>
              <w:t>.0</w:t>
            </w:r>
          </w:p>
        </w:tc>
        <w:tc>
          <w:tcPr>
            <w:tcW w:w="1276" w:type="dxa"/>
            <w:shd w:val="clear" w:color="auto" w:fill="FFFFFF"/>
          </w:tcPr>
          <w:p w14:paraId="065858A2" w14:textId="76E03016" w:rsidR="00131E97" w:rsidRDefault="00131E97" w:rsidP="00131E97">
            <w:pPr>
              <w:pStyle w:val="CETBodytext"/>
              <w:ind w:left="286" w:right="-1"/>
              <w:rPr>
                <w:rFonts w:cs="Arial"/>
                <w:szCs w:val="18"/>
                <w:lang w:val="en-GB"/>
              </w:rPr>
            </w:pPr>
            <w:r>
              <w:rPr>
                <w:rFonts w:cs="Arial"/>
                <w:szCs w:val="18"/>
                <w:lang w:val="en-GB"/>
              </w:rPr>
              <w:t>g/L</w:t>
            </w:r>
          </w:p>
        </w:tc>
      </w:tr>
      <w:tr w:rsidR="00131E97" w:rsidRPr="00B57B36" w14:paraId="68422E16" w14:textId="77777777" w:rsidTr="007E52C0">
        <w:tc>
          <w:tcPr>
            <w:tcW w:w="993" w:type="dxa"/>
            <w:shd w:val="clear" w:color="auto" w:fill="FFFFFF"/>
          </w:tcPr>
          <w:p w14:paraId="6EFFBB71" w14:textId="62D567BF" w:rsidR="00131E97" w:rsidRPr="00131E97" w:rsidRDefault="00131E97" w:rsidP="00131E97">
            <w:pPr>
              <w:pStyle w:val="CETBodytext"/>
              <w:ind w:left="142"/>
              <w:rPr>
                <w:rFonts w:asciiTheme="majorHAnsi" w:hAnsiTheme="majorHAnsi"/>
                <w:i/>
                <w:lang w:val="en-GB"/>
              </w:rPr>
            </w:pPr>
            <w:r w:rsidRPr="00131E97">
              <w:rPr>
                <w:rFonts w:asciiTheme="majorHAnsi" w:hAnsiTheme="majorHAnsi"/>
                <w:i/>
                <w:lang w:val="en-GB"/>
              </w:rPr>
              <w:t>α</w:t>
            </w:r>
            <w:r w:rsidRPr="00131E97">
              <w:rPr>
                <w:rFonts w:asciiTheme="majorHAnsi" w:hAnsiTheme="majorHAnsi"/>
                <w:lang w:val="en-GB"/>
              </w:rPr>
              <w:t>2</w:t>
            </w:r>
          </w:p>
        </w:tc>
        <w:tc>
          <w:tcPr>
            <w:tcW w:w="5528" w:type="dxa"/>
            <w:shd w:val="clear" w:color="auto" w:fill="FFFFFF"/>
          </w:tcPr>
          <w:p w14:paraId="63C6E1B3" w14:textId="3AC641C1" w:rsidR="00131E97" w:rsidRDefault="00131E97" w:rsidP="00131E97">
            <w:pPr>
              <w:pStyle w:val="CETBodytext"/>
              <w:rPr>
                <w:lang w:val="en-GB"/>
              </w:rPr>
            </w:pPr>
            <w:r>
              <w:rPr>
                <w:lang w:val="en-GB"/>
              </w:rPr>
              <w:t xml:space="preserve">Exponent for inhibition on acids </w:t>
            </w:r>
            <w:proofErr w:type="spellStart"/>
            <w:r>
              <w:rPr>
                <w:lang w:val="en-GB"/>
              </w:rPr>
              <w:t>remetabolization</w:t>
            </w:r>
            <w:proofErr w:type="spellEnd"/>
            <w:r>
              <w:rPr>
                <w:lang w:val="en-GB"/>
              </w:rPr>
              <w:t xml:space="preserve"> </w:t>
            </w:r>
          </w:p>
        </w:tc>
        <w:tc>
          <w:tcPr>
            <w:tcW w:w="992" w:type="dxa"/>
            <w:shd w:val="clear" w:color="auto" w:fill="FFFFFF"/>
          </w:tcPr>
          <w:p w14:paraId="5FCD6F69" w14:textId="4C79D756" w:rsidR="00131E97" w:rsidRDefault="00131E97" w:rsidP="00131E97">
            <w:pPr>
              <w:pStyle w:val="CETBodytext"/>
              <w:ind w:right="281"/>
              <w:jc w:val="right"/>
              <w:rPr>
                <w:rFonts w:cs="Arial"/>
                <w:szCs w:val="18"/>
                <w:lang w:val="en-GB"/>
              </w:rPr>
            </w:pPr>
            <w:r>
              <w:rPr>
                <w:rFonts w:cs="Arial"/>
                <w:szCs w:val="18"/>
                <w:lang w:val="en-GB"/>
              </w:rPr>
              <w:t>1</w:t>
            </w:r>
            <w:r w:rsidR="00D12787">
              <w:rPr>
                <w:rFonts w:cs="Arial"/>
                <w:szCs w:val="18"/>
                <w:lang w:val="en-GB"/>
              </w:rPr>
              <w:t>.0</w:t>
            </w:r>
          </w:p>
        </w:tc>
        <w:tc>
          <w:tcPr>
            <w:tcW w:w="1276" w:type="dxa"/>
            <w:shd w:val="clear" w:color="auto" w:fill="FFFFFF"/>
          </w:tcPr>
          <w:p w14:paraId="6737F1C0" w14:textId="383546E2" w:rsidR="00131E97" w:rsidRDefault="00131E97" w:rsidP="00131E97">
            <w:pPr>
              <w:pStyle w:val="CETBodytext"/>
              <w:ind w:left="286" w:right="-1"/>
              <w:rPr>
                <w:rFonts w:cs="Arial"/>
                <w:szCs w:val="18"/>
                <w:lang w:val="en-GB"/>
              </w:rPr>
            </w:pPr>
          </w:p>
        </w:tc>
      </w:tr>
      <w:tr w:rsidR="00131E97" w:rsidRPr="00B57B36" w14:paraId="3BB9B052" w14:textId="77777777" w:rsidTr="007E52C0">
        <w:tc>
          <w:tcPr>
            <w:tcW w:w="993" w:type="dxa"/>
            <w:shd w:val="clear" w:color="auto" w:fill="FFFFFF"/>
          </w:tcPr>
          <w:p w14:paraId="47CE0506" w14:textId="2AA3C5A1" w:rsidR="00131E97" w:rsidRPr="00AE5FD7" w:rsidRDefault="00131E97" w:rsidP="00131E97">
            <w:pPr>
              <w:pStyle w:val="CETBodytext"/>
              <w:ind w:left="142"/>
              <w:rPr>
                <w:rFonts w:asciiTheme="majorHAnsi" w:hAnsiTheme="majorHAnsi"/>
                <w:i/>
                <w:lang w:val="en-GB"/>
              </w:rPr>
            </w:pPr>
            <w:r w:rsidRPr="00AE5FD7">
              <w:rPr>
                <w:rFonts w:asciiTheme="majorHAnsi" w:hAnsiTheme="majorHAnsi"/>
                <w:i/>
                <w:lang w:val="en-GB"/>
              </w:rPr>
              <w:t>Y</w:t>
            </w:r>
            <w:r w:rsidRPr="00AE5FD7">
              <w:rPr>
                <w:rFonts w:asciiTheme="majorHAnsi" w:hAnsiTheme="majorHAnsi"/>
                <w:i/>
                <w:vertAlign w:val="subscript"/>
                <w:lang w:val="en-GB"/>
              </w:rPr>
              <w:t>B/S</w:t>
            </w:r>
          </w:p>
        </w:tc>
        <w:tc>
          <w:tcPr>
            <w:tcW w:w="5528" w:type="dxa"/>
            <w:shd w:val="clear" w:color="auto" w:fill="FFFFFF"/>
          </w:tcPr>
          <w:p w14:paraId="45A3A0FB" w14:textId="37509511" w:rsidR="00131E97" w:rsidRDefault="00131E97" w:rsidP="00131E97">
            <w:pPr>
              <w:pStyle w:val="CETBodytext"/>
              <w:rPr>
                <w:lang w:val="en-GB"/>
              </w:rPr>
            </w:pPr>
            <w:r>
              <w:rPr>
                <w:lang w:val="en-GB"/>
              </w:rPr>
              <w:t>Yield from glucose to butanol</w:t>
            </w:r>
          </w:p>
        </w:tc>
        <w:tc>
          <w:tcPr>
            <w:tcW w:w="992" w:type="dxa"/>
            <w:shd w:val="clear" w:color="auto" w:fill="FFFFFF"/>
          </w:tcPr>
          <w:p w14:paraId="316399F2" w14:textId="7946D767" w:rsidR="00131E97" w:rsidRPr="003B4B5E" w:rsidRDefault="00131E97" w:rsidP="00131E97">
            <w:pPr>
              <w:pStyle w:val="CETBodytext"/>
              <w:ind w:right="281"/>
              <w:jc w:val="right"/>
              <w:rPr>
                <w:rFonts w:cs="Arial"/>
                <w:szCs w:val="18"/>
                <w:lang w:val="en-GB"/>
              </w:rPr>
            </w:pPr>
            <w:r w:rsidRPr="003B4B5E">
              <w:rPr>
                <w:rFonts w:cs="Arial"/>
                <w:szCs w:val="18"/>
                <w:lang w:val="en-GB"/>
              </w:rPr>
              <w:t>0.2</w:t>
            </w:r>
            <w:r w:rsidR="00D12787">
              <w:rPr>
                <w:rFonts w:cs="Arial"/>
                <w:szCs w:val="18"/>
                <w:lang w:val="en-GB"/>
              </w:rPr>
              <w:t>0</w:t>
            </w:r>
          </w:p>
        </w:tc>
        <w:tc>
          <w:tcPr>
            <w:tcW w:w="1276" w:type="dxa"/>
            <w:shd w:val="clear" w:color="auto" w:fill="FFFFFF"/>
          </w:tcPr>
          <w:p w14:paraId="5515ADCF" w14:textId="3988AB47" w:rsidR="00131E97" w:rsidRDefault="00131E97" w:rsidP="00131E97">
            <w:pPr>
              <w:pStyle w:val="CETBodytext"/>
              <w:ind w:left="286" w:right="-1"/>
              <w:rPr>
                <w:rFonts w:cs="Arial"/>
                <w:szCs w:val="18"/>
                <w:lang w:val="en-GB"/>
              </w:rPr>
            </w:pPr>
            <w:r>
              <w:rPr>
                <w:rFonts w:cs="Arial"/>
                <w:szCs w:val="18"/>
                <w:lang w:val="en-GB"/>
              </w:rPr>
              <w:t xml:space="preserve">g </w:t>
            </w:r>
            <w:r>
              <w:rPr>
                <w:rFonts w:asciiTheme="majorHAnsi" w:hAnsiTheme="majorHAnsi" w:cs="Arial"/>
                <w:i/>
                <w:szCs w:val="18"/>
                <w:lang w:val="en-GB"/>
              </w:rPr>
              <w:t>B</w:t>
            </w:r>
            <w:r>
              <w:rPr>
                <w:rFonts w:cs="Arial"/>
                <w:szCs w:val="18"/>
                <w:lang w:val="en-GB"/>
              </w:rPr>
              <w:t xml:space="preserve"> / g </w:t>
            </w:r>
            <w:r w:rsidRPr="00AE5FD7">
              <w:rPr>
                <w:rFonts w:asciiTheme="majorHAnsi" w:hAnsiTheme="majorHAnsi" w:cs="Arial"/>
                <w:i/>
                <w:szCs w:val="18"/>
                <w:lang w:val="en-GB"/>
              </w:rPr>
              <w:t>S</w:t>
            </w:r>
          </w:p>
        </w:tc>
      </w:tr>
      <w:tr w:rsidR="00131E97" w:rsidRPr="00B57B36" w14:paraId="10D97CFF" w14:textId="77777777" w:rsidTr="007E52C0">
        <w:tc>
          <w:tcPr>
            <w:tcW w:w="993" w:type="dxa"/>
            <w:shd w:val="clear" w:color="auto" w:fill="FFFFFF"/>
          </w:tcPr>
          <w:p w14:paraId="7EAB51C0" w14:textId="2523FB42" w:rsidR="00131E97" w:rsidRPr="00AE5FD7" w:rsidRDefault="00131E97" w:rsidP="00131E97">
            <w:pPr>
              <w:pStyle w:val="CETBodytext"/>
              <w:ind w:left="142"/>
              <w:rPr>
                <w:rFonts w:asciiTheme="majorHAnsi" w:hAnsiTheme="majorHAnsi"/>
                <w:i/>
                <w:lang w:val="en-GB"/>
              </w:rPr>
            </w:pPr>
            <w:r w:rsidRPr="00AE5FD7">
              <w:rPr>
                <w:rFonts w:asciiTheme="majorHAnsi" w:hAnsiTheme="majorHAnsi"/>
                <w:i/>
                <w:lang w:val="en-GB"/>
              </w:rPr>
              <w:t>Y</w:t>
            </w:r>
            <w:r w:rsidRPr="00AE5FD7">
              <w:rPr>
                <w:rFonts w:asciiTheme="majorHAnsi" w:hAnsiTheme="majorHAnsi"/>
                <w:i/>
                <w:vertAlign w:val="subscript"/>
                <w:lang w:val="en-GB"/>
              </w:rPr>
              <w:t>A/S</w:t>
            </w:r>
          </w:p>
        </w:tc>
        <w:tc>
          <w:tcPr>
            <w:tcW w:w="5528" w:type="dxa"/>
            <w:shd w:val="clear" w:color="auto" w:fill="FFFFFF"/>
          </w:tcPr>
          <w:p w14:paraId="0D6C3C19" w14:textId="1A14C443" w:rsidR="00131E97" w:rsidRPr="00B57B36" w:rsidRDefault="00131E97" w:rsidP="00131E97">
            <w:pPr>
              <w:pStyle w:val="CETBodytext"/>
              <w:rPr>
                <w:lang w:val="en-GB"/>
              </w:rPr>
            </w:pPr>
            <w:r>
              <w:rPr>
                <w:lang w:val="en-GB"/>
              </w:rPr>
              <w:t>Yield from glucose to acetone</w:t>
            </w:r>
          </w:p>
        </w:tc>
        <w:tc>
          <w:tcPr>
            <w:tcW w:w="992" w:type="dxa"/>
            <w:shd w:val="clear" w:color="auto" w:fill="FFFFFF"/>
          </w:tcPr>
          <w:p w14:paraId="0C4A3C9D" w14:textId="2DC29077" w:rsidR="00131E97" w:rsidRPr="003B4B5E" w:rsidRDefault="00131E97" w:rsidP="00131E97">
            <w:pPr>
              <w:pStyle w:val="CETBodytext"/>
              <w:ind w:right="281"/>
              <w:jc w:val="right"/>
              <w:rPr>
                <w:rFonts w:cs="Arial"/>
                <w:szCs w:val="18"/>
                <w:lang w:val="en-GB"/>
              </w:rPr>
            </w:pPr>
            <w:r w:rsidRPr="003B4B5E">
              <w:rPr>
                <w:rFonts w:cs="Arial"/>
                <w:szCs w:val="18"/>
                <w:lang w:val="en-GB"/>
              </w:rPr>
              <w:t>0.5</w:t>
            </w:r>
            <w:r w:rsidR="00D12787">
              <w:rPr>
                <w:rFonts w:cs="Arial"/>
                <w:szCs w:val="18"/>
                <w:lang w:val="en-GB"/>
              </w:rPr>
              <w:t>0</w:t>
            </w:r>
          </w:p>
        </w:tc>
        <w:tc>
          <w:tcPr>
            <w:tcW w:w="1276" w:type="dxa"/>
            <w:shd w:val="clear" w:color="auto" w:fill="FFFFFF"/>
          </w:tcPr>
          <w:p w14:paraId="170408FD" w14:textId="1333CDC8" w:rsidR="00131E97" w:rsidRDefault="00131E97" w:rsidP="00131E97">
            <w:pPr>
              <w:pStyle w:val="CETBodytext"/>
              <w:ind w:left="286" w:right="-1"/>
              <w:rPr>
                <w:rFonts w:cs="Arial"/>
                <w:szCs w:val="18"/>
                <w:lang w:val="en-GB"/>
              </w:rPr>
            </w:pPr>
            <w:r>
              <w:rPr>
                <w:rFonts w:cs="Arial"/>
                <w:szCs w:val="18"/>
                <w:lang w:val="en-GB"/>
              </w:rPr>
              <w:t xml:space="preserve">g </w:t>
            </w:r>
            <w:r>
              <w:rPr>
                <w:rFonts w:asciiTheme="majorHAnsi" w:hAnsiTheme="majorHAnsi" w:cs="Arial"/>
                <w:i/>
                <w:szCs w:val="18"/>
                <w:lang w:val="en-GB"/>
              </w:rPr>
              <w:t>A</w:t>
            </w:r>
            <w:r>
              <w:rPr>
                <w:rFonts w:cs="Arial"/>
                <w:szCs w:val="18"/>
                <w:lang w:val="en-GB"/>
              </w:rPr>
              <w:t xml:space="preserve"> / g </w:t>
            </w:r>
            <w:r w:rsidRPr="00AE5FD7">
              <w:rPr>
                <w:rFonts w:asciiTheme="majorHAnsi" w:hAnsiTheme="majorHAnsi" w:cs="Arial"/>
                <w:i/>
                <w:szCs w:val="18"/>
                <w:lang w:val="en-GB"/>
              </w:rPr>
              <w:t>S</w:t>
            </w:r>
          </w:p>
        </w:tc>
      </w:tr>
      <w:tr w:rsidR="00131E97" w:rsidRPr="00B57B36" w14:paraId="7E014194" w14:textId="77777777" w:rsidTr="007E52C0">
        <w:tc>
          <w:tcPr>
            <w:tcW w:w="993" w:type="dxa"/>
            <w:shd w:val="clear" w:color="auto" w:fill="FFFFFF"/>
          </w:tcPr>
          <w:p w14:paraId="0CBD735C" w14:textId="6443BF1C" w:rsidR="00131E97" w:rsidRPr="00AE5FD7" w:rsidRDefault="00131E97" w:rsidP="00131E97">
            <w:pPr>
              <w:pStyle w:val="CETBodytext"/>
              <w:ind w:left="142"/>
              <w:rPr>
                <w:rFonts w:asciiTheme="majorHAnsi" w:hAnsiTheme="majorHAnsi"/>
                <w:i/>
                <w:lang w:val="en-GB"/>
              </w:rPr>
            </w:pPr>
            <w:r w:rsidRPr="00AE5FD7">
              <w:rPr>
                <w:rFonts w:asciiTheme="majorHAnsi" w:hAnsiTheme="majorHAnsi"/>
                <w:i/>
                <w:lang w:val="en-GB"/>
              </w:rPr>
              <w:t>Y</w:t>
            </w:r>
            <w:r>
              <w:rPr>
                <w:rFonts w:asciiTheme="majorHAnsi" w:hAnsiTheme="majorHAnsi"/>
                <w:i/>
                <w:vertAlign w:val="subscript"/>
                <w:lang w:val="en-GB"/>
              </w:rPr>
              <w:t>B</w:t>
            </w:r>
            <w:r w:rsidRPr="00AE5FD7">
              <w:rPr>
                <w:rFonts w:asciiTheme="majorHAnsi" w:hAnsiTheme="majorHAnsi"/>
                <w:i/>
                <w:vertAlign w:val="subscript"/>
                <w:lang w:val="en-GB"/>
              </w:rPr>
              <w:t>/</w:t>
            </w:r>
            <w:r>
              <w:rPr>
                <w:rFonts w:asciiTheme="majorHAnsi" w:hAnsiTheme="majorHAnsi"/>
                <w:i/>
                <w:vertAlign w:val="subscript"/>
                <w:lang w:val="en-GB"/>
              </w:rPr>
              <w:t>BA</w:t>
            </w:r>
          </w:p>
        </w:tc>
        <w:tc>
          <w:tcPr>
            <w:tcW w:w="5528" w:type="dxa"/>
            <w:shd w:val="clear" w:color="auto" w:fill="FFFFFF"/>
          </w:tcPr>
          <w:p w14:paraId="5AFF568E" w14:textId="016C9F05" w:rsidR="00131E97" w:rsidRDefault="00131E97" w:rsidP="00131E97">
            <w:pPr>
              <w:pStyle w:val="CETBodytext"/>
              <w:rPr>
                <w:lang w:val="en-GB"/>
              </w:rPr>
            </w:pPr>
            <w:r>
              <w:rPr>
                <w:lang w:val="en-GB"/>
              </w:rPr>
              <w:t>Yield from butyric acid to butanol</w:t>
            </w:r>
          </w:p>
        </w:tc>
        <w:tc>
          <w:tcPr>
            <w:tcW w:w="992" w:type="dxa"/>
            <w:shd w:val="clear" w:color="auto" w:fill="FFFFFF"/>
          </w:tcPr>
          <w:p w14:paraId="10A86007" w14:textId="5DDB5F18" w:rsidR="00131E97" w:rsidRPr="003B4B5E" w:rsidRDefault="003B4B5E" w:rsidP="00131E97">
            <w:pPr>
              <w:pStyle w:val="CETBodytext"/>
              <w:ind w:right="281"/>
              <w:jc w:val="right"/>
              <w:rPr>
                <w:rFonts w:cs="Arial"/>
                <w:szCs w:val="18"/>
                <w:lang w:val="en-GB"/>
              </w:rPr>
            </w:pPr>
            <w:r w:rsidRPr="003B4B5E">
              <w:rPr>
                <w:rFonts w:cs="Arial"/>
                <w:szCs w:val="18"/>
                <w:lang w:val="en-GB"/>
              </w:rPr>
              <w:t>0.841</w:t>
            </w:r>
          </w:p>
        </w:tc>
        <w:tc>
          <w:tcPr>
            <w:tcW w:w="1276" w:type="dxa"/>
            <w:shd w:val="clear" w:color="auto" w:fill="FFFFFF"/>
          </w:tcPr>
          <w:p w14:paraId="2678A93D" w14:textId="1612B319" w:rsidR="00131E97" w:rsidRDefault="00131E97" w:rsidP="00131E97">
            <w:pPr>
              <w:pStyle w:val="CETBodytext"/>
              <w:ind w:left="286" w:right="-1"/>
              <w:rPr>
                <w:rFonts w:cs="Arial"/>
                <w:szCs w:val="18"/>
                <w:lang w:val="en-GB"/>
              </w:rPr>
            </w:pPr>
            <w:r>
              <w:rPr>
                <w:rFonts w:cs="Arial"/>
                <w:szCs w:val="18"/>
                <w:lang w:val="en-GB"/>
              </w:rPr>
              <w:t xml:space="preserve">g </w:t>
            </w:r>
            <w:r>
              <w:rPr>
                <w:rFonts w:asciiTheme="majorHAnsi" w:hAnsiTheme="majorHAnsi" w:cs="Arial"/>
                <w:i/>
                <w:szCs w:val="18"/>
                <w:lang w:val="en-GB"/>
              </w:rPr>
              <w:t>B</w:t>
            </w:r>
            <w:r>
              <w:rPr>
                <w:rFonts w:cs="Arial"/>
                <w:szCs w:val="18"/>
                <w:lang w:val="en-GB"/>
              </w:rPr>
              <w:t xml:space="preserve"> / g </w:t>
            </w:r>
            <w:r>
              <w:rPr>
                <w:rFonts w:asciiTheme="majorHAnsi" w:hAnsiTheme="majorHAnsi" w:cs="Arial"/>
                <w:i/>
                <w:szCs w:val="18"/>
                <w:lang w:val="en-GB"/>
              </w:rPr>
              <w:t>BA</w:t>
            </w:r>
          </w:p>
        </w:tc>
      </w:tr>
      <w:tr w:rsidR="00131E97" w:rsidRPr="00B57B36" w14:paraId="781EF84F" w14:textId="77777777" w:rsidTr="007E52C0">
        <w:tc>
          <w:tcPr>
            <w:tcW w:w="993" w:type="dxa"/>
            <w:shd w:val="clear" w:color="auto" w:fill="FFFFFF"/>
          </w:tcPr>
          <w:p w14:paraId="39626E10" w14:textId="76FD2196" w:rsidR="00131E97" w:rsidRPr="008B157C" w:rsidRDefault="00131E97" w:rsidP="00131E97">
            <w:pPr>
              <w:pStyle w:val="CETBodytext"/>
              <w:ind w:left="142" w:right="-1"/>
              <w:rPr>
                <w:rFonts w:asciiTheme="majorHAnsi" w:hAnsiTheme="majorHAnsi" w:cs="Arial"/>
                <w:szCs w:val="18"/>
                <w:lang w:val="en-GB"/>
              </w:rPr>
            </w:pPr>
            <w:r w:rsidRPr="00AE5FD7">
              <w:rPr>
                <w:rFonts w:asciiTheme="majorHAnsi" w:hAnsiTheme="majorHAnsi"/>
                <w:i/>
                <w:lang w:val="en-GB"/>
              </w:rPr>
              <w:t>Y</w:t>
            </w:r>
            <w:r w:rsidRPr="00AE5FD7">
              <w:rPr>
                <w:rFonts w:asciiTheme="majorHAnsi" w:hAnsiTheme="majorHAnsi"/>
                <w:i/>
                <w:vertAlign w:val="subscript"/>
                <w:lang w:val="en-GB"/>
              </w:rPr>
              <w:t>A/</w:t>
            </w:r>
            <w:r>
              <w:rPr>
                <w:rFonts w:asciiTheme="majorHAnsi" w:hAnsiTheme="majorHAnsi"/>
                <w:i/>
                <w:vertAlign w:val="subscript"/>
                <w:lang w:val="en-GB"/>
              </w:rPr>
              <w:t>AA</w:t>
            </w:r>
          </w:p>
        </w:tc>
        <w:tc>
          <w:tcPr>
            <w:tcW w:w="5528" w:type="dxa"/>
            <w:shd w:val="clear" w:color="auto" w:fill="FFFFFF"/>
          </w:tcPr>
          <w:p w14:paraId="7F2ED1D6" w14:textId="384FF7ED" w:rsidR="00131E97" w:rsidRPr="00B57B36" w:rsidRDefault="00131E97" w:rsidP="00131E97">
            <w:pPr>
              <w:pStyle w:val="CETBodytext"/>
              <w:ind w:right="-1"/>
              <w:rPr>
                <w:rFonts w:cs="Arial"/>
                <w:szCs w:val="18"/>
                <w:lang w:val="en-GB"/>
              </w:rPr>
            </w:pPr>
            <w:r>
              <w:rPr>
                <w:lang w:val="en-GB"/>
              </w:rPr>
              <w:t>Yield from acetic acid to acetone</w:t>
            </w:r>
          </w:p>
        </w:tc>
        <w:tc>
          <w:tcPr>
            <w:tcW w:w="992" w:type="dxa"/>
            <w:shd w:val="clear" w:color="auto" w:fill="FFFFFF"/>
          </w:tcPr>
          <w:p w14:paraId="4234F5A7" w14:textId="03BAA94B" w:rsidR="00131E97" w:rsidRPr="003B4B5E" w:rsidRDefault="003B4B5E" w:rsidP="00131E97">
            <w:pPr>
              <w:pStyle w:val="CETBodytext"/>
              <w:ind w:right="281"/>
              <w:jc w:val="right"/>
              <w:rPr>
                <w:rFonts w:cs="Arial"/>
                <w:szCs w:val="18"/>
                <w:lang w:val="en-GB"/>
              </w:rPr>
            </w:pPr>
            <w:r w:rsidRPr="003B4B5E">
              <w:rPr>
                <w:rFonts w:cs="Arial"/>
                <w:szCs w:val="18"/>
                <w:lang w:val="en-GB"/>
              </w:rPr>
              <w:t>0.967</w:t>
            </w:r>
          </w:p>
        </w:tc>
        <w:tc>
          <w:tcPr>
            <w:tcW w:w="1276" w:type="dxa"/>
            <w:shd w:val="clear" w:color="auto" w:fill="FFFFFF"/>
          </w:tcPr>
          <w:p w14:paraId="04C0EBB4" w14:textId="7D59DCC3" w:rsidR="00131E97" w:rsidRPr="00B57B36" w:rsidRDefault="00131E97" w:rsidP="00131E97">
            <w:pPr>
              <w:pStyle w:val="CETBodytext"/>
              <w:ind w:left="286" w:right="-1"/>
              <w:rPr>
                <w:rFonts w:cs="Arial"/>
                <w:szCs w:val="18"/>
                <w:lang w:val="en-GB"/>
              </w:rPr>
            </w:pPr>
            <w:r>
              <w:rPr>
                <w:rFonts w:cs="Arial"/>
                <w:szCs w:val="18"/>
                <w:lang w:val="en-GB"/>
              </w:rPr>
              <w:t xml:space="preserve">g </w:t>
            </w:r>
            <w:r>
              <w:rPr>
                <w:rFonts w:asciiTheme="majorHAnsi" w:hAnsiTheme="majorHAnsi" w:cs="Arial"/>
                <w:i/>
                <w:szCs w:val="18"/>
                <w:lang w:val="en-GB"/>
              </w:rPr>
              <w:t>A</w:t>
            </w:r>
            <w:r>
              <w:rPr>
                <w:rFonts w:cs="Arial"/>
                <w:szCs w:val="18"/>
                <w:lang w:val="en-GB"/>
              </w:rPr>
              <w:t xml:space="preserve"> / g </w:t>
            </w:r>
            <w:r>
              <w:rPr>
                <w:rFonts w:asciiTheme="majorHAnsi" w:hAnsiTheme="majorHAnsi" w:cs="Arial"/>
                <w:i/>
                <w:szCs w:val="18"/>
                <w:lang w:val="en-GB"/>
              </w:rPr>
              <w:t>AA</w:t>
            </w:r>
          </w:p>
        </w:tc>
      </w:tr>
    </w:tbl>
    <w:p w14:paraId="499BF8E5" w14:textId="28DC27A8" w:rsidR="0019679E" w:rsidRDefault="00E717C2" w:rsidP="008D41AA">
      <w:pPr>
        <w:pStyle w:val="CETBodytext"/>
        <w:jc w:val="center"/>
        <w:rPr>
          <w:lang w:val="en-GB"/>
        </w:rPr>
      </w:pPr>
      <w:r>
        <w:rPr>
          <w:noProof/>
          <w:lang w:val="en-GB"/>
        </w:rPr>
        <w:lastRenderedPageBreak/>
        <w:drawing>
          <wp:inline distT="0" distB="0" distL="0" distR="0" wp14:anchorId="27317538" wp14:editId="56138C7F">
            <wp:extent cx="3994205" cy="2130724"/>
            <wp:effectExtent l="0" t="0" r="635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480" cy="2134071"/>
                    </a:xfrm>
                    <a:prstGeom prst="rect">
                      <a:avLst/>
                    </a:prstGeom>
                    <a:noFill/>
                  </pic:spPr>
                </pic:pic>
              </a:graphicData>
            </a:graphic>
          </wp:inline>
        </w:drawing>
      </w:r>
    </w:p>
    <w:p w14:paraId="20EA1F11" w14:textId="63567630" w:rsidR="00C14C42" w:rsidRPr="008B79A3" w:rsidRDefault="00C14C42" w:rsidP="008D41AA">
      <w:pPr>
        <w:pStyle w:val="CETBodytext"/>
        <w:jc w:val="center"/>
        <w:rPr>
          <w:lang w:val="en-GB"/>
        </w:rPr>
      </w:pPr>
      <w:r>
        <w:rPr>
          <w:noProof/>
          <w:lang w:val="en-GB"/>
        </w:rPr>
        <w:drawing>
          <wp:inline distT="0" distB="0" distL="0" distR="0" wp14:anchorId="401827C3" wp14:editId="6595EE4F">
            <wp:extent cx="3991346" cy="2071456"/>
            <wp:effectExtent l="0" t="0" r="952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3624" cy="2088208"/>
                    </a:xfrm>
                    <a:prstGeom prst="rect">
                      <a:avLst/>
                    </a:prstGeom>
                    <a:noFill/>
                  </pic:spPr>
                </pic:pic>
              </a:graphicData>
            </a:graphic>
          </wp:inline>
        </w:drawing>
      </w:r>
      <w:bookmarkStart w:id="2" w:name="_GoBack"/>
      <w:bookmarkEnd w:id="2"/>
    </w:p>
    <w:p w14:paraId="0DBD9C44" w14:textId="0F368DCE" w:rsidR="00F80FFE" w:rsidRDefault="00C14C42" w:rsidP="008D41AA">
      <w:pPr>
        <w:pStyle w:val="CETBodytext"/>
        <w:jc w:val="center"/>
        <w:rPr>
          <w:lang w:val="en-GB"/>
        </w:rPr>
      </w:pPr>
      <w:r>
        <w:rPr>
          <w:noProof/>
          <w:lang w:val="en-GB"/>
        </w:rPr>
        <w:drawing>
          <wp:inline distT="0" distB="0" distL="0" distR="0" wp14:anchorId="22D511DD" wp14:editId="7D55872E">
            <wp:extent cx="3983344" cy="206171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1768" cy="2066073"/>
                    </a:xfrm>
                    <a:prstGeom prst="rect">
                      <a:avLst/>
                    </a:prstGeom>
                    <a:noFill/>
                  </pic:spPr>
                </pic:pic>
              </a:graphicData>
            </a:graphic>
          </wp:inline>
        </w:drawing>
      </w:r>
    </w:p>
    <w:p w14:paraId="73C9C4F3" w14:textId="6006080A" w:rsidR="00F80FFE" w:rsidRDefault="007E52C0" w:rsidP="007E52C0">
      <w:pPr>
        <w:pStyle w:val="CETCaption"/>
      </w:pPr>
      <w:bookmarkStart w:id="3" w:name="_Hlk158574709"/>
      <w:r w:rsidRPr="007E5144">
        <w:rPr>
          <w:spacing w:val="-2"/>
        </w:rPr>
        <w:t xml:space="preserve">Figure </w:t>
      </w:r>
      <w:r w:rsidR="001C5A39" w:rsidRPr="007E5144">
        <w:rPr>
          <w:spacing w:val="-2"/>
        </w:rPr>
        <w:t>2</w:t>
      </w:r>
      <w:r w:rsidRPr="007E5144">
        <w:rPr>
          <w:spacing w:val="-2"/>
        </w:rPr>
        <w:t>: Experimental</w:t>
      </w:r>
      <w:r w:rsidR="0081639C">
        <w:rPr>
          <w:spacing w:val="-2"/>
        </w:rPr>
        <w:t xml:space="preserve"> data (marks)</w:t>
      </w:r>
      <w:r w:rsidRPr="007E5144">
        <w:rPr>
          <w:spacing w:val="-2"/>
        </w:rPr>
        <w:t xml:space="preserve"> and simulated profiles</w:t>
      </w:r>
      <w:r w:rsidR="0081639C">
        <w:rPr>
          <w:spacing w:val="-2"/>
        </w:rPr>
        <w:t xml:space="preserve"> (continuous lines)</w:t>
      </w:r>
      <w:r w:rsidRPr="007E5144">
        <w:rPr>
          <w:spacing w:val="-2"/>
        </w:rPr>
        <w:t xml:space="preserve"> for</w:t>
      </w:r>
      <w:r w:rsidR="00173F97">
        <w:rPr>
          <w:spacing w:val="-2"/>
        </w:rPr>
        <w:t xml:space="preserve"> three</w:t>
      </w:r>
      <w:r w:rsidRPr="007E5144">
        <w:rPr>
          <w:spacing w:val="-2"/>
        </w:rPr>
        <w:t xml:space="preserve"> initial glucose concentrations</w:t>
      </w:r>
      <w:r w:rsidR="00173F97">
        <w:rPr>
          <w:spacing w:val="-2"/>
        </w:rPr>
        <w:t xml:space="preserve">: top graphic </w:t>
      </w:r>
      <w:r w:rsidRPr="007E5144">
        <w:rPr>
          <w:spacing w:val="-2"/>
        </w:rPr>
        <w:t>20</w:t>
      </w:r>
      <w:r w:rsidR="00173F97">
        <w:rPr>
          <w:spacing w:val="-2"/>
        </w:rPr>
        <w:t xml:space="preserve"> g/L</w:t>
      </w:r>
      <w:r w:rsidRPr="007E5144">
        <w:rPr>
          <w:spacing w:val="-2"/>
        </w:rPr>
        <w:t>,</w:t>
      </w:r>
      <w:r w:rsidR="00173F97">
        <w:rPr>
          <w:spacing w:val="-2"/>
        </w:rPr>
        <w:t xml:space="preserve"> middle</w:t>
      </w:r>
      <w:r w:rsidRPr="007E5144">
        <w:rPr>
          <w:spacing w:val="-2"/>
        </w:rPr>
        <w:t xml:space="preserve"> 40</w:t>
      </w:r>
      <w:r w:rsidR="00173F97">
        <w:rPr>
          <w:spacing w:val="-2"/>
        </w:rPr>
        <w:t xml:space="preserve"> g/L,</w:t>
      </w:r>
      <w:r w:rsidR="007E5144" w:rsidRPr="007E5144">
        <w:rPr>
          <w:spacing w:val="-2"/>
        </w:rPr>
        <w:t xml:space="preserve"> </w:t>
      </w:r>
      <w:r w:rsidR="00173F97">
        <w:rPr>
          <w:spacing w:val="-2"/>
        </w:rPr>
        <w:t xml:space="preserve">and bottom </w:t>
      </w:r>
      <w:r w:rsidRPr="007E5144">
        <w:rPr>
          <w:spacing w:val="-2"/>
        </w:rPr>
        <w:t>80 g/L.</w:t>
      </w:r>
      <w:r w:rsidR="00B170F3" w:rsidRPr="007E5144">
        <w:rPr>
          <w:spacing w:val="-2"/>
        </w:rPr>
        <w:t xml:space="preserve"> Blue: glucose,</w:t>
      </w:r>
      <w:r w:rsidR="00B170F3">
        <w:t xml:space="preserve"> green: acetic acid, black: biomass, yellow: butyric acid, purple: butanol, orange: </w:t>
      </w:r>
      <w:r w:rsidR="005E4BC2">
        <w:t>acetone</w:t>
      </w:r>
      <w:r w:rsidR="00C14C42">
        <w:t>, black crosses: pH</w:t>
      </w:r>
      <w:r w:rsidR="005E4BC2">
        <w:t>.</w:t>
      </w:r>
    </w:p>
    <w:bookmarkEnd w:id="3"/>
    <w:p w14:paraId="0C70125B" w14:textId="3252AEA0" w:rsidR="00994A65" w:rsidRDefault="00994A65" w:rsidP="00994A65">
      <w:pPr>
        <w:pStyle w:val="CETBodytext"/>
      </w:pPr>
      <w:r>
        <w:t xml:space="preserve">From a detailed assessment, it is observed </w:t>
      </w:r>
      <w:r w:rsidRPr="00596020">
        <w:t>that th</w:t>
      </w:r>
      <w:r>
        <w:t>e</w:t>
      </w:r>
      <w:r w:rsidRPr="00596020">
        <w:t xml:space="preserve"> model generates a very good prediction </w:t>
      </w:r>
      <w:r>
        <w:t xml:space="preserve">for </w:t>
      </w:r>
      <w:r w:rsidRPr="00596020">
        <w:t xml:space="preserve">the concentration profiles </w:t>
      </w:r>
      <w:r>
        <w:t xml:space="preserve">of glucose, biomass and acetic acid during acidogenesis phase; while for other profiles an inferior fit of the prediction is observed. The imbalance in the prediction during the transition between both metabolic phases would be generated by a non-instantaneous switch, the dynamic of the metabolic </w:t>
      </w:r>
      <w:proofErr w:type="spellStart"/>
      <w:r>
        <w:t>behaviour</w:t>
      </w:r>
      <w:proofErr w:type="spellEnd"/>
      <w:r>
        <w:t>, in this transition, would depend on extra- and intra-cellular conditions (concentrations of substrates and products, and concentration of metabolites, enzymes, etc., respectively). Additionally,</w:t>
      </w:r>
      <w:r w:rsidRPr="00CF32C5">
        <w:t xml:space="preserve"> </w:t>
      </w:r>
      <w:r>
        <w:t>experimental results suggest that acetic acid consumption begins before butyric acid consumption. Another period with inferior fit is the ending of the solventogenesis phase, which suggest that more complex analysis must be developed. An alternative to improve the model prediction in the metabolic transition periods is to include information about intracellular changes happening due to acids and solvents accumulation, which requires omics analysis.</w:t>
      </w:r>
      <w:r w:rsidR="00C44824">
        <w:t xml:space="preserve"> </w:t>
      </w:r>
      <w:bookmarkStart w:id="4" w:name="_Hlk158581027"/>
      <w:r w:rsidR="00FD6E81">
        <w:t xml:space="preserve">For the future works </w:t>
      </w:r>
      <w:r w:rsidR="00FD6E81">
        <w:lastRenderedPageBreak/>
        <w:t>special attention will be dedicated to the prediction of acetone and butanol production that fit experimental data worse, t</w:t>
      </w:r>
      <w:r w:rsidR="00FD6E81" w:rsidRPr="00FD6E81">
        <w:t xml:space="preserve">his model deficiency is attributed to the simplifications above </w:t>
      </w:r>
      <w:r w:rsidR="00FD6E81">
        <w:t>d</w:t>
      </w:r>
      <w:r w:rsidR="00FD6E81" w:rsidRPr="00FD6E81">
        <w:t>escribed</w:t>
      </w:r>
      <w:r w:rsidR="00FD6E81">
        <w:t>.</w:t>
      </w:r>
      <w:bookmarkEnd w:id="4"/>
      <w:r w:rsidR="00FD6E81" w:rsidRPr="00FD6E81">
        <w:t xml:space="preserve"> </w:t>
      </w:r>
      <w:r w:rsidR="00FD6E81">
        <w:t xml:space="preserve"> </w:t>
      </w:r>
    </w:p>
    <w:p w14:paraId="3D7E033E" w14:textId="76472ADE" w:rsidR="00994A65" w:rsidRDefault="00994A65" w:rsidP="00994A65">
      <w:pPr>
        <w:pStyle w:val="CETBodytext"/>
      </w:pPr>
      <w:r>
        <w:t>The low values for half saturation constants (</w:t>
      </w:r>
      <w:r w:rsidRPr="008B157C">
        <w:rPr>
          <w:rFonts w:asciiTheme="majorHAnsi" w:hAnsiTheme="majorHAnsi"/>
          <w:i/>
          <w:lang w:val="en-GB"/>
        </w:rPr>
        <w:t>K</w:t>
      </w:r>
      <w:r w:rsidRPr="008B157C">
        <w:rPr>
          <w:rFonts w:asciiTheme="majorHAnsi" w:hAnsiTheme="majorHAnsi"/>
          <w:i/>
          <w:vertAlign w:val="subscript"/>
          <w:lang w:val="en-GB"/>
        </w:rPr>
        <w:t>S</w:t>
      </w:r>
      <w:r>
        <w:t xml:space="preserve"> = 1.00 and </w:t>
      </w:r>
      <w:r w:rsidRPr="008B157C">
        <w:rPr>
          <w:rFonts w:asciiTheme="majorHAnsi" w:hAnsiTheme="majorHAnsi"/>
          <w:i/>
          <w:lang w:val="en-GB"/>
        </w:rPr>
        <w:t>K</w:t>
      </w:r>
      <w:r w:rsidRPr="008B157C">
        <w:rPr>
          <w:rFonts w:asciiTheme="majorHAnsi" w:hAnsiTheme="majorHAnsi"/>
          <w:i/>
          <w:vertAlign w:val="subscript"/>
          <w:lang w:val="en-GB"/>
        </w:rPr>
        <w:t>S</w:t>
      </w:r>
      <w:r>
        <w:rPr>
          <w:rFonts w:asciiTheme="majorHAnsi" w:hAnsiTheme="majorHAnsi"/>
          <w:i/>
          <w:vertAlign w:val="subscript"/>
          <w:lang w:val="en-GB"/>
        </w:rPr>
        <w:t>S</w:t>
      </w:r>
      <w:r>
        <w:t xml:space="preserve"> = 2.06 g/L) show that the limiting effect of glucose on metabolic processes is very low; whereas, the values for critical concentration of solvents for glucose metabolization and acids </w:t>
      </w:r>
      <w:proofErr w:type="spellStart"/>
      <w:r>
        <w:t>remetabolization</w:t>
      </w:r>
      <w:proofErr w:type="spellEnd"/>
      <w:r>
        <w:t xml:space="preserve"> (</w:t>
      </w:r>
      <w:r w:rsidRPr="008B157C">
        <w:rPr>
          <w:rFonts w:asciiTheme="majorHAnsi" w:hAnsiTheme="majorHAnsi"/>
          <w:i/>
          <w:lang w:val="en-GB"/>
        </w:rPr>
        <w:t>K</w:t>
      </w:r>
      <w:r>
        <w:rPr>
          <w:rFonts w:asciiTheme="majorHAnsi" w:hAnsiTheme="majorHAnsi"/>
          <w:i/>
          <w:vertAlign w:val="subscript"/>
          <w:lang w:val="en-GB"/>
        </w:rPr>
        <w:t>PS</w:t>
      </w:r>
      <w:r>
        <w:t xml:space="preserve"> = 36.5 and </w:t>
      </w:r>
      <w:r w:rsidRPr="008B157C">
        <w:rPr>
          <w:rFonts w:asciiTheme="majorHAnsi" w:hAnsiTheme="majorHAnsi"/>
          <w:i/>
          <w:lang w:val="en-GB"/>
        </w:rPr>
        <w:t>K</w:t>
      </w:r>
      <w:r>
        <w:rPr>
          <w:rFonts w:asciiTheme="majorHAnsi" w:hAnsiTheme="majorHAnsi"/>
          <w:i/>
          <w:vertAlign w:val="subscript"/>
          <w:lang w:val="en-GB"/>
        </w:rPr>
        <w:t>PS</w:t>
      </w:r>
      <w:r w:rsidRPr="00E90407">
        <w:rPr>
          <w:rFonts w:asciiTheme="majorHAnsi" w:hAnsiTheme="majorHAnsi"/>
          <w:vertAlign w:val="subscript"/>
          <w:lang w:val="en-GB"/>
        </w:rPr>
        <w:t>2</w:t>
      </w:r>
      <w:r>
        <w:t xml:space="preserve"> = 26.0 g/L) show that these processes are not completely associated.</w:t>
      </w:r>
      <w:r w:rsidR="003C4930">
        <w:t xml:space="preserve"> </w:t>
      </w:r>
      <w:r w:rsidRPr="008B79A3">
        <w:t>Another interesting result is that the fraction of acetone and butanol produced from re-assimilated acids and from glucose changes with glucose availability</w:t>
      </w:r>
      <w:r>
        <w:t>. F</w:t>
      </w:r>
      <w:r w:rsidRPr="008B79A3">
        <w:t>or the fermentation with low glucose availability (20 g/L) the fraction of acetone and butanol from acids were 0</w:t>
      </w:r>
      <w:r>
        <w:t>.</w:t>
      </w:r>
      <w:r w:rsidRPr="008B79A3">
        <w:t>35 and 0</w:t>
      </w:r>
      <w:r>
        <w:t>.</w:t>
      </w:r>
      <w:r w:rsidRPr="008B79A3">
        <w:t>54, respectively; whereas, for the experiment with high glucose availability (80 g/L) these fractions were 0</w:t>
      </w:r>
      <w:r>
        <w:t>.</w:t>
      </w:r>
      <w:r w:rsidRPr="008B79A3">
        <w:t>17 and 0</w:t>
      </w:r>
      <w:r>
        <w:t>.</w:t>
      </w:r>
      <w:r w:rsidRPr="008B79A3">
        <w:t>27. These results confirm the metabolism complexity</w:t>
      </w:r>
      <w:r>
        <w:t>.</w:t>
      </w:r>
      <w:r w:rsidR="003C4930">
        <w:t xml:space="preserve"> </w:t>
      </w:r>
      <w:r w:rsidR="003C4930">
        <w:t>These results suggest that the metabolic processes depend on intracellular regulation mechanisms, which effects on concentration profiles can only be partially predicted by a mechanistic model, like the here proposed.</w:t>
      </w:r>
    </w:p>
    <w:p w14:paraId="274C128B" w14:textId="533C3593" w:rsidR="00994A65" w:rsidRPr="00994A65" w:rsidRDefault="00994A65" w:rsidP="00994A65">
      <w:pPr>
        <w:pStyle w:val="CETBodytext"/>
        <w:rPr>
          <w:lang w:val="en-GB"/>
        </w:rPr>
      </w:pPr>
      <w:r>
        <w:rPr>
          <w:lang w:val="en-GB"/>
        </w:rPr>
        <w:t>For the process development, it is interesting to observe that h</w:t>
      </w:r>
      <w:r w:rsidRPr="0042401A">
        <w:rPr>
          <w:lang w:val="en-GB"/>
        </w:rPr>
        <w:t xml:space="preserve">igh glucose concentration (80 g/L) </w:t>
      </w:r>
      <w:r w:rsidR="00F7739C">
        <w:rPr>
          <w:lang w:val="en-GB"/>
        </w:rPr>
        <w:t>generates</w:t>
      </w:r>
      <w:r w:rsidRPr="0042401A">
        <w:rPr>
          <w:lang w:val="en-GB"/>
        </w:rPr>
        <w:t xml:space="preserve"> high</w:t>
      </w:r>
      <w:r w:rsidR="00F7739C">
        <w:rPr>
          <w:lang w:val="en-GB"/>
        </w:rPr>
        <w:t>er</w:t>
      </w:r>
      <w:r w:rsidRPr="0042401A">
        <w:rPr>
          <w:lang w:val="en-GB"/>
        </w:rPr>
        <w:t xml:space="preserve"> final </w:t>
      </w:r>
      <w:r w:rsidR="00F7739C">
        <w:rPr>
          <w:lang w:val="en-GB"/>
        </w:rPr>
        <w:t>solvent</w:t>
      </w:r>
      <w:r w:rsidRPr="0042401A">
        <w:rPr>
          <w:lang w:val="en-GB"/>
        </w:rPr>
        <w:t xml:space="preserve"> concentration</w:t>
      </w:r>
      <w:r w:rsidR="00F7739C">
        <w:rPr>
          <w:lang w:val="en-GB"/>
        </w:rPr>
        <w:t>s</w:t>
      </w:r>
      <w:r w:rsidRPr="0042401A">
        <w:rPr>
          <w:lang w:val="en-GB"/>
        </w:rPr>
        <w:t xml:space="preserve">, although not all the glucose </w:t>
      </w:r>
      <w:r w:rsidR="00F7739C">
        <w:rPr>
          <w:lang w:val="en-GB"/>
        </w:rPr>
        <w:t xml:space="preserve">is </w:t>
      </w:r>
      <w:r w:rsidRPr="0042401A">
        <w:rPr>
          <w:lang w:val="en-GB"/>
        </w:rPr>
        <w:t>consumed, as such approximately 30 g/L of glucose could be lost in separation operations. On the other hand,</w:t>
      </w:r>
      <w:r w:rsidR="000C4F7B">
        <w:rPr>
          <w:lang w:val="en-GB"/>
        </w:rPr>
        <w:t xml:space="preserve"> for</w:t>
      </w:r>
      <w:r w:rsidRPr="0042401A">
        <w:rPr>
          <w:lang w:val="en-GB"/>
        </w:rPr>
        <w:t xml:space="preserve"> low glucose concentration (20 g/L) </w:t>
      </w:r>
      <w:r w:rsidR="00F7739C" w:rsidRPr="0042401A">
        <w:rPr>
          <w:lang w:val="en-GB"/>
        </w:rPr>
        <w:t xml:space="preserve">final </w:t>
      </w:r>
      <w:r w:rsidR="00F7739C">
        <w:rPr>
          <w:lang w:val="en-GB"/>
        </w:rPr>
        <w:t xml:space="preserve">solvent </w:t>
      </w:r>
      <w:r w:rsidR="00F7739C" w:rsidRPr="0042401A">
        <w:rPr>
          <w:lang w:val="en-GB"/>
        </w:rPr>
        <w:t>concentration is low</w:t>
      </w:r>
      <w:r w:rsidR="00F7739C">
        <w:rPr>
          <w:lang w:val="en-GB"/>
        </w:rPr>
        <w:t>er and</w:t>
      </w:r>
      <w:r w:rsidR="00F7739C" w:rsidRPr="0042401A">
        <w:rPr>
          <w:lang w:val="en-GB"/>
        </w:rPr>
        <w:t xml:space="preserve"> </w:t>
      </w:r>
      <w:r w:rsidRPr="0042401A">
        <w:rPr>
          <w:lang w:val="en-GB"/>
        </w:rPr>
        <w:t xml:space="preserve">the totality of glucose is consumed. Therefore, it is a good option to work with an intermediate glucose concentration, as in this case with 40 g/L where the total glucose </w:t>
      </w:r>
      <w:r w:rsidR="000C4F7B">
        <w:rPr>
          <w:lang w:val="en-GB"/>
        </w:rPr>
        <w:t>wa</w:t>
      </w:r>
      <w:r w:rsidRPr="0042401A">
        <w:rPr>
          <w:lang w:val="en-GB"/>
        </w:rPr>
        <w:t>s consumed in 27 hours, obtaining a butanol concentration of approximately 9.2 g/L.</w:t>
      </w:r>
      <w:r w:rsidR="00F7739C">
        <w:rPr>
          <w:lang w:val="en-GB"/>
        </w:rPr>
        <w:t xml:space="preserve"> </w:t>
      </w:r>
      <w:bookmarkStart w:id="5" w:name="_Hlk158582131"/>
      <w:r w:rsidR="003C4930">
        <w:rPr>
          <w:lang w:val="en-GB"/>
        </w:rPr>
        <w:t xml:space="preserve">A better initial condition would be obtained from an optimization analysis supported on this or a more complex predictive model. </w:t>
      </w:r>
      <w:bookmarkEnd w:id="5"/>
      <w:r w:rsidR="003C4930">
        <w:rPr>
          <w:lang w:val="en-GB"/>
        </w:rPr>
        <w:t>Regarding the specific growth rate, in acidogenesis</w:t>
      </w:r>
      <w:r w:rsidR="00F7739C" w:rsidRPr="00F7739C">
        <w:t xml:space="preserve"> phase</w:t>
      </w:r>
      <w:r w:rsidR="003C4930">
        <w:t xml:space="preserve"> it</w:t>
      </w:r>
      <w:r w:rsidR="00F7739C" w:rsidRPr="00F7739C">
        <w:t xml:space="preserve"> reached 0.18 h</w:t>
      </w:r>
      <w:r w:rsidR="00F7739C" w:rsidRPr="00F7739C">
        <w:rPr>
          <w:vertAlign w:val="superscript"/>
        </w:rPr>
        <w:t>-1</w:t>
      </w:r>
      <w:r w:rsidR="00F7739C" w:rsidRPr="00F7739C">
        <w:t xml:space="preserve"> while in solventogenesis no growth </w:t>
      </w:r>
      <w:r w:rsidR="003C4930">
        <w:t>wa</w:t>
      </w:r>
      <w:r w:rsidR="00F7739C" w:rsidRPr="00F7739C">
        <w:t>s observed.</w:t>
      </w:r>
      <w:r w:rsidR="003C4930">
        <w:t xml:space="preserve"> </w:t>
      </w:r>
    </w:p>
    <w:p w14:paraId="275CC3C2" w14:textId="5C61035E" w:rsidR="00300F4A" w:rsidRDefault="00300F4A" w:rsidP="00783539">
      <w:pPr>
        <w:pStyle w:val="CETHeading1"/>
        <w:rPr>
          <w:lang w:val="en-GB"/>
        </w:rPr>
      </w:pPr>
      <w:r>
        <w:rPr>
          <w:lang w:val="en-GB"/>
        </w:rPr>
        <w:t>Conclusions</w:t>
      </w:r>
    </w:p>
    <w:p w14:paraId="60E4E8ED" w14:textId="349E3497" w:rsidR="007A18B8" w:rsidRPr="007A18B8" w:rsidRDefault="007A18B8" w:rsidP="007A18B8">
      <w:pPr>
        <w:pStyle w:val="CETBodytext"/>
        <w:rPr>
          <w:lang w:val="en-GB"/>
        </w:rPr>
      </w:pPr>
      <w:r w:rsidRPr="007A18B8">
        <w:rPr>
          <w:lang w:val="en-GB"/>
        </w:rPr>
        <w:t>The ABE (acetone</w:t>
      </w:r>
      <w:r>
        <w:rPr>
          <w:lang w:val="en-GB"/>
        </w:rPr>
        <w:t>-</w:t>
      </w:r>
      <w:r w:rsidRPr="007A18B8">
        <w:rPr>
          <w:lang w:val="en-GB"/>
        </w:rPr>
        <w:t>butanol</w:t>
      </w:r>
      <w:r>
        <w:rPr>
          <w:lang w:val="en-GB"/>
        </w:rPr>
        <w:t>-</w:t>
      </w:r>
      <w:r w:rsidRPr="007A18B8">
        <w:rPr>
          <w:lang w:val="en-GB"/>
        </w:rPr>
        <w:t xml:space="preserve">ethanol) fermentation process unfolds in two distinct phases, identified as solventogenesis and acidogenesis determined through the microbial activity as they are submitted to different environmental conditions. This </w:t>
      </w:r>
      <w:r w:rsidR="00690273">
        <w:rPr>
          <w:lang w:val="en-GB"/>
        </w:rPr>
        <w:t>u</w:t>
      </w:r>
      <w:r w:rsidRPr="007A18B8">
        <w:rPr>
          <w:lang w:val="en-GB"/>
        </w:rPr>
        <w:t>nderstanding of the specific phases provides a valuable foundation for the design and optimization of ABE fermentation processes.</w:t>
      </w:r>
    </w:p>
    <w:p w14:paraId="7E07319E" w14:textId="779E60ED" w:rsidR="00515E3C" w:rsidRDefault="007A18B8" w:rsidP="00515E3C">
      <w:pPr>
        <w:pStyle w:val="CETBodytext"/>
        <w:rPr>
          <w:lang w:val="en-GB"/>
        </w:rPr>
      </w:pPr>
      <w:r w:rsidRPr="007A18B8">
        <w:rPr>
          <w:lang w:val="en-GB"/>
        </w:rPr>
        <w:t xml:space="preserve">Glucose concentration is crucial for both developments of the phases the bacteria undergoes, as it favours or limits the production of both acids and solvents with its own inhibitory influence. This is shown through the different </w:t>
      </w:r>
      <w:r w:rsidR="00690273">
        <w:rPr>
          <w:lang w:val="en-GB"/>
        </w:rPr>
        <w:t>product</w:t>
      </w:r>
      <w:r w:rsidRPr="007A18B8">
        <w:rPr>
          <w:lang w:val="en-GB"/>
        </w:rPr>
        <w:t xml:space="preserve"> concentrations and the length </w:t>
      </w:r>
      <w:r w:rsidR="00690273">
        <w:rPr>
          <w:lang w:val="en-GB"/>
        </w:rPr>
        <w:t xml:space="preserve">the </w:t>
      </w:r>
      <w:r w:rsidRPr="007A18B8">
        <w:rPr>
          <w:lang w:val="en-GB"/>
        </w:rPr>
        <w:t>fermentation</w:t>
      </w:r>
      <w:r w:rsidR="00690273">
        <w:rPr>
          <w:lang w:val="en-GB"/>
        </w:rPr>
        <w:t xml:space="preserve"> when initial glucose concentration is modified</w:t>
      </w:r>
      <w:r w:rsidRPr="007A18B8">
        <w:rPr>
          <w:lang w:val="en-GB"/>
        </w:rPr>
        <w:t>.</w:t>
      </w:r>
    </w:p>
    <w:p w14:paraId="2963D4D6" w14:textId="00A17F01" w:rsidR="00515E3C" w:rsidRPr="00515E3C" w:rsidRDefault="00515E3C" w:rsidP="00515E3C">
      <w:pPr>
        <w:pStyle w:val="CETBodytext"/>
        <w:rPr>
          <w:lang w:val="en-GB"/>
        </w:rPr>
      </w:pPr>
      <w:r w:rsidRPr="007A18B8">
        <w:rPr>
          <w:lang w:val="en-GB"/>
        </w:rPr>
        <w:t xml:space="preserve">Furthermore, the kinetic model developed in the study </w:t>
      </w:r>
      <w:r>
        <w:rPr>
          <w:lang w:val="en-GB"/>
        </w:rPr>
        <w:t>showed</w:t>
      </w:r>
      <w:r w:rsidRPr="007A18B8">
        <w:rPr>
          <w:lang w:val="en-GB"/>
        </w:rPr>
        <w:t xml:space="preserve"> a good capability for a general representation of the ABE fermentation phenomenon, specifically for the </w:t>
      </w:r>
      <w:r w:rsidRPr="007A18B8">
        <w:rPr>
          <w:i/>
          <w:lang w:val="en-GB"/>
        </w:rPr>
        <w:t>Clostridium Acetobutylicum</w:t>
      </w:r>
      <w:r w:rsidRPr="007A18B8">
        <w:rPr>
          <w:lang w:val="en-GB"/>
        </w:rPr>
        <w:t xml:space="preserve"> IBUN IV strain. The model's ability to predict changes in product concentrations over time</w:t>
      </w:r>
      <w:r w:rsidR="00501217">
        <w:rPr>
          <w:lang w:val="en-GB"/>
        </w:rPr>
        <w:t>,</w:t>
      </w:r>
      <w:r w:rsidRPr="007A18B8">
        <w:rPr>
          <w:lang w:val="en-GB"/>
        </w:rPr>
        <w:t xml:space="preserve"> substantiates its utility as a predictive tool </w:t>
      </w:r>
      <w:r>
        <w:rPr>
          <w:lang w:val="en-GB"/>
        </w:rPr>
        <w:t>for</w:t>
      </w:r>
      <w:r w:rsidRPr="007A18B8">
        <w:rPr>
          <w:lang w:val="en-GB"/>
        </w:rPr>
        <w:t xml:space="preserve"> the </w:t>
      </w:r>
      <w:r>
        <w:rPr>
          <w:lang w:val="en-GB"/>
        </w:rPr>
        <w:t xml:space="preserve">development and </w:t>
      </w:r>
      <w:r w:rsidRPr="007A18B8">
        <w:rPr>
          <w:lang w:val="en-GB"/>
        </w:rPr>
        <w:t>optimization of industrial processes.</w:t>
      </w:r>
      <w:r>
        <w:rPr>
          <w:lang w:val="en-GB"/>
        </w:rPr>
        <w:t xml:space="preserve"> </w:t>
      </w:r>
    </w:p>
    <w:p w14:paraId="19890325" w14:textId="1DD3005A" w:rsidR="00515E3C" w:rsidRPr="00300F4A" w:rsidRDefault="00515E3C" w:rsidP="00300F4A">
      <w:pPr>
        <w:pStyle w:val="CETBodytext"/>
        <w:rPr>
          <w:lang w:val="en-GB"/>
        </w:rPr>
      </w:pPr>
      <w:r w:rsidRPr="00515E3C">
        <w:rPr>
          <w:lang w:val="en-GB"/>
        </w:rPr>
        <w:t>The greatest difficulties for mode</w:t>
      </w:r>
      <w:r>
        <w:rPr>
          <w:lang w:val="en-GB"/>
        </w:rPr>
        <w:t>l</w:t>
      </w:r>
      <w:r w:rsidRPr="00515E3C">
        <w:rPr>
          <w:lang w:val="en-GB"/>
        </w:rPr>
        <w:t xml:space="preserve">ling </w:t>
      </w:r>
      <w:r w:rsidR="00690273">
        <w:rPr>
          <w:lang w:val="en-GB"/>
        </w:rPr>
        <w:t xml:space="preserve">this process </w:t>
      </w:r>
      <w:r w:rsidRPr="00515E3C">
        <w:rPr>
          <w:lang w:val="en-GB"/>
        </w:rPr>
        <w:t xml:space="preserve">are in </w:t>
      </w:r>
      <w:r>
        <w:rPr>
          <w:lang w:val="en-GB"/>
        </w:rPr>
        <w:t>th</w:t>
      </w:r>
      <w:r w:rsidRPr="00515E3C">
        <w:rPr>
          <w:lang w:val="en-GB"/>
        </w:rPr>
        <w:t>e metabolic transition</w:t>
      </w:r>
      <w:r>
        <w:rPr>
          <w:lang w:val="en-GB"/>
        </w:rPr>
        <w:t>s</w:t>
      </w:r>
      <w:r w:rsidRPr="00515E3C">
        <w:rPr>
          <w:lang w:val="en-GB"/>
        </w:rPr>
        <w:t xml:space="preserve">, such as the </w:t>
      </w:r>
      <w:r>
        <w:rPr>
          <w:lang w:val="en-GB"/>
        </w:rPr>
        <w:t xml:space="preserve">switch </w:t>
      </w:r>
      <w:r w:rsidRPr="00515E3C">
        <w:rPr>
          <w:lang w:val="en-GB"/>
        </w:rPr>
        <w:t>between acidogenesis and solventogenesis</w:t>
      </w:r>
      <w:r>
        <w:rPr>
          <w:lang w:val="en-GB"/>
        </w:rPr>
        <w:t xml:space="preserve"> phases</w:t>
      </w:r>
      <w:r w:rsidRPr="00515E3C">
        <w:rPr>
          <w:lang w:val="en-GB"/>
        </w:rPr>
        <w:t xml:space="preserve"> and the end of solventogenesis, so to improve the prediction of the model it is necessary to include aspects such as metabolic control and regulation, through omic information.</w:t>
      </w:r>
    </w:p>
    <w:p w14:paraId="442944FC" w14:textId="77777777" w:rsidR="002A2A13" w:rsidRPr="00B57B36" w:rsidRDefault="002A2A13" w:rsidP="002A2A13">
      <w:pPr>
        <w:pStyle w:val="CETReference"/>
      </w:pPr>
      <w:r w:rsidRPr="00B57B36">
        <w:t>References</w:t>
      </w:r>
    </w:p>
    <w:p w14:paraId="6E474EFC" w14:textId="56D47862" w:rsidR="005B693D" w:rsidRDefault="005B693D" w:rsidP="00D82D88">
      <w:pPr>
        <w:pStyle w:val="CETReferencetext"/>
      </w:pPr>
      <w:bookmarkStart w:id="6" w:name="_Hlk154569951"/>
      <w:r>
        <w:t>Al-</w:t>
      </w:r>
      <w:proofErr w:type="spellStart"/>
      <w:r>
        <w:t>Shorgani</w:t>
      </w:r>
      <w:proofErr w:type="spellEnd"/>
      <w:r>
        <w:t xml:space="preserve"> N.K.N.</w:t>
      </w:r>
      <w:r w:rsidR="008B79A3">
        <w:t>,</w:t>
      </w:r>
      <w:r>
        <w:t xml:space="preserve"> </w:t>
      </w:r>
      <w:proofErr w:type="spellStart"/>
      <w:r w:rsidR="00D82D88">
        <w:t>Shukor</w:t>
      </w:r>
      <w:proofErr w:type="spellEnd"/>
      <w:r w:rsidR="00D82D88">
        <w:t xml:space="preserve"> H., </w:t>
      </w:r>
      <w:proofErr w:type="spellStart"/>
      <w:r w:rsidR="00D82D88">
        <w:t>Abdeshahian</w:t>
      </w:r>
      <w:proofErr w:type="spellEnd"/>
      <w:r w:rsidR="00D82D88">
        <w:t xml:space="preserve">, P., </w:t>
      </w:r>
      <w:proofErr w:type="spellStart"/>
      <w:r w:rsidR="00D82D88">
        <w:t>Kalil</w:t>
      </w:r>
      <w:proofErr w:type="spellEnd"/>
      <w:r w:rsidR="00D82D88">
        <w:t xml:space="preserve"> M.S., </w:t>
      </w:r>
      <w:proofErr w:type="spellStart"/>
      <w:r w:rsidR="00D82D88">
        <w:t>Yusoff</w:t>
      </w:r>
      <w:proofErr w:type="spellEnd"/>
      <w:r w:rsidR="00D82D88">
        <w:t xml:space="preserve"> W.M.W, </w:t>
      </w:r>
      <w:proofErr w:type="spellStart"/>
      <w:r w:rsidR="00D82D88">
        <w:t>Hamid</w:t>
      </w:r>
      <w:r>
        <w:t>et</w:t>
      </w:r>
      <w:proofErr w:type="spellEnd"/>
      <w:r>
        <w:t xml:space="preserve"> </w:t>
      </w:r>
      <w:r w:rsidR="00D82D88">
        <w:t>A.A.</w:t>
      </w:r>
      <w:r>
        <w:t>, 2016,</w:t>
      </w:r>
      <w:bookmarkEnd w:id="6"/>
      <w:r>
        <w:t xml:space="preserve"> Enhanced butanol production by optimization of medium parameters using </w:t>
      </w:r>
      <w:r w:rsidRPr="008B79A3">
        <w:rPr>
          <w:i/>
        </w:rPr>
        <w:t>Clostridium acetobutylicum</w:t>
      </w:r>
      <w:r>
        <w:t xml:space="preserve"> YM1. Saudi Journal of Biological Sciences, dx.doi.org/10.1016/j.sjbs.2016.02.017</w:t>
      </w:r>
    </w:p>
    <w:p w14:paraId="0CD7346B" w14:textId="0F0161B2" w:rsidR="005926C1" w:rsidRDefault="005926C1" w:rsidP="005926C1">
      <w:pPr>
        <w:pStyle w:val="CETReferencetext"/>
        <w:rPr>
          <w:color w:val="000000"/>
        </w:rPr>
      </w:pPr>
      <w:r w:rsidRPr="005926C1">
        <w:t xml:space="preserve">Buehler E.A., </w:t>
      </w:r>
      <w:proofErr w:type="spellStart"/>
      <w:r w:rsidRPr="005926C1">
        <w:t>Meshab</w:t>
      </w:r>
      <w:proofErr w:type="spellEnd"/>
      <w:r w:rsidRPr="005926C1">
        <w:t xml:space="preserve"> A., 2016</w:t>
      </w:r>
      <w:r>
        <w:t xml:space="preserve">, </w:t>
      </w:r>
      <w:r w:rsidRPr="005926C1">
        <w:t xml:space="preserve">Kinetic study of Acetone-Butanol-Ethanol fermentation in continuous culture. PLOS ONE, 11(8), </w:t>
      </w:r>
      <w:proofErr w:type="spellStart"/>
      <w:r w:rsidRPr="005926C1">
        <w:t>doi</w:t>
      </w:r>
      <w:proofErr w:type="spellEnd"/>
      <w:r w:rsidR="00912D20">
        <w:t>: 1</w:t>
      </w:r>
      <w:r w:rsidRPr="005926C1">
        <w:t>0.1371/journal.pone.0158243</w:t>
      </w:r>
    </w:p>
    <w:p w14:paraId="01CA1059" w14:textId="6387F1D8" w:rsidR="009A4B7F" w:rsidRDefault="005926C1" w:rsidP="005B693D">
      <w:pPr>
        <w:pStyle w:val="CETReferencetext"/>
        <w:rPr>
          <w:color w:val="000000"/>
        </w:rPr>
      </w:pPr>
      <w:r w:rsidRPr="005926C1">
        <w:rPr>
          <w:color w:val="000000"/>
        </w:rPr>
        <w:t>Jones D.T., Woods D.R., 1986, Acetone-Butanol Fermentation Revisited, Microbiolog</w:t>
      </w:r>
      <w:r>
        <w:rPr>
          <w:color w:val="000000"/>
        </w:rPr>
        <w:t>y Reviews</w:t>
      </w:r>
      <w:r w:rsidRPr="005926C1">
        <w:rPr>
          <w:color w:val="000000"/>
        </w:rPr>
        <w:t>, 50, 484-524.</w:t>
      </w:r>
    </w:p>
    <w:p w14:paraId="15BC4217" w14:textId="60369170" w:rsidR="001C5A39" w:rsidRPr="005926C1" w:rsidRDefault="005926C1" w:rsidP="005926C1">
      <w:pPr>
        <w:pStyle w:val="CETReferencetext"/>
      </w:pPr>
      <w:r w:rsidRPr="005926C1">
        <w:t>Li R</w:t>
      </w:r>
      <w:r>
        <w:t>.</w:t>
      </w:r>
      <w:r w:rsidRPr="005926C1">
        <w:t>D</w:t>
      </w:r>
      <w:r>
        <w:t>.</w:t>
      </w:r>
      <w:r w:rsidRPr="005926C1">
        <w:t>, Li Y</w:t>
      </w:r>
      <w:r>
        <w:t>.</w:t>
      </w:r>
      <w:r w:rsidRPr="005926C1">
        <w:t>Y</w:t>
      </w:r>
      <w:r>
        <w:t>.</w:t>
      </w:r>
      <w:r w:rsidRPr="005926C1">
        <w:t>, Lu L</w:t>
      </w:r>
      <w:r>
        <w:t>.</w:t>
      </w:r>
      <w:r w:rsidRPr="005926C1">
        <w:t>Y</w:t>
      </w:r>
      <w:r>
        <w:t>.</w:t>
      </w:r>
      <w:r w:rsidRPr="005926C1">
        <w:t>, Ren C</w:t>
      </w:r>
      <w:r>
        <w:t>.</w:t>
      </w:r>
      <w:r w:rsidRPr="005926C1">
        <w:t>, Li Y</w:t>
      </w:r>
      <w:r>
        <w:t>.</w:t>
      </w:r>
      <w:r w:rsidRPr="005926C1">
        <w:t>X</w:t>
      </w:r>
      <w:r>
        <w:t>.</w:t>
      </w:r>
      <w:r w:rsidRPr="005926C1">
        <w:t>, Liu L.</w:t>
      </w:r>
      <w:r>
        <w:t>,</w:t>
      </w:r>
      <w:r w:rsidRPr="005926C1">
        <w:t xml:space="preserve"> 2011. An improved kinetic model for the acetone-butanol-ethanol</w:t>
      </w:r>
      <w:r>
        <w:t xml:space="preserve"> </w:t>
      </w:r>
      <w:r w:rsidRPr="005926C1">
        <w:t xml:space="preserve">pathway of </w:t>
      </w:r>
      <w:r w:rsidRPr="00912D20">
        <w:rPr>
          <w:i/>
        </w:rPr>
        <w:t>Clostridium acetobutylicum</w:t>
      </w:r>
      <w:r w:rsidRPr="005926C1">
        <w:t xml:space="preserve"> and model-based perturbation analysis</w:t>
      </w:r>
      <w:r w:rsidR="00912D20">
        <w:t>,</w:t>
      </w:r>
      <w:r w:rsidRPr="005926C1">
        <w:t xml:space="preserve"> BMC Systems Biology,</w:t>
      </w:r>
      <w:r w:rsidR="00912D20">
        <w:t xml:space="preserve"> </w:t>
      </w:r>
      <w:r w:rsidRPr="005926C1">
        <w:t>5(S1)</w:t>
      </w:r>
      <w:r w:rsidR="00912D20">
        <w:t>,</w:t>
      </w:r>
      <w:r w:rsidRPr="005926C1">
        <w:t xml:space="preserve"> doi.org/10.1186/1752-0509-5-s1-s12</w:t>
      </w:r>
    </w:p>
    <w:p w14:paraId="56C17AB0" w14:textId="0BC52B32" w:rsidR="009A4B7F" w:rsidRPr="00912D20" w:rsidRDefault="00912D20" w:rsidP="00DB341A">
      <w:pPr>
        <w:pStyle w:val="CETReferencetext"/>
      </w:pPr>
      <w:r w:rsidRPr="00912D20">
        <w:rPr>
          <w:color w:val="000000"/>
        </w:rPr>
        <w:t xml:space="preserve">Mayank R., Ranjan A., </w:t>
      </w:r>
      <w:proofErr w:type="spellStart"/>
      <w:r w:rsidRPr="00912D20">
        <w:rPr>
          <w:color w:val="000000"/>
        </w:rPr>
        <w:t>Moholkar</w:t>
      </w:r>
      <w:proofErr w:type="spellEnd"/>
      <w:r w:rsidRPr="00912D20">
        <w:rPr>
          <w:color w:val="000000"/>
        </w:rPr>
        <w:t xml:space="preserve"> V.S., 2012, Mathematical models of ABE fermentation: review and analysis, Critical Reviews in Biotechnology, 1-29</w:t>
      </w:r>
      <w:r>
        <w:rPr>
          <w:color w:val="000000"/>
        </w:rPr>
        <w:t xml:space="preserve">, </w:t>
      </w:r>
      <w:r w:rsidRPr="00912D20">
        <w:rPr>
          <w:color w:val="000000"/>
        </w:rPr>
        <w:t>doi:10.3109/07388551.2012.726208</w:t>
      </w:r>
    </w:p>
    <w:p w14:paraId="71ABAA6A" w14:textId="6D9325B2" w:rsidR="00DB341A" w:rsidRDefault="00DB341A" w:rsidP="00DB341A">
      <w:pPr>
        <w:pStyle w:val="CETReferencetext"/>
      </w:pPr>
      <w:r>
        <w:t xml:space="preserve">Mears L., Stocks S.M., </w:t>
      </w:r>
      <w:proofErr w:type="spellStart"/>
      <w:r>
        <w:t>Albaek</w:t>
      </w:r>
      <w:proofErr w:type="spellEnd"/>
      <w:r>
        <w:t xml:space="preserve"> M.O., Sin G., </w:t>
      </w:r>
      <w:proofErr w:type="spellStart"/>
      <w:r>
        <w:t>Gernaey</w:t>
      </w:r>
      <w:proofErr w:type="spellEnd"/>
      <w:r>
        <w:t xml:space="preserve"> K.V., 2017, Mechanistic Fermentation Models for Process Design, Monitoring, and Control, </w:t>
      </w:r>
      <w:r w:rsidRPr="002A2A13">
        <w:t>Trends in Biotech, 35</w:t>
      </w:r>
      <w:r>
        <w:t xml:space="preserve"> (</w:t>
      </w:r>
      <w:r w:rsidRPr="002A2A13">
        <w:t>10</w:t>
      </w:r>
      <w:r>
        <w:t xml:space="preserve">), 914-924, </w:t>
      </w:r>
      <w:r w:rsidR="00173F97" w:rsidRPr="00173F97">
        <w:t>doi.org/10.1016/j.tibtech.2017.07.002</w:t>
      </w:r>
    </w:p>
    <w:p w14:paraId="4808D96F" w14:textId="5CC9236A" w:rsidR="00C83539" w:rsidRDefault="00C83539" w:rsidP="00C83539">
      <w:pPr>
        <w:pStyle w:val="CETReferencetext"/>
      </w:pPr>
      <w:proofErr w:type="spellStart"/>
      <w:r>
        <w:t>Mulchandani</w:t>
      </w:r>
      <w:proofErr w:type="spellEnd"/>
      <w:r>
        <w:t xml:space="preserve"> A., </w:t>
      </w:r>
      <w:proofErr w:type="spellStart"/>
      <w:r>
        <w:t>Volesky</w:t>
      </w:r>
      <w:proofErr w:type="spellEnd"/>
      <w:r>
        <w:t xml:space="preserve"> B., 1986, </w:t>
      </w:r>
      <w:proofErr w:type="spellStart"/>
      <w:r>
        <w:t>Modeling</w:t>
      </w:r>
      <w:proofErr w:type="spellEnd"/>
      <w:r>
        <w:t xml:space="preserve"> of the acetone-butanol fermentation with cell retention. The Canadian Journal of Chemical Engineering, 64(4), 625-631. doi.org/10.1002/cjce.5450640413</w:t>
      </w:r>
    </w:p>
    <w:p w14:paraId="29A13EE5" w14:textId="51AEDEA1" w:rsidR="00C83539" w:rsidRDefault="00C83539" w:rsidP="00C83539">
      <w:pPr>
        <w:pStyle w:val="CETReferencetext"/>
      </w:pPr>
      <w:proofErr w:type="spellStart"/>
      <w:r>
        <w:t>Papoutsakis</w:t>
      </w:r>
      <w:proofErr w:type="spellEnd"/>
      <w:r>
        <w:t xml:space="preserve"> E.T., Meyer C.L., 1984, Equations and calculations for fermentations of butyric acid bacteria, Biotechnology and Bioengineering, 25, 174-187</w:t>
      </w:r>
      <w:r w:rsidR="00173F97">
        <w:t xml:space="preserve">, </w:t>
      </w:r>
      <w:proofErr w:type="spellStart"/>
      <w:r w:rsidR="00173F97">
        <w:t>doi</w:t>
      </w:r>
      <w:proofErr w:type="spellEnd"/>
      <w:r w:rsidR="00173F97">
        <w:t>:</w:t>
      </w:r>
      <w:r w:rsidR="00173F97" w:rsidRPr="00173F97">
        <w:t xml:space="preserve"> 10.1002/bit.260260210</w:t>
      </w:r>
    </w:p>
    <w:p w14:paraId="1E2897F8" w14:textId="10D3959D" w:rsidR="001C5A39" w:rsidRPr="007A18B8" w:rsidRDefault="007A18B8" w:rsidP="007A18B8">
      <w:pPr>
        <w:pStyle w:val="CETReferencetext"/>
      </w:pPr>
      <w:r w:rsidRPr="007A18B8">
        <w:t>Rivas</w:t>
      </w:r>
      <w:r w:rsidRPr="007A18B8">
        <w:rPr>
          <w:rFonts w:ascii="Cambria Math" w:hAnsi="Cambria Math" w:cs="Cambria Math"/>
        </w:rPr>
        <w:t>‐</w:t>
      </w:r>
      <w:proofErr w:type="spellStart"/>
      <w:r w:rsidRPr="007A18B8">
        <w:t>Astroza</w:t>
      </w:r>
      <w:proofErr w:type="spellEnd"/>
      <w:r w:rsidRPr="007A18B8">
        <w:t xml:space="preserve"> M., Paredes I., Guerrero K., Mau S., Quintero J., </w:t>
      </w:r>
      <w:proofErr w:type="spellStart"/>
      <w:r w:rsidRPr="007A18B8">
        <w:t>Gentina</w:t>
      </w:r>
      <w:proofErr w:type="spellEnd"/>
      <w:r w:rsidRPr="007A18B8">
        <w:t xml:space="preserve"> J. C., </w:t>
      </w:r>
      <w:proofErr w:type="spellStart"/>
      <w:r w:rsidRPr="007A18B8">
        <w:t>Conejeros</w:t>
      </w:r>
      <w:proofErr w:type="spellEnd"/>
      <w:r w:rsidRPr="007A18B8">
        <w:t xml:space="preserve"> R., </w:t>
      </w:r>
      <w:proofErr w:type="spellStart"/>
      <w:r w:rsidRPr="007A18B8">
        <w:t>Aroca</w:t>
      </w:r>
      <w:proofErr w:type="spellEnd"/>
      <w:r w:rsidRPr="007A18B8">
        <w:t xml:space="preserve">, G., 2021, Kinetic model of </w:t>
      </w:r>
      <w:r w:rsidRPr="007A18B8">
        <w:rPr>
          <w:i/>
        </w:rPr>
        <w:t xml:space="preserve">Clostridium </w:t>
      </w:r>
      <w:proofErr w:type="spellStart"/>
      <w:r w:rsidRPr="007A18B8">
        <w:rPr>
          <w:i/>
        </w:rPr>
        <w:t>beijerinckii’s</w:t>
      </w:r>
      <w:proofErr w:type="spellEnd"/>
      <w:r w:rsidRPr="007A18B8">
        <w:t xml:space="preserve"> Acetone-Butanol-Ethanol fermentation considering metabolically diverse cell types</w:t>
      </w:r>
      <w:r>
        <w:t>,</w:t>
      </w:r>
      <w:r w:rsidRPr="007A18B8">
        <w:t xml:space="preserve"> Journal of Biotechnology, 342, 1–12. doi.org/10.1016/j.jbiotec.2021.09.021</w:t>
      </w:r>
    </w:p>
    <w:sectPr w:rsidR="001C5A39" w:rsidRPr="007A18B8"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D7D70" w14:textId="77777777" w:rsidR="00C76038" w:rsidRDefault="00C76038" w:rsidP="004F5E36">
      <w:r>
        <w:separator/>
      </w:r>
    </w:p>
  </w:endnote>
  <w:endnote w:type="continuationSeparator" w:id="0">
    <w:p w14:paraId="5AE14C07" w14:textId="77777777" w:rsidR="00C76038" w:rsidRDefault="00C7603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885E" w14:textId="77777777" w:rsidR="00C76038" w:rsidRDefault="00C76038" w:rsidP="004F5E36">
      <w:r>
        <w:separator/>
      </w:r>
    </w:p>
  </w:footnote>
  <w:footnote w:type="continuationSeparator" w:id="0">
    <w:p w14:paraId="662B7CCE" w14:textId="77777777" w:rsidR="00C76038" w:rsidRDefault="00C7603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49001F9"/>
    <w:multiLevelType w:val="hybridMultilevel"/>
    <w:tmpl w:val="BE72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924F4"/>
    <w:multiLevelType w:val="hybridMultilevel"/>
    <w:tmpl w:val="892CEB92"/>
    <w:lvl w:ilvl="0" w:tplc="D10414C0">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6901C2B"/>
    <w:multiLevelType w:val="hybridMultilevel"/>
    <w:tmpl w:val="DC1EF16A"/>
    <w:lvl w:ilvl="0" w:tplc="D10414C0">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D2F759D"/>
    <w:multiLevelType w:val="hybridMultilevel"/>
    <w:tmpl w:val="B95E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F90915"/>
    <w:multiLevelType w:val="hybridMultilevel"/>
    <w:tmpl w:val="1CC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B7769"/>
    <w:multiLevelType w:val="hybridMultilevel"/>
    <w:tmpl w:val="3ACA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5"/>
  </w:num>
  <w:num w:numId="14">
    <w:abstractNumId w:val="22"/>
  </w:num>
  <w:num w:numId="15">
    <w:abstractNumId w:val="24"/>
  </w:num>
  <w:num w:numId="16">
    <w:abstractNumId w:val="23"/>
  </w:num>
  <w:num w:numId="17">
    <w:abstractNumId w:val="14"/>
  </w:num>
  <w:num w:numId="18">
    <w:abstractNumId w:val="15"/>
    <w:lvlOverride w:ilvl="0">
      <w:startOverride w:val="1"/>
    </w:lvlOverride>
  </w:num>
  <w:num w:numId="19">
    <w:abstractNumId w:val="20"/>
  </w:num>
  <w:num w:numId="20">
    <w:abstractNumId w:val="19"/>
  </w:num>
  <w:num w:numId="21">
    <w:abstractNumId w:val="17"/>
  </w:num>
  <w:num w:numId="22">
    <w:abstractNumId w:val="16"/>
  </w:num>
  <w:num w:numId="23">
    <w:abstractNumId w:val="18"/>
  </w:num>
  <w:num w:numId="24">
    <w:abstractNumId w:val="25"/>
  </w:num>
  <w:num w:numId="25">
    <w:abstractNumId w:val="10"/>
  </w:num>
  <w:num w:numId="26">
    <w:abstractNumId w:val="26"/>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572"/>
    <w:rsid w:val="000027C0"/>
    <w:rsid w:val="000052FB"/>
    <w:rsid w:val="000054FF"/>
    <w:rsid w:val="000117CB"/>
    <w:rsid w:val="0003148D"/>
    <w:rsid w:val="00031EEC"/>
    <w:rsid w:val="00042EDF"/>
    <w:rsid w:val="000435AA"/>
    <w:rsid w:val="00044D10"/>
    <w:rsid w:val="00051566"/>
    <w:rsid w:val="000562A9"/>
    <w:rsid w:val="00062986"/>
    <w:rsid w:val="00062A9A"/>
    <w:rsid w:val="00065058"/>
    <w:rsid w:val="00086C39"/>
    <w:rsid w:val="000A03B2"/>
    <w:rsid w:val="000C4F7B"/>
    <w:rsid w:val="000D0268"/>
    <w:rsid w:val="000D1A4D"/>
    <w:rsid w:val="000D329B"/>
    <w:rsid w:val="000D34BE"/>
    <w:rsid w:val="000D60E8"/>
    <w:rsid w:val="000E102F"/>
    <w:rsid w:val="000E36F1"/>
    <w:rsid w:val="000E3A73"/>
    <w:rsid w:val="000E414A"/>
    <w:rsid w:val="000F093C"/>
    <w:rsid w:val="000F787B"/>
    <w:rsid w:val="00111B3D"/>
    <w:rsid w:val="001159AD"/>
    <w:rsid w:val="0012091F"/>
    <w:rsid w:val="00126BC2"/>
    <w:rsid w:val="001308B6"/>
    <w:rsid w:val="0013121F"/>
    <w:rsid w:val="00131E97"/>
    <w:rsid w:val="00131FE6"/>
    <w:rsid w:val="0013263F"/>
    <w:rsid w:val="001331DF"/>
    <w:rsid w:val="00133457"/>
    <w:rsid w:val="00134DE4"/>
    <w:rsid w:val="0014034D"/>
    <w:rsid w:val="00144D16"/>
    <w:rsid w:val="001470F0"/>
    <w:rsid w:val="00150E59"/>
    <w:rsid w:val="00152DE3"/>
    <w:rsid w:val="00156F74"/>
    <w:rsid w:val="001645EF"/>
    <w:rsid w:val="00164CF9"/>
    <w:rsid w:val="001667A6"/>
    <w:rsid w:val="001735FB"/>
    <w:rsid w:val="00173F97"/>
    <w:rsid w:val="00184AD6"/>
    <w:rsid w:val="001908B7"/>
    <w:rsid w:val="0019679E"/>
    <w:rsid w:val="001A46D3"/>
    <w:rsid w:val="001A4AF7"/>
    <w:rsid w:val="001B0349"/>
    <w:rsid w:val="001B1E93"/>
    <w:rsid w:val="001B5529"/>
    <w:rsid w:val="001B65C1"/>
    <w:rsid w:val="001B7619"/>
    <w:rsid w:val="001C5A39"/>
    <w:rsid w:val="001C684B"/>
    <w:rsid w:val="001D0CFB"/>
    <w:rsid w:val="001D21AF"/>
    <w:rsid w:val="001D53FC"/>
    <w:rsid w:val="001E569B"/>
    <w:rsid w:val="001F42A5"/>
    <w:rsid w:val="001F7B9D"/>
    <w:rsid w:val="00201C93"/>
    <w:rsid w:val="002022B4"/>
    <w:rsid w:val="00205D62"/>
    <w:rsid w:val="002210B6"/>
    <w:rsid w:val="00221A0C"/>
    <w:rsid w:val="002224B4"/>
    <w:rsid w:val="00226221"/>
    <w:rsid w:val="002447EF"/>
    <w:rsid w:val="00251550"/>
    <w:rsid w:val="002622C1"/>
    <w:rsid w:val="00263B05"/>
    <w:rsid w:val="0027221A"/>
    <w:rsid w:val="00275B61"/>
    <w:rsid w:val="00280FAF"/>
    <w:rsid w:val="00282656"/>
    <w:rsid w:val="00292E3D"/>
    <w:rsid w:val="00296B83"/>
    <w:rsid w:val="002A2A13"/>
    <w:rsid w:val="002B4015"/>
    <w:rsid w:val="002B78CE"/>
    <w:rsid w:val="002C1EBE"/>
    <w:rsid w:val="002C2FB6"/>
    <w:rsid w:val="002E5FA7"/>
    <w:rsid w:val="002F14E5"/>
    <w:rsid w:val="002F3309"/>
    <w:rsid w:val="003008CE"/>
    <w:rsid w:val="003009B7"/>
    <w:rsid w:val="00300E56"/>
    <w:rsid w:val="00300F4A"/>
    <w:rsid w:val="0030152C"/>
    <w:rsid w:val="0030469C"/>
    <w:rsid w:val="00321CA6"/>
    <w:rsid w:val="00323763"/>
    <w:rsid w:val="00323C5F"/>
    <w:rsid w:val="00334C09"/>
    <w:rsid w:val="00360498"/>
    <w:rsid w:val="003723D4"/>
    <w:rsid w:val="00381905"/>
    <w:rsid w:val="00381C99"/>
    <w:rsid w:val="00384CC8"/>
    <w:rsid w:val="003871FD"/>
    <w:rsid w:val="003A1E30"/>
    <w:rsid w:val="003A2829"/>
    <w:rsid w:val="003A3346"/>
    <w:rsid w:val="003A4059"/>
    <w:rsid w:val="003A6FC6"/>
    <w:rsid w:val="003A7D1C"/>
    <w:rsid w:val="003B304B"/>
    <w:rsid w:val="003B3146"/>
    <w:rsid w:val="003B3F92"/>
    <w:rsid w:val="003B4B5E"/>
    <w:rsid w:val="003C4930"/>
    <w:rsid w:val="003E1634"/>
    <w:rsid w:val="003F015E"/>
    <w:rsid w:val="00400414"/>
    <w:rsid w:val="00407DD4"/>
    <w:rsid w:val="00414146"/>
    <w:rsid w:val="0041446B"/>
    <w:rsid w:val="00415095"/>
    <w:rsid w:val="0042401A"/>
    <w:rsid w:val="004245C3"/>
    <w:rsid w:val="0043455F"/>
    <w:rsid w:val="00436C85"/>
    <w:rsid w:val="0044071E"/>
    <w:rsid w:val="0044329C"/>
    <w:rsid w:val="00453E24"/>
    <w:rsid w:val="00457456"/>
    <w:rsid w:val="004577FE"/>
    <w:rsid w:val="00457B9C"/>
    <w:rsid w:val="0046164A"/>
    <w:rsid w:val="004628D2"/>
    <w:rsid w:val="00462DCD"/>
    <w:rsid w:val="004648AD"/>
    <w:rsid w:val="00467608"/>
    <w:rsid w:val="004703A9"/>
    <w:rsid w:val="004760DE"/>
    <w:rsid w:val="004761E9"/>
    <w:rsid w:val="004763D7"/>
    <w:rsid w:val="004A004E"/>
    <w:rsid w:val="004A24CF"/>
    <w:rsid w:val="004B40A0"/>
    <w:rsid w:val="004C2129"/>
    <w:rsid w:val="004C3D1D"/>
    <w:rsid w:val="004C3D84"/>
    <w:rsid w:val="004C7913"/>
    <w:rsid w:val="004E2845"/>
    <w:rsid w:val="004E4DD6"/>
    <w:rsid w:val="004F5E36"/>
    <w:rsid w:val="00501217"/>
    <w:rsid w:val="00507B47"/>
    <w:rsid w:val="00507BEF"/>
    <w:rsid w:val="00507CC9"/>
    <w:rsid w:val="005119A5"/>
    <w:rsid w:val="00514121"/>
    <w:rsid w:val="00515E3C"/>
    <w:rsid w:val="00516AAC"/>
    <w:rsid w:val="005278B7"/>
    <w:rsid w:val="00532016"/>
    <w:rsid w:val="005346C8"/>
    <w:rsid w:val="00537633"/>
    <w:rsid w:val="00543E7D"/>
    <w:rsid w:val="00547A68"/>
    <w:rsid w:val="005531C9"/>
    <w:rsid w:val="005628F2"/>
    <w:rsid w:val="00570C43"/>
    <w:rsid w:val="00577CE2"/>
    <w:rsid w:val="005914F3"/>
    <w:rsid w:val="005926C1"/>
    <w:rsid w:val="00593617"/>
    <w:rsid w:val="00593962"/>
    <w:rsid w:val="00596020"/>
    <w:rsid w:val="005B2110"/>
    <w:rsid w:val="005B61E6"/>
    <w:rsid w:val="005B693D"/>
    <w:rsid w:val="005C4499"/>
    <w:rsid w:val="005C77E1"/>
    <w:rsid w:val="005D668A"/>
    <w:rsid w:val="005D6A2F"/>
    <w:rsid w:val="005E1A82"/>
    <w:rsid w:val="005E4BC2"/>
    <w:rsid w:val="005E4DF3"/>
    <w:rsid w:val="005E794C"/>
    <w:rsid w:val="005F0A28"/>
    <w:rsid w:val="005F0E5E"/>
    <w:rsid w:val="00600535"/>
    <w:rsid w:val="006063EA"/>
    <w:rsid w:val="00610CD6"/>
    <w:rsid w:val="00620DEE"/>
    <w:rsid w:val="00621F92"/>
    <w:rsid w:val="0062280A"/>
    <w:rsid w:val="00625639"/>
    <w:rsid w:val="00631B33"/>
    <w:rsid w:val="0064184D"/>
    <w:rsid w:val="006422CC"/>
    <w:rsid w:val="00646724"/>
    <w:rsid w:val="00651815"/>
    <w:rsid w:val="00653645"/>
    <w:rsid w:val="00660E3E"/>
    <w:rsid w:val="00662E74"/>
    <w:rsid w:val="00671DB4"/>
    <w:rsid w:val="00680C23"/>
    <w:rsid w:val="00686440"/>
    <w:rsid w:val="00690273"/>
    <w:rsid w:val="00693766"/>
    <w:rsid w:val="006A3281"/>
    <w:rsid w:val="006B4888"/>
    <w:rsid w:val="006C12E2"/>
    <w:rsid w:val="006C2E45"/>
    <w:rsid w:val="006C359C"/>
    <w:rsid w:val="006C485D"/>
    <w:rsid w:val="006C5579"/>
    <w:rsid w:val="006D2D34"/>
    <w:rsid w:val="006D6E8B"/>
    <w:rsid w:val="006E698A"/>
    <w:rsid w:val="006E737D"/>
    <w:rsid w:val="00701F14"/>
    <w:rsid w:val="00713973"/>
    <w:rsid w:val="00715076"/>
    <w:rsid w:val="007152DD"/>
    <w:rsid w:val="00720A24"/>
    <w:rsid w:val="00723169"/>
    <w:rsid w:val="00732386"/>
    <w:rsid w:val="0073514D"/>
    <w:rsid w:val="007447F3"/>
    <w:rsid w:val="0075499F"/>
    <w:rsid w:val="00765E20"/>
    <w:rsid w:val="007661C8"/>
    <w:rsid w:val="0077098D"/>
    <w:rsid w:val="00773F0B"/>
    <w:rsid w:val="00780D04"/>
    <w:rsid w:val="00783539"/>
    <w:rsid w:val="007878EE"/>
    <w:rsid w:val="007931FA"/>
    <w:rsid w:val="007936BC"/>
    <w:rsid w:val="00797C5E"/>
    <w:rsid w:val="007A18B8"/>
    <w:rsid w:val="007A4861"/>
    <w:rsid w:val="007A6D82"/>
    <w:rsid w:val="007A7BBA"/>
    <w:rsid w:val="007B0C50"/>
    <w:rsid w:val="007B48F9"/>
    <w:rsid w:val="007C1A43"/>
    <w:rsid w:val="007C409F"/>
    <w:rsid w:val="007D0951"/>
    <w:rsid w:val="007E46B9"/>
    <w:rsid w:val="007E5144"/>
    <w:rsid w:val="007E52C0"/>
    <w:rsid w:val="007F5FD1"/>
    <w:rsid w:val="0080013E"/>
    <w:rsid w:val="008054CF"/>
    <w:rsid w:val="0080588F"/>
    <w:rsid w:val="00813288"/>
    <w:rsid w:val="00814B07"/>
    <w:rsid w:val="0081639C"/>
    <w:rsid w:val="008168FC"/>
    <w:rsid w:val="00817921"/>
    <w:rsid w:val="00830996"/>
    <w:rsid w:val="008345F1"/>
    <w:rsid w:val="00843EAC"/>
    <w:rsid w:val="00865B07"/>
    <w:rsid w:val="008667EA"/>
    <w:rsid w:val="0087637F"/>
    <w:rsid w:val="00877806"/>
    <w:rsid w:val="00892AD5"/>
    <w:rsid w:val="008A1512"/>
    <w:rsid w:val="008A7F62"/>
    <w:rsid w:val="008B157C"/>
    <w:rsid w:val="008B79A3"/>
    <w:rsid w:val="008B7C03"/>
    <w:rsid w:val="008D32B9"/>
    <w:rsid w:val="008D41AA"/>
    <w:rsid w:val="008D433B"/>
    <w:rsid w:val="008D4A16"/>
    <w:rsid w:val="008D59FA"/>
    <w:rsid w:val="008E566E"/>
    <w:rsid w:val="0090161A"/>
    <w:rsid w:val="00901EB6"/>
    <w:rsid w:val="00904C62"/>
    <w:rsid w:val="00905335"/>
    <w:rsid w:val="00912D20"/>
    <w:rsid w:val="00917C12"/>
    <w:rsid w:val="00922BA8"/>
    <w:rsid w:val="00924DAC"/>
    <w:rsid w:val="00927058"/>
    <w:rsid w:val="009347F8"/>
    <w:rsid w:val="00942750"/>
    <w:rsid w:val="009450CE"/>
    <w:rsid w:val="009459BB"/>
    <w:rsid w:val="00947153"/>
    <w:rsid w:val="00947179"/>
    <w:rsid w:val="0095164B"/>
    <w:rsid w:val="00954090"/>
    <w:rsid w:val="009573E7"/>
    <w:rsid w:val="00963E05"/>
    <w:rsid w:val="0096475D"/>
    <w:rsid w:val="00964A45"/>
    <w:rsid w:val="00967843"/>
    <w:rsid w:val="00967D54"/>
    <w:rsid w:val="00971028"/>
    <w:rsid w:val="00990A5C"/>
    <w:rsid w:val="00993B84"/>
    <w:rsid w:val="00994A65"/>
    <w:rsid w:val="00996483"/>
    <w:rsid w:val="00996F5A"/>
    <w:rsid w:val="009A4B7F"/>
    <w:rsid w:val="009A559C"/>
    <w:rsid w:val="009B041A"/>
    <w:rsid w:val="009B466A"/>
    <w:rsid w:val="009B6EC5"/>
    <w:rsid w:val="009C37C3"/>
    <w:rsid w:val="009C7C86"/>
    <w:rsid w:val="009D2FF7"/>
    <w:rsid w:val="009E3E28"/>
    <w:rsid w:val="009E7884"/>
    <w:rsid w:val="009E788A"/>
    <w:rsid w:val="009F0E08"/>
    <w:rsid w:val="009F1B3A"/>
    <w:rsid w:val="00A02A34"/>
    <w:rsid w:val="00A06924"/>
    <w:rsid w:val="00A1763D"/>
    <w:rsid w:val="00A17CEC"/>
    <w:rsid w:val="00A21243"/>
    <w:rsid w:val="00A27EF0"/>
    <w:rsid w:val="00A42361"/>
    <w:rsid w:val="00A451A9"/>
    <w:rsid w:val="00A50B20"/>
    <w:rsid w:val="00A51390"/>
    <w:rsid w:val="00A60D13"/>
    <w:rsid w:val="00A7223D"/>
    <w:rsid w:val="00A72745"/>
    <w:rsid w:val="00A757B1"/>
    <w:rsid w:val="00A76EFC"/>
    <w:rsid w:val="00A85156"/>
    <w:rsid w:val="00A87D50"/>
    <w:rsid w:val="00A91010"/>
    <w:rsid w:val="00A91BEF"/>
    <w:rsid w:val="00A92661"/>
    <w:rsid w:val="00A97F29"/>
    <w:rsid w:val="00AA702E"/>
    <w:rsid w:val="00AA7D26"/>
    <w:rsid w:val="00AB0964"/>
    <w:rsid w:val="00AB5011"/>
    <w:rsid w:val="00AC7368"/>
    <w:rsid w:val="00AD16B9"/>
    <w:rsid w:val="00AE112E"/>
    <w:rsid w:val="00AE11A4"/>
    <w:rsid w:val="00AE377D"/>
    <w:rsid w:val="00AE5FD7"/>
    <w:rsid w:val="00AF0EBA"/>
    <w:rsid w:val="00B02C8A"/>
    <w:rsid w:val="00B170F3"/>
    <w:rsid w:val="00B17FBD"/>
    <w:rsid w:val="00B26D04"/>
    <w:rsid w:val="00B315A6"/>
    <w:rsid w:val="00B31813"/>
    <w:rsid w:val="00B33365"/>
    <w:rsid w:val="00B55619"/>
    <w:rsid w:val="00B57B36"/>
    <w:rsid w:val="00B57E6F"/>
    <w:rsid w:val="00B63BD5"/>
    <w:rsid w:val="00B64D97"/>
    <w:rsid w:val="00B669DB"/>
    <w:rsid w:val="00B70DCC"/>
    <w:rsid w:val="00B77979"/>
    <w:rsid w:val="00B80729"/>
    <w:rsid w:val="00B8686D"/>
    <w:rsid w:val="00B93F69"/>
    <w:rsid w:val="00BA296A"/>
    <w:rsid w:val="00BB1DDC"/>
    <w:rsid w:val="00BC30C9"/>
    <w:rsid w:val="00BD077D"/>
    <w:rsid w:val="00BD4FEF"/>
    <w:rsid w:val="00BD6D2B"/>
    <w:rsid w:val="00BE3E58"/>
    <w:rsid w:val="00BE4516"/>
    <w:rsid w:val="00BF470A"/>
    <w:rsid w:val="00C00C07"/>
    <w:rsid w:val="00C01616"/>
    <w:rsid w:val="00C0162B"/>
    <w:rsid w:val="00C068ED"/>
    <w:rsid w:val="00C143F3"/>
    <w:rsid w:val="00C14C42"/>
    <w:rsid w:val="00C22E0C"/>
    <w:rsid w:val="00C30966"/>
    <w:rsid w:val="00C34341"/>
    <w:rsid w:val="00C345B1"/>
    <w:rsid w:val="00C363A3"/>
    <w:rsid w:val="00C40142"/>
    <w:rsid w:val="00C44824"/>
    <w:rsid w:val="00C52C3C"/>
    <w:rsid w:val="00C57182"/>
    <w:rsid w:val="00C57863"/>
    <w:rsid w:val="00C640AF"/>
    <w:rsid w:val="00C64F4A"/>
    <w:rsid w:val="00C655FD"/>
    <w:rsid w:val="00C66224"/>
    <w:rsid w:val="00C75407"/>
    <w:rsid w:val="00C76038"/>
    <w:rsid w:val="00C83539"/>
    <w:rsid w:val="00C870A8"/>
    <w:rsid w:val="00C912FF"/>
    <w:rsid w:val="00C94434"/>
    <w:rsid w:val="00CA0D4A"/>
    <w:rsid w:val="00CA0D75"/>
    <w:rsid w:val="00CA1C95"/>
    <w:rsid w:val="00CA5A9C"/>
    <w:rsid w:val="00CA5ABE"/>
    <w:rsid w:val="00CC4C20"/>
    <w:rsid w:val="00CD3517"/>
    <w:rsid w:val="00CD5FE2"/>
    <w:rsid w:val="00CE7C68"/>
    <w:rsid w:val="00CF32C5"/>
    <w:rsid w:val="00D00B40"/>
    <w:rsid w:val="00D02B4C"/>
    <w:rsid w:val="00D040C4"/>
    <w:rsid w:val="00D12787"/>
    <w:rsid w:val="00D20AD1"/>
    <w:rsid w:val="00D311EA"/>
    <w:rsid w:val="00D46B7E"/>
    <w:rsid w:val="00D57C84"/>
    <w:rsid w:val="00D6057D"/>
    <w:rsid w:val="00D648EC"/>
    <w:rsid w:val="00D652B7"/>
    <w:rsid w:val="00D71640"/>
    <w:rsid w:val="00D728EF"/>
    <w:rsid w:val="00D81863"/>
    <w:rsid w:val="00D82D88"/>
    <w:rsid w:val="00D836C5"/>
    <w:rsid w:val="00D84576"/>
    <w:rsid w:val="00DA1399"/>
    <w:rsid w:val="00DA24C6"/>
    <w:rsid w:val="00DA4D7B"/>
    <w:rsid w:val="00DB190A"/>
    <w:rsid w:val="00DB341A"/>
    <w:rsid w:val="00DB79E4"/>
    <w:rsid w:val="00DC1FB8"/>
    <w:rsid w:val="00DC2502"/>
    <w:rsid w:val="00DC4CF2"/>
    <w:rsid w:val="00DD271C"/>
    <w:rsid w:val="00DE264A"/>
    <w:rsid w:val="00DE26C1"/>
    <w:rsid w:val="00DF5072"/>
    <w:rsid w:val="00E02D18"/>
    <w:rsid w:val="00E041E7"/>
    <w:rsid w:val="00E217CB"/>
    <w:rsid w:val="00E229E4"/>
    <w:rsid w:val="00E23CA1"/>
    <w:rsid w:val="00E23FD9"/>
    <w:rsid w:val="00E27F14"/>
    <w:rsid w:val="00E33DD7"/>
    <w:rsid w:val="00E409A8"/>
    <w:rsid w:val="00E50C12"/>
    <w:rsid w:val="00E53536"/>
    <w:rsid w:val="00E65B91"/>
    <w:rsid w:val="00E704FA"/>
    <w:rsid w:val="00E717C2"/>
    <w:rsid w:val="00E7209D"/>
    <w:rsid w:val="00E72EAD"/>
    <w:rsid w:val="00E77223"/>
    <w:rsid w:val="00E81F87"/>
    <w:rsid w:val="00E8528B"/>
    <w:rsid w:val="00E85B94"/>
    <w:rsid w:val="00E90407"/>
    <w:rsid w:val="00E93BC9"/>
    <w:rsid w:val="00E978D0"/>
    <w:rsid w:val="00EA4613"/>
    <w:rsid w:val="00EA7F91"/>
    <w:rsid w:val="00EB1523"/>
    <w:rsid w:val="00EB3FA0"/>
    <w:rsid w:val="00EB5E69"/>
    <w:rsid w:val="00EB6363"/>
    <w:rsid w:val="00EB767C"/>
    <w:rsid w:val="00EC0E49"/>
    <w:rsid w:val="00EC101F"/>
    <w:rsid w:val="00EC1D9F"/>
    <w:rsid w:val="00ED0D27"/>
    <w:rsid w:val="00EE0131"/>
    <w:rsid w:val="00EE17B0"/>
    <w:rsid w:val="00EF06D9"/>
    <w:rsid w:val="00F027F4"/>
    <w:rsid w:val="00F06AC0"/>
    <w:rsid w:val="00F2355F"/>
    <w:rsid w:val="00F3049E"/>
    <w:rsid w:val="00F30C64"/>
    <w:rsid w:val="00F32BA2"/>
    <w:rsid w:val="00F32CDB"/>
    <w:rsid w:val="00F565FE"/>
    <w:rsid w:val="00F61757"/>
    <w:rsid w:val="00F63A70"/>
    <w:rsid w:val="00F63D8C"/>
    <w:rsid w:val="00F7534E"/>
    <w:rsid w:val="00F7739C"/>
    <w:rsid w:val="00F80FFE"/>
    <w:rsid w:val="00F854F2"/>
    <w:rsid w:val="00F86011"/>
    <w:rsid w:val="00F93EDF"/>
    <w:rsid w:val="00F976A4"/>
    <w:rsid w:val="00FA1802"/>
    <w:rsid w:val="00FA21D0"/>
    <w:rsid w:val="00FA5F5F"/>
    <w:rsid w:val="00FB730C"/>
    <w:rsid w:val="00FC2695"/>
    <w:rsid w:val="00FC3E03"/>
    <w:rsid w:val="00FC3FC1"/>
    <w:rsid w:val="00FD6E8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paragraph" w:customStyle="1" w:styleId="Els-body-text">
    <w:name w:val="Els-body-text"/>
    <w:rsid w:val="0096475D"/>
    <w:pPr>
      <w:spacing w:after="0" w:line="240" w:lineRule="auto"/>
      <w:jc w:val="both"/>
    </w:pPr>
    <w:rPr>
      <w:rFonts w:ascii="Times New Roman" w:eastAsia="Times New Roman" w:hAnsi="Times New Roman" w:cs="Times New Roman"/>
      <w:sz w:val="20"/>
      <w:szCs w:val="20"/>
      <w:lang w:val="en-US"/>
    </w:rPr>
  </w:style>
  <w:style w:type="table" w:styleId="Tablaconcuadrculaclara">
    <w:name w:val="Grid Table Light"/>
    <w:basedOn w:val="Tablanormal"/>
    <w:uiPriority w:val="40"/>
    <w:rsid w:val="0096475D"/>
    <w:pPr>
      <w:spacing w:after="0" w:line="240" w:lineRule="auto"/>
    </w:pPr>
    <w:rPr>
      <w:rFonts w:ascii="Times New Roman" w:eastAsia="Times New Roman" w:hAnsi="Times New Roman" w:cs="Times New Roman"/>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C83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0701928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47">
      <w:bodyDiv w:val="1"/>
      <w:marLeft w:val="0"/>
      <w:marRight w:val="0"/>
      <w:marTop w:val="0"/>
      <w:marBottom w:val="0"/>
      <w:divBdr>
        <w:top w:val="none" w:sz="0" w:space="0" w:color="auto"/>
        <w:left w:val="none" w:sz="0" w:space="0" w:color="auto"/>
        <w:bottom w:val="none" w:sz="0" w:space="0" w:color="auto"/>
        <w:right w:val="none" w:sz="0" w:space="0" w:color="auto"/>
      </w:divBdr>
    </w:div>
    <w:div w:id="172872700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2055999294">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7B19-637E-4292-A7CE-4829A9D5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3238</Words>
  <Characters>18853</Characters>
  <Application>Microsoft Office Word</Application>
  <DocSecurity>0</DocSecurity>
  <Lines>327</Lines>
  <Paragraphs>169</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Carlos Arturo Martinez Riascos</cp:lastModifiedBy>
  <cp:revision>8</cp:revision>
  <cp:lastPrinted>2015-05-12T18:31:00Z</cp:lastPrinted>
  <dcterms:created xsi:type="dcterms:W3CDTF">2024-02-12T00:19:00Z</dcterms:created>
  <dcterms:modified xsi:type="dcterms:W3CDTF">2024-02-14T17:52:00Z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2fd49e5fb2bf59acf93eb83c92ca3e5a96ec15587cf308fbfe9fd82170767fab</vt:lpwstr>
  </property>
</Properties>
</file>