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2CD7DF7B" w:rsidR="000A03B2" w:rsidRPr="00B57B36" w:rsidRDefault="00A76EFC" w:rsidP="001D21AF">
            <w:pPr>
              <w:tabs>
                <w:tab w:val="left" w:pos="-108"/>
              </w:tabs>
              <w:ind w:left="-108"/>
              <w:rPr>
                <w:rFonts w:cs="Arial"/>
                <w:b/>
                <w:bCs/>
                <w:i/>
                <w:iCs/>
                <w:color w:val="000066"/>
                <w:sz w:val="22"/>
                <w:szCs w:val="22"/>
                <w:lang w:eastAsia="it-IT"/>
              </w:rPr>
            </w:pPr>
            <w:r w:rsidRPr="008C2F13">
              <w:rPr>
                <w:rFonts w:cs="Arial"/>
                <w:b/>
                <w:bCs/>
                <w:i/>
                <w:iCs/>
                <w:color w:val="000066"/>
                <w:sz w:val="22"/>
                <w:szCs w:val="22"/>
                <w:lang w:eastAsia="it-IT"/>
              </w:rPr>
              <w:t>VOL.</w:t>
            </w:r>
            <w:r w:rsidR="00843EAC" w:rsidRPr="008C2F13">
              <w:rPr>
                <w:rFonts w:cs="Arial"/>
                <w:b/>
                <w:bCs/>
                <w:i/>
                <w:iCs/>
                <w:color w:val="000066"/>
                <w:sz w:val="22"/>
                <w:szCs w:val="22"/>
                <w:lang w:eastAsia="it-IT"/>
              </w:rPr>
              <w:t xml:space="preserve">    </w:t>
            </w:r>
            <w:r w:rsidR="004761E9" w:rsidRPr="008C2F13">
              <w:rPr>
                <w:rFonts w:cs="Arial"/>
                <w:b/>
                <w:bCs/>
                <w:i/>
                <w:iCs/>
                <w:color w:val="000066"/>
                <w:sz w:val="22"/>
                <w:szCs w:val="22"/>
                <w:lang w:eastAsia="it-IT"/>
              </w:rPr>
              <w:t xml:space="preserve"> </w:t>
            </w:r>
            <w:r w:rsidR="007B48F9" w:rsidRPr="008C2F13">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 xml:space="preserve">Marco Bravi, Antonio </w:t>
            </w:r>
            <w:proofErr w:type="spellStart"/>
            <w:r w:rsidR="00843EAC">
              <w:rPr>
                <w:rFonts w:ascii="Tahoma" w:hAnsi="Tahoma" w:cs="Tahoma"/>
                <w:color w:val="000000"/>
                <w:sz w:val="14"/>
                <w:szCs w:val="14"/>
                <w:shd w:val="clear" w:color="auto" w:fill="FFFFFF"/>
                <w:lang w:val="it-IT"/>
              </w:rPr>
              <w:t>Marzocchella</w:t>
            </w:r>
            <w:proofErr w:type="spellEnd"/>
            <w:r w:rsidR="00843EAC">
              <w:rPr>
                <w:rFonts w:ascii="Tahoma" w:hAnsi="Tahoma" w:cs="Tahoma"/>
                <w:color w:val="000000"/>
                <w:sz w:val="14"/>
                <w:szCs w:val="14"/>
                <w:shd w:val="clear" w:color="auto" w:fill="FFFFFF"/>
                <w:lang w:val="it-IT"/>
              </w:rPr>
              <w:t>,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16802C0F" w:rsidR="00E978D0" w:rsidRPr="00B57B36" w:rsidRDefault="00AB3C38" w:rsidP="00E978D0">
      <w:pPr>
        <w:pStyle w:val="CETTitle"/>
      </w:pPr>
      <w:r>
        <w:t xml:space="preserve">Glucose and Xylose Utilization by </w:t>
      </w:r>
      <w:r w:rsidRPr="00483953">
        <w:rPr>
          <w:i/>
          <w:iCs/>
        </w:rPr>
        <w:t>Bacillus Cereus</w:t>
      </w:r>
      <w:r w:rsidR="00483953">
        <w:t xml:space="preserve"> </w:t>
      </w:r>
      <w:r w:rsidR="00483953" w:rsidRPr="00483953">
        <w:rPr>
          <w:i/>
          <w:iCs/>
        </w:rPr>
        <w:t>AS1</w:t>
      </w:r>
      <w:r w:rsidRPr="00483953">
        <w:rPr>
          <w:i/>
          <w:iCs/>
        </w:rPr>
        <w:t xml:space="preserve"> </w:t>
      </w:r>
      <w:r w:rsidR="00483953">
        <w:t>D</w:t>
      </w:r>
      <w:r>
        <w:t xml:space="preserve">uring Anaerobic </w:t>
      </w:r>
      <w:r w:rsidR="00DE7A31">
        <w:t>F</w:t>
      </w:r>
      <w:r>
        <w:t>ermentation</w:t>
      </w:r>
    </w:p>
    <w:p w14:paraId="412ECCBB" w14:textId="77777777" w:rsidR="006F520A" w:rsidRPr="00B57B36" w:rsidRDefault="006F520A" w:rsidP="006F520A">
      <w:pPr>
        <w:pStyle w:val="CETAuthors"/>
      </w:pPr>
      <w:r>
        <w:t>Nhlamulo G. Sibiya</w:t>
      </w:r>
      <w:r w:rsidRPr="00B57B36">
        <w:t>,</w:t>
      </w:r>
      <w:r>
        <w:t xml:space="preserve"> Evans M.N. Chirwa, Michael Daramola, Hendrik G. Brink</w:t>
      </w:r>
      <w:r w:rsidRPr="00B57B36">
        <w:t>*</w:t>
      </w:r>
    </w:p>
    <w:p w14:paraId="3B7107D6" w14:textId="5F54AB81" w:rsidR="006F520A" w:rsidRDefault="006F520A" w:rsidP="006F520A">
      <w:pPr>
        <w:pStyle w:val="CETAddress"/>
      </w:pPr>
      <w:r>
        <w:t>University of Pretoria, Department of Chemical Engineering, University of Pretoria Main Campus, Corner Lynwood &amp; Roper Street, Hatfield, Pretoria, 0002, South Africa</w:t>
      </w:r>
      <w:r w:rsidRPr="00B57B36">
        <w:t xml:space="preserve"> </w:t>
      </w:r>
    </w:p>
    <w:p w14:paraId="4E444F20" w14:textId="77777777" w:rsidR="006F520A" w:rsidRPr="00C07E6B" w:rsidRDefault="006F520A" w:rsidP="006F520A">
      <w:pPr>
        <w:pStyle w:val="CETAddress"/>
        <w:rPr>
          <w:sz w:val="18"/>
          <w:szCs w:val="21"/>
        </w:rPr>
      </w:pPr>
    </w:p>
    <w:p w14:paraId="3139351E" w14:textId="219403D1" w:rsidR="00DC610A" w:rsidRPr="00F0682C" w:rsidRDefault="00885F63" w:rsidP="00DC610A">
      <w:pPr>
        <w:pStyle w:val="CETAddress"/>
        <w:jc w:val="both"/>
      </w:pPr>
      <w:bookmarkStart w:id="0" w:name="_Hlk495475023"/>
      <w:r>
        <w:rPr>
          <w:sz w:val="18"/>
          <w:szCs w:val="22"/>
        </w:rPr>
        <w:t xml:space="preserve">The aim was to determine the growth potential of </w:t>
      </w:r>
      <w:r w:rsidRPr="00FF332D">
        <w:rPr>
          <w:i/>
          <w:iCs/>
          <w:sz w:val="18"/>
          <w:szCs w:val="22"/>
        </w:rPr>
        <w:t>Bacillus cereus</w:t>
      </w:r>
      <w:r>
        <w:rPr>
          <w:sz w:val="18"/>
          <w:szCs w:val="22"/>
        </w:rPr>
        <w:t xml:space="preserve"> </w:t>
      </w:r>
      <w:r w:rsidR="002618E4">
        <w:rPr>
          <w:sz w:val="18"/>
          <w:szCs w:val="22"/>
        </w:rPr>
        <w:t>using</w:t>
      </w:r>
      <w:r>
        <w:rPr>
          <w:sz w:val="18"/>
          <w:szCs w:val="22"/>
        </w:rPr>
        <w:t xml:space="preserve"> glucose and xylose</w:t>
      </w:r>
      <w:r w:rsidR="002618E4">
        <w:rPr>
          <w:sz w:val="18"/>
          <w:szCs w:val="22"/>
        </w:rPr>
        <w:t xml:space="preserve"> as the substrates</w:t>
      </w:r>
      <w:r>
        <w:rPr>
          <w:sz w:val="18"/>
          <w:szCs w:val="22"/>
        </w:rPr>
        <w:t>.</w:t>
      </w:r>
      <w:r w:rsidR="00FF332D">
        <w:rPr>
          <w:sz w:val="18"/>
          <w:szCs w:val="22"/>
        </w:rPr>
        <w:t xml:space="preserve"> </w:t>
      </w:r>
      <w:r w:rsidR="00FF332D" w:rsidRPr="00885F63">
        <w:rPr>
          <w:sz w:val="18"/>
          <w:szCs w:val="22"/>
        </w:rPr>
        <w:t xml:space="preserve">In this study a bacterial isolate was identified by 16s rRNA gene sequencing. </w:t>
      </w:r>
      <w:r w:rsidR="00C41A41" w:rsidRPr="00DC610A">
        <w:rPr>
          <w:i/>
          <w:iCs/>
          <w:sz w:val="18"/>
          <w:szCs w:val="18"/>
        </w:rPr>
        <w:t>B</w:t>
      </w:r>
      <w:r w:rsidR="008C05A2">
        <w:rPr>
          <w:i/>
          <w:iCs/>
          <w:sz w:val="18"/>
          <w:szCs w:val="18"/>
        </w:rPr>
        <w:t>acillus</w:t>
      </w:r>
      <w:r w:rsidR="00C41A41" w:rsidRPr="00DC610A">
        <w:rPr>
          <w:i/>
          <w:iCs/>
          <w:sz w:val="18"/>
          <w:szCs w:val="18"/>
        </w:rPr>
        <w:t>.cereus</w:t>
      </w:r>
      <w:r w:rsidR="00C41A41" w:rsidRPr="00DC610A">
        <w:rPr>
          <w:sz w:val="18"/>
          <w:szCs w:val="18"/>
        </w:rPr>
        <w:t xml:space="preserve"> can metabolise glucose and xylose as the sole carbon sources during anaerobic fermenta</w:t>
      </w:r>
      <w:r w:rsidR="00C41A41" w:rsidRPr="00B8235F">
        <w:rPr>
          <w:sz w:val="18"/>
          <w:szCs w:val="18"/>
        </w:rPr>
        <w:t>tion</w:t>
      </w:r>
      <w:r w:rsidR="00EA22F9" w:rsidRPr="00B8235F">
        <w:rPr>
          <w:sz w:val="18"/>
          <w:szCs w:val="18"/>
        </w:rPr>
        <w:t>.</w:t>
      </w:r>
      <w:r w:rsidR="00B8235F" w:rsidRPr="00B8235F">
        <w:rPr>
          <w:sz w:val="18"/>
          <w:szCs w:val="18"/>
        </w:rPr>
        <w:t xml:space="preserve"> </w:t>
      </w:r>
      <w:r w:rsidR="00B8235F" w:rsidRPr="00B8235F">
        <w:rPr>
          <w:sz w:val="18"/>
          <w:szCs w:val="22"/>
        </w:rPr>
        <w:t xml:space="preserve">The biomass growth profile showed a lag of about 8 h, followed by an increase in the biomass. </w:t>
      </w:r>
      <w:r w:rsidR="00EA22F9" w:rsidRPr="00B8235F">
        <w:rPr>
          <w:sz w:val="18"/>
          <w:szCs w:val="18"/>
        </w:rPr>
        <w:t xml:space="preserve">The growth profile was better on glucose than xylose. </w:t>
      </w:r>
      <w:r w:rsidR="00A95183" w:rsidRPr="00B8235F">
        <w:rPr>
          <w:sz w:val="18"/>
          <w:szCs w:val="18"/>
        </w:rPr>
        <w:t xml:space="preserve">The maximum biomass concentration </w:t>
      </w:r>
      <w:r w:rsidR="002618E4">
        <w:rPr>
          <w:sz w:val="18"/>
          <w:szCs w:val="18"/>
        </w:rPr>
        <w:t xml:space="preserve">achieved </w:t>
      </w:r>
      <w:r w:rsidR="00A95183" w:rsidRPr="00B8235F">
        <w:rPr>
          <w:sz w:val="18"/>
          <w:szCs w:val="18"/>
        </w:rPr>
        <w:t>was 3.6</w:t>
      </w:r>
      <w:r w:rsidR="00B12BF8" w:rsidRPr="00B8235F">
        <w:rPr>
          <w:sz w:val="18"/>
          <w:szCs w:val="18"/>
        </w:rPr>
        <w:t>4</w:t>
      </w:r>
      <w:r w:rsidR="00A95183" w:rsidRPr="00B8235F">
        <w:rPr>
          <w:sz w:val="18"/>
          <w:szCs w:val="18"/>
        </w:rPr>
        <w:t xml:space="preserve"> g/L</w:t>
      </w:r>
      <w:r w:rsidR="00B12BF8" w:rsidRPr="00B8235F">
        <w:rPr>
          <w:sz w:val="18"/>
          <w:szCs w:val="18"/>
        </w:rPr>
        <w:t xml:space="preserve"> and 2</w:t>
      </w:r>
      <w:r w:rsidR="00B12BF8" w:rsidRPr="00DC610A">
        <w:rPr>
          <w:sz w:val="18"/>
          <w:szCs w:val="18"/>
        </w:rPr>
        <w:t xml:space="preserve">.62 g/L </w:t>
      </w:r>
      <w:r w:rsidR="00773EB0">
        <w:rPr>
          <w:sz w:val="18"/>
          <w:szCs w:val="18"/>
        </w:rPr>
        <w:t>using</w:t>
      </w:r>
      <w:r w:rsidR="00A4259D" w:rsidRPr="00A4259D">
        <w:rPr>
          <w:sz w:val="18"/>
          <w:szCs w:val="18"/>
        </w:rPr>
        <w:t xml:space="preserve"> </w:t>
      </w:r>
      <w:r w:rsidR="00B12BF8" w:rsidRPr="00DC610A">
        <w:rPr>
          <w:sz w:val="18"/>
          <w:szCs w:val="18"/>
        </w:rPr>
        <w:t>glucose and xylose, respectively.</w:t>
      </w:r>
      <w:r w:rsidR="006D4FA4" w:rsidRPr="00DC610A">
        <w:rPr>
          <w:sz w:val="18"/>
          <w:szCs w:val="18"/>
        </w:rPr>
        <w:t xml:space="preserve"> The higher the </w:t>
      </w:r>
      <w:r w:rsidR="00C41A41" w:rsidRPr="00DC610A">
        <w:rPr>
          <w:sz w:val="18"/>
          <w:szCs w:val="18"/>
        </w:rPr>
        <w:t>initial substrate concentration the higher the growth of the bacteria.</w:t>
      </w:r>
      <w:r w:rsidR="004B1CC9" w:rsidRPr="00DC610A">
        <w:rPr>
          <w:sz w:val="18"/>
          <w:szCs w:val="18"/>
        </w:rPr>
        <w:t xml:space="preserve"> </w:t>
      </w:r>
      <w:r w:rsidR="00DC610A">
        <w:rPr>
          <w:sz w:val="18"/>
          <w:szCs w:val="18"/>
        </w:rPr>
        <w:t xml:space="preserve">The growth of </w:t>
      </w:r>
      <w:r w:rsidR="008C05A2" w:rsidRPr="00DC610A">
        <w:rPr>
          <w:i/>
          <w:iCs/>
          <w:sz w:val="18"/>
          <w:szCs w:val="18"/>
        </w:rPr>
        <w:t>B. cereus</w:t>
      </w:r>
      <w:r w:rsidR="008C05A2">
        <w:rPr>
          <w:i/>
          <w:iCs/>
          <w:sz w:val="18"/>
          <w:szCs w:val="18"/>
        </w:rPr>
        <w:t xml:space="preserve"> </w:t>
      </w:r>
      <w:r w:rsidR="008C05A2" w:rsidRPr="008C05A2">
        <w:rPr>
          <w:sz w:val="18"/>
          <w:szCs w:val="18"/>
        </w:rPr>
        <w:t>was accompanied by a decrease in the ORP</w:t>
      </w:r>
      <w:r w:rsidR="00B8235F">
        <w:rPr>
          <w:sz w:val="18"/>
          <w:szCs w:val="18"/>
        </w:rPr>
        <w:t>.</w:t>
      </w:r>
      <w:r w:rsidR="00F0682C">
        <w:rPr>
          <w:sz w:val="18"/>
          <w:szCs w:val="18"/>
        </w:rPr>
        <w:t xml:space="preserve"> Its ability to metabolise xylose proves that it has the potential to convert biomass-derived feed for possible applications as a bio-fertilizer.</w:t>
      </w:r>
    </w:p>
    <w:p w14:paraId="62F02CF5" w14:textId="77777777" w:rsidR="00C07E6B" w:rsidRPr="00DC610A" w:rsidRDefault="00C07E6B" w:rsidP="00DC610A">
      <w:pPr>
        <w:pStyle w:val="CETBodytext"/>
        <w:spacing w:line="276" w:lineRule="auto"/>
        <w:rPr>
          <w:color w:val="FF0000"/>
          <w:szCs w:val="18"/>
          <w:lang w:val="en-GB"/>
        </w:rPr>
      </w:pPr>
    </w:p>
    <w:bookmarkEnd w:id="0"/>
    <w:p w14:paraId="2B71B6B0" w14:textId="19915687" w:rsidR="00CE40D2" w:rsidRPr="00C07E6B" w:rsidRDefault="00600535" w:rsidP="00CE40D2">
      <w:pPr>
        <w:pStyle w:val="CETHeading1"/>
        <w:rPr>
          <w:lang w:val="en-GB"/>
        </w:rPr>
      </w:pPr>
      <w:r w:rsidRPr="00B57B36">
        <w:rPr>
          <w:lang w:val="en-GB"/>
        </w:rPr>
        <w:t>Introduction</w:t>
      </w:r>
    </w:p>
    <w:p w14:paraId="44AEDC0D" w14:textId="3FAB9B3F" w:rsidR="00F667F7" w:rsidRPr="009C08BC" w:rsidRDefault="00192FC2" w:rsidP="005F0806">
      <w:pPr>
        <w:pStyle w:val="CETBodytext"/>
      </w:pPr>
      <w:r w:rsidRPr="00192FC2">
        <w:rPr>
          <w:i/>
          <w:iCs/>
          <w:lang w:val="en-GB"/>
        </w:rPr>
        <w:t>Bacillus cereus</w:t>
      </w:r>
      <w:r>
        <w:rPr>
          <w:lang w:val="en-GB"/>
        </w:rPr>
        <w:t xml:space="preserve"> is a rod-shaped, </w:t>
      </w:r>
      <w:r w:rsidR="00926BEC">
        <w:rPr>
          <w:lang w:val="en-GB"/>
        </w:rPr>
        <w:t xml:space="preserve">endospore-forming, </w:t>
      </w:r>
      <w:r>
        <w:rPr>
          <w:lang w:val="en-GB"/>
        </w:rPr>
        <w:t>facultative anaerobic</w:t>
      </w:r>
      <w:r w:rsidR="000867C1">
        <w:rPr>
          <w:lang w:val="en-GB"/>
        </w:rPr>
        <w:t xml:space="preserve"> bacteria </w:t>
      </w:r>
      <w:r>
        <w:rPr>
          <w:lang w:val="en-GB"/>
        </w:rPr>
        <w:t xml:space="preserve">that is mostly found in soil </w:t>
      </w:r>
      <w:r w:rsidRPr="009C6B5C">
        <w:rPr>
          <w:lang w:val="en-GB"/>
        </w:rPr>
        <w:t>(</w:t>
      </w:r>
      <w:proofErr w:type="spellStart"/>
      <w:r w:rsidR="000867C1" w:rsidRPr="009C6B5C">
        <w:rPr>
          <w:lang w:val="en-GB"/>
        </w:rPr>
        <w:t>Bursov</w:t>
      </w:r>
      <w:r w:rsidR="000867C1" w:rsidRPr="009C6B5C">
        <w:rPr>
          <w:rFonts w:cs="Arial"/>
          <w:lang w:val="en-GB"/>
        </w:rPr>
        <w:t>á</w:t>
      </w:r>
      <w:proofErr w:type="spellEnd"/>
      <w:r w:rsidR="00926BEC" w:rsidRPr="009C6B5C">
        <w:rPr>
          <w:lang w:val="en-GB"/>
        </w:rPr>
        <w:t xml:space="preserve"> et al.</w:t>
      </w:r>
      <w:r w:rsidR="00B910B5" w:rsidRPr="009C6B5C">
        <w:rPr>
          <w:lang w:val="en-GB"/>
        </w:rPr>
        <w:t>, 20</w:t>
      </w:r>
      <w:r w:rsidR="000867C1" w:rsidRPr="009C6B5C">
        <w:rPr>
          <w:lang w:val="en-GB"/>
        </w:rPr>
        <w:t>18, Luo et al., 200</w:t>
      </w:r>
      <w:r w:rsidR="00FE17A6">
        <w:rPr>
          <w:lang w:val="en-GB"/>
        </w:rPr>
        <w:t>7</w:t>
      </w:r>
      <w:r w:rsidRPr="009C6B5C">
        <w:rPr>
          <w:lang w:val="en-GB"/>
        </w:rPr>
        <w:t>).</w:t>
      </w:r>
      <w:r>
        <w:rPr>
          <w:lang w:val="en-GB"/>
        </w:rPr>
        <w:t xml:space="preserve"> </w:t>
      </w:r>
      <w:r w:rsidR="00926BEC">
        <w:rPr>
          <w:lang w:val="en-GB"/>
        </w:rPr>
        <w:t xml:space="preserve">It </w:t>
      </w:r>
      <w:r w:rsidR="008976DE" w:rsidRPr="008976DE">
        <w:t>is rec</w:t>
      </w:r>
      <w:r w:rsidR="008976DE">
        <w:t>ognized as one of the major food-borne pathogenic bacteria that causes emetic and diarrheal food-poisoning symptoms (</w:t>
      </w:r>
      <w:r w:rsidR="00926BEC" w:rsidRPr="00D43A98">
        <w:t>Wong and Chen, 1988</w:t>
      </w:r>
      <w:r w:rsidR="008976DE">
        <w:t>)</w:t>
      </w:r>
      <w:r w:rsidR="00D43A98">
        <w:t xml:space="preserve">. Its tolerance to environmental </w:t>
      </w:r>
      <w:r w:rsidR="00D43A98" w:rsidRPr="00E0265D">
        <w:t xml:space="preserve">stressors is high </w:t>
      </w:r>
      <w:r w:rsidR="004C68F6" w:rsidRPr="00E0265D">
        <w:t xml:space="preserve">because </w:t>
      </w:r>
      <w:r w:rsidR="00D43A98" w:rsidRPr="00E0265D">
        <w:t xml:space="preserve">it forms </w:t>
      </w:r>
      <w:r w:rsidR="004C68F6" w:rsidRPr="00E0265D">
        <w:t xml:space="preserve">spores </w:t>
      </w:r>
      <w:r w:rsidR="00D43A98" w:rsidRPr="00E0265D">
        <w:t>that enable it</w:t>
      </w:r>
      <w:r w:rsidR="004C68F6" w:rsidRPr="00E0265D">
        <w:t xml:space="preserve"> survive in harsh environmental conditions such as </w:t>
      </w:r>
      <w:r w:rsidR="0076173F" w:rsidRPr="00E0265D">
        <w:t xml:space="preserve">pH (Ahmed et al., 2023), </w:t>
      </w:r>
      <w:r w:rsidR="004C68F6" w:rsidRPr="00E0265D">
        <w:t xml:space="preserve">high pressures and </w:t>
      </w:r>
      <w:r w:rsidR="009D5A19" w:rsidRPr="00E0265D">
        <w:t xml:space="preserve">extreme </w:t>
      </w:r>
      <w:r w:rsidR="004C68F6" w:rsidRPr="00E0265D">
        <w:t>temperatures (Soria</w:t>
      </w:r>
      <w:r w:rsidR="009D5A19" w:rsidRPr="00E0265D">
        <w:t xml:space="preserve"> and </w:t>
      </w:r>
      <w:proofErr w:type="spellStart"/>
      <w:r w:rsidR="009D5A19" w:rsidRPr="00E0265D">
        <w:t>Audisio</w:t>
      </w:r>
      <w:proofErr w:type="spellEnd"/>
      <w:r w:rsidR="009D5A19" w:rsidRPr="00E0265D">
        <w:t>, 2014</w:t>
      </w:r>
      <w:r w:rsidR="004C68F6" w:rsidRPr="00E0265D">
        <w:t>).</w:t>
      </w:r>
      <w:r w:rsidR="000867C1" w:rsidRPr="00E0265D">
        <w:t xml:space="preserve"> </w:t>
      </w:r>
      <w:r w:rsidR="008976DE" w:rsidRPr="00E0265D">
        <w:t xml:space="preserve">The non-pathogenic strains of </w:t>
      </w:r>
      <w:r w:rsidR="008976DE" w:rsidRPr="00E0265D">
        <w:rPr>
          <w:i/>
          <w:iCs/>
        </w:rPr>
        <w:t xml:space="preserve">B. cereus </w:t>
      </w:r>
      <w:r w:rsidR="00B910B5" w:rsidRPr="00E0265D">
        <w:t>have been</w:t>
      </w:r>
      <w:r w:rsidR="00B910B5">
        <w:t xml:space="preserve"> </w:t>
      </w:r>
      <w:r w:rsidR="005673F7">
        <w:t>proven</w:t>
      </w:r>
      <w:r w:rsidR="00B910B5">
        <w:t xml:space="preserve"> to </w:t>
      </w:r>
      <w:r w:rsidR="005673F7">
        <w:t xml:space="preserve">be able to </w:t>
      </w:r>
      <w:r w:rsidR="00B910B5">
        <w:t xml:space="preserve">promote the growth of </w:t>
      </w:r>
      <w:r w:rsidR="00B910B5" w:rsidRPr="00BB764F">
        <w:t>plants</w:t>
      </w:r>
      <w:r w:rsidR="009D5BA2">
        <w:t xml:space="preserve"> by increasing the shoot and root lengths</w:t>
      </w:r>
      <w:r w:rsidR="009D5A19" w:rsidRPr="00BB764F">
        <w:t xml:space="preserve"> </w:t>
      </w:r>
      <w:r w:rsidR="009D5BA2">
        <w:t xml:space="preserve">of plants as well as increasing the seed germination </w:t>
      </w:r>
      <w:r w:rsidR="009D5BA2" w:rsidRPr="009C6B5C">
        <w:t xml:space="preserve">percentage </w:t>
      </w:r>
      <w:r w:rsidR="00B910B5" w:rsidRPr="009C6B5C">
        <w:t>(</w:t>
      </w:r>
      <w:proofErr w:type="spellStart"/>
      <w:r w:rsidR="009D5A19" w:rsidRPr="009C6B5C">
        <w:t>Aktar</w:t>
      </w:r>
      <w:proofErr w:type="spellEnd"/>
      <w:r w:rsidR="009D5A19" w:rsidRPr="009C6B5C">
        <w:t xml:space="preserve"> et al.</w:t>
      </w:r>
      <w:r w:rsidR="00B910B5" w:rsidRPr="009C6B5C">
        <w:t>, 202</w:t>
      </w:r>
      <w:r w:rsidR="009D5A19" w:rsidRPr="009C6B5C">
        <w:t>1</w:t>
      </w:r>
      <w:r w:rsidR="00B910B5" w:rsidRPr="009C6B5C">
        <w:t>)</w:t>
      </w:r>
      <w:r w:rsidR="009D5BA2" w:rsidRPr="009C6B5C">
        <w:t>.</w:t>
      </w:r>
      <w:r w:rsidR="009D5BA2">
        <w:t xml:space="preserve"> </w:t>
      </w:r>
      <w:r w:rsidR="005673F7">
        <w:t xml:space="preserve"> </w:t>
      </w:r>
      <w:r w:rsidR="009C6B5C">
        <w:t xml:space="preserve">It is able to </w:t>
      </w:r>
      <w:r w:rsidR="00A136A4">
        <w:t xml:space="preserve">form biofilms which increases the plants resistance to chemicals heat, UV radiation and other environmental </w:t>
      </w:r>
      <w:r w:rsidR="00A136A4" w:rsidRPr="009C6B5C">
        <w:t>stresses (</w:t>
      </w:r>
      <w:proofErr w:type="spellStart"/>
      <w:r w:rsidR="00A136A4" w:rsidRPr="009C6B5C">
        <w:t>Kulkova</w:t>
      </w:r>
      <w:proofErr w:type="spellEnd"/>
      <w:r w:rsidR="00BB764F" w:rsidRPr="009C6B5C">
        <w:t xml:space="preserve"> et al.</w:t>
      </w:r>
      <w:r w:rsidR="00A136A4" w:rsidRPr="009C6B5C">
        <w:t>, 2023</w:t>
      </w:r>
      <w:r w:rsidR="0076173F" w:rsidRPr="009C6B5C">
        <w:t>, Kwon et al., 2017</w:t>
      </w:r>
      <w:r w:rsidR="00A136A4" w:rsidRPr="009C6B5C">
        <w:t>).</w:t>
      </w:r>
      <w:r w:rsidR="009C6B5C">
        <w:t xml:space="preserve"> </w:t>
      </w:r>
      <w:r w:rsidR="001F1BC3" w:rsidRPr="007863C1">
        <w:t xml:space="preserve">It </w:t>
      </w:r>
      <w:r w:rsidR="00B910B5" w:rsidRPr="007863C1">
        <w:t>and</w:t>
      </w:r>
      <w:r w:rsidR="00343C31" w:rsidRPr="007863C1">
        <w:t xml:space="preserve"> can</w:t>
      </w:r>
      <w:r w:rsidR="005673F7" w:rsidRPr="007863C1">
        <w:t xml:space="preserve"> also be </w:t>
      </w:r>
      <w:r w:rsidR="00343C31" w:rsidRPr="007863C1">
        <w:t xml:space="preserve">used as </w:t>
      </w:r>
      <w:r w:rsidR="005673F7" w:rsidRPr="007863C1">
        <w:t xml:space="preserve">a </w:t>
      </w:r>
      <w:r w:rsidR="00343C31" w:rsidRPr="007863C1">
        <w:t>bio</w:t>
      </w:r>
      <w:r w:rsidR="005673F7" w:rsidRPr="007863C1">
        <w:t xml:space="preserve">logical </w:t>
      </w:r>
      <w:r w:rsidR="00343C31" w:rsidRPr="007863C1">
        <w:t xml:space="preserve">control agent </w:t>
      </w:r>
      <w:r w:rsidR="005673F7" w:rsidRPr="007863C1">
        <w:t xml:space="preserve">in the </w:t>
      </w:r>
      <w:r w:rsidR="00343C31" w:rsidRPr="007863C1">
        <w:t>agricultur</w:t>
      </w:r>
      <w:r w:rsidR="009D5BA2" w:rsidRPr="007863C1">
        <w:t>al</w:t>
      </w:r>
      <w:r w:rsidR="00343C31" w:rsidRPr="007863C1">
        <w:t xml:space="preserve"> industry</w:t>
      </w:r>
      <w:r w:rsidR="00B910B5" w:rsidRPr="007863C1">
        <w:t xml:space="preserve"> </w:t>
      </w:r>
      <w:r w:rsidR="00343C31" w:rsidRPr="007863C1">
        <w:t>because</w:t>
      </w:r>
      <w:r w:rsidR="007863C1" w:rsidRPr="007863C1">
        <w:t xml:space="preserve"> of</w:t>
      </w:r>
      <w:r w:rsidR="00343C31" w:rsidRPr="007863C1">
        <w:t xml:space="preserve"> it</w:t>
      </w:r>
      <w:r w:rsidR="007863C1" w:rsidRPr="007863C1">
        <w:t>s</w:t>
      </w:r>
      <w:r w:rsidR="00343C31" w:rsidRPr="007863C1">
        <w:t xml:space="preserve"> ability to </w:t>
      </w:r>
      <w:r w:rsidR="00C833E2" w:rsidRPr="007863C1">
        <w:t xml:space="preserve">help plants fight off </w:t>
      </w:r>
      <w:r w:rsidR="00343C31" w:rsidRPr="007863C1">
        <w:t xml:space="preserve">certain </w:t>
      </w:r>
      <w:r w:rsidR="004C68F6" w:rsidRPr="007863C1">
        <w:t xml:space="preserve">bacterial pathogens </w:t>
      </w:r>
      <w:r w:rsidR="00343C31" w:rsidRPr="007863C1">
        <w:t>(</w:t>
      </w:r>
      <w:r w:rsidR="009D5BA2" w:rsidRPr="007863C1">
        <w:t>Banerjee</w:t>
      </w:r>
      <w:r w:rsidR="00C833E2" w:rsidRPr="007863C1">
        <w:t xml:space="preserve"> et al., 20</w:t>
      </w:r>
      <w:r w:rsidR="009D5BA2" w:rsidRPr="007863C1">
        <w:t>18</w:t>
      </w:r>
      <w:r w:rsidR="00B910B5" w:rsidRPr="007863C1">
        <w:t>).</w:t>
      </w:r>
      <w:r w:rsidR="003D202A" w:rsidRPr="007863C1">
        <w:t xml:space="preserve"> </w:t>
      </w:r>
      <w:r w:rsidR="003D202A" w:rsidRPr="009D5BA2">
        <w:t>The</w:t>
      </w:r>
      <w:r w:rsidR="003D202A">
        <w:t xml:space="preserve"> excessive use of fertilizers may cause agricultural pollution via leaching, runoff and erosion, which damages the soils physical, chemical and microbiological </w:t>
      </w:r>
      <w:r w:rsidR="003D202A" w:rsidRPr="009C6B5C">
        <w:t>characteristics (C</w:t>
      </w:r>
      <w:r w:rsidR="009C6B5C" w:rsidRPr="009C6B5C">
        <w:t>ardoso et al.</w:t>
      </w:r>
      <w:r w:rsidR="003D202A" w:rsidRPr="009C6B5C">
        <w:t>, 2021) and</w:t>
      </w:r>
      <w:r w:rsidR="003D202A">
        <w:t xml:space="preserve"> in turn can have an impact on the water quality. This makes this microorganism an environmentally friendly alternative to the chemically harsh fertilizers and pesticides that are currently used in the industry.</w:t>
      </w:r>
    </w:p>
    <w:p w14:paraId="099422CB" w14:textId="27B6C3E3" w:rsidR="00447D55" w:rsidRDefault="00E276E3" w:rsidP="00DA726E">
      <w:pPr>
        <w:pStyle w:val="CETBodytext"/>
      </w:pPr>
      <w:r>
        <w:t>Nutritional factors</w:t>
      </w:r>
      <w:r w:rsidR="003C7C33">
        <w:t>, such as the carbon and nitrogen</w:t>
      </w:r>
      <w:r>
        <w:t xml:space="preserve"> </w:t>
      </w:r>
      <w:r w:rsidR="003C7C33">
        <w:t>sources in the growth medium have a</w:t>
      </w:r>
      <w:r w:rsidR="00B00D52">
        <w:t xml:space="preserve"> significant </w:t>
      </w:r>
      <w:r>
        <w:t xml:space="preserve">influence the growth </w:t>
      </w:r>
      <w:r w:rsidRPr="002E77D1">
        <w:t>and development of bacteria.</w:t>
      </w:r>
      <w:r w:rsidR="00FB16C0" w:rsidRPr="002E77D1">
        <w:t xml:space="preserve"> </w:t>
      </w:r>
      <w:r w:rsidR="0076173F" w:rsidRPr="002E77D1">
        <w:t xml:space="preserve">Optimizing these parameters will enhance the production of </w:t>
      </w:r>
      <w:r w:rsidR="0076173F" w:rsidRPr="002E77D1">
        <w:rPr>
          <w:i/>
          <w:iCs/>
        </w:rPr>
        <w:t>B. cereus</w:t>
      </w:r>
      <w:r w:rsidR="0076173F" w:rsidRPr="002E77D1">
        <w:t>.</w:t>
      </w:r>
      <w:r w:rsidR="003A7D66">
        <w:t xml:space="preserve"> </w:t>
      </w:r>
      <w:proofErr w:type="spellStart"/>
      <w:r w:rsidR="003A7D66" w:rsidRPr="00FE5C9F">
        <w:t>Zigha</w:t>
      </w:r>
      <w:proofErr w:type="spellEnd"/>
      <w:r w:rsidR="003A7D66" w:rsidRPr="00FE5C9F">
        <w:t xml:space="preserve"> et al. </w:t>
      </w:r>
      <w:r w:rsidR="003A7D66" w:rsidRPr="006911A0">
        <w:t xml:space="preserve">(2006) and Zhou et al. (2023) demonstrated that glucose can regulate the </w:t>
      </w:r>
      <w:r w:rsidR="003A7D66" w:rsidRPr="00EF5FEF">
        <w:t xml:space="preserve">growth of </w:t>
      </w:r>
      <w:r w:rsidR="003A7D66" w:rsidRPr="00EF5FEF">
        <w:rPr>
          <w:i/>
          <w:iCs/>
        </w:rPr>
        <w:t>B. cereus</w:t>
      </w:r>
      <w:r w:rsidR="003A7D66" w:rsidRPr="00EF5FEF">
        <w:t xml:space="preserve">. </w:t>
      </w:r>
      <w:r w:rsidR="003A7D66">
        <w:t>However, glucose is expensive and using it in the industrial fermentation industry could potentially compete with the global food industry because it is derived from corn-starch.</w:t>
      </w:r>
      <w:r w:rsidR="006275A1">
        <w:t xml:space="preserve"> </w:t>
      </w:r>
      <w:r w:rsidR="00731BD5" w:rsidRPr="00B00D52">
        <w:t>The use of agricultural wastes</w:t>
      </w:r>
      <w:r w:rsidR="00B00D52" w:rsidRPr="00B00D52">
        <w:t xml:space="preserve"> as sugar</w:t>
      </w:r>
      <w:r w:rsidR="00731BD5" w:rsidRPr="00B00D52">
        <w:t xml:space="preserve"> substrates for microbial growth could reduce fermentation production costs because they are abundant and inexpensive. </w:t>
      </w:r>
      <w:r w:rsidR="004D06A3">
        <w:t xml:space="preserve"> </w:t>
      </w:r>
      <w:r w:rsidR="00731BD5" w:rsidRPr="002E77D1">
        <w:t>Xylose</w:t>
      </w:r>
      <w:r w:rsidR="00731BD5">
        <w:t xml:space="preserve"> is a major carbohydrate in hemicellulose found in woody or grassy biomass (Bradfield &amp; Nicol, 2016). </w:t>
      </w:r>
      <w:r w:rsidR="00302814" w:rsidRPr="00447D55">
        <w:rPr>
          <w:i/>
          <w:iCs/>
        </w:rPr>
        <w:t>B. cereus</w:t>
      </w:r>
      <w:r w:rsidR="00302814">
        <w:t xml:space="preserve"> can metabolize a </w:t>
      </w:r>
      <w:r w:rsidR="00302814" w:rsidRPr="006911A0">
        <w:t xml:space="preserve">number of carbon sources such as glycerol (Kwon et al., 2017), and </w:t>
      </w:r>
      <w:r w:rsidR="009C08BC" w:rsidRPr="006911A0">
        <w:t xml:space="preserve">a variety of </w:t>
      </w:r>
      <w:r w:rsidR="009C6B5C" w:rsidRPr="006911A0">
        <w:t>dairy</w:t>
      </w:r>
      <w:r w:rsidR="009C08BC" w:rsidRPr="006911A0">
        <w:t xml:space="preserve"> products</w:t>
      </w:r>
      <w:r w:rsidR="00DA726E">
        <w:t xml:space="preserve"> </w:t>
      </w:r>
      <w:r w:rsidR="009C6B5C" w:rsidRPr="00DA726E">
        <w:t>(</w:t>
      </w:r>
      <w:proofErr w:type="spellStart"/>
      <w:r w:rsidR="009C08BC" w:rsidRPr="00DA726E">
        <w:t>Ellouze</w:t>
      </w:r>
      <w:proofErr w:type="spellEnd"/>
      <w:r w:rsidR="009C08BC" w:rsidRPr="00DA726E">
        <w:t xml:space="preserve"> et al., 2021). </w:t>
      </w:r>
    </w:p>
    <w:p w14:paraId="0B89F739" w14:textId="495474EF" w:rsidR="008E75D2" w:rsidRDefault="00DA726E" w:rsidP="00DA726E">
      <w:pPr>
        <w:pStyle w:val="CETBodytext"/>
        <w:rPr>
          <w:rFonts w:eastAsiaTheme="minorHAnsi" w:cs="Arial"/>
          <w:szCs w:val="18"/>
          <w:lang w:val="en-ZA"/>
        </w:rPr>
      </w:pPr>
      <w:r w:rsidRPr="00DA726E">
        <w:rPr>
          <w:color w:val="000000" w:themeColor="text1"/>
        </w:rPr>
        <w:t>The ORP</w:t>
      </w:r>
      <w:r w:rsidR="00935E46">
        <w:rPr>
          <w:color w:val="000000" w:themeColor="text1"/>
        </w:rPr>
        <w:t xml:space="preserve"> (oxidoreduction potential)</w:t>
      </w:r>
      <w:r w:rsidRPr="00DA726E">
        <w:rPr>
          <w:color w:val="000000" w:themeColor="text1"/>
        </w:rPr>
        <w:t xml:space="preserve"> is a function of the pH, temperature, amount of dissolved oxygen </w:t>
      </w:r>
      <w:r w:rsidR="008E75D2">
        <w:rPr>
          <w:color w:val="000000" w:themeColor="text1"/>
        </w:rPr>
        <w:t xml:space="preserve">present </w:t>
      </w:r>
      <w:r w:rsidRPr="00DA726E">
        <w:rPr>
          <w:color w:val="000000" w:themeColor="text1"/>
        </w:rPr>
        <w:t xml:space="preserve">as well as the compounds dissolved in the medium </w:t>
      </w:r>
      <w:r w:rsidRPr="00DA726E">
        <w:rPr>
          <w:color w:val="000000" w:themeColor="text1"/>
        </w:rPr>
        <w:fldChar w:fldCharType="begin"/>
      </w:r>
      <w:r w:rsidRPr="00DA726E">
        <w:rPr>
          <w:color w:val="000000" w:themeColor="text1"/>
        </w:rPr>
        <w:instrText xml:space="preserve"> ADDIN EN.CITE &lt;EndNote&gt;&lt;Cite&gt;&lt;Author&gt;Husson&lt;/Author&gt;&lt;Year&gt;2006&lt;/Year&gt;&lt;RecNum&gt;56&lt;/RecNum&gt;&lt;DisplayText&gt;(Husson et al., 2006)&lt;/DisplayText&gt;&lt;record&gt;&lt;rec-number&gt;56&lt;/rec-number&gt;&lt;foreign-keys&gt;&lt;key app="EN" db-id="vxz9ftedkzdwpcestwrxzzvdtpzettae0z59" timestamp="1629369505" guid="41ed1dca-69b9-46f7-a90e-544a46435892"&gt;56&lt;/key&gt;&lt;/foreign-keys&gt;&lt;ref-type name="Journal Article"&gt;17&lt;/ref-type&gt;&lt;contributors&gt;&lt;authors&gt;&lt;author&gt;Husson, Florence&lt;/author&gt;&lt;author&gt;Tu, Viet Phu&lt;/author&gt;&lt;author&gt;Santiago-Gomez, Mirna&lt;/author&gt;&lt;author&gt;Cachon, Rémy&lt;/author&gt;&lt;author&gt;Feron, Gilles&lt;/author&gt;&lt;author&gt;Nicaud, Jean-Marc&lt;/author&gt;&lt;author&gt;Kermasha, Sélim&lt;/author&gt;&lt;author&gt;Belin, Jean-Marc&lt;/author&gt;&lt;/authors&gt;&lt;/contributors&gt;&lt;titles&gt;&lt;title&gt;Effect of redox potential on the growth of Yarrowia lipolytica and the biosynthesis and activity of heterologous hydroperoxide lyase&lt;/title&gt;&lt;secondary-title&gt;Journal of Molecular Catalysis B: Enzymatic&lt;/secondary-title&gt;&lt;/titles&gt;&lt;periodical&gt;&lt;full-title&gt;Journal of Molecular Catalysis B: Enzymatic&lt;/full-title&gt;&lt;/periodical&gt;&lt;pages&gt;179-183&lt;/pages&gt;&lt;volume&gt;39&lt;/volume&gt;&lt;number&gt;1-4&lt;/number&gt;&lt;section&gt;179&lt;/section&gt;&lt;dates&gt;&lt;year&gt;2006&lt;/year&gt;&lt;/dates&gt;&lt;isbn&gt;13811177&lt;/isbn&gt;&lt;urls&gt;&lt;/urls&gt;&lt;electronic-resource-num&gt;10.1016/j.molcatb.2006.01.021&lt;/electronic-resource-num&gt;&lt;/record&gt;&lt;/Cite&gt;&lt;/EndNote&gt;</w:instrText>
      </w:r>
      <w:r w:rsidRPr="00DA726E">
        <w:rPr>
          <w:color w:val="000000" w:themeColor="text1"/>
        </w:rPr>
        <w:fldChar w:fldCharType="separate"/>
      </w:r>
      <w:r w:rsidRPr="00DA726E">
        <w:rPr>
          <w:noProof/>
          <w:color w:val="000000" w:themeColor="text1"/>
        </w:rPr>
        <w:t>(Husson et al., 2006)</w:t>
      </w:r>
      <w:r w:rsidRPr="00DA726E">
        <w:rPr>
          <w:color w:val="000000" w:themeColor="text1"/>
        </w:rPr>
        <w:fldChar w:fldCharType="end"/>
      </w:r>
      <w:r w:rsidRPr="00DA726E">
        <w:rPr>
          <w:color w:val="000000" w:themeColor="text1"/>
        </w:rPr>
        <w:t xml:space="preserve">. </w:t>
      </w:r>
      <w:r w:rsidR="00554507" w:rsidRPr="00EF5FEF">
        <w:t xml:space="preserve">The </w:t>
      </w:r>
      <w:r w:rsidR="008C6F89" w:rsidRPr="00EF5FEF">
        <w:t>ORP of the culture medium affects the growth capacity of microorganisms (</w:t>
      </w:r>
      <w:proofErr w:type="spellStart"/>
      <w:r w:rsidR="008C6F89" w:rsidRPr="00EF5FEF">
        <w:t>Husson</w:t>
      </w:r>
      <w:proofErr w:type="spellEnd"/>
      <w:r w:rsidR="008C6F89" w:rsidRPr="00EF5FEF">
        <w:t xml:space="preserve"> et al., 2006) and it has been used to study the carbon and energy flux in several microorganisms</w:t>
      </w:r>
      <w:r w:rsidR="008C6F89" w:rsidRPr="009E1B16">
        <w:t>.</w:t>
      </w:r>
      <w:r w:rsidR="00554507" w:rsidRPr="009E1B16">
        <w:t xml:space="preserve"> </w:t>
      </w:r>
      <w:proofErr w:type="spellStart"/>
      <w:r w:rsidR="00554507" w:rsidRPr="009E1B16">
        <w:rPr>
          <w:rFonts w:eastAsiaTheme="minorHAnsi" w:cs="Arial"/>
          <w:szCs w:val="18"/>
          <w:lang w:val="en-ZA"/>
        </w:rPr>
        <w:t>Hamitouche</w:t>
      </w:r>
      <w:proofErr w:type="spellEnd"/>
      <w:r w:rsidR="00554507" w:rsidRPr="009E1B16">
        <w:rPr>
          <w:rFonts w:eastAsiaTheme="minorHAnsi" w:cs="Arial"/>
          <w:szCs w:val="18"/>
          <w:lang w:val="en-ZA"/>
        </w:rPr>
        <w:t xml:space="preserve"> et al. (2021) found that a decrease in ORP</w:t>
      </w:r>
      <w:r w:rsidR="006275A1" w:rsidRPr="009E1B16">
        <w:rPr>
          <w:rFonts w:eastAsiaTheme="minorHAnsi" w:cs="Arial"/>
          <w:szCs w:val="18"/>
          <w:lang w:val="en-ZA"/>
        </w:rPr>
        <w:t xml:space="preserve">, in anoxic </w:t>
      </w:r>
      <w:r w:rsidR="006275A1" w:rsidRPr="009E1B16">
        <w:rPr>
          <w:rFonts w:eastAsiaTheme="minorHAnsi" w:cs="Arial"/>
          <w:szCs w:val="18"/>
          <w:lang w:val="en-ZA"/>
        </w:rPr>
        <w:lastRenderedPageBreak/>
        <w:t>conditions,</w:t>
      </w:r>
      <w:r w:rsidR="00554507" w:rsidRPr="009E1B16">
        <w:rPr>
          <w:rFonts w:eastAsiaTheme="minorHAnsi" w:cs="Arial"/>
          <w:szCs w:val="18"/>
          <w:lang w:val="en-ZA"/>
        </w:rPr>
        <w:t xml:space="preserve"> favoured the growth of </w:t>
      </w:r>
      <w:r w:rsidR="00554507" w:rsidRPr="009E1B16">
        <w:rPr>
          <w:rFonts w:eastAsiaTheme="minorHAnsi" w:cs="Arial"/>
          <w:i/>
          <w:iCs/>
          <w:szCs w:val="18"/>
          <w:lang w:val="en-ZA"/>
        </w:rPr>
        <w:t>B. cereus</w:t>
      </w:r>
      <w:r w:rsidR="00554507" w:rsidRPr="009E1B16">
        <w:rPr>
          <w:rFonts w:eastAsiaTheme="minorHAnsi" w:cs="Arial"/>
          <w:szCs w:val="18"/>
          <w:lang w:val="en-ZA"/>
        </w:rPr>
        <w:t>.</w:t>
      </w:r>
      <w:r w:rsidR="00554507" w:rsidRPr="00EF5FEF">
        <w:rPr>
          <w:rFonts w:eastAsiaTheme="minorHAnsi" w:cs="Arial"/>
          <w:szCs w:val="18"/>
          <w:lang w:val="en-ZA"/>
        </w:rPr>
        <w:t xml:space="preserve"> </w:t>
      </w:r>
      <w:r w:rsidR="009E1B16">
        <w:rPr>
          <w:rFonts w:eastAsiaTheme="minorHAnsi" w:cs="Arial"/>
          <w:szCs w:val="18"/>
          <w:lang w:val="en-ZA"/>
        </w:rPr>
        <w:t>However, a</w:t>
      </w:r>
      <w:r w:rsidR="0006053C" w:rsidRPr="0006053C">
        <w:rPr>
          <w:rFonts w:eastAsiaTheme="minorHAnsi" w:cs="Arial"/>
          <w:szCs w:val="18"/>
          <w:lang w:val="en-ZA"/>
        </w:rPr>
        <w:t xml:space="preserve">ccording to </w:t>
      </w:r>
      <w:r w:rsidR="0006053C" w:rsidRPr="0006053C">
        <w:t>Clair et al. (2012)</w:t>
      </w:r>
      <w:r w:rsidR="0006053C" w:rsidRPr="0006053C">
        <w:t xml:space="preserve"> </w:t>
      </w:r>
      <w:r w:rsidR="00655AF7">
        <w:t>a change in the initial</w:t>
      </w:r>
      <w:r w:rsidR="0006053C" w:rsidRPr="0006053C">
        <w:t xml:space="preserve"> ORP conditions did not affect the growth rate and metabolic activity of B. cereus, which indicates that this microorganism can maintain its intracellular redox state by responding effectively to reductive stress.</w:t>
      </w:r>
      <w:r w:rsidR="0006053C">
        <w:t xml:space="preserve">   </w:t>
      </w:r>
    </w:p>
    <w:p w14:paraId="6667B7D6" w14:textId="5E35D2A4" w:rsidR="00953F79" w:rsidRPr="00DA726E" w:rsidRDefault="009465AA" w:rsidP="00DA726E">
      <w:pPr>
        <w:pStyle w:val="CETBodytext"/>
      </w:pPr>
      <w:r w:rsidRPr="00EF5FEF">
        <w:rPr>
          <w:rFonts w:eastAsiaTheme="minorHAnsi" w:cs="Arial"/>
          <w:color w:val="000000" w:themeColor="text1"/>
          <w:szCs w:val="18"/>
          <w:lang w:val="en-ZA"/>
        </w:rPr>
        <w:t>Another critical factor that affects bacterial growth is the pH of the fermentation medium</w:t>
      </w:r>
      <w:r w:rsidR="006F75F0" w:rsidRPr="00EF5FEF">
        <w:rPr>
          <w:rFonts w:eastAsiaTheme="minorHAnsi" w:cs="Arial"/>
          <w:color w:val="000000" w:themeColor="text1"/>
          <w:szCs w:val="18"/>
          <w:lang w:val="en-ZA"/>
        </w:rPr>
        <w:t xml:space="preserve"> as</w:t>
      </w:r>
      <w:r w:rsidRPr="00EF5FEF">
        <w:rPr>
          <w:rFonts w:eastAsiaTheme="minorHAnsi" w:cs="Arial"/>
          <w:color w:val="000000" w:themeColor="text1"/>
          <w:szCs w:val="18"/>
          <w:lang w:val="en-ZA"/>
        </w:rPr>
        <w:t xml:space="preserve"> influences the cellular metabolism of the mi</w:t>
      </w:r>
      <w:r w:rsidR="009C08BC" w:rsidRPr="00EF5FEF">
        <w:rPr>
          <w:rFonts w:eastAsiaTheme="minorHAnsi" w:cs="Arial"/>
          <w:color w:val="000000" w:themeColor="text1"/>
          <w:szCs w:val="18"/>
          <w:lang w:val="en-ZA"/>
        </w:rPr>
        <w:t>croorganism</w:t>
      </w:r>
      <w:r w:rsidRPr="00EF5FEF">
        <w:rPr>
          <w:rFonts w:eastAsiaTheme="minorHAnsi" w:cs="Arial"/>
          <w:color w:val="000000" w:themeColor="text1"/>
          <w:szCs w:val="18"/>
          <w:lang w:val="en-ZA"/>
        </w:rPr>
        <w:t xml:space="preserve"> (Wang et al., 2012).</w:t>
      </w:r>
      <w:r w:rsidR="008233D4">
        <w:rPr>
          <w:rFonts w:eastAsiaTheme="minorHAnsi" w:cs="Arial"/>
          <w:color w:val="000000" w:themeColor="text1"/>
          <w:szCs w:val="18"/>
          <w:lang w:val="en-ZA"/>
        </w:rPr>
        <w:t xml:space="preserve"> </w:t>
      </w:r>
      <w:proofErr w:type="spellStart"/>
      <w:r w:rsidR="00CE7F24" w:rsidRPr="00EF5FEF">
        <w:rPr>
          <w:rFonts w:eastAsiaTheme="minorHAnsi" w:cs="Arial"/>
          <w:color w:val="000000" w:themeColor="text1"/>
          <w:szCs w:val="18"/>
          <w:lang w:val="en-ZA"/>
        </w:rPr>
        <w:t>Okanlawon</w:t>
      </w:r>
      <w:proofErr w:type="spellEnd"/>
      <w:r w:rsidR="00CE7F24" w:rsidRPr="00EF5FEF">
        <w:rPr>
          <w:rFonts w:eastAsiaTheme="minorHAnsi" w:cs="Arial"/>
          <w:color w:val="000000" w:themeColor="text1"/>
          <w:szCs w:val="18"/>
          <w:lang w:val="en-ZA"/>
        </w:rPr>
        <w:t xml:space="preserve"> et al. (2010) and Yasin and Al-</w:t>
      </w:r>
      <w:proofErr w:type="spellStart"/>
      <w:r w:rsidR="00CE7F24" w:rsidRPr="00EF5FEF">
        <w:rPr>
          <w:rFonts w:eastAsiaTheme="minorHAnsi" w:cs="Arial"/>
          <w:color w:val="000000" w:themeColor="text1"/>
          <w:szCs w:val="18"/>
          <w:lang w:val="en-ZA"/>
        </w:rPr>
        <w:t>Mayaly</w:t>
      </w:r>
      <w:proofErr w:type="spellEnd"/>
      <w:r w:rsidR="00CE7F24" w:rsidRPr="00EF5FEF">
        <w:rPr>
          <w:rFonts w:eastAsiaTheme="minorHAnsi" w:cs="Arial"/>
          <w:color w:val="000000" w:themeColor="text1"/>
          <w:szCs w:val="18"/>
          <w:lang w:val="en-ZA"/>
        </w:rPr>
        <w:t xml:space="preserve"> (2021) showed that the growth </w:t>
      </w:r>
      <w:r w:rsidR="00CE7F24" w:rsidRPr="00EF5FEF">
        <w:rPr>
          <w:rFonts w:eastAsiaTheme="minorHAnsi" w:cs="Arial"/>
          <w:i/>
          <w:iCs/>
          <w:color w:val="000000" w:themeColor="text1"/>
          <w:szCs w:val="18"/>
          <w:lang w:val="en-ZA"/>
        </w:rPr>
        <w:t>B. cereus</w:t>
      </w:r>
      <w:r w:rsidR="00CE7F24" w:rsidRPr="00EF5FEF">
        <w:rPr>
          <w:rFonts w:eastAsiaTheme="minorHAnsi" w:cs="Arial"/>
          <w:color w:val="000000" w:themeColor="text1"/>
          <w:szCs w:val="18"/>
          <w:lang w:val="en-ZA"/>
        </w:rPr>
        <w:t xml:space="preserve"> was at near neutral pH.</w:t>
      </w:r>
      <w:r w:rsidR="00CE7F24" w:rsidRPr="006911A0">
        <w:rPr>
          <w:rFonts w:eastAsiaTheme="minorHAnsi" w:cs="Arial"/>
          <w:color w:val="000000" w:themeColor="text1"/>
          <w:szCs w:val="18"/>
          <w:lang w:val="en-ZA"/>
        </w:rPr>
        <w:t xml:space="preserve"> </w:t>
      </w:r>
      <w:r w:rsidR="00CE7F24">
        <w:rPr>
          <w:rFonts w:eastAsiaTheme="minorHAnsi" w:cs="Arial"/>
          <w:color w:val="000000" w:themeColor="text1"/>
          <w:szCs w:val="18"/>
          <w:lang w:val="en-ZA"/>
        </w:rPr>
        <w:t xml:space="preserve"> </w:t>
      </w:r>
      <w:r w:rsidR="008233D4">
        <w:rPr>
          <w:rFonts w:eastAsiaTheme="minorHAnsi" w:cs="Arial"/>
          <w:color w:val="000000" w:themeColor="text1"/>
          <w:szCs w:val="18"/>
          <w:lang w:val="en-ZA"/>
        </w:rPr>
        <w:t xml:space="preserve">Metabolic analysis of </w:t>
      </w:r>
      <w:r w:rsidR="008233D4" w:rsidRPr="008233D4">
        <w:rPr>
          <w:rFonts w:eastAsiaTheme="minorHAnsi" w:cs="Arial"/>
          <w:i/>
          <w:iCs/>
          <w:color w:val="000000" w:themeColor="text1"/>
          <w:szCs w:val="18"/>
          <w:lang w:val="en-ZA"/>
        </w:rPr>
        <w:t>B. cereus</w:t>
      </w:r>
      <w:r w:rsidR="008233D4">
        <w:rPr>
          <w:rFonts w:eastAsiaTheme="minorHAnsi" w:cs="Arial"/>
          <w:color w:val="000000" w:themeColor="text1"/>
          <w:szCs w:val="18"/>
          <w:lang w:val="en-ZA"/>
        </w:rPr>
        <w:t xml:space="preserve"> fermentation by  Le Lay et al. (201</w:t>
      </w:r>
      <w:r w:rsidR="00C7795C">
        <w:rPr>
          <w:rFonts w:eastAsiaTheme="minorHAnsi" w:cs="Arial"/>
          <w:color w:val="000000" w:themeColor="text1"/>
          <w:szCs w:val="18"/>
          <w:lang w:val="en-ZA"/>
        </w:rPr>
        <w:t>5</w:t>
      </w:r>
      <w:r w:rsidR="008233D4">
        <w:rPr>
          <w:rFonts w:eastAsiaTheme="minorHAnsi" w:cs="Arial"/>
          <w:color w:val="000000" w:themeColor="text1"/>
          <w:szCs w:val="18"/>
          <w:lang w:val="en-ZA"/>
        </w:rPr>
        <w:t>) showed that low pH modifies fermentative metabolism significantly by changing its by-product formation.</w:t>
      </w:r>
      <w:r w:rsidRPr="00EF5FEF">
        <w:rPr>
          <w:rFonts w:eastAsiaTheme="minorHAnsi" w:cs="Arial"/>
          <w:color w:val="000000" w:themeColor="text1"/>
          <w:szCs w:val="18"/>
          <w:lang w:val="en-ZA"/>
        </w:rPr>
        <w:t xml:space="preserve"> </w:t>
      </w:r>
      <w:r w:rsidR="003458C2">
        <w:rPr>
          <w:rFonts w:eastAsiaTheme="minorHAnsi" w:cs="Arial"/>
          <w:color w:val="000000" w:themeColor="text1"/>
          <w:szCs w:val="18"/>
          <w:lang w:val="en-ZA"/>
        </w:rPr>
        <w:t xml:space="preserve">Low redox potential in combination with low pH resulted in a decrease in the final biomass concentration compared to a low redox potential and neutral pH. </w:t>
      </w:r>
    </w:p>
    <w:p w14:paraId="05A09382" w14:textId="2A10E45F" w:rsidR="00257213" w:rsidRPr="00257213" w:rsidRDefault="00257213" w:rsidP="00257213">
      <w:pPr>
        <w:tabs>
          <w:tab w:val="clear" w:pos="7100"/>
        </w:tabs>
        <w:autoSpaceDE w:val="0"/>
        <w:autoSpaceDN w:val="0"/>
        <w:adjustRightInd w:val="0"/>
        <w:spacing w:line="276" w:lineRule="auto"/>
        <w:rPr>
          <w:rFonts w:eastAsiaTheme="minorHAnsi" w:cs="Arial"/>
          <w:color w:val="FF0000"/>
          <w:szCs w:val="18"/>
          <w:lang w:val="en-ZA"/>
        </w:rPr>
      </w:pPr>
      <w:r w:rsidRPr="004445A2">
        <w:rPr>
          <w:rFonts w:eastAsiaTheme="minorHAnsi" w:cs="Arial"/>
          <w:color w:val="000000" w:themeColor="text1"/>
          <w:szCs w:val="18"/>
          <w:lang w:val="en-ZA"/>
        </w:rPr>
        <w:t xml:space="preserve">The current study will seek to </w:t>
      </w:r>
      <w:r w:rsidR="00F21816">
        <w:rPr>
          <w:rFonts w:eastAsiaTheme="minorHAnsi" w:cs="Arial"/>
          <w:color w:val="000000" w:themeColor="text1"/>
          <w:szCs w:val="18"/>
          <w:lang w:val="en-ZA"/>
        </w:rPr>
        <w:t>evaluate</w:t>
      </w:r>
      <w:r w:rsidR="003F1895">
        <w:rPr>
          <w:rFonts w:eastAsiaTheme="minorHAnsi" w:cs="Arial"/>
          <w:color w:val="000000" w:themeColor="text1"/>
          <w:szCs w:val="18"/>
          <w:lang w:val="en-ZA"/>
        </w:rPr>
        <w:t xml:space="preserve"> the growth potential</w:t>
      </w:r>
      <w:r w:rsidRPr="004445A2">
        <w:rPr>
          <w:rFonts w:eastAsiaTheme="minorHAnsi" w:cs="Arial"/>
          <w:color w:val="000000" w:themeColor="text1"/>
          <w:szCs w:val="18"/>
          <w:lang w:val="en-ZA"/>
        </w:rPr>
        <w:t xml:space="preserve"> </w:t>
      </w:r>
      <w:r w:rsidR="003F1895">
        <w:rPr>
          <w:rFonts w:eastAsiaTheme="minorHAnsi" w:cs="Arial"/>
          <w:color w:val="000000" w:themeColor="text1"/>
          <w:szCs w:val="18"/>
          <w:lang w:val="en-ZA"/>
        </w:rPr>
        <w:t xml:space="preserve">of </w:t>
      </w:r>
      <w:r w:rsidRPr="00257213">
        <w:rPr>
          <w:rFonts w:eastAsiaTheme="minorHAnsi" w:cs="Arial"/>
          <w:i/>
          <w:iCs/>
          <w:color w:val="000000" w:themeColor="text1"/>
          <w:szCs w:val="18"/>
          <w:lang w:val="en-ZA"/>
        </w:rPr>
        <w:t xml:space="preserve">B. </w:t>
      </w:r>
      <w:r w:rsidRPr="003E1D4E">
        <w:rPr>
          <w:rFonts w:eastAsiaTheme="minorHAnsi" w:cs="Arial"/>
          <w:i/>
          <w:iCs/>
          <w:color w:val="000000" w:themeColor="text1"/>
          <w:szCs w:val="18"/>
          <w:lang w:val="en-ZA"/>
        </w:rPr>
        <w:t>cereus</w:t>
      </w:r>
      <w:r w:rsidRPr="003E1D4E">
        <w:rPr>
          <w:rFonts w:eastAsiaTheme="minorHAnsi" w:cs="Arial"/>
          <w:color w:val="000000" w:themeColor="text1"/>
          <w:szCs w:val="18"/>
          <w:lang w:val="en-ZA"/>
        </w:rPr>
        <w:t xml:space="preserve"> on glucose and xylose</w:t>
      </w:r>
      <w:r w:rsidR="00DA6DAA" w:rsidRPr="003E1D4E">
        <w:rPr>
          <w:rFonts w:eastAsiaTheme="minorHAnsi" w:cs="Arial"/>
          <w:color w:val="000000" w:themeColor="text1"/>
          <w:szCs w:val="18"/>
          <w:lang w:val="en-ZA"/>
        </w:rPr>
        <w:t xml:space="preserve"> </w:t>
      </w:r>
      <w:r w:rsidRPr="003E1D4E">
        <w:rPr>
          <w:rFonts w:eastAsiaTheme="minorHAnsi" w:cs="Arial"/>
          <w:color w:val="000000" w:themeColor="text1"/>
          <w:szCs w:val="18"/>
          <w:lang w:val="en-ZA"/>
        </w:rPr>
        <w:t>using</w:t>
      </w:r>
      <w:r w:rsidRPr="004445A2">
        <w:rPr>
          <w:rFonts w:eastAsiaTheme="minorHAnsi" w:cs="Arial"/>
          <w:color w:val="000000" w:themeColor="text1"/>
          <w:szCs w:val="18"/>
          <w:lang w:val="en-ZA"/>
        </w:rPr>
        <w:t xml:space="preserve"> </w:t>
      </w:r>
      <w:r w:rsidRPr="004445A2">
        <w:t>MgCO</w:t>
      </w:r>
      <w:r w:rsidRPr="004445A2">
        <w:rPr>
          <w:vertAlign w:val="subscript"/>
        </w:rPr>
        <w:t xml:space="preserve">3 </w:t>
      </w:r>
      <w:r w:rsidRPr="004445A2">
        <w:t>as a</w:t>
      </w:r>
      <w:r>
        <w:t xml:space="preserve"> </w:t>
      </w:r>
      <w:r w:rsidRPr="004445A2">
        <w:t xml:space="preserve">neutralizing agent. </w:t>
      </w:r>
    </w:p>
    <w:p w14:paraId="0605CCD1" w14:textId="77777777" w:rsidR="005F0806" w:rsidRPr="002E10DB" w:rsidRDefault="005F0806" w:rsidP="005F0806">
      <w:pPr>
        <w:pStyle w:val="CETBodytext"/>
      </w:pPr>
    </w:p>
    <w:p w14:paraId="5741900F" w14:textId="70260642" w:rsidR="00453E24" w:rsidRDefault="006F520A" w:rsidP="00453E24">
      <w:pPr>
        <w:pStyle w:val="CETHeading1"/>
      </w:pPr>
      <w:r>
        <w:t>Materials and methods</w:t>
      </w:r>
    </w:p>
    <w:p w14:paraId="0636B784" w14:textId="2144BA42" w:rsidR="00453E24" w:rsidRDefault="006F520A" w:rsidP="00453E24">
      <w:pPr>
        <w:pStyle w:val="CETheadingx"/>
      </w:pPr>
      <w:r>
        <w:t>Microorganism and growth medium</w:t>
      </w:r>
    </w:p>
    <w:p w14:paraId="4847F0D4" w14:textId="3C01861E" w:rsidR="00213BD7" w:rsidRPr="00213BD7" w:rsidRDefault="005B05B9" w:rsidP="00213BD7">
      <w:pPr>
        <w:spacing w:line="276" w:lineRule="auto"/>
        <w:rPr>
          <w:color w:val="131413"/>
          <w:szCs w:val="24"/>
        </w:rPr>
      </w:pPr>
      <w:r w:rsidRPr="003E1D4E">
        <w:rPr>
          <w:i/>
          <w:iCs/>
        </w:rPr>
        <w:t>Lactobacillus</w:t>
      </w:r>
      <w:r w:rsidR="00213BD7" w:rsidRPr="003E1D4E">
        <w:rPr>
          <w:i/>
          <w:iCs/>
        </w:rPr>
        <w:t xml:space="preserve"> </w:t>
      </w:r>
      <w:r w:rsidRPr="003E1D4E">
        <w:rPr>
          <w:i/>
          <w:iCs/>
        </w:rPr>
        <w:t>cereus</w:t>
      </w:r>
      <w:r w:rsidR="00346672">
        <w:rPr>
          <w:i/>
          <w:iCs/>
        </w:rPr>
        <w:t xml:space="preserve"> </w:t>
      </w:r>
      <w:r w:rsidR="00346672" w:rsidRPr="00346672">
        <w:t>strain</w:t>
      </w:r>
      <w:r w:rsidR="00346672">
        <w:rPr>
          <w:i/>
          <w:iCs/>
        </w:rPr>
        <w:t xml:space="preserve"> AS1</w:t>
      </w:r>
      <w:r w:rsidR="00B67C74" w:rsidRPr="003E1D4E">
        <w:rPr>
          <w:i/>
          <w:iCs/>
        </w:rPr>
        <w:t xml:space="preserve"> </w:t>
      </w:r>
      <w:r w:rsidR="00B67C74" w:rsidRPr="003E1D4E">
        <w:t>was</w:t>
      </w:r>
      <w:r w:rsidR="00DD71A8" w:rsidRPr="003E1D4E">
        <w:t xml:space="preserve"> isolated in the laboratory and identified using 16s rRNA sequencing</w:t>
      </w:r>
      <w:r w:rsidR="00523808">
        <w:t xml:space="preserve">. This strain </w:t>
      </w:r>
      <w:r w:rsidR="003E1D4E">
        <w:t>was</w:t>
      </w:r>
      <w:r w:rsidR="00B67C74" w:rsidRPr="003E1D4E">
        <w:t xml:space="preserve"> used for </w:t>
      </w:r>
      <w:r w:rsidR="00523808">
        <w:t xml:space="preserve">all </w:t>
      </w:r>
      <w:r w:rsidR="00B67C74" w:rsidRPr="003E1D4E">
        <w:t xml:space="preserve">the fermentations. </w:t>
      </w:r>
      <w:r w:rsidR="00213BD7" w:rsidRPr="003E1D4E">
        <w:rPr>
          <w:color w:val="131413"/>
          <w:szCs w:val="24"/>
        </w:rPr>
        <w:t>Stock cultures (1.5 mL) are</w:t>
      </w:r>
      <w:r w:rsidR="00213BD7" w:rsidRPr="003E1D4E">
        <w:rPr>
          <w:szCs w:val="24"/>
        </w:rPr>
        <w:t xml:space="preserve"> </w:t>
      </w:r>
      <w:r w:rsidR="00213BD7" w:rsidRPr="003E1D4E">
        <w:rPr>
          <w:color w:val="131413"/>
          <w:szCs w:val="24"/>
        </w:rPr>
        <w:t>stored at</w:t>
      </w:r>
      <w:r w:rsidR="005673F7" w:rsidRPr="003E1D4E">
        <w:rPr>
          <w:color w:val="131413"/>
          <w:szCs w:val="24"/>
        </w:rPr>
        <w:t xml:space="preserve"> -</w:t>
      </w:r>
      <w:r w:rsidR="00213BD7" w:rsidRPr="003E1D4E">
        <w:rPr>
          <w:color w:val="131413"/>
          <w:szCs w:val="24"/>
        </w:rPr>
        <w:t>40</w:t>
      </w:r>
      <w:r w:rsidR="005673F7" w:rsidRPr="003E1D4E">
        <w:rPr>
          <w:color w:val="131413"/>
          <w:szCs w:val="24"/>
        </w:rPr>
        <w:t> </w:t>
      </w:r>
      <w:r w:rsidR="00213BD7" w:rsidRPr="003E1D4E">
        <w:rPr>
          <w:color w:val="131413"/>
          <w:szCs w:val="24"/>
        </w:rPr>
        <w:t>°C in 66 % v/v glycerol solutions. Inoculum was prepared by transferring</w:t>
      </w:r>
      <w:r w:rsidR="00213BD7" w:rsidRPr="00213BD7">
        <w:rPr>
          <w:color w:val="131413"/>
          <w:szCs w:val="24"/>
        </w:rPr>
        <w:t xml:space="preserve"> a stock culture to 15 mL of sterilised tryptone soy broth at 30 g/L and incubating at </w:t>
      </w:r>
      <w:r w:rsidR="00213BD7" w:rsidRPr="00213BD7">
        <w:rPr>
          <w:szCs w:val="24"/>
        </w:rPr>
        <w:t>37 °C</w:t>
      </w:r>
      <w:r w:rsidR="00213BD7" w:rsidRPr="00213BD7">
        <w:rPr>
          <w:color w:val="131413"/>
          <w:szCs w:val="24"/>
        </w:rPr>
        <w:t xml:space="preserve"> and 150 rpm for 16 to 24 h. </w:t>
      </w:r>
    </w:p>
    <w:p w14:paraId="0D007C0D" w14:textId="0E638657" w:rsidR="006F520A" w:rsidRDefault="006F520A" w:rsidP="006F520A">
      <w:pPr>
        <w:pStyle w:val="CETheadingx"/>
      </w:pPr>
      <w:r>
        <w:t>Fermentation media</w:t>
      </w:r>
    </w:p>
    <w:p w14:paraId="12275A69" w14:textId="3D2948E3" w:rsidR="00C97A38" w:rsidRPr="00B67C74" w:rsidRDefault="00213BD7" w:rsidP="00B67C74">
      <w:pPr>
        <w:spacing w:line="276" w:lineRule="auto"/>
        <w:rPr>
          <w:szCs w:val="24"/>
        </w:rPr>
      </w:pPr>
      <w:r>
        <w:t xml:space="preserve">The fermentation medium was a replica </w:t>
      </w:r>
      <w:r w:rsidRPr="00592181">
        <w:t xml:space="preserve">of the medium </w:t>
      </w:r>
      <w:r w:rsidRPr="00213BD7">
        <w:t xml:space="preserve">developed by Bradfield </w:t>
      </w:r>
      <w:r w:rsidRPr="00213BD7">
        <w:rPr>
          <w:lang w:eastAsia="en-ZA"/>
        </w:rPr>
        <w:t>and</w:t>
      </w:r>
      <w:r w:rsidRPr="00213BD7">
        <w:t xml:space="preserve"> Nicol (2014). All</w:t>
      </w:r>
      <w:r w:rsidRPr="00672FB1">
        <w:t xml:space="preserve"> chemicals were </w:t>
      </w:r>
      <w:r w:rsidRPr="00213BD7">
        <w:rPr>
          <w:color w:val="000000" w:themeColor="text1"/>
        </w:rPr>
        <w:t xml:space="preserve">obtained from Merck </w:t>
      </w:r>
      <w:proofErr w:type="spellStart"/>
      <w:r w:rsidRPr="00213BD7">
        <w:rPr>
          <w:color w:val="000000" w:themeColor="text1"/>
        </w:rPr>
        <w:t>KGaA</w:t>
      </w:r>
      <w:proofErr w:type="spellEnd"/>
      <w:r w:rsidRPr="00213BD7">
        <w:rPr>
          <w:color w:val="000000" w:themeColor="text1"/>
        </w:rPr>
        <w:t xml:space="preserve"> (Darmstadt, Germany) unless otherwise stated. The medium consists of three parts: the </w:t>
      </w:r>
      <w:r w:rsidRPr="00213BD7">
        <w:rPr>
          <w:color w:val="000000" w:themeColor="text1"/>
          <w:szCs w:val="24"/>
        </w:rPr>
        <w:t>nutrient and salt solution, a phosphate buffer, and the glucose/substrate solution. T</w:t>
      </w:r>
      <w:r w:rsidRPr="00213BD7">
        <w:rPr>
          <w:szCs w:val="24"/>
        </w:rPr>
        <w:t>he nutrient and salts solution were composed of 6.0 g/L yeast extract, 10.0 g/L clarified corn steep liquor (Sigma-Aldrich, St Louis, USA), 0.5 g/L NaCl, 0.2 MgCl</w:t>
      </w:r>
      <w:r w:rsidRPr="00213BD7">
        <w:rPr>
          <w:szCs w:val="24"/>
          <w:vertAlign w:val="subscript"/>
        </w:rPr>
        <w:t>2</w:t>
      </w:r>
      <w:r w:rsidRPr="00213BD7">
        <w:rPr>
          <w:szCs w:val="24"/>
        </w:rPr>
        <w:t>·6H</w:t>
      </w:r>
      <w:r w:rsidRPr="00213BD7">
        <w:rPr>
          <w:szCs w:val="24"/>
          <w:vertAlign w:val="subscript"/>
        </w:rPr>
        <w:t>2</w:t>
      </w:r>
      <w:r w:rsidRPr="00213BD7">
        <w:rPr>
          <w:szCs w:val="24"/>
        </w:rPr>
        <w:t>O, 0.2 g/L CaCl</w:t>
      </w:r>
      <w:r w:rsidRPr="00213BD7">
        <w:rPr>
          <w:szCs w:val="24"/>
          <w:vertAlign w:val="subscript"/>
        </w:rPr>
        <w:t>2</w:t>
      </w:r>
      <w:r w:rsidRPr="00213BD7">
        <w:rPr>
          <w:szCs w:val="24"/>
        </w:rPr>
        <w:t>·2H</w:t>
      </w:r>
      <w:r w:rsidRPr="00213BD7">
        <w:rPr>
          <w:szCs w:val="24"/>
          <w:vertAlign w:val="subscript"/>
        </w:rPr>
        <w:t>2</w:t>
      </w:r>
      <w:r w:rsidRPr="00213BD7">
        <w:rPr>
          <w:szCs w:val="24"/>
        </w:rPr>
        <w:t>O and 1.0 mL/L of Antifoam SE-15 (Sigma-Aldrich, Germany). The phosphate buffer consisted of 1.6 g/L KH</w:t>
      </w:r>
      <w:r w:rsidRPr="00213BD7">
        <w:rPr>
          <w:szCs w:val="24"/>
          <w:vertAlign w:val="subscript"/>
        </w:rPr>
        <w:t>2</w:t>
      </w:r>
      <w:r w:rsidRPr="00213BD7">
        <w:rPr>
          <w:szCs w:val="24"/>
        </w:rPr>
        <w:t>PO</w:t>
      </w:r>
      <w:r w:rsidRPr="00213BD7">
        <w:rPr>
          <w:szCs w:val="24"/>
          <w:vertAlign w:val="subscript"/>
        </w:rPr>
        <w:t>4</w:t>
      </w:r>
      <w:r w:rsidRPr="00213BD7">
        <w:rPr>
          <w:szCs w:val="24"/>
        </w:rPr>
        <w:t xml:space="preserve"> and 0.8 g/L K</w:t>
      </w:r>
      <w:r w:rsidRPr="00213BD7">
        <w:rPr>
          <w:szCs w:val="24"/>
          <w:vertAlign w:val="subscript"/>
        </w:rPr>
        <w:t>2</w:t>
      </w:r>
      <w:r w:rsidRPr="00213BD7">
        <w:rPr>
          <w:szCs w:val="24"/>
        </w:rPr>
        <w:t>HPO</w:t>
      </w:r>
      <w:r w:rsidRPr="00213BD7">
        <w:rPr>
          <w:szCs w:val="24"/>
          <w:vertAlign w:val="subscript"/>
        </w:rPr>
        <w:t>4</w:t>
      </w:r>
      <w:r w:rsidRPr="00213BD7">
        <w:rPr>
          <w:szCs w:val="24"/>
        </w:rPr>
        <w:t>. The D-glucose (</w:t>
      </w:r>
      <w:proofErr w:type="spellStart"/>
      <w:r w:rsidRPr="00213BD7">
        <w:rPr>
          <w:szCs w:val="24"/>
        </w:rPr>
        <w:t>Futaste</w:t>
      </w:r>
      <w:proofErr w:type="spellEnd"/>
      <w:r w:rsidRPr="00213BD7">
        <w:rPr>
          <w:szCs w:val="24"/>
        </w:rPr>
        <w:t xml:space="preserve"> Pharmaceutical Co. Ltd, Shandong, China)</w:t>
      </w:r>
      <w:r w:rsidR="00A43879">
        <w:rPr>
          <w:szCs w:val="24"/>
        </w:rPr>
        <w:t xml:space="preserve"> and D-xylose</w:t>
      </w:r>
      <w:r w:rsidRPr="00213BD7">
        <w:rPr>
          <w:szCs w:val="24"/>
        </w:rPr>
        <w:t xml:space="preserve"> </w:t>
      </w:r>
      <w:r w:rsidRPr="00763ACE">
        <w:rPr>
          <w:szCs w:val="24"/>
        </w:rPr>
        <w:t>concentration</w:t>
      </w:r>
      <w:r w:rsidR="00A43879">
        <w:rPr>
          <w:szCs w:val="24"/>
        </w:rPr>
        <w:t>s</w:t>
      </w:r>
      <w:r w:rsidRPr="00763ACE">
        <w:rPr>
          <w:szCs w:val="24"/>
        </w:rPr>
        <w:t xml:space="preserve"> w</w:t>
      </w:r>
      <w:r w:rsidR="00A43879">
        <w:rPr>
          <w:szCs w:val="24"/>
        </w:rPr>
        <w:t>ere</w:t>
      </w:r>
      <w:r w:rsidRPr="00763ACE">
        <w:rPr>
          <w:szCs w:val="24"/>
        </w:rPr>
        <w:t xml:space="preserve"> </w:t>
      </w:r>
      <w:r w:rsidR="00B67C74" w:rsidRPr="00763ACE">
        <w:rPr>
          <w:szCs w:val="24"/>
        </w:rPr>
        <w:t xml:space="preserve">70 and </w:t>
      </w:r>
      <w:r w:rsidRPr="00763ACE">
        <w:rPr>
          <w:szCs w:val="24"/>
        </w:rPr>
        <w:t>80 g/L.  MgCO</w:t>
      </w:r>
      <w:r w:rsidRPr="00763ACE">
        <w:rPr>
          <w:szCs w:val="24"/>
          <w:vertAlign w:val="subscript"/>
        </w:rPr>
        <w:t>3</w:t>
      </w:r>
      <w:r w:rsidRPr="00213BD7">
        <w:rPr>
          <w:szCs w:val="24"/>
        </w:rPr>
        <w:t xml:space="preserve"> acted as the pH regulator and the final concentration in the fermenter was 40 g/L.</w:t>
      </w:r>
    </w:p>
    <w:p w14:paraId="7E6B3499" w14:textId="335405DE" w:rsidR="00C97A38" w:rsidRDefault="00C97A38" w:rsidP="00C97A38">
      <w:pPr>
        <w:pStyle w:val="CETheadingx"/>
      </w:pPr>
      <w:r>
        <w:t>Experimental setup and operation</w:t>
      </w:r>
    </w:p>
    <w:p w14:paraId="06FB4AE9" w14:textId="3757FFD6" w:rsidR="00213BD7" w:rsidRPr="00213BD7" w:rsidRDefault="00213BD7" w:rsidP="00213BD7">
      <w:pPr>
        <w:spacing w:line="276" w:lineRule="auto"/>
        <w:rPr>
          <w:szCs w:val="24"/>
        </w:rPr>
      </w:pPr>
      <w:bookmarkStart w:id="1" w:name="_Hlk155720303"/>
      <w:r w:rsidRPr="00213BD7">
        <w:rPr>
          <w:szCs w:val="24"/>
        </w:rPr>
        <w:t>The three feed solutions w</w:t>
      </w:r>
      <w:r w:rsidR="00773EB0">
        <w:rPr>
          <w:szCs w:val="24"/>
        </w:rPr>
        <w:t>ere</w:t>
      </w:r>
      <w:r w:rsidRPr="00213BD7">
        <w:rPr>
          <w:szCs w:val="24"/>
        </w:rPr>
        <w:t xml:space="preserve"> prepared in different bottles and</w:t>
      </w:r>
      <w:r>
        <w:t xml:space="preserve"> diluted with distilled water until a 250 mL solution was obtained.</w:t>
      </w:r>
      <w:r w:rsidRPr="00213BD7">
        <w:rPr>
          <w:szCs w:val="24"/>
        </w:rPr>
        <w:t xml:space="preserve"> The initial fermenter broth volume was 750 </w:t>
      </w:r>
      <w:proofErr w:type="spellStart"/>
      <w:r w:rsidRPr="00213BD7">
        <w:rPr>
          <w:szCs w:val="24"/>
        </w:rPr>
        <w:t>mL</w:t>
      </w:r>
      <w:r>
        <w:rPr>
          <w:szCs w:val="24"/>
        </w:rPr>
        <w:t>.</w:t>
      </w:r>
      <w:proofErr w:type="spellEnd"/>
      <w:r>
        <w:rPr>
          <w:szCs w:val="24"/>
        </w:rPr>
        <w:t xml:space="preserve"> </w:t>
      </w:r>
      <w:r w:rsidRPr="00213BD7">
        <w:rPr>
          <w:szCs w:val="24"/>
        </w:rPr>
        <w:t>All three bottles were connected in series with silicone tubing to a 1 L fermenter. The silicone tubing was clamped shut to prevent mixing and unwanted reactions from occurring during autoclaving and were separately sterilised by autoclaving at 121°C for 60 min. Once they ha</w:t>
      </w:r>
      <w:r w:rsidR="001C69BC">
        <w:rPr>
          <w:szCs w:val="24"/>
        </w:rPr>
        <w:t>d</w:t>
      </w:r>
      <w:r w:rsidRPr="00213BD7">
        <w:rPr>
          <w:szCs w:val="24"/>
        </w:rPr>
        <w:t xml:space="preserve"> cooled down, </w:t>
      </w:r>
      <w:r w:rsidR="001C69BC">
        <w:rPr>
          <w:szCs w:val="24"/>
        </w:rPr>
        <w:t xml:space="preserve">the </w:t>
      </w:r>
      <w:r w:rsidRPr="00213BD7">
        <w:rPr>
          <w:szCs w:val="24"/>
        </w:rPr>
        <w:t xml:space="preserve">three solutions were added to the main reactor, aseptically. </w:t>
      </w:r>
    </w:p>
    <w:p w14:paraId="439DEBE6" w14:textId="4C13FB87" w:rsidR="00C97A38" w:rsidRPr="00DC4EA8" w:rsidRDefault="00213BD7" w:rsidP="00DC4EA8">
      <w:pPr>
        <w:autoSpaceDE w:val="0"/>
        <w:autoSpaceDN w:val="0"/>
        <w:adjustRightInd w:val="0"/>
        <w:spacing w:line="276" w:lineRule="auto"/>
        <w:rPr>
          <w:szCs w:val="24"/>
        </w:rPr>
      </w:pPr>
      <w:r w:rsidRPr="00213BD7">
        <w:rPr>
          <w:szCs w:val="24"/>
        </w:rPr>
        <w:t xml:space="preserve">The fermenter was placed on a hotplate stirrer and attached to a temperature measuring electrode. Temperature and stirring speed were controlled at a temperature of 37 °C and 300 rpm, </w:t>
      </w:r>
      <w:r w:rsidRPr="00B67C74">
        <w:rPr>
          <w:szCs w:val="24"/>
        </w:rPr>
        <w:t>respectively</w:t>
      </w:r>
      <w:r w:rsidRPr="00B67C74">
        <w:t xml:space="preserve">. </w:t>
      </w:r>
      <w:r w:rsidRPr="00B67C74">
        <w:rPr>
          <w:szCs w:val="24"/>
        </w:rPr>
        <w:t>Inoculum was added into the reactor under sterile conditions and anaerobic batch fermentations were carried out for a total of 48</w:t>
      </w:r>
      <w:r w:rsidR="001C69BC">
        <w:rPr>
          <w:szCs w:val="24"/>
        </w:rPr>
        <w:t> </w:t>
      </w:r>
      <w:r w:rsidRPr="00213BD7">
        <w:rPr>
          <w:szCs w:val="24"/>
        </w:rPr>
        <w:t xml:space="preserve">hours. A sample was taken from the onset of the batch fermentation to note initial conditions for a batch run. Samples are taken every 2 hours for the first 12 hours and then the sampling time </w:t>
      </w:r>
      <w:r w:rsidR="001C69BC">
        <w:rPr>
          <w:szCs w:val="24"/>
        </w:rPr>
        <w:t>was</w:t>
      </w:r>
      <w:r w:rsidRPr="00213BD7">
        <w:rPr>
          <w:szCs w:val="24"/>
        </w:rPr>
        <w:t xml:space="preserve"> increased.</w:t>
      </w:r>
      <w:bookmarkEnd w:id="1"/>
    </w:p>
    <w:p w14:paraId="039E8A30" w14:textId="4B95D0FA" w:rsidR="00C97A38" w:rsidRDefault="00C97A38" w:rsidP="00C97A38">
      <w:pPr>
        <w:pStyle w:val="CETheadingx"/>
      </w:pPr>
      <w:r>
        <w:t>Analytical methods</w:t>
      </w:r>
    </w:p>
    <w:p w14:paraId="6A60516D" w14:textId="77777777" w:rsidR="00227959" w:rsidRDefault="00C97A38" w:rsidP="00227959">
      <w:pPr>
        <w:pStyle w:val="ListParagraph"/>
        <w:spacing w:line="276" w:lineRule="auto"/>
        <w:ind w:left="0"/>
        <w:rPr>
          <w:rFonts w:cs="Arial"/>
          <w:szCs w:val="18"/>
        </w:rPr>
      </w:pPr>
      <w:r w:rsidRPr="00C97A38">
        <w:rPr>
          <w:rFonts w:cs="Arial"/>
          <w:szCs w:val="18"/>
        </w:rPr>
        <w:t xml:space="preserve">Each </w:t>
      </w:r>
      <w:r>
        <w:rPr>
          <w:rFonts w:cs="Arial"/>
          <w:szCs w:val="18"/>
        </w:rPr>
        <w:t xml:space="preserve">4 mL </w:t>
      </w:r>
      <w:r w:rsidRPr="00C97A38">
        <w:rPr>
          <w:rFonts w:cs="Arial"/>
          <w:szCs w:val="18"/>
        </w:rPr>
        <w:t>sample was diluted with</w:t>
      </w:r>
      <w:r>
        <w:rPr>
          <w:rFonts w:cs="Arial"/>
          <w:szCs w:val="18"/>
        </w:rPr>
        <w:t xml:space="preserve"> a </w:t>
      </w:r>
      <w:r w:rsidRPr="00C97A38">
        <w:rPr>
          <w:rFonts w:cs="Arial"/>
          <w:szCs w:val="18"/>
        </w:rPr>
        <w:t>1 mol/L HCl solution to break down the carbonate solids that form</w:t>
      </w:r>
      <w:r>
        <w:rPr>
          <w:rFonts w:cs="Arial"/>
          <w:szCs w:val="18"/>
        </w:rPr>
        <w:t>ed</w:t>
      </w:r>
      <w:r w:rsidRPr="00C97A38">
        <w:rPr>
          <w:rFonts w:cs="Arial"/>
          <w:szCs w:val="18"/>
        </w:rPr>
        <w:t xml:space="preserve"> inside the reactor.</w:t>
      </w:r>
      <w:r w:rsidR="009F59B0">
        <w:rPr>
          <w:rFonts w:cs="Arial"/>
          <w:szCs w:val="18"/>
        </w:rPr>
        <w:t xml:space="preserve"> </w:t>
      </w:r>
      <w:r w:rsidR="00DD71A8" w:rsidRPr="00087922">
        <w:rPr>
          <w:rFonts w:cs="Arial"/>
          <w:szCs w:val="18"/>
        </w:rPr>
        <w:t>The c</w:t>
      </w:r>
      <w:r w:rsidRPr="00087922">
        <w:rPr>
          <w:rFonts w:cs="Arial"/>
          <w:szCs w:val="18"/>
        </w:rPr>
        <w:t xml:space="preserve">oncentration of </w:t>
      </w:r>
      <w:r w:rsidR="00FD7C45">
        <w:rPr>
          <w:rFonts w:cs="Arial"/>
          <w:szCs w:val="18"/>
        </w:rPr>
        <w:t>g</w:t>
      </w:r>
      <w:r w:rsidRPr="00087922">
        <w:rPr>
          <w:rFonts w:cs="Arial"/>
          <w:szCs w:val="18"/>
        </w:rPr>
        <w:t>lucose (</w:t>
      </w:r>
      <w:proofErr w:type="spellStart"/>
      <w:r w:rsidRPr="00087922">
        <w:rPr>
          <w:rFonts w:cs="Arial"/>
          <w:szCs w:val="18"/>
        </w:rPr>
        <w:t>Glc</w:t>
      </w:r>
      <w:proofErr w:type="spellEnd"/>
      <w:r w:rsidRPr="00087922">
        <w:rPr>
          <w:rFonts w:cs="Arial"/>
          <w:szCs w:val="18"/>
        </w:rPr>
        <w:t>)</w:t>
      </w:r>
      <w:r w:rsidR="00FD7C45">
        <w:rPr>
          <w:rFonts w:cs="Arial"/>
          <w:szCs w:val="18"/>
        </w:rPr>
        <w:t xml:space="preserve"> and xylose (</w:t>
      </w:r>
      <w:proofErr w:type="spellStart"/>
      <w:r w:rsidR="00FD7C45">
        <w:rPr>
          <w:rFonts w:cs="Arial"/>
          <w:szCs w:val="18"/>
        </w:rPr>
        <w:t>Xyl</w:t>
      </w:r>
      <w:proofErr w:type="spellEnd"/>
      <w:r w:rsidR="00FD7C45">
        <w:rPr>
          <w:rFonts w:cs="Arial"/>
          <w:szCs w:val="18"/>
        </w:rPr>
        <w:t>)</w:t>
      </w:r>
      <w:r w:rsidR="00DD71A8" w:rsidRPr="00087922">
        <w:rPr>
          <w:rFonts w:cs="Arial"/>
          <w:szCs w:val="18"/>
        </w:rPr>
        <w:t xml:space="preserve"> </w:t>
      </w:r>
      <w:r w:rsidRPr="00087922">
        <w:rPr>
          <w:rFonts w:cs="Arial"/>
          <w:szCs w:val="18"/>
        </w:rPr>
        <w:t>in the</w:t>
      </w:r>
      <w:r w:rsidRPr="00C97A38">
        <w:rPr>
          <w:rFonts w:cs="Arial"/>
          <w:szCs w:val="18"/>
        </w:rPr>
        <w:t xml:space="preserve"> fermenter broth w</w:t>
      </w:r>
      <w:r w:rsidR="00DD71A8">
        <w:rPr>
          <w:rFonts w:cs="Arial"/>
          <w:szCs w:val="18"/>
        </w:rPr>
        <w:t>as</w:t>
      </w:r>
      <w:r w:rsidRPr="00C97A38">
        <w:rPr>
          <w:rFonts w:cs="Arial"/>
          <w:szCs w:val="18"/>
        </w:rPr>
        <w:t xml:space="preserve"> determined by High-Performance Liquid Chromatography (HPLC). An Agilent 1260 Infinity HPLC (Agilent Technologies, USA), equipped with an RI detector and a 300 mm × 7.8 mm </w:t>
      </w:r>
      <w:proofErr w:type="spellStart"/>
      <w:r w:rsidRPr="00C97A38">
        <w:rPr>
          <w:rFonts w:cs="Arial"/>
          <w:szCs w:val="18"/>
        </w:rPr>
        <w:t>Aminex</w:t>
      </w:r>
      <w:proofErr w:type="spellEnd"/>
      <w:r w:rsidRPr="00C97A38">
        <w:rPr>
          <w:rFonts w:cs="Arial"/>
          <w:szCs w:val="18"/>
        </w:rPr>
        <w:t xml:space="preserve"> HPX-87H ion exchange column (Bio-Rad Laboratories, USA) was used. Two mobile phases were used for two methods of analysis. The method </w:t>
      </w:r>
      <w:r w:rsidR="00DD71A8" w:rsidRPr="00C97A38">
        <w:rPr>
          <w:rFonts w:cs="Arial"/>
          <w:szCs w:val="18"/>
        </w:rPr>
        <w:t xml:space="preserve">used a </w:t>
      </w:r>
      <w:r w:rsidR="000400EF">
        <w:rPr>
          <w:rFonts w:cs="Arial"/>
          <w:szCs w:val="18"/>
        </w:rPr>
        <w:t>20</w:t>
      </w:r>
      <w:r w:rsidR="00805784">
        <w:rPr>
          <w:rFonts w:cs="Arial"/>
          <w:szCs w:val="18"/>
        </w:rPr>
        <w:t xml:space="preserve"> </w:t>
      </w:r>
      <w:r w:rsidR="000400EF">
        <w:rPr>
          <w:rFonts w:cs="Arial"/>
          <w:szCs w:val="18"/>
        </w:rPr>
        <w:t>m</w:t>
      </w:r>
      <w:r w:rsidR="00DD71A8" w:rsidRPr="00805784">
        <w:rPr>
          <w:rFonts w:cs="Arial"/>
          <w:szCs w:val="18"/>
        </w:rPr>
        <w:t xml:space="preserve">M </w:t>
      </w:r>
      <w:r w:rsidR="00DD71A8" w:rsidRPr="00C97A38">
        <w:rPr>
          <w:rFonts w:cs="Arial"/>
          <w:szCs w:val="18"/>
        </w:rPr>
        <w:t>H</w:t>
      </w:r>
      <w:r w:rsidR="00EA34B1">
        <w:rPr>
          <w:rFonts w:cs="Arial"/>
          <w:szCs w:val="18"/>
          <w:vertAlign w:val="subscript"/>
        </w:rPr>
        <w:t>2</w:t>
      </w:r>
      <w:r w:rsidR="00DD71A8" w:rsidRPr="00C97A38">
        <w:rPr>
          <w:rFonts w:cs="Arial"/>
          <w:szCs w:val="18"/>
        </w:rPr>
        <w:t xml:space="preserve">SO4 mobile </w:t>
      </w:r>
      <w:r w:rsidRPr="00C97A38">
        <w:rPr>
          <w:rFonts w:cs="Arial"/>
          <w:szCs w:val="18"/>
        </w:rPr>
        <w:t>phase solution fed at a flowrate of 0.6 mL min</w:t>
      </w:r>
      <w:r w:rsidRPr="00C97A38">
        <w:rPr>
          <w:rFonts w:cs="Arial"/>
          <w:szCs w:val="18"/>
          <w:vertAlign w:val="superscript"/>
        </w:rPr>
        <w:t>-1</w:t>
      </w:r>
      <w:r w:rsidR="00DD71A8">
        <w:rPr>
          <w:rFonts w:cs="Arial"/>
          <w:szCs w:val="18"/>
        </w:rPr>
        <w:t>.</w:t>
      </w:r>
      <w:r w:rsidRPr="00C97A38">
        <w:rPr>
          <w:rFonts w:cs="Arial"/>
          <w:szCs w:val="18"/>
        </w:rPr>
        <w:t xml:space="preserve"> </w:t>
      </w:r>
      <w:r w:rsidR="00227959" w:rsidRPr="00227959">
        <w:rPr>
          <w:rFonts w:cs="Arial"/>
          <w:szCs w:val="18"/>
        </w:rPr>
        <w:t xml:space="preserve">The HPLC operating conditions resemble the conditions stated in </w:t>
      </w:r>
      <w:proofErr w:type="spellStart"/>
      <w:r w:rsidR="00227959" w:rsidRPr="00227959">
        <w:rPr>
          <w:rFonts w:cs="Arial"/>
          <w:szCs w:val="18"/>
        </w:rPr>
        <w:t>Mokwatlo</w:t>
      </w:r>
      <w:proofErr w:type="spellEnd"/>
      <w:r w:rsidR="00227959" w:rsidRPr="00227959">
        <w:rPr>
          <w:rFonts w:cs="Arial"/>
          <w:szCs w:val="18"/>
        </w:rPr>
        <w:t xml:space="preserve"> et al. (2020).</w:t>
      </w:r>
    </w:p>
    <w:p w14:paraId="4D7EF0EB" w14:textId="074E8566" w:rsidR="00C97A38" w:rsidRPr="00227959" w:rsidRDefault="00C97A38" w:rsidP="00227959">
      <w:pPr>
        <w:pStyle w:val="ListParagraph"/>
        <w:spacing w:line="276" w:lineRule="auto"/>
        <w:ind w:left="0"/>
        <w:rPr>
          <w:rFonts w:cs="Arial"/>
          <w:szCs w:val="18"/>
        </w:rPr>
      </w:pPr>
      <w:r w:rsidRPr="00C97A38">
        <w:rPr>
          <w:szCs w:val="18"/>
        </w:rPr>
        <w:t>The biomass concentration (X) in the reactor was a</w:t>
      </w:r>
      <w:r w:rsidR="00D96E8D">
        <w:rPr>
          <w:szCs w:val="18"/>
        </w:rPr>
        <w:t>ssessed</w:t>
      </w:r>
      <w:r w:rsidRPr="00C97A38">
        <w:rPr>
          <w:szCs w:val="18"/>
        </w:rPr>
        <w:t xml:space="preserve"> by performing absorbance readings using a</w:t>
      </w:r>
      <w:r>
        <w:rPr>
          <w:szCs w:val="18"/>
        </w:rPr>
        <w:t xml:space="preserve">n </w:t>
      </w:r>
      <w:r w:rsidRPr="00213BD7">
        <w:rPr>
          <w:szCs w:val="18"/>
        </w:rPr>
        <w:t>Agilent Cary 60 UV-Visible Spectrophotometer</w:t>
      </w:r>
      <w:r w:rsidRPr="00C97A38">
        <w:rPr>
          <w:szCs w:val="18"/>
        </w:rPr>
        <w:t xml:space="preserve"> (</w:t>
      </w:r>
      <w:r w:rsidR="00213BD7">
        <w:rPr>
          <w:szCs w:val="18"/>
        </w:rPr>
        <w:t>Agilent Technologies, USA</w:t>
      </w:r>
      <w:r w:rsidRPr="00C97A38">
        <w:rPr>
          <w:szCs w:val="18"/>
        </w:rPr>
        <w:t>) at a wavelength of 600 n</w:t>
      </w:r>
      <w:r w:rsidRPr="00DD71A8">
        <w:rPr>
          <w:szCs w:val="18"/>
        </w:rPr>
        <w:t>m.</w:t>
      </w:r>
      <w:r w:rsidR="00213BD7" w:rsidRPr="00DD71A8">
        <w:rPr>
          <w:szCs w:val="18"/>
        </w:rPr>
        <w:t xml:space="preserve"> The oxidation reduction potential (ORP) of the product stream was measured using an </w:t>
      </w:r>
      <w:proofErr w:type="spellStart"/>
      <w:r w:rsidR="00213BD7" w:rsidRPr="00DD71A8">
        <w:rPr>
          <w:szCs w:val="18"/>
        </w:rPr>
        <w:t>Ezdo</w:t>
      </w:r>
      <w:proofErr w:type="spellEnd"/>
      <w:r w:rsidR="00213BD7" w:rsidRPr="00DD71A8">
        <w:rPr>
          <w:szCs w:val="18"/>
        </w:rPr>
        <w:t xml:space="preserve"> PL-700 ALS </w:t>
      </w:r>
      <w:r w:rsidR="00227959">
        <w:rPr>
          <w:szCs w:val="18"/>
        </w:rPr>
        <w:t xml:space="preserve"> </w:t>
      </w:r>
      <w:r w:rsidR="00213BD7" w:rsidRPr="00DD71A8">
        <w:rPr>
          <w:szCs w:val="18"/>
        </w:rPr>
        <w:t>probe (</w:t>
      </w:r>
      <w:proofErr w:type="spellStart"/>
      <w:r w:rsidR="00213BD7" w:rsidRPr="00DD71A8">
        <w:rPr>
          <w:szCs w:val="18"/>
        </w:rPr>
        <w:t>Ezdo</w:t>
      </w:r>
      <w:proofErr w:type="spellEnd"/>
      <w:r w:rsidR="00213BD7" w:rsidRPr="00DD71A8">
        <w:rPr>
          <w:szCs w:val="18"/>
        </w:rPr>
        <w:t>, Taiwan).</w:t>
      </w:r>
    </w:p>
    <w:p w14:paraId="3F1678D7" w14:textId="6BB5AD8E" w:rsidR="00C97A38" w:rsidRDefault="00B15D77" w:rsidP="00C97A38">
      <w:pPr>
        <w:pStyle w:val="CETheadingx"/>
      </w:pPr>
      <w:r>
        <w:lastRenderedPageBreak/>
        <w:t>Microorganism characterization and identification</w:t>
      </w:r>
    </w:p>
    <w:p w14:paraId="7BB7249E" w14:textId="4E183E76" w:rsidR="00DE1380" w:rsidRPr="00B15D77" w:rsidRDefault="00B15D77" w:rsidP="00DE1380">
      <w:pPr>
        <w:pStyle w:val="CETBodytext"/>
        <w:rPr>
          <w:color w:val="000000" w:themeColor="text1"/>
        </w:rPr>
      </w:pPr>
      <w:r w:rsidRPr="00B15D77">
        <w:rPr>
          <w:color w:val="000000" w:themeColor="text1"/>
        </w:rPr>
        <w:t xml:space="preserve">The phylogenetic analysis was used to identify the bacterial strain. A BLAST program was used to analyze the bacterial stain by comparing it to the 16s rRNA sequence against the NCBI database. </w:t>
      </w:r>
    </w:p>
    <w:p w14:paraId="0167C00B" w14:textId="77777777" w:rsidR="00C97A38" w:rsidRPr="00C97A38" w:rsidRDefault="00C97A38" w:rsidP="00C97A38">
      <w:pPr>
        <w:pStyle w:val="CETBodytext"/>
      </w:pPr>
    </w:p>
    <w:p w14:paraId="677EBFF0" w14:textId="6AEC4600" w:rsidR="00600535" w:rsidRDefault="00C97A38" w:rsidP="00600535">
      <w:pPr>
        <w:pStyle w:val="CETHeading1"/>
        <w:tabs>
          <w:tab w:val="clear" w:pos="360"/>
          <w:tab w:val="right" w:pos="7100"/>
        </w:tabs>
        <w:jc w:val="both"/>
        <w:rPr>
          <w:lang w:val="en-GB"/>
        </w:rPr>
      </w:pPr>
      <w:r>
        <w:rPr>
          <w:lang w:val="en-GB"/>
        </w:rPr>
        <w:t>Results and discussions</w:t>
      </w:r>
    </w:p>
    <w:p w14:paraId="46F5B96F" w14:textId="727C5608" w:rsidR="00256EA8" w:rsidRPr="00D840FD" w:rsidRDefault="00256EA8" w:rsidP="00D840FD">
      <w:pPr>
        <w:pStyle w:val="CETBodytext"/>
        <w:rPr>
          <w:color w:val="000000" w:themeColor="text1"/>
        </w:rPr>
      </w:pPr>
      <w:r w:rsidRPr="00D840FD">
        <w:rPr>
          <w:color w:val="000000" w:themeColor="text1"/>
        </w:rPr>
        <w:t xml:space="preserve">Based on </w:t>
      </w:r>
      <w:r w:rsidR="00D840FD" w:rsidRPr="00D840FD">
        <w:rPr>
          <w:color w:val="000000" w:themeColor="text1"/>
        </w:rPr>
        <w:t xml:space="preserve">16 </w:t>
      </w:r>
      <w:r w:rsidR="00D840FD">
        <w:rPr>
          <w:color w:val="000000" w:themeColor="text1"/>
        </w:rPr>
        <w:t>r</w:t>
      </w:r>
      <w:r w:rsidR="00D840FD" w:rsidRPr="00D840FD">
        <w:rPr>
          <w:color w:val="000000" w:themeColor="text1"/>
        </w:rPr>
        <w:t xml:space="preserve">RNA sequences, a phylogenetic tree of the </w:t>
      </w:r>
      <w:r w:rsidR="00D840FD" w:rsidRPr="003C36EC">
        <w:rPr>
          <w:i/>
          <w:iCs/>
          <w:color w:val="000000" w:themeColor="text1"/>
        </w:rPr>
        <w:t>AS1</w:t>
      </w:r>
      <w:r w:rsidR="00D840FD" w:rsidRPr="00D840FD">
        <w:rPr>
          <w:color w:val="000000" w:themeColor="text1"/>
        </w:rPr>
        <w:t xml:space="preserve"> strain was developed</w:t>
      </w:r>
      <w:r w:rsidR="003C36EC">
        <w:rPr>
          <w:color w:val="000000" w:themeColor="text1"/>
        </w:rPr>
        <w:t xml:space="preserve"> and represented</w:t>
      </w:r>
      <w:r w:rsidR="00D840FD" w:rsidRPr="00D840FD">
        <w:rPr>
          <w:color w:val="000000" w:themeColor="text1"/>
        </w:rPr>
        <w:t xml:space="preserve"> in Figure</w:t>
      </w:r>
      <w:r w:rsidR="0040365B">
        <w:rPr>
          <w:color w:val="000000" w:themeColor="text1"/>
        </w:rPr>
        <w:t> </w:t>
      </w:r>
      <w:r w:rsidR="00D840FD" w:rsidRPr="00D840FD">
        <w:rPr>
          <w:color w:val="000000" w:themeColor="text1"/>
        </w:rPr>
        <w:t>1</w:t>
      </w:r>
      <w:r w:rsidR="003C36EC">
        <w:rPr>
          <w:color w:val="000000" w:themeColor="text1"/>
        </w:rPr>
        <w:t>.</w:t>
      </w:r>
      <w:r w:rsidR="00D840FD" w:rsidRPr="00D840FD">
        <w:rPr>
          <w:color w:val="000000" w:themeColor="text1"/>
        </w:rPr>
        <w:t xml:space="preserve"> </w:t>
      </w:r>
      <w:r w:rsidR="003C36EC">
        <w:rPr>
          <w:color w:val="000000" w:themeColor="text1"/>
        </w:rPr>
        <w:t xml:space="preserve">This strain </w:t>
      </w:r>
      <w:r w:rsidR="00D840FD" w:rsidRPr="00D840FD">
        <w:rPr>
          <w:color w:val="000000" w:themeColor="text1"/>
        </w:rPr>
        <w:t xml:space="preserve">was identified as a member of </w:t>
      </w:r>
      <w:r w:rsidR="00D840FD" w:rsidRPr="003C36EC">
        <w:rPr>
          <w:i/>
          <w:iCs/>
          <w:color w:val="000000" w:themeColor="text1"/>
        </w:rPr>
        <w:t>Bacillus cereus</w:t>
      </w:r>
      <w:r w:rsidR="00D840FD" w:rsidRPr="00D840FD">
        <w:rPr>
          <w:color w:val="000000" w:themeColor="text1"/>
        </w:rPr>
        <w:t>.</w:t>
      </w:r>
    </w:p>
    <w:p w14:paraId="17B0E67A" w14:textId="78868E4A" w:rsidR="00483953" w:rsidRDefault="00483953" w:rsidP="002218A6">
      <w:pPr>
        <w:pStyle w:val="CETBodytext"/>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483953" w14:paraId="30B67ECE" w14:textId="77777777" w:rsidTr="00483953">
        <w:tc>
          <w:tcPr>
            <w:tcW w:w="8777" w:type="dxa"/>
          </w:tcPr>
          <w:p w14:paraId="16EA2C69" w14:textId="16C682F9" w:rsidR="00483953" w:rsidRDefault="00483953" w:rsidP="000069E4">
            <w:pPr>
              <w:pStyle w:val="CETBodytext"/>
              <w:spacing w:line="276" w:lineRule="auto"/>
              <w:jc w:val="left"/>
            </w:pPr>
            <w:r>
              <w:rPr>
                <w:noProof/>
              </w:rPr>
              <w:drawing>
                <wp:inline distT="0" distB="0" distL="0" distR="0" wp14:anchorId="589B4340" wp14:editId="023E7E45">
                  <wp:extent cx="3147060" cy="3764768"/>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0"/>
                          <a:srcRect l="5810" t="1363" r="2504"/>
                          <a:stretch/>
                        </pic:blipFill>
                        <pic:spPr bwMode="auto">
                          <a:xfrm>
                            <a:off x="0" y="0"/>
                            <a:ext cx="3157935" cy="3777778"/>
                          </a:xfrm>
                          <a:prstGeom prst="rect">
                            <a:avLst/>
                          </a:prstGeom>
                          <a:ln>
                            <a:noFill/>
                          </a:ln>
                          <a:extLst>
                            <a:ext uri="{53640926-AAD7-44D8-BBD7-CCE9431645EC}">
                              <a14:shadowObscured xmlns:a14="http://schemas.microsoft.com/office/drawing/2010/main"/>
                            </a:ext>
                          </a:extLst>
                        </pic:spPr>
                      </pic:pic>
                    </a:graphicData>
                  </a:graphic>
                </wp:inline>
              </w:drawing>
            </w:r>
          </w:p>
        </w:tc>
      </w:tr>
      <w:tr w:rsidR="00483953" w14:paraId="6F8E53B9" w14:textId="77777777" w:rsidTr="00483953">
        <w:tc>
          <w:tcPr>
            <w:tcW w:w="8777" w:type="dxa"/>
          </w:tcPr>
          <w:p w14:paraId="642B6353" w14:textId="4986F260" w:rsidR="00483953" w:rsidRPr="00483953" w:rsidRDefault="00483953" w:rsidP="002618E4">
            <w:pPr>
              <w:pStyle w:val="CETCaption"/>
            </w:pPr>
            <w:r w:rsidRPr="00483953">
              <w:t xml:space="preserve">Figure 1: </w:t>
            </w:r>
            <w:r>
              <w:t xml:space="preserve">The phylogenetic tree of Bacillus </w:t>
            </w:r>
            <w:r w:rsidRPr="00483953">
              <w:t xml:space="preserve">cereus </w:t>
            </w:r>
            <w:r>
              <w:t xml:space="preserve">strain </w:t>
            </w:r>
            <w:r w:rsidRPr="00483953">
              <w:t>AS1</w:t>
            </w:r>
          </w:p>
        </w:tc>
      </w:tr>
    </w:tbl>
    <w:p w14:paraId="32596566" w14:textId="77777777" w:rsidR="00483953" w:rsidRDefault="00483953" w:rsidP="002218A6">
      <w:pPr>
        <w:pStyle w:val="CETBodytext"/>
        <w:spacing w:line="276" w:lineRule="auto"/>
      </w:pPr>
    </w:p>
    <w:p w14:paraId="77425CE3" w14:textId="6BC02088" w:rsidR="001E722C" w:rsidRDefault="006567F0" w:rsidP="002218A6">
      <w:pPr>
        <w:pStyle w:val="CETBodytext"/>
        <w:spacing w:line="276" w:lineRule="auto"/>
      </w:pPr>
      <w:r w:rsidRPr="00140183">
        <w:t>The growth rate profile shows that</w:t>
      </w:r>
      <w:r w:rsidRPr="00140183">
        <w:rPr>
          <w:i/>
          <w:iCs/>
        </w:rPr>
        <w:t xml:space="preserve"> Bacillus cereus</w:t>
      </w:r>
      <w:r w:rsidR="00BE7474">
        <w:rPr>
          <w:i/>
          <w:iCs/>
        </w:rPr>
        <w:t xml:space="preserve"> AS1</w:t>
      </w:r>
      <w:r w:rsidRPr="00140183">
        <w:rPr>
          <w:i/>
          <w:iCs/>
        </w:rPr>
        <w:t xml:space="preserve"> </w:t>
      </w:r>
      <w:r w:rsidRPr="00140183">
        <w:t>can utilize glucose and xylose as</w:t>
      </w:r>
      <w:r w:rsidR="00481423" w:rsidRPr="00140183">
        <w:t xml:space="preserve"> carbon sources for its metabolic functions</w:t>
      </w:r>
      <w:r w:rsidRPr="00140183">
        <w:t xml:space="preserve"> represented in Figure </w:t>
      </w:r>
      <w:r w:rsidR="008444E3">
        <w:t>2</w:t>
      </w:r>
      <w:r w:rsidR="005166D8">
        <w:t>a</w:t>
      </w:r>
      <w:r w:rsidRPr="00140183">
        <w:t xml:space="preserve"> and Figure </w:t>
      </w:r>
      <w:r w:rsidR="005166D8">
        <w:t>2b</w:t>
      </w:r>
      <w:r w:rsidR="00256EA8">
        <w:t>.</w:t>
      </w:r>
      <w:r w:rsidR="00400E38">
        <w:t xml:space="preserve"> </w:t>
      </w:r>
      <w:r w:rsidR="00FF2405" w:rsidRPr="00140183">
        <w:t>The growth rate profile is characterized by a lag phase of approximately 8 h, then a</w:t>
      </w:r>
      <w:r w:rsidR="00F036AE" w:rsidRPr="00140183">
        <w:t xml:space="preserve"> gradual </w:t>
      </w:r>
      <w:r w:rsidR="00FF2405" w:rsidRPr="00140183">
        <w:t>increase</w:t>
      </w:r>
      <w:r w:rsidR="00F036AE" w:rsidRPr="00140183">
        <w:t xml:space="preserve"> thereafter. </w:t>
      </w:r>
      <w:r w:rsidR="00B922C7" w:rsidRPr="00140183">
        <w:t>The cell growth</w:t>
      </w:r>
      <w:r w:rsidR="00B922C7">
        <w:t xml:space="preserve"> also improved at higher initial glucose and xylose concentrations</w:t>
      </w:r>
      <w:r w:rsidR="00286788">
        <w:t xml:space="preserve">. </w:t>
      </w:r>
      <w:r w:rsidR="00F036AE">
        <w:t xml:space="preserve">At a higher, initial glucose concentration, the bacterial growth rapidly increases, whereas there is no rapid growth on xylose as a the sole carbon source. </w:t>
      </w:r>
      <w:r>
        <w:t xml:space="preserve">The maximum biomass concentration </w:t>
      </w:r>
      <w:r w:rsidR="0080311B">
        <w:t>on glucose was 3.64 g/L and 2.62 g/L for xylose at an initial substrate concentration of 80 g/L</w:t>
      </w:r>
      <w:r w:rsidR="00F036AE">
        <w:t>.</w:t>
      </w:r>
      <w:r w:rsidR="001E722C">
        <w:t xml:space="preserve"> </w:t>
      </w:r>
      <w:r w:rsidR="001E722C" w:rsidRPr="00A74838">
        <w:t>A</w:t>
      </w:r>
      <w:r w:rsidR="001E722C">
        <w:t>fter</w:t>
      </w:r>
      <w:r w:rsidR="001E722C" w:rsidRPr="00A74838">
        <w:t xml:space="preserve"> 4</w:t>
      </w:r>
      <w:r w:rsidR="001E722C">
        <w:t>8</w:t>
      </w:r>
      <w:r w:rsidR="001E722C" w:rsidRPr="00A74838">
        <w:t> h,</w:t>
      </w:r>
      <w:r w:rsidR="001E722C" w:rsidRPr="00797004">
        <w:t xml:space="preserve"> </w:t>
      </w:r>
      <w:r w:rsidR="001E722C">
        <w:t xml:space="preserve">69 </w:t>
      </w:r>
      <w:r w:rsidR="001E722C" w:rsidRPr="00797004">
        <w:t xml:space="preserve">% </w:t>
      </w:r>
      <w:r w:rsidR="001E722C">
        <w:t xml:space="preserve">and 40 % </w:t>
      </w:r>
      <w:r w:rsidR="001E722C" w:rsidRPr="00797004">
        <w:t>of the</w:t>
      </w:r>
      <w:r w:rsidR="001E722C">
        <w:t xml:space="preserve"> substrate </w:t>
      </w:r>
      <w:r w:rsidR="001E722C" w:rsidRPr="00797004">
        <w:t>was consumed</w:t>
      </w:r>
      <w:r w:rsidR="001E722C">
        <w:t xml:space="preserve"> for glucose and xylose, respectively.</w:t>
      </w:r>
      <w:r w:rsidR="00F036AE">
        <w:t xml:space="preserve"> </w:t>
      </w:r>
      <w:r w:rsidR="001E722C">
        <w:t>An increase in substrate consumption, relates to an increase in biomass formation in the fermenter.</w:t>
      </w:r>
      <w:r w:rsidR="00EA48C5">
        <w:t xml:space="preserve"> </w:t>
      </w:r>
    </w:p>
    <w:p w14:paraId="1C741BFD" w14:textId="5DD0A1A4" w:rsidR="00164F3E" w:rsidRDefault="009263B2" w:rsidP="002218A6">
      <w:pPr>
        <w:pStyle w:val="CETBodytext"/>
        <w:spacing w:line="276" w:lineRule="auto"/>
      </w:pPr>
      <w:r>
        <w:t>A study on yeasts has found that xylose fermentations are slower than glucose fermentations, because the microorganism might have an insufficient capacity in its metabolism for xylose utilisation (</w:t>
      </w:r>
      <w:r w:rsidR="00C03A77">
        <w:t>Johansson &amp; Hahn-</w:t>
      </w:r>
      <w:proofErr w:type="spellStart"/>
      <w:r w:rsidR="00C03A77">
        <w:t>H</w:t>
      </w:r>
      <w:r w:rsidR="00C03A77">
        <w:rPr>
          <w:rFonts w:cs="Arial"/>
        </w:rPr>
        <w:t>ä</w:t>
      </w:r>
      <w:r w:rsidR="00C03A77">
        <w:t>ggerdal</w:t>
      </w:r>
      <w:proofErr w:type="spellEnd"/>
      <w:r w:rsidR="00C03A77">
        <w:t>, 2002</w:t>
      </w:r>
      <w:r>
        <w:t xml:space="preserve">), which could also be the reason for </w:t>
      </w:r>
      <w:r w:rsidR="00C03A77" w:rsidRPr="00C03A77">
        <w:rPr>
          <w:i/>
          <w:iCs/>
        </w:rPr>
        <w:t>B</w:t>
      </w:r>
      <w:r w:rsidRPr="00C03A77">
        <w:rPr>
          <w:i/>
          <w:iCs/>
        </w:rPr>
        <w:t>. cereus</w:t>
      </w:r>
      <w:r>
        <w:t xml:space="preserve">. </w:t>
      </w:r>
      <w:r w:rsidR="00C03A77">
        <w:t>T</w:t>
      </w:r>
      <w:r w:rsidR="00F036AE" w:rsidRPr="00B922C7">
        <w:t>his data validates the findings in Zhang et al. (2015),</w:t>
      </w:r>
      <w:r w:rsidR="00F036AE">
        <w:t xml:space="preserve"> that glucose is a superior carbon- source to </w:t>
      </w:r>
      <w:r w:rsidR="00F036AE" w:rsidRPr="00481423">
        <w:rPr>
          <w:i/>
          <w:iCs/>
        </w:rPr>
        <w:t>B. cereus</w:t>
      </w:r>
      <w:r w:rsidR="00F036AE">
        <w:t xml:space="preserve"> </w:t>
      </w:r>
      <w:r w:rsidR="00BE7474" w:rsidRPr="00BE7474">
        <w:rPr>
          <w:i/>
          <w:iCs/>
        </w:rPr>
        <w:t>AS1</w:t>
      </w:r>
      <w:r w:rsidR="00BE7474">
        <w:t xml:space="preserve"> </w:t>
      </w:r>
      <w:r w:rsidR="00F036AE">
        <w:t>than xylose</w:t>
      </w:r>
      <w:r w:rsidR="00C41C6D">
        <w:t xml:space="preserve"> </w:t>
      </w:r>
      <w:r w:rsidR="00C03A77">
        <w:t xml:space="preserve">its consumption rate is higher and </w:t>
      </w:r>
      <w:r w:rsidR="00C41C6D">
        <w:t>because the growth rate was higher using glucose than xylose</w:t>
      </w:r>
      <w:r w:rsidR="0080311B">
        <w:t xml:space="preserve">. </w:t>
      </w:r>
    </w:p>
    <w:p w14:paraId="36DD58DC" w14:textId="77777777" w:rsidR="005A5F7D" w:rsidRPr="005A5F7D" w:rsidRDefault="005A5F7D" w:rsidP="002218A6">
      <w:pPr>
        <w:pStyle w:val="CETBodytext"/>
        <w:spacing w:line="276" w:lineRule="auto"/>
      </w:pPr>
    </w:p>
    <w:tbl>
      <w:tblPr>
        <w:tblStyle w:val="TableGrid"/>
        <w:tblW w:w="90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54"/>
      </w:tblGrid>
      <w:tr w:rsidR="002218A6" w14:paraId="0B46B465" w14:textId="77777777" w:rsidTr="00241FB9">
        <w:trPr>
          <w:trHeight w:val="2636"/>
        </w:trPr>
        <w:tc>
          <w:tcPr>
            <w:tcW w:w="4536" w:type="dxa"/>
          </w:tcPr>
          <w:p w14:paraId="5DAD3215" w14:textId="3A803929" w:rsidR="002218A6" w:rsidRDefault="002218A6" w:rsidP="002218A6">
            <w:pPr>
              <w:pStyle w:val="CETCaption"/>
              <w:jc w:val="center"/>
            </w:pPr>
            <w:r>
              <w:rPr>
                <w:noProof/>
              </w:rPr>
              <w:lastRenderedPageBreak/>
              <w:drawing>
                <wp:inline distT="0" distB="0" distL="0" distR="0" wp14:anchorId="641D9BE8" wp14:editId="5A155848">
                  <wp:extent cx="2682240" cy="1554480"/>
                  <wp:effectExtent l="0" t="0" r="3810" b="7620"/>
                  <wp:docPr id="7" name="Chart 7">
                    <a:extLst xmlns:a="http://schemas.openxmlformats.org/drawingml/2006/main">
                      <a:ext uri="{FF2B5EF4-FFF2-40B4-BE49-F238E27FC236}">
                        <a16:creationId xmlns:a16="http://schemas.microsoft.com/office/drawing/2014/main" id="{8E312311-BEF1-74D2-3038-8BEFE6197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554" w:type="dxa"/>
          </w:tcPr>
          <w:p w14:paraId="58673AC6" w14:textId="22A3FD35" w:rsidR="002218A6" w:rsidRDefault="002218A6" w:rsidP="002218A6">
            <w:pPr>
              <w:pStyle w:val="CETCaption"/>
              <w:jc w:val="center"/>
            </w:pPr>
            <w:r>
              <w:rPr>
                <w:noProof/>
              </w:rPr>
              <w:drawing>
                <wp:inline distT="0" distB="0" distL="0" distR="0" wp14:anchorId="08358C3C" wp14:editId="2EAA2316">
                  <wp:extent cx="2679192" cy="1554480"/>
                  <wp:effectExtent l="0" t="0" r="6985" b="7620"/>
                  <wp:docPr id="29" name="Chart 29">
                    <a:extLst xmlns:a="http://schemas.openxmlformats.org/drawingml/2006/main">
                      <a:ext uri="{FF2B5EF4-FFF2-40B4-BE49-F238E27FC236}">
                        <a16:creationId xmlns:a16="http://schemas.microsoft.com/office/drawing/2014/main" id="{8E312311-BEF1-74D2-3038-8BEFE6197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C3B13" w14:paraId="3520907E" w14:textId="77777777" w:rsidTr="00241FB9">
        <w:tc>
          <w:tcPr>
            <w:tcW w:w="9090" w:type="dxa"/>
            <w:gridSpan w:val="2"/>
          </w:tcPr>
          <w:p w14:paraId="3AD915A8" w14:textId="7E27C7BF" w:rsidR="00FC3B13" w:rsidRDefault="00FC3B13" w:rsidP="00376641">
            <w:pPr>
              <w:pStyle w:val="CETCaption"/>
            </w:pPr>
            <w:r>
              <w:t xml:space="preserve">Figure 2: Bacterial growth of B. cereus AS1 in a) glucose and b) xylose </w:t>
            </w:r>
          </w:p>
        </w:tc>
      </w:tr>
    </w:tbl>
    <w:p w14:paraId="0FECCD05" w14:textId="6273CF5C" w:rsidR="00B01EF1" w:rsidRDefault="00A21B3D" w:rsidP="00A319A5">
      <w:pPr>
        <w:pStyle w:val="CETCaption"/>
        <w:spacing w:line="276" w:lineRule="auto"/>
        <w:rPr>
          <w:i w:val="0"/>
          <w:iCs/>
        </w:rPr>
      </w:pPr>
      <w:r w:rsidRPr="00140183">
        <w:rPr>
          <w:i w:val="0"/>
          <w:iCs/>
        </w:rPr>
        <w:t xml:space="preserve">Figure </w:t>
      </w:r>
      <w:r w:rsidR="005166D8">
        <w:rPr>
          <w:i w:val="0"/>
          <w:iCs/>
        </w:rPr>
        <w:t>3</w:t>
      </w:r>
      <w:r w:rsidR="00C41C6D">
        <w:rPr>
          <w:i w:val="0"/>
          <w:iCs/>
        </w:rPr>
        <w:t xml:space="preserve"> </w:t>
      </w:r>
      <w:r w:rsidRPr="00140183">
        <w:rPr>
          <w:i w:val="0"/>
          <w:iCs/>
        </w:rPr>
        <w:t xml:space="preserve">represents the effect </w:t>
      </w:r>
      <w:r w:rsidRPr="00A319A5">
        <w:rPr>
          <w:i w:val="0"/>
          <w:iCs/>
        </w:rPr>
        <w:t>of the ORP in the fermentation medium on the growth of the bacteria</w:t>
      </w:r>
      <w:r w:rsidRPr="00A319A5">
        <w:rPr>
          <w:i w:val="0"/>
          <w:iCs/>
          <w:color w:val="000000" w:themeColor="text1"/>
        </w:rPr>
        <w:t xml:space="preserve">. </w:t>
      </w:r>
      <w:r w:rsidR="00DA726E" w:rsidRPr="00A319A5">
        <w:rPr>
          <w:i w:val="0"/>
          <w:iCs/>
          <w:color w:val="000000" w:themeColor="text1"/>
        </w:rPr>
        <w:t xml:space="preserve">Some studies have concluded that every microorganism has a preferable redox potential range, within which cell growth is possible. </w:t>
      </w:r>
      <w:r w:rsidR="00DA726E" w:rsidRPr="00A319A5">
        <w:rPr>
          <w:i w:val="0"/>
          <w:iCs/>
        </w:rPr>
        <w:t>In this study, t</w:t>
      </w:r>
      <w:r w:rsidRPr="00A319A5">
        <w:rPr>
          <w:i w:val="0"/>
          <w:iCs/>
        </w:rPr>
        <w:t>he decrease in the ORP facilitated the growth of</w:t>
      </w:r>
      <w:r>
        <w:rPr>
          <w:i w:val="0"/>
          <w:iCs/>
        </w:rPr>
        <w:t xml:space="preserve"> </w:t>
      </w:r>
      <w:r w:rsidRPr="00A319A5">
        <w:t>B. cereus</w:t>
      </w:r>
      <w:r w:rsidR="002963D3">
        <w:t xml:space="preserve"> AS1</w:t>
      </w:r>
      <w:r w:rsidR="00A95183">
        <w:t>.</w:t>
      </w:r>
      <w:r>
        <w:rPr>
          <w:i w:val="0"/>
          <w:iCs/>
        </w:rPr>
        <w:t xml:space="preserve"> </w:t>
      </w:r>
      <w:r w:rsidR="009F53A8">
        <w:rPr>
          <w:i w:val="0"/>
          <w:iCs/>
        </w:rPr>
        <w:t xml:space="preserve">The point of the steepest decrease in ORP, occurs at greatest biomass increase. This could imply that the carbon is being used for bacterial growth.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8554C8" w14:paraId="04F209A7" w14:textId="77777777" w:rsidTr="00241FB9">
        <w:tc>
          <w:tcPr>
            <w:tcW w:w="4388" w:type="dxa"/>
          </w:tcPr>
          <w:p w14:paraId="5F046DF4" w14:textId="395BCF23" w:rsidR="008554C8" w:rsidRDefault="008554C8" w:rsidP="00A319A5">
            <w:pPr>
              <w:pStyle w:val="CETCaption"/>
              <w:spacing w:line="276" w:lineRule="auto"/>
              <w:rPr>
                <w:i w:val="0"/>
                <w:iCs/>
                <w:color w:val="D99594" w:themeColor="accent2" w:themeTint="99"/>
              </w:rPr>
            </w:pPr>
            <w:r>
              <w:rPr>
                <w:noProof/>
              </w:rPr>
              <w:drawing>
                <wp:inline distT="0" distB="0" distL="0" distR="0" wp14:anchorId="12264018" wp14:editId="42CEFB5F">
                  <wp:extent cx="2679192" cy="1554480"/>
                  <wp:effectExtent l="0" t="0" r="6985" b="7620"/>
                  <wp:docPr id="3" name="Chart 3">
                    <a:extLst xmlns:a="http://schemas.openxmlformats.org/drawingml/2006/main">
                      <a:ext uri="{FF2B5EF4-FFF2-40B4-BE49-F238E27FC236}">
                        <a16:creationId xmlns:a16="http://schemas.microsoft.com/office/drawing/2014/main" id="{E17273A2-12E1-83A5-4792-968EF888C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389" w:type="dxa"/>
          </w:tcPr>
          <w:p w14:paraId="47FB0B6C" w14:textId="3B2C55F5" w:rsidR="008554C8" w:rsidRDefault="008554C8" w:rsidP="00A319A5">
            <w:pPr>
              <w:pStyle w:val="CETCaption"/>
              <w:spacing w:line="276" w:lineRule="auto"/>
              <w:rPr>
                <w:i w:val="0"/>
                <w:iCs/>
                <w:color w:val="D99594" w:themeColor="accent2" w:themeTint="99"/>
              </w:rPr>
            </w:pPr>
            <w:r>
              <w:rPr>
                <w:noProof/>
              </w:rPr>
              <w:drawing>
                <wp:inline distT="0" distB="0" distL="0" distR="0" wp14:anchorId="2EEA71C5" wp14:editId="5F59158B">
                  <wp:extent cx="2679192" cy="1554480"/>
                  <wp:effectExtent l="0" t="0" r="6985" b="7620"/>
                  <wp:docPr id="1" name="Chart 1">
                    <a:extLst xmlns:a="http://schemas.openxmlformats.org/drawingml/2006/main">
                      <a:ext uri="{FF2B5EF4-FFF2-40B4-BE49-F238E27FC236}">
                        <a16:creationId xmlns:a16="http://schemas.microsoft.com/office/drawing/2014/main" id="{F9826479-01A0-E0B8-1B75-D56B7D2F5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41FB9" w14:paraId="4A02EC6F" w14:textId="77777777" w:rsidTr="00241FB9">
        <w:tc>
          <w:tcPr>
            <w:tcW w:w="8777" w:type="dxa"/>
            <w:gridSpan w:val="2"/>
          </w:tcPr>
          <w:p w14:paraId="54BF4D3C" w14:textId="2C3AF252" w:rsidR="00241FB9" w:rsidRPr="00027085" w:rsidRDefault="00241FB9" w:rsidP="00A319A5">
            <w:pPr>
              <w:pStyle w:val="CETCaption"/>
              <w:spacing w:line="276" w:lineRule="auto"/>
            </w:pPr>
            <w:r w:rsidRPr="00027085">
              <w:t xml:space="preserve">Figure </w:t>
            </w:r>
            <w:r>
              <w:t>3</w:t>
            </w:r>
            <w:r w:rsidRPr="00027085">
              <w:t xml:space="preserve">: </w:t>
            </w:r>
            <w:r>
              <w:t>The ORP and b</w:t>
            </w:r>
            <w:r w:rsidRPr="00027085">
              <w:t xml:space="preserve">acterial growth </w:t>
            </w:r>
            <w:r>
              <w:t xml:space="preserve">of B. cereus </w:t>
            </w:r>
            <w:r w:rsidRPr="00027085">
              <w:t xml:space="preserve">in </w:t>
            </w:r>
            <w:r>
              <w:t xml:space="preserve">a) </w:t>
            </w:r>
            <w:r w:rsidRPr="00027085">
              <w:t>glucose</w:t>
            </w:r>
            <w:r>
              <w:t xml:space="preserve"> and b) xylose</w:t>
            </w:r>
            <w:r w:rsidRPr="00027085">
              <w:t xml:space="preserve"> </w:t>
            </w:r>
            <w:r w:rsidR="00204797">
              <w:t>at 80 g/L.</w:t>
            </w:r>
          </w:p>
        </w:tc>
      </w:tr>
    </w:tbl>
    <w:p w14:paraId="45856A03" w14:textId="77777777" w:rsidR="008D67F4" w:rsidRDefault="008D67F4" w:rsidP="001A2707">
      <w:pPr>
        <w:tabs>
          <w:tab w:val="clear" w:pos="7100"/>
        </w:tabs>
        <w:autoSpaceDE w:val="0"/>
        <w:autoSpaceDN w:val="0"/>
        <w:adjustRightInd w:val="0"/>
        <w:spacing w:line="240" w:lineRule="auto"/>
        <w:jc w:val="left"/>
        <w:rPr>
          <w:rFonts w:eastAsiaTheme="minorHAnsi" w:cs="Arial"/>
          <w:color w:val="000000"/>
          <w:szCs w:val="18"/>
          <w:lang w:val="en-US" w:bidi="hi-IN"/>
        </w:rPr>
      </w:pPr>
    </w:p>
    <w:p w14:paraId="2408566E" w14:textId="59ADBE39" w:rsidR="009F53A8" w:rsidRDefault="009F53A8" w:rsidP="009F53A8">
      <w:pPr>
        <w:pStyle w:val="CETCaption"/>
        <w:spacing w:line="276" w:lineRule="auto"/>
        <w:rPr>
          <w:i w:val="0"/>
          <w:iCs/>
        </w:rPr>
      </w:pPr>
      <w:r w:rsidRPr="009F53A8">
        <w:rPr>
          <w:i w:val="0"/>
          <w:iCs/>
        </w:rPr>
        <w:t>Table 1 shows</w:t>
      </w:r>
      <w:r w:rsidR="00190C10">
        <w:rPr>
          <w:i w:val="0"/>
          <w:iCs/>
        </w:rPr>
        <w:t xml:space="preserve"> </w:t>
      </w:r>
      <w:r w:rsidR="00190C10" w:rsidRPr="009F53A8">
        <w:rPr>
          <w:i w:val="0"/>
          <w:iCs/>
        </w:rPr>
        <w:t>the maximum biomass growth</w:t>
      </w:r>
      <w:r w:rsidR="00190C10">
        <w:rPr>
          <w:i w:val="0"/>
          <w:iCs/>
        </w:rPr>
        <w:t xml:space="preserve"> and</w:t>
      </w:r>
      <w:r w:rsidRPr="009F53A8">
        <w:rPr>
          <w:i w:val="0"/>
          <w:iCs/>
        </w:rPr>
        <w:t xml:space="preserve"> the </w:t>
      </w:r>
      <w:r w:rsidR="00190C10">
        <w:rPr>
          <w:i w:val="0"/>
          <w:iCs/>
        </w:rPr>
        <w:t xml:space="preserve">change in </w:t>
      </w:r>
      <w:r w:rsidRPr="009F53A8">
        <w:rPr>
          <w:i w:val="0"/>
          <w:iCs/>
        </w:rPr>
        <w:t xml:space="preserve">ORP </w:t>
      </w:r>
      <w:r w:rsidR="00190C10">
        <w:rPr>
          <w:i w:val="0"/>
          <w:iCs/>
        </w:rPr>
        <w:t>for the duration of the fermentation</w:t>
      </w:r>
      <w:r w:rsidRPr="009F53A8">
        <w:rPr>
          <w:i w:val="0"/>
          <w:iCs/>
        </w:rPr>
        <w:t xml:space="preserve"> for </w:t>
      </w:r>
      <w:proofErr w:type="spellStart"/>
      <w:r w:rsidR="00190C10">
        <w:rPr>
          <w:i w:val="0"/>
          <w:iCs/>
        </w:rPr>
        <w:t>Glc</w:t>
      </w:r>
      <w:proofErr w:type="spellEnd"/>
      <w:r w:rsidR="00190C10">
        <w:rPr>
          <w:i w:val="0"/>
          <w:iCs/>
        </w:rPr>
        <w:t xml:space="preserve"> as well as Xyl</w:t>
      </w:r>
      <w:r w:rsidRPr="009F53A8">
        <w:rPr>
          <w:i w:val="0"/>
          <w:iCs/>
        </w:rPr>
        <w:t xml:space="preserve">. </w:t>
      </w:r>
      <w:r w:rsidR="00CF22DC" w:rsidRPr="009F53A8">
        <w:rPr>
          <w:i w:val="0"/>
          <w:iCs/>
        </w:rPr>
        <w:t>A low medium ORP signifies a higher availability of electrons</w:t>
      </w:r>
      <w:r>
        <w:rPr>
          <w:i w:val="0"/>
          <w:iCs/>
        </w:rPr>
        <w:t xml:space="preserve"> (Tan et al., 2014)</w:t>
      </w:r>
      <w:r w:rsidR="00CF22DC" w:rsidRPr="009F53A8">
        <w:rPr>
          <w:i w:val="0"/>
          <w:iCs/>
        </w:rPr>
        <w:t xml:space="preserve">, </w:t>
      </w:r>
      <w:r>
        <w:rPr>
          <w:i w:val="0"/>
          <w:iCs/>
        </w:rPr>
        <w:t xml:space="preserve">which could improve the production of biomass </w:t>
      </w:r>
      <w:r w:rsidR="00CF22DC" w:rsidRPr="009F53A8">
        <w:rPr>
          <w:i w:val="0"/>
          <w:iCs/>
        </w:rPr>
        <w:t xml:space="preserve">thereby promoting an increased production of </w:t>
      </w:r>
      <w:r>
        <w:rPr>
          <w:i w:val="0"/>
          <w:iCs/>
        </w:rPr>
        <w:t>biomass</w:t>
      </w:r>
      <w:r w:rsidR="00CF22DC" w:rsidRPr="009F53A8">
        <w:rPr>
          <w:i w:val="0"/>
          <w:iCs/>
        </w:rPr>
        <w:t xml:space="preserve">. </w:t>
      </w:r>
      <w:r w:rsidR="00C54EA6">
        <w:rPr>
          <w:i w:val="0"/>
          <w:iCs/>
        </w:rPr>
        <w:t xml:space="preserve">There is only a small difference in the change of ORP using glucose and xylose. </w:t>
      </w:r>
    </w:p>
    <w:p w14:paraId="238476E4" w14:textId="77777777" w:rsidR="009F53A8" w:rsidRPr="009F53A8" w:rsidRDefault="009F53A8" w:rsidP="009F53A8">
      <w:pPr>
        <w:pStyle w:val="CETCaption"/>
        <w:spacing w:line="276" w:lineRule="auto"/>
        <w:rPr>
          <w:i w:val="0"/>
          <w:iCs/>
        </w:rPr>
      </w:pPr>
    </w:p>
    <w:p w14:paraId="4F4EE1BA" w14:textId="04D30C2E" w:rsidR="006171FA" w:rsidRPr="00463293" w:rsidRDefault="006171FA" w:rsidP="002618E4">
      <w:pPr>
        <w:pStyle w:val="CETTabletitle"/>
        <w:rPr>
          <w:color w:val="000000" w:themeColor="text1"/>
        </w:rPr>
      </w:pPr>
      <w:r w:rsidRPr="00463293">
        <w:rPr>
          <w:color w:val="000000" w:themeColor="text1"/>
        </w:rPr>
        <w:t xml:space="preserve">Table 1: Summary of the initial </w:t>
      </w:r>
      <w:r w:rsidR="00463293" w:rsidRPr="00463293">
        <w:rPr>
          <w:color w:val="000000" w:themeColor="text1"/>
        </w:rPr>
        <w:t xml:space="preserve">substrate concentrations, biomass concentrations and </w:t>
      </w:r>
      <w:r w:rsidRPr="00463293">
        <w:rPr>
          <w:color w:val="000000" w:themeColor="text1"/>
        </w:rPr>
        <w:t>ORP</w:t>
      </w:r>
    </w:p>
    <w:tbl>
      <w:tblPr>
        <w:tblW w:w="882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070"/>
        <w:gridCol w:w="2160"/>
        <w:gridCol w:w="2790"/>
        <w:gridCol w:w="1800"/>
      </w:tblGrid>
      <w:tr w:rsidR="00463293" w:rsidRPr="00B57B36" w14:paraId="2BF1CDFA" w14:textId="77777777" w:rsidTr="00463293">
        <w:tc>
          <w:tcPr>
            <w:tcW w:w="2070" w:type="dxa"/>
            <w:tcBorders>
              <w:top w:val="single" w:sz="12" w:space="0" w:color="008000"/>
              <w:bottom w:val="single" w:sz="6" w:space="0" w:color="008000"/>
            </w:tcBorders>
            <w:shd w:val="clear" w:color="auto" w:fill="FFFFFF"/>
          </w:tcPr>
          <w:p w14:paraId="20367450" w14:textId="77777777" w:rsidR="00463293" w:rsidRPr="00B57B36" w:rsidRDefault="00463293" w:rsidP="00C22F00">
            <w:pPr>
              <w:pStyle w:val="CETBodytext"/>
              <w:rPr>
                <w:lang w:val="en-GB"/>
              </w:rPr>
            </w:pPr>
            <w:bookmarkStart w:id="2" w:name="_Hlk156226810"/>
            <w:r>
              <w:rPr>
                <w:lang w:val="en-GB"/>
              </w:rPr>
              <w:t xml:space="preserve">Substrate/Product </w:t>
            </w:r>
          </w:p>
        </w:tc>
        <w:tc>
          <w:tcPr>
            <w:tcW w:w="2160" w:type="dxa"/>
            <w:tcBorders>
              <w:top w:val="single" w:sz="12" w:space="0" w:color="008000"/>
              <w:bottom w:val="single" w:sz="6" w:space="0" w:color="008000"/>
            </w:tcBorders>
            <w:shd w:val="clear" w:color="auto" w:fill="FFFFFF"/>
          </w:tcPr>
          <w:p w14:paraId="6418EF70" w14:textId="77777777" w:rsidR="00463293" w:rsidRPr="00B57B36" w:rsidRDefault="00463293" w:rsidP="00C22F00">
            <w:pPr>
              <w:pStyle w:val="CETBodytext"/>
              <w:rPr>
                <w:lang w:val="en-GB"/>
              </w:rPr>
            </w:pPr>
            <w:r>
              <w:rPr>
                <w:lang w:val="en-GB"/>
              </w:rPr>
              <w:t>Initial concentration (g/L)</w:t>
            </w:r>
          </w:p>
        </w:tc>
        <w:tc>
          <w:tcPr>
            <w:tcW w:w="2790" w:type="dxa"/>
            <w:tcBorders>
              <w:top w:val="single" w:sz="12" w:space="0" w:color="008000"/>
              <w:bottom w:val="single" w:sz="6" w:space="0" w:color="008000"/>
            </w:tcBorders>
            <w:shd w:val="clear" w:color="auto" w:fill="FFFFFF"/>
          </w:tcPr>
          <w:p w14:paraId="27C25C6E" w14:textId="064821A6" w:rsidR="00463293" w:rsidRDefault="00463293" w:rsidP="00C22F00">
            <w:pPr>
              <w:pStyle w:val="CETBodytext"/>
              <w:rPr>
                <w:lang w:val="en-GB"/>
              </w:rPr>
            </w:pPr>
            <w:r>
              <w:rPr>
                <w:lang w:val="en-GB"/>
              </w:rPr>
              <w:t>Final biomass concentration(g/L)</w:t>
            </w:r>
          </w:p>
        </w:tc>
        <w:tc>
          <w:tcPr>
            <w:tcW w:w="1800" w:type="dxa"/>
            <w:tcBorders>
              <w:top w:val="single" w:sz="12" w:space="0" w:color="008000"/>
              <w:bottom w:val="single" w:sz="6" w:space="0" w:color="008000"/>
            </w:tcBorders>
            <w:shd w:val="clear" w:color="auto" w:fill="FFFFFF"/>
          </w:tcPr>
          <w:p w14:paraId="2BA67561" w14:textId="25751067" w:rsidR="00463293" w:rsidRPr="00B57B36" w:rsidRDefault="00463293" w:rsidP="00C22F00">
            <w:pPr>
              <w:pStyle w:val="CETBodytext"/>
              <w:rPr>
                <w:lang w:val="en-GB"/>
              </w:rPr>
            </w:pPr>
            <w:r>
              <w:rPr>
                <w:lang w:val="en-GB"/>
              </w:rPr>
              <w:t>Change in</w:t>
            </w:r>
            <w:r w:rsidRPr="00B8612C">
              <w:rPr>
                <w:lang w:val="en-GB"/>
              </w:rPr>
              <w:t xml:space="preserve"> ORP (mV)</w:t>
            </w:r>
          </w:p>
        </w:tc>
      </w:tr>
      <w:tr w:rsidR="00463293" w:rsidRPr="00B57B36" w14:paraId="1CC120EB" w14:textId="77777777" w:rsidTr="00463293">
        <w:tc>
          <w:tcPr>
            <w:tcW w:w="2070" w:type="dxa"/>
            <w:shd w:val="clear" w:color="auto" w:fill="FFFFFF"/>
          </w:tcPr>
          <w:p w14:paraId="7677AB16" w14:textId="77777777" w:rsidR="00463293" w:rsidRPr="00B57B36" w:rsidRDefault="00463293" w:rsidP="00C22F00">
            <w:pPr>
              <w:pStyle w:val="CETBodytext"/>
              <w:rPr>
                <w:lang w:val="en-GB"/>
              </w:rPr>
            </w:pPr>
            <w:r>
              <w:rPr>
                <w:lang w:val="en-GB"/>
              </w:rPr>
              <w:t xml:space="preserve">Glucose </w:t>
            </w:r>
          </w:p>
        </w:tc>
        <w:tc>
          <w:tcPr>
            <w:tcW w:w="2160" w:type="dxa"/>
            <w:shd w:val="clear" w:color="auto" w:fill="FFFFFF"/>
          </w:tcPr>
          <w:p w14:paraId="67EB5ED4" w14:textId="6FC4A4F6" w:rsidR="00463293" w:rsidRPr="00B57B36" w:rsidRDefault="00463293" w:rsidP="00C22F00">
            <w:pPr>
              <w:pStyle w:val="CETBodytext"/>
              <w:rPr>
                <w:lang w:val="en-GB"/>
              </w:rPr>
            </w:pPr>
            <w:r>
              <w:rPr>
                <w:lang w:val="en-GB"/>
              </w:rPr>
              <w:t xml:space="preserve">80.0 </w:t>
            </w:r>
          </w:p>
        </w:tc>
        <w:tc>
          <w:tcPr>
            <w:tcW w:w="2790" w:type="dxa"/>
            <w:shd w:val="clear" w:color="auto" w:fill="FFFFFF"/>
          </w:tcPr>
          <w:p w14:paraId="236E86E7" w14:textId="35CE9C71" w:rsidR="00463293" w:rsidRDefault="00463293" w:rsidP="00C22F00">
            <w:pPr>
              <w:pStyle w:val="CETBodytext"/>
              <w:rPr>
                <w:lang w:val="en-GB"/>
              </w:rPr>
            </w:pPr>
            <w:r>
              <w:rPr>
                <w:lang w:val="en-GB"/>
              </w:rPr>
              <w:t>3.64</w:t>
            </w:r>
          </w:p>
        </w:tc>
        <w:tc>
          <w:tcPr>
            <w:tcW w:w="1800" w:type="dxa"/>
            <w:shd w:val="clear" w:color="auto" w:fill="FFFFFF"/>
          </w:tcPr>
          <w:p w14:paraId="4BA1E453" w14:textId="4D46C4A5" w:rsidR="00463293" w:rsidRPr="00B57B36" w:rsidRDefault="00463293" w:rsidP="00C22F00">
            <w:pPr>
              <w:pStyle w:val="CETBodytext"/>
              <w:rPr>
                <w:lang w:val="en-GB"/>
              </w:rPr>
            </w:pPr>
            <w:r>
              <w:rPr>
                <w:lang w:val="en-GB"/>
              </w:rPr>
              <w:t>-166</w:t>
            </w:r>
          </w:p>
        </w:tc>
      </w:tr>
      <w:tr w:rsidR="00463293" w:rsidRPr="00B57B36" w14:paraId="5E4FCC74" w14:textId="77777777" w:rsidTr="00463293">
        <w:tc>
          <w:tcPr>
            <w:tcW w:w="2070" w:type="dxa"/>
            <w:shd w:val="clear" w:color="auto" w:fill="FFFFFF"/>
          </w:tcPr>
          <w:p w14:paraId="381885E7" w14:textId="7F06526F" w:rsidR="00463293" w:rsidRPr="00B57B36" w:rsidRDefault="00463293" w:rsidP="00C22F00">
            <w:pPr>
              <w:pStyle w:val="CETBodytext"/>
              <w:ind w:right="-1"/>
              <w:rPr>
                <w:rFonts w:cs="Arial"/>
                <w:szCs w:val="18"/>
                <w:lang w:val="en-GB"/>
              </w:rPr>
            </w:pPr>
            <w:r>
              <w:rPr>
                <w:rFonts w:cs="Arial"/>
                <w:szCs w:val="18"/>
                <w:lang w:val="en-GB"/>
              </w:rPr>
              <w:t>Xylose</w:t>
            </w:r>
          </w:p>
        </w:tc>
        <w:tc>
          <w:tcPr>
            <w:tcW w:w="2160" w:type="dxa"/>
            <w:shd w:val="clear" w:color="auto" w:fill="FFFFFF"/>
          </w:tcPr>
          <w:p w14:paraId="1FD5C10B" w14:textId="4C85FB00" w:rsidR="00463293" w:rsidRPr="00B57B36" w:rsidRDefault="00463293" w:rsidP="00C22F00">
            <w:pPr>
              <w:pStyle w:val="CETBodytext"/>
              <w:ind w:right="-1"/>
              <w:rPr>
                <w:rFonts w:cs="Arial"/>
                <w:szCs w:val="18"/>
                <w:lang w:val="en-GB"/>
              </w:rPr>
            </w:pPr>
            <w:r>
              <w:rPr>
                <w:rFonts w:cs="Arial"/>
                <w:szCs w:val="18"/>
                <w:lang w:val="en-GB"/>
              </w:rPr>
              <w:t>80.0</w:t>
            </w:r>
          </w:p>
        </w:tc>
        <w:tc>
          <w:tcPr>
            <w:tcW w:w="2790" w:type="dxa"/>
            <w:shd w:val="clear" w:color="auto" w:fill="FFFFFF"/>
          </w:tcPr>
          <w:p w14:paraId="6B79B8A3" w14:textId="096C0AAA" w:rsidR="00463293" w:rsidRDefault="00463293" w:rsidP="00C22F00">
            <w:pPr>
              <w:pStyle w:val="CETBodytext"/>
              <w:ind w:right="-1"/>
              <w:rPr>
                <w:rFonts w:cs="Arial"/>
                <w:szCs w:val="18"/>
                <w:lang w:val="en-GB"/>
              </w:rPr>
            </w:pPr>
            <w:r>
              <w:rPr>
                <w:rFonts w:cs="Arial"/>
                <w:szCs w:val="18"/>
                <w:lang w:val="en-GB"/>
              </w:rPr>
              <w:t>2.62</w:t>
            </w:r>
          </w:p>
        </w:tc>
        <w:tc>
          <w:tcPr>
            <w:tcW w:w="1800" w:type="dxa"/>
            <w:shd w:val="clear" w:color="auto" w:fill="FFFFFF"/>
          </w:tcPr>
          <w:p w14:paraId="665B7978" w14:textId="27D53706" w:rsidR="00463293" w:rsidRPr="00B57B36" w:rsidRDefault="00463293" w:rsidP="00C22F00">
            <w:pPr>
              <w:pStyle w:val="CETBodytext"/>
              <w:ind w:right="-1"/>
              <w:rPr>
                <w:rFonts w:cs="Arial"/>
                <w:szCs w:val="18"/>
                <w:lang w:val="en-GB"/>
              </w:rPr>
            </w:pPr>
            <w:r>
              <w:rPr>
                <w:rFonts w:cs="Arial"/>
                <w:szCs w:val="18"/>
                <w:lang w:val="en-GB"/>
              </w:rPr>
              <w:t>-173</w:t>
            </w:r>
          </w:p>
        </w:tc>
      </w:tr>
      <w:bookmarkEnd w:id="2"/>
    </w:tbl>
    <w:p w14:paraId="2BC8BEDD" w14:textId="77777777" w:rsidR="006171FA" w:rsidRPr="0007663A" w:rsidRDefault="006171FA" w:rsidP="001A2707">
      <w:pPr>
        <w:pStyle w:val="CETCaption"/>
        <w:rPr>
          <w:rFonts w:ascii="AdvTimes" w:eastAsiaTheme="minorHAnsi" w:hAnsi="AdvTimes" w:cs="AdvTimes"/>
          <w:i w:val="0"/>
          <w:iCs/>
          <w:color w:val="000000"/>
          <w:sz w:val="20"/>
          <w:lang w:val="en-US" w:bidi="hi-IN"/>
        </w:rPr>
      </w:pPr>
    </w:p>
    <w:p w14:paraId="68D26B83" w14:textId="77777777" w:rsidR="00600535" w:rsidRPr="00B57B36" w:rsidRDefault="00600535" w:rsidP="00600535">
      <w:pPr>
        <w:pStyle w:val="CETHeading1"/>
        <w:rPr>
          <w:lang w:val="en-GB"/>
        </w:rPr>
      </w:pPr>
      <w:r w:rsidRPr="00B57B36">
        <w:rPr>
          <w:lang w:val="en-GB"/>
        </w:rPr>
        <w:lastRenderedPageBreak/>
        <w:t>Conclusions</w:t>
      </w:r>
    </w:p>
    <w:p w14:paraId="371882CC" w14:textId="639B2BD6" w:rsidR="003444BA" w:rsidRDefault="00465078" w:rsidP="003444BA">
      <w:pPr>
        <w:pStyle w:val="CETBodytext"/>
        <w:spacing w:line="276" w:lineRule="auto"/>
        <w:rPr>
          <w:lang w:val="en-GB"/>
        </w:rPr>
      </w:pPr>
      <w:r>
        <w:rPr>
          <w:lang w:val="en-GB"/>
        </w:rPr>
        <w:t xml:space="preserve">In this study, the bacteria isolated from the laboratory was identified to be </w:t>
      </w:r>
      <w:r w:rsidRPr="00465078">
        <w:rPr>
          <w:i/>
          <w:iCs/>
          <w:lang w:val="en-GB"/>
        </w:rPr>
        <w:t>Bacillus cereus</w:t>
      </w:r>
      <w:r>
        <w:rPr>
          <w:lang w:val="en-GB"/>
        </w:rPr>
        <w:t xml:space="preserve"> by phylogenetic analysis. It has the ability to catabolise glucose as well as xylose as the sole carbon source</w:t>
      </w:r>
      <w:r w:rsidR="002F665B">
        <w:rPr>
          <w:lang w:val="en-GB"/>
        </w:rPr>
        <w:t xml:space="preserve"> under anaerobic, batch fermentation</w:t>
      </w:r>
      <w:r w:rsidR="00A52D67">
        <w:rPr>
          <w:lang w:val="en-GB"/>
        </w:rPr>
        <w:t>.</w:t>
      </w:r>
      <w:r w:rsidR="002963D3">
        <w:rPr>
          <w:lang w:val="en-GB"/>
        </w:rPr>
        <w:t xml:space="preserve"> This implies that </w:t>
      </w:r>
      <w:r w:rsidR="002963D3" w:rsidRPr="002963D3">
        <w:rPr>
          <w:i/>
          <w:iCs/>
          <w:lang w:val="en-GB"/>
        </w:rPr>
        <w:t>B. cereus AS1</w:t>
      </w:r>
      <w:r w:rsidR="002963D3">
        <w:rPr>
          <w:lang w:val="en-GB"/>
        </w:rPr>
        <w:t xml:space="preserve"> has the potential to be </w:t>
      </w:r>
      <w:r w:rsidR="002963D3" w:rsidRPr="001068C0">
        <w:rPr>
          <w:lang w:val="en-GB"/>
        </w:rPr>
        <w:t xml:space="preserve">cultivated using plant-based </w:t>
      </w:r>
      <w:r w:rsidR="002963D3">
        <w:rPr>
          <w:lang w:val="en-GB"/>
        </w:rPr>
        <w:t>renewable resources.</w:t>
      </w:r>
      <w:r w:rsidR="00A52D67">
        <w:rPr>
          <w:lang w:val="en-GB"/>
        </w:rPr>
        <w:t xml:space="preserve"> Lower ORP conditions favoured the microbial growth of </w:t>
      </w:r>
      <w:r w:rsidR="00A52D67" w:rsidRPr="00A52D67">
        <w:rPr>
          <w:i/>
          <w:iCs/>
          <w:lang w:val="en-GB"/>
        </w:rPr>
        <w:t>B. cereus</w:t>
      </w:r>
      <w:r w:rsidR="00731BD5">
        <w:rPr>
          <w:i/>
          <w:iCs/>
          <w:lang w:val="en-GB"/>
        </w:rPr>
        <w:t xml:space="preserve"> AS1</w:t>
      </w:r>
      <w:r w:rsidR="00A52D67">
        <w:rPr>
          <w:lang w:val="en-GB"/>
        </w:rPr>
        <w:t xml:space="preserve">. </w:t>
      </w:r>
      <w:r w:rsidR="003242DB">
        <w:rPr>
          <w:lang w:val="en-GB"/>
        </w:rPr>
        <w:t xml:space="preserve">A model to predict the growth kinetics of </w:t>
      </w:r>
      <w:r w:rsidR="003242DB" w:rsidRPr="003242DB">
        <w:rPr>
          <w:i/>
          <w:iCs/>
          <w:lang w:val="en-GB"/>
        </w:rPr>
        <w:t>Bacillus cereus</w:t>
      </w:r>
      <w:r w:rsidR="002963D3">
        <w:rPr>
          <w:i/>
          <w:iCs/>
          <w:lang w:val="en-GB"/>
        </w:rPr>
        <w:t xml:space="preserve"> AS1</w:t>
      </w:r>
      <w:r w:rsidR="003242DB">
        <w:rPr>
          <w:lang w:val="en-GB"/>
        </w:rPr>
        <w:t xml:space="preserve"> on glucose and xylose must be developed. </w:t>
      </w:r>
    </w:p>
    <w:p w14:paraId="23D37137" w14:textId="77777777" w:rsidR="00465078" w:rsidRPr="003444BA" w:rsidRDefault="00465078" w:rsidP="003444BA">
      <w:pPr>
        <w:pStyle w:val="CETBodytext"/>
        <w:spacing w:line="276" w:lineRule="auto"/>
        <w:rPr>
          <w:lang w:val="en-GB"/>
        </w:rPr>
      </w:pPr>
    </w:p>
    <w:p w14:paraId="3AD86254" w14:textId="0BCBAC29" w:rsidR="00280FAF" w:rsidRDefault="00280FAF" w:rsidP="00280FAF">
      <w:pPr>
        <w:pStyle w:val="CETHeadingxx"/>
      </w:pPr>
      <w:r>
        <w:t>Nomenclature</w:t>
      </w:r>
    </w:p>
    <w:p w14:paraId="508D85AD" w14:textId="6E4FBFE9" w:rsidR="007F648F" w:rsidRDefault="007F648F" w:rsidP="007F648F">
      <w:pPr>
        <w:pStyle w:val="CETBodytext"/>
        <w:jc w:val="left"/>
        <w:rPr>
          <w:rFonts w:eastAsia="SimSun"/>
          <w:color w:val="000000" w:themeColor="text1"/>
        </w:rPr>
      </w:pPr>
      <w:proofErr w:type="spellStart"/>
      <w:r w:rsidRPr="007F648F">
        <w:rPr>
          <w:rFonts w:eastAsia="SimSun"/>
          <w:color w:val="000000" w:themeColor="text1"/>
        </w:rPr>
        <w:t>Glc</w:t>
      </w:r>
      <w:proofErr w:type="spellEnd"/>
      <w:r w:rsidRPr="007F648F">
        <w:rPr>
          <w:rFonts w:eastAsia="SimSun"/>
          <w:color w:val="000000" w:themeColor="text1"/>
        </w:rPr>
        <w:t xml:space="preserve"> – Glucose</w:t>
      </w:r>
    </w:p>
    <w:p w14:paraId="04823CFE" w14:textId="2D6751BD" w:rsidR="005B49D7" w:rsidRDefault="005B49D7" w:rsidP="007F648F">
      <w:pPr>
        <w:pStyle w:val="CETBodytext"/>
        <w:jc w:val="left"/>
        <w:rPr>
          <w:rFonts w:eastAsia="SimSun"/>
          <w:color w:val="000000" w:themeColor="text1"/>
        </w:rPr>
      </w:pPr>
      <w:proofErr w:type="spellStart"/>
      <w:r>
        <w:rPr>
          <w:rFonts w:eastAsia="SimSun"/>
          <w:color w:val="000000" w:themeColor="text1"/>
        </w:rPr>
        <w:t>Xyl</w:t>
      </w:r>
      <w:proofErr w:type="spellEnd"/>
      <w:r>
        <w:rPr>
          <w:rFonts w:eastAsia="SimSun"/>
          <w:color w:val="000000" w:themeColor="text1"/>
        </w:rPr>
        <w:t xml:space="preserve"> </w:t>
      </w:r>
      <w:r w:rsidRPr="007F648F">
        <w:rPr>
          <w:rFonts w:eastAsia="SimSun"/>
          <w:color w:val="000000" w:themeColor="text1"/>
        </w:rPr>
        <w:t xml:space="preserve">– </w:t>
      </w:r>
      <w:r>
        <w:rPr>
          <w:rFonts w:eastAsia="SimSun"/>
          <w:color w:val="000000" w:themeColor="text1"/>
        </w:rPr>
        <w:t xml:space="preserve"> Xylose</w:t>
      </w:r>
    </w:p>
    <w:p w14:paraId="6724F972" w14:textId="0ECF6D27" w:rsidR="005A4208" w:rsidRPr="007F648F" w:rsidRDefault="005A4208" w:rsidP="007F648F">
      <w:pPr>
        <w:pStyle w:val="CETBodytext"/>
        <w:jc w:val="left"/>
        <w:rPr>
          <w:rFonts w:eastAsia="SimSun"/>
          <w:color w:val="000000" w:themeColor="text1"/>
        </w:rPr>
      </w:pPr>
      <w:r>
        <w:rPr>
          <w:rFonts w:eastAsia="SimSun"/>
          <w:color w:val="000000" w:themeColor="text1"/>
        </w:rPr>
        <w:t>ORP – Oxidation reduction potential</w:t>
      </w:r>
    </w:p>
    <w:p w14:paraId="70360F00" w14:textId="5E9B05B7" w:rsidR="007F648F" w:rsidRDefault="007F648F" w:rsidP="00763ACE">
      <w:pPr>
        <w:pStyle w:val="CETBodytext"/>
        <w:jc w:val="left"/>
        <w:rPr>
          <w:rFonts w:eastAsia="SimSun"/>
          <w:color w:val="000000" w:themeColor="text1"/>
        </w:rPr>
      </w:pPr>
      <w:r w:rsidRPr="00BE37ED">
        <w:rPr>
          <w:rFonts w:eastAsia="SimSun"/>
          <w:color w:val="000000" w:themeColor="text1"/>
        </w:rPr>
        <w:t>X – Active biomass</w:t>
      </w:r>
    </w:p>
    <w:p w14:paraId="3D5AA7C1" w14:textId="77777777" w:rsidR="00C54EA6" w:rsidRDefault="00C54EA6" w:rsidP="00280FAF">
      <w:pPr>
        <w:pStyle w:val="CETHeadingxx"/>
        <w:rPr>
          <w:lang w:val="en-GB"/>
        </w:rPr>
      </w:pPr>
    </w:p>
    <w:p w14:paraId="07A6D20F" w14:textId="1F21D6B1" w:rsidR="00C54EA6" w:rsidRPr="00280FAF" w:rsidRDefault="00C54EA6" w:rsidP="00280FAF">
      <w:pPr>
        <w:pStyle w:val="CETHeadingxx"/>
        <w:rPr>
          <w:lang w:val="en-GB"/>
        </w:rPr>
        <w:sectPr w:rsidR="00C54EA6" w:rsidRPr="00280FAF" w:rsidSect="007D0951">
          <w:type w:val="continuous"/>
          <w:pgSz w:w="11906" w:h="16838" w:code="9"/>
          <w:pgMar w:top="1701" w:right="1418" w:bottom="1701" w:left="1701" w:header="1701" w:footer="0" w:gutter="0"/>
          <w:cols w:space="708"/>
          <w:formProt w:val="0"/>
          <w:titlePg/>
          <w:docGrid w:linePitch="360"/>
        </w:sectPr>
      </w:pPr>
    </w:p>
    <w:p w14:paraId="4F1327F8" w14:textId="21E558F8" w:rsidR="00600535" w:rsidRDefault="00600535" w:rsidP="00600535">
      <w:pPr>
        <w:pStyle w:val="CETReference"/>
      </w:pPr>
      <w:r w:rsidRPr="00B57B36">
        <w:t>References</w:t>
      </w:r>
    </w:p>
    <w:p w14:paraId="07F74263" w14:textId="152BF968" w:rsidR="00B20EA6" w:rsidRPr="00B20EA6" w:rsidRDefault="00B20EA6" w:rsidP="00B20EA6">
      <w:pPr>
        <w:pStyle w:val="CETReferencetext"/>
        <w:rPr>
          <w:lang w:val="en-ZA"/>
        </w:rPr>
      </w:pPr>
      <w:r w:rsidRPr="00B20EA6">
        <w:t xml:space="preserve">Ahmed W.I., Kamar A.M., Hamad G.M., </w:t>
      </w:r>
      <w:proofErr w:type="spellStart"/>
      <w:r w:rsidRPr="00B20EA6">
        <w:t>Mehany</w:t>
      </w:r>
      <w:proofErr w:type="spellEnd"/>
      <w:r w:rsidRPr="00B20EA6">
        <w:t xml:space="preserve"> T., El-</w:t>
      </w:r>
      <w:proofErr w:type="spellStart"/>
      <w:r w:rsidRPr="00B20EA6">
        <w:t>Desoki</w:t>
      </w:r>
      <w:proofErr w:type="spellEnd"/>
      <w:r w:rsidRPr="00B20EA6">
        <w:t xml:space="preserve"> W.I., Ali E., Simal-Gandara J., 2023, Biocontrol of </w:t>
      </w:r>
      <w:r w:rsidRPr="00B20EA6">
        <w:rPr>
          <w:i/>
          <w:iCs/>
        </w:rPr>
        <w:t>Bacillus cereus</w:t>
      </w:r>
      <w:r w:rsidRPr="00B20EA6">
        <w:t xml:space="preserve"> by </w:t>
      </w:r>
      <w:r w:rsidRPr="00B20EA6">
        <w:rPr>
          <w:i/>
          <w:iCs/>
        </w:rPr>
        <w:t>Lactobacillus plantarum</w:t>
      </w:r>
      <w:r w:rsidRPr="00B20EA6">
        <w:t xml:space="preserve"> in </w:t>
      </w:r>
      <w:proofErr w:type="spellStart"/>
      <w:r w:rsidRPr="00B20EA6">
        <w:t>Kareish</w:t>
      </w:r>
      <w:proofErr w:type="spellEnd"/>
      <w:r w:rsidRPr="00B20EA6">
        <w:t xml:space="preserve"> cheese and yogurt. LWT – Food Science and Technology, 183: 114946</w:t>
      </w:r>
    </w:p>
    <w:p w14:paraId="65DBDE96" w14:textId="625C9EE8" w:rsidR="00ED5830" w:rsidRDefault="00ED5830" w:rsidP="00ED5830">
      <w:pPr>
        <w:pStyle w:val="CETReferencetext"/>
        <w:rPr>
          <w:rFonts w:cs="Arial"/>
          <w:color w:val="212121"/>
          <w:shd w:val="clear" w:color="auto" w:fill="FFFFFF"/>
        </w:rPr>
      </w:pPr>
      <w:proofErr w:type="spellStart"/>
      <w:r>
        <w:rPr>
          <w:rFonts w:cs="Arial"/>
          <w:color w:val="212121"/>
          <w:shd w:val="clear" w:color="auto" w:fill="FFFFFF"/>
        </w:rPr>
        <w:t>Aktar</w:t>
      </w:r>
      <w:proofErr w:type="spellEnd"/>
      <w:r>
        <w:rPr>
          <w:rFonts w:cs="Arial"/>
          <w:color w:val="212121"/>
          <w:shd w:val="clear" w:color="auto" w:fill="FFFFFF"/>
        </w:rPr>
        <w:t xml:space="preserve"> N., Ilyas N., Yasmin H., Sayyed R.Z., Hasnain Z. </w:t>
      </w:r>
      <w:proofErr w:type="spellStart"/>
      <w:r>
        <w:rPr>
          <w:rFonts w:cs="Arial"/>
          <w:color w:val="212121"/>
          <w:shd w:val="clear" w:color="auto" w:fill="FFFFFF"/>
        </w:rPr>
        <w:t>Elsayed</w:t>
      </w:r>
      <w:proofErr w:type="spellEnd"/>
      <w:r>
        <w:rPr>
          <w:rFonts w:cs="Arial"/>
          <w:color w:val="212121"/>
          <w:shd w:val="clear" w:color="auto" w:fill="FFFFFF"/>
        </w:rPr>
        <w:t xml:space="preserve"> E.A., El </w:t>
      </w:r>
      <w:proofErr w:type="spellStart"/>
      <w:r>
        <w:rPr>
          <w:rFonts w:cs="Arial"/>
          <w:color w:val="212121"/>
          <w:shd w:val="clear" w:color="auto" w:fill="FFFFFF"/>
        </w:rPr>
        <w:t>Enshasy</w:t>
      </w:r>
      <w:proofErr w:type="spellEnd"/>
      <w:r>
        <w:rPr>
          <w:rFonts w:cs="Arial"/>
          <w:color w:val="212121"/>
          <w:shd w:val="clear" w:color="auto" w:fill="FFFFFF"/>
        </w:rPr>
        <w:t xml:space="preserve"> H.A, 2021, Role of </w:t>
      </w:r>
      <w:r w:rsidRPr="007A606C">
        <w:rPr>
          <w:rFonts w:cs="Arial"/>
          <w:i/>
          <w:iCs/>
          <w:color w:val="212121"/>
          <w:shd w:val="clear" w:color="auto" w:fill="FFFFFF"/>
        </w:rPr>
        <w:t>Bacillus cereus</w:t>
      </w:r>
      <w:r>
        <w:rPr>
          <w:rFonts w:cs="Arial"/>
          <w:color w:val="212121"/>
          <w:shd w:val="clear" w:color="auto" w:fill="FFFFFF"/>
        </w:rPr>
        <w:t xml:space="preserve"> in improving the growth and </w:t>
      </w:r>
      <w:proofErr w:type="spellStart"/>
      <w:r>
        <w:rPr>
          <w:rFonts w:cs="Arial"/>
          <w:color w:val="212121"/>
          <w:shd w:val="clear" w:color="auto" w:fill="FFFFFF"/>
        </w:rPr>
        <w:t>phytoextractability</w:t>
      </w:r>
      <w:proofErr w:type="spellEnd"/>
      <w:r>
        <w:rPr>
          <w:rFonts w:cs="Arial"/>
          <w:color w:val="212121"/>
          <w:shd w:val="clear" w:color="auto" w:fill="FFFFFF"/>
        </w:rPr>
        <w:t xml:space="preserve"> of </w:t>
      </w:r>
      <w:r w:rsidRPr="00ED5830">
        <w:rPr>
          <w:rFonts w:cs="Arial"/>
          <w:i/>
          <w:iCs/>
          <w:color w:val="212121"/>
          <w:shd w:val="clear" w:color="auto" w:fill="FFFFFF"/>
        </w:rPr>
        <w:t>Brassica nigra</w:t>
      </w:r>
      <w:r>
        <w:rPr>
          <w:rFonts w:cs="Arial"/>
          <w:color w:val="212121"/>
          <w:shd w:val="clear" w:color="auto" w:fill="FFFFFF"/>
        </w:rPr>
        <w:t xml:space="preserve"> (L.) K. Koch in chromium contaminated soil. Molecules, 26, 1569</w:t>
      </w:r>
    </w:p>
    <w:p w14:paraId="1449C2FB" w14:textId="45CA360E" w:rsidR="00E024BF" w:rsidRDefault="00BB764F" w:rsidP="00213BD7">
      <w:pPr>
        <w:pStyle w:val="CETReferencetext"/>
        <w:rPr>
          <w:lang w:val="en-ZA"/>
        </w:rPr>
      </w:pPr>
      <w:r w:rsidRPr="00BB764F">
        <w:rPr>
          <w:lang w:val="en-ZA"/>
        </w:rPr>
        <w:t>Banerjee</w:t>
      </w:r>
      <w:r w:rsidR="00E024BF" w:rsidRPr="00BB764F">
        <w:rPr>
          <w:lang w:val="en-ZA"/>
        </w:rPr>
        <w:t xml:space="preserve"> G., </w:t>
      </w:r>
      <w:proofErr w:type="spellStart"/>
      <w:r w:rsidR="00E024BF" w:rsidRPr="00BB764F">
        <w:rPr>
          <w:lang w:val="en-ZA"/>
        </w:rPr>
        <w:t>Go</w:t>
      </w:r>
      <w:r>
        <w:rPr>
          <w:lang w:val="en-ZA"/>
        </w:rPr>
        <w:t>rt</w:t>
      </w:r>
      <w:r w:rsidR="00E024BF" w:rsidRPr="00BB764F">
        <w:rPr>
          <w:lang w:val="en-ZA"/>
        </w:rPr>
        <w:t>i</w:t>
      </w:r>
      <w:proofErr w:type="spellEnd"/>
      <w:r w:rsidR="00E024BF" w:rsidRPr="00BB764F">
        <w:rPr>
          <w:lang w:val="en-ZA"/>
        </w:rPr>
        <w:t xml:space="preserve"> S.</w:t>
      </w:r>
      <w:r>
        <w:rPr>
          <w:lang w:val="en-ZA"/>
        </w:rPr>
        <w:t>,</w:t>
      </w:r>
      <w:r w:rsidR="00E024BF" w:rsidRPr="00BB764F">
        <w:rPr>
          <w:lang w:val="en-ZA"/>
        </w:rPr>
        <w:t xml:space="preserve"> Chattopadhyay P., 2018, Beneficial effects of biocontrol agent </w:t>
      </w:r>
      <w:r w:rsidR="00E024BF" w:rsidRPr="00BB764F">
        <w:rPr>
          <w:i/>
          <w:iCs/>
          <w:lang w:val="en-ZA"/>
        </w:rPr>
        <w:t>Bacillus cereus</w:t>
      </w:r>
      <w:r w:rsidR="00E024BF" w:rsidRPr="00BB764F">
        <w:rPr>
          <w:lang w:val="en-ZA"/>
        </w:rPr>
        <w:t xml:space="preserve"> IB113 on the agricultural crop production and its biomass optimization through surface methodology. </w:t>
      </w:r>
      <w:r>
        <w:rPr>
          <w:lang w:val="en-ZA"/>
        </w:rPr>
        <w:t xml:space="preserve">Anais da Academia </w:t>
      </w:r>
      <w:proofErr w:type="spellStart"/>
      <w:r>
        <w:rPr>
          <w:lang w:val="en-ZA"/>
        </w:rPr>
        <w:t>Brasileira</w:t>
      </w:r>
      <w:proofErr w:type="spellEnd"/>
      <w:r>
        <w:rPr>
          <w:lang w:val="en-ZA"/>
        </w:rPr>
        <w:t xml:space="preserve"> de </w:t>
      </w:r>
      <w:proofErr w:type="spellStart"/>
      <w:r>
        <w:rPr>
          <w:lang w:val="en-ZA"/>
        </w:rPr>
        <w:t>Ciencias</w:t>
      </w:r>
      <w:proofErr w:type="spellEnd"/>
      <w:r>
        <w:rPr>
          <w:lang w:val="en-ZA"/>
        </w:rPr>
        <w:t xml:space="preserve">, </w:t>
      </w:r>
      <w:r w:rsidR="00E024BF" w:rsidRPr="00BB764F">
        <w:rPr>
          <w:lang w:val="en-ZA"/>
        </w:rPr>
        <w:t>90</w:t>
      </w:r>
      <w:r>
        <w:rPr>
          <w:lang w:val="en-ZA"/>
        </w:rPr>
        <w:t xml:space="preserve"> (2 suppl. 1)</w:t>
      </w:r>
      <w:r w:rsidR="00E024BF" w:rsidRPr="00BB764F">
        <w:rPr>
          <w:lang w:val="en-ZA"/>
        </w:rPr>
        <w:t>, 2149 – 2159.</w:t>
      </w:r>
    </w:p>
    <w:p w14:paraId="0C56DA0A" w14:textId="7736AEE2" w:rsidR="00E024BF" w:rsidRDefault="00E024BF" w:rsidP="00E024BF">
      <w:pPr>
        <w:pStyle w:val="CETReferencetext"/>
        <w:rPr>
          <w:lang w:val="en-ZA"/>
        </w:rPr>
      </w:pPr>
      <w:r w:rsidRPr="009F6AB1">
        <w:rPr>
          <w:lang w:val="en-ZA"/>
        </w:rPr>
        <w:t>B</w:t>
      </w:r>
      <w:r>
        <w:rPr>
          <w:lang w:val="en-ZA"/>
        </w:rPr>
        <w:t>radfield</w:t>
      </w:r>
      <w:r w:rsidRPr="009F6AB1">
        <w:rPr>
          <w:lang w:val="en-ZA"/>
        </w:rPr>
        <w:t xml:space="preserve"> M. F. A. </w:t>
      </w:r>
      <w:r>
        <w:rPr>
          <w:lang w:eastAsia="en-ZA"/>
        </w:rPr>
        <w:t>and</w:t>
      </w:r>
      <w:r w:rsidRPr="009F6AB1">
        <w:rPr>
          <w:lang w:val="en-ZA"/>
        </w:rPr>
        <w:t xml:space="preserve"> N</w:t>
      </w:r>
      <w:r>
        <w:rPr>
          <w:lang w:val="en-ZA"/>
        </w:rPr>
        <w:t>icol</w:t>
      </w:r>
      <w:r w:rsidRPr="009F6AB1">
        <w:rPr>
          <w:lang w:val="en-ZA"/>
        </w:rPr>
        <w:t xml:space="preserve"> W.</w:t>
      </w:r>
      <w:r>
        <w:rPr>
          <w:lang w:val="en-ZA"/>
        </w:rPr>
        <w:t>,</w:t>
      </w:r>
      <w:r w:rsidRPr="009F6AB1">
        <w:rPr>
          <w:lang w:val="en-ZA"/>
        </w:rPr>
        <w:t xml:space="preserve"> 2014</w:t>
      </w:r>
      <w:r>
        <w:rPr>
          <w:lang w:val="en-ZA"/>
        </w:rPr>
        <w:t>,</w:t>
      </w:r>
      <w:r w:rsidRPr="009F6AB1">
        <w:rPr>
          <w:lang w:val="en-ZA"/>
        </w:rPr>
        <w:t xml:space="preserve"> Continuous succinic acid production by </w:t>
      </w:r>
      <w:proofErr w:type="spellStart"/>
      <w:r w:rsidRPr="007A606C">
        <w:rPr>
          <w:i/>
          <w:iCs/>
          <w:lang w:val="en-ZA"/>
        </w:rPr>
        <w:t>Actinobacillus</w:t>
      </w:r>
      <w:proofErr w:type="spellEnd"/>
      <w:r w:rsidRPr="007A606C">
        <w:rPr>
          <w:i/>
          <w:iCs/>
          <w:lang w:val="en-ZA"/>
        </w:rPr>
        <w:t xml:space="preserve"> succinogenes</w:t>
      </w:r>
      <w:r w:rsidRPr="009F6AB1">
        <w:rPr>
          <w:lang w:val="en-ZA"/>
        </w:rPr>
        <w:t xml:space="preserve"> in a biofilm reactor: Steady-state metabolic flux variation. </w:t>
      </w:r>
      <w:r w:rsidRPr="004D5410">
        <w:rPr>
          <w:lang w:val="en-ZA"/>
        </w:rPr>
        <w:t>Biochemical Engineering Journal</w:t>
      </w:r>
      <w:r w:rsidRPr="009F6AB1">
        <w:rPr>
          <w:i/>
          <w:iCs/>
          <w:lang w:val="en-ZA"/>
        </w:rPr>
        <w:t>,</w:t>
      </w:r>
      <w:r w:rsidRPr="009F6AB1">
        <w:rPr>
          <w:lang w:val="en-ZA"/>
        </w:rPr>
        <w:t xml:space="preserve"> 85</w:t>
      </w:r>
      <w:r w:rsidRPr="009F6AB1">
        <w:rPr>
          <w:b/>
          <w:bCs/>
          <w:lang w:val="en-ZA"/>
        </w:rPr>
        <w:t>,</w:t>
      </w:r>
      <w:r w:rsidRPr="009F6AB1">
        <w:rPr>
          <w:lang w:val="en-ZA"/>
        </w:rPr>
        <w:t xml:space="preserve"> 1</w:t>
      </w:r>
      <w:r w:rsidR="003E3240">
        <w:rPr>
          <w:lang w:val="en-ZA"/>
        </w:rPr>
        <w:t xml:space="preserve"> </w:t>
      </w:r>
      <w:r w:rsidRPr="009F6AB1">
        <w:rPr>
          <w:lang w:val="en-ZA"/>
        </w:rPr>
        <w:t>-</w:t>
      </w:r>
      <w:r w:rsidR="003E3240">
        <w:rPr>
          <w:lang w:val="en-ZA"/>
        </w:rPr>
        <w:t xml:space="preserve"> </w:t>
      </w:r>
      <w:r w:rsidRPr="009F6AB1">
        <w:rPr>
          <w:lang w:val="en-ZA"/>
        </w:rPr>
        <w:t>7.</w:t>
      </w:r>
    </w:p>
    <w:p w14:paraId="07E0015A" w14:textId="3B8E89DB" w:rsidR="00731BD5" w:rsidRDefault="00731BD5" w:rsidP="00E024BF">
      <w:pPr>
        <w:pStyle w:val="CETReferencetext"/>
        <w:rPr>
          <w:lang w:val="en-ZA"/>
        </w:rPr>
      </w:pPr>
      <w:r w:rsidRPr="009F6AB1">
        <w:rPr>
          <w:lang w:val="en-ZA"/>
        </w:rPr>
        <w:t>B</w:t>
      </w:r>
      <w:r>
        <w:rPr>
          <w:lang w:val="en-ZA"/>
        </w:rPr>
        <w:t>radfield</w:t>
      </w:r>
      <w:r w:rsidRPr="009F6AB1">
        <w:rPr>
          <w:lang w:val="en-ZA"/>
        </w:rPr>
        <w:t xml:space="preserve"> M. F. A. </w:t>
      </w:r>
      <w:r>
        <w:rPr>
          <w:lang w:eastAsia="en-ZA"/>
        </w:rPr>
        <w:t>and</w:t>
      </w:r>
      <w:r w:rsidRPr="009F6AB1">
        <w:rPr>
          <w:lang w:val="en-ZA"/>
        </w:rPr>
        <w:t xml:space="preserve"> N</w:t>
      </w:r>
      <w:r>
        <w:rPr>
          <w:lang w:val="en-ZA"/>
        </w:rPr>
        <w:t>icol</w:t>
      </w:r>
      <w:r w:rsidRPr="009F6AB1">
        <w:rPr>
          <w:lang w:val="en-ZA"/>
        </w:rPr>
        <w:t xml:space="preserve"> W.</w:t>
      </w:r>
      <w:r>
        <w:rPr>
          <w:lang w:val="en-ZA"/>
        </w:rPr>
        <w:t>,</w:t>
      </w:r>
      <w:r w:rsidRPr="009F6AB1">
        <w:rPr>
          <w:lang w:val="en-ZA"/>
        </w:rPr>
        <w:t xml:space="preserve"> 201</w:t>
      </w:r>
      <w:r>
        <w:rPr>
          <w:lang w:val="en-ZA"/>
        </w:rPr>
        <w:t xml:space="preserve">6, Continuous succinic acid production from xylose by </w:t>
      </w:r>
      <w:proofErr w:type="spellStart"/>
      <w:r w:rsidRPr="00731BD5">
        <w:rPr>
          <w:i/>
          <w:iCs/>
          <w:lang w:val="en-ZA"/>
        </w:rPr>
        <w:t>Actinobacillus</w:t>
      </w:r>
      <w:proofErr w:type="spellEnd"/>
      <w:r w:rsidRPr="00731BD5">
        <w:rPr>
          <w:i/>
          <w:iCs/>
          <w:lang w:val="en-ZA"/>
        </w:rPr>
        <w:t xml:space="preserve"> succinogenes</w:t>
      </w:r>
      <w:r>
        <w:rPr>
          <w:lang w:val="en-ZA"/>
        </w:rPr>
        <w:t xml:space="preserve">. Bioprocess </w:t>
      </w:r>
      <w:proofErr w:type="spellStart"/>
      <w:r>
        <w:rPr>
          <w:lang w:val="en-ZA"/>
        </w:rPr>
        <w:t>Biosyst</w:t>
      </w:r>
      <w:proofErr w:type="spellEnd"/>
      <w:r>
        <w:rPr>
          <w:lang w:val="en-ZA"/>
        </w:rPr>
        <w:t xml:space="preserve"> Eng, 39, </w:t>
      </w:r>
      <w:r w:rsidR="00AD755A">
        <w:rPr>
          <w:lang w:val="en-ZA"/>
        </w:rPr>
        <w:t>233</w:t>
      </w:r>
      <w:r>
        <w:rPr>
          <w:lang w:val="en-ZA"/>
        </w:rPr>
        <w:t xml:space="preserve"> - </w:t>
      </w:r>
      <w:r w:rsidR="00AD755A">
        <w:rPr>
          <w:lang w:val="en-ZA"/>
        </w:rPr>
        <w:t>244</w:t>
      </w:r>
    </w:p>
    <w:p w14:paraId="05CFA88D" w14:textId="5DB6F0AE" w:rsidR="00ED5830" w:rsidRDefault="00ED5830" w:rsidP="00ED5830">
      <w:pPr>
        <w:pStyle w:val="CETReferencetext"/>
        <w:rPr>
          <w:rFonts w:cs="Arial"/>
          <w:color w:val="212121"/>
          <w:shd w:val="clear" w:color="auto" w:fill="FFFFFF"/>
        </w:rPr>
      </w:pPr>
      <w:proofErr w:type="spellStart"/>
      <w:r>
        <w:rPr>
          <w:rFonts w:cs="Arial"/>
          <w:color w:val="212121"/>
          <w:shd w:val="clear" w:color="auto" w:fill="FFFFFF"/>
        </w:rPr>
        <w:t>Bursová</w:t>
      </w:r>
      <w:proofErr w:type="spellEnd"/>
      <w:r>
        <w:rPr>
          <w:rFonts w:cs="Arial"/>
          <w:color w:val="212121"/>
          <w:shd w:val="clear" w:color="auto" w:fill="FFFFFF"/>
        </w:rPr>
        <w:t xml:space="preserve"> S., </w:t>
      </w:r>
      <w:proofErr w:type="spellStart"/>
      <w:r>
        <w:rPr>
          <w:rFonts w:cs="Arial"/>
          <w:color w:val="212121"/>
          <w:shd w:val="clear" w:color="auto" w:fill="FFFFFF"/>
        </w:rPr>
        <w:t>Necidová</w:t>
      </w:r>
      <w:proofErr w:type="spellEnd"/>
      <w:r>
        <w:rPr>
          <w:rFonts w:cs="Arial"/>
          <w:color w:val="212121"/>
          <w:shd w:val="clear" w:color="auto" w:fill="FFFFFF"/>
        </w:rPr>
        <w:t xml:space="preserve"> L., </w:t>
      </w:r>
      <w:proofErr w:type="spellStart"/>
      <w:r>
        <w:rPr>
          <w:rFonts w:cs="Arial"/>
          <w:color w:val="212121"/>
          <w:shd w:val="clear" w:color="auto" w:fill="FFFFFF"/>
        </w:rPr>
        <w:t>Haruštiaková</w:t>
      </w:r>
      <w:proofErr w:type="spellEnd"/>
      <w:r>
        <w:rPr>
          <w:rFonts w:cs="Arial"/>
          <w:color w:val="212121"/>
          <w:shd w:val="clear" w:color="auto" w:fill="FFFFFF"/>
        </w:rPr>
        <w:t xml:space="preserve"> D., 2018, Growth and toxin production of </w:t>
      </w:r>
      <w:r w:rsidRPr="00B664F1">
        <w:rPr>
          <w:rFonts w:cs="Arial"/>
          <w:i/>
          <w:iCs/>
          <w:color w:val="212121"/>
          <w:shd w:val="clear" w:color="auto" w:fill="FFFFFF"/>
        </w:rPr>
        <w:t>Bacillus cereus</w:t>
      </w:r>
      <w:r>
        <w:rPr>
          <w:rFonts w:cs="Arial"/>
          <w:color w:val="212121"/>
          <w:shd w:val="clear" w:color="auto" w:fill="FFFFFF"/>
        </w:rPr>
        <w:t xml:space="preserve"> strains in reconstituted initial infant milk formula. Food Control, 93, 334 – 343</w:t>
      </w:r>
    </w:p>
    <w:p w14:paraId="4E3C3C25" w14:textId="55AB81AF" w:rsidR="00ED5830" w:rsidRDefault="00ED5830" w:rsidP="00ED5830">
      <w:pPr>
        <w:pStyle w:val="CETReferencetext"/>
        <w:rPr>
          <w:rFonts w:cs="Arial"/>
          <w:color w:val="212121"/>
          <w:shd w:val="clear" w:color="auto" w:fill="FFFFFF"/>
          <w:lang w:val="en-US"/>
        </w:rPr>
      </w:pPr>
      <w:r w:rsidRPr="00ED5830">
        <w:rPr>
          <w:rFonts w:cs="Arial"/>
          <w:color w:val="212121"/>
          <w:shd w:val="clear" w:color="auto" w:fill="FFFFFF"/>
          <w:lang w:val="en-US"/>
        </w:rPr>
        <w:t>Cardoso</w:t>
      </w:r>
      <w:r w:rsidR="00B664F1">
        <w:rPr>
          <w:rFonts w:cs="Arial"/>
          <w:color w:val="212121"/>
          <w:shd w:val="clear" w:color="auto" w:fill="FFFFFF"/>
          <w:lang w:val="en-US"/>
        </w:rPr>
        <w:t xml:space="preserve"> A.F., Alves E.C., da Costa S.D.A., de Mores A.J.G., da Silva G.B.</w:t>
      </w:r>
      <w:r w:rsidRPr="00ED5830">
        <w:rPr>
          <w:rFonts w:cs="Arial"/>
          <w:color w:val="212121"/>
          <w:shd w:val="clear" w:color="auto" w:fill="FFFFFF"/>
          <w:lang w:val="en-US"/>
        </w:rPr>
        <w:t xml:space="preserve">, 2021, </w:t>
      </w:r>
      <w:r w:rsidRPr="00B664F1">
        <w:rPr>
          <w:rFonts w:cs="Arial"/>
          <w:i/>
          <w:iCs/>
          <w:color w:val="212121"/>
          <w:shd w:val="clear" w:color="auto" w:fill="FFFFFF"/>
          <w:lang w:val="en-US"/>
        </w:rPr>
        <w:t>Bacillus cereus</w:t>
      </w:r>
      <w:r w:rsidRPr="00ED5830">
        <w:rPr>
          <w:rFonts w:cs="Arial"/>
          <w:color w:val="212121"/>
          <w:shd w:val="clear" w:color="auto" w:fill="FFFFFF"/>
          <w:lang w:val="en-US"/>
        </w:rPr>
        <w:t xml:space="preserve"> improves performance of B</w:t>
      </w:r>
      <w:r>
        <w:rPr>
          <w:rFonts w:cs="Arial"/>
          <w:color w:val="212121"/>
          <w:shd w:val="clear" w:color="auto" w:fill="FFFFFF"/>
          <w:lang w:val="en-US"/>
        </w:rPr>
        <w:t>razilian green dwarf coconut palms seedling with reduced chemical fertilization. Front. Plant Sci</w:t>
      </w:r>
      <w:r w:rsidR="00B664F1">
        <w:rPr>
          <w:rFonts w:cs="Arial"/>
          <w:color w:val="212121"/>
          <w:shd w:val="clear" w:color="auto" w:fill="FFFFFF"/>
          <w:lang w:val="en-US"/>
        </w:rPr>
        <w:t>., 12: 649487</w:t>
      </w:r>
    </w:p>
    <w:p w14:paraId="47889C03" w14:textId="45B2D5BE" w:rsidR="00F62755" w:rsidRPr="00F62755" w:rsidRDefault="00F62755" w:rsidP="00ED5830">
      <w:pPr>
        <w:pStyle w:val="CETReferencetext"/>
        <w:rPr>
          <w:rFonts w:cs="Arial"/>
          <w:color w:val="212121"/>
          <w:shd w:val="clear" w:color="auto" w:fill="FFFFFF"/>
          <w:lang w:val="en-US"/>
        </w:rPr>
      </w:pPr>
      <w:r w:rsidRPr="00F62755">
        <w:rPr>
          <w:rFonts w:cs="Arial"/>
          <w:color w:val="212121"/>
          <w:shd w:val="clear" w:color="auto" w:fill="FFFFFF"/>
          <w:lang w:val="en-US"/>
        </w:rPr>
        <w:t xml:space="preserve">Clair G., </w:t>
      </w:r>
      <w:proofErr w:type="spellStart"/>
      <w:r w:rsidRPr="00F62755">
        <w:rPr>
          <w:rFonts w:cs="Arial"/>
          <w:color w:val="212121"/>
          <w:shd w:val="clear" w:color="auto" w:fill="FFFFFF"/>
          <w:lang w:val="en-US"/>
        </w:rPr>
        <w:t>Armengaud</w:t>
      </w:r>
      <w:proofErr w:type="spellEnd"/>
      <w:r w:rsidRPr="00F62755">
        <w:rPr>
          <w:rFonts w:cs="Arial"/>
          <w:color w:val="212121"/>
          <w:shd w:val="clear" w:color="auto" w:fill="FFFFFF"/>
          <w:lang w:val="en-US"/>
        </w:rPr>
        <w:t xml:space="preserve"> J., </w:t>
      </w:r>
      <w:proofErr w:type="spellStart"/>
      <w:r w:rsidRPr="00F62755">
        <w:rPr>
          <w:rFonts w:cs="Arial"/>
          <w:color w:val="212121"/>
          <w:shd w:val="clear" w:color="auto" w:fill="FFFFFF"/>
          <w:lang w:val="en-US"/>
        </w:rPr>
        <w:t>Duport</w:t>
      </w:r>
      <w:proofErr w:type="spellEnd"/>
      <w:r w:rsidRPr="00F62755">
        <w:rPr>
          <w:rFonts w:cs="Arial"/>
          <w:color w:val="212121"/>
          <w:shd w:val="clear" w:color="auto" w:fill="FFFFFF"/>
          <w:lang w:val="en-US"/>
        </w:rPr>
        <w:t xml:space="preserve"> C., 2012, Restricting fermentative potentia</w:t>
      </w:r>
      <w:r>
        <w:rPr>
          <w:rFonts w:cs="Arial"/>
          <w:color w:val="212121"/>
          <w:shd w:val="clear" w:color="auto" w:fill="FFFFFF"/>
          <w:lang w:val="en-US"/>
        </w:rPr>
        <w:t xml:space="preserve">l by proteome remodeling. Molecular &amp; Cellular Proteomics, 11 (6) </w:t>
      </w:r>
    </w:p>
    <w:p w14:paraId="2F9B02B2" w14:textId="1EDF57E7" w:rsidR="00771A69" w:rsidRPr="00A142F7" w:rsidRDefault="00771A69" w:rsidP="00ED5830">
      <w:pPr>
        <w:pStyle w:val="CETReferencetext"/>
        <w:rPr>
          <w:rFonts w:cs="Arial"/>
          <w:color w:val="212121"/>
          <w:shd w:val="clear" w:color="auto" w:fill="FFFFFF"/>
          <w:lang w:val="en-US"/>
        </w:rPr>
      </w:pPr>
      <w:proofErr w:type="spellStart"/>
      <w:r w:rsidRPr="00F62755">
        <w:rPr>
          <w:rFonts w:cs="Arial"/>
          <w:color w:val="212121"/>
          <w:shd w:val="clear" w:color="auto" w:fill="FFFFFF"/>
          <w:lang w:val="en-US"/>
        </w:rPr>
        <w:t>Ellouze</w:t>
      </w:r>
      <w:proofErr w:type="spellEnd"/>
      <w:r w:rsidRPr="00F62755">
        <w:rPr>
          <w:rFonts w:cs="Arial"/>
          <w:color w:val="212121"/>
          <w:shd w:val="clear" w:color="auto" w:fill="FFFFFF"/>
          <w:lang w:val="en-US"/>
        </w:rPr>
        <w:t xml:space="preserve"> M., Buss Da Silva N.,</w:t>
      </w:r>
      <w:proofErr w:type="spellStart"/>
      <w:r w:rsidRPr="00F62755">
        <w:rPr>
          <w:rFonts w:cs="Arial"/>
          <w:color w:val="212121"/>
          <w:shd w:val="clear" w:color="auto" w:fill="FFFFFF"/>
          <w:lang w:val="en-US"/>
        </w:rPr>
        <w:t>Rouzeau-Szynalski</w:t>
      </w:r>
      <w:proofErr w:type="spellEnd"/>
      <w:r w:rsidRPr="00F62755">
        <w:rPr>
          <w:rFonts w:cs="Arial"/>
          <w:color w:val="212121"/>
          <w:shd w:val="clear" w:color="auto" w:fill="FFFFFF"/>
          <w:lang w:val="en-US"/>
        </w:rPr>
        <w:t xml:space="preserve"> K., </w:t>
      </w:r>
      <w:proofErr w:type="spellStart"/>
      <w:r w:rsidRPr="00F62755">
        <w:rPr>
          <w:rFonts w:cs="Arial"/>
          <w:color w:val="212121"/>
          <w:shd w:val="clear" w:color="auto" w:fill="FFFFFF"/>
          <w:lang w:val="en-US"/>
        </w:rPr>
        <w:t>Coisne</w:t>
      </w:r>
      <w:proofErr w:type="spellEnd"/>
      <w:r w:rsidRPr="00F62755">
        <w:rPr>
          <w:rFonts w:cs="Arial"/>
          <w:color w:val="212121"/>
          <w:shd w:val="clear" w:color="auto" w:fill="FFFFFF"/>
          <w:lang w:val="en-US"/>
        </w:rPr>
        <w:t xml:space="preserve"> L.,</w:t>
      </w:r>
      <w:proofErr w:type="spellStart"/>
      <w:r w:rsidRPr="00F62755">
        <w:rPr>
          <w:rFonts w:cs="Arial"/>
          <w:color w:val="212121"/>
          <w:shd w:val="clear" w:color="auto" w:fill="FFFFFF"/>
          <w:lang w:val="en-US"/>
        </w:rPr>
        <w:t>Cantergiani</w:t>
      </w:r>
      <w:proofErr w:type="spellEnd"/>
      <w:r w:rsidRPr="00F62755">
        <w:rPr>
          <w:rFonts w:cs="Arial"/>
          <w:color w:val="212121"/>
          <w:shd w:val="clear" w:color="auto" w:fill="FFFFFF"/>
          <w:lang w:val="en-US"/>
        </w:rPr>
        <w:t xml:space="preserve"> F., </w:t>
      </w:r>
      <w:proofErr w:type="spellStart"/>
      <w:r w:rsidRPr="00F62755">
        <w:rPr>
          <w:rFonts w:cs="Arial"/>
          <w:color w:val="212121"/>
          <w:shd w:val="clear" w:color="auto" w:fill="FFFFFF"/>
          <w:lang w:val="en-US"/>
        </w:rPr>
        <w:t>Baranyi</w:t>
      </w:r>
      <w:proofErr w:type="spellEnd"/>
      <w:r w:rsidRPr="00F62755">
        <w:rPr>
          <w:rFonts w:cs="Arial"/>
          <w:color w:val="212121"/>
          <w:shd w:val="clear" w:color="auto" w:fill="FFFFFF"/>
          <w:lang w:val="en-US"/>
        </w:rPr>
        <w:t xml:space="preserve"> J., 2021, Modelling </w:t>
      </w:r>
      <w:r w:rsidRPr="00A142F7">
        <w:rPr>
          <w:rFonts w:cs="Arial"/>
          <w:color w:val="212121"/>
          <w:shd w:val="clear" w:color="auto" w:fill="FFFFFF"/>
          <w:lang w:val="en-US"/>
        </w:rPr>
        <w:t xml:space="preserve">Bacillus cereus growth and </w:t>
      </w:r>
      <w:proofErr w:type="spellStart"/>
      <w:r w:rsidRPr="00A142F7">
        <w:rPr>
          <w:rFonts w:cs="Arial"/>
          <w:color w:val="212121"/>
          <w:shd w:val="clear" w:color="auto" w:fill="FFFFFF"/>
          <w:lang w:val="en-US"/>
        </w:rPr>
        <w:t>cereulide</w:t>
      </w:r>
      <w:proofErr w:type="spellEnd"/>
      <w:r w:rsidRPr="00A142F7">
        <w:rPr>
          <w:rFonts w:cs="Arial"/>
          <w:color w:val="212121"/>
          <w:shd w:val="clear" w:color="auto" w:fill="FFFFFF"/>
          <w:lang w:val="en-US"/>
        </w:rPr>
        <w:t xml:space="preserve"> formation in cereal-,dairy-, meat-, vegetable-,based food and culture medium. Front. </w:t>
      </w:r>
      <w:proofErr w:type="spellStart"/>
      <w:r w:rsidRPr="00A142F7">
        <w:rPr>
          <w:rFonts w:cs="Arial"/>
          <w:color w:val="212121"/>
          <w:shd w:val="clear" w:color="auto" w:fill="FFFFFF"/>
          <w:lang w:val="en-US"/>
        </w:rPr>
        <w:t>Microbiol</w:t>
      </w:r>
      <w:proofErr w:type="spellEnd"/>
      <w:r w:rsidRPr="00A142F7">
        <w:rPr>
          <w:rFonts w:cs="Arial"/>
          <w:color w:val="212121"/>
          <w:shd w:val="clear" w:color="auto" w:fill="FFFFFF"/>
          <w:lang w:val="en-US"/>
        </w:rPr>
        <w:t>., 12:639546</w:t>
      </w:r>
    </w:p>
    <w:p w14:paraId="793C0C9C" w14:textId="2CD1E19E" w:rsidR="00F96D98" w:rsidRPr="00A142F7" w:rsidRDefault="00F96D98" w:rsidP="00ED5830">
      <w:pPr>
        <w:pStyle w:val="CETReferencetext"/>
        <w:rPr>
          <w:rFonts w:cs="Arial"/>
          <w:color w:val="212121"/>
          <w:shd w:val="clear" w:color="auto" w:fill="FFFFFF"/>
          <w:lang w:val="en-US"/>
        </w:rPr>
      </w:pPr>
      <w:proofErr w:type="spellStart"/>
      <w:r w:rsidRPr="00A142F7">
        <w:rPr>
          <w:rFonts w:cs="Arial"/>
          <w:color w:val="212121"/>
          <w:shd w:val="clear" w:color="auto" w:fill="FFFFFF"/>
          <w:lang w:val="en-US"/>
        </w:rPr>
        <w:t>Hamitouche</w:t>
      </w:r>
      <w:proofErr w:type="spellEnd"/>
      <w:r w:rsidRPr="00A142F7">
        <w:rPr>
          <w:rFonts w:cs="Arial"/>
          <w:color w:val="212121"/>
          <w:shd w:val="clear" w:color="auto" w:fill="FFFFFF"/>
          <w:lang w:val="en-US"/>
        </w:rPr>
        <w:t xml:space="preserve"> F., Gaillard J., Schmitt P., </w:t>
      </w:r>
      <w:proofErr w:type="spellStart"/>
      <w:r w:rsidRPr="00A142F7">
        <w:rPr>
          <w:rFonts w:cs="Arial"/>
          <w:color w:val="212121"/>
          <w:shd w:val="clear" w:color="auto" w:fill="FFFFFF"/>
          <w:lang w:val="en-US"/>
        </w:rPr>
        <w:t>Armengaud</w:t>
      </w:r>
      <w:proofErr w:type="spellEnd"/>
      <w:r w:rsidRPr="00A142F7">
        <w:rPr>
          <w:rFonts w:cs="Arial"/>
          <w:color w:val="212121"/>
          <w:shd w:val="clear" w:color="auto" w:fill="FFFFFF"/>
          <w:lang w:val="en-US"/>
        </w:rPr>
        <w:t xml:space="preserve"> J., </w:t>
      </w:r>
      <w:proofErr w:type="spellStart"/>
      <w:r w:rsidRPr="00A142F7">
        <w:rPr>
          <w:rFonts w:cs="Arial"/>
          <w:color w:val="212121"/>
          <w:shd w:val="clear" w:color="auto" w:fill="FFFFFF"/>
          <w:lang w:val="en-US"/>
        </w:rPr>
        <w:t>Duport</w:t>
      </w:r>
      <w:proofErr w:type="spellEnd"/>
      <w:r w:rsidRPr="00A142F7">
        <w:rPr>
          <w:rFonts w:cs="Arial"/>
          <w:color w:val="212121"/>
          <w:shd w:val="clear" w:color="auto" w:fill="FFFFFF"/>
          <w:lang w:val="en-US"/>
        </w:rPr>
        <w:t xml:space="preserve"> C.,</w:t>
      </w:r>
      <w:proofErr w:type="spellStart"/>
      <w:r w:rsidRPr="00A142F7">
        <w:rPr>
          <w:rFonts w:cs="Arial"/>
          <w:color w:val="212121"/>
          <w:shd w:val="clear" w:color="auto" w:fill="FFFFFF"/>
          <w:lang w:val="en-US"/>
        </w:rPr>
        <w:t>Dedieu</w:t>
      </w:r>
      <w:proofErr w:type="spellEnd"/>
      <w:r w:rsidRPr="00A142F7">
        <w:rPr>
          <w:rFonts w:cs="Arial"/>
          <w:color w:val="212121"/>
          <w:shd w:val="clear" w:color="auto" w:fill="FFFFFF"/>
          <w:lang w:val="en-US"/>
        </w:rPr>
        <w:t xml:space="preserve"> L., 2021, Redox proteomic study of </w:t>
      </w:r>
      <w:r w:rsidRPr="00A142F7">
        <w:rPr>
          <w:rFonts w:cs="Arial"/>
          <w:i/>
          <w:iCs/>
          <w:color w:val="212121"/>
          <w:shd w:val="clear" w:color="auto" w:fill="FFFFFF"/>
          <w:lang w:val="en-US"/>
        </w:rPr>
        <w:t>Bacillus cereus</w:t>
      </w:r>
      <w:r w:rsidRPr="00A142F7">
        <w:rPr>
          <w:rFonts w:cs="Arial"/>
          <w:color w:val="212121"/>
          <w:shd w:val="clear" w:color="auto" w:fill="FFFFFF"/>
          <w:lang w:val="en-US"/>
        </w:rPr>
        <w:t xml:space="preserve"> thiol proteome during fermentative anaerobic growth. BMC Genomics,22:648</w:t>
      </w:r>
    </w:p>
    <w:p w14:paraId="0AC93541" w14:textId="3ACB43E7" w:rsidR="00A87444" w:rsidRDefault="00A87444" w:rsidP="00ED5830">
      <w:pPr>
        <w:pStyle w:val="CETReferencetext"/>
        <w:rPr>
          <w:rFonts w:cs="Arial"/>
          <w:color w:val="212121"/>
          <w:shd w:val="clear" w:color="auto" w:fill="FFFFFF"/>
          <w:lang w:val="en-US"/>
        </w:rPr>
      </w:pPr>
      <w:proofErr w:type="spellStart"/>
      <w:r w:rsidRPr="00A142F7">
        <w:rPr>
          <w:rFonts w:cs="Arial"/>
          <w:color w:val="212121"/>
          <w:shd w:val="clear" w:color="auto" w:fill="FFFFFF"/>
          <w:lang w:val="en-US"/>
        </w:rPr>
        <w:t>Housson</w:t>
      </w:r>
      <w:proofErr w:type="spellEnd"/>
      <w:r w:rsidRPr="00A142F7">
        <w:rPr>
          <w:rFonts w:cs="Arial"/>
          <w:color w:val="212121"/>
          <w:shd w:val="clear" w:color="auto" w:fill="FFFFFF"/>
          <w:lang w:val="en-US"/>
        </w:rPr>
        <w:t xml:space="preserve"> F., Tu V., Santiago-Gomez M., </w:t>
      </w:r>
      <w:proofErr w:type="spellStart"/>
      <w:r w:rsidRPr="00A142F7">
        <w:rPr>
          <w:rFonts w:cs="Arial"/>
          <w:color w:val="212121"/>
          <w:shd w:val="clear" w:color="auto" w:fill="FFFFFF"/>
          <w:lang w:val="en-US"/>
        </w:rPr>
        <w:t>Cachon</w:t>
      </w:r>
      <w:proofErr w:type="spellEnd"/>
      <w:r w:rsidRPr="00A142F7">
        <w:rPr>
          <w:rFonts w:cs="Arial"/>
          <w:color w:val="212121"/>
          <w:shd w:val="clear" w:color="auto" w:fill="FFFFFF"/>
          <w:lang w:val="en-US"/>
        </w:rPr>
        <w:t xml:space="preserve"> R.,</w:t>
      </w:r>
      <w:proofErr w:type="spellStart"/>
      <w:r w:rsidRPr="00A142F7">
        <w:rPr>
          <w:rFonts w:cs="Arial"/>
          <w:color w:val="212121"/>
          <w:shd w:val="clear" w:color="auto" w:fill="FFFFFF"/>
          <w:lang w:val="en-US"/>
        </w:rPr>
        <w:t>Feron</w:t>
      </w:r>
      <w:proofErr w:type="spellEnd"/>
      <w:r w:rsidRPr="00A142F7">
        <w:rPr>
          <w:rFonts w:cs="Arial"/>
          <w:color w:val="212121"/>
          <w:shd w:val="clear" w:color="auto" w:fill="FFFFFF"/>
          <w:lang w:val="en-US"/>
        </w:rPr>
        <w:t xml:space="preserve"> G., </w:t>
      </w:r>
      <w:proofErr w:type="spellStart"/>
      <w:r w:rsidRPr="00A142F7">
        <w:rPr>
          <w:rFonts w:cs="Arial"/>
          <w:color w:val="212121"/>
          <w:shd w:val="clear" w:color="auto" w:fill="FFFFFF"/>
          <w:lang w:val="en-US"/>
        </w:rPr>
        <w:t>Nicaud</w:t>
      </w:r>
      <w:proofErr w:type="spellEnd"/>
      <w:r w:rsidRPr="00A142F7">
        <w:rPr>
          <w:rFonts w:cs="Arial"/>
          <w:color w:val="212121"/>
          <w:shd w:val="clear" w:color="auto" w:fill="FFFFFF"/>
          <w:lang w:val="en-US"/>
        </w:rPr>
        <w:t xml:space="preserve"> J.M., </w:t>
      </w:r>
      <w:proofErr w:type="spellStart"/>
      <w:r w:rsidRPr="00A142F7">
        <w:rPr>
          <w:rFonts w:cs="Arial"/>
          <w:color w:val="212121"/>
          <w:shd w:val="clear" w:color="auto" w:fill="FFFFFF"/>
          <w:lang w:val="en-US"/>
        </w:rPr>
        <w:t>Kermasha</w:t>
      </w:r>
      <w:proofErr w:type="spellEnd"/>
      <w:r w:rsidRPr="00A142F7">
        <w:rPr>
          <w:rFonts w:cs="Arial"/>
          <w:color w:val="212121"/>
          <w:shd w:val="clear" w:color="auto" w:fill="FFFFFF"/>
          <w:lang w:val="en-US"/>
        </w:rPr>
        <w:t xml:space="preserve"> S., Belin J.M., 2006, Effect of redox potential on the growth of </w:t>
      </w:r>
      <w:proofErr w:type="spellStart"/>
      <w:r w:rsidRPr="00A142F7">
        <w:rPr>
          <w:rFonts w:cs="Arial"/>
          <w:i/>
          <w:iCs/>
          <w:color w:val="212121"/>
          <w:shd w:val="clear" w:color="auto" w:fill="FFFFFF"/>
          <w:lang w:val="en-US"/>
        </w:rPr>
        <w:t>Yarrowia</w:t>
      </w:r>
      <w:proofErr w:type="spellEnd"/>
      <w:r w:rsidRPr="00A142F7">
        <w:rPr>
          <w:rFonts w:cs="Arial"/>
          <w:i/>
          <w:iCs/>
          <w:color w:val="212121"/>
          <w:shd w:val="clear" w:color="auto" w:fill="FFFFFF"/>
          <w:lang w:val="en-US"/>
        </w:rPr>
        <w:t xml:space="preserve"> </w:t>
      </w:r>
      <w:proofErr w:type="spellStart"/>
      <w:r w:rsidRPr="00A142F7">
        <w:rPr>
          <w:rFonts w:cs="Arial"/>
          <w:i/>
          <w:iCs/>
          <w:color w:val="212121"/>
          <w:shd w:val="clear" w:color="auto" w:fill="FFFFFF"/>
          <w:lang w:val="en-US"/>
        </w:rPr>
        <w:t>lipolytica</w:t>
      </w:r>
      <w:proofErr w:type="spellEnd"/>
      <w:r w:rsidRPr="00A142F7">
        <w:rPr>
          <w:rFonts w:cs="Arial"/>
          <w:color w:val="212121"/>
          <w:shd w:val="clear" w:color="auto" w:fill="FFFFFF"/>
          <w:lang w:val="en-US"/>
        </w:rPr>
        <w:t xml:space="preserve"> and the biosynthesis and activity of heterologous</w:t>
      </w:r>
      <w:r>
        <w:rPr>
          <w:rFonts w:cs="Arial"/>
          <w:color w:val="212121"/>
          <w:shd w:val="clear" w:color="auto" w:fill="FFFFFF"/>
          <w:lang w:val="en-US"/>
        </w:rPr>
        <w:t xml:space="preserve"> hydroperoxide lyase. Journal of the Molecular Catalysis B: Enzymatic, 39, 179 </w:t>
      </w:r>
      <w:r w:rsidR="00C03A77">
        <w:rPr>
          <w:rFonts w:cs="Arial"/>
          <w:color w:val="212121"/>
          <w:shd w:val="clear" w:color="auto" w:fill="FFFFFF"/>
          <w:lang w:val="en-US"/>
        </w:rPr>
        <w:t>–</w:t>
      </w:r>
      <w:r>
        <w:rPr>
          <w:rFonts w:cs="Arial"/>
          <w:color w:val="212121"/>
          <w:shd w:val="clear" w:color="auto" w:fill="FFFFFF"/>
          <w:lang w:val="en-US"/>
        </w:rPr>
        <w:t xml:space="preserve"> 183</w:t>
      </w:r>
    </w:p>
    <w:p w14:paraId="3C7F04E5" w14:textId="32B234FD" w:rsidR="00C03A77" w:rsidRPr="00771A69" w:rsidRDefault="00C03A77" w:rsidP="00ED5830">
      <w:pPr>
        <w:pStyle w:val="CETReferencetext"/>
        <w:rPr>
          <w:rFonts w:cs="Arial"/>
          <w:color w:val="212121"/>
          <w:shd w:val="clear" w:color="auto" w:fill="FFFFFF"/>
          <w:lang w:val="en-US"/>
        </w:rPr>
      </w:pPr>
      <w:r>
        <w:t xml:space="preserve">Johansson </w:t>
      </w:r>
      <w:r>
        <w:t>B.,</w:t>
      </w:r>
      <w:r>
        <w:t xml:space="preserve"> Hahn-</w:t>
      </w:r>
      <w:proofErr w:type="spellStart"/>
      <w:r>
        <w:t>H</w:t>
      </w:r>
      <w:r>
        <w:rPr>
          <w:rFonts w:cs="Arial"/>
        </w:rPr>
        <w:t>ä</w:t>
      </w:r>
      <w:r>
        <w:t>ggerdal</w:t>
      </w:r>
      <w:proofErr w:type="spellEnd"/>
      <w:r>
        <w:t xml:space="preserve"> B.</w:t>
      </w:r>
      <w:r>
        <w:t>, 2002</w:t>
      </w:r>
      <w:r>
        <w:t>, The non-oxidative pentose phosphate pathway controls the fermentation rate of xylulose but not of xylose in Saccharomyces cerevisiae TMB3001. FEMS Yeast Research, 2(3), 277-282</w:t>
      </w:r>
    </w:p>
    <w:p w14:paraId="02822182" w14:textId="7C7CC3BA" w:rsidR="00ED5830" w:rsidRDefault="00ED5830" w:rsidP="00ED5830">
      <w:pPr>
        <w:pStyle w:val="CETReferencetext"/>
        <w:rPr>
          <w:lang w:val="en-ZA"/>
        </w:rPr>
      </w:pPr>
      <w:proofErr w:type="spellStart"/>
      <w:r w:rsidRPr="003C0BE9">
        <w:rPr>
          <w:lang w:val="en-US"/>
        </w:rPr>
        <w:t>Kulkova</w:t>
      </w:r>
      <w:proofErr w:type="spellEnd"/>
      <w:r w:rsidRPr="003C0BE9">
        <w:rPr>
          <w:lang w:val="en-US"/>
        </w:rPr>
        <w:t xml:space="preserve"> I., </w:t>
      </w:r>
      <w:proofErr w:type="spellStart"/>
      <w:r w:rsidRPr="003C0BE9">
        <w:rPr>
          <w:lang w:val="en-US"/>
        </w:rPr>
        <w:t>Dobrzy</w:t>
      </w:r>
      <w:r w:rsidRPr="003C0BE9">
        <w:rPr>
          <w:rFonts w:cs="Arial"/>
          <w:lang w:val="en-US"/>
        </w:rPr>
        <w:t>ń</w:t>
      </w:r>
      <w:r w:rsidRPr="003C0BE9">
        <w:rPr>
          <w:lang w:val="en-US"/>
        </w:rPr>
        <w:t>ski</w:t>
      </w:r>
      <w:proofErr w:type="spellEnd"/>
      <w:r w:rsidRPr="003C0BE9">
        <w:rPr>
          <w:lang w:val="en-US"/>
        </w:rPr>
        <w:t xml:space="preserve"> J., Kowalczyk P., </w:t>
      </w:r>
      <w:proofErr w:type="spellStart"/>
      <w:r w:rsidRPr="003C0BE9">
        <w:rPr>
          <w:lang w:val="en-US"/>
        </w:rPr>
        <w:t>Be</w:t>
      </w:r>
      <w:r w:rsidRPr="003C0BE9">
        <w:rPr>
          <w:rFonts w:cs="Arial"/>
          <w:lang w:val="en-US"/>
        </w:rPr>
        <w:t>łż</w:t>
      </w:r>
      <w:r w:rsidRPr="003C0BE9">
        <w:rPr>
          <w:lang w:val="en-US"/>
        </w:rPr>
        <w:t>ecki</w:t>
      </w:r>
      <w:proofErr w:type="spellEnd"/>
      <w:r w:rsidRPr="003C0BE9">
        <w:rPr>
          <w:lang w:val="en-US"/>
        </w:rPr>
        <w:t xml:space="preserve"> G., </w:t>
      </w:r>
      <w:proofErr w:type="spellStart"/>
      <w:r w:rsidRPr="003C0BE9">
        <w:rPr>
          <w:lang w:val="en-US"/>
        </w:rPr>
        <w:t>Kramkowski</w:t>
      </w:r>
      <w:proofErr w:type="spellEnd"/>
      <w:r w:rsidRPr="003C0BE9">
        <w:rPr>
          <w:lang w:val="en-US"/>
        </w:rPr>
        <w:t xml:space="preserve"> K., 2023, Plant growth promotion using </w:t>
      </w:r>
      <w:r w:rsidRPr="003C0BE9">
        <w:rPr>
          <w:i/>
          <w:iCs/>
          <w:lang w:val="en-US"/>
        </w:rPr>
        <w:t>Bacillus cereus</w:t>
      </w:r>
      <w:r w:rsidRPr="003C0BE9">
        <w:rPr>
          <w:lang w:val="en-US"/>
        </w:rPr>
        <w:t xml:space="preserve">. </w:t>
      </w:r>
      <w:r>
        <w:rPr>
          <w:lang w:val="en-ZA"/>
        </w:rPr>
        <w:t>International Journal of Molecular Sciences, 24, 9759</w:t>
      </w:r>
    </w:p>
    <w:p w14:paraId="596D9EF2" w14:textId="09AC7A53" w:rsidR="00E0730F" w:rsidRDefault="00E0730F" w:rsidP="00E0730F">
      <w:pPr>
        <w:pStyle w:val="CETReferencetext"/>
        <w:rPr>
          <w:lang w:val="en-US"/>
        </w:rPr>
      </w:pPr>
      <w:r>
        <w:rPr>
          <w:lang w:val="en-US"/>
        </w:rPr>
        <w:t xml:space="preserve">Kwon M., Hussain M. S., Oh D.H., 2017, Biofilm formation of </w:t>
      </w:r>
      <w:r w:rsidRPr="00E0730F">
        <w:rPr>
          <w:i/>
          <w:iCs/>
          <w:lang w:val="en-US"/>
        </w:rPr>
        <w:t>Bacillus cereus</w:t>
      </w:r>
      <w:r>
        <w:rPr>
          <w:lang w:val="en-US"/>
        </w:rPr>
        <w:t xml:space="preserve"> under food-processing-related conditions. Food Sci Biotechnology, 26 (4), 1103 </w:t>
      </w:r>
      <w:r w:rsidR="00C7795C">
        <w:rPr>
          <w:lang w:val="en-US"/>
        </w:rPr>
        <w:t>–</w:t>
      </w:r>
      <w:r>
        <w:rPr>
          <w:lang w:val="en-US"/>
        </w:rPr>
        <w:t xml:space="preserve"> 1111</w:t>
      </w:r>
    </w:p>
    <w:p w14:paraId="6FFA5ED5" w14:textId="206D1AFA" w:rsidR="00C7795C" w:rsidRPr="00C7795C" w:rsidRDefault="00C7795C" w:rsidP="00E0730F">
      <w:pPr>
        <w:pStyle w:val="CETReferencetext"/>
        <w:rPr>
          <w:lang w:val="en-US"/>
        </w:rPr>
      </w:pPr>
      <w:r w:rsidRPr="00C7795C">
        <w:rPr>
          <w:lang w:val="en-US"/>
        </w:rPr>
        <w:t xml:space="preserve">La Lay J., </w:t>
      </w:r>
      <w:proofErr w:type="spellStart"/>
      <w:r w:rsidRPr="00C7795C">
        <w:rPr>
          <w:lang w:val="en-US"/>
        </w:rPr>
        <w:t>Bahloul</w:t>
      </w:r>
      <w:proofErr w:type="spellEnd"/>
      <w:r w:rsidRPr="00C7795C">
        <w:rPr>
          <w:lang w:val="en-US"/>
        </w:rPr>
        <w:t xml:space="preserve"> H., </w:t>
      </w:r>
      <w:proofErr w:type="spellStart"/>
      <w:r w:rsidRPr="00C7795C">
        <w:rPr>
          <w:lang w:val="en-US"/>
        </w:rPr>
        <w:t>Serino</w:t>
      </w:r>
      <w:proofErr w:type="spellEnd"/>
      <w:r w:rsidRPr="00C7795C">
        <w:rPr>
          <w:lang w:val="en-US"/>
        </w:rPr>
        <w:t xml:space="preserve"> S.,</w:t>
      </w:r>
      <w:r>
        <w:rPr>
          <w:lang w:val="en-US"/>
        </w:rPr>
        <w:t xml:space="preserve"> </w:t>
      </w:r>
      <w:r w:rsidRPr="00C7795C">
        <w:rPr>
          <w:lang w:val="en-US"/>
        </w:rPr>
        <w:t>Job</w:t>
      </w:r>
      <w:r>
        <w:rPr>
          <w:lang w:val="en-US"/>
        </w:rPr>
        <w:t xml:space="preserve">in M., Schmitt P., 2015, Reducing activity, glucose catabolism and acid tolerance response of </w:t>
      </w:r>
      <w:r w:rsidRPr="00C7795C">
        <w:rPr>
          <w:i/>
          <w:iCs/>
          <w:lang w:val="en-US"/>
        </w:rPr>
        <w:t>Bacillus cereus</w:t>
      </w:r>
      <w:r>
        <w:rPr>
          <w:lang w:val="en-US"/>
        </w:rPr>
        <w:t xml:space="preserve"> grown at various pH and </w:t>
      </w:r>
      <w:proofErr w:type="spellStart"/>
      <w:r>
        <w:rPr>
          <w:lang w:val="en-US"/>
        </w:rPr>
        <w:t>oxydo</w:t>
      </w:r>
      <w:proofErr w:type="spellEnd"/>
      <w:r>
        <w:rPr>
          <w:lang w:val="en-US"/>
        </w:rPr>
        <w:t>-reduction potential. Food Microbiology, 46, 314 - 321</w:t>
      </w:r>
    </w:p>
    <w:p w14:paraId="3C5466C9" w14:textId="13FA5AEC" w:rsidR="00ED5830" w:rsidRPr="00C7795C" w:rsidRDefault="00ED5830" w:rsidP="00ED5830">
      <w:pPr>
        <w:pStyle w:val="CETReferencetext"/>
        <w:rPr>
          <w:rFonts w:cs="Arial"/>
          <w:color w:val="212121"/>
          <w:shd w:val="clear" w:color="auto" w:fill="FFFFFF"/>
          <w:lang w:val="en-US"/>
        </w:rPr>
      </w:pPr>
      <w:r w:rsidRPr="00C7795C">
        <w:rPr>
          <w:lang w:val="en-US"/>
        </w:rPr>
        <w:t xml:space="preserve">Luo Y., </w:t>
      </w:r>
      <w:proofErr w:type="spellStart"/>
      <w:r w:rsidRPr="00C7795C">
        <w:rPr>
          <w:lang w:val="en-US"/>
        </w:rPr>
        <w:t>Vilain</w:t>
      </w:r>
      <w:proofErr w:type="spellEnd"/>
      <w:r w:rsidRPr="00C7795C">
        <w:rPr>
          <w:lang w:val="en-US"/>
        </w:rPr>
        <w:t xml:space="preserve"> S., Voigt B., Albrecht D</w:t>
      </w:r>
      <w:r w:rsidRPr="00C7795C">
        <w:rPr>
          <w:rFonts w:cs="Arial"/>
          <w:lang w:val="en-US"/>
        </w:rPr>
        <w:t xml:space="preserve">., Hecker M., </w:t>
      </w:r>
      <w:proofErr w:type="spellStart"/>
      <w:r w:rsidRPr="00C7795C">
        <w:rPr>
          <w:rFonts w:cs="Arial"/>
          <w:lang w:val="en-US"/>
        </w:rPr>
        <w:t>Brözel</w:t>
      </w:r>
      <w:proofErr w:type="spellEnd"/>
      <w:r w:rsidRPr="00C7795C">
        <w:rPr>
          <w:rFonts w:cs="Arial"/>
          <w:lang w:val="en-US"/>
        </w:rPr>
        <w:t>, V.S., 200</w:t>
      </w:r>
      <w:r w:rsidR="00FE17A6" w:rsidRPr="00C7795C">
        <w:rPr>
          <w:rFonts w:cs="Arial"/>
          <w:lang w:val="en-US"/>
        </w:rPr>
        <w:t>7</w:t>
      </w:r>
      <w:r w:rsidRPr="00C7795C">
        <w:rPr>
          <w:rFonts w:cs="Arial"/>
          <w:lang w:val="en-US"/>
        </w:rPr>
        <w:t xml:space="preserve">, Proteomic analysis of </w:t>
      </w:r>
      <w:r w:rsidRPr="00C7795C">
        <w:rPr>
          <w:rFonts w:cs="Arial"/>
          <w:i/>
          <w:iCs/>
          <w:lang w:val="en-US"/>
        </w:rPr>
        <w:t>Bacillus cereus</w:t>
      </w:r>
      <w:r w:rsidRPr="00C7795C">
        <w:rPr>
          <w:rFonts w:cs="Arial"/>
          <w:lang w:val="en-US"/>
        </w:rPr>
        <w:t xml:space="preserve"> growing in liquid soil organic matter, </w:t>
      </w:r>
      <w:r w:rsidRPr="00C7795C">
        <w:rPr>
          <w:rFonts w:cs="Arial"/>
          <w:color w:val="212121"/>
          <w:shd w:val="clear" w:color="auto" w:fill="FFFFFF"/>
          <w:lang w:val="en-US"/>
        </w:rPr>
        <w:t xml:space="preserve">FEMS </w:t>
      </w:r>
      <w:proofErr w:type="spellStart"/>
      <w:r w:rsidRPr="00C7795C">
        <w:rPr>
          <w:rFonts w:cs="Arial"/>
          <w:color w:val="212121"/>
          <w:shd w:val="clear" w:color="auto" w:fill="FFFFFF"/>
          <w:lang w:val="en-US"/>
        </w:rPr>
        <w:t>Microbiol</w:t>
      </w:r>
      <w:proofErr w:type="spellEnd"/>
      <w:r w:rsidRPr="00C7795C">
        <w:rPr>
          <w:rFonts w:cs="Arial"/>
          <w:color w:val="212121"/>
          <w:shd w:val="clear" w:color="auto" w:fill="FFFFFF"/>
          <w:lang w:val="en-US"/>
        </w:rPr>
        <w:t xml:space="preserve"> Lett. 2007, 271 (1) :40-7</w:t>
      </w:r>
    </w:p>
    <w:p w14:paraId="478A9E1A" w14:textId="2D8D909F" w:rsidR="00CF4592" w:rsidRPr="00284075" w:rsidRDefault="00CF4592" w:rsidP="00ED5830">
      <w:pPr>
        <w:pStyle w:val="CETReferencetext"/>
        <w:rPr>
          <w:lang w:val="en-US"/>
        </w:rPr>
      </w:pPr>
      <w:proofErr w:type="spellStart"/>
      <w:r w:rsidRPr="00284075">
        <w:rPr>
          <w:lang w:val="en-US"/>
        </w:rPr>
        <w:lastRenderedPageBreak/>
        <w:t>Mokwatlo</w:t>
      </w:r>
      <w:proofErr w:type="spellEnd"/>
      <w:r w:rsidRPr="00284075">
        <w:rPr>
          <w:lang w:val="en-US"/>
        </w:rPr>
        <w:t xml:space="preserve"> S.C., Brink </w:t>
      </w:r>
      <w:proofErr w:type="spellStart"/>
      <w:r w:rsidRPr="00284075">
        <w:rPr>
          <w:lang w:val="en-US"/>
        </w:rPr>
        <w:t>H.G.,Nicol</w:t>
      </w:r>
      <w:proofErr w:type="spellEnd"/>
      <w:r w:rsidRPr="00284075">
        <w:rPr>
          <w:lang w:val="en-US"/>
        </w:rPr>
        <w:t xml:space="preserve"> W., 2020, Effect of shear on morphology, viability and metabolic activity of succinic acid-producing </w:t>
      </w:r>
      <w:proofErr w:type="spellStart"/>
      <w:r w:rsidRPr="00284075">
        <w:rPr>
          <w:lang w:val="en-US"/>
        </w:rPr>
        <w:t>Actinobacillus</w:t>
      </w:r>
      <w:proofErr w:type="spellEnd"/>
      <w:r w:rsidRPr="00284075">
        <w:rPr>
          <w:lang w:val="en-US"/>
        </w:rPr>
        <w:t xml:space="preserve"> succinogenes biofilms. Bioprocess and Biosystems Engineering</w:t>
      </w:r>
      <w:r w:rsidR="00284075" w:rsidRPr="00284075">
        <w:rPr>
          <w:lang w:val="en-US"/>
        </w:rPr>
        <w:t>, 43, 1253-1263</w:t>
      </w:r>
    </w:p>
    <w:p w14:paraId="31BCDF39" w14:textId="4F047544" w:rsidR="00A9355E" w:rsidRDefault="00A9355E" w:rsidP="00E024BF">
      <w:pPr>
        <w:pStyle w:val="CETReferencetext"/>
        <w:rPr>
          <w:lang w:val="en-ZA"/>
        </w:rPr>
      </w:pPr>
      <w:proofErr w:type="spellStart"/>
      <w:r w:rsidRPr="00284075">
        <w:rPr>
          <w:lang w:val="en-US"/>
        </w:rPr>
        <w:t>Okanlawon</w:t>
      </w:r>
      <w:proofErr w:type="spellEnd"/>
      <w:r w:rsidRPr="00284075">
        <w:rPr>
          <w:lang w:val="en-US"/>
        </w:rPr>
        <w:t xml:space="preserve"> B.M., </w:t>
      </w:r>
      <w:proofErr w:type="spellStart"/>
      <w:r w:rsidRPr="00284075">
        <w:rPr>
          <w:lang w:val="en-US"/>
        </w:rPr>
        <w:t>Ogunbanwo</w:t>
      </w:r>
      <w:proofErr w:type="spellEnd"/>
      <w:r w:rsidRPr="00A9355E">
        <w:rPr>
          <w:lang w:val="en-ZA"/>
        </w:rPr>
        <w:t xml:space="preserve"> S.T</w:t>
      </w:r>
      <w:r>
        <w:rPr>
          <w:lang w:val="en-ZA"/>
        </w:rPr>
        <w:t>.</w:t>
      </w:r>
      <w:r w:rsidR="00ED5830">
        <w:rPr>
          <w:lang w:val="en-ZA"/>
        </w:rPr>
        <w:t xml:space="preserve">, </w:t>
      </w:r>
      <w:proofErr w:type="spellStart"/>
      <w:r>
        <w:rPr>
          <w:lang w:val="en-ZA"/>
        </w:rPr>
        <w:t>Okunlola</w:t>
      </w:r>
      <w:proofErr w:type="spellEnd"/>
      <w:r>
        <w:rPr>
          <w:lang w:val="en-ZA"/>
        </w:rPr>
        <w:t xml:space="preserve"> A.O., 2010, Growth of </w:t>
      </w:r>
      <w:r w:rsidRPr="007F59C5">
        <w:rPr>
          <w:i/>
          <w:iCs/>
          <w:lang w:val="en-ZA"/>
        </w:rPr>
        <w:t>Bacillus cereus</w:t>
      </w:r>
      <w:r>
        <w:rPr>
          <w:lang w:val="en-ZA"/>
        </w:rPr>
        <w:t xml:space="preserve"> isolated from some traditional condiments</w:t>
      </w:r>
      <w:r w:rsidR="007F59C5">
        <w:rPr>
          <w:lang w:val="en-ZA"/>
        </w:rPr>
        <w:t xml:space="preserve"> under different regimes. </w:t>
      </w:r>
      <w:r w:rsidR="007F59C5" w:rsidRPr="005A035B">
        <w:rPr>
          <w:i/>
          <w:iCs/>
          <w:lang w:val="en-ZA"/>
        </w:rPr>
        <w:t>African Journal of Biotechnology</w:t>
      </w:r>
      <w:r w:rsidR="007F59C5">
        <w:rPr>
          <w:lang w:val="en-ZA"/>
        </w:rPr>
        <w:t>, vol 8 (14), 2129 – 2135</w:t>
      </w:r>
    </w:p>
    <w:p w14:paraId="6FFD9E57" w14:textId="20FBE0BE" w:rsidR="007F59C5" w:rsidRDefault="007F59C5" w:rsidP="00E024BF">
      <w:pPr>
        <w:pStyle w:val="CETReferencetext"/>
        <w:rPr>
          <w:rFonts w:cs="Arial"/>
          <w:szCs w:val="18"/>
          <w:lang w:val="en-ZA"/>
        </w:rPr>
      </w:pPr>
      <w:r>
        <w:rPr>
          <w:lang w:val="en-ZA"/>
        </w:rPr>
        <w:t xml:space="preserve">Soria M.C. and </w:t>
      </w:r>
      <w:proofErr w:type="spellStart"/>
      <w:r>
        <w:rPr>
          <w:lang w:val="en-ZA"/>
        </w:rPr>
        <w:t>Audisio</w:t>
      </w:r>
      <w:proofErr w:type="spellEnd"/>
      <w:r>
        <w:rPr>
          <w:lang w:val="en-ZA"/>
        </w:rPr>
        <w:t xml:space="preserve"> M.C., 2014, Inhibition of </w:t>
      </w:r>
      <w:r w:rsidRPr="007A606C">
        <w:rPr>
          <w:i/>
          <w:iCs/>
          <w:lang w:val="en-ZA"/>
        </w:rPr>
        <w:t>Bacillus cereus</w:t>
      </w:r>
      <w:r>
        <w:rPr>
          <w:lang w:val="en-ZA"/>
        </w:rPr>
        <w:t xml:space="preserve"> strains by antimicrobial metabolites from </w:t>
      </w:r>
      <w:r w:rsidRPr="007F59C5">
        <w:rPr>
          <w:i/>
          <w:iCs/>
          <w:lang w:val="en-ZA"/>
        </w:rPr>
        <w:t xml:space="preserve">Lactobacillus </w:t>
      </w:r>
      <w:proofErr w:type="spellStart"/>
      <w:r w:rsidRPr="007F59C5">
        <w:rPr>
          <w:i/>
          <w:iCs/>
          <w:lang w:val="en-ZA"/>
        </w:rPr>
        <w:t>johnsonii</w:t>
      </w:r>
      <w:proofErr w:type="spellEnd"/>
      <w:r>
        <w:rPr>
          <w:lang w:val="en-ZA"/>
        </w:rPr>
        <w:t xml:space="preserve"> CRL1647 and </w:t>
      </w:r>
      <w:r w:rsidRPr="007F59C5">
        <w:rPr>
          <w:i/>
          <w:iCs/>
          <w:lang w:val="en-ZA"/>
        </w:rPr>
        <w:t>Enterococcus faecium</w:t>
      </w:r>
      <w:r>
        <w:rPr>
          <w:lang w:val="en-ZA"/>
        </w:rPr>
        <w:t xml:space="preserve"> SM21. </w:t>
      </w:r>
      <w:r w:rsidRPr="004D5410">
        <w:rPr>
          <w:lang w:val="en-ZA"/>
        </w:rPr>
        <w:t>Probiotics and Antimicrobial Proteins</w:t>
      </w:r>
      <w:r>
        <w:rPr>
          <w:lang w:val="en-ZA"/>
        </w:rPr>
        <w:t xml:space="preserve">, </w:t>
      </w:r>
      <w:r w:rsidRPr="00F93859">
        <w:rPr>
          <w:rFonts w:cs="Arial"/>
          <w:szCs w:val="18"/>
          <w:lang w:val="en-ZA"/>
        </w:rPr>
        <w:t xml:space="preserve">6, 208 </w:t>
      </w:r>
      <w:r w:rsidR="005A035B" w:rsidRPr="00F93859">
        <w:rPr>
          <w:rFonts w:cs="Arial"/>
          <w:szCs w:val="18"/>
          <w:lang w:val="en-ZA"/>
        </w:rPr>
        <w:t>–</w:t>
      </w:r>
      <w:r w:rsidRPr="00F93859">
        <w:rPr>
          <w:rFonts w:cs="Arial"/>
          <w:szCs w:val="18"/>
          <w:lang w:val="en-ZA"/>
        </w:rPr>
        <w:t xml:space="preserve"> 216</w:t>
      </w:r>
    </w:p>
    <w:p w14:paraId="580F7A09" w14:textId="4780B3B8" w:rsidR="007A40F5" w:rsidRPr="007A40F5" w:rsidRDefault="007A40F5" w:rsidP="007A40F5">
      <w:pPr>
        <w:pStyle w:val="CETReferencetext"/>
        <w:rPr>
          <w:rFonts w:cs="Arial"/>
          <w:szCs w:val="18"/>
          <w:lang w:val="en-ZA"/>
        </w:rPr>
      </w:pPr>
      <w:r w:rsidRPr="00F93859">
        <w:rPr>
          <w:rFonts w:cs="Arial"/>
          <w:szCs w:val="18"/>
        </w:rPr>
        <w:t>T</w:t>
      </w:r>
      <w:r>
        <w:rPr>
          <w:rFonts w:cs="Arial"/>
          <w:szCs w:val="18"/>
        </w:rPr>
        <w:t>an</w:t>
      </w:r>
      <w:r w:rsidRPr="00F93859">
        <w:rPr>
          <w:rFonts w:cs="Arial"/>
          <w:szCs w:val="18"/>
        </w:rPr>
        <w:t xml:space="preserve"> J. P., MD. </w:t>
      </w:r>
      <w:proofErr w:type="spellStart"/>
      <w:r w:rsidRPr="007A40F5">
        <w:rPr>
          <w:rFonts w:cs="Arial"/>
          <w:szCs w:val="18"/>
          <w:lang w:val="en-ZA"/>
        </w:rPr>
        <w:t>Jahim</w:t>
      </w:r>
      <w:proofErr w:type="spellEnd"/>
      <w:r w:rsidRPr="007A40F5">
        <w:rPr>
          <w:rFonts w:cs="Arial"/>
          <w:szCs w:val="18"/>
          <w:lang w:val="en-ZA"/>
        </w:rPr>
        <w:t xml:space="preserve"> J., Wu T. Y., Harus S., Kim B. H. &amp; Mohammad A. W., 2014. </w:t>
      </w:r>
      <w:r w:rsidRPr="00F93859">
        <w:rPr>
          <w:rFonts w:cs="Arial"/>
          <w:szCs w:val="18"/>
        </w:rPr>
        <w:t xml:space="preserve">Insight into </w:t>
      </w:r>
      <w:r>
        <w:rPr>
          <w:rFonts w:cs="Arial"/>
          <w:szCs w:val="18"/>
        </w:rPr>
        <w:t>b</w:t>
      </w:r>
      <w:r w:rsidRPr="00F93859">
        <w:rPr>
          <w:rFonts w:cs="Arial"/>
          <w:szCs w:val="18"/>
        </w:rPr>
        <w:t>iomass</w:t>
      </w:r>
      <w:r>
        <w:rPr>
          <w:rFonts w:cs="Arial"/>
          <w:szCs w:val="18"/>
        </w:rPr>
        <w:t xml:space="preserve"> as a renewable c</w:t>
      </w:r>
      <w:r w:rsidRPr="00F93859">
        <w:rPr>
          <w:rFonts w:cs="Arial"/>
          <w:szCs w:val="18"/>
        </w:rPr>
        <w:t xml:space="preserve">arbon </w:t>
      </w:r>
      <w:r>
        <w:rPr>
          <w:rFonts w:cs="Arial"/>
          <w:szCs w:val="18"/>
        </w:rPr>
        <w:t>s</w:t>
      </w:r>
      <w:r w:rsidRPr="00F93859">
        <w:rPr>
          <w:rFonts w:cs="Arial"/>
          <w:szCs w:val="18"/>
        </w:rPr>
        <w:t xml:space="preserve">ource for the </w:t>
      </w:r>
      <w:r>
        <w:rPr>
          <w:rFonts w:cs="Arial"/>
          <w:szCs w:val="18"/>
        </w:rPr>
        <w:t>p</w:t>
      </w:r>
      <w:r w:rsidRPr="00F93859">
        <w:rPr>
          <w:rFonts w:cs="Arial"/>
          <w:szCs w:val="18"/>
        </w:rPr>
        <w:t xml:space="preserve">roduction of </w:t>
      </w:r>
      <w:r>
        <w:rPr>
          <w:rFonts w:cs="Arial"/>
          <w:szCs w:val="18"/>
        </w:rPr>
        <w:t>s</w:t>
      </w:r>
      <w:r w:rsidRPr="00F93859">
        <w:rPr>
          <w:rFonts w:cs="Arial"/>
          <w:szCs w:val="18"/>
        </w:rPr>
        <w:t xml:space="preserve">uccinic </w:t>
      </w:r>
      <w:r>
        <w:rPr>
          <w:rFonts w:cs="Arial"/>
          <w:szCs w:val="18"/>
        </w:rPr>
        <w:t>a</w:t>
      </w:r>
      <w:r w:rsidRPr="00F93859">
        <w:rPr>
          <w:rFonts w:cs="Arial"/>
          <w:szCs w:val="18"/>
        </w:rPr>
        <w:t xml:space="preserve">cid and the </w:t>
      </w:r>
      <w:r>
        <w:rPr>
          <w:rFonts w:cs="Arial"/>
          <w:szCs w:val="18"/>
        </w:rPr>
        <w:t>f</w:t>
      </w:r>
      <w:r w:rsidRPr="00F93859">
        <w:rPr>
          <w:rFonts w:cs="Arial"/>
          <w:szCs w:val="18"/>
        </w:rPr>
        <w:t xml:space="preserve">actors </w:t>
      </w:r>
      <w:r>
        <w:rPr>
          <w:rFonts w:cs="Arial"/>
          <w:szCs w:val="18"/>
        </w:rPr>
        <w:t>a</w:t>
      </w:r>
      <w:r w:rsidRPr="00F93859">
        <w:rPr>
          <w:rFonts w:cs="Arial"/>
          <w:szCs w:val="18"/>
        </w:rPr>
        <w:t xml:space="preserve">ffecting the </w:t>
      </w:r>
      <w:r>
        <w:rPr>
          <w:rFonts w:cs="Arial"/>
          <w:szCs w:val="18"/>
        </w:rPr>
        <w:t>m</w:t>
      </w:r>
      <w:r w:rsidRPr="00F93859">
        <w:rPr>
          <w:rFonts w:cs="Arial"/>
          <w:szCs w:val="18"/>
        </w:rPr>
        <w:t>etabolic</w:t>
      </w:r>
      <w:r>
        <w:rPr>
          <w:rFonts w:cs="Arial"/>
          <w:szCs w:val="18"/>
        </w:rPr>
        <w:t xml:space="preserve"> flux toward h</w:t>
      </w:r>
      <w:r w:rsidRPr="00F93859">
        <w:rPr>
          <w:rFonts w:cs="Arial"/>
          <w:szCs w:val="18"/>
        </w:rPr>
        <w:t xml:space="preserve">igher </w:t>
      </w:r>
      <w:r>
        <w:rPr>
          <w:rFonts w:cs="Arial"/>
          <w:szCs w:val="18"/>
        </w:rPr>
        <w:t>s</w:t>
      </w:r>
      <w:r w:rsidRPr="00F93859">
        <w:rPr>
          <w:rFonts w:cs="Arial"/>
          <w:szCs w:val="18"/>
        </w:rPr>
        <w:t xml:space="preserve">uccinate </w:t>
      </w:r>
      <w:r>
        <w:rPr>
          <w:rFonts w:cs="Arial"/>
          <w:szCs w:val="18"/>
        </w:rPr>
        <w:t>y</w:t>
      </w:r>
      <w:r w:rsidRPr="00F93859">
        <w:rPr>
          <w:rFonts w:cs="Arial"/>
          <w:szCs w:val="18"/>
        </w:rPr>
        <w:t xml:space="preserve">ield. </w:t>
      </w:r>
      <w:r w:rsidRPr="007A40F5">
        <w:rPr>
          <w:rFonts w:cs="Arial"/>
          <w:iCs/>
          <w:szCs w:val="18"/>
        </w:rPr>
        <w:t>Industrial &amp; Engineering Chemistry Research</w:t>
      </w:r>
      <w:r>
        <w:rPr>
          <w:rFonts w:cs="Arial"/>
          <w:iCs/>
          <w:szCs w:val="18"/>
        </w:rPr>
        <w:t>, 53, 16123 - 16134</w:t>
      </w:r>
    </w:p>
    <w:p w14:paraId="7A03CC06" w14:textId="0CF18774" w:rsidR="00ED5830" w:rsidRDefault="00ED5830" w:rsidP="00ED5830">
      <w:pPr>
        <w:pStyle w:val="CETReferencetext"/>
        <w:rPr>
          <w:lang w:val="en-ZA"/>
        </w:rPr>
      </w:pPr>
      <w:r w:rsidRPr="00F93859">
        <w:rPr>
          <w:rFonts w:cs="Arial"/>
          <w:szCs w:val="18"/>
          <w:lang w:val="en-ZA"/>
        </w:rPr>
        <w:t>Wang C. C., Zhu L. W., Li H. M., Tang Y. J., 2012, Performance analyses of a neutralizing agent combination</w:t>
      </w:r>
      <w:r w:rsidRPr="00A20514">
        <w:rPr>
          <w:lang w:val="en-ZA"/>
        </w:rPr>
        <w:t xml:space="preserve"> strategy for the production of succinic acid by </w:t>
      </w:r>
      <w:proofErr w:type="spellStart"/>
      <w:r w:rsidRPr="00A20514">
        <w:rPr>
          <w:i/>
          <w:iCs/>
          <w:lang w:val="en-ZA"/>
        </w:rPr>
        <w:t>Actinobacillus</w:t>
      </w:r>
      <w:proofErr w:type="spellEnd"/>
      <w:r w:rsidRPr="00A20514">
        <w:rPr>
          <w:i/>
          <w:iCs/>
          <w:lang w:val="en-ZA"/>
        </w:rPr>
        <w:t xml:space="preserve"> succinogenes</w:t>
      </w:r>
      <w:r w:rsidRPr="00A20514">
        <w:rPr>
          <w:lang w:val="en-ZA"/>
        </w:rPr>
        <w:t xml:space="preserve"> ATCC 55618</w:t>
      </w:r>
      <w:r>
        <w:rPr>
          <w:lang w:val="en-ZA"/>
        </w:rPr>
        <w:t>,</w:t>
      </w:r>
      <w:r w:rsidRPr="00A20514">
        <w:rPr>
          <w:lang w:val="en-ZA"/>
        </w:rPr>
        <w:t xml:space="preserve"> Bioprocess </w:t>
      </w:r>
      <w:proofErr w:type="spellStart"/>
      <w:r w:rsidRPr="00A20514">
        <w:rPr>
          <w:lang w:val="en-ZA"/>
        </w:rPr>
        <w:t>Biosyst</w:t>
      </w:r>
      <w:proofErr w:type="spellEnd"/>
      <w:r w:rsidR="003E3240">
        <w:rPr>
          <w:lang w:val="en-ZA"/>
        </w:rPr>
        <w:t>.</w:t>
      </w:r>
      <w:r w:rsidRPr="00A20514">
        <w:rPr>
          <w:lang w:val="en-ZA"/>
        </w:rPr>
        <w:t xml:space="preserve"> Eng, 35</w:t>
      </w:r>
      <w:r w:rsidRPr="00A20514">
        <w:rPr>
          <w:b/>
          <w:bCs/>
          <w:lang w:val="en-ZA"/>
        </w:rPr>
        <w:t>,</w:t>
      </w:r>
      <w:r w:rsidRPr="00A20514">
        <w:rPr>
          <w:lang w:val="en-ZA"/>
        </w:rPr>
        <w:t xml:space="preserve"> 659</w:t>
      </w:r>
      <w:r w:rsidR="003E3240">
        <w:rPr>
          <w:lang w:val="en-ZA"/>
        </w:rPr>
        <w:t xml:space="preserve"> </w:t>
      </w:r>
      <w:r w:rsidRPr="00A20514">
        <w:rPr>
          <w:lang w:val="en-ZA"/>
        </w:rPr>
        <w:t>-</w:t>
      </w:r>
      <w:r w:rsidR="003E3240">
        <w:rPr>
          <w:lang w:val="en-ZA"/>
        </w:rPr>
        <w:t xml:space="preserve"> </w:t>
      </w:r>
      <w:r w:rsidRPr="00A20514">
        <w:rPr>
          <w:lang w:val="en-ZA"/>
        </w:rPr>
        <w:t>64.</w:t>
      </w:r>
    </w:p>
    <w:p w14:paraId="0D3A765F" w14:textId="40E9771F" w:rsidR="003E3240" w:rsidRDefault="003E3240" w:rsidP="00ED5830">
      <w:pPr>
        <w:pStyle w:val="CETReferencetext"/>
        <w:rPr>
          <w:lang w:val="en-ZA"/>
        </w:rPr>
      </w:pPr>
      <w:r>
        <w:rPr>
          <w:lang w:val="en-ZA"/>
        </w:rPr>
        <w:t xml:space="preserve">Wong H., Chen Y., 1988, Effects of lactic acid bacteria and organic acids on growth and germination of </w:t>
      </w:r>
      <w:r w:rsidRPr="003E3240">
        <w:rPr>
          <w:i/>
          <w:iCs/>
          <w:lang w:val="en-ZA"/>
        </w:rPr>
        <w:t>Bacillus cereus</w:t>
      </w:r>
      <w:r>
        <w:rPr>
          <w:lang w:val="en-ZA"/>
        </w:rPr>
        <w:t xml:space="preserve">. Applied and Environmental Microbiology, Vol 54:9, 2179 </w:t>
      </w:r>
      <w:r w:rsidR="00BE31BA">
        <w:rPr>
          <w:lang w:val="en-ZA"/>
        </w:rPr>
        <w:t>–</w:t>
      </w:r>
      <w:r>
        <w:rPr>
          <w:lang w:val="en-ZA"/>
        </w:rPr>
        <w:t xml:space="preserve"> 2184</w:t>
      </w:r>
    </w:p>
    <w:p w14:paraId="578BAF29" w14:textId="70E2B500" w:rsidR="00771A69" w:rsidRDefault="00771A69" w:rsidP="00ED5830">
      <w:pPr>
        <w:pStyle w:val="CETReferencetext"/>
        <w:rPr>
          <w:lang w:val="en-US"/>
        </w:rPr>
      </w:pPr>
      <w:r w:rsidRPr="00AD0420">
        <w:rPr>
          <w:lang w:val="en-US"/>
        </w:rPr>
        <w:t>Y</w:t>
      </w:r>
      <w:r w:rsidR="00AD0420" w:rsidRPr="00AD0420">
        <w:rPr>
          <w:lang w:val="en-US"/>
        </w:rPr>
        <w:t>asin A.R., Al-</w:t>
      </w:r>
      <w:proofErr w:type="spellStart"/>
      <w:r w:rsidR="00AD0420" w:rsidRPr="00AD0420">
        <w:rPr>
          <w:lang w:val="en-US"/>
        </w:rPr>
        <w:t>Mayaly</w:t>
      </w:r>
      <w:proofErr w:type="spellEnd"/>
      <w:r w:rsidR="00AD0420" w:rsidRPr="00AD0420">
        <w:rPr>
          <w:lang w:val="en-US"/>
        </w:rPr>
        <w:t xml:space="preserve"> I.K., 2021, Study</w:t>
      </w:r>
      <w:r w:rsidR="00AD0420">
        <w:rPr>
          <w:lang w:val="en-US"/>
        </w:rPr>
        <w:t xml:space="preserve"> of the fermentation conditions of the Bacillus cereus strain ARY73 to produce </w:t>
      </w:r>
      <w:proofErr w:type="spellStart"/>
      <w:r w:rsidR="00AD0420">
        <w:rPr>
          <w:lang w:val="en-US"/>
        </w:rPr>
        <w:t>polyhydroxyalkanoate</w:t>
      </w:r>
      <w:proofErr w:type="spellEnd"/>
      <w:r w:rsidR="00AD0420">
        <w:rPr>
          <w:lang w:val="en-US"/>
        </w:rPr>
        <w:t xml:space="preserve"> (PHA) from glucose. Journal of  Ecological Engineering, 22(8), 47 </w:t>
      </w:r>
      <w:r w:rsidR="00286788">
        <w:rPr>
          <w:lang w:val="en-US"/>
        </w:rPr>
        <w:t>–</w:t>
      </w:r>
      <w:r w:rsidR="00AD0420">
        <w:rPr>
          <w:lang w:val="en-US"/>
        </w:rPr>
        <w:t xml:space="preserve"> 53</w:t>
      </w:r>
    </w:p>
    <w:p w14:paraId="39ED9C24" w14:textId="500F6A3D" w:rsidR="00286788" w:rsidRPr="00AD0420" w:rsidRDefault="00286788" w:rsidP="00ED5830">
      <w:pPr>
        <w:pStyle w:val="CETReferencetext"/>
        <w:rPr>
          <w:lang w:val="en-US"/>
        </w:rPr>
      </w:pPr>
      <w:r w:rsidRPr="00AB3C38">
        <w:rPr>
          <w:lang w:val="en-US"/>
        </w:rPr>
        <w:t>Z</w:t>
      </w:r>
      <w:r w:rsidR="00D51BBE" w:rsidRPr="00AB3C38">
        <w:rPr>
          <w:lang w:val="en-US"/>
        </w:rPr>
        <w:t>hang Y.,</w:t>
      </w:r>
      <w:r w:rsidR="00231341" w:rsidRPr="00AB3C38">
        <w:rPr>
          <w:lang w:val="en-US"/>
        </w:rPr>
        <w:t xml:space="preserve"> </w:t>
      </w:r>
      <w:r w:rsidR="00D51BBE" w:rsidRPr="00AB3C38">
        <w:rPr>
          <w:lang w:val="en-US"/>
        </w:rPr>
        <w:t>Zhu S., Yang J., He C., Zhou L.</w:t>
      </w:r>
      <w:r w:rsidRPr="00AB3C38">
        <w:rPr>
          <w:lang w:val="en-US"/>
        </w:rPr>
        <w:t xml:space="preserve">, 2015, </w:t>
      </w:r>
      <w:r w:rsidR="00D51BBE" w:rsidRPr="00AB3C38">
        <w:rPr>
          <w:lang w:val="en-US"/>
        </w:rPr>
        <w:t xml:space="preserve">Characterization of a cellulose and xylose utilization </w:t>
      </w:r>
      <w:r w:rsidR="00D51BBE" w:rsidRPr="00AB3C38">
        <w:rPr>
          <w:i/>
          <w:iCs/>
          <w:lang w:val="en-US"/>
        </w:rPr>
        <w:t>Bacillus cereus</w:t>
      </w:r>
      <w:r w:rsidR="00D51BBE" w:rsidRPr="00AB3C38">
        <w:rPr>
          <w:lang w:val="en-US"/>
        </w:rPr>
        <w:t xml:space="preserve"> Yc-A1. International</w:t>
      </w:r>
      <w:r w:rsidR="00D51BBE">
        <w:rPr>
          <w:lang w:val="en-US"/>
        </w:rPr>
        <w:t xml:space="preserve"> Conference on Advances in Energy, Environment and Chemical Engineering, </w:t>
      </w:r>
      <w:r w:rsidR="00231341">
        <w:rPr>
          <w:lang w:val="en-US"/>
        </w:rPr>
        <w:t>2015</w:t>
      </w:r>
    </w:p>
    <w:p w14:paraId="091B4834" w14:textId="77777777" w:rsidR="00286788" w:rsidRDefault="00771A69" w:rsidP="00ED5830">
      <w:pPr>
        <w:pStyle w:val="CETReferencetext"/>
        <w:rPr>
          <w:lang w:val="en-US"/>
        </w:rPr>
      </w:pPr>
      <w:r w:rsidRPr="00595BA7">
        <w:rPr>
          <w:lang w:val="en-US"/>
        </w:rPr>
        <w:t>Z</w:t>
      </w:r>
      <w:r w:rsidR="00595BA7" w:rsidRPr="00595BA7">
        <w:rPr>
          <w:lang w:val="en-US"/>
        </w:rPr>
        <w:t xml:space="preserve">hou J., Wu Y., Liu D., </w:t>
      </w:r>
      <w:proofErr w:type="spellStart"/>
      <w:r w:rsidR="00595BA7" w:rsidRPr="00595BA7">
        <w:rPr>
          <w:lang w:val="en-US"/>
        </w:rPr>
        <w:t>Lv</w:t>
      </w:r>
      <w:proofErr w:type="spellEnd"/>
      <w:r w:rsidR="00595BA7" w:rsidRPr="00595BA7">
        <w:rPr>
          <w:lang w:val="en-US"/>
        </w:rPr>
        <w:t xml:space="preserve"> R.,</w:t>
      </w:r>
      <w:r w:rsidR="00C05593" w:rsidRPr="00595BA7">
        <w:rPr>
          <w:lang w:val="en-US"/>
        </w:rPr>
        <w:t xml:space="preserve"> 2023,</w:t>
      </w:r>
      <w:r w:rsidR="00595BA7" w:rsidRPr="00595BA7">
        <w:rPr>
          <w:lang w:val="en-US"/>
        </w:rPr>
        <w:t xml:space="preserve"> Effect of carbon source and temperature on the formation and growth of </w:t>
      </w:r>
      <w:r w:rsidR="00595BA7" w:rsidRPr="00595BA7">
        <w:rPr>
          <w:i/>
          <w:iCs/>
          <w:lang w:val="en-US"/>
        </w:rPr>
        <w:t>Bacillus licheniformis</w:t>
      </w:r>
      <w:r w:rsidR="00595BA7" w:rsidRPr="00595BA7">
        <w:rPr>
          <w:lang w:val="en-US"/>
        </w:rPr>
        <w:t xml:space="preserve"> and </w:t>
      </w:r>
      <w:r w:rsidR="00595BA7" w:rsidRPr="00595BA7">
        <w:rPr>
          <w:i/>
          <w:iCs/>
          <w:lang w:val="en-US"/>
        </w:rPr>
        <w:t>Bacillus cereus</w:t>
      </w:r>
      <w:r w:rsidR="00595BA7" w:rsidRPr="00595BA7">
        <w:rPr>
          <w:lang w:val="en-US"/>
        </w:rPr>
        <w:t xml:space="preserve"> biofilms. LWT- Food Science and Technology, 186, 115239</w:t>
      </w:r>
    </w:p>
    <w:p w14:paraId="76AD98E0" w14:textId="77777777" w:rsidR="00286788" w:rsidRDefault="00286788" w:rsidP="00286788">
      <w:pPr>
        <w:pStyle w:val="CETReferencetext"/>
        <w:rPr>
          <w:lang w:val="en-US"/>
        </w:rPr>
      </w:pPr>
      <w:proofErr w:type="spellStart"/>
      <w:r w:rsidRPr="00BE31BA">
        <w:rPr>
          <w:lang w:val="en-US"/>
        </w:rPr>
        <w:t>Zigha</w:t>
      </w:r>
      <w:proofErr w:type="spellEnd"/>
      <w:r w:rsidRPr="00BE31BA">
        <w:rPr>
          <w:lang w:val="en-US"/>
        </w:rPr>
        <w:t xml:space="preserve"> A., Rosenfeld E., Schmitt P., 2006, Anaerobic cells of </w:t>
      </w:r>
      <w:r w:rsidRPr="00E0730F">
        <w:rPr>
          <w:i/>
          <w:iCs/>
          <w:lang w:val="en-US"/>
        </w:rPr>
        <w:t>Bacillus cereus</w:t>
      </w:r>
      <w:r>
        <w:rPr>
          <w:lang w:val="en-US"/>
        </w:rPr>
        <w:t xml:space="preserve"> F4430/73 respond to low oxidoreduction potential by metabolic readjustments and activation of enterotoxin expression. Arch </w:t>
      </w:r>
      <w:proofErr w:type="spellStart"/>
      <w:r>
        <w:rPr>
          <w:lang w:val="en-US"/>
        </w:rPr>
        <w:t>Microbiol</w:t>
      </w:r>
      <w:proofErr w:type="spellEnd"/>
      <w:r>
        <w:rPr>
          <w:lang w:val="en-US"/>
        </w:rPr>
        <w:t>., 185, 222 – 233</w:t>
      </w:r>
    </w:p>
    <w:p w14:paraId="19C4FC68" w14:textId="3E99E44B" w:rsidR="004628D2" w:rsidRPr="000069E4" w:rsidRDefault="004628D2" w:rsidP="000069E4">
      <w:pPr>
        <w:pStyle w:val="CETReferencetext"/>
        <w:ind w:left="0" w:firstLine="0"/>
        <w:rPr>
          <w:lang w:val="en-US"/>
        </w:rPr>
      </w:pPr>
    </w:p>
    <w:sectPr w:rsidR="004628D2" w:rsidRPr="000069E4"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AE8C" w14:textId="77777777" w:rsidR="008A60F8" w:rsidRDefault="008A60F8" w:rsidP="004F5E36">
      <w:r>
        <w:separator/>
      </w:r>
    </w:p>
  </w:endnote>
  <w:endnote w:type="continuationSeparator" w:id="0">
    <w:p w14:paraId="6189A20B" w14:textId="77777777" w:rsidR="008A60F8" w:rsidRDefault="008A60F8"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dvP6960">
    <w:altName w:val="Cambria"/>
    <w:panose1 w:val="00000000000000000000"/>
    <w:charset w:val="4D"/>
    <w:family w:val="roman"/>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8B68" w14:textId="77777777" w:rsidR="008A60F8" w:rsidRDefault="008A60F8" w:rsidP="004F5E36">
      <w:r>
        <w:separator/>
      </w:r>
    </w:p>
  </w:footnote>
  <w:footnote w:type="continuationSeparator" w:id="0">
    <w:p w14:paraId="45B7100E" w14:textId="77777777" w:rsidR="008A60F8" w:rsidRDefault="008A60F8"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44CEE3B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DA84DC9"/>
    <w:multiLevelType w:val="hybridMultilevel"/>
    <w:tmpl w:val="A9941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B35BAD"/>
    <w:multiLevelType w:val="hybridMultilevel"/>
    <w:tmpl w:val="A706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3F4A8B"/>
    <w:multiLevelType w:val="hybridMultilevel"/>
    <w:tmpl w:val="E0247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3"/>
  </w:num>
  <w:num w:numId="16" w16cid:durableId="1977102699">
    <w:abstractNumId w:val="22"/>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633947666">
    <w:abstractNumId w:val="21"/>
  </w:num>
  <w:num w:numId="24" w16cid:durableId="999387728">
    <w:abstractNumId w:val="16"/>
  </w:num>
  <w:num w:numId="25" w16cid:durableId="1291325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69E4"/>
    <w:rsid w:val="000117CB"/>
    <w:rsid w:val="00021711"/>
    <w:rsid w:val="00027085"/>
    <w:rsid w:val="0003148D"/>
    <w:rsid w:val="00031EEC"/>
    <w:rsid w:val="000400EF"/>
    <w:rsid w:val="00040463"/>
    <w:rsid w:val="0005029E"/>
    <w:rsid w:val="00051566"/>
    <w:rsid w:val="000562A9"/>
    <w:rsid w:val="0006053C"/>
    <w:rsid w:val="000622C1"/>
    <w:rsid w:val="00062A9A"/>
    <w:rsid w:val="00065058"/>
    <w:rsid w:val="0007663A"/>
    <w:rsid w:val="000867C1"/>
    <w:rsid w:val="00086C39"/>
    <w:rsid w:val="00087922"/>
    <w:rsid w:val="000A03B2"/>
    <w:rsid w:val="000D0268"/>
    <w:rsid w:val="000D34BE"/>
    <w:rsid w:val="000D79A6"/>
    <w:rsid w:val="000E102F"/>
    <w:rsid w:val="000E36F1"/>
    <w:rsid w:val="000E3A73"/>
    <w:rsid w:val="000E414A"/>
    <w:rsid w:val="000F093C"/>
    <w:rsid w:val="000F55FE"/>
    <w:rsid w:val="000F5674"/>
    <w:rsid w:val="000F787B"/>
    <w:rsid w:val="001068C0"/>
    <w:rsid w:val="0012091F"/>
    <w:rsid w:val="00126BC2"/>
    <w:rsid w:val="001308B6"/>
    <w:rsid w:val="0013121F"/>
    <w:rsid w:val="00131FE6"/>
    <w:rsid w:val="0013263F"/>
    <w:rsid w:val="001331DF"/>
    <w:rsid w:val="00134DE4"/>
    <w:rsid w:val="00137BC8"/>
    <w:rsid w:val="00140183"/>
    <w:rsid w:val="0014034D"/>
    <w:rsid w:val="00144D16"/>
    <w:rsid w:val="00150E59"/>
    <w:rsid w:val="00152DE3"/>
    <w:rsid w:val="00156F74"/>
    <w:rsid w:val="00157457"/>
    <w:rsid w:val="00164CF9"/>
    <w:rsid w:val="00164F3E"/>
    <w:rsid w:val="001667A6"/>
    <w:rsid w:val="00181864"/>
    <w:rsid w:val="00184AD6"/>
    <w:rsid w:val="00190C10"/>
    <w:rsid w:val="0019257C"/>
    <w:rsid w:val="00192FC2"/>
    <w:rsid w:val="00193FC3"/>
    <w:rsid w:val="001A2707"/>
    <w:rsid w:val="001A4AF7"/>
    <w:rsid w:val="001A7649"/>
    <w:rsid w:val="001B0349"/>
    <w:rsid w:val="001B1E93"/>
    <w:rsid w:val="001B65C1"/>
    <w:rsid w:val="001C684B"/>
    <w:rsid w:val="001C69BC"/>
    <w:rsid w:val="001D0CFB"/>
    <w:rsid w:val="001D1258"/>
    <w:rsid w:val="001D21AF"/>
    <w:rsid w:val="001D35C4"/>
    <w:rsid w:val="001D448B"/>
    <w:rsid w:val="001D53FC"/>
    <w:rsid w:val="001E722C"/>
    <w:rsid w:val="001F1BC3"/>
    <w:rsid w:val="001F42A5"/>
    <w:rsid w:val="001F7B9D"/>
    <w:rsid w:val="00201C93"/>
    <w:rsid w:val="00204797"/>
    <w:rsid w:val="002048EB"/>
    <w:rsid w:val="00213BD7"/>
    <w:rsid w:val="002218A6"/>
    <w:rsid w:val="002224B4"/>
    <w:rsid w:val="00227959"/>
    <w:rsid w:val="00231341"/>
    <w:rsid w:val="00241FB9"/>
    <w:rsid w:val="002447EF"/>
    <w:rsid w:val="00251550"/>
    <w:rsid w:val="00256EA8"/>
    <w:rsid w:val="00257213"/>
    <w:rsid w:val="002618E4"/>
    <w:rsid w:val="00263B05"/>
    <w:rsid w:val="00271A61"/>
    <w:rsid w:val="0027221A"/>
    <w:rsid w:val="00275B61"/>
    <w:rsid w:val="00280FAF"/>
    <w:rsid w:val="00282656"/>
    <w:rsid w:val="00284075"/>
    <w:rsid w:val="00286788"/>
    <w:rsid w:val="00286804"/>
    <w:rsid w:val="002963D3"/>
    <w:rsid w:val="00296B83"/>
    <w:rsid w:val="002A7EC1"/>
    <w:rsid w:val="002B4015"/>
    <w:rsid w:val="002B78CE"/>
    <w:rsid w:val="002C2FB6"/>
    <w:rsid w:val="002E10DB"/>
    <w:rsid w:val="002E15CB"/>
    <w:rsid w:val="002E5CF1"/>
    <w:rsid w:val="002E5FA7"/>
    <w:rsid w:val="002E77D1"/>
    <w:rsid w:val="002F3309"/>
    <w:rsid w:val="002F665B"/>
    <w:rsid w:val="003008CE"/>
    <w:rsid w:val="003009B7"/>
    <w:rsid w:val="00300E56"/>
    <w:rsid w:val="0030152C"/>
    <w:rsid w:val="00302814"/>
    <w:rsid w:val="0030469C"/>
    <w:rsid w:val="00321CA6"/>
    <w:rsid w:val="00323763"/>
    <w:rsid w:val="00323971"/>
    <w:rsid w:val="00323C5F"/>
    <w:rsid w:val="003242DB"/>
    <w:rsid w:val="00334C09"/>
    <w:rsid w:val="00343C31"/>
    <w:rsid w:val="003444BA"/>
    <w:rsid w:val="003458C2"/>
    <w:rsid w:val="00346672"/>
    <w:rsid w:val="003723D4"/>
    <w:rsid w:val="00376641"/>
    <w:rsid w:val="00377B71"/>
    <w:rsid w:val="00381905"/>
    <w:rsid w:val="00384CC8"/>
    <w:rsid w:val="003871FD"/>
    <w:rsid w:val="003A1E30"/>
    <w:rsid w:val="003A2055"/>
    <w:rsid w:val="003A2829"/>
    <w:rsid w:val="003A6FC6"/>
    <w:rsid w:val="003A7D1C"/>
    <w:rsid w:val="003A7D66"/>
    <w:rsid w:val="003B304B"/>
    <w:rsid w:val="003B3146"/>
    <w:rsid w:val="003C0BE9"/>
    <w:rsid w:val="003C36EC"/>
    <w:rsid w:val="003C54B7"/>
    <w:rsid w:val="003C7C33"/>
    <w:rsid w:val="003D202A"/>
    <w:rsid w:val="003E1D4E"/>
    <w:rsid w:val="003E3240"/>
    <w:rsid w:val="003E55EC"/>
    <w:rsid w:val="003F015E"/>
    <w:rsid w:val="003F1895"/>
    <w:rsid w:val="00400414"/>
    <w:rsid w:val="00400E38"/>
    <w:rsid w:val="0040365B"/>
    <w:rsid w:val="0041446B"/>
    <w:rsid w:val="00431A8A"/>
    <w:rsid w:val="00437205"/>
    <w:rsid w:val="0044071E"/>
    <w:rsid w:val="0044329C"/>
    <w:rsid w:val="00447D55"/>
    <w:rsid w:val="00453E24"/>
    <w:rsid w:val="00457456"/>
    <w:rsid w:val="004577FE"/>
    <w:rsid w:val="00457B9C"/>
    <w:rsid w:val="0046164A"/>
    <w:rsid w:val="004628D2"/>
    <w:rsid w:val="00462DCD"/>
    <w:rsid w:val="00463293"/>
    <w:rsid w:val="004648AD"/>
    <w:rsid w:val="004648F1"/>
    <w:rsid w:val="00465078"/>
    <w:rsid w:val="004703A9"/>
    <w:rsid w:val="004760DE"/>
    <w:rsid w:val="004761E9"/>
    <w:rsid w:val="004763D7"/>
    <w:rsid w:val="00481423"/>
    <w:rsid w:val="00483953"/>
    <w:rsid w:val="004874E1"/>
    <w:rsid w:val="004A004E"/>
    <w:rsid w:val="004A24CF"/>
    <w:rsid w:val="004B1CC9"/>
    <w:rsid w:val="004B3CBA"/>
    <w:rsid w:val="004C3D1D"/>
    <w:rsid w:val="004C3D84"/>
    <w:rsid w:val="004C68F6"/>
    <w:rsid w:val="004C7913"/>
    <w:rsid w:val="004D06A3"/>
    <w:rsid w:val="004D5410"/>
    <w:rsid w:val="004E4DD6"/>
    <w:rsid w:val="004F5E36"/>
    <w:rsid w:val="00507B47"/>
    <w:rsid w:val="00507BEF"/>
    <w:rsid w:val="00507CC9"/>
    <w:rsid w:val="005119A5"/>
    <w:rsid w:val="005166D8"/>
    <w:rsid w:val="00516AAC"/>
    <w:rsid w:val="005214CB"/>
    <w:rsid w:val="00523808"/>
    <w:rsid w:val="00523D74"/>
    <w:rsid w:val="00525044"/>
    <w:rsid w:val="005266C8"/>
    <w:rsid w:val="005278B7"/>
    <w:rsid w:val="00532016"/>
    <w:rsid w:val="005346C8"/>
    <w:rsid w:val="00543E7D"/>
    <w:rsid w:val="00547A68"/>
    <w:rsid w:val="005531C9"/>
    <w:rsid w:val="00554507"/>
    <w:rsid w:val="005673F7"/>
    <w:rsid w:val="00570C43"/>
    <w:rsid w:val="00595BA7"/>
    <w:rsid w:val="005A035B"/>
    <w:rsid w:val="005A4208"/>
    <w:rsid w:val="005A5A2A"/>
    <w:rsid w:val="005A5F7D"/>
    <w:rsid w:val="005B05B9"/>
    <w:rsid w:val="005B2110"/>
    <w:rsid w:val="005B49D7"/>
    <w:rsid w:val="005B61E6"/>
    <w:rsid w:val="005C5DD2"/>
    <w:rsid w:val="005C77E1"/>
    <w:rsid w:val="005D668A"/>
    <w:rsid w:val="005D6A2F"/>
    <w:rsid w:val="005E1A82"/>
    <w:rsid w:val="005E794C"/>
    <w:rsid w:val="005F0806"/>
    <w:rsid w:val="005F0A28"/>
    <w:rsid w:val="005F0E5E"/>
    <w:rsid w:val="005F43A8"/>
    <w:rsid w:val="00600535"/>
    <w:rsid w:val="00610CD6"/>
    <w:rsid w:val="006171FA"/>
    <w:rsid w:val="00620DEE"/>
    <w:rsid w:val="00621F92"/>
    <w:rsid w:val="0062280A"/>
    <w:rsid w:val="00625639"/>
    <w:rsid w:val="006275A1"/>
    <w:rsid w:val="00631B33"/>
    <w:rsid w:val="0064184D"/>
    <w:rsid w:val="006422CC"/>
    <w:rsid w:val="006510EF"/>
    <w:rsid w:val="00655AF7"/>
    <w:rsid w:val="006567F0"/>
    <w:rsid w:val="00660E3E"/>
    <w:rsid w:val="006619D9"/>
    <w:rsid w:val="00662E74"/>
    <w:rsid w:val="00680C23"/>
    <w:rsid w:val="0068443D"/>
    <w:rsid w:val="006911A0"/>
    <w:rsid w:val="00693766"/>
    <w:rsid w:val="006A3281"/>
    <w:rsid w:val="006B4888"/>
    <w:rsid w:val="006C2E45"/>
    <w:rsid w:val="006C359C"/>
    <w:rsid w:val="006C5311"/>
    <w:rsid w:val="006C5579"/>
    <w:rsid w:val="006D4FA4"/>
    <w:rsid w:val="006D6E8B"/>
    <w:rsid w:val="006E737D"/>
    <w:rsid w:val="006F520A"/>
    <w:rsid w:val="006F75F0"/>
    <w:rsid w:val="00705A6A"/>
    <w:rsid w:val="00713973"/>
    <w:rsid w:val="00720A24"/>
    <w:rsid w:val="00723169"/>
    <w:rsid w:val="007234E8"/>
    <w:rsid w:val="00731BD5"/>
    <w:rsid w:val="00732386"/>
    <w:rsid w:val="0073514D"/>
    <w:rsid w:val="007447F3"/>
    <w:rsid w:val="00753BA8"/>
    <w:rsid w:val="0075499F"/>
    <w:rsid w:val="0076173F"/>
    <w:rsid w:val="00763ACE"/>
    <w:rsid w:val="007661C8"/>
    <w:rsid w:val="0076698A"/>
    <w:rsid w:val="0077098D"/>
    <w:rsid w:val="00771A69"/>
    <w:rsid w:val="00773EB0"/>
    <w:rsid w:val="007863C1"/>
    <w:rsid w:val="007931FA"/>
    <w:rsid w:val="00797C5E"/>
    <w:rsid w:val="007A40F5"/>
    <w:rsid w:val="007A4861"/>
    <w:rsid w:val="007A605B"/>
    <w:rsid w:val="007A606C"/>
    <w:rsid w:val="007A7BBA"/>
    <w:rsid w:val="007B0C50"/>
    <w:rsid w:val="007B48F9"/>
    <w:rsid w:val="007C1A43"/>
    <w:rsid w:val="007D0951"/>
    <w:rsid w:val="007F2937"/>
    <w:rsid w:val="007F59C5"/>
    <w:rsid w:val="007F648F"/>
    <w:rsid w:val="007F7D62"/>
    <w:rsid w:val="0080013E"/>
    <w:rsid w:val="0080311B"/>
    <w:rsid w:val="00805784"/>
    <w:rsid w:val="0081249D"/>
    <w:rsid w:val="00813288"/>
    <w:rsid w:val="008168FC"/>
    <w:rsid w:val="008233D4"/>
    <w:rsid w:val="00824C4C"/>
    <w:rsid w:val="00830996"/>
    <w:rsid w:val="008345F1"/>
    <w:rsid w:val="0084185E"/>
    <w:rsid w:val="00843EAC"/>
    <w:rsid w:val="008444E3"/>
    <w:rsid w:val="008476C8"/>
    <w:rsid w:val="008554C8"/>
    <w:rsid w:val="00865B07"/>
    <w:rsid w:val="008667EA"/>
    <w:rsid w:val="00874FE2"/>
    <w:rsid w:val="0087637F"/>
    <w:rsid w:val="00885F63"/>
    <w:rsid w:val="00892AD5"/>
    <w:rsid w:val="00894B7F"/>
    <w:rsid w:val="008976DE"/>
    <w:rsid w:val="008A0DAB"/>
    <w:rsid w:val="008A1512"/>
    <w:rsid w:val="008A4FF1"/>
    <w:rsid w:val="008A60F8"/>
    <w:rsid w:val="008B7C03"/>
    <w:rsid w:val="008C05A2"/>
    <w:rsid w:val="008C2F13"/>
    <w:rsid w:val="008C6F89"/>
    <w:rsid w:val="008D32B9"/>
    <w:rsid w:val="008D433B"/>
    <w:rsid w:val="008D4A16"/>
    <w:rsid w:val="008D67F4"/>
    <w:rsid w:val="008E566E"/>
    <w:rsid w:val="008E721A"/>
    <w:rsid w:val="008E75D2"/>
    <w:rsid w:val="0090161A"/>
    <w:rsid w:val="00901EB6"/>
    <w:rsid w:val="0090358F"/>
    <w:rsid w:val="00904C62"/>
    <w:rsid w:val="009170A0"/>
    <w:rsid w:val="00917C12"/>
    <w:rsid w:val="00922BA8"/>
    <w:rsid w:val="00924DAC"/>
    <w:rsid w:val="009263B2"/>
    <w:rsid w:val="00926BEC"/>
    <w:rsid w:val="00927058"/>
    <w:rsid w:val="00935E46"/>
    <w:rsid w:val="00942750"/>
    <w:rsid w:val="009450CE"/>
    <w:rsid w:val="009459BB"/>
    <w:rsid w:val="009465AA"/>
    <w:rsid w:val="00947179"/>
    <w:rsid w:val="0095164B"/>
    <w:rsid w:val="00953F79"/>
    <w:rsid w:val="00954090"/>
    <w:rsid w:val="009573E7"/>
    <w:rsid w:val="00963E05"/>
    <w:rsid w:val="00964A45"/>
    <w:rsid w:val="00967843"/>
    <w:rsid w:val="00967D54"/>
    <w:rsid w:val="00971028"/>
    <w:rsid w:val="00993B84"/>
    <w:rsid w:val="00994B65"/>
    <w:rsid w:val="00996483"/>
    <w:rsid w:val="00996F5A"/>
    <w:rsid w:val="009B041A"/>
    <w:rsid w:val="009C08BC"/>
    <w:rsid w:val="009C37C3"/>
    <w:rsid w:val="009C3B23"/>
    <w:rsid w:val="009C6B5C"/>
    <w:rsid w:val="009C7C86"/>
    <w:rsid w:val="009D2FF7"/>
    <w:rsid w:val="009D5A19"/>
    <w:rsid w:val="009D5BA2"/>
    <w:rsid w:val="009E1B16"/>
    <w:rsid w:val="009E7884"/>
    <w:rsid w:val="009E788A"/>
    <w:rsid w:val="009F0E08"/>
    <w:rsid w:val="009F2065"/>
    <w:rsid w:val="009F53A8"/>
    <w:rsid w:val="009F59B0"/>
    <w:rsid w:val="00A10E82"/>
    <w:rsid w:val="00A136A4"/>
    <w:rsid w:val="00A142F7"/>
    <w:rsid w:val="00A1763D"/>
    <w:rsid w:val="00A17CEC"/>
    <w:rsid w:val="00A21B3D"/>
    <w:rsid w:val="00A21F3C"/>
    <w:rsid w:val="00A27EF0"/>
    <w:rsid w:val="00A319A5"/>
    <w:rsid w:val="00A42361"/>
    <w:rsid w:val="00A4259D"/>
    <w:rsid w:val="00A43879"/>
    <w:rsid w:val="00A50B20"/>
    <w:rsid w:val="00A51390"/>
    <w:rsid w:val="00A524CF"/>
    <w:rsid w:val="00A52D67"/>
    <w:rsid w:val="00A60D13"/>
    <w:rsid w:val="00A7223D"/>
    <w:rsid w:val="00A72745"/>
    <w:rsid w:val="00A76EFC"/>
    <w:rsid w:val="00A87444"/>
    <w:rsid w:val="00A87D50"/>
    <w:rsid w:val="00A90135"/>
    <w:rsid w:val="00A91010"/>
    <w:rsid w:val="00A9355E"/>
    <w:rsid w:val="00A95183"/>
    <w:rsid w:val="00A97F29"/>
    <w:rsid w:val="00AA702E"/>
    <w:rsid w:val="00AA7448"/>
    <w:rsid w:val="00AA7D26"/>
    <w:rsid w:val="00AB0964"/>
    <w:rsid w:val="00AB3C38"/>
    <w:rsid w:val="00AB5011"/>
    <w:rsid w:val="00AC7368"/>
    <w:rsid w:val="00AD0420"/>
    <w:rsid w:val="00AD16B9"/>
    <w:rsid w:val="00AD755A"/>
    <w:rsid w:val="00AE377D"/>
    <w:rsid w:val="00AF0EBA"/>
    <w:rsid w:val="00AF3CBF"/>
    <w:rsid w:val="00B00D52"/>
    <w:rsid w:val="00B01EF1"/>
    <w:rsid w:val="00B02C8A"/>
    <w:rsid w:val="00B10EF4"/>
    <w:rsid w:val="00B12BF8"/>
    <w:rsid w:val="00B15D77"/>
    <w:rsid w:val="00B17FBD"/>
    <w:rsid w:val="00B20EA6"/>
    <w:rsid w:val="00B315A6"/>
    <w:rsid w:val="00B31813"/>
    <w:rsid w:val="00B33365"/>
    <w:rsid w:val="00B55A6E"/>
    <w:rsid w:val="00B57B36"/>
    <w:rsid w:val="00B57E6F"/>
    <w:rsid w:val="00B664F1"/>
    <w:rsid w:val="00B67C74"/>
    <w:rsid w:val="00B8235F"/>
    <w:rsid w:val="00B8612C"/>
    <w:rsid w:val="00B8686D"/>
    <w:rsid w:val="00B910B5"/>
    <w:rsid w:val="00B922C7"/>
    <w:rsid w:val="00B93F69"/>
    <w:rsid w:val="00B97E21"/>
    <w:rsid w:val="00BA2738"/>
    <w:rsid w:val="00BA563E"/>
    <w:rsid w:val="00BB1DDC"/>
    <w:rsid w:val="00BB764F"/>
    <w:rsid w:val="00BC30C9"/>
    <w:rsid w:val="00BD077D"/>
    <w:rsid w:val="00BE31BA"/>
    <w:rsid w:val="00BE3E58"/>
    <w:rsid w:val="00BE7474"/>
    <w:rsid w:val="00C01616"/>
    <w:rsid w:val="00C0162B"/>
    <w:rsid w:val="00C03A77"/>
    <w:rsid w:val="00C05593"/>
    <w:rsid w:val="00C068ED"/>
    <w:rsid w:val="00C07E6B"/>
    <w:rsid w:val="00C22E0C"/>
    <w:rsid w:val="00C262CA"/>
    <w:rsid w:val="00C345B1"/>
    <w:rsid w:val="00C40142"/>
    <w:rsid w:val="00C41A41"/>
    <w:rsid w:val="00C41C6D"/>
    <w:rsid w:val="00C52C3C"/>
    <w:rsid w:val="00C54EA6"/>
    <w:rsid w:val="00C57182"/>
    <w:rsid w:val="00C57863"/>
    <w:rsid w:val="00C640AF"/>
    <w:rsid w:val="00C655FD"/>
    <w:rsid w:val="00C74D1C"/>
    <w:rsid w:val="00C75407"/>
    <w:rsid w:val="00C7795C"/>
    <w:rsid w:val="00C833E2"/>
    <w:rsid w:val="00C870A8"/>
    <w:rsid w:val="00C94434"/>
    <w:rsid w:val="00C97A38"/>
    <w:rsid w:val="00CA0D4A"/>
    <w:rsid w:val="00CA0D75"/>
    <w:rsid w:val="00CA1C95"/>
    <w:rsid w:val="00CA5A9C"/>
    <w:rsid w:val="00CC4C20"/>
    <w:rsid w:val="00CD3517"/>
    <w:rsid w:val="00CD5FE2"/>
    <w:rsid w:val="00CE40D2"/>
    <w:rsid w:val="00CE7C68"/>
    <w:rsid w:val="00CE7F24"/>
    <w:rsid w:val="00CF1C9C"/>
    <w:rsid w:val="00CF22DC"/>
    <w:rsid w:val="00CF4592"/>
    <w:rsid w:val="00D02B4C"/>
    <w:rsid w:val="00D040C4"/>
    <w:rsid w:val="00D17A37"/>
    <w:rsid w:val="00D20AD1"/>
    <w:rsid w:val="00D34BAC"/>
    <w:rsid w:val="00D43A98"/>
    <w:rsid w:val="00D46B7E"/>
    <w:rsid w:val="00D51BBE"/>
    <w:rsid w:val="00D57C84"/>
    <w:rsid w:val="00D6057D"/>
    <w:rsid w:val="00D648EC"/>
    <w:rsid w:val="00D71640"/>
    <w:rsid w:val="00D7732A"/>
    <w:rsid w:val="00D836C5"/>
    <w:rsid w:val="00D840FD"/>
    <w:rsid w:val="00D84576"/>
    <w:rsid w:val="00D8617A"/>
    <w:rsid w:val="00D96E8D"/>
    <w:rsid w:val="00DA1399"/>
    <w:rsid w:val="00DA24C6"/>
    <w:rsid w:val="00DA4D7B"/>
    <w:rsid w:val="00DA6DAA"/>
    <w:rsid w:val="00DA726E"/>
    <w:rsid w:val="00DC4EA8"/>
    <w:rsid w:val="00DC610A"/>
    <w:rsid w:val="00DD271C"/>
    <w:rsid w:val="00DD71A8"/>
    <w:rsid w:val="00DE1380"/>
    <w:rsid w:val="00DE264A"/>
    <w:rsid w:val="00DE7A31"/>
    <w:rsid w:val="00DF1346"/>
    <w:rsid w:val="00DF5072"/>
    <w:rsid w:val="00E00522"/>
    <w:rsid w:val="00E024BF"/>
    <w:rsid w:val="00E0265D"/>
    <w:rsid w:val="00E02D18"/>
    <w:rsid w:val="00E041E7"/>
    <w:rsid w:val="00E0730F"/>
    <w:rsid w:val="00E1314D"/>
    <w:rsid w:val="00E23CA1"/>
    <w:rsid w:val="00E276E3"/>
    <w:rsid w:val="00E33DD7"/>
    <w:rsid w:val="00E409A8"/>
    <w:rsid w:val="00E50C12"/>
    <w:rsid w:val="00E65B91"/>
    <w:rsid w:val="00E7209D"/>
    <w:rsid w:val="00E72EAD"/>
    <w:rsid w:val="00E77223"/>
    <w:rsid w:val="00E8528B"/>
    <w:rsid w:val="00E85B94"/>
    <w:rsid w:val="00E90011"/>
    <w:rsid w:val="00E978D0"/>
    <w:rsid w:val="00EA22F9"/>
    <w:rsid w:val="00EA34B1"/>
    <w:rsid w:val="00EA4613"/>
    <w:rsid w:val="00EA48C5"/>
    <w:rsid w:val="00EA6D0F"/>
    <w:rsid w:val="00EA7F91"/>
    <w:rsid w:val="00EB1523"/>
    <w:rsid w:val="00EB6C93"/>
    <w:rsid w:val="00EC0E49"/>
    <w:rsid w:val="00EC101F"/>
    <w:rsid w:val="00EC1D9F"/>
    <w:rsid w:val="00ED5830"/>
    <w:rsid w:val="00EE0131"/>
    <w:rsid w:val="00EE17B0"/>
    <w:rsid w:val="00EF06D9"/>
    <w:rsid w:val="00EF5FEF"/>
    <w:rsid w:val="00F036AE"/>
    <w:rsid w:val="00F0682C"/>
    <w:rsid w:val="00F21816"/>
    <w:rsid w:val="00F3049E"/>
    <w:rsid w:val="00F30C64"/>
    <w:rsid w:val="00F32BA2"/>
    <w:rsid w:val="00F32CDB"/>
    <w:rsid w:val="00F565FE"/>
    <w:rsid w:val="00F62755"/>
    <w:rsid w:val="00F63A70"/>
    <w:rsid w:val="00F63D8C"/>
    <w:rsid w:val="00F667F7"/>
    <w:rsid w:val="00F7534E"/>
    <w:rsid w:val="00F80042"/>
    <w:rsid w:val="00F93859"/>
    <w:rsid w:val="00F93EDF"/>
    <w:rsid w:val="00F94797"/>
    <w:rsid w:val="00F96D98"/>
    <w:rsid w:val="00F97348"/>
    <w:rsid w:val="00FA0744"/>
    <w:rsid w:val="00FA1802"/>
    <w:rsid w:val="00FA21D0"/>
    <w:rsid w:val="00FA4ABA"/>
    <w:rsid w:val="00FA5F5F"/>
    <w:rsid w:val="00FB16C0"/>
    <w:rsid w:val="00FB730C"/>
    <w:rsid w:val="00FC2695"/>
    <w:rsid w:val="00FC3B13"/>
    <w:rsid w:val="00FC3E03"/>
    <w:rsid w:val="00FC3FC1"/>
    <w:rsid w:val="00FC774E"/>
    <w:rsid w:val="00FD7C45"/>
    <w:rsid w:val="00FE17A6"/>
    <w:rsid w:val="00FE5C9F"/>
    <w:rsid w:val="00FF2405"/>
    <w:rsid w:val="00FF332D"/>
  </w:rsids>
  <m:mathPr>
    <m:mathFont m:val="Cambria Math"/>
    <m:brkBin m:val="before"/>
    <m:brkBinSub m:val="--"/>
    <m:smallFrac m:val="0"/>
    <m:dispDef/>
    <m:lMargin m:val="0"/>
    <m:rMargin m:val="0"/>
    <m:defJc m:val="centerGroup"/>
    <m:wrapIndent m:val="1440"/>
    <m:intLim m:val="subSup"/>
    <m:naryLim m:val="undOvr"/>
  </m:mathPr>
  <w:themeFontLang w:val="it-IT"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styleId="Emphasis">
    <w:name w:val="Emphasis"/>
    <w:basedOn w:val="DefaultParagraphFont"/>
    <w:uiPriority w:val="20"/>
    <w:qFormat/>
    <w:rsid w:val="00F036AE"/>
    <w:rPr>
      <w:i/>
      <w:iCs/>
    </w:rPr>
  </w:style>
  <w:style w:type="character" w:customStyle="1" w:styleId="EndNoteBibliographyChar">
    <w:name w:val="EndNote Bibliography Char"/>
    <w:basedOn w:val="DefaultParagraphFont"/>
    <w:link w:val="EndNoteBibliography"/>
    <w:locked/>
    <w:rsid w:val="00F93859"/>
    <w:rPr>
      <w:rFonts w:ascii="DengXian" w:eastAsiaTheme="minorEastAsia" w:hAnsi="DengXian" w:cs="Times New Roman"/>
      <w:noProof/>
      <w:sz w:val="28"/>
      <w:szCs w:val="20"/>
      <w:lang w:val="en-US" w:eastAsia="zh-CN" w:bidi="hi-IN"/>
    </w:rPr>
  </w:style>
  <w:style w:type="paragraph" w:customStyle="1" w:styleId="EndNoteBibliography">
    <w:name w:val="EndNote Bibliography"/>
    <w:basedOn w:val="Normal"/>
    <w:link w:val="EndNoteBibliographyChar"/>
    <w:rsid w:val="00F93859"/>
    <w:pPr>
      <w:tabs>
        <w:tab w:val="clear" w:pos="7100"/>
      </w:tabs>
      <w:spacing w:after="160" w:line="240" w:lineRule="auto"/>
      <w:jc w:val="left"/>
    </w:pPr>
    <w:rPr>
      <w:rFonts w:ascii="DengXian" w:eastAsiaTheme="minorEastAsia" w:hAnsi="DengXian"/>
      <w:noProof/>
      <w:sz w:val="2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3322">
      <w:bodyDiv w:val="1"/>
      <w:marLeft w:val="0"/>
      <w:marRight w:val="0"/>
      <w:marTop w:val="0"/>
      <w:marBottom w:val="0"/>
      <w:divBdr>
        <w:top w:val="none" w:sz="0" w:space="0" w:color="auto"/>
        <w:left w:val="none" w:sz="0" w:space="0" w:color="auto"/>
        <w:bottom w:val="none" w:sz="0" w:space="0" w:color="auto"/>
        <w:right w:val="none" w:sz="0" w:space="0" w:color="auto"/>
      </w:divBdr>
    </w:div>
    <w:div w:id="188779204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biyanh\Documents\Master's\NGS%20Fermentation%20Data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biyanh\Documents\Master's\NGS%20Fermentation%20Data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ibiyanh\Documents\Master's\NGS%20Fermentation%20Data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ibiyanh\Documents\Master's\NGS%20Fermentation%20Data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44383798616081"/>
          <c:y val="0.15763433762396467"/>
          <c:w val="0.77565542233357188"/>
          <c:h val="0.61959111728680971"/>
        </c:manualLayout>
      </c:layout>
      <c:scatterChart>
        <c:scatterStyle val="smoothMarker"/>
        <c:varyColors val="0"/>
        <c:ser>
          <c:idx val="2"/>
          <c:order val="2"/>
          <c:tx>
            <c:v>Glc 80 g/L</c:v>
          </c:tx>
          <c:spPr>
            <a:ln w="19050" cap="rnd">
              <a:solidFill>
                <a:srgbClr val="FF0000">
                  <a:alpha val="97000"/>
                </a:srgbClr>
              </a:solidFill>
              <a:round/>
            </a:ln>
            <a:effectLst/>
          </c:spPr>
          <c:marker>
            <c:symbol val="circle"/>
            <c:size val="5"/>
            <c:spPr>
              <a:solidFill>
                <a:srgbClr val="FF0000"/>
              </a:solidFill>
              <a:ln w="9525">
                <a:solidFill>
                  <a:srgbClr val="C00000"/>
                </a:solidFill>
              </a:ln>
              <a:effectLst/>
            </c:spPr>
          </c:marker>
          <c:xVal>
            <c:numRef>
              <c:f>G80A!$L$9:$L$20</c:f>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f>G80A!$T$9:$T$20</c:f>
              <c:numCache>
                <c:formatCode>General</c:formatCode>
                <c:ptCount val="12"/>
                <c:pt idx="0">
                  <c:v>1.4054040000000001</c:v>
                </c:pt>
                <c:pt idx="1">
                  <c:v>1.450488</c:v>
                </c:pt>
                <c:pt idx="2">
                  <c:v>1.495611</c:v>
                </c:pt>
                <c:pt idx="3">
                  <c:v>1.4820390000000001</c:v>
                </c:pt>
                <c:pt idx="4">
                  <c:v>1.7597190000000003</c:v>
                </c:pt>
                <c:pt idx="5">
                  <c:v>2.0294819999999998</c:v>
                </c:pt>
                <c:pt idx="6">
                  <c:v>2.425605</c:v>
                </c:pt>
                <c:pt idx="7">
                  <c:v>2.8336229999999998</c:v>
                </c:pt>
                <c:pt idx="8">
                  <c:v>3.1003440000000002</c:v>
                </c:pt>
                <c:pt idx="9">
                  <c:v>3.6661169999999998</c:v>
                </c:pt>
                <c:pt idx="10">
                  <c:v>3.7152959999999995</c:v>
                </c:pt>
                <c:pt idx="11">
                  <c:v>3.6440040000000007</c:v>
                </c:pt>
              </c:numCache>
            </c:numRef>
          </c:yVal>
          <c:smooth val="1"/>
          <c:extLst>
            <c:ext xmlns:c16="http://schemas.microsoft.com/office/drawing/2014/chart" uri="{C3380CC4-5D6E-409C-BE32-E72D297353CC}">
              <c16:uniqueId val="{00000000-3F77-4BC5-A8A9-0E7F1A3F7F88}"/>
            </c:ext>
          </c:extLst>
        </c:ser>
        <c:ser>
          <c:idx val="5"/>
          <c:order val="5"/>
          <c:tx>
            <c:v>Glc 70 g/L</c:v>
          </c:tx>
          <c:spPr>
            <a:ln w="19050" cap="rnd">
              <a:solidFill>
                <a:srgbClr val="0070C0"/>
              </a:solidFill>
              <a:round/>
            </a:ln>
            <a:effectLst/>
          </c:spPr>
          <c:marker>
            <c:symbol val="circle"/>
            <c:size val="5"/>
            <c:spPr>
              <a:solidFill>
                <a:srgbClr val="0070C0"/>
              </a:solidFill>
              <a:ln w="9525">
                <a:solidFill>
                  <a:srgbClr val="002060"/>
                </a:solidFill>
              </a:ln>
              <a:effectLst/>
            </c:spPr>
          </c:marker>
          <c:xVal>
            <c:numRef>
              <c:f>Glc70_A!$L$9:$L$26</c:f>
              <c:numCache>
                <c:formatCode>General</c:formatCode>
                <c:ptCount val="18"/>
                <c:pt idx="0">
                  <c:v>0</c:v>
                </c:pt>
                <c:pt idx="1">
                  <c:v>2</c:v>
                </c:pt>
                <c:pt idx="2">
                  <c:v>4</c:v>
                </c:pt>
                <c:pt idx="3">
                  <c:v>6</c:v>
                </c:pt>
                <c:pt idx="4">
                  <c:v>8</c:v>
                </c:pt>
                <c:pt idx="5">
                  <c:v>10</c:v>
                </c:pt>
                <c:pt idx="6">
                  <c:v>12</c:v>
                </c:pt>
                <c:pt idx="7">
                  <c:v>14</c:v>
                </c:pt>
                <c:pt idx="8">
                  <c:v>24</c:v>
                </c:pt>
                <c:pt idx="9">
                  <c:v>26</c:v>
                </c:pt>
                <c:pt idx="10">
                  <c:v>28</c:v>
                </c:pt>
                <c:pt idx="11">
                  <c:v>30</c:v>
                </c:pt>
                <c:pt idx="12">
                  <c:v>32</c:v>
                </c:pt>
                <c:pt idx="13">
                  <c:v>34</c:v>
                </c:pt>
                <c:pt idx="14">
                  <c:v>36</c:v>
                </c:pt>
                <c:pt idx="15">
                  <c:v>38</c:v>
                </c:pt>
                <c:pt idx="16">
                  <c:v>48</c:v>
                </c:pt>
                <c:pt idx="17">
                  <c:v>50</c:v>
                </c:pt>
              </c:numCache>
            </c:numRef>
          </c:xVal>
          <c:yVal>
            <c:numRef>
              <c:f>Glc70_A!$T$9:$T$26</c:f>
              <c:numCache>
                <c:formatCode>General</c:formatCode>
                <c:ptCount val="18"/>
                <c:pt idx="0">
                  <c:v>1.2621180000000001</c:v>
                </c:pt>
                <c:pt idx="1">
                  <c:v>1.229163</c:v>
                </c:pt>
                <c:pt idx="2">
                  <c:v>1.3337610000000002</c:v>
                </c:pt>
                <c:pt idx="3">
                  <c:v>1.4606280000000003</c:v>
                </c:pt>
                <c:pt idx="4">
                  <c:v>1.4961180000000001</c:v>
                </c:pt>
                <c:pt idx="5">
                  <c:v>1.5179190000000002</c:v>
                </c:pt>
                <c:pt idx="6">
                  <c:v>1.643265</c:v>
                </c:pt>
                <c:pt idx="7">
                  <c:v>1.7080440000000001</c:v>
                </c:pt>
                <c:pt idx="8">
                  <c:v>1.9411859999999999</c:v>
                </c:pt>
                <c:pt idx="9">
                  <c:v>2.0748000000000002</c:v>
                </c:pt>
                <c:pt idx="10">
                  <c:v>2.2161749999999998</c:v>
                </c:pt>
                <c:pt idx="11">
                  <c:v>2.3437049999999999</c:v>
                </c:pt>
                <c:pt idx="12">
                  <c:v>2.3876580000000001</c:v>
                </c:pt>
                <c:pt idx="13">
                  <c:v>2.4768119999999998</c:v>
                </c:pt>
                <c:pt idx="14">
                  <c:v>2.5638990000000002</c:v>
                </c:pt>
                <c:pt idx="15">
                  <c:v>2.5857390000000007</c:v>
                </c:pt>
                <c:pt idx="16">
                  <c:v>2.747433</c:v>
                </c:pt>
                <c:pt idx="17">
                  <c:v>2.7213030000000007</c:v>
                </c:pt>
              </c:numCache>
            </c:numRef>
          </c:yVal>
          <c:smooth val="1"/>
          <c:extLst>
            <c:ext xmlns:c16="http://schemas.microsoft.com/office/drawing/2014/chart" uri="{C3380CC4-5D6E-409C-BE32-E72D297353CC}">
              <c16:uniqueId val="{00000001-3F77-4BC5-A8A9-0E7F1A3F7F88}"/>
            </c:ext>
          </c:extLst>
        </c:ser>
        <c:dLbls>
          <c:showLegendKey val="0"/>
          <c:showVal val="0"/>
          <c:showCatName val="0"/>
          <c:showSerName val="0"/>
          <c:showPercent val="0"/>
          <c:showBubbleSize val="0"/>
        </c:dLbls>
        <c:axId val="435503792"/>
        <c:axId val="2110227312"/>
        <c:extLst>
          <c:ext xmlns:c15="http://schemas.microsoft.com/office/drawing/2012/chart" uri="{02D57815-91ED-43cb-92C2-25804820EDAC}">
            <c15:filteredScatterSeries>
              <c15:ser>
                <c:idx val="0"/>
                <c:order val="0"/>
                <c:tx>
                  <c:v>Glc60</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'Glc60'!$AC$9:$AC$22</c15:sqref>
                        </c15:formulaRef>
                      </c:ext>
                    </c:extLst>
                    <c:numCache>
                      <c:formatCode>General</c:formatCode>
                      <c:ptCount val="14"/>
                      <c:pt idx="0">
                        <c:v>0</c:v>
                      </c:pt>
                      <c:pt idx="1">
                        <c:v>2</c:v>
                      </c:pt>
                      <c:pt idx="2">
                        <c:v>4</c:v>
                      </c:pt>
                      <c:pt idx="3">
                        <c:v>6</c:v>
                      </c:pt>
                      <c:pt idx="4">
                        <c:v>8</c:v>
                      </c:pt>
                      <c:pt idx="5">
                        <c:v>10</c:v>
                      </c:pt>
                      <c:pt idx="6">
                        <c:v>12</c:v>
                      </c:pt>
                      <c:pt idx="7">
                        <c:v>24</c:v>
                      </c:pt>
                      <c:pt idx="8">
                        <c:v>26</c:v>
                      </c:pt>
                      <c:pt idx="9">
                        <c:v>28</c:v>
                      </c:pt>
                      <c:pt idx="10">
                        <c:v>30</c:v>
                      </c:pt>
                      <c:pt idx="11">
                        <c:v>32</c:v>
                      </c:pt>
                      <c:pt idx="12">
                        <c:v>48</c:v>
                      </c:pt>
                      <c:pt idx="13">
                        <c:v>50</c:v>
                      </c:pt>
                    </c:numCache>
                  </c:numRef>
                </c:xVal>
                <c:yVal>
                  <c:numRef>
                    <c:extLst>
                      <c:ext uri="{02D57815-91ED-43cb-92C2-25804820EDAC}">
                        <c15:formulaRef>
                          <c15:sqref>'Glc60'!$AI$9:$AI$22</c15:sqref>
                        </c15:formulaRef>
                      </c:ext>
                    </c:extLst>
                    <c:numCache>
                      <c:formatCode>General</c:formatCode>
                      <c:ptCount val="14"/>
                      <c:pt idx="0">
                        <c:v>1.2825930000000001</c:v>
                      </c:pt>
                      <c:pt idx="1">
                        <c:v>1.2304890000000002</c:v>
                      </c:pt>
                      <c:pt idx="2">
                        <c:v>1.2370020000000002</c:v>
                      </c:pt>
                      <c:pt idx="3">
                        <c:v>1.3393770000000003</c:v>
                      </c:pt>
                      <c:pt idx="4">
                        <c:v>1.3469819999999999</c:v>
                      </c:pt>
                      <c:pt idx="5">
                        <c:v>1.4191320000000001</c:v>
                      </c:pt>
                      <c:pt idx="6">
                        <c:v>1.5828540000000002</c:v>
                      </c:pt>
                      <c:pt idx="7">
                        <c:v>2.1406709999999993</c:v>
                      </c:pt>
                      <c:pt idx="8">
                        <c:v>2.2122750000000004</c:v>
                      </c:pt>
                      <c:pt idx="9">
                        <c:v>2.4088350000000003</c:v>
                      </c:pt>
                      <c:pt idx="10">
                        <c:v>2.8970370000000001</c:v>
                      </c:pt>
                      <c:pt idx="11">
                        <c:v>3.4904999999999999</c:v>
                      </c:pt>
                      <c:pt idx="12">
                        <c:v>3.6061350000000005</c:v>
                      </c:pt>
                      <c:pt idx="13">
                        <c:v>3.6212279999999999</c:v>
                      </c:pt>
                    </c:numCache>
                  </c:numRef>
                </c:yVal>
                <c:smooth val="1"/>
                <c:extLst>
                  <c:ext xmlns:c16="http://schemas.microsoft.com/office/drawing/2014/chart" uri="{C3380CC4-5D6E-409C-BE32-E72D297353CC}">
                    <c16:uniqueId val="{00000002-3F77-4BC5-A8A9-0E7F1A3F7F88}"/>
                  </c:ext>
                </c:extLst>
              </c15:ser>
            </c15:filteredScatterSeries>
            <c15:filteredScatterSeries>
              <c15:ser>
                <c:idx val="1"/>
                <c:order val="1"/>
                <c:tx>
                  <c:v>Glc 70</c:v>
                </c:tx>
                <c:spPr>
                  <a:ln w="19050" cap="rnd">
                    <a:solidFill>
                      <a:srgbClr val="FF0000"/>
                    </a:solidFill>
                    <a:round/>
                  </a:ln>
                  <a:effectLst/>
                </c:spPr>
                <c:marker>
                  <c:symbol val="circle"/>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'G70'!$K$9:$K$21</c15:sqref>
                        </c15:formulaRef>
                      </c:ext>
                    </c:extLst>
                    <c:numCache>
                      <c:formatCode>General</c:formatCode>
                      <c:ptCount val="13"/>
                      <c:pt idx="0">
                        <c:v>0</c:v>
                      </c:pt>
                      <c:pt idx="1">
                        <c:v>2</c:v>
                      </c:pt>
                      <c:pt idx="2">
                        <c:v>4</c:v>
                      </c:pt>
                      <c:pt idx="3">
                        <c:v>6</c:v>
                      </c:pt>
                      <c:pt idx="4">
                        <c:v>8</c:v>
                      </c:pt>
                      <c:pt idx="5">
                        <c:v>10</c:v>
                      </c:pt>
                      <c:pt idx="6">
                        <c:v>12</c:v>
                      </c:pt>
                      <c:pt idx="7">
                        <c:v>24</c:v>
                      </c:pt>
                      <c:pt idx="8">
                        <c:v>30</c:v>
                      </c:pt>
                      <c:pt idx="9">
                        <c:v>32</c:v>
                      </c:pt>
                      <c:pt idx="10">
                        <c:v>36</c:v>
                      </c:pt>
                      <c:pt idx="11">
                        <c:v>48</c:v>
                      </c:pt>
                      <c:pt idx="12">
                        <c:v>50</c:v>
                      </c:pt>
                    </c:numCache>
                  </c:numRef>
                </c:xVal>
                <c:yVal>
                  <c:numRef>
                    <c:extLst xmlns:c15="http://schemas.microsoft.com/office/drawing/2012/chart">
                      <c:ext xmlns:c15="http://schemas.microsoft.com/office/drawing/2012/chart" uri="{02D57815-91ED-43cb-92C2-25804820EDAC}">
                        <c15:formulaRef>
                          <c15:sqref>'G70'!$R$9:$R$21</c15:sqref>
                        </c15:formulaRef>
                      </c:ext>
                    </c:extLst>
                    <c:numCache>
                      <c:formatCode>General</c:formatCode>
                      <c:ptCount val="13"/>
                      <c:pt idx="0">
                        <c:v>0.84610500000000011</c:v>
                      </c:pt>
                      <c:pt idx="1">
                        <c:v>0.97226999999999997</c:v>
                      </c:pt>
                      <c:pt idx="2">
                        <c:v>0.96333900000000006</c:v>
                      </c:pt>
                      <c:pt idx="3">
                        <c:v>1.0128300000000001</c:v>
                      </c:pt>
                      <c:pt idx="4">
                        <c:v>1.062594</c:v>
                      </c:pt>
                      <c:pt idx="5">
                        <c:v>1.117974</c:v>
                      </c:pt>
                      <c:pt idx="6">
                        <c:v>1.145157</c:v>
                      </c:pt>
                      <c:pt idx="7">
                        <c:v>2.1825960000000002</c:v>
                      </c:pt>
                      <c:pt idx="8">
                        <c:v>3.1179329999999998</c:v>
                      </c:pt>
                      <c:pt idx="9">
                        <c:v>3.1044780000000003</c:v>
                      </c:pt>
                      <c:pt idx="10">
                        <c:v>3.1286189999999996</c:v>
                      </c:pt>
                      <c:pt idx="11">
                        <c:v>3.4339499999999998</c:v>
                      </c:pt>
                      <c:pt idx="12">
                        <c:v>3.5093760000000001</c:v>
                      </c:pt>
                    </c:numCache>
                  </c:numRef>
                </c:yVal>
                <c:smooth val="1"/>
                <c:extLst xmlns:c15="http://schemas.microsoft.com/office/drawing/2012/chart">
                  <c:ext xmlns:c16="http://schemas.microsoft.com/office/drawing/2014/chart" uri="{C3380CC4-5D6E-409C-BE32-E72D297353CC}">
                    <c16:uniqueId val="{00000003-3F77-4BC5-A8A9-0E7F1A3F7F88}"/>
                  </c:ext>
                </c:extLst>
              </c15:ser>
            </c15:filteredScatterSeries>
            <c15:filteredScatterSeries>
              <c15:ser>
                <c:idx val="3"/>
                <c:order val="3"/>
                <c:tx>
                  <c:v>Xyl 70 g/L</c:v>
                </c:tx>
                <c:spPr>
                  <a:ln w="19050" cap="rnd">
                    <a:solidFill>
                      <a:schemeClr val="accent6">
                        <a:lumMod val="50000"/>
                      </a:schemeClr>
                    </a:solidFill>
                    <a:round/>
                  </a:ln>
                  <a:effectLst/>
                </c:spPr>
                <c:marker>
                  <c:symbol val="circle"/>
                  <c:size val="5"/>
                  <c:spPr>
                    <a:solidFill>
                      <a:schemeClr val="accent6">
                        <a:lumMod val="50000"/>
                      </a:schemeClr>
                    </a:solidFill>
                    <a:ln w="9525">
                      <a:solidFill>
                        <a:schemeClr val="bg2">
                          <a:lumMod val="10000"/>
                        </a:schemeClr>
                      </a:solidFill>
                    </a:ln>
                    <a:effectLst/>
                  </c:spPr>
                </c:marker>
                <c:xVal>
                  <c:numRef>
                    <c:extLst xmlns:c15="http://schemas.microsoft.com/office/drawing/2012/chart">
                      <c:ext xmlns:c15="http://schemas.microsoft.com/office/drawing/2012/chart" uri="{02D57815-91ED-43cb-92C2-25804820EDAC}">
                        <c15:formulaRef>
                          <c15:sqref>Xyl70_B!$B$22:$B$31</c15:sqref>
                        </c15:formulaRef>
                      </c:ext>
                    </c:extLst>
                    <c:numCache>
                      <c:formatCode>General</c:formatCode>
                      <c:ptCount val="10"/>
                      <c:pt idx="0">
                        <c:v>0</c:v>
                      </c:pt>
                      <c:pt idx="1">
                        <c:v>2</c:v>
                      </c:pt>
                      <c:pt idx="2">
                        <c:v>4</c:v>
                      </c:pt>
                      <c:pt idx="3">
                        <c:v>6</c:v>
                      </c:pt>
                      <c:pt idx="4">
                        <c:v>24</c:v>
                      </c:pt>
                      <c:pt idx="5">
                        <c:v>26</c:v>
                      </c:pt>
                      <c:pt idx="6">
                        <c:v>28</c:v>
                      </c:pt>
                      <c:pt idx="7">
                        <c:v>30</c:v>
                      </c:pt>
                      <c:pt idx="8">
                        <c:v>48</c:v>
                      </c:pt>
                      <c:pt idx="9">
                        <c:v>50</c:v>
                      </c:pt>
                    </c:numCache>
                  </c:numRef>
                </c:xVal>
                <c:yVal>
                  <c:numRef>
                    <c:extLst xmlns:c15="http://schemas.microsoft.com/office/drawing/2012/chart">
                      <c:ext xmlns:c15="http://schemas.microsoft.com/office/drawing/2012/chart" uri="{02D57815-91ED-43cb-92C2-25804820EDAC}">
                        <c15:formulaRef>
                          <c15:sqref>Xyl70_B!$J$22:$J$31</c15:sqref>
                        </c15:formulaRef>
                      </c:ext>
                    </c:extLst>
                    <c:numCache>
                      <c:formatCode>General</c:formatCode>
                      <c:ptCount val="10"/>
                      <c:pt idx="0">
                        <c:v>1.3284180000000001</c:v>
                      </c:pt>
                      <c:pt idx="1">
                        <c:v>1.2956580000000002</c:v>
                      </c:pt>
                      <c:pt idx="2">
                        <c:v>1.2908219999999999</c:v>
                      </c:pt>
                      <c:pt idx="3">
                        <c:v>1.314378</c:v>
                      </c:pt>
                      <c:pt idx="4">
                        <c:v>1.3100879999999999</c:v>
                      </c:pt>
                      <c:pt idx="5">
                        <c:v>1.376622</c:v>
                      </c:pt>
                      <c:pt idx="6">
                        <c:v>1.4873820000000002</c:v>
                      </c:pt>
                      <c:pt idx="7">
                        <c:v>1.6298490000000001</c:v>
                      </c:pt>
                      <c:pt idx="8">
                        <c:v>2.0384519999999999</c:v>
                      </c:pt>
                      <c:pt idx="9">
                        <c:v>2.0418060000000002</c:v>
                      </c:pt>
                    </c:numCache>
                  </c:numRef>
                </c:yVal>
                <c:smooth val="1"/>
                <c:extLst xmlns:c15="http://schemas.microsoft.com/office/drawing/2012/chart">
                  <c:ext xmlns:c16="http://schemas.microsoft.com/office/drawing/2014/chart" uri="{C3380CC4-5D6E-409C-BE32-E72D297353CC}">
                    <c16:uniqueId val="{00000004-3F77-4BC5-A8A9-0E7F1A3F7F88}"/>
                  </c:ext>
                </c:extLst>
              </c15:ser>
            </c15:filteredScatterSeries>
            <c15:filteredScatterSeries>
              <c15:ser>
                <c:idx val="4"/>
                <c:order val="4"/>
                <c:tx>
                  <c:v>Xyl80</c:v>
                </c:tx>
                <c:spPr>
                  <a:ln w="19050" cap="rnd">
                    <a:solidFill>
                      <a:srgbClr val="FF0000"/>
                    </a:solidFill>
                    <a:round/>
                  </a:ln>
                  <a:effectLst/>
                </c:spPr>
                <c:marker>
                  <c:symbol val="diamond"/>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Xyl80_B!$B$9:$B$20</c15:sqref>
                        </c15:formulaRef>
                      </c:ext>
                    </c:extLst>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extLst xmlns:c15="http://schemas.microsoft.com/office/drawing/2012/chart">
                      <c:ext xmlns:c15="http://schemas.microsoft.com/office/drawing/2012/chart" uri="{02D57815-91ED-43cb-92C2-25804820EDAC}">
                        <c15:formulaRef>
                          <c15:sqref>Xyl80_B!$T$9:$T$20</c15:sqref>
                        </c15:formulaRef>
                      </c:ext>
                    </c:extLst>
                    <c:numCache>
                      <c:formatCode>General</c:formatCode>
                      <c:ptCount val="12"/>
                      <c:pt idx="0">
                        <c:v>1.3959269999999999</c:v>
                      </c:pt>
                      <c:pt idx="1">
                        <c:v>1.3862939999999999</c:v>
                      </c:pt>
                      <c:pt idx="2">
                        <c:v>1.4888250000000001</c:v>
                      </c:pt>
                      <c:pt idx="3">
                        <c:v>1.5082080000000002</c:v>
                      </c:pt>
                      <c:pt idx="4">
                        <c:v>1.6218539999999999</c:v>
                      </c:pt>
                      <c:pt idx="5">
                        <c:v>1.602042</c:v>
                      </c:pt>
                      <c:pt idx="6">
                        <c:v>1.69143</c:v>
                      </c:pt>
                      <c:pt idx="7">
                        <c:v>1.7858880000000001</c:v>
                      </c:pt>
                      <c:pt idx="8">
                        <c:v>1.8966870000000002</c:v>
                      </c:pt>
                      <c:pt idx="9">
                        <c:v>2.5870259999999998</c:v>
                      </c:pt>
                      <c:pt idx="10">
                        <c:v>2.613585</c:v>
                      </c:pt>
                      <c:pt idx="11">
                        <c:v>2.6239589999999997</c:v>
                      </c:pt>
                    </c:numCache>
                  </c:numRef>
                </c:yVal>
                <c:smooth val="1"/>
                <c:extLst xmlns:c15="http://schemas.microsoft.com/office/drawing/2012/chart">
                  <c:ext xmlns:c16="http://schemas.microsoft.com/office/drawing/2014/chart" uri="{C3380CC4-5D6E-409C-BE32-E72D297353CC}">
                    <c16:uniqueId val="{00000005-3F77-4BC5-A8A9-0E7F1A3F7F88}"/>
                  </c:ext>
                </c:extLst>
              </c15:ser>
            </c15:filteredScatterSeries>
            <c15:filteredScatterSeries>
              <c15:ser>
                <c:idx val="6"/>
                <c:order val="6"/>
                <c:tx>
                  <c:v>Glc80C</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'G80-22May'!$K$7:$K$18</c15:sqref>
                        </c15:formulaRef>
                      </c:ext>
                    </c:extLst>
                    <c:numCache>
                      <c:formatCode>General</c:formatCode>
                      <c:ptCount val="12"/>
                      <c:pt idx="0">
                        <c:v>0</c:v>
                      </c:pt>
                      <c:pt idx="1">
                        <c:v>2</c:v>
                      </c:pt>
                      <c:pt idx="2">
                        <c:v>4</c:v>
                      </c:pt>
                      <c:pt idx="3">
                        <c:v>6</c:v>
                      </c:pt>
                      <c:pt idx="4">
                        <c:v>8</c:v>
                      </c:pt>
                      <c:pt idx="5">
                        <c:v>10</c:v>
                      </c:pt>
                      <c:pt idx="6">
                        <c:v>24</c:v>
                      </c:pt>
                      <c:pt idx="7">
                        <c:v>26</c:v>
                      </c:pt>
                      <c:pt idx="8">
                        <c:v>28</c:v>
                      </c:pt>
                      <c:pt idx="9">
                        <c:v>30</c:v>
                      </c:pt>
                      <c:pt idx="10">
                        <c:v>32</c:v>
                      </c:pt>
                      <c:pt idx="11">
                        <c:v>48</c:v>
                      </c:pt>
                    </c:numCache>
                  </c:numRef>
                </c:xVal>
                <c:yVal>
                  <c:numRef>
                    <c:extLst xmlns:c15="http://schemas.microsoft.com/office/drawing/2012/chart">
                      <c:ext xmlns:c15="http://schemas.microsoft.com/office/drawing/2012/chart" uri="{02D57815-91ED-43cb-92C2-25804820EDAC}">
                        <c15:formulaRef>
                          <c15:sqref>'G80-22May'!$R$7:$R$18</c15:sqref>
                        </c15:formulaRef>
                      </c:ext>
                    </c:extLst>
                    <c:numCache>
                      <c:formatCode>General</c:formatCode>
                      <c:ptCount val="12"/>
                      <c:pt idx="0">
                        <c:v>2.2201919999999999</c:v>
                      </c:pt>
                      <c:pt idx="1">
                        <c:v>2.2189829999999997</c:v>
                      </c:pt>
                      <c:pt idx="2">
                        <c:v>2.2126259999999998</c:v>
                      </c:pt>
                      <c:pt idx="3">
                        <c:v>2.2494809999999998</c:v>
                      </c:pt>
                      <c:pt idx="4">
                        <c:v>2.324166</c:v>
                      </c:pt>
                      <c:pt idx="5">
                        <c:v>2.641899</c:v>
                      </c:pt>
                      <c:pt idx="6">
                        <c:v>3.5765340000000001</c:v>
                      </c:pt>
                      <c:pt idx="7">
                        <c:v>3.6862019999999998</c:v>
                      </c:pt>
                      <c:pt idx="8">
                        <c:v>3.7006709999999994</c:v>
                      </c:pt>
                      <c:pt idx="9">
                        <c:v>3.7379082000000001</c:v>
                      </c:pt>
                      <c:pt idx="10">
                        <c:v>3.8045670000000005</c:v>
                      </c:pt>
                      <c:pt idx="11">
                        <c:v>3.59931</c:v>
                      </c:pt>
                    </c:numCache>
                  </c:numRef>
                </c:yVal>
                <c:smooth val="1"/>
                <c:extLst xmlns:c15="http://schemas.microsoft.com/office/drawing/2012/chart">
                  <c:ext xmlns:c16="http://schemas.microsoft.com/office/drawing/2014/chart" uri="{C3380CC4-5D6E-409C-BE32-E72D297353CC}">
                    <c16:uniqueId val="{00000006-3F77-4BC5-A8A9-0E7F1A3F7F88}"/>
                  </c:ext>
                </c:extLst>
              </c15:ser>
            </c15:filteredScatterSeries>
            <c15:filteredScatterSeries>
              <c15:ser>
                <c:idx val="7"/>
                <c:order val="7"/>
                <c:tx>
                  <c:v>Xyl 80 g/L</c:v>
                </c:tx>
                <c:spPr>
                  <a:ln w="19050" cap="rnd">
                    <a:solidFill>
                      <a:srgbClr val="FF0000"/>
                    </a:solidFill>
                    <a:round/>
                  </a:ln>
                  <a:effectLst/>
                </c:spPr>
                <c:marker>
                  <c:symbol val="square"/>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Xyl80_B!$L$9:$L$20</c15:sqref>
                        </c15:formulaRef>
                      </c:ext>
                    </c:extLst>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extLst xmlns:c15="http://schemas.microsoft.com/office/drawing/2012/chart">
                      <c:ext xmlns:c15="http://schemas.microsoft.com/office/drawing/2012/chart" uri="{02D57815-91ED-43cb-92C2-25804820EDAC}">
                        <c15:formulaRef>
                          <c15:sqref>Xyl80_B!$T$9:$T$20</c15:sqref>
                        </c15:formulaRef>
                      </c:ext>
                    </c:extLst>
                    <c:numCache>
                      <c:formatCode>General</c:formatCode>
                      <c:ptCount val="12"/>
                      <c:pt idx="0">
                        <c:v>1.3959269999999999</c:v>
                      </c:pt>
                      <c:pt idx="1">
                        <c:v>1.3862939999999999</c:v>
                      </c:pt>
                      <c:pt idx="2">
                        <c:v>1.4888250000000001</c:v>
                      </c:pt>
                      <c:pt idx="3">
                        <c:v>1.5082080000000002</c:v>
                      </c:pt>
                      <c:pt idx="4">
                        <c:v>1.6218539999999999</c:v>
                      </c:pt>
                      <c:pt idx="5">
                        <c:v>1.602042</c:v>
                      </c:pt>
                      <c:pt idx="6">
                        <c:v>1.69143</c:v>
                      </c:pt>
                      <c:pt idx="7">
                        <c:v>1.7858880000000001</c:v>
                      </c:pt>
                      <c:pt idx="8">
                        <c:v>1.8966870000000002</c:v>
                      </c:pt>
                      <c:pt idx="9">
                        <c:v>2.5870259999999998</c:v>
                      </c:pt>
                      <c:pt idx="10">
                        <c:v>2.613585</c:v>
                      </c:pt>
                      <c:pt idx="11">
                        <c:v>2.6239589999999997</c:v>
                      </c:pt>
                    </c:numCache>
                  </c:numRef>
                </c:yVal>
                <c:smooth val="1"/>
                <c:extLst xmlns:c15="http://schemas.microsoft.com/office/drawing/2012/chart">
                  <c:ext xmlns:c16="http://schemas.microsoft.com/office/drawing/2014/chart" uri="{C3380CC4-5D6E-409C-BE32-E72D297353CC}">
                    <c16:uniqueId val="{00000007-3F77-4BC5-A8A9-0E7F1A3F7F88}"/>
                  </c:ext>
                </c:extLst>
              </c15:ser>
            </c15:filteredScatterSeries>
          </c:ext>
        </c:extLst>
      </c:scatterChart>
      <c:valAx>
        <c:axId val="435503792"/>
        <c:scaling>
          <c:orientation val="minMax"/>
          <c:max val="35"/>
          <c:min val="0"/>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Time (h)</a:t>
                </a:r>
              </a:p>
            </c:rich>
          </c:tx>
          <c:layout>
            <c:manualLayout>
              <c:xMode val="edge"/>
              <c:yMode val="edge"/>
              <c:x val="0.45394334586017659"/>
              <c:y val="0.89097190057125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0227312"/>
        <c:crosses val="autoZero"/>
        <c:crossBetween val="midCat"/>
        <c:majorUnit val="5"/>
      </c:valAx>
      <c:valAx>
        <c:axId val="2110227312"/>
        <c:scaling>
          <c:orientation val="minMax"/>
          <c:min val="1"/>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Arial" panose="020B0604020202020204" pitchFamily="34" charset="0"/>
                    <a:cs typeface="Arial" panose="020B0604020202020204" pitchFamily="34" charset="0"/>
                  </a:rPr>
                  <a:t>Biomass (g/L)</a:t>
                </a:r>
              </a:p>
            </c:rich>
          </c:tx>
          <c:layout>
            <c:manualLayout>
              <c:xMode val="edge"/>
              <c:yMode val="edge"/>
              <c:x val="2.8681251491290863E-3"/>
              <c:y val="0.208605623398871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5503792"/>
        <c:crosses val="autoZero"/>
        <c:crossBetween val="midCat"/>
      </c:valAx>
      <c:spPr>
        <a:noFill/>
        <a:ln>
          <a:solidFill>
            <a:schemeClr val="tx1"/>
          </a:solidFill>
        </a:ln>
        <a:effectLst/>
      </c:spPr>
    </c:plotArea>
    <c:legend>
      <c:legendPos val="t"/>
      <c:layout>
        <c:manualLayout>
          <c:xMode val="edge"/>
          <c:yMode val="edge"/>
          <c:x val="0.18945439791040614"/>
          <c:y val="5.0089163495711353E-2"/>
          <c:w val="0.70705206233278817"/>
          <c:h val="6.44220317255910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28882433385148"/>
          <c:y val="0.15561288534585349"/>
          <c:w val="0.78117201369246325"/>
          <c:h val="0.61142118264628675"/>
        </c:manualLayout>
      </c:layout>
      <c:scatterChart>
        <c:scatterStyle val="smoothMarker"/>
        <c:varyColors val="0"/>
        <c:ser>
          <c:idx val="3"/>
          <c:order val="3"/>
          <c:tx>
            <c:v>Xyl 70 g/L</c:v>
          </c:tx>
          <c:spPr>
            <a:ln w="19050" cap="rnd">
              <a:solidFill>
                <a:schemeClr val="accent6">
                  <a:lumMod val="50000"/>
                </a:schemeClr>
              </a:solidFill>
              <a:round/>
            </a:ln>
            <a:effectLst/>
          </c:spPr>
          <c:marker>
            <c:symbol val="circle"/>
            <c:size val="5"/>
            <c:spPr>
              <a:solidFill>
                <a:schemeClr val="accent6">
                  <a:lumMod val="50000"/>
                </a:schemeClr>
              </a:solidFill>
              <a:ln w="9525">
                <a:solidFill>
                  <a:schemeClr val="bg2">
                    <a:lumMod val="10000"/>
                  </a:schemeClr>
                </a:solidFill>
              </a:ln>
              <a:effectLst/>
            </c:spPr>
          </c:marker>
          <c:xVal>
            <c:numRef>
              <c:f>Xyl70_B!$B$22:$B$31</c:f>
              <c:numCache>
                <c:formatCode>General</c:formatCode>
                <c:ptCount val="10"/>
                <c:pt idx="0">
                  <c:v>0</c:v>
                </c:pt>
                <c:pt idx="1">
                  <c:v>2</c:v>
                </c:pt>
                <c:pt idx="2">
                  <c:v>4</c:v>
                </c:pt>
                <c:pt idx="3">
                  <c:v>6</c:v>
                </c:pt>
                <c:pt idx="4">
                  <c:v>24</c:v>
                </c:pt>
                <c:pt idx="5">
                  <c:v>26</c:v>
                </c:pt>
                <c:pt idx="6">
                  <c:v>28</c:v>
                </c:pt>
                <c:pt idx="7">
                  <c:v>30</c:v>
                </c:pt>
                <c:pt idx="8">
                  <c:v>48</c:v>
                </c:pt>
                <c:pt idx="9">
                  <c:v>50</c:v>
                </c:pt>
              </c:numCache>
            </c:numRef>
          </c:xVal>
          <c:yVal>
            <c:numRef>
              <c:f>Xyl70_B!$J$22:$J$31</c:f>
              <c:numCache>
                <c:formatCode>General</c:formatCode>
                <c:ptCount val="10"/>
                <c:pt idx="0">
                  <c:v>1.3284180000000001</c:v>
                </c:pt>
                <c:pt idx="1">
                  <c:v>1.2956580000000002</c:v>
                </c:pt>
                <c:pt idx="2">
                  <c:v>1.2908219999999999</c:v>
                </c:pt>
                <c:pt idx="3">
                  <c:v>1.314378</c:v>
                </c:pt>
                <c:pt idx="4">
                  <c:v>1.3100879999999999</c:v>
                </c:pt>
                <c:pt idx="5">
                  <c:v>1.376622</c:v>
                </c:pt>
                <c:pt idx="6">
                  <c:v>1.4873820000000002</c:v>
                </c:pt>
                <c:pt idx="7">
                  <c:v>1.6298490000000001</c:v>
                </c:pt>
                <c:pt idx="8">
                  <c:v>2.0384519999999999</c:v>
                </c:pt>
                <c:pt idx="9">
                  <c:v>2.0418060000000002</c:v>
                </c:pt>
              </c:numCache>
            </c:numRef>
          </c:yVal>
          <c:smooth val="1"/>
          <c:extLst>
            <c:ext xmlns:c16="http://schemas.microsoft.com/office/drawing/2014/chart" uri="{C3380CC4-5D6E-409C-BE32-E72D297353CC}">
              <c16:uniqueId val="{00000000-F353-43E3-9E82-7BEE20589044}"/>
            </c:ext>
          </c:extLst>
        </c:ser>
        <c:ser>
          <c:idx val="7"/>
          <c:order val="7"/>
          <c:tx>
            <c:v>Xyl 80 g/L</c:v>
          </c:tx>
          <c:spPr>
            <a:ln w="19050" cap="rnd">
              <a:solidFill>
                <a:srgbClr val="FF0000"/>
              </a:solidFill>
              <a:round/>
            </a:ln>
            <a:effectLst/>
          </c:spPr>
          <c:marker>
            <c:symbol val="square"/>
            <c:size val="5"/>
            <c:spPr>
              <a:solidFill>
                <a:srgbClr val="FF0000"/>
              </a:solidFill>
              <a:ln w="9525">
                <a:solidFill>
                  <a:srgbClr val="C00000"/>
                </a:solidFill>
              </a:ln>
              <a:effectLst/>
            </c:spPr>
          </c:marker>
          <c:xVal>
            <c:numRef>
              <c:f>Xyl80_B!$L$9:$L$20</c:f>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f>Xyl80_B!$T$9:$T$20</c:f>
              <c:numCache>
                <c:formatCode>General</c:formatCode>
                <c:ptCount val="12"/>
                <c:pt idx="0">
                  <c:v>1.3959269999999999</c:v>
                </c:pt>
                <c:pt idx="1">
                  <c:v>1.3862939999999999</c:v>
                </c:pt>
                <c:pt idx="2">
                  <c:v>1.4888250000000001</c:v>
                </c:pt>
                <c:pt idx="3">
                  <c:v>1.5082080000000002</c:v>
                </c:pt>
                <c:pt idx="4">
                  <c:v>1.6218539999999999</c:v>
                </c:pt>
                <c:pt idx="5">
                  <c:v>1.602042</c:v>
                </c:pt>
                <c:pt idx="6">
                  <c:v>1.69143</c:v>
                </c:pt>
                <c:pt idx="7">
                  <c:v>1.7858880000000001</c:v>
                </c:pt>
                <c:pt idx="8">
                  <c:v>1.8966870000000002</c:v>
                </c:pt>
                <c:pt idx="9">
                  <c:v>2.5870259999999998</c:v>
                </c:pt>
                <c:pt idx="10">
                  <c:v>2.613585</c:v>
                </c:pt>
                <c:pt idx="11">
                  <c:v>2.6239589999999997</c:v>
                </c:pt>
              </c:numCache>
            </c:numRef>
          </c:yVal>
          <c:smooth val="1"/>
          <c:extLst>
            <c:ext xmlns:c16="http://schemas.microsoft.com/office/drawing/2014/chart" uri="{C3380CC4-5D6E-409C-BE32-E72D297353CC}">
              <c16:uniqueId val="{00000001-F353-43E3-9E82-7BEE20589044}"/>
            </c:ext>
          </c:extLst>
        </c:ser>
        <c:dLbls>
          <c:showLegendKey val="0"/>
          <c:showVal val="0"/>
          <c:showCatName val="0"/>
          <c:showSerName val="0"/>
          <c:showPercent val="0"/>
          <c:showBubbleSize val="0"/>
        </c:dLbls>
        <c:axId val="435503792"/>
        <c:axId val="2110227312"/>
        <c:extLst>
          <c:ext xmlns:c15="http://schemas.microsoft.com/office/drawing/2012/chart" uri="{02D57815-91ED-43cb-92C2-25804820EDAC}">
            <c15:filteredScatterSeries>
              <c15:ser>
                <c:idx val="0"/>
                <c:order val="0"/>
                <c:tx>
                  <c:v>Glc60</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'Glc60'!$AC$9:$AC$22</c15:sqref>
                        </c15:formulaRef>
                      </c:ext>
                    </c:extLst>
                    <c:numCache>
                      <c:formatCode>General</c:formatCode>
                      <c:ptCount val="14"/>
                      <c:pt idx="0">
                        <c:v>0</c:v>
                      </c:pt>
                      <c:pt idx="1">
                        <c:v>2</c:v>
                      </c:pt>
                      <c:pt idx="2">
                        <c:v>4</c:v>
                      </c:pt>
                      <c:pt idx="3">
                        <c:v>6</c:v>
                      </c:pt>
                      <c:pt idx="4">
                        <c:v>8</c:v>
                      </c:pt>
                      <c:pt idx="5">
                        <c:v>10</c:v>
                      </c:pt>
                      <c:pt idx="6">
                        <c:v>12</c:v>
                      </c:pt>
                      <c:pt idx="7">
                        <c:v>24</c:v>
                      </c:pt>
                      <c:pt idx="8">
                        <c:v>26</c:v>
                      </c:pt>
                      <c:pt idx="9">
                        <c:v>28</c:v>
                      </c:pt>
                      <c:pt idx="10">
                        <c:v>30</c:v>
                      </c:pt>
                      <c:pt idx="11">
                        <c:v>32</c:v>
                      </c:pt>
                      <c:pt idx="12">
                        <c:v>48</c:v>
                      </c:pt>
                      <c:pt idx="13">
                        <c:v>50</c:v>
                      </c:pt>
                    </c:numCache>
                  </c:numRef>
                </c:xVal>
                <c:yVal>
                  <c:numRef>
                    <c:extLst>
                      <c:ext uri="{02D57815-91ED-43cb-92C2-25804820EDAC}">
                        <c15:formulaRef>
                          <c15:sqref>'Glc60'!$AI$9:$AI$22</c15:sqref>
                        </c15:formulaRef>
                      </c:ext>
                    </c:extLst>
                    <c:numCache>
                      <c:formatCode>General</c:formatCode>
                      <c:ptCount val="14"/>
                      <c:pt idx="0">
                        <c:v>1.2825930000000001</c:v>
                      </c:pt>
                      <c:pt idx="1">
                        <c:v>1.2304890000000002</c:v>
                      </c:pt>
                      <c:pt idx="2">
                        <c:v>1.2370020000000002</c:v>
                      </c:pt>
                      <c:pt idx="3">
                        <c:v>1.3393770000000003</c:v>
                      </c:pt>
                      <c:pt idx="4">
                        <c:v>1.3469819999999999</c:v>
                      </c:pt>
                      <c:pt idx="5">
                        <c:v>1.4191320000000001</c:v>
                      </c:pt>
                      <c:pt idx="6">
                        <c:v>1.5828540000000002</c:v>
                      </c:pt>
                      <c:pt idx="7">
                        <c:v>2.1406709999999993</c:v>
                      </c:pt>
                      <c:pt idx="8">
                        <c:v>2.2122750000000004</c:v>
                      </c:pt>
                      <c:pt idx="9">
                        <c:v>2.4088350000000003</c:v>
                      </c:pt>
                      <c:pt idx="10">
                        <c:v>2.8970370000000001</c:v>
                      </c:pt>
                      <c:pt idx="11">
                        <c:v>3.4904999999999999</c:v>
                      </c:pt>
                      <c:pt idx="12">
                        <c:v>3.6061350000000005</c:v>
                      </c:pt>
                      <c:pt idx="13">
                        <c:v>3.6212279999999999</c:v>
                      </c:pt>
                    </c:numCache>
                  </c:numRef>
                </c:yVal>
                <c:smooth val="1"/>
                <c:extLst>
                  <c:ext xmlns:c16="http://schemas.microsoft.com/office/drawing/2014/chart" uri="{C3380CC4-5D6E-409C-BE32-E72D297353CC}">
                    <c16:uniqueId val="{00000002-F353-43E3-9E82-7BEE20589044}"/>
                  </c:ext>
                </c:extLst>
              </c15:ser>
            </c15:filteredScatterSeries>
            <c15:filteredScatterSeries>
              <c15:ser>
                <c:idx val="1"/>
                <c:order val="1"/>
                <c:tx>
                  <c:v>Glc 70</c:v>
                </c:tx>
                <c:spPr>
                  <a:ln w="19050" cap="rnd">
                    <a:solidFill>
                      <a:srgbClr val="FF0000"/>
                    </a:solidFill>
                    <a:round/>
                  </a:ln>
                  <a:effectLst/>
                </c:spPr>
                <c:marker>
                  <c:symbol val="circle"/>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'G70'!$K$9:$K$21</c15:sqref>
                        </c15:formulaRef>
                      </c:ext>
                    </c:extLst>
                    <c:numCache>
                      <c:formatCode>General</c:formatCode>
                      <c:ptCount val="13"/>
                      <c:pt idx="0">
                        <c:v>0</c:v>
                      </c:pt>
                      <c:pt idx="1">
                        <c:v>2</c:v>
                      </c:pt>
                      <c:pt idx="2">
                        <c:v>4</c:v>
                      </c:pt>
                      <c:pt idx="3">
                        <c:v>6</c:v>
                      </c:pt>
                      <c:pt idx="4">
                        <c:v>8</c:v>
                      </c:pt>
                      <c:pt idx="5">
                        <c:v>10</c:v>
                      </c:pt>
                      <c:pt idx="6">
                        <c:v>12</c:v>
                      </c:pt>
                      <c:pt idx="7">
                        <c:v>24</c:v>
                      </c:pt>
                      <c:pt idx="8">
                        <c:v>30</c:v>
                      </c:pt>
                      <c:pt idx="9">
                        <c:v>32</c:v>
                      </c:pt>
                      <c:pt idx="10">
                        <c:v>36</c:v>
                      </c:pt>
                      <c:pt idx="11">
                        <c:v>48</c:v>
                      </c:pt>
                      <c:pt idx="12">
                        <c:v>50</c:v>
                      </c:pt>
                    </c:numCache>
                  </c:numRef>
                </c:xVal>
                <c:yVal>
                  <c:numRef>
                    <c:extLst xmlns:c15="http://schemas.microsoft.com/office/drawing/2012/chart">
                      <c:ext xmlns:c15="http://schemas.microsoft.com/office/drawing/2012/chart" uri="{02D57815-91ED-43cb-92C2-25804820EDAC}">
                        <c15:formulaRef>
                          <c15:sqref>'G70'!$R$9:$R$21</c15:sqref>
                        </c15:formulaRef>
                      </c:ext>
                    </c:extLst>
                    <c:numCache>
                      <c:formatCode>General</c:formatCode>
                      <c:ptCount val="13"/>
                      <c:pt idx="0">
                        <c:v>0.84610500000000011</c:v>
                      </c:pt>
                      <c:pt idx="1">
                        <c:v>0.97226999999999997</c:v>
                      </c:pt>
                      <c:pt idx="2">
                        <c:v>0.96333900000000006</c:v>
                      </c:pt>
                      <c:pt idx="3">
                        <c:v>1.0128300000000001</c:v>
                      </c:pt>
                      <c:pt idx="4">
                        <c:v>1.062594</c:v>
                      </c:pt>
                      <c:pt idx="5">
                        <c:v>1.117974</c:v>
                      </c:pt>
                      <c:pt idx="6">
                        <c:v>1.145157</c:v>
                      </c:pt>
                      <c:pt idx="7">
                        <c:v>2.1825960000000002</c:v>
                      </c:pt>
                      <c:pt idx="8">
                        <c:v>3.1179329999999998</c:v>
                      </c:pt>
                      <c:pt idx="9">
                        <c:v>3.1044780000000003</c:v>
                      </c:pt>
                      <c:pt idx="10">
                        <c:v>3.1286189999999996</c:v>
                      </c:pt>
                      <c:pt idx="11">
                        <c:v>3.4339499999999998</c:v>
                      </c:pt>
                      <c:pt idx="12">
                        <c:v>3.5093760000000001</c:v>
                      </c:pt>
                    </c:numCache>
                  </c:numRef>
                </c:yVal>
                <c:smooth val="1"/>
                <c:extLst xmlns:c15="http://schemas.microsoft.com/office/drawing/2012/chart">
                  <c:ext xmlns:c16="http://schemas.microsoft.com/office/drawing/2014/chart" uri="{C3380CC4-5D6E-409C-BE32-E72D297353CC}">
                    <c16:uniqueId val="{00000003-F353-43E3-9E82-7BEE20589044}"/>
                  </c:ext>
                </c:extLst>
              </c15:ser>
            </c15:filteredScatterSeries>
            <c15:filteredScatterSeries>
              <c15:ser>
                <c:idx val="2"/>
                <c:order val="2"/>
                <c:tx>
                  <c:v>Glucose 80B g/L</c:v>
                </c:tx>
                <c:spPr>
                  <a:ln w="19050" cap="rnd">
                    <a:solidFill>
                      <a:srgbClr val="FF0000">
                        <a:alpha val="97000"/>
                      </a:srgbClr>
                    </a:solidFill>
                    <a:round/>
                  </a:ln>
                  <a:effectLst/>
                </c:spPr>
                <c:marker>
                  <c:symbol val="circle"/>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G80A!$L$9:$L$20</c15:sqref>
                        </c15:formulaRef>
                      </c:ext>
                    </c:extLst>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extLst xmlns:c15="http://schemas.microsoft.com/office/drawing/2012/chart">
                      <c:ext xmlns:c15="http://schemas.microsoft.com/office/drawing/2012/chart" uri="{02D57815-91ED-43cb-92C2-25804820EDAC}">
                        <c15:formulaRef>
                          <c15:sqref>G80A!$T$9:$T$20</c15:sqref>
                        </c15:formulaRef>
                      </c:ext>
                    </c:extLst>
                    <c:numCache>
                      <c:formatCode>General</c:formatCode>
                      <c:ptCount val="12"/>
                      <c:pt idx="0">
                        <c:v>1.4054040000000001</c:v>
                      </c:pt>
                      <c:pt idx="1">
                        <c:v>1.450488</c:v>
                      </c:pt>
                      <c:pt idx="2">
                        <c:v>1.495611</c:v>
                      </c:pt>
                      <c:pt idx="3">
                        <c:v>1.4820390000000001</c:v>
                      </c:pt>
                      <c:pt idx="4">
                        <c:v>1.7597190000000003</c:v>
                      </c:pt>
                      <c:pt idx="5">
                        <c:v>2.0294819999999998</c:v>
                      </c:pt>
                      <c:pt idx="6">
                        <c:v>2.425605</c:v>
                      </c:pt>
                      <c:pt idx="7">
                        <c:v>2.8336229999999998</c:v>
                      </c:pt>
                      <c:pt idx="8">
                        <c:v>3.1003440000000002</c:v>
                      </c:pt>
                      <c:pt idx="9">
                        <c:v>3.6661169999999998</c:v>
                      </c:pt>
                      <c:pt idx="10">
                        <c:v>3.7152959999999995</c:v>
                      </c:pt>
                      <c:pt idx="11">
                        <c:v>3.6440040000000007</c:v>
                      </c:pt>
                    </c:numCache>
                  </c:numRef>
                </c:yVal>
                <c:smooth val="1"/>
                <c:extLst xmlns:c15="http://schemas.microsoft.com/office/drawing/2012/chart">
                  <c:ext xmlns:c16="http://schemas.microsoft.com/office/drawing/2014/chart" uri="{C3380CC4-5D6E-409C-BE32-E72D297353CC}">
                    <c16:uniqueId val="{00000004-F353-43E3-9E82-7BEE20589044}"/>
                  </c:ext>
                </c:extLst>
              </c15:ser>
            </c15:filteredScatterSeries>
            <c15:filteredScatterSeries>
              <c15:ser>
                <c:idx val="4"/>
                <c:order val="4"/>
                <c:tx>
                  <c:v>Xyl80</c:v>
                </c:tx>
                <c:spPr>
                  <a:ln w="19050" cap="rnd">
                    <a:solidFill>
                      <a:srgbClr val="FF0000"/>
                    </a:solidFill>
                    <a:round/>
                  </a:ln>
                  <a:effectLst/>
                </c:spPr>
                <c:marker>
                  <c:symbol val="diamond"/>
                  <c:size val="5"/>
                  <c:spPr>
                    <a:solidFill>
                      <a:srgbClr val="FF0000"/>
                    </a:solidFill>
                    <a:ln w="9525">
                      <a:solidFill>
                        <a:srgbClr val="C00000"/>
                      </a:solidFill>
                    </a:ln>
                    <a:effectLst/>
                  </c:spPr>
                </c:marker>
                <c:xVal>
                  <c:numRef>
                    <c:extLst xmlns:c15="http://schemas.microsoft.com/office/drawing/2012/chart">
                      <c:ext xmlns:c15="http://schemas.microsoft.com/office/drawing/2012/chart" uri="{02D57815-91ED-43cb-92C2-25804820EDAC}">
                        <c15:formulaRef>
                          <c15:sqref>Xyl80_B!$B$9:$B$20</c15:sqref>
                        </c15:formulaRef>
                      </c:ext>
                    </c:extLst>
                    <c:numCache>
                      <c:formatCode>General</c:formatCode>
                      <c:ptCount val="12"/>
                      <c:pt idx="0">
                        <c:v>0</c:v>
                      </c:pt>
                      <c:pt idx="1">
                        <c:v>2</c:v>
                      </c:pt>
                      <c:pt idx="2">
                        <c:v>4</c:v>
                      </c:pt>
                      <c:pt idx="3">
                        <c:v>6</c:v>
                      </c:pt>
                      <c:pt idx="4">
                        <c:v>22</c:v>
                      </c:pt>
                      <c:pt idx="5">
                        <c:v>24</c:v>
                      </c:pt>
                      <c:pt idx="6">
                        <c:v>26</c:v>
                      </c:pt>
                      <c:pt idx="7">
                        <c:v>28</c:v>
                      </c:pt>
                      <c:pt idx="8">
                        <c:v>30</c:v>
                      </c:pt>
                      <c:pt idx="9">
                        <c:v>46</c:v>
                      </c:pt>
                      <c:pt idx="10">
                        <c:v>48</c:v>
                      </c:pt>
                      <c:pt idx="11">
                        <c:v>50</c:v>
                      </c:pt>
                    </c:numCache>
                  </c:numRef>
                </c:xVal>
                <c:yVal>
                  <c:numRef>
                    <c:extLst xmlns:c15="http://schemas.microsoft.com/office/drawing/2012/chart">
                      <c:ext xmlns:c15="http://schemas.microsoft.com/office/drawing/2012/chart" uri="{02D57815-91ED-43cb-92C2-25804820EDAC}">
                        <c15:formulaRef>
                          <c15:sqref>Xyl80_B!$T$9:$T$20</c15:sqref>
                        </c15:formulaRef>
                      </c:ext>
                    </c:extLst>
                    <c:numCache>
                      <c:formatCode>General</c:formatCode>
                      <c:ptCount val="12"/>
                      <c:pt idx="0">
                        <c:v>1.3959269999999999</c:v>
                      </c:pt>
                      <c:pt idx="1">
                        <c:v>1.3862939999999999</c:v>
                      </c:pt>
                      <c:pt idx="2">
                        <c:v>1.4888250000000001</c:v>
                      </c:pt>
                      <c:pt idx="3">
                        <c:v>1.5082080000000002</c:v>
                      </c:pt>
                      <c:pt idx="4">
                        <c:v>1.6218539999999999</c:v>
                      </c:pt>
                      <c:pt idx="5">
                        <c:v>1.602042</c:v>
                      </c:pt>
                      <c:pt idx="6">
                        <c:v>1.69143</c:v>
                      </c:pt>
                      <c:pt idx="7">
                        <c:v>1.7858880000000001</c:v>
                      </c:pt>
                      <c:pt idx="8">
                        <c:v>1.8966870000000002</c:v>
                      </c:pt>
                      <c:pt idx="9">
                        <c:v>2.5870259999999998</c:v>
                      </c:pt>
                      <c:pt idx="10">
                        <c:v>2.613585</c:v>
                      </c:pt>
                      <c:pt idx="11">
                        <c:v>2.6239589999999997</c:v>
                      </c:pt>
                    </c:numCache>
                  </c:numRef>
                </c:yVal>
                <c:smooth val="1"/>
                <c:extLst xmlns:c15="http://schemas.microsoft.com/office/drawing/2012/chart">
                  <c:ext xmlns:c16="http://schemas.microsoft.com/office/drawing/2014/chart" uri="{C3380CC4-5D6E-409C-BE32-E72D297353CC}">
                    <c16:uniqueId val="{00000005-F353-43E3-9E82-7BEE20589044}"/>
                  </c:ext>
                </c:extLst>
              </c15:ser>
            </c15:filteredScatterSeries>
            <c15:filteredScatterSeries>
              <c15:ser>
                <c:idx val="5"/>
                <c:order val="5"/>
                <c:tx>
                  <c:v>Glucose 70A g/L</c:v>
                </c:tx>
                <c:spPr>
                  <a:ln w="19050" cap="rnd">
                    <a:solidFill>
                      <a:srgbClr val="0070C0"/>
                    </a:solidFill>
                    <a:round/>
                  </a:ln>
                  <a:effectLst/>
                </c:spPr>
                <c:marker>
                  <c:symbol val="circle"/>
                  <c:size val="5"/>
                  <c:spPr>
                    <a:solidFill>
                      <a:srgbClr val="0070C0"/>
                    </a:solidFill>
                    <a:ln w="9525">
                      <a:solidFill>
                        <a:srgbClr val="002060"/>
                      </a:solidFill>
                    </a:ln>
                    <a:effectLst/>
                  </c:spPr>
                </c:marker>
                <c:xVal>
                  <c:numRef>
                    <c:extLst xmlns:c15="http://schemas.microsoft.com/office/drawing/2012/chart">
                      <c:ext xmlns:c15="http://schemas.microsoft.com/office/drawing/2012/chart" uri="{02D57815-91ED-43cb-92C2-25804820EDAC}">
                        <c15:formulaRef>
                          <c15:sqref>Glc70_A!$L$9:$L$26</c15:sqref>
                        </c15:formulaRef>
                      </c:ext>
                    </c:extLst>
                    <c:numCache>
                      <c:formatCode>General</c:formatCode>
                      <c:ptCount val="18"/>
                      <c:pt idx="0">
                        <c:v>0</c:v>
                      </c:pt>
                      <c:pt idx="1">
                        <c:v>2</c:v>
                      </c:pt>
                      <c:pt idx="2">
                        <c:v>4</c:v>
                      </c:pt>
                      <c:pt idx="3">
                        <c:v>6</c:v>
                      </c:pt>
                      <c:pt idx="4">
                        <c:v>8</c:v>
                      </c:pt>
                      <c:pt idx="5">
                        <c:v>10</c:v>
                      </c:pt>
                      <c:pt idx="6">
                        <c:v>12</c:v>
                      </c:pt>
                      <c:pt idx="7">
                        <c:v>14</c:v>
                      </c:pt>
                      <c:pt idx="8">
                        <c:v>24</c:v>
                      </c:pt>
                      <c:pt idx="9">
                        <c:v>26</c:v>
                      </c:pt>
                      <c:pt idx="10">
                        <c:v>28</c:v>
                      </c:pt>
                      <c:pt idx="11">
                        <c:v>30</c:v>
                      </c:pt>
                      <c:pt idx="12">
                        <c:v>32</c:v>
                      </c:pt>
                      <c:pt idx="13">
                        <c:v>34</c:v>
                      </c:pt>
                      <c:pt idx="14">
                        <c:v>36</c:v>
                      </c:pt>
                      <c:pt idx="15">
                        <c:v>38</c:v>
                      </c:pt>
                      <c:pt idx="16">
                        <c:v>48</c:v>
                      </c:pt>
                      <c:pt idx="17">
                        <c:v>50</c:v>
                      </c:pt>
                    </c:numCache>
                  </c:numRef>
                </c:xVal>
                <c:yVal>
                  <c:numRef>
                    <c:extLst xmlns:c15="http://schemas.microsoft.com/office/drawing/2012/chart">
                      <c:ext xmlns:c15="http://schemas.microsoft.com/office/drawing/2012/chart" uri="{02D57815-91ED-43cb-92C2-25804820EDAC}">
                        <c15:formulaRef>
                          <c15:sqref>Glc70_A!$T$9:$T$26</c15:sqref>
                        </c15:formulaRef>
                      </c:ext>
                    </c:extLst>
                    <c:numCache>
                      <c:formatCode>General</c:formatCode>
                      <c:ptCount val="18"/>
                      <c:pt idx="0">
                        <c:v>1.2621180000000001</c:v>
                      </c:pt>
                      <c:pt idx="1">
                        <c:v>1.229163</c:v>
                      </c:pt>
                      <c:pt idx="2">
                        <c:v>1.3337610000000002</c:v>
                      </c:pt>
                      <c:pt idx="3">
                        <c:v>1.4606280000000003</c:v>
                      </c:pt>
                      <c:pt idx="4">
                        <c:v>1.4961180000000001</c:v>
                      </c:pt>
                      <c:pt idx="5">
                        <c:v>1.5179190000000002</c:v>
                      </c:pt>
                      <c:pt idx="6">
                        <c:v>1.643265</c:v>
                      </c:pt>
                      <c:pt idx="7">
                        <c:v>1.7080440000000001</c:v>
                      </c:pt>
                      <c:pt idx="8">
                        <c:v>1.9411859999999999</c:v>
                      </c:pt>
                      <c:pt idx="9">
                        <c:v>2.0748000000000002</c:v>
                      </c:pt>
                      <c:pt idx="10">
                        <c:v>2.2161749999999998</c:v>
                      </c:pt>
                      <c:pt idx="11">
                        <c:v>2.3437049999999999</c:v>
                      </c:pt>
                      <c:pt idx="12">
                        <c:v>2.3876580000000001</c:v>
                      </c:pt>
                      <c:pt idx="13">
                        <c:v>2.4768119999999998</c:v>
                      </c:pt>
                      <c:pt idx="14">
                        <c:v>2.5638990000000002</c:v>
                      </c:pt>
                      <c:pt idx="15">
                        <c:v>2.5857390000000007</c:v>
                      </c:pt>
                      <c:pt idx="16">
                        <c:v>2.747433</c:v>
                      </c:pt>
                      <c:pt idx="17">
                        <c:v>2.7213030000000007</c:v>
                      </c:pt>
                    </c:numCache>
                  </c:numRef>
                </c:yVal>
                <c:smooth val="1"/>
                <c:extLst xmlns:c15="http://schemas.microsoft.com/office/drawing/2012/chart">
                  <c:ext xmlns:c16="http://schemas.microsoft.com/office/drawing/2014/chart" uri="{C3380CC4-5D6E-409C-BE32-E72D297353CC}">
                    <c16:uniqueId val="{00000006-F353-43E3-9E82-7BEE20589044}"/>
                  </c:ext>
                </c:extLst>
              </c15:ser>
            </c15:filteredScatterSeries>
            <c15:filteredScatterSeries>
              <c15:ser>
                <c:idx val="6"/>
                <c:order val="6"/>
                <c:tx>
                  <c:v>Glc80C</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'G80-22May'!$K$7:$K$18</c15:sqref>
                        </c15:formulaRef>
                      </c:ext>
                    </c:extLst>
                    <c:numCache>
                      <c:formatCode>General</c:formatCode>
                      <c:ptCount val="12"/>
                      <c:pt idx="0">
                        <c:v>0</c:v>
                      </c:pt>
                      <c:pt idx="1">
                        <c:v>2</c:v>
                      </c:pt>
                      <c:pt idx="2">
                        <c:v>4</c:v>
                      </c:pt>
                      <c:pt idx="3">
                        <c:v>6</c:v>
                      </c:pt>
                      <c:pt idx="4">
                        <c:v>8</c:v>
                      </c:pt>
                      <c:pt idx="5">
                        <c:v>10</c:v>
                      </c:pt>
                      <c:pt idx="6">
                        <c:v>24</c:v>
                      </c:pt>
                      <c:pt idx="7">
                        <c:v>26</c:v>
                      </c:pt>
                      <c:pt idx="8">
                        <c:v>28</c:v>
                      </c:pt>
                      <c:pt idx="9">
                        <c:v>30</c:v>
                      </c:pt>
                      <c:pt idx="10">
                        <c:v>32</c:v>
                      </c:pt>
                      <c:pt idx="11">
                        <c:v>48</c:v>
                      </c:pt>
                    </c:numCache>
                  </c:numRef>
                </c:xVal>
                <c:yVal>
                  <c:numRef>
                    <c:extLst xmlns:c15="http://schemas.microsoft.com/office/drawing/2012/chart">
                      <c:ext xmlns:c15="http://schemas.microsoft.com/office/drawing/2012/chart" uri="{02D57815-91ED-43cb-92C2-25804820EDAC}">
                        <c15:formulaRef>
                          <c15:sqref>'G80-22May'!$R$7:$R$18</c15:sqref>
                        </c15:formulaRef>
                      </c:ext>
                    </c:extLst>
                    <c:numCache>
                      <c:formatCode>General</c:formatCode>
                      <c:ptCount val="12"/>
                      <c:pt idx="0">
                        <c:v>2.2201919999999999</c:v>
                      </c:pt>
                      <c:pt idx="1">
                        <c:v>2.2189829999999997</c:v>
                      </c:pt>
                      <c:pt idx="2">
                        <c:v>2.2126259999999998</c:v>
                      </c:pt>
                      <c:pt idx="3">
                        <c:v>2.2494809999999998</c:v>
                      </c:pt>
                      <c:pt idx="4">
                        <c:v>2.324166</c:v>
                      </c:pt>
                      <c:pt idx="5">
                        <c:v>2.641899</c:v>
                      </c:pt>
                      <c:pt idx="6">
                        <c:v>3.5765340000000001</c:v>
                      </c:pt>
                      <c:pt idx="7">
                        <c:v>3.6862019999999998</c:v>
                      </c:pt>
                      <c:pt idx="8">
                        <c:v>3.7006709999999994</c:v>
                      </c:pt>
                      <c:pt idx="9">
                        <c:v>3.7379082000000001</c:v>
                      </c:pt>
                      <c:pt idx="10">
                        <c:v>3.8045670000000005</c:v>
                      </c:pt>
                      <c:pt idx="11">
                        <c:v>3.59931</c:v>
                      </c:pt>
                    </c:numCache>
                  </c:numRef>
                </c:yVal>
                <c:smooth val="1"/>
                <c:extLst xmlns:c15="http://schemas.microsoft.com/office/drawing/2012/chart">
                  <c:ext xmlns:c16="http://schemas.microsoft.com/office/drawing/2014/chart" uri="{C3380CC4-5D6E-409C-BE32-E72D297353CC}">
                    <c16:uniqueId val="{00000007-F353-43E3-9E82-7BEE20589044}"/>
                  </c:ext>
                </c:extLst>
              </c15:ser>
            </c15:filteredScatterSeries>
          </c:ext>
        </c:extLst>
      </c:scatterChart>
      <c:valAx>
        <c:axId val="435503792"/>
        <c:scaling>
          <c:orientation val="minMax"/>
          <c:max val="35"/>
          <c:min val="0"/>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Time (h)</a:t>
                </a:r>
              </a:p>
            </c:rich>
          </c:tx>
          <c:layout>
            <c:manualLayout>
              <c:xMode val="edge"/>
              <c:yMode val="edge"/>
              <c:x val="0.42499808883112916"/>
              <c:y val="0.89097190057125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0227312"/>
        <c:crosses val="autoZero"/>
        <c:crossBetween val="midCat"/>
        <c:majorUnit val="5"/>
      </c:valAx>
      <c:valAx>
        <c:axId val="2110227312"/>
        <c:scaling>
          <c:orientation val="minMax"/>
          <c:min val="1"/>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Arial" panose="020B0604020202020204" pitchFamily="34" charset="0"/>
                    <a:cs typeface="Arial" panose="020B0604020202020204" pitchFamily="34" charset="0"/>
                  </a:rPr>
                  <a:t>Biomass (g/L)</a:t>
                </a:r>
              </a:p>
            </c:rich>
          </c:tx>
          <c:layout>
            <c:manualLayout>
              <c:xMode val="edge"/>
              <c:yMode val="edge"/>
              <c:x val="2.3231319386047612E-4"/>
              <c:y val="0.2547863582269607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5503792"/>
        <c:crosses val="autoZero"/>
        <c:crossBetween val="midCat"/>
        <c:majorUnit val="1"/>
      </c:valAx>
      <c:spPr>
        <a:noFill/>
        <a:ln>
          <a:solidFill>
            <a:schemeClr val="tx1"/>
          </a:solidFill>
        </a:ln>
        <a:effectLst/>
      </c:spPr>
    </c:plotArea>
    <c:legend>
      <c:legendPos val="t"/>
      <c:layout>
        <c:manualLayout>
          <c:xMode val="edge"/>
          <c:yMode val="edge"/>
          <c:x val="0.12015646102489619"/>
          <c:y val="5.5686245741021503E-2"/>
          <c:w val="0.8766582575236348"/>
          <c:h val="6.44220317255910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1"/>
          <c:tx>
            <c:v>Biomass</c:v>
          </c:tx>
          <c:spPr>
            <a:ln w="19050" cap="rnd">
              <a:solidFill>
                <a:srgbClr val="FF0000"/>
              </a:solidFill>
              <a:round/>
            </a:ln>
            <a:effectLst/>
          </c:spPr>
          <c:marker>
            <c:symbol val="diamond"/>
            <c:size val="5"/>
            <c:spPr>
              <a:solidFill>
                <a:srgbClr val="FF0000"/>
              </a:solidFill>
              <a:ln w="9525">
                <a:solidFill>
                  <a:srgbClr val="C00000"/>
                </a:solidFill>
              </a:ln>
              <a:effectLst/>
            </c:spPr>
          </c:marker>
          <c:xVal>
            <c:numRef>
              <c:f>'G80-22May'!$K$7:$K$18</c:f>
              <c:numCache>
                <c:formatCode>General</c:formatCode>
                <c:ptCount val="12"/>
                <c:pt idx="0">
                  <c:v>0</c:v>
                </c:pt>
                <c:pt idx="1">
                  <c:v>2</c:v>
                </c:pt>
                <c:pt idx="2">
                  <c:v>4</c:v>
                </c:pt>
                <c:pt idx="3">
                  <c:v>6</c:v>
                </c:pt>
                <c:pt idx="4">
                  <c:v>8</c:v>
                </c:pt>
                <c:pt idx="5">
                  <c:v>10</c:v>
                </c:pt>
                <c:pt idx="6">
                  <c:v>24</c:v>
                </c:pt>
                <c:pt idx="7">
                  <c:v>26</c:v>
                </c:pt>
                <c:pt idx="8">
                  <c:v>28</c:v>
                </c:pt>
                <c:pt idx="9">
                  <c:v>30</c:v>
                </c:pt>
                <c:pt idx="10">
                  <c:v>32</c:v>
                </c:pt>
                <c:pt idx="11">
                  <c:v>48</c:v>
                </c:pt>
              </c:numCache>
            </c:numRef>
          </c:xVal>
          <c:yVal>
            <c:numRef>
              <c:f>'G80-22May'!$R$7:$R$18</c:f>
              <c:numCache>
                <c:formatCode>General</c:formatCode>
                <c:ptCount val="12"/>
                <c:pt idx="0">
                  <c:v>2.2201919999999999</c:v>
                </c:pt>
                <c:pt idx="1">
                  <c:v>2.2189829999999997</c:v>
                </c:pt>
                <c:pt idx="2">
                  <c:v>2.2126259999999998</c:v>
                </c:pt>
                <c:pt idx="3">
                  <c:v>2.2494809999999998</c:v>
                </c:pt>
                <c:pt idx="4">
                  <c:v>2.324166</c:v>
                </c:pt>
                <c:pt idx="5">
                  <c:v>2.641899</c:v>
                </c:pt>
                <c:pt idx="6">
                  <c:v>3.5765340000000001</c:v>
                </c:pt>
                <c:pt idx="7">
                  <c:v>3.6862019999999998</c:v>
                </c:pt>
                <c:pt idx="8">
                  <c:v>3.7006709999999994</c:v>
                </c:pt>
                <c:pt idx="9">
                  <c:v>3.7379082000000001</c:v>
                </c:pt>
                <c:pt idx="10">
                  <c:v>3.8045670000000005</c:v>
                </c:pt>
                <c:pt idx="11">
                  <c:v>3.59931</c:v>
                </c:pt>
              </c:numCache>
            </c:numRef>
          </c:yVal>
          <c:smooth val="1"/>
          <c:extLst>
            <c:ext xmlns:c16="http://schemas.microsoft.com/office/drawing/2014/chart" uri="{C3380CC4-5D6E-409C-BE32-E72D297353CC}">
              <c16:uniqueId val="{00000000-24B2-4B14-8758-4D10F95843F3}"/>
            </c:ext>
          </c:extLst>
        </c:ser>
        <c:dLbls>
          <c:showLegendKey val="0"/>
          <c:showVal val="0"/>
          <c:showCatName val="0"/>
          <c:showSerName val="0"/>
          <c:showPercent val="0"/>
          <c:showBubbleSize val="0"/>
        </c:dLbls>
        <c:axId val="688229952"/>
        <c:axId val="432819360"/>
      </c:scatterChart>
      <c:scatterChart>
        <c:scatterStyle val="smoothMarker"/>
        <c:varyColors val="0"/>
        <c:ser>
          <c:idx val="0"/>
          <c:order val="0"/>
          <c:tx>
            <c:v>ORP</c:v>
          </c:tx>
          <c:spPr>
            <a:ln w="19050" cap="rnd">
              <a:solidFill>
                <a:srgbClr val="0070C0"/>
              </a:solidFill>
              <a:round/>
            </a:ln>
            <a:effectLst/>
          </c:spPr>
          <c:marker>
            <c:symbol val="circle"/>
            <c:size val="5"/>
            <c:spPr>
              <a:solidFill>
                <a:srgbClr val="0070C0"/>
              </a:solidFill>
              <a:ln w="9525">
                <a:solidFill>
                  <a:srgbClr val="002060"/>
                </a:solidFill>
              </a:ln>
              <a:effectLst/>
            </c:spPr>
          </c:marker>
          <c:xVal>
            <c:numRef>
              <c:f>'G80-22May'!$K$20:$K$26</c:f>
              <c:numCache>
                <c:formatCode>General</c:formatCode>
                <c:ptCount val="7"/>
                <c:pt idx="0">
                  <c:v>0</c:v>
                </c:pt>
                <c:pt idx="1">
                  <c:v>4</c:v>
                </c:pt>
                <c:pt idx="2">
                  <c:v>8</c:v>
                </c:pt>
                <c:pt idx="3">
                  <c:v>24</c:v>
                </c:pt>
                <c:pt idx="4">
                  <c:v>28</c:v>
                </c:pt>
                <c:pt idx="5">
                  <c:v>32</c:v>
                </c:pt>
                <c:pt idx="6">
                  <c:v>48</c:v>
                </c:pt>
              </c:numCache>
            </c:numRef>
          </c:xVal>
          <c:yVal>
            <c:numRef>
              <c:f>'G80-22May'!$L$20:$L$26</c:f>
              <c:numCache>
                <c:formatCode>General</c:formatCode>
                <c:ptCount val="7"/>
                <c:pt idx="0">
                  <c:v>-206</c:v>
                </c:pt>
                <c:pt idx="1">
                  <c:v>-236</c:v>
                </c:pt>
                <c:pt idx="2">
                  <c:v>-234</c:v>
                </c:pt>
                <c:pt idx="3">
                  <c:v>-347</c:v>
                </c:pt>
                <c:pt idx="4">
                  <c:v>-356</c:v>
                </c:pt>
                <c:pt idx="5">
                  <c:v>-371</c:v>
                </c:pt>
                <c:pt idx="6">
                  <c:v>-372</c:v>
                </c:pt>
              </c:numCache>
            </c:numRef>
          </c:yVal>
          <c:smooth val="1"/>
          <c:extLst>
            <c:ext xmlns:c16="http://schemas.microsoft.com/office/drawing/2014/chart" uri="{C3380CC4-5D6E-409C-BE32-E72D297353CC}">
              <c16:uniqueId val="{00000001-24B2-4B14-8758-4D10F95843F3}"/>
            </c:ext>
          </c:extLst>
        </c:ser>
        <c:dLbls>
          <c:showLegendKey val="0"/>
          <c:showVal val="0"/>
          <c:showCatName val="0"/>
          <c:showSerName val="0"/>
          <c:showPercent val="0"/>
          <c:showBubbleSize val="0"/>
        </c:dLbls>
        <c:axId val="63830911"/>
        <c:axId val="63823711"/>
      </c:scatterChart>
      <c:valAx>
        <c:axId val="688229952"/>
        <c:scaling>
          <c:orientation val="minMax"/>
          <c:max val="35"/>
          <c:min val="0"/>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Time (h)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32819360"/>
        <c:crosses val="autoZero"/>
        <c:crossBetween val="midCat"/>
      </c:valAx>
      <c:valAx>
        <c:axId val="4328193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Biomass (g/L)</a:t>
                </a:r>
              </a:p>
            </c:rich>
          </c:tx>
          <c:layout>
            <c:manualLayout>
              <c:xMode val="edge"/>
              <c:yMode val="edge"/>
              <c:x val="2.844275894761792E-2"/>
              <c:y val="0.2691954865935876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88229952"/>
        <c:crosses val="autoZero"/>
        <c:crossBetween val="midCat"/>
      </c:valAx>
      <c:valAx>
        <c:axId val="63823711"/>
        <c:scaling>
          <c:orientation val="minMax"/>
          <c:max val="-200"/>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ORP (mV)</a:t>
                </a:r>
              </a:p>
            </c:rich>
          </c:tx>
          <c:layout>
            <c:manualLayout>
              <c:xMode val="edge"/>
              <c:yMode val="edge"/>
              <c:x val="0.89407423858696966"/>
              <c:y val="0.27177062426020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63830911"/>
        <c:crosses val="max"/>
        <c:crossBetween val="midCat"/>
        <c:majorUnit val="50"/>
      </c:valAx>
      <c:valAx>
        <c:axId val="63830911"/>
        <c:scaling>
          <c:orientation val="minMax"/>
        </c:scaling>
        <c:delete val="1"/>
        <c:axPos val="b"/>
        <c:numFmt formatCode="General" sourceLinked="1"/>
        <c:majorTickMark val="out"/>
        <c:minorTickMark val="none"/>
        <c:tickLblPos val="nextTo"/>
        <c:crossAx val="63823711"/>
        <c:crosses val="autoZero"/>
        <c:crossBetween val="midCat"/>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1"/>
          <c:tx>
            <c:v>Biomass</c:v>
          </c:tx>
          <c:spPr>
            <a:ln w="19050" cap="rnd">
              <a:solidFill>
                <a:srgbClr val="FF0000"/>
              </a:solidFill>
              <a:round/>
            </a:ln>
            <a:effectLst/>
          </c:spPr>
          <c:marker>
            <c:symbol val="diamond"/>
            <c:size val="5"/>
            <c:spPr>
              <a:solidFill>
                <a:srgbClr val="FF0000"/>
              </a:solidFill>
              <a:ln w="9525">
                <a:solidFill>
                  <a:srgbClr val="C00000"/>
                </a:solidFill>
              </a:ln>
              <a:effectLst/>
            </c:spPr>
          </c:marker>
          <c:xVal>
            <c:numRef>
              <c:f>XYL80!$B$8:$B$19</c:f>
              <c:numCache>
                <c:formatCode>General</c:formatCode>
                <c:ptCount val="12"/>
                <c:pt idx="0">
                  <c:v>0</c:v>
                </c:pt>
                <c:pt idx="1">
                  <c:v>2</c:v>
                </c:pt>
                <c:pt idx="2">
                  <c:v>4</c:v>
                </c:pt>
                <c:pt idx="3">
                  <c:v>8</c:v>
                </c:pt>
                <c:pt idx="4">
                  <c:v>10</c:v>
                </c:pt>
                <c:pt idx="5">
                  <c:v>14</c:v>
                </c:pt>
                <c:pt idx="6">
                  <c:v>26</c:v>
                </c:pt>
                <c:pt idx="7">
                  <c:v>28</c:v>
                </c:pt>
                <c:pt idx="8">
                  <c:v>30</c:v>
                </c:pt>
                <c:pt idx="9">
                  <c:v>32</c:v>
                </c:pt>
                <c:pt idx="10">
                  <c:v>34</c:v>
                </c:pt>
                <c:pt idx="11">
                  <c:v>48</c:v>
                </c:pt>
              </c:numCache>
            </c:numRef>
          </c:xVal>
          <c:yVal>
            <c:numRef>
              <c:f>XYL80!$J$8:$J$19</c:f>
              <c:numCache>
                <c:formatCode>General</c:formatCode>
                <c:ptCount val="12"/>
                <c:pt idx="0">
                  <c:v>2.2617660000000002</c:v>
                </c:pt>
                <c:pt idx="1">
                  <c:v>2.3130899999999999</c:v>
                </c:pt>
                <c:pt idx="2">
                  <c:v>2.3593829999999998</c:v>
                </c:pt>
                <c:pt idx="3">
                  <c:v>2.4884730000000004</c:v>
                </c:pt>
                <c:pt idx="4">
                  <c:v>2.7564810000000004</c:v>
                </c:pt>
                <c:pt idx="5">
                  <c:v>2.9453970000000003</c:v>
                </c:pt>
                <c:pt idx="6">
                  <c:v>3.0882930000000002</c:v>
                </c:pt>
                <c:pt idx="7">
                  <c:v>3.2455409999999998</c:v>
                </c:pt>
                <c:pt idx="8">
                  <c:v>3.2738549999999997</c:v>
                </c:pt>
                <c:pt idx="9">
                  <c:v>3.2691750000000002</c:v>
                </c:pt>
                <c:pt idx="10">
                  <c:v>3.4130850000000001</c:v>
                </c:pt>
                <c:pt idx="11">
                  <c:v>3.2901180000000001</c:v>
                </c:pt>
              </c:numCache>
            </c:numRef>
          </c:yVal>
          <c:smooth val="1"/>
          <c:extLst>
            <c:ext xmlns:c16="http://schemas.microsoft.com/office/drawing/2014/chart" uri="{C3380CC4-5D6E-409C-BE32-E72D297353CC}">
              <c16:uniqueId val="{00000000-9722-4AA2-BF79-A7255F790AF7}"/>
            </c:ext>
          </c:extLst>
        </c:ser>
        <c:dLbls>
          <c:showLegendKey val="0"/>
          <c:showVal val="0"/>
          <c:showCatName val="0"/>
          <c:showSerName val="0"/>
          <c:showPercent val="0"/>
          <c:showBubbleSize val="0"/>
        </c:dLbls>
        <c:axId val="360246335"/>
        <c:axId val="1932896944"/>
      </c:scatterChart>
      <c:scatterChart>
        <c:scatterStyle val="smoothMarker"/>
        <c:varyColors val="0"/>
        <c:ser>
          <c:idx val="0"/>
          <c:order val="0"/>
          <c:tx>
            <c:v>ORP</c:v>
          </c:tx>
          <c:spPr>
            <a:ln w="19050" cap="rnd">
              <a:solidFill>
                <a:schemeClr val="accent1"/>
              </a:solidFill>
              <a:round/>
            </a:ln>
            <a:effectLst/>
          </c:spPr>
          <c:marker>
            <c:symbol val="circle"/>
            <c:size val="5"/>
            <c:spPr>
              <a:solidFill>
                <a:schemeClr val="accent1"/>
              </a:solidFill>
              <a:ln w="9525">
                <a:solidFill>
                  <a:srgbClr val="002060"/>
                </a:solidFill>
              </a:ln>
              <a:effectLst/>
            </c:spPr>
          </c:marker>
          <c:xVal>
            <c:numRef>
              <c:f>XYL80!$B$21:$B$28</c:f>
              <c:numCache>
                <c:formatCode>General</c:formatCode>
                <c:ptCount val="8"/>
                <c:pt idx="0">
                  <c:v>0</c:v>
                </c:pt>
                <c:pt idx="1">
                  <c:v>4</c:v>
                </c:pt>
                <c:pt idx="2">
                  <c:v>8</c:v>
                </c:pt>
                <c:pt idx="3">
                  <c:v>12</c:v>
                </c:pt>
                <c:pt idx="4">
                  <c:v>26</c:v>
                </c:pt>
                <c:pt idx="5">
                  <c:v>30</c:v>
                </c:pt>
                <c:pt idx="6">
                  <c:v>34</c:v>
                </c:pt>
                <c:pt idx="7">
                  <c:v>48</c:v>
                </c:pt>
              </c:numCache>
            </c:numRef>
          </c:xVal>
          <c:yVal>
            <c:numRef>
              <c:f>XYL80!$C$21:$C$28</c:f>
              <c:numCache>
                <c:formatCode>General</c:formatCode>
                <c:ptCount val="8"/>
                <c:pt idx="0">
                  <c:v>-91.7</c:v>
                </c:pt>
                <c:pt idx="1">
                  <c:v>-176.2</c:v>
                </c:pt>
                <c:pt idx="2">
                  <c:v>-243</c:v>
                </c:pt>
                <c:pt idx="3">
                  <c:v>-270</c:v>
                </c:pt>
                <c:pt idx="4">
                  <c:v>-349</c:v>
                </c:pt>
                <c:pt idx="5">
                  <c:v>-357</c:v>
                </c:pt>
                <c:pt idx="6">
                  <c:v>-346</c:v>
                </c:pt>
                <c:pt idx="7">
                  <c:v>-373</c:v>
                </c:pt>
              </c:numCache>
            </c:numRef>
          </c:yVal>
          <c:smooth val="1"/>
          <c:extLst>
            <c:ext xmlns:c16="http://schemas.microsoft.com/office/drawing/2014/chart" uri="{C3380CC4-5D6E-409C-BE32-E72D297353CC}">
              <c16:uniqueId val="{00000001-9722-4AA2-BF79-A7255F790AF7}"/>
            </c:ext>
          </c:extLst>
        </c:ser>
        <c:dLbls>
          <c:showLegendKey val="0"/>
          <c:showVal val="0"/>
          <c:showCatName val="0"/>
          <c:showSerName val="0"/>
          <c:showPercent val="0"/>
          <c:showBubbleSize val="0"/>
        </c:dLbls>
        <c:axId val="1097621648"/>
        <c:axId val="1097627888"/>
      </c:scatterChart>
      <c:valAx>
        <c:axId val="360246335"/>
        <c:scaling>
          <c:orientation val="minMax"/>
          <c:max val="35"/>
          <c:min val="0"/>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Time (h)</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32896944"/>
        <c:crosses val="autoZero"/>
        <c:crossBetween val="midCat"/>
        <c:majorUnit val="10"/>
        <c:minorUnit val="5"/>
      </c:valAx>
      <c:valAx>
        <c:axId val="19328969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Biomass (g/L)</a:t>
                </a:r>
              </a:p>
            </c:rich>
          </c:tx>
          <c:layout>
            <c:manualLayout>
              <c:xMode val="edge"/>
              <c:yMode val="edge"/>
              <c:x val="2.844275894761792E-2"/>
              <c:y val="0.2374446760331428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0246335"/>
        <c:crosses val="autoZero"/>
        <c:crossBetween val="midCat"/>
        <c:majorUnit val="1"/>
      </c:valAx>
      <c:valAx>
        <c:axId val="1097627888"/>
        <c:scaling>
          <c:orientation val="minMax"/>
          <c:max val="-50"/>
          <c:min val="-400"/>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solidFill>
                      <a:schemeClr val="tx1"/>
                    </a:solidFill>
                    <a:latin typeface="Arial" panose="020B0604020202020204" pitchFamily="34" charset="0"/>
                    <a:cs typeface="Arial" panose="020B0604020202020204" pitchFamily="34" charset="0"/>
                  </a:rPr>
                  <a:t>ORP (mV)</a:t>
                </a:r>
              </a:p>
            </c:rich>
          </c:tx>
          <c:layout>
            <c:manualLayout>
              <c:xMode val="edge"/>
              <c:yMode val="edge"/>
              <c:x val="0.89881469841157269"/>
              <c:y val="0.271770624260202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97621648"/>
        <c:crosses val="max"/>
        <c:crossBetween val="midCat"/>
      </c:valAx>
      <c:valAx>
        <c:axId val="1097621648"/>
        <c:scaling>
          <c:orientation val="minMax"/>
        </c:scaling>
        <c:delete val="1"/>
        <c:axPos val="b"/>
        <c:numFmt formatCode="General" sourceLinked="1"/>
        <c:majorTickMark val="out"/>
        <c:minorTickMark val="none"/>
        <c:tickLblPos val="nextTo"/>
        <c:crossAx val="1097627888"/>
        <c:crosses val="autoZero"/>
        <c:crossBetween val="midCat"/>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2914</Words>
  <Characters>16613</Characters>
  <Application>Microsoft Office Word</Application>
  <DocSecurity>0</DocSecurity>
  <Lines>138</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Sibiya, Nhlamulo (NG)</cp:lastModifiedBy>
  <cp:revision>76</cp:revision>
  <cp:lastPrinted>2015-05-12T18:31:00Z</cp:lastPrinted>
  <dcterms:created xsi:type="dcterms:W3CDTF">2024-01-15T21:03:00Z</dcterms:created>
  <dcterms:modified xsi:type="dcterms:W3CDTF">2024-02-28T17:15:00Z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