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lt-LT" w:eastAsia="lt-L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1EEF6F50" w:rsidR="000A03B2" w:rsidRPr="00B57B36" w:rsidRDefault="00A76EFC" w:rsidP="004C3D1D">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lt-LT" w:eastAsia="lt-L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35204533" w:rsidR="000A03B2" w:rsidRPr="00B57B36" w:rsidRDefault="005A3E9C" w:rsidP="00CD5FE2">
            <w:pPr>
              <w:spacing w:line="140" w:lineRule="atLeast"/>
              <w:jc w:val="right"/>
              <w:rPr>
                <w:rFonts w:cs="Arial"/>
                <w:sz w:val="14"/>
                <w:szCs w:val="14"/>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7D24D70F" w:rsidR="00300E56" w:rsidRPr="0014464F" w:rsidRDefault="00300E56" w:rsidP="00EC0E49">
            <w:pPr>
              <w:tabs>
                <w:tab w:val="left" w:pos="-108"/>
              </w:tabs>
              <w:spacing w:line="140" w:lineRule="atLeast"/>
              <w:ind w:left="-108"/>
              <w:jc w:val="left"/>
              <w:rPr>
                <w:rFonts w:ascii="Tahoma" w:hAnsi="Tahoma" w:cs="Tahoma"/>
                <w:iCs/>
                <w:color w:val="333333"/>
                <w:sz w:val="14"/>
                <w:szCs w:val="14"/>
                <w:lang w:val="en-US" w:eastAsia="it-IT"/>
              </w:rPr>
            </w:pPr>
            <w:r w:rsidRPr="0014464F">
              <w:rPr>
                <w:rFonts w:ascii="Tahoma" w:hAnsi="Tahoma" w:cs="Tahoma"/>
                <w:iCs/>
                <w:color w:val="333333"/>
                <w:sz w:val="14"/>
                <w:szCs w:val="14"/>
                <w:lang w:val="en-US" w:eastAsia="it-IT"/>
              </w:rPr>
              <w:t>Guest Editors:</w:t>
            </w:r>
            <w:r w:rsidR="00904C62" w:rsidRPr="0014464F">
              <w:rPr>
                <w:rFonts w:ascii="Tahoma" w:hAnsi="Tahoma" w:cs="Tahoma"/>
                <w:iCs/>
                <w:color w:val="333333"/>
                <w:sz w:val="14"/>
                <w:szCs w:val="14"/>
                <w:lang w:val="en-US" w:eastAsia="it-IT"/>
              </w:rPr>
              <w:t xml:space="preserve"> </w:t>
            </w:r>
          </w:p>
          <w:p w14:paraId="1B0F1814" w14:textId="6CE52C7C" w:rsidR="000A03B2" w:rsidRPr="00B57B36" w:rsidRDefault="0014464F" w:rsidP="00180860">
            <w:pPr>
              <w:tabs>
                <w:tab w:val="left" w:pos="-108"/>
              </w:tabs>
              <w:spacing w:line="140" w:lineRule="atLeast"/>
              <w:ind w:left="-108"/>
              <w:jc w:val="left"/>
            </w:pPr>
            <w:r>
              <w:rPr>
                <w:rFonts w:ascii="Tahoma" w:hAnsi="Tahoma" w:cs="Tahoma"/>
                <w:iCs/>
                <w:color w:val="333333"/>
                <w:sz w:val="14"/>
                <w:szCs w:val="14"/>
                <w:lang w:eastAsia="it-IT"/>
              </w:rPr>
              <w:t xml:space="preserve">Copyright © </w:t>
            </w:r>
            <w:r w:rsidR="00904C62" w:rsidRPr="00B57B36">
              <w:rPr>
                <w:rFonts w:ascii="Tahoma" w:hAnsi="Tahoma" w:cs="Tahoma"/>
                <w:iCs/>
                <w:color w:val="333333"/>
                <w:sz w:val="14"/>
                <w:szCs w:val="14"/>
                <w:lang w:eastAsia="it-IT"/>
              </w:rPr>
              <w:t xml:space="preserve"> AIDIC Servizi S.r.l.</w:t>
            </w:r>
            <w:r w:rsidR="00300E56" w:rsidRPr="00B57B36">
              <w:rPr>
                <w:rFonts w:ascii="Tahoma" w:hAnsi="Tahoma" w:cs="Tahoma"/>
                <w:iCs/>
                <w:color w:val="333333"/>
                <w:sz w:val="14"/>
                <w:szCs w:val="14"/>
                <w:lang w:eastAsia="it-IT"/>
              </w:rPr>
              <w:br/>
            </w:r>
            <w:r w:rsidR="00180860" w:rsidRPr="00B57B36">
              <w:rPr>
                <w:rFonts w:ascii="Tahoma" w:hAnsi="Tahoma" w:cs="Tahoma"/>
                <w:b/>
                <w:iCs/>
                <w:color w:val="333333"/>
                <w:sz w:val="14"/>
                <w:szCs w:val="14"/>
                <w:lang w:eastAsia="it-IT"/>
              </w:rPr>
              <w:t>IS</w:t>
            </w:r>
            <w:r w:rsidR="00180860">
              <w:rPr>
                <w:rFonts w:ascii="Tahoma" w:hAnsi="Tahoma" w:cs="Tahoma"/>
                <w:b/>
                <w:iCs/>
                <w:color w:val="333333"/>
                <w:sz w:val="14"/>
                <w:szCs w:val="14"/>
                <w:lang w:eastAsia="it-IT"/>
              </w:rPr>
              <w:t xml:space="preserve">BN </w:t>
            </w:r>
            <w:r w:rsidR="00180860" w:rsidRPr="00D642A9">
              <w:rPr>
                <w:rFonts w:ascii="Tahoma" w:hAnsi="Tahoma" w:cs="Tahoma"/>
                <w:sz w:val="14"/>
                <w:szCs w:val="14"/>
                <w:lang w:val="en-US"/>
              </w:rPr>
              <w:t>978-88-95608</w:t>
            </w:r>
            <w:r w:rsidR="00180860">
              <w:rPr>
                <w:rFonts w:ascii="Tahoma" w:hAnsi="Tahoma" w:cs="Tahoma"/>
                <w:sz w:val="14"/>
                <w:szCs w:val="14"/>
                <w:lang w:val="en-US"/>
              </w:rPr>
              <w:t xml:space="preserve">-xx-x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2E667253" w14:textId="2C66AADF" w:rsidR="00E978D0" w:rsidRPr="00B57B36" w:rsidRDefault="007369BE" w:rsidP="00E978D0">
      <w:pPr>
        <w:pStyle w:val="CETTitle"/>
      </w:pPr>
      <w:r>
        <w:t xml:space="preserve">Modeling the Specific Glucose Consumption Rate for the Recombinant </w:t>
      </w:r>
      <w:r>
        <w:rPr>
          <w:i/>
        </w:rPr>
        <w:t>E.coli</w:t>
      </w:r>
      <w:r>
        <w:t xml:space="preserve"> Bioprocesses Based on Aging-specific Growth Rate</w:t>
      </w:r>
    </w:p>
    <w:p w14:paraId="2B3CA35C" w14:textId="2773136E" w:rsidR="00E978D0" w:rsidRPr="00B57B36" w:rsidRDefault="009E6439" w:rsidP="00AB5011">
      <w:pPr>
        <w:pStyle w:val="CETAuthors"/>
      </w:pPr>
      <w:r>
        <w:t>Arnas Survyla</w:t>
      </w:r>
      <w:r w:rsidR="00600535" w:rsidRPr="00B57B36">
        <w:t xml:space="preserve">, </w:t>
      </w:r>
      <w:r>
        <w:t>Renaldas Urniezius</w:t>
      </w:r>
      <w:r w:rsidR="00600535" w:rsidRPr="00B57B36">
        <w:t xml:space="preserve">*, </w:t>
      </w:r>
      <w:r w:rsidR="00D04AC4">
        <w:t>Benas Kem</w:t>
      </w:r>
      <w:r w:rsidR="00D04AC4" w:rsidRPr="00D04AC4">
        <w:rPr>
          <w:lang w:val="en-US"/>
        </w:rPr>
        <w:t>ėš</w:t>
      </w:r>
      <w:r w:rsidR="00D04AC4">
        <w:t>is</w:t>
      </w:r>
      <w:r w:rsidRPr="00B57B36">
        <w:t xml:space="preserve">, </w:t>
      </w:r>
      <w:r w:rsidR="00D04AC4" w:rsidRPr="00D04AC4">
        <w:rPr>
          <w:lang w:val="en-US"/>
        </w:rPr>
        <w:t>Lukas Zlatkus</w:t>
      </w:r>
      <w:r w:rsidRPr="00B57B36">
        <w:t xml:space="preserve">, </w:t>
      </w:r>
      <w:r w:rsidR="00D04AC4" w:rsidRPr="00D04AC4">
        <w:rPr>
          <w:lang w:val="en-US"/>
        </w:rPr>
        <w:t>Deividas Masaitis</w:t>
      </w:r>
      <w:r w:rsidRPr="00B57B36">
        <w:t xml:space="preserve">, </w:t>
      </w:r>
      <w:r w:rsidR="00D04AC4" w:rsidRPr="00D04AC4">
        <w:rPr>
          <w:lang w:val="en-US"/>
        </w:rPr>
        <w:t>Vytautas Galvanauskas</w:t>
      </w:r>
    </w:p>
    <w:p w14:paraId="38D29194" w14:textId="67B8F9D6" w:rsidR="00E978D0" w:rsidRPr="00B57B36" w:rsidRDefault="00D04AC4" w:rsidP="009E6439">
      <w:pPr>
        <w:pStyle w:val="CETAddress"/>
      </w:pPr>
      <w:r>
        <w:rPr>
          <w:lang w:val="en-US"/>
        </w:rPr>
        <w:t>K</w:t>
      </w:r>
      <w:r w:rsidRPr="00D04AC4">
        <w:rPr>
          <w:lang w:val="en-US"/>
        </w:rPr>
        <w:t>aunas University of Technology, Dept of Automation, Kaunas LT-51368, Lithuania</w:t>
      </w:r>
    </w:p>
    <w:p w14:paraId="0127A28D" w14:textId="5DC21926" w:rsidR="00E978D0" w:rsidRPr="00B57B36" w:rsidRDefault="00D04AC4" w:rsidP="00E978D0">
      <w:pPr>
        <w:pStyle w:val="CETemail"/>
      </w:pPr>
      <w:r>
        <w:t xml:space="preserve"> </w:t>
      </w:r>
      <w:r w:rsidR="009E6439">
        <w:t>renaldas.urniezius</w:t>
      </w:r>
      <w:r w:rsidR="00600535" w:rsidRPr="00B57B36">
        <w:t>@</w:t>
      </w:r>
      <w:r w:rsidR="009E6439">
        <w:t>ktu.lt</w:t>
      </w:r>
    </w:p>
    <w:p w14:paraId="1FD21D30" w14:textId="69756B42" w:rsidR="000B790B" w:rsidRDefault="000B790B" w:rsidP="00600535">
      <w:pPr>
        <w:pStyle w:val="CETBodytext"/>
        <w:rPr>
          <w:lang w:val="en-GB"/>
        </w:rPr>
      </w:pPr>
      <w:r>
        <w:rPr>
          <w:lang w:val="en-GB"/>
        </w:rPr>
        <w:t xml:space="preserve">This study proposes </w:t>
      </w:r>
      <w:r w:rsidR="002800D3">
        <w:rPr>
          <w:lang w:val="en-GB"/>
        </w:rPr>
        <w:t>the form of</w:t>
      </w:r>
      <w:r>
        <w:rPr>
          <w:lang w:val="en-GB"/>
        </w:rPr>
        <w:t xml:space="preserve"> the physiological </w:t>
      </w:r>
      <w:r w:rsidR="000262A7" w:rsidRPr="000262A7">
        <w:rPr>
          <w:i/>
          <w:lang w:val="en-GB"/>
        </w:rPr>
        <w:t>E.coli</w:t>
      </w:r>
      <w:r w:rsidR="000262A7">
        <w:rPr>
          <w:lang w:val="en-GB"/>
        </w:rPr>
        <w:t xml:space="preserve"> </w:t>
      </w:r>
      <w:r>
        <w:rPr>
          <w:lang w:val="en-GB"/>
        </w:rPr>
        <w:t>dependencies</w:t>
      </w:r>
      <w:r w:rsidR="002800D3">
        <w:rPr>
          <w:lang w:val="en-GB"/>
        </w:rPr>
        <w:t xml:space="preserve"> for</w:t>
      </w:r>
      <w:r>
        <w:rPr>
          <w:lang w:val="en-GB"/>
        </w:rPr>
        <w:t xml:space="preserve"> the specific glucose consumption rate</w:t>
      </w:r>
      <w:r w:rsidR="00E14571">
        <w:rPr>
          <w:lang w:val="en-GB"/>
        </w:rPr>
        <w:t>.</w:t>
      </w:r>
      <w:r w:rsidR="002800D3">
        <w:rPr>
          <w:lang w:val="en-GB"/>
        </w:rPr>
        <w:t xml:space="preserve"> </w:t>
      </w:r>
      <w:r w:rsidR="00E14571">
        <w:rPr>
          <w:lang w:val="en-GB"/>
        </w:rPr>
        <w:t>It</w:t>
      </w:r>
      <w:r w:rsidR="002800D3">
        <w:rPr>
          <w:lang w:val="en-GB"/>
        </w:rPr>
        <w:t xml:space="preserve"> </w:t>
      </w:r>
      <w:r w:rsidR="000262A7">
        <w:rPr>
          <w:lang w:val="en-GB"/>
        </w:rPr>
        <w:t xml:space="preserve">carries </w:t>
      </w:r>
      <w:r w:rsidR="004E0CE3">
        <w:rPr>
          <w:lang w:val="en-GB"/>
        </w:rPr>
        <w:t xml:space="preserve">a </w:t>
      </w:r>
      <w:r w:rsidR="000262A7">
        <w:rPr>
          <w:lang w:val="en-GB"/>
        </w:rPr>
        <w:t>two-fold purpose</w:t>
      </w:r>
      <w:r w:rsidR="004E0CE3">
        <w:rPr>
          <w:lang w:val="en-GB"/>
        </w:rPr>
        <w:t>.</w:t>
      </w:r>
      <w:r w:rsidR="000262A7">
        <w:rPr>
          <w:lang w:val="en-GB"/>
        </w:rPr>
        <w:t xml:space="preserve"> </w:t>
      </w:r>
      <w:r w:rsidR="004E0CE3">
        <w:rPr>
          <w:lang w:val="en-GB"/>
        </w:rPr>
        <w:t>The first one allows online estimation of the specific glucose consumption rate when the information on the cells' aging is accessible.</w:t>
      </w:r>
      <w:r w:rsidR="000262A7">
        <w:rPr>
          <w:lang w:val="en-GB"/>
        </w:rPr>
        <w:t xml:space="preserve"> </w:t>
      </w:r>
      <w:r w:rsidR="004E0CE3">
        <w:rPr>
          <w:lang w:val="en-GB"/>
        </w:rPr>
        <w:t>The second relationship</w:t>
      </w:r>
      <w:r w:rsidR="000262A7">
        <w:rPr>
          <w:lang w:val="en-GB"/>
        </w:rPr>
        <w:t xml:space="preserve"> assess</w:t>
      </w:r>
      <w:r w:rsidR="004E0CE3">
        <w:rPr>
          <w:lang w:val="en-GB"/>
        </w:rPr>
        <w:t>es that</w:t>
      </w:r>
      <w:r w:rsidR="000262A7">
        <w:rPr>
          <w:lang w:val="en-GB"/>
        </w:rPr>
        <w:t xml:space="preserve"> the glucose consumption</w:t>
      </w:r>
      <w:r w:rsidR="00E14571">
        <w:rPr>
          <w:lang w:val="en-GB"/>
        </w:rPr>
        <w:t xml:space="preserve"> </w:t>
      </w:r>
      <w:r w:rsidR="004E0CE3">
        <w:rPr>
          <w:lang w:val="en-GB"/>
        </w:rPr>
        <w:t>is relative to</w:t>
      </w:r>
      <w:r w:rsidR="000262A7">
        <w:rPr>
          <w:lang w:val="en-GB"/>
        </w:rPr>
        <w:t xml:space="preserve"> the oxygen uptake rate</w:t>
      </w:r>
      <w:r w:rsidR="00E14571">
        <w:rPr>
          <w:lang w:val="en-GB"/>
        </w:rPr>
        <w:t xml:space="preserve"> content</w:t>
      </w:r>
      <w:r w:rsidR="00D62E4B">
        <w:rPr>
          <w:lang w:val="en-GB"/>
        </w:rPr>
        <w:t xml:space="preserve"> with no direct dependency on the biomass </w:t>
      </w:r>
      <w:r w:rsidR="004E0CE3">
        <w:rPr>
          <w:lang w:val="en-GB"/>
        </w:rPr>
        <w:t>kinetics properties</w:t>
      </w:r>
      <w:r w:rsidR="00D62E4B">
        <w:rPr>
          <w:lang w:val="en-GB"/>
        </w:rPr>
        <w:t>.</w:t>
      </w:r>
      <w:r w:rsidR="00E14571">
        <w:rPr>
          <w:lang w:val="en-GB"/>
        </w:rPr>
        <w:t xml:space="preserve"> </w:t>
      </w:r>
      <w:r w:rsidR="00D62E4B">
        <w:rPr>
          <w:lang w:val="en-GB"/>
        </w:rPr>
        <w:t xml:space="preserve">Such portion of the oxygen uptake rate </w:t>
      </w:r>
      <w:r w:rsidR="00E14571">
        <w:rPr>
          <w:lang w:val="en-GB"/>
        </w:rPr>
        <w:t>does not partic</w:t>
      </w:r>
      <w:r w:rsidR="00203B7C">
        <w:rPr>
          <w:lang w:val="en-GB"/>
        </w:rPr>
        <w:t>ipate in biomass growth or maintenance</w:t>
      </w:r>
      <w:r w:rsidR="004E0CE3">
        <w:rPr>
          <w:lang w:val="en-GB"/>
        </w:rPr>
        <w:t>-</w:t>
      </w:r>
      <w:r w:rsidR="00203B7C">
        <w:rPr>
          <w:lang w:val="en-GB"/>
        </w:rPr>
        <w:t>related</w:t>
      </w:r>
      <w:r w:rsidR="00E14571">
        <w:rPr>
          <w:lang w:val="en-GB"/>
        </w:rPr>
        <w:t xml:space="preserve"> state but </w:t>
      </w:r>
      <w:r w:rsidR="004E0CE3">
        <w:rPr>
          <w:lang w:val="en-GB"/>
        </w:rPr>
        <w:t>instead</w:t>
      </w:r>
      <w:r w:rsidR="00E14571">
        <w:rPr>
          <w:lang w:val="en-GB"/>
        </w:rPr>
        <w:t xml:space="preserve"> </w:t>
      </w:r>
      <w:r w:rsidR="00D62E4B">
        <w:rPr>
          <w:lang w:val="en-GB"/>
        </w:rPr>
        <w:t>increases</w:t>
      </w:r>
      <w:r w:rsidR="00E14571">
        <w:rPr>
          <w:lang w:val="en-GB"/>
        </w:rPr>
        <w:t xml:space="preserve"> the soluble </w:t>
      </w:r>
      <w:r w:rsidR="003451DF">
        <w:rPr>
          <w:lang w:val="en-GB"/>
        </w:rPr>
        <w:t>by-product of metabolism</w:t>
      </w:r>
      <w:r w:rsidR="00E14571">
        <w:rPr>
          <w:lang w:val="en-GB"/>
        </w:rPr>
        <w:t xml:space="preserve">. The latter </w:t>
      </w:r>
      <w:r w:rsidR="00203B7C">
        <w:rPr>
          <w:lang w:val="en-GB"/>
        </w:rPr>
        <w:t>can consist of extracellular metabolites, soluble proteins</w:t>
      </w:r>
      <w:r w:rsidR="004E0CE3">
        <w:rPr>
          <w:lang w:val="en-GB"/>
        </w:rPr>
        <w:t>,</w:t>
      </w:r>
      <w:r w:rsidR="00203B7C">
        <w:rPr>
          <w:lang w:val="en-GB"/>
        </w:rPr>
        <w:t xml:space="preserve"> or other by-products. </w:t>
      </w:r>
      <w:r w:rsidR="004E0CE3">
        <w:rPr>
          <w:lang w:val="en-GB"/>
        </w:rPr>
        <w:t>The a</w:t>
      </w:r>
      <w:r w:rsidR="00D62E4B">
        <w:rPr>
          <w:lang w:val="en-GB"/>
        </w:rPr>
        <w:t>uthors show that these</w:t>
      </w:r>
      <w:r w:rsidR="00203B7C">
        <w:rPr>
          <w:lang w:val="en-GB"/>
        </w:rPr>
        <w:t xml:space="preserve"> solutes </w:t>
      </w:r>
      <w:r w:rsidR="004E0CE3">
        <w:rPr>
          <w:lang w:val="en-GB"/>
        </w:rPr>
        <w:t>assumingly result in</w:t>
      </w:r>
      <w:r w:rsidR="00203B7C">
        <w:rPr>
          <w:lang w:val="en-GB"/>
        </w:rPr>
        <w:t xml:space="preserve"> the corresponding </w:t>
      </w:r>
      <w:r w:rsidR="00636E46">
        <w:rPr>
          <w:lang w:val="en-GB"/>
        </w:rPr>
        <w:t>boundary condition for</w:t>
      </w:r>
      <w:r w:rsidR="00203B7C">
        <w:rPr>
          <w:lang w:val="en-GB"/>
        </w:rPr>
        <w:t xml:space="preserve"> the </w:t>
      </w:r>
      <w:r w:rsidR="004E0CE3">
        <w:rPr>
          <w:lang w:val="en-GB"/>
        </w:rPr>
        <w:t>specific glucose consumption rate balanc</w:t>
      </w:r>
      <w:r w:rsidR="00203B7C">
        <w:rPr>
          <w:lang w:val="en-GB"/>
        </w:rPr>
        <w:t>e.</w:t>
      </w:r>
      <w:r w:rsidR="00636E46">
        <w:rPr>
          <w:lang w:val="en-GB"/>
        </w:rPr>
        <w:t xml:space="preserve"> </w:t>
      </w:r>
      <w:r w:rsidR="004E0CE3">
        <w:rPr>
          <w:lang w:val="en-GB"/>
        </w:rPr>
        <w:t>The main novel idea of this work is the statement that the portion of oxygen uptake rate dedicated for soluble products does not depend on the biomass growth and maintenance but rather on average aging information</w:t>
      </w:r>
      <w:r w:rsidR="00D43D4D">
        <w:rPr>
          <w:lang w:val="en-GB"/>
        </w:rPr>
        <w:t xml:space="preserve">. Moreover, </w:t>
      </w:r>
      <w:r w:rsidR="004E0CE3">
        <w:rPr>
          <w:lang w:val="en-GB"/>
        </w:rPr>
        <w:t xml:space="preserve">the </w:t>
      </w:r>
      <w:r w:rsidR="00D43D4D">
        <w:rPr>
          <w:lang w:val="en-GB"/>
        </w:rPr>
        <w:t>authors hypothesize that biomass yield from glucose can be treated as a function of the average aging information of the cell popul</w:t>
      </w:r>
      <w:r w:rsidR="0058368A">
        <w:rPr>
          <w:lang w:val="en-GB"/>
        </w:rPr>
        <w:t xml:space="preserve">ation by reusing the Monod </w:t>
      </w:r>
      <w:r w:rsidR="00EE2C3D">
        <w:rPr>
          <w:lang w:val="en-GB"/>
        </w:rPr>
        <w:t>term</w:t>
      </w:r>
      <w:r w:rsidR="0058368A">
        <w:rPr>
          <w:lang w:val="en-GB"/>
        </w:rPr>
        <w:t xml:space="preserve"> assumption. Finally, this study </w:t>
      </w:r>
      <w:r w:rsidR="00EE2C3D">
        <w:rPr>
          <w:lang w:val="en-GB"/>
        </w:rPr>
        <w:t>interconnects</w:t>
      </w:r>
      <w:r w:rsidR="0058368A">
        <w:rPr>
          <w:lang w:val="en-GB"/>
        </w:rPr>
        <w:t xml:space="preserve"> some of the </w:t>
      </w:r>
      <w:r w:rsidR="00EE2C3D">
        <w:rPr>
          <w:lang w:val="en-GB"/>
        </w:rPr>
        <w:t>co-authors</w:t>
      </w:r>
      <w:r w:rsidR="00543121">
        <w:rPr>
          <w:lang w:val="en-GB"/>
        </w:rPr>
        <w:t>'</w:t>
      </w:r>
      <w:r w:rsidR="0058368A">
        <w:rPr>
          <w:lang w:val="en-GB"/>
        </w:rPr>
        <w:t xml:space="preserve"> patent </w:t>
      </w:r>
      <w:r w:rsidR="00EE2C3D">
        <w:rPr>
          <w:lang w:val="en-GB"/>
        </w:rPr>
        <w:t>claims</w:t>
      </w:r>
      <w:r w:rsidR="0058368A">
        <w:rPr>
          <w:lang w:val="en-GB"/>
        </w:rPr>
        <w:t xml:space="preserve"> that directly link to the empirical law of the Luedeking-Piret.</w:t>
      </w:r>
    </w:p>
    <w:p w14:paraId="37A61FCE" w14:textId="1BC42673" w:rsidR="00DA24C6" w:rsidRDefault="00DA24C6" w:rsidP="00875279">
      <w:pPr>
        <w:pStyle w:val="CETListbullets"/>
        <w:ind w:firstLine="0"/>
      </w:pPr>
    </w:p>
    <w:p w14:paraId="476B2F2E" w14:textId="77777777" w:rsidR="00600535" w:rsidRPr="00B57B36" w:rsidRDefault="00600535" w:rsidP="00600535">
      <w:pPr>
        <w:pStyle w:val="CETHeading1"/>
        <w:rPr>
          <w:lang w:val="en-GB"/>
        </w:rPr>
      </w:pPr>
      <w:r w:rsidRPr="00B57B36">
        <w:rPr>
          <w:lang w:val="en-GB"/>
        </w:rPr>
        <w:t>Introduction</w:t>
      </w:r>
    </w:p>
    <w:p w14:paraId="6040A587" w14:textId="1DAD35F2" w:rsidR="00200D99" w:rsidRDefault="00200D99" w:rsidP="00200D99">
      <w:pPr>
        <w:pStyle w:val="CETBodytext"/>
        <w:rPr>
          <w:lang w:val="en-GB"/>
        </w:rPr>
      </w:pPr>
      <w:r w:rsidRPr="00200D99">
        <w:rPr>
          <w:lang w:val="en-GB"/>
        </w:rPr>
        <w:t xml:space="preserve">Historically the models of the specific glucose consumption rate of aerobic recombinant </w:t>
      </w:r>
      <w:r w:rsidRPr="00D62E4B">
        <w:rPr>
          <w:i/>
          <w:lang w:val="en-GB"/>
        </w:rPr>
        <w:t>E.coli</w:t>
      </w:r>
      <w:r w:rsidRPr="00200D99">
        <w:rPr>
          <w:lang w:val="en-GB"/>
        </w:rPr>
        <w:t xml:space="preserve"> bioprocesses depended on the assumption that biopharmaceutical </w:t>
      </w:r>
      <w:r w:rsidR="00894501" w:rsidRPr="00200D99">
        <w:rPr>
          <w:lang w:val="en-GB"/>
        </w:rPr>
        <w:t>biosynthesis</w:t>
      </w:r>
      <w:r w:rsidRPr="00200D99">
        <w:rPr>
          <w:lang w:val="en-GB"/>
        </w:rPr>
        <w:t xml:space="preserve"> was </w:t>
      </w:r>
      <w:r w:rsidR="00BB7CC6">
        <w:rPr>
          <w:lang w:val="en-GB"/>
        </w:rPr>
        <w:t>a batch or fed-batch process (</w:t>
      </w:r>
      <w:r w:rsidR="001A013E">
        <w:rPr>
          <w:lang w:val="en-GB"/>
        </w:rPr>
        <w:t xml:space="preserve">Varma et al., 1993; </w:t>
      </w:r>
      <w:r w:rsidR="00BB7CC6">
        <w:t>Galvanauskas et al., 2021</w:t>
      </w:r>
      <w:r w:rsidR="00B570F6">
        <w:t>a</w:t>
      </w:r>
      <w:r w:rsidR="008F2845">
        <w:t xml:space="preserve">; </w:t>
      </w:r>
      <w:r w:rsidR="008F2845" w:rsidRPr="008F2845">
        <w:t>Boecker</w:t>
      </w:r>
      <w:r w:rsidR="008F2845">
        <w:t xml:space="preserve"> et al., 2021</w:t>
      </w:r>
      <w:r w:rsidR="00BB7CC6">
        <w:rPr>
          <w:lang w:val="en-GB"/>
        </w:rPr>
        <w:t>)</w:t>
      </w:r>
      <w:r w:rsidRPr="00200D99">
        <w:rPr>
          <w:lang w:val="en-GB"/>
        </w:rPr>
        <w:t>. Ther</w:t>
      </w:r>
      <w:r>
        <w:rPr>
          <w:lang w:val="en-GB"/>
        </w:rPr>
        <w:t>efore, the specific glucose con</w:t>
      </w:r>
      <w:r w:rsidRPr="00200D99">
        <w:rPr>
          <w:lang w:val="en-GB"/>
        </w:rPr>
        <w:t>sumption rate consisted of the maximal glucose consump</w:t>
      </w:r>
      <w:r>
        <w:rPr>
          <w:lang w:val="en-GB"/>
        </w:rPr>
        <w:t>tion rate, biomass, glucose con</w:t>
      </w:r>
      <w:r w:rsidRPr="00200D99">
        <w:rPr>
          <w:lang w:val="en-GB"/>
        </w:rPr>
        <w:t xml:space="preserve">centration, and target production expression. Recently, authors </w:t>
      </w:r>
      <w:r w:rsidR="00BB7CC6">
        <w:rPr>
          <w:lang w:val="en-GB"/>
        </w:rPr>
        <w:t>(Urniezius et al., 2021)</w:t>
      </w:r>
      <w:r w:rsidRPr="00200D99">
        <w:rPr>
          <w:lang w:val="en-GB"/>
        </w:rPr>
        <w:t xml:space="preserve"> reiterated that the average age of the cells' population is as important as the specific growth rate when es</w:t>
      </w:r>
      <w:r w:rsidR="00BB7CC6">
        <w:rPr>
          <w:lang w:val="en-GB"/>
        </w:rPr>
        <w:t>ti</w:t>
      </w:r>
      <w:r w:rsidRPr="00200D99">
        <w:rPr>
          <w:lang w:val="en-GB"/>
        </w:rPr>
        <w:t xml:space="preserve">mating the recombinant target product in the biopharmaceutical processes. This study combines the biomass cultivation knowledge using target product formation </w:t>
      </w:r>
      <w:r w:rsidR="0046773E">
        <w:rPr>
          <w:lang w:val="en-GB"/>
        </w:rPr>
        <w:t>(Urniezius, 2019</w:t>
      </w:r>
      <w:r w:rsidR="00D15B9F">
        <w:rPr>
          <w:lang w:val="en-GB"/>
        </w:rPr>
        <w:t>a</w:t>
      </w:r>
      <w:r w:rsidR="00BB7CC6">
        <w:rPr>
          <w:lang w:val="en-GB"/>
        </w:rPr>
        <w:t>)</w:t>
      </w:r>
      <w:r w:rsidRPr="00200D99">
        <w:rPr>
          <w:lang w:val="en-GB"/>
        </w:rPr>
        <w:t xml:space="preserve"> and the novel idea that, instead of the biomass state variable, the average age of the c</w:t>
      </w:r>
      <w:r w:rsidR="00894501">
        <w:rPr>
          <w:lang w:val="en-GB"/>
        </w:rPr>
        <w:t>ells' popu</w:t>
      </w:r>
      <w:r w:rsidRPr="00200D99">
        <w:rPr>
          <w:lang w:val="en-GB"/>
        </w:rPr>
        <w:t xml:space="preserve">lation and the specific growth rate </w:t>
      </w:r>
      <w:r w:rsidR="00894501">
        <w:rPr>
          <w:lang w:val="en-GB"/>
        </w:rPr>
        <w:t>(Survyla et al., 2021)</w:t>
      </w:r>
      <w:r w:rsidRPr="00200D99">
        <w:rPr>
          <w:lang w:val="en-GB"/>
        </w:rPr>
        <w:t xml:space="preserve"> must be reconsid</w:t>
      </w:r>
      <w:r w:rsidR="00894501">
        <w:rPr>
          <w:lang w:val="en-GB"/>
        </w:rPr>
        <w:t>ered. Such development is essen</w:t>
      </w:r>
      <w:r w:rsidRPr="00200D99">
        <w:rPr>
          <w:lang w:val="en-GB"/>
        </w:rPr>
        <w:t>tial for optimal harvesting technology in the design of continuous biosynthesis when the optimal avera</w:t>
      </w:r>
      <w:r w:rsidR="00F26A2F">
        <w:rPr>
          <w:lang w:val="en-GB"/>
        </w:rPr>
        <w:t>ge age of the cells' population, but not biomass concentration</w:t>
      </w:r>
      <w:r w:rsidR="004E0CE3">
        <w:rPr>
          <w:lang w:val="en-GB"/>
        </w:rPr>
        <w:t>,</w:t>
      </w:r>
      <w:r w:rsidR="00F26A2F">
        <w:rPr>
          <w:lang w:val="en-GB"/>
        </w:rPr>
        <w:t xml:space="preserve"> is the </w:t>
      </w:r>
      <w:r w:rsidR="004E0CE3">
        <w:rPr>
          <w:lang w:val="en-GB"/>
        </w:rPr>
        <w:t>crucial</w:t>
      </w:r>
      <w:r w:rsidR="00F26A2F">
        <w:rPr>
          <w:lang w:val="en-GB"/>
        </w:rPr>
        <w:t xml:space="preserve"> factor in</w:t>
      </w:r>
      <w:r w:rsidRPr="00200D99">
        <w:rPr>
          <w:lang w:val="en-GB"/>
        </w:rPr>
        <w:t xml:space="preserve"> the laboratory and</w:t>
      </w:r>
      <w:r w:rsidR="00F26A2F">
        <w:rPr>
          <w:lang w:val="en-GB"/>
        </w:rPr>
        <w:t xml:space="preserve"> </w:t>
      </w:r>
      <w:r w:rsidRPr="00200D99">
        <w:rPr>
          <w:lang w:val="en-GB"/>
        </w:rPr>
        <w:t>pilo</w:t>
      </w:r>
      <w:r w:rsidR="00F26A2F">
        <w:rPr>
          <w:lang w:val="en-GB"/>
        </w:rPr>
        <w:t xml:space="preserve">t-scale industrial bioreactors. </w:t>
      </w:r>
      <w:r w:rsidRPr="00200D99">
        <w:rPr>
          <w:lang w:val="en-GB"/>
        </w:rPr>
        <w:t>The relevant model of the specific glucose consumpti</w:t>
      </w:r>
      <w:r w:rsidR="00894501">
        <w:rPr>
          <w:lang w:val="en-GB"/>
        </w:rPr>
        <w:t xml:space="preserve">on rate </w:t>
      </w:r>
      <w:r w:rsidR="00F26A2F">
        <w:rPr>
          <w:lang w:val="en-GB"/>
        </w:rPr>
        <w:t xml:space="preserve">can </w:t>
      </w:r>
      <w:r w:rsidR="004E0CE3">
        <w:rPr>
          <w:lang w:val="en-GB"/>
        </w:rPr>
        <w:t>help manage</w:t>
      </w:r>
      <w:r w:rsidRPr="00200D99">
        <w:rPr>
          <w:lang w:val="en-GB"/>
        </w:rPr>
        <w:t xml:space="preserve"> microorganisms' cultivation conditions by </w:t>
      </w:r>
      <w:r w:rsidR="003C6B20">
        <w:rPr>
          <w:lang w:val="en-GB"/>
        </w:rPr>
        <w:t>selecting</w:t>
      </w:r>
      <w:r w:rsidRPr="00200D99">
        <w:rPr>
          <w:lang w:val="en-GB"/>
        </w:rPr>
        <w:t xml:space="preserve"> a rational supply of nutrient substrate to bioreactor to ensure interference-resistant and high-performance repeatable cultivations of recombinant </w:t>
      </w:r>
      <w:r w:rsidRPr="00D62E4B">
        <w:rPr>
          <w:i/>
          <w:lang w:val="en-GB"/>
        </w:rPr>
        <w:t>E.coli</w:t>
      </w:r>
      <w:r w:rsidR="00F26A2F">
        <w:rPr>
          <w:lang w:val="en-GB"/>
        </w:rPr>
        <w:t>.</w:t>
      </w:r>
    </w:p>
    <w:p w14:paraId="205E683A" w14:textId="2F40B9F3" w:rsidR="006070B3" w:rsidRPr="00B57B36" w:rsidRDefault="00742DFE" w:rsidP="006070B3">
      <w:pPr>
        <w:pStyle w:val="CETHeading1"/>
        <w:rPr>
          <w:lang w:val="en-GB"/>
        </w:rPr>
      </w:pPr>
      <w:r>
        <w:rPr>
          <w:lang w:val="en-GB"/>
        </w:rPr>
        <w:t>Definition of Oxygen uptake rate</w:t>
      </w:r>
    </w:p>
    <w:p w14:paraId="650C7B4A" w14:textId="5957574D" w:rsidR="00500F44" w:rsidRDefault="004D2579" w:rsidP="00200D99">
      <w:pPr>
        <w:pStyle w:val="CETBodytext"/>
        <w:rPr>
          <w:lang w:val="en-GB"/>
        </w:rPr>
      </w:pPr>
      <w:r>
        <w:rPr>
          <w:lang w:val="en-GB"/>
        </w:rPr>
        <w:t>Th</w:t>
      </w:r>
      <w:r w:rsidR="00500F44">
        <w:rPr>
          <w:lang w:val="en-GB"/>
        </w:rPr>
        <w:t>is study hypothesizes</w:t>
      </w:r>
      <w:r>
        <w:rPr>
          <w:lang w:val="en-GB"/>
        </w:rPr>
        <w:t xml:space="preserve"> that the oxygen uptake rate</w:t>
      </w:r>
      <w:r w:rsidR="00500F44">
        <w:rPr>
          <w:lang w:val="en-GB"/>
        </w:rPr>
        <w:t xml:space="preserve"> </w:t>
      </w:r>
      <w:r w:rsidR="00500F44" w:rsidRPr="00500F44">
        <w:rPr>
          <w:i/>
          <w:lang w:val="en-GB"/>
        </w:rPr>
        <w:t>OUR</w:t>
      </w:r>
      <w:r>
        <w:rPr>
          <w:lang w:val="en-GB"/>
        </w:rPr>
        <w:t xml:space="preserve"> consists of </w:t>
      </w:r>
      <w:r w:rsidR="00E613A8">
        <w:rPr>
          <w:lang w:val="en-GB"/>
        </w:rPr>
        <w:t xml:space="preserve">a </w:t>
      </w:r>
      <w:r>
        <w:rPr>
          <w:lang w:val="en-GB"/>
        </w:rPr>
        <w:t xml:space="preserve">few parts that </w:t>
      </w:r>
      <w:r w:rsidR="00E613A8">
        <w:rPr>
          <w:lang w:val="en-GB"/>
        </w:rPr>
        <w:t>must</w:t>
      </w:r>
      <w:r>
        <w:rPr>
          <w:lang w:val="en-GB"/>
        </w:rPr>
        <w:t xml:space="preserve"> be explicitly accounted for when dealing with the balance equations of biochemical conversion</w:t>
      </w:r>
      <w:r w:rsidR="00500F44">
        <w:rPr>
          <w:lang w:val="en-GB"/>
        </w:rPr>
        <w:t xml:space="preserve">s. </w:t>
      </w:r>
      <w:r w:rsidR="00B4667A">
        <w:rPr>
          <w:lang w:val="en-GB"/>
        </w:rPr>
        <w:t xml:space="preserve">Such treatment is </w:t>
      </w:r>
      <w:r w:rsidR="009F2FD7">
        <w:rPr>
          <w:lang w:val="en-GB"/>
        </w:rPr>
        <w:t>essential</w:t>
      </w:r>
      <w:r w:rsidR="00B4667A">
        <w:rPr>
          <w:lang w:val="en-GB"/>
        </w:rPr>
        <w:t xml:space="preserve"> </w:t>
      </w:r>
      <w:r w:rsidR="00B4667A">
        <w:rPr>
          <w:lang w:val="en-GB"/>
        </w:rPr>
        <w:lastRenderedPageBreak/>
        <w:t xml:space="preserve">because </w:t>
      </w:r>
      <w:r w:rsidR="00B4667A" w:rsidRPr="009F2FD7">
        <w:rPr>
          <w:i/>
          <w:lang w:val="en-GB"/>
        </w:rPr>
        <w:t>OUR</w:t>
      </w:r>
      <w:r w:rsidR="00B4667A">
        <w:rPr>
          <w:lang w:val="en-GB"/>
        </w:rPr>
        <w:t xml:space="preserve"> could be used as </w:t>
      </w:r>
      <w:r w:rsidR="00D409FD">
        <w:rPr>
          <w:lang w:val="en-GB"/>
        </w:rPr>
        <w:t xml:space="preserve">a </w:t>
      </w:r>
      <w:r w:rsidR="00B4667A">
        <w:rPr>
          <w:lang w:val="en-GB"/>
        </w:rPr>
        <w:t>gain scheduling parameter in the adaptive control (</w:t>
      </w:r>
      <w:r w:rsidR="00B4667A" w:rsidRPr="002779E0">
        <w:t>Levisauskas</w:t>
      </w:r>
      <w:r w:rsidR="00B4667A">
        <w:t xml:space="preserve"> et al., 2019)</w:t>
      </w:r>
      <w:r w:rsidR="00B4667A">
        <w:rPr>
          <w:lang w:val="en-GB"/>
        </w:rPr>
        <w:t xml:space="preserve">. </w:t>
      </w:r>
      <w:r w:rsidR="00921BD5">
        <w:rPr>
          <w:lang w:val="en-GB"/>
        </w:rPr>
        <w:t xml:space="preserve">The suggest </w:t>
      </w:r>
      <w:r w:rsidR="00921BD5" w:rsidRPr="00921BD5">
        <w:rPr>
          <w:i/>
          <w:lang w:val="en-GB"/>
        </w:rPr>
        <w:t>OUR</w:t>
      </w:r>
      <w:r w:rsidR="00500F44">
        <w:rPr>
          <w:lang w:val="en-GB"/>
        </w:rPr>
        <w:t xml:space="preserve"> portions entail</w:t>
      </w:r>
    </w:p>
    <w:p w14:paraId="2C881286" w14:textId="4933122A" w:rsidR="00500F44" w:rsidRDefault="00500F44" w:rsidP="00500F44">
      <w:pPr>
        <w:pStyle w:val="CETListbullets"/>
        <w:numPr>
          <w:ilvl w:val="0"/>
          <w:numId w:val="13"/>
        </w:numPr>
      </w:pPr>
      <w:r>
        <w:t xml:space="preserve">the main </w:t>
      </w:r>
      <w:r w:rsidRPr="00500F44">
        <w:rPr>
          <w:i/>
        </w:rPr>
        <w:t>OUR</w:t>
      </w:r>
      <w:r>
        <w:t xml:space="preserve"> content dedicated for the biomass kinetics properties;</w:t>
      </w:r>
    </w:p>
    <w:p w14:paraId="0530BB4A" w14:textId="16AAEAE1" w:rsidR="00500F44" w:rsidRDefault="00500F44" w:rsidP="00500F44">
      <w:pPr>
        <w:pStyle w:val="CETListbullets"/>
        <w:numPr>
          <w:ilvl w:val="0"/>
          <w:numId w:val="13"/>
        </w:numPr>
      </w:pPr>
      <w:r>
        <w:t xml:space="preserve">the dilution effect content when </w:t>
      </w:r>
      <w:r w:rsidRPr="00500F44">
        <w:rPr>
          <w:i/>
        </w:rPr>
        <w:t>OUR</w:t>
      </w:r>
      <w:r>
        <w:t xml:space="preserve"> represents not the total oxygen uptake rate, but its concentration per volume unit;</w:t>
      </w:r>
    </w:p>
    <w:p w14:paraId="36017FB9" w14:textId="7ED95EA9" w:rsidR="00500F44" w:rsidRPr="00180860" w:rsidRDefault="00500F44" w:rsidP="00500F44">
      <w:pPr>
        <w:pStyle w:val="CETListbullets"/>
        <w:numPr>
          <w:ilvl w:val="0"/>
          <w:numId w:val="13"/>
        </w:numPr>
      </w:pPr>
      <w:r>
        <w:t xml:space="preserve">the secondary </w:t>
      </w:r>
      <w:r w:rsidRPr="00500F44">
        <w:rPr>
          <w:i/>
        </w:rPr>
        <w:t>OUR</w:t>
      </w:r>
      <w:r>
        <w:t xml:space="preserve"> content which does not occur in biomass kinetics but instead participates in the kinetics of soluble by-products. Specifically when glucose feed rate is not growth-limiting and pa</w:t>
      </w:r>
      <w:r w:rsidR="00B26D74">
        <w:t>rticular glucose concentration i</w:t>
      </w:r>
      <w:r>
        <w:t>s present in the nutrition medium.</w:t>
      </w:r>
    </w:p>
    <w:p w14:paraId="62AE9663" w14:textId="2FF26A6A" w:rsidR="004D2579" w:rsidRDefault="00543121" w:rsidP="00200D99">
      <w:pPr>
        <w:pStyle w:val="CETBodytext"/>
        <w:rPr>
          <w:lang w:val="en-GB"/>
        </w:rPr>
      </w:pPr>
      <w:r>
        <w:rPr>
          <w:lang w:val="en-GB"/>
        </w:rPr>
        <w:t>The determination of the first two OUR items comes from the biomass kinetics, and the third one requires incorporating the glucose consumption rate's balance.</w:t>
      </w:r>
    </w:p>
    <w:p w14:paraId="23AE0D42" w14:textId="394C3993" w:rsidR="00742DFE" w:rsidRPr="00B57B36" w:rsidRDefault="00742DFE" w:rsidP="00742DFE">
      <w:pPr>
        <w:pStyle w:val="CETheadingx"/>
      </w:pPr>
      <w:r>
        <w:t>Biomass kinetics</w:t>
      </w:r>
    </w:p>
    <w:p w14:paraId="3945FA38" w14:textId="77777777" w:rsidR="00742DFE" w:rsidRDefault="00742DFE" w:rsidP="00200D99">
      <w:pPr>
        <w:pStyle w:val="CETBodytext"/>
        <w:rPr>
          <w:lang w:val="en-GB"/>
        </w:rPr>
      </w:pPr>
    </w:p>
    <w:p w14:paraId="74A285E0" w14:textId="12FEDFAD" w:rsidR="00364953" w:rsidRDefault="00D15B9F" w:rsidP="00200D99">
      <w:pPr>
        <w:pStyle w:val="CETBodytext"/>
        <w:rPr>
          <w:lang w:val="en-GB"/>
        </w:rPr>
      </w:pPr>
      <w:r>
        <w:rPr>
          <w:lang w:val="en-GB"/>
        </w:rPr>
        <w:t xml:space="preserve">This study uses two main fundamental models that disclose the states of the biomass growth and maintenance variables: the Luedeking-Piret </w:t>
      </w:r>
      <w:r w:rsidR="00364953">
        <w:rPr>
          <w:lang w:val="en-GB"/>
        </w:rPr>
        <w:t>relationship</w:t>
      </w:r>
      <w:r>
        <w:rPr>
          <w:lang w:val="en-GB"/>
        </w:rPr>
        <w:t xml:space="preserve"> (Urniezius, 2019b) and the biomass growth, biomass maintenance</w:t>
      </w:r>
      <w:r w:rsidR="0067654E">
        <w:rPr>
          <w:lang w:val="en-GB"/>
        </w:rPr>
        <w:t>,</w:t>
      </w:r>
      <w:r>
        <w:rPr>
          <w:lang w:val="en-GB"/>
        </w:rPr>
        <w:t xml:space="preserve"> and glucose kinetics related expressions from the patent publication in (</w:t>
      </w:r>
      <w:r w:rsidR="008272C5">
        <w:rPr>
          <w:lang w:val="en-GB"/>
        </w:rPr>
        <w:t>Galvanauskas et al., 2021</w:t>
      </w:r>
      <w:r w:rsidR="00B570F6">
        <w:rPr>
          <w:lang w:val="en-GB"/>
        </w:rPr>
        <w:t>b</w:t>
      </w:r>
      <w:r>
        <w:rPr>
          <w:lang w:val="en-GB"/>
        </w:rPr>
        <w:t>)</w:t>
      </w:r>
      <w:r w:rsidR="00364953">
        <w:rPr>
          <w:lang w:val="en-GB"/>
        </w:rPr>
        <w:t>.</w:t>
      </w:r>
      <w:r w:rsidR="00451EB1">
        <w:rPr>
          <w:lang w:val="en-GB"/>
        </w:rPr>
        <w:t xml:space="preserve"> The former proposes the simplistic constitution of oxygen uptake rate</w:t>
      </w:r>
      <w:r w:rsidR="00AA3ABA">
        <w:rPr>
          <w:lang w:val="en-GB"/>
        </w:rPr>
        <w:t xml:space="preserve"> appearing in two additive terms:</w:t>
      </w:r>
      <w:r w:rsidR="00451EB1">
        <w:rPr>
          <w:lang w:val="en-GB"/>
        </w:rPr>
        <w:t xml:space="preserve"> biomass</w:t>
      </w:r>
      <w:r w:rsidR="00AA3ABA">
        <w:rPr>
          <w:lang w:val="en-GB"/>
        </w:rPr>
        <w:t xml:space="preserve"> </w:t>
      </w:r>
      <m:oMath>
        <m:r>
          <w:rPr>
            <w:rFonts w:ascii="Cambria Math" w:hAnsi="Cambria Math"/>
          </w:rPr>
          <m:t>X</m:t>
        </m:r>
        <m:d>
          <m:dPr>
            <m:ctrlPr>
              <w:rPr>
                <w:rFonts w:ascii="Cambria Math" w:hAnsi="Cambria Math"/>
                <w:i/>
              </w:rPr>
            </m:ctrlPr>
          </m:dPr>
          <m:e>
            <m:r>
              <w:rPr>
                <w:rFonts w:ascii="Cambria Math" w:hAnsi="Cambria Math"/>
              </w:rPr>
              <m:t>t</m:t>
            </m:r>
          </m:e>
        </m:d>
      </m:oMath>
      <w:r w:rsidR="00451EB1">
        <w:rPr>
          <w:lang w:val="en-GB"/>
        </w:rPr>
        <w:t xml:space="preserve"> growth </w:t>
      </w:r>
      <m:oMath>
        <m:sSup>
          <m:sSupPr>
            <m:ctrlPr>
              <w:rPr>
                <w:rFonts w:ascii="Cambria Math" w:hAnsi="Cambria Math"/>
                <w:i/>
              </w:rPr>
            </m:ctrlPr>
          </m:sSupPr>
          <m:e>
            <m:r>
              <w:rPr>
                <w:rFonts w:ascii="Cambria Math" w:hAnsi="Cambria Math"/>
              </w:rPr>
              <m:t>X</m:t>
            </m:r>
          </m:e>
          <m:sup>
            <m:r>
              <w:rPr>
                <w:rFonts w:ascii="Cambria Math" w:hAnsi="Cambria Math"/>
              </w:rPr>
              <m:t>'</m:t>
            </m:r>
          </m:sup>
        </m:sSup>
        <m:d>
          <m:dPr>
            <m:ctrlPr>
              <w:rPr>
                <w:rFonts w:ascii="Cambria Math" w:hAnsi="Cambria Math"/>
                <w:i/>
              </w:rPr>
            </m:ctrlPr>
          </m:dPr>
          <m:e>
            <m:r>
              <w:rPr>
                <w:rFonts w:ascii="Cambria Math" w:hAnsi="Cambria Math"/>
              </w:rPr>
              <m:t>t</m:t>
            </m:r>
          </m:e>
        </m:d>
        <m:r>
          <w:rPr>
            <w:rFonts w:ascii="Cambria Math" w:hAnsi="Cambria Math"/>
          </w:rPr>
          <m:t xml:space="preserve"> </m:t>
        </m:r>
      </m:oMath>
      <w:r w:rsidR="00451EB1">
        <w:rPr>
          <w:lang w:val="en-GB"/>
        </w:rPr>
        <w:t>and biomass maintenance</w:t>
      </w:r>
    </w:p>
    <w:tbl>
      <w:tblPr>
        <w:tblW w:w="5000" w:type="pct"/>
        <w:tblLook w:val="04A0" w:firstRow="1" w:lastRow="0" w:firstColumn="1" w:lastColumn="0" w:noHBand="0" w:noVBand="1"/>
      </w:tblPr>
      <w:tblGrid>
        <w:gridCol w:w="7983"/>
        <w:gridCol w:w="804"/>
      </w:tblGrid>
      <w:tr w:rsidR="00451EB1" w:rsidRPr="00B57B36" w14:paraId="2C4B6439" w14:textId="77777777" w:rsidTr="00422A87">
        <w:tc>
          <w:tcPr>
            <w:tcW w:w="8188" w:type="dxa"/>
            <w:shd w:val="clear" w:color="auto" w:fill="auto"/>
            <w:vAlign w:val="center"/>
          </w:tcPr>
          <w:p w14:paraId="02D9CDAC" w14:textId="740170BE" w:rsidR="00451EB1" w:rsidRPr="00EC4568" w:rsidRDefault="00451EB1" w:rsidP="00AA3ABA">
            <w:pPr>
              <w:pStyle w:val="CETEquation"/>
              <w:rPr>
                <w:rFonts w:cs="Arial"/>
                <w:i/>
                <w:lang w:val="ru-RU"/>
              </w:rPr>
            </w:pPr>
            <m:oMathPara>
              <m:oMath>
                <m:r>
                  <w:rPr>
                    <w:rFonts w:ascii="Cambria Math" w:hAnsi="Cambria Math" w:cs="Arial"/>
                  </w:rPr>
                  <m:t>OUR</m:t>
                </m:r>
                <m:d>
                  <m:dPr>
                    <m:ctrlPr>
                      <w:rPr>
                        <w:rFonts w:ascii="Cambria Math" w:hAnsi="Cambria Math" w:cs="Arial"/>
                        <w:i/>
                      </w:rPr>
                    </m:ctrlPr>
                  </m:dPr>
                  <m:e>
                    <m:r>
                      <w:rPr>
                        <w:rFonts w:ascii="Cambria Math" w:hAnsi="Cambria Math" w:cs="Arial"/>
                      </w:rPr>
                      <m:t>t</m:t>
                    </m:r>
                  </m:e>
                </m:d>
                <m:r>
                  <w:rPr>
                    <w:rFonts w:ascii="Cambria Math" w:hAnsi="Cambria Math" w:cs="Arial"/>
                  </w:rPr>
                  <m:t>=α∙</m:t>
                </m:r>
                <m:sSup>
                  <m:sSupPr>
                    <m:ctrlPr>
                      <w:rPr>
                        <w:rFonts w:ascii="Cambria Math" w:hAnsi="Cambria Math" w:cs="Arial"/>
                        <w:i/>
                      </w:rPr>
                    </m:ctrlPr>
                  </m:sSupPr>
                  <m:e>
                    <m:r>
                      <w:rPr>
                        <w:rFonts w:ascii="Cambria Math" w:hAnsi="Cambria Math" w:cs="Arial"/>
                      </w:rPr>
                      <m:t>X</m:t>
                    </m:r>
                  </m:e>
                  <m:sup>
                    <m:r>
                      <w:rPr>
                        <w:rFonts w:ascii="Cambria Math" w:hAnsi="Cambria Math" w:cs="Arial"/>
                      </w:rPr>
                      <m:t>'</m:t>
                    </m:r>
                  </m:sup>
                </m:sSup>
                <m:d>
                  <m:dPr>
                    <m:ctrlPr>
                      <w:rPr>
                        <w:rFonts w:ascii="Cambria Math" w:hAnsi="Cambria Math" w:cs="Arial"/>
                        <w:i/>
                      </w:rPr>
                    </m:ctrlPr>
                  </m:dPr>
                  <m:e>
                    <m:r>
                      <w:rPr>
                        <w:rFonts w:ascii="Cambria Math" w:hAnsi="Cambria Math" w:cs="Arial"/>
                      </w:rPr>
                      <m:t>t</m:t>
                    </m:r>
                  </m:e>
                </m:d>
                <m:r>
                  <w:rPr>
                    <w:rFonts w:ascii="Cambria Math" w:hAnsi="Cambria Math" w:cs="Arial"/>
                  </w:rPr>
                  <m:t>+β</m:t>
                </m:r>
                <m:d>
                  <m:dPr>
                    <m:ctrlPr>
                      <w:rPr>
                        <w:rFonts w:ascii="Cambria Math" w:hAnsi="Cambria Math" w:cs="Arial"/>
                        <w:i/>
                      </w:rPr>
                    </m:ctrlPr>
                  </m:dPr>
                  <m:e>
                    <m:r>
                      <w:rPr>
                        <w:rFonts w:ascii="Cambria Math" w:hAnsi="Cambria Math" w:cs="Arial"/>
                      </w:rPr>
                      <m:t>t</m:t>
                    </m:r>
                  </m:e>
                </m:d>
                <m:r>
                  <w:rPr>
                    <w:rFonts w:ascii="Cambria Math" w:hAnsi="Cambria Math" w:cs="Arial"/>
                  </w:rPr>
                  <m:t>∙X</m:t>
                </m:r>
                <m:d>
                  <m:dPr>
                    <m:ctrlPr>
                      <w:rPr>
                        <w:rFonts w:ascii="Cambria Math" w:hAnsi="Cambria Math" w:cs="Arial"/>
                        <w:i/>
                      </w:rPr>
                    </m:ctrlPr>
                  </m:dPr>
                  <m:e>
                    <m:r>
                      <w:rPr>
                        <w:rFonts w:ascii="Cambria Math" w:hAnsi="Cambria Math" w:cs="Arial"/>
                      </w:rPr>
                      <m:t>t</m:t>
                    </m:r>
                  </m:e>
                </m:d>
                <m:r>
                  <w:rPr>
                    <w:rFonts w:ascii="Cambria Math" w:hAnsi="Cambria Math" w:cs="Arial"/>
                  </w:rPr>
                  <m:t>,</m:t>
                </m:r>
              </m:oMath>
            </m:oMathPara>
          </w:p>
        </w:tc>
        <w:tc>
          <w:tcPr>
            <w:tcW w:w="815" w:type="dxa"/>
            <w:shd w:val="clear" w:color="auto" w:fill="auto"/>
            <w:vAlign w:val="center"/>
          </w:tcPr>
          <w:p w14:paraId="78B3FF05" w14:textId="77777777" w:rsidR="00451EB1" w:rsidRPr="00B57B36" w:rsidRDefault="00451EB1" w:rsidP="00422A87">
            <w:pPr>
              <w:pStyle w:val="CETEquation"/>
              <w:jc w:val="right"/>
            </w:pPr>
            <w:r w:rsidRPr="00B57B36">
              <w:t>(1)</w:t>
            </w:r>
          </w:p>
        </w:tc>
      </w:tr>
    </w:tbl>
    <w:p w14:paraId="653379F0" w14:textId="6B411D87" w:rsidR="00451EB1" w:rsidRDefault="00AA3ABA" w:rsidP="00200D99">
      <w:pPr>
        <w:pStyle w:val="CETBodytext"/>
      </w:pPr>
      <w:r w:rsidRPr="00AA3ABA">
        <w:t>w</w:t>
      </w:r>
      <w:r w:rsidR="00451EB1" w:rsidRPr="00AA3ABA">
        <w:t xml:space="preserve">here </w:t>
      </w:r>
      <w:r w:rsidRPr="00AA3ABA">
        <w:t>stoichiometric</w:t>
      </w:r>
      <w:r w:rsidR="00451EB1" w:rsidRPr="00AA3ABA">
        <w:t xml:space="preserve"> coefficient</w:t>
      </w:r>
      <w:r w:rsidR="0059057B">
        <w:t>s (</w:t>
      </w:r>
      <m:oMath>
        <m:r>
          <w:rPr>
            <w:rFonts w:ascii="Cambria Math" w:hAnsi="Cambria Math"/>
          </w:rPr>
          <m:t>α</m:t>
        </m:r>
      </m:oMath>
      <w:r w:rsidR="0059057B" w:rsidRPr="00AA3ABA">
        <w:t xml:space="preserve"> </w:t>
      </w:r>
      <w:r w:rsidR="0059057B">
        <w:t xml:space="preserve">for growth and </w:t>
      </w:r>
      <m:oMath>
        <m:r>
          <w:rPr>
            <w:rFonts w:ascii="Cambria Math" w:hAnsi="Cambria Math"/>
          </w:rPr>
          <m:t>β</m:t>
        </m:r>
      </m:oMath>
      <w:r w:rsidR="0059057B" w:rsidRPr="00AA3ABA">
        <w:t xml:space="preserve"> </w:t>
      </w:r>
      <w:r w:rsidR="0059057B">
        <w:t xml:space="preserve">for maintenance) </w:t>
      </w:r>
      <w:r>
        <w:t xml:space="preserve">link biomass kinetics properties with </w:t>
      </w:r>
      <w:r w:rsidRPr="00AA3ABA">
        <w:rPr>
          <w:i/>
        </w:rPr>
        <w:t>OUR</w:t>
      </w:r>
      <w:r>
        <w:t xml:space="preserve">, </w:t>
      </w:r>
      <w:r w:rsidR="00784DD9">
        <w:t>and the spec</w:t>
      </w:r>
      <w:r w:rsidR="00E31F47">
        <w:t>ific</w:t>
      </w:r>
      <w:r w:rsidR="00784DD9">
        <w:t xml:space="preserve"> growth rate</w:t>
      </w:r>
      <w:r w:rsidR="00E31F47">
        <w:t xml:space="preserve"> </w:t>
      </w:r>
      <m:oMath>
        <m:r>
          <w:rPr>
            <w:rFonts w:ascii="Cambria Math" w:hAnsi="Cambria Math"/>
          </w:rPr>
          <m:t>μ</m:t>
        </m:r>
        <m:d>
          <m:dPr>
            <m:ctrlPr>
              <w:rPr>
                <w:rFonts w:ascii="Cambria Math" w:hAnsi="Cambria Math"/>
                <w:i/>
              </w:rPr>
            </m:ctrlPr>
          </m:dPr>
          <m:e>
            <m:r>
              <w:rPr>
                <w:rFonts w:ascii="Cambria Math" w:hAnsi="Cambria Math"/>
              </w:rPr>
              <m:t>t</m:t>
            </m:r>
          </m:e>
        </m:d>
      </m:oMath>
      <w:r w:rsidR="00E31F47">
        <w:t xml:space="preserve"> classically</w:t>
      </w:r>
      <w:r w:rsidR="00784DD9">
        <w:t xml:space="preserve"> </w:t>
      </w:r>
      <w:r w:rsidR="00E31F47">
        <w:t>express the exponential growth model (Urniezius et al. 2018)</w:t>
      </w:r>
    </w:p>
    <w:tbl>
      <w:tblPr>
        <w:tblW w:w="5000" w:type="pct"/>
        <w:tblLook w:val="04A0" w:firstRow="1" w:lastRow="0" w:firstColumn="1" w:lastColumn="0" w:noHBand="0" w:noVBand="1"/>
      </w:tblPr>
      <w:tblGrid>
        <w:gridCol w:w="7982"/>
        <w:gridCol w:w="805"/>
      </w:tblGrid>
      <w:tr w:rsidR="00E31F47" w:rsidRPr="00B57B36" w14:paraId="64358F45" w14:textId="77777777" w:rsidTr="00422A87">
        <w:tc>
          <w:tcPr>
            <w:tcW w:w="8188" w:type="dxa"/>
            <w:shd w:val="clear" w:color="auto" w:fill="auto"/>
            <w:vAlign w:val="center"/>
          </w:tcPr>
          <w:p w14:paraId="11FA44B0" w14:textId="7FD5C668" w:rsidR="00E31F47" w:rsidRPr="00EC4568" w:rsidRDefault="001D5EE7" w:rsidP="00E31F47">
            <w:pPr>
              <w:pStyle w:val="CETEquation"/>
              <w:rPr>
                <w:rFonts w:cs="Arial"/>
                <w:i/>
                <w:lang w:val="en-US"/>
              </w:rPr>
            </w:pPr>
            <m:oMathPara>
              <m:oMath>
                <m:sSup>
                  <m:sSupPr>
                    <m:ctrlPr>
                      <w:rPr>
                        <w:rFonts w:ascii="Cambria Math" w:hAnsi="Cambria Math" w:cs="Arial"/>
                        <w:i/>
                      </w:rPr>
                    </m:ctrlPr>
                  </m:sSupPr>
                  <m:e>
                    <m:r>
                      <w:rPr>
                        <w:rFonts w:ascii="Cambria Math" w:hAnsi="Cambria Math" w:cs="Arial"/>
                      </w:rPr>
                      <m:t>X</m:t>
                    </m:r>
                  </m:e>
                  <m:sup>
                    <m:r>
                      <w:rPr>
                        <w:rFonts w:ascii="Cambria Math" w:hAnsi="Cambria Math" w:cs="Arial"/>
                      </w:rPr>
                      <m:t>'</m:t>
                    </m:r>
                  </m:sup>
                </m:sSup>
                <m:d>
                  <m:dPr>
                    <m:ctrlPr>
                      <w:rPr>
                        <w:rFonts w:ascii="Cambria Math" w:hAnsi="Cambria Math" w:cs="Arial"/>
                        <w:i/>
                      </w:rPr>
                    </m:ctrlPr>
                  </m:dPr>
                  <m:e>
                    <m:r>
                      <w:rPr>
                        <w:rFonts w:ascii="Cambria Math" w:hAnsi="Cambria Math" w:cs="Arial"/>
                      </w:rPr>
                      <m:t>t</m:t>
                    </m:r>
                  </m:e>
                </m:d>
                <m:r>
                  <w:rPr>
                    <w:rFonts w:ascii="Cambria Math" w:hAnsi="Cambria Math" w:cs="Arial"/>
                  </w:rPr>
                  <m:t>=μ</m:t>
                </m:r>
                <m:d>
                  <m:dPr>
                    <m:ctrlPr>
                      <w:rPr>
                        <w:rFonts w:ascii="Cambria Math" w:hAnsi="Cambria Math" w:cs="Arial"/>
                        <w:i/>
                      </w:rPr>
                    </m:ctrlPr>
                  </m:dPr>
                  <m:e>
                    <m:r>
                      <w:rPr>
                        <w:rFonts w:ascii="Cambria Math" w:hAnsi="Cambria Math" w:cs="Arial"/>
                      </w:rPr>
                      <m:t>t</m:t>
                    </m:r>
                  </m:e>
                </m:d>
                <m:r>
                  <w:rPr>
                    <w:rFonts w:ascii="Cambria Math" w:hAnsi="Cambria Math" w:cs="Arial"/>
                  </w:rPr>
                  <m:t>∙X</m:t>
                </m:r>
                <m:d>
                  <m:dPr>
                    <m:ctrlPr>
                      <w:rPr>
                        <w:rFonts w:ascii="Cambria Math" w:hAnsi="Cambria Math" w:cs="Arial"/>
                        <w:i/>
                      </w:rPr>
                    </m:ctrlPr>
                  </m:dPr>
                  <m:e>
                    <m:r>
                      <w:rPr>
                        <w:rFonts w:ascii="Cambria Math" w:hAnsi="Cambria Math" w:cs="Arial"/>
                      </w:rPr>
                      <m:t>t</m:t>
                    </m:r>
                  </m:e>
                </m:d>
                <m:r>
                  <w:rPr>
                    <w:rFonts w:ascii="Cambria Math" w:hAnsi="Cambria Math" w:cs="Arial"/>
                  </w:rPr>
                  <m:t>.</m:t>
                </m:r>
              </m:oMath>
            </m:oMathPara>
          </w:p>
        </w:tc>
        <w:tc>
          <w:tcPr>
            <w:tcW w:w="815" w:type="dxa"/>
            <w:shd w:val="clear" w:color="auto" w:fill="auto"/>
            <w:vAlign w:val="center"/>
          </w:tcPr>
          <w:p w14:paraId="4929D0A1" w14:textId="1DAEFE63" w:rsidR="00E31F47" w:rsidRPr="00B57B36" w:rsidRDefault="001256C4" w:rsidP="00422A87">
            <w:pPr>
              <w:pStyle w:val="CETEquation"/>
              <w:jc w:val="right"/>
            </w:pPr>
            <w:r>
              <w:t>(2</w:t>
            </w:r>
            <w:r w:rsidR="00E31F47" w:rsidRPr="00B57B36">
              <w:t>)</w:t>
            </w:r>
          </w:p>
        </w:tc>
      </w:tr>
    </w:tbl>
    <w:p w14:paraId="144E114C" w14:textId="4A926EBB" w:rsidR="00E31F47" w:rsidRDefault="0091121B" w:rsidP="00200D99">
      <w:pPr>
        <w:pStyle w:val="CETBodytext"/>
      </w:pPr>
      <w:r>
        <w:t xml:space="preserve">Taking into account the fact that </w:t>
      </w:r>
      <w:r w:rsidR="005B3697">
        <w:t xml:space="preserve">Eq(2) represents the </w:t>
      </w:r>
      <w:r>
        <w:t>biomass</w:t>
      </w:r>
      <w:r w:rsidR="005B3697">
        <w:t xml:space="preserve"> concentration </w:t>
      </w:r>
      <m:oMath>
        <m:r>
          <w:rPr>
            <w:rFonts w:ascii="Cambria Math" w:hAnsi="Cambria Math" w:cs="Arial"/>
          </w:rPr>
          <m:t>X</m:t>
        </m:r>
        <m:d>
          <m:dPr>
            <m:ctrlPr>
              <w:rPr>
                <w:rFonts w:ascii="Cambria Math" w:hAnsi="Cambria Math" w:cs="Arial"/>
                <w:i/>
              </w:rPr>
            </m:ctrlPr>
          </m:dPr>
          <m:e>
            <m:r>
              <w:rPr>
                <w:rFonts w:ascii="Cambria Math" w:hAnsi="Cambria Math" w:cs="Arial"/>
              </w:rPr>
              <m:t>t</m:t>
            </m:r>
          </m:e>
        </m:d>
      </m:oMath>
      <w:r w:rsidR="0067654E">
        <w:t xml:space="preserve"> </w:t>
      </w:r>
      <w:r w:rsidR="005B3697">
        <w:t>in the broth volume.</w:t>
      </w:r>
      <w:r>
        <w:t xml:space="preserve"> </w:t>
      </w:r>
      <w:r w:rsidR="0059057B">
        <w:t>The supply of</w:t>
      </w:r>
      <w:r w:rsidR="00B570F6">
        <w:t xml:space="preserve"> base, acid, phosphate</w:t>
      </w:r>
      <w:r w:rsidR="00DB5654">
        <w:t>,</w:t>
      </w:r>
      <w:r w:rsidR="00B570F6">
        <w:t xml:space="preserve"> or substrate solutions to the </w:t>
      </w:r>
      <w:r w:rsidR="005B3697">
        <w:t>vessel of the bioreactor</w:t>
      </w:r>
      <w:r w:rsidR="0059057B">
        <w:t xml:space="preserve"> leads to the dilution of the broth, and</w:t>
      </w:r>
      <w:r w:rsidR="005B3697">
        <w:t xml:space="preserve"> the growth model of the biomass becomes</w:t>
      </w:r>
      <w:r w:rsidR="00CC0BF8">
        <w:t xml:space="preserve"> (Galvanauskas et al., 2021b)</w:t>
      </w:r>
    </w:p>
    <w:tbl>
      <w:tblPr>
        <w:tblW w:w="5000" w:type="pct"/>
        <w:tblLook w:val="04A0" w:firstRow="1" w:lastRow="0" w:firstColumn="1" w:lastColumn="0" w:noHBand="0" w:noVBand="1"/>
      </w:tblPr>
      <w:tblGrid>
        <w:gridCol w:w="7983"/>
        <w:gridCol w:w="804"/>
      </w:tblGrid>
      <w:tr w:rsidR="005B3697" w:rsidRPr="00B57B36" w14:paraId="630F0298" w14:textId="77777777" w:rsidTr="00422A87">
        <w:tc>
          <w:tcPr>
            <w:tcW w:w="8188" w:type="dxa"/>
            <w:shd w:val="clear" w:color="auto" w:fill="auto"/>
            <w:vAlign w:val="center"/>
          </w:tcPr>
          <w:p w14:paraId="1D9DACF8" w14:textId="5F1D6C39" w:rsidR="005B3697" w:rsidRPr="00EC4568" w:rsidRDefault="001D5EE7" w:rsidP="00422A87">
            <w:pPr>
              <w:pStyle w:val="CETEquation"/>
              <w:rPr>
                <w:rFonts w:cs="Arial"/>
                <w:i/>
                <w:lang w:val="en-US"/>
              </w:rPr>
            </w:pPr>
            <m:oMathPara>
              <m:oMath>
                <m:sSup>
                  <m:sSupPr>
                    <m:ctrlPr>
                      <w:rPr>
                        <w:rFonts w:ascii="Cambria Math" w:hAnsi="Cambria Math" w:cs="Arial"/>
                        <w:i/>
                      </w:rPr>
                    </m:ctrlPr>
                  </m:sSupPr>
                  <m:e>
                    <m:r>
                      <w:rPr>
                        <w:rFonts w:ascii="Cambria Math" w:hAnsi="Cambria Math" w:cs="Arial"/>
                      </w:rPr>
                      <m:t>X</m:t>
                    </m:r>
                  </m:e>
                  <m:sup>
                    <m:r>
                      <w:rPr>
                        <w:rFonts w:ascii="Cambria Math" w:hAnsi="Cambria Math" w:cs="Arial"/>
                      </w:rPr>
                      <m:t>'</m:t>
                    </m:r>
                  </m:sup>
                </m:sSup>
                <m:d>
                  <m:dPr>
                    <m:ctrlPr>
                      <w:rPr>
                        <w:rFonts w:ascii="Cambria Math" w:hAnsi="Cambria Math" w:cs="Arial"/>
                        <w:i/>
                      </w:rPr>
                    </m:ctrlPr>
                  </m:dPr>
                  <m:e>
                    <m:r>
                      <w:rPr>
                        <w:rFonts w:ascii="Cambria Math" w:hAnsi="Cambria Math" w:cs="Arial"/>
                      </w:rPr>
                      <m:t>t</m:t>
                    </m:r>
                  </m:e>
                </m:d>
                <m:r>
                  <w:rPr>
                    <w:rFonts w:ascii="Cambria Math" w:hAnsi="Cambria Math" w:cs="Arial"/>
                  </w:rPr>
                  <m:t>=μ</m:t>
                </m:r>
                <m:d>
                  <m:dPr>
                    <m:ctrlPr>
                      <w:rPr>
                        <w:rFonts w:ascii="Cambria Math" w:hAnsi="Cambria Math" w:cs="Arial"/>
                        <w:i/>
                      </w:rPr>
                    </m:ctrlPr>
                  </m:dPr>
                  <m:e>
                    <m:r>
                      <w:rPr>
                        <w:rFonts w:ascii="Cambria Math" w:hAnsi="Cambria Math" w:cs="Arial"/>
                      </w:rPr>
                      <m:t>t</m:t>
                    </m:r>
                  </m:e>
                </m:d>
                <m:r>
                  <w:rPr>
                    <w:rFonts w:ascii="Cambria Math" w:hAnsi="Cambria Math" w:cs="Arial"/>
                  </w:rPr>
                  <m:t>∙X</m:t>
                </m:r>
                <m:d>
                  <m:dPr>
                    <m:ctrlPr>
                      <w:rPr>
                        <w:rFonts w:ascii="Cambria Math" w:hAnsi="Cambria Math" w:cs="Arial"/>
                        <w:i/>
                      </w:rPr>
                    </m:ctrlPr>
                  </m:dPr>
                  <m:e>
                    <m:r>
                      <w:rPr>
                        <w:rFonts w:ascii="Cambria Math" w:hAnsi="Cambria Math" w:cs="Arial"/>
                      </w:rPr>
                      <m:t>t</m:t>
                    </m:r>
                  </m:e>
                </m:d>
                <m:r>
                  <w:rPr>
                    <w:rFonts w:ascii="Cambria Math" w:hAnsi="Cambria Math" w:cs="Arial"/>
                  </w:rPr>
                  <m:t>-</m:t>
                </m:r>
                <m:f>
                  <m:fPr>
                    <m:ctrlPr>
                      <w:rPr>
                        <w:rFonts w:ascii="Cambria Math" w:hAnsi="Cambria Math" w:cs="Arial"/>
                        <w:i/>
                      </w:rPr>
                    </m:ctrlPr>
                  </m:fPr>
                  <m:num>
                    <m:r>
                      <w:rPr>
                        <w:rFonts w:ascii="Cambria Math" w:hAnsi="Cambria Math" w:cs="Arial"/>
                      </w:rPr>
                      <m:t>F</m:t>
                    </m:r>
                    <m:d>
                      <m:dPr>
                        <m:ctrlPr>
                          <w:rPr>
                            <w:rFonts w:ascii="Cambria Math" w:hAnsi="Cambria Math" w:cs="Arial"/>
                            <w:i/>
                          </w:rPr>
                        </m:ctrlPr>
                      </m:dPr>
                      <m:e>
                        <m:r>
                          <w:rPr>
                            <w:rFonts w:ascii="Cambria Math" w:hAnsi="Cambria Math" w:cs="Arial"/>
                          </w:rPr>
                          <m:t>t</m:t>
                        </m:r>
                      </m:e>
                    </m:d>
                  </m:num>
                  <m:den>
                    <m:r>
                      <w:rPr>
                        <w:rFonts w:ascii="Cambria Math" w:hAnsi="Cambria Math" w:cs="Arial"/>
                      </w:rPr>
                      <m:t>W</m:t>
                    </m:r>
                    <m:d>
                      <m:dPr>
                        <m:ctrlPr>
                          <w:rPr>
                            <w:rFonts w:ascii="Cambria Math" w:hAnsi="Cambria Math" w:cs="Arial"/>
                            <w:i/>
                          </w:rPr>
                        </m:ctrlPr>
                      </m:dPr>
                      <m:e>
                        <m:r>
                          <w:rPr>
                            <w:rFonts w:ascii="Cambria Math" w:hAnsi="Cambria Math" w:cs="Arial"/>
                          </w:rPr>
                          <m:t>t</m:t>
                        </m:r>
                      </m:e>
                    </m:d>
                  </m:den>
                </m:f>
                <m:r>
                  <w:rPr>
                    <w:rFonts w:ascii="Cambria Math" w:hAnsi="Cambria Math" w:cs="Arial"/>
                  </w:rPr>
                  <m:t>∙X</m:t>
                </m:r>
                <m:d>
                  <m:dPr>
                    <m:ctrlPr>
                      <w:rPr>
                        <w:rFonts w:ascii="Cambria Math" w:hAnsi="Cambria Math" w:cs="Arial"/>
                        <w:i/>
                      </w:rPr>
                    </m:ctrlPr>
                  </m:dPr>
                  <m:e>
                    <m:r>
                      <w:rPr>
                        <w:rFonts w:ascii="Cambria Math" w:hAnsi="Cambria Math" w:cs="Arial"/>
                      </w:rPr>
                      <m:t>t</m:t>
                    </m:r>
                  </m:e>
                </m:d>
                <m:r>
                  <w:rPr>
                    <w:rFonts w:ascii="Cambria Math" w:hAnsi="Cambria Math" w:cs="Arial"/>
                  </w:rPr>
                  <m:t>,</m:t>
                </m:r>
              </m:oMath>
            </m:oMathPara>
          </w:p>
        </w:tc>
        <w:tc>
          <w:tcPr>
            <w:tcW w:w="815" w:type="dxa"/>
            <w:shd w:val="clear" w:color="auto" w:fill="auto"/>
            <w:vAlign w:val="center"/>
          </w:tcPr>
          <w:p w14:paraId="45016F13" w14:textId="06399E5E" w:rsidR="005B3697" w:rsidRPr="00B57B36" w:rsidRDefault="005B3697" w:rsidP="005B3697">
            <w:pPr>
              <w:pStyle w:val="CETEquation"/>
              <w:jc w:val="right"/>
            </w:pPr>
            <w:r>
              <w:t>(3</w:t>
            </w:r>
            <w:r w:rsidRPr="00B57B36">
              <w:t>)</w:t>
            </w:r>
          </w:p>
        </w:tc>
      </w:tr>
    </w:tbl>
    <w:p w14:paraId="1190830E" w14:textId="062492AA" w:rsidR="006B11DA" w:rsidRDefault="005B3697" w:rsidP="00200D99">
      <w:pPr>
        <w:pStyle w:val="CETBodytext"/>
      </w:pPr>
      <w:r>
        <w:t xml:space="preserve">where </w:t>
      </w:r>
      <w:r w:rsidR="002506AA">
        <w:t xml:space="preserve">the total feed rate </w:t>
      </w:r>
      <m:oMath>
        <m:r>
          <w:rPr>
            <w:rFonts w:ascii="Cambria Math" w:hAnsi="Cambria Math" w:cs="Arial"/>
          </w:rPr>
          <m:t>F</m:t>
        </m:r>
        <m:d>
          <m:dPr>
            <m:ctrlPr>
              <w:rPr>
                <w:rFonts w:ascii="Cambria Math" w:hAnsi="Cambria Math" w:cs="Arial"/>
                <w:i/>
              </w:rPr>
            </m:ctrlPr>
          </m:dPr>
          <m:e>
            <m:r>
              <w:rPr>
                <w:rFonts w:ascii="Cambria Math" w:hAnsi="Cambria Math" w:cs="Arial"/>
              </w:rPr>
              <m:t>t</m:t>
            </m:r>
          </m:e>
        </m:d>
      </m:oMath>
      <w:r w:rsidR="002506AA">
        <w:t xml:space="preserve"> dilutes current broth</w:t>
      </w:r>
      <w:r w:rsidR="00543121">
        <w:t>'</w:t>
      </w:r>
      <w:r w:rsidR="002506AA">
        <w:t>s volume</w:t>
      </w:r>
      <m:oMath>
        <m:r>
          <w:rPr>
            <w:rFonts w:ascii="Cambria Math" w:hAnsi="Cambria Math"/>
          </w:rPr>
          <m:t xml:space="preserve"> </m:t>
        </m:r>
        <m:r>
          <w:rPr>
            <w:rFonts w:ascii="Cambria Math" w:hAnsi="Cambria Math" w:cs="Arial"/>
          </w:rPr>
          <m:t>W</m:t>
        </m:r>
        <m:d>
          <m:dPr>
            <m:ctrlPr>
              <w:rPr>
                <w:rFonts w:ascii="Cambria Math" w:hAnsi="Cambria Math" w:cs="Arial"/>
                <w:i/>
              </w:rPr>
            </m:ctrlPr>
          </m:dPr>
          <m:e>
            <m:r>
              <w:rPr>
                <w:rFonts w:ascii="Cambria Math" w:hAnsi="Cambria Math" w:cs="Arial"/>
              </w:rPr>
              <m:t>t</m:t>
            </m:r>
          </m:e>
        </m:d>
      </m:oMath>
      <w:r w:rsidR="002506AA">
        <w:t>. If there is zero growth or idle total growth condition</w:t>
      </w:r>
      <w:r w:rsidR="00377D77">
        <w:t>,</w:t>
      </w:r>
      <w:r w:rsidR="002506AA">
        <w:t xml:space="preserve"> the</w:t>
      </w:r>
      <w:r w:rsidR="00DB5654">
        <w:t xml:space="preserve"> biomass concentration will decrease due to dilution Eq</w:t>
      </w:r>
      <w:r w:rsidR="002506AA">
        <w:t>(3).</w:t>
      </w:r>
      <w:r w:rsidR="00CC0BF8">
        <w:t xml:space="preserve"> To connect the specific growth rate </w:t>
      </w:r>
      <m:oMath>
        <m:r>
          <w:rPr>
            <w:rFonts w:ascii="Cambria Math" w:hAnsi="Cambria Math" w:cs="Arial"/>
          </w:rPr>
          <m:t>μ</m:t>
        </m:r>
        <m:d>
          <m:dPr>
            <m:ctrlPr>
              <w:rPr>
                <w:rFonts w:ascii="Cambria Math" w:hAnsi="Cambria Math" w:cs="Arial"/>
                <w:i/>
              </w:rPr>
            </m:ctrlPr>
          </m:dPr>
          <m:e>
            <m:r>
              <w:rPr>
                <w:rFonts w:ascii="Cambria Math" w:hAnsi="Cambria Math" w:cs="Arial"/>
              </w:rPr>
              <m:t>t</m:t>
            </m:r>
          </m:e>
        </m:d>
        <m:r>
          <w:rPr>
            <w:rFonts w:ascii="Cambria Math" w:hAnsi="Cambria Math" w:cs="Arial"/>
          </w:rPr>
          <m:t xml:space="preserve"> </m:t>
        </m:r>
      </m:oMath>
      <w:r w:rsidR="00CC0BF8">
        <w:t xml:space="preserve">with </w:t>
      </w:r>
      <w:r w:rsidR="00DB5654">
        <w:t xml:space="preserve">the </w:t>
      </w:r>
      <w:r w:rsidR="00CC0BF8">
        <w:t xml:space="preserve">maintenance of the biomass and the specific glucose </w:t>
      </w:r>
      <w:r w:rsidR="00EA0832">
        <w:t>consumption</w:t>
      </w:r>
      <m:oMath>
        <m:r>
          <w:rPr>
            <w:rFonts w:ascii="Cambria Math" w:hAnsi="Cambria Math"/>
          </w:rPr>
          <m:t xml:space="preserve"> </m:t>
        </m:r>
        <m:r>
          <w:rPr>
            <w:rFonts w:ascii="Cambria Math" w:hAnsi="Cambria Math" w:cs="Arial"/>
          </w:rPr>
          <m:t>σ</m:t>
        </m:r>
        <m:d>
          <m:dPr>
            <m:ctrlPr>
              <w:rPr>
                <w:rFonts w:ascii="Cambria Math" w:hAnsi="Cambria Math" w:cs="Arial"/>
                <w:i/>
              </w:rPr>
            </m:ctrlPr>
          </m:dPr>
          <m:e>
            <m:r>
              <w:rPr>
                <w:rFonts w:ascii="Cambria Math" w:hAnsi="Cambria Math" w:cs="Arial"/>
              </w:rPr>
              <m:t>t</m:t>
            </m:r>
          </m:e>
        </m:d>
      </m:oMath>
      <w:r w:rsidR="00CC0BF8">
        <w:t xml:space="preserve">, </w:t>
      </w:r>
      <w:r w:rsidR="002334B7">
        <w:t xml:space="preserve">the yield of biomass </w:t>
      </w:r>
      <w:r w:rsidR="00DB5654">
        <w:t>concerning</w:t>
      </w:r>
      <w:r w:rsidR="002334B7">
        <w:t xml:space="preserve"> glucose </w:t>
      </w:r>
      <w:r w:rsidR="00EA0832">
        <w:t xml:space="preserve">consumed </w:t>
      </w:r>
      <m:oMath>
        <m:sSub>
          <m:sSubPr>
            <m:ctrlPr>
              <w:rPr>
                <w:rFonts w:ascii="Cambria Math" w:hAnsi="Cambria Math" w:cs="Arial"/>
                <w:i/>
              </w:rPr>
            </m:ctrlPr>
          </m:sSubPr>
          <m:e>
            <m:r>
              <w:rPr>
                <w:rFonts w:ascii="Cambria Math" w:hAnsi="Cambria Math" w:cs="Arial"/>
              </w:rPr>
              <m:t>Y</m:t>
            </m:r>
          </m:e>
          <m:sub>
            <m:r>
              <w:rPr>
                <w:rFonts w:ascii="Cambria Math" w:hAnsi="Cambria Math" w:cs="Arial"/>
              </w:rPr>
              <m:t>xs</m:t>
            </m:r>
          </m:sub>
        </m:sSub>
      </m:oMath>
      <w:r w:rsidR="00E5152A">
        <w:t xml:space="preserve"> </w:t>
      </w:r>
      <w:r w:rsidR="00EA0832">
        <w:t xml:space="preserve">is </w:t>
      </w:r>
      <w:r w:rsidR="00E5152A">
        <w:t>essential</w:t>
      </w:r>
      <w:r w:rsidR="00EA0832">
        <w:t xml:space="preserve"> (Galvanauskas et al., 2021b)</w:t>
      </w:r>
    </w:p>
    <w:tbl>
      <w:tblPr>
        <w:tblW w:w="5000" w:type="pct"/>
        <w:tblLook w:val="04A0" w:firstRow="1" w:lastRow="0" w:firstColumn="1" w:lastColumn="0" w:noHBand="0" w:noVBand="1"/>
      </w:tblPr>
      <w:tblGrid>
        <w:gridCol w:w="7983"/>
        <w:gridCol w:w="804"/>
      </w:tblGrid>
      <w:tr w:rsidR="00EA0832" w:rsidRPr="00B57B36" w14:paraId="09C33D40" w14:textId="77777777" w:rsidTr="00422A87">
        <w:tc>
          <w:tcPr>
            <w:tcW w:w="8188" w:type="dxa"/>
            <w:shd w:val="clear" w:color="auto" w:fill="auto"/>
            <w:vAlign w:val="center"/>
          </w:tcPr>
          <w:p w14:paraId="67FFB02A" w14:textId="3660AADC" w:rsidR="00EA0832" w:rsidRPr="00EC4568" w:rsidRDefault="00EA0832" w:rsidP="00EA0832">
            <w:pPr>
              <w:pStyle w:val="CETEquation"/>
              <w:rPr>
                <w:rFonts w:cs="Arial"/>
                <w:i/>
                <w:lang w:val="en-US"/>
              </w:rPr>
            </w:pPr>
            <m:oMathPara>
              <m:oMath>
                <m:r>
                  <w:rPr>
                    <w:rFonts w:ascii="Cambria Math" w:hAnsi="Cambria Math" w:cs="Arial"/>
                  </w:rPr>
                  <m:t>μ</m:t>
                </m:r>
                <m:d>
                  <m:dPr>
                    <m:ctrlPr>
                      <w:rPr>
                        <w:rFonts w:ascii="Cambria Math" w:hAnsi="Cambria Math" w:cs="Arial"/>
                        <w:i/>
                      </w:rPr>
                    </m:ctrlPr>
                  </m:dPr>
                  <m:e>
                    <m:r>
                      <w:rPr>
                        <w:rFonts w:ascii="Cambria Math" w:hAnsi="Cambria Math" w:cs="Arial"/>
                      </w:rPr>
                      <m:t>t</m:t>
                    </m:r>
                  </m:e>
                </m:d>
                <m:r>
                  <w:rPr>
                    <w:rFonts w:ascii="Cambria Math" w:hAnsi="Cambria Math" w:cs="Arial"/>
                  </w:rPr>
                  <m:t>=</m:t>
                </m:r>
                <m:d>
                  <m:dPr>
                    <m:ctrlPr>
                      <w:rPr>
                        <w:rFonts w:ascii="Cambria Math" w:hAnsi="Cambria Math" w:cs="Arial"/>
                        <w:i/>
                      </w:rPr>
                    </m:ctrlPr>
                  </m:dPr>
                  <m:e>
                    <m:r>
                      <w:rPr>
                        <w:rFonts w:ascii="Cambria Math" w:hAnsi="Cambria Math" w:cs="Arial"/>
                      </w:rPr>
                      <m:t>σ</m:t>
                    </m:r>
                    <m:d>
                      <m:dPr>
                        <m:ctrlPr>
                          <w:rPr>
                            <w:rFonts w:ascii="Cambria Math" w:hAnsi="Cambria Math" w:cs="Arial"/>
                            <w:i/>
                          </w:rPr>
                        </m:ctrlPr>
                      </m:dPr>
                      <m:e>
                        <m:r>
                          <w:rPr>
                            <w:rFonts w:ascii="Cambria Math" w:hAnsi="Cambria Math" w:cs="Arial"/>
                          </w:rPr>
                          <m:t>t</m:t>
                        </m:r>
                      </m:e>
                    </m:d>
                    <m:r>
                      <w:rPr>
                        <w:rFonts w:ascii="Cambria Math" w:hAnsi="Cambria Math" w:cs="Arial"/>
                      </w:rPr>
                      <m:t>-m</m:t>
                    </m:r>
                    <m:d>
                      <m:dPr>
                        <m:ctrlPr>
                          <w:rPr>
                            <w:rFonts w:ascii="Cambria Math" w:hAnsi="Cambria Math" w:cs="Arial"/>
                            <w:i/>
                          </w:rPr>
                        </m:ctrlPr>
                      </m:dPr>
                      <m:e>
                        <m:r>
                          <w:rPr>
                            <w:rFonts w:ascii="Cambria Math" w:hAnsi="Cambria Math" w:cs="Arial"/>
                          </w:rPr>
                          <m:t>t</m:t>
                        </m:r>
                      </m:e>
                    </m:d>
                  </m:e>
                </m:d>
                <m:r>
                  <w:rPr>
                    <w:rFonts w:ascii="Cambria Math" w:hAnsi="Cambria Math" w:cs="Arial"/>
                  </w:rPr>
                  <m:t>∙</m:t>
                </m:r>
                <m:sSub>
                  <m:sSubPr>
                    <m:ctrlPr>
                      <w:rPr>
                        <w:rFonts w:ascii="Cambria Math" w:hAnsi="Cambria Math" w:cs="Arial"/>
                        <w:i/>
                        <w:lang w:val="en-US"/>
                      </w:rPr>
                    </m:ctrlPr>
                  </m:sSubPr>
                  <m:e>
                    <m:r>
                      <w:rPr>
                        <w:rFonts w:ascii="Cambria Math" w:hAnsi="Cambria Math" w:cs="Arial"/>
                      </w:rPr>
                      <m:t>Y</m:t>
                    </m:r>
                  </m:e>
                  <m:sub>
                    <m:r>
                      <w:rPr>
                        <w:rFonts w:ascii="Cambria Math" w:hAnsi="Cambria Math" w:cs="Arial"/>
                      </w:rPr>
                      <m:t>xs</m:t>
                    </m:r>
                  </m:sub>
                </m:sSub>
                <m:d>
                  <m:dPr>
                    <m:ctrlPr>
                      <w:rPr>
                        <w:rFonts w:ascii="Cambria Math" w:hAnsi="Cambria Math" w:cs="Arial"/>
                        <w:i/>
                      </w:rPr>
                    </m:ctrlPr>
                  </m:dPr>
                  <m:e>
                    <m:r>
                      <w:rPr>
                        <w:rFonts w:ascii="Cambria Math" w:hAnsi="Cambria Math" w:cs="Arial"/>
                      </w:rPr>
                      <m:t>t</m:t>
                    </m:r>
                  </m:e>
                </m:d>
                <m:r>
                  <w:rPr>
                    <w:rFonts w:ascii="Cambria Math" w:hAnsi="Cambria Math" w:cs="Arial"/>
                  </w:rPr>
                  <m:t>,</m:t>
                </m:r>
              </m:oMath>
            </m:oMathPara>
          </w:p>
        </w:tc>
        <w:tc>
          <w:tcPr>
            <w:tcW w:w="815" w:type="dxa"/>
            <w:shd w:val="clear" w:color="auto" w:fill="auto"/>
            <w:vAlign w:val="center"/>
          </w:tcPr>
          <w:p w14:paraId="57163384" w14:textId="0DBEA6A5" w:rsidR="00EA0832" w:rsidRPr="00B57B36" w:rsidRDefault="00EA0832" w:rsidP="00422A87">
            <w:pPr>
              <w:pStyle w:val="CETEquation"/>
              <w:jc w:val="right"/>
            </w:pPr>
            <w:r>
              <w:t>(4</w:t>
            </w:r>
            <w:r w:rsidRPr="00B57B36">
              <w:t>)</w:t>
            </w:r>
          </w:p>
        </w:tc>
      </w:tr>
    </w:tbl>
    <w:p w14:paraId="5940A04D" w14:textId="0E34AC5C" w:rsidR="00EA0832" w:rsidRDefault="00AD474D" w:rsidP="00200D99">
      <w:pPr>
        <w:pStyle w:val="CETBodytext"/>
      </w:pPr>
      <w:r>
        <w:t xml:space="preserve">where the </w:t>
      </w:r>
      <w:r w:rsidR="00F75FD7">
        <w:t xml:space="preserve">specific glucose </w:t>
      </w:r>
      <w:r>
        <w:t xml:space="preserve">maintenance term </w:t>
      </w:r>
      <m:oMath>
        <m:r>
          <w:rPr>
            <w:rFonts w:ascii="Cambria Math" w:hAnsi="Cambria Math" w:cs="Arial"/>
          </w:rPr>
          <m:t>m</m:t>
        </m:r>
        <m:d>
          <m:dPr>
            <m:ctrlPr>
              <w:rPr>
                <w:rFonts w:ascii="Cambria Math" w:hAnsi="Cambria Math" w:cs="Arial"/>
                <w:i/>
                <w:lang w:val="en-GB"/>
              </w:rPr>
            </m:ctrlPr>
          </m:dPr>
          <m:e>
            <m:r>
              <w:rPr>
                <w:rFonts w:ascii="Cambria Math" w:hAnsi="Cambria Math" w:cs="Arial"/>
              </w:rPr>
              <m:t>t</m:t>
            </m:r>
          </m:e>
        </m:d>
      </m:oMath>
      <w:r w:rsidR="0059057B">
        <w:rPr>
          <w:lang w:val="en-GB"/>
        </w:rPr>
        <w:t xml:space="preserve"> and its effect on the yield of biomass </w:t>
      </w:r>
      <w:r w:rsidR="0057437F">
        <w:rPr>
          <w:lang w:val="en-GB"/>
        </w:rPr>
        <w:t>(</w:t>
      </w:r>
      <m:oMath>
        <m:sSub>
          <m:sSubPr>
            <m:ctrlPr>
              <w:rPr>
                <w:rFonts w:ascii="Cambria Math" w:hAnsi="Cambria Math" w:cs="Arial"/>
                <w:i/>
              </w:rPr>
            </m:ctrlPr>
          </m:sSubPr>
          <m:e>
            <m:r>
              <w:rPr>
                <w:rFonts w:ascii="Cambria Math" w:hAnsi="Cambria Math" w:cs="Arial"/>
              </w:rPr>
              <m:t>Y</m:t>
            </m:r>
          </m:e>
          <m:sub>
            <m:r>
              <w:rPr>
                <w:rFonts w:ascii="Cambria Math" w:hAnsi="Cambria Math" w:cs="Arial"/>
              </w:rPr>
              <m:t>xs</m:t>
            </m:r>
          </m:sub>
        </m:sSub>
      </m:oMath>
      <w:r w:rsidR="0057437F">
        <w:t xml:space="preserve">) </w:t>
      </w:r>
      <w:r>
        <w:rPr>
          <w:lang w:val="en-GB"/>
        </w:rPr>
        <w:t xml:space="preserve">implies that the glucose consumed contains two portions: </w:t>
      </w:r>
      <w:r w:rsidR="0057437F">
        <w:rPr>
          <w:lang w:val="en-GB"/>
        </w:rPr>
        <w:t xml:space="preserve">a </w:t>
      </w:r>
      <w:r>
        <w:rPr>
          <w:lang w:val="en-GB"/>
        </w:rPr>
        <w:t>bigger one for the growth and the other for preserving the biomass viability.</w:t>
      </w:r>
      <w:r w:rsidR="006716F7">
        <w:rPr>
          <w:lang w:val="en-GB"/>
        </w:rPr>
        <w:t xml:space="preserve"> The yield coefficient </w:t>
      </w:r>
      <w:r w:rsidR="00773ED2">
        <w:rPr>
          <w:lang w:val="en-GB"/>
        </w:rPr>
        <w:t>(</w:t>
      </w:r>
      <m:oMath>
        <m:sSub>
          <m:sSubPr>
            <m:ctrlPr>
              <w:rPr>
                <w:rFonts w:ascii="Cambria Math" w:hAnsi="Cambria Math" w:cs="Arial"/>
                <w:i/>
              </w:rPr>
            </m:ctrlPr>
          </m:sSubPr>
          <m:e>
            <m:r>
              <w:rPr>
                <w:rFonts w:ascii="Cambria Math" w:hAnsi="Cambria Math" w:cs="Arial"/>
              </w:rPr>
              <m:t>Y</m:t>
            </m:r>
          </m:e>
          <m:sub>
            <m:r>
              <w:rPr>
                <w:rFonts w:ascii="Cambria Math" w:hAnsi="Cambria Math" w:cs="Arial"/>
              </w:rPr>
              <m:t>xs</m:t>
            </m:r>
          </m:sub>
        </m:sSub>
        <m:d>
          <m:dPr>
            <m:ctrlPr>
              <w:rPr>
                <w:rFonts w:ascii="Cambria Math" w:hAnsi="Cambria Math" w:cs="Arial"/>
                <w:i/>
              </w:rPr>
            </m:ctrlPr>
          </m:dPr>
          <m:e>
            <m:r>
              <w:rPr>
                <w:rFonts w:ascii="Cambria Math" w:hAnsi="Cambria Math" w:cs="Arial"/>
              </w:rPr>
              <m:t>t</m:t>
            </m:r>
          </m:e>
        </m:d>
      </m:oMath>
      <w:r w:rsidR="00773ED2">
        <w:t>)</w:t>
      </w:r>
      <w:r w:rsidR="006716F7">
        <w:rPr>
          <w:lang w:val="en-GB"/>
        </w:rPr>
        <w:t xml:space="preserve"> </w:t>
      </w:r>
      <w:r w:rsidR="00E10CD6">
        <w:rPr>
          <w:lang w:val="en-GB"/>
        </w:rPr>
        <w:t>has</w:t>
      </w:r>
      <w:r w:rsidR="006716F7">
        <w:rPr>
          <w:lang w:val="en-GB"/>
        </w:rPr>
        <w:t xml:space="preserve"> </w:t>
      </w:r>
      <w:r w:rsidR="00773ED2">
        <w:rPr>
          <w:lang w:val="en-GB"/>
        </w:rPr>
        <w:t>a form of a time function (Lyubenova et al., 2020)</w:t>
      </w:r>
      <w:r w:rsidR="006716F7">
        <w:rPr>
          <w:lang w:val="en-GB"/>
        </w:rPr>
        <w:t xml:space="preserve"> because such a yield tends to </w:t>
      </w:r>
      <w:r w:rsidR="00773ED2">
        <w:rPr>
          <w:lang w:val="en-GB"/>
        </w:rPr>
        <w:t>decline</w:t>
      </w:r>
      <w:r w:rsidR="006716F7">
        <w:rPr>
          <w:lang w:val="en-GB"/>
        </w:rPr>
        <w:t xml:space="preserve"> due to biomass</w:t>
      </w:r>
      <w:r w:rsidR="00170EB6">
        <w:rPr>
          <w:lang w:val="en-GB"/>
        </w:rPr>
        <w:t xml:space="preserve"> </w:t>
      </w:r>
      <w:r w:rsidR="00FC464B">
        <w:rPr>
          <w:lang w:val="en-GB"/>
        </w:rPr>
        <w:t>increase</w:t>
      </w:r>
      <w:r w:rsidR="006716F7">
        <w:rPr>
          <w:lang w:val="en-GB"/>
        </w:rPr>
        <w:t xml:space="preserve"> or when the culture </w:t>
      </w:r>
      <w:r w:rsidR="00466ABA">
        <w:rPr>
          <w:lang w:val="en-GB"/>
        </w:rPr>
        <w:t xml:space="preserve">population </w:t>
      </w:r>
      <w:r w:rsidR="006716F7">
        <w:rPr>
          <w:lang w:val="en-GB"/>
        </w:rPr>
        <w:t xml:space="preserve">ages in batch or fed-batch </w:t>
      </w:r>
      <w:r w:rsidR="00BE7686">
        <w:rPr>
          <w:lang w:val="en-GB"/>
        </w:rPr>
        <w:t>cultivation</w:t>
      </w:r>
      <w:r w:rsidR="006716F7">
        <w:rPr>
          <w:lang w:val="en-GB"/>
        </w:rPr>
        <w:t>.</w:t>
      </w:r>
      <w:r>
        <w:rPr>
          <w:lang w:val="en-GB"/>
        </w:rPr>
        <w:t xml:space="preserve"> Insert</w:t>
      </w:r>
      <w:r w:rsidR="00CC599B">
        <w:rPr>
          <w:lang w:val="en-GB"/>
        </w:rPr>
        <w:t>ion of</w:t>
      </w:r>
      <w:r>
        <w:rPr>
          <w:lang w:val="en-GB"/>
        </w:rPr>
        <w:t xml:space="preserve"> Eq(4) into Eq(3) yields</w:t>
      </w:r>
    </w:p>
    <w:tbl>
      <w:tblPr>
        <w:tblW w:w="5000" w:type="pct"/>
        <w:tblLook w:val="04A0" w:firstRow="1" w:lastRow="0" w:firstColumn="1" w:lastColumn="0" w:noHBand="0" w:noVBand="1"/>
      </w:tblPr>
      <w:tblGrid>
        <w:gridCol w:w="7983"/>
        <w:gridCol w:w="804"/>
      </w:tblGrid>
      <w:tr w:rsidR="00AD474D" w:rsidRPr="00B57B36" w14:paraId="5E2F2F4C" w14:textId="77777777" w:rsidTr="00422A87">
        <w:tc>
          <w:tcPr>
            <w:tcW w:w="8188" w:type="dxa"/>
            <w:shd w:val="clear" w:color="auto" w:fill="auto"/>
            <w:vAlign w:val="center"/>
          </w:tcPr>
          <w:p w14:paraId="6A42218C" w14:textId="29513EA6" w:rsidR="00AD474D" w:rsidRPr="00EC4568" w:rsidRDefault="001D5EE7" w:rsidP="00A746CB">
            <w:pPr>
              <w:pStyle w:val="CETEquation"/>
              <w:rPr>
                <w:rFonts w:cs="Arial"/>
                <w:i/>
                <w:lang w:val="en-US"/>
              </w:rPr>
            </w:pPr>
            <m:oMathPara>
              <m:oMath>
                <m:sSup>
                  <m:sSupPr>
                    <m:ctrlPr>
                      <w:rPr>
                        <w:rFonts w:ascii="Cambria Math" w:hAnsi="Cambria Math" w:cs="Arial"/>
                        <w:i/>
                      </w:rPr>
                    </m:ctrlPr>
                  </m:sSupPr>
                  <m:e>
                    <m:r>
                      <w:rPr>
                        <w:rFonts w:ascii="Cambria Math" w:hAnsi="Cambria Math" w:cs="Arial"/>
                      </w:rPr>
                      <m:t>X</m:t>
                    </m:r>
                  </m:e>
                  <m:sup>
                    <m:r>
                      <w:rPr>
                        <w:rFonts w:ascii="Cambria Math" w:hAnsi="Cambria Math" w:cs="Arial"/>
                      </w:rPr>
                      <m:t>'</m:t>
                    </m:r>
                  </m:sup>
                </m:sSup>
                <m:d>
                  <m:dPr>
                    <m:ctrlPr>
                      <w:rPr>
                        <w:rFonts w:ascii="Cambria Math" w:hAnsi="Cambria Math" w:cs="Arial"/>
                        <w:i/>
                      </w:rPr>
                    </m:ctrlPr>
                  </m:dPr>
                  <m:e>
                    <m:r>
                      <w:rPr>
                        <w:rFonts w:ascii="Cambria Math" w:hAnsi="Cambria Math" w:cs="Arial"/>
                      </w:rPr>
                      <m:t>t</m:t>
                    </m:r>
                  </m:e>
                </m:d>
                <m:r>
                  <w:rPr>
                    <w:rFonts w:ascii="Cambria Math" w:hAnsi="Cambria Math" w:cs="Arial"/>
                  </w:rPr>
                  <m:t>=</m:t>
                </m:r>
                <m:d>
                  <m:dPr>
                    <m:ctrlPr>
                      <w:rPr>
                        <w:rFonts w:ascii="Cambria Math" w:hAnsi="Cambria Math" w:cs="Arial"/>
                        <w:i/>
                      </w:rPr>
                    </m:ctrlPr>
                  </m:dPr>
                  <m:e>
                    <m:r>
                      <w:rPr>
                        <w:rFonts w:ascii="Cambria Math" w:hAnsi="Cambria Math" w:cs="Arial"/>
                      </w:rPr>
                      <m:t>σ</m:t>
                    </m:r>
                    <m:d>
                      <m:dPr>
                        <m:ctrlPr>
                          <w:rPr>
                            <w:rFonts w:ascii="Cambria Math" w:hAnsi="Cambria Math" w:cs="Arial"/>
                            <w:i/>
                          </w:rPr>
                        </m:ctrlPr>
                      </m:dPr>
                      <m:e>
                        <m:r>
                          <w:rPr>
                            <w:rFonts w:ascii="Cambria Math" w:hAnsi="Cambria Math" w:cs="Arial"/>
                          </w:rPr>
                          <m:t>t</m:t>
                        </m:r>
                      </m:e>
                    </m:d>
                    <m:r>
                      <w:rPr>
                        <w:rFonts w:ascii="Cambria Math" w:hAnsi="Cambria Math" w:cs="Arial"/>
                      </w:rPr>
                      <m:t>∙</m:t>
                    </m:r>
                    <m:sSub>
                      <m:sSubPr>
                        <m:ctrlPr>
                          <w:rPr>
                            <w:rFonts w:ascii="Cambria Math" w:hAnsi="Cambria Math" w:cs="Arial"/>
                            <w:i/>
                            <w:lang w:val="en-US"/>
                          </w:rPr>
                        </m:ctrlPr>
                      </m:sSubPr>
                      <m:e>
                        <m:r>
                          <w:rPr>
                            <w:rFonts w:ascii="Cambria Math" w:hAnsi="Cambria Math" w:cs="Arial"/>
                          </w:rPr>
                          <m:t>Y</m:t>
                        </m:r>
                      </m:e>
                      <m:sub>
                        <m:r>
                          <w:rPr>
                            <w:rFonts w:ascii="Cambria Math" w:hAnsi="Cambria Math" w:cs="Arial"/>
                          </w:rPr>
                          <m:t>xs</m:t>
                        </m:r>
                      </m:sub>
                    </m:sSub>
                    <m:d>
                      <m:dPr>
                        <m:ctrlPr>
                          <w:rPr>
                            <w:rFonts w:ascii="Cambria Math" w:hAnsi="Cambria Math" w:cs="Arial"/>
                            <w:i/>
                          </w:rPr>
                        </m:ctrlPr>
                      </m:dPr>
                      <m:e>
                        <m:r>
                          <w:rPr>
                            <w:rFonts w:ascii="Cambria Math" w:hAnsi="Cambria Math" w:cs="Arial"/>
                          </w:rPr>
                          <m:t>t</m:t>
                        </m:r>
                      </m:e>
                    </m:d>
                    <m:r>
                      <w:rPr>
                        <w:rFonts w:ascii="Cambria Math" w:hAnsi="Cambria Math" w:cs="Arial"/>
                      </w:rPr>
                      <m:t>-</m:t>
                    </m:r>
                    <m:d>
                      <m:dPr>
                        <m:ctrlPr>
                          <w:rPr>
                            <w:rFonts w:ascii="Cambria Math" w:hAnsi="Cambria Math" w:cs="Arial"/>
                            <w:i/>
                          </w:rPr>
                        </m:ctrlPr>
                      </m:dPr>
                      <m:e>
                        <m:r>
                          <w:rPr>
                            <w:rFonts w:ascii="Cambria Math" w:hAnsi="Cambria Math" w:cs="Arial"/>
                          </w:rPr>
                          <m:t>m</m:t>
                        </m:r>
                        <m:d>
                          <m:dPr>
                            <m:ctrlPr>
                              <w:rPr>
                                <w:rFonts w:ascii="Cambria Math" w:hAnsi="Cambria Math" w:cs="Arial"/>
                                <w:i/>
                              </w:rPr>
                            </m:ctrlPr>
                          </m:dPr>
                          <m:e>
                            <m:r>
                              <w:rPr>
                                <w:rFonts w:ascii="Cambria Math" w:hAnsi="Cambria Math" w:cs="Arial"/>
                              </w:rPr>
                              <m:t>t</m:t>
                            </m:r>
                          </m:e>
                        </m:d>
                        <m:r>
                          <w:rPr>
                            <w:rFonts w:ascii="Cambria Math" w:hAnsi="Cambria Math" w:cs="Arial"/>
                          </w:rPr>
                          <m:t>∙</m:t>
                        </m:r>
                        <m:sSub>
                          <m:sSubPr>
                            <m:ctrlPr>
                              <w:rPr>
                                <w:rFonts w:ascii="Cambria Math" w:hAnsi="Cambria Math" w:cs="Arial"/>
                                <w:i/>
                                <w:lang w:val="en-US"/>
                              </w:rPr>
                            </m:ctrlPr>
                          </m:sSubPr>
                          <m:e>
                            <m:r>
                              <w:rPr>
                                <w:rFonts w:ascii="Cambria Math" w:hAnsi="Cambria Math" w:cs="Arial"/>
                              </w:rPr>
                              <m:t>Y</m:t>
                            </m:r>
                          </m:e>
                          <m:sub>
                            <m:r>
                              <w:rPr>
                                <w:rFonts w:ascii="Cambria Math" w:hAnsi="Cambria Math" w:cs="Arial"/>
                              </w:rPr>
                              <m:t>xs</m:t>
                            </m:r>
                          </m:sub>
                        </m:sSub>
                        <m:d>
                          <m:dPr>
                            <m:ctrlPr>
                              <w:rPr>
                                <w:rFonts w:ascii="Cambria Math" w:hAnsi="Cambria Math" w:cs="Arial"/>
                                <w:i/>
                              </w:rPr>
                            </m:ctrlPr>
                          </m:dPr>
                          <m:e>
                            <m:r>
                              <w:rPr>
                                <w:rFonts w:ascii="Cambria Math" w:hAnsi="Cambria Math" w:cs="Arial"/>
                              </w:rPr>
                              <m:t>t</m:t>
                            </m:r>
                          </m:e>
                        </m:d>
                        <m:r>
                          <w:rPr>
                            <w:rFonts w:ascii="Cambria Math" w:hAnsi="Cambria Math" w:cs="Arial"/>
                            <w:lang w:val="en-US"/>
                          </w:rPr>
                          <m:t>+</m:t>
                        </m:r>
                        <m:f>
                          <m:fPr>
                            <m:ctrlPr>
                              <w:rPr>
                                <w:rFonts w:ascii="Cambria Math" w:hAnsi="Cambria Math" w:cs="Arial"/>
                                <w:i/>
                              </w:rPr>
                            </m:ctrlPr>
                          </m:fPr>
                          <m:num>
                            <m:r>
                              <w:rPr>
                                <w:rFonts w:ascii="Cambria Math" w:hAnsi="Cambria Math" w:cs="Arial"/>
                              </w:rPr>
                              <m:t>F</m:t>
                            </m:r>
                            <m:d>
                              <m:dPr>
                                <m:ctrlPr>
                                  <w:rPr>
                                    <w:rFonts w:ascii="Cambria Math" w:hAnsi="Cambria Math" w:cs="Arial"/>
                                    <w:i/>
                                  </w:rPr>
                                </m:ctrlPr>
                              </m:dPr>
                              <m:e>
                                <m:r>
                                  <w:rPr>
                                    <w:rFonts w:ascii="Cambria Math" w:hAnsi="Cambria Math" w:cs="Arial"/>
                                  </w:rPr>
                                  <m:t>t</m:t>
                                </m:r>
                              </m:e>
                            </m:d>
                          </m:num>
                          <m:den>
                            <m:r>
                              <w:rPr>
                                <w:rFonts w:ascii="Cambria Math" w:hAnsi="Cambria Math" w:cs="Arial"/>
                              </w:rPr>
                              <m:t>W</m:t>
                            </m:r>
                            <m:d>
                              <m:dPr>
                                <m:ctrlPr>
                                  <w:rPr>
                                    <w:rFonts w:ascii="Cambria Math" w:hAnsi="Cambria Math" w:cs="Arial"/>
                                    <w:i/>
                                  </w:rPr>
                                </m:ctrlPr>
                              </m:dPr>
                              <m:e>
                                <m:r>
                                  <w:rPr>
                                    <w:rFonts w:ascii="Cambria Math" w:hAnsi="Cambria Math" w:cs="Arial"/>
                                  </w:rPr>
                                  <m:t>t</m:t>
                                </m:r>
                              </m:e>
                            </m:d>
                          </m:den>
                        </m:f>
                      </m:e>
                    </m:d>
                  </m:e>
                </m:d>
                <m:r>
                  <w:rPr>
                    <w:rFonts w:ascii="Cambria Math" w:hAnsi="Cambria Math" w:cs="Arial"/>
                  </w:rPr>
                  <m:t>∙X</m:t>
                </m:r>
                <m:d>
                  <m:dPr>
                    <m:ctrlPr>
                      <w:rPr>
                        <w:rFonts w:ascii="Cambria Math" w:hAnsi="Cambria Math" w:cs="Arial"/>
                        <w:i/>
                      </w:rPr>
                    </m:ctrlPr>
                  </m:dPr>
                  <m:e>
                    <m:r>
                      <w:rPr>
                        <w:rFonts w:ascii="Cambria Math" w:hAnsi="Cambria Math" w:cs="Arial"/>
                      </w:rPr>
                      <m:t>t</m:t>
                    </m:r>
                  </m:e>
                </m:d>
                <m:r>
                  <w:rPr>
                    <w:rFonts w:ascii="Cambria Math" w:hAnsi="Cambria Math" w:cs="Arial"/>
                  </w:rPr>
                  <m:t>.</m:t>
                </m:r>
              </m:oMath>
            </m:oMathPara>
          </w:p>
        </w:tc>
        <w:tc>
          <w:tcPr>
            <w:tcW w:w="815" w:type="dxa"/>
            <w:shd w:val="clear" w:color="auto" w:fill="auto"/>
            <w:vAlign w:val="center"/>
          </w:tcPr>
          <w:p w14:paraId="060DE5A2" w14:textId="119B868C" w:rsidR="00AD474D" w:rsidRPr="00B57B36" w:rsidRDefault="00AD474D" w:rsidP="00A746CB">
            <w:pPr>
              <w:pStyle w:val="CETEquation"/>
              <w:jc w:val="right"/>
            </w:pPr>
            <w:r>
              <w:t>(</w:t>
            </w:r>
            <w:r w:rsidR="00A746CB">
              <w:t>5</w:t>
            </w:r>
            <w:r w:rsidRPr="00B57B36">
              <w:t>)</w:t>
            </w:r>
          </w:p>
        </w:tc>
      </w:tr>
    </w:tbl>
    <w:p w14:paraId="59F2B43F" w14:textId="14822900" w:rsidR="006B11DA" w:rsidRDefault="0059057B" w:rsidP="00200D99">
      <w:pPr>
        <w:pStyle w:val="CETBodytext"/>
      </w:pPr>
      <w:r>
        <w:t>E</w:t>
      </w:r>
      <w:r w:rsidR="00A746CB">
        <w:t xml:space="preserve">xpressing the biomass growth from </w:t>
      </w:r>
      <w:r w:rsidR="00C94197">
        <w:t xml:space="preserve">Luedeking-Piret </w:t>
      </w:r>
      <w:r w:rsidR="00A746CB">
        <w:t>Eq(1) gives</w:t>
      </w:r>
    </w:p>
    <w:tbl>
      <w:tblPr>
        <w:tblW w:w="5000" w:type="pct"/>
        <w:tblLook w:val="04A0" w:firstRow="1" w:lastRow="0" w:firstColumn="1" w:lastColumn="0" w:noHBand="0" w:noVBand="1"/>
      </w:tblPr>
      <w:tblGrid>
        <w:gridCol w:w="7983"/>
        <w:gridCol w:w="804"/>
      </w:tblGrid>
      <w:tr w:rsidR="00C94197" w:rsidRPr="00B57B36" w14:paraId="317AAF30" w14:textId="77777777" w:rsidTr="00422A87">
        <w:tc>
          <w:tcPr>
            <w:tcW w:w="8188" w:type="dxa"/>
            <w:shd w:val="clear" w:color="auto" w:fill="auto"/>
            <w:vAlign w:val="center"/>
          </w:tcPr>
          <w:p w14:paraId="0DB96FD9" w14:textId="22C8BB69" w:rsidR="00C94197" w:rsidRPr="00EC4568" w:rsidRDefault="001D5EE7" w:rsidP="00C94197">
            <w:pPr>
              <w:pStyle w:val="CETEquation"/>
              <w:rPr>
                <w:rFonts w:cs="Arial"/>
                <w:i/>
                <w:lang w:val="ru-RU"/>
              </w:rPr>
            </w:pPr>
            <m:oMathPara>
              <m:oMath>
                <m:sSup>
                  <m:sSupPr>
                    <m:ctrlPr>
                      <w:rPr>
                        <w:rFonts w:ascii="Cambria Math" w:hAnsi="Cambria Math" w:cs="Arial"/>
                        <w:i/>
                      </w:rPr>
                    </m:ctrlPr>
                  </m:sSupPr>
                  <m:e>
                    <m:r>
                      <w:rPr>
                        <w:rFonts w:ascii="Cambria Math" w:hAnsi="Cambria Math" w:cs="Arial"/>
                      </w:rPr>
                      <m:t>X</m:t>
                    </m:r>
                  </m:e>
                  <m:sup>
                    <m:r>
                      <w:rPr>
                        <w:rFonts w:ascii="Cambria Math" w:hAnsi="Cambria Math" w:cs="Arial"/>
                      </w:rPr>
                      <m:t>'</m:t>
                    </m:r>
                  </m:sup>
                </m:sSup>
                <m:d>
                  <m:dPr>
                    <m:ctrlPr>
                      <w:rPr>
                        <w:rFonts w:ascii="Cambria Math" w:hAnsi="Cambria Math" w:cs="Arial"/>
                        <w:i/>
                      </w:rPr>
                    </m:ctrlPr>
                  </m:dPr>
                  <m:e>
                    <m:r>
                      <w:rPr>
                        <w:rFonts w:ascii="Cambria Math" w:hAnsi="Cambria Math" w:cs="Arial"/>
                      </w:rPr>
                      <m:t>t</m:t>
                    </m:r>
                  </m:e>
                </m:d>
                <m:r>
                  <w:rPr>
                    <w:rFonts w:ascii="Cambria Math" w:hAnsi="Cambria Math" w:cs="Arial"/>
                  </w:rPr>
                  <m:t>=</m:t>
                </m:r>
                <m:f>
                  <m:fPr>
                    <m:ctrlPr>
                      <w:rPr>
                        <w:rFonts w:ascii="Cambria Math" w:hAnsi="Cambria Math" w:cs="Arial"/>
                        <w:i/>
                      </w:rPr>
                    </m:ctrlPr>
                  </m:fPr>
                  <m:num>
                    <m:r>
                      <w:rPr>
                        <w:rFonts w:ascii="Cambria Math" w:hAnsi="Cambria Math" w:cs="Arial"/>
                      </w:rPr>
                      <m:t>OUR</m:t>
                    </m:r>
                    <m:d>
                      <m:dPr>
                        <m:ctrlPr>
                          <w:rPr>
                            <w:rFonts w:ascii="Cambria Math" w:hAnsi="Cambria Math" w:cs="Arial"/>
                            <w:i/>
                          </w:rPr>
                        </m:ctrlPr>
                      </m:dPr>
                      <m:e>
                        <m:r>
                          <w:rPr>
                            <w:rFonts w:ascii="Cambria Math" w:hAnsi="Cambria Math" w:cs="Arial"/>
                          </w:rPr>
                          <m:t>t</m:t>
                        </m:r>
                      </m:e>
                    </m:d>
                  </m:num>
                  <m:den>
                    <m:r>
                      <w:rPr>
                        <w:rFonts w:ascii="Cambria Math" w:hAnsi="Cambria Math" w:cs="Arial"/>
                      </w:rPr>
                      <m:t>α</m:t>
                    </m:r>
                  </m:den>
                </m:f>
                <m:r>
                  <w:rPr>
                    <w:rFonts w:ascii="Cambria Math" w:hAnsi="Cambria Math" w:cs="Arial"/>
                  </w:rPr>
                  <m:t>-</m:t>
                </m:r>
                <m:f>
                  <m:fPr>
                    <m:ctrlPr>
                      <w:rPr>
                        <w:rFonts w:ascii="Cambria Math" w:hAnsi="Cambria Math" w:cs="Arial"/>
                        <w:i/>
                      </w:rPr>
                    </m:ctrlPr>
                  </m:fPr>
                  <m:num>
                    <m:r>
                      <w:rPr>
                        <w:rFonts w:ascii="Cambria Math" w:hAnsi="Cambria Math" w:cs="Arial"/>
                      </w:rPr>
                      <m:t>β</m:t>
                    </m:r>
                    <m:d>
                      <m:dPr>
                        <m:ctrlPr>
                          <w:rPr>
                            <w:rFonts w:ascii="Cambria Math" w:hAnsi="Cambria Math" w:cs="Arial"/>
                            <w:i/>
                          </w:rPr>
                        </m:ctrlPr>
                      </m:dPr>
                      <m:e>
                        <m:r>
                          <w:rPr>
                            <w:rFonts w:ascii="Cambria Math" w:hAnsi="Cambria Math" w:cs="Arial"/>
                          </w:rPr>
                          <m:t>t</m:t>
                        </m:r>
                      </m:e>
                    </m:d>
                  </m:num>
                  <m:den>
                    <m:r>
                      <w:rPr>
                        <w:rFonts w:ascii="Cambria Math" w:hAnsi="Cambria Math" w:cs="Arial"/>
                      </w:rPr>
                      <m:t>α</m:t>
                    </m:r>
                  </m:den>
                </m:f>
                <m:r>
                  <w:rPr>
                    <w:rFonts w:ascii="Cambria Math" w:hAnsi="Cambria Math" w:cs="Arial"/>
                  </w:rPr>
                  <m:t>∙X</m:t>
                </m:r>
                <m:d>
                  <m:dPr>
                    <m:ctrlPr>
                      <w:rPr>
                        <w:rFonts w:ascii="Cambria Math" w:hAnsi="Cambria Math" w:cs="Arial"/>
                        <w:i/>
                      </w:rPr>
                    </m:ctrlPr>
                  </m:dPr>
                  <m:e>
                    <m:r>
                      <w:rPr>
                        <w:rFonts w:ascii="Cambria Math" w:hAnsi="Cambria Math" w:cs="Arial"/>
                      </w:rPr>
                      <m:t>t</m:t>
                    </m:r>
                  </m:e>
                </m:d>
              </m:oMath>
            </m:oMathPara>
          </w:p>
        </w:tc>
        <w:tc>
          <w:tcPr>
            <w:tcW w:w="815" w:type="dxa"/>
            <w:shd w:val="clear" w:color="auto" w:fill="auto"/>
            <w:vAlign w:val="center"/>
          </w:tcPr>
          <w:p w14:paraId="1E049952" w14:textId="67F5420F" w:rsidR="00C94197" w:rsidRPr="00B57B36" w:rsidRDefault="00C94197" w:rsidP="00C94197">
            <w:pPr>
              <w:pStyle w:val="CETEquation"/>
              <w:jc w:val="right"/>
            </w:pPr>
            <w:r w:rsidRPr="00B57B36">
              <w:t>(</w:t>
            </w:r>
            <w:r>
              <w:t>6</w:t>
            </w:r>
            <w:r w:rsidRPr="00B57B36">
              <w:t>)</w:t>
            </w:r>
          </w:p>
        </w:tc>
      </w:tr>
    </w:tbl>
    <w:p w14:paraId="1BF717F3" w14:textId="3EE48FC7" w:rsidR="00C94197" w:rsidRDefault="00C94197" w:rsidP="00200D99">
      <w:pPr>
        <w:pStyle w:val="CETBodytext"/>
      </w:pPr>
      <w:r>
        <w:t>and its form with biomass as a multiplier is</w:t>
      </w:r>
    </w:p>
    <w:tbl>
      <w:tblPr>
        <w:tblW w:w="5000" w:type="pct"/>
        <w:tblLook w:val="04A0" w:firstRow="1" w:lastRow="0" w:firstColumn="1" w:lastColumn="0" w:noHBand="0" w:noVBand="1"/>
      </w:tblPr>
      <w:tblGrid>
        <w:gridCol w:w="7983"/>
        <w:gridCol w:w="804"/>
      </w:tblGrid>
      <w:tr w:rsidR="00C94197" w:rsidRPr="00B57B36" w14:paraId="6408C0DA" w14:textId="77777777" w:rsidTr="00422A87">
        <w:tc>
          <w:tcPr>
            <w:tcW w:w="8188" w:type="dxa"/>
            <w:shd w:val="clear" w:color="auto" w:fill="auto"/>
            <w:vAlign w:val="center"/>
          </w:tcPr>
          <w:p w14:paraId="44DDF93B" w14:textId="5090E6A6" w:rsidR="00C94197" w:rsidRPr="00EC4568" w:rsidRDefault="001D5EE7" w:rsidP="00422A87">
            <w:pPr>
              <w:pStyle w:val="CETEquation"/>
              <w:rPr>
                <w:rFonts w:cs="Arial"/>
                <w:i/>
                <w:lang w:val="ru-RU"/>
              </w:rPr>
            </w:pPr>
            <m:oMathPara>
              <m:oMath>
                <m:sSup>
                  <m:sSupPr>
                    <m:ctrlPr>
                      <w:rPr>
                        <w:rFonts w:ascii="Cambria Math" w:hAnsi="Cambria Math" w:cs="Arial"/>
                        <w:i/>
                      </w:rPr>
                    </m:ctrlPr>
                  </m:sSupPr>
                  <m:e>
                    <m:r>
                      <w:rPr>
                        <w:rFonts w:ascii="Cambria Math" w:hAnsi="Cambria Math" w:cs="Arial"/>
                      </w:rPr>
                      <m:t>X</m:t>
                    </m:r>
                  </m:e>
                  <m:sup>
                    <m:r>
                      <w:rPr>
                        <w:rFonts w:ascii="Cambria Math" w:hAnsi="Cambria Math" w:cs="Arial"/>
                      </w:rPr>
                      <m:t>'</m:t>
                    </m:r>
                  </m:sup>
                </m:sSup>
                <m:d>
                  <m:dPr>
                    <m:ctrlPr>
                      <w:rPr>
                        <w:rFonts w:ascii="Cambria Math" w:hAnsi="Cambria Math" w:cs="Arial"/>
                        <w:i/>
                      </w:rPr>
                    </m:ctrlPr>
                  </m:dPr>
                  <m:e>
                    <m:r>
                      <w:rPr>
                        <w:rFonts w:ascii="Cambria Math" w:hAnsi="Cambria Math" w:cs="Arial"/>
                      </w:rPr>
                      <m:t>t</m:t>
                    </m:r>
                  </m:e>
                </m:d>
                <m:r>
                  <w:rPr>
                    <w:rFonts w:ascii="Cambria Math" w:hAnsi="Cambria Math" w:cs="Arial"/>
                  </w:rPr>
                  <m:t>=</m:t>
                </m:r>
                <m:d>
                  <m:dPr>
                    <m:ctrlPr>
                      <w:rPr>
                        <w:rFonts w:ascii="Cambria Math" w:hAnsi="Cambria Math" w:cs="Arial"/>
                        <w:i/>
                      </w:rPr>
                    </m:ctrlPr>
                  </m:dPr>
                  <m:e>
                    <m:f>
                      <m:fPr>
                        <m:ctrlPr>
                          <w:rPr>
                            <w:rFonts w:ascii="Cambria Math" w:hAnsi="Cambria Math" w:cs="Arial"/>
                            <w:i/>
                          </w:rPr>
                        </m:ctrlPr>
                      </m:fPr>
                      <m:num>
                        <m:r>
                          <w:rPr>
                            <w:rFonts w:ascii="Cambria Math" w:hAnsi="Cambria Math" w:cs="Arial"/>
                          </w:rPr>
                          <m:t>OUR</m:t>
                        </m:r>
                        <m:d>
                          <m:dPr>
                            <m:ctrlPr>
                              <w:rPr>
                                <w:rFonts w:ascii="Cambria Math" w:hAnsi="Cambria Math" w:cs="Arial"/>
                                <w:i/>
                              </w:rPr>
                            </m:ctrlPr>
                          </m:dPr>
                          <m:e>
                            <m:r>
                              <w:rPr>
                                <w:rFonts w:ascii="Cambria Math" w:hAnsi="Cambria Math" w:cs="Arial"/>
                              </w:rPr>
                              <m:t>t</m:t>
                            </m:r>
                          </m:e>
                        </m:d>
                      </m:num>
                      <m:den>
                        <m:r>
                          <w:rPr>
                            <w:rFonts w:ascii="Cambria Math" w:hAnsi="Cambria Math" w:cs="Arial"/>
                          </w:rPr>
                          <m:t>α∙X</m:t>
                        </m:r>
                        <m:d>
                          <m:dPr>
                            <m:ctrlPr>
                              <w:rPr>
                                <w:rFonts w:ascii="Cambria Math" w:hAnsi="Cambria Math" w:cs="Arial"/>
                                <w:i/>
                              </w:rPr>
                            </m:ctrlPr>
                          </m:dPr>
                          <m:e>
                            <m:r>
                              <w:rPr>
                                <w:rFonts w:ascii="Cambria Math" w:hAnsi="Cambria Math" w:cs="Arial"/>
                              </w:rPr>
                              <m:t>t</m:t>
                            </m:r>
                          </m:e>
                        </m:d>
                      </m:den>
                    </m:f>
                    <m:r>
                      <w:rPr>
                        <w:rFonts w:ascii="Cambria Math" w:hAnsi="Cambria Math" w:cs="Arial"/>
                      </w:rPr>
                      <m:t>-</m:t>
                    </m:r>
                    <m:f>
                      <m:fPr>
                        <m:ctrlPr>
                          <w:rPr>
                            <w:rFonts w:ascii="Cambria Math" w:hAnsi="Cambria Math" w:cs="Arial"/>
                            <w:i/>
                          </w:rPr>
                        </m:ctrlPr>
                      </m:fPr>
                      <m:num>
                        <m:r>
                          <w:rPr>
                            <w:rFonts w:ascii="Cambria Math" w:hAnsi="Cambria Math" w:cs="Arial"/>
                          </w:rPr>
                          <m:t>β</m:t>
                        </m:r>
                        <m:d>
                          <m:dPr>
                            <m:ctrlPr>
                              <w:rPr>
                                <w:rFonts w:ascii="Cambria Math" w:hAnsi="Cambria Math" w:cs="Arial"/>
                                <w:i/>
                              </w:rPr>
                            </m:ctrlPr>
                          </m:dPr>
                          <m:e>
                            <m:r>
                              <w:rPr>
                                <w:rFonts w:ascii="Cambria Math" w:hAnsi="Cambria Math" w:cs="Arial"/>
                              </w:rPr>
                              <m:t>t</m:t>
                            </m:r>
                          </m:e>
                        </m:d>
                      </m:num>
                      <m:den>
                        <m:r>
                          <w:rPr>
                            <w:rFonts w:ascii="Cambria Math" w:hAnsi="Cambria Math" w:cs="Arial"/>
                          </w:rPr>
                          <m:t>α</m:t>
                        </m:r>
                      </m:den>
                    </m:f>
                  </m:e>
                </m:d>
                <m:r>
                  <w:rPr>
                    <w:rFonts w:ascii="Cambria Math" w:hAnsi="Cambria Math" w:cs="Arial"/>
                  </w:rPr>
                  <m:t>∙X</m:t>
                </m:r>
                <m:d>
                  <m:dPr>
                    <m:ctrlPr>
                      <w:rPr>
                        <w:rFonts w:ascii="Cambria Math" w:hAnsi="Cambria Math" w:cs="Arial"/>
                        <w:i/>
                      </w:rPr>
                    </m:ctrlPr>
                  </m:dPr>
                  <m:e>
                    <m:r>
                      <w:rPr>
                        <w:rFonts w:ascii="Cambria Math" w:hAnsi="Cambria Math" w:cs="Arial"/>
                      </w:rPr>
                      <m:t>t</m:t>
                    </m:r>
                  </m:e>
                </m:d>
              </m:oMath>
            </m:oMathPara>
          </w:p>
        </w:tc>
        <w:tc>
          <w:tcPr>
            <w:tcW w:w="815" w:type="dxa"/>
            <w:shd w:val="clear" w:color="auto" w:fill="auto"/>
            <w:vAlign w:val="center"/>
          </w:tcPr>
          <w:p w14:paraId="12AF241A" w14:textId="7D8C9515" w:rsidR="00C94197" w:rsidRPr="00B57B36" w:rsidRDefault="00C94197" w:rsidP="00C94197">
            <w:pPr>
              <w:pStyle w:val="CETEquation"/>
              <w:jc w:val="right"/>
            </w:pPr>
            <w:r w:rsidRPr="00B57B36">
              <w:t>(</w:t>
            </w:r>
            <w:r>
              <w:t>7</w:t>
            </w:r>
            <w:r w:rsidRPr="00B57B36">
              <w:t>)</w:t>
            </w:r>
          </w:p>
        </w:tc>
      </w:tr>
    </w:tbl>
    <w:p w14:paraId="7A7192FC" w14:textId="733BFAAC" w:rsidR="00A746CB" w:rsidRDefault="00C94197" w:rsidP="00200D99">
      <w:pPr>
        <w:pStyle w:val="CETBodytext"/>
      </w:pPr>
      <w:r>
        <w:t xml:space="preserve">The analogy between Eq(5) and Eq(6) </w:t>
      </w:r>
      <w:r w:rsidR="00764304">
        <w:t>implicitly</w:t>
      </w:r>
      <w:r>
        <w:t xml:space="preserve"> means that the following two </w:t>
      </w:r>
      <w:r w:rsidR="00764304">
        <w:t>formulas</w:t>
      </w:r>
      <w:r>
        <w:t xml:space="preserve"> hold</w:t>
      </w:r>
    </w:p>
    <w:tbl>
      <w:tblPr>
        <w:tblW w:w="5000" w:type="pct"/>
        <w:tblLook w:val="04A0" w:firstRow="1" w:lastRow="0" w:firstColumn="1" w:lastColumn="0" w:noHBand="0" w:noVBand="1"/>
      </w:tblPr>
      <w:tblGrid>
        <w:gridCol w:w="7986"/>
        <w:gridCol w:w="801"/>
      </w:tblGrid>
      <w:tr w:rsidR="00C94197" w:rsidRPr="00B57B36" w14:paraId="53903D6C" w14:textId="77777777" w:rsidTr="00422A87">
        <w:tc>
          <w:tcPr>
            <w:tcW w:w="8188" w:type="dxa"/>
            <w:shd w:val="clear" w:color="auto" w:fill="auto"/>
            <w:vAlign w:val="center"/>
          </w:tcPr>
          <w:p w14:paraId="13D98652" w14:textId="3BF31FA5" w:rsidR="00C94197" w:rsidRPr="00EC4568" w:rsidRDefault="001D5EE7" w:rsidP="00764304">
            <w:pPr>
              <w:pStyle w:val="CETEquation"/>
              <w:rPr>
                <w:rFonts w:cs="Arial"/>
                <w:i/>
                <w:lang w:val="ru-RU"/>
              </w:rPr>
            </w:pPr>
            <m:oMathPara>
              <m:oMath>
                <m:d>
                  <m:dPr>
                    <m:begChr m:val="{"/>
                    <m:endChr m:val=""/>
                    <m:ctrlPr>
                      <w:rPr>
                        <w:rFonts w:ascii="Cambria Math" w:hAnsi="Cambria Math" w:cs="Arial"/>
                        <w:i/>
                      </w:rPr>
                    </m:ctrlPr>
                  </m:dPr>
                  <m:e>
                    <m:m>
                      <m:mPr>
                        <m:mcs>
                          <m:mc>
                            <m:mcPr>
                              <m:count m:val="1"/>
                              <m:mcJc m:val="center"/>
                            </m:mcPr>
                          </m:mc>
                        </m:mcs>
                        <m:ctrlPr>
                          <w:rPr>
                            <w:rFonts w:ascii="Cambria Math" w:hAnsi="Cambria Math" w:cs="Arial"/>
                            <w:i/>
                          </w:rPr>
                        </m:ctrlPr>
                      </m:mPr>
                      <m:mr>
                        <m:e>
                          <m:f>
                            <m:fPr>
                              <m:ctrlPr>
                                <w:rPr>
                                  <w:rFonts w:ascii="Cambria Math" w:hAnsi="Cambria Math" w:cs="Arial"/>
                                  <w:i/>
                                </w:rPr>
                              </m:ctrlPr>
                            </m:fPr>
                            <m:num>
                              <m:r>
                                <w:rPr>
                                  <w:rFonts w:ascii="Cambria Math" w:hAnsi="Cambria Math" w:cs="Arial"/>
                                </w:rPr>
                                <m:t>OUR</m:t>
                              </m:r>
                              <m:d>
                                <m:dPr>
                                  <m:ctrlPr>
                                    <w:rPr>
                                      <w:rFonts w:ascii="Cambria Math" w:hAnsi="Cambria Math" w:cs="Arial"/>
                                      <w:i/>
                                    </w:rPr>
                                  </m:ctrlPr>
                                </m:dPr>
                                <m:e>
                                  <m:r>
                                    <w:rPr>
                                      <w:rFonts w:ascii="Cambria Math" w:hAnsi="Cambria Math" w:cs="Arial"/>
                                    </w:rPr>
                                    <m:t>t</m:t>
                                  </m:r>
                                </m:e>
                              </m:d>
                            </m:num>
                            <m:den>
                              <m:r>
                                <w:rPr>
                                  <w:rFonts w:ascii="Cambria Math" w:hAnsi="Cambria Math" w:cs="Arial"/>
                                </w:rPr>
                                <m:t>α∙X</m:t>
                              </m:r>
                              <m:d>
                                <m:dPr>
                                  <m:ctrlPr>
                                    <w:rPr>
                                      <w:rFonts w:ascii="Cambria Math" w:hAnsi="Cambria Math" w:cs="Arial"/>
                                      <w:i/>
                                    </w:rPr>
                                  </m:ctrlPr>
                                </m:dPr>
                                <m:e>
                                  <m:r>
                                    <w:rPr>
                                      <w:rFonts w:ascii="Cambria Math" w:hAnsi="Cambria Math" w:cs="Arial"/>
                                    </w:rPr>
                                    <m:t>t</m:t>
                                  </m:r>
                                </m:e>
                              </m:d>
                            </m:den>
                          </m:f>
                          <m:r>
                            <w:rPr>
                              <w:rFonts w:ascii="Cambria Math" w:hAnsi="Cambria Math" w:cs="Arial"/>
                            </w:rPr>
                            <m:t>=σ</m:t>
                          </m:r>
                          <m:d>
                            <m:dPr>
                              <m:ctrlPr>
                                <w:rPr>
                                  <w:rFonts w:ascii="Cambria Math" w:hAnsi="Cambria Math" w:cs="Arial"/>
                                  <w:i/>
                                </w:rPr>
                              </m:ctrlPr>
                            </m:dPr>
                            <m:e>
                              <m:r>
                                <w:rPr>
                                  <w:rFonts w:ascii="Cambria Math" w:hAnsi="Cambria Math" w:cs="Arial"/>
                                </w:rPr>
                                <m:t>t</m:t>
                              </m:r>
                            </m:e>
                          </m:d>
                          <m:r>
                            <w:rPr>
                              <w:rFonts w:ascii="Cambria Math" w:hAnsi="Cambria Math" w:cs="Arial"/>
                            </w:rPr>
                            <m:t>∙</m:t>
                          </m:r>
                          <m:sSub>
                            <m:sSubPr>
                              <m:ctrlPr>
                                <w:rPr>
                                  <w:rFonts w:ascii="Cambria Math" w:hAnsi="Cambria Math" w:cs="Arial"/>
                                  <w:i/>
                                  <w:lang w:val="en-US"/>
                                </w:rPr>
                              </m:ctrlPr>
                            </m:sSubPr>
                            <m:e>
                              <m:r>
                                <w:rPr>
                                  <w:rFonts w:ascii="Cambria Math" w:hAnsi="Cambria Math" w:cs="Arial"/>
                                </w:rPr>
                                <m:t>Y</m:t>
                              </m:r>
                            </m:e>
                            <m:sub>
                              <m:r>
                                <w:rPr>
                                  <w:rFonts w:ascii="Cambria Math" w:hAnsi="Cambria Math" w:cs="Arial"/>
                                </w:rPr>
                                <m:t>xs</m:t>
                              </m:r>
                            </m:sub>
                          </m:sSub>
                          <m:d>
                            <m:dPr>
                              <m:ctrlPr>
                                <w:rPr>
                                  <w:rFonts w:ascii="Cambria Math" w:hAnsi="Cambria Math" w:cs="Arial"/>
                                  <w:i/>
                                </w:rPr>
                              </m:ctrlPr>
                            </m:dPr>
                            <m:e>
                              <m:r>
                                <w:rPr>
                                  <w:rFonts w:ascii="Cambria Math" w:hAnsi="Cambria Math" w:cs="Arial"/>
                                </w:rPr>
                                <m:t>t</m:t>
                              </m:r>
                            </m:e>
                          </m:d>
                          <m:r>
                            <w:rPr>
                              <w:rFonts w:ascii="Cambria Math" w:hAnsi="Cambria Math" w:cs="Arial"/>
                              <w:lang w:val="en-US"/>
                            </w:rPr>
                            <m:t>;</m:t>
                          </m:r>
                        </m:e>
                      </m:mr>
                      <m:mr>
                        <m:e>
                          <m:f>
                            <m:fPr>
                              <m:ctrlPr>
                                <w:rPr>
                                  <w:rFonts w:ascii="Cambria Math" w:hAnsi="Cambria Math" w:cs="Arial"/>
                                  <w:i/>
                                </w:rPr>
                              </m:ctrlPr>
                            </m:fPr>
                            <m:num>
                              <m:r>
                                <w:rPr>
                                  <w:rFonts w:ascii="Cambria Math" w:hAnsi="Cambria Math" w:cs="Arial"/>
                                </w:rPr>
                                <m:t>β</m:t>
                              </m:r>
                              <m:d>
                                <m:dPr>
                                  <m:ctrlPr>
                                    <w:rPr>
                                      <w:rFonts w:ascii="Cambria Math" w:hAnsi="Cambria Math" w:cs="Arial"/>
                                      <w:i/>
                                    </w:rPr>
                                  </m:ctrlPr>
                                </m:dPr>
                                <m:e>
                                  <m:r>
                                    <w:rPr>
                                      <w:rFonts w:ascii="Cambria Math" w:hAnsi="Cambria Math" w:cs="Arial"/>
                                    </w:rPr>
                                    <m:t>t</m:t>
                                  </m:r>
                                </m:e>
                              </m:d>
                            </m:num>
                            <m:den>
                              <m:r>
                                <w:rPr>
                                  <w:rFonts w:ascii="Cambria Math" w:hAnsi="Cambria Math" w:cs="Arial"/>
                                </w:rPr>
                                <m:t>α</m:t>
                              </m:r>
                            </m:den>
                          </m:f>
                          <m:r>
                            <w:rPr>
                              <w:rFonts w:ascii="Cambria Math" w:hAnsi="Cambria Math" w:cs="Arial"/>
                            </w:rPr>
                            <m:t>=m</m:t>
                          </m:r>
                          <m:d>
                            <m:dPr>
                              <m:ctrlPr>
                                <w:rPr>
                                  <w:rFonts w:ascii="Cambria Math" w:hAnsi="Cambria Math" w:cs="Arial"/>
                                  <w:i/>
                                </w:rPr>
                              </m:ctrlPr>
                            </m:dPr>
                            <m:e>
                              <m:r>
                                <w:rPr>
                                  <w:rFonts w:ascii="Cambria Math" w:hAnsi="Cambria Math" w:cs="Arial"/>
                                </w:rPr>
                                <m:t>t</m:t>
                              </m:r>
                            </m:e>
                          </m:d>
                          <m:r>
                            <w:rPr>
                              <w:rFonts w:ascii="Cambria Math" w:hAnsi="Cambria Math" w:cs="Arial"/>
                            </w:rPr>
                            <m:t>∙</m:t>
                          </m:r>
                          <m:sSub>
                            <m:sSubPr>
                              <m:ctrlPr>
                                <w:rPr>
                                  <w:rFonts w:ascii="Cambria Math" w:hAnsi="Cambria Math" w:cs="Arial"/>
                                  <w:i/>
                                  <w:lang w:val="en-US"/>
                                </w:rPr>
                              </m:ctrlPr>
                            </m:sSubPr>
                            <m:e>
                              <m:r>
                                <w:rPr>
                                  <w:rFonts w:ascii="Cambria Math" w:hAnsi="Cambria Math" w:cs="Arial"/>
                                </w:rPr>
                                <m:t>Y</m:t>
                              </m:r>
                            </m:e>
                            <m:sub>
                              <m:r>
                                <w:rPr>
                                  <w:rFonts w:ascii="Cambria Math" w:hAnsi="Cambria Math" w:cs="Arial"/>
                                </w:rPr>
                                <m:t>xs</m:t>
                              </m:r>
                            </m:sub>
                          </m:sSub>
                          <m:d>
                            <m:dPr>
                              <m:ctrlPr>
                                <w:rPr>
                                  <w:rFonts w:ascii="Cambria Math" w:hAnsi="Cambria Math" w:cs="Arial"/>
                                  <w:i/>
                                </w:rPr>
                              </m:ctrlPr>
                            </m:dPr>
                            <m:e>
                              <m:r>
                                <w:rPr>
                                  <w:rFonts w:ascii="Cambria Math" w:hAnsi="Cambria Math" w:cs="Arial"/>
                                </w:rPr>
                                <m:t>t</m:t>
                              </m:r>
                            </m:e>
                          </m:d>
                          <m:r>
                            <w:rPr>
                              <w:rFonts w:ascii="Cambria Math" w:hAnsi="Cambria Math" w:cs="Arial"/>
                              <w:lang w:val="en-US"/>
                            </w:rPr>
                            <m:t>+</m:t>
                          </m:r>
                          <m:f>
                            <m:fPr>
                              <m:ctrlPr>
                                <w:rPr>
                                  <w:rFonts w:ascii="Cambria Math" w:hAnsi="Cambria Math" w:cs="Arial"/>
                                  <w:i/>
                                </w:rPr>
                              </m:ctrlPr>
                            </m:fPr>
                            <m:num>
                              <m:r>
                                <w:rPr>
                                  <w:rFonts w:ascii="Cambria Math" w:hAnsi="Cambria Math" w:cs="Arial"/>
                                </w:rPr>
                                <m:t>F</m:t>
                              </m:r>
                              <m:d>
                                <m:dPr>
                                  <m:ctrlPr>
                                    <w:rPr>
                                      <w:rFonts w:ascii="Cambria Math" w:hAnsi="Cambria Math" w:cs="Arial"/>
                                      <w:i/>
                                    </w:rPr>
                                  </m:ctrlPr>
                                </m:dPr>
                                <m:e>
                                  <m:r>
                                    <w:rPr>
                                      <w:rFonts w:ascii="Cambria Math" w:hAnsi="Cambria Math" w:cs="Arial"/>
                                    </w:rPr>
                                    <m:t>t</m:t>
                                  </m:r>
                                </m:e>
                              </m:d>
                            </m:num>
                            <m:den>
                              <m:r>
                                <w:rPr>
                                  <w:rFonts w:ascii="Cambria Math" w:hAnsi="Cambria Math" w:cs="Arial"/>
                                </w:rPr>
                                <m:t>W</m:t>
                              </m:r>
                              <m:d>
                                <m:dPr>
                                  <m:ctrlPr>
                                    <w:rPr>
                                      <w:rFonts w:ascii="Cambria Math" w:hAnsi="Cambria Math" w:cs="Arial"/>
                                      <w:i/>
                                    </w:rPr>
                                  </m:ctrlPr>
                                </m:dPr>
                                <m:e>
                                  <m:r>
                                    <w:rPr>
                                      <w:rFonts w:ascii="Cambria Math" w:hAnsi="Cambria Math" w:cs="Arial"/>
                                    </w:rPr>
                                    <m:t>t</m:t>
                                  </m:r>
                                </m:e>
                              </m:d>
                            </m:den>
                          </m:f>
                          <m:r>
                            <w:rPr>
                              <w:rFonts w:ascii="Cambria Math" w:hAnsi="Cambria Math" w:cs="Arial"/>
                            </w:rPr>
                            <m:t>.</m:t>
                          </m:r>
                        </m:e>
                      </m:mr>
                    </m:m>
                  </m:e>
                </m:d>
              </m:oMath>
            </m:oMathPara>
          </w:p>
        </w:tc>
        <w:tc>
          <w:tcPr>
            <w:tcW w:w="815" w:type="dxa"/>
            <w:shd w:val="clear" w:color="auto" w:fill="auto"/>
            <w:vAlign w:val="center"/>
          </w:tcPr>
          <w:p w14:paraId="1B02C019" w14:textId="60F2CC4C" w:rsidR="00C94197" w:rsidRPr="00B57B36" w:rsidRDefault="00C94197" w:rsidP="00C94197">
            <w:pPr>
              <w:pStyle w:val="CETEquation"/>
              <w:jc w:val="right"/>
            </w:pPr>
            <w:r w:rsidRPr="00B57B36">
              <w:t>(</w:t>
            </w:r>
            <w:r>
              <w:t>8</w:t>
            </w:r>
            <w:r w:rsidRPr="00B57B36">
              <w:t>)</w:t>
            </w:r>
          </w:p>
        </w:tc>
      </w:tr>
    </w:tbl>
    <w:p w14:paraId="31FED021" w14:textId="516C9A8C" w:rsidR="00C94197" w:rsidRDefault="00F75FD7" w:rsidP="00200D99">
      <w:pPr>
        <w:pStyle w:val="CETBodytext"/>
        <w:rPr>
          <w:lang w:val="en-GB"/>
        </w:rPr>
      </w:pPr>
      <w:r>
        <w:t>Substituting</w:t>
      </w:r>
      <w:r w:rsidR="00CC599B">
        <w:t xml:space="preserve"> </w:t>
      </w:r>
      <m:oMath>
        <m:r>
          <w:rPr>
            <w:rFonts w:ascii="Cambria Math" w:hAnsi="Cambria Math" w:cs="Arial"/>
          </w:rPr>
          <m:t>α∙m</m:t>
        </m:r>
        <m:d>
          <m:dPr>
            <m:ctrlPr>
              <w:rPr>
                <w:rFonts w:ascii="Cambria Math" w:hAnsi="Cambria Math" w:cs="Arial"/>
                <w:i/>
                <w:lang w:val="en-GB"/>
              </w:rPr>
            </m:ctrlPr>
          </m:dPr>
          <m:e>
            <m:r>
              <w:rPr>
                <w:rFonts w:ascii="Cambria Math" w:hAnsi="Cambria Math" w:cs="Arial"/>
              </w:rPr>
              <m:t>t</m:t>
            </m:r>
          </m:e>
        </m:d>
        <m:r>
          <w:rPr>
            <w:rFonts w:ascii="Cambria Math" w:hAnsi="Cambria Math" w:cs="Arial"/>
          </w:rPr>
          <m:t>∙</m:t>
        </m:r>
        <m:sSub>
          <m:sSubPr>
            <m:ctrlPr>
              <w:rPr>
                <w:rFonts w:ascii="Cambria Math" w:hAnsi="Cambria Math" w:cs="Arial"/>
                <w:i/>
              </w:rPr>
            </m:ctrlPr>
          </m:sSubPr>
          <m:e>
            <m:r>
              <w:rPr>
                <w:rFonts w:ascii="Cambria Math" w:hAnsi="Cambria Math" w:cs="Arial"/>
              </w:rPr>
              <m:t>Y</m:t>
            </m:r>
          </m:e>
          <m:sub>
            <m:r>
              <w:rPr>
                <w:rFonts w:ascii="Cambria Math" w:hAnsi="Cambria Math" w:cs="Arial"/>
              </w:rPr>
              <m:t>xs</m:t>
            </m:r>
          </m:sub>
        </m:sSub>
        <m:d>
          <m:dPr>
            <m:ctrlPr>
              <w:rPr>
                <w:rFonts w:ascii="Cambria Math" w:hAnsi="Cambria Math" w:cs="Arial"/>
                <w:i/>
                <w:lang w:val="en-GB"/>
              </w:rPr>
            </m:ctrlPr>
          </m:dPr>
          <m:e>
            <m:r>
              <w:rPr>
                <w:rFonts w:ascii="Cambria Math" w:hAnsi="Cambria Math" w:cs="Arial"/>
              </w:rPr>
              <m:t>t</m:t>
            </m:r>
          </m:e>
        </m:d>
      </m:oMath>
      <w:r w:rsidR="00CC599B">
        <w:rPr>
          <w:lang w:val="en-GB"/>
        </w:rPr>
        <w:t xml:space="preserve"> </w:t>
      </w:r>
      <w:r w:rsidR="00F35E93">
        <w:rPr>
          <w:lang w:val="en-GB"/>
        </w:rPr>
        <w:t>and reshaping Eq(8) results in</w:t>
      </w:r>
    </w:p>
    <w:tbl>
      <w:tblPr>
        <w:tblW w:w="5000" w:type="pct"/>
        <w:tblLook w:val="04A0" w:firstRow="1" w:lastRow="0" w:firstColumn="1" w:lastColumn="0" w:noHBand="0" w:noVBand="1"/>
      </w:tblPr>
      <w:tblGrid>
        <w:gridCol w:w="7985"/>
        <w:gridCol w:w="802"/>
      </w:tblGrid>
      <w:tr w:rsidR="00F35E93" w:rsidRPr="00B57B36" w14:paraId="01F41E26" w14:textId="77777777" w:rsidTr="00422A87">
        <w:tc>
          <w:tcPr>
            <w:tcW w:w="8188" w:type="dxa"/>
            <w:shd w:val="clear" w:color="auto" w:fill="auto"/>
            <w:vAlign w:val="center"/>
          </w:tcPr>
          <w:p w14:paraId="3702E9F5" w14:textId="24109E2A" w:rsidR="00F35E93" w:rsidRPr="00EC4568" w:rsidRDefault="001D5EE7" w:rsidP="00D37749">
            <w:pPr>
              <w:pStyle w:val="CETEquation"/>
              <w:rPr>
                <w:rFonts w:cs="Arial"/>
                <w:i/>
                <w:lang w:val="ru-RU"/>
              </w:rPr>
            </w:pPr>
            <m:oMathPara>
              <m:oMath>
                <m:d>
                  <m:dPr>
                    <m:begChr m:val="{"/>
                    <m:endChr m:val=""/>
                    <m:ctrlPr>
                      <w:rPr>
                        <w:rFonts w:ascii="Cambria Math" w:hAnsi="Cambria Math" w:cs="Arial"/>
                        <w:i/>
                      </w:rPr>
                    </m:ctrlPr>
                  </m:dPr>
                  <m:e>
                    <m:m>
                      <m:mPr>
                        <m:mcs>
                          <m:mc>
                            <m:mcPr>
                              <m:count m:val="1"/>
                              <m:mcJc m:val="center"/>
                            </m:mcPr>
                          </m:mc>
                        </m:mcs>
                        <m:ctrlPr>
                          <w:rPr>
                            <w:rFonts w:ascii="Cambria Math" w:hAnsi="Cambria Math" w:cs="Arial"/>
                            <w:i/>
                          </w:rPr>
                        </m:ctrlPr>
                      </m:mPr>
                      <m:mr>
                        <m:e>
                          <m:r>
                            <w:rPr>
                              <w:rFonts w:ascii="Cambria Math" w:hAnsi="Cambria Math" w:cs="Arial"/>
                            </w:rPr>
                            <m:t>σ</m:t>
                          </m:r>
                          <m:d>
                            <m:dPr>
                              <m:ctrlPr>
                                <w:rPr>
                                  <w:rFonts w:ascii="Cambria Math" w:hAnsi="Cambria Math" w:cs="Arial"/>
                                  <w:i/>
                                </w:rPr>
                              </m:ctrlPr>
                            </m:dPr>
                            <m:e>
                              <m:r>
                                <w:rPr>
                                  <w:rFonts w:ascii="Cambria Math" w:hAnsi="Cambria Math" w:cs="Arial"/>
                                </w:rPr>
                                <m:t>t</m:t>
                              </m:r>
                            </m:e>
                          </m:d>
                          <m:r>
                            <w:rPr>
                              <w:rFonts w:ascii="Cambria Math" w:hAnsi="Cambria Math" w:cs="Arial"/>
                            </w:rPr>
                            <m:t>∙X</m:t>
                          </m:r>
                          <m:d>
                            <m:dPr>
                              <m:ctrlPr>
                                <w:rPr>
                                  <w:rFonts w:ascii="Cambria Math" w:hAnsi="Cambria Math" w:cs="Arial"/>
                                  <w:i/>
                                </w:rPr>
                              </m:ctrlPr>
                            </m:dPr>
                            <m:e>
                              <m:r>
                                <w:rPr>
                                  <w:rFonts w:ascii="Cambria Math" w:hAnsi="Cambria Math" w:cs="Arial"/>
                                </w:rPr>
                                <m:t>t</m:t>
                              </m:r>
                            </m:e>
                          </m:d>
                          <m:r>
                            <w:rPr>
                              <w:rFonts w:ascii="Cambria Math" w:hAnsi="Cambria Math" w:cs="Arial"/>
                            </w:rPr>
                            <m:t>=</m:t>
                          </m:r>
                          <m:f>
                            <m:fPr>
                              <m:ctrlPr>
                                <w:rPr>
                                  <w:rFonts w:ascii="Cambria Math" w:hAnsi="Cambria Math" w:cs="Arial"/>
                                  <w:i/>
                                </w:rPr>
                              </m:ctrlPr>
                            </m:fPr>
                            <m:num>
                              <m:r>
                                <w:rPr>
                                  <w:rFonts w:ascii="Cambria Math" w:hAnsi="Cambria Math" w:cs="Arial"/>
                                </w:rPr>
                                <m:t>OUR</m:t>
                              </m:r>
                              <m:d>
                                <m:dPr>
                                  <m:ctrlPr>
                                    <w:rPr>
                                      <w:rFonts w:ascii="Cambria Math" w:hAnsi="Cambria Math" w:cs="Arial"/>
                                      <w:i/>
                                    </w:rPr>
                                  </m:ctrlPr>
                                </m:dPr>
                                <m:e>
                                  <m:r>
                                    <w:rPr>
                                      <w:rFonts w:ascii="Cambria Math" w:hAnsi="Cambria Math" w:cs="Arial"/>
                                    </w:rPr>
                                    <m:t>t</m:t>
                                  </m:r>
                                </m:e>
                              </m:d>
                            </m:num>
                            <m:den>
                              <m:r>
                                <w:rPr>
                                  <w:rFonts w:ascii="Cambria Math" w:hAnsi="Cambria Math" w:cs="Arial"/>
                                </w:rPr>
                                <m:t>α∙</m:t>
                              </m:r>
                              <m:sSub>
                                <m:sSubPr>
                                  <m:ctrlPr>
                                    <w:rPr>
                                      <w:rFonts w:ascii="Cambria Math" w:hAnsi="Cambria Math" w:cs="Arial"/>
                                      <w:i/>
                                      <w:lang w:val="en-US"/>
                                    </w:rPr>
                                  </m:ctrlPr>
                                </m:sSubPr>
                                <m:e>
                                  <m:r>
                                    <w:rPr>
                                      <w:rFonts w:ascii="Cambria Math" w:hAnsi="Cambria Math" w:cs="Arial"/>
                                    </w:rPr>
                                    <m:t>Y</m:t>
                                  </m:r>
                                </m:e>
                                <m:sub>
                                  <m:r>
                                    <w:rPr>
                                      <w:rFonts w:ascii="Cambria Math" w:hAnsi="Cambria Math" w:cs="Arial"/>
                                    </w:rPr>
                                    <m:t>xs</m:t>
                                  </m:r>
                                </m:sub>
                              </m:sSub>
                              <m:d>
                                <m:dPr>
                                  <m:ctrlPr>
                                    <w:rPr>
                                      <w:rFonts w:ascii="Cambria Math" w:hAnsi="Cambria Math" w:cs="Arial"/>
                                      <w:i/>
                                    </w:rPr>
                                  </m:ctrlPr>
                                </m:dPr>
                                <m:e>
                                  <m:r>
                                    <w:rPr>
                                      <w:rFonts w:ascii="Cambria Math" w:hAnsi="Cambria Math" w:cs="Arial"/>
                                    </w:rPr>
                                    <m:t>t</m:t>
                                  </m:r>
                                </m:e>
                              </m:d>
                            </m:den>
                          </m:f>
                          <m:r>
                            <w:rPr>
                              <w:rFonts w:ascii="Cambria Math" w:hAnsi="Cambria Math" w:cs="Arial"/>
                            </w:rPr>
                            <m:t>;</m:t>
                          </m:r>
                        </m:e>
                      </m:mr>
                      <m:mr>
                        <m:e>
                          <m:sSup>
                            <m:sSupPr>
                              <m:ctrlPr>
                                <w:rPr>
                                  <w:rFonts w:ascii="Cambria Math" w:hAnsi="Cambria Math" w:cs="Arial"/>
                                  <w:i/>
                                </w:rPr>
                              </m:ctrlPr>
                            </m:sSupPr>
                            <m:e>
                              <m:r>
                                <w:rPr>
                                  <w:rFonts w:ascii="Cambria Math" w:hAnsi="Cambria Math" w:cs="Arial"/>
                                </w:rPr>
                                <m:t>β</m:t>
                              </m:r>
                            </m:e>
                            <m:sup>
                              <m:r>
                                <w:rPr>
                                  <w:rFonts w:ascii="Cambria Math" w:hAnsi="Cambria Math" w:cs="Arial"/>
                                </w:rPr>
                                <m:t>*</m:t>
                              </m:r>
                            </m:sup>
                          </m:sSup>
                          <m:d>
                            <m:dPr>
                              <m:ctrlPr>
                                <w:rPr>
                                  <w:rFonts w:ascii="Cambria Math" w:hAnsi="Cambria Math" w:cs="Arial"/>
                                  <w:i/>
                                </w:rPr>
                              </m:ctrlPr>
                            </m:dPr>
                            <m:e>
                              <m:r>
                                <w:rPr>
                                  <w:rFonts w:ascii="Cambria Math" w:hAnsi="Cambria Math" w:cs="Arial"/>
                                </w:rPr>
                                <m:t>t</m:t>
                              </m:r>
                            </m:e>
                          </m:d>
                          <m:r>
                            <w:rPr>
                              <w:rFonts w:ascii="Cambria Math" w:hAnsi="Cambria Math" w:cs="Arial"/>
                            </w:rPr>
                            <m:t>≡α∙m</m:t>
                          </m:r>
                          <m:d>
                            <m:dPr>
                              <m:ctrlPr>
                                <w:rPr>
                                  <w:rFonts w:ascii="Cambria Math" w:hAnsi="Cambria Math" w:cs="Arial"/>
                                  <w:i/>
                                </w:rPr>
                              </m:ctrlPr>
                            </m:dPr>
                            <m:e>
                              <m:r>
                                <w:rPr>
                                  <w:rFonts w:ascii="Cambria Math" w:hAnsi="Cambria Math" w:cs="Arial"/>
                                </w:rPr>
                                <m:t>t</m:t>
                              </m:r>
                            </m:e>
                          </m:d>
                          <m:r>
                            <w:rPr>
                              <w:rFonts w:ascii="Cambria Math" w:hAnsi="Cambria Math" w:cs="Arial"/>
                            </w:rPr>
                            <m:t>∙</m:t>
                          </m:r>
                          <m:sSub>
                            <m:sSubPr>
                              <m:ctrlPr>
                                <w:rPr>
                                  <w:rFonts w:ascii="Cambria Math" w:hAnsi="Cambria Math" w:cs="Arial"/>
                                  <w:i/>
                                </w:rPr>
                              </m:ctrlPr>
                            </m:sSubPr>
                            <m:e>
                              <m:r>
                                <w:rPr>
                                  <w:rFonts w:ascii="Cambria Math" w:hAnsi="Cambria Math" w:cs="Arial"/>
                                </w:rPr>
                                <m:t>Y</m:t>
                              </m:r>
                            </m:e>
                            <m:sub>
                              <m:r>
                                <w:rPr>
                                  <w:rFonts w:ascii="Cambria Math" w:hAnsi="Cambria Math" w:cs="Arial"/>
                                </w:rPr>
                                <m:t>xs</m:t>
                              </m:r>
                            </m:sub>
                          </m:sSub>
                          <m:d>
                            <m:dPr>
                              <m:ctrlPr>
                                <w:rPr>
                                  <w:rFonts w:ascii="Cambria Math" w:hAnsi="Cambria Math" w:cs="Arial"/>
                                  <w:i/>
                                </w:rPr>
                              </m:ctrlPr>
                            </m:dPr>
                            <m:e>
                              <m:r>
                                <w:rPr>
                                  <w:rFonts w:ascii="Cambria Math" w:hAnsi="Cambria Math" w:cs="Arial"/>
                                </w:rPr>
                                <m:t>t</m:t>
                              </m:r>
                            </m:e>
                          </m:d>
                          <m:r>
                            <w:rPr>
                              <w:rFonts w:ascii="Cambria Math" w:hAnsi="Cambria Math" w:cs="Arial"/>
                            </w:rPr>
                            <m:t>;</m:t>
                          </m:r>
                        </m:e>
                      </m:mr>
                      <m:mr>
                        <m:e>
                          <m:r>
                            <w:rPr>
                              <w:rFonts w:ascii="Cambria Math" w:hAnsi="Cambria Math" w:cs="Arial"/>
                            </w:rPr>
                            <m:t>β</m:t>
                          </m:r>
                          <m:d>
                            <m:dPr>
                              <m:ctrlPr>
                                <w:rPr>
                                  <w:rFonts w:ascii="Cambria Math" w:hAnsi="Cambria Math" w:cs="Arial"/>
                                  <w:i/>
                                </w:rPr>
                              </m:ctrlPr>
                            </m:dPr>
                            <m:e>
                              <m:r>
                                <w:rPr>
                                  <w:rFonts w:ascii="Cambria Math" w:hAnsi="Cambria Math" w:cs="Arial"/>
                                </w:rPr>
                                <m:t>t</m:t>
                              </m:r>
                            </m:e>
                          </m:d>
                          <m:r>
                            <w:rPr>
                              <w:rFonts w:ascii="Cambria Math" w:hAnsi="Cambria Math" w:cs="Arial"/>
                            </w:rPr>
                            <m:t>=</m:t>
                          </m:r>
                          <m:sSup>
                            <m:sSupPr>
                              <m:ctrlPr>
                                <w:rPr>
                                  <w:rFonts w:ascii="Cambria Math" w:hAnsi="Cambria Math" w:cs="Arial"/>
                                  <w:i/>
                                  <w:lang w:val="en-US"/>
                                </w:rPr>
                              </m:ctrlPr>
                            </m:sSupPr>
                            <m:e>
                              <m:r>
                                <w:rPr>
                                  <w:rFonts w:ascii="Cambria Math" w:hAnsi="Cambria Math" w:cs="Arial"/>
                                </w:rPr>
                                <m:t>β</m:t>
                              </m:r>
                            </m:e>
                            <m:sup>
                              <m:r>
                                <w:rPr>
                                  <w:rFonts w:ascii="Cambria Math" w:hAnsi="Cambria Math" w:cs="Arial"/>
                                </w:rPr>
                                <m:t>*</m:t>
                              </m:r>
                            </m:sup>
                          </m:sSup>
                          <m:d>
                            <m:dPr>
                              <m:ctrlPr>
                                <w:rPr>
                                  <w:rFonts w:ascii="Cambria Math" w:hAnsi="Cambria Math" w:cs="Arial"/>
                                  <w:i/>
                                </w:rPr>
                              </m:ctrlPr>
                            </m:dPr>
                            <m:e>
                              <m:r>
                                <w:rPr>
                                  <w:rFonts w:ascii="Cambria Math" w:hAnsi="Cambria Math" w:cs="Arial"/>
                                </w:rPr>
                                <m:t>t</m:t>
                              </m:r>
                            </m:e>
                          </m:d>
                          <m:r>
                            <w:rPr>
                              <w:rFonts w:ascii="Cambria Math" w:hAnsi="Cambria Math" w:cs="Arial"/>
                              <w:lang w:val="en-US"/>
                            </w:rPr>
                            <m:t>+</m:t>
                          </m:r>
                          <m:r>
                            <w:rPr>
                              <w:rFonts w:ascii="Cambria Math" w:hAnsi="Cambria Math" w:cs="Arial"/>
                            </w:rPr>
                            <m:t>α∙</m:t>
                          </m:r>
                          <m:f>
                            <m:fPr>
                              <m:ctrlPr>
                                <w:rPr>
                                  <w:rFonts w:ascii="Cambria Math" w:hAnsi="Cambria Math" w:cs="Arial"/>
                                  <w:i/>
                                </w:rPr>
                              </m:ctrlPr>
                            </m:fPr>
                            <m:num>
                              <m:r>
                                <w:rPr>
                                  <w:rFonts w:ascii="Cambria Math" w:hAnsi="Cambria Math" w:cs="Arial"/>
                                </w:rPr>
                                <m:t>F</m:t>
                              </m:r>
                              <m:d>
                                <m:dPr>
                                  <m:ctrlPr>
                                    <w:rPr>
                                      <w:rFonts w:ascii="Cambria Math" w:hAnsi="Cambria Math" w:cs="Arial"/>
                                      <w:i/>
                                    </w:rPr>
                                  </m:ctrlPr>
                                </m:dPr>
                                <m:e>
                                  <m:r>
                                    <w:rPr>
                                      <w:rFonts w:ascii="Cambria Math" w:hAnsi="Cambria Math" w:cs="Arial"/>
                                    </w:rPr>
                                    <m:t>t</m:t>
                                  </m:r>
                                </m:e>
                              </m:d>
                            </m:num>
                            <m:den>
                              <m:r>
                                <w:rPr>
                                  <w:rFonts w:ascii="Cambria Math" w:hAnsi="Cambria Math" w:cs="Arial"/>
                                </w:rPr>
                                <m:t>W</m:t>
                              </m:r>
                              <m:d>
                                <m:dPr>
                                  <m:ctrlPr>
                                    <w:rPr>
                                      <w:rFonts w:ascii="Cambria Math" w:hAnsi="Cambria Math" w:cs="Arial"/>
                                      <w:i/>
                                    </w:rPr>
                                  </m:ctrlPr>
                                </m:dPr>
                                <m:e>
                                  <m:r>
                                    <w:rPr>
                                      <w:rFonts w:ascii="Cambria Math" w:hAnsi="Cambria Math" w:cs="Arial"/>
                                    </w:rPr>
                                    <m:t>t</m:t>
                                  </m:r>
                                </m:e>
                              </m:d>
                            </m:den>
                          </m:f>
                          <m:r>
                            <w:rPr>
                              <w:rFonts w:ascii="Cambria Math" w:hAnsi="Cambria Math" w:cs="Arial"/>
                            </w:rPr>
                            <m:t>.</m:t>
                          </m:r>
                        </m:e>
                      </m:mr>
                    </m:m>
                  </m:e>
                </m:d>
              </m:oMath>
            </m:oMathPara>
          </w:p>
        </w:tc>
        <w:tc>
          <w:tcPr>
            <w:tcW w:w="815" w:type="dxa"/>
            <w:shd w:val="clear" w:color="auto" w:fill="auto"/>
            <w:vAlign w:val="center"/>
          </w:tcPr>
          <w:p w14:paraId="05D61BC6" w14:textId="270F8FFC" w:rsidR="00F35E93" w:rsidRPr="00B57B36" w:rsidRDefault="00F35E93" w:rsidP="00422A87">
            <w:pPr>
              <w:pStyle w:val="CETEquation"/>
              <w:jc w:val="right"/>
            </w:pPr>
            <w:r w:rsidRPr="00B57B36">
              <w:t>(</w:t>
            </w:r>
            <w:r w:rsidR="00F75FD7">
              <w:t>9</w:t>
            </w:r>
            <w:r w:rsidRPr="00B57B36">
              <w:t>)</w:t>
            </w:r>
          </w:p>
        </w:tc>
      </w:tr>
    </w:tbl>
    <w:p w14:paraId="3A120986" w14:textId="3418FFF4" w:rsidR="00F35E93" w:rsidRDefault="00422A87" w:rsidP="00200D99">
      <w:pPr>
        <w:pStyle w:val="CETBodytext"/>
      </w:pPr>
      <w:r>
        <w:t xml:space="preserve">Replacing the maintenance in Eq(1) with the new form of Eq(9) produces a different form of </w:t>
      </w:r>
      <w:r w:rsidR="008604B1">
        <w:t xml:space="preserve">the </w:t>
      </w:r>
      <w:r>
        <w:t>Luedeking-Piret model as follows</w:t>
      </w:r>
    </w:p>
    <w:tbl>
      <w:tblPr>
        <w:tblW w:w="5000" w:type="pct"/>
        <w:tblLook w:val="04A0" w:firstRow="1" w:lastRow="0" w:firstColumn="1" w:lastColumn="0" w:noHBand="0" w:noVBand="1"/>
      </w:tblPr>
      <w:tblGrid>
        <w:gridCol w:w="7980"/>
        <w:gridCol w:w="807"/>
      </w:tblGrid>
      <w:tr w:rsidR="00422A87" w:rsidRPr="00B57B36" w14:paraId="2BFFB04B" w14:textId="77777777" w:rsidTr="00422A87">
        <w:tc>
          <w:tcPr>
            <w:tcW w:w="8188" w:type="dxa"/>
            <w:shd w:val="clear" w:color="auto" w:fill="auto"/>
            <w:vAlign w:val="center"/>
          </w:tcPr>
          <w:p w14:paraId="3392B0FF" w14:textId="26518786" w:rsidR="00422A87" w:rsidRPr="00EC4568" w:rsidRDefault="00422A87" w:rsidP="00422A87">
            <w:pPr>
              <w:pStyle w:val="CETEquation"/>
              <w:rPr>
                <w:rFonts w:cs="Arial"/>
                <w:i/>
                <w:lang w:val="ru-RU"/>
              </w:rPr>
            </w:pPr>
            <m:oMathPara>
              <m:oMath>
                <m:r>
                  <w:rPr>
                    <w:rFonts w:ascii="Cambria Math" w:hAnsi="Cambria Math" w:cs="Arial"/>
                  </w:rPr>
                  <m:t>OUR</m:t>
                </m:r>
                <m:d>
                  <m:dPr>
                    <m:ctrlPr>
                      <w:rPr>
                        <w:rFonts w:ascii="Cambria Math" w:hAnsi="Cambria Math" w:cs="Arial"/>
                        <w:i/>
                      </w:rPr>
                    </m:ctrlPr>
                  </m:dPr>
                  <m:e>
                    <m:r>
                      <w:rPr>
                        <w:rFonts w:ascii="Cambria Math" w:hAnsi="Cambria Math" w:cs="Arial"/>
                      </w:rPr>
                      <m:t>t</m:t>
                    </m:r>
                  </m:e>
                </m:d>
                <m:r>
                  <w:rPr>
                    <w:rFonts w:ascii="Cambria Math" w:hAnsi="Cambria Math" w:cs="Arial"/>
                  </w:rPr>
                  <m:t>-α∙</m:t>
                </m:r>
                <m:f>
                  <m:fPr>
                    <m:ctrlPr>
                      <w:rPr>
                        <w:rFonts w:ascii="Cambria Math" w:hAnsi="Cambria Math" w:cs="Arial"/>
                        <w:i/>
                      </w:rPr>
                    </m:ctrlPr>
                  </m:fPr>
                  <m:num>
                    <m:r>
                      <w:rPr>
                        <w:rFonts w:ascii="Cambria Math" w:hAnsi="Cambria Math" w:cs="Arial"/>
                      </w:rPr>
                      <m:t>F</m:t>
                    </m:r>
                    <m:d>
                      <m:dPr>
                        <m:ctrlPr>
                          <w:rPr>
                            <w:rFonts w:ascii="Cambria Math" w:hAnsi="Cambria Math" w:cs="Arial"/>
                            <w:i/>
                          </w:rPr>
                        </m:ctrlPr>
                      </m:dPr>
                      <m:e>
                        <m:r>
                          <w:rPr>
                            <w:rFonts w:ascii="Cambria Math" w:hAnsi="Cambria Math" w:cs="Arial"/>
                          </w:rPr>
                          <m:t>t</m:t>
                        </m:r>
                      </m:e>
                    </m:d>
                  </m:num>
                  <m:den>
                    <m:r>
                      <w:rPr>
                        <w:rFonts w:ascii="Cambria Math" w:hAnsi="Cambria Math" w:cs="Arial"/>
                      </w:rPr>
                      <m:t>W</m:t>
                    </m:r>
                    <m:d>
                      <m:dPr>
                        <m:ctrlPr>
                          <w:rPr>
                            <w:rFonts w:ascii="Cambria Math" w:hAnsi="Cambria Math" w:cs="Arial"/>
                            <w:i/>
                          </w:rPr>
                        </m:ctrlPr>
                      </m:dPr>
                      <m:e>
                        <m:r>
                          <w:rPr>
                            <w:rFonts w:ascii="Cambria Math" w:hAnsi="Cambria Math" w:cs="Arial"/>
                          </w:rPr>
                          <m:t>t</m:t>
                        </m:r>
                      </m:e>
                    </m:d>
                  </m:den>
                </m:f>
                <m:r>
                  <w:rPr>
                    <w:rFonts w:ascii="Cambria Math" w:hAnsi="Cambria Math" w:cs="Arial"/>
                  </w:rPr>
                  <m:t>=α∙</m:t>
                </m:r>
                <m:sSup>
                  <m:sSupPr>
                    <m:ctrlPr>
                      <w:rPr>
                        <w:rFonts w:ascii="Cambria Math" w:hAnsi="Cambria Math" w:cs="Arial"/>
                        <w:i/>
                      </w:rPr>
                    </m:ctrlPr>
                  </m:sSupPr>
                  <m:e>
                    <m:r>
                      <w:rPr>
                        <w:rFonts w:ascii="Cambria Math" w:hAnsi="Cambria Math" w:cs="Arial"/>
                      </w:rPr>
                      <m:t>X</m:t>
                    </m:r>
                  </m:e>
                  <m:sup>
                    <m:r>
                      <w:rPr>
                        <w:rFonts w:ascii="Cambria Math" w:hAnsi="Cambria Math" w:cs="Arial"/>
                      </w:rPr>
                      <m:t>'</m:t>
                    </m:r>
                  </m:sup>
                </m:sSup>
                <m:d>
                  <m:dPr>
                    <m:ctrlPr>
                      <w:rPr>
                        <w:rFonts w:ascii="Cambria Math" w:hAnsi="Cambria Math" w:cs="Arial"/>
                        <w:i/>
                      </w:rPr>
                    </m:ctrlPr>
                  </m:dPr>
                  <m:e>
                    <m:r>
                      <w:rPr>
                        <w:rFonts w:ascii="Cambria Math" w:hAnsi="Cambria Math" w:cs="Arial"/>
                      </w:rPr>
                      <m:t>t</m:t>
                    </m:r>
                  </m:e>
                </m:d>
                <m:r>
                  <w:rPr>
                    <w:rFonts w:ascii="Cambria Math" w:hAnsi="Cambria Math" w:cs="Arial"/>
                  </w:rPr>
                  <m:t>+</m:t>
                </m:r>
                <m:sSup>
                  <m:sSupPr>
                    <m:ctrlPr>
                      <w:rPr>
                        <w:rFonts w:ascii="Cambria Math" w:hAnsi="Cambria Math" w:cs="Arial"/>
                        <w:i/>
                        <w:lang w:val="en-US"/>
                      </w:rPr>
                    </m:ctrlPr>
                  </m:sSupPr>
                  <m:e>
                    <m:r>
                      <w:rPr>
                        <w:rFonts w:ascii="Cambria Math" w:hAnsi="Cambria Math" w:cs="Arial"/>
                      </w:rPr>
                      <m:t>β</m:t>
                    </m:r>
                  </m:e>
                  <m:sup>
                    <m:r>
                      <w:rPr>
                        <w:rFonts w:ascii="Cambria Math" w:hAnsi="Cambria Math" w:cs="Arial"/>
                      </w:rPr>
                      <m:t>*</m:t>
                    </m:r>
                  </m:sup>
                </m:sSup>
                <m:d>
                  <m:dPr>
                    <m:ctrlPr>
                      <w:rPr>
                        <w:rFonts w:ascii="Cambria Math" w:hAnsi="Cambria Math" w:cs="Arial"/>
                        <w:i/>
                      </w:rPr>
                    </m:ctrlPr>
                  </m:dPr>
                  <m:e>
                    <m:r>
                      <w:rPr>
                        <w:rFonts w:ascii="Cambria Math" w:hAnsi="Cambria Math" w:cs="Arial"/>
                      </w:rPr>
                      <m:t>t</m:t>
                    </m:r>
                  </m:e>
                </m:d>
                <m:r>
                  <w:rPr>
                    <w:rFonts w:ascii="Cambria Math" w:hAnsi="Cambria Math" w:cs="Arial"/>
                  </w:rPr>
                  <m:t>∙X</m:t>
                </m:r>
                <m:d>
                  <m:dPr>
                    <m:ctrlPr>
                      <w:rPr>
                        <w:rFonts w:ascii="Cambria Math" w:hAnsi="Cambria Math" w:cs="Arial"/>
                        <w:i/>
                      </w:rPr>
                    </m:ctrlPr>
                  </m:dPr>
                  <m:e>
                    <m:r>
                      <w:rPr>
                        <w:rFonts w:ascii="Cambria Math" w:hAnsi="Cambria Math" w:cs="Arial"/>
                      </w:rPr>
                      <m:t>t</m:t>
                    </m:r>
                  </m:e>
                </m:d>
                <m:r>
                  <w:rPr>
                    <w:rFonts w:ascii="Cambria Math" w:hAnsi="Cambria Math" w:cs="Arial"/>
                  </w:rPr>
                  <m:t>,</m:t>
                </m:r>
              </m:oMath>
            </m:oMathPara>
          </w:p>
        </w:tc>
        <w:tc>
          <w:tcPr>
            <w:tcW w:w="815" w:type="dxa"/>
            <w:shd w:val="clear" w:color="auto" w:fill="auto"/>
            <w:vAlign w:val="center"/>
          </w:tcPr>
          <w:p w14:paraId="1D9D0619" w14:textId="20C8E584" w:rsidR="00422A87" w:rsidRPr="00B57B36" w:rsidRDefault="00422A87" w:rsidP="00422A87">
            <w:pPr>
              <w:pStyle w:val="CETEquation"/>
              <w:jc w:val="right"/>
            </w:pPr>
            <w:r w:rsidRPr="00B57B36">
              <w:t>(1</w:t>
            </w:r>
            <w:r>
              <w:t>0</w:t>
            </w:r>
            <w:r w:rsidRPr="00B57B36">
              <w:t>)</w:t>
            </w:r>
          </w:p>
        </w:tc>
      </w:tr>
    </w:tbl>
    <w:p w14:paraId="37338CDA" w14:textId="115D085A" w:rsidR="00422A87" w:rsidRDefault="00422A87" w:rsidP="00200D99">
      <w:pPr>
        <w:pStyle w:val="CETBodytext"/>
      </w:pPr>
      <w:r>
        <w:t xml:space="preserve">The physical meaning of the dilution term in Eq(10) </w:t>
      </w:r>
      <w:r w:rsidR="008604B1">
        <w:t>justifies</w:t>
      </w:r>
      <w:r>
        <w:t xml:space="preserve"> the </w:t>
      </w:r>
      <w:r w:rsidR="001110E5">
        <w:t>statement</w:t>
      </w:r>
      <w:r>
        <w:t xml:space="preserve"> that</w:t>
      </w:r>
      <w:r w:rsidR="001110E5">
        <w:t xml:space="preserve"> the left side of</w:t>
      </w:r>
      <w:r>
        <w:t xml:space="preserve"> Eq(10) represents the </w:t>
      </w:r>
      <w:r w:rsidRPr="00422A87">
        <w:rPr>
          <w:i/>
        </w:rPr>
        <w:t>OUR</w:t>
      </w:r>
      <w:r>
        <w:t xml:space="preserve"> signal as oxygen uptake rate per liter of the bioreactor medium. Meanwhile</w:t>
      </w:r>
      <w:r w:rsidR="008604B1">
        <w:t>,</w:t>
      </w:r>
      <w:r w:rsidR="001110E5">
        <w:t xml:space="preserve"> Eq(1) assumingly postulates that the left side of the equation is the total oxygen uptake rate in, e.g.</w:t>
      </w:r>
      <w:r w:rsidR="008604B1">
        <w:t>,</w:t>
      </w:r>
      <w:r w:rsidR="001110E5">
        <w:t xml:space="preserve"> oxygen grams per hour. In other words, when there is no growth term in Eq(10)</w:t>
      </w:r>
      <w:r w:rsidR="008604B1">
        <w:t>,</w:t>
      </w:r>
      <w:r w:rsidR="001110E5">
        <w:t xml:space="preserve"> the total oxygen uptake rate matches the total maintenance for </w:t>
      </w:r>
      <w:r w:rsidR="008604B1">
        <w:t xml:space="preserve">the </w:t>
      </w:r>
      <w:r w:rsidR="001110E5">
        <w:t>viability of the biomass</w:t>
      </w:r>
      <w:r w:rsidR="008604B1">
        <w:t>. T</w:t>
      </w:r>
      <w:r w:rsidR="001110E5">
        <w:t xml:space="preserve">he </w:t>
      </w:r>
      <w:r w:rsidR="00A03757" w:rsidRPr="00EE1BD5">
        <w:rPr>
          <w:i/>
        </w:rPr>
        <w:t>OUR</w:t>
      </w:r>
      <w:r w:rsidR="00A03757">
        <w:t xml:space="preserve"> </w:t>
      </w:r>
      <w:r w:rsidR="00543121">
        <w:t>"</w:t>
      </w:r>
      <w:r w:rsidR="00A03757">
        <w:t>concentration</w:t>
      </w:r>
      <w:r w:rsidR="00543121">
        <w:t>"</w:t>
      </w:r>
      <w:r w:rsidR="00A03757">
        <w:t xml:space="preserve"> per liter</w:t>
      </w:r>
      <w:r w:rsidR="00EE1BD5">
        <w:t xml:space="preserve"> (as in Eq(10))</w:t>
      </w:r>
      <w:r w:rsidR="00A03757">
        <w:t xml:space="preserve"> will decrease</w:t>
      </w:r>
      <w:r w:rsidR="006716F7">
        <w:t>/increase</w:t>
      </w:r>
      <w:r w:rsidR="00A03757">
        <w:t xml:space="preserve"> </w:t>
      </w:r>
      <w:r w:rsidR="008604B1">
        <w:t>since</w:t>
      </w:r>
      <w:r w:rsidR="00A03757">
        <w:t xml:space="preserve"> the volume </w:t>
      </w:r>
      <w:r w:rsidR="00EE1BD5">
        <w:t>accumulation</w:t>
      </w:r>
      <w:r w:rsidR="00B663F5">
        <w:t xml:space="preserve"> or reduction</w:t>
      </w:r>
      <w:r w:rsidR="00EE1BD5">
        <w:t xml:space="preserve"> occurs</w:t>
      </w:r>
      <w:r w:rsidR="00B663F5">
        <w:t>. The former is true</w:t>
      </w:r>
      <w:r w:rsidR="00EE1BD5">
        <w:t xml:space="preserve"> when feeding </w:t>
      </w:r>
      <w:r w:rsidR="008604B1">
        <w:t>specific</w:t>
      </w:r>
      <w:r w:rsidR="00B663F5">
        <w:t xml:space="preserve"> </w:t>
      </w:r>
      <w:r w:rsidR="00A57AB2">
        <w:t>substrates</w:t>
      </w:r>
      <w:r w:rsidR="008604B1">
        <w:t>,</w:t>
      </w:r>
      <w:r w:rsidR="00B663F5">
        <w:t xml:space="preserve"> and the latter</w:t>
      </w:r>
      <w:r w:rsidR="00EE1BD5">
        <w:t xml:space="preserve"> </w:t>
      </w:r>
      <w:r w:rsidR="00A57AB2">
        <w:t xml:space="preserve">might </w:t>
      </w:r>
      <w:r w:rsidR="008604B1">
        <w:t>result from</w:t>
      </w:r>
      <w:r w:rsidR="00EE1BD5">
        <w:t xml:space="preserve"> </w:t>
      </w:r>
      <w:r w:rsidR="008604B1">
        <w:t xml:space="preserve">the </w:t>
      </w:r>
      <w:r w:rsidR="00EE1BD5">
        <w:t>evaporation</w:t>
      </w:r>
      <w:r w:rsidR="00A57AB2">
        <w:t xml:space="preserve"> effect or sampling for analysis</w:t>
      </w:r>
      <w:r w:rsidR="00EE1BD5">
        <w:t>.</w:t>
      </w:r>
      <w:r w:rsidR="00B663F5">
        <w:t xml:space="preserve"> Therefore, </w:t>
      </w:r>
      <w:r w:rsidR="008604B1">
        <w:t>Eq(10) 's left side</w:t>
      </w:r>
      <w:r w:rsidR="00B663F5">
        <w:t xml:space="preserve"> discloses the </w:t>
      </w:r>
      <w:r w:rsidR="007B4694">
        <w:t xml:space="preserve">compensated </w:t>
      </w:r>
      <w:r w:rsidR="00B663F5" w:rsidRPr="00B663F5">
        <w:rPr>
          <w:i/>
        </w:rPr>
        <w:t>OUR</w:t>
      </w:r>
      <w:r w:rsidR="00B663F5">
        <w:t xml:space="preserve"> for sustaining the biomass kinetic properties.</w:t>
      </w:r>
    </w:p>
    <w:p w14:paraId="3CF06983" w14:textId="7FFDFD64" w:rsidR="00CF6549" w:rsidRDefault="00AF5F85" w:rsidP="00200D99">
      <w:pPr>
        <w:pStyle w:val="CETBodytext"/>
      </w:pPr>
      <w:r>
        <w:t>Two relationships</w:t>
      </w:r>
      <w:r w:rsidR="008E4644">
        <w:t xml:space="preserve"> carry practical meaning in Eq(9)</w:t>
      </w:r>
      <w:r w:rsidR="006070B3">
        <w:t>:</w:t>
      </w:r>
    </w:p>
    <w:p w14:paraId="3E16821B" w14:textId="237D988A" w:rsidR="00486395" w:rsidRPr="00180860" w:rsidRDefault="00486395" w:rsidP="00486395">
      <w:pPr>
        <w:pStyle w:val="CETListbullets"/>
        <w:numPr>
          <w:ilvl w:val="0"/>
          <w:numId w:val="13"/>
        </w:numPr>
      </w:pPr>
      <w:r>
        <w:t xml:space="preserve">Stoichiometry coefficient ratio </w:t>
      </w:r>
      <m:oMath>
        <m:f>
          <m:fPr>
            <m:ctrlPr>
              <w:rPr>
                <w:rFonts w:ascii="Cambria Math" w:hAnsi="Cambria Math" w:cs="Arial"/>
                <w:i/>
              </w:rPr>
            </m:ctrlPr>
          </m:fPr>
          <m:num>
            <m:r>
              <w:rPr>
                <w:rFonts w:ascii="Cambria Math" w:hAnsi="Cambria Math" w:cs="Arial"/>
              </w:rPr>
              <m:t>β</m:t>
            </m:r>
            <m:d>
              <m:dPr>
                <m:ctrlPr>
                  <w:rPr>
                    <w:rFonts w:ascii="Cambria Math" w:hAnsi="Cambria Math" w:cs="Arial"/>
                    <w:i/>
                  </w:rPr>
                </m:ctrlPr>
              </m:dPr>
              <m:e>
                <m:r>
                  <w:rPr>
                    <w:rFonts w:ascii="Cambria Math" w:hAnsi="Cambria Math" w:cs="Arial"/>
                  </w:rPr>
                  <m:t>t</m:t>
                </m:r>
              </m:e>
            </m:d>
          </m:num>
          <m:den>
            <m:r>
              <w:rPr>
                <w:rFonts w:ascii="Cambria Math" w:hAnsi="Cambria Math" w:cs="Arial"/>
              </w:rPr>
              <m:t>α</m:t>
            </m:r>
          </m:den>
        </m:f>
      </m:oMath>
      <w:r>
        <w:t xml:space="preserve"> serves as tuning for online estimation of the specific growth rate </w:t>
      </w:r>
      <w:r w:rsidR="00AF5F85">
        <w:t>(</w:t>
      </w:r>
      <m:oMath>
        <m:r>
          <w:rPr>
            <w:rFonts w:ascii="Cambria Math" w:hAnsi="Cambria Math" w:cs="Arial"/>
          </w:rPr>
          <m:t>μ</m:t>
        </m:r>
        <m:d>
          <m:dPr>
            <m:ctrlPr>
              <w:rPr>
                <w:rFonts w:ascii="Cambria Math" w:hAnsi="Cambria Math" w:cs="Arial"/>
                <w:i/>
              </w:rPr>
            </m:ctrlPr>
          </m:dPr>
          <m:e>
            <m:r>
              <w:rPr>
                <w:rFonts w:ascii="Cambria Math" w:hAnsi="Cambria Math" w:cs="Arial"/>
              </w:rPr>
              <m:t>t</m:t>
            </m:r>
          </m:e>
        </m:d>
        <m:r>
          <w:rPr>
            <w:rFonts w:ascii="Cambria Math" w:hAnsi="Cambria Math" w:cs="Arial"/>
          </w:rPr>
          <m:t>=f</m:t>
        </m:r>
        <m:d>
          <m:dPr>
            <m:ctrlPr>
              <w:rPr>
                <w:rFonts w:ascii="Cambria Math" w:hAnsi="Cambria Math" w:cs="Arial"/>
                <w:i/>
              </w:rPr>
            </m:ctrlPr>
          </m:dPr>
          <m:e>
            <m:r>
              <w:rPr>
                <w:rFonts w:ascii="Cambria Math" w:hAnsi="Cambria Math" w:cs="Arial"/>
              </w:rPr>
              <m:t>OUR</m:t>
            </m:r>
            <m:d>
              <m:dPr>
                <m:ctrlPr>
                  <w:rPr>
                    <w:rFonts w:ascii="Cambria Math" w:hAnsi="Cambria Math" w:cs="Arial"/>
                    <w:i/>
                  </w:rPr>
                </m:ctrlPr>
              </m:dPr>
              <m:e>
                <m:r>
                  <w:rPr>
                    <w:rFonts w:ascii="Cambria Math" w:hAnsi="Cambria Math" w:cs="Arial"/>
                  </w:rPr>
                  <m:t>t</m:t>
                </m:r>
              </m:e>
            </m:d>
            <m:r>
              <w:rPr>
                <w:rFonts w:ascii="Cambria Math" w:hAnsi="Cambria Math" w:cs="Arial"/>
              </w:rPr>
              <m:t>,t</m:t>
            </m:r>
          </m:e>
        </m:d>
      </m:oMath>
      <w:r w:rsidR="00AF5F85">
        <w:t>)</w:t>
      </w:r>
      <w:r>
        <w:t>, Survyla et al., 2021.</w:t>
      </w:r>
    </w:p>
    <w:p w14:paraId="4EB6CA87" w14:textId="5F6EC582" w:rsidR="006070B3" w:rsidRPr="003715EE" w:rsidRDefault="00486395" w:rsidP="008F2845">
      <w:pPr>
        <w:pStyle w:val="CETListbullets"/>
        <w:numPr>
          <w:ilvl w:val="0"/>
          <w:numId w:val="13"/>
        </w:numPr>
      </w:pPr>
      <w:r>
        <w:t xml:space="preserve">The maintenance coefficients </w:t>
      </w:r>
      <m:oMath>
        <m:sSup>
          <m:sSupPr>
            <m:ctrlPr>
              <w:rPr>
                <w:rFonts w:ascii="Cambria Math" w:hAnsi="Cambria Math" w:cs="Arial"/>
                <w:i/>
              </w:rPr>
            </m:ctrlPr>
          </m:sSupPr>
          <m:e>
            <m:r>
              <w:rPr>
                <w:rFonts w:ascii="Cambria Math" w:hAnsi="Cambria Math" w:cs="Arial"/>
              </w:rPr>
              <m:t>β</m:t>
            </m:r>
          </m:e>
          <m:sup>
            <m:r>
              <w:rPr>
                <w:rFonts w:ascii="Cambria Math" w:hAnsi="Cambria Math" w:cs="Arial"/>
              </w:rPr>
              <m:t>*</m:t>
            </m:r>
          </m:sup>
        </m:sSup>
        <m:d>
          <m:dPr>
            <m:ctrlPr>
              <w:rPr>
                <w:rFonts w:ascii="Cambria Math" w:hAnsi="Cambria Math" w:cs="Arial"/>
                <w:i/>
              </w:rPr>
            </m:ctrlPr>
          </m:dPr>
          <m:e>
            <m:r>
              <w:rPr>
                <w:rFonts w:ascii="Cambria Math" w:hAnsi="Cambria Math" w:cs="Arial"/>
              </w:rPr>
              <m:t>t</m:t>
            </m:r>
          </m:e>
        </m:d>
        <m:r>
          <w:rPr>
            <w:rFonts w:ascii="Cambria Math" w:hAnsi="Cambria Math" w:cs="Arial"/>
          </w:rPr>
          <m:t>~m</m:t>
        </m:r>
        <m:d>
          <m:dPr>
            <m:ctrlPr>
              <w:rPr>
                <w:rFonts w:ascii="Cambria Math" w:hAnsi="Cambria Math" w:cs="Arial"/>
                <w:i/>
              </w:rPr>
            </m:ctrlPr>
          </m:dPr>
          <m:e>
            <m:r>
              <w:rPr>
                <w:rFonts w:ascii="Cambria Math" w:hAnsi="Cambria Math" w:cs="Arial"/>
              </w:rPr>
              <m:t>t</m:t>
            </m:r>
          </m:e>
        </m:d>
      </m:oMath>
      <w:r>
        <w:t xml:space="preserve"> are proportional (as in Galvanauskas et al., 2021b</w:t>
      </w:r>
      <w:r w:rsidR="00AF5F85">
        <w:t>),</w:t>
      </w:r>
      <w:r>
        <w:t xml:space="preserve"> and both carry identical purpose</w:t>
      </w:r>
      <w:r w:rsidR="00AF5F85">
        <w:t>s</w:t>
      </w:r>
      <w:r>
        <w:t xml:space="preserve"> through a yields multiplier </w:t>
      </w:r>
      <w:r w:rsidR="00AF5F85">
        <w:t>(</w:t>
      </w:r>
      <m:oMath>
        <m:r>
          <w:rPr>
            <w:rFonts w:ascii="Cambria Math" w:hAnsi="Cambria Math" w:cs="Arial"/>
          </w:rPr>
          <m:t>α∙</m:t>
        </m:r>
        <m:sSub>
          <m:sSubPr>
            <m:ctrlPr>
              <w:rPr>
                <w:rFonts w:ascii="Cambria Math" w:hAnsi="Cambria Math" w:cs="Arial"/>
                <w:i/>
              </w:rPr>
            </m:ctrlPr>
          </m:sSubPr>
          <m:e>
            <m:r>
              <w:rPr>
                <w:rFonts w:ascii="Cambria Math" w:hAnsi="Cambria Math" w:cs="Arial"/>
              </w:rPr>
              <m:t>Y</m:t>
            </m:r>
          </m:e>
          <m:sub>
            <m:r>
              <w:rPr>
                <w:rFonts w:ascii="Cambria Math" w:hAnsi="Cambria Math" w:cs="Arial"/>
              </w:rPr>
              <m:t>xs</m:t>
            </m:r>
          </m:sub>
        </m:sSub>
        <m:d>
          <m:dPr>
            <m:ctrlPr>
              <w:rPr>
                <w:rFonts w:ascii="Cambria Math" w:hAnsi="Cambria Math" w:cs="Arial"/>
                <w:i/>
              </w:rPr>
            </m:ctrlPr>
          </m:dPr>
          <m:e>
            <m:r>
              <w:rPr>
                <w:rFonts w:ascii="Cambria Math" w:hAnsi="Cambria Math" w:cs="Arial"/>
              </w:rPr>
              <m:t>t</m:t>
            </m:r>
          </m:e>
        </m:d>
      </m:oMath>
      <w:r w:rsidR="00AF5F85">
        <w:t>)</w:t>
      </w:r>
      <w:r>
        <w:t xml:space="preserve">, which represents the physical dimension of </w:t>
      </w:r>
      <w:r w:rsidR="003E5CAB">
        <w:t>oxygen mass</w:t>
      </w:r>
      <w:r>
        <w:t xml:space="preserve"> divided by the multiplication of time</w:t>
      </w:r>
      <w:r w:rsidR="003E5CAB">
        <w:t xml:space="preserve"> and volume units,</w:t>
      </w:r>
      <w:r>
        <w:t xml:space="preserve"> and </w:t>
      </w:r>
      <w:r w:rsidR="003E5CAB">
        <w:t>mass</w:t>
      </w:r>
      <w:r>
        <w:t xml:space="preserve"> of glucose consumed.</w:t>
      </w:r>
      <w:r w:rsidR="003E5CAB">
        <w:t xml:space="preserve"> </w:t>
      </w:r>
      <w:r w:rsidR="00AF5F85">
        <w:t>A similar relationship involving</w:t>
      </w:r>
      <w:r w:rsidR="00FC48A3">
        <w:t xml:space="preserve"> the respiratory quotient </w:t>
      </w:r>
      <w:r w:rsidR="00AF5F85">
        <w:t>served for kinetics equations</w:t>
      </w:r>
      <w:r w:rsidR="003E5CAB">
        <w:t xml:space="preserve"> by </w:t>
      </w:r>
      <w:r w:rsidR="003E5CAB" w:rsidRPr="00A16EB1">
        <w:t>Lyubenova</w:t>
      </w:r>
      <w:r w:rsidR="003E5CAB">
        <w:t xml:space="preserve"> et al., 2020,</w:t>
      </w:r>
      <w:r w:rsidR="00AF5F85">
        <w:t xml:space="preserve"> </w:t>
      </w:r>
      <w:r w:rsidR="003E5CAB">
        <w:t>pages 7-8.</w:t>
      </w:r>
    </w:p>
    <w:p w14:paraId="0062F822" w14:textId="022F24A0" w:rsidR="003715EE" w:rsidRPr="00B57B36" w:rsidRDefault="0072423A" w:rsidP="003715EE">
      <w:pPr>
        <w:pStyle w:val="CETheadingx"/>
      </w:pPr>
      <w:r>
        <w:t>Glucose consumption rate</w:t>
      </w:r>
    </w:p>
    <w:p w14:paraId="4CB6805C" w14:textId="79BD9B14" w:rsidR="00A16EB1" w:rsidRDefault="008C39B7" w:rsidP="00200D99">
      <w:pPr>
        <w:pStyle w:val="CETBodytext"/>
      </w:pPr>
      <w:r>
        <w:t xml:space="preserve">To better understand the secondary effect of OUR relative to the soluble contents </w:t>
      </w:r>
      <w:r w:rsidR="002F7444">
        <w:t>that do not directly participate in</w:t>
      </w:r>
      <w:r>
        <w:t xml:space="preserve"> biomass kinetics properties, the balance definition for glucose consumption rate is necessary.</w:t>
      </w:r>
      <w:r w:rsidR="00A358E2">
        <w:t xml:space="preserve"> </w:t>
      </w:r>
      <w:r w:rsidR="002F7444">
        <w:t>The generic form of such a balance</w:t>
      </w:r>
      <w:r w:rsidR="000D20B7">
        <w:t xml:space="preserve"> (</w:t>
      </w:r>
      <w:r w:rsidR="000D20B7" w:rsidRPr="00A16EB1">
        <w:t>Lyubenova</w:t>
      </w:r>
      <w:r w:rsidR="000D20B7">
        <w:t xml:space="preserve"> et al., 2020</w:t>
      </w:r>
      <w:r w:rsidR="00CB1897">
        <w:t xml:space="preserve">; </w:t>
      </w:r>
      <w:r w:rsidR="00CB1897">
        <w:rPr>
          <w:lang w:val="en-GB"/>
        </w:rPr>
        <w:t>Galvanauskas et al., 2021b</w:t>
      </w:r>
      <w:r w:rsidR="000D20B7">
        <w:t>)</w:t>
      </w:r>
      <w:r w:rsidR="002F7444">
        <w:t xml:space="preserve"> is</w:t>
      </w:r>
    </w:p>
    <w:tbl>
      <w:tblPr>
        <w:tblW w:w="5000" w:type="pct"/>
        <w:tblLook w:val="04A0" w:firstRow="1" w:lastRow="0" w:firstColumn="1" w:lastColumn="0" w:noHBand="0" w:noVBand="1"/>
      </w:tblPr>
      <w:tblGrid>
        <w:gridCol w:w="7980"/>
        <w:gridCol w:w="807"/>
      </w:tblGrid>
      <w:tr w:rsidR="00A358E2" w:rsidRPr="00B57B36" w14:paraId="4AF2F268" w14:textId="77777777" w:rsidTr="008F2845">
        <w:tc>
          <w:tcPr>
            <w:tcW w:w="8188" w:type="dxa"/>
            <w:shd w:val="clear" w:color="auto" w:fill="auto"/>
            <w:vAlign w:val="center"/>
          </w:tcPr>
          <w:p w14:paraId="351B80F3" w14:textId="7882615F" w:rsidR="00A358E2" w:rsidRPr="00EC4568" w:rsidRDefault="001D5EE7" w:rsidP="00A358E2">
            <w:pPr>
              <w:pStyle w:val="CETEquation"/>
              <w:rPr>
                <w:rFonts w:cs="Arial"/>
                <w:i/>
                <w:lang w:val="ru-RU"/>
              </w:rPr>
            </w:pPr>
            <m:oMathPara>
              <m:oMath>
                <m:sSup>
                  <m:sSupPr>
                    <m:ctrlPr>
                      <w:rPr>
                        <w:rFonts w:ascii="Cambria Math" w:hAnsi="Cambria Math" w:cs="Arial"/>
                        <w:i/>
                      </w:rPr>
                    </m:ctrlPr>
                  </m:sSupPr>
                  <m:e>
                    <m:r>
                      <w:rPr>
                        <w:rFonts w:ascii="Cambria Math" w:hAnsi="Cambria Math" w:cs="Arial"/>
                      </w:rPr>
                      <m:t>s</m:t>
                    </m:r>
                  </m:e>
                  <m:sup>
                    <m:r>
                      <w:rPr>
                        <w:rFonts w:ascii="Cambria Math" w:hAnsi="Cambria Math" w:cs="Arial"/>
                      </w:rPr>
                      <m:t>'</m:t>
                    </m:r>
                  </m:sup>
                </m:sSup>
                <m:d>
                  <m:dPr>
                    <m:ctrlPr>
                      <w:rPr>
                        <w:rFonts w:ascii="Cambria Math" w:hAnsi="Cambria Math" w:cs="Arial"/>
                        <w:i/>
                      </w:rPr>
                    </m:ctrlPr>
                  </m:dPr>
                  <m:e>
                    <m:r>
                      <w:rPr>
                        <w:rFonts w:ascii="Cambria Math" w:hAnsi="Cambria Math" w:cs="Arial"/>
                      </w:rPr>
                      <m:t>t</m:t>
                    </m:r>
                  </m:e>
                </m:d>
                <m:r>
                  <w:rPr>
                    <w:rFonts w:ascii="Cambria Math" w:hAnsi="Cambria Math" w:cs="Arial"/>
                  </w:rPr>
                  <m:t>=-σ</m:t>
                </m:r>
                <m:d>
                  <m:dPr>
                    <m:ctrlPr>
                      <w:rPr>
                        <w:rFonts w:ascii="Cambria Math" w:hAnsi="Cambria Math" w:cs="Arial"/>
                        <w:i/>
                      </w:rPr>
                    </m:ctrlPr>
                  </m:dPr>
                  <m:e>
                    <m:r>
                      <w:rPr>
                        <w:rFonts w:ascii="Cambria Math" w:hAnsi="Cambria Math" w:cs="Arial"/>
                      </w:rPr>
                      <m:t>t</m:t>
                    </m:r>
                  </m:e>
                </m:d>
                <m:r>
                  <w:rPr>
                    <w:rFonts w:ascii="Cambria Math" w:hAnsi="Cambria Math" w:cs="Arial"/>
                  </w:rPr>
                  <m:t>∙X</m:t>
                </m:r>
                <m:d>
                  <m:dPr>
                    <m:ctrlPr>
                      <w:rPr>
                        <w:rFonts w:ascii="Cambria Math" w:hAnsi="Cambria Math" w:cs="Arial"/>
                        <w:i/>
                      </w:rPr>
                    </m:ctrlPr>
                  </m:dPr>
                  <m:e>
                    <m:r>
                      <w:rPr>
                        <w:rFonts w:ascii="Cambria Math" w:hAnsi="Cambria Math" w:cs="Arial"/>
                      </w:rPr>
                      <m:t>t</m:t>
                    </m:r>
                  </m:e>
                </m:d>
                <m:r>
                  <w:rPr>
                    <w:rFonts w:ascii="Cambria Math" w:hAnsi="Cambria Math" w:cs="Arial"/>
                  </w:rPr>
                  <m:t>-</m:t>
                </m:r>
                <m:f>
                  <m:fPr>
                    <m:ctrlPr>
                      <w:rPr>
                        <w:rFonts w:ascii="Cambria Math" w:hAnsi="Cambria Math" w:cs="Arial"/>
                        <w:i/>
                      </w:rPr>
                    </m:ctrlPr>
                  </m:fPr>
                  <m:num>
                    <m:r>
                      <w:rPr>
                        <w:rFonts w:ascii="Cambria Math" w:hAnsi="Cambria Math" w:cs="Arial"/>
                      </w:rPr>
                      <m:t>F</m:t>
                    </m:r>
                    <m:d>
                      <m:dPr>
                        <m:ctrlPr>
                          <w:rPr>
                            <w:rFonts w:ascii="Cambria Math" w:hAnsi="Cambria Math" w:cs="Arial"/>
                            <w:i/>
                          </w:rPr>
                        </m:ctrlPr>
                      </m:dPr>
                      <m:e>
                        <m:r>
                          <w:rPr>
                            <w:rFonts w:ascii="Cambria Math" w:hAnsi="Cambria Math" w:cs="Arial"/>
                          </w:rPr>
                          <m:t>t</m:t>
                        </m:r>
                      </m:e>
                    </m:d>
                  </m:num>
                  <m:den>
                    <m:r>
                      <w:rPr>
                        <w:rFonts w:ascii="Cambria Math" w:hAnsi="Cambria Math" w:cs="Arial"/>
                      </w:rPr>
                      <m:t>W</m:t>
                    </m:r>
                    <m:d>
                      <m:dPr>
                        <m:ctrlPr>
                          <w:rPr>
                            <w:rFonts w:ascii="Cambria Math" w:hAnsi="Cambria Math" w:cs="Arial"/>
                            <w:i/>
                          </w:rPr>
                        </m:ctrlPr>
                      </m:dPr>
                      <m:e>
                        <m:r>
                          <w:rPr>
                            <w:rFonts w:ascii="Cambria Math" w:hAnsi="Cambria Math" w:cs="Arial"/>
                          </w:rPr>
                          <m:t>t</m:t>
                        </m:r>
                      </m:e>
                    </m:d>
                  </m:den>
                </m:f>
                <m:r>
                  <w:rPr>
                    <w:rFonts w:ascii="Cambria Math" w:hAnsi="Cambria Math" w:cs="Arial"/>
                  </w:rPr>
                  <m:t>∙s</m:t>
                </m:r>
                <m:d>
                  <m:dPr>
                    <m:ctrlPr>
                      <w:rPr>
                        <w:rFonts w:ascii="Cambria Math" w:hAnsi="Cambria Math" w:cs="Arial"/>
                        <w:i/>
                      </w:rPr>
                    </m:ctrlPr>
                  </m:dPr>
                  <m:e>
                    <m:r>
                      <w:rPr>
                        <w:rFonts w:ascii="Cambria Math" w:hAnsi="Cambria Math" w:cs="Arial"/>
                      </w:rPr>
                      <m:t>t</m:t>
                    </m:r>
                  </m:e>
                </m:d>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F</m:t>
                        </m:r>
                      </m:e>
                      <m:sub>
                        <m:r>
                          <w:rPr>
                            <w:rFonts w:ascii="Cambria Math" w:hAnsi="Cambria Math" w:cs="Arial"/>
                          </w:rPr>
                          <m:t>s</m:t>
                        </m:r>
                      </m:sub>
                    </m:sSub>
                    <m:d>
                      <m:dPr>
                        <m:ctrlPr>
                          <w:rPr>
                            <w:rFonts w:ascii="Cambria Math" w:hAnsi="Cambria Math" w:cs="Arial"/>
                            <w:i/>
                          </w:rPr>
                        </m:ctrlPr>
                      </m:dPr>
                      <m:e>
                        <m:r>
                          <w:rPr>
                            <w:rFonts w:ascii="Cambria Math" w:hAnsi="Cambria Math" w:cs="Arial"/>
                          </w:rPr>
                          <m:t>t</m:t>
                        </m:r>
                      </m:e>
                    </m:d>
                  </m:num>
                  <m:den>
                    <m:r>
                      <w:rPr>
                        <w:rFonts w:ascii="Cambria Math" w:hAnsi="Cambria Math" w:cs="Arial"/>
                      </w:rPr>
                      <m:t>W</m:t>
                    </m:r>
                    <m:d>
                      <m:dPr>
                        <m:ctrlPr>
                          <w:rPr>
                            <w:rFonts w:ascii="Cambria Math" w:hAnsi="Cambria Math" w:cs="Arial"/>
                            <w:i/>
                          </w:rPr>
                        </m:ctrlPr>
                      </m:dPr>
                      <m:e>
                        <m:r>
                          <w:rPr>
                            <w:rFonts w:ascii="Cambria Math" w:hAnsi="Cambria Math" w:cs="Arial"/>
                          </w:rPr>
                          <m:t>t</m:t>
                        </m:r>
                      </m:e>
                    </m:d>
                  </m:den>
                </m:f>
                <m:r>
                  <w:rPr>
                    <w:rFonts w:ascii="Cambria Math" w:hAnsi="Cambria Math" w:cs="Arial"/>
                  </w:rPr>
                  <m:t>∙</m:t>
                </m:r>
                <m:sSub>
                  <m:sSubPr>
                    <m:ctrlPr>
                      <w:rPr>
                        <w:rFonts w:ascii="Cambria Math" w:hAnsi="Cambria Math" w:cs="Arial"/>
                        <w:i/>
                      </w:rPr>
                    </m:ctrlPr>
                  </m:sSubPr>
                  <m:e>
                    <m:r>
                      <w:rPr>
                        <w:rFonts w:ascii="Cambria Math" w:hAnsi="Cambria Math" w:cs="Arial"/>
                      </w:rPr>
                      <m:t>s</m:t>
                    </m:r>
                  </m:e>
                  <m:sub>
                    <m:r>
                      <w:rPr>
                        <w:rFonts w:ascii="Cambria Math" w:hAnsi="Cambria Math" w:cs="Arial"/>
                      </w:rPr>
                      <m:t>f</m:t>
                    </m:r>
                  </m:sub>
                </m:sSub>
                <m:d>
                  <m:dPr>
                    <m:ctrlPr>
                      <w:rPr>
                        <w:rFonts w:ascii="Cambria Math" w:hAnsi="Cambria Math" w:cs="Arial"/>
                        <w:i/>
                      </w:rPr>
                    </m:ctrlPr>
                  </m:dPr>
                  <m:e>
                    <m:r>
                      <w:rPr>
                        <w:rFonts w:ascii="Cambria Math" w:hAnsi="Cambria Math" w:cs="Arial"/>
                      </w:rPr>
                      <m:t>t</m:t>
                    </m:r>
                  </m:e>
                </m:d>
                <m:r>
                  <w:rPr>
                    <w:rFonts w:ascii="Cambria Math" w:hAnsi="Cambria Math" w:cs="Arial"/>
                  </w:rPr>
                  <m:t>,</m:t>
                </m:r>
              </m:oMath>
            </m:oMathPara>
          </w:p>
        </w:tc>
        <w:tc>
          <w:tcPr>
            <w:tcW w:w="815" w:type="dxa"/>
            <w:shd w:val="clear" w:color="auto" w:fill="auto"/>
            <w:vAlign w:val="center"/>
          </w:tcPr>
          <w:p w14:paraId="7B2EBC19" w14:textId="0E36E29A" w:rsidR="00A358E2" w:rsidRPr="00B57B36" w:rsidRDefault="00A358E2" w:rsidP="008F2845">
            <w:pPr>
              <w:pStyle w:val="CETEquation"/>
              <w:jc w:val="right"/>
            </w:pPr>
            <w:r w:rsidRPr="00B57B36">
              <w:t>(1</w:t>
            </w:r>
            <w:r>
              <w:t>1</w:t>
            </w:r>
            <w:r w:rsidRPr="00B57B36">
              <w:t>)</w:t>
            </w:r>
          </w:p>
        </w:tc>
      </w:tr>
    </w:tbl>
    <w:p w14:paraId="77A7844D" w14:textId="6199E31F" w:rsidR="002F7444" w:rsidRDefault="00CB1897" w:rsidP="00200D99">
      <w:pPr>
        <w:pStyle w:val="CETBodytext"/>
      </w:pPr>
      <w:r>
        <w:t>where the total feed rate per volume without glucose (</w:t>
      </w:r>
      <m:oMath>
        <m:r>
          <w:rPr>
            <w:rFonts w:ascii="Cambria Math" w:hAnsi="Cambria Math" w:cs="Arial"/>
          </w:rPr>
          <m:t>F</m:t>
        </m:r>
        <m:d>
          <m:dPr>
            <m:ctrlPr>
              <w:rPr>
                <w:rFonts w:ascii="Cambria Math" w:hAnsi="Cambria Math" w:cs="Arial"/>
                <w:i/>
              </w:rPr>
            </m:ctrlPr>
          </m:dPr>
          <m:e>
            <m:r>
              <w:rPr>
                <w:rFonts w:ascii="Cambria Math" w:hAnsi="Cambria Math" w:cs="Arial"/>
              </w:rPr>
              <m:t>t</m:t>
            </m:r>
          </m:e>
        </m:d>
      </m:oMath>
      <w:r>
        <w:t>) dilutes the broth, thus with a minus sign, and the total feed rate per volume which contains glucose concentration (</w:t>
      </w:r>
      <m:oMath>
        <m:sSub>
          <m:sSubPr>
            <m:ctrlPr>
              <w:rPr>
                <w:rFonts w:ascii="Cambria Math" w:hAnsi="Cambria Math" w:cs="Arial"/>
                <w:i/>
                <w:lang w:val="en-GB"/>
              </w:rPr>
            </m:ctrlPr>
          </m:sSubPr>
          <m:e>
            <m:r>
              <w:rPr>
                <w:rFonts w:ascii="Cambria Math" w:hAnsi="Cambria Math" w:cs="Arial"/>
              </w:rPr>
              <m:t>s</m:t>
            </m:r>
          </m:e>
          <m:sub>
            <m:r>
              <w:rPr>
                <w:rFonts w:ascii="Cambria Math" w:hAnsi="Cambria Math" w:cs="Arial"/>
              </w:rPr>
              <m:t>f</m:t>
            </m:r>
          </m:sub>
        </m:sSub>
        <m:d>
          <m:dPr>
            <m:ctrlPr>
              <w:rPr>
                <w:rFonts w:ascii="Cambria Math" w:hAnsi="Cambria Math" w:cs="Arial"/>
                <w:i/>
              </w:rPr>
            </m:ctrlPr>
          </m:dPr>
          <m:e>
            <m:r>
              <w:rPr>
                <w:rFonts w:ascii="Cambria Math" w:hAnsi="Cambria Math" w:cs="Arial"/>
              </w:rPr>
              <m:t>t</m:t>
            </m:r>
          </m:e>
        </m:d>
      </m:oMath>
      <w:r>
        <w:t>) upsurges glucose concentration (</w:t>
      </w:r>
      <m:oMath>
        <m:r>
          <w:rPr>
            <w:rFonts w:ascii="Cambria Math" w:hAnsi="Cambria Math" w:cs="Arial"/>
          </w:rPr>
          <m:t>s</m:t>
        </m:r>
        <m:d>
          <m:dPr>
            <m:ctrlPr>
              <w:rPr>
                <w:rFonts w:ascii="Cambria Math" w:hAnsi="Cambria Math" w:cs="Arial"/>
                <w:i/>
              </w:rPr>
            </m:ctrlPr>
          </m:dPr>
          <m:e>
            <m:r>
              <w:rPr>
                <w:rFonts w:ascii="Cambria Math" w:hAnsi="Cambria Math" w:cs="Arial"/>
              </w:rPr>
              <m:t>t</m:t>
            </m:r>
          </m:e>
        </m:d>
      </m:oMath>
      <w:r>
        <w:t>) inside the broth.</w:t>
      </w:r>
      <w:r w:rsidR="00A05DBC">
        <w:t xml:space="preserve"> </w:t>
      </w:r>
      <w:r w:rsidR="00905FCA">
        <w:t>Insertion of glucose consumption term (</w:t>
      </w:r>
      <m:oMath>
        <m:r>
          <w:rPr>
            <w:rFonts w:ascii="Cambria Math" w:hAnsi="Cambria Math" w:cs="Arial"/>
          </w:rPr>
          <m:t>σ</m:t>
        </m:r>
        <m:d>
          <m:dPr>
            <m:ctrlPr>
              <w:rPr>
                <w:rFonts w:ascii="Cambria Math" w:hAnsi="Cambria Math" w:cs="Arial"/>
                <w:i/>
              </w:rPr>
            </m:ctrlPr>
          </m:dPr>
          <m:e>
            <m:r>
              <w:rPr>
                <w:rFonts w:ascii="Cambria Math" w:hAnsi="Cambria Math" w:cs="Arial"/>
              </w:rPr>
              <m:t>t</m:t>
            </m:r>
          </m:e>
        </m:d>
        <m:r>
          <w:rPr>
            <w:rFonts w:ascii="Cambria Math" w:hAnsi="Cambria Math" w:cs="Arial"/>
          </w:rPr>
          <m:t>∙X</m:t>
        </m:r>
        <m:d>
          <m:dPr>
            <m:ctrlPr>
              <w:rPr>
                <w:rFonts w:ascii="Cambria Math" w:hAnsi="Cambria Math" w:cs="Arial"/>
                <w:i/>
              </w:rPr>
            </m:ctrlPr>
          </m:dPr>
          <m:e>
            <m:r>
              <w:rPr>
                <w:rFonts w:ascii="Cambria Math" w:hAnsi="Cambria Math" w:cs="Arial"/>
              </w:rPr>
              <m:t>t</m:t>
            </m:r>
          </m:e>
        </m:d>
      </m:oMath>
      <w:r w:rsidR="00905FCA">
        <w:t>, Eq(9)) into Eq(11) yields</w:t>
      </w:r>
    </w:p>
    <w:tbl>
      <w:tblPr>
        <w:tblW w:w="5000" w:type="pct"/>
        <w:tblLook w:val="04A0" w:firstRow="1" w:lastRow="0" w:firstColumn="1" w:lastColumn="0" w:noHBand="0" w:noVBand="1"/>
      </w:tblPr>
      <w:tblGrid>
        <w:gridCol w:w="7980"/>
        <w:gridCol w:w="807"/>
      </w:tblGrid>
      <w:tr w:rsidR="00C254A0" w:rsidRPr="00B57B36" w14:paraId="1E79F8CB" w14:textId="77777777" w:rsidTr="008F2845">
        <w:tc>
          <w:tcPr>
            <w:tcW w:w="8188" w:type="dxa"/>
            <w:shd w:val="clear" w:color="auto" w:fill="auto"/>
            <w:vAlign w:val="center"/>
          </w:tcPr>
          <w:p w14:paraId="648B4A4F" w14:textId="2EF3D8FD" w:rsidR="00C254A0" w:rsidRPr="00A05DBC" w:rsidRDefault="001D5EE7" w:rsidP="008D6247">
            <w:pPr>
              <w:pStyle w:val="CETEquation"/>
              <w:rPr>
                <w:rFonts w:cs="Arial"/>
                <w:i/>
                <w:lang w:val="en-US"/>
              </w:rPr>
            </w:pPr>
            <m:oMathPara>
              <m:oMath>
                <m:sSup>
                  <m:sSupPr>
                    <m:ctrlPr>
                      <w:rPr>
                        <w:rFonts w:ascii="Cambria Math" w:hAnsi="Cambria Math" w:cs="Arial"/>
                        <w:i/>
                      </w:rPr>
                    </m:ctrlPr>
                  </m:sSupPr>
                  <m:e>
                    <m:r>
                      <w:rPr>
                        <w:rFonts w:ascii="Cambria Math" w:hAnsi="Cambria Math" w:cs="Arial"/>
                      </w:rPr>
                      <m:t>s</m:t>
                    </m:r>
                  </m:e>
                  <m:sup>
                    <m:r>
                      <w:rPr>
                        <w:rFonts w:ascii="Cambria Math" w:hAnsi="Cambria Math" w:cs="Arial"/>
                      </w:rPr>
                      <m:t>'</m:t>
                    </m:r>
                  </m:sup>
                </m:sSup>
                <m:d>
                  <m:dPr>
                    <m:ctrlPr>
                      <w:rPr>
                        <w:rFonts w:ascii="Cambria Math" w:hAnsi="Cambria Math" w:cs="Arial"/>
                        <w:i/>
                      </w:rPr>
                    </m:ctrlPr>
                  </m:dPr>
                  <m:e>
                    <m:r>
                      <w:rPr>
                        <w:rFonts w:ascii="Cambria Math" w:hAnsi="Cambria Math" w:cs="Arial"/>
                      </w:rPr>
                      <m:t>t</m:t>
                    </m:r>
                  </m:e>
                </m:d>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OUR</m:t>
                        </m:r>
                      </m:e>
                      <m:sub>
                        <m:r>
                          <w:rPr>
                            <w:rFonts w:ascii="Cambria Math" w:hAnsi="Cambria Math" w:cs="Arial"/>
                          </w:rPr>
                          <m:t>X</m:t>
                        </m:r>
                      </m:sub>
                    </m:sSub>
                    <m:d>
                      <m:dPr>
                        <m:ctrlPr>
                          <w:rPr>
                            <w:rFonts w:ascii="Cambria Math" w:hAnsi="Cambria Math" w:cs="Arial"/>
                            <w:i/>
                          </w:rPr>
                        </m:ctrlPr>
                      </m:dPr>
                      <m:e>
                        <m:r>
                          <w:rPr>
                            <w:rFonts w:ascii="Cambria Math" w:hAnsi="Cambria Math" w:cs="Arial"/>
                          </w:rPr>
                          <m:t>t</m:t>
                        </m:r>
                      </m:e>
                    </m:d>
                  </m:num>
                  <m:den>
                    <m:r>
                      <w:rPr>
                        <w:rFonts w:ascii="Cambria Math" w:hAnsi="Cambria Math" w:cs="Arial"/>
                      </w:rPr>
                      <m:t>α∙</m:t>
                    </m:r>
                    <m:sSub>
                      <m:sSubPr>
                        <m:ctrlPr>
                          <w:rPr>
                            <w:rFonts w:ascii="Cambria Math" w:hAnsi="Cambria Math" w:cs="Arial"/>
                            <w:i/>
                            <w:lang w:val="en-US"/>
                          </w:rPr>
                        </m:ctrlPr>
                      </m:sSubPr>
                      <m:e>
                        <m:r>
                          <w:rPr>
                            <w:rFonts w:ascii="Cambria Math" w:hAnsi="Cambria Math" w:cs="Arial"/>
                          </w:rPr>
                          <m:t>Y</m:t>
                        </m:r>
                      </m:e>
                      <m:sub>
                        <m:r>
                          <w:rPr>
                            <w:rFonts w:ascii="Cambria Math" w:hAnsi="Cambria Math" w:cs="Arial"/>
                          </w:rPr>
                          <m:t>xs</m:t>
                        </m:r>
                      </m:sub>
                    </m:sSub>
                    <m:d>
                      <m:dPr>
                        <m:ctrlPr>
                          <w:rPr>
                            <w:rFonts w:ascii="Cambria Math" w:hAnsi="Cambria Math" w:cs="Arial"/>
                            <w:i/>
                          </w:rPr>
                        </m:ctrlPr>
                      </m:dPr>
                      <m:e>
                        <m:r>
                          <w:rPr>
                            <w:rFonts w:ascii="Cambria Math" w:hAnsi="Cambria Math" w:cs="Arial"/>
                          </w:rPr>
                          <m:t>t</m:t>
                        </m:r>
                      </m:e>
                    </m:d>
                  </m:den>
                </m:f>
                <m:r>
                  <w:rPr>
                    <w:rFonts w:ascii="Cambria Math" w:hAnsi="Cambria Math" w:cs="Arial"/>
                  </w:rPr>
                  <m:t>-</m:t>
                </m:r>
                <m:f>
                  <m:fPr>
                    <m:ctrlPr>
                      <w:rPr>
                        <w:rFonts w:ascii="Cambria Math" w:hAnsi="Cambria Math" w:cs="Arial"/>
                        <w:i/>
                      </w:rPr>
                    </m:ctrlPr>
                  </m:fPr>
                  <m:num>
                    <m:r>
                      <w:rPr>
                        <w:rFonts w:ascii="Cambria Math" w:hAnsi="Cambria Math" w:cs="Arial"/>
                      </w:rPr>
                      <m:t>F</m:t>
                    </m:r>
                    <m:d>
                      <m:dPr>
                        <m:ctrlPr>
                          <w:rPr>
                            <w:rFonts w:ascii="Cambria Math" w:hAnsi="Cambria Math" w:cs="Arial"/>
                            <w:i/>
                          </w:rPr>
                        </m:ctrlPr>
                      </m:dPr>
                      <m:e>
                        <m:r>
                          <w:rPr>
                            <w:rFonts w:ascii="Cambria Math" w:hAnsi="Cambria Math" w:cs="Arial"/>
                          </w:rPr>
                          <m:t>t</m:t>
                        </m:r>
                      </m:e>
                    </m:d>
                  </m:num>
                  <m:den>
                    <m:r>
                      <w:rPr>
                        <w:rFonts w:ascii="Cambria Math" w:hAnsi="Cambria Math" w:cs="Arial"/>
                      </w:rPr>
                      <m:t>W</m:t>
                    </m:r>
                    <m:d>
                      <m:dPr>
                        <m:ctrlPr>
                          <w:rPr>
                            <w:rFonts w:ascii="Cambria Math" w:hAnsi="Cambria Math" w:cs="Arial"/>
                            <w:i/>
                          </w:rPr>
                        </m:ctrlPr>
                      </m:dPr>
                      <m:e>
                        <m:r>
                          <w:rPr>
                            <w:rFonts w:ascii="Cambria Math" w:hAnsi="Cambria Math" w:cs="Arial"/>
                          </w:rPr>
                          <m:t>t</m:t>
                        </m:r>
                      </m:e>
                    </m:d>
                  </m:den>
                </m:f>
                <m:r>
                  <w:rPr>
                    <w:rFonts w:ascii="Cambria Math" w:hAnsi="Cambria Math" w:cs="Arial"/>
                  </w:rPr>
                  <m:t>∙s</m:t>
                </m:r>
                <m:d>
                  <m:dPr>
                    <m:ctrlPr>
                      <w:rPr>
                        <w:rFonts w:ascii="Cambria Math" w:hAnsi="Cambria Math" w:cs="Arial"/>
                        <w:i/>
                      </w:rPr>
                    </m:ctrlPr>
                  </m:dPr>
                  <m:e>
                    <m:r>
                      <w:rPr>
                        <w:rFonts w:ascii="Cambria Math" w:hAnsi="Cambria Math" w:cs="Arial"/>
                      </w:rPr>
                      <m:t>t</m:t>
                    </m:r>
                  </m:e>
                </m:d>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F</m:t>
                        </m:r>
                      </m:e>
                      <m:sub>
                        <m:r>
                          <w:rPr>
                            <w:rFonts w:ascii="Cambria Math" w:hAnsi="Cambria Math" w:cs="Arial"/>
                          </w:rPr>
                          <m:t>s</m:t>
                        </m:r>
                      </m:sub>
                    </m:sSub>
                    <m:d>
                      <m:dPr>
                        <m:ctrlPr>
                          <w:rPr>
                            <w:rFonts w:ascii="Cambria Math" w:hAnsi="Cambria Math" w:cs="Arial"/>
                            <w:i/>
                          </w:rPr>
                        </m:ctrlPr>
                      </m:dPr>
                      <m:e>
                        <m:r>
                          <w:rPr>
                            <w:rFonts w:ascii="Cambria Math" w:hAnsi="Cambria Math" w:cs="Arial"/>
                          </w:rPr>
                          <m:t>t</m:t>
                        </m:r>
                      </m:e>
                    </m:d>
                  </m:num>
                  <m:den>
                    <m:r>
                      <w:rPr>
                        <w:rFonts w:ascii="Cambria Math" w:hAnsi="Cambria Math" w:cs="Arial"/>
                      </w:rPr>
                      <m:t>W</m:t>
                    </m:r>
                    <m:d>
                      <m:dPr>
                        <m:ctrlPr>
                          <w:rPr>
                            <w:rFonts w:ascii="Cambria Math" w:hAnsi="Cambria Math" w:cs="Arial"/>
                            <w:i/>
                          </w:rPr>
                        </m:ctrlPr>
                      </m:dPr>
                      <m:e>
                        <m:r>
                          <w:rPr>
                            <w:rFonts w:ascii="Cambria Math" w:hAnsi="Cambria Math" w:cs="Arial"/>
                          </w:rPr>
                          <m:t>t</m:t>
                        </m:r>
                      </m:e>
                    </m:d>
                  </m:den>
                </m:f>
                <m:r>
                  <w:rPr>
                    <w:rFonts w:ascii="Cambria Math" w:hAnsi="Cambria Math" w:cs="Arial"/>
                  </w:rPr>
                  <m:t>∙</m:t>
                </m:r>
                <m:sSub>
                  <m:sSubPr>
                    <m:ctrlPr>
                      <w:rPr>
                        <w:rFonts w:ascii="Cambria Math" w:hAnsi="Cambria Math" w:cs="Arial"/>
                        <w:i/>
                      </w:rPr>
                    </m:ctrlPr>
                  </m:sSubPr>
                  <m:e>
                    <m:r>
                      <w:rPr>
                        <w:rFonts w:ascii="Cambria Math" w:hAnsi="Cambria Math" w:cs="Arial"/>
                      </w:rPr>
                      <m:t>s</m:t>
                    </m:r>
                  </m:e>
                  <m:sub>
                    <m:r>
                      <w:rPr>
                        <w:rFonts w:ascii="Cambria Math" w:hAnsi="Cambria Math" w:cs="Arial"/>
                      </w:rPr>
                      <m:t>f</m:t>
                    </m:r>
                  </m:sub>
                </m:sSub>
                <m:d>
                  <m:dPr>
                    <m:ctrlPr>
                      <w:rPr>
                        <w:rFonts w:ascii="Cambria Math" w:hAnsi="Cambria Math" w:cs="Arial"/>
                        <w:i/>
                      </w:rPr>
                    </m:ctrlPr>
                  </m:dPr>
                  <m:e>
                    <m:r>
                      <w:rPr>
                        <w:rFonts w:ascii="Cambria Math" w:hAnsi="Cambria Math" w:cs="Arial"/>
                      </w:rPr>
                      <m:t>t</m:t>
                    </m:r>
                  </m:e>
                </m:d>
                <m:r>
                  <w:rPr>
                    <w:rFonts w:ascii="Cambria Math" w:hAnsi="Cambria Math" w:cs="Arial"/>
                  </w:rPr>
                  <m:t>.</m:t>
                </m:r>
              </m:oMath>
            </m:oMathPara>
          </w:p>
        </w:tc>
        <w:tc>
          <w:tcPr>
            <w:tcW w:w="815" w:type="dxa"/>
            <w:shd w:val="clear" w:color="auto" w:fill="auto"/>
            <w:vAlign w:val="center"/>
          </w:tcPr>
          <w:p w14:paraId="4EAEAEEF" w14:textId="24048F6B" w:rsidR="00C254A0" w:rsidRPr="00B57B36" w:rsidRDefault="00C254A0" w:rsidP="000E757D">
            <w:pPr>
              <w:pStyle w:val="CETEquation"/>
              <w:jc w:val="right"/>
            </w:pPr>
            <w:r w:rsidRPr="00B57B36">
              <w:t>(1</w:t>
            </w:r>
            <w:r w:rsidR="000E757D">
              <w:t>2</w:t>
            </w:r>
            <w:r w:rsidRPr="00B57B36">
              <w:t>)</w:t>
            </w:r>
          </w:p>
        </w:tc>
      </w:tr>
    </w:tbl>
    <w:p w14:paraId="35675D26" w14:textId="492A491B" w:rsidR="00905FCA" w:rsidRDefault="00C254A0" w:rsidP="00200D99">
      <w:pPr>
        <w:pStyle w:val="CETBodytext"/>
      </w:pPr>
      <w:r>
        <w:t>The main reason why Eq(1</w:t>
      </w:r>
      <w:r w:rsidR="00B43FF1">
        <w:t>2</w:t>
      </w:r>
      <w:r>
        <w:t xml:space="preserve">) holds </w:t>
      </w:r>
      <m:oMath>
        <m:sSub>
          <m:sSubPr>
            <m:ctrlPr>
              <w:rPr>
                <w:rFonts w:ascii="Cambria Math" w:hAnsi="Cambria Math" w:cs="Arial"/>
                <w:i/>
                <w:lang w:val="en-GB"/>
              </w:rPr>
            </m:ctrlPr>
          </m:sSubPr>
          <m:e>
            <m:r>
              <w:rPr>
                <w:rFonts w:ascii="Cambria Math" w:hAnsi="Cambria Math" w:cs="Arial"/>
              </w:rPr>
              <m:t>OUR</m:t>
            </m:r>
          </m:e>
          <m:sub>
            <m:r>
              <w:rPr>
                <w:rFonts w:ascii="Cambria Math" w:hAnsi="Cambria Math" w:cs="Arial"/>
              </w:rPr>
              <m:t>X</m:t>
            </m:r>
          </m:sub>
        </m:sSub>
        <m:d>
          <m:dPr>
            <m:ctrlPr>
              <w:rPr>
                <w:rFonts w:ascii="Cambria Math" w:hAnsi="Cambria Math" w:cs="Arial"/>
                <w:i/>
              </w:rPr>
            </m:ctrlPr>
          </m:dPr>
          <m:e>
            <m:r>
              <w:rPr>
                <w:rFonts w:ascii="Cambria Math" w:hAnsi="Cambria Math" w:cs="Arial"/>
              </w:rPr>
              <m:t>t</m:t>
            </m:r>
          </m:e>
        </m:d>
      </m:oMath>
      <w:r>
        <w:t xml:space="preserve">, but not original </w:t>
      </w:r>
      <m:oMath>
        <m:r>
          <w:rPr>
            <w:rFonts w:ascii="Cambria Math" w:hAnsi="Cambria Math" w:cs="Arial"/>
            <w:lang w:val="en-GB"/>
          </w:rPr>
          <m:t>OUR</m:t>
        </m:r>
        <m:d>
          <m:dPr>
            <m:ctrlPr>
              <w:rPr>
                <w:rFonts w:ascii="Cambria Math" w:hAnsi="Cambria Math" w:cs="Arial"/>
                <w:i/>
              </w:rPr>
            </m:ctrlPr>
          </m:dPr>
          <m:e>
            <m:r>
              <w:rPr>
                <w:rFonts w:ascii="Cambria Math" w:hAnsi="Cambria Math" w:cs="Arial"/>
              </w:rPr>
              <m:t>t</m:t>
            </m:r>
          </m:e>
        </m:d>
      </m:oMath>
      <w:r>
        <w:t xml:space="preserve">, as in Eq(10), is the fact that hypothetically there exists a portion of </w:t>
      </w:r>
      <w:r w:rsidRPr="001B477A">
        <w:rPr>
          <w:i/>
        </w:rPr>
        <w:t>OUR</w:t>
      </w:r>
      <w:r>
        <w:t xml:space="preserve"> </w:t>
      </w:r>
      <w:r w:rsidR="001B477A">
        <w:t>that</w:t>
      </w:r>
      <w:r>
        <w:t xml:space="preserve"> does not participate in the biomass-related kinetics properties but </w:t>
      </w:r>
      <w:r w:rsidR="001B477A">
        <w:t>transactions with</w:t>
      </w:r>
      <w:r>
        <w:t xml:space="preserve"> the kinetics of extracellular metabolites, soluble proteins</w:t>
      </w:r>
      <w:r w:rsidR="0061701A">
        <w:t>, permeases</w:t>
      </w:r>
      <w:r w:rsidR="001B477A">
        <w:t>,</w:t>
      </w:r>
      <w:r>
        <w:t xml:space="preserve"> or by-products.</w:t>
      </w:r>
      <w:r w:rsidR="001B477A">
        <w:t xml:space="preserve"> In other words, the cell membranes serve as carrier</w:t>
      </w:r>
      <w:r w:rsidR="002A5611">
        <w:t>s</w:t>
      </w:r>
      <w:r w:rsidR="001B477A">
        <w:t xml:space="preserve"> or transporter</w:t>
      </w:r>
      <w:r w:rsidR="002A5611">
        <w:t>s</w:t>
      </w:r>
      <w:r w:rsidR="001B477A">
        <w:t xml:space="preserve"> of </w:t>
      </w:r>
      <w:r w:rsidR="001C1284">
        <w:t>solutes</w:t>
      </w:r>
      <w:r w:rsidR="001B477A">
        <w:t xml:space="preserve"> into the culture broth (Pinu et al., 2018). </w:t>
      </w:r>
      <w:r w:rsidR="002A5611">
        <w:t>Such metabolic pathway</w:t>
      </w:r>
      <w:r w:rsidR="0033738A">
        <w:t>s</w:t>
      </w:r>
      <w:r w:rsidR="002A5611">
        <w:t xml:space="preserve"> might cause </w:t>
      </w:r>
      <w:r w:rsidR="0037402E">
        <w:t>excess</w:t>
      </w:r>
      <w:r w:rsidR="002A5611">
        <w:t xml:space="preserve"> glucose consumption and the </w:t>
      </w:r>
      <w:r w:rsidR="00142DEB">
        <w:t>draw</w:t>
      </w:r>
      <w:r w:rsidR="002A5611">
        <w:t xml:space="preserve"> for excess OUR. Not rarely, </w:t>
      </w:r>
      <w:r w:rsidR="001C1284">
        <w:t>this</w:t>
      </w:r>
      <w:r w:rsidR="0037402E">
        <w:t xml:space="preserve"> effect is stimulated by higher glucose concentrations (</w:t>
      </w:r>
      <w:r w:rsidR="00945337" w:rsidRPr="002A5611">
        <w:t>Vergara</w:t>
      </w:r>
      <w:r w:rsidR="00945337">
        <w:t xml:space="preserve"> et al., 2018</w:t>
      </w:r>
      <w:r w:rsidR="0037402E">
        <w:t>)</w:t>
      </w:r>
      <w:r w:rsidR="00717653">
        <w:t xml:space="preserve">, </w:t>
      </w:r>
      <w:r w:rsidR="0033738A">
        <w:t>resulting</w:t>
      </w:r>
      <w:r w:rsidR="00717653">
        <w:t xml:space="preserve"> </w:t>
      </w:r>
      <w:r w:rsidR="00520834">
        <w:t xml:space="preserve">in </w:t>
      </w:r>
      <w:r w:rsidR="00717653">
        <w:t>cell growth inhibition</w:t>
      </w:r>
      <w:r w:rsidR="0037402E">
        <w:t>.</w:t>
      </w:r>
    </w:p>
    <w:p w14:paraId="6C2A7F0D" w14:textId="4E077A13" w:rsidR="00430A2A" w:rsidRDefault="00142DEB" w:rsidP="00200D99">
      <w:pPr>
        <w:pStyle w:val="CETBodytext"/>
      </w:pPr>
      <w:r>
        <w:t xml:space="preserve">As long as the </w:t>
      </w:r>
      <w:r w:rsidRPr="00142DEB">
        <w:rPr>
          <w:i/>
        </w:rPr>
        <w:t>OUR</w:t>
      </w:r>
      <w:r>
        <w:t>–based additive term (</w:t>
      </w:r>
      <w:r w:rsidR="001C1284">
        <w:t>Eq(12</w:t>
      </w:r>
      <w:r>
        <w:t xml:space="preserve">)) represents the biomass-related (due to </w:t>
      </w:r>
      <m:oMath>
        <m:sSub>
          <m:sSubPr>
            <m:ctrlPr>
              <w:rPr>
                <w:rFonts w:ascii="Cambria Math" w:hAnsi="Cambria Math" w:cs="Arial"/>
                <w:i/>
              </w:rPr>
            </m:ctrlPr>
          </m:sSubPr>
          <m:e>
            <m:r>
              <w:rPr>
                <w:rFonts w:ascii="Cambria Math" w:hAnsi="Cambria Math" w:cs="Arial"/>
              </w:rPr>
              <m:t>Y</m:t>
            </m:r>
          </m:e>
          <m:sub>
            <m:r>
              <w:rPr>
                <w:rFonts w:ascii="Cambria Math" w:hAnsi="Cambria Math" w:cs="Arial"/>
              </w:rPr>
              <m:t>xs</m:t>
            </m:r>
          </m:sub>
        </m:sSub>
        <m:d>
          <m:dPr>
            <m:ctrlPr>
              <w:rPr>
                <w:rFonts w:ascii="Cambria Math" w:hAnsi="Cambria Math" w:cs="Arial"/>
                <w:i/>
              </w:rPr>
            </m:ctrlPr>
          </m:dPr>
          <m:e>
            <m:r>
              <w:rPr>
                <w:rFonts w:ascii="Cambria Math" w:hAnsi="Cambria Math" w:cs="Arial"/>
              </w:rPr>
              <m:t>t</m:t>
            </m:r>
          </m:e>
        </m:d>
      </m:oMath>
      <w:r>
        <w:t>) glucose consumption rate for biomass kinetics properties, there is one more missing term</w:t>
      </w:r>
      <w:r w:rsidR="00E90BE9">
        <w:t xml:space="preserve"> (denoted as </w:t>
      </w:r>
      <m:oMath>
        <m:sSub>
          <m:sSubPr>
            <m:ctrlPr>
              <w:rPr>
                <w:rFonts w:ascii="Cambria Math" w:hAnsi="Cambria Math" w:cs="Arial"/>
                <w:i/>
              </w:rPr>
            </m:ctrlPr>
          </m:sSubPr>
          <m:e>
            <m:r>
              <w:rPr>
                <w:rFonts w:ascii="Cambria Math" w:hAnsi="Cambria Math" w:cs="Arial"/>
              </w:rPr>
              <m:t>σ</m:t>
            </m:r>
          </m:e>
          <m:sub>
            <m:r>
              <w:rPr>
                <w:rFonts w:ascii="Cambria Math" w:hAnsi="Cambria Math" w:cs="Arial"/>
              </w:rPr>
              <m:t>solutes</m:t>
            </m:r>
          </m:sub>
        </m:sSub>
        <m:d>
          <m:dPr>
            <m:ctrlPr>
              <w:rPr>
                <w:rFonts w:ascii="Cambria Math" w:hAnsi="Cambria Math" w:cs="Arial"/>
                <w:i/>
              </w:rPr>
            </m:ctrlPr>
          </m:dPr>
          <m:e>
            <m:r>
              <w:rPr>
                <w:rFonts w:ascii="Cambria Math" w:hAnsi="Cambria Math" w:cs="Arial"/>
              </w:rPr>
              <m:t>t</m:t>
            </m:r>
          </m:e>
        </m:d>
      </m:oMath>
      <w:r w:rsidR="00E90BE9">
        <w:t>)</w:t>
      </w:r>
      <w:r w:rsidR="00B43FF1">
        <w:t xml:space="preserve"> in the balance of glucose concentration rate</w:t>
      </w:r>
      <w:r>
        <w:t>.</w:t>
      </w:r>
      <w:r w:rsidR="00C063B2">
        <w:t xml:space="preserve"> </w:t>
      </w:r>
      <w:r w:rsidR="00E90BE9">
        <w:t>Consequently, the total specific glucose consumption rate is a sum of the glucose consumption rate linked with biomass (</w:t>
      </w:r>
      <m:oMath>
        <m:sSub>
          <m:sSubPr>
            <m:ctrlPr>
              <w:rPr>
                <w:rFonts w:ascii="Cambria Math" w:hAnsi="Cambria Math" w:cs="Arial"/>
                <w:i/>
              </w:rPr>
            </m:ctrlPr>
          </m:sSubPr>
          <m:e>
            <m:r>
              <w:rPr>
                <w:rFonts w:ascii="Cambria Math" w:hAnsi="Cambria Math" w:cs="Arial"/>
              </w:rPr>
              <m:t>σ</m:t>
            </m:r>
          </m:e>
          <m:sub>
            <m:r>
              <w:rPr>
                <w:rFonts w:ascii="Cambria Math" w:hAnsi="Cambria Math" w:cs="Arial"/>
              </w:rPr>
              <m:t>X</m:t>
            </m:r>
          </m:sub>
        </m:sSub>
        <m:d>
          <m:dPr>
            <m:ctrlPr>
              <w:rPr>
                <w:rFonts w:ascii="Cambria Math" w:hAnsi="Cambria Math" w:cs="Arial"/>
                <w:i/>
              </w:rPr>
            </m:ctrlPr>
          </m:dPr>
          <m:e>
            <m:r>
              <w:rPr>
                <w:rFonts w:ascii="Cambria Math" w:hAnsi="Cambria Math" w:cs="Arial"/>
              </w:rPr>
              <m:t>t</m:t>
            </m:r>
          </m:e>
        </m:d>
      </m:oMath>
      <w:r w:rsidR="00E90BE9">
        <w:t xml:space="preserve">) and the other </w:t>
      </w:r>
      <w:r w:rsidR="00387DCB">
        <w:t>item</w:t>
      </w:r>
      <w:r w:rsidR="00E90BE9">
        <w:t xml:space="preserve"> </w:t>
      </w:r>
      <m:oMath>
        <m:sSub>
          <m:sSubPr>
            <m:ctrlPr>
              <w:rPr>
                <w:rFonts w:ascii="Cambria Math" w:hAnsi="Cambria Math" w:cs="Arial"/>
                <w:i/>
              </w:rPr>
            </m:ctrlPr>
          </m:sSubPr>
          <m:e>
            <m:r>
              <w:rPr>
                <w:rFonts w:ascii="Cambria Math" w:hAnsi="Cambria Math" w:cs="Arial"/>
              </w:rPr>
              <m:t>σ</m:t>
            </m:r>
          </m:e>
          <m:sub>
            <m:r>
              <w:rPr>
                <w:rFonts w:ascii="Cambria Math" w:hAnsi="Cambria Math" w:cs="Arial"/>
              </w:rPr>
              <m:t>solutes</m:t>
            </m:r>
          </m:sub>
        </m:sSub>
        <m:d>
          <m:dPr>
            <m:ctrlPr>
              <w:rPr>
                <w:rFonts w:ascii="Cambria Math" w:hAnsi="Cambria Math" w:cs="Arial"/>
                <w:i/>
              </w:rPr>
            </m:ctrlPr>
          </m:dPr>
          <m:e>
            <m:r>
              <w:rPr>
                <w:rFonts w:ascii="Cambria Math" w:hAnsi="Cambria Math" w:cs="Arial"/>
              </w:rPr>
              <m:t>t</m:t>
            </m:r>
          </m:e>
        </m:d>
      </m:oMath>
      <w:r w:rsidR="00E90BE9">
        <w:t>, as follows</w:t>
      </w:r>
    </w:p>
    <w:tbl>
      <w:tblPr>
        <w:tblW w:w="5000" w:type="pct"/>
        <w:tblLook w:val="04A0" w:firstRow="1" w:lastRow="0" w:firstColumn="1" w:lastColumn="0" w:noHBand="0" w:noVBand="1"/>
      </w:tblPr>
      <w:tblGrid>
        <w:gridCol w:w="7982"/>
        <w:gridCol w:w="805"/>
      </w:tblGrid>
      <w:tr w:rsidR="00E90BE9" w:rsidRPr="00B57B36" w14:paraId="6044FC49" w14:textId="77777777" w:rsidTr="008F2845">
        <w:tc>
          <w:tcPr>
            <w:tcW w:w="8188" w:type="dxa"/>
            <w:shd w:val="clear" w:color="auto" w:fill="auto"/>
            <w:vAlign w:val="center"/>
          </w:tcPr>
          <w:p w14:paraId="37F49A8B" w14:textId="09BB1A4A" w:rsidR="00E90BE9" w:rsidRPr="00E90BE9" w:rsidRDefault="001D5EE7" w:rsidP="00115FF5">
            <w:pPr>
              <w:pStyle w:val="CETEquation"/>
              <w:rPr>
                <w:rFonts w:cs="Arial"/>
                <w:i/>
                <w:lang w:val="en-US"/>
              </w:rPr>
            </w:pPr>
            <m:oMathPara>
              <m:oMath>
                <m:d>
                  <m:dPr>
                    <m:begChr m:val="{"/>
                    <m:endChr m:val=""/>
                    <m:ctrlPr>
                      <w:rPr>
                        <w:rFonts w:ascii="Cambria Math" w:hAnsi="Cambria Math" w:cs="Arial"/>
                        <w:i/>
                      </w:rPr>
                    </m:ctrlPr>
                  </m:dPr>
                  <m:e>
                    <m:m>
                      <m:mPr>
                        <m:mcs>
                          <m:mc>
                            <m:mcPr>
                              <m:count m:val="1"/>
                              <m:mcJc m:val="center"/>
                            </m:mcPr>
                          </m:mc>
                        </m:mcs>
                        <m:ctrlPr>
                          <w:rPr>
                            <w:rFonts w:ascii="Cambria Math" w:hAnsi="Cambria Math" w:cs="Arial"/>
                            <w:i/>
                          </w:rPr>
                        </m:ctrlPr>
                      </m:mPr>
                      <m:mr>
                        <m:e>
                          <m:sSub>
                            <m:sSubPr>
                              <m:ctrlPr>
                                <w:rPr>
                                  <w:rFonts w:ascii="Cambria Math" w:hAnsi="Cambria Math" w:cs="Arial"/>
                                  <w:i/>
                                  <w:lang w:val="en-US"/>
                                </w:rPr>
                              </m:ctrlPr>
                            </m:sSubPr>
                            <m:e>
                              <m:r>
                                <w:rPr>
                                  <w:rFonts w:ascii="Cambria Math" w:hAnsi="Cambria Math" w:cs="Arial"/>
                                </w:rPr>
                                <m:t>σ</m:t>
                              </m:r>
                            </m:e>
                            <m:sub>
                              <m:r>
                                <w:rPr>
                                  <w:rFonts w:ascii="Cambria Math" w:hAnsi="Cambria Math" w:cs="Arial"/>
                                </w:rPr>
                                <m:t>X</m:t>
                              </m:r>
                            </m:sub>
                          </m:sSub>
                          <m:d>
                            <m:dPr>
                              <m:ctrlPr>
                                <w:rPr>
                                  <w:rFonts w:ascii="Cambria Math" w:hAnsi="Cambria Math" w:cs="Arial"/>
                                  <w:i/>
                                </w:rPr>
                              </m:ctrlPr>
                            </m:dPr>
                            <m:e>
                              <m:r>
                                <w:rPr>
                                  <w:rFonts w:ascii="Cambria Math" w:hAnsi="Cambria Math" w:cs="Arial"/>
                                </w:rPr>
                                <m:t>t</m:t>
                              </m:r>
                            </m:e>
                          </m:d>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OUR</m:t>
                                  </m:r>
                                </m:e>
                                <m:sub>
                                  <m:r>
                                    <w:rPr>
                                      <w:rFonts w:ascii="Cambria Math" w:hAnsi="Cambria Math" w:cs="Arial"/>
                                    </w:rPr>
                                    <m:t>X</m:t>
                                  </m:r>
                                </m:sub>
                              </m:sSub>
                              <m:d>
                                <m:dPr>
                                  <m:ctrlPr>
                                    <w:rPr>
                                      <w:rFonts w:ascii="Cambria Math" w:hAnsi="Cambria Math" w:cs="Arial"/>
                                      <w:i/>
                                    </w:rPr>
                                  </m:ctrlPr>
                                </m:dPr>
                                <m:e>
                                  <m:r>
                                    <w:rPr>
                                      <w:rFonts w:ascii="Cambria Math" w:hAnsi="Cambria Math" w:cs="Arial"/>
                                    </w:rPr>
                                    <m:t>t</m:t>
                                  </m:r>
                                </m:e>
                              </m:d>
                            </m:num>
                            <m:den>
                              <m:r>
                                <w:rPr>
                                  <w:rFonts w:ascii="Cambria Math" w:hAnsi="Cambria Math" w:cs="Arial"/>
                                </w:rPr>
                                <m:t>α∙</m:t>
                              </m:r>
                              <m:sSub>
                                <m:sSubPr>
                                  <m:ctrlPr>
                                    <w:rPr>
                                      <w:rFonts w:ascii="Cambria Math" w:hAnsi="Cambria Math" w:cs="Arial"/>
                                      <w:i/>
                                      <w:lang w:val="en-US"/>
                                    </w:rPr>
                                  </m:ctrlPr>
                                </m:sSubPr>
                                <m:e>
                                  <m:r>
                                    <w:rPr>
                                      <w:rFonts w:ascii="Cambria Math" w:hAnsi="Cambria Math" w:cs="Arial"/>
                                    </w:rPr>
                                    <m:t>Y</m:t>
                                  </m:r>
                                </m:e>
                                <m:sub>
                                  <m:r>
                                    <w:rPr>
                                      <w:rFonts w:ascii="Cambria Math" w:hAnsi="Cambria Math" w:cs="Arial"/>
                                    </w:rPr>
                                    <m:t>xs</m:t>
                                  </m:r>
                                </m:sub>
                              </m:sSub>
                              <m:d>
                                <m:dPr>
                                  <m:ctrlPr>
                                    <w:rPr>
                                      <w:rFonts w:ascii="Cambria Math" w:hAnsi="Cambria Math" w:cs="Arial"/>
                                      <w:i/>
                                    </w:rPr>
                                  </m:ctrlPr>
                                </m:dPr>
                                <m:e>
                                  <m:r>
                                    <w:rPr>
                                      <w:rFonts w:ascii="Cambria Math" w:hAnsi="Cambria Math" w:cs="Arial"/>
                                    </w:rPr>
                                    <m:t>t</m:t>
                                  </m:r>
                                </m:e>
                              </m:d>
                            </m:den>
                          </m:f>
                          <m:r>
                            <w:rPr>
                              <w:rFonts w:ascii="Cambria Math" w:hAnsi="Cambria Math" w:cs="Arial"/>
                            </w:rPr>
                            <m:t>;</m:t>
                          </m:r>
                        </m:e>
                      </m:mr>
                      <m:mr>
                        <m:e>
                          <m:r>
                            <w:rPr>
                              <w:rFonts w:ascii="Cambria Math" w:hAnsi="Cambria Math" w:cs="Arial"/>
                            </w:rPr>
                            <m:t>σ</m:t>
                          </m:r>
                          <m:d>
                            <m:dPr>
                              <m:ctrlPr>
                                <w:rPr>
                                  <w:rFonts w:ascii="Cambria Math" w:hAnsi="Cambria Math" w:cs="Arial"/>
                                  <w:i/>
                                </w:rPr>
                              </m:ctrlPr>
                            </m:dPr>
                            <m:e>
                              <m:r>
                                <w:rPr>
                                  <w:rFonts w:ascii="Cambria Math" w:hAnsi="Cambria Math" w:cs="Arial"/>
                                </w:rPr>
                                <m:t>t</m:t>
                              </m:r>
                            </m:e>
                          </m:d>
                          <m:r>
                            <w:rPr>
                              <w:rFonts w:ascii="Cambria Math" w:hAnsi="Cambria Math" w:cs="Arial"/>
                            </w:rPr>
                            <m:t>=</m:t>
                          </m:r>
                          <m:sSub>
                            <m:sSubPr>
                              <m:ctrlPr>
                                <w:rPr>
                                  <w:rFonts w:ascii="Cambria Math" w:hAnsi="Cambria Math" w:cs="Arial"/>
                                  <w:i/>
                                  <w:lang w:val="en-US"/>
                                </w:rPr>
                              </m:ctrlPr>
                            </m:sSubPr>
                            <m:e>
                              <m:r>
                                <w:rPr>
                                  <w:rFonts w:ascii="Cambria Math" w:hAnsi="Cambria Math" w:cs="Arial"/>
                                </w:rPr>
                                <m:t>σ</m:t>
                              </m:r>
                            </m:e>
                            <m:sub>
                              <m:r>
                                <w:rPr>
                                  <w:rFonts w:ascii="Cambria Math" w:hAnsi="Cambria Math" w:cs="Arial"/>
                                </w:rPr>
                                <m:t>X</m:t>
                              </m:r>
                            </m:sub>
                          </m:sSub>
                          <m:d>
                            <m:dPr>
                              <m:ctrlPr>
                                <w:rPr>
                                  <w:rFonts w:ascii="Cambria Math" w:hAnsi="Cambria Math" w:cs="Arial"/>
                                  <w:i/>
                                </w:rPr>
                              </m:ctrlPr>
                            </m:dPr>
                            <m:e>
                              <m:r>
                                <w:rPr>
                                  <w:rFonts w:ascii="Cambria Math" w:hAnsi="Cambria Math" w:cs="Arial"/>
                                </w:rPr>
                                <m:t>t</m:t>
                              </m:r>
                            </m:e>
                          </m:d>
                          <m:r>
                            <w:rPr>
                              <w:rFonts w:ascii="Cambria Math" w:hAnsi="Cambria Math" w:cs="Arial"/>
                            </w:rPr>
                            <m:t>+</m:t>
                          </m:r>
                          <m:sSub>
                            <m:sSubPr>
                              <m:ctrlPr>
                                <w:rPr>
                                  <w:rFonts w:ascii="Cambria Math" w:hAnsi="Cambria Math" w:cs="Arial"/>
                                  <w:i/>
                                  <w:lang w:val="en-US"/>
                                </w:rPr>
                              </m:ctrlPr>
                            </m:sSubPr>
                            <m:e>
                              <m:r>
                                <w:rPr>
                                  <w:rFonts w:ascii="Cambria Math" w:hAnsi="Cambria Math" w:cs="Arial"/>
                                </w:rPr>
                                <m:t>σ</m:t>
                              </m:r>
                            </m:e>
                            <m:sub>
                              <m:r>
                                <w:rPr>
                                  <w:rFonts w:ascii="Cambria Math" w:hAnsi="Cambria Math" w:cs="Arial"/>
                                </w:rPr>
                                <m:t>solutes</m:t>
                              </m:r>
                            </m:sub>
                          </m:sSub>
                          <m:d>
                            <m:dPr>
                              <m:ctrlPr>
                                <w:rPr>
                                  <w:rFonts w:ascii="Cambria Math" w:hAnsi="Cambria Math" w:cs="Arial"/>
                                  <w:i/>
                                </w:rPr>
                              </m:ctrlPr>
                            </m:dPr>
                            <m:e>
                              <m:r>
                                <w:rPr>
                                  <w:rFonts w:ascii="Cambria Math" w:hAnsi="Cambria Math" w:cs="Arial"/>
                                </w:rPr>
                                <m:t>t</m:t>
                              </m:r>
                            </m:e>
                          </m:d>
                          <m:r>
                            <w:rPr>
                              <w:rFonts w:ascii="Cambria Math" w:hAnsi="Cambria Math" w:cs="Arial"/>
                            </w:rPr>
                            <m:t>.</m:t>
                          </m:r>
                        </m:e>
                      </m:mr>
                    </m:m>
                  </m:e>
                </m:d>
              </m:oMath>
            </m:oMathPara>
          </w:p>
        </w:tc>
        <w:tc>
          <w:tcPr>
            <w:tcW w:w="815" w:type="dxa"/>
            <w:shd w:val="clear" w:color="auto" w:fill="auto"/>
            <w:vAlign w:val="center"/>
          </w:tcPr>
          <w:p w14:paraId="3DD99C11" w14:textId="0394B1BA" w:rsidR="00E90BE9" w:rsidRPr="00B57B36" w:rsidRDefault="00E90BE9" w:rsidP="00E90BE9">
            <w:pPr>
              <w:pStyle w:val="CETEquation"/>
              <w:jc w:val="right"/>
            </w:pPr>
            <w:r w:rsidRPr="00B57B36">
              <w:t>(1</w:t>
            </w:r>
            <w:r>
              <w:t>3</w:t>
            </w:r>
            <w:r w:rsidRPr="00B57B36">
              <w:t>)</w:t>
            </w:r>
          </w:p>
        </w:tc>
      </w:tr>
    </w:tbl>
    <w:p w14:paraId="5957963D" w14:textId="4FE32CC7" w:rsidR="00E90BE9" w:rsidRDefault="00387DCB" w:rsidP="00200D99">
      <w:pPr>
        <w:pStyle w:val="CETBodytext"/>
      </w:pPr>
      <w:r>
        <w:t xml:space="preserve">However, </w:t>
      </w:r>
      <w:r w:rsidRPr="00387DCB">
        <w:rPr>
          <w:i/>
        </w:rPr>
        <w:t>OUR</w:t>
      </w:r>
      <w:r>
        <w:t xml:space="preserve"> requires further resolution due to the assumption that oxygen has a different yield variable associated</w:t>
      </w:r>
      <w:r w:rsidR="008D6247">
        <w:t xml:space="preserve"> </w:t>
      </w:r>
      <w:r>
        <w:t xml:space="preserve">when </w:t>
      </w:r>
      <w:r w:rsidR="008D6247">
        <w:t>this specific oxygen participates</w:t>
      </w:r>
      <w:r>
        <w:t xml:space="preserve"> in the production of soluble by-products</w:t>
      </w:r>
      <w:r w:rsidR="008D6247">
        <w:t>, in comparison</w:t>
      </w:r>
      <w:r>
        <w:t xml:space="preserve"> with </w:t>
      </w:r>
      <m:oMath>
        <m:r>
          <w:rPr>
            <w:rFonts w:ascii="Cambria Math" w:hAnsi="Cambria Math" w:cs="Arial"/>
          </w:rPr>
          <m:t>α∙</m:t>
        </m:r>
        <m:sSub>
          <m:sSubPr>
            <m:ctrlPr>
              <w:rPr>
                <w:rFonts w:ascii="Cambria Math" w:hAnsi="Cambria Math" w:cs="Arial"/>
                <w:i/>
              </w:rPr>
            </m:ctrlPr>
          </m:sSubPr>
          <m:e>
            <m:r>
              <w:rPr>
                <w:rFonts w:ascii="Cambria Math" w:hAnsi="Cambria Math" w:cs="Arial"/>
              </w:rPr>
              <m:t>Y</m:t>
            </m:r>
          </m:e>
          <m:sub>
            <m:r>
              <w:rPr>
                <w:rFonts w:ascii="Cambria Math" w:hAnsi="Cambria Math" w:cs="Arial"/>
              </w:rPr>
              <m:t>xs</m:t>
            </m:r>
          </m:sub>
        </m:sSub>
        <m:d>
          <m:dPr>
            <m:ctrlPr>
              <w:rPr>
                <w:rFonts w:ascii="Cambria Math" w:hAnsi="Cambria Math" w:cs="Arial"/>
                <w:i/>
              </w:rPr>
            </m:ctrlPr>
          </m:dPr>
          <m:e>
            <m:r>
              <w:rPr>
                <w:rFonts w:ascii="Cambria Math" w:hAnsi="Cambria Math" w:cs="Arial"/>
              </w:rPr>
              <m:t>t</m:t>
            </m:r>
          </m:e>
        </m:d>
      </m:oMath>
      <w:r>
        <w:t>.</w:t>
      </w:r>
      <w:r w:rsidR="008D6247">
        <w:t xml:space="preserve"> Therefore, similarly</w:t>
      </w:r>
      <w:r w:rsidR="00C45C42">
        <w:t xml:space="preserve"> to the specific glucose consumption rate</w:t>
      </w:r>
      <w:r w:rsidR="002B1D46">
        <w:t>,</w:t>
      </w:r>
      <w:r w:rsidR="008D6247">
        <w:t xml:space="preserve"> </w:t>
      </w:r>
      <w:r w:rsidR="00C45C42">
        <w:t>the original</w:t>
      </w:r>
      <w:r w:rsidR="008D6247">
        <w:t xml:space="preserve"> </w:t>
      </w:r>
      <w:r w:rsidR="008D6247" w:rsidRPr="008D6247">
        <w:rPr>
          <w:i/>
        </w:rPr>
        <w:t>OUR</w:t>
      </w:r>
      <w:r w:rsidR="00C45C42">
        <w:t xml:space="preserve"> has also a split</w:t>
      </w:r>
    </w:p>
    <w:tbl>
      <w:tblPr>
        <w:tblW w:w="5000" w:type="pct"/>
        <w:tblLook w:val="04A0" w:firstRow="1" w:lastRow="0" w:firstColumn="1" w:lastColumn="0" w:noHBand="0" w:noVBand="1"/>
      </w:tblPr>
      <w:tblGrid>
        <w:gridCol w:w="7981"/>
        <w:gridCol w:w="806"/>
      </w:tblGrid>
      <w:tr w:rsidR="00C45C42" w:rsidRPr="00B57B36" w14:paraId="48134B0B" w14:textId="77777777" w:rsidTr="008F2845">
        <w:tc>
          <w:tcPr>
            <w:tcW w:w="8188" w:type="dxa"/>
            <w:shd w:val="clear" w:color="auto" w:fill="auto"/>
            <w:vAlign w:val="center"/>
          </w:tcPr>
          <w:p w14:paraId="11462A38" w14:textId="3DBC9B7E" w:rsidR="00C45C42" w:rsidRPr="00E90BE9" w:rsidRDefault="00A240D8" w:rsidP="00A240D8">
            <w:pPr>
              <w:pStyle w:val="CETEquation"/>
              <w:rPr>
                <w:rFonts w:cs="Arial"/>
                <w:i/>
                <w:lang w:val="en-US"/>
              </w:rPr>
            </w:pPr>
            <m:oMathPara>
              <m:oMath>
                <m:r>
                  <w:rPr>
                    <w:rFonts w:ascii="Cambria Math" w:hAnsi="Cambria Math" w:cs="Arial"/>
                  </w:rPr>
                  <m:t>OUR</m:t>
                </m:r>
                <m:d>
                  <m:dPr>
                    <m:ctrlPr>
                      <w:rPr>
                        <w:rFonts w:ascii="Cambria Math" w:hAnsi="Cambria Math" w:cs="Arial"/>
                        <w:i/>
                      </w:rPr>
                    </m:ctrlPr>
                  </m:dPr>
                  <m:e>
                    <m:r>
                      <w:rPr>
                        <w:rFonts w:ascii="Cambria Math" w:hAnsi="Cambria Math" w:cs="Arial"/>
                      </w:rPr>
                      <m:t>t</m:t>
                    </m:r>
                  </m:e>
                </m:d>
                <m:r>
                  <w:rPr>
                    <w:rFonts w:ascii="Cambria Math" w:hAnsi="Cambria Math" w:cs="Arial"/>
                  </w:rPr>
                  <m:t>=</m:t>
                </m:r>
                <m:sSub>
                  <m:sSubPr>
                    <m:ctrlPr>
                      <w:rPr>
                        <w:rFonts w:ascii="Cambria Math" w:hAnsi="Cambria Math" w:cs="Arial"/>
                        <w:i/>
                        <w:lang w:val="en-US"/>
                      </w:rPr>
                    </m:ctrlPr>
                  </m:sSubPr>
                  <m:e>
                    <m:r>
                      <w:rPr>
                        <w:rFonts w:ascii="Cambria Math" w:hAnsi="Cambria Math" w:cs="Arial"/>
                        <w:lang w:val="en-US"/>
                      </w:rPr>
                      <m:t>OUR</m:t>
                    </m:r>
                  </m:e>
                  <m:sub>
                    <m:r>
                      <w:rPr>
                        <w:rFonts w:ascii="Cambria Math" w:hAnsi="Cambria Math" w:cs="Arial"/>
                      </w:rPr>
                      <m:t>X</m:t>
                    </m:r>
                  </m:sub>
                </m:sSub>
                <m:d>
                  <m:dPr>
                    <m:ctrlPr>
                      <w:rPr>
                        <w:rFonts w:ascii="Cambria Math" w:hAnsi="Cambria Math" w:cs="Arial"/>
                        <w:i/>
                      </w:rPr>
                    </m:ctrlPr>
                  </m:dPr>
                  <m:e>
                    <m:r>
                      <w:rPr>
                        <w:rFonts w:ascii="Cambria Math" w:hAnsi="Cambria Math" w:cs="Arial"/>
                      </w:rPr>
                      <m:t>t</m:t>
                    </m:r>
                  </m:e>
                </m:d>
                <m:r>
                  <w:rPr>
                    <w:rFonts w:ascii="Cambria Math" w:hAnsi="Cambria Math" w:cs="Arial"/>
                  </w:rPr>
                  <m:t>+</m:t>
                </m:r>
                <m:sSub>
                  <m:sSubPr>
                    <m:ctrlPr>
                      <w:rPr>
                        <w:rFonts w:ascii="Cambria Math" w:hAnsi="Cambria Math" w:cs="Arial"/>
                        <w:i/>
                        <w:lang w:val="en-US"/>
                      </w:rPr>
                    </m:ctrlPr>
                  </m:sSubPr>
                  <m:e>
                    <m:r>
                      <w:rPr>
                        <w:rFonts w:ascii="Cambria Math" w:hAnsi="Cambria Math" w:cs="Arial"/>
                      </w:rPr>
                      <m:t>OUR</m:t>
                    </m:r>
                  </m:e>
                  <m:sub>
                    <m:r>
                      <w:rPr>
                        <w:rFonts w:ascii="Cambria Math" w:hAnsi="Cambria Math" w:cs="Arial"/>
                      </w:rPr>
                      <m:t>solutes</m:t>
                    </m:r>
                  </m:sub>
                </m:sSub>
                <m:d>
                  <m:dPr>
                    <m:ctrlPr>
                      <w:rPr>
                        <w:rFonts w:ascii="Cambria Math" w:hAnsi="Cambria Math" w:cs="Arial"/>
                        <w:i/>
                      </w:rPr>
                    </m:ctrlPr>
                  </m:dPr>
                  <m:e>
                    <m:r>
                      <w:rPr>
                        <w:rFonts w:ascii="Cambria Math" w:hAnsi="Cambria Math" w:cs="Arial"/>
                      </w:rPr>
                      <m:t>t</m:t>
                    </m:r>
                  </m:e>
                </m:d>
                <m:r>
                  <w:rPr>
                    <w:rFonts w:ascii="Cambria Math" w:hAnsi="Cambria Math" w:cs="Arial"/>
                  </w:rPr>
                  <m:t>,</m:t>
                </m:r>
              </m:oMath>
            </m:oMathPara>
          </w:p>
        </w:tc>
        <w:tc>
          <w:tcPr>
            <w:tcW w:w="815" w:type="dxa"/>
            <w:shd w:val="clear" w:color="auto" w:fill="auto"/>
            <w:vAlign w:val="center"/>
          </w:tcPr>
          <w:p w14:paraId="4BCE655C" w14:textId="4A32E358" w:rsidR="00C45C42" w:rsidRPr="00B57B36" w:rsidRDefault="00C45C42" w:rsidP="00C45C42">
            <w:pPr>
              <w:pStyle w:val="CETEquation"/>
              <w:jc w:val="right"/>
            </w:pPr>
            <w:r w:rsidRPr="00B57B36">
              <w:t>(1</w:t>
            </w:r>
            <w:r>
              <w:t>4</w:t>
            </w:r>
            <w:r w:rsidRPr="00B57B36">
              <w:t>)</w:t>
            </w:r>
          </w:p>
        </w:tc>
      </w:tr>
    </w:tbl>
    <w:p w14:paraId="61CEAFD8" w14:textId="3C75A52D" w:rsidR="00C45C42" w:rsidRDefault="00A240D8" w:rsidP="00200D99">
      <w:pPr>
        <w:pStyle w:val="CETBodytext"/>
      </w:pPr>
      <w:r>
        <w:t>where the first term (</w:t>
      </w:r>
      <m:oMath>
        <m:sSub>
          <m:sSubPr>
            <m:ctrlPr>
              <w:rPr>
                <w:rFonts w:ascii="Cambria Math" w:hAnsi="Cambria Math" w:cs="Arial"/>
                <w:i/>
              </w:rPr>
            </m:ctrlPr>
          </m:sSubPr>
          <m:e>
            <m:r>
              <w:rPr>
                <w:rFonts w:ascii="Cambria Math" w:hAnsi="Cambria Math" w:cs="Arial"/>
              </w:rPr>
              <m:t>OUR</m:t>
            </m:r>
          </m:e>
          <m:sub>
            <m:r>
              <w:rPr>
                <w:rFonts w:ascii="Cambria Math" w:hAnsi="Cambria Math" w:cs="Arial"/>
              </w:rPr>
              <m:t>X</m:t>
            </m:r>
          </m:sub>
        </m:sSub>
        <m:d>
          <m:dPr>
            <m:ctrlPr>
              <w:rPr>
                <w:rFonts w:ascii="Cambria Math" w:hAnsi="Cambria Math" w:cs="Arial"/>
                <w:i/>
              </w:rPr>
            </m:ctrlPr>
          </m:dPr>
          <m:e>
            <m:r>
              <w:rPr>
                <w:rFonts w:ascii="Cambria Math" w:hAnsi="Cambria Math" w:cs="Arial"/>
              </w:rPr>
              <m:t>t</m:t>
            </m:r>
          </m:e>
        </m:d>
      </m:oMath>
      <w:r>
        <w:t>) represents the Luedeking-Piret shape as in Eq(10), and the second one (</w:t>
      </w:r>
      <m:oMath>
        <m:sSub>
          <m:sSubPr>
            <m:ctrlPr>
              <w:rPr>
                <w:rFonts w:ascii="Cambria Math" w:hAnsi="Cambria Math" w:cs="Arial"/>
                <w:i/>
              </w:rPr>
            </m:ctrlPr>
          </m:sSubPr>
          <m:e>
            <m:r>
              <w:rPr>
                <w:rFonts w:ascii="Cambria Math" w:hAnsi="Cambria Math" w:cs="Arial"/>
              </w:rPr>
              <m:t>OUR</m:t>
            </m:r>
          </m:e>
          <m:sub>
            <m:r>
              <w:rPr>
                <w:rFonts w:ascii="Cambria Math" w:hAnsi="Cambria Math" w:cs="Arial"/>
              </w:rPr>
              <m:t>solutes</m:t>
            </m:r>
          </m:sub>
        </m:sSub>
        <m:d>
          <m:dPr>
            <m:ctrlPr>
              <w:rPr>
                <w:rFonts w:ascii="Cambria Math" w:hAnsi="Cambria Math" w:cs="Arial"/>
                <w:i/>
              </w:rPr>
            </m:ctrlPr>
          </m:dPr>
          <m:e>
            <m:r>
              <w:rPr>
                <w:rFonts w:ascii="Cambria Math" w:hAnsi="Cambria Math" w:cs="Arial"/>
              </w:rPr>
              <m:t>t</m:t>
            </m:r>
          </m:e>
        </m:d>
      </m:oMath>
      <w:r>
        <w:t>) is still to be considered further.</w:t>
      </w:r>
      <w:r w:rsidR="002C0F1B">
        <w:t xml:space="preserve"> Prior to continuing, </w:t>
      </w:r>
      <w:r w:rsidR="00115FF5">
        <w:t>the OUR yield from the solutes produced (</w:t>
      </w:r>
      <m:oMath>
        <m:sSub>
          <m:sSubPr>
            <m:ctrlPr>
              <w:rPr>
                <w:rFonts w:ascii="Cambria Math" w:hAnsi="Cambria Math" w:cs="Arial"/>
                <w:i/>
              </w:rPr>
            </m:ctrlPr>
          </m:sSubPr>
          <m:e>
            <m:r>
              <w:rPr>
                <w:rFonts w:ascii="Cambria Math" w:hAnsi="Cambria Math" w:cs="Arial"/>
              </w:rPr>
              <m:t>Y</m:t>
            </m:r>
          </m:e>
          <m:sub>
            <m:r>
              <w:rPr>
                <w:rFonts w:ascii="Cambria Math" w:hAnsi="Cambria Math" w:cs="Arial"/>
              </w:rPr>
              <m:t>solutes,os</m:t>
            </m:r>
          </m:sub>
        </m:sSub>
      </m:oMath>
      <w:r w:rsidR="00115FF5">
        <w:t xml:space="preserve">) </w:t>
      </w:r>
      <w:r w:rsidR="00C957AD">
        <w:t xml:space="preserve">is </w:t>
      </w:r>
      <w:r w:rsidR="004C48A5">
        <w:t xml:space="preserve">a </w:t>
      </w:r>
      <w:r w:rsidR="00C957AD">
        <w:t xml:space="preserve">constant </w:t>
      </w:r>
      <w:r w:rsidR="004C48A5">
        <w:t>parameter</w:t>
      </w:r>
      <w:r w:rsidR="00C957AD">
        <w:t xml:space="preserve"> and </w:t>
      </w:r>
      <w:r w:rsidR="00115FF5">
        <w:t>links to its specific glucose consumption rate through</w:t>
      </w:r>
    </w:p>
    <w:tbl>
      <w:tblPr>
        <w:tblW w:w="5000" w:type="pct"/>
        <w:tblLook w:val="04A0" w:firstRow="1" w:lastRow="0" w:firstColumn="1" w:lastColumn="0" w:noHBand="0" w:noVBand="1"/>
      </w:tblPr>
      <w:tblGrid>
        <w:gridCol w:w="7981"/>
        <w:gridCol w:w="806"/>
      </w:tblGrid>
      <w:tr w:rsidR="00115FF5" w:rsidRPr="00B57B36" w14:paraId="2641EBE4" w14:textId="77777777" w:rsidTr="008F2845">
        <w:tc>
          <w:tcPr>
            <w:tcW w:w="8188" w:type="dxa"/>
            <w:shd w:val="clear" w:color="auto" w:fill="auto"/>
            <w:vAlign w:val="center"/>
          </w:tcPr>
          <w:p w14:paraId="758807C2" w14:textId="786BB708" w:rsidR="00115FF5" w:rsidRPr="00E90BE9" w:rsidRDefault="001D5EE7" w:rsidP="00176293">
            <w:pPr>
              <w:pStyle w:val="CETEquation"/>
              <w:rPr>
                <w:rFonts w:cs="Arial"/>
                <w:i/>
                <w:lang w:val="en-US"/>
              </w:rPr>
            </w:pPr>
            <m:oMathPara>
              <m:oMath>
                <m:sSub>
                  <m:sSubPr>
                    <m:ctrlPr>
                      <w:rPr>
                        <w:rFonts w:ascii="Cambria Math" w:hAnsi="Cambria Math" w:cs="Arial"/>
                        <w:i/>
                        <w:lang w:val="en-US"/>
                      </w:rPr>
                    </m:ctrlPr>
                  </m:sSubPr>
                  <m:e>
                    <m:r>
                      <w:rPr>
                        <w:rFonts w:ascii="Cambria Math" w:hAnsi="Cambria Math" w:cs="Arial"/>
                      </w:rPr>
                      <m:t>σ</m:t>
                    </m:r>
                  </m:e>
                  <m:sub>
                    <m:r>
                      <w:rPr>
                        <w:rFonts w:ascii="Cambria Math" w:hAnsi="Cambria Math" w:cs="Arial"/>
                      </w:rPr>
                      <m:t>solutes</m:t>
                    </m:r>
                  </m:sub>
                </m:sSub>
                <m:d>
                  <m:dPr>
                    <m:ctrlPr>
                      <w:rPr>
                        <w:rFonts w:ascii="Cambria Math" w:hAnsi="Cambria Math" w:cs="Arial"/>
                        <w:i/>
                      </w:rPr>
                    </m:ctrlPr>
                  </m:dPr>
                  <m:e>
                    <m:r>
                      <w:rPr>
                        <w:rFonts w:ascii="Cambria Math" w:hAnsi="Cambria Math" w:cs="Arial"/>
                      </w:rPr>
                      <m:t>t</m:t>
                    </m:r>
                  </m:e>
                </m:d>
                <m:r>
                  <w:rPr>
                    <w:rFonts w:ascii="Cambria Math" w:hAnsi="Cambria Math" w:cs="Arial"/>
                  </w:rPr>
                  <m:t>=</m:t>
                </m:r>
                <m:f>
                  <m:fPr>
                    <m:ctrlPr>
                      <w:rPr>
                        <w:rFonts w:ascii="Cambria Math" w:hAnsi="Cambria Math" w:cs="Arial"/>
                        <w:i/>
                      </w:rPr>
                    </m:ctrlPr>
                  </m:fPr>
                  <m:num>
                    <m:sSub>
                      <m:sSubPr>
                        <m:ctrlPr>
                          <w:rPr>
                            <w:rFonts w:ascii="Cambria Math" w:hAnsi="Cambria Math" w:cs="Arial"/>
                            <w:i/>
                            <w:lang w:val="en-US"/>
                          </w:rPr>
                        </m:ctrlPr>
                      </m:sSubPr>
                      <m:e>
                        <m:r>
                          <w:rPr>
                            <w:rFonts w:ascii="Cambria Math" w:hAnsi="Cambria Math" w:cs="Arial"/>
                          </w:rPr>
                          <m:t>OUR</m:t>
                        </m:r>
                      </m:e>
                      <m:sub>
                        <m:r>
                          <w:rPr>
                            <w:rFonts w:ascii="Cambria Math" w:hAnsi="Cambria Math" w:cs="Arial"/>
                          </w:rPr>
                          <m:t>solutes</m:t>
                        </m:r>
                      </m:sub>
                    </m:sSub>
                    <m:d>
                      <m:dPr>
                        <m:ctrlPr>
                          <w:rPr>
                            <w:rFonts w:ascii="Cambria Math" w:hAnsi="Cambria Math" w:cs="Arial"/>
                            <w:i/>
                          </w:rPr>
                        </m:ctrlPr>
                      </m:dPr>
                      <m:e>
                        <m:r>
                          <w:rPr>
                            <w:rFonts w:ascii="Cambria Math" w:hAnsi="Cambria Math" w:cs="Arial"/>
                          </w:rPr>
                          <m:t>t</m:t>
                        </m:r>
                      </m:e>
                    </m:d>
                  </m:num>
                  <m:den>
                    <m:sSub>
                      <m:sSubPr>
                        <m:ctrlPr>
                          <w:rPr>
                            <w:rFonts w:ascii="Cambria Math" w:hAnsi="Cambria Math" w:cs="Arial"/>
                            <w:i/>
                            <w:lang w:val="en-US"/>
                          </w:rPr>
                        </m:ctrlPr>
                      </m:sSubPr>
                      <m:e>
                        <m:r>
                          <w:rPr>
                            <w:rFonts w:ascii="Cambria Math" w:hAnsi="Cambria Math" w:cs="Arial"/>
                          </w:rPr>
                          <m:t>Y</m:t>
                        </m:r>
                      </m:e>
                      <m:sub>
                        <m:r>
                          <w:rPr>
                            <w:rFonts w:ascii="Cambria Math" w:hAnsi="Cambria Math" w:cs="Arial"/>
                          </w:rPr>
                          <m:t>solutes,os</m:t>
                        </m:r>
                      </m:sub>
                    </m:sSub>
                  </m:den>
                </m:f>
                <m:r>
                  <w:rPr>
                    <w:rFonts w:ascii="Cambria Math" w:hAnsi="Cambria Math" w:cs="Arial"/>
                  </w:rPr>
                  <m:t>,</m:t>
                </m:r>
              </m:oMath>
            </m:oMathPara>
          </w:p>
        </w:tc>
        <w:tc>
          <w:tcPr>
            <w:tcW w:w="815" w:type="dxa"/>
            <w:shd w:val="clear" w:color="auto" w:fill="auto"/>
            <w:vAlign w:val="center"/>
          </w:tcPr>
          <w:p w14:paraId="7E9E9EE0" w14:textId="09A43BC1" w:rsidR="00115FF5" w:rsidRPr="00B57B36" w:rsidRDefault="00115FF5" w:rsidP="008F2845">
            <w:pPr>
              <w:pStyle w:val="CETEquation"/>
              <w:jc w:val="right"/>
            </w:pPr>
            <w:r w:rsidRPr="00B57B36">
              <w:t>(1</w:t>
            </w:r>
            <w:r>
              <w:t>5</w:t>
            </w:r>
            <w:r w:rsidRPr="00B57B36">
              <w:t>)</w:t>
            </w:r>
          </w:p>
        </w:tc>
      </w:tr>
    </w:tbl>
    <w:p w14:paraId="249A7CFC" w14:textId="09F54D25" w:rsidR="003514B7" w:rsidRDefault="003514B7" w:rsidP="00200D99">
      <w:pPr>
        <w:pStyle w:val="CETBodytext"/>
      </w:pPr>
      <w:r>
        <w:t>As the glucose concentration of the medium affects the oxidative metabolic pathway and the</w:t>
      </w:r>
      <w:r w:rsidR="00C46344">
        <w:t xml:space="preserve"> production</w:t>
      </w:r>
      <w:r>
        <w:t xml:space="preserve"> rate of soluble by-products (</w:t>
      </w:r>
      <w:r w:rsidRPr="002A5611">
        <w:t>Vergara</w:t>
      </w:r>
      <w:r>
        <w:t xml:space="preserve"> et al., 2018), </w:t>
      </w:r>
      <w:r w:rsidR="00727BB9">
        <w:t xml:space="preserve">a compensated </w:t>
      </w:r>
      <w:r w:rsidR="00727BB9" w:rsidRPr="00727BB9">
        <w:rPr>
          <w:i/>
        </w:rPr>
        <w:t>OUR</w:t>
      </w:r>
      <w:r w:rsidR="00727BB9">
        <w:t xml:space="preserve"> formulation </w:t>
      </w:r>
      <w:r w:rsidR="007821CC">
        <w:t>becomes then</w:t>
      </w:r>
      <w:r w:rsidR="00727BB9">
        <w:t xml:space="preserve"> necessary</w:t>
      </w:r>
    </w:p>
    <w:tbl>
      <w:tblPr>
        <w:tblW w:w="5000" w:type="pct"/>
        <w:tblLook w:val="04A0" w:firstRow="1" w:lastRow="0" w:firstColumn="1" w:lastColumn="0" w:noHBand="0" w:noVBand="1"/>
      </w:tblPr>
      <w:tblGrid>
        <w:gridCol w:w="7984"/>
        <w:gridCol w:w="803"/>
      </w:tblGrid>
      <w:tr w:rsidR="00727BB9" w:rsidRPr="00B57B36" w14:paraId="0A1F4247" w14:textId="77777777" w:rsidTr="008F2845">
        <w:tc>
          <w:tcPr>
            <w:tcW w:w="8188" w:type="dxa"/>
            <w:shd w:val="clear" w:color="auto" w:fill="auto"/>
            <w:vAlign w:val="center"/>
          </w:tcPr>
          <w:p w14:paraId="023BAC89" w14:textId="00986747" w:rsidR="00727BB9" w:rsidRPr="00E90BE9" w:rsidRDefault="001D5EE7" w:rsidP="00727BB9">
            <w:pPr>
              <w:pStyle w:val="CETEquation"/>
              <w:rPr>
                <w:rFonts w:cs="Arial"/>
                <w:i/>
                <w:lang w:val="en-US"/>
              </w:rPr>
            </w:pPr>
            <m:oMathPara>
              <m:oMath>
                <m:d>
                  <m:dPr>
                    <m:begChr m:val="{"/>
                    <m:endChr m:val=""/>
                    <m:ctrlPr>
                      <w:rPr>
                        <w:rFonts w:ascii="Cambria Math" w:hAnsi="Cambria Math" w:cs="Arial"/>
                        <w:i/>
                      </w:rPr>
                    </m:ctrlPr>
                  </m:dPr>
                  <m:e>
                    <m:m>
                      <m:mPr>
                        <m:mcs>
                          <m:mc>
                            <m:mcPr>
                              <m:count m:val="1"/>
                              <m:mcJc m:val="center"/>
                            </m:mcPr>
                          </m:mc>
                        </m:mcs>
                        <m:ctrlPr>
                          <w:rPr>
                            <w:rFonts w:ascii="Cambria Math" w:hAnsi="Cambria Math" w:cs="Arial"/>
                            <w:i/>
                          </w:rPr>
                        </m:ctrlPr>
                      </m:mPr>
                      <m:mr>
                        <m:e>
                          <m:sSub>
                            <m:sSubPr>
                              <m:ctrlPr>
                                <w:rPr>
                                  <w:rFonts w:ascii="Cambria Math" w:hAnsi="Cambria Math" w:cs="Arial"/>
                                  <w:i/>
                                  <w:lang w:val="en-US"/>
                                </w:rPr>
                              </m:ctrlPr>
                            </m:sSubPr>
                            <m:e>
                              <m:r>
                                <w:rPr>
                                  <w:rFonts w:ascii="Cambria Math" w:hAnsi="Cambria Math" w:cs="Arial"/>
                                </w:rPr>
                                <m:t>OUR</m:t>
                              </m:r>
                            </m:e>
                            <m:sub>
                              <m:r>
                                <w:rPr>
                                  <w:rFonts w:ascii="Cambria Math" w:hAnsi="Cambria Math" w:cs="Arial"/>
                                </w:rPr>
                                <m:t>solutes</m:t>
                              </m:r>
                            </m:sub>
                          </m:sSub>
                          <m:d>
                            <m:dPr>
                              <m:ctrlPr>
                                <w:rPr>
                                  <w:rFonts w:ascii="Cambria Math" w:hAnsi="Cambria Math" w:cs="Arial"/>
                                  <w:i/>
                                </w:rPr>
                              </m:ctrlPr>
                            </m:dPr>
                            <m:e>
                              <m:r>
                                <w:rPr>
                                  <w:rFonts w:ascii="Cambria Math" w:hAnsi="Cambria Math" w:cs="Arial"/>
                                </w:rPr>
                                <m:t>t</m:t>
                              </m:r>
                            </m:e>
                          </m:d>
                          <m:r>
                            <w:rPr>
                              <w:rFonts w:ascii="Cambria Math" w:hAnsi="Cambria Math" w:cs="Arial"/>
                            </w:rPr>
                            <m:t>=OUR</m:t>
                          </m:r>
                          <m:d>
                            <m:dPr>
                              <m:ctrlPr>
                                <w:rPr>
                                  <w:rFonts w:ascii="Cambria Math" w:hAnsi="Cambria Math" w:cs="Arial"/>
                                  <w:i/>
                                </w:rPr>
                              </m:ctrlPr>
                            </m:dPr>
                            <m:e>
                              <m:r>
                                <w:rPr>
                                  <w:rFonts w:ascii="Cambria Math" w:hAnsi="Cambria Math" w:cs="Arial"/>
                                </w:rPr>
                                <m:t>t</m:t>
                              </m:r>
                            </m:e>
                          </m:d>
                          <m:r>
                            <w:rPr>
                              <w:rFonts w:ascii="Cambria Math" w:hAnsi="Cambria Math" w:cs="Arial"/>
                            </w:rPr>
                            <m:t>∙</m:t>
                          </m:r>
                          <m:d>
                            <m:dPr>
                              <m:ctrlPr>
                                <w:rPr>
                                  <w:rFonts w:ascii="Cambria Math" w:hAnsi="Cambria Math" w:cs="Arial"/>
                                  <w:i/>
                                </w:rPr>
                              </m:ctrlPr>
                            </m:dPr>
                            <m:e>
                              <m:r>
                                <w:rPr>
                                  <w:rFonts w:ascii="Cambria Math" w:hAnsi="Cambria Math" w:cs="Arial"/>
                                </w:rPr>
                                <m:t>1-factor</m:t>
                              </m:r>
                              <m:d>
                                <m:dPr>
                                  <m:ctrlPr>
                                    <w:rPr>
                                      <w:rFonts w:ascii="Cambria Math" w:hAnsi="Cambria Math" w:cs="Arial"/>
                                      <w:i/>
                                    </w:rPr>
                                  </m:ctrlPr>
                                </m:dPr>
                                <m:e>
                                  <m:r>
                                    <w:rPr>
                                      <w:rFonts w:ascii="Cambria Math" w:hAnsi="Cambria Math" w:cs="Arial"/>
                                    </w:rPr>
                                    <m:t>s</m:t>
                                  </m:r>
                                </m:e>
                              </m:d>
                            </m:e>
                          </m:d>
                          <m:r>
                            <w:rPr>
                              <w:rFonts w:ascii="Cambria Math" w:hAnsi="Cambria Math" w:cs="Arial"/>
                            </w:rPr>
                            <m:t>;</m:t>
                          </m:r>
                        </m:e>
                      </m:mr>
                      <m:mr>
                        <m:e>
                          <m:sSub>
                            <m:sSubPr>
                              <m:ctrlPr>
                                <w:rPr>
                                  <w:rFonts w:ascii="Cambria Math" w:hAnsi="Cambria Math" w:cs="Arial"/>
                                  <w:i/>
                                  <w:lang w:val="en-US"/>
                                </w:rPr>
                              </m:ctrlPr>
                            </m:sSubPr>
                            <m:e>
                              <m:r>
                                <w:rPr>
                                  <w:rFonts w:ascii="Cambria Math" w:hAnsi="Cambria Math" w:cs="Arial"/>
                                  <w:lang w:val="en-US"/>
                                </w:rPr>
                                <m:t>OUR</m:t>
                              </m:r>
                            </m:e>
                            <m:sub>
                              <m:r>
                                <w:rPr>
                                  <w:rFonts w:ascii="Cambria Math" w:hAnsi="Cambria Math" w:cs="Arial"/>
                                </w:rPr>
                                <m:t>X</m:t>
                              </m:r>
                            </m:sub>
                          </m:sSub>
                          <m:d>
                            <m:dPr>
                              <m:ctrlPr>
                                <w:rPr>
                                  <w:rFonts w:ascii="Cambria Math" w:hAnsi="Cambria Math" w:cs="Arial"/>
                                  <w:i/>
                                </w:rPr>
                              </m:ctrlPr>
                            </m:dPr>
                            <m:e>
                              <m:r>
                                <w:rPr>
                                  <w:rFonts w:ascii="Cambria Math" w:hAnsi="Cambria Math" w:cs="Arial"/>
                                </w:rPr>
                                <m:t>t</m:t>
                              </m:r>
                            </m:e>
                          </m:d>
                          <m:r>
                            <w:rPr>
                              <w:rFonts w:ascii="Cambria Math" w:hAnsi="Cambria Math" w:cs="Arial"/>
                            </w:rPr>
                            <m:t>=OUR</m:t>
                          </m:r>
                          <m:d>
                            <m:dPr>
                              <m:ctrlPr>
                                <w:rPr>
                                  <w:rFonts w:ascii="Cambria Math" w:hAnsi="Cambria Math" w:cs="Arial"/>
                                  <w:i/>
                                </w:rPr>
                              </m:ctrlPr>
                            </m:dPr>
                            <m:e>
                              <m:r>
                                <w:rPr>
                                  <w:rFonts w:ascii="Cambria Math" w:hAnsi="Cambria Math" w:cs="Arial"/>
                                </w:rPr>
                                <m:t>t</m:t>
                              </m:r>
                            </m:e>
                          </m:d>
                          <m:r>
                            <w:rPr>
                              <w:rFonts w:ascii="Cambria Math" w:hAnsi="Cambria Math" w:cs="Arial"/>
                            </w:rPr>
                            <m:t>∙factor</m:t>
                          </m:r>
                          <m:d>
                            <m:dPr>
                              <m:ctrlPr>
                                <w:rPr>
                                  <w:rFonts w:ascii="Cambria Math" w:hAnsi="Cambria Math" w:cs="Arial"/>
                                  <w:i/>
                                </w:rPr>
                              </m:ctrlPr>
                            </m:dPr>
                            <m:e>
                              <m:r>
                                <w:rPr>
                                  <w:rFonts w:ascii="Cambria Math" w:hAnsi="Cambria Math" w:cs="Arial"/>
                                </w:rPr>
                                <m:t>s</m:t>
                              </m:r>
                            </m:e>
                          </m:d>
                          <m:r>
                            <w:rPr>
                              <w:rFonts w:ascii="Cambria Math" w:hAnsi="Cambria Math" w:cs="Arial"/>
                            </w:rPr>
                            <m:t>,</m:t>
                          </m:r>
                        </m:e>
                      </m:mr>
                    </m:m>
                  </m:e>
                </m:d>
              </m:oMath>
            </m:oMathPara>
          </w:p>
        </w:tc>
        <w:tc>
          <w:tcPr>
            <w:tcW w:w="815" w:type="dxa"/>
            <w:shd w:val="clear" w:color="auto" w:fill="auto"/>
            <w:vAlign w:val="center"/>
          </w:tcPr>
          <w:p w14:paraId="4656C70E" w14:textId="2DA30BBB" w:rsidR="00727BB9" w:rsidRPr="00B57B36" w:rsidRDefault="00727BB9" w:rsidP="008F2845">
            <w:pPr>
              <w:pStyle w:val="CETEquation"/>
              <w:jc w:val="right"/>
            </w:pPr>
            <w:r w:rsidRPr="00B57B36">
              <w:t>(1</w:t>
            </w:r>
            <w:r w:rsidR="00115FF5">
              <w:t>6</w:t>
            </w:r>
            <w:r w:rsidRPr="00B57B36">
              <w:t>)</w:t>
            </w:r>
          </w:p>
        </w:tc>
      </w:tr>
    </w:tbl>
    <w:p w14:paraId="7E421303" w14:textId="6CBD05D5" w:rsidR="00727BB9" w:rsidRDefault="00727BB9" w:rsidP="00200D99">
      <w:pPr>
        <w:pStyle w:val="CETBodytext"/>
        <w:rPr>
          <w:lang w:val="en-GB"/>
        </w:rPr>
      </w:pPr>
      <w:r>
        <w:t>where exponential ratio function (</w:t>
      </w:r>
      <m:oMath>
        <m:r>
          <w:rPr>
            <w:rFonts w:ascii="Cambria Math" w:hAnsi="Cambria Math" w:cs="Arial"/>
          </w:rPr>
          <m:t>factor</m:t>
        </m:r>
        <m:d>
          <m:dPr>
            <m:ctrlPr>
              <w:rPr>
                <w:rFonts w:ascii="Cambria Math" w:hAnsi="Cambria Math" w:cs="Arial"/>
                <w:i/>
                <w:lang w:val="en-GB"/>
              </w:rPr>
            </m:ctrlPr>
          </m:dPr>
          <m:e>
            <m:r>
              <w:rPr>
                <w:rFonts w:ascii="Cambria Math" w:hAnsi="Cambria Math" w:cs="Arial"/>
              </w:rPr>
              <m:t>s</m:t>
            </m:r>
          </m:e>
        </m:d>
      </m:oMath>
      <w:r>
        <w:rPr>
          <w:lang w:val="en-GB"/>
        </w:rPr>
        <w:t xml:space="preserve">) embodies </w:t>
      </w:r>
      <w:r w:rsidR="007821CC">
        <w:rPr>
          <w:lang w:val="en-GB"/>
        </w:rPr>
        <w:t xml:space="preserve">the dependency of the production of by-products on the glucose concentration in the broth. </w:t>
      </w:r>
      <w:r w:rsidR="00CC592C">
        <w:rPr>
          <w:lang w:val="en-GB"/>
        </w:rPr>
        <w:t>The reasons for such an outcome might not necessarily depend on the properties of the biomass (cell membranes) but might also link to the hydrophobicity of the solutes.</w:t>
      </w:r>
    </w:p>
    <w:p w14:paraId="1EE7D26A" w14:textId="6EA83CAD" w:rsidR="007821CC" w:rsidRDefault="003E1FFC" w:rsidP="00200D99">
      <w:pPr>
        <w:pStyle w:val="CETBodytext"/>
        <w:rPr>
          <w:lang w:val="en-GB"/>
        </w:rPr>
      </w:pPr>
      <w:r>
        <w:rPr>
          <w:lang w:val="en-GB"/>
        </w:rPr>
        <w:t>This study suggests a new limiting coefficient (</w:t>
      </w:r>
      <m:oMath>
        <m:sSub>
          <m:sSubPr>
            <m:ctrlPr>
              <w:rPr>
                <w:rFonts w:ascii="Cambria Math" w:hAnsi="Cambria Math" w:cs="Arial"/>
                <w:i/>
                <w:lang w:val="en-GB"/>
              </w:rPr>
            </m:ctrlPr>
          </m:sSubPr>
          <m:e>
            <m:r>
              <w:rPr>
                <w:rFonts w:ascii="Cambria Math" w:hAnsi="Cambria Math" w:cs="Arial"/>
              </w:rPr>
              <m:t>k</m:t>
            </m:r>
          </m:e>
          <m:sub>
            <m:r>
              <w:rPr>
                <w:rFonts w:ascii="Cambria Math" w:hAnsi="Cambria Math" w:cs="Arial"/>
              </w:rPr>
              <m:t>OUR,s</m:t>
            </m:r>
          </m:sub>
        </m:sSub>
      </m:oMath>
      <w:r>
        <w:rPr>
          <w:lang w:val="en-GB"/>
        </w:rPr>
        <w:t xml:space="preserve">) to help resolve the </w:t>
      </w:r>
      <w:r w:rsidRPr="007B16D2">
        <w:rPr>
          <w:i/>
          <w:lang w:val="en-GB"/>
        </w:rPr>
        <w:t>OUR</w:t>
      </w:r>
      <w:r>
        <w:rPr>
          <w:lang w:val="en-GB"/>
        </w:rPr>
        <w:t xml:space="preserve"> dilemma in the balance equations, which is</w:t>
      </w:r>
    </w:p>
    <w:tbl>
      <w:tblPr>
        <w:tblW w:w="5000" w:type="pct"/>
        <w:tblLook w:val="04A0" w:firstRow="1" w:lastRow="0" w:firstColumn="1" w:lastColumn="0" w:noHBand="0" w:noVBand="1"/>
      </w:tblPr>
      <w:tblGrid>
        <w:gridCol w:w="7986"/>
        <w:gridCol w:w="801"/>
      </w:tblGrid>
      <w:tr w:rsidR="00CB7DA0" w:rsidRPr="00B57B36" w14:paraId="393E1AE5" w14:textId="77777777" w:rsidTr="008F2845">
        <w:tc>
          <w:tcPr>
            <w:tcW w:w="8188" w:type="dxa"/>
            <w:shd w:val="clear" w:color="auto" w:fill="auto"/>
            <w:vAlign w:val="center"/>
          </w:tcPr>
          <w:p w14:paraId="709B1E72" w14:textId="6A151EC3" w:rsidR="003E1FFC" w:rsidRPr="00E90BE9" w:rsidRDefault="001D5EE7" w:rsidP="00CB7DA0">
            <w:pPr>
              <w:pStyle w:val="CETEquation"/>
              <w:rPr>
                <w:rFonts w:cs="Arial"/>
                <w:i/>
                <w:lang w:val="en-US"/>
              </w:rPr>
            </w:pPr>
            <m:oMathPara>
              <m:oMath>
                <m:d>
                  <m:dPr>
                    <m:begChr m:val="{"/>
                    <m:endChr m:val=""/>
                    <m:ctrlPr>
                      <w:rPr>
                        <w:rFonts w:ascii="Cambria Math" w:hAnsi="Cambria Math" w:cs="Arial"/>
                        <w:i/>
                      </w:rPr>
                    </m:ctrlPr>
                  </m:dPr>
                  <m:e>
                    <m:m>
                      <m:mPr>
                        <m:mcs>
                          <m:mc>
                            <m:mcPr>
                              <m:count m:val="1"/>
                              <m:mcJc m:val="center"/>
                            </m:mcPr>
                          </m:mc>
                        </m:mcs>
                        <m:ctrlPr>
                          <w:rPr>
                            <w:rFonts w:ascii="Cambria Math" w:hAnsi="Cambria Math" w:cs="Arial"/>
                            <w:i/>
                          </w:rPr>
                        </m:ctrlPr>
                      </m:mPr>
                      <m:mr>
                        <m:e>
                          <m:m>
                            <m:mPr>
                              <m:mcs>
                                <m:mc>
                                  <m:mcPr>
                                    <m:count m:val="2"/>
                                    <m:mcJc m:val="center"/>
                                  </m:mcPr>
                                </m:mc>
                              </m:mcs>
                              <m:ctrlPr>
                                <w:rPr>
                                  <w:rFonts w:ascii="Cambria Math" w:hAnsi="Cambria Math" w:cs="Arial"/>
                                  <w:i/>
                                </w:rPr>
                              </m:ctrlPr>
                            </m:mPr>
                            <m:mr>
                              <m:e>
                                <m:r>
                                  <w:rPr>
                                    <w:rFonts w:ascii="Cambria Math" w:hAnsi="Cambria Math" w:cs="Arial"/>
                                  </w:rPr>
                                  <m:t>factor</m:t>
                                </m:r>
                                <m:d>
                                  <m:dPr>
                                    <m:ctrlPr>
                                      <w:rPr>
                                        <w:rFonts w:ascii="Cambria Math" w:hAnsi="Cambria Math" w:cs="Arial"/>
                                        <w:i/>
                                      </w:rPr>
                                    </m:ctrlPr>
                                  </m:dPr>
                                  <m:e>
                                    <m:r>
                                      <w:rPr>
                                        <w:rFonts w:ascii="Cambria Math" w:hAnsi="Cambria Math" w:cs="Arial"/>
                                      </w:rPr>
                                      <m:t>s</m:t>
                                    </m:r>
                                  </m:e>
                                </m:d>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k</m:t>
                                        </m:r>
                                      </m:e>
                                      <m:sub>
                                        <m:r>
                                          <w:rPr>
                                            <w:rFonts w:ascii="Cambria Math" w:hAnsi="Cambria Math" w:cs="Arial"/>
                                          </w:rPr>
                                          <m:t>OUR,s</m:t>
                                        </m:r>
                                      </m:sub>
                                    </m:sSub>
                                  </m:num>
                                  <m:den>
                                    <m:sSub>
                                      <m:sSubPr>
                                        <m:ctrlPr>
                                          <w:rPr>
                                            <w:rFonts w:ascii="Cambria Math" w:hAnsi="Cambria Math" w:cs="Arial"/>
                                            <w:i/>
                                          </w:rPr>
                                        </m:ctrlPr>
                                      </m:sSubPr>
                                      <m:e>
                                        <m:r>
                                          <w:rPr>
                                            <w:rFonts w:ascii="Cambria Math" w:hAnsi="Cambria Math" w:cs="Arial"/>
                                          </w:rPr>
                                          <m:t>k</m:t>
                                        </m:r>
                                      </m:e>
                                      <m:sub>
                                        <m:r>
                                          <w:rPr>
                                            <w:rFonts w:ascii="Cambria Math" w:hAnsi="Cambria Math" w:cs="Arial"/>
                                          </w:rPr>
                                          <m:t>OUR,s</m:t>
                                        </m:r>
                                      </m:sub>
                                    </m:sSub>
                                    <m:r>
                                      <w:rPr>
                                        <w:rFonts w:ascii="Cambria Math" w:hAnsi="Cambria Math" w:cs="Arial"/>
                                      </w:rPr>
                                      <m:t>+</m:t>
                                    </m:r>
                                    <m:r>
                                      <w:rPr>
                                        <w:rFonts w:ascii="Cambria Math" w:hAnsi="Cambria Math" w:cs="Arial"/>
                                        <w:lang w:val="en-US"/>
                                      </w:rPr>
                                      <m:t>s</m:t>
                                    </m:r>
                                    <m:d>
                                      <m:dPr>
                                        <m:ctrlPr>
                                          <w:rPr>
                                            <w:rFonts w:ascii="Cambria Math" w:hAnsi="Cambria Math" w:cs="Arial"/>
                                            <w:i/>
                                          </w:rPr>
                                        </m:ctrlPr>
                                      </m:dPr>
                                      <m:e>
                                        <m:r>
                                          <w:rPr>
                                            <w:rFonts w:ascii="Cambria Math" w:hAnsi="Cambria Math" w:cs="Arial"/>
                                          </w:rPr>
                                          <m:t>t</m:t>
                                        </m:r>
                                      </m:e>
                                    </m:d>
                                    <m:r>
                                      <w:rPr>
                                        <w:rFonts w:ascii="Cambria Math" w:hAnsi="Cambria Math" w:cs="Arial"/>
                                      </w:rPr>
                                      <m:t>-</m:t>
                                    </m:r>
                                    <m:sSub>
                                      <m:sSubPr>
                                        <m:ctrlPr>
                                          <w:rPr>
                                            <w:rFonts w:ascii="Cambria Math" w:hAnsi="Cambria Math" w:cs="Arial"/>
                                            <w:i/>
                                          </w:rPr>
                                        </m:ctrlPr>
                                      </m:sSubPr>
                                      <m:e>
                                        <m:r>
                                          <w:rPr>
                                            <w:rFonts w:ascii="Cambria Math" w:hAnsi="Cambria Math" w:cs="Arial"/>
                                          </w:rPr>
                                          <m:t>s</m:t>
                                        </m:r>
                                      </m:e>
                                      <m:sub>
                                        <m:r>
                                          <w:rPr>
                                            <w:rFonts w:ascii="Cambria Math" w:hAnsi="Cambria Math" w:cs="Arial"/>
                                          </w:rPr>
                                          <m:t>min</m:t>
                                        </m:r>
                                      </m:sub>
                                    </m:sSub>
                                  </m:den>
                                </m:f>
                                <m:r>
                                  <w:rPr>
                                    <w:rFonts w:ascii="Cambria Math" w:hAnsi="Cambria Math" w:cs="Arial"/>
                                  </w:rPr>
                                  <m:t>,</m:t>
                                </m:r>
                              </m:e>
                              <m:e>
                                <m:r>
                                  <w:rPr>
                                    <w:rFonts w:ascii="Cambria Math" w:hAnsi="Cambria Math" w:cs="Arial"/>
                                    <w:lang w:val="en-US"/>
                                  </w:rPr>
                                  <m:t>s</m:t>
                                </m:r>
                                <m:d>
                                  <m:dPr>
                                    <m:ctrlPr>
                                      <w:rPr>
                                        <w:rFonts w:ascii="Cambria Math" w:hAnsi="Cambria Math" w:cs="Arial"/>
                                        <w:i/>
                                      </w:rPr>
                                    </m:ctrlPr>
                                  </m:dPr>
                                  <m:e>
                                    <m:r>
                                      <w:rPr>
                                        <w:rFonts w:ascii="Cambria Math" w:hAnsi="Cambria Math" w:cs="Arial"/>
                                      </w:rPr>
                                      <m:t>t</m:t>
                                    </m:r>
                                  </m:e>
                                </m:d>
                                <m:r>
                                  <w:rPr>
                                    <w:rFonts w:ascii="Cambria Math" w:hAnsi="Cambria Math" w:cs="Arial"/>
                                  </w:rPr>
                                  <m:t>≥</m:t>
                                </m:r>
                                <m:sSub>
                                  <m:sSubPr>
                                    <m:ctrlPr>
                                      <w:rPr>
                                        <w:rFonts w:ascii="Cambria Math" w:hAnsi="Cambria Math" w:cs="Arial"/>
                                        <w:i/>
                                      </w:rPr>
                                    </m:ctrlPr>
                                  </m:sSubPr>
                                  <m:e>
                                    <m:r>
                                      <w:rPr>
                                        <w:rFonts w:ascii="Cambria Math" w:hAnsi="Cambria Math" w:cs="Arial"/>
                                      </w:rPr>
                                      <m:t>s</m:t>
                                    </m:r>
                                  </m:e>
                                  <m:sub>
                                    <m:r>
                                      <w:rPr>
                                        <w:rFonts w:ascii="Cambria Math" w:hAnsi="Cambria Math" w:cs="Arial"/>
                                      </w:rPr>
                                      <m:t>min</m:t>
                                    </m:r>
                                  </m:sub>
                                </m:sSub>
                              </m:e>
                            </m:mr>
                          </m:m>
                          <m:r>
                            <w:rPr>
                              <w:rFonts w:ascii="Cambria Math" w:hAnsi="Cambria Math" w:cs="Arial"/>
                            </w:rPr>
                            <m:t>;</m:t>
                          </m:r>
                        </m:e>
                      </m:mr>
                      <m:mr>
                        <m:e>
                          <m:m>
                            <m:mPr>
                              <m:mcs>
                                <m:mc>
                                  <m:mcPr>
                                    <m:count m:val="3"/>
                                    <m:mcJc m:val="center"/>
                                  </m:mcPr>
                                </m:mc>
                              </m:mcs>
                              <m:ctrlPr>
                                <w:rPr>
                                  <w:rFonts w:ascii="Cambria Math" w:hAnsi="Cambria Math" w:cs="Arial"/>
                                  <w:i/>
                                </w:rPr>
                              </m:ctrlPr>
                            </m:mPr>
                            <m:mr>
                              <m:e>
                                <m:r>
                                  <w:rPr>
                                    <w:rFonts w:ascii="Cambria Math" w:hAnsi="Cambria Math" w:cs="Arial"/>
                                  </w:rPr>
                                  <m:t>factor</m:t>
                                </m:r>
                                <m:d>
                                  <m:dPr>
                                    <m:ctrlPr>
                                      <w:rPr>
                                        <w:rFonts w:ascii="Cambria Math" w:hAnsi="Cambria Math" w:cs="Arial"/>
                                        <w:i/>
                                      </w:rPr>
                                    </m:ctrlPr>
                                  </m:dPr>
                                  <m:e>
                                    <m:r>
                                      <w:rPr>
                                        <w:rFonts w:ascii="Cambria Math" w:hAnsi="Cambria Math" w:cs="Arial"/>
                                      </w:rPr>
                                      <m:t>s</m:t>
                                    </m:r>
                                  </m:e>
                                </m:d>
                                <m:r>
                                  <w:rPr>
                                    <w:rFonts w:ascii="Cambria Math" w:hAnsi="Cambria Math" w:cs="Arial"/>
                                  </w:rPr>
                                  <m:t>=1,</m:t>
                                </m:r>
                              </m:e>
                              <m:e/>
                              <m:e>
                                <m:r>
                                  <w:rPr>
                                    <w:rFonts w:ascii="Cambria Math" w:hAnsi="Cambria Math" w:cs="Arial"/>
                                  </w:rPr>
                                  <m:t>0≤</m:t>
                                </m:r>
                                <m:r>
                                  <w:rPr>
                                    <w:rFonts w:ascii="Cambria Math" w:hAnsi="Cambria Math" w:cs="Arial"/>
                                    <w:lang w:val="en-US"/>
                                  </w:rPr>
                                  <m:t>s</m:t>
                                </m:r>
                                <m:d>
                                  <m:dPr>
                                    <m:ctrlPr>
                                      <w:rPr>
                                        <w:rFonts w:ascii="Cambria Math" w:hAnsi="Cambria Math" w:cs="Arial"/>
                                        <w:i/>
                                      </w:rPr>
                                    </m:ctrlPr>
                                  </m:dPr>
                                  <m:e>
                                    <m:r>
                                      <w:rPr>
                                        <w:rFonts w:ascii="Cambria Math" w:hAnsi="Cambria Math" w:cs="Arial"/>
                                      </w:rPr>
                                      <m:t>t</m:t>
                                    </m:r>
                                  </m:e>
                                </m:d>
                                <m:r>
                                  <w:rPr>
                                    <w:rFonts w:ascii="Cambria Math" w:hAnsi="Cambria Math" w:cs="Arial"/>
                                  </w:rPr>
                                  <m:t>&lt;</m:t>
                                </m:r>
                                <m:sSub>
                                  <m:sSubPr>
                                    <m:ctrlPr>
                                      <w:rPr>
                                        <w:rFonts w:ascii="Cambria Math" w:hAnsi="Cambria Math" w:cs="Arial"/>
                                        <w:i/>
                                      </w:rPr>
                                    </m:ctrlPr>
                                  </m:sSubPr>
                                  <m:e>
                                    <m:r>
                                      <w:rPr>
                                        <w:rFonts w:ascii="Cambria Math" w:hAnsi="Cambria Math" w:cs="Arial"/>
                                      </w:rPr>
                                      <m:t>s</m:t>
                                    </m:r>
                                  </m:e>
                                  <m:sub>
                                    <m:r>
                                      <w:rPr>
                                        <w:rFonts w:ascii="Cambria Math" w:hAnsi="Cambria Math" w:cs="Arial"/>
                                      </w:rPr>
                                      <m:t>min</m:t>
                                    </m:r>
                                  </m:sub>
                                </m:sSub>
                                <m:r>
                                  <w:rPr>
                                    <w:rFonts w:ascii="Cambria Math" w:hAnsi="Cambria Math" w:cs="Arial"/>
                                  </w:rPr>
                                  <m:t>,</m:t>
                                </m:r>
                              </m:e>
                            </m:mr>
                          </m:m>
                        </m:e>
                      </m:mr>
                    </m:m>
                  </m:e>
                </m:d>
              </m:oMath>
            </m:oMathPara>
          </w:p>
        </w:tc>
        <w:tc>
          <w:tcPr>
            <w:tcW w:w="815" w:type="dxa"/>
            <w:shd w:val="clear" w:color="auto" w:fill="auto"/>
            <w:vAlign w:val="center"/>
          </w:tcPr>
          <w:p w14:paraId="09EBE1B2" w14:textId="7B59D57C" w:rsidR="003E1FFC" w:rsidRPr="00B57B36" w:rsidRDefault="003E1FFC" w:rsidP="008F2845">
            <w:pPr>
              <w:pStyle w:val="CETEquation"/>
              <w:jc w:val="right"/>
            </w:pPr>
            <w:r w:rsidRPr="00B57B36">
              <w:t>(1</w:t>
            </w:r>
            <w:r w:rsidR="00482B6B">
              <w:t>7</w:t>
            </w:r>
            <w:r w:rsidRPr="00B57B36">
              <w:t>)</w:t>
            </w:r>
          </w:p>
        </w:tc>
      </w:tr>
    </w:tbl>
    <w:p w14:paraId="69A726F1" w14:textId="0D3B645B" w:rsidR="003E1FFC" w:rsidRPr="003E1FFC" w:rsidRDefault="00F066FE" w:rsidP="00200D99">
      <w:pPr>
        <w:pStyle w:val="CETBodytext"/>
        <w:rPr>
          <w:lang w:val="en-GB"/>
        </w:rPr>
      </w:pPr>
      <w:r>
        <w:rPr>
          <w:lang w:val="en-GB"/>
        </w:rPr>
        <w:t>where it is assumed that during the substrate feed, the glucose concentration of the medium could not fall below the minimum glucose concentration (</w:t>
      </w:r>
      <m:oMath>
        <m:sSub>
          <m:sSubPr>
            <m:ctrlPr>
              <w:rPr>
                <w:rFonts w:ascii="Cambria Math" w:hAnsi="Cambria Math" w:cs="Arial"/>
                <w:i/>
                <w:lang w:val="en-GB"/>
              </w:rPr>
            </m:ctrlPr>
          </m:sSubPr>
          <m:e>
            <m:r>
              <w:rPr>
                <w:rFonts w:ascii="Cambria Math" w:hAnsi="Cambria Math" w:cs="Arial"/>
              </w:rPr>
              <m:t>s</m:t>
            </m:r>
          </m:e>
          <m:sub>
            <m:r>
              <w:rPr>
                <w:rFonts w:ascii="Cambria Math" w:hAnsi="Cambria Math" w:cs="Arial"/>
              </w:rPr>
              <m:t>min</m:t>
            </m:r>
          </m:sub>
        </m:sSub>
      </m:oMath>
      <w:r>
        <w:rPr>
          <w:lang w:val="en-GB"/>
        </w:rPr>
        <w:t>)</w:t>
      </w:r>
      <w:r w:rsidR="00980B44">
        <w:rPr>
          <w:lang w:val="en-GB"/>
        </w:rPr>
        <w:t>,</w:t>
      </w:r>
      <w:r>
        <w:rPr>
          <w:lang w:val="en-GB"/>
        </w:rPr>
        <w:t xml:space="preserve"> i.e.</w:t>
      </w:r>
      <w:r w:rsidR="00DA4097">
        <w:rPr>
          <w:lang w:val="en-GB"/>
        </w:rPr>
        <w:t>,</w:t>
      </w:r>
      <w:r>
        <w:rPr>
          <w:lang w:val="en-GB"/>
        </w:rPr>
        <w:t xml:space="preserve"> </w:t>
      </w:r>
      <m:oMath>
        <m:r>
          <w:rPr>
            <w:rFonts w:ascii="Cambria Math" w:hAnsi="Cambria Math" w:cs="Arial"/>
          </w:rPr>
          <m:t>s</m:t>
        </m:r>
        <m:d>
          <m:dPr>
            <m:ctrlPr>
              <w:rPr>
                <w:rFonts w:ascii="Cambria Math" w:hAnsi="Cambria Math" w:cs="Arial"/>
                <w:i/>
              </w:rPr>
            </m:ctrlPr>
          </m:dPr>
          <m:e>
            <m:r>
              <w:rPr>
                <w:rFonts w:ascii="Cambria Math" w:hAnsi="Cambria Math" w:cs="Arial"/>
              </w:rPr>
              <m:t>t</m:t>
            </m:r>
          </m:e>
        </m:d>
        <m:r>
          <w:rPr>
            <w:rFonts w:ascii="Cambria Math" w:hAnsi="Cambria Math" w:cs="Arial"/>
          </w:rPr>
          <m:t>≥</m:t>
        </m:r>
        <m:sSub>
          <m:sSubPr>
            <m:ctrlPr>
              <w:rPr>
                <w:rFonts w:ascii="Cambria Math" w:hAnsi="Cambria Math" w:cs="Arial"/>
                <w:i/>
                <w:lang w:val="en-GB"/>
              </w:rPr>
            </m:ctrlPr>
          </m:sSubPr>
          <m:e>
            <m:r>
              <w:rPr>
                <w:rFonts w:ascii="Cambria Math" w:hAnsi="Cambria Math" w:cs="Arial"/>
              </w:rPr>
              <m:t>s</m:t>
            </m:r>
          </m:e>
          <m:sub>
            <m:r>
              <w:rPr>
                <w:rFonts w:ascii="Cambria Math" w:hAnsi="Cambria Math" w:cs="Arial"/>
              </w:rPr>
              <m:t>min</m:t>
            </m:r>
          </m:sub>
        </m:sSub>
      </m:oMath>
      <w:r w:rsidR="00CB7DA0">
        <w:rPr>
          <w:lang w:val="en-GB"/>
        </w:rPr>
        <w:t>. When there is no substrate feed</w:t>
      </w:r>
      <w:r w:rsidR="00AB5A6F">
        <w:rPr>
          <w:lang w:val="en-GB"/>
        </w:rPr>
        <w:t xml:space="preserve"> negligible (for example, in batch stages of the bioprocess) or the feed</w:t>
      </w:r>
      <w:r w:rsidR="00980B44">
        <w:rPr>
          <w:lang w:val="en-GB"/>
        </w:rPr>
        <w:t>'</w:t>
      </w:r>
      <w:r w:rsidR="00AB5A6F">
        <w:rPr>
          <w:lang w:val="en-GB"/>
        </w:rPr>
        <w:t xml:space="preserve">s </w:t>
      </w:r>
      <w:r w:rsidR="00B22F46">
        <w:rPr>
          <w:lang w:val="en-GB"/>
        </w:rPr>
        <w:t>e</w:t>
      </w:r>
      <w:r w:rsidR="00AB5A6F">
        <w:rPr>
          <w:lang w:val="en-GB"/>
        </w:rPr>
        <w:t>ffect on solutes is</w:t>
      </w:r>
      <w:r w:rsidR="00DA4097">
        <w:rPr>
          <w:lang w:val="en-GB"/>
        </w:rPr>
        <w:t xml:space="preserve"> negligible (for example, in the scenario of the growth limiting substrate feed</w:t>
      </w:r>
      <w:r w:rsidR="00091972">
        <w:rPr>
          <w:lang w:val="en-GB"/>
        </w:rPr>
        <w:t>, Urniezius et al., 2018</w:t>
      </w:r>
      <w:r w:rsidR="00DA4097">
        <w:rPr>
          <w:lang w:val="en-GB"/>
        </w:rPr>
        <w:t>)</w:t>
      </w:r>
      <w:r w:rsidR="00CB7DA0">
        <w:rPr>
          <w:lang w:val="en-GB"/>
        </w:rPr>
        <w:t>, the</w:t>
      </w:r>
      <w:r w:rsidR="00DA4097">
        <w:rPr>
          <w:lang w:val="en-GB"/>
        </w:rPr>
        <w:t>n the</w:t>
      </w:r>
      <w:r w:rsidR="00CB7DA0">
        <w:rPr>
          <w:lang w:val="en-GB"/>
        </w:rPr>
        <w:t xml:space="preserve"> glucose concentration</w:t>
      </w:r>
      <w:r w:rsidR="00DA4097">
        <w:rPr>
          <w:lang w:val="en-GB"/>
        </w:rPr>
        <w:t xml:space="preserve"> </w:t>
      </w:r>
      <w:r w:rsidR="00A900D6">
        <w:rPr>
          <w:lang w:val="en-GB"/>
        </w:rPr>
        <w:t>does not affect</w:t>
      </w:r>
      <w:r w:rsidR="00DA4097">
        <w:rPr>
          <w:lang w:val="en-GB"/>
        </w:rPr>
        <w:t xml:space="preserve"> factoring function (</w:t>
      </w:r>
      <m:oMath>
        <m:r>
          <w:rPr>
            <w:rFonts w:ascii="Cambria Math" w:hAnsi="Cambria Math" w:cs="Arial"/>
          </w:rPr>
          <m:t>factor</m:t>
        </m:r>
        <m:d>
          <m:dPr>
            <m:ctrlPr>
              <w:rPr>
                <w:rFonts w:ascii="Cambria Math" w:hAnsi="Cambria Math" w:cs="Arial"/>
                <w:i/>
                <w:lang w:val="en-GB"/>
              </w:rPr>
            </m:ctrlPr>
          </m:dPr>
          <m:e>
            <m:r>
              <w:rPr>
                <w:rFonts w:ascii="Cambria Math" w:hAnsi="Cambria Math" w:cs="Arial"/>
              </w:rPr>
              <m:t>s</m:t>
            </m:r>
          </m:e>
        </m:d>
      </m:oMath>
      <w:r w:rsidR="00DA4097">
        <w:rPr>
          <w:lang w:val="en-GB"/>
        </w:rPr>
        <w:t>)</w:t>
      </w:r>
      <w:r w:rsidR="00B22F46">
        <w:rPr>
          <w:lang w:val="en-GB"/>
        </w:rPr>
        <w:t>, and the</w:t>
      </w:r>
      <w:r w:rsidR="00FD64F5">
        <w:rPr>
          <w:lang w:val="en-GB"/>
        </w:rPr>
        <w:t xml:space="preserve"> expression</w:t>
      </w:r>
      <w:r w:rsidR="00B22F46">
        <w:rPr>
          <w:lang w:val="en-GB"/>
        </w:rPr>
        <w:t xml:space="preserve"> </w:t>
      </w:r>
      <m:oMath>
        <m:sSub>
          <m:sSubPr>
            <m:ctrlPr>
              <w:rPr>
                <w:rFonts w:ascii="Cambria Math" w:hAnsi="Cambria Math" w:cs="Arial"/>
                <w:i/>
              </w:rPr>
            </m:ctrlPr>
          </m:sSubPr>
          <m:e>
            <m:r>
              <w:rPr>
                <w:rFonts w:ascii="Cambria Math" w:hAnsi="Cambria Math" w:cs="Arial"/>
              </w:rPr>
              <m:t>OUR</m:t>
            </m:r>
          </m:e>
          <m:sub>
            <m:r>
              <w:rPr>
                <w:rFonts w:ascii="Cambria Math" w:hAnsi="Cambria Math" w:cs="Arial"/>
              </w:rPr>
              <m:t>X</m:t>
            </m:r>
          </m:sub>
        </m:sSub>
        <m:d>
          <m:dPr>
            <m:ctrlPr>
              <w:rPr>
                <w:rFonts w:ascii="Cambria Math" w:hAnsi="Cambria Math" w:cs="Arial"/>
                <w:i/>
              </w:rPr>
            </m:ctrlPr>
          </m:dPr>
          <m:e>
            <m:r>
              <w:rPr>
                <w:rFonts w:ascii="Cambria Math" w:hAnsi="Cambria Math" w:cs="Arial"/>
              </w:rPr>
              <m:t>t</m:t>
            </m:r>
          </m:e>
        </m:d>
        <m:r>
          <w:rPr>
            <w:rFonts w:ascii="Cambria Math" w:hAnsi="Cambria Math" w:cs="Arial"/>
          </w:rPr>
          <m:t>=OUR</m:t>
        </m:r>
        <m:d>
          <m:dPr>
            <m:ctrlPr>
              <w:rPr>
                <w:rFonts w:ascii="Cambria Math" w:hAnsi="Cambria Math" w:cs="Arial"/>
                <w:i/>
              </w:rPr>
            </m:ctrlPr>
          </m:dPr>
          <m:e>
            <m:r>
              <w:rPr>
                <w:rFonts w:ascii="Cambria Math" w:hAnsi="Cambria Math" w:cs="Arial"/>
              </w:rPr>
              <m:t>t</m:t>
            </m:r>
          </m:e>
        </m:d>
      </m:oMath>
      <w:r w:rsidR="00FD64F5">
        <w:t xml:space="preserve"> is valid</w:t>
      </w:r>
      <w:r w:rsidR="006977CD">
        <w:t>. Then</w:t>
      </w:r>
      <w:r w:rsidR="008C584A">
        <w:t xml:space="preserve"> both</w:t>
      </w:r>
      <w:r w:rsidR="006977CD">
        <w:t xml:space="preserve"> state equations</w:t>
      </w:r>
      <w:r w:rsidR="008C584A">
        <w:t xml:space="preserve"> Eq(10) and Eq(12) hold</w:t>
      </w:r>
      <w:r w:rsidR="00A900D6">
        <w:t xml:space="preserve">. Such a </w:t>
      </w:r>
      <w:r w:rsidR="003D24A7">
        <w:t>particular</w:t>
      </w:r>
      <w:r w:rsidR="00A900D6">
        <w:t xml:space="preserve"> case of the Luedeking-Piert law</w:t>
      </w:r>
      <w:r w:rsidR="003D24A7">
        <w:t xml:space="preserve"> </w:t>
      </w:r>
      <w:r w:rsidR="00A900D6">
        <w:t>explains why</w:t>
      </w:r>
      <w:r w:rsidR="007B24B1">
        <w:t xml:space="preserve"> the precision of</w:t>
      </w:r>
      <w:r w:rsidR="00A900D6">
        <w:t xml:space="preserve"> existing off-gas analysis</w:t>
      </w:r>
      <w:r w:rsidR="003D24A7">
        <w:t xml:space="preserve"> equipment</w:t>
      </w:r>
      <w:r w:rsidR="00A900D6">
        <w:t xml:space="preserve"> </w:t>
      </w:r>
      <w:r w:rsidR="007B24B1">
        <w:t>is acceptable</w:t>
      </w:r>
      <w:r w:rsidR="003D24A7">
        <w:t xml:space="preserve"> when </w:t>
      </w:r>
      <w:r w:rsidR="00552D35">
        <w:t xml:space="preserve">current </w:t>
      </w:r>
      <w:r w:rsidR="003D24A7">
        <w:t>biopharmaceutical manufacturers</w:t>
      </w:r>
      <w:r w:rsidR="00552D35">
        <w:t xml:space="preserve"> (</w:t>
      </w:r>
      <w:r w:rsidR="00552D35" w:rsidRPr="00523CA8">
        <w:t>Urniezius</w:t>
      </w:r>
      <w:r w:rsidR="00552D35">
        <w:t xml:space="preserve"> et al., 2019b)</w:t>
      </w:r>
      <w:r w:rsidR="003D24A7">
        <w:t xml:space="preserve"> use them for growth</w:t>
      </w:r>
      <w:r w:rsidR="008F252B">
        <w:t>-</w:t>
      </w:r>
      <w:r w:rsidR="003D24A7">
        <w:t>limiting substrate feeding profiles</w:t>
      </w:r>
      <w:r w:rsidR="00552D35">
        <w:t>. Meanwhile</w:t>
      </w:r>
      <w:r w:rsidR="007B24B1">
        <w:t>,</w:t>
      </w:r>
      <w:r w:rsidR="00552D35">
        <w:t xml:space="preserve"> similar off-gas analysis</w:t>
      </w:r>
      <w:r w:rsidR="007B24B1">
        <w:t xml:space="preserve"> hardly finds its application in control of batch bioprocesses or those that </w:t>
      </w:r>
      <w:r w:rsidR="00D2328E">
        <w:t>aim</w:t>
      </w:r>
      <w:r w:rsidR="007B24B1">
        <w:t xml:space="preserve"> </w:t>
      </w:r>
      <w:r w:rsidR="00C32255">
        <w:t>to express</w:t>
      </w:r>
      <w:r w:rsidR="00382F67">
        <w:t xml:space="preserve"> </w:t>
      </w:r>
      <w:r w:rsidR="007B24B1">
        <w:t>insoluble and soluble products.</w:t>
      </w:r>
    </w:p>
    <w:p w14:paraId="33AE8D61" w14:textId="58BE4830" w:rsidR="00142DEB" w:rsidRDefault="008C7C0A" w:rsidP="00200D99">
      <w:pPr>
        <w:pStyle w:val="CETBodytext"/>
        <w:rPr>
          <w:lang w:val="en-GB"/>
        </w:rPr>
      </w:pPr>
      <w:r>
        <w:rPr>
          <w:lang w:val="en-GB"/>
        </w:rPr>
        <w:t>Based on Eq(16</w:t>
      </w:r>
      <w:r w:rsidR="002C0F1B">
        <w:rPr>
          <w:lang w:val="en-GB"/>
        </w:rPr>
        <w:t>), the equation E</w:t>
      </w:r>
      <w:r w:rsidR="00E87ABC">
        <w:rPr>
          <w:lang w:val="en-GB"/>
        </w:rPr>
        <w:t>q</w:t>
      </w:r>
      <w:r w:rsidR="002C0F1B">
        <w:rPr>
          <w:lang w:val="en-GB"/>
        </w:rPr>
        <w:t>(12) in a general scenario becomes</w:t>
      </w:r>
    </w:p>
    <w:tbl>
      <w:tblPr>
        <w:tblW w:w="5000" w:type="pct"/>
        <w:tblLook w:val="04A0" w:firstRow="1" w:lastRow="0" w:firstColumn="1" w:lastColumn="0" w:noHBand="0" w:noVBand="1"/>
      </w:tblPr>
      <w:tblGrid>
        <w:gridCol w:w="7981"/>
        <w:gridCol w:w="806"/>
      </w:tblGrid>
      <w:tr w:rsidR="000013A3" w:rsidRPr="00B57B36" w14:paraId="39DEA185" w14:textId="77777777" w:rsidTr="008F2845">
        <w:tc>
          <w:tcPr>
            <w:tcW w:w="8188" w:type="dxa"/>
            <w:shd w:val="clear" w:color="auto" w:fill="auto"/>
            <w:vAlign w:val="center"/>
          </w:tcPr>
          <w:p w14:paraId="380E1B94" w14:textId="5EA52705" w:rsidR="000013A3" w:rsidRPr="00EC4568" w:rsidRDefault="001D5EE7" w:rsidP="00640AB8">
            <w:pPr>
              <w:pStyle w:val="CETEquation"/>
              <w:rPr>
                <w:rFonts w:cs="Arial"/>
                <w:i/>
                <w:lang w:val="ru-RU"/>
              </w:rPr>
            </w:pPr>
            <m:oMathPara>
              <m:oMath>
                <m:sSup>
                  <m:sSupPr>
                    <m:ctrlPr>
                      <w:rPr>
                        <w:rFonts w:ascii="Cambria Math" w:hAnsi="Cambria Math" w:cs="Arial"/>
                        <w:i/>
                      </w:rPr>
                    </m:ctrlPr>
                  </m:sSupPr>
                  <m:e>
                    <m:r>
                      <w:rPr>
                        <w:rFonts w:ascii="Cambria Math" w:hAnsi="Cambria Math" w:cs="Arial"/>
                      </w:rPr>
                      <m:t>s</m:t>
                    </m:r>
                  </m:e>
                  <m:sup>
                    <m:r>
                      <w:rPr>
                        <w:rFonts w:ascii="Cambria Math" w:hAnsi="Cambria Math" w:cs="Arial"/>
                      </w:rPr>
                      <m:t>'</m:t>
                    </m:r>
                  </m:sup>
                </m:sSup>
                <m:d>
                  <m:dPr>
                    <m:ctrlPr>
                      <w:rPr>
                        <w:rFonts w:ascii="Cambria Math" w:hAnsi="Cambria Math" w:cs="Arial"/>
                        <w:i/>
                      </w:rPr>
                    </m:ctrlPr>
                  </m:dPr>
                  <m:e>
                    <m:r>
                      <w:rPr>
                        <w:rFonts w:ascii="Cambria Math" w:hAnsi="Cambria Math" w:cs="Arial"/>
                      </w:rPr>
                      <m:t>t</m:t>
                    </m:r>
                  </m:e>
                </m:d>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OUR</m:t>
                        </m:r>
                      </m:e>
                      <m:sub>
                        <m:r>
                          <w:rPr>
                            <w:rFonts w:ascii="Cambria Math" w:hAnsi="Cambria Math" w:cs="Arial"/>
                          </w:rPr>
                          <m:t>X</m:t>
                        </m:r>
                      </m:sub>
                    </m:sSub>
                    <m:d>
                      <m:dPr>
                        <m:ctrlPr>
                          <w:rPr>
                            <w:rFonts w:ascii="Cambria Math" w:hAnsi="Cambria Math" w:cs="Arial"/>
                            <w:i/>
                          </w:rPr>
                        </m:ctrlPr>
                      </m:dPr>
                      <m:e>
                        <m:r>
                          <w:rPr>
                            <w:rFonts w:ascii="Cambria Math" w:hAnsi="Cambria Math" w:cs="Arial"/>
                          </w:rPr>
                          <m:t>t</m:t>
                        </m:r>
                      </m:e>
                    </m:d>
                  </m:num>
                  <m:den>
                    <m:r>
                      <w:rPr>
                        <w:rFonts w:ascii="Cambria Math" w:hAnsi="Cambria Math" w:cs="Arial"/>
                      </w:rPr>
                      <m:t>α∙</m:t>
                    </m:r>
                    <m:sSub>
                      <m:sSubPr>
                        <m:ctrlPr>
                          <w:rPr>
                            <w:rFonts w:ascii="Cambria Math" w:hAnsi="Cambria Math" w:cs="Arial"/>
                            <w:i/>
                            <w:lang w:val="en-US"/>
                          </w:rPr>
                        </m:ctrlPr>
                      </m:sSubPr>
                      <m:e>
                        <m:r>
                          <w:rPr>
                            <w:rFonts w:ascii="Cambria Math" w:hAnsi="Cambria Math" w:cs="Arial"/>
                          </w:rPr>
                          <m:t>Y</m:t>
                        </m:r>
                      </m:e>
                      <m:sub>
                        <m:r>
                          <w:rPr>
                            <w:rFonts w:ascii="Cambria Math" w:hAnsi="Cambria Math" w:cs="Arial"/>
                          </w:rPr>
                          <m:t>xs</m:t>
                        </m:r>
                      </m:sub>
                    </m:sSub>
                    <m:d>
                      <m:dPr>
                        <m:ctrlPr>
                          <w:rPr>
                            <w:rFonts w:ascii="Cambria Math" w:hAnsi="Cambria Math" w:cs="Arial"/>
                            <w:i/>
                          </w:rPr>
                        </m:ctrlPr>
                      </m:dPr>
                      <m:e>
                        <m:r>
                          <w:rPr>
                            <w:rFonts w:ascii="Cambria Math" w:hAnsi="Cambria Math" w:cs="Arial"/>
                          </w:rPr>
                          <m:t>t</m:t>
                        </m:r>
                      </m:e>
                    </m:d>
                  </m:den>
                </m:f>
                <m:r>
                  <w:rPr>
                    <w:rFonts w:ascii="Cambria Math" w:hAnsi="Cambria Math" w:cs="Arial"/>
                  </w:rPr>
                  <m:t>-</m:t>
                </m:r>
                <m:f>
                  <m:fPr>
                    <m:ctrlPr>
                      <w:rPr>
                        <w:rFonts w:ascii="Cambria Math" w:hAnsi="Cambria Math" w:cs="Arial"/>
                        <w:i/>
                      </w:rPr>
                    </m:ctrlPr>
                  </m:fPr>
                  <m:num>
                    <m:sSub>
                      <m:sSubPr>
                        <m:ctrlPr>
                          <w:rPr>
                            <w:rFonts w:ascii="Cambria Math" w:hAnsi="Cambria Math" w:cs="Arial"/>
                            <w:i/>
                            <w:lang w:val="en-US"/>
                          </w:rPr>
                        </m:ctrlPr>
                      </m:sSubPr>
                      <m:e>
                        <m:r>
                          <w:rPr>
                            <w:rFonts w:ascii="Cambria Math" w:hAnsi="Cambria Math" w:cs="Arial"/>
                          </w:rPr>
                          <m:t>OUR</m:t>
                        </m:r>
                      </m:e>
                      <m:sub>
                        <m:r>
                          <w:rPr>
                            <w:rFonts w:ascii="Cambria Math" w:hAnsi="Cambria Math" w:cs="Arial"/>
                          </w:rPr>
                          <m:t>solutes</m:t>
                        </m:r>
                      </m:sub>
                    </m:sSub>
                    <m:d>
                      <m:dPr>
                        <m:ctrlPr>
                          <w:rPr>
                            <w:rFonts w:ascii="Cambria Math" w:hAnsi="Cambria Math" w:cs="Arial"/>
                            <w:i/>
                          </w:rPr>
                        </m:ctrlPr>
                      </m:dPr>
                      <m:e>
                        <m:r>
                          <w:rPr>
                            <w:rFonts w:ascii="Cambria Math" w:hAnsi="Cambria Math" w:cs="Arial"/>
                          </w:rPr>
                          <m:t>t</m:t>
                        </m:r>
                      </m:e>
                    </m:d>
                  </m:num>
                  <m:den>
                    <m:sSub>
                      <m:sSubPr>
                        <m:ctrlPr>
                          <w:rPr>
                            <w:rFonts w:ascii="Cambria Math" w:hAnsi="Cambria Math" w:cs="Arial"/>
                            <w:i/>
                            <w:lang w:val="en-US"/>
                          </w:rPr>
                        </m:ctrlPr>
                      </m:sSubPr>
                      <m:e>
                        <m:r>
                          <w:rPr>
                            <w:rFonts w:ascii="Cambria Math" w:hAnsi="Cambria Math" w:cs="Arial"/>
                          </w:rPr>
                          <m:t>Y</m:t>
                        </m:r>
                      </m:e>
                      <m:sub>
                        <m:r>
                          <w:rPr>
                            <w:rFonts w:ascii="Cambria Math" w:hAnsi="Cambria Math" w:cs="Arial"/>
                          </w:rPr>
                          <m:t>solutes,os</m:t>
                        </m:r>
                      </m:sub>
                    </m:sSub>
                  </m:den>
                </m:f>
                <m:r>
                  <w:rPr>
                    <w:rFonts w:ascii="Cambria Math" w:hAnsi="Cambria Math" w:cs="Arial"/>
                  </w:rPr>
                  <m:t>-</m:t>
                </m:r>
                <m:f>
                  <m:fPr>
                    <m:ctrlPr>
                      <w:rPr>
                        <w:rFonts w:ascii="Cambria Math" w:hAnsi="Cambria Math" w:cs="Arial"/>
                        <w:i/>
                      </w:rPr>
                    </m:ctrlPr>
                  </m:fPr>
                  <m:num>
                    <m:r>
                      <w:rPr>
                        <w:rFonts w:ascii="Cambria Math" w:hAnsi="Cambria Math" w:cs="Arial"/>
                      </w:rPr>
                      <m:t>F</m:t>
                    </m:r>
                    <m:d>
                      <m:dPr>
                        <m:ctrlPr>
                          <w:rPr>
                            <w:rFonts w:ascii="Cambria Math" w:hAnsi="Cambria Math" w:cs="Arial"/>
                            <w:i/>
                          </w:rPr>
                        </m:ctrlPr>
                      </m:dPr>
                      <m:e>
                        <m:r>
                          <w:rPr>
                            <w:rFonts w:ascii="Cambria Math" w:hAnsi="Cambria Math" w:cs="Arial"/>
                          </w:rPr>
                          <m:t>t</m:t>
                        </m:r>
                      </m:e>
                    </m:d>
                  </m:num>
                  <m:den>
                    <m:r>
                      <w:rPr>
                        <w:rFonts w:ascii="Cambria Math" w:hAnsi="Cambria Math" w:cs="Arial"/>
                      </w:rPr>
                      <m:t>W</m:t>
                    </m:r>
                    <m:d>
                      <m:dPr>
                        <m:ctrlPr>
                          <w:rPr>
                            <w:rFonts w:ascii="Cambria Math" w:hAnsi="Cambria Math" w:cs="Arial"/>
                            <w:i/>
                          </w:rPr>
                        </m:ctrlPr>
                      </m:dPr>
                      <m:e>
                        <m:r>
                          <w:rPr>
                            <w:rFonts w:ascii="Cambria Math" w:hAnsi="Cambria Math" w:cs="Arial"/>
                          </w:rPr>
                          <m:t>t</m:t>
                        </m:r>
                      </m:e>
                    </m:d>
                  </m:den>
                </m:f>
                <m:r>
                  <w:rPr>
                    <w:rFonts w:ascii="Cambria Math" w:hAnsi="Cambria Math" w:cs="Arial"/>
                  </w:rPr>
                  <m:t>∙s</m:t>
                </m:r>
                <m:d>
                  <m:dPr>
                    <m:ctrlPr>
                      <w:rPr>
                        <w:rFonts w:ascii="Cambria Math" w:hAnsi="Cambria Math" w:cs="Arial"/>
                        <w:i/>
                      </w:rPr>
                    </m:ctrlPr>
                  </m:dPr>
                  <m:e>
                    <m:r>
                      <w:rPr>
                        <w:rFonts w:ascii="Cambria Math" w:hAnsi="Cambria Math" w:cs="Arial"/>
                      </w:rPr>
                      <m:t>t</m:t>
                    </m:r>
                  </m:e>
                </m:d>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F</m:t>
                        </m:r>
                      </m:e>
                      <m:sub>
                        <m:r>
                          <w:rPr>
                            <w:rFonts w:ascii="Cambria Math" w:hAnsi="Cambria Math" w:cs="Arial"/>
                          </w:rPr>
                          <m:t>s</m:t>
                        </m:r>
                      </m:sub>
                    </m:sSub>
                    <m:d>
                      <m:dPr>
                        <m:ctrlPr>
                          <w:rPr>
                            <w:rFonts w:ascii="Cambria Math" w:hAnsi="Cambria Math" w:cs="Arial"/>
                            <w:i/>
                          </w:rPr>
                        </m:ctrlPr>
                      </m:dPr>
                      <m:e>
                        <m:r>
                          <w:rPr>
                            <w:rFonts w:ascii="Cambria Math" w:hAnsi="Cambria Math" w:cs="Arial"/>
                          </w:rPr>
                          <m:t>t</m:t>
                        </m:r>
                      </m:e>
                    </m:d>
                  </m:num>
                  <m:den>
                    <m:r>
                      <w:rPr>
                        <w:rFonts w:ascii="Cambria Math" w:hAnsi="Cambria Math" w:cs="Arial"/>
                      </w:rPr>
                      <m:t>W</m:t>
                    </m:r>
                    <m:d>
                      <m:dPr>
                        <m:ctrlPr>
                          <w:rPr>
                            <w:rFonts w:ascii="Cambria Math" w:hAnsi="Cambria Math" w:cs="Arial"/>
                            <w:i/>
                          </w:rPr>
                        </m:ctrlPr>
                      </m:dPr>
                      <m:e>
                        <m:r>
                          <w:rPr>
                            <w:rFonts w:ascii="Cambria Math" w:hAnsi="Cambria Math" w:cs="Arial"/>
                          </w:rPr>
                          <m:t>t</m:t>
                        </m:r>
                      </m:e>
                    </m:d>
                  </m:den>
                </m:f>
                <m:r>
                  <w:rPr>
                    <w:rFonts w:ascii="Cambria Math" w:hAnsi="Cambria Math" w:cs="Arial"/>
                  </w:rPr>
                  <m:t>∙</m:t>
                </m:r>
                <m:sSub>
                  <m:sSubPr>
                    <m:ctrlPr>
                      <w:rPr>
                        <w:rFonts w:ascii="Cambria Math" w:hAnsi="Cambria Math" w:cs="Arial"/>
                        <w:i/>
                      </w:rPr>
                    </m:ctrlPr>
                  </m:sSubPr>
                  <m:e>
                    <m:r>
                      <w:rPr>
                        <w:rFonts w:ascii="Cambria Math" w:hAnsi="Cambria Math" w:cs="Arial"/>
                      </w:rPr>
                      <m:t>s</m:t>
                    </m:r>
                  </m:e>
                  <m:sub>
                    <m:r>
                      <w:rPr>
                        <w:rFonts w:ascii="Cambria Math" w:hAnsi="Cambria Math" w:cs="Arial"/>
                      </w:rPr>
                      <m:t>f</m:t>
                    </m:r>
                  </m:sub>
                </m:sSub>
                <m:d>
                  <m:dPr>
                    <m:ctrlPr>
                      <w:rPr>
                        <w:rFonts w:ascii="Cambria Math" w:hAnsi="Cambria Math" w:cs="Arial"/>
                        <w:i/>
                      </w:rPr>
                    </m:ctrlPr>
                  </m:dPr>
                  <m:e>
                    <m:r>
                      <w:rPr>
                        <w:rFonts w:ascii="Cambria Math" w:hAnsi="Cambria Math" w:cs="Arial"/>
                      </w:rPr>
                      <m:t>t</m:t>
                    </m:r>
                  </m:e>
                </m:d>
                <m:r>
                  <w:rPr>
                    <w:rFonts w:ascii="Cambria Math" w:hAnsi="Cambria Math" w:cs="Arial"/>
                  </w:rPr>
                  <m:t>.</m:t>
                </m:r>
              </m:oMath>
            </m:oMathPara>
          </w:p>
        </w:tc>
        <w:tc>
          <w:tcPr>
            <w:tcW w:w="815" w:type="dxa"/>
            <w:shd w:val="clear" w:color="auto" w:fill="auto"/>
            <w:vAlign w:val="center"/>
          </w:tcPr>
          <w:p w14:paraId="1044C8F9" w14:textId="0D66C316" w:rsidR="000013A3" w:rsidRPr="00B57B36" w:rsidRDefault="000013A3" w:rsidP="008F2845">
            <w:pPr>
              <w:pStyle w:val="CETEquation"/>
              <w:jc w:val="right"/>
            </w:pPr>
            <w:r w:rsidRPr="00B57B36">
              <w:t>(1</w:t>
            </w:r>
            <w:r>
              <w:t>8</w:t>
            </w:r>
            <w:r w:rsidRPr="00B57B36">
              <w:t>)</w:t>
            </w:r>
          </w:p>
        </w:tc>
      </w:tr>
    </w:tbl>
    <w:p w14:paraId="2BEEDDD6" w14:textId="3EC26D7B" w:rsidR="005B3697" w:rsidRDefault="00B87481" w:rsidP="00200D99">
      <w:pPr>
        <w:pStyle w:val="CETBodytext"/>
      </w:pPr>
      <w:r>
        <w:rPr>
          <w:lang w:val="en-GB"/>
        </w:rPr>
        <w:t>Different researchers have stated that the biomass yield on the consumed glucose (</w:t>
      </w:r>
      <m:oMath>
        <m:sSub>
          <m:sSubPr>
            <m:ctrlPr>
              <w:rPr>
                <w:rFonts w:ascii="Cambria Math" w:hAnsi="Cambria Math" w:cs="Arial"/>
                <w:i/>
              </w:rPr>
            </m:ctrlPr>
          </m:sSubPr>
          <m:e>
            <m:r>
              <w:rPr>
                <w:rFonts w:ascii="Cambria Math" w:hAnsi="Cambria Math" w:cs="Arial"/>
              </w:rPr>
              <m:t>Y</m:t>
            </m:r>
          </m:e>
          <m:sub>
            <m:r>
              <w:rPr>
                <w:rFonts w:ascii="Cambria Math" w:hAnsi="Cambria Math" w:cs="Arial"/>
              </w:rPr>
              <m:t>xs</m:t>
            </m:r>
          </m:sub>
        </m:sSub>
        <m:d>
          <m:dPr>
            <m:ctrlPr>
              <w:rPr>
                <w:rFonts w:ascii="Cambria Math" w:hAnsi="Cambria Math" w:cs="Arial"/>
                <w:i/>
              </w:rPr>
            </m:ctrlPr>
          </m:dPr>
          <m:e>
            <m:r>
              <w:rPr>
                <w:rFonts w:ascii="Cambria Math" w:hAnsi="Cambria Math" w:cs="Arial"/>
              </w:rPr>
              <m:t>t</m:t>
            </m:r>
          </m:e>
        </m:d>
      </m:oMath>
      <w:r>
        <w:rPr>
          <w:lang w:val="en-GB"/>
        </w:rPr>
        <w:t>) is time</w:t>
      </w:r>
      <w:r w:rsidR="00C351FC">
        <w:rPr>
          <w:lang w:val="en-GB"/>
        </w:rPr>
        <w:t>-</w:t>
      </w:r>
      <w:r>
        <w:rPr>
          <w:lang w:val="en-GB"/>
        </w:rPr>
        <w:t>dependent</w:t>
      </w:r>
      <w:r w:rsidR="00C351FC">
        <w:rPr>
          <w:lang w:val="en-GB"/>
        </w:rPr>
        <w:t xml:space="preserve"> and tend</w:t>
      </w:r>
      <w:r w:rsidR="00BC2420">
        <w:rPr>
          <w:lang w:val="en-GB"/>
        </w:rPr>
        <w:t>s</w:t>
      </w:r>
      <w:r w:rsidR="00C351FC">
        <w:rPr>
          <w:lang w:val="en-GB"/>
        </w:rPr>
        <w:t xml:space="preserve"> to decrease over time in fed-batch processes (</w:t>
      </w:r>
      <w:r w:rsidR="00BC2420" w:rsidRPr="00A16EB1">
        <w:t>Lyubenova</w:t>
      </w:r>
      <w:r w:rsidR="00BC2420">
        <w:t xml:space="preserve"> et al., 2020</w:t>
      </w:r>
      <w:r w:rsidR="00C351FC">
        <w:rPr>
          <w:lang w:val="en-GB"/>
        </w:rPr>
        <w:t>).</w:t>
      </w:r>
      <w:r w:rsidR="00B3737B">
        <w:rPr>
          <w:lang w:val="en-GB"/>
        </w:rPr>
        <w:t xml:space="preserve"> This study presents</w:t>
      </w:r>
      <w:r w:rsidR="00132071">
        <w:rPr>
          <w:lang w:val="en-GB"/>
        </w:rPr>
        <w:t xml:space="preserve"> the average age of the cell population (</w:t>
      </w:r>
      <m:oMath>
        <m:r>
          <w:rPr>
            <w:rFonts w:ascii="Cambria Math" w:hAnsi="Cambria Math" w:cs="Arial"/>
            <w:lang w:val="en-GB"/>
          </w:rPr>
          <m:t>Age</m:t>
        </m:r>
        <m:d>
          <m:dPr>
            <m:ctrlPr>
              <w:rPr>
                <w:rFonts w:ascii="Cambria Math" w:hAnsi="Cambria Math" w:cs="Arial"/>
                <w:i/>
              </w:rPr>
            </m:ctrlPr>
          </m:dPr>
          <m:e>
            <m:r>
              <w:rPr>
                <w:rFonts w:ascii="Cambria Math" w:hAnsi="Cambria Math" w:cs="Arial"/>
              </w:rPr>
              <m:t>t</m:t>
            </m:r>
          </m:e>
        </m:d>
      </m:oMath>
      <w:r w:rsidR="00132071">
        <w:rPr>
          <w:lang w:val="en-GB"/>
        </w:rPr>
        <w:t xml:space="preserve">) </w:t>
      </w:r>
      <w:r w:rsidR="00B3737B">
        <w:rPr>
          <w:lang w:val="en-GB"/>
        </w:rPr>
        <w:t>which serves as</w:t>
      </w:r>
      <w:r w:rsidR="00132071">
        <w:rPr>
          <w:lang w:val="en-GB"/>
        </w:rPr>
        <w:t xml:space="preserve"> the </w:t>
      </w:r>
      <w:r w:rsidR="002539AF">
        <w:rPr>
          <w:lang w:val="en-GB"/>
        </w:rPr>
        <w:t>"</w:t>
      </w:r>
      <w:r w:rsidR="00132071">
        <w:rPr>
          <w:lang w:val="en-GB"/>
        </w:rPr>
        <w:t>inhibition</w:t>
      </w:r>
      <w:r w:rsidR="002539AF">
        <w:rPr>
          <w:lang w:val="en-GB"/>
        </w:rPr>
        <w:t>"</w:t>
      </w:r>
      <w:r w:rsidR="00132071">
        <w:rPr>
          <w:lang w:val="en-GB"/>
        </w:rPr>
        <w:t xml:space="preserve"> term on the biomass yield from the glucose </w:t>
      </w:r>
      <m:oMath>
        <m:sSub>
          <m:sSubPr>
            <m:ctrlPr>
              <w:rPr>
                <w:rFonts w:ascii="Cambria Math" w:hAnsi="Cambria Math" w:cs="Arial"/>
                <w:i/>
              </w:rPr>
            </m:ctrlPr>
          </m:sSubPr>
          <m:e>
            <m:r>
              <w:rPr>
                <w:rFonts w:ascii="Cambria Math" w:hAnsi="Cambria Math" w:cs="Arial"/>
              </w:rPr>
              <m:t>Y</m:t>
            </m:r>
          </m:e>
          <m:sub>
            <m:r>
              <w:rPr>
                <w:rFonts w:ascii="Cambria Math" w:hAnsi="Cambria Math" w:cs="Arial"/>
              </w:rPr>
              <m:t>xs</m:t>
            </m:r>
          </m:sub>
        </m:sSub>
        <m:d>
          <m:dPr>
            <m:ctrlPr>
              <w:rPr>
                <w:rFonts w:ascii="Cambria Math" w:hAnsi="Cambria Math" w:cs="Arial"/>
                <w:i/>
              </w:rPr>
            </m:ctrlPr>
          </m:dPr>
          <m:e>
            <m:r>
              <w:rPr>
                <w:rFonts w:ascii="Cambria Math" w:hAnsi="Cambria Math" w:cs="Arial"/>
              </w:rPr>
              <m:t>t</m:t>
            </m:r>
          </m:e>
        </m:d>
      </m:oMath>
      <w:r w:rsidR="00B3737B">
        <w:t>.</w:t>
      </w:r>
      <w:r w:rsidR="00132071">
        <w:t xml:space="preserve"> </w:t>
      </w:r>
      <w:r w:rsidR="00B3737B">
        <w:t>T</w:t>
      </w:r>
      <w:r w:rsidR="00132071">
        <w:t xml:space="preserve">hus </w:t>
      </w:r>
      <w:r w:rsidR="00B3737B">
        <w:t xml:space="preserve">this yield </w:t>
      </w:r>
      <w:r w:rsidR="00132071">
        <w:t xml:space="preserve">can be treated as </w:t>
      </w:r>
      <m:oMath>
        <m:sSub>
          <m:sSubPr>
            <m:ctrlPr>
              <w:rPr>
                <w:rFonts w:ascii="Cambria Math" w:hAnsi="Cambria Math" w:cs="Arial"/>
                <w:i/>
              </w:rPr>
            </m:ctrlPr>
          </m:sSubPr>
          <m:e>
            <m:r>
              <w:rPr>
                <w:rFonts w:ascii="Cambria Math" w:hAnsi="Cambria Math" w:cs="Arial"/>
              </w:rPr>
              <m:t>Y</m:t>
            </m:r>
          </m:e>
          <m:sub>
            <m:r>
              <w:rPr>
                <w:rFonts w:ascii="Cambria Math" w:hAnsi="Cambria Math" w:cs="Arial"/>
              </w:rPr>
              <m:t>xs</m:t>
            </m:r>
          </m:sub>
        </m:sSub>
        <m:d>
          <m:dPr>
            <m:ctrlPr>
              <w:rPr>
                <w:rFonts w:ascii="Cambria Math" w:hAnsi="Cambria Math" w:cs="Arial"/>
                <w:i/>
              </w:rPr>
            </m:ctrlPr>
          </m:dPr>
          <m:e>
            <m:r>
              <w:rPr>
                <w:rFonts w:ascii="Cambria Math" w:hAnsi="Cambria Math" w:cs="Arial"/>
              </w:rPr>
              <m:t>Age</m:t>
            </m:r>
          </m:e>
        </m:d>
        <m:r>
          <w:rPr>
            <w:rFonts w:ascii="Cambria Math" w:hAnsi="Cambria Math" w:cs="Arial"/>
          </w:rPr>
          <m:t>≡f</m:t>
        </m:r>
        <m:d>
          <m:dPr>
            <m:ctrlPr>
              <w:rPr>
                <w:rFonts w:ascii="Cambria Math" w:hAnsi="Cambria Math" w:cs="Arial"/>
                <w:i/>
              </w:rPr>
            </m:ctrlPr>
          </m:dPr>
          <m:e>
            <m:r>
              <w:rPr>
                <w:rFonts w:ascii="Cambria Math" w:hAnsi="Cambria Math" w:cs="Arial"/>
              </w:rPr>
              <m:t>Age</m:t>
            </m:r>
            <m:d>
              <m:dPr>
                <m:ctrlPr>
                  <w:rPr>
                    <w:rFonts w:ascii="Cambria Math" w:hAnsi="Cambria Math" w:cs="Arial"/>
                    <w:i/>
                  </w:rPr>
                </m:ctrlPr>
              </m:dPr>
              <m:e>
                <m:r>
                  <w:rPr>
                    <w:rFonts w:ascii="Cambria Math" w:hAnsi="Cambria Math" w:cs="Arial"/>
                  </w:rPr>
                  <m:t>t</m:t>
                </m:r>
              </m:e>
            </m:d>
          </m:e>
        </m:d>
        <m:r>
          <w:rPr>
            <w:rFonts w:ascii="Cambria Math" w:hAnsi="Cambria Math" w:cs="Arial"/>
          </w:rPr>
          <m:t>.</m:t>
        </m:r>
      </m:oMath>
      <w:r w:rsidR="00B3737B">
        <w:rPr>
          <w:lang w:val="en-GB"/>
        </w:rPr>
        <w:t xml:space="preserve"> </w:t>
      </w:r>
      <w:r w:rsidR="000E2235">
        <w:rPr>
          <w:lang w:val="en-GB"/>
        </w:rPr>
        <w:t>Such assumption is</w:t>
      </w:r>
      <w:r w:rsidR="00B3737B">
        <w:rPr>
          <w:lang w:val="en-GB"/>
        </w:rPr>
        <w:t xml:space="preserve"> more consistent to </w:t>
      </w:r>
      <w:r w:rsidR="000E2235">
        <w:rPr>
          <w:lang w:val="en-GB"/>
        </w:rPr>
        <w:t xml:space="preserve">describe the </w:t>
      </w:r>
      <w:r w:rsidR="00B3737B">
        <w:rPr>
          <w:lang w:val="en-GB"/>
        </w:rPr>
        <w:t xml:space="preserve">upstream continuous or perfusion bioprocesses when the biomass </w:t>
      </w:r>
      <w:r w:rsidR="007730E6">
        <w:rPr>
          <w:lang w:val="en-GB"/>
        </w:rPr>
        <w:t>does</w:t>
      </w:r>
      <w:r w:rsidR="00B3737B">
        <w:rPr>
          <w:lang w:val="en-GB"/>
        </w:rPr>
        <w:t xml:space="preserve"> not change, but its age varies.</w:t>
      </w:r>
      <w:r w:rsidR="00A05DBC">
        <w:rPr>
          <w:lang w:val="en-GB"/>
        </w:rPr>
        <w:t xml:space="preserve"> </w:t>
      </w:r>
      <w:r w:rsidR="00A96819">
        <w:t xml:space="preserve">Then the </w:t>
      </w:r>
      <w:r w:rsidR="00152098">
        <w:t>limiting</w:t>
      </w:r>
      <w:r w:rsidR="00A96819">
        <w:t xml:space="preserve"> term on the bioma</w:t>
      </w:r>
      <w:r w:rsidR="000E2235">
        <w:t>s</w:t>
      </w:r>
      <w:r w:rsidR="00A96819">
        <w:t>s yield is</w:t>
      </w:r>
    </w:p>
    <w:tbl>
      <w:tblPr>
        <w:tblW w:w="5000" w:type="pct"/>
        <w:tblLook w:val="04A0" w:firstRow="1" w:lastRow="0" w:firstColumn="1" w:lastColumn="0" w:noHBand="0" w:noVBand="1"/>
      </w:tblPr>
      <w:tblGrid>
        <w:gridCol w:w="7981"/>
        <w:gridCol w:w="806"/>
      </w:tblGrid>
      <w:tr w:rsidR="00A96819" w:rsidRPr="00B57B36" w14:paraId="0783B0F7" w14:textId="77777777" w:rsidTr="008F2845">
        <w:tc>
          <w:tcPr>
            <w:tcW w:w="8188" w:type="dxa"/>
            <w:shd w:val="clear" w:color="auto" w:fill="auto"/>
            <w:vAlign w:val="center"/>
          </w:tcPr>
          <w:p w14:paraId="623FBCE8" w14:textId="1A5254F0" w:rsidR="00A96819" w:rsidRPr="00EC4568" w:rsidRDefault="001D5EE7" w:rsidP="00A96819">
            <w:pPr>
              <w:pStyle w:val="CETEquation"/>
              <w:rPr>
                <w:rFonts w:cs="Arial"/>
                <w:i/>
                <w:lang w:val="ru-RU"/>
              </w:rPr>
            </w:pPr>
            <m:oMathPara>
              <m:oMath>
                <m:sSub>
                  <m:sSubPr>
                    <m:ctrlPr>
                      <w:rPr>
                        <w:rFonts w:ascii="Cambria Math" w:hAnsi="Cambria Math" w:cs="Arial"/>
                        <w:i/>
                        <w:lang w:val="en-US"/>
                      </w:rPr>
                    </m:ctrlPr>
                  </m:sSubPr>
                  <m:e>
                    <m:r>
                      <w:rPr>
                        <w:rFonts w:ascii="Cambria Math" w:hAnsi="Cambria Math" w:cs="Arial"/>
                      </w:rPr>
                      <m:t>Y</m:t>
                    </m:r>
                  </m:e>
                  <m:sub>
                    <m:r>
                      <w:rPr>
                        <w:rFonts w:ascii="Cambria Math" w:hAnsi="Cambria Math" w:cs="Arial"/>
                      </w:rPr>
                      <m:t>xs</m:t>
                    </m:r>
                  </m:sub>
                </m:sSub>
                <m:d>
                  <m:dPr>
                    <m:ctrlPr>
                      <w:rPr>
                        <w:rFonts w:ascii="Cambria Math" w:hAnsi="Cambria Math" w:cs="Arial"/>
                        <w:i/>
                      </w:rPr>
                    </m:ctrlPr>
                  </m:dPr>
                  <m:e>
                    <m:r>
                      <w:rPr>
                        <w:rFonts w:ascii="Cambria Math" w:hAnsi="Cambria Math" w:cs="Arial"/>
                      </w:rPr>
                      <m:t>Age</m:t>
                    </m:r>
                  </m:e>
                </m:d>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k</m:t>
                        </m:r>
                      </m:e>
                      <m:sub>
                        <m:r>
                          <w:rPr>
                            <w:rFonts w:ascii="Cambria Math" w:hAnsi="Cambria Math" w:cs="Arial"/>
                          </w:rPr>
                          <m:t>Age</m:t>
                        </m:r>
                      </m:sub>
                    </m:sSub>
                    <m:r>
                      <w:rPr>
                        <w:rFonts w:ascii="Cambria Math" w:hAnsi="Cambria Math" w:cs="Arial"/>
                      </w:rPr>
                      <m:t>∙</m:t>
                    </m:r>
                    <m:sSub>
                      <m:sSubPr>
                        <m:ctrlPr>
                          <w:rPr>
                            <w:rFonts w:ascii="Cambria Math" w:hAnsi="Cambria Math" w:cs="Arial"/>
                            <w:i/>
                            <w:lang w:val="en-US"/>
                          </w:rPr>
                        </m:ctrlPr>
                      </m:sSubPr>
                      <m:e>
                        <m:r>
                          <w:rPr>
                            <w:rFonts w:ascii="Cambria Math" w:hAnsi="Cambria Math" w:cs="Arial"/>
                          </w:rPr>
                          <m:t>Y</m:t>
                        </m:r>
                      </m:e>
                      <m:sub>
                        <m:r>
                          <w:rPr>
                            <w:rFonts w:ascii="Cambria Math" w:hAnsi="Cambria Math" w:cs="Arial"/>
                          </w:rPr>
                          <m:t>xs</m:t>
                        </m:r>
                      </m:sub>
                    </m:sSub>
                  </m:num>
                  <m:den>
                    <m:sSub>
                      <m:sSubPr>
                        <m:ctrlPr>
                          <w:rPr>
                            <w:rFonts w:ascii="Cambria Math" w:hAnsi="Cambria Math" w:cs="Arial"/>
                            <w:i/>
                          </w:rPr>
                        </m:ctrlPr>
                      </m:sSubPr>
                      <m:e>
                        <m:r>
                          <w:rPr>
                            <w:rFonts w:ascii="Cambria Math" w:hAnsi="Cambria Math" w:cs="Arial"/>
                          </w:rPr>
                          <m:t>k</m:t>
                        </m:r>
                      </m:e>
                      <m:sub>
                        <m:r>
                          <w:rPr>
                            <w:rFonts w:ascii="Cambria Math" w:hAnsi="Cambria Math" w:cs="Arial"/>
                          </w:rPr>
                          <m:t>Age</m:t>
                        </m:r>
                      </m:sub>
                    </m:sSub>
                    <m:r>
                      <w:rPr>
                        <w:rFonts w:ascii="Cambria Math" w:hAnsi="Cambria Math" w:cs="Arial"/>
                      </w:rPr>
                      <m:t>+</m:t>
                    </m:r>
                    <m:r>
                      <w:rPr>
                        <w:rFonts w:ascii="Cambria Math" w:hAnsi="Cambria Math" w:cs="Arial"/>
                        <w:lang w:val="en-US"/>
                      </w:rPr>
                      <m:t>Age</m:t>
                    </m:r>
                    <m:d>
                      <m:dPr>
                        <m:ctrlPr>
                          <w:rPr>
                            <w:rFonts w:ascii="Cambria Math" w:hAnsi="Cambria Math" w:cs="Arial"/>
                            <w:i/>
                          </w:rPr>
                        </m:ctrlPr>
                      </m:dPr>
                      <m:e>
                        <m:r>
                          <w:rPr>
                            <w:rFonts w:ascii="Cambria Math" w:hAnsi="Cambria Math" w:cs="Arial"/>
                          </w:rPr>
                          <m:t>t</m:t>
                        </m:r>
                      </m:e>
                    </m:d>
                  </m:den>
                </m:f>
                <m:r>
                  <w:rPr>
                    <w:rFonts w:ascii="Cambria Math" w:hAnsi="Cambria Math" w:cs="Arial"/>
                  </w:rPr>
                  <m:t>,</m:t>
                </m:r>
              </m:oMath>
            </m:oMathPara>
          </w:p>
        </w:tc>
        <w:tc>
          <w:tcPr>
            <w:tcW w:w="815" w:type="dxa"/>
            <w:shd w:val="clear" w:color="auto" w:fill="auto"/>
            <w:vAlign w:val="center"/>
          </w:tcPr>
          <w:p w14:paraId="423F0A87" w14:textId="4F2750F5" w:rsidR="00A96819" w:rsidRPr="00B57B36" w:rsidRDefault="00A96819" w:rsidP="00A96819">
            <w:pPr>
              <w:pStyle w:val="CETEquation"/>
              <w:jc w:val="right"/>
            </w:pPr>
            <w:r w:rsidRPr="00B57B36">
              <w:t>(1</w:t>
            </w:r>
            <w:r>
              <w:t>9</w:t>
            </w:r>
            <w:r w:rsidRPr="00B57B36">
              <w:t>)</w:t>
            </w:r>
          </w:p>
        </w:tc>
      </w:tr>
    </w:tbl>
    <w:p w14:paraId="5755284D" w14:textId="400C2F4E" w:rsidR="008121BE" w:rsidRDefault="00A96819" w:rsidP="00200D99">
      <w:pPr>
        <w:pStyle w:val="CETBodytext"/>
      </w:pPr>
      <w:r>
        <w:t>where the constant yield term (</w:t>
      </w:r>
      <m:oMath>
        <m:sSub>
          <m:sSubPr>
            <m:ctrlPr>
              <w:rPr>
                <w:rFonts w:ascii="Cambria Math" w:hAnsi="Cambria Math" w:cs="Arial"/>
                <w:i/>
              </w:rPr>
            </m:ctrlPr>
          </m:sSubPr>
          <m:e>
            <m:r>
              <w:rPr>
                <w:rFonts w:ascii="Cambria Math" w:hAnsi="Cambria Math" w:cs="Arial"/>
              </w:rPr>
              <m:t>Y</m:t>
            </m:r>
          </m:e>
          <m:sub>
            <m:r>
              <w:rPr>
                <w:rFonts w:ascii="Cambria Math" w:hAnsi="Cambria Math" w:cs="Arial"/>
              </w:rPr>
              <m:t>xs</m:t>
            </m:r>
          </m:sub>
        </m:sSub>
      </m:oMath>
      <w:r>
        <w:t xml:space="preserve">) can be treated as the initial or the logarithmic phase biomass yield, which later, as </w:t>
      </w:r>
      <w:r w:rsidR="0044192E">
        <w:t xml:space="preserve">the </w:t>
      </w:r>
      <w:r w:rsidR="002539AF">
        <w:t xml:space="preserve">average </w:t>
      </w:r>
      <w:r>
        <w:t xml:space="preserve">cell population ages, </w:t>
      </w:r>
      <w:r w:rsidR="002539AF">
        <w:t>"</w:t>
      </w:r>
      <w:r>
        <w:t>inhibits</w:t>
      </w:r>
      <w:r w:rsidR="002539AF">
        <w:t>"</w:t>
      </w:r>
      <w:r>
        <w:t xml:space="preserve"> the biomass yield</w:t>
      </w:r>
      <w:r w:rsidR="003C6B20">
        <w:t>; and the average age has</w:t>
      </w:r>
      <w:r w:rsidR="00A0045F">
        <w:t xml:space="preserve"> a</w:t>
      </w:r>
      <w:r w:rsidR="003C6B20">
        <w:t xml:space="preserve"> </w:t>
      </w:r>
      <w:r w:rsidR="00A0045F">
        <w:t xml:space="preserve">candidate </w:t>
      </w:r>
      <w:r w:rsidR="003C6B20">
        <w:t xml:space="preserve">definition in </w:t>
      </w:r>
      <w:r w:rsidR="003C6B20" w:rsidRPr="00200D99">
        <w:t>Urniezius</w:t>
      </w:r>
      <w:r w:rsidR="003C6B20">
        <w:t xml:space="preserve"> et al., 2021</w:t>
      </w:r>
      <w:r>
        <w:t>.</w:t>
      </w:r>
      <w:r w:rsidR="00A05DBC">
        <w:t xml:space="preserve"> </w:t>
      </w:r>
      <w:r w:rsidR="002B04CC">
        <w:t>Finally, the generic formulations</w:t>
      </w:r>
      <w:r w:rsidR="00965646">
        <w:t>, including the shape of more generic Luedeking-Piret model,</w:t>
      </w:r>
      <w:r w:rsidR="002B04CC">
        <w:t xml:space="preserve"> to be used for soft sensors development that accounts for the production of solutes for bioprocesses with non-growth-limiting substrate feeding become</w:t>
      </w:r>
    </w:p>
    <w:tbl>
      <w:tblPr>
        <w:tblW w:w="5000" w:type="pct"/>
        <w:tblLook w:val="04A0" w:firstRow="1" w:lastRow="0" w:firstColumn="1" w:lastColumn="0" w:noHBand="0" w:noVBand="1"/>
      </w:tblPr>
      <w:tblGrid>
        <w:gridCol w:w="8002"/>
        <w:gridCol w:w="785"/>
      </w:tblGrid>
      <w:tr w:rsidR="00835576" w:rsidRPr="00B57B36" w14:paraId="280B414C" w14:textId="77777777" w:rsidTr="008F2845">
        <w:tc>
          <w:tcPr>
            <w:tcW w:w="8188" w:type="dxa"/>
            <w:shd w:val="clear" w:color="auto" w:fill="auto"/>
            <w:vAlign w:val="center"/>
          </w:tcPr>
          <w:p w14:paraId="30C2DC18" w14:textId="1E6A4814" w:rsidR="00835576" w:rsidRPr="00EC4568" w:rsidRDefault="001D5EE7" w:rsidP="00A34F54">
            <w:pPr>
              <w:pStyle w:val="CETEquation"/>
              <w:rPr>
                <w:rFonts w:cs="Arial"/>
                <w:i/>
                <w:lang w:val="ru-RU"/>
              </w:rPr>
            </w:pPr>
            <m:oMathPara>
              <m:oMath>
                <m:d>
                  <m:dPr>
                    <m:begChr m:val="{"/>
                    <m:endChr m:val=""/>
                    <m:ctrlPr>
                      <w:rPr>
                        <w:rFonts w:ascii="Cambria Math" w:hAnsi="Cambria Math" w:cs="Arial"/>
                        <w:i/>
                      </w:rPr>
                    </m:ctrlPr>
                  </m:dPr>
                  <m:e>
                    <m:m>
                      <m:mPr>
                        <m:mcs>
                          <m:mc>
                            <m:mcPr>
                              <m:count m:val="1"/>
                              <m:mcJc m:val="center"/>
                            </m:mcPr>
                          </m:mc>
                        </m:mcs>
                        <m:ctrlPr>
                          <w:rPr>
                            <w:rFonts w:ascii="Cambria Math" w:hAnsi="Cambria Math" w:cs="Arial"/>
                            <w:i/>
                          </w:rPr>
                        </m:ctrlPr>
                      </m:mPr>
                      <m:mr>
                        <m:e>
                          <m:sSup>
                            <m:sSupPr>
                              <m:ctrlPr>
                                <w:rPr>
                                  <w:rFonts w:ascii="Cambria Math" w:hAnsi="Cambria Math" w:cs="Arial"/>
                                  <w:i/>
                                </w:rPr>
                              </m:ctrlPr>
                            </m:sSupPr>
                            <m:e>
                              <m:r>
                                <w:rPr>
                                  <w:rFonts w:ascii="Cambria Math" w:hAnsi="Cambria Math" w:cs="Arial"/>
                                </w:rPr>
                                <m:t>s</m:t>
                              </m:r>
                            </m:e>
                            <m:sup>
                              <m:r>
                                <w:rPr>
                                  <w:rFonts w:ascii="Cambria Math" w:hAnsi="Cambria Math" w:cs="Arial"/>
                                </w:rPr>
                                <m:t>'</m:t>
                              </m:r>
                            </m:sup>
                          </m:sSup>
                          <m:d>
                            <m:dPr>
                              <m:ctrlPr>
                                <w:rPr>
                                  <w:rFonts w:ascii="Cambria Math" w:hAnsi="Cambria Math" w:cs="Arial"/>
                                  <w:i/>
                                </w:rPr>
                              </m:ctrlPr>
                            </m:dPr>
                            <m:e>
                              <m:r>
                                <w:rPr>
                                  <w:rFonts w:ascii="Cambria Math" w:hAnsi="Cambria Math" w:cs="Arial"/>
                                </w:rPr>
                                <m:t>t</m:t>
                              </m:r>
                            </m:e>
                          </m:d>
                          <m:r>
                            <w:rPr>
                              <w:rFonts w:ascii="Cambria Math" w:hAnsi="Cambria Math" w:cs="Arial"/>
                            </w:rPr>
                            <m:t>=-OUR</m:t>
                          </m:r>
                          <m:d>
                            <m:dPr>
                              <m:ctrlPr>
                                <w:rPr>
                                  <w:rFonts w:ascii="Cambria Math" w:hAnsi="Cambria Math" w:cs="Arial"/>
                                  <w:i/>
                                </w:rPr>
                              </m:ctrlPr>
                            </m:dPr>
                            <m:e>
                              <m:r>
                                <w:rPr>
                                  <w:rFonts w:ascii="Cambria Math" w:hAnsi="Cambria Math" w:cs="Arial"/>
                                </w:rPr>
                                <m:t>t</m:t>
                              </m:r>
                            </m:e>
                          </m:d>
                          <m:r>
                            <w:rPr>
                              <w:rFonts w:ascii="Cambria Math" w:hAnsi="Cambria Math" w:cs="Arial"/>
                            </w:rPr>
                            <m:t>∙</m:t>
                          </m:r>
                          <m:d>
                            <m:dPr>
                              <m:ctrlPr>
                                <w:rPr>
                                  <w:rFonts w:ascii="Cambria Math" w:hAnsi="Cambria Math" w:cs="Arial"/>
                                  <w:i/>
                                </w:rPr>
                              </m:ctrlPr>
                            </m:dPr>
                            <m:e>
                              <m:f>
                                <m:fPr>
                                  <m:ctrlPr>
                                    <w:rPr>
                                      <w:rFonts w:ascii="Cambria Math" w:hAnsi="Cambria Math" w:cs="Arial"/>
                                      <w:i/>
                                    </w:rPr>
                                  </m:ctrlPr>
                                </m:fPr>
                                <m:num>
                                  <m:r>
                                    <w:rPr>
                                      <w:rFonts w:ascii="Cambria Math" w:hAnsi="Cambria Math" w:cs="Arial"/>
                                    </w:rPr>
                                    <m:t>factor</m:t>
                                  </m:r>
                                  <m:d>
                                    <m:dPr>
                                      <m:ctrlPr>
                                        <w:rPr>
                                          <w:rFonts w:ascii="Cambria Math" w:hAnsi="Cambria Math" w:cs="Arial"/>
                                          <w:i/>
                                        </w:rPr>
                                      </m:ctrlPr>
                                    </m:dPr>
                                    <m:e>
                                      <m:r>
                                        <w:rPr>
                                          <w:rFonts w:ascii="Cambria Math" w:hAnsi="Cambria Math" w:cs="Arial"/>
                                        </w:rPr>
                                        <m:t>s</m:t>
                                      </m:r>
                                    </m:e>
                                  </m:d>
                                </m:num>
                                <m:den>
                                  <m:r>
                                    <w:rPr>
                                      <w:rFonts w:ascii="Cambria Math" w:hAnsi="Cambria Math" w:cs="Arial"/>
                                    </w:rPr>
                                    <m:t>α∙</m:t>
                                  </m:r>
                                  <m:sSub>
                                    <m:sSubPr>
                                      <m:ctrlPr>
                                        <w:rPr>
                                          <w:rFonts w:ascii="Cambria Math" w:hAnsi="Cambria Math" w:cs="Arial"/>
                                          <w:i/>
                                          <w:lang w:val="en-US"/>
                                        </w:rPr>
                                      </m:ctrlPr>
                                    </m:sSubPr>
                                    <m:e>
                                      <m:r>
                                        <w:rPr>
                                          <w:rFonts w:ascii="Cambria Math" w:hAnsi="Cambria Math" w:cs="Arial"/>
                                        </w:rPr>
                                        <m:t>Y</m:t>
                                      </m:r>
                                    </m:e>
                                    <m:sub>
                                      <m:r>
                                        <w:rPr>
                                          <w:rFonts w:ascii="Cambria Math" w:hAnsi="Cambria Math" w:cs="Arial"/>
                                        </w:rPr>
                                        <m:t>xs</m:t>
                                      </m:r>
                                    </m:sub>
                                  </m:sSub>
                                  <m:d>
                                    <m:dPr>
                                      <m:ctrlPr>
                                        <w:rPr>
                                          <w:rFonts w:ascii="Cambria Math" w:hAnsi="Cambria Math" w:cs="Arial"/>
                                          <w:i/>
                                        </w:rPr>
                                      </m:ctrlPr>
                                    </m:dPr>
                                    <m:e>
                                      <m:r>
                                        <w:rPr>
                                          <w:rFonts w:ascii="Cambria Math" w:hAnsi="Cambria Math" w:cs="Arial"/>
                                        </w:rPr>
                                        <m:t>Age</m:t>
                                      </m:r>
                                    </m:e>
                                  </m:d>
                                </m:den>
                              </m:f>
                              <m:r>
                                <w:rPr>
                                  <w:rFonts w:ascii="Cambria Math" w:hAnsi="Cambria Math" w:cs="Arial"/>
                                </w:rPr>
                                <m:t>+</m:t>
                              </m:r>
                              <m:f>
                                <m:fPr>
                                  <m:ctrlPr>
                                    <w:rPr>
                                      <w:rFonts w:ascii="Cambria Math" w:hAnsi="Cambria Math" w:cs="Arial"/>
                                      <w:i/>
                                    </w:rPr>
                                  </m:ctrlPr>
                                </m:fPr>
                                <m:num>
                                  <m:r>
                                    <w:rPr>
                                      <w:rFonts w:ascii="Cambria Math" w:hAnsi="Cambria Math" w:cs="Arial"/>
                                      <w:lang w:val="en-US"/>
                                    </w:rPr>
                                    <m:t>1-</m:t>
                                  </m:r>
                                  <m:r>
                                    <w:rPr>
                                      <w:rFonts w:ascii="Cambria Math" w:hAnsi="Cambria Math" w:cs="Arial"/>
                                    </w:rPr>
                                    <m:t>factor</m:t>
                                  </m:r>
                                  <m:d>
                                    <m:dPr>
                                      <m:ctrlPr>
                                        <w:rPr>
                                          <w:rFonts w:ascii="Cambria Math" w:hAnsi="Cambria Math" w:cs="Arial"/>
                                          <w:i/>
                                        </w:rPr>
                                      </m:ctrlPr>
                                    </m:dPr>
                                    <m:e>
                                      <m:r>
                                        <w:rPr>
                                          <w:rFonts w:ascii="Cambria Math" w:hAnsi="Cambria Math" w:cs="Arial"/>
                                        </w:rPr>
                                        <m:t>s</m:t>
                                      </m:r>
                                    </m:e>
                                  </m:d>
                                </m:num>
                                <m:den>
                                  <m:sSub>
                                    <m:sSubPr>
                                      <m:ctrlPr>
                                        <w:rPr>
                                          <w:rFonts w:ascii="Cambria Math" w:hAnsi="Cambria Math" w:cs="Arial"/>
                                          <w:i/>
                                          <w:lang w:val="en-US"/>
                                        </w:rPr>
                                      </m:ctrlPr>
                                    </m:sSubPr>
                                    <m:e>
                                      <m:r>
                                        <w:rPr>
                                          <w:rFonts w:ascii="Cambria Math" w:hAnsi="Cambria Math" w:cs="Arial"/>
                                        </w:rPr>
                                        <m:t>Y</m:t>
                                      </m:r>
                                    </m:e>
                                    <m:sub>
                                      <m:r>
                                        <w:rPr>
                                          <w:rFonts w:ascii="Cambria Math" w:hAnsi="Cambria Math" w:cs="Arial"/>
                                        </w:rPr>
                                        <m:t>solutes,os</m:t>
                                      </m:r>
                                    </m:sub>
                                  </m:sSub>
                                </m:den>
                              </m:f>
                            </m:e>
                          </m:d>
                          <m:r>
                            <w:rPr>
                              <w:rFonts w:ascii="Cambria Math" w:hAnsi="Cambria Math" w:cs="Arial"/>
                            </w:rPr>
                            <m:t>-</m:t>
                          </m:r>
                          <m:f>
                            <m:fPr>
                              <m:ctrlPr>
                                <w:rPr>
                                  <w:rFonts w:ascii="Cambria Math" w:hAnsi="Cambria Math" w:cs="Arial"/>
                                  <w:i/>
                                </w:rPr>
                              </m:ctrlPr>
                            </m:fPr>
                            <m:num>
                              <m:r>
                                <w:rPr>
                                  <w:rFonts w:ascii="Cambria Math" w:hAnsi="Cambria Math" w:cs="Arial"/>
                                </w:rPr>
                                <m:t>F</m:t>
                              </m:r>
                              <m:d>
                                <m:dPr>
                                  <m:ctrlPr>
                                    <w:rPr>
                                      <w:rFonts w:ascii="Cambria Math" w:hAnsi="Cambria Math" w:cs="Arial"/>
                                      <w:i/>
                                    </w:rPr>
                                  </m:ctrlPr>
                                </m:dPr>
                                <m:e>
                                  <m:r>
                                    <w:rPr>
                                      <w:rFonts w:ascii="Cambria Math" w:hAnsi="Cambria Math" w:cs="Arial"/>
                                    </w:rPr>
                                    <m:t>t</m:t>
                                  </m:r>
                                </m:e>
                              </m:d>
                            </m:num>
                            <m:den>
                              <m:r>
                                <w:rPr>
                                  <w:rFonts w:ascii="Cambria Math" w:hAnsi="Cambria Math" w:cs="Arial"/>
                                </w:rPr>
                                <m:t>W</m:t>
                              </m:r>
                              <m:d>
                                <m:dPr>
                                  <m:ctrlPr>
                                    <w:rPr>
                                      <w:rFonts w:ascii="Cambria Math" w:hAnsi="Cambria Math" w:cs="Arial"/>
                                      <w:i/>
                                    </w:rPr>
                                  </m:ctrlPr>
                                </m:dPr>
                                <m:e>
                                  <m:r>
                                    <w:rPr>
                                      <w:rFonts w:ascii="Cambria Math" w:hAnsi="Cambria Math" w:cs="Arial"/>
                                    </w:rPr>
                                    <m:t>t</m:t>
                                  </m:r>
                                </m:e>
                              </m:d>
                            </m:den>
                          </m:f>
                          <m:r>
                            <w:rPr>
                              <w:rFonts w:ascii="Cambria Math" w:hAnsi="Cambria Math" w:cs="Arial"/>
                            </w:rPr>
                            <m:t>∙s</m:t>
                          </m:r>
                          <m:d>
                            <m:dPr>
                              <m:ctrlPr>
                                <w:rPr>
                                  <w:rFonts w:ascii="Cambria Math" w:hAnsi="Cambria Math" w:cs="Arial"/>
                                  <w:i/>
                                </w:rPr>
                              </m:ctrlPr>
                            </m:dPr>
                            <m:e>
                              <m:r>
                                <w:rPr>
                                  <w:rFonts w:ascii="Cambria Math" w:hAnsi="Cambria Math" w:cs="Arial"/>
                                </w:rPr>
                                <m:t>t</m:t>
                              </m:r>
                            </m:e>
                          </m:d>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F</m:t>
                                  </m:r>
                                </m:e>
                                <m:sub>
                                  <m:r>
                                    <w:rPr>
                                      <w:rFonts w:ascii="Cambria Math" w:hAnsi="Cambria Math" w:cs="Arial"/>
                                    </w:rPr>
                                    <m:t>s</m:t>
                                  </m:r>
                                </m:sub>
                              </m:sSub>
                              <m:d>
                                <m:dPr>
                                  <m:ctrlPr>
                                    <w:rPr>
                                      <w:rFonts w:ascii="Cambria Math" w:hAnsi="Cambria Math" w:cs="Arial"/>
                                      <w:i/>
                                    </w:rPr>
                                  </m:ctrlPr>
                                </m:dPr>
                                <m:e>
                                  <m:r>
                                    <w:rPr>
                                      <w:rFonts w:ascii="Cambria Math" w:hAnsi="Cambria Math" w:cs="Arial"/>
                                    </w:rPr>
                                    <m:t>t</m:t>
                                  </m:r>
                                </m:e>
                              </m:d>
                            </m:num>
                            <m:den>
                              <m:r>
                                <w:rPr>
                                  <w:rFonts w:ascii="Cambria Math" w:hAnsi="Cambria Math" w:cs="Arial"/>
                                </w:rPr>
                                <m:t>W</m:t>
                              </m:r>
                              <m:d>
                                <m:dPr>
                                  <m:ctrlPr>
                                    <w:rPr>
                                      <w:rFonts w:ascii="Cambria Math" w:hAnsi="Cambria Math" w:cs="Arial"/>
                                      <w:i/>
                                    </w:rPr>
                                  </m:ctrlPr>
                                </m:dPr>
                                <m:e>
                                  <m:r>
                                    <w:rPr>
                                      <w:rFonts w:ascii="Cambria Math" w:hAnsi="Cambria Math" w:cs="Arial"/>
                                    </w:rPr>
                                    <m:t>t</m:t>
                                  </m:r>
                                </m:e>
                              </m:d>
                            </m:den>
                          </m:f>
                          <m:r>
                            <w:rPr>
                              <w:rFonts w:ascii="Cambria Math" w:hAnsi="Cambria Math" w:cs="Arial"/>
                            </w:rPr>
                            <m:t>∙</m:t>
                          </m:r>
                          <m:sSub>
                            <m:sSubPr>
                              <m:ctrlPr>
                                <w:rPr>
                                  <w:rFonts w:ascii="Cambria Math" w:hAnsi="Cambria Math" w:cs="Arial"/>
                                  <w:i/>
                                </w:rPr>
                              </m:ctrlPr>
                            </m:sSubPr>
                            <m:e>
                              <m:r>
                                <w:rPr>
                                  <w:rFonts w:ascii="Cambria Math" w:hAnsi="Cambria Math" w:cs="Arial"/>
                                </w:rPr>
                                <m:t>s</m:t>
                              </m:r>
                            </m:e>
                            <m:sub>
                              <m:r>
                                <w:rPr>
                                  <w:rFonts w:ascii="Cambria Math" w:hAnsi="Cambria Math" w:cs="Arial"/>
                                </w:rPr>
                                <m:t>f</m:t>
                              </m:r>
                            </m:sub>
                          </m:sSub>
                          <m:d>
                            <m:dPr>
                              <m:ctrlPr>
                                <w:rPr>
                                  <w:rFonts w:ascii="Cambria Math" w:hAnsi="Cambria Math" w:cs="Arial"/>
                                  <w:i/>
                                </w:rPr>
                              </m:ctrlPr>
                            </m:dPr>
                            <m:e>
                              <m:r>
                                <w:rPr>
                                  <w:rFonts w:ascii="Cambria Math" w:hAnsi="Cambria Math" w:cs="Arial"/>
                                </w:rPr>
                                <m:t>t</m:t>
                              </m:r>
                            </m:e>
                          </m:d>
                          <m:r>
                            <w:rPr>
                              <w:rFonts w:ascii="Cambria Math" w:hAnsi="Cambria Math" w:cs="Arial"/>
                            </w:rPr>
                            <m:t>;</m:t>
                          </m:r>
                        </m:e>
                      </m:mr>
                      <m:mr>
                        <m:e>
                          <m:r>
                            <w:rPr>
                              <w:rFonts w:ascii="Cambria Math" w:hAnsi="Cambria Math" w:cs="Arial"/>
                            </w:rPr>
                            <m:t>OUR</m:t>
                          </m:r>
                          <m:d>
                            <m:dPr>
                              <m:ctrlPr>
                                <w:rPr>
                                  <w:rFonts w:ascii="Cambria Math" w:hAnsi="Cambria Math" w:cs="Arial"/>
                                  <w:i/>
                                </w:rPr>
                              </m:ctrlPr>
                            </m:dPr>
                            <m:e>
                              <m:r>
                                <w:rPr>
                                  <w:rFonts w:ascii="Cambria Math" w:hAnsi="Cambria Math" w:cs="Arial"/>
                                </w:rPr>
                                <m:t>t</m:t>
                              </m:r>
                            </m:e>
                          </m:d>
                          <m:r>
                            <w:rPr>
                              <w:rFonts w:ascii="Cambria Math" w:hAnsi="Cambria Math" w:cs="Arial"/>
                            </w:rPr>
                            <m:t>∙factor</m:t>
                          </m:r>
                          <m:d>
                            <m:dPr>
                              <m:ctrlPr>
                                <w:rPr>
                                  <w:rFonts w:ascii="Cambria Math" w:hAnsi="Cambria Math" w:cs="Arial"/>
                                  <w:i/>
                                </w:rPr>
                              </m:ctrlPr>
                            </m:dPr>
                            <m:e>
                              <m:r>
                                <w:rPr>
                                  <w:rFonts w:ascii="Cambria Math" w:hAnsi="Cambria Math" w:cs="Arial"/>
                                </w:rPr>
                                <m:t>s</m:t>
                              </m:r>
                            </m:e>
                          </m:d>
                          <m:r>
                            <w:rPr>
                              <w:rFonts w:ascii="Cambria Math" w:hAnsi="Cambria Math" w:cs="Arial"/>
                            </w:rPr>
                            <m:t>-α∙</m:t>
                          </m:r>
                          <m:f>
                            <m:fPr>
                              <m:ctrlPr>
                                <w:rPr>
                                  <w:rFonts w:ascii="Cambria Math" w:hAnsi="Cambria Math" w:cs="Arial"/>
                                  <w:i/>
                                </w:rPr>
                              </m:ctrlPr>
                            </m:fPr>
                            <m:num>
                              <m:r>
                                <w:rPr>
                                  <w:rFonts w:ascii="Cambria Math" w:hAnsi="Cambria Math" w:cs="Arial"/>
                                </w:rPr>
                                <m:t>F</m:t>
                              </m:r>
                              <m:d>
                                <m:dPr>
                                  <m:ctrlPr>
                                    <w:rPr>
                                      <w:rFonts w:ascii="Cambria Math" w:hAnsi="Cambria Math" w:cs="Arial"/>
                                      <w:i/>
                                    </w:rPr>
                                  </m:ctrlPr>
                                </m:dPr>
                                <m:e>
                                  <m:r>
                                    <w:rPr>
                                      <w:rFonts w:ascii="Cambria Math" w:hAnsi="Cambria Math" w:cs="Arial"/>
                                    </w:rPr>
                                    <m:t>t</m:t>
                                  </m:r>
                                </m:e>
                              </m:d>
                            </m:num>
                            <m:den>
                              <m:r>
                                <w:rPr>
                                  <w:rFonts w:ascii="Cambria Math" w:hAnsi="Cambria Math" w:cs="Arial"/>
                                </w:rPr>
                                <m:t>W</m:t>
                              </m:r>
                              <m:d>
                                <m:dPr>
                                  <m:ctrlPr>
                                    <w:rPr>
                                      <w:rFonts w:ascii="Cambria Math" w:hAnsi="Cambria Math" w:cs="Arial"/>
                                      <w:i/>
                                    </w:rPr>
                                  </m:ctrlPr>
                                </m:dPr>
                                <m:e>
                                  <m:r>
                                    <w:rPr>
                                      <w:rFonts w:ascii="Cambria Math" w:hAnsi="Cambria Math" w:cs="Arial"/>
                                    </w:rPr>
                                    <m:t>t</m:t>
                                  </m:r>
                                </m:e>
                              </m:d>
                            </m:den>
                          </m:f>
                          <m:r>
                            <w:rPr>
                              <w:rFonts w:ascii="Cambria Math" w:hAnsi="Cambria Math" w:cs="Arial"/>
                            </w:rPr>
                            <m:t>=α∙</m:t>
                          </m:r>
                          <m:sSup>
                            <m:sSupPr>
                              <m:ctrlPr>
                                <w:rPr>
                                  <w:rFonts w:ascii="Cambria Math" w:hAnsi="Cambria Math" w:cs="Arial"/>
                                  <w:i/>
                                </w:rPr>
                              </m:ctrlPr>
                            </m:sSupPr>
                            <m:e>
                              <m:r>
                                <w:rPr>
                                  <w:rFonts w:ascii="Cambria Math" w:hAnsi="Cambria Math" w:cs="Arial"/>
                                </w:rPr>
                                <m:t>X</m:t>
                              </m:r>
                            </m:e>
                            <m:sup>
                              <m:r>
                                <w:rPr>
                                  <w:rFonts w:ascii="Cambria Math" w:hAnsi="Cambria Math" w:cs="Arial"/>
                                </w:rPr>
                                <m:t>'</m:t>
                              </m:r>
                            </m:sup>
                          </m:sSup>
                          <m:d>
                            <m:dPr>
                              <m:ctrlPr>
                                <w:rPr>
                                  <w:rFonts w:ascii="Cambria Math" w:hAnsi="Cambria Math" w:cs="Arial"/>
                                  <w:i/>
                                </w:rPr>
                              </m:ctrlPr>
                            </m:dPr>
                            <m:e>
                              <m:r>
                                <w:rPr>
                                  <w:rFonts w:ascii="Cambria Math" w:hAnsi="Cambria Math" w:cs="Arial"/>
                                </w:rPr>
                                <m:t>t</m:t>
                              </m:r>
                            </m:e>
                          </m:d>
                          <m:r>
                            <w:rPr>
                              <w:rFonts w:ascii="Cambria Math" w:hAnsi="Cambria Math" w:cs="Arial"/>
                            </w:rPr>
                            <m:t>+</m:t>
                          </m:r>
                          <m:sSup>
                            <m:sSupPr>
                              <m:ctrlPr>
                                <w:rPr>
                                  <w:rFonts w:ascii="Cambria Math" w:hAnsi="Cambria Math" w:cs="Arial"/>
                                  <w:i/>
                                  <w:lang w:val="en-US"/>
                                </w:rPr>
                              </m:ctrlPr>
                            </m:sSupPr>
                            <m:e>
                              <m:r>
                                <w:rPr>
                                  <w:rFonts w:ascii="Cambria Math" w:hAnsi="Cambria Math" w:cs="Arial"/>
                                </w:rPr>
                                <m:t>β</m:t>
                              </m:r>
                            </m:e>
                            <m:sup>
                              <m:r>
                                <w:rPr>
                                  <w:rFonts w:ascii="Cambria Math" w:hAnsi="Cambria Math" w:cs="Arial"/>
                                </w:rPr>
                                <m:t>*</m:t>
                              </m:r>
                            </m:sup>
                          </m:sSup>
                          <m:d>
                            <m:dPr>
                              <m:ctrlPr>
                                <w:rPr>
                                  <w:rFonts w:ascii="Cambria Math" w:hAnsi="Cambria Math" w:cs="Arial"/>
                                  <w:i/>
                                </w:rPr>
                              </m:ctrlPr>
                            </m:dPr>
                            <m:e>
                              <m:r>
                                <w:rPr>
                                  <w:rFonts w:ascii="Cambria Math" w:hAnsi="Cambria Math" w:cs="Arial"/>
                                </w:rPr>
                                <m:t>t</m:t>
                              </m:r>
                            </m:e>
                          </m:d>
                          <m:r>
                            <w:rPr>
                              <w:rFonts w:ascii="Cambria Math" w:hAnsi="Cambria Math" w:cs="Arial"/>
                            </w:rPr>
                            <m:t>∙X</m:t>
                          </m:r>
                          <m:d>
                            <m:dPr>
                              <m:ctrlPr>
                                <w:rPr>
                                  <w:rFonts w:ascii="Cambria Math" w:hAnsi="Cambria Math" w:cs="Arial"/>
                                  <w:i/>
                                </w:rPr>
                              </m:ctrlPr>
                            </m:dPr>
                            <m:e>
                              <m:r>
                                <w:rPr>
                                  <w:rFonts w:ascii="Cambria Math" w:hAnsi="Cambria Math" w:cs="Arial"/>
                                </w:rPr>
                                <m:t>t</m:t>
                              </m:r>
                            </m:e>
                          </m:d>
                          <m:r>
                            <w:rPr>
                              <w:rFonts w:ascii="Cambria Math" w:hAnsi="Cambria Math" w:cs="Arial"/>
                            </w:rPr>
                            <m:t>.</m:t>
                          </m:r>
                        </m:e>
                      </m:mr>
                    </m:m>
                  </m:e>
                </m:d>
              </m:oMath>
            </m:oMathPara>
          </w:p>
        </w:tc>
        <w:tc>
          <w:tcPr>
            <w:tcW w:w="815" w:type="dxa"/>
            <w:shd w:val="clear" w:color="auto" w:fill="auto"/>
            <w:vAlign w:val="center"/>
          </w:tcPr>
          <w:p w14:paraId="3E824E86" w14:textId="25358298" w:rsidR="00835576" w:rsidRPr="00B57B36" w:rsidRDefault="00835576" w:rsidP="008F2845">
            <w:pPr>
              <w:pStyle w:val="CETEquation"/>
              <w:jc w:val="right"/>
            </w:pPr>
            <w:r>
              <w:t>(20</w:t>
            </w:r>
            <w:r w:rsidRPr="00B57B36">
              <w:t>)</w:t>
            </w:r>
          </w:p>
        </w:tc>
      </w:tr>
    </w:tbl>
    <w:p w14:paraId="0F785C2E" w14:textId="3C7D1855" w:rsidR="002B04CC" w:rsidRDefault="002779E0" w:rsidP="00200D99">
      <w:pPr>
        <w:pStyle w:val="CETBodytext"/>
      </w:pPr>
      <w:r>
        <w:t xml:space="preserve">There </w:t>
      </w:r>
      <w:r w:rsidR="00440D1C">
        <w:t>are</w:t>
      </w:r>
      <w:r>
        <w:t xml:space="preserve"> </w:t>
      </w:r>
      <w:r w:rsidR="00450894">
        <w:t xml:space="preserve">still </w:t>
      </w:r>
      <w:r w:rsidR="005152FA">
        <w:t>two</w:t>
      </w:r>
      <w:r>
        <w:t xml:space="preserve"> </w:t>
      </w:r>
      <w:r w:rsidR="00450894">
        <w:t>additional term</w:t>
      </w:r>
      <w:r w:rsidR="005152FA">
        <w:t>s</w:t>
      </w:r>
      <w:r w:rsidR="00450894">
        <w:t xml:space="preserve"> to consider when </w:t>
      </w:r>
      <w:r w:rsidR="005152FA">
        <w:t>considering</w:t>
      </w:r>
      <w:r w:rsidR="00450894">
        <w:t xml:space="preserve"> the biosynthesis of </w:t>
      </w:r>
      <w:r w:rsidR="005152FA">
        <w:t xml:space="preserve">such </w:t>
      </w:r>
      <w:r w:rsidR="00450894">
        <w:t>soluble products</w:t>
      </w:r>
      <w:r w:rsidR="005152FA">
        <w:t xml:space="preserve"> as acetates or biomass growth inhibition due to high glucose concentrations that make glucose concentration practically serve as </w:t>
      </w:r>
      <w:r w:rsidR="00440D1C">
        <w:t xml:space="preserve">a </w:t>
      </w:r>
      <w:r w:rsidR="005152FA">
        <w:t>preservative.</w:t>
      </w:r>
      <w:r w:rsidR="00440D1C">
        <w:t xml:space="preserve"> Then the </w:t>
      </w:r>
      <w:r w:rsidR="008B5432">
        <w:t>expression</w:t>
      </w:r>
      <w:r w:rsidR="00440D1C">
        <w:t xml:space="preserve"> of both soluble and insoluble</w:t>
      </w:r>
      <w:r w:rsidR="008B5432">
        <w:t xml:space="preserve"> products</w:t>
      </w:r>
      <w:r w:rsidR="009F5FD3">
        <w:t xml:space="preserve"> (e.g., in the inclusion bodies in the </w:t>
      </w:r>
      <w:r w:rsidR="0008776D">
        <w:t xml:space="preserve">case of the recombinant protein, </w:t>
      </w:r>
      <w:r w:rsidR="0008776D" w:rsidRPr="00523CA8">
        <w:t>Urniezius</w:t>
      </w:r>
      <w:r w:rsidR="0008776D">
        <w:t xml:space="preserve"> et al., 2019b</w:t>
      </w:r>
      <w:r w:rsidR="009F5FD3">
        <w:t>)</w:t>
      </w:r>
      <w:r w:rsidR="00440D1C">
        <w:t xml:space="preserve"> </w:t>
      </w:r>
      <w:r w:rsidR="009F5FD3">
        <w:t>might cause excess oxygen uptake rate, resulting in additional glucose consumption.</w:t>
      </w:r>
      <w:r w:rsidR="008B5432">
        <w:t xml:space="preserve"> For this, the maintenance component was designed as a function of glucose concentration</w:t>
      </w:r>
    </w:p>
    <w:tbl>
      <w:tblPr>
        <w:tblW w:w="5000" w:type="pct"/>
        <w:tblLook w:val="04A0" w:firstRow="1" w:lastRow="0" w:firstColumn="1" w:lastColumn="0" w:noHBand="0" w:noVBand="1"/>
      </w:tblPr>
      <w:tblGrid>
        <w:gridCol w:w="7980"/>
        <w:gridCol w:w="807"/>
      </w:tblGrid>
      <w:tr w:rsidR="008B5432" w:rsidRPr="00B57B36" w14:paraId="2E99533E" w14:textId="77777777" w:rsidTr="001D5EE7">
        <w:tc>
          <w:tcPr>
            <w:tcW w:w="8188" w:type="dxa"/>
            <w:shd w:val="clear" w:color="auto" w:fill="auto"/>
            <w:vAlign w:val="center"/>
          </w:tcPr>
          <w:p w14:paraId="05D080C2" w14:textId="15F9831F" w:rsidR="008B5432" w:rsidRPr="00EC4568" w:rsidRDefault="008B5432" w:rsidP="00FD1F65">
            <w:pPr>
              <w:pStyle w:val="CETEquation"/>
              <w:rPr>
                <w:rFonts w:cs="Arial"/>
                <w:i/>
                <w:lang w:val="ru-RU"/>
              </w:rPr>
            </w:pPr>
            <m:oMathPara>
              <m:oMath>
                <m:r>
                  <w:rPr>
                    <w:rFonts w:ascii="Cambria Math" w:hAnsi="Cambria Math" w:cs="Arial"/>
                    <w:lang w:val="en-US"/>
                  </w:rPr>
                  <m:t>m</m:t>
                </m:r>
                <m:d>
                  <m:dPr>
                    <m:ctrlPr>
                      <w:rPr>
                        <w:rFonts w:ascii="Cambria Math" w:hAnsi="Cambria Math" w:cs="Arial"/>
                        <w:i/>
                      </w:rPr>
                    </m:ctrlPr>
                  </m:dPr>
                  <m:e>
                    <m:r>
                      <w:rPr>
                        <w:rFonts w:ascii="Cambria Math" w:hAnsi="Cambria Math" w:cs="Arial"/>
                      </w:rPr>
                      <m:t>s</m:t>
                    </m:r>
                  </m:e>
                </m:d>
                <m:r>
                  <w:rPr>
                    <w:rFonts w:ascii="Cambria Math" w:hAnsi="Cambria Math" w:cs="Arial"/>
                  </w:rPr>
                  <m:t>=</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k</m:t>
                        </m:r>
                      </m:e>
                      <m:sub>
                        <m:r>
                          <w:rPr>
                            <w:rFonts w:ascii="Cambria Math" w:hAnsi="Cambria Math" w:cs="Arial"/>
                          </w:rPr>
                          <m:t>m</m:t>
                        </m:r>
                      </m:sub>
                    </m:sSub>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k</m:t>
                            </m:r>
                          </m:e>
                          <m:sub>
                            <m:r>
                              <w:rPr>
                                <w:rFonts w:ascii="Cambria Math" w:hAnsi="Cambria Math" w:cs="Arial"/>
                              </w:rPr>
                              <m:t>ms</m:t>
                            </m:r>
                          </m:sub>
                        </m:sSub>
                        <m:r>
                          <w:rPr>
                            <w:rFonts w:ascii="Cambria Math" w:hAnsi="Cambria Math" w:cs="Arial"/>
                          </w:rPr>
                          <m:t>∙</m:t>
                        </m:r>
                        <m:r>
                          <w:rPr>
                            <w:rFonts w:ascii="Cambria Math" w:hAnsi="Cambria Math" w:cs="Arial"/>
                            <w:lang w:val="en-US"/>
                          </w:rPr>
                          <m:t>s</m:t>
                        </m:r>
                        <m:d>
                          <m:dPr>
                            <m:ctrlPr>
                              <w:rPr>
                                <w:rFonts w:ascii="Cambria Math" w:hAnsi="Cambria Math" w:cs="Arial"/>
                                <w:i/>
                              </w:rPr>
                            </m:ctrlPr>
                          </m:dPr>
                          <m:e>
                            <m:r>
                              <w:rPr>
                                <w:rFonts w:ascii="Cambria Math" w:hAnsi="Cambria Math" w:cs="Arial"/>
                              </w:rPr>
                              <m:t>t</m:t>
                            </m:r>
                          </m:e>
                        </m:d>
                      </m:num>
                      <m:den>
                        <m:sSub>
                          <m:sSubPr>
                            <m:ctrlPr>
                              <w:rPr>
                                <w:rFonts w:ascii="Cambria Math" w:hAnsi="Cambria Math" w:cs="Arial"/>
                                <w:i/>
                              </w:rPr>
                            </m:ctrlPr>
                          </m:sSubPr>
                          <m:e>
                            <m:r>
                              <w:rPr>
                                <w:rFonts w:ascii="Cambria Math" w:hAnsi="Cambria Math" w:cs="Arial"/>
                              </w:rPr>
                              <m:t>k</m:t>
                            </m:r>
                          </m:e>
                          <m:sub>
                            <m:r>
                              <w:rPr>
                                <w:rFonts w:ascii="Cambria Math" w:hAnsi="Cambria Math" w:cs="Arial"/>
                              </w:rPr>
                              <m:t>s</m:t>
                            </m:r>
                          </m:sub>
                        </m:sSub>
                        <m:r>
                          <w:rPr>
                            <w:rFonts w:ascii="Cambria Math" w:hAnsi="Cambria Math" w:cs="Arial"/>
                          </w:rPr>
                          <m:t>+</m:t>
                        </m:r>
                        <m:r>
                          <w:rPr>
                            <w:rFonts w:ascii="Cambria Math" w:hAnsi="Cambria Math" w:cs="Arial"/>
                            <w:lang w:val="en-US"/>
                          </w:rPr>
                          <m:t>s</m:t>
                        </m:r>
                        <m:d>
                          <m:dPr>
                            <m:ctrlPr>
                              <w:rPr>
                                <w:rFonts w:ascii="Cambria Math" w:hAnsi="Cambria Math" w:cs="Arial"/>
                                <w:i/>
                              </w:rPr>
                            </m:ctrlPr>
                          </m:dPr>
                          <m:e>
                            <m:r>
                              <w:rPr>
                                <w:rFonts w:ascii="Cambria Math" w:hAnsi="Cambria Math" w:cs="Arial"/>
                              </w:rPr>
                              <m:t>t</m:t>
                            </m:r>
                          </m:e>
                        </m:d>
                      </m:den>
                    </m:f>
                  </m:e>
                </m:d>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k</m:t>
                        </m:r>
                      </m:e>
                      <m:sub>
                        <m:r>
                          <w:rPr>
                            <w:rFonts w:ascii="Cambria Math" w:hAnsi="Cambria Math" w:cs="Arial"/>
                          </w:rPr>
                          <m:t>ys</m:t>
                        </m:r>
                      </m:sub>
                    </m:sSub>
                  </m:num>
                  <m:den>
                    <m:sSub>
                      <m:sSubPr>
                        <m:ctrlPr>
                          <w:rPr>
                            <w:rFonts w:ascii="Cambria Math" w:hAnsi="Cambria Math" w:cs="Arial"/>
                            <w:i/>
                          </w:rPr>
                        </m:ctrlPr>
                      </m:sSubPr>
                      <m:e>
                        <m:r>
                          <w:rPr>
                            <w:rFonts w:ascii="Cambria Math" w:hAnsi="Cambria Math" w:cs="Arial"/>
                          </w:rPr>
                          <m:t>k</m:t>
                        </m:r>
                      </m:e>
                      <m:sub>
                        <m:r>
                          <w:rPr>
                            <w:rFonts w:ascii="Cambria Math" w:hAnsi="Cambria Math" w:cs="Arial"/>
                          </w:rPr>
                          <m:t>ys</m:t>
                        </m:r>
                      </m:sub>
                    </m:sSub>
                    <m:r>
                      <w:rPr>
                        <w:rFonts w:ascii="Cambria Math" w:hAnsi="Cambria Math" w:cs="Arial"/>
                      </w:rPr>
                      <m:t>+</m:t>
                    </m:r>
                    <m:r>
                      <w:rPr>
                        <w:rFonts w:ascii="Cambria Math" w:hAnsi="Cambria Math" w:cs="Arial"/>
                        <w:lang w:val="en-US"/>
                      </w:rPr>
                      <m:t>s</m:t>
                    </m:r>
                    <m:d>
                      <m:dPr>
                        <m:ctrlPr>
                          <w:rPr>
                            <w:rFonts w:ascii="Cambria Math" w:hAnsi="Cambria Math" w:cs="Arial"/>
                            <w:i/>
                          </w:rPr>
                        </m:ctrlPr>
                      </m:dPr>
                      <m:e>
                        <m:r>
                          <w:rPr>
                            <w:rFonts w:ascii="Cambria Math" w:hAnsi="Cambria Math" w:cs="Arial"/>
                          </w:rPr>
                          <m:t>t</m:t>
                        </m:r>
                      </m:e>
                    </m:d>
                  </m:den>
                </m:f>
                <m:r>
                  <w:rPr>
                    <w:rFonts w:ascii="Cambria Math" w:hAnsi="Cambria Math" w:cs="Arial"/>
                  </w:rPr>
                  <m:t>,</m:t>
                </m:r>
              </m:oMath>
            </m:oMathPara>
          </w:p>
        </w:tc>
        <w:tc>
          <w:tcPr>
            <w:tcW w:w="815" w:type="dxa"/>
            <w:shd w:val="clear" w:color="auto" w:fill="auto"/>
            <w:vAlign w:val="center"/>
          </w:tcPr>
          <w:p w14:paraId="2AE85889" w14:textId="7D11C0E8" w:rsidR="008B5432" w:rsidRPr="00B57B36" w:rsidRDefault="008B5432" w:rsidP="001D5EE7">
            <w:pPr>
              <w:pStyle w:val="CETEquation"/>
              <w:jc w:val="right"/>
            </w:pPr>
            <w:r>
              <w:t>(</w:t>
            </w:r>
            <w:r w:rsidR="004A37DD">
              <w:t>21</w:t>
            </w:r>
            <w:r w:rsidRPr="00B57B36">
              <w:t>)</w:t>
            </w:r>
          </w:p>
        </w:tc>
      </w:tr>
    </w:tbl>
    <w:p w14:paraId="4E45BAF9" w14:textId="17444A23" w:rsidR="00F43F59" w:rsidRDefault="00F00860" w:rsidP="00200D99">
      <w:pPr>
        <w:pStyle w:val="CETBodytext"/>
      </w:pPr>
      <w:r>
        <w:t>where the maximum specific glucose consumption rate</w:t>
      </w:r>
      <w:r w:rsidR="00064752">
        <w:t xml:space="preserve"> (per biomass unit)</w:t>
      </w:r>
      <w:r>
        <w:t xml:space="preserve"> for insoluble </w:t>
      </w:r>
      <w:r w:rsidR="00FE3013">
        <w:t>and</w:t>
      </w:r>
      <w:r>
        <w:t xml:space="preserve"> soluble by-products is </w:t>
      </w:r>
      <m:oMath>
        <m:sSub>
          <m:sSubPr>
            <m:ctrlPr>
              <w:rPr>
                <w:rFonts w:ascii="Cambria Math" w:hAnsi="Cambria Math" w:cs="Arial"/>
                <w:i/>
                <w:lang w:val="en-GB"/>
              </w:rPr>
            </m:ctrlPr>
          </m:sSubPr>
          <m:e>
            <m:r>
              <w:rPr>
                <w:rFonts w:ascii="Cambria Math" w:hAnsi="Cambria Math" w:cs="Arial"/>
              </w:rPr>
              <m:t>k</m:t>
            </m:r>
          </m:e>
          <m:sub>
            <m:r>
              <w:rPr>
                <w:rFonts w:ascii="Cambria Math" w:hAnsi="Cambria Math" w:cs="Arial"/>
              </w:rPr>
              <m:t>ms</m:t>
            </m:r>
          </m:sub>
        </m:sSub>
      </m:oMath>
      <w:r>
        <w:rPr>
          <w:lang w:val="en-GB"/>
        </w:rPr>
        <w:t xml:space="preserve"> and its expression factor is </w:t>
      </w:r>
      <m:oMath>
        <m:sSub>
          <m:sSubPr>
            <m:ctrlPr>
              <w:rPr>
                <w:rFonts w:ascii="Cambria Math" w:hAnsi="Cambria Math" w:cs="Arial"/>
                <w:i/>
                <w:lang w:val="en-GB"/>
              </w:rPr>
            </m:ctrlPr>
          </m:sSubPr>
          <m:e>
            <m:r>
              <w:rPr>
                <w:rFonts w:ascii="Cambria Math" w:hAnsi="Cambria Math" w:cs="Arial"/>
              </w:rPr>
              <m:t>k</m:t>
            </m:r>
          </m:e>
          <m:sub>
            <m:r>
              <w:rPr>
                <w:rFonts w:ascii="Cambria Math" w:hAnsi="Cambria Math" w:cs="Arial"/>
              </w:rPr>
              <m:t>s</m:t>
            </m:r>
          </m:sub>
        </m:sSub>
      </m:oMath>
      <w:r w:rsidR="00FB5391">
        <w:rPr>
          <w:lang w:val="en-GB"/>
        </w:rPr>
        <w:t xml:space="preserve">; </w:t>
      </w:r>
      <w:r>
        <w:rPr>
          <w:lang w:val="en-GB"/>
        </w:rPr>
        <w:t xml:space="preserve">the limiting factor </w:t>
      </w:r>
      <w:r w:rsidR="00FB5391">
        <w:rPr>
          <w:lang w:val="en-GB"/>
        </w:rPr>
        <w:t>(</w:t>
      </w:r>
      <m:oMath>
        <m:sSub>
          <m:sSubPr>
            <m:ctrlPr>
              <w:rPr>
                <w:rFonts w:ascii="Cambria Math" w:hAnsi="Cambria Math" w:cs="Arial"/>
                <w:i/>
                <w:lang w:val="en-GB"/>
              </w:rPr>
            </m:ctrlPr>
          </m:sSubPr>
          <m:e>
            <m:r>
              <w:rPr>
                <w:rFonts w:ascii="Cambria Math" w:hAnsi="Cambria Math" w:cs="Arial"/>
              </w:rPr>
              <m:t>k</m:t>
            </m:r>
          </m:e>
          <m:sub>
            <m:r>
              <w:rPr>
                <w:rFonts w:ascii="Cambria Math" w:hAnsi="Cambria Math" w:cs="Arial"/>
              </w:rPr>
              <m:t>ys</m:t>
            </m:r>
          </m:sub>
        </m:sSub>
      </m:oMath>
      <w:r w:rsidR="00FB5391">
        <w:rPr>
          <w:lang w:val="en-GB"/>
        </w:rPr>
        <w:t>)</w:t>
      </w:r>
      <w:r>
        <w:rPr>
          <w:lang w:val="en-GB"/>
        </w:rPr>
        <w:t xml:space="preserve"> shows at what concentration the glucose </w:t>
      </w:r>
      <w:r w:rsidR="00867D12">
        <w:rPr>
          <w:lang w:val="en-GB"/>
        </w:rPr>
        <w:t xml:space="preserve">starts acting as </w:t>
      </w:r>
      <w:r w:rsidR="00452E0A">
        <w:rPr>
          <w:lang w:val="en-GB"/>
        </w:rPr>
        <w:t xml:space="preserve">a </w:t>
      </w:r>
      <w:r>
        <w:rPr>
          <w:lang w:val="en-GB"/>
        </w:rPr>
        <w:t>preservative. Therefore,</w:t>
      </w:r>
      <w:r w:rsidR="00357C8C">
        <w:rPr>
          <w:lang w:val="en-GB"/>
        </w:rPr>
        <w:t xml:space="preserve"> the inequality</w:t>
      </w:r>
      <w:r>
        <w:rPr>
          <w:lang w:val="en-GB"/>
        </w:rPr>
        <w:t xml:space="preserve"> </w:t>
      </w:r>
      <w:r w:rsidR="00F57C9F">
        <w:rPr>
          <w:lang w:val="en-GB"/>
        </w:rPr>
        <w:t>(</w:t>
      </w:r>
      <m:oMath>
        <m:sSub>
          <m:sSubPr>
            <m:ctrlPr>
              <w:rPr>
                <w:rFonts w:ascii="Cambria Math" w:hAnsi="Cambria Math" w:cs="Arial"/>
                <w:i/>
                <w:lang w:val="en-GB"/>
              </w:rPr>
            </m:ctrlPr>
          </m:sSubPr>
          <m:e>
            <m:r>
              <w:rPr>
                <w:rFonts w:ascii="Cambria Math" w:hAnsi="Cambria Math" w:cs="Arial"/>
              </w:rPr>
              <m:t>k</m:t>
            </m:r>
          </m:e>
          <m:sub>
            <m:r>
              <w:rPr>
                <w:rFonts w:ascii="Cambria Math" w:hAnsi="Cambria Math" w:cs="Arial"/>
              </w:rPr>
              <m:t>s</m:t>
            </m:r>
          </m:sub>
        </m:sSub>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rPr>
              <m:t>k</m:t>
            </m:r>
          </m:e>
          <m:sub>
            <m:r>
              <w:rPr>
                <w:rFonts w:ascii="Cambria Math" w:hAnsi="Cambria Math" w:cs="Arial"/>
              </w:rPr>
              <m:t>ys</m:t>
            </m:r>
          </m:sub>
        </m:sSub>
      </m:oMath>
      <w:r w:rsidR="00F57C9F">
        <w:rPr>
          <w:lang w:val="en-GB"/>
        </w:rPr>
        <w:t>)</w:t>
      </w:r>
      <w:r w:rsidR="007679E4">
        <w:rPr>
          <w:lang w:val="en-GB"/>
        </w:rPr>
        <w:t xml:space="preserve"> </w:t>
      </w:r>
      <w:r w:rsidR="0018772B">
        <w:rPr>
          <w:lang w:val="en-GB"/>
        </w:rPr>
        <w:t xml:space="preserve">holds </w:t>
      </w:r>
      <w:r w:rsidR="007679E4">
        <w:rPr>
          <w:lang w:val="en-GB"/>
        </w:rPr>
        <w:t>by definition</w:t>
      </w:r>
      <w:r>
        <w:rPr>
          <w:lang w:val="en-GB"/>
        </w:rPr>
        <w:t>.</w:t>
      </w:r>
    </w:p>
    <w:p w14:paraId="39850065" w14:textId="601C7357" w:rsidR="00F43F59" w:rsidRPr="00B57B36" w:rsidRDefault="00F43F59" w:rsidP="00F43F59">
      <w:pPr>
        <w:pStyle w:val="CETHeading1"/>
        <w:rPr>
          <w:lang w:val="en-GB"/>
        </w:rPr>
      </w:pPr>
      <w:r>
        <w:rPr>
          <w:lang w:val="en-GB"/>
        </w:rPr>
        <w:t>Experimental verification</w:t>
      </w:r>
    </w:p>
    <w:p w14:paraId="4DB2B804" w14:textId="327F05A2" w:rsidR="00F43F59" w:rsidRDefault="00276CBF" w:rsidP="00200D99">
      <w:pPr>
        <w:pStyle w:val="CETBodytext"/>
      </w:pPr>
      <w:r>
        <w:t>There were three main hypothes</w:t>
      </w:r>
      <w:r w:rsidR="00CA15BD">
        <w:t>e</w:t>
      </w:r>
      <w:r>
        <w:t xml:space="preserve">s verified with </w:t>
      </w:r>
      <w:r w:rsidR="00E54BF7">
        <w:t xml:space="preserve">hybrid (empirical and gradient-based) </w:t>
      </w:r>
      <w:r>
        <w:t>fitting experimental data to the minim</w:t>
      </w:r>
      <w:r w:rsidR="004A37DD">
        <w:t>iza</w:t>
      </w:r>
      <w:r>
        <w:t xml:space="preserve">tion of </w:t>
      </w:r>
      <w:r w:rsidR="004A37DD">
        <w:t>the</w:t>
      </w:r>
      <w:r w:rsidR="00CA15BD">
        <w:t xml:space="preserve"> empirically selected</w:t>
      </w:r>
      <w:r w:rsidR="004A37DD">
        <w:t xml:space="preserve"> criterion</w:t>
      </w:r>
      <w:r w:rsidR="00DA3C75">
        <w:t xml:space="preserve"> on n=12</w:t>
      </w:r>
      <w:r w:rsidR="00A578A6">
        <w:t xml:space="preserve"> experiments from two R&amp;D site</w:t>
      </w:r>
      <w:r w:rsidR="00555937">
        <w:t>s</w:t>
      </w:r>
    </w:p>
    <w:tbl>
      <w:tblPr>
        <w:tblW w:w="5000" w:type="pct"/>
        <w:tblLook w:val="04A0" w:firstRow="1" w:lastRow="0" w:firstColumn="1" w:lastColumn="0" w:noHBand="0" w:noVBand="1"/>
      </w:tblPr>
      <w:tblGrid>
        <w:gridCol w:w="7984"/>
        <w:gridCol w:w="803"/>
      </w:tblGrid>
      <w:tr w:rsidR="004A37DD" w:rsidRPr="00B57B36" w14:paraId="13272F45" w14:textId="77777777" w:rsidTr="001D5EE7">
        <w:tc>
          <w:tcPr>
            <w:tcW w:w="8188" w:type="dxa"/>
            <w:shd w:val="clear" w:color="auto" w:fill="auto"/>
            <w:vAlign w:val="center"/>
          </w:tcPr>
          <w:p w14:paraId="2A30D83E" w14:textId="23C75802" w:rsidR="004A37DD" w:rsidRPr="00DA3C75" w:rsidRDefault="00553BB6" w:rsidP="00AA2883">
            <w:pPr>
              <w:pStyle w:val="CETEquation"/>
              <w:rPr>
                <w:rFonts w:cs="Arial"/>
                <w:i/>
                <w:lang w:val="en-US"/>
              </w:rPr>
            </w:pPr>
            <m:oMathPara>
              <m:oMath>
                <m:r>
                  <w:rPr>
                    <w:rFonts w:ascii="Cambria Math" w:hAnsi="Cambria Math" w:cs="Arial"/>
                    <w:lang w:val="en-US"/>
                  </w:rPr>
                  <m:t>S</m:t>
                </m:r>
                <m:r>
                  <w:rPr>
                    <w:rFonts w:ascii="Cambria Math" w:hAnsi="Cambria Math" w:cs="Arial"/>
                  </w:rPr>
                  <m:t>=</m:t>
                </m:r>
                <m:nary>
                  <m:naryPr>
                    <m:chr m:val="∑"/>
                    <m:limLoc m:val="undOvr"/>
                    <m:ctrlPr>
                      <w:rPr>
                        <w:rFonts w:ascii="Cambria Math" w:hAnsi="Cambria Math" w:cs="Arial"/>
                        <w:i/>
                      </w:rPr>
                    </m:ctrlPr>
                  </m:naryPr>
                  <m:sub>
                    <m:r>
                      <w:rPr>
                        <w:rFonts w:ascii="Cambria Math" w:hAnsi="Cambria Math" w:cs="Arial"/>
                      </w:rPr>
                      <m:t>i=0</m:t>
                    </m:r>
                  </m:sub>
                  <m:sup>
                    <m:r>
                      <w:rPr>
                        <w:rFonts w:ascii="Cambria Math" w:hAnsi="Cambria Math" w:cs="Arial"/>
                      </w:rPr>
                      <m:t>n-1</m:t>
                    </m:r>
                  </m:sup>
                  <m:e>
                    <m:f>
                      <m:fPr>
                        <m:ctrlPr>
                          <w:rPr>
                            <w:rFonts w:ascii="Cambria Math" w:hAnsi="Cambria Math" w:cs="Arial"/>
                            <w:i/>
                          </w:rPr>
                        </m:ctrlPr>
                      </m:fPr>
                      <m:num>
                        <m:nary>
                          <m:naryPr>
                            <m:chr m:val="∑"/>
                            <m:limLoc m:val="undOvr"/>
                            <m:ctrlPr>
                              <w:rPr>
                                <w:rFonts w:ascii="Cambria Math" w:hAnsi="Cambria Math" w:cs="Arial"/>
                                <w:i/>
                              </w:rPr>
                            </m:ctrlPr>
                          </m:naryPr>
                          <m:sub>
                            <m:r>
                              <w:rPr>
                                <w:rFonts w:ascii="Cambria Math" w:hAnsi="Cambria Math" w:cs="Arial"/>
                              </w:rPr>
                              <m:t>j=0</m:t>
                            </m:r>
                          </m:sub>
                          <m:sup>
                            <m:sSub>
                              <m:sSubPr>
                                <m:ctrlPr>
                                  <w:rPr>
                                    <w:rFonts w:ascii="Cambria Math" w:hAnsi="Cambria Math" w:cs="Arial"/>
                                    <w:i/>
                                  </w:rPr>
                                </m:ctrlPr>
                              </m:sSubPr>
                              <m:e>
                                <m:r>
                                  <w:rPr>
                                    <w:rFonts w:ascii="Cambria Math" w:hAnsi="Cambria Math" w:cs="Arial"/>
                                  </w:rPr>
                                  <m:t>n</m:t>
                                </m:r>
                              </m:e>
                              <m:sub>
                                <m:r>
                                  <w:rPr>
                                    <w:rFonts w:ascii="Cambria Math" w:hAnsi="Cambria Math" w:cs="Arial"/>
                                  </w:rPr>
                                  <m:t>i</m:t>
                                </m:r>
                              </m:sub>
                            </m:sSub>
                            <m:r>
                              <w:rPr>
                                <w:rFonts w:ascii="Cambria Math" w:hAnsi="Cambria Math" w:cs="Arial"/>
                              </w:rPr>
                              <m:t>-1</m:t>
                            </m:r>
                          </m:sup>
                          <m:e>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MAE</m:t>
                                    </m:r>
                                  </m:e>
                                  <m:sub>
                                    <m:r>
                                      <w:rPr>
                                        <w:rFonts w:ascii="Cambria Math" w:hAnsi="Cambria Math" w:cs="Arial"/>
                                      </w:rPr>
                                      <m:t>x,i</m:t>
                                    </m:r>
                                  </m:sub>
                                </m:sSub>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t</m:t>
                                        </m:r>
                                      </m:e>
                                      <m:sub>
                                        <m:r>
                                          <w:rPr>
                                            <w:rFonts w:ascii="Cambria Math" w:hAnsi="Cambria Math" w:cs="Arial"/>
                                          </w:rPr>
                                          <m:t>i</m:t>
                                        </m:r>
                                      </m:sub>
                                    </m:sSub>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0</m:t>
                                        </m:r>
                                      </m:sub>
                                    </m:sSub>
                                  </m:num>
                                  <m:den>
                                    <m:r>
                                      <w:rPr>
                                        <w:rFonts w:ascii="Cambria Math" w:hAnsi="Cambria Math" w:cs="Arial"/>
                                      </w:rPr>
                                      <m:t>2</m:t>
                                    </m:r>
                                  </m:den>
                                </m:f>
                                <m:r>
                                  <w:rPr>
                                    <w:rFonts w:ascii="Cambria Math" w:hAnsi="Cambria Math" w:cs="Arial"/>
                                  </w:rPr>
                                  <m:t>∙30+</m:t>
                                </m:r>
                                <m:sSub>
                                  <m:sSubPr>
                                    <m:ctrlPr>
                                      <w:rPr>
                                        <w:rFonts w:ascii="Cambria Math" w:hAnsi="Cambria Math" w:cs="Arial"/>
                                        <w:i/>
                                      </w:rPr>
                                    </m:ctrlPr>
                                  </m:sSubPr>
                                  <m:e>
                                    <m:r>
                                      <w:rPr>
                                        <w:rFonts w:ascii="Cambria Math" w:hAnsi="Cambria Math" w:cs="Arial"/>
                                      </w:rPr>
                                      <m:t>MAE</m:t>
                                    </m:r>
                                  </m:e>
                                  <m:sub>
                                    <m:r>
                                      <w:rPr>
                                        <w:rFonts w:ascii="Cambria Math" w:hAnsi="Cambria Math" w:cs="Arial"/>
                                      </w:rPr>
                                      <m:t>s,i</m:t>
                                    </m:r>
                                  </m:sub>
                                </m:sSub>
                              </m:e>
                            </m:d>
                          </m:e>
                        </m:nary>
                      </m:num>
                      <m:den>
                        <m:sSub>
                          <m:sSubPr>
                            <m:ctrlPr>
                              <w:rPr>
                                <w:rFonts w:ascii="Cambria Math" w:hAnsi="Cambria Math" w:cs="Arial"/>
                                <w:i/>
                              </w:rPr>
                            </m:ctrlPr>
                          </m:sSubPr>
                          <m:e>
                            <m:r>
                              <w:rPr>
                                <w:rFonts w:ascii="Cambria Math" w:hAnsi="Cambria Math" w:cs="Arial"/>
                              </w:rPr>
                              <m:t>n</m:t>
                            </m:r>
                          </m:e>
                          <m:sub>
                            <m:r>
                              <w:rPr>
                                <w:rFonts w:ascii="Cambria Math" w:hAnsi="Cambria Math" w:cs="Arial"/>
                              </w:rPr>
                              <m:t>i</m:t>
                            </m:r>
                          </m:sub>
                        </m:sSub>
                      </m:den>
                    </m:f>
                  </m:e>
                </m:nary>
                <m:r>
                  <w:rPr>
                    <w:rFonts w:ascii="Cambria Math" w:hAnsi="Cambria Math" w:cs="Arial"/>
                  </w:rPr>
                  <m:t>,</m:t>
                </m:r>
              </m:oMath>
            </m:oMathPara>
          </w:p>
        </w:tc>
        <w:tc>
          <w:tcPr>
            <w:tcW w:w="815" w:type="dxa"/>
            <w:shd w:val="clear" w:color="auto" w:fill="auto"/>
            <w:vAlign w:val="center"/>
          </w:tcPr>
          <w:p w14:paraId="2EE49B51" w14:textId="1CE8CCE0" w:rsidR="004A37DD" w:rsidRPr="00B57B36" w:rsidRDefault="004A37DD" w:rsidP="004A37DD">
            <w:pPr>
              <w:pStyle w:val="CETEquation"/>
              <w:jc w:val="right"/>
            </w:pPr>
            <w:r>
              <w:t>(22</w:t>
            </w:r>
            <w:r w:rsidRPr="00B57B36">
              <w:t>)</w:t>
            </w:r>
          </w:p>
        </w:tc>
      </w:tr>
    </w:tbl>
    <w:p w14:paraId="06477CC0" w14:textId="46BB249D" w:rsidR="00E04FF6" w:rsidRDefault="00DA3C75" w:rsidP="00200D99">
      <w:pPr>
        <w:pStyle w:val="CETBodytext"/>
      </w:pPr>
      <w:r>
        <w:t>where the total number of samples (</w:t>
      </w:r>
      <m:oMath>
        <m:sSub>
          <m:sSubPr>
            <m:ctrlPr>
              <w:rPr>
                <w:rFonts w:ascii="Cambria Math" w:hAnsi="Cambria Math" w:cs="Arial"/>
                <w:i/>
                <w:lang w:val="en-GB"/>
              </w:rPr>
            </m:ctrlPr>
          </m:sSubPr>
          <m:e>
            <m:r>
              <w:rPr>
                <w:rFonts w:ascii="Cambria Math" w:hAnsi="Cambria Math" w:cs="Arial"/>
              </w:rPr>
              <m:t>n</m:t>
            </m:r>
          </m:e>
          <m:sub>
            <m:r>
              <w:rPr>
                <w:rFonts w:ascii="Cambria Math" w:hAnsi="Cambria Math" w:cs="Arial"/>
              </w:rPr>
              <m:t>i</m:t>
            </m:r>
          </m:sub>
        </m:sSub>
      </m:oMath>
      <w:r>
        <w:rPr>
          <w:lang w:val="en-GB"/>
        </w:rPr>
        <w:t xml:space="preserve">) for each site was 25 </w:t>
      </w:r>
      <w:r w:rsidR="0004039F">
        <w:rPr>
          <w:lang w:val="en-GB"/>
        </w:rPr>
        <w:t>instances</w:t>
      </w:r>
      <w:r>
        <w:rPr>
          <w:lang w:val="en-GB"/>
        </w:rPr>
        <w:t xml:space="preserve"> </w:t>
      </w:r>
      <w:r w:rsidR="0004039F">
        <w:rPr>
          <w:lang w:val="en-GB"/>
        </w:rPr>
        <w:t>o</w:t>
      </w:r>
      <w:r>
        <w:rPr>
          <w:lang w:val="en-GB"/>
        </w:rPr>
        <w:t>n average</w:t>
      </w:r>
      <w:r w:rsidR="0004039F">
        <w:rPr>
          <w:lang w:val="en-GB"/>
        </w:rPr>
        <w:t xml:space="preserve">; each site had three limited growth and three non-growth-limiting substrate feed experiments; and </w:t>
      </w:r>
      <w:r w:rsidR="0004039F" w:rsidRPr="0004039F">
        <w:rPr>
          <w:i/>
          <w:lang w:val="en-GB"/>
        </w:rPr>
        <w:t>MAE</w:t>
      </w:r>
      <w:r w:rsidR="0004039F">
        <w:rPr>
          <w:lang w:val="en-GB"/>
        </w:rPr>
        <w:t xml:space="preserve"> for both biomass and glucose concentrations had the same </w:t>
      </w:r>
      <w:r w:rsidR="00402F9D">
        <w:rPr>
          <w:lang w:val="en-GB"/>
        </w:rPr>
        <w:t>defin</w:t>
      </w:r>
      <w:r w:rsidR="00EF2B95">
        <w:rPr>
          <w:lang w:val="en-GB"/>
        </w:rPr>
        <w:t>it</w:t>
      </w:r>
      <w:r w:rsidR="00402F9D">
        <w:rPr>
          <w:lang w:val="en-GB"/>
        </w:rPr>
        <w:t>ions</w:t>
      </w:r>
      <w:r w:rsidR="0004039F">
        <w:rPr>
          <w:lang w:val="en-GB"/>
        </w:rPr>
        <w:t xml:space="preserve"> as in </w:t>
      </w:r>
      <w:r w:rsidR="0004039F" w:rsidRPr="00200D99">
        <w:t>Urniezius</w:t>
      </w:r>
      <w:r w:rsidR="0004039F">
        <w:t xml:space="preserve"> et al., 2021</w:t>
      </w:r>
      <w:r w:rsidR="00EF1BC1">
        <w:t>.</w:t>
      </w:r>
      <w:r w:rsidR="00A578A6">
        <w:t xml:space="preserve"> The two sites had the strains </w:t>
      </w:r>
      <w:r w:rsidR="00A578A6" w:rsidRPr="00AC1458">
        <w:rPr>
          <w:i/>
        </w:rPr>
        <w:t>E. coli</w:t>
      </w:r>
      <w:r w:rsidR="00A578A6" w:rsidRPr="00A578A6">
        <w:t xml:space="preserve"> BL21 (DE3) pET21-IFN-alfa-5</w:t>
      </w:r>
      <w:r w:rsidR="00A578A6">
        <w:t xml:space="preserve">, as in Survyla et al., 2021; and </w:t>
      </w:r>
      <w:r w:rsidR="009170A1" w:rsidRPr="009170A1">
        <w:t>Escherichia coli BL21(DE3) pETM-11+</w:t>
      </w:r>
      <w:r w:rsidR="009170A1" w:rsidRPr="00437803">
        <w:t>EGFP,</w:t>
      </w:r>
      <w:r w:rsidR="00A578A6" w:rsidRPr="00437803">
        <w:t xml:space="preserve"> as in</w:t>
      </w:r>
      <w:r w:rsidR="009170A1" w:rsidRPr="00437803">
        <w:t xml:space="preserve"> </w:t>
      </w:r>
      <w:r w:rsidR="00C9513A" w:rsidRPr="00437803">
        <w:t>Dümmler et al., 2005</w:t>
      </w:r>
      <w:r w:rsidR="00A578A6" w:rsidRPr="00437803">
        <w:t>.</w:t>
      </w:r>
      <w:r w:rsidR="00437803">
        <w:t xml:space="preserve"> </w:t>
      </w:r>
      <w:r w:rsidR="00A57BB9">
        <w:t xml:space="preserve">The three </w:t>
      </w:r>
      <w:r w:rsidR="00E04FF6">
        <w:t xml:space="preserve">competing </w:t>
      </w:r>
      <w:r w:rsidR="00A57BB9">
        <w:t>hypotheses w</w:t>
      </w:r>
      <w:r w:rsidR="00E04FF6">
        <w:t>ere:</w:t>
      </w:r>
    </w:p>
    <w:p w14:paraId="7F8974AA" w14:textId="0C220E68" w:rsidR="00E04FF6" w:rsidRPr="00B57B36" w:rsidRDefault="00E04FF6" w:rsidP="00372FCA">
      <w:pPr>
        <w:pStyle w:val="CETBodytext"/>
        <w:numPr>
          <w:ilvl w:val="0"/>
          <w:numId w:val="22"/>
        </w:numPr>
        <w:rPr>
          <w:lang w:val="en-GB"/>
        </w:rPr>
      </w:pPr>
      <w:r>
        <w:t xml:space="preserve">there is no excess </w:t>
      </w:r>
      <w:r w:rsidRPr="00414B6A">
        <w:rPr>
          <w:i/>
        </w:rPr>
        <w:t>OUR</w:t>
      </w:r>
      <w:r>
        <w:t xml:space="preserve"> for soluble products, i.e. </w:t>
      </w:r>
      <m:oMath>
        <m:sSub>
          <m:sSubPr>
            <m:ctrlPr>
              <w:rPr>
                <w:rFonts w:ascii="Cambria Math" w:hAnsi="Cambria Math" w:cs="Arial"/>
                <w:i/>
              </w:rPr>
            </m:ctrlPr>
          </m:sSubPr>
          <m:e>
            <m:r>
              <w:rPr>
                <w:rFonts w:ascii="Cambria Math" w:hAnsi="Cambria Math" w:cs="Arial"/>
              </w:rPr>
              <m:t>OUR</m:t>
            </m:r>
          </m:e>
          <m:sub>
            <m:r>
              <w:rPr>
                <w:rFonts w:ascii="Cambria Math" w:hAnsi="Cambria Math" w:cs="Arial"/>
              </w:rPr>
              <m:t>X</m:t>
            </m:r>
          </m:sub>
        </m:sSub>
        <m:d>
          <m:dPr>
            <m:ctrlPr>
              <w:rPr>
                <w:rFonts w:ascii="Cambria Math" w:hAnsi="Cambria Math" w:cs="Arial"/>
                <w:i/>
              </w:rPr>
            </m:ctrlPr>
          </m:dPr>
          <m:e>
            <m:r>
              <w:rPr>
                <w:rFonts w:ascii="Cambria Math" w:hAnsi="Cambria Math" w:cs="Arial"/>
              </w:rPr>
              <m:t>t</m:t>
            </m:r>
          </m:e>
        </m:d>
        <m:r>
          <w:rPr>
            <w:rFonts w:ascii="Cambria Math" w:hAnsi="Cambria Math" w:cs="Arial"/>
          </w:rPr>
          <m:t>=OUR</m:t>
        </m:r>
        <m:d>
          <m:dPr>
            <m:ctrlPr>
              <w:rPr>
                <w:rFonts w:ascii="Cambria Math" w:hAnsi="Cambria Math" w:cs="Arial"/>
                <w:i/>
              </w:rPr>
            </m:ctrlPr>
          </m:dPr>
          <m:e>
            <m:r>
              <w:rPr>
                <w:rFonts w:ascii="Cambria Math" w:hAnsi="Cambria Math" w:cs="Arial"/>
              </w:rPr>
              <m:t>t</m:t>
            </m:r>
          </m:e>
        </m:d>
      </m:oMath>
      <w:r>
        <w:t xml:space="preserve"> holds for all experiments;</w:t>
      </w:r>
    </w:p>
    <w:p w14:paraId="574D9052" w14:textId="7CAE3C82" w:rsidR="00E04FF6" w:rsidRPr="00DA299B" w:rsidRDefault="001840B0" w:rsidP="00372FCA">
      <w:pPr>
        <w:pStyle w:val="CETBodytext"/>
        <w:numPr>
          <w:ilvl w:val="0"/>
          <w:numId w:val="22"/>
        </w:numPr>
        <w:rPr>
          <w:lang w:val="en-GB"/>
        </w:rPr>
      </w:pPr>
      <w:r>
        <w:rPr>
          <w:lang w:val="en-GB"/>
        </w:rPr>
        <w:t>t</w:t>
      </w:r>
      <w:r w:rsidR="00DA299B">
        <w:rPr>
          <w:lang w:val="en-GB"/>
        </w:rPr>
        <w:t xml:space="preserve">he biomass yield </w:t>
      </w:r>
      <m:oMath>
        <m:sSub>
          <m:sSubPr>
            <m:ctrlPr>
              <w:rPr>
                <w:rFonts w:ascii="Cambria Math" w:hAnsi="Cambria Math" w:cs="Arial"/>
                <w:i/>
              </w:rPr>
            </m:ctrlPr>
          </m:sSubPr>
          <m:e>
            <m:r>
              <w:rPr>
                <w:rFonts w:ascii="Cambria Math" w:hAnsi="Cambria Math" w:cs="Arial"/>
              </w:rPr>
              <m:t>Y</m:t>
            </m:r>
          </m:e>
          <m:sub>
            <m:r>
              <w:rPr>
                <w:rFonts w:ascii="Cambria Math" w:hAnsi="Cambria Math" w:cs="Arial"/>
              </w:rPr>
              <m:t>xs</m:t>
            </m:r>
          </m:sub>
        </m:sSub>
        <m:d>
          <m:dPr>
            <m:ctrlPr>
              <w:rPr>
                <w:rFonts w:ascii="Cambria Math" w:hAnsi="Cambria Math" w:cs="Arial"/>
                <w:i/>
              </w:rPr>
            </m:ctrlPr>
          </m:dPr>
          <m:e>
            <m:r>
              <w:rPr>
                <w:rFonts w:ascii="Cambria Math" w:hAnsi="Cambria Math" w:cs="Arial"/>
              </w:rPr>
              <m:t>t</m:t>
            </m:r>
          </m:e>
        </m:d>
      </m:oMath>
      <w:r w:rsidR="00DA299B">
        <w:t xml:space="preserve"> is a time-dependent function with a maximum scaler</w:t>
      </w:r>
      <w:r w:rsidR="00594D9D">
        <w:t xml:space="preserve"> (among subsequent estimation steps)</w:t>
      </w:r>
      <w:r w:rsidR="00DA299B">
        <w:t xml:space="preserve"> of 1.3 or </w:t>
      </w:r>
      <w:r w:rsidR="00594D9D">
        <w:t>1.0</w:t>
      </w:r>
      <w:r w:rsidR="00DA299B">
        <w:t xml:space="preserve"> to mimic a scenario similar to assumptions in </w:t>
      </w:r>
      <w:r w:rsidR="00DA299B" w:rsidRPr="00A16EB1">
        <w:t>Lyubenova</w:t>
      </w:r>
      <w:r w:rsidR="00DA299B">
        <w:t xml:space="preserve"> et al., 2020;</w:t>
      </w:r>
    </w:p>
    <w:p w14:paraId="756F333C" w14:textId="799CB3A9" w:rsidR="00DA299B" w:rsidRPr="00B57B36" w:rsidRDefault="00C35485" w:rsidP="00372FCA">
      <w:pPr>
        <w:pStyle w:val="CETBodytext"/>
        <w:numPr>
          <w:ilvl w:val="0"/>
          <w:numId w:val="22"/>
        </w:numPr>
        <w:rPr>
          <w:lang w:val="en-GB"/>
        </w:rPr>
      </w:pPr>
      <w:r>
        <w:rPr>
          <w:lang w:val="en-GB"/>
        </w:rPr>
        <w:t xml:space="preserve">the biomass yield </w:t>
      </w:r>
      <w:r w:rsidR="002C0657">
        <w:rPr>
          <w:lang w:val="en-GB"/>
        </w:rPr>
        <w:t>(</w:t>
      </w:r>
      <m:oMath>
        <m:sSub>
          <m:sSubPr>
            <m:ctrlPr>
              <w:rPr>
                <w:rFonts w:ascii="Cambria Math" w:hAnsi="Cambria Math" w:cs="Arial"/>
                <w:i/>
              </w:rPr>
            </m:ctrlPr>
          </m:sSubPr>
          <m:e>
            <m:r>
              <w:rPr>
                <w:rFonts w:ascii="Cambria Math" w:hAnsi="Cambria Math" w:cs="Arial"/>
              </w:rPr>
              <m:t>Y</m:t>
            </m:r>
          </m:e>
          <m:sub>
            <m:r>
              <w:rPr>
                <w:rFonts w:ascii="Cambria Math" w:hAnsi="Cambria Math" w:cs="Arial"/>
              </w:rPr>
              <m:t>xs</m:t>
            </m:r>
          </m:sub>
        </m:sSub>
        <m:d>
          <m:dPr>
            <m:ctrlPr>
              <w:rPr>
                <w:rFonts w:ascii="Cambria Math" w:hAnsi="Cambria Math" w:cs="Arial"/>
                <w:i/>
              </w:rPr>
            </m:ctrlPr>
          </m:dPr>
          <m:e>
            <m:r>
              <w:rPr>
                <w:rFonts w:ascii="Cambria Math" w:hAnsi="Cambria Math" w:cs="Arial"/>
              </w:rPr>
              <m:t>Age</m:t>
            </m:r>
          </m:e>
        </m:d>
      </m:oMath>
      <w:r w:rsidR="002C0657">
        <w:t>)</w:t>
      </w:r>
      <w:r>
        <w:t xml:space="preserve"> is age-dependent function.</w:t>
      </w:r>
    </w:p>
    <w:p w14:paraId="4DDD06D3" w14:textId="0FAED662" w:rsidR="005152FA" w:rsidRDefault="00FF41E0" w:rsidP="00200D99">
      <w:pPr>
        <w:pStyle w:val="CETBodytext"/>
      </w:pPr>
      <w:r>
        <w:t xml:space="preserve">The upper row in a cell of </w:t>
      </w:r>
      <w:r w:rsidR="00371072">
        <w:t>Table 1</w:t>
      </w:r>
      <w:r>
        <w:t xml:space="preserve"> represents the first site’s estimated parameter value, and the lower entry displays the second site’s information.</w:t>
      </w:r>
      <w:r w:rsidR="00740181">
        <w:t xml:space="preserve"> </w:t>
      </w:r>
      <w:r w:rsidR="00A05DBC">
        <w:t xml:space="preserve">A </w:t>
      </w:r>
      <w:r w:rsidR="00740181">
        <w:t>single entry</w:t>
      </w:r>
      <w:r w:rsidR="003422CF">
        <w:t xml:space="preserve"> carries identical values</w:t>
      </w:r>
      <w:r w:rsidR="00A05DBC">
        <w:t xml:space="preserve"> for both sites’ </w:t>
      </w:r>
      <w:r w:rsidR="00740181">
        <w:t>strains.</w:t>
      </w:r>
    </w:p>
    <w:p w14:paraId="72206F67" w14:textId="4D6B764A" w:rsidR="008F15E0" w:rsidRPr="00B57B36" w:rsidRDefault="008F15E0" w:rsidP="008F15E0">
      <w:pPr>
        <w:pStyle w:val="CETTabletitle"/>
      </w:pPr>
      <w:r w:rsidRPr="00B57B36">
        <w:t xml:space="preserve">Table 1: </w:t>
      </w:r>
      <w:r w:rsidR="00671A64">
        <w:t>The results of model fitting on experimental data for three hypotheses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900"/>
        <w:gridCol w:w="861"/>
        <w:gridCol w:w="939"/>
        <w:gridCol w:w="939"/>
        <w:gridCol w:w="751"/>
        <w:gridCol w:w="889"/>
        <w:gridCol w:w="871"/>
        <w:gridCol w:w="639"/>
        <w:gridCol w:w="720"/>
        <w:gridCol w:w="630"/>
        <w:gridCol w:w="630"/>
      </w:tblGrid>
      <w:tr w:rsidR="00F11CA2" w:rsidRPr="00B57B36" w14:paraId="76F2C0B5" w14:textId="229C3E48" w:rsidTr="001D5EE7">
        <w:tc>
          <w:tcPr>
            <w:tcW w:w="900" w:type="dxa"/>
            <w:tcBorders>
              <w:top w:val="single" w:sz="12" w:space="0" w:color="008000"/>
              <w:bottom w:val="single" w:sz="6" w:space="0" w:color="008000"/>
            </w:tcBorders>
            <w:shd w:val="clear" w:color="auto" w:fill="FFFFFF"/>
          </w:tcPr>
          <w:p w14:paraId="615EB967" w14:textId="511101B5" w:rsidR="00F11CA2" w:rsidRPr="00B57B36" w:rsidRDefault="00F11CA2" w:rsidP="008F15E0">
            <w:pPr>
              <w:pStyle w:val="CETBodytext"/>
              <w:jc w:val="center"/>
              <w:rPr>
                <w:lang w:val="en-GB"/>
              </w:rPr>
            </w:pPr>
            <w:r>
              <w:rPr>
                <w:lang w:val="en-GB"/>
              </w:rPr>
              <w:t>Hypothesis</w:t>
            </w:r>
          </w:p>
        </w:tc>
        <w:tc>
          <w:tcPr>
            <w:tcW w:w="861" w:type="dxa"/>
            <w:tcBorders>
              <w:top w:val="single" w:sz="12" w:space="0" w:color="008000"/>
              <w:bottom w:val="single" w:sz="6" w:space="0" w:color="008000"/>
            </w:tcBorders>
            <w:shd w:val="clear" w:color="auto" w:fill="FFFFFF"/>
          </w:tcPr>
          <w:p w14:paraId="09FB8F58" w14:textId="4E15037A" w:rsidR="00F11CA2" w:rsidRPr="00B57B36" w:rsidRDefault="00F11CA2" w:rsidP="00F11CA2">
            <w:pPr>
              <w:pStyle w:val="CETBodytext"/>
              <w:jc w:val="center"/>
              <w:rPr>
                <w:lang w:val="en-GB"/>
              </w:rPr>
            </w:pPr>
            <w:r>
              <w:rPr>
                <w:lang w:val="en-GB"/>
              </w:rPr>
              <w:t>S, as in Eq(22)</w:t>
            </w:r>
          </w:p>
        </w:tc>
        <w:tc>
          <w:tcPr>
            <w:tcW w:w="939" w:type="dxa"/>
            <w:tcBorders>
              <w:top w:val="single" w:sz="12" w:space="0" w:color="008000"/>
              <w:bottom w:val="single" w:sz="6" w:space="0" w:color="008000"/>
            </w:tcBorders>
            <w:shd w:val="clear" w:color="auto" w:fill="FFFFFF"/>
          </w:tcPr>
          <w:p w14:paraId="6E426D5C" w14:textId="77777777" w:rsidR="00F11CA2" w:rsidRPr="00F11CA2" w:rsidRDefault="00F11CA2" w:rsidP="008F15E0">
            <w:pPr>
              <w:pStyle w:val="CETBodytext"/>
              <w:jc w:val="center"/>
              <w:rPr>
                <w:rFonts w:cs="Arial"/>
              </w:rPr>
            </w:pPr>
            <w:r w:rsidRPr="00F11CA2">
              <w:rPr>
                <w:rFonts w:cs="Arial"/>
              </w:rPr>
              <w:t>Sum of</w:t>
            </w:r>
          </w:p>
          <w:p w14:paraId="3B0001BC" w14:textId="63C7A752" w:rsidR="00F11CA2" w:rsidRDefault="001D5EE7" w:rsidP="008F15E0">
            <w:pPr>
              <w:pStyle w:val="CETBodytext"/>
              <w:jc w:val="center"/>
              <w:rPr>
                <w:rFonts w:cs="Arial"/>
                <w:i/>
              </w:rPr>
            </w:pPr>
            <m:oMath>
              <m:sSub>
                <m:sSubPr>
                  <m:ctrlPr>
                    <w:rPr>
                      <w:rFonts w:ascii="Cambria Math" w:hAnsi="Cambria Math" w:cs="Arial"/>
                      <w:lang w:val="en-GB"/>
                    </w:rPr>
                  </m:ctrlPr>
                </m:sSubPr>
                <m:e>
                  <m:r>
                    <m:rPr>
                      <m:sty m:val="p"/>
                    </m:rPr>
                    <w:rPr>
                      <w:rFonts w:ascii="Cambria Math" w:hAnsi="Cambria Math" w:cs="Arial"/>
                    </w:rPr>
                    <m:t>MAE</m:t>
                  </m:r>
                </m:e>
                <m:sub>
                  <m:r>
                    <m:rPr>
                      <m:sty m:val="p"/>
                    </m:rPr>
                    <w:rPr>
                      <w:rFonts w:ascii="Cambria Math" w:hAnsi="Cambria Math" w:cs="Arial"/>
                    </w:rPr>
                    <m:t>x,i</m:t>
                  </m:r>
                </m:sub>
              </m:sSub>
            </m:oMath>
            <w:r w:rsidR="00F11CA2" w:rsidRPr="00F11CA2">
              <w:rPr>
                <w:rFonts w:cs="Arial"/>
                <w:lang w:val="en-GB"/>
              </w:rPr>
              <w:t xml:space="preserve"> averages</w:t>
            </w:r>
          </w:p>
        </w:tc>
        <w:tc>
          <w:tcPr>
            <w:tcW w:w="939" w:type="dxa"/>
            <w:tcBorders>
              <w:top w:val="single" w:sz="12" w:space="0" w:color="008000"/>
              <w:bottom w:val="single" w:sz="6" w:space="0" w:color="008000"/>
            </w:tcBorders>
            <w:shd w:val="clear" w:color="auto" w:fill="FFFFFF"/>
          </w:tcPr>
          <w:p w14:paraId="12B6DE2A" w14:textId="6FAC2B24" w:rsidR="00F11CA2" w:rsidRPr="00B57B36" w:rsidRDefault="00F11CA2" w:rsidP="008F15E0">
            <w:pPr>
              <w:pStyle w:val="CETBodytext"/>
              <w:jc w:val="center"/>
              <w:rPr>
                <w:lang w:val="en-GB"/>
              </w:rPr>
            </w:pPr>
            <m:oMathPara>
              <m:oMath>
                <m:r>
                  <w:rPr>
                    <w:rFonts w:ascii="Cambria Math" w:hAnsi="Cambria Math" w:cs="Arial"/>
                  </w:rPr>
                  <m:t>α</m:t>
                </m:r>
              </m:oMath>
            </m:oMathPara>
          </w:p>
        </w:tc>
        <w:tc>
          <w:tcPr>
            <w:tcW w:w="751" w:type="dxa"/>
            <w:tcBorders>
              <w:top w:val="single" w:sz="12" w:space="0" w:color="008000"/>
              <w:bottom w:val="single" w:sz="6" w:space="0" w:color="008000"/>
            </w:tcBorders>
            <w:shd w:val="clear" w:color="auto" w:fill="FFFFFF"/>
          </w:tcPr>
          <w:p w14:paraId="0C75B7C5" w14:textId="5DB4812A" w:rsidR="00F11CA2" w:rsidRPr="00B57B36" w:rsidRDefault="001D5EE7" w:rsidP="008F15E0">
            <w:pPr>
              <w:pStyle w:val="CETBodytext"/>
              <w:ind w:right="-1"/>
              <w:jc w:val="center"/>
              <w:rPr>
                <w:rFonts w:cs="Arial"/>
                <w:szCs w:val="18"/>
                <w:lang w:val="en-GB"/>
              </w:rPr>
            </w:pPr>
            <m:oMathPara>
              <m:oMath>
                <m:sSub>
                  <m:sSubPr>
                    <m:ctrlPr>
                      <w:rPr>
                        <w:rFonts w:ascii="Cambria Math" w:hAnsi="Cambria Math" w:cs="Arial"/>
                        <w:i/>
                        <w:lang w:val="en-GB"/>
                      </w:rPr>
                    </m:ctrlPr>
                  </m:sSubPr>
                  <m:e>
                    <m:r>
                      <w:rPr>
                        <w:rFonts w:ascii="Cambria Math" w:hAnsi="Cambria Math" w:cs="Arial"/>
                      </w:rPr>
                      <m:t>k</m:t>
                    </m:r>
                  </m:e>
                  <m:sub>
                    <m:r>
                      <w:rPr>
                        <w:rFonts w:ascii="Cambria Math" w:hAnsi="Cambria Math" w:cs="Arial"/>
                      </w:rPr>
                      <m:t>m</m:t>
                    </m:r>
                  </m:sub>
                </m:sSub>
              </m:oMath>
            </m:oMathPara>
          </w:p>
        </w:tc>
        <w:tc>
          <w:tcPr>
            <w:tcW w:w="889" w:type="dxa"/>
            <w:tcBorders>
              <w:top w:val="single" w:sz="12" w:space="0" w:color="008000"/>
              <w:bottom w:val="single" w:sz="6" w:space="0" w:color="008000"/>
            </w:tcBorders>
            <w:shd w:val="clear" w:color="auto" w:fill="FFFFFF"/>
          </w:tcPr>
          <w:p w14:paraId="1B17B11F" w14:textId="5AED65CB" w:rsidR="00F11CA2" w:rsidRPr="00B57B36" w:rsidRDefault="001D5EE7" w:rsidP="008F15E0">
            <w:pPr>
              <w:pStyle w:val="CETBodytext"/>
              <w:ind w:right="-1"/>
              <w:jc w:val="center"/>
              <w:rPr>
                <w:rFonts w:cs="Arial"/>
                <w:szCs w:val="18"/>
                <w:lang w:val="en-GB"/>
              </w:rPr>
            </w:pPr>
            <m:oMathPara>
              <m:oMath>
                <m:sSub>
                  <m:sSubPr>
                    <m:ctrlPr>
                      <w:rPr>
                        <w:rFonts w:ascii="Cambria Math" w:hAnsi="Cambria Math" w:cs="Arial"/>
                        <w:i/>
                        <w:lang w:val="en-GB"/>
                      </w:rPr>
                    </m:ctrlPr>
                  </m:sSubPr>
                  <m:e>
                    <m:r>
                      <w:rPr>
                        <w:rFonts w:ascii="Cambria Math" w:hAnsi="Cambria Math" w:cs="Arial"/>
                      </w:rPr>
                      <m:t>k</m:t>
                    </m:r>
                  </m:e>
                  <m:sub>
                    <m:r>
                      <w:rPr>
                        <w:rFonts w:ascii="Cambria Math" w:hAnsi="Cambria Math" w:cs="Arial"/>
                      </w:rPr>
                      <m:t>ms</m:t>
                    </m:r>
                  </m:sub>
                </m:sSub>
              </m:oMath>
            </m:oMathPara>
          </w:p>
        </w:tc>
        <w:tc>
          <w:tcPr>
            <w:tcW w:w="871" w:type="dxa"/>
            <w:tcBorders>
              <w:top w:val="single" w:sz="12" w:space="0" w:color="008000"/>
              <w:bottom w:val="single" w:sz="6" w:space="0" w:color="008000"/>
            </w:tcBorders>
            <w:shd w:val="clear" w:color="auto" w:fill="FFFFFF"/>
          </w:tcPr>
          <w:p w14:paraId="4AE68525" w14:textId="76795F43" w:rsidR="00F11CA2" w:rsidRPr="00B57B36" w:rsidRDefault="001D5EE7" w:rsidP="008F15E0">
            <w:pPr>
              <w:pStyle w:val="CETBodytext"/>
              <w:ind w:right="-1"/>
              <w:jc w:val="center"/>
              <w:rPr>
                <w:rFonts w:cs="Arial"/>
                <w:szCs w:val="18"/>
                <w:lang w:val="en-GB"/>
              </w:rPr>
            </w:pPr>
            <m:oMathPara>
              <m:oMath>
                <m:sSub>
                  <m:sSubPr>
                    <m:ctrlPr>
                      <w:rPr>
                        <w:rFonts w:ascii="Cambria Math" w:hAnsi="Cambria Math" w:cs="Arial"/>
                        <w:i/>
                        <w:lang w:val="en-GB"/>
                      </w:rPr>
                    </m:ctrlPr>
                  </m:sSubPr>
                  <m:e>
                    <m:r>
                      <w:rPr>
                        <w:rFonts w:ascii="Cambria Math" w:hAnsi="Cambria Math" w:cs="Arial"/>
                      </w:rPr>
                      <m:t>k</m:t>
                    </m:r>
                  </m:e>
                  <m:sub>
                    <m:r>
                      <w:rPr>
                        <w:rFonts w:ascii="Cambria Math" w:hAnsi="Cambria Math" w:cs="Arial"/>
                      </w:rPr>
                      <m:t>s</m:t>
                    </m:r>
                  </m:sub>
                </m:sSub>
              </m:oMath>
            </m:oMathPara>
          </w:p>
        </w:tc>
        <w:tc>
          <w:tcPr>
            <w:tcW w:w="639" w:type="dxa"/>
            <w:tcBorders>
              <w:top w:val="single" w:sz="12" w:space="0" w:color="008000"/>
              <w:bottom w:val="single" w:sz="6" w:space="0" w:color="008000"/>
            </w:tcBorders>
            <w:shd w:val="clear" w:color="auto" w:fill="FFFFFF"/>
          </w:tcPr>
          <w:p w14:paraId="4CA1ED2D" w14:textId="6E6E29E2" w:rsidR="00F11CA2" w:rsidRPr="00DF7812" w:rsidRDefault="001D5EE7" w:rsidP="008F15E0">
            <w:pPr>
              <w:pStyle w:val="CETBodytext"/>
              <w:ind w:right="-1"/>
              <w:jc w:val="center"/>
              <w:rPr>
                <w:rFonts w:cs="Arial"/>
                <w:lang w:val="en-GB"/>
              </w:rPr>
            </w:pPr>
            <m:oMathPara>
              <m:oMath>
                <m:sSub>
                  <m:sSubPr>
                    <m:ctrlPr>
                      <w:rPr>
                        <w:rFonts w:ascii="Cambria Math" w:hAnsi="Cambria Math" w:cs="Arial"/>
                        <w:i/>
                        <w:lang w:val="en-GB"/>
                      </w:rPr>
                    </m:ctrlPr>
                  </m:sSubPr>
                  <m:e>
                    <m:r>
                      <w:rPr>
                        <w:rFonts w:ascii="Cambria Math" w:hAnsi="Cambria Math" w:cs="Arial"/>
                      </w:rPr>
                      <m:t>k</m:t>
                    </m:r>
                  </m:e>
                  <m:sub>
                    <m:r>
                      <w:rPr>
                        <w:rFonts w:ascii="Cambria Math" w:hAnsi="Cambria Math" w:cs="Arial"/>
                      </w:rPr>
                      <m:t>ys</m:t>
                    </m:r>
                  </m:sub>
                </m:sSub>
              </m:oMath>
            </m:oMathPara>
          </w:p>
        </w:tc>
        <w:tc>
          <w:tcPr>
            <w:tcW w:w="720" w:type="dxa"/>
            <w:tcBorders>
              <w:top w:val="single" w:sz="12" w:space="0" w:color="008000"/>
              <w:bottom w:val="single" w:sz="6" w:space="0" w:color="008000"/>
            </w:tcBorders>
            <w:shd w:val="clear" w:color="auto" w:fill="FFFFFF"/>
          </w:tcPr>
          <w:p w14:paraId="3DF2A742" w14:textId="655B6782" w:rsidR="00F11CA2" w:rsidRPr="00DF7812" w:rsidRDefault="001D5EE7" w:rsidP="008F15E0">
            <w:pPr>
              <w:pStyle w:val="CETBodytext"/>
              <w:ind w:right="-1"/>
              <w:jc w:val="center"/>
              <w:rPr>
                <w:rFonts w:cs="Arial"/>
                <w:lang w:val="en-GB"/>
              </w:rPr>
            </w:pPr>
            <m:oMathPara>
              <m:oMath>
                <m:sSub>
                  <m:sSubPr>
                    <m:ctrlPr>
                      <w:rPr>
                        <w:rFonts w:ascii="Cambria Math" w:hAnsi="Cambria Math" w:cs="Arial"/>
                        <w:i/>
                      </w:rPr>
                    </m:ctrlPr>
                  </m:sSubPr>
                  <m:e>
                    <m:r>
                      <w:rPr>
                        <w:rFonts w:ascii="Cambria Math" w:hAnsi="Cambria Math" w:cs="Arial"/>
                      </w:rPr>
                      <m:t>Y</m:t>
                    </m:r>
                  </m:e>
                  <m:sub>
                    <m:r>
                      <w:rPr>
                        <w:rFonts w:ascii="Cambria Math" w:hAnsi="Cambria Math" w:cs="Arial"/>
                      </w:rPr>
                      <m:t>solutes,os</m:t>
                    </m:r>
                  </m:sub>
                </m:sSub>
              </m:oMath>
            </m:oMathPara>
          </w:p>
        </w:tc>
        <w:tc>
          <w:tcPr>
            <w:tcW w:w="630" w:type="dxa"/>
            <w:tcBorders>
              <w:top w:val="single" w:sz="12" w:space="0" w:color="008000"/>
              <w:bottom w:val="single" w:sz="6" w:space="0" w:color="008000"/>
            </w:tcBorders>
            <w:shd w:val="clear" w:color="auto" w:fill="FFFFFF"/>
          </w:tcPr>
          <w:p w14:paraId="6B58F009" w14:textId="5E17CC0A" w:rsidR="00F11CA2" w:rsidRDefault="001D5EE7" w:rsidP="008F15E0">
            <w:pPr>
              <w:pStyle w:val="CETBodytext"/>
              <w:ind w:right="-1"/>
              <w:jc w:val="center"/>
            </w:pPr>
            <m:oMathPara>
              <m:oMath>
                <m:sSub>
                  <m:sSubPr>
                    <m:ctrlPr>
                      <w:rPr>
                        <w:rFonts w:ascii="Cambria Math" w:hAnsi="Cambria Math" w:cs="Arial"/>
                        <w:i/>
                      </w:rPr>
                    </m:ctrlPr>
                  </m:sSubPr>
                  <m:e>
                    <m:r>
                      <w:rPr>
                        <w:rFonts w:ascii="Cambria Math" w:hAnsi="Cambria Math" w:cs="Arial"/>
                      </w:rPr>
                      <m:t>k</m:t>
                    </m:r>
                  </m:e>
                  <m:sub>
                    <m:r>
                      <w:rPr>
                        <w:rFonts w:ascii="Cambria Math" w:hAnsi="Cambria Math" w:cs="Arial"/>
                      </w:rPr>
                      <m:t>Age</m:t>
                    </m:r>
                  </m:sub>
                </m:sSub>
              </m:oMath>
            </m:oMathPara>
          </w:p>
        </w:tc>
        <w:tc>
          <w:tcPr>
            <w:tcW w:w="630" w:type="dxa"/>
            <w:tcBorders>
              <w:top w:val="single" w:sz="12" w:space="0" w:color="008000"/>
              <w:bottom w:val="single" w:sz="6" w:space="0" w:color="008000"/>
            </w:tcBorders>
            <w:shd w:val="clear" w:color="auto" w:fill="FFFFFF"/>
          </w:tcPr>
          <w:p w14:paraId="5F0E0E92" w14:textId="0B261679" w:rsidR="00F11CA2" w:rsidRDefault="001D5EE7" w:rsidP="008F15E0">
            <w:pPr>
              <w:pStyle w:val="CETBodytext"/>
              <w:ind w:right="-1"/>
              <w:jc w:val="center"/>
              <w:rPr>
                <w:rFonts w:cs="Arial"/>
              </w:rPr>
            </w:pPr>
            <m:oMathPara>
              <m:oMath>
                <m:sSub>
                  <m:sSubPr>
                    <m:ctrlPr>
                      <w:rPr>
                        <w:rFonts w:ascii="Cambria Math" w:hAnsi="Cambria Math" w:cs="Arial"/>
                        <w:i/>
                      </w:rPr>
                    </m:ctrlPr>
                  </m:sSubPr>
                  <m:e>
                    <m:r>
                      <w:rPr>
                        <w:rFonts w:ascii="Cambria Math" w:hAnsi="Cambria Math" w:cs="Arial"/>
                      </w:rPr>
                      <m:t>Y</m:t>
                    </m:r>
                  </m:e>
                  <m:sub>
                    <m:r>
                      <w:rPr>
                        <w:rFonts w:ascii="Cambria Math" w:hAnsi="Cambria Math" w:cs="Arial"/>
                      </w:rPr>
                      <m:t>xs</m:t>
                    </m:r>
                  </m:sub>
                </m:sSub>
              </m:oMath>
            </m:oMathPara>
          </w:p>
        </w:tc>
      </w:tr>
      <w:tr w:rsidR="00F11CA2" w:rsidRPr="00B57B36" w14:paraId="49CFAE0B" w14:textId="3951DCA4" w:rsidTr="007908CA">
        <w:tc>
          <w:tcPr>
            <w:tcW w:w="900" w:type="dxa"/>
            <w:shd w:val="clear" w:color="auto" w:fill="FFFFFF"/>
            <w:vAlign w:val="center"/>
          </w:tcPr>
          <w:p w14:paraId="59D7E6C6" w14:textId="25E53490" w:rsidR="00F11CA2" w:rsidRPr="00B57B36" w:rsidRDefault="00F11CA2" w:rsidP="001D5EE7">
            <w:pPr>
              <w:pStyle w:val="CETBodytext"/>
              <w:rPr>
                <w:lang w:val="en-GB"/>
              </w:rPr>
            </w:pPr>
            <w:r>
              <w:rPr>
                <w:lang w:val="en-GB"/>
              </w:rPr>
              <w:t>3.1</w:t>
            </w:r>
          </w:p>
        </w:tc>
        <w:tc>
          <w:tcPr>
            <w:tcW w:w="861" w:type="dxa"/>
            <w:shd w:val="clear" w:color="auto" w:fill="FFFFFF"/>
            <w:vAlign w:val="center"/>
          </w:tcPr>
          <w:p w14:paraId="4ABD200E" w14:textId="41B33890" w:rsidR="00F11CA2" w:rsidRPr="00B57B36" w:rsidRDefault="00F11CA2" w:rsidP="001D5EE7">
            <w:pPr>
              <w:pStyle w:val="CETBodytext"/>
              <w:rPr>
                <w:lang w:val="en-GB"/>
              </w:rPr>
            </w:pPr>
            <w:r>
              <w:rPr>
                <w:lang w:val="en-GB"/>
              </w:rPr>
              <w:t>97.6</w:t>
            </w:r>
          </w:p>
        </w:tc>
        <w:tc>
          <w:tcPr>
            <w:tcW w:w="939" w:type="dxa"/>
            <w:shd w:val="clear" w:color="auto" w:fill="FFFFFF"/>
            <w:vAlign w:val="center"/>
          </w:tcPr>
          <w:p w14:paraId="2061E0FF" w14:textId="578CD128" w:rsidR="00F11CA2" w:rsidRDefault="007908CA" w:rsidP="001D5EE7">
            <w:pPr>
              <w:pStyle w:val="CETBodytext"/>
              <w:rPr>
                <w:lang w:val="en-GB"/>
              </w:rPr>
            </w:pPr>
            <w:r>
              <w:rPr>
                <w:lang w:val="en-GB"/>
              </w:rPr>
              <w:t>2.781</w:t>
            </w:r>
          </w:p>
        </w:tc>
        <w:tc>
          <w:tcPr>
            <w:tcW w:w="939" w:type="dxa"/>
            <w:shd w:val="clear" w:color="auto" w:fill="FFFFFF"/>
            <w:vAlign w:val="center"/>
          </w:tcPr>
          <w:p w14:paraId="5483A907" w14:textId="0A4F544E" w:rsidR="00F11CA2" w:rsidRPr="00B57B36" w:rsidRDefault="00F11CA2" w:rsidP="001D5EE7">
            <w:pPr>
              <w:pStyle w:val="CETBodytext"/>
              <w:rPr>
                <w:lang w:val="en-GB"/>
              </w:rPr>
            </w:pPr>
            <w:r>
              <w:rPr>
                <w:lang w:val="en-GB"/>
              </w:rPr>
              <w:t>1.15</w:t>
            </w:r>
          </w:p>
        </w:tc>
        <w:tc>
          <w:tcPr>
            <w:tcW w:w="751" w:type="dxa"/>
            <w:shd w:val="clear" w:color="auto" w:fill="FFFFFF"/>
            <w:vAlign w:val="center"/>
          </w:tcPr>
          <w:p w14:paraId="59F8599E" w14:textId="373EF864" w:rsidR="00F11CA2" w:rsidRPr="00B57B36" w:rsidRDefault="00F11CA2" w:rsidP="006D160D">
            <w:pPr>
              <w:pStyle w:val="CETBodytext"/>
              <w:ind w:right="-1"/>
              <w:rPr>
                <w:rFonts w:cs="Arial"/>
                <w:szCs w:val="18"/>
                <w:lang w:val="en-GB"/>
              </w:rPr>
            </w:pPr>
            <w:r>
              <w:rPr>
                <w:rFonts w:cs="Arial"/>
                <w:szCs w:val="18"/>
                <w:lang w:val="en-GB"/>
              </w:rPr>
              <w:t>0.00143</w:t>
            </w:r>
          </w:p>
        </w:tc>
        <w:tc>
          <w:tcPr>
            <w:tcW w:w="889" w:type="dxa"/>
            <w:shd w:val="clear" w:color="auto" w:fill="FFFFFF"/>
            <w:vAlign w:val="center"/>
          </w:tcPr>
          <w:p w14:paraId="739E11FE" w14:textId="67211D93" w:rsidR="00F11CA2" w:rsidRDefault="00F11CA2" w:rsidP="001D5EE7">
            <w:pPr>
              <w:pStyle w:val="CETBodytext"/>
              <w:ind w:right="-1"/>
              <w:rPr>
                <w:rFonts w:cs="Arial"/>
                <w:szCs w:val="18"/>
                <w:lang w:val="en-GB"/>
              </w:rPr>
            </w:pPr>
            <w:r>
              <w:rPr>
                <w:rFonts w:cs="Arial"/>
                <w:szCs w:val="18"/>
                <w:lang w:val="en-GB"/>
              </w:rPr>
              <w:t>0.3044</w:t>
            </w:r>
          </w:p>
          <w:p w14:paraId="2792E7B4" w14:textId="5BF9D8EF" w:rsidR="00F11CA2" w:rsidRPr="00B57B36" w:rsidRDefault="00F11CA2" w:rsidP="001D5EE7">
            <w:pPr>
              <w:pStyle w:val="CETBodytext"/>
              <w:ind w:right="-1"/>
              <w:rPr>
                <w:rFonts w:cs="Arial"/>
                <w:szCs w:val="18"/>
                <w:lang w:val="en-GB"/>
              </w:rPr>
            </w:pPr>
            <w:r>
              <w:rPr>
                <w:rFonts w:cs="Arial"/>
                <w:szCs w:val="18"/>
                <w:lang w:val="en-GB"/>
              </w:rPr>
              <w:t>0.1293</w:t>
            </w:r>
          </w:p>
        </w:tc>
        <w:tc>
          <w:tcPr>
            <w:tcW w:w="871" w:type="dxa"/>
            <w:shd w:val="clear" w:color="auto" w:fill="FFFFFF"/>
            <w:vAlign w:val="center"/>
          </w:tcPr>
          <w:p w14:paraId="02E6077A" w14:textId="77777777" w:rsidR="00F11CA2" w:rsidRDefault="00F11CA2" w:rsidP="001D5EE7">
            <w:pPr>
              <w:pStyle w:val="CETBodytext"/>
              <w:ind w:right="-1"/>
              <w:rPr>
                <w:rFonts w:cs="Arial"/>
                <w:szCs w:val="18"/>
                <w:lang w:val="en-GB"/>
              </w:rPr>
            </w:pPr>
            <w:r>
              <w:rPr>
                <w:rFonts w:cs="Arial"/>
                <w:szCs w:val="18"/>
                <w:lang w:val="en-GB"/>
              </w:rPr>
              <w:t>0.1969</w:t>
            </w:r>
          </w:p>
          <w:p w14:paraId="65A33D72" w14:textId="08345505" w:rsidR="00F11CA2" w:rsidRPr="00B57B36" w:rsidRDefault="00F11CA2" w:rsidP="001D5EE7">
            <w:pPr>
              <w:pStyle w:val="CETBodytext"/>
              <w:ind w:right="-1"/>
              <w:rPr>
                <w:rFonts w:cs="Arial"/>
                <w:szCs w:val="18"/>
                <w:lang w:val="en-GB"/>
              </w:rPr>
            </w:pPr>
            <w:r>
              <w:rPr>
                <w:rFonts w:cs="Arial"/>
                <w:szCs w:val="18"/>
                <w:lang w:val="en-GB"/>
              </w:rPr>
              <w:t>0.2851</w:t>
            </w:r>
          </w:p>
        </w:tc>
        <w:tc>
          <w:tcPr>
            <w:tcW w:w="639" w:type="dxa"/>
            <w:shd w:val="clear" w:color="auto" w:fill="FFFFFF"/>
            <w:vAlign w:val="center"/>
          </w:tcPr>
          <w:p w14:paraId="2342CC19" w14:textId="77777777" w:rsidR="00F11CA2" w:rsidRDefault="00F11CA2" w:rsidP="001D5EE7">
            <w:pPr>
              <w:pStyle w:val="CETBodytext"/>
              <w:ind w:right="-1"/>
              <w:rPr>
                <w:rFonts w:cs="Arial"/>
                <w:szCs w:val="18"/>
                <w:lang w:val="en-GB"/>
              </w:rPr>
            </w:pPr>
            <w:r>
              <w:rPr>
                <w:rFonts w:cs="Arial"/>
                <w:szCs w:val="18"/>
                <w:lang w:val="en-GB"/>
              </w:rPr>
              <w:t>39.7</w:t>
            </w:r>
          </w:p>
          <w:p w14:paraId="653180D9" w14:textId="0D538BE2" w:rsidR="00F11CA2" w:rsidRPr="00B57B36" w:rsidRDefault="00F11CA2" w:rsidP="001D5EE7">
            <w:pPr>
              <w:pStyle w:val="CETBodytext"/>
              <w:ind w:right="-1"/>
              <w:rPr>
                <w:rFonts w:cs="Arial"/>
                <w:szCs w:val="18"/>
                <w:lang w:val="en-GB"/>
              </w:rPr>
            </w:pPr>
            <w:r>
              <w:rPr>
                <w:rFonts w:cs="Arial"/>
                <w:szCs w:val="18"/>
                <w:lang w:val="en-GB"/>
              </w:rPr>
              <w:t>3.96</w:t>
            </w:r>
          </w:p>
        </w:tc>
        <w:tc>
          <w:tcPr>
            <w:tcW w:w="720" w:type="dxa"/>
            <w:shd w:val="clear" w:color="auto" w:fill="FFFFFF"/>
            <w:vAlign w:val="center"/>
          </w:tcPr>
          <w:p w14:paraId="343BAC60" w14:textId="5359A874" w:rsidR="00F11CA2" w:rsidRPr="00B57B36" w:rsidRDefault="00F11CA2" w:rsidP="001D5EE7">
            <w:pPr>
              <w:pStyle w:val="CETBodytext"/>
              <w:ind w:right="-1"/>
              <w:rPr>
                <w:rFonts w:cs="Arial"/>
                <w:szCs w:val="18"/>
                <w:lang w:val="en-GB"/>
              </w:rPr>
            </w:pPr>
            <w:r>
              <w:rPr>
                <w:rFonts w:cs="Arial"/>
                <w:szCs w:val="18"/>
                <w:lang w:val="en-GB"/>
              </w:rPr>
              <w:t>-</w:t>
            </w:r>
          </w:p>
        </w:tc>
        <w:tc>
          <w:tcPr>
            <w:tcW w:w="630" w:type="dxa"/>
            <w:shd w:val="clear" w:color="auto" w:fill="FFFFFF"/>
            <w:vAlign w:val="center"/>
          </w:tcPr>
          <w:p w14:paraId="3897BCA9" w14:textId="77777777" w:rsidR="00F11CA2" w:rsidRDefault="00F11CA2" w:rsidP="001D5EE7">
            <w:pPr>
              <w:pStyle w:val="CETBodytext"/>
              <w:ind w:right="-1"/>
              <w:rPr>
                <w:rFonts w:cs="Arial"/>
                <w:szCs w:val="18"/>
                <w:lang w:val="en-GB"/>
              </w:rPr>
            </w:pPr>
            <w:r>
              <w:rPr>
                <w:rFonts w:cs="Arial"/>
                <w:szCs w:val="18"/>
                <w:lang w:val="en-GB"/>
              </w:rPr>
              <w:t>3.586</w:t>
            </w:r>
          </w:p>
          <w:p w14:paraId="0E346AE3" w14:textId="54FD5B3F" w:rsidR="00F11CA2" w:rsidRPr="00B57B36" w:rsidRDefault="00F11CA2" w:rsidP="001D5EE7">
            <w:pPr>
              <w:pStyle w:val="CETBodytext"/>
              <w:ind w:right="-1"/>
              <w:rPr>
                <w:rFonts w:cs="Arial"/>
                <w:szCs w:val="18"/>
                <w:lang w:val="en-GB"/>
              </w:rPr>
            </w:pPr>
            <w:r>
              <w:rPr>
                <w:rFonts w:cs="Arial"/>
                <w:szCs w:val="18"/>
                <w:lang w:val="en-GB"/>
              </w:rPr>
              <w:t>301.7</w:t>
            </w:r>
          </w:p>
        </w:tc>
        <w:tc>
          <w:tcPr>
            <w:tcW w:w="630" w:type="dxa"/>
            <w:shd w:val="clear" w:color="auto" w:fill="FFFFFF"/>
            <w:vAlign w:val="center"/>
          </w:tcPr>
          <w:p w14:paraId="2B683F9D" w14:textId="77777777" w:rsidR="00F11CA2" w:rsidRDefault="00F11CA2" w:rsidP="001D5EE7">
            <w:pPr>
              <w:pStyle w:val="CETBodytext"/>
              <w:ind w:right="-1"/>
              <w:rPr>
                <w:rFonts w:cs="Arial"/>
                <w:szCs w:val="18"/>
                <w:lang w:val="en-GB"/>
              </w:rPr>
            </w:pPr>
            <w:r>
              <w:rPr>
                <w:rFonts w:cs="Arial"/>
                <w:szCs w:val="18"/>
                <w:lang w:val="en-GB"/>
              </w:rPr>
              <w:t>0.915</w:t>
            </w:r>
          </w:p>
          <w:p w14:paraId="148A651C" w14:textId="0A03FAD2" w:rsidR="00F11CA2" w:rsidRPr="00B57B36" w:rsidRDefault="00F11CA2" w:rsidP="001D5EE7">
            <w:pPr>
              <w:pStyle w:val="CETBodytext"/>
              <w:ind w:right="-1"/>
              <w:rPr>
                <w:rFonts w:cs="Arial"/>
                <w:szCs w:val="18"/>
                <w:lang w:val="en-GB"/>
              </w:rPr>
            </w:pPr>
            <w:r>
              <w:rPr>
                <w:rFonts w:cs="Arial"/>
                <w:szCs w:val="18"/>
                <w:lang w:val="en-GB"/>
              </w:rPr>
              <w:t>0.447</w:t>
            </w:r>
          </w:p>
        </w:tc>
      </w:tr>
      <w:tr w:rsidR="00F11CA2" w:rsidRPr="00B57B36" w14:paraId="2AD16AA5" w14:textId="1C559B5F" w:rsidTr="007908CA">
        <w:tc>
          <w:tcPr>
            <w:tcW w:w="900" w:type="dxa"/>
            <w:shd w:val="clear" w:color="auto" w:fill="FFFFFF"/>
            <w:vAlign w:val="center"/>
          </w:tcPr>
          <w:p w14:paraId="3F54CB0A" w14:textId="74AC896C" w:rsidR="00F11CA2" w:rsidRPr="00B57B36" w:rsidRDefault="00F11CA2" w:rsidP="001D5EE7">
            <w:pPr>
              <w:pStyle w:val="CETBodytext"/>
              <w:ind w:right="-1"/>
              <w:rPr>
                <w:rFonts w:cs="Arial"/>
                <w:szCs w:val="18"/>
                <w:lang w:val="en-GB"/>
              </w:rPr>
            </w:pPr>
            <w:r>
              <w:rPr>
                <w:rFonts w:cs="Arial"/>
                <w:szCs w:val="18"/>
                <w:lang w:val="en-GB"/>
              </w:rPr>
              <w:t>3.2</w:t>
            </w:r>
          </w:p>
        </w:tc>
        <w:tc>
          <w:tcPr>
            <w:tcW w:w="861" w:type="dxa"/>
            <w:shd w:val="clear" w:color="auto" w:fill="FFFFFF"/>
            <w:vAlign w:val="center"/>
          </w:tcPr>
          <w:p w14:paraId="32FE1FD1" w14:textId="144C394F" w:rsidR="00F11CA2" w:rsidRPr="00B57B36" w:rsidRDefault="00F11CA2" w:rsidP="001D5EE7">
            <w:pPr>
              <w:pStyle w:val="CETBodytext"/>
              <w:ind w:right="-1"/>
              <w:rPr>
                <w:rFonts w:cs="Arial"/>
                <w:szCs w:val="18"/>
                <w:lang w:val="en-GB"/>
              </w:rPr>
            </w:pPr>
            <w:r>
              <w:rPr>
                <w:rFonts w:cs="Arial"/>
                <w:szCs w:val="18"/>
                <w:lang w:val="en-GB"/>
              </w:rPr>
              <w:t>85.49</w:t>
            </w:r>
          </w:p>
        </w:tc>
        <w:tc>
          <w:tcPr>
            <w:tcW w:w="939" w:type="dxa"/>
            <w:shd w:val="clear" w:color="auto" w:fill="FFFFFF"/>
            <w:vAlign w:val="center"/>
          </w:tcPr>
          <w:p w14:paraId="5C007B22" w14:textId="4EAD2875" w:rsidR="00F11CA2" w:rsidRDefault="007908CA" w:rsidP="001D5EE7">
            <w:pPr>
              <w:pStyle w:val="CETBodytext"/>
              <w:ind w:right="-1"/>
              <w:rPr>
                <w:rFonts w:cs="Arial"/>
                <w:szCs w:val="18"/>
                <w:lang w:val="en-GB"/>
              </w:rPr>
            </w:pPr>
            <w:r>
              <w:rPr>
                <w:rFonts w:cs="Arial"/>
                <w:szCs w:val="18"/>
                <w:lang w:val="en-GB"/>
              </w:rPr>
              <w:t>2.407</w:t>
            </w:r>
          </w:p>
        </w:tc>
        <w:tc>
          <w:tcPr>
            <w:tcW w:w="939" w:type="dxa"/>
            <w:shd w:val="clear" w:color="auto" w:fill="FFFFFF"/>
            <w:vAlign w:val="center"/>
          </w:tcPr>
          <w:p w14:paraId="5A175EF4" w14:textId="66015400" w:rsidR="00F11CA2" w:rsidRPr="00B57B36" w:rsidRDefault="00F11CA2" w:rsidP="001D5EE7">
            <w:pPr>
              <w:pStyle w:val="CETBodytext"/>
              <w:ind w:right="-1"/>
              <w:rPr>
                <w:rFonts w:cs="Arial"/>
                <w:szCs w:val="18"/>
                <w:lang w:val="en-GB"/>
              </w:rPr>
            </w:pPr>
            <w:r>
              <w:rPr>
                <w:rFonts w:cs="Arial"/>
                <w:szCs w:val="18"/>
                <w:lang w:val="en-GB"/>
              </w:rPr>
              <w:t>1.168</w:t>
            </w:r>
          </w:p>
        </w:tc>
        <w:tc>
          <w:tcPr>
            <w:tcW w:w="751" w:type="dxa"/>
            <w:shd w:val="clear" w:color="auto" w:fill="FFFFFF"/>
            <w:vAlign w:val="center"/>
          </w:tcPr>
          <w:p w14:paraId="4DA2A22A" w14:textId="05CBEFF8" w:rsidR="00F11CA2" w:rsidRPr="00B57B36" w:rsidRDefault="00F11CA2" w:rsidP="006D160D">
            <w:pPr>
              <w:pStyle w:val="CETBodytext"/>
              <w:ind w:right="-1"/>
              <w:rPr>
                <w:rFonts w:cs="Arial"/>
                <w:szCs w:val="18"/>
                <w:lang w:val="en-GB"/>
              </w:rPr>
            </w:pPr>
            <w:r>
              <w:rPr>
                <w:rFonts w:cs="Arial"/>
                <w:szCs w:val="18"/>
                <w:lang w:val="en-GB"/>
              </w:rPr>
              <w:t>0.00132</w:t>
            </w:r>
          </w:p>
        </w:tc>
        <w:tc>
          <w:tcPr>
            <w:tcW w:w="889" w:type="dxa"/>
            <w:shd w:val="clear" w:color="auto" w:fill="FFFFFF"/>
            <w:vAlign w:val="center"/>
          </w:tcPr>
          <w:p w14:paraId="0673A316" w14:textId="4F7D9028" w:rsidR="00F11CA2" w:rsidRDefault="00F11CA2" w:rsidP="001D5EE7">
            <w:pPr>
              <w:pStyle w:val="CETBodytext"/>
              <w:ind w:right="-1"/>
              <w:rPr>
                <w:rFonts w:cs="Arial"/>
                <w:szCs w:val="18"/>
                <w:lang w:val="en-GB"/>
              </w:rPr>
            </w:pPr>
            <w:r>
              <w:rPr>
                <w:rFonts w:cs="Arial"/>
                <w:szCs w:val="18"/>
                <w:lang w:val="en-GB"/>
              </w:rPr>
              <w:t>0.1196</w:t>
            </w:r>
          </w:p>
          <w:p w14:paraId="7333F1D5" w14:textId="47E06AD9" w:rsidR="00F11CA2" w:rsidRPr="00B57B36" w:rsidRDefault="00F11CA2" w:rsidP="001D5EE7">
            <w:pPr>
              <w:pStyle w:val="CETBodytext"/>
              <w:ind w:right="-1"/>
              <w:rPr>
                <w:rFonts w:cs="Arial"/>
                <w:szCs w:val="18"/>
                <w:lang w:val="en-GB"/>
              </w:rPr>
            </w:pPr>
            <w:r>
              <w:rPr>
                <w:rFonts w:cs="Arial"/>
                <w:szCs w:val="18"/>
                <w:lang w:val="en-GB"/>
              </w:rPr>
              <w:t>0.1037</w:t>
            </w:r>
          </w:p>
        </w:tc>
        <w:tc>
          <w:tcPr>
            <w:tcW w:w="871" w:type="dxa"/>
            <w:shd w:val="clear" w:color="auto" w:fill="FFFFFF"/>
            <w:vAlign w:val="center"/>
          </w:tcPr>
          <w:p w14:paraId="0F59F150" w14:textId="77777777" w:rsidR="00F11CA2" w:rsidRDefault="00F11CA2" w:rsidP="001D5EE7">
            <w:pPr>
              <w:pStyle w:val="CETBodytext"/>
              <w:ind w:right="-1"/>
              <w:rPr>
                <w:rFonts w:cs="Arial"/>
                <w:szCs w:val="18"/>
                <w:lang w:val="en-GB"/>
              </w:rPr>
            </w:pPr>
            <w:r>
              <w:rPr>
                <w:rFonts w:cs="Arial"/>
                <w:szCs w:val="18"/>
                <w:lang w:val="en-GB"/>
              </w:rPr>
              <w:t>0.2351</w:t>
            </w:r>
          </w:p>
          <w:p w14:paraId="405E4554" w14:textId="2E664B20" w:rsidR="00F11CA2" w:rsidRPr="00B57B36" w:rsidRDefault="00F11CA2" w:rsidP="001D5EE7">
            <w:pPr>
              <w:pStyle w:val="CETBodytext"/>
              <w:ind w:right="-1"/>
              <w:rPr>
                <w:rFonts w:cs="Arial"/>
                <w:szCs w:val="18"/>
                <w:lang w:val="en-GB"/>
              </w:rPr>
            </w:pPr>
            <w:r>
              <w:rPr>
                <w:rFonts w:cs="Arial"/>
                <w:szCs w:val="18"/>
                <w:lang w:val="en-GB"/>
              </w:rPr>
              <w:t>0.4497</w:t>
            </w:r>
          </w:p>
        </w:tc>
        <w:tc>
          <w:tcPr>
            <w:tcW w:w="639" w:type="dxa"/>
            <w:shd w:val="clear" w:color="auto" w:fill="FFFFFF"/>
            <w:vAlign w:val="center"/>
          </w:tcPr>
          <w:p w14:paraId="66BF32F4" w14:textId="77777777" w:rsidR="00F11CA2" w:rsidRDefault="00F11CA2" w:rsidP="001D5EE7">
            <w:pPr>
              <w:pStyle w:val="CETBodytext"/>
              <w:ind w:right="-1"/>
              <w:rPr>
                <w:rFonts w:cs="Arial"/>
                <w:szCs w:val="18"/>
                <w:lang w:val="en-GB"/>
              </w:rPr>
            </w:pPr>
            <w:r>
              <w:rPr>
                <w:rFonts w:cs="Arial"/>
                <w:szCs w:val="18"/>
                <w:lang w:val="en-GB"/>
              </w:rPr>
              <w:t>33.66</w:t>
            </w:r>
          </w:p>
          <w:p w14:paraId="37BF2977" w14:textId="0A3C982A" w:rsidR="00F11CA2" w:rsidRPr="00B57B36" w:rsidRDefault="00F11CA2" w:rsidP="001D5EE7">
            <w:pPr>
              <w:pStyle w:val="CETBodytext"/>
              <w:ind w:right="-1"/>
              <w:rPr>
                <w:rFonts w:cs="Arial"/>
                <w:szCs w:val="18"/>
                <w:lang w:val="en-GB"/>
              </w:rPr>
            </w:pPr>
            <w:r>
              <w:rPr>
                <w:rFonts w:cs="Arial"/>
                <w:szCs w:val="18"/>
                <w:lang w:val="en-GB"/>
              </w:rPr>
              <w:t>3.43</w:t>
            </w:r>
          </w:p>
        </w:tc>
        <w:tc>
          <w:tcPr>
            <w:tcW w:w="720" w:type="dxa"/>
            <w:shd w:val="clear" w:color="auto" w:fill="FFFFFF"/>
            <w:vAlign w:val="center"/>
          </w:tcPr>
          <w:p w14:paraId="2006E647" w14:textId="77777777" w:rsidR="00F11CA2" w:rsidRDefault="00F11CA2" w:rsidP="001D5EE7">
            <w:pPr>
              <w:pStyle w:val="CETBodytext"/>
              <w:ind w:right="-1"/>
              <w:rPr>
                <w:rFonts w:cs="Arial"/>
                <w:szCs w:val="18"/>
                <w:lang w:val="en-GB"/>
              </w:rPr>
            </w:pPr>
            <w:r>
              <w:rPr>
                <w:rFonts w:cs="Arial"/>
                <w:szCs w:val="18"/>
                <w:lang w:val="en-GB"/>
              </w:rPr>
              <w:t>4.86</w:t>
            </w:r>
          </w:p>
          <w:p w14:paraId="61AEAE77" w14:textId="761CCD06" w:rsidR="00F11CA2" w:rsidRPr="00B57B36" w:rsidRDefault="00F11CA2" w:rsidP="001D5EE7">
            <w:pPr>
              <w:pStyle w:val="CETBodytext"/>
              <w:ind w:right="-1"/>
              <w:rPr>
                <w:rFonts w:cs="Arial"/>
                <w:szCs w:val="18"/>
                <w:lang w:val="en-GB"/>
              </w:rPr>
            </w:pPr>
            <w:r>
              <w:rPr>
                <w:rFonts w:cs="Arial"/>
                <w:szCs w:val="18"/>
                <w:lang w:val="en-GB"/>
              </w:rPr>
              <w:t>9.32</w:t>
            </w:r>
          </w:p>
        </w:tc>
        <w:tc>
          <w:tcPr>
            <w:tcW w:w="630" w:type="dxa"/>
            <w:shd w:val="clear" w:color="auto" w:fill="FFFFFF"/>
            <w:vAlign w:val="center"/>
          </w:tcPr>
          <w:p w14:paraId="58DF4E2E" w14:textId="4C04E0B4" w:rsidR="00F11CA2" w:rsidRPr="00B57B36" w:rsidRDefault="00F11CA2" w:rsidP="001D5EE7">
            <w:pPr>
              <w:pStyle w:val="CETBodytext"/>
              <w:ind w:right="-1"/>
              <w:rPr>
                <w:rFonts w:cs="Arial"/>
                <w:szCs w:val="18"/>
                <w:lang w:val="en-GB"/>
              </w:rPr>
            </w:pPr>
            <w:r>
              <w:rPr>
                <w:rFonts w:cs="Arial"/>
                <w:szCs w:val="18"/>
                <w:lang w:val="en-GB"/>
              </w:rPr>
              <w:t>-</w:t>
            </w:r>
          </w:p>
        </w:tc>
        <w:tc>
          <w:tcPr>
            <w:tcW w:w="630" w:type="dxa"/>
            <w:shd w:val="clear" w:color="auto" w:fill="FFFFFF"/>
            <w:vAlign w:val="center"/>
          </w:tcPr>
          <w:p w14:paraId="39F4B104" w14:textId="77777777" w:rsidR="00F11CA2" w:rsidRDefault="00F11CA2" w:rsidP="001D5EE7">
            <w:pPr>
              <w:pStyle w:val="CETBodytext"/>
              <w:ind w:right="-1"/>
              <w:rPr>
                <w:rFonts w:cs="Arial"/>
                <w:szCs w:val="18"/>
                <w:lang w:val="en-GB"/>
              </w:rPr>
            </w:pPr>
            <w:r>
              <w:rPr>
                <w:rFonts w:cs="Arial"/>
                <w:szCs w:val="18"/>
                <w:lang w:val="en-GB"/>
              </w:rPr>
              <w:t>0.931</w:t>
            </w:r>
          </w:p>
          <w:p w14:paraId="1B3647D5" w14:textId="52984E3E" w:rsidR="00F11CA2" w:rsidRPr="00B57B36" w:rsidRDefault="00F11CA2" w:rsidP="001D5EE7">
            <w:pPr>
              <w:pStyle w:val="CETBodytext"/>
              <w:ind w:right="-1"/>
              <w:rPr>
                <w:rFonts w:cs="Arial"/>
                <w:szCs w:val="18"/>
                <w:lang w:val="en-GB"/>
              </w:rPr>
            </w:pPr>
            <w:r>
              <w:rPr>
                <w:rFonts w:cs="Arial"/>
                <w:szCs w:val="18"/>
                <w:lang w:val="en-GB"/>
              </w:rPr>
              <w:t>0.44</w:t>
            </w:r>
          </w:p>
        </w:tc>
      </w:tr>
      <w:tr w:rsidR="00F11CA2" w:rsidRPr="00B57B36" w14:paraId="07FCC3E2" w14:textId="0C6E7253" w:rsidTr="007908CA">
        <w:tc>
          <w:tcPr>
            <w:tcW w:w="900" w:type="dxa"/>
            <w:shd w:val="clear" w:color="auto" w:fill="FFFFFF"/>
            <w:vAlign w:val="center"/>
          </w:tcPr>
          <w:p w14:paraId="48FC84F9" w14:textId="01311072" w:rsidR="00F11CA2" w:rsidRPr="00B57B36" w:rsidRDefault="00F11CA2" w:rsidP="001D5EE7">
            <w:pPr>
              <w:pStyle w:val="CETBodytext"/>
              <w:ind w:right="-1"/>
              <w:rPr>
                <w:rFonts w:cs="Arial"/>
                <w:szCs w:val="18"/>
                <w:lang w:val="en-GB"/>
              </w:rPr>
            </w:pPr>
            <w:r>
              <w:rPr>
                <w:rFonts w:cs="Arial"/>
                <w:szCs w:val="18"/>
                <w:lang w:val="en-GB"/>
              </w:rPr>
              <w:t>3.3</w:t>
            </w:r>
          </w:p>
        </w:tc>
        <w:tc>
          <w:tcPr>
            <w:tcW w:w="861" w:type="dxa"/>
            <w:shd w:val="clear" w:color="auto" w:fill="FFFFFF"/>
            <w:vAlign w:val="center"/>
          </w:tcPr>
          <w:p w14:paraId="1A862917" w14:textId="16C5BF2E" w:rsidR="00F11CA2" w:rsidRPr="00B57B36" w:rsidRDefault="00F11CA2" w:rsidP="001D5EE7">
            <w:pPr>
              <w:pStyle w:val="CETBodytext"/>
              <w:ind w:right="-1"/>
              <w:rPr>
                <w:rFonts w:cs="Arial"/>
                <w:szCs w:val="18"/>
                <w:lang w:val="en-GB"/>
              </w:rPr>
            </w:pPr>
            <w:r>
              <w:rPr>
                <w:rFonts w:cs="Arial"/>
                <w:szCs w:val="18"/>
                <w:lang w:val="en-GB"/>
              </w:rPr>
              <w:t>84.69</w:t>
            </w:r>
          </w:p>
        </w:tc>
        <w:tc>
          <w:tcPr>
            <w:tcW w:w="939" w:type="dxa"/>
            <w:shd w:val="clear" w:color="auto" w:fill="FFFFFF"/>
            <w:vAlign w:val="center"/>
          </w:tcPr>
          <w:p w14:paraId="7B5AB0EE" w14:textId="220CE182" w:rsidR="00F11CA2" w:rsidRDefault="007C55C8" w:rsidP="001D5EE7">
            <w:pPr>
              <w:pStyle w:val="CETBodytext"/>
              <w:ind w:right="-1"/>
              <w:rPr>
                <w:rFonts w:cs="Arial"/>
                <w:szCs w:val="18"/>
                <w:lang w:val="en-GB"/>
              </w:rPr>
            </w:pPr>
            <w:r>
              <w:rPr>
                <w:rFonts w:cs="Arial"/>
                <w:szCs w:val="18"/>
                <w:lang w:val="en-GB"/>
              </w:rPr>
              <w:t>2.367</w:t>
            </w:r>
          </w:p>
        </w:tc>
        <w:tc>
          <w:tcPr>
            <w:tcW w:w="939" w:type="dxa"/>
            <w:shd w:val="clear" w:color="auto" w:fill="FFFFFF"/>
            <w:vAlign w:val="center"/>
          </w:tcPr>
          <w:p w14:paraId="27E308A9" w14:textId="1980C037" w:rsidR="00F11CA2" w:rsidRPr="00B57B36" w:rsidRDefault="00F11CA2" w:rsidP="001D5EE7">
            <w:pPr>
              <w:pStyle w:val="CETBodytext"/>
              <w:ind w:right="-1"/>
              <w:rPr>
                <w:rFonts w:cs="Arial"/>
                <w:szCs w:val="18"/>
                <w:lang w:val="en-GB"/>
              </w:rPr>
            </w:pPr>
            <w:r>
              <w:rPr>
                <w:rFonts w:cs="Arial"/>
                <w:szCs w:val="18"/>
                <w:lang w:val="en-GB"/>
              </w:rPr>
              <w:t>1.137</w:t>
            </w:r>
          </w:p>
        </w:tc>
        <w:tc>
          <w:tcPr>
            <w:tcW w:w="751" w:type="dxa"/>
            <w:shd w:val="clear" w:color="auto" w:fill="FFFFFF"/>
            <w:vAlign w:val="center"/>
          </w:tcPr>
          <w:p w14:paraId="4BD002CD" w14:textId="61E43508" w:rsidR="00F11CA2" w:rsidRPr="00B57B36" w:rsidRDefault="00F11CA2" w:rsidP="001D5EE7">
            <w:pPr>
              <w:pStyle w:val="CETBodytext"/>
              <w:ind w:right="-1"/>
              <w:rPr>
                <w:rFonts w:cs="Arial"/>
                <w:szCs w:val="18"/>
                <w:lang w:val="en-GB"/>
              </w:rPr>
            </w:pPr>
            <w:r>
              <w:rPr>
                <w:rFonts w:cs="Arial"/>
                <w:szCs w:val="18"/>
                <w:lang w:val="en-GB"/>
              </w:rPr>
              <w:t>0.00158</w:t>
            </w:r>
          </w:p>
        </w:tc>
        <w:tc>
          <w:tcPr>
            <w:tcW w:w="889" w:type="dxa"/>
            <w:shd w:val="clear" w:color="auto" w:fill="FFFFFF"/>
            <w:vAlign w:val="center"/>
          </w:tcPr>
          <w:p w14:paraId="78EE9D7E" w14:textId="77777777" w:rsidR="00F11CA2" w:rsidRDefault="00F11CA2" w:rsidP="001D5EE7">
            <w:pPr>
              <w:pStyle w:val="CETBodytext"/>
              <w:ind w:right="-1"/>
              <w:rPr>
                <w:rFonts w:cs="Arial"/>
                <w:szCs w:val="18"/>
                <w:lang w:val="en-GB"/>
              </w:rPr>
            </w:pPr>
            <w:r>
              <w:rPr>
                <w:rFonts w:cs="Arial"/>
                <w:szCs w:val="18"/>
                <w:lang w:val="en-GB"/>
              </w:rPr>
              <w:t>0.1384</w:t>
            </w:r>
          </w:p>
          <w:p w14:paraId="06085049" w14:textId="6F961372" w:rsidR="00F11CA2" w:rsidRPr="00B57B36" w:rsidRDefault="00F11CA2" w:rsidP="001D5EE7">
            <w:pPr>
              <w:pStyle w:val="CETBodytext"/>
              <w:ind w:right="-1"/>
              <w:rPr>
                <w:rFonts w:cs="Arial"/>
                <w:szCs w:val="18"/>
                <w:lang w:val="en-GB"/>
              </w:rPr>
            </w:pPr>
            <w:r>
              <w:rPr>
                <w:rFonts w:cs="Arial"/>
                <w:szCs w:val="18"/>
                <w:lang w:val="en-GB"/>
              </w:rPr>
              <w:t>0.1385</w:t>
            </w:r>
          </w:p>
        </w:tc>
        <w:tc>
          <w:tcPr>
            <w:tcW w:w="871" w:type="dxa"/>
            <w:shd w:val="clear" w:color="auto" w:fill="FFFFFF"/>
            <w:vAlign w:val="center"/>
          </w:tcPr>
          <w:p w14:paraId="67908294" w14:textId="77777777" w:rsidR="00F11CA2" w:rsidRDefault="00F11CA2" w:rsidP="001D5EE7">
            <w:pPr>
              <w:pStyle w:val="CETBodytext"/>
              <w:ind w:right="-1"/>
              <w:rPr>
                <w:rFonts w:cs="Arial"/>
                <w:szCs w:val="18"/>
                <w:lang w:val="en-GB"/>
              </w:rPr>
            </w:pPr>
            <w:r>
              <w:rPr>
                <w:rFonts w:cs="Arial"/>
                <w:szCs w:val="18"/>
                <w:lang w:val="en-GB"/>
              </w:rPr>
              <w:t>0.1663</w:t>
            </w:r>
          </w:p>
          <w:p w14:paraId="59184448" w14:textId="1F308141" w:rsidR="00F11CA2" w:rsidRPr="00B57B36" w:rsidRDefault="00F11CA2" w:rsidP="001D5EE7">
            <w:pPr>
              <w:pStyle w:val="CETBodytext"/>
              <w:ind w:right="-1"/>
              <w:rPr>
                <w:rFonts w:cs="Arial"/>
                <w:szCs w:val="18"/>
                <w:lang w:val="en-GB"/>
              </w:rPr>
            </w:pPr>
            <w:r>
              <w:rPr>
                <w:rFonts w:cs="Arial"/>
                <w:szCs w:val="18"/>
                <w:lang w:val="en-GB"/>
              </w:rPr>
              <w:t>0.1764</w:t>
            </w:r>
          </w:p>
        </w:tc>
        <w:tc>
          <w:tcPr>
            <w:tcW w:w="639" w:type="dxa"/>
            <w:shd w:val="clear" w:color="auto" w:fill="FFFFFF"/>
            <w:vAlign w:val="center"/>
          </w:tcPr>
          <w:p w14:paraId="0B1E8755" w14:textId="77777777" w:rsidR="00F11CA2" w:rsidRDefault="00F11CA2" w:rsidP="001D5EE7">
            <w:pPr>
              <w:pStyle w:val="CETBodytext"/>
              <w:ind w:right="-1"/>
              <w:rPr>
                <w:rFonts w:cs="Arial"/>
                <w:szCs w:val="18"/>
                <w:lang w:val="en-GB"/>
              </w:rPr>
            </w:pPr>
            <w:r>
              <w:rPr>
                <w:rFonts w:cs="Arial"/>
                <w:szCs w:val="18"/>
                <w:lang w:val="en-GB"/>
              </w:rPr>
              <w:t>38.15</w:t>
            </w:r>
          </w:p>
          <w:p w14:paraId="7F661566" w14:textId="311DF9F2" w:rsidR="00F11CA2" w:rsidRPr="00B57B36" w:rsidRDefault="00F11CA2" w:rsidP="001D5EE7">
            <w:pPr>
              <w:pStyle w:val="CETBodytext"/>
              <w:ind w:right="-1"/>
              <w:rPr>
                <w:rFonts w:cs="Arial"/>
                <w:szCs w:val="18"/>
                <w:lang w:val="en-GB"/>
              </w:rPr>
            </w:pPr>
            <w:r>
              <w:rPr>
                <w:rFonts w:cs="Arial"/>
                <w:szCs w:val="18"/>
                <w:lang w:val="en-GB"/>
              </w:rPr>
              <w:t>2.64</w:t>
            </w:r>
          </w:p>
        </w:tc>
        <w:tc>
          <w:tcPr>
            <w:tcW w:w="720" w:type="dxa"/>
            <w:shd w:val="clear" w:color="auto" w:fill="FFFFFF"/>
            <w:vAlign w:val="center"/>
          </w:tcPr>
          <w:p w14:paraId="3919F247" w14:textId="77777777" w:rsidR="00F11CA2" w:rsidRDefault="00F11CA2" w:rsidP="001D5EE7">
            <w:pPr>
              <w:pStyle w:val="CETBodytext"/>
              <w:ind w:right="-1"/>
              <w:rPr>
                <w:rFonts w:cs="Arial"/>
                <w:szCs w:val="18"/>
                <w:lang w:val="en-GB"/>
              </w:rPr>
            </w:pPr>
            <w:r>
              <w:rPr>
                <w:rFonts w:cs="Arial"/>
                <w:szCs w:val="18"/>
                <w:lang w:val="en-GB"/>
              </w:rPr>
              <w:t>4.91</w:t>
            </w:r>
          </w:p>
          <w:p w14:paraId="7EDFA8CB" w14:textId="03734813" w:rsidR="00F11CA2" w:rsidRPr="00B57B36" w:rsidRDefault="00F11CA2" w:rsidP="001D5EE7">
            <w:pPr>
              <w:pStyle w:val="CETBodytext"/>
              <w:ind w:right="-1"/>
              <w:rPr>
                <w:rFonts w:cs="Arial"/>
                <w:szCs w:val="18"/>
                <w:lang w:val="en-GB"/>
              </w:rPr>
            </w:pPr>
            <w:r>
              <w:rPr>
                <w:rFonts w:cs="Arial"/>
                <w:szCs w:val="18"/>
                <w:lang w:val="en-GB"/>
              </w:rPr>
              <w:t>9.34</w:t>
            </w:r>
          </w:p>
        </w:tc>
        <w:tc>
          <w:tcPr>
            <w:tcW w:w="630" w:type="dxa"/>
            <w:shd w:val="clear" w:color="auto" w:fill="FFFFFF"/>
            <w:vAlign w:val="center"/>
          </w:tcPr>
          <w:p w14:paraId="46610ED5" w14:textId="77777777" w:rsidR="00F11CA2" w:rsidRDefault="00F11CA2" w:rsidP="001D5EE7">
            <w:pPr>
              <w:pStyle w:val="CETBodytext"/>
              <w:ind w:right="-1"/>
              <w:rPr>
                <w:rFonts w:cs="Arial"/>
                <w:szCs w:val="18"/>
                <w:lang w:val="en-GB"/>
              </w:rPr>
            </w:pPr>
            <w:r>
              <w:rPr>
                <w:rFonts w:cs="Arial"/>
                <w:szCs w:val="18"/>
                <w:lang w:val="en-GB"/>
              </w:rPr>
              <w:t>1.711</w:t>
            </w:r>
          </w:p>
          <w:p w14:paraId="36EA85B2" w14:textId="60D028E7" w:rsidR="00F11CA2" w:rsidRPr="00B57B36" w:rsidRDefault="00F11CA2" w:rsidP="001D5EE7">
            <w:pPr>
              <w:pStyle w:val="CETBodytext"/>
              <w:ind w:right="-1"/>
              <w:rPr>
                <w:rFonts w:cs="Arial"/>
                <w:szCs w:val="18"/>
                <w:lang w:val="en-GB"/>
              </w:rPr>
            </w:pPr>
            <w:r>
              <w:rPr>
                <w:rFonts w:cs="Arial"/>
                <w:szCs w:val="18"/>
                <w:lang w:val="en-GB"/>
              </w:rPr>
              <w:t>300.2</w:t>
            </w:r>
          </w:p>
        </w:tc>
        <w:tc>
          <w:tcPr>
            <w:tcW w:w="630" w:type="dxa"/>
            <w:shd w:val="clear" w:color="auto" w:fill="FFFFFF"/>
            <w:vAlign w:val="center"/>
          </w:tcPr>
          <w:p w14:paraId="6A53FDF4" w14:textId="77777777" w:rsidR="00F11CA2" w:rsidRDefault="00F11CA2" w:rsidP="001D5EE7">
            <w:pPr>
              <w:pStyle w:val="CETBodytext"/>
              <w:ind w:right="-1"/>
              <w:rPr>
                <w:rFonts w:cs="Arial"/>
                <w:szCs w:val="18"/>
                <w:lang w:val="en-GB"/>
              </w:rPr>
            </w:pPr>
            <w:r>
              <w:rPr>
                <w:rFonts w:cs="Arial"/>
                <w:szCs w:val="18"/>
                <w:lang w:val="en-GB"/>
              </w:rPr>
              <w:t>0.9</w:t>
            </w:r>
          </w:p>
          <w:p w14:paraId="0424999F" w14:textId="320DAC1E" w:rsidR="00F11CA2" w:rsidRPr="00B57B36" w:rsidRDefault="00F11CA2" w:rsidP="001D5EE7">
            <w:pPr>
              <w:pStyle w:val="CETBodytext"/>
              <w:ind w:right="-1"/>
              <w:rPr>
                <w:rFonts w:cs="Arial"/>
                <w:szCs w:val="18"/>
                <w:lang w:val="en-GB"/>
              </w:rPr>
            </w:pPr>
            <w:r>
              <w:rPr>
                <w:rFonts w:cs="Arial"/>
                <w:szCs w:val="18"/>
                <w:lang w:val="en-GB"/>
              </w:rPr>
              <w:t>0.44</w:t>
            </w:r>
          </w:p>
        </w:tc>
      </w:tr>
    </w:tbl>
    <w:p w14:paraId="1A617C5A" w14:textId="77777777" w:rsidR="005E3F36" w:rsidRDefault="005E3F36" w:rsidP="00200D99">
      <w:pPr>
        <w:pStyle w:val="CETBodytext"/>
      </w:pPr>
    </w:p>
    <w:p w14:paraId="2BD22FEA" w14:textId="30F9BD2B" w:rsidR="00F43F59" w:rsidRDefault="00277A8F" w:rsidP="00200D99">
      <w:pPr>
        <w:pStyle w:val="CETBodytext"/>
      </w:pPr>
      <w:r>
        <w:t xml:space="preserve">The table shows that the emphasis of the optimization was put on verifying the claims on </w:t>
      </w:r>
      <w:r w:rsidRPr="00277A8F">
        <w:rPr>
          <w:i/>
        </w:rPr>
        <w:t>OUR</w:t>
      </w:r>
      <w:r>
        <w:t xml:space="preserve"> and biomass kinetics properties, less on glucose concentration. It shows no significant difference whether biomass yield (</w:t>
      </w:r>
      <m:oMath>
        <m:sSub>
          <m:sSubPr>
            <m:ctrlPr>
              <w:rPr>
                <w:rFonts w:ascii="Cambria Math" w:hAnsi="Cambria Math" w:cs="Arial"/>
                <w:i/>
              </w:rPr>
            </m:ctrlPr>
          </m:sSubPr>
          <m:e>
            <m:r>
              <w:rPr>
                <w:rFonts w:ascii="Cambria Math" w:hAnsi="Cambria Math" w:cs="Arial"/>
              </w:rPr>
              <m:t>Y</m:t>
            </m:r>
          </m:e>
          <m:sub>
            <m:r>
              <w:rPr>
                <w:rFonts w:ascii="Cambria Math" w:hAnsi="Cambria Math" w:cs="Arial"/>
              </w:rPr>
              <m:t>xs</m:t>
            </m:r>
          </m:sub>
        </m:sSub>
      </m:oMath>
      <w:r>
        <w:t>) is a function of time or cell population age.</w:t>
      </w:r>
      <w:r w:rsidR="00264844">
        <w:t xml:space="preserve"> </w:t>
      </w:r>
      <w:r w:rsidR="00EE7149">
        <w:t>T</w:t>
      </w:r>
      <w:r>
        <w:t xml:space="preserve">he assumption </w:t>
      </w:r>
      <w:r w:rsidR="00BD1384">
        <w:t>on</w:t>
      </w:r>
      <w:r w:rsidR="00D30ED4">
        <w:t xml:space="preserve"> </w:t>
      </w:r>
      <w:r w:rsidR="00C061F2">
        <w:t>oxygen uptake rate</w:t>
      </w:r>
      <w:r>
        <w:t xml:space="preserve"> </w:t>
      </w:r>
      <w:r w:rsidR="00D30ED4">
        <w:t>(</w:t>
      </w:r>
      <m:oMath>
        <m:sSub>
          <m:sSubPr>
            <m:ctrlPr>
              <w:rPr>
                <w:rFonts w:ascii="Cambria Math" w:hAnsi="Cambria Math" w:cs="Arial"/>
                <w:i/>
              </w:rPr>
            </m:ctrlPr>
          </m:sSubPr>
          <m:e>
            <m:r>
              <w:rPr>
                <w:rFonts w:ascii="Cambria Math" w:hAnsi="Cambria Math" w:cs="Arial"/>
              </w:rPr>
              <m:t>OUR</m:t>
            </m:r>
          </m:e>
          <m:sub>
            <m:r>
              <w:rPr>
                <w:rFonts w:ascii="Cambria Math" w:hAnsi="Cambria Math" w:cs="Arial"/>
              </w:rPr>
              <m:t>X</m:t>
            </m:r>
          </m:sub>
        </m:sSub>
        <m:d>
          <m:dPr>
            <m:ctrlPr>
              <w:rPr>
                <w:rFonts w:ascii="Cambria Math" w:hAnsi="Cambria Math" w:cs="Arial"/>
                <w:i/>
              </w:rPr>
            </m:ctrlPr>
          </m:dPr>
          <m:e>
            <m:r>
              <w:rPr>
                <w:rFonts w:ascii="Cambria Math" w:hAnsi="Cambria Math" w:cs="Arial"/>
              </w:rPr>
              <m:t>t</m:t>
            </m:r>
          </m:e>
        </m:d>
        <m:r>
          <w:rPr>
            <w:rFonts w:ascii="Cambria Math" w:hAnsi="Cambria Math" w:cs="Arial"/>
          </w:rPr>
          <m:t>&lt;OUR</m:t>
        </m:r>
        <m:d>
          <m:dPr>
            <m:ctrlPr>
              <w:rPr>
                <w:rFonts w:ascii="Cambria Math" w:hAnsi="Cambria Math" w:cs="Arial"/>
                <w:i/>
              </w:rPr>
            </m:ctrlPr>
          </m:dPr>
          <m:e>
            <m:r>
              <w:rPr>
                <w:rFonts w:ascii="Cambria Math" w:hAnsi="Cambria Math" w:cs="Arial"/>
              </w:rPr>
              <m:t>t</m:t>
            </m:r>
          </m:e>
        </m:d>
      </m:oMath>
      <w:r w:rsidR="00D30ED4">
        <w:t>)</w:t>
      </w:r>
      <w:r w:rsidR="00EE7149">
        <w:t xml:space="preserve"> </w:t>
      </w:r>
      <w:r w:rsidR="00265B39">
        <w:t xml:space="preserve">allows </w:t>
      </w:r>
      <w:r w:rsidR="00721EA8">
        <w:t>improving</w:t>
      </w:r>
      <w:r w:rsidR="00265B39">
        <w:t xml:space="preserve"> the</w:t>
      </w:r>
      <w:r w:rsidR="00EE7149">
        <w:t xml:space="preserve"> estimation by 17%</w:t>
      </w:r>
      <w:r w:rsidR="00276D25">
        <w:t>.</w:t>
      </w:r>
    </w:p>
    <w:p w14:paraId="68D26B83" w14:textId="77777777" w:rsidR="00600535" w:rsidRPr="00B57B36" w:rsidRDefault="00600535" w:rsidP="00600535">
      <w:pPr>
        <w:pStyle w:val="CETHeading1"/>
        <w:rPr>
          <w:lang w:val="en-GB"/>
        </w:rPr>
      </w:pPr>
      <w:r w:rsidRPr="00B57B36">
        <w:rPr>
          <w:lang w:val="en-GB"/>
        </w:rPr>
        <w:t>Conclusions</w:t>
      </w:r>
    </w:p>
    <w:p w14:paraId="6F8E42A6" w14:textId="2C5A5760" w:rsidR="000211E3" w:rsidRDefault="00C3536D" w:rsidP="00600535">
      <w:pPr>
        <w:pStyle w:val="CETBodytext"/>
        <w:rPr>
          <w:lang w:val="en-GB"/>
        </w:rPr>
      </w:pPr>
      <w:r>
        <w:rPr>
          <w:lang w:val="en-GB"/>
        </w:rPr>
        <w:t xml:space="preserve">This study introduces a novel improvement in the understanding of the Luedeking-Piret dependencies. The oxygen uptake rate portion dedicated for soluble by-products that cause excess glucose consumption allows </w:t>
      </w:r>
      <w:r>
        <w:rPr>
          <w:lang w:val="en-GB"/>
        </w:rPr>
        <w:lastRenderedPageBreak/>
        <w:t>improving the biomass model fitting results by 17%.</w:t>
      </w:r>
      <w:r w:rsidR="00FC4DA5">
        <w:rPr>
          <w:lang w:val="en-GB"/>
        </w:rPr>
        <w:t xml:space="preserve"> Moreover, </w:t>
      </w:r>
      <w:r w:rsidR="004E40CF">
        <w:rPr>
          <w:lang w:val="en-GB"/>
        </w:rPr>
        <w:t>the authors show no significant difference in</w:t>
      </w:r>
      <w:r w:rsidR="003D4A54">
        <w:rPr>
          <w:lang w:val="en-GB"/>
        </w:rPr>
        <w:t xml:space="preserve"> whether biomass yield is assumed to be a dynamic function of time or </w:t>
      </w:r>
      <w:r w:rsidR="004E40CF">
        <w:rPr>
          <w:lang w:val="en-GB"/>
        </w:rPr>
        <w:t xml:space="preserve">a </w:t>
      </w:r>
      <w:r w:rsidR="003D4A54">
        <w:rPr>
          <w:lang w:val="en-GB"/>
        </w:rPr>
        <w:t xml:space="preserve">direct </w:t>
      </w:r>
      <w:r w:rsidR="004E40CF">
        <w:rPr>
          <w:lang w:val="en-GB"/>
        </w:rPr>
        <w:t>dependency</w:t>
      </w:r>
      <w:r w:rsidR="003D4A54">
        <w:rPr>
          <w:lang w:val="en-GB"/>
        </w:rPr>
        <w:t xml:space="preserve"> o</w:t>
      </w:r>
      <w:r w:rsidR="004E40CF">
        <w:rPr>
          <w:lang w:val="en-GB"/>
        </w:rPr>
        <w:t>n</w:t>
      </w:r>
      <w:r w:rsidR="003D4A54">
        <w:rPr>
          <w:lang w:val="en-GB"/>
        </w:rPr>
        <w:t xml:space="preserve"> cell population age</w:t>
      </w:r>
      <w:r w:rsidR="004E40CF">
        <w:rPr>
          <w:lang w:val="en-GB"/>
        </w:rPr>
        <w:t>, which potentially adds more observability to a</w:t>
      </w:r>
      <w:r w:rsidR="00C84E6E">
        <w:rPr>
          <w:lang w:val="en-GB"/>
        </w:rPr>
        <w:t>n</w:t>
      </w:r>
      <w:r w:rsidR="004E40CF">
        <w:rPr>
          <w:lang w:val="en-GB"/>
        </w:rPr>
        <w:t xml:space="preserve"> upstream developer</w:t>
      </w:r>
      <w:r w:rsidR="003D4A54">
        <w:rPr>
          <w:lang w:val="en-GB"/>
        </w:rPr>
        <w:t>.</w:t>
      </w:r>
      <w:r w:rsidR="00A71D42">
        <w:rPr>
          <w:lang w:val="en-GB"/>
        </w:rPr>
        <w:t xml:space="preserve"> This work’s findings might illuminate why off-gas </w:t>
      </w:r>
      <w:r w:rsidR="00BA7DA8">
        <w:rPr>
          <w:lang w:val="en-GB"/>
        </w:rPr>
        <w:t>tools</w:t>
      </w:r>
      <w:r w:rsidR="00A71D42">
        <w:rPr>
          <w:lang w:val="en-GB"/>
        </w:rPr>
        <w:t xml:space="preserve"> and parametric models slowly gain momentum in industrial production</w:t>
      </w:r>
      <w:r w:rsidR="00F6042C">
        <w:rPr>
          <w:lang w:val="en-GB"/>
        </w:rPr>
        <w:t xml:space="preserve">. </w:t>
      </w:r>
      <w:r w:rsidR="00DB1966">
        <w:rPr>
          <w:lang w:val="en-GB"/>
        </w:rPr>
        <w:t>Batch bioprocesses</w:t>
      </w:r>
      <w:r w:rsidR="00F6042C">
        <w:rPr>
          <w:lang w:val="en-GB"/>
        </w:rPr>
        <w:t xml:space="preserve"> </w:t>
      </w:r>
      <w:r w:rsidR="00DB1966">
        <w:rPr>
          <w:lang w:val="en-GB"/>
        </w:rPr>
        <w:t xml:space="preserve">usually </w:t>
      </w:r>
      <w:r w:rsidR="00F6042C">
        <w:rPr>
          <w:lang w:val="en-GB"/>
        </w:rPr>
        <w:t>depend on excess glucose concentrations for soluble metabolic products. Therefore, to use available equipment,</w:t>
      </w:r>
      <w:r w:rsidR="00BA7DA8">
        <w:rPr>
          <w:lang w:val="en-GB"/>
        </w:rPr>
        <w:t xml:space="preserve"> </w:t>
      </w:r>
      <w:r w:rsidR="00F6042C">
        <w:rPr>
          <w:lang w:val="en-GB"/>
        </w:rPr>
        <w:t>the</w:t>
      </w:r>
      <w:r w:rsidR="00BA7DA8">
        <w:rPr>
          <w:lang w:val="en-GB"/>
        </w:rPr>
        <w:t xml:space="preserve"> Lu</w:t>
      </w:r>
      <w:r w:rsidR="00FE4137">
        <w:rPr>
          <w:lang w:val="en-GB"/>
        </w:rPr>
        <w:t>e</w:t>
      </w:r>
      <w:r w:rsidR="00BA7DA8">
        <w:rPr>
          <w:lang w:val="en-GB"/>
        </w:rPr>
        <w:t xml:space="preserve">deking-Piret form should be generalized when </w:t>
      </w:r>
      <w:r w:rsidR="00F6042C">
        <w:rPr>
          <w:lang w:val="en-GB"/>
        </w:rPr>
        <w:t>taking benefit of</w:t>
      </w:r>
      <w:r w:rsidR="00BA7DA8">
        <w:rPr>
          <w:lang w:val="en-GB"/>
        </w:rPr>
        <w:t xml:space="preserve"> kinetics balances.</w:t>
      </w:r>
    </w:p>
    <w:p w14:paraId="459D05E6" w14:textId="63E0A5A2" w:rsidR="00600535" w:rsidRPr="00B57B36" w:rsidRDefault="008E14BF" w:rsidP="00600535">
      <w:pPr>
        <w:pStyle w:val="CETAcknowledgementstitle"/>
      </w:pPr>
      <w:r>
        <w:t>Ackn</w:t>
      </w:r>
      <w:r w:rsidR="00E03FAD">
        <w:t>ow</w:t>
      </w:r>
      <w:r>
        <w:t>ledgments</w:t>
      </w:r>
    </w:p>
    <w:p w14:paraId="33F8138F" w14:textId="394CDFE9" w:rsidR="00600535" w:rsidRPr="00B57B36" w:rsidRDefault="000211E3" w:rsidP="00600535">
      <w:pPr>
        <w:pStyle w:val="CETBodytext"/>
        <w:rPr>
          <w:lang w:val="en-GB"/>
        </w:rPr>
      </w:pPr>
      <w:r w:rsidRPr="000211E3">
        <w:rPr>
          <w:lang w:val="en-GB"/>
        </w:rPr>
        <w:t>This project received funding from the European Regional Development Fund (project no. 01.2.2-LMT-K-718-03-0039) under a grant agreement with the Research Council of Lithuania (LMTLT).</w:t>
      </w:r>
    </w:p>
    <w:p w14:paraId="4F1327F8" w14:textId="77777777" w:rsidR="00600535" w:rsidRPr="00B57B36" w:rsidRDefault="00600535" w:rsidP="00600535">
      <w:pPr>
        <w:pStyle w:val="CETReference"/>
      </w:pPr>
      <w:r w:rsidRPr="00B57B36">
        <w:t>References</w:t>
      </w:r>
    </w:p>
    <w:p w14:paraId="24A0CE97" w14:textId="2393E6A3" w:rsidR="001D5EE7" w:rsidRDefault="001D5EE7" w:rsidP="002C6437">
      <w:pPr>
        <w:pStyle w:val="CETReferencetext"/>
      </w:pPr>
      <w:r w:rsidRPr="001D5EE7">
        <w:t xml:space="preserve">Boecker, S., Slaviero, G., Schramm, T., Szymanski, W., Steuer, R., Link, H., Klamt, S., 2021. Deciphering the physiological response of Escherichia coli under high ATP demand. Molecular Systems Biology 17. </w:t>
      </w:r>
      <w:hyperlink r:id="rId10" w:history="1">
        <w:r w:rsidRPr="00AA7E4B">
          <w:rPr>
            <w:rStyle w:val="Hyperlink"/>
          </w:rPr>
          <w:t>https://doi.org/10.15252/msb.202110504</w:t>
        </w:r>
      </w:hyperlink>
    </w:p>
    <w:p w14:paraId="7C03C16B" w14:textId="03B99F59" w:rsidR="001D5EE7" w:rsidRDefault="001D5EE7" w:rsidP="002C6437">
      <w:pPr>
        <w:pStyle w:val="CETReferencetext"/>
      </w:pPr>
      <w:r w:rsidRPr="001D5EE7">
        <w:t xml:space="preserve">Dümmler, A., Lawrence, A.-M., de Marco, A., 2005. Simplified screening for the detection of soluble fusion constructs expressed in E. coli using a modular set of vectors. Microb Cell Fact 4, 34. </w:t>
      </w:r>
      <w:hyperlink r:id="rId11" w:history="1">
        <w:r w:rsidRPr="00AA7E4B">
          <w:rPr>
            <w:rStyle w:val="Hyperlink"/>
          </w:rPr>
          <w:t>https://doi.org/10.1186/1475-2859-4-34</w:t>
        </w:r>
      </w:hyperlink>
    </w:p>
    <w:p w14:paraId="2A282F5E" w14:textId="3F2EB816" w:rsidR="001D5EE7" w:rsidRDefault="001D5EE7" w:rsidP="002C6437">
      <w:pPr>
        <w:pStyle w:val="CETReferencetext"/>
      </w:pPr>
      <w:r w:rsidRPr="001D5EE7">
        <w:t xml:space="preserve">Galvanauskas, V., Simutis, R., Levisauskas, D., Urniezius, R., Tekorius, T., Vaitkus, V., 2021. Design and Adaptation of Robust Feeding Profiles for Recombinant E.coli Fed-batch Cultivation Processes, in: 2021 29th Mediterranean Conference on Control and Automation (MED). Presented at the 2021 29th Mediterranean Conference on Control and Automation (MED), IEEE, PUGLIA, Italy, pp. 532–537. </w:t>
      </w:r>
      <w:hyperlink r:id="rId12" w:history="1">
        <w:r w:rsidRPr="00AA7E4B">
          <w:rPr>
            <w:rStyle w:val="Hyperlink"/>
          </w:rPr>
          <w:t>https://doi.org/10.1109/MED51440.2021.9480282</w:t>
        </w:r>
      </w:hyperlink>
    </w:p>
    <w:p w14:paraId="0DFCF9D7" w14:textId="3FFBA51B" w:rsidR="006F622A" w:rsidRDefault="006F622A" w:rsidP="006F622A">
      <w:pPr>
        <w:pStyle w:val="CETReferencetext"/>
        <w:rPr>
          <w:rStyle w:val="Hyperlink"/>
        </w:rPr>
      </w:pPr>
      <w:r>
        <w:t>Galvanauskas V., Simutis R., Levisauskas D., Urniezius R., Vaitkus V., Tekorius T., Butkus M., Survyla A. Patent LT6861B</w:t>
      </w:r>
      <w:r w:rsidR="001D5EE7">
        <w:t>, 2021b-11-10</w:t>
      </w:r>
      <w:r>
        <w:t>. Method for design and adaptation of feeding profiles for recombinant E.coli fed-batch c</w:t>
      </w:r>
      <w:r w:rsidR="001D5EE7">
        <w:t xml:space="preserve">ultivation processes. </w:t>
      </w:r>
      <w:r>
        <w:t xml:space="preserve">[Accessed 2022-01-28] </w:t>
      </w:r>
      <w:hyperlink r:id="rId13" w:history="1">
        <w:r w:rsidRPr="00C33B3E">
          <w:rPr>
            <w:rStyle w:val="Hyperlink"/>
          </w:rPr>
          <w:t>https://patents.google.com/patent/LT6861B</w:t>
        </w:r>
      </w:hyperlink>
    </w:p>
    <w:p w14:paraId="31179CB8" w14:textId="58319D2E" w:rsidR="0035656C" w:rsidRDefault="0035656C" w:rsidP="006F622A">
      <w:pPr>
        <w:pStyle w:val="CETReferencetext"/>
      </w:pPr>
      <w:r w:rsidRPr="0035656C">
        <w:t xml:space="preserve">Levisauskas Donatas, Simutis Rimvydas, Galvanauskas Vytautas, Urniezius Renaldas, 2019. Simple Control Systems for Set-point Control of Dissolved Oxygen Concentration in Batch Fermentation Processes. Chemical Engineering Transactions 74, 127–132. </w:t>
      </w:r>
      <w:hyperlink r:id="rId14" w:history="1">
        <w:r w:rsidRPr="00AA7E4B">
          <w:rPr>
            <w:rStyle w:val="Hyperlink"/>
          </w:rPr>
          <w:t>https://doi.org/10.3303/CET1974022</w:t>
        </w:r>
      </w:hyperlink>
    </w:p>
    <w:p w14:paraId="587C8782" w14:textId="60871859" w:rsidR="0035656C" w:rsidRDefault="0035656C" w:rsidP="0035656C">
      <w:pPr>
        <w:pStyle w:val="CETReferencetext"/>
      </w:pPr>
      <w:r w:rsidRPr="0035656C">
        <w:t xml:space="preserve">Lyubenova, V., Ignatova, M., Roeva, O., Junne, S., Neubauer, P., 2020. Adaptive Monitoring of Biotechnological Processes Kinetics. Processes 8, 1307. </w:t>
      </w:r>
      <w:hyperlink r:id="rId15" w:history="1">
        <w:r w:rsidRPr="00AA7E4B">
          <w:rPr>
            <w:rStyle w:val="Hyperlink"/>
          </w:rPr>
          <w:t>https://doi.org/10.3390/pr8101307</w:t>
        </w:r>
      </w:hyperlink>
    </w:p>
    <w:p w14:paraId="0267E586" w14:textId="434A648D" w:rsidR="0035656C" w:rsidRDefault="0035656C" w:rsidP="0035656C">
      <w:pPr>
        <w:pStyle w:val="CETReferencetext"/>
      </w:pPr>
      <w:r w:rsidRPr="0035656C">
        <w:t xml:space="preserve">Pinu, F.R., Granucci, N., Daniell, J., Han, T.-L., Carneiro, S., Rocha, I., Nielsen, J., Villas-Boas, S.G., 2018. Metabolite secretion in microorganisms: the theory of metabolic overflow put to the test. Metabolomics 14, 43. </w:t>
      </w:r>
      <w:hyperlink r:id="rId16" w:history="1">
        <w:r w:rsidRPr="00AA7E4B">
          <w:rPr>
            <w:rStyle w:val="Hyperlink"/>
          </w:rPr>
          <w:t>https://doi.org/10.1007/s11306-018-1339-7</w:t>
        </w:r>
      </w:hyperlink>
    </w:p>
    <w:p w14:paraId="503CB84F" w14:textId="7768E5A2" w:rsidR="0035656C" w:rsidRDefault="0035656C" w:rsidP="0035656C">
      <w:pPr>
        <w:pStyle w:val="CETReferencetext"/>
        <w:rPr>
          <w:lang w:val="lt-LT"/>
        </w:rPr>
      </w:pPr>
      <w:r w:rsidRPr="0035656C">
        <w:rPr>
          <w:lang w:val="lt-LT"/>
        </w:rPr>
        <w:t xml:space="preserve">Survyla, A., Levisauskas, D., Urniezius, R., Simutis, R., 2021. An oxygen-uptake-rate-based estimator of the specific growth rate in Escherichia coli BL21 strains cultivation processes. Computational and Structural Biotechnology Journal 19, 5856–5863. </w:t>
      </w:r>
      <w:hyperlink r:id="rId17" w:history="1">
        <w:r w:rsidRPr="00AA7E4B">
          <w:rPr>
            <w:rStyle w:val="Hyperlink"/>
            <w:lang w:val="lt-LT"/>
          </w:rPr>
          <w:t>https://doi.org/10.1016/j.csbj.2021.10.015</w:t>
        </w:r>
      </w:hyperlink>
    </w:p>
    <w:p w14:paraId="0E3E6FAA" w14:textId="787CC940" w:rsidR="0035656C" w:rsidRDefault="0035656C" w:rsidP="0035656C">
      <w:pPr>
        <w:pStyle w:val="CETReferencetext"/>
        <w:rPr>
          <w:lang w:val="lt-LT"/>
        </w:rPr>
      </w:pPr>
      <w:r w:rsidRPr="0035656C">
        <w:rPr>
          <w:lang w:val="lt-LT"/>
        </w:rPr>
        <w:t xml:space="preserve">Urniezius, R., Galvanauskas, V., Survyla, A., Simutis, R., Levisauskas, D., 2018. From Physics to Bioengineering: Microbial Cultivation Process Design and Feeding Rate Control Based on Relative Entropy Using Nuisance Time. Entropy 20, 779. </w:t>
      </w:r>
      <w:hyperlink r:id="rId18" w:history="1">
        <w:r w:rsidRPr="00AA7E4B">
          <w:rPr>
            <w:rStyle w:val="Hyperlink"/>
            <w:lang w:val="lt-LT"/>
          </w:rPr>
          <w:t>https://doi.org/10.3390/e20100779</w:t>
        </w:r>
      </w:hyperlink>
    </w:p>
    <w:p w14:paraId="52787B07" w14:textId="52EE0CC6" w:rsidR="0035656C" w:rsidRDefault="0035656C" w:rsidP="006F622A">
      <w:pPr>
        <w:pStyle w:val="CETReferencetext"/>
      </w:pPr>
      <w:r w:rsidRPr="0035656C">
        <w:t xml:space="preserve">Urniezius, R., Survyla, A., 2019. Identification of Functional Bioprocess Model for Recombinant E. Coli Cultivation Process. Entropy 21, 1221. </w:t>
      </w:r>
      <w:hyperlink r:id="rId19" w:history="1">
        <w:r w:rsidRPr="00AA7E4B">
          <w:rPr>
            <w:rStyle w:val="Hyperlink"/>
          </w:rPr>
          <w:t>https://doi.org/10.3390/e21121221</w:t>
        </w:r>
      </w:hyperlink>
    </w:p>
    <w:p w14:paraId="116CF494" w14:textId="1C502DB0" w:rsidR="0035656C" w:rsidRDefault="00A05DBC" w:rsidP="006F622A">
      <w:pPr>
        <w:pStyle w:val="CETReferencetext"/>
      </w:pPr>
      <w:r w:rsidRPr="00A05DBC">
        <w:t xml:space="preserve">Urniezius, R., Survyla, A., Paulauskas, D., Bumelis, V.A., Galvanauskas, V., 2019. Generic estimator of biomass concentration for Escherichia coli and Saccharomyces cerevisiae fed-batch cultures based on cumulative oxygen consumption rate. Microb Cell Fact 18, 190. </w:t>
      </w:r>
      <w:hyperlink r:id="rId20" w:history="1">
        <w:r w:rsidRPr="00AA7E4B">
          <w:rPr>
            <w:rStyle w:val="Hyperlink"/>
          </w:rPr>
          <w:t>https://doi.org/10.1186/s12934-019-1241-7</w:t>
        </w:r>
      </w:hyperlink>
    </w:p>
    <w:p w14:paraId="4AF57807" w14:textId="35A7485D" w:rsidR="00A05DBC" w:rsidRDefault="00A05DBC" w:rsidP="006F622A">
      <w:pPr>
        <w:pStyle w:val="CETReferencetext"/>
      </w:pPr>
      <w:r w:rsidRPr="00A05DBC">
        <w:t xml:space="preserve">Urniezius, R., Kemesis, B., Simutis, R., 2021. Bridging Offline Functional Model Carrying Aging-Specific Growth Rate Information and Recombinant Protein Expression: Entropic Extension of Akaike Information Criterion. Entropy 23, 1057. </w:t>
      </w:r>
      <w:hyperlink r:id="rId21" w:history="1">
        <w:r w:rsidRPr="00AA7E4B">
          <w:rPr>
            <w:rStyle w:val="Hyperlink"/>
          </w:rPr>
          <w:t>https://doi.org/10.3390/e23081057</w:t>
        </w:r>
      </w:hyperlink>
    </w:p>
    <w:p w14:paraId="6D8FE27C" w14:textId="46B630D0" w:rsidR="00A05DBC" w:rsidRDefault="00A05DBC" w:rsidP="006F622A">
      <w:pPr>
        <w:pStyle w:val="CETReferencetext"/>
      </w:pPr>
      <w:r w:rsidRPr="00A05DBC">
        <w:t xml:space="preserve">Varma, A., Boesch, B.W., Palsson, B.O., 1993. Stoichiometric interpretation of Escherichia coli glucose catabolism under various oxygenation rates. Appl Environ Microbiol 59, 2465–2473. </w:t>
      </w:r>
      <w:hyperlink r:id="rId22" w:history="1">
        <w:r w:rsidR="00DC4FA5" w:rsidRPr="00AA7E4B">
          <w:rPr>
            <w:rStyle w:val="Hyperlink"/>
          </w:rPr>
          <w:t>https://doi.org/10.1128/aem.59.8.2465-2473.1993</w:t>
        </w:r>
      </w:hyperlink>
    </w:p>
    <w:p w14:paraId="6B3BCA3C" w14:textId="752DAC15" w:rsidR="009405A5" w:rsidRDefault="00A05DBC" w:rsidP="00A05DBC">
      <w:pPr>
        <w:pStyle w:val="CETReferencetext"/>
      </w:pPr>
      <w:bookmarkStart w:id="0" w:name="_GoBack"/>
      <w:bookmarkEnd w:id="0"/>
      <w:r w:rsidRPr="00A05DBC">
        <w:t xml:space="preserve">Vergara, M., Torres, M., Müller, A., Avello, V., Acevedo, C., Berrios, J., Reyes, J.G., Valdez-Cruz, N.A., Altamirano, C., 2018. High glucose and low specific cell growth but not mild hypothermia improve specific r-protein productivity in chemostat culture of CHO cells. PLoS ONE 13, e0202098. </w:t>
      </w:r>
      <w:hyperlink r:id="rId23" w:history="1">
        <w:r w:rsidRPr="00AA7E4B">
          <w:rPr>
            <w:rStyle w:val="Hyperlink"/>
          </w:rPr>
          <w:t>https://doi.org/10.1371/journal.pone.0202098</w:t>
        </w:r>
      </w:hyperlink>
    </w:p>
    <w:sectPr w:rsidR="009405A5" w:rsidSect="00A05DBC">
      <w:type w:val="continuous"/>
      <w:pgSz w:w="11906" w:h="16838" w:code="9"/>
      <w:pgMar w:top="1701" w:right="1418" w:bottom="1530"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2A88F" w14:textId="77777777" w:rsidR="00856ABF" w:rsidRDefault="00856ABF" w:rsidP="004F5E36">
      <w:r>
        <w:separator/>
      </w:r>
    </w:p>
  </w:endnote>
  <w:endnote w:type="continuationSeparator" w:id="0">
    <w:p w14:paraId="565E4B8D" w14:textId="77777777" w:rsidR="00856ABF" w:rsidRDefault="00856AB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3C545F" w14:textId="77777777" w:rsidR="00856ABF" w:rsidRDefault="00856ABF" w:rsidP="004F5E36">
      <w:r>
        <w:separator/>
      </w:r>
    </w:p>
  </w:footnote>
  <w:footnote w:type="continuationSeparator" w:id="0">
    <w:p w14:paraId="1DA4F1AF" w14:textId="77777777" w:rsidR="00856ABF" w:rsidRDefault="00856ABF"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4671EE4"/>
    <w:multiLevelType w:val="hybridMultilevel"/>
    <w:tmpl w:val="727203FA"/>
    <w:lvl w:ilvl="0" w:tplc="0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20"/>
  </w:num>
  <w:num w:numId="16">
    <w:abstractNumId w:val="19"/>
  </w:num>
  <w:num w:numId="17">
    <w:abstractNumId w:val="11"/>
  </w:num>
  <w:num w:numId="18">
    <w:abstractNumId w:val="12"/>
    <w:lvlOverride w:ilvl="0">
      <w:startOverride w:val="1"/>
    </w:lvlOverride>
  </w:num>
  <w:num w:numId="19">
    <w:abstractNumId w:val="15"/>
  </w:num>
  <w:num w:numId="20">
    <w:abstractNumId w:val="14"/>
  </w:num>
  <w:num w:numId="21">
    <w:abstractNumId w:val="13"/>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kwNK0FAC+bkuEtAAAA"/>
  </w:docVars>
  <w:rsids>
    <w:rsidRoot w:val="000E414A"/>
    <w:rsid w:val="000013A3"/>
    <w:rsid w:val="000027C0"/>
    <w:rsid w:val="000052FB"/>
    <w:rsid w:val="000117CB"/>
    <w:rsid w:val="000211E3"/>
    <w:rsid w:val="000248B7"/>
    <w:rsid w:val="000262A7"/>
    <w:rsid w:val="0003148D"/>
    <w:rsid w:val="000359A1"/>
    <w:rsid w:val="0004028B"/>
    <w:rsid w:val="0004039F"/>
    <w:rsid w:val="00045674"/>
    <w:rsid w:val="00051566"/>
    <w:rsid w:val="00062A9A"/>
    <w:rsid w:val="00064752"/>
    <w:rsid w:val="00065058"/>
    <w:rsid w:val="00086C39"/>
    <w:rsid w:val="0008776D"/>
    <w:rsid w:val="00091972"/>
    <w:rsid w:val="000A03B2"/>
    <w:rsid w:val="000B790B"/>
    <w:rsid w:val="000D20B7"/>
    <w:rsid w:val="000D34BE"/>
    <w:rsid w:val="000E102F"/>
    <w:rsid w:val="000E2235"/>
    <w:rsid w:val="000E36F1"/>
    <w:rsid w:val="000E3A73"/>
    <w:rsid w:val="000E414A"/>
    <w:rsid w:val="000E757D"/>
    <w:rsid w:val="000F093C"/>
    <w:rsid w:val="000F787B"/>
    <w:rsid w:val="00101C4E"/>
    <w:rsid w:val="001041A0"/>
    <w:rsid w:val="001110E5"/>
    <w:rsid w:val="00115FF5"/>
    <w:rsid w:val="0012091F"/>
    <w:rsid w:val="0012549F"/>
    <w:rsid w:val="001256C4"/>
    <w:rsid w:val="00126BC2"/>
    <w:rsid w:val="001308B6"/>
    <w:rsid w:val="0013121F"/>
    <w:rsid w:val="00131FE6"/>
    <w:rsid w:val="00132071"/>
    <w:rsid w:val="0013263F"/>
    <w:rsid w:val="00134DE4"/>
    <w:rsid w:val="0014034D"/>
    <w:rsid w:val="00142DEB"/>
    <w:rsid w:val="0014464F"/>
    <w:rsid w:val="00150E59"/>
    <w:rsid w:val="00152098"/>
    <w:rsid w:val="00152DE3"/>
    <w:rsid w:val="001541C8"/>
    <w:rsid w:val="00164CF9"/>
    <w:rsid w:val="00170EB6"/>
    <w:rsid w:val="00176293"/>
    <w:rsid w:val="00180860"/>
    <w:rsid w:val="00181776"/>
    <w:rsid w:val="001840B0"/>
    <w:rsid w:val="00184376"/>
    <w:rsid w:val="00184AD6"/>
    <w:rsid w:val="0018772B"/>
    <w:rsid w:val="001A013E"/>
    <w:rsid w:val="001A028D"/>
    <w:rsid w:val="001A5B78"/>
    <w:rsid w:val="001A69AF"/>
    <w:rsid w:val="001B0349"/>
    <w:rsid w:val="001B477A"/>
    <w:rsid w:val="001B65C1"/>
    <w:rsid w:val="001C1284"/>
    <w:rsid w:val="001C684B"/>
    <w:rsid w:val="001D3C0E"/>
    <w:rsid w:val="001D53FC"/>
    <w:rsid w:val="001D5EE7"/>
    <w:rsid w:val="001F4113"/>
    <w:rsid w:val="001F42A5"/>
    <w:rsid w:val="001F7B9D"/>
    <w:rsid w:val="00200CD7"/>
    <w:rsid w:val="00200D99"/>
    <w:rsid w:val="00203B7C"/>
    <w:rsid w:val="002224B4"/>
    <w:rsid w:val="00227CEA"/>
    <w:rsid w:val="002334B7"/>
    <w:rsid w:val="0023487A"/>
    <w:rsid w:val="00241468"/>
    <w:rsid w:val="002447EF"/>
    <w:rsid w:val="002472C5"/>
    <w:rsid w:val="002506AA"/>
    <w:rsid w:val="002510F8"/>
    <w:rsid w:val="00251550"/>
    <w:rsid w:val="002539AF"/>
    <w:rsid w:val="00263B05"/>
    <w:rsid w:val="00264844"/>
    <w:rsid w:val="00265B39"/>
    <w:rsid w:val="0027221A"/>
    <w:rsid w:val="00275B61"/>
    <w:rsid w:val="00276CBF"/>
    <w:rsid w:val="00276D25"/>
    <w:rsid w:val="002779E0"/>
    <w:rsid w:val="00277A8F"/>
    <w:rsid w:val="002800D3"/>
    <w:rsid w:val="00281219"/>
    <w:rsid w:val="00282656"/>
    <w:rsid w:val="002837EE"/>
    <w:rsid w:val="00296B83"/>
    <w:rsid w:val="002A5611"/>
    <w:rsid w:val="002B04CC"/>
    <w:rsid w:val="002B1D46"/>
    <w:rsid w:val="002B78CE"/>
    <w:rsid w:val="002C0657"/>
    <w:rsid w:val="002C0F1B"/>
    <w:rsid w:val="002C2FB6"/>
    <w:rsid w:val="002C6437"/>
    <w:rsid w:val="002F18DA"/>
    <w:rsid w:val="002F4D9B"/>
    <w:rsid w:val="002F7243"/>
    <w:rsid w:val="002F7444"/>
    <w:rsid w:val="003009B7"/>
    <w:rsid w:val="00300E56"/>
    <w:rsid w:val="00301A65"/>
    <w:rsid w:val="0030469C"/>
    <w:rsid w:val="00310976"/>
    <w:rsid w:val="00321CA6"/>
    <w:rsid w:val="00334C09"/>
    <w:rsid w:val="0033738A"/>
    <w:rsid w:val="003422CF"/>
    <w:rsid w:val="003451DF"/>
    <w:rsid w:val="003514B7"/>
    <w:rsid w:val="0035656C"/>
    <w:rsid w:val="00357C8C"/>
    <w:rsid w:val="00364953"/>
    <w:rsid w:val="003652DD"/>
    <w:rsid w:val="00371072"/>
    <w:rsid w:val="003715EE"/>
    <w:rsid w:val="003723D4"/>
    <w:rsid w:val="00372FCA"/>
    <w:rsid w:val="0037402E"/>
    <w:rsid w:val="00377D77"/>
    <w:rsid w:val="00382F67"/>
    <w:rsid w:val="00383F4B"/>
    <w:rsid w:val="00384CC8"/>
    <w:rsid w:val="00385610"/>
    <w:rsid w:val="003871FD"/>
    <w:rsid w:val="00387DCB"/>
    <w:rsid w:val="003948FD"/>
    <w:rsid w:val="003A1E30"/>
    <w:rsid w:val="003A7D1C"/>
    <w:rsid w:val="003B304B"/>
    <w:rsid w:val="003B3146"/>
    <w:rsid w:val="003C6B20"/>
    <w:rsid w:val="003D24A7"/>
    <w:rsid w:val="003D4A54"/>
    <w:rsid w:val="003E1FFC"/>
    <w:rsid w:val="003E5CAB"/>
    <w:rsid w:val="003F015E"/>
    <w:rsid w:val="003F3F21"/>
    <w:rsid w:val="00400414"/>
    <w:rsid w:val="00402F9D"/>
    <w:rsid w:val="0041446B"/>
    <w:rsid w:val="00414B6A"/>
    <w:rsid w:val="00422A87"/>
    <w:rsid w:val="00430A2A"/>
    <w:rsid w:val="00437803"/>
    <w:rsid w:val="00440D1C"/>
    <w:rsid w:val="0044192E"/>
    <w:rsid w:val="0044329C"/>
    <w:rsid w:val="00443FD1"/>
    <w:rsid w:val="00444C07"/>
    <w:rsid w:val="00450894"/>
    <w:rsid w:val="00451159"/>
    <w:rsid w:val="00451EB1"/>
    <w:rsid w:val="00452E0A"/>
    <w:rsid w:val="00454DD4"/>
    <w:rsid w:val="004577FE"/>
    <w:rsid w:val="00457B9C"/>
    <w:rsid w:val="0046164A"/>
    <w:rsid w:val="004628D2"/>
    <w:rsid w:val="00462DCD"/>
    <w:rsid w:val="004648AD"/>
    <w:rsid w:val="00466ABA"/>
    <w:rsid w:val="0046773E"/>
    <w:rsid w:val="004703A9"/>
    <w:rsid w:val="004760DE"/>
    <w:rsid w:val="00482B6B"/>
    <w:rsid w:val="00486395"/>
    <w:rsid w:val="00493D41"/>
    <w:rsid w:val="004A004E"/>
    <w:rsid w:val="004A24CF"/>
    <w:rsid w:val="004A37DD"/>
    <w:rsid w:val="004C3D1D"/>
    <w:rsid w:val="004C48A5"/>
    <w:rsid w:val="004C7913"/>
    <w:rsid w:val="004D2579"/>
    <w:rsid w:val="004E0CE3"/>
    <w:rsid w:val="004E2A6D"/>
    <w:rsid w:val="004E2D56"/>
    <w:rsid w:val="004E40CF"/>
    <w:rsid w:val="004E4DD6"/>
    <w:rsid w:val="004F5E36"/>
    <w:rsid w:val="00500F44"/>
    <w:rsid w:val="00507B47"/>
    <w:rsid w:val="00507CC9"/>
    <w:rsid w:val="005119A5"/>
    <w:rsid w:val="005152FA"/>
    <w:rsid w:val="00516D93"/>
    <w:rsid w:val="00520834"/>
    <w:rsid w:val="00523CA8"/>
    <w:rsid w:val="005278B7"/>
    <w:rsid w:val="00532016"/>
    <w:rsid w:val="005346C8"/>
    <w:rsid w:val="00543121"/>
    <w:rsid w:val="00543E7D"/>
    <w:rsid w:val="00547A68"/>
    <w:rsid w:val="00552D35"/>
    <w:rsid w:val="005531C9"/>
    <w:rsid w:val="00553BB6"/>
    <w:rsid w:val="00555937"/>
    <w:rsid w:val="0056096A"/>
    <w:rsid w:val="00561A50"/>
    <w:rsid w:val="00561FF8"/>
    <w:rsid w:val="0057277E"/>
    <w:rsid w:val="0057437F"/>
    <w:rsid w:val="0058368A"/>
    <w:rsid w:val="00584A21"/>
    <w:rsid w:val="00584CD8"/>
    <w:rsid w:val="005863FA"/>
    <w:rsid w:val="0059057B"/>
    <w:rsid w:val="00594D9D"/>
    <w:rsid w:val="005A3E9C"/>
    <w:rsid w:val="005B2110"/>
    <w:rsid w:val="005B3697"/>
    <w:rsid w:val="005B61E6"/>
    <w:rsid w:val="005C55A0"/>
    <w:rsid w:val="005C77E1"/>
    <w:rsid w:val="005D6A2F"/>
    <w:rsid w:val="005E1A82"/>
    <w:rsid w:val="005E3F36"/>
    <w:rsid w:val="005E794C"/>
    <w:rsid w:val="005F0A28"/>
    <w:rsid w:val="005F0E5E"/>
    <w:rsid w:val="005F204B"/>
    <w:rsid w:val="00600535"/>
    <w:rsid w:val="006070B3"/>
    <w:rsid w:val="00610CD6"/>
    <w:rsid w:val="0061701A"/>
    <w:rsid w:val="00620C11"/>
    <w:rsid w:val="00620DEE"/>
    <w:rsid w:val="00621F92"/>
    <w:rsid w:val="00625639"/>
    <w:rsid w:val="00631B33"/>
    <w:rsid w:val="006357AA"/>
    <w:rsid w:val="00636E46"/>
    <w:rsid w:val="00640AB8"/>
    <w:rsid w:val="0064184D"/>
    <w:rsid w:val="00660E3E"/>
    <w:rsid w:val="00661886"/>
    <w:rsid w:val="00662E74"/>
    <w:rsid w:val="006716F7"/>
    <w:rsid w:val="00671A64"/>
    <w:rsid w:val="00674199"/>
    <w:rsid w:val="0067654E"/>
    <w:rsid w:val="00677E00"/>
    <w:rsid w:val="00680C23"/>
    <w:rsid w:val="00693766"/>
    <w:rsid w:val="006977CD"/>
    <w:rsid w:val="006A3281"/>
    <w:rsid w:val="006B11DA"/>
    <w:rsid w:val="006B4888"/>
    <w:rsid w:val="006C2E45"/>
    <w:rsid w:val="006C359C"/>
    <w:rsid w:val="006C5579"/>
    <w:rsid w:val="006D160D"/>
    <w:rsid w:val="006E737D"/>
    <w:rsid w:val="006F622A"/>
    <w:rsid w:val="00714EA9"/>
    <w:rsid w:val="00717653"/>
    <w:rsid w:val="00720A24"/>
    <w:rsid w:val="00721EA8"/>
    <w:rsid w:val="0072423A"/>
    <w:rsid w:val="00727BB9"/>
    <w:rsid w:val="00732386"/>
    <w:rsid w:val="007369BE"/>
    <w:rsid w:val="00737653"/>
    <w:rsid w:val="00740181"/>
    <w:rsid w:val="00742DFE"/>
    <w:rsid w:val="007447F3"/>
    <w:rsid w:val="0075499F"/>
    <w:rsid w:val="00764304"/>
    <w:rsid w:val="007661C8"/>
    <w:rsid w:val="007679E4"/>
    <w:rsid w:val="0077098D"/>
    <w:rsid w:val="007730E6"/>
    <w:rsid w:val="00773ED2"/>
    <w:rsid w:val="007821CC"/>
    <w:rsid w:val="00784DD9"/>
    <w:rsid w:val="007908CA"/>
    <w:rsid w:val="007956D7"/>
    <w:rsid w:val="007A3BCE"/>
    <w:rsid w:val="007A7BBA"/>
    <w:rsid w:val="007B0C50"/>
    <w:rsid w:val="007B16D2"/>
    <w:rsid w:val="007B24B1"/>
    <w:rsid w:val="007B4694"/>
    <w:rsid w:val="007C1A43"/>
    <w:rsid w:val="007C1F29"/>
    <w:rsid w:val="007C2056"/>
    <w:rsid w:val="007C55C8"/>
    <w:rsid w:val="007D6D17"/>
    <w:rsid w:val="007E039D"/>
    <w:rsid w:val="008121BE"/>
    <w:rsid w:val="00813288"/>
    <w:rsid w:val="008168FC"/>
    <w:rsid w:val="008272C5"/>
    <w:rsid w:val="00830996"/>
    <w:rsid w:val="008345F1"/>
    <w:rsid w:val="00835576"/>
    <w:rsid w:val="008458B8"/>
    <w:rsid w:val="00856ABF"/>
    <w:rsid w:val="008600CA"/>
    <w:rsid w:val="008604B1"/>
    <w:rsid w:val="00865B07"/>
    <w:rsid w:val="008667EA"/>
    <w:rsid w:val="00867D12"/>
    <w:rsid w:val="00873D70"/>
    <w:rsid w:val="00875279"/>
    <w:rsid w:val="0087637F"/>
    <w:rsid w:val="00892AD5"/>
    <w:rsid w:val="00892BAA"/>
    <w:rsid w:val="00894501"/>
    <w:rsid w:val="00896BC1"/>
    <w:rsid w:val="008A1512"/>
    <w:rsid w:val="008B1AC5"/>
    <w:rsid w:val="008B5432"/>
    <w:rsid w:val="008C39B7"/>
    <w:rsid w:val="008C584A"/>
    <w:rsid w:val="008C6D05"/>
    <w:rsid w:val="008C7C0A"/>
    <w:rsid w:val="008D433B"/>
    <w:rsid w:val="008D6247"/>
    <w:rsid w:val="008D75A9"/>
    <w:rsid w:val="008E04F5"/>
    <w:rsid w:val="008E14BF"/>
    <w:rsid w:val="008E4644"/>
    <w:rsid w:val="008E566E"/>
    <w:rsid w:val="008F15E0"/>
    <w:rsid w:val="008F252B"/>
    <w:rsid w:val="008F2845"/>
    <w:rsid w:val="00900FC9"/>
    <w:rsid w:val="0090161A"/>
    <w:rsid w:val="00901EB6"/>
    <w:rsid w:val="00904C62"/>
    <w:rsid w:val="00905FCA"/>
    <w:rsid w:val="0091121B"/>
    <w:rsid w:val="009170A1"/>
    <w:rsid w:val="00921BD5"/>
    <w:rsid w:val="00924DAC"/>
    <w:rsid w:val="00927058"/>
    <w:rsid w:val="00933AD7"/>
    <w:rsid w:val="009405A5"/>
    <w:rsid w:val="009450CE"/>
    <w:rsid w:val="00945337"/>
    <w:rsid w:val="00947179"/>
    <w:rsid w:val="0095164B"/>
    <w:rsid w:val="00954090"/>
    <w:rsid w:val="009573E7"/>
    <w:rsid w:val="00963E05"/>
    <w:rsid w:val="00965646"/>
    <w:rsid w:val="00967D54"/>
    <w:rsid w:val="00974E8A"/>
    <w:rsid w:val="00980B44"/>
    <w:rsid w:val="00996483"/>
    <w:rsid w:val="00996F5A"/>
    <w:rsid w:val="009B041A"/>
    <w:rsid w:val="009C4489"/>
    <w:rsid w:val="009C7C86"/>
    <w:rsid w:val="009D2FF7"/>
    <w:rsid w:val="009E6439"/>
    <w:rsid w:val="009E7884"/>
    <w:rsid w:val="009E788A"/>
    <w:rsid w:val="009F0E08"/>
    <w:rsid w:val="009F2FD7"/>
    <w:rsid w:val="009F5FD3"/>
    <w:rsid w:val="009F7F64"/>
    <w:rsid w:val="00A0045F"/>
    <w:rsid w:val="00A004F4"/>
    <w:rsid w:val="00A03757"/>
    <w:rsid w:val="00A05DBC"/>
    <w:rsid w:val="00A14696"/>
    <w:rsid w:val="00A16EB1"/>
    <w:rsid w:val="00A1763D"/>
    <w:rsid w:val="00A17CEC"/>
    <w:rsid w:val="00A208FB"/>
    <w:rsid w:val="00A240D8"/>
    <w:rsid w:val="00A27EF0"/>
    <w:rsid w:val="00A33FDE"/>
    <w:rsid w:val="00A34F54"/>
    <w:rsid w:val="00A358E2"/>
    <w:rsid w:val="00A50B20"/>
    <w:rsid w:val="00A51390"/>
    <w:rsid w:val="00A578A6"/>
    <w:rsid w:val="00A57AB2"/>
    <w:rsid w:val="00A57BB9"/>
    <w:rsid w:val="00A60D13"/>
    <w:rsid w:val="00A708AE"/>
    <w:rsid w:val="00A71D42"/>
    <w:rsid w:val="00A7269B"/>
    <w:rsid w:val="00A72745"/>
    <w:rsid w:val="00A746CB"/>
    <w:rsid w:val="00A76EFC"/>
    <w:rsid w:val="00A839CC"/>
    <w:rsid w:val="00A900D6"/>
    <w:rsid w:val="00A91010"/>
    <w:rsid w:val="00A912AB"/>
    <w:rsid w:val="00A96819"/>
    <w:rsid w:val="00A97F29"/>
    <w:rsid w:val="00AA2883"/>
    <w:rsid w:val="00AA3ABA"/>
    <w:rsid w:val="00AA702E"/>
    <w:rsid w:val="00AB0964"/>
    <w:rsid w:val="00AB1E52"/>
    <w:rsid w:val="00AB5011"/>
    <w:rsid w:val="00AB5A6F"/>
    <w:rsid w:val="00AC1458"/>
    <w:rsid w:val="00AC7368"/>
    <w:rsid w:val="00AD16B9"/>
    <w:rsid w:val="00AD474D"/>
    <w:rsid w:val="00AE377D"/>
    <w:rsid w:val="00AE5813"/>
    <w:rsid w:val="00AF3A62"/>
    <w:rsid w:val="00AF5F85"/>
    <w:rsid w:val="00B13A2D"/>
    <w:rsid w:val="00B17FBD"/>
    <w:rsid w:val="00B22F46"/>
    <w:rsid w:val="00B26D74"/>
    <w:rsid w:val="00B315A6"/>
    <w:rsid w:val="00B31813"/>
    <w:rsid w:val="00B33365"/>
    <w:rsid w:val="00B3737B"/>
    <w:rsid w:val="00B43FF1"/>
    <w:rsid w:val="00B447BF"/>
    <w:rsid w:val="00B4667A"/>
    <w:rsid w:val="00B474E1"/>
    <w:rsid w:val="00B56329"/>
    <w:rsid w:val="00B570F6"/>
    <w:rsid w:val="00B57B36"/>
    <w:rsid w:val="00B64133"/>
    <w:rsid w:val="00B663F5"/>
    <w:rsid w:val="00B82079"/>
    <w:rsid w:val="00B8686D"/>
    <w:rsid w:val="00B86DCD"/>
    <w:rsid w:val="00B87481"/>
    <w:rsid w:val="00BA7DA8"/>
    <w:rsid w:val="00BB7CC6"/>
    <w:rsid w:val="00BC2420"/>
    <w:rsid w:val="00BC30C9"/>
    <w:rsid w:val="00BD1384"/>
    <w:rsid w:val="00BD3C0E"/>
    <w:rsid w:val="00BE1583"/>
    <w:rsid w:val="00BE3E58"/>
    <w:rsid w:val="00BE7686"/>
    <w:rsid w:val="00BF2E07"/>
    <w:rsid w:val="00C01616"/>
    <w:rsid w:val="00C0162B"/>
    <w:rsid w:val="00C061F2"/>
    <w:rsid w:val="00C063B2"/>
    <w:rsid w:val="00C254A0"/>
    <w:rsid w:val="00C32255"/>
    <w:rsid w:val="00C345B1"/>
    <w:rsid w:val="00C351FC"/>
    <w:rsid w:val="00C3536D"/>
    <w:rsid w:val="00C35485"/>
    <w:rsid w:val="00C40142"/>
    <w:rsid w:val="00C45C42"/>
    <w:rsid w:val="00C46344"/>
    <w:rsid w:val="00C57182"/>
    <w:rsid w:val="00C57863"/>
    <w:rsid w:val="00C655FD"/>
    <w:rsid w:val="00C71FB5"/>
    <w:rsid w:val="00C76A1A"/>
    <w:rsid w:val="00C84E6E"/>
    <w:rsid w:val="00C870A8"/>
    <w:rsid w:val="00C94197"/>
    <w:rsid w:val="00C94434"/>
    <w:rsid w:val="00C9513A"/>
    <w:rsid w:val="00C957AD"/>
    <w:rsid w:val="00CA0D75"/>
    <w:rsid w:val="00CA15BD"/>
    <w:rsid w:val="00CA1C95"/>
    <w:rsid w:val="00CA5A9C"/>
    <w:rsid w:val="00CB05FA"/>
    <w:rsid w:val="00CB1897"/>
    <w:rsid w:val="00CB23C6"/>
    <w:rsid w:val="00CB7DA0"/>
    <w:rsid w:val="00CC0BF8"/>
    <w:rsid w:val="00CC592C"/>
    <w:rsid w:val="00CC599B"/>
    <w:rsid w:val="00CD5FE2"/>
    <w:rsid w:val="00CE5C20"/>
    <w:rsid w:val="00CE7C68"/>
    <w:rsid w:val="00CF6549"/>
    <w:rsid w:val="00D02B4C"/>
    <w:rsid w:val="00D040C4"/>
    <w:rsid w:val="00D04AC4"/>
    <w:rsid w:val="00D055E0"/>
    <w:rsid w:val="00D15B9F"/>
    <w:rsid w:val="00D2328E"/>
    <w:rsid w:val="00D30ED4"/>
    <w:rsid w:val="00D316C3"/>
    <w:rsid w:val="00D367E5"/>
    <w:rsid w:val="00D37749"/>
    <w:rsid w:val="00D409FD"/>
    <w:rsid w:val="00D43D4D"/>
    <w:rsid w:val="00D57C84"/>
    <w:rsid w:val="00D6057D"/>
    <w:rsid w:val="00D61FC9"/>
    <w:rsid w:val="00D62E4B"/>
    <w:rsid w:val="00D66AEA"/>
    <w:rsid w:val="00D66D93"/>
    <w:rsid w:val="00D84576"/>
    <w:rsid w:val="00D87E31"/>
    <w:rsid w:val="00DA1399"/>
    <w:rsid w:val="00DA24C6"/>
    <w:rsid w:val="00DA299B"/>
    <w:rsid w:val="00DA3C75"/>
    <w:rsid w:val="00DA4097"/>
    <w:rsid w:val="00DA4D7B"/>
    <w:rsid w:val="00DA65A9"/>
    <w:rsid w:val="00DB1966"/>
    <w:rsid w:val="00DB5654"/>
    <w:rsid w:val="00DB58DE"/>
    <w:rsid w:val="00DC4240"/>
    <w:rsid w:val="00DC4FA5"/>
    <w:rsid w:val="00DD0EB3"/>
    <w:rsid w:val="00DD58D1"/>
    <w:rsid w:val="00DE264A"/>
    <w:rsid w:val="00DF7299"/>
    <w:rsid w:val="00E02D18"/>
    <w:rsid w:val="00E03FAD"/>
    <w:rsid w:val="00E041E7"/>
    <w:rsid w:val="00E04FF6"/>
    <w:rsid w:val="00E10CD6"/>
    <w:rsid w:val="00E14571"/>
    <w:rsid w:val="00E23CA1"/>
    <w:rsid w:val="00E31F47"/>
    <w:rsid w:val="00E409A8"/>
    <w:rsid w:val="00E50C12"/>
    <w:rsid w:val="00E5152A"/>
    <w:rsid w:val="00E54BF7"/>
    <w:rsid w:val="00E613A8"/>
    <w:rsid w:val="00E65B91"/>
    <w:rsid w:val="00E718A1"/>
    <w:rsid w:val="00E7209D"/>
    <w:rsid w:val="00E77223"/>
    <w:rsid w:val="00E8528B"/>
    <w:rsid w:val="00E85B94"/>
    <w:rsid w:val="00E87ABC"/>
    <w:rsid w:val="00E90BE9"/>
    <w:rsid w:val="00E94979"/>
    <w:rsid w:val="00E95A29"/>
    <w:rsid w:val="00E978D0"/>
    <w:rsid w:val="00EA0832"/>
    <w:rsid w:val="00EA259C"/>
    <w:rsid w:val="00EA4613"/>
    <w:rsid w:val="00EA7F91"/>
    <w:rsid w:val="00EB0D6A"/>
    <w:rsid w:val="00EB1523"/>
    <w:rsid w:val="00EC0E49"/>
    <w:rsid w:val="00EC4568"/>
    <w:rsid w:val="00EC6199"/>
    <w:rsid w:val="00ED50BC"/>
    <w:rsid w:val="00EE0131"/>
    <w:rsid w:val="00EE1BD5"/>
    <w:rsid w:val="00EE2C3D"/>
    <w:rsid w:val="00EE4A67"/>
    <w:rsid w:val="00EE7149"/>
    <w:rsid w:val="00EF1BC1"/>
    <w:rsid w:val="00EF2394"/>
    <w:rsid w:val="00EF2B95"/>
    <w:rsid w:val="00F00860"/>
    <w:rsid w:val="00F066FE"/>
    <w:rsid w:val="00F07CB4"/>
    <w:rsid w:val="00F11CA2"/>
    <w:rsid w:val="00F26A2F"/>
    <w:rsid w:val="00F30C64"/>
    <w:rsid w:val="00F32CDB"/>
    <w:rsid w:val="00F35E93"/>
    <w:rsid w:val="00F43F59"/>
    <w:rsid w:val="00F56C47"/>
    <w:rsid w:val="00F57C9F"/>
    <w:rsid w:val="00F6042C"/>
    <w:rsid w:val="00F63A70"/>
    <w:rsid w:val="00F670D1"/>
    <w:rsid w:val="00F75FD7"/>
    <w:rsid w:val="00FA21D0"/>
    <w:rsid w:val="00FA5F5F"/>
    <w:rsid w:val="00FB1748"/>
    <w:rsid w:val="00FB5391"/>
    <w:rsid w:val="00FB730C"/>
    <w:rsid w:val="00FC2695"/>
    <w:rsid w:val="00FC3E03"/>
    <w:rsid w:val="00FC3FC1"/>
    <w:rsid w:val="00FC464B"/>
    <w:rsid w:val="00FC48A3"/>
    <w:rsid w:val="00FC4DA5"/>
    <w:rsid w:val="00FD1090"/>
    <w:rsid w:val="00FD1F65"/>
    <w:rsid w:val="00FD64F5"/>
    <w:rsid w:val="00FE3013"/>
    <w:rsid w:val="00FE4137"/>
    <w:rsid w:val="00FE480D"/>
    <w:rsid w:val="00FF41E0"/>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10376D5A-5D30-4C58-B7BC-A699F69DA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character" w:styleId="FollowedHyperlink">
    <w:name w:val="FollowedHyperlink"/>
    <w:basedOn w:val="DefaultParagraphFont"/>
    <w:uiPriority w:val="99"/>
    <w:semiHidden/>
    <w:unhideWhenUsed/>
    <w:rsid w:val="00A708AE"/>
    <w:rPr>
      <w:color w:val="800080" w:themeColor="followedHyperlink"/>
      <w:u w:val="single"/>
    </w:rPr>
  </w:style>
  <w:style w:type="character" w:styleId="PlaceholderText">
    <w:name w:val="Placeholder Text"/>
    <w:basedOn w:val="DefaultParagraphFont"/>
    <w:uiPriority w:val="99"/>
    <w:semiHidden/>
    <w:rsid w:val="00451EB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40916">
      <w:bodyDiv w:val="1"/>
      <w:marLeft w:val="0"/>
      <w:marRight w:val="0"/>
      <w:marTop w:val="0"/>
      <w:marBottom w:val="0"/>
      <w:divBdr>
        <w:top w:val="none" w:sz="0" w:space="0" w:color="auto"/>
        <w:left w:val="none" w:sz="0" w:space="0" w:color="auto"/>
        <w:bottom w:val="none" w:sz="0" w:space="0" w:color="auto"/>
        <w:right w:val="none" w:sz="0" w:space="0" w:color="auto"/>
      </w:divBdr>
      <w:divsChild>
        <w:div w:id="1117943920">
          <w:marLeft w:val="480"/>
          <w:marRight w:val="0"/>
          <w:marTop w:val="0"/>
          <w:marBottom w:val="0"/>
          <w:divBdr>
            <w:top w:val="none" w:sz="0" w:space="0" w:color="auto"/>
            <w:left w:val="none" w:sz="0" w:space="0" w:color="auto"/>
            <w:bottom w:val="none" w:sz="0" w:space="0" w:color="auto"/>
            <w:right w:val="none" w:sz="0" w:space="0" w:color="auto"/>
          </w:divBdr>
          <w:divsChild>
            <w:div w:id="119507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3743">
      <w:bodyDiv w:val="1"/>
      <w:marLeft w:val="0"/>
      <w:marRight w:val="0"/>
      <w:marTop w:val="0"/>
      <w:marBottom w:val="0"/>
      <w:divBdr>
        <w:top w:val="none" w:sz="0" w:space="0" w:color="auto"/>
        <w:left w:val="none" w:sz="0" w:space="0" w:color="auto"/>
        <w:bottom w:val="none" w:sz="0" w:space="0" w:color="auto"/>
        <w:right w:val="none" w:sz="0" w:space="0" w:color="auto"/>
      </w:divBdr>
      <w:divsChild>
        <w:div w:id="1858226192">
          <w:marLeft w:val="480"/>
          <w:marRight w:val="0"/>
          <w:marTop w:val="0"/>
          <w:marBottom w:val="0"/>
          <w:divBdr>
            <w:top w:val="none" w:sz="0" w:space="0" w:color="auto"/>
            <w:left w:val="none" w:sz="0" w:space="0" w:color="auto"/>
            <w:bottom w:val="none" w:sz="0" w:space="0" w:color="auto"/>
            <w:right w:val="none" w:sz="0" w:space="0" w:color="auto"/>
          </w:divBdr>
          <w:divsChild>
            <w:div w:id="6064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018476">
      <w:bodyDiv w:val="1"/>
      <w:marLeft w:val="0"/>
      <w:marRight w:val="0"/>
      <w:marTop w:val="0"/>
      <w:marBottom w:val="0"/>
      <w:divBdr>
        <w:top w:val="none" w:sz="0" w:space="0" w:color="auto"/>
        <w:left w:val="none" w:sz="0" w:space="0" w:color="auto"/>
        <w:bottom w:val="none" w:sz="0" w:space="0" w:color="auto"/>
        <w:right w:val="none" w:sz="0" w:space="0" w:color="auto"/>
      </w:divBdr>
      <w:divsChild>
        <w:div w:id="1954050311">
          <w:marLeft w:val="480"/>
          <w:marRight w:val="0"/>
          <w:marTop w:val="0"/>
          <w:marBottom w:val="0"/>
          <w:divBdr>
            <w:top w:val="none" w:sz="0" w:space="0" w:color="auto"/>
            <w:left w:val="none" w:sz="0" w:space="0" w:color="auto"/>
            <w:bottom w:val="none" w:sz="0" w:space="0" w:color="auto"/>
            <w:right w:val="none" w:sz="0" w:space="0" w:color="auto"/>
          </w:divBdr>
          <w:divsChild>
            <w:div w:id="159208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456577">
      <w:bodyDiv w:val="1"/>
      <w:marLeft w:val="0"/>
      <w:marRight w:val="0"/>
      <w:marTop w:val="0"/>
      <w:marBottom w:val="0"/>
      <w:divBdr>
        <w:top w:val="none" w:sz="0" w:space="0" w:color="auto"/>
        <w:left w:val="none" w:sz="0" w:space="0" w:color="auto"/>
        <w:bottom w:val="none" w:sz="0" w:space="0" w:color="auto"/>
        <w:right w:val="none" w:sz="0" w:space="0" w:color="auto"/>
      </w:divBdr>
      <w:divsChild>
        <w:div w:id="954672907">
          <w:marLeft w:val="480"/>
          <w:marRight w:val="0"/>
          <w:marTop w:val="0"/>
          <w:marBottom w:val="0"/>
          <w:divBdr>
            <w:top w:val="none" w:sz="0" w:space="0" w:color="auto"/>
            <w:left w:val="none" w:sz="0" w:space="0" w:color="auto"/>
            <w:bottom w:val="none" w:sz="0" w:space="0" w:color="auto"/>
            <w:right w:val="none" w:sz="0" w:space="0" w:color="auto"/>
          </w:divBdr>
          <w:divsChild>
            <w:div w:id="142510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55573">
      <w:bodyDiv w:val="1"/>
      <w:marLeft w:val="0"/>
      <w:marRight w:val="0"/>
      <w:marTop w:val="0"/>
      <w:marBottom w:val="0"/>
      <w:divBdr>
        <w:top w:val="none" w:sz="0" w:space="0" w:color="auto"/>
        <w:left w:val="none" w:sz="0" w:space="0" w:color="auto"/>
        <w:bottom w:val="none" w:sz="0" w:space="0" w:color="auto"/>
        <w:right w:val="none" w:sz="0" w:space="0" w:color="auto"/>
      </w:divBdr>
      <w:divsChild>
        <w:div w:id="1780370326">
          <w:marLeft w:val="480"/>
          <w:marRight w:val="0"/>
          <w:marTop w:val="0"/>
          <w:marBottom w:val="0"/>
          <w:divBdr>
            <w:top w:val="none" w:sz="0" w:space="0" w:color="auto"/>
            <w:left w:val="none" w:sz="0" w:space="0" w:color="auto"/>
            <w:bottom w:val="none" w:sz="0" w:space="0" w:color="auto"/>
            <w:right w:val="none" w:sz="0" w:space="0" w:color="auto"/>
          </w:divBdr>
          <w:divsChild>
            <w:div w:id="125620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73008">
      <w:bodyDiv w:val="1"/>
      <w:marLeft w:val="0"/>
      <w:marRight w:val="0"/>
      <w:marTop w:val="0"/>
      <w:marBottom w:val="0"/>
      <w:divBdr>
        <w:top w:val="none" w:sz="0" w:space="0" w:color="auto"/>
        <w:left w:val="none" w:sz="0" w:space="0" w:color="auto"/>
        <w:bottom w:val="none" w:sz="0" w:space="0" w:color="auto"/>
        <w:right w:val="none" w:sz="0" w:space="0" w:color="auto"/>
      </w:divBdr>
      <w:divsChild>
        <w:div w:id="1763259185">
          <w:marLeft w:val="480"/>
          <w:marRight w:val="0"/>
          <w:marTop w:val="0"/>
          <w:marBottom w:val="0"/>
          <w:divBdr>
            <w:top w:val="none" w:sz="0" w:space="0" w:color="auto"/>
            <w:left w:val="none" w:sz="0" w:space="0" w:color="auto"/>
            <w:bottom w:val="none" w:sz="0" w:space="0" w:color="auto"/>
            <w:right w:val="none" w:sz="0" w:space="0" w:color="auto"/>
          </w:divBdr>
          <w:divsChild>
            <w:div w:id="61236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atents.google.com/patent/LT6861B" TargetMode="External"/><Relationship Id="rId18" Type="http://schemas.openxmlformats.org/officeDocument/2006/relationships/hyperlink" Target="https://doi.org/10.3390/e20100779" TargetMode="External"/><Relationship Id="rId3" Type="http://schemas.openxmlformats.org/officeDocument/2006/relationships/styles" Target="styles.xml"/><Relationship Id="rId21" Type="http://schemas.openxmlformats.org/officeDocument/2006/relationships/hyperlink" Target="https://doi.org/10.3390/e23081057" TargetMode="External"/><Relationship Id="rId7" Type="http://schemas.openxmlformats.org/officeDocument/2006/relationships/endnotes" Target="endnotes.xml"/><Relationship Id="rId12" Type="http://schemas.openxmlformats.org/officeDocument/2006/relationships/hyperlink" Target="https://doi.org/10.1109/MED51440.2021.9480282" TargetMode="External"/><Relationship Id="rId17" Type="http://schemas.openxmlformats.org/officeDocument/2006/relationships/hyperlink" Target="https://doi.org/10.1016/j.csbj.2021.10.01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07/s11306-018-1339-7" TargetMode="External"/><Relationship Id="rId20" Type="http://schemas.openxmlformats.org/officeDocument/2006/relationships/hyperlink" Target="https://doi.org/10.1186/s12934-019-124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86/1475-2859-4-34"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3390/pr8101307" TargetMode="External"/><Relationship Id="rId23" Type="http://schemas.openxmlformats.org/officeDocument/2006/relationships/hyperlink" Target="https://doi.org/10.1371/journal.pone.0202098" TargetMode="External"/><Relationship Id="rId10" Type="http://schemas.openxmlformats.org/officeDocument/2006/relationships/hyperlink" Target="https://doi.org/10.15252/msb.202110504" TargetMode="External"/><Relationship Id="rId19" Type="http://schemas.openxmlformats.org/officeDocument/2006/relationships/hyperlink" Target="https://doi.org/10.3390/e21121221"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oi.org/10.3303/CET1974022" TargetMode="External"/><Relationship Id="rId22" Type="http://schemas.openxmlformats.org/officeDocument/2006/relationships/hyperlink" Target="https://doi.org/10.1128/aem.59.8.2465-2473.1993"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292C2-725A-40E5-88E6-84BB99B83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6</Pages>
  <Words>15659</Words>
  <Characters>8926</Characters>
  <Application>Microsoft Office Word</Application>
  <DocSecurity>0</DocSecurity>
  <Lines>74</Lines>
  <Paragraphs>49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User</cp:lastModifiedBy>
  <cp:revision>17</cp:revision>
  <cp:lastPrinted>2022-03-31T11:52:00Z</cp:lastPrinted>
  <dcterms:created xsi:type="dcterms:W3CDTF">2022-01-30T19:49:00Z</dcterms:created>
  <dcterms:modified xsi:type="dcterms:W3CDTF">2022-03-31T11:54:00Z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