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4CE268" w:rsidR="000A03B2" w:rsidRPr="00B57B36" w:rsidRDefault="00A76EFC" w:rsidP="00604911">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604911">
              <w:rPr>
                <w:rFonts w:cs="Arial"/>
                <w:b/>
                <w:bCs/>
                <w:i/>
                <w:iCs/>
                <w:color w:val="000066"/>
                <w:sz w:val="22"/>
                <w:szCs w:val="22"/>
                <w:lang w:eastAsia="it-IT"/>
              </w:rPr>
              <w:t>3</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9472F4"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7601A5" w:rsidRDefault="000D0268" w:rsidP="00CD5FE2">
            <w:pPr>
              <w:spacing w:line="140" w:lineRule="atLeast"/>
              <w:jc w:val="right"/>
              <w:rPr>
                <w:rFonts w:cs="Arial"/>
                <w:sz w:val="13"/>
                <w:szCs w:val="13"/>
                <w:lang w:val="da-DK"/>
              </w:rPr>
            </w:pPr>
            <w:r w:rsidRPr="007601A5">
              <w:rPr>
                <w:rFonts w:cs="Arial"/>
                <w:sz w:val="13"/>
                <w:szCs w:val="13"/>
                <w:lang w:val="da-DK"/>
              </w:rPr>
              <w:t>Online at www.cetjournal.it</w:t>
            </w:r>
          </w:p>
        </w:tc>
      </w:tr>
      <w:tr w:rsidR="000A03B2" w:rsidRPr="009472F4" w14:paraId="2D1B7169" w14:textId="77777777" w:rsidTr="00DE264A">
        <w:trPr>
          <w:trHeight w:val="68"/>
          <w:jc w:val="center"/>
        </w:trPr>
        <w:tc>
          <w:tcPr>
            <w:tcW w:w="8789" w:type="dxa"/>
            <w:gridSpan w:val="2"/>
          </w:tcPr>
          <w:p w14:paraId="4B0BB442" w14:textId="73B2847B"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 xml:space="preserve">Guest </w:t>
            </w:r>
            <w:proofErr w:type="spellStart"/>
            <w:r w:rsidRPr="0044071E">
              <w:rPr>
                <w:rFonts w:ascii="Tahoma" w:hAnsi="Tahoma" w:cs="Tahoma"/>
                <w:iCs/>
                <w:color w:val="333333"/>
                <w:sz w:val="14"/>
                <w:szCs w:val="14"/>
                <w:lang w:val="it-IT" w:eastAsia="it-IT"/>
              </w:rPr>
              <w:t>Editors</w:t>
            </w:r>
            <w:proofErr w:type="spellEnd"/>
            <w:r w:rsidRPr="0044071E">
              <w:rPr>
                <w:rFonts w:ascii="Tahoma" w:hAnsi="Tahoma" w:cs="Tahoma"/>
                <w:iCs/>
                <w:color w:val="333333"/>
                <w:sz w:val="14"/>
                <w:szCs w:val="14"/>
                <w:lang w:val="it-IT" w:eastAsia="it-IT"/>
              </w:rPr>
              <w:t>:</w:t>
            </w:r>
            <w:r w:rsidR="001D21AF" w:rsidRPr="0044071E">
              <w:rPr>
                <w:rFonts w:ascii="Tahoma" w:hAnsi="Tahoma" w:cs="Tahoma"/>
                <w:color w:val="000000"/>
                <w:sz w:val="14"/>
                <w:szCs w:val="14"/>
                <w:shd w:val="clear" w:color="auto" w:fill="FFFFFF"/>
                <w:lang w:val="it-IT"/>
              </w:rPr>
              <w:t xml:space="preserve"> </w:t>
            </w:r>
            <w:r w:rsidR="00AF6775">
              <w:rPr>
                <w:rFonts w:ascii="Tahoma" w:hAnsi="Tahoma" w:cs="Tahoma"/>
                <w:color w:val="000000"/>
                <w:sz w:val="14"/>
                <w:szCs w:val="14"/>
                <w:shd w:val="clear" w:color="auto" w:fill="FFFFFF"/>
                <w:lang w:val="it-IT"/>
              </w:rPr>
              <w:t>Marco Bravi,</w:t>
            </w:r>
            <w:r w:rsidR="00945AB6">
              <w:rPr>
                <w:rFonts w:ascii="Tahoma" w:hAnsi="Tahoma" w:cs="Tahoma"/>
                <w:color w:val="000000"/>
                <w:sz w:val="14"/>
                <w:szCs w:val="14"/>
                <w:shd w:val="clear" w:color="auto" w:fill="FFFFFF"/>
                <w:lang w:val="it-IT"/>
              </w:rPr>
              <w:t xml:space="preserve"> Alberto Brucato, Antonio Marzocchella</w:t>
            </w:r>
          </w:p>
          <w:p w14:paraId="1B0F1814" w14:textId="5B50B5BE" w:rsidR="000A03B2" w:rsidRPr="009472F4" w:rsidRDefault="00FA5F5F" w:rsidP="00604911">
            <w:pPr>
              <w:tabs>
                <w:tab w:val="left" w:pos="-108"/>
              </w:tabs>
              <w:spacing w:line="140" w:lineRule="atLeast"/>
              <w:ind w:left="-107"/>
              <w:jc w:val="left"/>
              <w:rPr>
                <w:lang w:val="it-IT"/>
              </w:rPr>
            </w:pPr>
            <w:r w:rsidRPr="009472F4">
              <w:rPr>
                <w:rFonts w:ascii="Tahoma" w:hAnsi="Tahoma" w:cs="Tahoma"/>
                <w:iCs/>
                <w:color w:val="333333"/>
                <w:sz w:val="14"/>
                <w:szCs w:val="14"/>
                <w:lang w:val="it-IT" w:eastAsia="it-IT"/>
              </w:rPr>
              <w:t>Copyright © 20</w:t>
            </w:r>
            <w:r w:rsidR="00DF5072" w:rsidRPr="009472F4">
              <w:rPr>
                <w:rFonts w:ascii="Tahoma" w:hAnsi="Tahoma" w:cs="Tahoma"/>
                <w:iCs/>
                <w:color w:val="333333"/>
                <w:sz w:val="14"/>
                <w:szCs w:val="14"/>
                <w:lang w:val="it-IT" w:eastAsia="it-IT"/>
              </w:rPr>
              <w:t>2</w:t>
            </w:r>
            <w:r w:rsidR="00E72EAD" w:rsidRPr="009472F4">
              <w:rPr>
                <w:rFonts w:ascii="Tahoma" w:hAnsi="Tahoma" w:cs="Tahoma"/>
                <w:iCs/>
                <w:color w:val="333333"/>
                <w:sz w:val="14"/>
                <w:szCs w:val="14"/>
                <w:lang w:val="it-IT" w:eastAsia="it-IT"/>
              </w:rPr>
              <w:t>2</w:t>
            </w:r>
            <w:r w:rsidR="00904C62" w:rsidRPr="009472F4">
              <w:rPr>
                <w:rFonts w:ascii="Tahoma" w:hAnsi="Tahoma" w:cs="Tahoma"/>
                <w:iCs/>
                <w:color w:val="333333"/>
                <w:sz w:val="14"/>
                <w:szCs w:val="14"/>
                <w:lang w:val="it-IT" w:eastAsia="it-IT"/>
              </w:rPr>
              <w:t>, AIDIC Servizi S.r.l.</w:t>
            </w:r>
            <w:r w:rsidR="00300E56" w:rsidRPr="009472F4">
              <w:rPr>
                <w:rFonts w:ascii="Tahoma" w:hAnsi="Tahoma" w:cs="Tahoma"/>
                <w:iCs/>
                <w:color w:val="333333"/>
                <w:sz w:val="14"/>
                <w:szCs w:val="14"/>
                <w:lang w:val="it-IT" w:eastAsia="it-IT"/>
              </w:rPr>
              <w:br/>
            </w:r>
            <w:r w:rsidR="00300E56" w:rsidRPr="009472F4">
              <w:rPr>
                <w:rFonts w:ascii="Tahoma" w:hAnsi="Tahoma" w:cs="Tahoma"/>
                <w:b/>
                <w:iCs/>
                <w:color w:val="000000"/>
                <w:sz w:val="14"/>
                <w:szCs w:val="14"/>
                <w:lang w:val="it-IT" w:eastAsia="it-IT"/>
              </w:rPr>
              <w:t>ISBN</w:t>
            </w:r>
            <w:r w:rsidR="00300E56" w:rsidRPr="009472F4">
              <w:rPr>
                <w:rFonts w:ascii="Tahoma" w:hAnsi="Tahoma" w:cs="Tahoma"/>
                <w:iCs/>
                <w:color w:val="000000"/>
                <w:sz w:val="14"/>
                <w:szCs w:val="14"/>
                <w:lang w:val="it-IT" w:eastAsia="it-IT"/>
              </w:rPr>
              <w:t xml:space="preserve"> </w:t>
            </w:r>
            <w:r w:rsidR="008D32B9" w:rsidRPr="009472F4">
              <w:rPr>
                <w:rFonts w:ascii="Tahoma" w:hAnsi="Tahoma" w:cs="Tahoma"/>
                <w:sz w:val="14"/>
                <w:szCs w:val="14"/>
                <w:lang w:val="it-IT"/>
              </w:rPr>
              <w:t>978-88-95608</w:t>
            </w:r>
            <w:r w:rsidR="00D46B7E" w:rsidRPr="009472F4">
              <w:rPr>
                <w:rFonts w:ascii="Tahoma" w:hAnsi="Tahoma" w:cs="Tahoma"/>
                <w:sz w:val="14"/>
                <w:szCs w:val="14"/>
                <w:lang w:val="it-IT"/>
              </w:rPr>
              <w:t>-</w:t>
            </w:r>
            <w:r w:rsidR="001D21AF" w:rsidRPr="009472F4">
              <w:rPr>
                <w:rFonts w:ascii="Tahoma" w:hAnsi="Tahoma" w:cs="Tahoma"/>
                <w:sz w:val="14"/>
                <w:szCs w:val="14"/>
                <w:lang w:val="it-IT"/>
              </w:rPr>
              <w:t>9</w:t>
            </w:r>
            <w:r w:rsidR="00604911" w:rsidRPr="009472F4">
              <w:rPr>
                <w:rFonts w:ascii="Tahoma" w:hAnsi="Tahoma" w:cs="Tahoma"/>
                <w:sz w:val="14"/>
                <w:szCs w:val="14"/>
                <w:lang w:val="it-IT"/>
              </w:rPr>
              <w:t>1</w:t>
            </w:r>
            <w:r w:rsidR="00D46B7E" w:rsidRPr="009472F4">
              <w:rPr>
                <w:rFonts w:ascii="Tahoma" w:hAnsi="Tahoma" w:cs="Tahoma"/>
                <w:sz w:val="14"/>
                <w:szCs w:val="14"/>
                <w:lang w:val="it-IT"/>
              </w:rPr>
              <w:t>-</w:t>
            </w:r>
            <w:r w:rsidR="00604911" w:rsidRPr="009472F4">
              <w:rPr>
                <w:rFonts w:ascii="Tahoma" w:hAnsi="Tahoma" w:cs="Tahoma"/>
                <w:sz w:val="14"/>
                <w:szCs w:val="14"/>
                <w:lang w:val="it-IT"/>
              </w:rPr>
              <w:t>4</w:t>
            </w:r>
            <w:r w:rsidR="007B48F9" w:rsidRPr="009472F4">
              <w:rPr>
                <w:rFonts w:ascii="Tahoma" w:hAnsi="Tahoma" w:cs="Tahoma"/>
                <w:iCs/>
                <w:color w:val="333333"/>
                <w:sz w:val="14"/>
                <w:szCs w:val="14"/>
                <w:lang w:val="it-IT" w:eastAsia="it-IT"/>
              </w:rPr>
              <w:t>;</w:t>
            </w:r>
            <w:r w:rsidR="00300E56" w:rsidRPr="009472F4">
              <w:rPr>
                <w:rFonts w:ascii="Tahoma" w:hAnsi="Tahoma" w:cs="Tahoma"/>
                <w:iCs/>
                <w:color w:val="333333"/>
                <w:sz w:val="14"/>
                <w:szCs w:val="14"/>
                <w:lang w:val="it-IT" w:eastAsia="it-IT"/>
              </w:rPr>
              <w:t xml:space="preserve"> </w:t>
            </w:r>
            <w:r w:rsidR="00300E56" w:rsidRPr="009472F4">
              <w:rPr>
                <w:rFonts w:ascii="Tahoma" w:hAnsi="Tahoma" w:cs="Tahoma"/>
                <w:b/>
                <w:iCs/>
                <w:color w:val="333333"/>
                <w:sz w:val="14"/>
                <w:szCs w:val="14"/>
                <w:lang w:val="it-IT" w:eastAsia="it-IT"/>
              </w:rPr>
              <w:t>ISSN</w:t>
            </w:r>
            <w:r w:rsidR="00300E56" w:rsidRPr="009472F4">
              <w:rPr>
                <w:rFonts w:ascii="Tahoma" w:hAnsi="Tahoma" w:cs="Tahoma"/>
                <w:iCs/>
                <w:color w:val="333333"/>
                <w:sz w:val="14"/>
                <w:szCs w:val="14"/>
                <w:lang w:val="it-IT" w:eastAsia="it-IT"/>
              </w:rPr>
              <w:t xml:space="preserve"> 2283-9216</w:t>
            </w:r>
          </w:p>
        </w:tc>
      </w:tr>
    </w:tbl>
    <w:p w14:paraId="10DAA130" w14:textId="77777777" w:rsidR="000A03B2" w:rsidRPr="009472F4" w:rsidRDefault="000A03B2" w:rsidP="000A03B2">
      <w:pPr>
        <w:pStyle w:val="CETAuthors"/>
        <w:rPr>
          <w:lang w:val="it-IT"/>
        </w:rPr>
        <w:sectPr w:rsidR="000A03B2" w:rsidRPr="009472F4" w:rsidSect="00CD5FE2">
          <w:type w:val="continuous"/>
          <w:pgSz w:w="11906" w:h="16838" w:code="9"/>
          <w:pgMar w:top="1701" w:right="1418" w:bottom="1701" w:left="1701" w:header="1701" w:footer="0" w:gutter="0"/>
          <w:cols w:space="708"/>
          <w:titlePg/>
          <w:docGrid w:linePitch="360"/>
        </w:sectPr>
      </w:pPr>
    </w:p>
    <w:p w14:paraId="28C4EBDC" w14:textId="7F957803" w:rsidR="004D1346" w:rsidRPr="00E2039B" w:rsidRDefault="004D1346" w:rsidP="00E2039B">
      <w:pPr>
        <w:pStyle w:val="CETTitle"/>
      </w:pPr>
      <w:r w:rsidRPr="00E2039B">
        <w:t xml:space="preserve">Study of lipase production by Yarrowia lipolytica grown in high concentration of hydrophobic carbon sources </w:t>
      </w:r>
    </w:p>
    <w:p w14:paraId="60D9E9A1" w14:textId="0780A796" w:rsidR="004D1346" w:rsidRPr="004D1346" w:rsidRDefault="004D1346" w:rsidP="004D1346">
      <w:pPr>
        <w:pStyle w:val="CETAuthors"/>
        <w:rPr>
          <w:lang w:val="it-IT"/>
        </w:rPr>
      </w:pPr>
      <w:r w:rsidRPr="00D33388">
        <w:rPr>
          <w:lang w:val="it-IT"/>
        </w:rPr>
        <w:t>Mattia Colacicco,</w:t>
      </w:r>
      <w:r w:rsidR="001B0B25">
        <w:rPr>
          <w:lang w:val="it-IT"/>
        </w:rPr>
        <w:t xml:space="preserve"> </w:t>
      </w:r>
      <w:r w:rsidRPr="004D1346">
        <w:rPr>
          <w:lang w:val="it-IT"/>
        </w:rPr>
        <w:t>Cosetta Ciliberti, Antonino Biundo, Gennaro Agrimi, Isabella Pisano</w:t>
      </w:r>
      <w:r w:rsidR="003C5BBC">
        <w:rPr>
          <w:lang w:val="it-IT"/>
        </w:rPr>
        <w:t>*</w:t>
      </w:r>
    </w:p>
    <w:p w14:paraId="73F1267A" w14:textId="058C21B0" w:rsidR="00B57E6F" w:rsidRDefault="004D1346" w:rsidP="002038E4">
      <w:pPr>
        <w:pStyle w:val="CETAddress"/>
      </w:pPr>
      <w:r w:rsidRPr="00BD1638">
        <w:rPr>
          <w:lang w:val="en-US"/>
        </w:rPr>
        <w:t>Department of Bioscience, Biotechnology and Biopharmaceutics, University of Bari, Via E. Orabona, 4, 70125,</w:t>
      </w:r>
      <w:r w:rsidR="001B0B25">
        <w:rPr>
          <w:lang w:val="en-US"/>
        </w:rPr>
        <w:t xml:space="preserve"> </w:t>
      </w:r>
      <w:r w:rsidRPr="00BD1638">
        <w:rPr>
          <w:lang w:val="en-US"/>
        </w:rPr>
        <w:t>Bari, Italy</w:t>
      </w:r>
      <w:r w:rsidRPr="00BD1638">
        <w:rPr>
          <w:lang w:val="en-US"/>
        </w:rPr>
        <w:br/>
      </w:r>
      <w:hyperlink r:id="rId13" w:history="1">
        <w:r w:rsidR="00803562" w:rsidRPr="007F4704">
          <w:rPr>
            <w:rStyle w:val="Collegamentoipertestuale"/>
          </w:rPr>
          <w:t>isabella.pisano@uniba.it</w:t>
        </w:r>
      </w:hyperlink>
    </w:p>
    <w:p w14:paraId="2F2E4198" w14:textId="77777777" w:rsidR="002038E4" w:rsidRPr="002038E4" w:rsidRDefault="002038E4" w:rsidP="002038E4">
      <w:pPr>
        <w:pStyle w:val="CETAddress"/>
        <w:rPr>
          <w:lang w:val="en-US"/>
        </w:rPr>
      </w:pPr>
    </w:p>
    <w:p w14:paraId="51222F53" w14:textId="0027340C" w:rsidR="00D33388" w:rsidRPr="00613C35" w:rsidRDefault="00D33388" w:rsidP="00D33388">
      <w:pPr>
        <w:pStyle w:val="CETBodytext"/>
      </w:pPr>
      <w:r w:rsidRPr="00613C35">
        <w:rPr>
          <w:i/>
        </w:rPr>
        <w:t xml:space="preserve">Yarrowia lipolytica </w:t>
      </w:r>
      <w:r w:rsidRPr="00613C35">
        <w:t xml:space="preserve">is one of the most studied “non-conventional” oleaginous yeasts. It is </w:t>
      </w:r>
      <w:r w:rsidR="004448B7">
        <w:t>able to produce</w:t>
      </w:r>
      <w:r w:rsidRPr="00613C35">
        <w:t xml:space="preserve"> a number of valuable </w:t>
      </w:r>
      <w:r w:rsidR="004448B7">
        <w:t xml:space="preserve">proteins and </w:t>
      </w:r>
      <w:r w:rsidRPr="00613C35">
        <w:t>metabolites such as lipases and other hydrolytic enzymes, single cell oils (SCOs), single cell proteins (SCPs), carboxylic acids, erythritol and γ-decalactone</w:t>
      </w:r>
      <w:r w:rsidR="003B5D4A">
        <w:t xml:space="preserve"> (Nicaud, 2012)</w:t>
      </w:r>
      <w:r w:rsidRPr="00613C35">
        <w:t xml:space="preserve">. Scientific research is focusing on </w:t>
      </w:r>
      <w:r w:rsidRPr="00613C35">
        <w:rPr>
          <w:i/>
        </w:rPr>
        <w:t>Y</w:t>
      </w:r>
      <w:r>
        <w:rPr>
          <w:i/>
        </w:rPr>
        <w:t>.</w:t>
      </w:r>
      <w:r w:rsidRPr="00613C35">
        <w:rPr>
          <w:i/>
        </w:rPr>
        <w:t xml:space="preserve"> lipolytica </w:t>
      </w:r>
      <w:r w:rsidRPr="00613C35">
        <w:t>due to its ability to grow on different carbon sources, both hydrophobic and hydrophilic, and to its high tolerance to broad pH ranges and salt concentrations</w:t>
      </w:r>
      <w:r w:rsidR="006F2245">
        <w:t xml:space="preserve"> (Miller and Halper, 2019</w:t>
      </w:r>
      <w:r w:rsidR="0002627D">
        <w:t>)</w:t>
      </w:r>
      <w:r w:rsidR="0002627D" w:rsidRPr="00613C35">
        <w:t>.</w:t>
      </w:r>
      <w:r w:rsidRPr="00613C35">
        <w:t xml:space="preserve"> Lipases (EC 3.1.1.3) are a class of hydrolases which naturally catalyze the hydrolysis of triglycerides to glycerol and free fatty acids at the oil–water interface in the presence of emulsions. Furthermore, lipases are very important for the synthesis of esters through esterification and transesterification reactions in anhydrous conditions,</w:t>
      </w:r>
      <w:r w:rsidR="004B6DA9">
        <w:t xml:space="preserve"> </w:t>
      </w:r>
      <w:r w:rsidRPr="00613C35">
        <w:t>with high enantioselectivity. For their ability to catalyze specific biotransformations in different reaction media, lipases have been employed in several industrial sectors, from the pharmaceutical to food and chemical industries</w:t>
      </w:r>
      <w:r w:rsidR="00536954">
        <w:t xml:space="preserve"> (Treichel</w:t>
      </w:r>
      <w:r w:rsidR="003B5D4A">
        <w:t xml:space="preserve"> </w:t>
      </w:r>
      <w:r w:rsidR="003B5D4A" w:rsidRPr="006F2245">
        <w:t>et al.,</w:t>
      </w:r>
      <w:r w:rsidR="00536954">
        <w:t xml:space="preserve"> 2010). </w:t>
      </w:r>
      <w:r w:rsidR="002A2D38" w:rsidRPr="00613C35">
        <w:rPr>
          <w:i/>
        </w:rPr>
        <w:t>Y</w:t>
      </w:r>
      <w:r w:rsidR="002A2D38">
        <w:rPr>
          <w:i/>
        </w:rPr>
        <w:t>.</w:t>
      </w:r>
      <w:r w:rsidR="002A2D38" w:rsidRPr="00613C35">
        <w:rPr>
          <w:i/>
        </w:rPr>
        <w:t xml:space="preserve"> lipolytica </w:t>
      </w:r>
      <w:r w:rsidR="00865B83" w:rsidRPr="007601A5">
        <w:rPr>
          <w:iCs/>
        </w:rPr>
        <w:t>use</w:t>
      </w:r>
      <w:r w:rsidR="002A2D38">
        <w:rPr>
          <w:iCs/>
        </w:rPr>
        <w:t xml:space="preserve"> a</w:t>
      </w:r>
      <w:r w:rsidR="00865B83">
        <w:rPr>
          <w:iCs/>
        </w:rPr>
        <w:t>s</w:t>
      </w:r>
      <w:r w:rsidR="002A2D38">
        <w:rPr>
          <w:iCs/>
        </w:rPr>
        <w:t xml:space="preserve"> </w:t>
      </w:r>
      <w:r w:rsidR="00865B83">
        <w:rPr>
          <w:iCs/>
        </w:rPr>
        <w:t xml:space="preserve">a </w:t>
      </w:r>
      <w:r w:rsidR="002A2D38">
        <w:t>sustainable platform for lipase production</w:t>
      </w:r>
      <w:r w:rsidR="00865B83">
        <w:t xml:space="preserve"> has been investigate</w:t>
      </w:r>
      <w:r w:rsidR="002A2D38">
        <w:t xml:space="preserve"> using w</w:t>
      </w:r>
      <w:r w:rsidR="002A2D38" w:rsidRPr="00613C35">
        <w:t xml:space="preserve">aste </w:t>
      </w:r>
      <w:r w:rsidRPr="00613C35">
        <w:t>cooking oils (WCOs)</w:t>
      </w:r>
      <w:r w:rsidR="00865B83">
        <w:t>.</w:t>
      </w:r>
      <w:r w:rsidRPr="00613C35">
        <w:t xml:space="preserve"> </w:t>
      </w:r>
      <w:r w:rsidR="00865B83">
        <w:t>The term WCO</w:t>
      </w:r>
      <w:r w:rsidR="002A2D38">
        <w:t xml:space="preserve"> </w:t>
      </w:r>
      <w:r w:rsidRPr="00613C35">
        <w:t>refer</w:t>
      </w:r>
      <w:r w:rsidR="00865B83">
        <w:t>s</w:t>
      </w:r>
      <w:r w:rsidRPr="00613C35">
        <w:t xml:space="preserve"> to oils and fats </w:t>
      </w:r>
      <w:r w:rsidR="002A2D38">
        <w:t>from</w:t>
      </w:r>
      <w:r w:rsidRPr="00613C35">
        <w:t xml:space="preserve"> food processing and storage at a commercial, industrial or household level. In Europe, WCOs annual production accounts for approximately 4 million tons/y</w:t>
      </w:r>
      <w:r w:rsidR="003B5D4A">
        <w:t xml:space="preserve"> (EBIA, 2021)</w:t>
      </w:r>
      <w:r w:rsidRPr="00613C35">
        <w:t>. If not collected and properly disposed of, WCOs can form the so-called “fatbergs” that can damage and clog the sewage system and pollute water and so</w:t>
      </w:r>
      <w:r w:rsidR="00717A5A">
        <w:t>il</w:t>
      </w:r>
      <w:r w:rsidR="00717A5A" w:rsidRPr="00717A5A">
        <w:rPr>
          <w:vertAlign w:val="superscript"/>
        </w:rPr>
        <w:t xml:space="preserve"> </w:t>
      </w:r>
      <w:r w:rsidR="00536954">
        <w:t>(F</w:t>
      </w:r>
      <w:r w:rsidR="003B5D4A">
        <w:t xml:space="preserve">oo </w:t>
      </w:r>
      <w:r w:rsidR="00536954" w:rsidRPr="006F2245">
        <w:t>et al</w:t>
      </w:r>
      <w:r w:rsidR="003B5D4A" w:rsidRPr="006F2245">
        <w:t>.</w:t>
      </w:r>
      <w:r w:rsidR="00536954" w:rsidRPr="006F2245">
        <w:t>,</w:t>
      </w:r>
      <w:r w:rsidR="00536954">
        <w:t> 2014)</w:t>
      </w:r>
      <w:r w:rsidRPr="00613C35">
        <w:t xml:space="preserve">. </w:t>
      </w:r>
    </w:p>
    <w:p w14:paraId="57B71876" w14:textId="3187DC46" w:rsidR="009A2B3D" w:rsidRDefault="00D33388" w:rsidP="00D33388">
      <w:pPr>
        <w:pStyle w:val="CETBodytext"/>
      </w:pPr>
      <w:r w:rsidRPr="00613C35">
        <w:t xml:space="preserve">In this work, the capabilities of </w:t>
      </w:r>
      <w:r w:rsidRPr="00613C35">
        <w:rPr>
          <w:i/>
        </w:rPr>
        <w:t>Y</w:t>
      </w:r>
      <w:r>
        <w:rPr>
          <w:i/>
        </w:rPr>
        <w:t>.</w:t>
      </w:r>
      <w:r w:rsidRPr="00613C35">
        <w:rPr>
          <w:i/>
        </w:rPr>
        <w:t xml:space="preserve"> lipolytica</w:t>
      </w:r>
      <w:r w:rsidRPr="00613C35">
        <w:t xml:space="preserve"> to grow on high concentrations of different hydrophobic carbon sources, such as Olive Oil and WCOs, among others,</w:t>
      </w:r>
      <w:r w:rsidR="00084C89" w:rsidRPr="00084C89">
        <w:rPr>
          <w:lang w:val="en-GB"/>
        </w:rPr>
        <w:t xml:space="preserve"> we</w:t>
      </w:r>
      <w:r w:rsidR="00084C89">
        <w:rPr>
          <w:lang w:val="en-GB"/>
        </w:rPr>
        <w:t>re</w:t>
      </w:r>
      <w:r w:rsidR="00084C89" w:rsidRPr="00084C89">
        <w:rPr>
          <w:lang w:val="en-GB"/>
        </w:rPr>
        <w:t xml:space="preserve"> investigated</w:t>
      </w:r>
      <w:r w:rsidRPr="00613C35">
        <w:t xml:space="preserve"> to evaluate their potential as inducers for lipase production.</w:t>
      </w:r>
    </w:p>
    <w:p w14:paraId="33C4DF32" w14:textId="77777777" w:rsidR="005B56EB" w:rsidRDefault="009A2B3D" w:rsidP="005B56EB">
      <w:pPr>
        <w:pStyle w:val="CETHeading1"/>
      </w:pPr>
      <w:r>
        <w:t>Introduction</w:t>
      </w:r>
    </w:p>
    <w:p w14:paraId="213ED067" w14:textId="30F3E150" w:rsidR="001F1976" w:rsidRPr="006C7F6A" w:rsidRDefault="006666BD" w:rsidP="006C7F6A">
      <w:pPr>
        <w:pStyle w:val="CETBodytext"/>
      </w:pPr>
      <w:r w:rsidRPr="00FB5F4A">
        <w:rPr>
          <w:rStyle w:val="CETBodytextCarattere"/>
          <w:i/>
          <w:iCs/>
        </w:rPr>
        <w:t>Yarrowia lipolytica</w:t>
      </w:r>
      <w:r w:rsidRPr="006C7F6A">
        <w:t xml:space="preserve"> is an ascomycete yeast classified in the family of the Dispoda</w:t>
      </w:r>
      <w:r w:rsidR="0006430B">
        <w:t>sca</w:t>
      </w:r>
      <w:r w:rsidRPr="006C7F6A">
        <w:t xml:space="preserve">ceae, it can be found in nature in </w:t>
      </w:r>
      <w:r w:rsidR="008040AC" w:rsidRPr="006C7F6A">
        <w:t>several</w:t>
      </w:r>
      <w:r w:rsidRPr="006C7F6A">
        <w:t xml:space="preserve"> different environments </w:t>
      </w:r>
      <w:r w:rsidR="008E72C4" w:rsidRPr="006C7F6A">
        <w:t>ranging from processed foods (</w:t>
      </w:r>
      <w:r w:rsidR="000C4A48" w:rsidRPr="005E0648">
        <w:rPr>
          <w:i/>
          <w:iCs/>
        </w:rPr>
        <w:t>e.g.</w:t>
      </w:r>
      <w:r w:rsidR="000C4A48" w:rsidRPr="006C7F6A">
        <w:t>,</w:t>
      </w:r>
      <w:r w:rsidR="008E72C4" w:rsidRPr="006C7F6A">
        <w:t xml:space="preserve"> cheese, processed </w:t>
      </w:r>
      <w:r w:rsidR="000C4A48" w:rsidRPr="006C7F6A">
        <w:t>meats) (</w:t>
      </w:r>
      <w:r w:rsidR="008E72C4" w:rsidRPr="006C7F6A">
        <w:t xml:space="preserve">Suzzi </w:t>
      </w:r>
      <w:r w:rsidR="008E72C4" w:rsidRPr="006F2245">
        <w:rPr>
          <w:i/>
          <w:iCs/>
        </w:rPr>
        <w:t>et. al</w:t>
      </w:r>
      <w:r w:rsidR="00CD2080" w:rsidRPr="006C7F6A">
        <w:t xml:space="preserve">, 2001; Barth and Gaillardin, 1996) to lipid-rich media </w:t>
      </w:r>
      <w:r w:rsidR="004E176A" w:rsidRPr="006C7F6A">
        <w:t>(Smita</w:t>
      </w:r>
      <w:r w:rsidR="006F2245">
        <w:t>,</w:t>
      </w:r>
      <w:r w:rsidR="004E176A" w:rsidRPr="006C7F6A">
        <w:t xml:space="preserve"> </w:t>
      </w:r>
      <w:r w:rsidR="004E176A" w:rsidRPr="006F2245">
        <w:rPr>
          <w:i/>
          <w:iCs/>
        </w:rPr>
        <w:t>et. al</w:t>
      </w:r>
      <w:r w:rsidR="004E176A" w:rsidRPr="006C7F6A">
        <w:t>, 1998) and marine environments with high saline concentrations (</w:t>
      </w:r>
      <w:r w:rsidR="00E3440B" w:rsidRPr="006C7F6A">
        <w:t xml:space="preserve">Beopoulos </w:t>
      </w:r>
      <w:r w:rsidR="00E3440B" w:rsidRPr="006F2245">
        <w:t>et al.,</w:t>
      </w:r>
      <w:r w:rsidR="00E3440B" w:rsidRPr="006C7F6A">
        <w:t xml:space="preserve"> 2010). </w:t>
      </w:r>
      <w:r w:rsidR="00FD6236" w:rsidRPr="00154F84">
        <w:t>Most strains</w:t>
      </w:r>
      <w:r w:rsidR="00FD6236" w:rsidRPr="006C7F6A">
        <w:t xml:space="preserve"> of th</w:t>
      </w:r>
      <w:r w:rsidR="0006430B">
        <w:t>is</w:t>
      </w:r>
      <w:r w:rsidR="00FD6236" w:rsidRPr="006C7F6A">
        <w:t xml:space="preserve"> </w:t>
      </w:r>
      <w:r w:rsidR="0006430B">
        <w:t>species</w:t>
      </w:r>
      <w:r w:rsidR="00FD6236" w:rsidRPr="006C7F6A">
        <w:t xml:space="preserve"> are unable to grow at temperature</w:t>
      </w:r>
      <w:r w:rsidR="008A7AB2">
        <w:t>s</w:t>
      </w:r>
      <w:r w:rsidR="00FD6236" w:rsidRPr="006C7F6A">
        <w:t xml:space="preserve"> higher than 32 °C and </w:t>
      </w:r>
      <w:r w:rsidR="0006430B">
        <w:t>their metabolism is</w:t>
      </w:r>
      <w:r w:rsidR="00FD6236" w:rsidRPr="006C7F6A">
        <w:t xml:space="preserve"> strictly aerobic</w:t>
      </w:r>
      <w:r w:rsidR="0006430B">
        <w:t>. Th</w:t>
      </w:r>
      <w:r w:rsidR="008040AC">
        <w:t>is feature</w:t>
      </w:r>
      <w:r w:rsidR="00FD6236" w:rsidRPr="006C7F6A">
        <w:t xml:space="preserve"> contributed to its classification as non-pathogenic and Generally Regarded </w:t>
      </w:r>
      <w:proofErr w:type="gramStart"/>
      <w:r w:rsidR="00FD6236" w:rsidRPr="006C7F6A">
        <w:t>As</w:t>
      </w:r>
      <w:proofErr w:type="gramEnd"/>
      <w:r w:rsidR="00FD6236" w:rsidRPr="006C7F6A">
        <w:t xml:space="preserve"> Safe (GRAS) by the American Food and Drug Administration (Nicaud, 2012)</w:t>
      </w:r>
      <w:r w:rsidR="005E0648">
        <w:t>.</w:t>
      </w:r>
    </w:p>
    <w:p w14:paraId="183C1C83" w14:textId="2E18A499" w:rsidR="00B33B8B" w:rsidRDefault="001F1976" w:rsidP="006C7F6A">
      <w:pPr>
        <w:pStyle w:val="CETBodytext"/>
      </w:pPr>
      <w:r w:rsidRPr="00D32D24">
        <w:rPr>
          <w:i/>
          <w:iCs/>
        </w:rPr>
        <w:t>Y</w:t>
      </w:r>
      <w:r w:rsidR="00D32D24" w:rsidRPr="00D32D24">
        <w:rPr>
          <w:i/>
          <w:iCs/>
        </w:rPr>
        <w:t>. lipolytica</w:t>
      </w:r>
      <w:r w:rsidRPr="006C7F6A">
        <w:t xml:space="preserve"> gain</w:t>
      </w:r>
      <w:r w:rsidR="00717A5A" w:rsidRPr="006C7F6A">
        <w:t>ed</w:t>
      </w:r>
      <w:r w:rsidRPr="006C7F6A">
        <w:t xml:space="preserve"> interest </w:t>
      </w:r>
      <w:r w:rsidR="00D32D24">
        <w:t>in</w:t>
      </w:r>
      <w:r w:rsidRPr="006C7F6A">
        <w:t xml:space="preserve"> the scientific community in the last 20 years </w:t>
      </w:r>
      <w:r w:rsidR="00D32D24">
        <w:t xml:space="preserve">due </w:t>
      </w:r>
      <w:r w:rsidRPr="006C7F6A">
        <w:t xml:space="preserve">to </w:t>
      </w:r>
      <w:r w:rsidR="00717A5A" w:rsidRPr="006C7F6A">
        <w:t xml:space="preserve">its ability </w:t>
      </w:r>
      <w:r w:rsidR="008040AC">
        <w:t>to grow</w:t>
      </w:r>
      <w:r w:rsidR="00717A5A" w:rsidRPr="006C7F6A">
        <w:t xml:space="preserve"> </w:t>
      </w:r>
      <w:r w:rsidR="00D32D24">
        <w:t xml:space="preserve">on </w:t>
      </w:r>
      <w:r w:rsidR="00717A5A" w:rsidRPr="006C7F6A">
        <w:t xml:space="preserve">unconventional </w:t>
      </w:r>
      <w:r w:rsidR="00D32D24">
        <w:t>media such as hydrophobic</w:t>
      </w:r>
      <w:r w:rsidR="00717A5A" w:rsidRPr="006C7F6A">
        <w:t xml:space="preserve"> carbon sources,</w:t>
      </w:r>
      <w:r w:rsidR="00D32D24">
        <w:t xml:space="preserve"> at</w:t>
      </w:r>
      <w:r w:rsidR="00717A5A" w:rsidRPr="006C7F6A">
        <w:t xml:space="preserve"> </w:t>
      </w:r>
      <w:r w:rsidR="00A84D1A" w:rsidRPr="006C7F6A">
        <w:t xml:space="preserve">broad pH ranges, high saline concentrations (Miller, 2019) and </w:t>
      </w:r>
      <w:r w:rsidR="00D32D24">
        <w:t>due</w:t>
      </w:r>
      <w:r w:rsidR="00A84D1A" w:rsidRPr="006C7F6A">
        <w:t xml:space="preserve"> to the </w:t>
      </w:r>
      <w:r w:rsidR="00D32D24">
        <w:t xml:space="preserve">recent </w:t>
      </w:r>
      <w:r w:rsidR="00400325">
        <w:t>development of molecular tools for its</w:t>
      </w:r>
      <w:r w:rsidR="00C12E63">
        <w:t xml:space="preserve"> </w:t>
      </w:r>
      <w:r w:rsidR="00400325">
        <w:t xml:space="preserve">efficient </w:t>
      </w:r>
      <w:r w:rsidR="00C12E63">
        <w:t xml:space="preserve">genetical manipulation </w:t>
      </w:r>
      <w:r w:rsidR="0092193E" w:rsidRPr="006C7F6A">
        <w:t>(Beopoulos et al., 2010;</w:t>
      </w:r>
      <w:r w:rsidR="00CD5632" w:rsidRPr="006C7F6A">
        <w:t xml:space="preserve"> Zhu and Jackson, 2015).</w:t>
      </w:r>
    </w:p>
    <w:p w14:paraId="277E519B" w14:textId="665835FE" w:rsidR="00D33388" w:rsidRPr="006C7F6A" w:rsidRDefault="00EE7E90" w:rsidP="006C7F6A">
      <w:pPr>
        <w:pStyle w:val="CETBodytext"/>
      </w:pPr>
      <w:r w:rsidRPr="006C7F6A">
        <w:t xml:space="preserve">Nowadays </w:t>
      </w:r>
      <w:r w:rsidR="002A2D38" w:rsidRPr="00FB5F4A">
        <w:rPr>
          <w:i/>
          <w:iCs/>
        </w:rPr>
        <w:t>Y</w:t>
      </w:r>
      <w:r w:rsidR="002A2D38">
        <w:rPr>
          <w:i/>
          <w:iCs/>
        </w:rPr>
        <w:t>.</w:t>
      </w:r>
      <w:r w:rsidR="002A2D38" w:rsidRPr="00FB5F4A">
        <w:rPr>
          <w:i/>
          <w:iCs/>
        </w:rPr>
        <w:t xml:space="preserve"> </w:t>
      </w:r>
      <w:r w:rsidRPr="00FB5F4A">
        <w:rPr>
          <w:i/>
          <w:iCs/>
        </w:rPr>
        <w:t>lipolytica</w:t>
      </w:r>
      <w:r w:rsidRPr="006C7F6A">
        <w:t xml:space="preserve"> is used in </w:t>
      </w:r>
      <w:r w:rsidR="000C4A48" w:rsidRPr="006C7F6A">
        <w:t>several</w:t>
      </w:r>
      <w:r w:rsidR="005E0648">
        <w:t xml:space="preserve"> </w:t>
      </w:r>
      <w:r w:rsidRPr="006C7F6A">
        <w:t xml:space="preserve">processes for the production of </w:t>
      </w:r>
      <w:r w:rsidR="00C12E63">
        <w:t>industrially</w:t>
      </w:r>
      <w:r w:rsidR="005E0648">
        <w:t> </w:t>
      </w:r>
      <w:r w:rsidRPr="006C7F6A">
        <w:t>interesting molecules</w:t>
      </w:r>
      <w:r w:rsidR="00127023">
        <w:t xml:space="preserve"> and enzymes such as</w:t>
      </w:r>
      <w:r w:rsidR="00127023" w:rsidRPr="006C7F6A">
        <w:t xml:space="preserve"> </w:t>
      </w:r>
      <w:r w:rsidR="00C26C3F" w:rsidRPr="006C7F6A">
        <w:t>lipases</w:t>
      </w:r>
      <w:r w:rsidR="00C12E63">
        <w:t>,</w:t>
      </w:r>
      <w:r w:rsidR="00C26C3F" w:rsidRPr="006C7F6A">
        <w:t xml:space="preserve"> which </w:t>
      </w:r>
      <w:r w:rsidR="00C12E63">
        <w:t xml:space="preserve">are gaining </w:t>
      </w:r>
      <w:r w:rsidR="004639C1">
        <w:t>importance</w:t>
      </w:r>
      <w:r w:rsidR="00C12E63">
        <w:t xml:space="preserve"> due to their natural </w:t>
      </w:r>
      <w:r w:rsidR="008A7AB2">
        <w:t xml:space="preserve">function </w:t>
      </w:r>
      <w:r w:rsidR="004639C1">
        <w:t xml:space="preserve">in the yeast </w:t>
      </w:r>
      <w:r w:rsidR="00FD2820">
        <w:t>for triacylglycerols (TAG) metabolism</w:t>
      </w:r>
      <w:r w:rsidR="004639C1">
        <w:t xml:space="preserve">. These enzymes </w:t>
      </w:r>
      <w:r w:rsidR="00EF3B94">
        <w:t>have a role</w:t>
      </w:r>
      <w:r w:rsidR="004639C1">
        <w:t xml:space="preserve"> in the</w:t>
      </w:r>
      <w:r w:rsidR="00C26C3F" w:rsidRPr="006C7F6A">
        <w:t xml:space="preserve"> </w:t>
      </w:r>
      <w:r w:rsidR="000C4A48" w:rsidRPr="006C7F6A">
        <w:t>accumulat</w:t>
      </w:r>
      <w:r w:rsidR="00FD2820">
        <w:t>ion</w:t>
      </w:r>
      <w:r w:rsidR="00CD6BF0" w:rsidRPr="006C7F6A">
        <w:t xml:space="preserve"> </w:t>
      </w:r>
      <w:r w:rsidR="00D95790">
        <w:t xml:space="preserve">of </w:t>
      </w:r>
      <w:r w:rsidR="00EE70F6">
        <w:t>TAG</w:t>
      </w:r>
      <w:r w:rsidR="00D95790">
        <w:t xml:space="preserve"> in the cell</w:t>
      </w:r>
      <w:r w:rsidR="00BA78F1">
        <w:t>,</w:t>
      </w:r>
      <w:r w:rsidR="00D95790">
        <w:t xml:space="preserve"> </w:t>
      </w:r>
      <w:r w:rsidR="00BA78F1">
        <w:t xml:space="preserve">reaching </w:t>
      </w:r>
      <w:r w:rsidR="00CD6BF0" w:rsidRPr="006C7F6A">
        <w:t>up to 50% of cell weight</w:t>
      </w:r>
      <w:r w:rsidR="00BA78F1">
        <w:t>,</w:t>
      </w:r>
      <w:r w:rsidR="00C26C3F" w:rsidRPr="006C7F6A">
        <w:t xml:space="preserve"> and </w:t>
      </w:r>
      <w:r w:rsidR="00BA78F1">
        <w:t xml:space="preserve">on the </w:t>
      </w:r>
      <w:r w:rsidR="00C26C3F" w:rsidRPr="006C7F6A">
        <w:t>conver</w:t>
      </w:r>
      <w:r w:rsidR="00FD2820">
        <w:t>sion</w:t>
      </w:r>
      <w:r w:rsidR="005E0648">
        <w:t xml:space="preserve"> </w:t>
      </w:r>
      <w:r w:rsidR="00BA78F1">
        <w:t xml:space="preserve">of </w:t>
      </w:r>
      <w:r w:rsidR="00C26C3F" w:rsidRPr="006C7F6A">
        <w:t xml:space="preserve">media containing </w:t>
      </w:r>
      <w:r w:rsidR="00EF3B94">
        <w:t xml:space="preserve">lipid </w:t>
      </w:r>
      <w:r w:rsidR="00C26C3F" w:rsidRPr="006C7F6A">
        <w:t>rich carbon sources</w:t>
      </w:r>
      <w:r w:rsidR="00BA78F1">
        <w:t xml:space="preserve"> to other metabolites </w:t>
      </w:r>
      <w:r w:rsidR="00CD6BF0" w:rsidRPr="006C7F6A">
        <w:t>(Beopoulos et al., 2009).</w:t>
      </w:r>
    </w:p>
    <w:p w14:paraId="2F65F8B7" w14:textId="578537D6" w:rsidR="00865B83" w:rsidRDefault="005F2E7C" w:rsidP="008359E1">
      <w:pPr>
        <w:pStyle w:val="CETBodytext"/>
      </w:pPr>
      <w:r w:rsidRPr="006C7F6A">
        <w:lastRenderedPageBreak/>
        <w:t>Lipas</w:t>
      </w:r>
      <w:r w:rsidR="00CF42AA" w:rsidRPr="006C7F6A">
        <w:t>es</w:t>
      </w:r>
      <w:r w:rsidR="00FD2820">
        <w:t xml:space="preserve"> (EC 3.1.1.3)</w:t>
      </w:r>
      <w:r w:rsidR="00CF42AA" w:rsidRPr="006C7F6A">
        <w:t xml:space="preserve"> </w:t>
      </w:r>
      <w:r w:rsidR="00D14B4F">
        <w:t>belong to</w:t>
      </w:r>
      <w:r w:rsidR="00CF42AA" w:rsidRPr="006C7F6A">
        <w:t xml:space="preserve"> the </w:t>
      </w:r>
      <w:r w:rsidR="00FD2820">
        <w:t xml:space="preserve">serine </w:t>
      </w:r>
      <w:r w:rsidR="00CF42AA" w:rsidRPr="006C7F6A">
        <w:t>hydrolase family that act on carboxylic ester bonds</w:t>
      </w:r>
      <w:r w:rsidR="00FD2820">
        <w:t xml:space="preserve"> and</w:t>
      </w:r>
      <w:r w:rsidR="00CF42AA" w:rsidRPr="006C7F6A">
        <w:t xml:space="preserve"> their natural function is to hydrolyze TAGs in diglycerides</w:t>
      </w:r>
      <w:r w:rsidR="008C62C5">
        <w:t xml:space="preserve"> (DAG)</w:t>
      </w:r>
      <w:r w:rsidR="00CF42AA" w:rsidRPr="006C7F6A">
        <w:t>, monoglycerides</w:t>
      </w:r>
      <w:r w:rsidR="008C62C5">
        <w:t xml:space="preserve"> (MAG)</w:t>
      </w:r>
      <w:r w:rsidR="00CF42AA" w:rsidRPr="006C7F6A">
        <w:t>, fatty acids</w:t>
      </w:r>
      <w:r w:rsidR="008C62C5">
        <w:t xml:space="preserve"> (FA)</w:t>
      </w:r>
      <w:r w:rsidR="00CF42AA" w:rsidRPr="006C7F6A">
        <w:t xml:space="preserve"> and glycerol.</w:t>
      </w:r>
      <w:r w:rsidR="006C7F6A">
        <w:t xml:space="preserve"> </w:t>
      </w:r>
      <w:r w:rsidR="006C7F6A" w:rsidRPr="008C62C5">
        <w:t xml:space="preserve">Lipases </w:t>
      </w:r>
      <w:r w:rsidR="00137031" w:rsidRPr="008C62C5">
        <w:t>primarily</w:t>
      </w:r>
      <w:r w:rsidR="006C7F6A" w:rsidRPr="008C62C5">
        <w:t xml:space="preserve"> </w:t>
      </w:r>
      <w:r w:rsidR="00AC7959">
        <w:t>act</w:t>
      </w:r>
      <w:r w:rsidR="006C7F6A" w:rsidRPr="008C62C5">
        <w:t xml:space="preserve"> </w:t>
      </w:r>
      <w:r w:rsidR="008C62C5" w:rsidRPr="008C62C5">
        <w:t>at the water-oi</w:t>
      </w:r>
      <w:r w:rsidR="008C62C5">
        <w:t>l interface with a kinetic model that involves two distinctive equilibria: the first equilibri</w:t>
      </w:r>
      <w:r w:rsidR="00FD2820">
        <w:t>um</w:t>
      </w:r>
      <w:r w:rsidR="008C62C5">
        <w:t xml:space="preserve"> </w:t>
      </w:r>
      <w:r w:rsidR="007A0CA2">
        <w:t>implicates</w:t>
      </w:r>
      <w:r w:rsidR="008C62C5">
        <w:t xml:space="preserve"> a reversible a</w:t>
      </w:r>
      <w:r w:rsidR="00C508A4">
        <w:t>d</w:t>
      </w:r>
      <w:r w:rsidR="008C62C5">
        <w:t>sorption of the enzymes to the interface, the second equilibrium involves</w:t>
      </w:r>
      <w:r w:rsidR="0081219E">
        <w:t xml:space="preserve"> the formation of an enzyme-substrate complex and </w:t>
      </w:r>
      <w:r w:rsidR="004519CE">
        <w:t>it</w:t>
      </w:r>
      <w:r w:rsidR="00BA78F1">
        <w:t xml:space="preserve"> i</w:t>
      </w:r>
      <w:r w:rsidR="004519CE">
        <w:t>s characterized by</w:t>
      </w:r>
      <w:r w:rsidR="0081219E">
        <w:t xml:space="preserve"> a </w:t>
      </w:r>
      <w:r w:rsidR="00137031">
        <w:t xml:space="preserve">typical Michaelis-Menten kinetic </w:t>
      </w:r>
      <w:r w:rsidR="0081219E">
        <w:t xml:space="preserve">(Verger, </w:t>
      </w:r>
      <w:r w:rsidR="006E0E49">
        <w:t>et al.</w:t>
      </w:r>
      <w:r w:rsidR="0081219E">
        <w:t>, 1973; Verger and Haas, 1976).</w:t>
      </w:r>
      <w:r w:rsidR="003426D1">
        <w:t xml:space="preserve"> Lipases also catalyze other reactions in addition to hydrolysis such as esterification and transesterification</w:t>
      </w:r>
      <w:r w:rsidR="003D43D6">
        <w:t xml:space="preserve"> with high enantioselectivity</w:t>
      </w:r>
      <w:r w:rsidR="00C508A4">
        <w:t xml:space="preserve"> </w:t>
      </w:r>
      <w:r w:rsidR="003D43D6">
        <w:t>and regioselectivity on TAGs and other substrates</w:t>
      </w:r>
      <w:r w:rsidR="00D14B4F">
        <w:t xml:space="preserve"> also in unconventional media</w:t>
      </w:r>
      <w:r w:rsidR="003D43D6">
        <w:t xml:space="preserve">. </w:t>
      </w:r>
      <w:r w:rsidR="003D2533">
        <w:t xml:space="preserve">In light </w:t>
      </w:r>
      <w:r w:rsidR="00C508A4">
        <w:t>of</w:t>
      </w:r>
      <w:r w:rsidR="003D43D6">
        <w:t xml:space="preserve"> these </w:t>
      </w:r>
      <w:r w:rsidR="00C508A4">
        <w:t xml:space="preserve">features, </w:t>
      </w:r>
      <w:r w:rsidR="003D43D6">
        <w:t xml:space="preserve">commercially produced </w:t>
      </w:r>
      <w:r w:rsidR="003D2533">
        <w:t xml:space="preserve">microbial </w:t>
      </w:r>
      <w:r w:rsidR="003D43D6">
        <w:t>lipases find applications in various industrial processes</w:t>
      </w:r>
      <w:r w:rsidR="00637D23">
        <w:t xml:space="preserve"> (</w:t>
      </w:r>
      <w:r w:rsidR="00637D23" w:rsidRPr="005E0648">
        <w:rPr>
          <w:i/>
          <w:iCs/>
        </w:rPr>
        <w:t>e.g.</w:t>
      </w:r>
      <w:r w:rsidR="00637D23">
        <w:t>, food processing, pharmaceuticals, detergents</w:t>
      </w:r>
      <w:r w:rsidR="00865B83">
        <w:t>).</w:t>
      </w:r>
    </w:p>
    <w:p w14:paraId="53F65602" w14:textId="730E7E5A" w:rsidR="009F54F9" w:rsidRPr="00132F33" w:rsidRDefault="00D14B4F" w:rsidP="008359E1">
      <w:pPr>
        <w:pStyle w:val="CETBodytext"/>
      </w:pPr>
      <w:r w:rsidRPr="007601A5">
        <w:t xml:space="preserve">Following </w:t>
      </w:r>
      <w:r>
        <w:t xml:space="preserve">the </w:t>
      </w:r>
      <w:r w:rsidR="00F72DAE">
        <w:t xml:space="preserve">sequencing of the genome </w:t>
      </w:r>
      <w:r w:rsidR="00C508A4">
        <w:t xml:space="preserve">of </w:t>
      </w:r>
      <w:r w:rsidR="00C508A4" w:rsidRPr="005E0648">
        <w:rPr>
          <w:i/>
          <w:iCs/>
        </w:rPr>
        <w:t>Y</w:t>
      </w:r>
      <w:r w:rsidR="00C508A4">
        <w:t>.</w:t>
      </w:r>
      <w:r w:rsidR="00F72DAE">
        <w:rPr>
          <w:i/>
          <w:iCs/>
        </w:rPr>
        <w:t xml:space="preserve"> lipolytica </w:t>
      </w:r>
      <w:r w:rsidR="00F72DAE">
        <w:t xml:space="preserve">haploid strain E150 (CLIB99) </w:t>
      </w:r>
      <w:r w:rsidR="008315EF">
        <w:t>16 lipase encoding genes</w:t>
      </w:r>
      <w:r>
        <w:t xml:space="preserve"> were identified</w:t>
      </w:r>
      <w:r w:rsidR="008315EF">
        <w:t>,</w:t>
      </w:r>
      <w:r w:rsidR="00C508A4">
        <w:t xml:space="preserve"> which were grouped</w:t>
      </w:r>
      <w:r w:rsidR="008315EF">
        <w:t xml:space="preserve"> </w:t>
      </w:r>
      <w:r w:rsidR="00C508A4">
        <w:t>in</w:t>
      </w:r>
      <w:r w:rsidR="008315EF">
        <w:t xml:space="preserve"> </w:t>
      </w:r>
      <w:r w:rsidR="00C508A4">
        <w:t>the GL3R0084</w:t>
      </w:r>
      <w:r w:rsidR="000347F9">
        <w:t xml:space="preserve"> </w:t>
      </w:r>
      <w:r w:rsidR="00C508A4">
        <w:t>f</w:t>
      </w:r>
      <w:r w:rsidR="008315EF">
        <w:t>amily</w:t>
      </w:r>
      <w:r w:rsidR="000347F9">
        <w:t xml:space="preserve"> (Casaregola </w:t>
      </w:r>
      <w:r w:rsidR="000347F9" w:rsidRPr="006F2245">
        <w:t>et al.,</w:t>
      </w:r>
      <w:r w:rsidR="000347F9">
        <w:t xml:space="preserve"> 2000; Dujon </w:t>
      </w:r>
      <w:r w:rsidR="000347F9" w:rsidRPr="006F2245">
        <w:t>et al.,</w:t>
      </w:r>
      <w:r w:rsidR="000347F9">
        <w:t xml:space="preserve"> 2004)</w:t>
      </w:r>
      <w:r w:rsidR="008315EF">
        <w:t>.</w:t>
      </w:r>
      <w:r w:rsidR="000347F9">
        <w:t xml:space="preserve"> </w:t>
      </w:r>
      <w:r w:rsidR="006E28A4">
        <w:t xml:space="preserve">Lip2p (311 aa) </w:t>
      </w:r>
      <w:r w:rsidR="00364D84">
        <w:t>encod</w:t>
      </w:r>
      <w:r w:rsidR="00FC68C4">
        <w:t>ed by</w:t>
      </w:r>
      <w:r w:rsidR="00364D84">
        <w:t xml:space="preserve"> t</w:t>
      </w:r>
      <w:r w:rsidR="006E28A4">
        <w:t xml:space="preserve">he </w:t>
      </w:r>
      <w:r w:rsidR="006E28A4" w:rsidRPr="000347F9">
        <w:rPr>
          <w:i/>
          <w:iCs/>
        </w:rPr>
        <w:t>LIP2</w:t>
      </w:r>
      <w:r w:rsidR="006E28A4">
        <w:t xml:space="preserve"> </w:t>
      </w:r>
      <w:r w:rsidR="007A0CA2">
        <w:t>gene,</w:t>
      </w:r>
      <w:r w:rsidR="006E28A4">
        <w:t xml:space="preserve"> Lip7p (341 aa) </w:t>
      </w:r>
      <w:r w:rsidR="00364D84">
        <w:t>encod</w:t>
      </w:r>
      <w:r w:rsidR="00FC68C4">
        <w:t>ed</w:t>
      </w:r>
      <w:r w:rsidR="00364D84">
        <w:t xml:space="preserve"> </w:t>
      </w:r>
      <w:r w:rsidR="00FC68C4">
        <w:t>by</w:t>
      </w:r>
      <w:r w:rsidR="006E28A4">
        <w:t xml:space="preserve"> the </w:t>
      </w:r>
      <w:r w:rsidR="006E28A4" w:rsidRPr="000347F9">
        <w:rPr>
          <w:i/>
          <w:iCs/>
        </w:rPr>
        <w:t>LIP7</w:t>
      </w:r>
      <w:r w:rsidR="006E28A4">
        <w:t xml:space="preserve"> gene and the Lip8p </w:t>
      </w:r>
      <w:r w:rsidR="00F77B8F">
        <w:t xml:space="preserve">(371 aa) </w:t>
      </w:r>
      <w:r w:rsidR="00364D84">
        <w:t>encod</w:t>
      </w:r>
      <w:r w:rsidR="00FC68C4">
        <w:t>ed by</w:t>
      </w:r>
      <w:r w:rsidR="006E28A4">
        <w:t xml:space="preserve"> the </w:t>
      </w:r>
      <w:r w:rsidR="006E28A4" w:rsidRPr="000347F9">
        <w:rPr>
          <w:i/>
          <w:iCs/>
        </w:rPr>
        <w:t>LIP8</w:t>
      </w:r>
      <w:r w:rsidR="006E28A4">
        <w:t xml:space="preserve"> gene</w:t>
      </w:r>
      <w:r w:rsidR="000347F9">
        <w:t xml:space="preserve"> are the most characterized lipases among all the identified genes</w:t>
      </w:r>
      <w:r w:rsidR="00F77B8F">
        <w:t xml:space="preserve">. Lip2p has been identified as the most active extracellular </w:t>
      </w:r>
      <w:r w:rsidR="000118C2">
        <w:t>lipase</w:t>
      </w:r>
      <w:r w:rsidR="00F77B8F" w:rsidRPr="008359E1">
        <w:t xml:space="preserve">, while Lip7p and Lip8p </w:t>
      </w:r>
      <w:r w:rsidR="009F54F9" w:rsidRPr="008359E1">
        <w:t>are suggested to be mainly cell-bound</w:t>
      </w:r>
      <w:r w:rsidR="00F77B8F" w:rsidRPr="008359E1">
        <w:t xml:space="preserve"> (Fickers, </w:t>
      </w:r>
      <w:r w:rsidR="005A2B8D">
        <w:t>et al.</w:t>
      </w:r>
      <w:r w:rsidR="00F77B8F" w:rsidRPr="008359E1">
        <w:t>, 2011).</w:t>
      </w:r>
      <w:r w:rsidR="00364D84">
        <w:t xml:space="preserve"> </w:t>
      </w:r>
      <w:r w:rsidR="00A44778">
        <w:t>T</w:t>
      </w:r>
      <w:r w:rsidR="008359E1" w:rsidRPr="008359E1">
        <w:t>hese lipases</w:t>
      </w:r>
      <w:r w:rsidR="00A44778">
        <w:t xml:space="preserve"> have enlarged the applications of</w:t>
      </w:r>
      <w:r w:rsidR="008359E1" w:rsidRPr="008359E1">
        <w:t xml:space="preserve"> </w:t>
      </w:r>
      <w:r w:rsidR="008359E1">
        <w:rPr>
          <w:i/>
          <w:iCs/>
        </w:rPr>
        <w:t xml:space="preserve">Y. lipolytica </w:t>
      </w:r>
      <w:r w:rsidR="00364D84">
        <w:t>i</w:t>
      </w:r>
      <w:r w:rsidR="008359E1">
        <w:t xml:space="preserve">n the field of </w:t>
      </w:r>
      <w:r w:rsidR="002D2230">
        <w:t>oil-rich waste</w:t>
      </w:r>
      <w:r w:rsidR="00A44778">
        <w:t xml:space="preserve"> </w:t>
      </w:r>
      <w:r w:rsidR="00C875E1">
        <w:t>treatment</w:t>
      </w:r>
      <w:r w:rsidR="002D2230">
        <w:t xml:space="preserve">, </w:t>
      </w:r>
      <w:r w:rsidR="007A0CA2">
        <w:t>valorization</w:t>
      </w:r>
      <w:r w:rsidR="002D2230">
        <w:t xml:space="preserve"> and bioremediation. </w:t>
      </w:r>
      <w:r w:rsidR="00C875E1">
        <w:t>Several studies were</w:t>
      </w:r>
      <w:r w:rsidR="009F49A9">
        <w:t xml:space="preserve"> conducted on the treatment of </w:t>
      </w:r>
      <w:r w:rsidR="002525E8">
        <w:t>Oil</w:t>
      </w:r>
      <w:r w:rsidR="009F49A9">
        <w:t>-</w:t>
      </w:r>
      <w:r w:rsidR="002525E8">
        <w:t>M</w:t>
      </w:r>
      <w:r w:rsidR="009F49A9">
        <w:t xml:space="preserve">ill </w:t>
      </w:r>
      <w:r w:rsidR="002525E8">
        <w:t>W</w:t>
      </w:r>
      <w:r w:rsidR="00C875E1">
        <w:t>astewater</w:t>
      </w:r>
      <w:r w:rsidR="002525E8">
        <w:t>s</w:t>
      </w:r>
      <w:r w:rsidR="009F49A9">
        <w:t xml:space="preserve"> (OMW)</w:t>
      </w:r>
      <w:r w:rsidR="00132F33">
        <w:t xml:space="preserve"> characterized by high </w:t>
      </w:r>
      <w:r w:rsidR="002525E8">
        <w:t>C</w:t>
      </w:r>
      <w:r w:rsidR="00132F33">
        <w:t xml:space="preserve">hemical </w:t>
      </w:r>
      <w:r w:rsidR="002525E8">
        <w:t>O</w:t>
      </w:r>
      <w:r w:rsidR="00132F33">
        <w:t xml:space="preserve">xygen </w:t>
      </w:r>
      <w:r w:rsidR="002525E8">
        <w:t>D</w:t>
      </w:r>
      <w:r w:rsidR="00132F33">
        <w:t>emand (COD)</w:t>
      </w:r>
      <w:r w:rsidR="00C875E1">
        <w:t xml:space="preserve"> and generated as an effluent </w:t>
      </w:r>
      <w:r w:rsidR="009D0B8C">
        <w:t>from t</w:t>
      </w:r>
      <w:r w:rsidR="00C875E1">
        <w:t>he olive oil industry</w:t>
      </w:r>
      <w:r w:rsidR="00C52340">
        <w:t xml:space="preserve"> (Ben Sassi </w:t>
      </w:r>
      <w:r w:rsidR="00C52340" w:rsidRPr="006F2245">
        <w:t>et al</w:t>
      </w:r>
      <w:r w:rsidR="009F49A9" w:rsidRPr="006F2245">
        <w:t>.</w:t>
      </w:r>
      <w:r w:rsidR="00C52340" w:rsidRPr="006F2245">
        <w:t>,</w:t>
      </w:r>
      <w:r w:rsidR="00C52340">
        <w:t xml:space="preserve"> 2006; Marques</w:t>
      </w:r>
      <w:r w:rsidR="009D0B8C">
        <w:t xml:space="preserve"> I</w:t>
      </w:r>
      <w:r w:rsidR="00B45E2C">
        <w:t>.</w:t>
      </w:r>
      <w:r w:rsidR="009D0B8C">
        <w:t>P</w:t>
      </w:r>
      <w:r w:rsidR="00B45E2C">
        <w:t>.</w:t>
      </w:r>
      <w:r w:rsidR="00C52340">
        <w:t>, 2001)</w:t>
      </w:r>
      <w:r w:rsidR="00651604">
        <w:t>.</w:t>
      </w:r>
      <w:r w:rsidR="009F49A9">
        <w:t xml:space="preserve"> </w:t>
      </w:r>
      <w:r w:rsidR="00132F33">
        <w:rPr>
          <w:i/>
          <w:iCs/>
        </w:rPr>
        <w:t xml:space="preserve">Y. lipolytica </w:t>
      </w:r>
      <w:r w:rsidR="00132F33">
        <w:t xml:space="preserve">ATCC 20255 </w:t>
      </w:r>
      <w:r w:rsidR="00AD65BD">
        <w:t xml:space="preserve">was able to </w:t>
      </w:r>
      <w:r w:rsidR="00132F33">
        <w:t>reduce COD levels by 80% in 24h</w:t>
      </w:r>
      <w:r w:rsidR="008934B4">
        <w:t>,</w:t>
      </w:r>
      <w:r w:rsidR="00132F33">
        <w:t xml:space="preserve"> producing also extracellular lipases and single-cell proteins during the </w:t>
      </w:r>
      <w:r w:rsidR="00EF7303">
        <w:t>culture. (</w:t>
      </w:r>
      <w:r w:rsidR="00AD65BD">
        <w:t>De Felice et al., 1997)</w:t>
      </w:r>
      <w:r w:rsidR="00132F33">
        <w:t xml:space="preserve">. </w:t>
      </w:r>
      <w:r w:rsidR="00407D60">
        <w:t xml:space="preserve">The W29 (ATCC20460) strain tested by Lopes </w:t>
      </w:r>
      <w:r w:rsidR="00135B26">
        <w:t>et. al </w:t>
      </w:r>
      <w:r w:rsidR="009D0B8C">
        <w:t>(</w:t>
      </w:r>
      <w:r w:rsidR="00407D60">
        <w:t>2008</w:t>
      </w:r>
      <w:r w:rsidR="009D0B8C">
        <w:t>)</w:t>
      </w:r>
      <w:r w:rsidR="00135B26">
        <w:t> </w:t>
      </w:r>
      <w:r w:rsidR="00837352">
        <w:t>also</w:t>
      </w:r>
      <w:r w:rsidR="00407D60">
        <w:t xml:space="preserve"> reduced the COD </w:t>
      </w:r>
      <w:r w:rsidR="008934B4">
        <w:t xml:space="preserve">of OMW </w:t>
      </w:r>
      <w:r w:rsidR="00407D60">
        <w:t>by 80% and the phenol composition by 70% while</w:t>
      </w:r>
      <w:r w:rsidR="00135B26">
        <w:t> </w:t>
      </w:r>
      <w:r w:rsidR="00407D60">
        <w:t>producing lipases.</w:t>
      </w:r>
      <w:r w:rsidR="00837352">
        <w:t xml:space="preserve"> </w:t>
      </w:r>
      <w:r w:rsidR="00865B83">
        <w:t>Among</w:t>
      </w:r>
      <w:r w:rsidR="002525E8">
        <w:t xml:space="preserve"> waste products, WCOs showed promising results as carbon source</w:t>
      </w:r>
      <w:r w:rsidR="007601A5">
        <w:t>,</w:t>
      </w:r>
      <w:r w:rsidR="002525E8">
        <w:t xml:space="preserve"> </w:t>
      </w:r>
      <w:r w:rsidR="007601A5" w:rsidRPr="00B45E2C">
        <w:t>in the orders of tens of g/L</w:t>
      </w:r>
      <w:r w:rsidR="007601A5">
        <w:t xml:space="preserve">, </w:t>
      </w:r>
      <w:r w:rsidR="002525E8">
        <w:t>for</w:t>
      </w:r>
      <w:r w:rsidR="00B45E2C">
        <w:t xml:space="preserve"> the production of valuable compounds by</w:t>
      </w:r>
      <w:r w:rsidR="00837352">
        <w:t xml:space="preserve"> </w:t>
      </w:r>
      <w:r w:rsidR="00837352">
        <w:rPr>
          <w:i/>
          <w:iCs/>
        </w:rPr>
        <w:t>Y. lipolytica</w:t>
      </w:r>
      <w:r w:rsidR="00DF6DD5">
        <w:rPr>
          <w:i/>
          <w:iCs/>
        </w:rPr>
        <w:t xml:space="preserve"> </w:t>
      </w:r>
      <w:r w:rsidR="00DF6DD5" w:rsidRPr="00F11D1B">
        <w:t>such as e</w:t>
      </w:r>
      <w:r w:rsidR="0028461F" w:rsidRPr="00DF6DD5">
        <w:t>rythritol</w:t>
      </w:r>
      <w:r w:rsidR="00DF6DD5">
        <w:t>,</w:t>
      </w:r>
      <w:r w:rsidR="0028461F" w:rsidRPr="00B45E2C">
        <w:t xml:space="preserve"> lipase</w:t>
      </w:r>
      <w:r w:rsidR="00A23146" w:rsidRPr="00B45E2C">
        <w:t>s</w:t>
      </w:r>
      <w:r w:rsidR="0028461F" w:rsidRPr="00B45E2C">
        <w:t xml:space="preserve"> </w:t>
      </w:r>
      <w:r w:rsidR="00EF7303">
        <w:t>(</w:t>
      </w:r>
      <w:r w:rsidR="00EF7303" w:rsidRPr="00B45E2C">
        <w:t>Xiaoyan</w:t>
      </w:r>
      <w:r w:rsidR="00135B26">
        <w:t xml:space="preserve"> et al.,</w:t>
      </w:r>
      <w:r w:rsidR="00B45E2C" w:rsidRPr="00B45E2C">
        <w:t xml:space="preserve"> </w:t>
      </w:r>
      <w:r w:rsidR="0028461F" w:rsidRPr="00B45E2C">
        <w:t>2017</w:t>
      </w:r>
      <w:r w:rsidR="00B45E2C" w:rsidRPr="00B45E2C">
        <w:t>) and</w:t>
      </w:r>
      <w:r w:rsidR="00621A58" w:rsidRPr="00B45E2C">
        <w:t xml:space="preserve"> limonene</w:t>
      </w:r>
      <w:r w:rsidR="00DF6DD5">
        <w:t xml:space="preserve"> (</w:t>
      </w:r>
      <w:r w:rsidR="005E278A">
        <w:t>Li</w:t>
      </w:r>
      <w:r w:rsidR="00135B26">
        <w:t xml:space="preserve"> et al.,</w:t>
      </w:r>
      <w:r w:rsidR="005E278A">
        <w:t xml:space="preserve"> 2</w:t>
      </w:r>
      <w:r w:rsidR="00621A58" w:rsidRPr="00B45E2C">
        <w:t>022</w:t>
      </w:r>
      <w:r w:rsidR="00F54FD9">
        <w:t>)</w:t>
      </w:r>
      <w:r w:rsidR="00621A58" w:rsidRPr="00B45E2C">
        <w:t>. In</w:t>
      </w:r>
      <w:r w:rsidR="00621A58">
        <w:t xml:space="preserve"> this work</w:t>
      </w:r>
      <w:r w:rsidR="00135B26">
        <w:t>,</w:t>
      </w:r>
      <w:r w:rsidR="00621A58">
        <w:t xml:space="preserve"> higher concentrations</w:t>
      </w:r>
      <w:r w:rsidR="0054644D">
        <w:t xml:space="preserve"> of WCO</w:t>
      </w:r>
      <w:r w:rsidR="00621A58">
        <w:t xml:space="preserve"> have been tested </w:t>
      </w:r>
      <w:r w:rsidR="0054644D">
        <w:t xml:space="preserve">and compared to free fatty acids (FFA), and Olive Oil (OO) to investigate the potential for lipase production using </w:t>
      </w:r>
      <w:r w:rsidR="007A0CA2">
        <w:rPr>
          <w:i/>
          <w:iCs/>
        </w:rPr>
        <w:t>Y. lipolytica</w:t>
      </w:r>
      <w:r w:rsidR="00B45E2C">
        <w:rPr>
          <w:i/>
          <w:iCs/>
        </w:rPr>
        <w:t xml:space="preserve"> </w:t>
      </w:r>
      <w:r w:rsidR="00B45E2C">
        <w:t>W29 strain</w:t>
      </w:r>
      <w:r w:rsidR="007A0CA2">
        <w:rPr>
          <w:i/>
          <w:iCs/>
        </w:rPr>
        <w:t>.</w:t>
      </w:r>
    </w:p>
    <w:p w14:paraId="10912F59" w14:textId="0631734C" w:rsidR="002B0086" w:rsidRDefault="002B0086" w:rsidP="002B0086">
      <w:pPr>
        <w:pStyle w:val="CETHeading1"/>
      </w:pPr>
      <w:r>
        <w:t xml:space="preserve">Materials and </w:t>
      </w:r>
      <w:r w:rsidR="00EB54AF">
        <w:t>M</w:t>
      </w:r>
      <w:r>
        <w:t>ethods</w:t>
      </w:r>
    </w:p>
    <w:p w14:paraId="106591BB" w14:textId="6AA7167C" w:rsidR="002B0086" w:rsidRDefault="00EB54AF" w:rsidP="00030C43">
      <w:pPr>
        <w:pStyle w:val="CETheadingx"/>
      </w:pPr>
      <w:r>
        <w:t>Strains, Media and C</w:t>
      </w:r>
      <w:r w:rsidR="00192359">
        <w:t>u</w:t>
      </w:r>
      <w:r>
        <w:t>lture Conditions</w:t>
      </w:r>
    </w:p>
    <w:p w14:paraId="1C5AB2E8" w14:textId="199B76E7" w:rsidR="006E2600" w:rsidRDefault="004209A3" w:rsidP="00EB54AF">
      <w:pPr>
        <w:pStyle w:val="CETBodytext"/>
      </w:pPr>
      <w:r w:rsidRPr="00192359">
        <w:rPr>
          <w:i/>
          <w:iCs/>
        </w:rPr>
        <w:t>Yarrowia lipolytica</w:t>
      </w:r>
      <w:r>
        <w:t xml:space="preserve"> W29 (ATCC20460)</w:t>
      </w:r>
      <w:r w:rsidR="00A8292F">
        <w:t xml:space="preserve"> strain</w:t>
      </w:r>
      <w:r>
        <w:t xml:space="preserve"> was used in this work. The </w:t>
      </w:r>
      <w:r w:rsidR="00A8292F">
        <w:t>strain</w:t>
      </w:r>
      <w:r>
        <w:t xml:space="preserve"> was maintained in YPDA medium</w:t>
      </w:r>
      <w:r w:rsidR="009421E9">
        <w:t xml:space="preserve"> (</w:t>
      </w:r>
      <w:r>
        <w:t>10 g/</w:t>
      </w:r>
      <w:r w:rsidR="006B7536">
        <w:t>L</w:t>
      </w:r>
      <w:r>
        <w:t xml:space="preserve"> yeast extract, </w:t>
      </w:r>
      <w:r w:rsidR="006B7536">
        <w:t>20 g/L peptone, 20 g/L glucose and 20 g/L agar</w:t>
      </w:r>
      <w:r w:rsidR="009421E9">
        <w:t>)</w:t>
      </w:r>
      <w:r w:rsidR="006B7536">
        <w:t xml:space="preserve"> at 4 °C and restreaked every</w:t>
      </w:r>
      <w:r w:rsidR="00192359">
        <w:t xml:space="preserve"> week. </w:t>
      </w:r>
      <w:r w:rsidR="00A8292F">
        <w:t>A</w:t>
      </w:r>
      <w:r w:rsidR="006E5B92">
        <w:t> </w:t>
      </w:r>
      <w:r w:rsidR="00A8292F">
        <w:t>single colony</w:t>
      </w:r>
      <w:r w:rsidR="00192359">
        <w:t xml:space="preserve"> w</w:t>
      </w:r>
      <w:r w:rsidR="00A8292F">
        <w:t>as</w:t>
      </w:r>
      <w:r w:rsidR="00192359">
        <w:t xml:space="preserve"> inoculated in 10 mL culture tubes </w:t>
      </w:r>
      <w:r w:rsidR="00BA532D">
        <w:t>containing</w:t>
      </w:r>
      <w:r w:rsidR="00192359">
        <w:t xml:space="preserve"> 4 mL YPD medium</w:t>
      </w:r>
      <w:r w:rsidR="009421E9">
        <w:t xml:space="preserve"> (</w:t>
      </w:r>
      <w:r w:rsidR="00192359">
        <w:t>10 g/L yeast extract, 20 g/L peptone and 20 g/L glucose</w:t>
      </w:r>
      <w:r w:rsidR="009421E9">
        <w:t>)</w:t>
      </w:r>
      <w:r w:rsidR="006D2072">
        <w:t xml:space="preserve"> </w:t>
      </w:r>
      <w:r w:rsidR="00B0463E">
        <w:t xml:space="preserve">and </w:t>
      </w:r>
      <w:r w:rsidR="00F54FD9">
        <w:t>pre</w:t>
      </w:r>
      <w:r w:rsidR="00EE123F">
        <w:t>-</w:t>
      </w:r>
      <w:r w:rsidR="00B0463E">
        <w:t xml:space="preserve">cultivated </w:t>
      </w:r>
      <w:r w:rsidR="00F54FD9">
        <w:t xml:space="preserve">overnight </w:t>
      </w:r>
      <w:r w:rsidR="006D2072">
        <w:t>at 180 rpm and 29°C</w:t>
      </w:r>
      <w:r w:rsidR="00F54FD9">
        <w:t xml:space="preserve">. </w:t>
      </w:r>
      <w:r w:rsidR="00EE123F">
        <w:t>P</w:t>
      </w:r>
      <w:r w:rsidR="006D2072">
        <w:t>re-culture</w:t>
      </w:r>
      <w:r w:rsidR="004C3B7C">
        <w:t>s</w:t>
      </w:r>
      <w:r w:rsidR="006D2072">
        <w:t xml:space="preserve"> were collected and inoculated </w:t>
      </w:r>
      <w:r w:rsidR="00EE1214">
        <w:t>at a final OD</w:t>
      </w:r>
      <w:r w:rsidR="00BA532D">
        <w:rPr>
          <w:vertAlign w:val="subscript"/>
        </w:rPr>
        <w:t>600</w:t>
      </w:r>
      <w:r w:rsidR="00EE1214">
        <w:t xml:space="preserve"> of 0.1 in 50 mL Erlenmeyer flasks </w:t>
      </w:r>
      <w:r w:rsidR="00451054">
        <w:t>containing</w:t>
      </w:r>
      <w:r w:rsidR="00EE1214">
        <w:t xml:space="preserve"> 20 mL YP medium (10 g/L yeast extract and 20 g/L peptone) </w:t>
      </w:r>
      <w:r w:rsidR="00442EF1">
        <w:t>supplemented with</w:t>
      </w:r>
      <w:r w:rsidR="00425583">
        <w:t xml:space="preserve"> 1%</w:t>
      </w:r>
      <w:r w:rsidR="000D2632">
        <w:t xml:space="preserve"> (</w:t>
      </w:r>
      <w:r w:rsidR="00425583" w:rsidRPr="000D2632">
        <w:t>v/v</w:t>
      </w:r>
      <w:r w:rsidR="000D2632">
        <w:t>)</w:t>
      </w:r>
      <w:r w:rsidR="00425583">
        <w:t xml:space="preserve"> </w:t>
      </w:r>
      <w:r w:rsidR="006E2600" w:rsidRPr="00EE2EC8">
        <w:rPr>
          <w:szCs w:val="18"/>
        </w:rPr>
        <w:t>TWEEN</w:t>
      </w:r>
      <w:r w:rsidR="006E2600" w:rsidRPr="00EE2EC8">
        <w:rPr>
          <w:b/>
          <w:bCs/>
          <w:szCs w:val="18"/>
          <w:vertAlign w:val="superscript"/>
        </w:rPr>
        <w:t>®</w:t>
      </w:r>
      <w:r w:rsidR="006E2600" w:rsidRPr="00EE2EC8">
        <w:rPr>
          <w:szCs w:val="18"/>
        </w:rPr>
        <w:t xml:space="preserve"> 80 </w:t>
      </w:r>
      <w:r w:rsidR="00425583">
        <w:t>and</w:t>
      </w:r>
      <w:r w:rsidR="00442EF1">
        <w:t xml:space="preserve"> different hydrophobic carbon sources (WCO, FFA and OO) at concentrations of 20 g/L, 100 g/L and 200 g/L</w:t>
      </w:r>
      <w:r w:rsidR="002542C0">
        <w:t>. The cultures were</w:t>
      </w:r>
      <w:r w:rsidR="00F6723D">
        <w:t xml:space="preserve"> incubated</w:t>
      </w:r>
      <w:r w:rsidR="00442EF1">
        <w:t xml:space="preserve"> at </w:t>
      </w:r>
      <w:r w:rsidR="00F72C33">
        <w:t>180</w:t>
      </w:r>
      <w:r w:rsidR="00442EF1">
        <w:t xml:space="preserve"> rpm for 2</w:t>
      </w:r>
      <w:r w:rsidR="00F72C33">
        <w:t>16</w:t>
      </w:r>
      <w:r w:rsidR="00442EF1">
        <w:t xml:space="preserve"> h at 29°C.</w:t>
      </w:r>
      <w:r w:rsidR="00471BC9">
        <w:t xml:space="preserve"> </w:t>
      </w:r>
      <w:r w:rsidR="00471BC9" w:rsidRPr="00471BC9">
        <w:t>Samples were</w:t>
      </w:r>
      <w:r w:rsidR="00471BC9">
        <w:t xml:space="preserve"> collected at different time points and</w:t>
      </w:r>
      <w:r w:rsidR="00471BC9" w:rsidRPr="00471BC9">
        <w:t xml:space="preserve"> centrifuged at 4500 rpm for 5</w:t>
      </w:r>
      <w:r w:rsidR="002542C0">
        <w:t xml:space="preserve"> min</w:t>
      </w:r>
      <w:r w:rsidR="000D2632">
        <w:t>.</w:t>
      </w:r>
      <w:r w:rsidR="00471BC9" w:rsidRPr="00471BC9">
        <w:t xml:space="preserve"> </w:t>
      </w:r>
      <w:r w:rsidR="000D2632">
        <w:t>T</w:t>
      </w:r>
      <w:r w:rsidR="00471BC9" w:rsidRPr="00471BC9">
        <w:t xml:space="preserve">he cell pellets were </w:t>
      </w:r>
      <w:r w:rsidR="000D2632">
        <w:t>collected</w:t>
      </w:r>
      <w:r w:rsidR="00471BC9" w:rsidRPr="00471BC9">
        <w:t>, washed two times with sterile water</w:t>
      </w:r>
      <w:r w:rsidR="00094770">
        <w:t xml:space="preserve"> to remove residual hydrophobic substances that could interfere with the spectrophotometric analysis</w:t>
      </w:r>
      <w:r w:rsidR="00471BC9" w:rsidRPr="00471BC9">
        <w:t xml:space="preserve"> and measured for the OD</w:t>
      </w:r>
      <w:r w:rsidR="00471BC9" w:rsidRPr="00471BC9">
        <w:rPr>
          <w:vertAlign w:val="subscript"/>
        </w:rPr>
        <w:t>600</w:t>
      </w:r>
      <w:r w:rsidR="00471BC9" w:rsidRPr="00471BC9">
        <w:t>. The supernatants were, instead, diluted if necessary and used for the lipase activity assa</w:t>
      </w:r>
      <w:r w:rsidR="00471BC9">
        <w:t>ys.</w:t>
      </w:r>
    </w:p>
    <w:p w14:paraId="51C73E86" w14:textId="0F2EDAF4" w:rsidR="006B6B3E" w:rsidRPr="00EB54AF" w:rsidRDefault="00451054" w:rsidP="00EB54AF">
      <w:pPr>
        <w:pStyle w:val="CETBodytext"/>
      </w:pPr>
      <w:r>
        <w:t>OD</w:t>
      </w:r>
      <w:r>
        <w:rPr>
          <w:vertAlign w:val="subscript"/>
        </w:rPr>
        <w:t>600</w:t>
      </w:r>
      <w:r>
        <w:t xml:space="preserve"> </w:t>
      </w:r>
      <w:r w:rsidR="00D83E99">
        <w:t xml:space="preserve">were measured using a Thermo </w:t>
      </w:r>
      <w:proofErr w:type="spellStart"/>
      <w:r w:rsidR="00D83E99">
        <w:t>Spectronic</w:t>
      </w:r>
      <w:proofErr w:type="spellEnd"/>
      <w:r w:rsidR="00D83E99">
        <w:t xml:space="preserve"> </w:t>
      </w:r>
      <w:proofErr w:type="spellStart"/>
      <w:r w:rsidR="00D83E99">
        <w:t>Genesys</w:t>
      </w:r>
      <w:proofErr w:type="spellEnd"/>
      <w:r w:rsidR="00D83E99">
        <w:t xml:space="preserve"> 20</w:t>
      </w:r>
      <w:r w:rsidR="00442EF1">
        <w:t xml:space="preserve"> </w:t>
      </w:r>
      <w:r w:rsidR="00D83E99">
        <w:t>spectrophotometer</w:t>
      </w:r>
      <w:r>
        <w:t xml:space="preserve"> (Thermo Fisher</w:t>
      </w:r>
      <w:r w:rsidR="000D2632">
        <w:t>, USA</w:t>
      </w:r>
      <w:r>
        <w:t>)</w:t>
      </w:r>
      <w:r w:rsidR="00D83E99">
        <w:t>.</w:t>
      </w:r>
      <w:r w:rsidR="006E2600">
        <w:t xml:space="preserve"> </w:t>
      </w:r>
      <w:r w:rsidR="006B6B3E">
        <w:t>All materials were purchased from Sigma-Aldrich</w:t>
      </w:r>
      <w:r w:rsidR="000D2632">
        <w:t xml:space="preserve">, </w:t>
      </w:r>
      <w:r w:rsidR="006B6B3E">
        <w:t>WCO</w:t>
      </w:r>
      <w:r w:rsidR="004C3B7C">
        <w:t xml:space="preserve"> was</w:t>
      </w:r>
      <w:r w:rsidR="006B6B3E">
        <w:t xml:space="preserve"> </w:t>
      </w:r>
      <w:r w:rsidR="004E1E8C">
        <w:t xml:space="preserve">kindly provided by Greenoil s.r.l. (Italy). The </w:t>
      </w:r>
      <w:r w:rsidR="009900C9">
        <w:t xml:space="preserve">FFA </w:t>
      </w:r>
      <w:r w:rsidR="004E1E8C">
        <w:t>mixture was produced</w:t>
      </w:r>
      <w:r w:rsidR="002375A2">
        <w:t xml:space="preserve"> from WCO</w:t>
      </w:r>
      <w:r w:rsidR="004E1E8C">
        <w:t xml:space="preserve"> as </w:t>
      </w:r>
      <w:r w:rsidR="002375A2">
        <w:t xml:space="preserve">previously </w:t>
      </w:r>
      <w:r w:rsidR="001850B3">
        <w:t>described</w:t>
      </w:r>
      <w:r w:rsidR="00545789">
        <w:t xml:space="preserve"> (Salimon </w:t>
      </w:r>
      <w:r w:rsidR="00545789" w:rsidRPr="006F2245">
        <w:t>et al.,</w:t>
      </w:r>
      <w:r w:rsidR="00545789">
        <w:t xml:space="preserve"> 2011).</w:t>
      </w:r>
      <w:r w:rsidR="009900C9">
        <w:t xml:space="preserve"> </w:t>
      </w:r>
    </w:p>
    <w:p w14:paraId="310ECE03" w14:textId="05C7B0B3" w:rsidR="00EB54AF" w:rsidRDefault="00EB54AF" w:rsidP="00030C43">
      <w:pPr>
        <w:pStyle w:val="CETheadingx"/>
      </w:pPr>
      <w:r>
        <w:t>Lipase assay</w:t>
      </w:r>
    </w:p>
    <w:p w14:paraId="6172ABEC" w14:textId="72514983" w:rsidR="00B33B8B" w:rsidRDefault="00442EF1" w:rsidP="00B33B8B">
      <w:pPr>
        <w:pStyle w:val="CETBodytext"/>
      </w:pPr>
      <w:r>
        <w:t xml:space="preserve">Extracellular lipase activity was monitored </w:t>
      </w:r>
      <w:r w:rsidR="00817A6C">
        <w:t>at different time intervals by analyzing the supernatant</w:t>
      </w:r>
      <w:r w:rsidR="00F6723D">
        <w:t>s</w:t>
      </w:r>
      <w:r w:rsidR="00817A6C">
        <w:t xml:space="preserve"> with a </w:t>
      </w:r>
      <w:r w:rsidR="006B6B3E">
        <w:t xml:space="preserve">96-wells microplate </w:t>
      </w:r>
      <w:r w:rsidR="00817A6C">
        <w:t xml:space="preserve">spectrophotometric method using </w:t>
      </w:r>
      <w:r w:rsidR="00817A6C" w:rsidRPr="006166A8">
        <w:rPr>
          <w:i/>
          <w:iCs/>
        </w:rPr>
        <w:t>p</w:t>
      </w:r>
      <w:r w:rsidR="00817A6C">
        <w:t>-</w:t>
      </w:r>
      <w:r w:rsidR="00C66827">
        <w:t>N</w:t>
      </w:r>
      <w:r w:rsidR="00817A6C">
        <w:t>itrophenyl laurate as substrate</w:t>
      </w:r>
      <w:r w:rsidR="009900C9">
        <w:t xml:space="preserve"> </w:t>
      </w:r>
      <w:r w:rsidR="00545789">
        <w:t xml:space="preserve">following </w:t>
      </w:r>
      <w:r w:rsidR="007C6FC8">
        <w:t>a previously described</w:t>
      </w:r>
      <w:r w:rsidR="00545789">
        <w:t xml:space="preserve"> method </w:t>
      </w:r>
      <w:r w:rsidR="00F76701">
        <w:t>with minor modifications</w:t>
      </w:r>
      <w:r w:rsidR="007C6FC8">
        <w:t xml:space="preserve"> (Biundo </w:t>
      </w:r>
      <w:r w:rsidR="007C6FC8" w:rsidRPr="006F2245">
        <w:t>et al.,</w:t>
      </w:r>
      <w:r w:rsidR="007C6FC8">
        <w:t xml:space="preserve"> 2015)</w:t>
      </w:r>
      <w:r w:rsidR="00F76701">
        <w:t xml:space="preserve">. </w:t>
      </w:r>
      <w:r w:rsidR="003B51FA">
        <w:t>The time course of absorbance was measured at 405 nm for 15 min using a Tecan Sunrise</w:t>
      </w:r>
      <w:r w:rsidR="003B51FA">
        <w:rPr>
          <w:rFonts w:cs="Arial"/>
          <w:vertAlign w:val="superscript"/>
        </w:rPr>
        <w:t>™</w:t>
      </w:r>
      <w:r w:rsidR="003B51FA">
        <w:t xml:space="preserve"> </w:t>
      </w:r>
      <w:r w:rsidR="008D664D">
        <w:t>plate reader</w:t>
      </w:r>
      <w:r w:rsidR="00451054">
        <w:t xml:space="preserve"> (TECAN, Switzerland)</w:t>
      </w:r>
      <w:r w:rsidR="005B05D3">
        <w:t xml:space="preserve"> at pH 7 and 25 °C</w:t>
      </w:r>
      <w:r w:rsidR="008D664D">
        <w:t xml:space="preserve">. The final substrate concentration </w:t>
      </w:r>
      <w:r w:rsidR="000C4A48">
        <w:t>was 100</w:t>
      </w:r>
      <w:r w:rsidR="008D664D">
        <w:t xml:space="preserve"> </w:t>
      </w:r>
      <w:r w:rsidR="008D664D">
        <w:rPr>
          <w:rFonts w:cs="Arial"/>
        </w:rPr>
        <w:t>µ</w:t>
      </w:r>
      <w:r w:rsidR="008D664D">
        <w:t>M in DMSO</w:t>
      </w:r>
      <w:r w:rsidR="00CD6BF0">
        <w:t>,</w:t>
      </w:r>
      <w:r w:rsidR="008D664D">
        <w:t xml:space="preserve"> in 220</w:t>
      </w:r>
      <w:r w:rsidR="0002627D">
        <w:t xml:space="preserve"> </w:t>
      </w:r>
      <w:r w:rsidR="0002627D">
        <w:rPr>
          <w:rFonts w:cs="Arial"/>
        </w:rPr>
        <w:t>µ</w:t>
      </w:r>
      <w:r w:rsidR="0002627D">
        <w:t>L</w:t>
      </w:r>
      <w:r w:rsidR="008D664D">
        <w:t xml:space="preserve"> final volume of </w:t>
      </w:r>
      <w:r w:rsidR="00136F13">
        <w:t>the reaction mixture (20 mM K</w:t>
      </w:r>
      <w:r w:rsidR="00136F13">
        <w:rPr>
          <w:vertAlign w:val="subscript"/>
        </w:rPr>
        <w:t>2</w:t>
      </w:r>
      <w:r w:rsidR="00136F13">
        <w:t>HPO</w:t>
      </w:r>
      <w:r w:rsidR="00136F13">
        <w:rPr>
          <w:vertAlign w:val="subscript"/>
        </w:rPr>
        <w:t>4</w:t>
      </w:r>
      <w:r w:rsidR="00136F13">
        <w:t xml:space="preserve">, 150 mM NaCl, 0,01% Triton X-100, 22 </w:t>
      </w:r>
      <w:r w:rsidR="00136F13">
        <w:rPr>
          <w:rFonts w:cs="Arial"/>
        </w:rPr>
        <w:t>µ</w:t>
      </w:r>
      <w:r w:rsidR="00136F13">
        <w:t xml:space="preserve">L </w:t>
      </w:r>
      <w:r w:rsidR="00116117">
        <w:t>supernatant</w:t>
      </w:r>
      <w:r w:rsidR="00136F13">
        <w:t xml:space="preserve"> sample). The measurements were </w:t>
      </w:r>
      <w:r w:rsidR="00C66827">
        <w:t>done in triplicates and</w:t>
      </w:r>
      <w:r w:rsidR="00136F13">
        <w:t xml:space="preserve"> corrected with blanks that contained the </w:t>
      </w:r>
      <w:r w:rsidR="00C66827">
        <w:t>same media conditions and buffer</w:t>
      </w:r>
      <w:r w:rsidR="0057058C">
        <w:t xml:space="preserve"> as the samples</w:t>
      </w:r>
      <w:r w:rsidR="00C66827">
        <w:t xml:space="preserve">. One unit (U) of enzyme activity was expressed as the amount of enzyme releasing 1 </w:t>
      </w:r>
      <w:r w:rsidR="00C66827">
        <w:rPr>
          <w:rFonts w:cs="Arial"/>
        </w:rPr>
        <w:t>µ</w:t>
      </w:r>
      <w:r w:rsidR="00C66827">
        <w:t xml:space="preserve">mol of </w:t>
      </w:r>
      <w:r w:rsidR="00C66827" w:rsidRPr="00C8372B">
        <w:rPr>
          <w:i/>
          <w:iCs/>
        </w:rPr>
        <w:t>p</w:t>
      </w:r>
      <w:r w:rsidR="00C66827">
        <w:t>-Nitrophenol per minute</w:t>
      </w:r>
      <w:r w:rsidR="00C8372B">
        <w:t xml:space="preserve"> at experimental conditions</w:t>
      </w:r>
      <w:r w:rsidR="00C66827">
        <w:t>.</w:t>
      </w:r>
      <w:r w:rsidR="005B05D3">
        <w:t xml:space="preserve"> All materials were purchased from Sigma-Aldrich</w:t>
      </w:r>
      <w:r w:rsidR="000D2632">
        <w:t xml:space="preserve"> (USA)</w:t>
      </w:r>
      <w:r w:rsidR="005B05D3">
        <w:t>.</w:t>
      </w:r>
      <w:r w:rsidR="00902431">
        <w:t xml:space="preserve"> </w:t>
      </w:r>
    </w:p>
    <w:p w14:paraId="345AA050" w14:textId="71A3EE21" w:rsidR="002B0086" w:rsidRDefault="002B0086" w:rsidP="00B33B8B">
      <w:pPr>
        <w:pStyle w:val="CETHeading1"/>
      </w:pPr>
      <w:r>
        <w:lastRenderedPageBreak/>
        <w:t>Results</w:t>
      </w:r>
      <w:r w:rsidR="005F4727">
        <w:t xml:space="preserve"> and discussion</w:t>
      </w:r>
    </w:p>
    <w:p w14:paraId="43F672BE" w14:textId="070269C2" w:rsidR="00402EA5" w:rsidRDefault="00402EA5" w:rsidP="00030C43">
      <w:pPr>
        <w:pStyle w:val="CETheadingx"/>
      </w:pPr>
      <w:r>
        <w:t xml:space="preserve">Cell growth </w:t>
      </w:r>
    </w:p>
    <w:p w14:paraId="321E7B43" w14:textId="159CE25C" w:rsidR="0052199A" w:rsidRDefault="00402EA5">
      <w:pPr>
        <w:pStyle w:val="CETBodytext"/>
      </w:pPr>
      <w:r>
        <w:rPr>
          <w:i/>
          <w:iCs/>
        </w:rPr>
        <w:t>Y. lipolytica</w:t>
      </w:r>
      <w:r w:rsidR="00F6723D">
        <w:rPr>
          <w:i/>
          <w:iCs/>
        </w:rPr>
        <w:t xml:space="preserve"> </w:t>
      </w:r>
      <w:r w:rsidR="00F6723D">
        <w:t>W29</w:t>
      </w:r>
      <w:r>
        <w:rPr>
          <w:i/>
          <w:iCs/>
        </w:rPr>
        <w:t xml:space="preserve"> </w:t>
      </w:r>
      <w:r>
        <w:t xml:space="preserve">cell </w:t>
      </w:r>
      <w:r w:rsidR="00F72C33">
        <w:t>growth</w:t>
      </w:r>
      <w:r w:rsidR="00F6723D">
        <w:t xml:space="preserve"> in different media</w:t>
      </w:r>
      <w:r w:rsidR="00F72C33">
        <w:t xml:space="preserve"> was monitored through sampling and OD</w:t>
      </w:r>
      <w:r w:rsidR="00C504D2">
        <w:rPr>
          <w:vertAlign w:val="subscript"/>
        </w:rPr>
        <w:t>600</w:t>
      </w:r>
      <w:r w:rsidR="00C504D2">
        <w:t xml:space="preserve"> </w:t>
      </w:r>
      <w:r w:rsidR="00F72C33">
        <w:t xml:space="preserve">measurements at </w:t>
      </w:r>
      <w:r w:rsidR="00E00868">
        <w:t>different time points</w:t>
      </w:r>
      <w:r w:rsidR="00D83E99">
        <w:t>.</w:t>
      </w:r>
      <w:r w:rsidR="00EE123F">
        <w:t xml:space="preserve"> </w:t>
      </w:r>
      <w:r w:rsidR="00A2502D">
        <w:t xml:space="preserve">Growth data showed that </w:t>
      </w:r>
      <w:r w:rsidR="00A2502D" w:rsidRPr="00A2502D">
        <w:rPr>
          <w:i/>
          <w:iCs/>
        </w:rPr>
        <w:t>Y. lipolytica</w:t>
      </w:r>
      <w:r w:rsidR="00A2502D">
        <w:rPr>
          <w:i/>
          <w:iCs/>
        </w:rPr>
        <w:t xml:space="preserve"> </w:t>
      </w:r>
      <w:r w:rsidR="00A2502D">
        <w:t xml:space="preserve">accepted </w:t>
      </w:r>
      <w:r w:rsidR="00B11635">
        <w:t>WCO, OO and FFA</w:t>
      </w:r>
      <w:r w:rsidR="00A2502D">
        <w:t xml:space="preserve"> as carbon sources (</w:t>
      </w:r>
      <w:r w:rsidR="00A2502D">
        <w:rPr>
          <w:i/>
          <w:iCs/>
        </w:rPr>
        <w:t>Table 1</w:t>
      </w:r>
      <w:r w:rsidR="00A2502D">
        <w:t>).</w:t>
      </w:r>
      <w:r w:rsidR="002B15C6">
        <w:t xml:space="preserve"> Higher concentrations of substrates correspond to higher measurements of OD</w:t>
      </w:r>
      <w:r w:rsidR="002B15C6">
        <w:rPr>
          <w:vertAlign w:val="subscript"/>
        </w:rPr>
        <w:t>600</w:t>
      </w:r>
      <w:r w:rsidR="002B15C6">
        <w:t xml:space="preserve"> for the 3 tested substrates. Particularly, at 100 g/L and 200 g/L OO concentration, </w:t>
      </w:r>
      <w:r w:rsidR="00B11635">
        <w:t xml:space="preserve">after 168 h, </w:t>
      </w:r>
      <w:r w:rsidR="002B15C6">
        <w:t>the cells reached their highest OD</w:t>
      </w:r>
      <w:r w:rsidR="002B15C6">
        <w:rPr>
          <w:vertAlign w:val="subscript"/>
        </w:rPr>
        <w:t>600</w:t>
      </w:r>
      <w:r w:rsidR="002B15C6">
        <w:t xml:space="preserve"> signal of 53 and 60.5 respectively.</w:t>
      </w:r>
      <w:r w:rsidR="00A75C7F">
        <w:t xml:space="preserve"> OO</w:t>
      </w:r>
      <w:r w:rsidR="00583D13">
        <w:t xml:space="preserve"> in a concentration of 20 g/L</w:t>
      </w:r>
      <w:r w:rsidR="00A2502D">
        <w:t xml:space="preserve"> induced a slower and lesser growth when</w:t>
      </w:r>
      <w:r w:rsidR="00583D13">
        <w:t xml:space="preserve"> </w:t>
      </w:r>
      <w:r w:rsidR="00A2502D">
        <w:t>compared to</w:t>
      </w:r>
      <w:r w:rsidR="00A75C7F">
        <w:t xml:space="preserve"> the other substrates </w:t>
      </w:r>
      <w:r w:rsidR="000C7B95">
        <w:t>at the same concentration</w:t>
      </w:r>
      <w:r w:rsidR="00F96F04">
        <w:t>.</w:t>
      </w:r>
      <w:r w:rsidR="00583D13">
        <w:t xml:space="preserve"> </w:t>
      </w:r>
      <w:r w:rsidR="000C736D">
        <w:t xml:space="preserve">Similar growth profiles were shown </w:t>
      </w:r>
      <w:r w:rsidR="00734EBA">
        <w:t>among</w:t>
      </w:r>
      <w:r w:rsidR="000C736D">
        <w:t xml:space="preserve"> cells cultivated on media containing WCO and FFA. However, </w:t>
      </w:r>
      <w:r w:rsidR="00583D13">
        <w:t>a</w:t>
      </w:r>
      <w:r w:rsidR="000C736D">
        <w:t xml:space="preserve"> higher biomass production on WCO was shown compared to FFA.</w:t>
      </w:r>
    </w:p>
    <w:p w14:paraId="4DB542AB" w14:textId="0C857310" w:rsidR="00E10DE6" w:rsidRPr="00402EA5" w:rsidRDefault="00E10DE6" w:rsidP="00E10DE6">
      <w:pPr>
        <w:pStyle w:val="CETTabletitle"/>
      </w:pPr>
      <w:r>
        <w:t>Table 1: OD</w:t>
      </w:r>
      <w:r w:rsidR="00181648">
        <w:rPr>
          <w:vertAlign w:val="subscript"/>
        </w:rPr>
        <w:t>600</w:t>
      </w:r>
      <w:r>
        <w:t xml:space="preserve"> measurements of Y. lipolytica cells grown on WCO, FFA and OO</w:t>
      </w:r>
      <w:r w:rsidR="00A00B4A">
        <w:t xml:space="preserve">. Values are obtained from </w:t>
      </w:r>
      <w:r w:rsidR="00181648">
        <w:t>triplicates;</w:t>
      </w:r>
      <w:r w:rsidR="00A00B4A">
        <w:t xml:space="preserve"> </w:t>
      </w:r>
      <w:r w:rsidR="00181648">
        <w:t>all standard deviations were found to be</w:t>
      </w:r>
      <w:r w:rsidR="00A00B4A">
        <w:t xml:space="preserve"> &lt; 10</w:t>
      </w:r>
      <w:r w:rsidR="002E7495">
        <w:t>%.</w:t>
      </w:r>
    </w:p>
    <w:tbl>
      <w:tblPr>
        <w:tblpPr w:leftFromText="141" w:rightFromText="141" w:vertAnchor="text" w:horzAnchor="margin" w:tblpY="115"/>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96"/>
        <w:gridCol w:w="953"/>
        <w:gridCol w:w="953"/>
        <w:gridCol w:w="953"/>
        <w:gridCol w:w="953"/>
        <w:gridCol w:w="953"/>
        <w:gridCol w:w="953"/>
        <w:gridCol w:w="953"/>
      </w:tblGrid>
      <w:tr w:rsidR="00402EA5" w:rsidRPr="00B57B36" w14:paraId="74A43C0A" w14:textId="77777777" w:rsidTr="00402EA5">
        <w:trPr>
          <w:trHeight w:val="189"/>
        </w:trPr>
        <w:tc>
          <w:tcPr>
            <w:tcW w:w="1696" w:type="dxa"/>
            <w:tcBorders>
              <w:top w:val="single" w:sz="12" w:space="0" w:color="008000"/>
              <w:bottom w:val="single" w:sz="6" w:space="0" w:color="008000"/>
            </w:tcBorders>
            <w:shd w:val="clear" w:color="auto" w:fill="FFFFFF"/>
          </w:tcPr>
          <w:p w14:paraId="403FC3A2" w14:textId="77777777" w:rsidR="00402EA5" w:rsidRPr="00AA2D0D" w:rsidRDefault="00402EA5" w:rsidP="00402EA5">
            <w:pPr>
              <w:pStyle w:val="CETBodytext"/>
            </w:pPr>
            <w:r>
              <w:t>Time (h)</w:t>
            </w:r>
          </w:p>
        </w:tc>
        <w:tc>
          <w:tcPr>
            <w:tcW w:w="953" w:type="dxa"/>
            <w:tcBorders>
              <w:top w:val="single" w:sz="12" w:space="0" w:color="008000"/>
              <w:bottom w:val="single" w:sz="6" w:space="0" w:color="008000"/>
            </w:tcBorders>
            <w:shd w:val="clear" w:color="auto" w:fill="FFFFFF"/>
          </w:tcPr>
          <w:p w14:paraId="6940E1E2" w14:textId="77777777" w:rsidR="00402EA5" w:rsidRDefault="00402EA5" w:rsidP="00402EA5">
            <w:pPr>
              <w:pStyle w:val="CETBodytext"/>
              <w:jc w:val="center"/>
            </w:pPr>
            <w:r>
              <w:t>24</w:t>
            </w:r>
          </w:p>
        </w:tc>
        <w:tc>
          <w:tcPr>
            <w:tcW w:w="953" w:type="dxa"/>
            <w:tcBorders>
              <w:top w:val="single" w:sz="12" w:space="0" w:color="008000"/>
              <w:bottom w:val="single" w:sz="6" w:space="0" w:color="008000"/>
            </w:tcBorders>
            <w:shd w:val="clear" w:color="auto" w:fill="FFFFFF"/>
          </w:tcPr>
          <w:p w14:paraId="7926989A" w14:textId="77777777" w:rsidR="00402EA5" w:rsidRDefault="00402EA5" w:rsidP="00402EA5">
            <w:pPr>
              <w:pStyle w:val="CETBodytext"/>
              <w:jc w:val="center"/>
            </w:pPr>
            <w:r>
              <w:t>72</w:t>
            </w:r>
          </w:p>
        </w:tc>
        <w:tc>
          <w:tcPr>
            <w:tcW w:w="953" w:type="dxa"/>
            <w:tcBorders>
              <w:top w:val="single" w:sz="12" w:space="0" w:color="008000"/>
              <w:bottom w:val="single" w:sz="6" w:space="0" w:color="008000"/>
            </w:tcBorders>
            <w:shd w:val="clear" w:color="auto" w:fill="FFFFFF"/>
          </w:tcPr>
          <w:p w14:paraId="58B955AA" w14:textId="77777777" w:rsidR="00402EA5" w:rsidRDefault="00402EA5" w:rsidP="00402EA5">
            <w:pPr>
              <w:pStyle w:val="CETBodytext"/>
              <w:jc w:val="center"/>
            </w:pPr>
            <w:r>
              <w:t>96</w:t>
            </w:r>
          </w:p>
        </w:tc>
        <w:tc>
          <w:tcPr>
            <w:tcW w:w="953" w:type="dxa"/>
            <w:tcBorders>
              <w:top w:val="single" w:sz="12" w:space="0" w:color="008000"/>
              <w:bottom w:val="single" w:sz="6" w:space="0" w:color="008000"/>
            </w:tcBorders>
            <w:shd w:val="clear" w:color="auto" w:fill="FFFFFF"/>
          </w:tcPr>
          <w:p w14:paraId="59182F33" w14:textId="77777777" w:rsidR="00402EA5" w:rsidRDefault="00402EA5" w:rsidP="00402EA5">
            <w:pPr>
              <w:pStyle w:val="CETBodytext"/>
              <w:jc w:val="center"/>
            </w:pPr>
            <w:r>
              <w:t>144</w:t>
            </w:r>
          </w:p>
        </w:tc>
        <w:tc>
          <w:tcPr>
            <w:tcW w:w="953" w:type="dxa"/>
            <w:tcBorders>
              <w:top w:val="single" w:sz="12" w:space="0" w:color="008000"/>
              <w:bottom w:val="single" w:sz="6" w:space="0" w:color="008000"/>
            </w:tcBorders>
            <w:shd w:val="clear" w:color="auto" w:fill="FFFFFF"/>
          </w:tcPr>
          <w:p w14:paraId="0FD7AC92" w14:textId="77777777" w:rsidR="00402EA5" w:rsidRDefault="00402EA5" w:rsidP="00402EA5">
            <w:pPr>
              <w:pStyle w:val="CETBodytext"/>
              <w:jc w:val="center"/>
            </w:pPr>
            <w:r>
              <w:t>168</w:t>
            </w:r>
          </w:p>
        </w:tc>
        <w:tc>
          <w:tcPr>
            <w:tcW w:w="953" w:type="dxa"/>
            <w:tcBorders>
              <w:top w:val="single" w:sz="12" w:space="0" w:color="008000"/>
              <w:bottom w:val="single" w:sz="6" w:space="0" w:color="008000"/>
            </w:tcBorders>
            <w:shd w:val="clear" w:color="auto" w:fill="FFFFFF"/>
          </w:tcPr>
          <w:p w14:paraId="600405E0" w14:textId="77777777" w:rsidR="00402EA5" w:rsidRDefault="00402EA5" w:rsidP="00402EA5">
            <w:pPr>
              <w:pStyle w:val="CETBodytext"/>
              <w:jc w:val="center"/>
            </w:pPr>
            <w:r>
              <w:t>192</w:t>
            </w:r>
          </w:p>
        </w:tc>
        <w:tc>
          <w:tcPr>
            <w:tcW w:w="953" w:type="dxa"/>
            <w:tcBorders>
              <w:top w:val="single" w:sz="12" w:space="0" w:color="008000"/>
              <w:bottom w:val="single" w:sz="6" w:space="0" w:color="008000"/>
            </w:tcBorders>
            <w:shd w:val="clear" w:color="auto" w:fill="FFFFFF"/>
          </w:tcPr>
          <w:p w14:paraId="15623BFE" w14:textId="77777777" w:rsidR="00402EA5" w:rsidRDefault="00402EA5" w:rsidP="00402EA5">
            <w:pPr>
              <w:pStyle w:val="CETBodytext"/>
              <w:jc w:val="center"/>
            </w:pPr>
            <w:r>
              <w:t>216</w:t>
            </w:r>
          </w:p>
        </w:tc>
      </w:tr>
      <w:tr w:rsidR="00402EA5" w:rsidRPr="00B57B36" w14:paraId="1343983B" w14:textId="77777777" w:rsidTr="00402EA5">
        <w:trPr>
          <w:trHeight w:val="189"/>
        </w:trPr>
        <w:tc>
          <w:tcPr>
            <w:tcW w:w="1696" w:type="dxa"/>
            <w:tcBorders>
              <w:top w:val="single" w:sz="12" w:space="0" w:color="008000"/>
              <w:bottom w:val="single" w:sz="6" w:space="0" w:color="008000"/>
            </w:tcBorders>
            <w:shd w:val="clear" w:color="auto" w:fill="FFFFFF"/>
          </w:tcPr>
          <w:p w14:paraId="5BA03162" w14:textId="093F4A18" w:rsidR="00402EA5" w:rsidRPr="00AA2D0D" w:rsidRDefault="00402EA5" w:rsidP="00402EA5">
            <w:pPr>
              <w:pStyle w:val="CETBodytext"/>
            </w:pPr>
            <w:r>
              <w:t>WCO</w:t>
            </w:r>
            <w:r w:rsidR="00A75C7F">
              <w:t xml:space="preserve"> </w:t>
            </w:r>
          </w:p>
        </w:tc>
        <w:tc>
          <w:tcPr>
            <w:tcW w:w="953" w:type="dxa"/>
            <w:tcBorders>
              <w:top w:val="single" w:sz="12" w:space="0" w:color="008000"/>
              <w:bottom w:val="single" w:sz="6" w:space="0" w:color="008000"/>
            </w:tcBorders>
            <w:shd w:val="clear" w:color="auto" w:fill="FFFFFF"/>
          </w:tcPr>
          <w:p w14:paraId="2B937038" w14:textId="77777777" w:rsidR="00402EA5" w:rsidRDefault="00402EA5" w:rsidP="00402EA5">
            <w:pPr>
              <w:pStyle w:val="CETBodytext"/>
            </w:pPr>
          </w:p>
        </w:tc>
        <w:tc>
          <w:tcPr>
            <w:tcW w:w="953" w:type="dxa"/>
            <w:tcBorders>
              <w:top w:val="single" w:sz="12" w:space="0" w:color="008000"/>
              <w:bottom w:val="single" w:sz="6" w:space="0" w:color="008000"/>
            </w:tcBorders>
            <w:shd w:val="clear" w:color="auto" w:fill="FFFFFF"/>
          </w:tcPr>
          <w:p w14:paraId="5244D23C" w14:textId="77777777" w:rsidR="00402EA5" w:rsidRDefault="00402EA5" w:rsidP="00402EA5">
            <w:pPr>
              <w:pStyle w:val="CETBodytext"/>
            </w:pPr>
          </w:p>
        </w:tc>
        <w:tc>
          <w:tcPr>
            <w:tcW w:w="953" w:type="dxa"/>
            <w:tcBorders>
              <w:top w:val="single" w:sz="12" w:space="0" w:color="008000"/>
              <w:bottom w:val="single" w:sz="6" w:space="0" w:color="008000"/>
            </w:tcBorders>
            <w:shd w:val="clear" w:color="auto" w:fill="FFFFFF"/>
          </w:tcPr>
          <w:p w14:paraId="354222FC" w14:textId="77777777" w:rsidR="00402EA5" w:rsidRDefault="00402EA5" w:rsidP="00402EA5">
            <w:pPr>
              <w:pStyle w:val="CETBodytext"/>
            </w:pPr>
          </w:p>
        </w:tc>
        <w:tc>
          <w:tcPr>
            <w:tcW w:w="953" w:type="dxa"/>
            <w:tcBorders>
              <w:top w:val="single" w:sz="12" w:space="0" w:color="008000"/>
              <w:bottom w:val="single" w:sz="6" w:space="0" w:color="008000"/>
            </w:tcBorders>
            <w:shd w:val="clear" w:color="auto" w:fill="FFFFFF"/>
          </w:tcPr>
          <w:p w14:paraId="4544F98F" w14:textId="77777777" w:rsidR="00402EA5" w:rsidRDefault="00402EA5" w:rsidP="00402EA5">
            <w:pPr>
              <w:pStyle w:val="CETBodytext"/>
            </w:pPr>
          </w:p>
        </w:tc>
        <w:tc>
          <w:tcPr>
            <w:tcW w:w="953" w:type="dxa"/>
            <w:tcBorders>
              <w:top w:val="single" w:sz="12" w:space="0" w:color="008000"/>
              <w:bottom w:val="single" w:sz="6" w:space="0" w:color="008000"/>
            </w:tcBorders>
            <w:shd w:val="clear" w:color="auto" w:fill="FFFFFF"/>
          </w:tcPr>
          <w:p w14:paraId="0226BEE4" w14:textId="77777777" w:rsidR="00402EA5" w:rsidRDefault="00402EA5" w:rsidP="00402EA5">
            <w:pPr>
              <w:pStyle w:val="CETBodytext"/>
            </w:pPr>
          </w:p>
        </w:tc>
        <w:tc>
          <w:tcPr>
            <w:tcW w:w="953" w:type="dxa"/>
            <w:tcBorders>
              <w:top w:val="single" w:sz="12" w:space="0" w:color="008000"/>
              <w:bottom w:val="single" w:sz="6" w:space="0" w:color="008000"/>
            </w:tcBorders>
            <w:shd w:val="clear" w:color="auto" w:fill="FFFFFF"/>
          </w:tcPr>
          <w:p w14:paraId="2375DF70" w14:textId="77777777" w:rsidR="00402EA5" w:rsidRDefault="00402EA5" w:rsidP="00402EA5">
            <w:pPr>
              <w:pStyle w:val="CETBodytext"/>
            </w:pPr>
          </w:p>
        </w:tc>
        <w:tc>
          <w:tcPr>
            <w:tcW w:w="953" w:type="dxa"/>
            <w:tcBorders>
              <w:top w:val="single" w:sz="12" w:space="0" w:color="008000"/>
              <w:bottom w:val="single" w:sz="6" w:space="0" w:color="008000"/>
            </w:tcBorders>
            <w:shd w:val="clear" w:color="auto" w:fill="FFFFFF"/>
          </w:tcPr>
          <w:p w14:paraId="7C097E6A" w14:textId="77777777" w:rsidR="00402EA5" w:rsidRDefault="00402EA5" w:rsidP="00402EA5">
            <w:pPr>
              <w:pStyle w:val="CETBodytext"/>
            </w:pPr>
          </w:p>
        </w:tc>
      </w:tr>
      <w:tr w:rsidR="00402EA5" w:rsidRPr="00B57B36" w14:paraId="3DC04CD9" w14:textId="77777777" w:rsidTr="00402EA5">
        <w:trPr>
          <w:trHeight w:val="736"/>
        </w:trPr>
        <w:tc>
          <w:tcPr>
            <w:tcW w:w="1696" w:type="dxa"/>
            <w:tcBorders>
              <w:top w:val="single" w:sz="6" w:space="0" w:color="008000"/>
              <w:bottom w:val="single" w:sz="6" w:space="0" w:color="008000"/>
            </w:tcBorders>
            <w:shd w:val="clear" w:color="auto" w:fill="FFFFFF"/>
          </w:tcPr>
          <w:p w14:paraId="2333BC51" w14:textId="77777777" w:rsidR="00402EA5" w:rsidRDefault="00402EA5" w:rsidP="00402EA5">
            <w:pPr>
              <w:pStyle w:val="CETBodytext"/>
            </w:pPr>
            <w:r>
              <w:t>20 g/L</w:t>
            </w:r>
          </w:p>
          <w:p w14:paraId="12CC41B3" w14:textId="77777777" w:rsidR="00402EA5" w:rsidRDefault="00402EA5" w:rsidP="00402EA5">
            <w:pPr>
              <w:pStyle w:val="CETBodytext"/>
            </w:pPr>
            <w:r>
              <w:t>100 g/L</w:t>
            </w:r>
          </w:p>
          <w:p w14:paraId="41013470" w14:textId="77777777" w:rsidR="00402EA5" w:rsidRDefault="00402EA5" w:rsidP="00402EA5">
            <w:pPr>
              <w:pStyle w:val="CETBodytext"/>
            </w:pPr>
            <w:r>
              <w:t>200 g/L</w:t>
            </w:r>
          </w:p>
          <w:p w14:paraId="6645804E" w14:textId="77777777" w:rsidR="00402EA5" w:rsidRPr="00AA2D0D" w:rsidRDefault="00402EA5" w:rsidP="00402EA5">
            <w:pPr>
              <w:pStyle w:val="CETBodytext"/>
            </w:pPr>
          </w:p>
        </w:tc>
        <w:tc>
          <w:tcPr>
            <w:tcW w:w="953" w:type="dxa"/>
            <w:tcBorders>
              <w:top w:val="single" w:sz="6" w:space="0" w:color="008000"/>
              <w:bottom w:val="single" w:sz="6" w:space="0" w:color="008000"/>
            </w:tcBorders>
            <w:shd w:val="clear" w:color="auto" w:fill="FFFFFF"/>
          </w:tcPr>
          <w:p w14:paraId="13582574" w14:textId="6DB892E1" w:rsidR="00402EA5" w:rsidRDefault="00402EA5" w:rsidP="00402EA5">
            <w:pPr>
              <w:pStyle w:val="CETBodytext"/>
              <w:jc w:val="center"/>
            </w:pPr>
            <w:r>
              <w:t>10</w:t>
            </w:r>
            <w:r w:rsidR="00007305">
              <w:t>.</w:t>
            </w:r>
            <w:r>
              <w:t>7</w:t>
            </w:r>
          </w:p>
          <w:p w14:paraId="37A182F2" w14:textId="77777777" w:rsidR="00402EA5" w:rsidRDefault="00402EA5" w:rsidP="00402EA5">
            <w:pPr>
              <w:pStyle w:val="CETBodytext"/>
              <w:jc w:val="center"/>
            </w:pPr>
            <w:r>
              <w:t>16</w:t>
            </w:r>
          </w:p>
          <w:p w14:paraId="4A295368" w14:textId="3D64E1C9" w:rsidR="00402EA5" w:rsidRDefault="00402EA5" w:rsidP="00402EA5">
            <w:pPr>
              <w:pStyle w:val="CETBodytext"/>
              <w:jc w:val="center"/>
            </w:pPr>
            <w:r>
              <w:t>22</w:t>
            </w:r>
            <w:r w:rsidR="00007305">
              <w:t>.</w:t>
            </w:r>
            <w:r>
              <w:t>8</w:t>
            </w:r>
          </w:p>
        </w:tc>
        <w:tc>
          <w:tcPr>
            <w:tcW w:w="953" w:type="dxa"/>
            <w:tcBorders>
              <w:top w:val="single" w:sz="6" w:space="0" w:color="008000"/>
              <w:bottom w:val="single" w:sz="6" w:space="0" w:color="008000"/>
            </w:tcBorders>
            <w:shd w:val="clear" w:color="auto" w:fill="FFFFFF"/>
          </w:tcPr>
          <w:p w14:paraId="2E71A04A" w14:textId="664ABD58" w:rsidR="00402EA5" w:rsidRDefault="00402EA5" w:rsidP="00402EA5">
            <w:pPr>
              <w:pStyle w:val="CETBodytext"/>
              <w:jc w:val="center"/>
            </w:pPr>
            <w:r>
              <w:t>26</w:t>
            </w:r>
            <w:r w:rsidR="00007305">
              <w:t>.</w:t>
            </w:r>
            <w:r>
              <w:t>7</w:t>
            </w:r>
          </w:p>
          <w:p w14:paraId="581EF2C0" w14:textId="556D3B7F" w:rsidR="00402EA5" w:rsidRDefault="00402EA5" w:rsidP="00402EA5">
            <w:pPr>
              <w:pStyle w:val="CETBodytext"/>
              <w:jc w:val="center"/>
            </w:pPr>
            <w:r>
              <w:t>27</w:t>
            </w:r>
            <w:r w:rsidR="00007305">
              <w:t>.</w:t>
            </w:r>
            <w:r>
              <w:t>1</w:t>
            </w:r>
          </w:p>
          <w:p w14:paraId="36538E9C" w14:textId="6D2BFC3D" w:rsidR="00402EA5" w:rsidRDefault="00402EA5" w:rsidP="00402EA5">
            <w:pPr>
              <w:pStyle w:val="CETBodytext"/>
              <w:jc w:val="center"/>
            </w:pPr>
            <w:r>
              <w:t>38</w:t>
            </w:r>
            <w:r w:rsidR="00007305">
              <w:t>.</w:t>
            </w:r>
            <w:r>
              <w:t>7</w:t>
            </w:r>
          </w:p>
        </w:tc>
        <w:tc>
          <w:tcPr>
            <w:tcW w:w="953" w:type="dxa"/>
            <w:tcBorders>
              <w:top w:val="single" w:sz="6" w:space="0" w:color="008000"/>
              <w:bottom w:val="single" w:sz="6" w:space="0" w:color="008000"/>
            </w:tcBorders>
            <w:shd w:val="clear" w:color="auto" w:fill="FFFFFF"/>
          </w:tcPr>
          <w:p w14:paraId="3E92CEDD" w14:textId="70AB0A9A" w:rsidR="00402EA5" w:rsidRDefault="00402EA5" w:rsidP="00402EA5">
            <w:pPr>
              <w:pStyle w:val="CETBodytext"/>
              <w:jc w:val="center"/>
            </w:pPr>
            <w:r>
              <w:t>25</w:t>
            </w:r>
            <w:r w:rsidR="00007305">
              <w:t>.</w:t>
            </w:r>
            <w:r>
              <w:t>5</w:t>
            </w:r>
          </w:p>
          <w:p w14:paraId="2116C61C" w14:textId="00C4F051" w:rsidR="00402EA5" w:rsidRDefault="00402EA5" w:rsidP="00402EA5">
            <w:pPr>
              <w:pStyle w:val="CETBodytext"/>
              <w:jc w:val="center"/>
            </w:pPr>
            <w:r>
              <w:t>32</w:t>
            </w:r>
            <w:r w:rsidR="00007305">
              <w:t>.</w:t>
            </w:r>
            <w:r>
              <w:t>9</w:t>
            </w:r>
          </w:p>
          <w:p w14:paraId="01BAE124" w14:textId="77777777" w:rsidR="00402EA5" w:rsidRDefault="00402EA5" w:rsidP="00402EA5">
            <w:pPr>
              <w:pStyle w:val="CETBodytext"/>
              <w:jc w:val="center"/>
            </w:pPr>
            <w:r>
              <w:t>40</w:t>
            </w:r>
          </w:p>
        </w:tc>
        <w:tc>
          <w:tcPr>
            <w:tcW w:w="953" w:type="dxa"/>
            <w:tcBorders>
              <w:top w:val="single" w:sz="6" w:space="0" w:color="008000"/>
              <w:bottom w:val="single" w:sz="6" w:space="0" w:color="008000"/>
            </w:tcBorders>
            <w:shd w:val="clear" w:color="auto" w:fill="FFFFFF"/>
          </w:tcPr>
          <w:p w14:paraId="795BC1B2" w14:textId="338D14CC" w:rsidR="00402EA5" w:rsidRDefault="00402EA5" w:rsidP="00402EA5">
            <w:pPr>
              <w:pStyle w:val="CETBodytext"/>
              <w:jc w:val="center"/>
            </w:pPr>
            <w:r>
              <w:t>34</w:t>
            </w:r>
            <w:r w:rsidR="00007305">
              <w:t>.</w:t>
            </w:r>
            <w:r>
              <w:t>8</w:t>
            </w:r>
          </w:p>
          <w:p w14:paraId="5022BC88" w14:textId="7949600C" w:rsidR="00402EA5" w:rsidRDefault="00402EA5" w:rsidP="00402EA5">
            <w:pPr>
              <w:pStyle w:val="CETBodytext"/>
              <w:jc w:val="center"/>
            </w:pPr>
            <w:r>
              <w:t>35</w:t>
            </w:r>
            <w:r w:rsidR="00007305">
              <w:t>.</w:t>
            </w:r>
            <w:r>
              <w:t>2</w:t>
            </w:r>
          </w:p>
          <w:p w14:paraId="5FA78957" w14:textId="77777777" w:rsidR="00402EA5" w:rsidRDefault="00402EA5" w:rsidP="00402EA5">
            <w:pPr>
              <w:pStyle w:val="CETBodytext"/>
              <w:jc w:val="center"/>
            </w:pPr>
            <w:r>
              <w:t>42</w:t>
            </w:r>
          </w:p>
        </w:tc>
        <w:tc>
          <w:tcPr>
            <w:tcW w:w="953" w:type="dxa"/>
            <w:tcBorders>
              <w:top w:val="single" w:sz="6" w:space="0" w:color="008000"/>
              <w:bottom w:val="single" w:sz="6" w:space="0" w:color="008000"/>
            </w:tcBorders>
            <w:shd w:val="clear" w:color="auto" w:fill="FFFFFF"/>
          </w:tcPr>
          <w:p w14:paraId="394CC9F0" w14:textId="5DFAEC29" w:rsidR="00402EA5" w:rsidRDefault="00402EA5" w:rsidP="00402EA5">
            <w:pPr>
              <w:pStyle w:val="CETBodytext"/>
              <w:jc w:val="center"/>
            </w:pPr>
            <w:r>
              <w:t>3</w:t>
            </w:r>
            <w:r w:rsidR="00007305">
              <w:t>6.</w:t>
            </w:r>
            <w:r>
              <w:t>5</w:t>
            </w:r>
          </w:p>
          <w:p w14:paraId="51EBD547" w14:textId="65B13A0A" w:rsidR="00402EA5" w:rsidRDefault="00402EA5" w:rsidP="00402EA5">
            <w:pPr>
              <w:pStyle w:val="CETBodytext"/>
              <w:jc w:val="center"/>
            </w:pPr>
            <w:r>
              <w:t>37</w:t>
            </w:r>
            <w:r w:rsidR="00007305">
              <w:t>.</w:t>
            </w:r>
            <w:r>
              <w:t>1</w:t>
            </w:r>
          </w:p>
          <w:p w14:paraId="5F61DD82" w14:textId="07A345B3" w:rsidR="00402EA5" w:rsidRDefault="00402EA5" w:rsidP="00402EA5">
            <w:pPr>
              <w:pStyle w:val="CETBodytext"/>
              <w:jc w:val="center"/>
            </w:pPr>
            <w:r>
              <w:t>45</w:t>
            </w:r>
            <w:r w:rsidR="00007305">
              <w:t>.</w:t>
            </w:r>
            <w:r>
              <w:t>2</w:t>
            </w:r>
          </w:p>
        </w:tc>
        <w:tc>
          <w:tcPr>
            <w:tcW w:w="953" w:type="dxa"/>
            <w:tcBorders>
              <w:top w:val="single" w:sz="6" w:space="0" w:color="008000"/>
              <w:bottom w:val="single" w:sz="6" w:space="0" w:color="008000"/>
            </w:tcBorders>
            <w:shd w:val="clear" w:color="auto" w:fill="FFFFFF"/>
          </w:tcPr>
          <w:p w14:paraId="487BA077" w14:textId="5BEC313D" w:rsidR="00402EA5" w:rsidRDefault="00402EA5" w:rsidP="00402EA5">
            <w:pPr>
              <w:pStyle w:val="CETBodytext"/>
              <w:jc w:val="center"/>
            </w:pPr>
            <w:r>
              <w:t>31</w:t>
            </w:r>
            <w:r w:rsidR="00007305">
              <w:t>.</w:t>
            </w:r>
            <w:r>
              <w:t>6</w:t>
            </w:r>
          </w:p>
          <w:p w14:paraId="49C7BFB5" w14:textId="53F872AB" w:rsidR="00402EA5" w:rsidRDefault="00402EA5" w:rsidP="00402EA5">
            <w:pPr>
              <w:pStyle w:val="CETBodytext"/>
              <w:jc w:val="center"/>
            </w:pPr>
            <w:r>
              <w:t>40</w:t>
            </w:r>
            <w:r w:rsidR="00007305">
              <w:t>.</w:t>
            </w:r>
            <w:r>
              <w:t>8</w:t>
            </w:r>
          </w:p>
          <w:p w14:paraId="0F1271BA" w14:textId="16BEE1A5" w:rsidR="00402EA5" w:rsidRDefault="00402EA5" w:rsidP="00402EA5">
            <w:pPr>
              <w:pStyle w:val="CETBodytext"/>
              <w:jc w:val="center"/>
            </w:pPr>
            <w:r>
              <w:t>51</w:t>
            </w:r>
            <w:r w:rsidR="00007305">
              <w:t>.</w:t>
            </w:r>
            <w:r>
              <w:t>1</w:t>
            </w:r>
          </w:p>
        </w:tc>
        <w:tc>
          <w:tcPr>
            <w:tcW w:w="953" w:type="dxa"/>
            <w:tcBorders>
              <w:top w:val="single" w:sz="6" w:space="0" w:color="008000"/>
              <w:bottom w:val="single" w:sz="6" w:space="0" w:color="008000"/>
            </w:tcBorders>
            <w:shd w:val="clear" w:color="auto" w:fill="FFFFFF"/>
          </w:tcPr>
          <w:p w14:paraId="51A1A06C" w14:textId="77777777" w:rsidR="00402EA5" w:rsidRDefault="00402EA5" w:rsidP="00402EA5">
            <w:pPr>
              <w:pStyle w:val="CETBodytext"/>
              <w:jc w:val="center"/>
            </w:pPr>
            <w:r>
              <w:t>27</w:t>
            </w:r>
          </w:p>
          <w:p w14:paraId="40941D63" w14:textId="2ECD864D" w:rsidR="00402EA5" w:rsidRDefault="00402EA5" w:rsidP="00402EA5">
            <w:pPr>
              <w:pStyle w:val="CETBodytext"/>
              <w:jc w:val="center"/>
            </w:pPr>
            <w:r>
              <w:t>41</w:t>
            </w:r>
            <w:r w:rsidR="00007305">
              <w:t>.</w:t>
            </w:r>
            <w:r>
              <w:t>4</w:t>
            </w:r>
          </w:p>
          <w:p w14:paraId="0D3823C1" w14:textId="04378A92" w:rsidR="00402EA5" w:rsidRDefault="00402EA5" w:rsidP="00402EA5">
            <w:pPr>
              <w:pStyle w:val="CETBodytext"/>
              <w:jc w:val="center"/>
            </w:pPr>
            <w:r>
              <w:t>43</w:t>
            </w:r>
            <w:r w:rsidR="00007305">
              <w:t>.</w:t>
            </w:r>
            <w:r>
              <w:t>3</w:t>
            </w:r>
          </w:p>
        </w:tc>
      </w:tr>
      <w:tr w:rsidR="00402EA5" w:rsidRPr="00B57B36" w14:paraId="1B916E9B" w14:textId="77777777" w:rsidTr="00402EA5">
        <w:trPr>
          <w:trHeight w:val="189"/>
        </w:trPr>
        <w:tc>
          <w:tcPr>
            <w:tcW w:w="1696" w:type="dxa"/>
            <w:tcBorders>
              <w:top w:val="single" w:sz="6" w:space="0" w:color="008000"/>
              <w:bottom w:val="single" w:sz="6" w:space="0" w:color="008000"/>
            </w:tcBorders>
            <w:shd w:val="clear" w:color="auto" w:fill="FFFFFF"/>
          </w:tcPr>
          <w:p w14:paraId="15510158" w14:textId="77777777" w:rsidR="00402EA5" w:rsidRDefault="00402EA5" w:rsidP="00402EA5">
            <w:pPr>
              <w:pStyle w:val="CETBodytext"/>
            </w:pPr>
            <w:r>
              <w:t>FFAs</w:t>
            </w:r>
          </w:p>
        </w:tc>
        <w:tc>
          <w:tcPr>
            <w:tcW w:w="953" w:type="dxa"/>
            <w:tcBorders>
              <w:top w:val="single" w:sz="6" w:space="0" w:color="008000"/>
              <w:bottom w:val="single" w:sz="6" w:space="0" w:color="008000"/>
            </w:tcBorders>
            <w:shd w:val="clear" w:color="auto" w:fill="FFFFFF"/>
          </w:tcPr>
          <w:p w14:paraId="5FAD3EA5" w14:textId="77777777" w:rsidR="00402EA5" w:rsidRDefault="00402EA5" w:rsidP="00402EA5">
            <w:pPr>
              <w:pStyle w:val="CETBodytext"/>
            </w:pPr>
          </w:p>
        </w:tc>
        <w:tc>
          <w:tcPr>
            <w:tcW w:w="953" w:type="dxa"/>
            <w:tcBorders>
              <w:top w:val="single" w:sz="6" w:space="0" w:color="008000"/>
              <w:bottom w:val="single" w:sz="6" w:space="0" w:color="008000"/>
            </w:tcBorders>
            <w:shd w:val="clear" w:color="auto" w:fill="FFFFFF"/>
          </w:tcPr>
          <w:p w14:paraId="14492A31" w14:textId="77777777" w:rsidR="00402EA5" w:rsidRDefault="00402EA5" w:rsidP="00402EA5">
            <w:pPr>
              <w:pStyle w:val="CETBodytext"/>
            </w:pPr>
          </w:p>
        </w:tc>
        <w:tc>
          <w:tcPr>
            <w:tcW w:w="953" w:type="dxa"/>
            <w:tcBorders>
              <w:top w:val="single" w:sz="6" w:space="0" w:color="008000"/>
              <w:bottom w:val="single" w:sz="6" w:space="0" w:color="008000"/>
            </w:tcBorders>
            <w:shd w:val="clear" w:color="auto" w:fill="FFFFFF"/>
          </w:tcPr>
          <w:p w14:paraId="55E46301" w14:textId="77777777" w:rsidR="00402EA5" w:rsidRDefault="00402EA5" w:rsidP="00402EA5">
            <w:pPr>
              <w:pStyle w:val="CETBodytext"/>
            </w:pPr>
          </w:p>
        </w:tc>
        <w:tc>
          <w:tcPr>
            <w:tcW w:w="953" w:type="dxa"/>
            <w:tcBorders>
              <w:top w:val="single" w:sz="6" w:space="0" w:color="008000"/>
              <w:bottom w:val="single" w:sz="6" w:space="0" w:color="008000"/>
            </w:tcBorders>
            <w:shd w:val="clear" w:color="auto" w:fill="FFFFFF"/>
          </w:tcPr>
          <w:p w14:paraId="35B708F6" w14:textId="77777777" w:rsidR="00402EA5" w:rsidRDefault="00402EA5" w:rsidP="00402EA5">
            <w:pPr>
              <w:pStyle w:val="CETBodytext"/>
            </w:pPr>
          </w:p>
        </w:tc>
        <w:tc>
          <w:tcPr>
            <w:tcW w:w="953" w:type="dxa"/>
            <w:tcBorders>
              <w:top w:val="single" w:sz="6" w:space="0" w:color="008000"/>
              <w:bottom w:val="single" w:sz="6" w:space="0" w:color="008000"/>
            </w:tcBorders>
            <w:shd w:val="clear" w:color="auto" w:fill="FFFFFF"/>
          </w:tcPr>
          <w:p w14:paraId="49DF98E9" w14:textId="77777777" w:rsidR="00402EA5" w:rsidRDefault="00402EA5" w:rsidP="00402EA5">
            <w:pPr>
              <w:pStyle w:val="CETBodytext"/>
            </w:pPr>
          </w:p>
        </w:tc>
        <w:tc>
          <w:tcPr>
            <w:tcW w:w="953" w:type="dxa"/>
            <w:tcBorders>
              <w:top w:val="single" w:sz="6" w:space="0" w:color="008000"/>
              <w:bottom w:val="single" w:sz="6" w:space="0" w:color="008000"/>
            </w:tcBorders>
            <w:shd w:val="clear" w:color="auto" w:fill="FFFFFF"/>
          </w:tcPr>
          <w:p w14:paraId="21FA10CB" w14:textId="77777777" w:rsidR="00402EA5" w:rsidRDefault="00402EA5" w:rsidP="00402EA5">
            <w:pPr>
              <w:pStyle w:val="CETBodytext"/>
            </w:pPr>
          </w:p>
        </w:tc>
        <w:tc>
          <w:tcPr>
            <w:tcW w:w="953" w:type="dxa"/>
            <w:tcBorders>
              <w:top w:val="single" w:sz="6" w:space="0" w:color="008000"/>
              <w:bottom w:val="single" w:sz="6" w:space="0" w:color="008000"/>
            </w:tcBorders>
            <w:shd w:val="clear" w:color="auto" w:fill="FFFFFF"/>
          </w:tcPr>
          <w:p w14:paraId="1162EFAD" w14:textId="77777777" w:rsidR="00402EA5" w:rsidRDefault="00402EA5" w:rsidP="00402EA5">
            <w:pPr>
              <w:pStyle w:val="CETBodytext"/>
            </w:pPr>
          </w:p>
        </w:tc>
      </w:tr>
      <w:tr w:rsidR="00402EA5" w:rsidRPr="00B57B36" w14:paraId="76F829BB" w14:textId="77777777" w:rsidTr="00402EA5">
        <w:trPr>
          <w:trHeight w:val="736"/>
        </w:trPr>
        <w:tc>
          <w:tcPr>
            <w:tcW w:w="1696" w:type="dxa"/>
            <w:tcBorders>
              <w:top w:val="single" w:sz="6" w:space="0" w:color="008000"/>
              <w:bottom w:val="single" w:sz="6" w:space="0" w:color="008000"/>
            </w:tcBorders>
            <w:shd w:val="clear" w:color="auto" w:fill="FFFFFF"/>
          </w:tcPr>
          <w:p w14:paraId="354CF0F9" w14:textId="77777777" w:rsidR="00402EA5" w:rsidRDefault="00402EA5" w:rsidP="00402EA5">
            <w:pPr>
              <w:pStyle w:val="CETBodytext"/>
            </w:pPr>
            <w:r>
              <w:t>20 g/L</w:t>
            </w:r>
          </w:p>
          <w:p w14:paraId="63C550EE" w14:textId="77777777" w:rsidR="00402EA5" w:rsidRDefault="00402EA5" w:rsidP="00402EA5">
            <w:pPr>
              <w:pStyle w:val="CETBodytext"/>
            </w:pPr>
            <w:r>
              <w:t>100 g/L</w:t>
            </w:r>
          </w:p>
          <w:p w14:paraId="23BE9773" w14:textId="77777777" w:rsidR="00402EA5" w:rsidRDefault="00402EA5" w:rsidP="00402EA5">
            <w:pPr>
              <w:pStyle w:val="CETBodytext"/>
            </w:pPr>
            <w:r>
              <w:t>200 g/L</w:t>
            </w:r>
          </w:p>
          <w:p w14:paraId="61C4DA36" w14:textId="77777777" w:rsidR="00402EA5" w:rsidRDefault="00402EA5" w:rsidP="00402EA5">
            <w:pPr>
              <w:pStyle w:val="CETBodytext"/>
            </w:pPr>
          </w:p>
        </w:tc>
        <w:tc>
          <w:tcPr>
            <w:tcW w:w="953" w:type="dxa"/>
            <w:tcBorders>
              <w:top w:val="single" w:sz="6" w:space="0" w:color="008000"/>
              <w:bottom w:val="single" w:sz="6" w:space="0" w:color="008000"/>
            </w:tcBorders>
            <w:shd w:val="clear" w:color="auto" w:fill="FFFFFF"/>
          </w:tcPr>
          <w:p w14:paraId="57F435BD" w14:textId="5E3FC1F8" w:rsidR="00402EA5" w:rsidRDefault="00402EA5" w:rsidP="00402EA5">
            <w:pPr>
              <w:pStyle w:val="CETBodytext"/>
              <w:jc w:val="center"/>
            </w:pPr>
            <w:r>
              <w:t>6</w:t>
            </w:r>
            <w:r w:rsidR="00007305">
              <w:t>.</w:t>
            </w:r>
            <w:r>
              <w:t>6</w:t>
            </w:r>
          </w:p>
          <w:p w14:paraId="4EBE719F" w14:textId="7CB1DBF4" w:rsidR="00402EA5" w:rsidRDefault="00402EA5" w:rsidP="00402EA5">
            <w:pPr>
              <w:pStyle w:val="CETBodytext"/>
              <w:jc w:val="center"/>
            </w:pPr>
            <w:r>
              <w:t>6</w:t>
            </w:r>
            <w:r w:rsidR="00007305">
              <w:t>.</w:t>
            </w:r>
            <w:r>
              <w:t>8</w:t>
            </w:r>
          </w:p>
          <w:p w14:paraId="7B19B20E" w14:textId="72BFF4C4" w:rsidR="00402EA5" w:rsidRDefault="00402EA5" w:rsidP="00402EA5">
            <w:pPr>
              <w:pStyle w:val="CETBodytext"/>
              <w:jc w:val="center"/>
            </w:pPr>
            <w:r>
              <w:t>7</w:t>
            </w:r>
            <w:r w:rsidR="00007305">
              <w:t>.</w:t>
            </w:r>
            <w:r>
              <w:t>3</w:t>
            </w:r>
          </w:p>
        </w:tc>
        <w:tc>
          <w:tcPr>
            <w:tcW w:w="953" w:type="dxa"/>
            <w:tcBorders>
              <w:top w:val="single" w:sz="6" w:space="0" w:color="008000"/>
              <w:bottom w:val="single" w:sz="6" w:space="0" w:color="008000"/>
            </w:tcBorders>
            <w:shd w:val="clear" w:color="auto" w:fill="FFFFFF"/>
          </w:tcPr>
          <w:p w14:paraId="23D0C65D" w14:textId="1C59426E" w:rsidR="00402EA5" w:rsidRDefault="00402EA5" w:rsidP="00402EA5">
            <w:pPr>
              <w:pStyle w:val="CETBodytext"/>
              <w:jc w:val="center"/>
            </w:pPr>
            <w:r>
              <w:t>21</w:t>
            </w:r>
            <w:r w:rsidR="00007305">
              <w:t>.</w:t>
            </w:r>
            <w:r>
              <w:t>5</w:t>
            </w:r>
          </w:p>
          <w:p w14:paraId="1B569A41" w14:textId="301E983F" w:rsidR="00402EA5" w:rsidRDefault="00402EA5" w:rsidP="00402EA5">
            <w:pPr>
              <w:pStyle w:val="CETBodytext"/>
              <w:jc w:val="center"/>
            </w:pPr>
            <w:r>
              <w:t>18</w:t>
            </w:r>
            <w:r w:rsidR="00007305">
              <w:t>.</w:t>
            </w:r>
            <w:r>
              <w:t>8</w:t>
            </w:r>
          </w:p>
          <w:p w14:paraId="6468797E" w14:textId="07F0C5F2" w:rsidR="00402EA5" w:rsidRDefault="00402EA5" w:rsidP="00402EA5">
            <w:pPr>
              <w:pStyle w:val="CETBodytext"/>
              <w:jc w:val="center"/>
            </w:pPr>
            <w:r>
              <w:t>25</w:t>
            </w:r>
            <w:r w:rsidR="00007305">
              <w:t>.</w:t>
            </w:r>
            <w:r>
              <w:t>8</w:t>
            </w:r>
          </w:p>
        </w:tc>
        <w:tc>
          <w:tcPr>
            <w:tcW w:w="953" w:type="dxa"/>
            <w:tcBorders>
              <w:top w:val="single" w:sz="6" w:space="0" w:color="008000"/>
              <w:bottom w:val="single" w:sz="6" w:space="0" w:color="008000"/>
            </w:tcBorders>
            <w:shd w:val="clear" w:color="auto" w:fill="FFFFFF"/>
          </w:tcPr>
          <w:p w14:paraId="1709B45D" w14:textId="36A6F18C" w:rsidR="00402EA5" w:rsidRDefault="00402EA5" w:rsidP="00402EA5">
            <w:pPr>
              <w:pStyle w:val="CETBodytext"/>
              <w:jc w:val="center"/>
            </w:pPr>
            <w:r>
              <w:t>22</w:t>
            </w:r>
            <w:r w:rsidR="00007305">
              <w:t>.</w:t>
            </w:r>
            <w:r>
              <w:t>4</w:t>
            </w:r>
          </w:p>
          <w:p w14:paraId="6A59023D" w14:textId="73294A5C" w:rsidR="00402EA5" w:rsidRDefault="00402EA5" w:rsidP="00402EA5">
            <w:pPr>
              <w:pStyle w:val="CETBodytext"/>
              <w:jc w:val="center"/>
            </w:pPr>
            <w:r>
              <w:t>20</w:t>
            </w:r>
            <w:r w:rsidR="00007305">
              <w:t>.</w:t>
            </w:r>
            <w:r>
              <w:t>2</w:t>
            </w:r>
          </w:p>
          <w:p w14:paraId="73B7CFAC" w14:textId="0BD3FEAA" w:rsidR="00402EA5" w:rsidRDefault="00402EA5" w:rsidP="00402EA5">
            <w:pPr>
              <w:pStyle w:val="CETBodytext"/>
              <w:jc w:val="center"/>
            </w:pPr>
            <w:r>
              <w:t>26</w:t>
            </w:r>
            <w:r w:rsidR="00007305">
              <w:t>.</w:t>
            </w:r>
            <w:r>
              <w:t>7</w:t>
            </w:r>
          </w:p>
        </w:tc>
        <w:tc>
          <w:tcPr>
            <w:tcW w:w="953" w:type="dxa"/>
            <w:tcBorders>
              <w:top w:val="single" w:sz="6" w:space="0" w:color="008000"/>
              <w:bottom w:val="single" w:sz="6" w:space="0" w:color="008000"/>
            </w:tcBorders>
            <w:shd w:val="clear" w:color="auto" w:fill="FFFFFF"/>
          </w:tcPr>
          <w:p w14:paraId="6DA700CD" w14:textId="71722CC4" w:rsidR="00402EA5" w:rsidRDefault="00402EA5" w:rsidP="00402EA5">
            <w:pPr>
              <w:pStyle w:val="CETBodytext"/>
              <w:jc w:val="center"/>
            </w:pPr>
            <w:r>
              <w:t>24</w:t>
            </w:r>
            <w:r w:rsidR="00007305">
              <w:t>.</w:t>
            </w:r>
            <w:r>
              <w:t>7</w:t>
            </w:r>
          </w:p>
          <w:p w14:paraId="3AD6BA79" w14:textId="7456DAFA" w:rsidR="00402EA5" w:rsidRDefault="00402EA5" w:rsidP="00402EA5">
            <w:pPr>
              <w:pStyle w:val="CETBodytext"/>
              <w:jc w:val="center"/>
            </w:pPr>
            <w:r>
              <w:t>24</w:t>
            </w:r>
            <w:r w:rsidR="00007305">
              <w:t>.</w:t>
            </w:r>
            <w:r>
              <w:t>3</w:t>
            </w:r>
          </w:p>
          <w:p w14:paraId="5ABC937D" w14:textId="15BD4DB0" w:rsidR="00402EA5" w:rsidRDefault="00402EA5" w:rsidP="00402EA5">
            <w:pPr>
              <w:pStyle w:val="CETBodytext"/>
              <w:jc w:val="center"/>
            </w:pPr>
            <w:r>
              <w:t>27</w:t>
            </w:r>
            <w:r w:rsidR="00007305">
              <w:t>.</w:t>
            </w:r>
            <w:r>
              <w:t>8</w:t>
            </w:r>
          </w:p>
          <w:p w14:paraId="0F7312F5" w14:textId="77777777" w:rsidR="00402EA5" w:rsidRDefault="00402EA5" w:rsidP="00402EA5">
            <w:pPr>
              <w:pStyle w:val="CETBodytext"/>
              <w:jc w:val="center"/>
            </w:pPr>
          </w:p>
        </w:tc>
        <w:tc>
          <w:tcPr>
            <w:tcW w:w="953" w:type="dxa"/>
            <w:tcBorders>
              <w:top w:val="single" w:sz="6" w:space="0" w:color="008000"/>
              <w:bottom w:val="single" w:sz="6" w:space="0" w:color="008000"/>
            </w:tcBorders>
            <w:shd w:val="clear" w:color="auto" w:fill="FFFFFF"/>
          </w:tcPr>
          <w:p w14:paraId="4CAAEDBC" w14:textId="0CCEA258" w:rsidR="00402EA5" w:rsidRDefault="00402EA5" w:rsidP="00402EA5">
            <w:pPr>
              <w:pStyle w:val="CETBodytext"/>
              <w:jc w:val="center"/>
            </w:pPr>
            <w:r>
              <w:t>25</w:t>
            </w:r>
            <w:r w:rsidR="00007305">
              <w:t>.</w:t>
            </w:r>
            <w:r>
              <w:t>9</w:t>
            </w:r>
          </w:p>
          <w:p w14:paraId="546F2FFE" w14:textId="47E5CF5E" w:rsidR="00402EA5" w:rsidRDefault="00402EA5" w:rsidP="00402EA5">
            <w:pPr>
              <w:pStyle w:val="CETBodytext"/>
              <w:jc w:val="center"/>
            </w:pPr>
            <w:r>
              <w:t>29</w:t>
            </w:r>
            <w:r w:rsidR="00007305">
              <w:t>.</w:t>
            </w:r>
            <w:r>
              <w:t>6</w:t>
            </w:r>
          </w:p>
          <w:p w14:paraId="4891164A" w14:textId="00A42200" w:rsidR="00402EA5" w:rsidRDefault="00402EA5" w:rsidP="00402EA5">
            <w:pPr>
              <w:pStyle w:val="CETBodytext"/>
              <w:jc w:val="center"/>
            </w:pPr>
            <w:r>
              <w:t>31</w:t>
            </w:r>
            <w:r w:rsidR="00007305">
              <w:t>.</w:t>
            </w:r>
            <w:r>
              <w:t>5</w:t>
            </w:r>
          </w:p>
        </w:tc>
        <w:tc>
          <w:tcPr>
            <w:tcW w:w="953" w:type="dxa"/>
            <w:tcBorders>
              <w:top w:val="single" w:sz="6" w:space="0" w:color="008000"/>
              <w:bottom w:val="single" w:sz="6" w:space="0" w:color="008000"/>
            </w:tcBorders>
            <w:shd w:val="clear" w:color="auto" w:fill="FFFFFF"/>
          </w:tcPr>
          <w:p w14:paraId="0110E7C2" w14:textId="5F017F13" w:rsidR="00402EA5" w:rsidRDefault="00402EA5" w:rsidP="00402EA5">
            <w:pPr>
              <w:pStyle w:val="CETBodytext"/>
              <w:jc w:val="center"/>
            </w:pPr>
            <w:r>
              <w:t>25</w:t>
            </w:r>
            <w:r w:rsidR="00007305">
              <w:t>.</w:t>
            </w:r>
            <w:r>
              <w:t>3</w:t>
            </w:r>
          </w:p>
          <w:p w14:paraId="0097ACE9" w14:textId="3C814A65" w:rsidR="00402EA5" w:rsidRDefault="00402EA5" w:rsidP="00402EA5">
            <w:pPr>
              <w:pStyle w:val="CETBodytext"/>
              <w:jc w:val="center"/>
            </w:pPr>
            <w:r>
              <w:t>25</w:t>
            </w:r>
            <w:r w:rsidR="00007305">
              <w:t>.</w:t>
            </w:r>
            <w:r>
              <w:t>2</w:t>
            </w:r>
          </w:p>
          <w:p w14:paraId="55D1194C" w14:textId="4768929D" w:rsidR="00402EA5" w:rsidRDefault="00402EA5" w:rsidP="00402EA5">
            <w:pPr>
              <w:pStyle w:val="CETBodytext"/>
              <w:jc w:val="center"/>
            </w:pPr>
            <w:r>
              <w:t>31</w:t>
            </w:r>
            <w:r w:rsidR="00007305">
              <w:t>.</w:t>
            </w:r>
            <w:r>
              <w:t>1</w:t>
            </w:r>
          </w:p>
        </w:tc>
        <w:tc>
          <w:tcPr>
            <w:tcW w:w="953" w:type="dxa"/>
            <w:tcBorders>
              <w:top w:val="single" w:sz="6" w:space="0" w:color="008000"/>
              <w:bottom w:val="single" w:sz="6" w:space="0" w:color="008000"/>
            </w:tcBorders>
            <w:shd w:val="clear" w:color="auto" w:fill="FFFFFF"/>
          </w:tcPr>
          <w:p w14:paraId="51C455DB" w14:textId="0E567E66" w:rsidR="00402EA5" w:rsidRDefault="00402EA5" w:rsidP="00402EA5">
            <w:pPr>
              <w:pStyle w:val="CETBodytext"/>
              <w:jc w:val="center"/>
            </w:pPr>
            <w:r>
              <w:t>20</w:t>
            </w:r>
            <w:r w:rsidR="00007305">
              <w:t>.</w:t>
            </w:r>
            <w:r>
              <w:t>6</w:t>
            </w:r>
          </w:p>
          <w:p w14:paraId="741E8A99" w14:textId="3AE1EA3C" w:rsidR="00402EA5" w:rsidRDefault="00402EA5" w:rsidP="00402EA5">
            <w:pPr>
              <w:pStyle w:val="CETBodytext"/>
              <w:jc w:val="center"/>
            </w:pPr>
            <w:r>
              <w:t>27</w:t>
            </w:r>
            <w:r w:rsidR="00007305">
              <w:t>.</w:t>
            </w:r>
            <w:r>
              <w:t>5</w:t>
            </w:r>
          </w:p>
          <w:p w14:paraId="52B7F9D4" w14:textId="48F92CB8" w:rsidR="00402EA5" w:rsidRDefault="00402EA5" w:rsidP="00402EA5">
            <w:pPr>
              <w:pStyle w:val="CETBodytext"/>
              <w:jc w:val="center"/>
            </w:pPr>
            <w:r>
              <w:t>36</w:t>
            </w:r>
            <w:r w:rsidR="00007305">
              <w:t>.</w:t>
            </w:r>
            <w:r>
              <w:t>7</w:t>
            </w:r>
          </w:p>
        </w:tc>
      </w:tr>
      <w:tr w:rsidR="00402EA5" w:rsidRPr="00B57B36" w14:paraId="0F87A347" w14:textId="77777777" w:rsidTr="00402EA5">
        <w:trPr>
          <w:trHeight w:val="189"/>
        </w:trPr>
        <w:tc>
          <w:tcPr>
            <w:tcW w:w="1696" w:type="dxa"/>
            <w:tcBorders>
              <w:top w:val="single" w:sz="6" w:space="0" w:color="008000"/>
              <w:bottom w:val="single" w:sz="6" w:space="0" w:color="008000"/>
            </w:tcBorders>
            <w:shd w:val="clear" w:color="auto" w:fill="FFFFFF"/>
          </w:tcPr>
          <w:p w14:paraId="2965E478" w14:textId="77777777" w:rsidR="00402EA5" w:rsidRPr="00AA2D0D" w:rsidRDefault="00402EA5" w:rsidP="00402EA5">
            <w:pPr>
              <w:pStyle w:val="CETBodytext"/>
            </w:pPr>
            <w:r>
              <w:t>OO</w:t>
            </w:r>
          </w:p>
        </w:tc>
        <w:tc>
          <w:tcPr>
            <w:tcW w:w="953" w:type="dxa"/>
            <w:tcBorders>
              <w:top w:val="single" w:sz="6" w:space="0" w:color="008000"/>
              <w:bottom w:val="single" w:sz="6" w:space="0" w:color="008000"/>
            </w:tcBorders>
            <w:shd w:val="clear" w:color="auto" w:fill="FFFFFF"/>
          </w:tcPr>
          <w:p w14:paraId="44FA9B0C" w14:textId="77777777" w:rsidR="00402EA5" w:rsidRDefault="00402EA5" w:rsidP="00402EA5">
            <w:pPr>
              <w:pStyle w:val="CETBodytext"/>
            </w:pPr>
          </w:p>
        </w:tc>
        <w:tc>
          <w:tcPr>
            <w:tcW w:w="953" w:type="dxa"/>
            <w:tcBorders>
              <w:top w:val="single" w:sz="6" w:space="0" w:color="008000"/>
              <w:bottom w:val="single" w:sz="6" w:space="0" w:color="008000"/>
            </w:tcBorders>
            <w:shd w:val="clear" w:color="auto" w:fill="FFFFFF"/>
          </w:tcPr>
          <w:p w14:paraId="5D1AF1D3" w14:textId="77777777" w:rsidR="00402EA5" w:rsidRDefault="00402EA5" w:rsidP="00402EA5">
            <w:pPr>
              <w:pStyle w:val="CETBodytext"/>
            </w:pPr>
          </w:p>
        </w:tc>
        <w:tc>
          <w:tcPr>
            <w:tcW w:w="953" w:type="dxa"/>
            <w:tcBorders>
              <w:top w:val="single" w:sz="6" w:space="0" w:color="008000"/>
              <w:bottom w:val="single" w:sz="6" w:space="0" w:color="008000"/>
            </w:tcBorders>
            <w:shd w:val="clear" w:color="auto" w:fill="FFFFFF"/>
          </w:tcPr>
          <w:p w14:paraId="6DBC1D04" w14:textId="77777777" w:rsidR="00402EA5" w:rsidRDefault="00402EA5" w:rsidP="00402EA5">
            <w:pPr>
              <w:pStyle w:val="CETBodytext"/>
            </w:pPr>
          </w:p>
        </w:tc>
        <w:tc>
          <w:tcPr>
            <w:tcW w:w="953" w:type="dxa"/>
            <w:tcBorders>
              <w:top w:val="single" w:sz="6" w:space="0" w:color="008000"/>
              <w:bottom w:val="single" w:sz="6" w:space="0" w:color="008000"/>
            </w:tcBorders>
            <w:shd w:val="clear" w:color="auto" w:fill="FFFFFF"/>
          </w:tcPr>
          <w:p w14:paraId="64B21BD6" w14:textId="77777777" w:rsidR="00402EA5" w:rsidRDefault="00402EA5" w:rsidP="00402EA5">
            <w:pPr>
              <w:pStyle w:val="CETBodytext"/>
            </w:pPr>
          </w:p>
        </w:tc>
        <w:tc>
          <w:tcPr>
            <w:tcW w:w="953" w:type="dxa"/>
            <w:tcBorders>
              <w:top w:val="single" w:sz="6" w:space="0" w:color="008000"/>
              <w:bottom w:val="single" w:sz="6" w:space="0" w:color="008000"/>
            </w:tcBorders>
            <w:shd w:val="clear" w:color="auto" w:fill="FFFFFF"/>
          </w:tcPr>
          <w:p w14:paraId="1FE2C479" w14:textId="77777777" w:rsidR="00402EA5" w:rsidRDefault="00402EA5" w:rsidP="00402EA5">
            <w:pPr>
              <w:pStyle w:val="CETBodytext"/>
            </w:pPr>
          </w:p>
        </w:tc>
        <w:tc>
          <w:tcPr>
            <w:tcW w:w="953" w:type="dxa"/>
            <w:tcBorders>
              <w:top w:val="single" w:sz="6" w:space="0" w:color="008000"/>
              <w:bottom w:val="single" w:sz="6" w:space="0" w:color="008000"/>
            </w:tcBorders>
            <w:shd w:val="clear" w:color="auto" w:fill="FFFFFF"/>
          </w:tcPr>
          <w:p w14:paraId="599826BA" w14:textId="77777777" w:rsidR="00402EA5" w:rsidRDefault="00402EA5" w:rsidP="00402EA5">
            <w:pPr>
              <w:pStyle w:val="CETBodytext"/>
            </w:pPr>
          </w:p>
        </w:tc>
        <w:tc>
          <w:tcPr>
            <w:tcW w:w="953" w:type="dxa"/>
            <w:tcBorders>
              <w:top w:val="single" w:sz="6" w:space="0" w:color="008000"/>
              <w:bottom w:val="single" w:sz="6" w:space="0" w:color="008000"/>
            </w:tcBorders>
            <w:shd w:val="clear" w:color="auto" w:fill="FFFFFF"/>
          </w:tcPr>
          <w:p w14:paraId="3D12A66E" w14:textId="77777777" w:rsidR="00402EA5" w:rsidRDefault="00402EA5" w:rsidP="00402EA5">
            <w:pPr>
              <w:pStyle w:val="CETBodytext"/>
            </w:pPr>
          </w:p>
        </w:tc>
      </w:tr>
      <w:tr w:rsidR="00402EA5" w:rsidRPr="00B57B36" w14:paraId="2796DA14" w14:textId="77777777" w:rsidTr="00402EA5">
        <w:trPr>
          <w:trHeight w:val="558"/>
        </w:trPr>
        <w:tc>
          <w:tcPr>
            <w:tcW w:w="1696" w:type="dxa"/>
            <w:tcBorders>
              <w:top w:val="single" w:sz="6" w:space="0" w:color="008000"/>
            </w:tcBorders>
            <w:shd w:val="clear" w:color="auto" w:fill="FFFFFF"/>
          </w:tcPr>
          <w:p w14:paraId="618FA20C" w14:textId="77777777" w:rsidR="00402EA5" w:rsidRDefault="00402EA5" w:rsidP="00402EA5">
            <w:pPr>
              <w:pStyle w:val="CETBodytext"/>
            </w:pPr>
            <w:r>
              <w:t>20 g/L</w:t>
            </w:r>
          </w:p>
          <w:p w14:paraId="5E489C98" w14:textId="77777777" w:rsidR="00402EA5" w:rsidRDefault="00402EA5" w:rsidP="00402EA5">
            <w:pPr>
              <w:pStyle w:val="CETBodytext"/>
            </w:pPr>
            <w:r>
              <w:t>100 g/L</w:t>
            </w:r>
          </w:p>
          <w:p w14:paraId="22AC6530" w14:textId="77777777" w:rsidR="00402EA5" w:rsidRDefault="00402EA5" w:rsidP="00402EA5">
            <w:pPr>
              <w:pStyle w:val="CETBodytext"/>
            </w:pPr>
            <w:r>
              <w:t>200 g/L</w:t>
            </w:r>
          </w:p>
        </w:tc>
        <w:tc>
          <w:tcPr>
            <w:tcW w:w="953" w:type="dxa"/>
            <w:tcBorders>
              <w:top w:val="single" w:sz="6" w:space="0" w:color="008000"/>
            </w:tcBorders>
            <w:shd w:val="clear" w:color="auto" w:fill="FFFFFF"/>
          </w:tcPr>
          <w:p w14:paraId="4AB2A07A" w14:textId="0BC4ACDB" w:rsidR="00402EA5" w:rsidRDefault="00402EA5" w:rsidP="00402EA5">
            <w:pPr>
              <w:pStyle w:val="CETBodytext"/>
              <w:jc w:val="center"/>
            </w:pPr>
            <w:r>
              <w:t>8</w:t>
            </w:r>
            <w:r w:rsidR="00007305">
              <w:t>.</w:t>
            </w:r>
            <w:r>
              <w:t>1</w:t>
            </w:r>
          </w:p>
          <w:p w14:paraId="41C35172" w14:textId="77777777" w:rsidR="00402EA5" w:rsidRDefault="00402EA5" w:rsidP="00402EA5">
            <w:pPr>
              <w:pStyle w:val="CETBodytext"/>
              <w:jc w:val="center"/>
            </w:pPr>
            <w:r>
              <w:t>9</w:t>
            </w:r>
          </w:p>
          <w:p w14:paraId="7D18562E" w14:textId="0237F6E0" w:rsidR="00402EA5" w:rsidRDefault="00402EA5" w:rsidP="00402EA5">
            <w:pPr>
              <w:pStyle w:val="CETBodytext"/>
              <w:jc w:val="center"/>
            </w:pPr>
            <w:r>
              <w:t>9</w:t>
            </w:r>
            <w:r w:rsidR="00007305">
              <w:t>.</w:t>
            </w:r>
            <w:r>
              <w:t>7</w:t>
            </w:r>
          </w:p>
        </w:tc>
        <w:tc>
          <w:tcPr>
            <w:tcW w:w="953" w:type="dxa"/>
            <w:tcBorders>
              <w:top w:val="single" w:sz="6" w:space="0" w:color="008000"/>
            </w:tcBorders>
            <w:shd w:val="clear" w:color="auto" w:fill="FFFFFF"/>
          </w:tcPr>
          <w:p w14:paraId="29AF25C3" w14:textId="7088A38A" w:rsidR="00402EA5" w:rsidRDefault="00402EA5" w:rsidP="00402EA5">
            <w:pPr>
              <w:pStyle w:val="CETBodytext"/>
              <w:jc w:val="center"/>
            </w:pPr>
            <w:r>
              <w:t>10</w:t>
            </w:r>
            <w:r w:rsidR="00007305">
              <w:t>.</w:t>
            </w:r>
            <w:r>
              <w:t>1</w:t>
            </w:r>
          </w:p>
          <w:p w14:paraId="3F4877D7" w14:textId="4F727E6F" w:rsidR="00402EA5" w:rsidRDefault="00402EA5" w:rsidP="00402EA5">
            <w:pPr>
              <w:pStyle w:val="CETBodytext"/>
              <w:jc w:val="center"/>
            </w:pPr>
            <w:r>
              <w:t>26</w:t>
            </w:r>
            <w:r w:rsidR="00007305">
              <w:t>.</w:t>
            </w:r>
            <w:r>
              <w:t>4</w:t>
            </w:r>
          </w:p>
          <w:p w14:paraId="5A2A5051" w14:textId="3F303606" w:rsidR="00402EA5" w:rsidRDefault="00402EA5" w:rsidP="00402EA5">
            <w:pPr>
              <w:pStyle w:val="CETBodytext"/>
              <w:jc w:val="center"/>
            </w:pPr>
            <w:r>
              <w:t>36</w:t>
            </w:r>
            <w:r w:rsidR="00007305">
              <w:t>.</w:t>
            </w:r>
            <w:r>
              <w:t>8</w:t>
            </w:r>
          </w:p>
        </w:tc>
        <w:tc>
          <w:tcPr>
            <w:tcW w:w="953" w:type="dxa"/>
            <w:tcBorders>
              <w:top w:val="single" w:sz="6" w:space="0" w:color="008000"/>
            </w:tcBorders>
            <w:shd w:val="clear" w:color="auto" w:fill="FFFFFF"/>
          </w:tcPr>
          <w:p w14:paraId="24580BC5" w14:textId="77777777" w:rsidR="00402EA5" w:rsidRDefault="00402EA5" w:rsidP="00402EA5">
            <w:pPr>
              <w:pStyle w:val="CETBodytext"/>
              <w:jc w:val="center"/>
            </w:pPr>
            <w:r>
              <w:t>9</w:t>
            </w:r>
          </w:p>
          <w:p w14:paraId="60C83DF6" w14:textId="79A367B5" w:rsidR="00402EA5" w:rsidRDefault="00402EA5" w:rsidP="00402EA5">
            <w:pPr>
              <w:pStyle w:val="CETBodytext"/>
              <w:jc w:val="center"/>
            </w:pPr>
            <w:r>
              <w:t>25</w:t>
            </w:r>
            <w:r w:rsidR="00007305">
              <w:t>.</w:t>
            </w:r>
            <w:r>
              <w:t>4</w:t>
            </w:r>
          </w:p>
          <w:p w14:paraId="7CFDE573" w14:textId="6A093282" w:rsidR="00402EA5" w:rsidRDefault="00402EA5" w:rsidP="00402EA5">
            <w:pPr>
              <w:pStyle w:val="CETBodytext"/>
              <w:jc w:val="center"/>
            </w:pPr>
            <w:r>
              <w:t>42</w:t>
            </w:r>
            <w:r w:rsidR="00007305">
              <w:t>.</w:t>
            </w:r>
            <w:r>
              <w:t>6</w:t>
            </w:r>
          </w:p>
        </w:tc>
        <w:tc>
          <w:tcPr>
            <w:tcW w:w="953" w:type="dxa"/>
            <w:tcBorders>
              <w:top w:val="single" w:sz="6" w:space="0" w:color="008000"/>
            </w:tcBorders>
            <w:shd w:val="clear" w:color="auto" w:fill="FFFFFF"/>
          </w:tcPr>
          <w:p w14:paraId="335859E0" w14:textId="1F17F81D" w:rsidR="00402EA5" w:rsidRDefault="00402EA5" w:rsidP="00402EA5">
            <w:pPr>
              <w:pStyle w:val="CETBodytext"/>
              <w:jc w:val="center"/>
            </w:pPr>
            <w:r>
              <w:t>11</w:t>
            </w:r>
            <w:r w:rsidR="00007305">
              <w:t>.</w:t>
            </w:r>
            <w:r>
              <w:t>5</w:t>
            </w:r>
          </w:p>
          <w:p w14:paraId="5F7CABD5" w14:textId="1CD08EAD" w:rsidR="00402EA5" w:rsidRDefault="00402EA5" w:rsidP="00402EA5">
            <w:pPr>
              <w:pStyle w:val="CETBodytext"/>
              <w:jc w:val="center"/>
            </w:pPr>
            <w:r>
              <w:t>42</w:t>
            </w:r>
            <w:r w:rsidR="00007305">
              <w:t>.</w:t>
            </w:r>
            <w:r>
              <w:t>3</w:t>
            </w:r>
          </w:p>
          <w:p w14:paraId="4CD8F2D4" w14:textId="41F7B77A" w:rsidR="00402EA5" w:rsidRDefault="00402EA5" w:rsidP="00402EA5">
            <w:pPr>
              <w:pStyle w:val="CETBodytext"/>
              <w:jc w:val="center"/>
            </w:pPr>
            <w:r>
              <w:t>46</w:t>
            </w:r>
            <w:r w:rsidR="00007305">
              <w:t>.</w:t>
            </w:r>
            <w:r>
              <w:t>7</w:t>
            </w:r>
          </w:p>
        </w:tc>
        <w:tc>
          <w:tcPr>
            <w:tcW w:w="953" w:type="dxa"/>
            <w:tcBorders>
              <w:top w:val="single" w:sz="6" w:space="0" w:color="008000"/>
            </w:tcBorders>
            <w:shd w:val="clear" w:color="auto" w:fill="FFFFFF"/>
          </w:tcPr>
          <w:p w14:paraId="39E890CC" w14:textId="47FFE27C" w:rsidR="00402EA5" w:rsidRDefault="00402EA5" w:rsidP="00402EA5">
            <w:pPr>
              <w:pStyle w:val="CETBodytext"/>
              <w:jc w:val="center"/>
            </w:pPr>
            <w:r>
              <w:t>12</w:t>
            </w:r>
            <w:r w:rsidR="00007305">
              <w:t>.</w:t>
            </w:r>
            <w:r>
              <w:t>6</w:t>
            </w:r>
          </w:p>
          <w:p w14:paraId="2A07BD86" w14:textId="77777777" w:rsidR="00402EA5" w:rsidRDefault="00402EA5" w:rsidP="00402EA5">
            <w:pPr>
              <w:pStyle w:val="CETBodytext"/>
              <w:jc w:val="center"/>
            </w:pPr>
            <w:r>
              <w:t>53</w:t>
            </w:r>
          </w:p>
          <w:p w14:paraId="05FE883D" w14:textId="2FA4BEA8" w:rsidR="00402EA5" w:rsidRDefault="00402EA5" w:rsidP="00402EA5">
            <w:pPr>
              <w:pStyle w:val="CETBodytext"/>
              <w:jc w:val="center"/>
            </w:pPr>
            <w:r>
              <w:t>60</w:t>
            </w:r>
            <w:r w:rsidR="00007305">
              <w:t>.</w:t>
            </w:r>
            <w:r>
              <w:t>5</w:t>
            </w:r>
          </w:p>
        </w:tc>
        <w:tc>
          <w:tcPr>
            <w:tcW w:w="953" w:type="dxa"/>
            <w:tcBorders>
              <w:top w:val="single" w:sz="6" w:space="0" w:color="008000"/>
            </w:tcBorders>
            <w:shd w:val="clear" w:color="auto" w:fill="FFFFFF"/>
          </w:tcPr>
          <w:p w14:paraId="10BD3560" w14:textId="77777777" w:rsidR="00402EA5" w:rsidRDefault="00402EA5" w:rsidP="00402EA5">
            <w:pPr>
              <w:pStyle w:val="CETBodytext"/>
              <w:jc w:val="center"/>
            </w:pPr>
            <w:r>
              <w:t>12</w:t>
            </w:r>
          </w:p>
          <w:p w14:paraId="45B5539B" w14:textId="6428FF39" w:rsidR="00402EA5" w:rsidRDefault="00402EA5" w:rsidP="00402EA5">
            <w:pPr>
              <w:pStyle w:val="CETBodytext"/>
              <w:jc w:val="center"/>
            </w:pPr>
            <w:r>
              <w:t>47</w:t>
            </w:r>
            <w:r w:rsidR="00007305">
              <w:t>.</w:t>
            </w:r>
            <w:r>
              <w:t>2</w:t>
            </w:r>
          </w:p>
          <w:p w14:paraId="58552FD5" w14:textId="48325788" w:rsidR="00402EA5" w:rsidRDefault="00402EA5" w:rsidP="00402EA5">
            <w:pPr>
              <w:pStyle w:val="CETBodytext"/>
              <w:jc w:val="center"/>
            </w:pPr>
            <w:r>
              <w:t>59</w:t>
            </w:r>
            <w:r w:rsidR="00007305">
              <w:t>.</w:t>
            </w:r>
            <w:r>
              <w:t>3</w:t>
            </w:r>
          </w:p>
        </w:tc>
        <w:tc>
          <w:tcPr>
            <w:tcW w:w="953" w:type="dxa"/>
            <w:tcBorders>
              <w:top w:val="single" w:sz="6" w:space="0" w:color="008000"/>
            </w:tcBorders>
            <w:shd w:val="clear" w:color="auto" w:fill="FFFFFF"/>
          </w:tcPr>
          <w:p w14:paraId="5718E601" w14:textId="279AC156" w:rsidR="00402EA5" w:rsidRDefault="00402EA5" w:rsidP="00402EA5">
            <w:pPr>
              <w:pStyle w:val="CETBodytext"/>
              <w:jc w:val="center"/>
            </w:pPr>
            <w:r>
              <w:t>12</w:t>
            </w:r>
            <w:r w:rsidR="00007305">
              <w:t>.</w:t>
            </w:r>
            <w:r>
              <w:t>8</w:t>
            </w:r>
          </w:p>
          <w:p w14:paraId="713C9638" w14:textId="1B59C19E" w:rsidR="00402EA5" w:rsidRDefault="00402EA5" w:rsidP="00402EA5">
            <w:pPr>
              <w:pStyle w:val="CETBodytext"/>
              <w:jc w:val="center"/>
            </w:pPr>
            <w:r>
              <w:t>53</w:t>
            </w:r>
            <w:r w:rsidR="00007305">
              <w:t>.</w:t>
            </w:r>
            <w:r>
              <w:t>2</w:t>
            </w:r>
          </w:p>
          <w:p w14:paraId="3C5BC4BA" w14:textId="77777777" w:rsidR="00402EA5" w:rsidRDefault="00402EA5" w:rsidP="00402EA5">
            <w:pPr>
              <w:pStyle w:val="CETBodytext"/>
              <w:jc w:val="center"/>
            </w:pPr>
            <w:r>
              <w:t>55</w:t>
            </w:r>
          </w:p>
        </w:tc>
      </w:tr>
    </w:tbl>
    <w:p w14:paraId="02041674" w14:textId="77777777" w:rsidR="005F4727" w:rsidRPr="005F4727" w:rsidRDefault="005F4727" w:rsidP="005F4727">
      <w:pPr>
        <w:pStyle w:val="CETBodytext"/>
      </w:pPr>
    </w:p>
    <w:p w14:paraId="6D6177AA" w14:textId="0B2A8DAC" w:rsidR="005F4727" w:rsidRPr="005F4727" w:rsidRDefault="005F4727" w:rsidP="00030C43">
      <w:pPr>
        <w:pStyle w:val="CETheadingx"/>
      </w:pPr>
      <w:r>
        <w:t>Lipase</w:t>
      </w:r>
      <w:r w:rsidR="00DD5282">
        <w:t xml:space="preserve"> activity</w:t>
      </w:r>
    </w:p>
    <w:p w14:paraId="4589D3EB" w14:textId="77777777" w:rsidR="007156E3" w:rsidRDefault="0003469F" w:rsidP="00EE123F">
      <w:pPr>
        <w:pStyle w:val="CETBodytext"/>
      </w:pPr>
      <w:r>
        <w:t>Extracellular lipase activity was measured at different time points (</w:t>
      </w:r>
      <w:r w:rsidR="003903AD" w:rsidRPr="0003469F">
        <w:rPr>
          <w:i/>
          <w:iCs/>
        </w:rPr>
        <w:t>Figure 1</w:t>
      </w:r>
      <w:r>
        <w:rPr>
          <w:i/>
          <w:iCs/>
        </w:rPr>
        <w:t>)</w:t>
      </w:r>
      <w:r w:rsidR="003903AD">
        <w:t>.</w:t>
      </w:r>
    </w:p>
    <w:p w14:paraId="7E68F184" w14:textId="4A6AB4E2" w:rsidR="00C27FB9" w:rsidRDefault="009D1190" w:rsidP="00EE123F">
      <w:pPr>
        <w:pStyle w:val="CETBodytext"/>
      </w:pPr>
      <w:r>
        <w:t>Contrarily to biomass production (</w:t>
      </w:r>
      <w:r w:rsidRPr="009D1190">
        <w:rPr>
          <w:i/>
          <w:iCs/>
        </w:rPr>
        <w:t>Table 1</w:t>
      </w:r>
      <w:r>
        <w:t xml:space="preserve">), higher lipase activity was shown </w:t>
      </w:r>
      <w:r w:rsidR="00314A0E">
        <w:t xml:space="preserve">in </w:t>
      </w:r>
      <w:r>
        <w:t>supernatants derived from WCO-containing cultures compared to OO and FFA-containing cultures</w:t>
      </w:r>
      <w:r w:rsidR="005061CE">
        <w:t xml:space="preserve"> d</w:t>
      </w:r>
      <w:r w:rsidR="005061CE" w:rsidRPr="008069D7">
        <w:t>espite other findings that suggest a significant correlation between</w:t>
      </w:r>
      <w:r w:rsidR="005061CE">
        <w:t xml:space="preserve"> high level of</w:t>
      </w:r>
      <w:r w:rsidR="005061CE" w:rsidRPr="008069D7">
        <w:t xml:space="preserve"> biomass</w:t>
      </w:r>
      <w:r w:rsidR="005061CE">
        <w:t xml:space="preserve"> production</w:t>
      </w:r>
      <w:r w:rsidR="005061CE" w:rsidRPr="008069D7">
        <w:t xml:space="preserve"> and lipase activity (Corzo and Revah, 1999)</w:t>
      </w:r>
      <w:r w:rsidR="005061CE">
        <w:t>.</w:t>
      </w:r>
      <w:r w:rsidR="00D75F61">
        <w:t xml:space="preserve"> </w:t>
      </w:r>
      <w:r w:rsidR="00F04080" w:rsidRPr="00283B7D">
        <w:t>The highest lipase activity was found in</w:t>
      </w:r>
      <w:r w:rsidR="00ED0E1B" w:rsidRPr="00283B7D">
        <w:t xml:space="preserve"> the </w:t>
      </w:r>
      <w:r w:rsidR="00583D13">
        <w:t>supernatants</w:t>
      </w:r>
      <w:r w:rsidR="00ED0E1B" w:rsidRPr="00283B7D">
        <w:t xml:space="preserve"> of the</w:t>
      </w:r>
      <w:r w:rsidR="00D75F61">
        <w:t xml:space="preserve"> 200 g/L WCO-containing</w:t>
      </w:r>
      <w:r w:rsidR="00ED0E1B" w:rsidRPr="00283B7D">
        <w:t xml:space="preserve"> cultures </w:t>
      </w:r>
      <w:r w:rsidR="00EF0D4B" w:rsidRPr="00283B7D">
        <w:t xml:space="preserve">after 192 h with a value of 0.925 </w:t>
      </w:r>
      <w:r w:rsidR="006A3454" w:rsidRPr="00283B7D">
        <w:t>± 0.08</w:t>
      </w:r>
      <w:r w:rsidR="00861322">
        <w:t>0</w:t>
      </w:r>
      <w:r w:rsidR="006A3454" w:rsidRPr="00283B7D">
        <w:t xml:space="preserve"> </w:t>
      </w:r>
      <w:r w:rsidR="00EF0D4B" w:rsidRPr="00283B7D">
        <w:t>U/m</w:t>
      </w:r>
      <w:r w:rsidR="00100607">
        <w:t>L</w:t>
      </w:r>
      <w:r>
        <w:t>. T</w:t>
      </w:r>
      <w:r w:rsidR="00147944" w:rsidRPr="00283B7D">
        <w:t>h</w:t>
      </w:r>
      <w:r w:rsidR="00583D13">
        <w:t>e latter</w:t>
      </w:r>
      <w:r w:rsidR="00147944" w:rsidRPr="00283B7D">
        <w:t xml:space="preserve"> was </w:t>
      </w:r>
      <w:r w:rsidR="00D75F61">
        <w:t>similar to the h</w:t>
      </w:r>
      <w:r w:rsidR="00147944" w:rsidRPr="00283B7D">
        <w:t>ighe</w:t>
      </w:r>
      <w:r w:rsidR="00D75F61">
        <w:t xml:space="preserve">st </w:t>
      </w:r>
      <w:r w:rsidR="00583D13">
        <w:t>activity</w:t>
      </w:r>
      <w:r w:rsidR="00147944" w:rsidRPr="00283B7D">
        <w:t xml:space="preserve"> measured for </w:t>
      </w:r>
      <w:r w:rsidR="00116117">
        <w:t>supernatants</w:t>
      </w:r>
      <w:r w:rsidR="00147944" w:rsidRPr="00283B7D">
        <w:t xml:space="preserve"> obtained in 100 g/L of WCO at the same time point</w:t>
      </w:r>
      <w:r w:rsidR="00357C37" w:rsidRPr="00283B7D">
        <w:t>.</w:t>
      </w:r>
      <w:r w:rsidR="0084307C">
        <w:t xml:space="preserve"> These results</w:t>
      </w:r>
      <w:r w:rsidR="00D75F61">
        <w:t xml:space="preserve"> </w:t>
      </w:r>
      <w:r w:rsidR="0084307C">
        <w:t>s</w:t>
      </w:r>
      <w:r w:rsidR="00D75F61">
        <w:t>how that</w:t>
      </w:r>
      <w:r w:rsidR="00116117">
        <w:t> </w:t>
      </w:r>
      <w:r w:rsidR="00D75F61">
        <w:rPr>
          <w:i/>
          <w:iCs/>
        </w:rPr>
        <w:t>Y.</w:t>
      </w:r>
      <w:r w:rsidR="008306BE">
        <w:rPr>
          <w:i/>
          <w:iCs/>
        </w:rPr>
        <w:t xml:space="preserve"> </w:t>
      </w:r>
      <w:r w:rsidR="00D75F61">
        <w:rPr>
          <w:i/>
          <w:iCs/>
        </w:rPr>
        <w:t xml:space="preserve">lipolytica </w:t>
      </w:r>
      <w:r w:rsidR="00D75F61">
        <w:t>was not negatively affected by the higher concentration of</w:t>
      </w:r>
      <w:r w:rsidR="0084307C">
        <w:t xml:space="preserve"> this</w:t>
      </w:r>
      <w:r w:rsidR="00D75F61">
        <w:t xml:space="preserve"> hydrophobic substrate</w:t>
      </w:r>
      <w:r w:rsidR="00C27FB9">
        <w:t>.</w:t>
      </w:r>
    </w:p>
    <w:p w14:paraId="68F922AA" w14:textId="7951BE07" w:rsidR="00357C37" w:rsidRPr="00283B7D" w:rsidRDefault="000A0CD3" w:rsidP="00283B7D">
      <w:pPr>
        <w:pStyle w:val="CETBodytext"/>
      </w:pPr>
      <w:r>
        <w:t>Supernatants</w:t>
      </w:r>
      <w:r w:rsidR="00D75F61" w:rsidRPr="00283B7D">
        <w:t xml:space="preserve"> from OO cultures</w:t>
      </w:r>
      <w:r w:rsidR="00100607" w:rsidRPr="00283B7D">
        <w:t xml:space="preserve"> </w:t>
      </w:r>
      <w:r w:rsidR="00D75F61" w:rsidRPr="00283B7D">
        <w:t>had the lowest activities</w:t>
      </w:r>
      <w:r>
        <w:t xml:space="preserve"> when compared to cultures containing other hydrophobic substrates, reaching a maximum activity of</w:t>
      </w:r>
      <w:r w:rsidR="00D75F61" w:rsidRPr="00283B7D">
        <w:t xml:space="preserve"> 0.440 ± 0.06</w:t>
      </w:r>
      <w:r w:rsidR="00861322">
        <w:t>0</w:t>
      </w:r>
      <w:r w:rsidR="00D75F61" w:rsidRPr="00283B7D">
        <w:t xml:space="preserve"> U/ml after 216 h with a 200 g/L substrate concentration</w:t>
      </w:r>
      <w:r w:rsidR="00482612">
        <w:t>.</w:t>
      </w:r>
    </w:p>
    <w:p w14:paraId="0A4AB86B" w14:textId="51B7DCC2" w:rsidR="000E0553" w:rsidRDefault="008306BE" w:rsidP="00327284">
      <w:pPr>
        <w:pStyle w:val="CETBodytext"/>
        <w:rPr>
          <w:lang w:val="en-GB"/>
        </w:rPr>
      </w:pPr>
      <w:r>
        <w:rPr>
          <w:lang w:val="en-GB"/>
        </w:rPr>
        <w:t>Results showed a direct correlation between carbon sources concentration and lipase activity</w:t>
      </w:r>
      <w:r w:rsidR="007A6B2E">
        <w:rPr>
          <w:lang w:val="en-GB"/>
        </w:rPr>
        <w:t xml:space="preserve"> with a few exceptions (lipase activity at 48</w:t>
      </w:r>
      <w:r w:rsidR="00860C5B">
        <w:rPr>
          <w:lang w:val="en-GB"/>
        </w:rPr>
        <w:t xml:space="preserve"> h</w:t>
      </w:r>
      <w:r w:rsidR="007A6B2E">
        <w:rPr>
          <w:lang w:val="en-GB"/>
        </w:rPr>
        <w:t xml:space="preserve"> in FFA)</w:t>
      </w:r>
      <w:r>
        <w:rPr>
          <w:lang w:val="en-GB"/>
        </w:rPr>
        <w:t xml:space="preserve">. </w:t>
      </w:r>
      <w:r w:rsidR="007A6B2E">
        <w:rPr>
          <w:lang w:val="en-GB"/>
        </w:rPr>
        <w:t>Lipase activity in the supernatant of cells grown on</w:t>
      </w:r>
      <w:r w:rsidR="00BA2339">
        <w:rPr>
          <w:lang w:val="en-GB"/>
        </w:rPr>
        <w:t xml:space="preserve"> </w:t>
      </w:r>
      <w:r w:rsidR="00B829BE">
        <w:rPr>
          <w:lang w:val="en-GB"/>
        </w:rPr>
        <w:t xml:space="preserve">20 g/L of </w:t>
      </w:r>
      <w:r w:rsidR="009D1190">
        <w:rPr>
          <w:lang w:val="en-GB"/>
        </w:rPr>
        <w:t>F</w:t>
      </w:r>
      <w:r w:rsidR="00D8049C">
        <w:rPr>
          <w:lang w:val="en-GB"/>
        </w:rPr>
        <w:t xml:space="preserve">FA </w:t>
      </w:r>
      <w:r w:rsidR="00630885">
        <w:rPr>
          <w:lang w:val="en-GB"/>
        </w:rPr>
        <w:t xml:space="preserve">reached its maximum </w:t>
      </w:r>
      <w:r w:rsidR="00634D00">
        <w:rPr>
          <w:lang w:val="en-GB"/>
        </w:rPr>
        <w:t>at 48 h</w:t>
      </w:r>
      <w:r w:rsidR="00B829BE">
        <w:rPr>
          <w:lang w:val="en-GB"/>
        </w:rPr>
        <w:t>,</w:t>
      </w:r>
      <w:r w:rsidR="00634D00">
        <w:rPr>
          <w:lang w:val="en-GB"/>
        </w:rPr>
        <w:t xml:space="preserve"> </w:t>
      </w:r>
      <w:r w:rsidR="00517045">
        <w:rPr>
          <w:lang w:val="en-GB"/>
        </w:rPr>
        <w:t>which then constantly decreased over time. T</w:t>
      </w:r>
      <w:r w:rsidR="008D5261">
        <w:rPr>
          <w:lang w:val="en-GB"/>
        </w:rPr>
        <w:t>his di</w:t>
      </w:r>
      <w:r w:rsidR="00B829BE">
        <w:rPr>
          <w:lang w:val="en-GB"/>
        </w:rPr>
        <w:t>fference</w:t>
      </w:r>
      <w:r w:rsidR="008D5261">
        <w:rPr>
          <w:lang w:val="en-GB"/>
        </w:rPr>
        <w:t xml:space="preserve"> could be imputable to a higher availability of </w:t>
      </w:r>
      <w:r w:rsidR="00997813">
        <w:rPr>
          <w:lang w:val="en-GB"/>
        </w:rPr>
        <w:t>unesterified</w:t>
      </w:r>
      <w:r w:rsidR="008D5261">
        <w:rPr>
          <w:lang w:val="en-GB"/>
        </w:rPr>
        <w:t xml:space="preserve"> </w:t>
      </w:r>
      <w:r w:rsidR="00327284">
        <w:rPr>
          <w:lang w:val="en-GB"/>
        </w:rPr>
        <w:t>fatty acids</w:t>
      </w:r>
      <w:r w:rsidR="008D5261">
        <w:rPr>
          <w:lang w:val="en-GB"/>
        </w:rPr>
        <w:t xml:space="preserve"> in the FFA</w:t>
      </w:r>
      <w:r w:rsidR="00734EBA">
        <w:rPr>
          <w:lang w:val="en-GB"/>
        </w:rPr>
        <w:t>-</w:t>
      </w:r>
      <w:r w:rsidR="008D5261">
        <w:rPr>
          <w:lang w:val="en-GB"/>
        </w:rPr>
        <w:t>containing media</w:t>
      </w:r>
      <w:r w:rsidR="00327284">
        <w:rPr>
          <w:lang w:val="en-GB"/>
        </w:rPr>
        <w:t xml:space="preserve"> that could more promptly act as inducers on extracellular lipase production. </w:t>
      </w:r>
      <w:r w:rsidR="00997813">
        <w:rPr>
          <w:lang w:val="en-GB"/>
        </w:rPr>
        <w:t>Oleic acid,</w:t>
      </w:r>
      <w:r w:rsidR="00327284">
        <w:rPr>
          <w:lang w:val="en-GB"/>
        </w:rPr>
        <w:t xml:space="preserve"> for </w:t>
      </w:r>
      <w:r w:rsidR="00A445E6">
        <w:rPr>
          <w:lang w:val="en-GB"/>
        </w:rPr>
        <w:t>instance</w:t>
      </w:r>
      <w:r w:rsidR="00327284">
        <w:rPr>
          <w:lang w:val="en-GB"/>
        </w:rPr>
        <w:t>,</w:t>
      </w:r>
      <w:r w:rsidR="00997813">
        <w:rPr>
          <w:lang w:val="en-GB"/>
        </w:rPr>
        <w:t xml:space="preserve"> </w:t>
      </w:r>
      <w:r w:rsidR="00D8049C">
        <w:rPr>
          <w:lang w:val="en-GB"/>
        </w:rPr>
        <w:t>was</w:t>
      </w:r>
      <w:r w:rsidR="008D5261">
        <w:rPr>
          <w:lang w:val="en-GB"/>
        </w:rPr>
        <w:t xml:space="preserve"> reported to be one of the main induc</w:t>
      </w:r>
      <w:r w:rsidR="00997813">
        <w:rPr>
          <w:lang w:val="en-GB"/>
        </w:rPr>
        <w:t>ers</w:t>
      </w:r>
      <w:r w:rsidR="008D5261">
        <w:rPr>
          <w:lang w:val="en-GB"/>
        </w:rPr>
        <w:t xml:space="preserve"> for the </w:t>
      </w:r>
      <w:r w:rsidR="008D5261" w:rsidRPr="00317001">
        <w:rPr>
          <w:i/>
          <w:iCs/>
          <w:lang w:val="en-GB"/>
        </w:rPr>
        <w:t>LIP2</w:t>
      </w:r>
      <w:r w:rsidR="008D5261">
        <w:rPr>
          <w:lang w:val="en-GB"/>
        </w:rPr>
        <w:t xml:space="preserve"> gene promoter</w:t>
      </w:r>
      <w:r w:rsidR="00692FB5">
        <w:rPr>
          <w:lang w:val="en-GB"/>
        </w:rPr>
        <w:t xml:space="preserve"> (Fickers et al., 2004)</w:t>
      </w:r>
      <w:r w:rsidR="000D5961">
        <w:rPr>
          <w:lang w:val="en-GB"/>
        </w:rPr>
        <w:t xml:space="preserve"> </w:t>
      </w:r>
      <w:r w:rsidR="006F1461">
        <w:rPr>
          <w:lang w:val="en-GB"/>
        </w:rPr>
        <w:t>and</w:t>
      </w:r>
      <w:r w:rsidR="008D5261">
        <w:rPr>
          <w:lang w:val="en-GB"/>
        </w:rPr>
        <w:t xml:space="preserve"> is capable of freely diffusing in the cell at concentrations higher than 10 </w:t>
      </w:r>
      <w:r w:rsidR="00847365">
        <w:rPr>
          <w:rFonts w:cs="Arial"/>
          <w:lang w:val="en-GB"/>
        </w:rPr>
        <w:t>µ</w:t>
      </w:r>
      <w:r w:rsidR="008D5261">
        <w:rPr>
          <w:lang w:val="en-GB"/>
        </w:rPr>
        <w:t>M</w:t>
      </w:r>
      <w:r w:rsidR="000D5961">
        <w:rPr>
          <w:lang w:val="en-GB"/>
        </w:rPr>
        <w:t xml:space="preserve"> </w:t>
      </w:r>
      <w:r w:rsidR="00847365">
        <w:rPr>
          <w:lang w:val="en-GB"/>
        </w:rPr>
        <w:t>(Be</w:t>
      </w:r>
      <w:r w:rsidR="00692FB5">
        <w:rPr>
          <w:lang w:val="en-GB"/>
        </w:rPr>
        <w:t>o</w:t>
      </w:r>
      <w:r w:rsidR="00847365">
        <w:rPr>
          <w:lang w:val="en-GB"/>
        </w:rPr>
        <w:t xml:space="preserve">poulos </w:t>
      </w:r>
      <w:r w:rsidR="00847365" w:rsidRPr="006F2245">
        <w:rPr>
          <w:lang w:val="en-GB"/>
        </w:rPr>
        <w:t>et al.,</w:t>
      </w:r>
      <w:r w:rsidR="00847365">
        <w:rPr>
          <w:i/>
          <w:iCs/>
          <w:lang w:val="en-GB"/>
        </w:rPr>
        <w:t xml:space="preserve"> </w:t>
      </w:r>
      <w:r w:rsidR="00847365" w:rsidRPr="0091103E">
        <w:rPr>
          <w:lang w:val="en-GB"/>
        </w:rPr>
        <w:t>2009</w:t>
      </w:r>
      <w:r w:rsidR="00847365">
        <w:rPr>
          <w:lang w:val="en-GB"/>
        </w:rPr>
        <w:t>)</w:t>
      </w:r>
      <w:r w:rsidR="000D5961">
        <w:rPr>
          <w:lang w:val="en-GB"/>
        </w:rPr>
        <w:t>.</w:t>
      </w:r>
      <w:r w:rsidR="0091103E">
        <w:rPr>
          <w:lang w:val="en-GB"/>
        </w:rPr>
        <w:t xml:space="preserve"> </w:t>
      </w:r>
    </w:p>
    <w:p w14:paraId="7DD2CEF6" w14:textId="3420F1C2" w:rsidR="00765DA7" w:rsidRDefault="00506405" w:rsidP="00283B7D">
      <w:pPr>
        <w:pStyle w:val="CETBodytext"/>
        <w:rPr>
          <w:lang w:val="en-GB"/>
        </w:rPr>
      </w:pPr>
      <w:r>
        <w:rPr>
          <w:lang w:val="en-GB"/>
        </w:rPr>
        <w:t>Notably</w:t>
      </w:r>
      <w:r w:rsidR="00997813">
        <w:rPr>
          <w:lang w:val="en-GB"/>
        </w:rPr>
        <w:t xml:space="preserve">, </w:t>
      </w:r>
      <w:r w:rsidR="000C2294">
        <w:rPr>
          <w:lang w:val="en-GB"/>
        </w:rPr>
        <w:t>the activity peaks for different substrates were not recorded at the same time.</w:t>
      </w:r>
      <w:r w:rsidR="002754DB">
        <w:rPr>
          <w:lang w:val="en-GB"/>
        </w:rPr>
        <w:t xml:space="preserve"> </w:t>
      </w:r>
      <w:r w:rsidR="00F86440" w:rsidRPr="008069D7">
        <w:rPr>
          <w:lang w:val="en-GB"/>
        </w:rPr>
        <w:t xml:space="preserve">For 100 g/L WCO, a first </w:t>
      </w:r>
      <w:r w:rsidR="00D0349D" w:rsidRPr="008069D7">
        <w:rPr>
          <w:lang w:val="en-GB"/>
        </w:rPr>
        <w:t>peak</w:t>
      </w:r>
      <w:r w:rsidR="00B65DC7" w:rsidRPr="008069D7">
        <w:rPr>
          <w:lang w:val="en-GB"/>
        </w:rPr>
        <w:t xml:space="preserve"> in activity</w:t>
      </w:r>
      <w:r w:rsidR="00D0349D" w:rsidRPr="008069D7">
        <w:rPr>
          <w:lang w:val="en-GB"/>
        </w:rPr>
        <w:t xml:space="preserve"> was noted</w:t>
      </w:r>
      <w:r w:rsidR="00F86440" w:rsidRPr="008069D7">
        <w:rPr>
          <w:lang w:val="en-GB"/>
        </w:rPr>
        <w:t xml:space="preserve"> </w:t>
      </w:r>
      <w:r w:rsidR="00D0349D" w:rsidRPr="008069D7">
        <w:rPr>
          <w:lang w:val="en-GB"/>
        </w:rPr>
        <w:t>at</w:t>
      </w:r>
      <w:r w:rsidR="00F86440" w:rsidRPr="008069D7">
        <w:rPr>
          <w:lang w:val="en-GB"/>
        </w:rPr>
        <w:t xml:space="preserve"> 48 h and a second </w:t>
      </w:r>
      <w:r w:rsidR="00997813">
        <w:rPr>
          <w:lang w:val="en-GB"/>
        </w:rPr>
        <w:t>peak</w:t>
      </w:r>
      <w:r w:rsidR="00F86440" w:rsidRPr="008069D7">
        <w:rPr>
          <w:lang w:val="en-GB"/>
        </w:rPr>
        <w:t xml:space="preserve"> </w:t>
      </w:r>
      <w:r w:rsidR="00D0349D" w:rsidRPr="008069D7">
        <w:rPr>
          <w:lang w:val="en-GB"/>
        </w:rPr>
        <w:t>at</w:t>
      </w:r>
      <w:r w:rsidR="003526DC" w:rsidRPr="008069D7">
        <w:rPr>
          <w:lang w:val="en-GB"/>
        </w:rPr>
        <w:t xml:space="preserve"> 192 h. In the case of 200 g/L WCO, it can be observed that</w:t>
      </w:r>
      <w:r w:rsidR="00E83873">
        <w:rPr>
          <w:lang w:val="en-GB"/>
        </w:rPr>
        <w:t xml:space="preserve"> a</w:t>
      </w:r>
      <w:r w:rsidR="003526DC" w:rsidRPr="008069D7">
        <w:rPr>
          <w:lang w:val="en-GB"/>
        </w:rPr>
        <w:t xml:space="preserve"> first peak in activity occurs at the same time as the 100 g/L WCO</w:t>
      </w:r>
      <w:r w:rsidR="00525317" w:rsidRPr="008069D7">
        <w:rPr>
          <w:lang w:val="en-GB"/>
        </w:rPr>
        <w:t xml:space="preserve"> </w:t>
      </w:r>
      <w:r w:rsidR="00317358" w:rsidRPr="008069D7">
        <w:rPr>
          <w:lang w:val="en-GB"/>
        </w:rPr>
        <w:t xml:space="preserve">which </w:t>
      </w:r>
      <w:r w:rsidR="003526DC" w:rsidRPr="008069D7">
        <w:rPr>
          <w:lang w:val="en-GB"/>
        </w:rPr>
        <w:t xml:space="preserve">is quickly followed by a second activity </w:t>
      </w:r>
      <w:r w:rsidR="00B65DC7" w:rsidRPr="008069D7">
        <w:rPr>
          <w:lang w:val="en-GB"/>
        </w:rPr>
        <w:t>peak</w:t>
      </w:r>
      <w:r w:rsidR="003526DC" w:rsidRPr="008069D7">
        <w:rPr>
          <w:lang w:val="en-GB"/>
        </w:rPr>
        <w:t xml:space="preserve"> </w:t>
      </w:r>
      <w:r w:rsidR="00B65DC7" w:rsidRPr="008069D7">
        <w:rPr>
          <w:lang w:val="en-GB"/>
        </w:rPr>
        <w:t>at</w:t>
      </w:r>
      <w:r w:rsidR="003526DC" w:rsidRPr="008069D7">
        <w:rPr>
          <w:lang w:val="en-GB"/>
        </w:rPr>
        <w:t xml:space="preserve"> 96 </w:t>
      </w:r>
      <w:r w:rsidR="00F2695F" w:rsidRPr="008069D7">
        <w:rPr>
          <w:lang w:val="en-GB"/>
        </w:rPr>
        <w:t>h</w:t>
      </w:r>
      <w:r w:rsidR="00692FB5">
        <w:rPr>
          <w:lang w:val="en-GB"/>
        </w:rPr>
        <w:t>, which is not present in the 100 g/L WCO,</w:t>
      </w:r>
      <w:r w:rsidR="00F2695F" w:rsidRPr="008069D7">
        <w:rPr>
          <w:lang w:val="en-GB"/>
        </w:rPr>
        <w:t xml:space="preserve"> </w:t>
      </w:r>
      <w:r w:rsidR="00317358" w:rsidRPr="008069D7">
        <w:rPr>
          <w:lang w:val="en-GB"/>
        </w:rPr>
        <w:t xml:space="preserve">and a </w:t>
      </w:r>
      <w:r w:rsidR="003526DC" w:rsidRPr="008069D7">
        <w:rPr>
          <w:lang w:val="en-GB"/>
        </w:rPr>
        <w:t>final third p</w:t>
      </w:r>
      <w:r w:rsidR="00B65DC7" w:rsidRPr="008069D7">
        <w:rPr>
          <w:lang w:val="en-GB"/>
        </w:rPr>
        <w:t>eak</w:t>
      </w:r>
      <w:r w:rsidR="00361A6E" w:rsidRPr="008069D7">
        <w:rPr>
          <w:lang w:val="en-GB"/>
        </w:rPr>
        <w:t xml:space="preserve"> at 192 h.</w:t>
      </w:r>
      <w:r w:rsidR="00B65DC7" w:rsidRPr="008069D7">
        <w:rPr>
          <w:lang w:val="en-GB"/>
        </w:rPr>
        <w:t xml:space="preserve"> </w:t>
      </w:r>
      <w:r w:rsidR="00361A6E" w:rsidRPr="008069D7">
        <w:rPr>
          <w:lang w:val="en-GB"/>
        </w:rPr>
        <w:t>The</w:t>
      </w:r>
      <w:r w:rsidR="001804F7">
        <w:rPr>
          <w:lang w:val="en-GB"/>
        </w:rPr>
        <w:t> </w:t>
      </w:r>
      <w:r w:rsidR="00361A6E" w:rsidRPr="008069D7">
        <w:rPr>
          <w:lang w:val="en-GB"/>
        </w:rPr>
        <w:t>first two peaks</w:t>
      </w:r>
      <w:r w:rsidR="00B65DC7" w:rsidRPr="008069D7">
        <w:rPr>
          <w:lang w:val="en-GB"/>
        </w:rPr>
        <w:t xml:space="preserve"> </w:t>
      </w:r>
      <w:r w:rsidR="00701468">
        <w:rPr>
          <w:lang w:val="en-GB"/>
        </w:rPr>
        <w:t>showed</w:t>
      </w:r>
      <w:r w:rsidR="00703A09" w:rsidRPr="008069D7">
        <w:rPr>
          <w:lang w:val="en-GB"/>
        </w:rPr>
        <w:t xml:space="preserve"> activities that are 78% and 44% </w:t>
      </w:r>
      <w:r w:rsidR="00765DA7" w:rsidRPr="008069D7">
        <w:rPr>
          <w:lang w:val="en-GB"/>
        </w:rPr>
        <w:t>lower than</w:t>
      </w:r>
      <w:r w:rsidR="00F2695F" w:rsidRPr="008069D7">
        <w:rPr>
          <w:lang w:val="en-GB"/>
        </w:rPr>
        <w:t xml:space="preserve"> the highest </w:t>
      </w:r>
      <w:r w:rsidR="00B65DC7" w:rsidRPr="008069D7">
        <w:rPr>
          <w:lang w:val="en-GB"/>
        </w:rPr>
        <w:t>recorded</w:t>
      </w:r>
      <w:r w:rsidR="00F2695F" w:rsidRPr="008069D7">
        <w:rPr>
          <w:lang w:val="en-GB"/>
        </w:rPr>
        <w:t xml:space="preserve"> </w:t>
      </w:r>
      <w:r w:rsidR="00701468">
        <w:rPr>
          <w:lang w:val="en-GB"/>
        </w:rPr>
        <w:t>peak</w:t>
      </w:r>
      <w:r w:rsidR="00361A6E" w:rsidRPr="008069D7">
        <w:rPr>
          <w:lang w:val="en-GB"/>
        </w:rPr>
        <w:t xml:space="preserve"> </w:t>
      </w:r>
      <w:r w:rsidR="00F2695F" w:rsidRPr="008069D7">
        <w:rPr>
          <w:lang w:val="en-GB"/>
        </w:rPr>
        <w:t>at 192 h</w:t>
      </w:r>
      <w:r w:rsidR="00701468">
        <w:rPr>
          <w:lang w:val="en-GB"/>
        </w:rPr>
        <w:t>, respectively</w:t>
      </w:r>
      <w:r w:rsidR="00F2695F" w:rsidRPr="008069D7">
        <w:rPr>
          <w:lang w:val="en-GB"/>
        </w:rPr>
        <w:t xml:space="preserve">. </w:t>
      </w:r>
    </w:p>
    <w:p w14:paraId="75BF8D41" w14:textId="3884B463" w:rsidR="00A841F6" w:rsidRPr="008069D7" w:rsidRDefault="00A841F6" w:rsidP="00283B7D">
      <w:pPr>
        <w:pStyle w:val="CETBodytext"/>
        <w:rPr>
          <w:lang w:val="en-GB"/>
        </w:rPr>
      </w:pPr>
    </w:p>
    <w:p w14:paraId="140FC988" w14:textId="6402ED7E" w:rsidR="00217AC4" w:rsidRDefault="00327284" w:rsidP="001804F7">
      <w:pPr>
        <w:pStyle w:val="CETBodytext"/>
        <w:jc w:val="center"/>
      </w:pPr>
      <w:r>
        <w:rPr>
          <w:noProof/>
        </w:rPr>
        <w:lastRenderedPageBreak/>
        <w:drawing>
          <wp:inline distT="0" distB="0" distL="0" distR="0" wp14:anchorId="5F5DD61C" wp14:editId="0A7CB336">
            <wp:extent cx="4017792" cy="7631998"/>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a:stretch>
                      <a:fillRect/>
                    </a:stretch>
                  </pic:blipFill>
                  <pic:spPr bwMode="auto">
                    <a:xfrm>
                      <a:off x="0" y="0"/>
                      <a:ext cx="4017792" cy="7631998"/>
                    </a:xfrm>
                    <a:prstGeom prst="rect">
                      <a:avLst/>
                    </a:prstGeom>
                    <a:noFill/>
                  </pic:spPr>
                </pic:pic>
              </a:graphicData>
            </a:graphic>
          </wp:inline>
        </w:drawing>
      </w:r>
      <w:r w:rsidR="009C12A1">
        <w:rPr>
          <w:noProof/>
        </w:rPr>
        <mc:AlternateContent>
          <mc:Choice Requires="wps">
            <w:drawing>
              <wp:anchor distT="0" distB="0" distL="114300" distR="114300" simplePos="0" relativeHeight="251676672" behindDoc="0" locked="0" layoutInCell="1" allowOverlap="1" wp14:anchorId="04B197E5" wp14:editId="561253B0">
                <wp:simplePos x="0" y="0"/>
                <wp:positionH relativeFrom="margin">
                  <wp:posOffset>702945</wp:posOffset>
                </wp:positionH>
                <wp:positionV relativeFrom="paragraph">
                  <wp:posOffset>2821305</wp:posOffset>
                </wp:positionV>
                <wp:extent cx="352425" cy="314325"/>
                <wp:effectExtent l="0" t="0" r="0" b="0"/>
                <wp:wrapNone/>
                <wp:docPr id="26" name="Casella di testo 8"/>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wps:spPr>
                      <wps:txbx>
                        <w:txbxContent>
                          <w:p w14:paraId="6BCF648B" w14:textId="55EE2E46" w:rsidR="00217AC4" w:rsidRPr="00FE6FD5" w:rsidRDefault="00217AC4" w:rsidP="00217AC4">
                            <w:pPr>
                              <w:rPr>
                                <w:sz w:val="16"/>
                                <w:szCs w:val="16"/>
                              </w:rPr>
                            </w:pPr>
                            <w:r>
                              <w:rPr>
                                <w:sz w:val="16"/>
                                <w:szCs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4B197E5" id="_x0000_t202" coordsize="21600,21600" o:spt="202" path="m,l,21600r21600,l21600,xe">
                <v:stroke joinstyle="miter"/>
                <v:path gradientshapeok="t" o:connecttype="rect"/>
              </v:shapetype>
              <v:shape id="Casella di testo 8" o:spid="_x0000_s1026" type="#_x0000_t202" style="position:absolute;left:0;text-align:left;margin-left:55.35pt;margin-top:222.15pt;width:27.75pt;height:24.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" filled="f" stroked="f" strokeweight=".5pt">
                <v:textbox>
                  <w:txbxContent>
                    <w:p w14:paraId="6BCF648B" w14:textId="55EE2E46" w:rsidR="00217AC4" w:rsidRPr="00FE6FD5" w:rsidRDefault="00217AC4" w:rsidP="00217AC4">
                      <w:pPr>
                        <w:rPr>
                          <w:sz w:val="16"/>
                          <w:szCs w:val="16"/>
                        </w:rPr>
                      </w:pPr>
                      <w:r>
                        <w:rPr>
                          <w:sz w:val="16"/>
                          <w:szCs w:val="16"/>
                        </w:rPr>
                        <w:t>b)</w:t>
                      </w:r>
                    </w:p>
                  </w:txbxContent>
                </v:textbox>
                <w10:wrap anchorx="margin"/>
              </v:shape>
            </w:pict>
          </mc:Fallback>
        </mc:AlternateContent>
      </w:r>
      <w:r w:rsidR="009C12A1">
        <w:rPr>
          <w:noProof/>
        </w:rPr>
        <mc:AlternateContent>
          <mc:Choice Requires="wps">
            <w:drawing>
              <wp:anchor distT="0" distB="0" distL="114300" distR="114300" simplePos="0" relativeHeight="251678720" behindDoc="0" locked="0" layoutInCell="1" allowOverlap="1" wp14:anchorId="69CC509B" wp14:editId="1E46FAC2">
                <wp:simplePos x="0" y="0"/>
                <wp:positionH relativeFrom="margin">
                  <wp:posOffset>672465</wp:posOffset>
                </wp:positionH>
                <wp:positionV relativeFrom="paragraph">
                  <wp:posOffset>5358765</wp:posOffset>
                </wp:positionV>
                <wp:extent cx="352425" cy="314325"/>
                <wp:effectExtent l="0" t="0" r="0" b="0"/>
                <wp:wrapNone/>
                <wp:docPr id="27" name="Casella di testo 8"/>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wps:spPr>
                      <wps:txbx>
                        <w:txbxContent>
                          <w:p w14:paraId="4F7D4CD9" w14:textId="39D5A394" w:rsidR="00217AC4" w:rsidRPr="00FE6FD5" w:rsidRDefault="00217AC4" w:rsidP="00217AC4">
                            <w:pPr>
                              <w:rPr>
                                <w:sz w:val="16"/>
                                <w:szCs w:val="16"/>
                              </w:rPr>
                            </w:pPr>
                            <w:r>
                              <w:rPr>
                                <w:sz w:val="16"/>
                                <w:szCs w:val="1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9CC509B" id="_x0000_s1027" type="#_x0000_t202" style="position:absolute;left:0;text-align:left;margin-left:52.95pt;margin-top:421.95pt;width:27.75pt;height:24.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" filled="f" stroked="f" strokeweight=".5pt">
                <v:textbox>
                  <w:txbxContent>
                    <w:p w14:paraId="4F7D4CD9" w14:textId="39D5A394" w:rsidR="00217AC4" w:rsidRPr="00FE6FD5" w:rsidRDefault="00217AC4" w:rsidP="00217AC4">
                      <w:pPr>
                        <w:rPr>
                          <w:sz w:val="16"/>
                          <w:szCs w:val="16"/>
                        </w:rPr>
                      </w:pPr>
                      <w:r>
                        <w:rPr>
                          <w:sz w:val="16"/>
                          <w:szCs w:val="16"/>
                        </w:rPr>
                        <w:t>c)</w:t>
                      </w:r>
                    </w:p>
                  </w:txbxContent>
                </v:textbox>
                <w10:wrap anchorx="margin"/>
              </v:shape>
            </w:pict>
          </mc:Fallback>
        </mc:AlternateContent>
      </w:r>
      <w:r w:rsidR="009C12A1">
        <w:rPr>
          <w:noProof/>
        </w:rPr>
        <mc:AlternateContent>
          <mc:Choice Requires="wps">
            <w:drawing>
              <wp:anchor distT="0" distB="0" distL="114300" distR="114300" simplePos="0" relativeHeight="251674624" behindDoc="0" locked="0" layoutInCell="1" allowOverlap="1" wp14:anchorId="2F79A508" wp14:editId="553BC8B9">
                <wp:simplePos x="0" y="0"/>
                <wp:positionH relativeFrom="margin">
                  <wp:posOffset>710565</wp:posOffset>
                </wp:positionH>
                <wp:positionV relativeFrom="paragraph">
                  <wp:posOffset>245745</wp:posOffset>
                </wp:positionV>
                <wp:extent cx="352425" cy="314325"/>
                <wp:effectExtent l="0" t="0" r="0" b="0"/>
                <wp:wrapNone/>
                <wp:docPr id="25" name="Casella di testo 8"/>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wps:spPr>
                      <wps:txbx>
                        <w:txbxContent>
                          <w:p w14:paraId="6B18E2C9" w14:textId="77777777" w:rsidR="00217AC4" w:rsidRPr="00FE6FD5" w:rsidRDefault="00217AC4" w:rsidP="00217AC4">
                            <w:pPr>
                              <w:rPr>
                                <w:sz w:val="16"/>
                                <w:szCs w:val="16"/>
                              </w:rPr>
                            </w:pPr>
                            <w:r w:rsidRPr="00FE6FD5">
                              <w:rPr>
                                <w:sz w:val="16"/>
                                <w:szCs w:val="16"/>
                              </w:rPr>
                              <w:t>a</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F79A508" id="_x0000_s1028" type="#_x0000_t202" style="position:absolute;left:0;text-align:left;margin-left:55.95pt;margin-top:19.35pt;width:27.75pt;height:24.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" filled="f" stroked="f" strokeweight=".5pt">
                <v:textbox>
                  <w:txbxContent>
                    <w:p w14:paraId="6B18E2C9" w14:textId="77777777" w:rsidR="00217AC4" w:rsidRPr="00FE6FD5" w:rsidRDefault="00217AC4" w:rsidP="00217AC4">
                      <w:pPr>
                        <w:rPr>
                          <w:sz w:val="16"/>
                          <w:szCs w:val="16"/>
                        </w:rPr>
                      </w:pPr>
                      <w:r w:rsidRPr="00FE6FD5">
                        <w:rPr>
                          <w:sz w:val="16"/>
                          <w:szCs w:val="16"/>
                        </w:rPr>
                        <w:t>a</w:t>
                      </w:r>
                      <w:r>
                        <w:rPr>
                          <w:sz w:val="16"/>
                          <w:szCs w:val="16"/>
                        </w:rPr>
                        <w:t>)</w:t>
                      </w:r>
                    </w:p>
                  </w:txbxContent>
                </v:textbox>
                <w10:wrap anchorx="margin"/>
              </v:shape>
            </w:pict>
          </mc:Fallback>
        </mc:AlternateContent>
      </w:r>
    </w:p>
    <w:p w14:paraId="6BC99B32" w14:textId="4CE93D1F" w:rsidR="00A841F6" w:rsidRDefault="00217AC4" w:rsidP="001804F7">
      <w:pPr>
        <w:pStyle w:val="CETCaption"/>
      </w:pPr>
      <w:r>
        <w:t>Figure 1: Lipase activity over time of supernatants obtained from a) WCO, b) FFA and c) OO cultures at different concentrations. All the values derive from triplicates; error bars are standard deviations.</w:t>
      </w:r>
    </w:p>
    <w:p w14:paraId="163DAC0C" w14:textId="662B9973" w:rsidR="003C0BE3" w:rsidRPr="008069D7" w:rsidRDefault="00483A7D" w:rsidP="00283B7D">
      <w:pPr>
        <w:pStyle w:val="CETBodytext"/>
        <w:rPr>
          <w:lang w:val="en-GB"/>
        </w:rPr>
      </w:pPr>
      <w:r>
        <w:rPr>
          <w:lang w:val="en-GB"/>
        </w:rPr>
        <w:t>FF</w:t>
      </w:r>
      <w:r w:rsidR="00F2695F" w:rsidRPr="008069D7">
        <w:rPr>
          <w:lang w:val="en-GB"/>
        </w:rPr>
        <w:t>A</w:t>
      </w:r>
      <w:r w:rsidR="00765DA7" w:rsidRPr="008069D7">
        <w:rPr>
          <w:lang w:val="en-GB"/>
        </w:rPr>
        <w:t>-</w:t>
      </w:r>
      <w:r w:rsidR="003C0BE3" w:rsidRPr="008069D7">
        <w:rPr>
          <w:lang w:val="en-GB"/>
        </w:rPr>
        <w:t>containing</w:t>
      </w:r>
      <w:r w:rsidR="00F2695F" w:rsidRPr="008069D7">
        <w:rPr>
          <w:lang w:val="en-GB"/>
        </w:rPr>
        <w:t xml:space="preserve"> cultures </w:t>
      </w:r>
      <w:r w:rsidR="00E1005B">
        <w:rPr>
          <w:lang w:val="en-GB"/>
        </w:rPr>
        <w:t>showed</w:t>
      </w:r>
      <w:r w:rsidR="00F2695F" w:rsidRPr="008069D7">
        <w:rPr>
          <w:lang w:val="en-GB"/>
        </w:rPr>
        <w:t xml:space="preserve"> </w:t>
      </w:r>
      <w:r w:rsidR="00703A09" w:rsidRPr="008069D7">
        <w:rPr>
          <w:lang w:val="en-GB"/>
        </w:rPr>
        <w:t>peaks in activity</w:t>
      </w:r>
      <w:r w:rsidR="00F2695F" w:rsidRPr="008069D7">
        <w:rPr>
          <w:lang w:val="en-GB"/>
        </w:rPr>
        <w:t xml:space="preserve"> </w:t>
      </w:r>
      <w:r w:rsidR="000C1E1F">
        <w:rPr>
          <w:lang w:val="en-GB"/>
        </w:rPr>
        <w:t>at later time points</w:t>
      </w:r>
      <w:r w:rsidR="00B8304C">
        <w:rPr>
          <w:lang w:val="en-GB"/>
        </w:rPr>
        <w:t xml:space="preserve"> </w:t>
      </w:r>
      <w:r w:rsidR="007752F2">
        <w:rPr>
          <w:lang w:val="en-GB"/>
        </w:rPr>
        <w:t xml:space="preserve">if </w:t>
      </w:r>
      <w:r w:rsidR="00B8304C">
        <w:rPr>
          <w:lang w:val="en-GB"/>
        </w:rPr>
        <w:t>compared to WCO</w:t>
      </w:r>
      <w:r w:rsidR="000C1E1F">
        <w:rPr>
          <w:lang w:val="en-GB"/>
        </w:rPr>
        <w:t>. A</w:t>
      </w:r>
      <w:r w:rsidR="00F2695F" w:rsidRPr="008069D7">
        <w:rPr>
          <w:lang w:val="en-GB"/>
        </w:rPr>
        <w:t xml:space="preserve"> first </w:t>
      </w:r>
      <w:r w:rsidR="00701468">
        <w:rPr>
          <w:lang w:val="en-GB"/>
        </w:rPr>
        <w:t>peak</w:t>
      </w:r>
      <w:r w:rsidR="00F2695F" w:rsidRPr="008069D7">
        <w:rPr>
          <w:lang w:val="en-GB"/>
        </w:rPr>
        <w:t xml:space="preserve"> for 100 and 200 g/L FFA</w:t>
      </w:r>
      <w:r w:rsidR="00701468">
        <w:rPr>
          <w:lang w:val="en-GB"/>
        </w:rPr>
        <w:t>-containing cultures</w:t>
      </w:r>
      <w:r w:rsidR="00F2695F" w:rsidRPr="008069D7">
        <w:rPr>
          <w:lang w:val="en-GB"/>
        </w:rPr>
        <w:t xml:space="preserve"> can be observed</w:t>
      </w:r>
      <w:r w:rsidR="00765DA7" w:rsidRPr="008069D7">
        <w:rPr>
          <w:lang w:val="en-GB"/>
        </w:rPr>
        <w:t xml:space="preserve"> at</w:t>
      </w:r>
      <w:r w:rsidR="00F2695F" w:rsidRPr="008069D7">
        <w:rPr>
          <w:lang w:val="en-GB"/>
        </w:rPr>
        <w:t xml:space="preserve"> 72 h</w:t>
      </w:r>
      <w:r w:rsidR="00EC647B" w:rsidRPr="008069D7">
        <w:rPr>
          <w:lang w:val="en-GB"/>
        </w:rPr>
        <w:t>. A</w:t>
      </w:r>
      <w:r w:rsidR="00765DA7" w:rsidRPr="008069D7">
        <w:rPr>
          <w:lang w:val="en-GB"/>
        </w:rPr>
        <w:t xml:space="preserve"> second </w:t>
      </w:r>
      <w:r w:rsidR="00EC647B" w:rsidRPr="008069D7">
        <w:rPr>
          <w:lang w:val="en-GB"/>
        </w:rPr>
        <w:t xml:space="preserve">peak </w:t>
      </w:r>
      <w:r w:rsidR="008069D7" w:rsidRPr="008069D7">
        <w:rPr>
          <w:lang w:val="en-GB"/>
        </w:rPr>
        <w:t>was</w:t>
      </w:r>
      <w:r w:rsidR="00EC647B" w:rsidRPr="008069D7">
        <w:rPr>
          <w:lang w:val="en-GB"/>
        </w:rPr>
        <w:t xml:space="preserve"> observed</w:t>
      </w:r>
      <w:r w:rsidR="00765DA7" w:rsidRPr="008069D7">
        <w:rPr>
          <w:lang w:val="en-GB"/>
        </w:rPr>
        <w:t xml:space="preserve"> at 1</w:t>
      </w:r>
      <w:r w:rsidR="00EC647B" w:rsidRPr="008069D7">
        <w:rPr>
          <w:lang w:val="en-GB"/>
        </w:rPr>
        <w:t>92</w:t>
      </w:r>
      <w:r w:rsidR="00765DA7" w:rsidRPr="008069D7">
        <w:rPr>
          <w:lang w:val="en-GB"/>
        </w:rPr>
        <w:t xml:space="preserve"> h</w:t>
      </w:r>
      <w:r w:rsidR="00EC647B" w:rsidRPr="008069D7">
        <w:rPr>
          <w:lang w:val="en-GB"/>
        </w:rPr>
        <w:t xml:space="preserve"> for the </w:t>
      </w:r>
      <w:r w:rsidR="00EC647B" w:rsidRPr="008069D7">
        <w:rPr>
          <w:lang w:val="en-GB"/>
        </w:rPr>
        <w:lastRenderedPageBreak/>
        <w:t>100 g/L condition</w:t>
      </w:r>
      <w:r w:rsidR="00B8304C">
        <w:rPr>
          <w:lang w:val="en-GB"/>
        </w:rPr>
        <w:t xml:space="preserve">. </w:t>
      </w:r>
      <w:r w:rsidR="003360AD">
        <w:rPr>
          <w:lang w:val="en-GB"/>
        </w:rPr>
        <w:t>F</w:t>
      </w:r>
      <w:r w:rsidR="00B8304C">
        <w:rPr>
          <w:lang w:val="en-GB"/>
        </w:rPr>
        <w:t>or the c</w:t>
      </w:r>
      <w:r w:rsidR="008306BE">
        <w:rPr>
          <w:lang w:val="en-GB"/>
        </w:rPr>
        <w:t>u</w:t>
      </w:r>
      <w:r w:rsidR="00B8304C">
        <w:rPr>
          <w:lang w:val="en-GB"/>
        </w:rPr>
        <w:t>lture containing 200 g/L FFA,</w:t>
      </w:r>
      <w:r w:rsidR="003360AD">
        <w:rPr>
          <w:lang w:val="en-GB"/>
        </w:rPr>
        <w:t xml:space="preserve"> instead,</w:t>
      </w:r>
      <w:r w:rsidR="00B8304C">
        <w:rPr>
          <w:lang w:val="en-GB"/>
        </w:rPr>
        <w:t xml:space="preserve"> the second and highest peak reported for this substrate (0.788 </w:t>
      </w:r>
      <w:r w:rsidR="00B8304C">
        <w:rPr>
          <w:rFonts w:cs="Arial"/>
          <w:lang w:val="en-GB"/>
        </w:rPr>
        <w:t>±</w:t>
      </w:r>
      <w:r w:rsidR="00B8304C">
        <w:rPr>
          <w:lang w:val="en-GB"/>
        </w:rPr>
        <w:t xml:space="preserve"> 0.043 U/mL)</w:t>
      </w:r>
      <w:r w:rsidR="000C1E1F">
        <w:rPr>
          <w:lang w:val="en-GB"/>
        </w:rPr>
        <w:t xml:space="preserve"> </w:t>
      </w:r>
      <w:r w:rsidR="00B8304C">
        <w:rPr>
          <w:lang w:val="en-GB"/>
        </w:rPr>
        <w:t>appeared 24 h earlier</w:t>
      </w:r>
      <w:r w:rsidR="001766B0" w:rsidRPr="008069D7">
        <w:rPr>
          <w:lang w:val="en-GB"/>
        </w:rPr>
        <w:t xml:space="preserve">. </w:t>
      </w:r>
    </w:p>
    <w:p w14:paraId="11A16D17" w14:textId="2186D4C8" w:rsidR="004B667A" w:rsidRDefault="003C0BE3" w:rsidP="00283B7D">
      <w:pPr>
        <w:pStyle w:val="CETBodytext"/>
        <w:rPr>
          <w:lang w:val="en-GB"/>
        </w:rPr>
      </w:pPr>
      <w:r w:rsidRPr="008069D7">
        <w:rPr>
          <w:lang w:val="en-GB"/>
        </w:rPr>
        <w:t xml:space="preserve">OO-containing cultures </w:t>
      </w:r>
      <w:r w:rsidR="006C23E6">
        <w:rPr>
          <w:lang w:val="en-GB"/>
        </w:rPr>
        <w:t>displayed</w:t>
      </w:r>
      <w:r w:rsidRPr="008069D7">
        <w:rPr>
          <w:lang w:val="en-GB"/>
        </w:rPr>
        <w:t xml:space="preserve"> lower </w:t>
      </w:r>
      <w:r w:rsidR="006C23E6">
        <w:rPr>
          <w:lang w:val="en-GB"/>
        </w:rPr>
        <w:t xml:space="preserve">lipase </w:t>
      </w:r>
      <w:r w:rsidRPr="008069D7">
        <w:rPr>
          <w:lang w:val="en-GB"/>
        </w:rPr>
        <w:t>activit</w:t>
      </w:r>
      <w:r w:rsidR="00126C79">
        <w:rPr>
          <w:lang w:val="en-GB"/>
        </w:rPr>
        <w:t>ies</w:t>
      </w:r>
      <w:r w:rsidRPr="008069D7">
        <w:rPr>
          <w:lang w:val="en-GB"/>
        </w:rPr>
        <w:t>.</w:t>
      </w:r>
      <w:r w:rsidR="001766B0" w:rsidRPr="008069D7">
        <w:rPr>
          <w:lang w:val="en-GB"/>
        </w:rPr>
        <w:t xml:space="preserve"> </w:t>
      </w:r>
      <w:r w:rsidR="00E23BFF" w:rsidRPr="008069D7">
        <w:rPr>
          <w:lang w:val="en-GB"/>
        </w:rPr>
        <w:t xml:space="preserve">100 g/L </w:t>
      </w:r>
      <w:r w:rsidR="00B8304C">
        <w:rPr>
          <w:lang w:val="en-GB"/>
        </w:rPr>
        <w:t xml:space="preserve">and 200 g/L </w:t>
      </w:r>
      <w:r w:rsidR="00E23BFF" w:rsidRPr="008069D7">
        <w:rPr>
          <w:lang w:val="en-GB"/>
        </w:rPr>
        <w:t xml:space="preserve">OO </w:t>
      </w:r>
      <w:r w:rsidR="00116117">
        <w:rPr>
          <w:lang w:val="en-GB"/>
        </w:rPr>
        <w:t>supernatants</w:t>
      </w:r>
      <w:r w:rsidR="00E23BFF" w:rsidRPr="008069D7">
        <w:rPr>
          <w:lang w:val="en-GB"/>
        </w:rPr>
        <w:t xml:space="preserve"> present</w:t>
      </w:r>
      <w:r w:rsidRPr="008069D7">
        <w:rPr>
          <w:lang w:val="en-GB"/>
        </w:rPr>
        <w:t>ed</w:t>
      </w:r>
      <w:r w:rsidR="00E23BFF" w:rsidRPr="008069D7">
        <w:rPr>
          <w:lang w:val="en-GB"/>
        </w:rPr>
        <w:t xml:space="preserve"> a first p</w:t>
      </w:r>
      <w:r w:rsidRPr="008069D7">
        <w:rPr>
          <w:lang w:val="en-GB"/>
        </w:rPr>
        <w:t>eak</w:t>
      </w:r>
      <w:r w:rsidR="00E23BFF" w:rsidRPr="008069D7">
        <w:rPr>
          <w:lang w:val="en-GB"/>
        </w:rPr>
        <w:t xml:space="preserve"> </w:t>
      </w:r>
      <w:r w:rsidR="006C6065" w:rsidRPr="008069D7">
        <w:rPr>
          <w:lang w:val="en-GB"/>
        </w:rPr>
        <w:t>at</w:t>
      </w:r>
      <w:r w:rsidR="00E23BFF" w:rsidRPr="008069D7">
        <w:rPr>
          <w:lang w:val="en-GB"/>
        </w:rPr>
        <w:t xml:space="preserve"> 72</w:t>
      </w:r>
      <w:r w:rsidR="00FE192E" w:rsidRPr="008069D7">
        <w:rPr>
          <w:lang w:val="en-GB"/>
        </w:rPr>
        <w:t xml:space="preserve"> </w:t>
      </w:r>
      <w:r w:rsidR="00E23BFF" w:rsidRPr="008069D7">
        <w:rPr>
          <w:lang w:val="en-GB"/>
        </w:rPr>
        <w:t>h</w:t>
      </w:r>
      <w:r w:rsidR="000C1E1F">
        <w:rPr>
          <w:lang w:val="en-GB"/>
        </w:rPr>
        <w:t>. A</w:t>
      </w:r>
      <w:r w:rsidR="00E23BFF" w:rsidRPr="008069D7">
        <w:rPr>
          <w:lang w:val="en-GB"/>
        </w:rPr>
        <w:t xml:space="preserve"> second </w:t>
      </w:r>
      <w:r w:rsidR="000C1E1F">
        <w:rPr>
          <w:lang w:val="en-GB"/>
        </w:rPr>
        <w:t>activity peak</w:t>
      </w:r>
      <w:r w:rsidR="00FE192E" w:rsidRPr="008069D7">
        <w:rPr>
          <w:lang w:val="en-GB"/>
        </w:rPr>
        <w:t xml:space="preserve"> </w:t>
      </w:r>
      <w:r w:rsidR="000C1E1F">
        <w:rPr>
          <w:lang w:val="en-GB"/>
        </w:rPr>
        <w:t xml:space="preserve">was observed </w:t>
      </w:r>
      <w:r w:rsidR="006C6065" w:rsidRPr="008069D7">
        <w:rPr>
          <w:lang w:val="en-GB"/>
        </w:rPr>
        <w:t xml:space="preserve">at </w:t>
      </w:r>
      <w:r w:rsidR="00E23BFF" w:rsidRPr="008069D7">
        <w:rPr>
          <w:lang w:val="en-GB"/>
        </w:rPr>
        <w:t xml:space="preserve">120 </w:t>
      </w:r>
      <w:r w:rsidR="00646B48" w:rsidRPr="008069D7">
        <w:rPr>
          <w:lang w:val="en-GB"/>
        </w:rPr>
        <w:t xml:space="preserve">h </w:t>
      </w:r>
      <w:r w:rsidR="000C1E1F">
        <w:rPr>
          <w:lang w:val="en-GB"/>
        </w:rPr>
        <w:t>for the 100 g/L OO</w:t>
      </w:r>
      <w:r w:rsidR="004B667A">
        <w:rPr>
          <w:lang w:val="en-GB"/>
        </w:rPr>
        <w:t>,</w:t>
      </w:r>
      <w:r w:rsidR="000C2294">
        <w:rPr>
          <w:lang w:val="en-GB"/>
        </w:rPr>
        <w:t xml:space="preserve"> followed by a decrease in activity. T</w:t>
      </w:r>
      <w:r w:rsidR="00646B48" w:rsidRPr="008069D7">
        <w:rPr>
          <w:lang w:val="en-GB"/>
        </w:rPr>
        <w:t>he 200 g/L OO</w:t>
      </w:r>
      <w:r w:rsidR="000C2294">
        <w:rPr>
          <w:lang w:val="en-GB"/>
        </w:rPr>
        <w:t xml:space="preserve"> showed</w:t>
      </w:r>
      <w:r w:rsidR="0078137F">
        <w:rPr>
          <w:lang w:val="en-GB"/>
        </w:rPr>
        <w:t>,</w:t>
      </w:r>
      <w:r w:rsidR="000C2294">
        <w:rPr>
          <w:lang w:val="en-GB"/>
        </w:rPr>
        <w:t xml:space="preserve"> </w:t>
      </w:r>
      <w:r w:rsidR="0078137F">
        <w:rPr>
          <w:lang w:val="en-GB"/>
        </w:rPr>
        <w:t>alternatively,</w:t>
      </w:r>
      <w:r w:rsidR="000C2294">
        <w:rPr>
          <w:lang w:val="en-GB"/>
        </w:rPr>
        <w:t xml:space="preserve"> the</w:t>
      </w:r>
      <w:r w:rsidR="004B667A">
        <w:rPr>
          <w:lang w:val="en-GB"/>
        </w:rPr>
        <w:t xml:space="preserve"> second </w:t>
      </w:r>
      <w:r w:rsidR="000C2294">
        <w:rPr>
          <w:lang w:val="en-GB"/>
        </w:rPr>
        <w:t xml:space="preserve">and highest </w:t>
      </w:r>
      <w:r w:rsidR="004B667A">
        <w:rPr>
          <w:lang w:val="en-GB"/>
        </w:rPr>
        <w:t>activity peak</w:t>
      </w:r>
      <w:r w:rsidR="000C2294">
        <w:rPr>
          <w:lang w:val="en-GB"/>
        </w:rPr>
        <w:t xml:space="preserve"> </w:t>
      </w:r>
      <w:r w:rsidR="006C6065" w:rsidRPr="008069D7">
        <w:rPr>
          <w:lang w:val="en-GB"/>
        </w:rPr>
        <w:t>at the</w:t>
      </w:r>
      <w:r w:rsidR="00646B48" w:rsidRPr="008069D7">
        <w:rPr>
          <w:lang w:val="en-GB"/>
        </w:rPr>
        <w:t xml:space="preserve"> 216h</w:t>
      </w:r>
      <w:r w:rsidR="006C6065" w:rsidRPr="008069D7">
        <w:rPr>
          <w:lang w:val="en-GB"/>
        </w:rPr>
        <w:t xml:space="preserve"> </w:t>
      </w:r>
      <w:r w:rsidR="008069D7" w:rsidRPr="008069D7">
        <w:rPr>
          <w:lang w:val="en-GB"/>
        </w:rPr>
        <w:t xml:space="preserve">time point </w:t>
      </w:r>
      <w:r w:rsidR="00126C79">
        <w:rPr>
          <w:lang w:val="en-GB"/>
        </w:rPr>
        <w:t xml:space="preserve">(0.440 </w:t>
      </w:r>
      <w:r w:rsidR="00126C79">
        <w:rPr>
          <w:rFonts w:cs="Arial"/>
          <w:lang w:val="en-GB"/>
        </w:rPr>
        <w:t>±</w:t>
      </w:r>
      <w:r w:rsidR="00126C79">
        <w:rPr>
          <w:lang w:val="en-GB"/>
        </w:rPr>
        <w:t xml:space="preserve"> 0.0</w:t>
      </w:r>
      <w:r w:rsidR="00BC45DA">
        <w:rPr>
          <w:lang w:val="en-GB"/>
        </w:rPr>
        <w:t>67 U/mL)</w:t>
      </w:r>
      <w:r w:rsidR="00646B48" w:rsidRPr="008069D7">
        <w:rPr>
          <w:lang w:val="en-GB"/>
        </w:rPr>
        <w:t>.</w:t>
      </w:r>
      <w:r w:rsidR="00C44D65" w:rsidRPr="008069D7">
        <w:rPr>
          <w:lang w:val="en-GB"/>
        </w:rPr>
        <w:t xml:space="preserve"> </w:t>
      </w:r>
    </w:p>
    <w:p w14:paraId="22C34343" w14:textId="38438700" w:rsidR="00EE4E29" w:rsidRPr="008069D7" w:rsidRDefault="00C44D65" w:rsidP="00283B7D">
      <w:pPr>
        <w:pStyle w:val="CETBodytext"/>
        <w:rPr>
          <w:lang w:val="en-GB"/>
        </w:rPr>
      </w:pPr>
      <w:r w:rsidRPr="008069D7">
        <w:rPr>
          <w:lang w:val="en-GB"/>
        </w:rPr>
        <w:t xml:space="preserve">In the </w:t>
      </w:r>
      <w:r w:rsidR="0018284C">
        <w:rPr>
          <w:lang w:val="en-GB"/>
        </w:rPr>
        <w:t>cultures</w:t>
      </w:r>
      <w:r w:rsidRPr="008069D7">
        <w:rPr>
          <w:lang w:val="en-GB"/>
        </w:rPr>
        <w:t xml:space="preserve"> </w:t>
      </w:r>
      <w:r w:rsidR="004B667A">
        <w:rPr>
          <w:lang w:val="en-GB"/>
        </w:rPr>
        <w:t>containing</w:t>
      </w:r>
      <w:r w:rsidRPr="008069D7">
        <w:rPr>
          <w:lang w:val="en-GB"/>
        </w:rPr>
        <w:t xml:space="preserve"> 20 g/L concentration of carbon sources</w:t>
      </w:r>
      <w:r w:rsidR="0018284C">
        <w:rPr>
          <w:lang w:val="en-GB"/>
        </w:rPr>
        <w:t>,</w:t>
      </w:r>
      <w:r w:rsidR="00646B48" w:rsidRPr="008069D7">
        <w:rPr>
          <w:lang w:val="en-GB"/>
        </w:rPr>
        <w:t xml:space="preserve"> </w:t>
      </w:r>
      <w:r w:rsidR="007D7522">
        <w:rPr>
          <w:lang w:val="en-GB"/>
        </w:rPr>
        <w:t>a single</w:t>
      </w:r>
      <w:r w:rsidR="007D7522" w:rsidRPr="008069D7">
        <w:rPr>
          <w:lang w:val="en-GB"/>
        </w:rPr>
        <w:t xml:space="preserve"> </w:t>
      </w:r>
      <w:r w:rsidR="006C6065" w:rsidRPr="008069D7">
        <w:rPr>
          <w:lang w:val="en-GB"/>
        </w:rPr>
        <w:t>activity peak</w:t>
      </w:r>
      <w:r w:rsidR="007D7522">
        <w:rPr>
          <w:lang w:val="en-GB"/>
        </w:rPr>
        <w:t xml:space="preserve"> was</w:t>
      </w:r>
      <w:r w:rsidRPr="008069D7">
        <w:rPr>
          <w:lang w:val="en-GB"/>
        </w:rPr>
        <w:t xml:space="preserve"> observed</w:t>
      </w:r>
      <w:r w:rsidR="007D7522">
        <w:rPr>
          <w:lang w:val="en-GB"/>
        </w:rPr>
        <w:t>,</w:t>
      </w:r>
      <w:r w:rsidR="0018284C">
        <w:rPr>
          <w:lang w:val="en-GB"/>
        </w:rPr>
        <w:t xml:space="preserve"> followed by</w:t>
      </w:r>
      <w:r w:rsidRPr="008069D7">
        <w:rPr>
          <w:lang w:val="en-GB"/>
        </w:rPr>
        <w:t xml:space="preserve"> </w:t>
      </w:r>
      <w:r w:rsidR="007D7522">
        <w:rPr>
          <w:lang w:val="en-GB"/>
        </w:rPr>
        <w:t xml:space="preserve">the </w:t>
      </w:r>
      <w:r w:rsidR="0018284C">
        <w:rPr>
          <w:lang w:val="en-GB"/>
        </w:rPr>
        <w:t>reduction</w:t>
      </w:r>
      <w:r w:rsidRPr="008069D7">
        <w:rPr>
          <w:lang w:val="en-GB"/>
        </w:rPr>
        <w:t xml:space="preserve"> of lipase activities at later time points that could possibly coincide with the </w:t>
      </w:r>
      <w:r w:rsidR="00106267" w:rsidRPr="008069D7">
        <w:rPr>
          <w:lang w:val="en-GB"/>
        </w:rPr>
        <w:t>total consumption of the carbon sources</w:t>
      </w:r>
      <w:r w:rsidR="006C6065" w:rsidRPr="008069D7">
        <w:rPr>
          <w:lang w:val="en-GB"/>
        </w:rPr>
        <w:t xml:space="preserve"> and, ther</w:t>
      </w:r>
      <w:r w:rsidR="0018284C">
        <w:rPr>
          <w:lang w:val="en-GB"/>
        </w:rPr>
        <w:t>efore</w:t>
      </w:r>
      <w:r w:rsidR="006C6065" w:rsidRPr="008069D7">
        <w:rPr>
          <w:lang w:val="en-GB"/>
        </w:rPr>
        <w:t>, lack of</w:t>
      </w:r>
      <w:r w:rsidR="00EE4E29" w:rsidRPr="008069D7">
        <w:rPr>
          <w:lang w:val="en-GB"/>
        </w:rPr>
        <w:t xml:space="preserve"> </w:t>
      </w:r>
      <w:r w:rsidR="00EE4E29" w:rsidRPr="008069D7">
        <w:rPr>
          <w:i/>
          <w:iCs/>
          <w:lang w:val="en-GB"/>
        </w:rPr>
        <w:t>LIP2</w:t>
      </w:r>
      <w:r w:rsidR="006C6065" w:rsidRPr="008069D7">
        <w:rPr>
          <w:lang w:val="en-GB"/>
        </w:rPr>
        <w:t xml:space="preserve"> inducers. </w:t>
      </w:r>
    </w:p>
    <w:p w14:paraId="0BFAD87C" w14:textId="62A5ACC6" w:rsidR="00F24EED" w:rsidRDefault="00646B48" w:rsidP="00283B7D">
      <w:pPr>
        <w:pStyle w:val="CETBodytext"/>
        <w:rPr>
          <w:lang w:val="en-GB"/>
        </w:rPr>
      </w:pPr>
      <w:r w:rsidRPr="00006542">
        <w:rPr>
          <w:lang w:val="en-GB"/>
        </w:rPr>
        <w:t>Similar</w:t>
      </w:r>
      <w:r w:rsidR="00EE4E29" w:rsidRPr="00006542">
        <w:rPr>
          <w:lang w:val="en-GB"/>
        </w:rPr>
        <w:t xml:space="preserve"> trends</w:t>
      </w:r>
      <w:r w:rsidRPr="00006542">
        <w:rPr>
          <w:lang w:val="en-GB"/>
        </w:rPr>
        <w:t xml:space="preserve"> in lipase productivity have been previously noted in literature</w:t>
      </w:r>
      <w:r w:rsidR="00845E71" w:rsidRPr="00006542">
        <w:rPr>
          <w:lang w:val="en-GB"/>
        </w:rPr>
        <w:t>.</w:t>
      </w:r>
      <w:r w:rsidRPr="00006542">
        <w:rPr>
          <w:lang w:val="en-GB"/>
        </w:rPr>
        <w:t xml:space="preserve"> </w:t>
      </w:r>
      <w:r w:rsidR="008E454C">
        <w:rPr>
          <w:lang w:val="en-GB"/>
        </w:rPr>
        <w:t>Namely</w:t>
      </w:r>
      <w:r w:rsidR="00845E71" w:rsidRPr="00006542">
        <w:rPr>
          <w:lang w:val="en-GB"/>
        </w:rPr>
        <w:t>,</w:t>
      </w:r>
      <w:r w:rsidRPr="00006542">
        <w:rPr>
          <w:lang w:val="en-GB"/>
        </w:rPr>
        <w:t xml:space="preserve"> on different concentrations of oleic acid used as a carbon source</w:t>
      </w:r>
      <w:r w:rsidR="003867ED" w:rsidRPr="00006542">
        <w:rPr>
          <w:lang w:val="en-GB"/>
        </w:rPr>
        <w:t>,</w:t>
      </w:r>
      <w:r w:rsidR="003C3EF9" w:rsidRPr="00006542">
        <w:rPr>
          <w:lang w:val="en-GB"/>
        </w:rPr>
        <w:t xml:space="preserve"> </w:t>
      </w:r>
      <w:r w:rsidR="003C3EF9" w:rsidRPr="00006542">
        <w:rPr>
          <w:i/>
          <w:iCs/>
          <w:lang w:val="en-GB"/>
        </w:rPr>
        <w:t xml:space="preserve">Y. lipolytica </w:t>
      </w:r>
      <w:r w:rsidR="003C3EF9" w:rsidRPr="00006542">
        <w:rPr>
          <w:lang w:val="en-GB"/>
        </w:rPr>
        <w:t>presented different phase shifts in lipase productivity</w:t>
      </w:r>
      <w:r w:rsidR="00845E71" w:rsidRPr="00006542">
        <w:rPr>
          <w:lang w:val="en-GB"/>
        </w:rPr>
        <w:t>.</w:t>
      </w:r>
      <w:r w:rsidR="003C3EF9" w:rsidRPr="00006542">
        <w:rPr>
          <w:lang w:val="en-GB"/>
        </w:rPr>
        <w:t xml:space="preserve"> When 30 g/L of oleic acid </w:t>
      </w:r>
      <w:r w:rsidR="004B667A">
        <w:rPr>
          <w:lang w:val="en-GB"/>
        </w:rPr>
        <w:t>was</w:t>
      </w:r>
      <w:r w:rsidR="003C3EF9" w:rsidRPr="00006542">
        <w:rPr>
          <w:lang w:val="en-GB"/>
        </w:rPr>
        <w:t xml:space="preserve"> used, a peak in activity around the same time point as the one </w:t>
      </w:r>
      <w:r w:rsidR="0048111C">
        <w:rPr>
          <w:lang w:val="en-GB"/>
        </w:rPr>
        <w:t>found</w:t>
      </w:r>
      <w:r w:rsidR="0048111C" w:rsidRPr="00006542">
        <w:rPr>
          <w:lang w:val="en-GB"/>
        </w:rPr>
        <w:t xml:space="preserve"> </w:t>
      </w:r>
      <w:r w:rsidR="003C3EF9" w:rsidRPr="00006542">
        <w:rPr>
          <w:lang w:val="en-GB"/>
        </w:rPr>
        <w:t xml:space="preserve">in the present study for the </w:t>
      </w:r>
      <w:r w:rsidR="008F1D63" w:rsidRPr="00006542">
        <w:rPr>
          <w:lang w:val="en-GB"/>
        </w:rPr>
        <w:t>20 g/L FFA</w:t>
      </w:r>
      <w:r w:rsidR="003C3EF9" w:rsidRPr="00006542">
        <w:rPr>
          <w:lang w:val="en-GB"/>
        </w:rPr>
        <w:t>-containing cultures</w:t>
      </w:r>
      <w:r w:rsidR="00845E71" w:rsidRPr="00006542">
        <w:rPr>
          <w:lang w:val="en-GB"/>
        </w:rPr>
        <w:t xml:space="preserve"> was</w:t>
      </w:r>
      <w:r w:rsidR="008F1D63" w:rsidRPr="00006542">
        <w:rPr>
          <w:lang w:val="en-GB"/>
        </w:rPr>
        <w:t xml:space="preserve"> recorded</w:t>
      </w:r>
      <w:r w:rsidR="00845E71" w:rsidRPr="00006542">
        <w:rPr>
          <w:lang w:val="en-GB"/>
        </w:rPr>
        <w:t xml:space="preserve"> (Fickers </w:t>
      </w:r>
      <w:r w:rsidR="00845E71" w:rsidRPr="006F2245">
        <w:rPr>
          <w:lang w:val="en-GB"/>
        </w:rPr>
        <w:t>et al.,</w:t>
      </w:r>
      <w:r w:rsidR="00845E71" w:rsidRPr="00006542">
        <w:rPr>
          <w:lang w:val="en-GB"/>
        </w:rPr>
        <w:t xml:space="preserve"> 2004)</w:t>
      </w:r>
      <w:r w:rsidR="00FE2F6B">
        <w:rPr>
          <w:lang w:val="en-GB"/>
        </w:rPr>
        <w:t>.</w:t>
      </w:r>
      <w:r w:rsidR="00D778F9">
        <w:rPr>
          <w:lang w:val="en-GB"/>
        </w:rPr>
        <w:t xml:space="preserve"> </w:t>
      </w:r>
      <w:r w:rsidR="00FE2F6B" w:rsidRPr="003A7625">
        <w:rPr>
          <w:lang w:val="en-GB"/>
        </w:rPr>
        <w:t xml:space="preserve">This result was </w:t>
      </w:r>
      <w:r w:rsidR="00D778F9" w:rsidRPr="003A7625">
        <w:rPr>
          <w:lang w:val="en-GB"/>
        </w:rPr>
        <w:t>probably due to the</w:t>
      </w:r>
      <w:r w:rsidR="00912BE9" w:rsidRPr="003A7625">
        <w:rPr>
          <w:lang w:val="en-GB"/>
        </w:rPr>
        <w:t xml:space="preserve"> </w:t>
      </w:r>
      <w:r w:rsidR="0048111C">
        <w:rPr>
          <w:lang w:val="en-GB"/>
        </w:rPr>
        <w:t>prompt</w:t>
      </w:r>
      <w:r w:rsidR="0048111C" w:rsidRPr="003A7625">
        <w:rPr>
          <w:lang w:val="en-GB"/>
        </w:rPr>
        <w:t xml:space="preserve"> </w:t>
      </w:r>
      <w:r w:rsidR="00912BE9" w:rsidRPr="003A7625">
        <w:rPr>
          <w:lang w:val="en-GB"/>
        </w:rPr>
        <w:t>induction</w:t>
      </w:r>
      <w:r w:rsidR="00D778F9" w:rsidRPr="003A7625">
        <w:rPr>
          <w:lang w:val="en-GB"/>
        </w:rPr>
        <w:t xml:space="preserve"> by FFA</w:t>
      </w:r>
      <w:r w:rsidR="003A7625">
        <w:rPr>
          <w:lang w:val="en-GB"/>
        </w:rPr>
        <w:t>, among which oleic acid,</w:t>
      </w:r>
      <w:r w:rsidR="00D778F9" w:rsidRPr="003A7625">
        <w:rPr>
          <w:lang w:val="en-GB"/>
        </w:rPr>
        <w:t xml:space="preserve"> on </w:t>
      </w:r>
      <w:r w:rsidR="00912BE9" w:rsidRPr="003A7625">
        <w:rPr>
          <w:lang w:val="en-GB"/>
        </w:rPr>
        <w:t xml:space="preserve">the </w:t>
      </w:r>
      <w:r w:rsidR="00912BE9" w:rsidRPr="003A7625">
        <w:rPr>
          <w:i/>
          <w:iCs/>
          <w:lang w:val="en-GB"/>
        </w:rPr>
        <w:t>LIP2</w:t>
      </w:r>
      <w:r w:rsidR="00912BE9" w:rsidRPr="003A7625">
        <w:rPr>
          <w:lang w:val="en-GB"/>
        </w:rPr>
        <w:t xml:space="preserve"> promoter</w:t>
      </w:r>
      <w:r w:rsidR="00DF08AC">
        <w:rPr>
          <w:lang w:val="en-GB"/>
        </w:rPr>
        <w:t xml:space="preserve">. </w:t>
      </w:r>
    </w:p>
    <w:p w14:paraId="1B501A4E" w14:textId="613DC6CA" w:rsidR="00F519A5" w:rsidRPr="00F519A5" w:rsidRDefault="00F519A5" w:rsidP="00283B7D">
      <w:pPr>
        <w:pStyle w:val="CETBodytext"/>
        <w:rPr>
          <w:color w:val="FF0000"/>
          <w:sz w:val="16"/>
          <w:szCs w:val="18"/>
        </w:rPr>
      </w:pPr>
      <w:r>
        <w:rPr>
          <w:lang w:val="en-GB"/>
        </w:rPr>
        <w:t xml:space="preserve">As for lipases, also proteases can be expressed by </w:t>
      </w:r>
      <w:r>
        <w:rPr>
          <w:i/>
          <w:iCs/>
          <w:lang w:val="en-GB"/>
        </w:rPr>
        <w:t xml:space="preserve">Y. lipolytica </w:t>
      </w:r>
      <w:r>
        <w:rPr>
          <w:lang w:val="en-GB"/>
        </w:rPr>
        <w:t>in the culture media in the presence of inducers (Braga et al., 2012). These proteases could degrade extracellular lipases</w:t>
      </w:r>
      <w:r w:rsidR="00DC4316">
        <w:rPr>
          <w:lang w:val="en-GB"/>
        </w:rPr>
        <w:t xml:space="preserve"> reducing their actual </w:t>
      </w:r>
      <w:r w:rsidR="0048111C">
        <w:rPr>
          <w:lang w:val="en-GB"/>
        </w:rPr>
        <w:t xml:space="preserve">activity </w:t>
      </w:r>
      <w:r w:rsidR="00DC4316">
        <w:rPr>
          <w:lang w:val="en-GB"/>
        </w:rPr>
        <w:t>in time</w:t>
      </w:r>
      <w:r w:rsidR="00327284">
        <w:rPr>
          <w:lang w:val="en-GB"/>
        </w:rPr>
        <w:t xml:space="preserve">, determining the visible diminishing trend in activities after the peaks. </w:t>
      </w:r>
      <w:r w:rsidR="00DC4316">
        <w:rPr>
          <w:lang w:val="en-GB"/>
        </w:rPr>
        <w:t xml:space="preserve"> </w:t>
      </w:r>
    </w:p>
    <w:p w14:paraId="6A323BA7" w14:textId="45731B4A" w:rsidR="007F3ACE" w:rsidRPr="00EF7303" w:rsidRDefault="009B5141" w:rsidP="000B49AC">
      <w:pPr>
        <w:pStyle w:val="CETBodytext"/>
        <w:rPr>
          <w:lang w:val="en-GB"/>
        </w:rPr>
      </w:pPr>
      <w:r>
        <w:rPr>
          <w:lang w:val="en-GB"/>
        </w:rPr>
        <w:t>Similar</w:t>
      </w:r>
      <w:r w:rsidR="005E2E88">
        <w:rPr>
          <w:lang w:val="en-GB"/>
        </w:rPr>
        <w:t xml:space="preserve"> </w:t>
      </w:r>
      <w:r w:rsidR="00B2797B">
        <w:rPr>
          <w:lang w:val="en-GB"/>
        </w:rPr>
        <w:t>lipase production by the W29</w:t>
      </w:r>
      <w:r w:rsidR="002D088C">
        <w:rPr>
          <w:lang w:val="en-GB"/>
        </w:rPr>
        <w:t xml:space="preserve"> strain</w:t>
      </w:r>
      <w:r w:rsidR="00B2797B">
        <w:rPr>
          <w:lang w:val="en-GB"/>
        </w:rPr>
        <w:t xml:space="preserve"> have</w:t>
      </w:r>
      <w:r w:rsidR="0062654C">
        <w:rPr>
          <w:lang w:val="en-GB"/>
        </w:rPr>
        <w:t xml:space="preserve"> also</w:t>
      </w:r>
      <w:r w:rsidR="00B2797B">
        <w:rPr>
          <w:lang w:val="en-GB"/>
        </w:rPr>
        <w:t xml:space="preserve"> been reported</w:t>
      </w:r>
      <w:r w:rsidR="0062654C">
        <w:rPr>
          <w:lang w:val="en-GB"/>
        </w:rPr>
        <w:t>.</w:t>
      </w:r>
      <w:r w:rsidR="00B2797B">
        <w:rPr>
          <w:lang w:val="en-GB"/>
        </w:rPr>
        <w:t xml:space="preserve"> </w:t>
      </w:r>
      <w:r w:rsidR="00B8261E">
        <w:rPr>
          <w:lang w:val="en-GB"/>
        </w:rPr>
        <w:t>Notable examples come from the works of Braga</w:t>
      </w:r>
      <w:r w:rsidR="00FE2F6B">
        <w:rPr>
          <w:lang w:val="en-GB"/>
        </w:rPr>
        <w:t xml:space="preserve"> et al.</w:t>
      </w:r>
      <w:r w:rsidR="00B8261E">
        <w:rPr>
          <w:lang w:val="en-GB"/>
        </w:rPr>
        <w:t xml:space="preserve"> </w:t>
      </w:r>
      <w:r w:rsidR="00912BE9">
        <w:rPr>
          <w:lang w:val="en-GB"/>
        </w:rPr>
        <w:t>(</w:t>
      </w:r>
      <w:r w:rsidR="00B8261E">
        <w:rPr>
          <w:lang w:val="en-GB"/>
        </w:rPr>
        <w:t>201</w:t>
      </w:r>
      <w:r w:rsidR="000E0553">
        <w:rPr>
          <w:lang w:val="en-GB"/>
        </w:rPr>
        <w:t>2</w:t>
      </w:r>
      <w:r w:rsidR="00912BE9">
        <w:rPr>
          <w:lang w:val="en-GB"/>
        </w:rPr>
        <w:t>)</w:t>
      </w:r>
      <w:r w:rsidR="00B8261E">
        <w:rPr>
          <w:lang w:val="en-GB"/>
        </w:rPr>
        <w:t xml:space="preserve"> and </w:t>
      </w:r>
      <w:r w:rsidR="00630BD0">
        <w:rPr>
          <w:lang w:val="en-GB"/>
        </w:rPr>
        <w:t>Lopes</w:t>
      </w:r>
      <w:r w:rsidR="00FE2F6B">
        <w:rPr>
          <w:lang w:val="en-GB"/>
        </w:rPr>
        <w:t xml:space="preserve"> et al</w:t>
      </w:r>
      <w:r w:rsidR="007B1932">
        <w:rPr>
          <w:lang w:val="en-GB"/>
        </w:rPr>
        <w:t>.</w:t>
      </w:r>
      <w:r w:rsidR="00630BD0">
        <w:rPr>
          <w:lang w:val="en-GB"/>
        </w:rPr>
        <w:t xml:space="preserve"> </w:t>
      </w:r>
      <w:r w:rsidR="00912BE9">
        <w:rPr>
          <w:lang w:val="en-GB"/>
        </w:rPr>
        <w:t>(</w:t>
      </w:r>
      <w:r w:rsidR="00630BD0">
        <w:rPr>
          <w:lang w:val="en-GB"/>
        </w:rPr>
        <w:t>2008</w:t>
      </w:r>
      <w:r w:rsidR="00912BE9">
        <w:rPr>
          <w:lang w:val="en-GB"/>
        </w:rPr>
        <w:t>)</w:t>
      </w:r>
      <w:r>
        <w:rPr>
          <w:lang w:val="en-GB"/>
        </w:rPr>
        <w:t>.</w:t>
      </w:r>
      <w:r w:rsidR="002B102E">
        <w:rPr>
          <w:lang w:val="en-GB"/>
        </w:rPr>
        <w:t xml:space="preserve"> </w:t>
      </w:r>
      <w:r w:rsidR="00BC45DA">
        <w:rPr>
          <w:lang w:val="en-GB"/>
        </w:rPr>
        <w:t>I</w:t>
      </w:r>
      <w:r w:rsidR="00630BD0">
        <w:rPr>
          <w:lang w:val="en-GB"/>
        </w:rPr>
        <w:t>n</w:t>
      </w:r>
      <w:r w:rsidR="002B102E">
        <w:rPr>
          <w:lang w:val="en-GB"/>
        </w:rPr>
        <w:t> </w:t>
      </w:r>
      <w:r w:rsidR="007B1932">
        <w:rPr>
          <w:lang w:val="en-GB"/>
        </w:rPr>
        <w:t>the former</w:t>
      </w:r>
      <w:r w:rsidR="000E0553">
        <w:rPr>
          <w:lang w:val="en-GB"/>
        </w:rPr>
        <w:t>,</w:t>
      </w:r>
      <w:r w:rsidR="00630BD0">
        <w:rPr>
          <w:lang w:val="en-GB"/>
        </w:rPr>
        <w:t xml:space="preserve"> </w:t>
      </w:r>
      <w:r w:rsidR="000E0553">
        <w:rPr>
          <w:lang w:val="en-GB"/>
        </w:rPr>
        <w:t>70</w:t>
      </w:r>
      <w:r w:rsidR="00F02D5B">
        <w:rPr>
          <w:lang w:val="en-GB"/>
        </w:rPr>
        <w:t> </w:t>
      </w:r>
      <w:r w:rsidR="000E0553">
        <w:rPr>
          <w:lang w:val="en-GB"/>
        </w:rPr>
        <w:t>g/L</w:t>
      </w:r>
      <w:r w:rsidR="00F02D5B">
        <w:rPr>
          <w:lang w:val="en-GB"/>
        </w:rPr>
        <w:t> O</w:t>
      </w:r>
      <w:r>
        <w:rPr>
          <w:lang w:val="en-GB"/>
        </w:rPr>
        <w:t>O</w:t>
      </w:r>
      <w:r w:rsidR="000E0553">
        <w:rPr>
          <w:lang w:val="en-GB"/>
        </w:rPr>
        <w:t xml:space="preserve"> were </w:t>
      </w:r>
      <w:r w:rsidR="007B1932">
        <w:rPr>
          <w:lang w:val="en-GB"/>
        </w:rPr>
        <w:t xml:space="preserve">used </w:t>
      </w:r>
      <w:r w:rsidR="000E0553">
        <w:rPr>
          <w:lang w:val="en-GB"/>
        </w:rPr>
        <w:t xml:space="preserve">in an optimized medium as a carbon source and inducer, </w:t>
      </w:r>
      <w:r w:rsidR="00B2797B">
        <w:rPr>
          <w:lang w:val="en-GB"/>
        </w:rPr>
        <w:t>obtaining</w:t>
      </w:r>
      <w:r>
        <w:rPr>
          <w:lang w:val="en-GB"/>
        </w:rPr>
        <w:t xml:space="preserve"> an</w:t>
      </w:r>
      <w:r w:rsidR="000E0553">
        <w:rPr>
          <w:lang w:val="en-GB"/>
        </w:rPr>
        <w:t xml:space="preserve"> extracellular lipase activity of 0.5 </w:t>
      </w:r>
      <w:r w:rsidR="000E0553" w:rsidRPr="00EF7303">
        <w:rPr>
          <w:lang w:val="en-GB"/>
        </w:rPr>
        <w:t xml:space="preserve">U/mL which </w:t>
      </w:r>
      <w:r w:rsidRPr="00EF7303">
        <w:rPr>
          <w:lang w:val="en-GB"/>
        </w:rPr>
        <w:t>resembles</w:t>
      </w:r>
      <w:r w:rsidR="000E0553" w:rsidRPr="00EF7303">
        <w:rPr>
          <w:lang w:val="en-GB"/>
        </w:rPr>
        <w:t xml:space="preserve"> the results obtained in this work </w:t>
      </w:r>
      <w:r w:rsidR="00550BA7" w:rsidRPr="00EF7303">
        <w:rPr>
          <w:lang w:val="en-GB"/>
        </w:rPr>
        <w:t>with</w:t>
      </w:r>
      <w:r w:rsidR="000E0553" w:rsidRPr="00EF7303">
        <w:rPr>
          <w:lang w:val="en-GB"/>
        </w:rPr>
        <w:t xml:space="preserve"> </w:t>
      </w:r>
      <w:r w:rsidR="00EE34A3" w:rsidRPr="00EF7303">
        <w:rPr>
          <w:lang w:val="en-GB"/>
        </w:rPr>
        <w:t>200 g/L</w:t>
      </w:r>
      <w:r w:rsidR="00F02D5B" w:rsidRPr="00EF7303">
        <w:rPr>
          <w:lang w:val="en-GB"/>
        </w:rPr>
        <w:t xml:space="preserve"> OO</w:t>
      </w:r>
      <w:r w:rsidR="00550BA7" w:rsidRPr="00EF7303">
        <w:rPr>
          <w:lang w:val="en-GB"/>
        </w:rPr>
        <w:t xml:space="preserve"> </w:t>
      </w:r>
      <w:r w:rsidR="000E0553" w:rsidRPr="00EF7303">
        <w:rPr>
          <w:lang w:val="en-GB"/>
        </w:rPr>
        <w:t>(0.45</w:t>
      </w:r>
      <w:r w:rsidR="00550BA7" w:rsidRPr="00EF7303">
        <w:rPr>
          <w:lang w:val="en-GB"/>
        </w:rPr>
        <w:t> </w:t>
      </w:r>
      <w:r w:rsidR="000E0553" w:rsidRPr="00EF7303">
        <w:rPr>
          <w:lang w:val="en-GB"/>
        </w:rPr>
        <w:t xml:space="preserve">U/mL at </w:t>
      </w:r>
      <w:r w:rsidR="00EE34A3" w:rsidRPr="00EF7303">
        <w:rPr>
          <w:lang w:val="en-GB"/>
        </w:rPr>
        <w:t xml:space="preserve">216 h). </w:t>
      </w:r>
      <w:r w:rsidR="004513CA">
        <w:rPr>
          <w:lang w:val="en-GB"/>
        </w:rPr>
        <w:t>Accordingly</w:t>
      </w:r>
      <w:r w:rsidR="00550BA7" w:rsidRPr="00EF7303">
        <w:rPr>
          <w:lang w:val="en-GB"/>
        </w:rPr>
        <w:t>,</w:t>
      </w:r>
      <w:r w:rsidR="00EE34A3" w:rsidRPr="00EF7303">
        <w:rPr>
          <w:lang w:val="en-GB"/>
        </w:rPr>
        <w:t xml:space="preserve"> </w:t>
      </w:r>
      <w:r w:rsidR="007B1932" w:rsidRPr="00EF7303">
        <w:rPr>
          <w:lang w:val="en-GB"/>
        </w:rPr>
        <w:t>the wor</w:t>
      </w:r>
      <w:r w:rsidR="00EE34A3" w:rsidRPr="00EF7303">
        <w:rPr>
          <w:lang w:val="en-GB"/>
        </w:rPr>
        <w:t>k</w:t>
      </w:r>
      <w:r w:rsidR="007B1932" w:rsidRPr="00EF7303">
        <w:rPr>
          <w:lang w:val="en-GB"/>
        </w:rPr>
        <w:t xml:space="preserve"> of Lopes</w:t>
      </w:r>
      <w:r w:rsidR="00EE34A3" w:rsidRPr="00EF7303">
        <w:rPr>
          <w:lang w:val="en-GB"/>
        </w:rPr>
        <w:t xml:space="preserve"> </w:t>
      </w:r>
      <w:r w:rsidR="00550BA7" w:rsidRPr="00EF7303">
        <w:rPr>
          <w:lang w:val="en-GB"/>
        </w:rPr>
        <w:t>showed</w:t>
      </w:r>
      <w:r w:rsidR="00EE34A3" w:rsidRPr="00EF7303">
        <w:rPr>
          <w:lang w:val="en-GB"/>
        </w:rPr>
        <w:t xml:space="preserve"> </w:t>
      </w:r>
      <w:r w:rsidR="004513CA">
        <w:rPr>
          <w:lang w:val="en-GB"/>
        </w:rPr>
        <w:t>similar activities</w:t>
      </w:r>
      <w:r w:rsidR="00FB2D95" w:rsidRPr="00EF7303">
        <w:rPr>
          <w:lang w:val="en-GB"/>
        </w:rPr>
        <w:t xml:space="preserve"> (0.45 U/mL)</w:t>
      </w:r>
      <w:r w:rsidR="00EE34A3" w:rsidRPr="00EF7303">
        <w:rPr>
          <w:lang w:val="en-GB"/>
        </w:rPr>
        <w:t xml:space="preserve"> </w:t>
      </w:r>
      <w:r w:rsidR="004513CA">
        <w:rPr>
          <w:lang w:val="en-GB"/>
        </w:rPr>
        <w:t xml:space="preserve">in </w:t>
      </w:r>
      <w:r w:rsidR="004513CA" w:rsidRPr="00EF7303">
        <w:rPr>
          <w:lang w:val="en-GB"/>
        </w:rPr>
        <w:t xml:space="preserve">600 mL bioreactors </w:t>
      </w:r>
      <w:r w:rsidR="004513CA">
        <w:rPr>
          <w:lang w:val="en-GB"/>
        </w:rPr>
        <w:t>and</w:t>
      </w:r>
      <w:r w:rsidR="00FB2D95" w:rsidRPr="00EF7303">
        <w:rPr>
          <w:lang w:val="en-GB"/>
        </w:rPr>
        <w:t xml:space="preserve"> </w:t>
      </w:r>
      <w:r w:rsidR="003029EE" w:rsidRPr="00EF7303">
        <w:rPr>
          <w:lang w:val="en-GB"/>
        </w:rPr>
        <w:t>lower</w:t>
      </w:r>
      <w:r w:rsidR="00FB2D95" w:rsidRPr="00EF7303">
        <w:rPr>
          <w:lang w:val="en-GB"/>
        </w:rPr>
        <w:t xml:space="preserve"> </w:t>
      </w:r>
      <w:r w:rsidR="00F02D5B" w:rsidRPr="00EF7303">
        <w:rPr>
          <w:lang w:val="en-GB"/>
        </w:rPr>
        <w:t>OO titres (</w:t>
      </w:r>
      <w:r w:rsidR="00FB2D95" w:rsidRPr="00EF7303">
        <w:rPr>
          <w:lang w:val="en-GB"/>
        </w:rPr>
        <w:t>7</w:t>
      </w:r>
      <w:r w:rsidR="00FE2F6B" w:rsidRPr="00EF7303">
        <w:rPr>
          <w:lang w:val="en-GB"/>
        </w:rPr>
        <w:t> </w:t>
      </w:r>
      <w:r w:rsidR="00FB2D95" w:rsidRPr="00EF7303">
        <w:rPr>
          <w:lang w:val="en-GB"/>
        </w:rPr>
        <w:t>g/L)</w:t>
      </w:r>
      <w:r w:rsidR="004513CA">
        <w:rPr>
          <w:lang w:val="en-GB"/>
        </w:rPr>
        <w:t xml:space="preserve"> after fermentation optimization</w:t>
      </w:r>
      <w:r w:rsidR="00FB2D95" w:rsidRPr="00EF7303">
        <w:rPr>
          <w:lang w:val="en-GB"/>
        </w:rPr>
        <w:t xml:space="preserve">. </w:t>
      </w:r>
    </w:p>
    <w:p w14:paraId="2A70820B" w14:textId="20E789D4" w:rsidR="009C065B" w:rsidRPr="00EF7303" w:rsidRDefault="001324AB" w:rsidP="000B49AC">
      <w:pPr>
        <w:pStyle w:val="CETBodytext"/>
        <w:rPr>
          <w:lang w:val="en-GB"/>
        </w:rPr>
      </w:pPr>
      <w:r>
        <w:rPr>
          <w:lang w:val="en-GB"/>
        </w:rPr>
        <w:t>Only a few studies are available on</w:t>
      </w:r>
      <w:r w:rsidR="004513CA">
        <w:rPr>
          <w:lang w:val="en-GB"/>
        </w:rPr>
        <w:t xml:space="preserve"> </w:t>
      </w:r>
      <w:r w:rsidR="00BD4C3C" w:rsidRPr="00EF7303">
        <w:rPr>
          <w:lang w:val="en-GB"/>
        </w:rPr>
        <w:t xml:space="preserve">WCO </w:t>
      </w:r>
      <w:r w:rsidR="0022123C" w:rsidRPr="00EF7303">
        <w:rPr>
          <w:lang w:val="en-GB"/>
        </w:rPr>
        <w:t>valorization</w:t>
      </w:r>
      <w:r w:rsidR="00BD4C3C" w:rsidRPr="00EF7303">
        <w:rPr>
          <w:lang w:val="en-GB"/>
        </w:rPr>
        <w:t xml:space="preserve"> </w:t>
      </w:r>
      <w:r w:rsidR="00550BA7" w:rsidRPr="00EF7303">
        <w:rPr>
          <w:lang w:val="en-GB"/>
        </w:rPr>
        <w:t>for</w:t>
      </w:r>
      <w:r w:rsidR="00BD4C3C" w:rsidRPr="00EF7303">
        <w:rPr>
          <w:lang w:val="en-GB"/>
        </w:rPr>
        <w:t xml:space="preserve"> lipase and erythritol production using </w:t>
      </w:r>
      <w:r w:rsidR="00BD4C3C" w:rsidRPr="00EF7303">
        <w:rPr>
          <w:i/>
          <w:iCs/>
          <w:lang w:val="en-GB"/>
        </w:rPr>
        <w:t>Y. lipolytica</w:t>
      </w:r>
      <w:r>
        <w:rPr>
          <w:lang w:val="en-GB"/>
        </w:rPr>
        <w:t>.</w:t>
      </w:r>
      <w:r w:rsidRPr="00EF7303">
        <w:rPr>
          <w:lang w:val="en-GB"/>
        </w:rPr>
        <w:t xml:space="preserve"> </w:t>
      </w:r>
      <w:r>
        <w:rPr>
          <w:lang w:val="en-GB"/>
        </w:rPr>
        <w:t>In one of them</w:t>
      </w:r>
      <w:r w:rsidR="007B1932" w:rsidRPr="00EF7303">
        <w:rPr>
          <w:lang w:val="en-GB"/>
        </w:rPr>
        <w:t>,</w:t>
      </w:r>
      <w:r w:rsidR="007358B1" w:rsidRPr="00EF7303">
        <w:rPr>
          <w:lang w:val="en-GB"/>
        </w:rPr>
        <w:t xml:space="preserve"> </w:t>
      </w:r>
      <w:r w:rsidR="004513CA">
        <w:rPr>
          <w:lang w:val="en-GB"/>
        </w:rPr>
        <w:t>using</w:t>
      </w:r>
      <w:r w:rsidR="00AC7A7E" w:rsidRPr="00EF7303">
        <w:rPr>
          <w:lang w:val="en-GB"/>
        </w:rPr>
        <w:t xml:space="preserve"> </w:t>
      </w:r>
      <w:r w:rsidR="00AC7A7E" w:rsidRPr="00EF7303">
        <w:rPr>
          <w:i/>
          <w:iCs/>
          <w:lang w:val="en-GB"/>
        </w:rPr>
        <w:t>Y. lipolytica</w:t>
      </w:r>
      <w:r w:rsidR="007358B1" w:rsidRPr="00EF7303">
        <w:rPr>
          <w:lang w:val="en-GB"/>
        </w:rPr>
        <w:t xml:space="preserve"> M53</w:t>
      </w:r>
      <w:r w:rsidR="00F5189B">
        <w:rPr>
          <w:lang w:val="en-GB"/>
        </w:rPr>
        <w:t xml:space="preserve">, </w:t>
      </w:r>
      <w:r w:rsidR="00AC7A7E" w:rsidRPr="00EF7303">
        <w:rPr>
          <w:lang w:val="en-GB"/>
        </w:rPr>
        <w:t>an atmospheric and room temperature plasma (ARTP) mutated strain</w:t>
      </w:r>
      <w:r w:rsidR="00F5189B">
        <w:rPr>
          <w:lang w:val="en-GB"/>
        </w:rPr>
        <w:t>,</w:t>
      </w:r>
      <w:r w:rsidR="004513CA">
        <w:rPr>
          <w:lang w:val="en-GB"/>
        </w:rPr>
        <w:t xml:space="preserve"> in the presence of</w:t>
      </w:r>
      <w:r w:rsidR="00AC7A7E" w:rsidRPr="00EF7303">
        <w:rPr>
          <w:lang w:val="en-GB"/>
        </w:rPr>
        <w:t xml:space="preserve"> 50 g/L WCO</w:t>
      </w:r>
      <w:r w:rsidR="000D6EE0" w:rsidRPr="00EF7303">
        <w:rPr>
          <w:lang w:val="en-GB"/>
        </w:rPr>
        <w:t>,</w:t>
      </w:r>
      <w:r w:rsidR="00AC7A7E" w:rsidRPr="00EF7303">
        <w:rPr>
          <w:lang w:val="en-GB"/>
        </w:rPr>
        <w:t xml:space="preserve"> </w:t>
      </w:r>
      <w:r w:rsidR="00550BA7" w:rsidRPr="00EF7303">
        <w:rPr>
          <w:lang w:val="en-GB"/>
        </w:rPr>
        <w:t>ex</w:t>
      </w:r>
      <w:r w:rsidR="00AC7A7E" w:rsidRPr="00EF7303">
        <w:rPr>
          <w:lang w:val="en-GB"/>
        </w:rPr>
        <w:t>tracellular lipase activit</w:t>
      </w:r>
      <w:r w:rsidR="00550BA7" w:rsidRPr="00EF7303">
        <w:rPr>
          <w:lang w:val="en-GB"/>
        </w:rPr>
        <w:t>ies</w:t>
      </w:r>
      <w:r w:rsidR="00AC7A7E" w:rsidRPr="00EF7303">
        <w:rPr>
          <w:lang w:val="en-GB"/>
        </w:rPr>
        <w:t xml:space="preserve"> of </w:t>
      </w:r>
      <w:r w:rsidR="000D6EE0" w:rsidRPr="00EF7303">
        <w:rPr>
          <w:lang w:val="en-GB"/>
        </w:rPr>
        <w:t xml:space="preserve">8 U/mL </w:t>
      </w:r>
      <w:r w:rsidR="00550BA7" w:rsidRPr="00EF7303">
        <w:rPr>
          <w:lang w:val="en-GB"/>
        </w:rPr>
        <w:t>and 11</w:t>
      </w:r>
      <w:r w:rsidR="007B1932" w:rsidRPr="00EF7303">
        <w:rPr>
          <w:lang w:val="en-GB"/>
        </w:rPr>
        <w:t>.</w:t>
      </w:r>
      <w:r w:rsidR="00550BA7" w:rsidRPr="00EF7303">
        <w:rPr>
          <w:lang w:val="en-GB"/>
        </w:rPr>
        <w:t>3 U/mL were obtained in</w:t>
      </w:r>
      <w:r w:rsidR="000D6EE0" w:rsidRPr="00EF7303">
        <w:rPr>
          <w:lang w:val="en-GB"/>
        </w:rPr>
        <w:t xml:space="preserve"> a flask fermentation after 7 day</w:t>
      </w:r>
      <w:r w:rsidR="00315D2B" w:rsidRPr="00EF7303">
        <w:rPr>
          <w:lang w:val="en-GB"/>
        </w:rPr>
        <w:t>s</w:t>
      </w:r>
      <w:r w:rsidR="000D6EE0" w:rsidRPr="00EF7303">
        <w:rPr>
          <w:lang w:val="en-GB"/>
        </w:rPr>
        <w:t xml:space="preserve"> and </w:t>
      </w:r>
      <w:r w:rsidR="00550BA7" w:rsidRPr="00EF7303">
        <w:rPr>
          <w:lang w:val="en-GB"/>
        </w:rPr>
        <w:t>in a 3-L bioreactor</w:t>
      </w:r>
      <w:r w:rsidR="000D6EE0" w:rsidRPr="00EF7303">
        <w:rPr>
          <w:lang w:val="en-GB"/>
        </w:rPr>
        <w:t xml:space="preserve"> after 72 h</w:t>
      </w:r>
      <w:r w:rsidR="00550BA7" w:rsidRPr="00EF7303">
        <w:rPr>
          <w:lang w:val="en-GB"/>
        </w:rPr>
        <w:t>, respectively</w:t>
      </w:r>
      <w:r>
        <w:rPr>
          <w:lang w:val="en-GB"/>
        </w:rPr>
        <w:t xml:space="preserve"> (</w:t>
      </w:r>
      <w:r w:rsidRPr="00EF7303">
        <w:rPr>
          <w:lang w:val="en-GB"/>
        </w:rPr>
        <w:t>Xiaoyan et al. 2017)</w:t>
      </w:r>
      <w:r w:rsidR="00550BA7" w:rsidRPr="00EF7303">
        <w:rPr>
          <w:lang w:val="en-GB"/>
        </w:rPr>
        <w:t>.</w:t>
      </w:r>
      <w:r w:rsidR="009C065B" w:rsidRPr="00EF7303">
        <w:rPr>
          <w:lang w:val="en-GB"/>
        </w:rPr>
        <w:t xml:space="preserve"> </w:t>
      </w:r>
      <w:r w:rsidR="00F02D5B" w:rsidRPr="00EF7303">
        <w:rPr>
          <w:lang w:val="en-GB"/>
        </w:rPr>
        <w:t>Nunes et al. (2014)</w:t>
      </w:r>
      <w:r w:rsidR="002F49F4" w:rsidRPr="00EF7303">
        <w:rPr>
          <w:lang w:val="en-GB"/>
        </w:rPr>
        <w:t xml:space="preserve"> evaluated lipase production by </w:t>
      </w:r>
      <w:r w:rsidR="002F49F4" w:rsidRPr="00EF7303">
        <w:rPr>
          <w:i/>
          <w:iCs/>
          <w:lang w:val="en-GB"/>
        </w:rPr>
        <w:t xml:space="preserve">Y. lipolytica </w:t>
      </w:r>
      <w:r w:rsidR="002F49F4" w:rsidRPr="00EF7303">
        <w:rPr>
          <w:lang w:val="en-GB"/>
        </w:rPr>
        <w:t xml:space="preserve">50682 </w:t>
      </w:r>
      <w:r>
        <w:rPr>
          <w:lang w:val="en-GB"/>
        </w:rPr>
        <w:t>using lower</w:t>
      </w:r>
      <w:r w:rsidR="007F6375" w:rsidRPr="00EF7303">
        <w:rPr>
          <w:lang w:val="en-GB"/>
        </w:rPr>
        <w:t xml:space="preserve"> WCO and OO concentrations (10 g/L) showing extracellular activitie</w:t>
      </w:r>
      <w:r w:rsidR="002B102E" w:rsidRPr="00EF7303">
        <w:rPr>
          <w:lang w:val="en-GB"/>
        </w:rPr>
        <w:t>s (0.034 U/mL and 0.153 U/mL respectively)</w:t>
      </w:r>
      <w:r w:rsidR="00F8617C" w:rsidRPr="00EF7303">
        <w:rPr>
          <w:lang w:val="en-GB"/>
        </w:rPr>
        <w:t xml:space="preserve"> </w:t>
      </w:r>
      <w:r w:rsidRPr="00EF7303">
        <w:rPr>
          <w:lang w:val="en-GB"/>
        </w:rPr>
        <w:t>similar</w:t>
      </w:r>
      <w:r>
        <w:rPr>
          <w:lang w:val="en-GB"/>
        </w:rPr>
        <w:t xml:space="preserve"> to</w:t>
      </w:r>
      <w:r w:rsidR="007F6375" w:rsidRPr="00EF7303">
        <w:rPr>
          <w:lang w:val="en-GB"/>
        </w:rPr>
        <w:t xml:space="preserve"> those reported in this work at 24h of </w:t>
      </w:r>
      <w:r w:rsidR="007156E3" w:rsidRPr="00EF7303">
        <w:rPr>
          <w:lang w:val="en-GB"/>
        </w:rPr>
        <w:t>culture</w:t>
      </w:r>
      <w:r w:rsidR="00F02D5B" w:rsidRPr="00EF7303">
        <w:rPr>
          <w:lang w:val="en-GB"/>
        </w:rPr>
        <w:t xml:space="preserve">. </w:t>
      </w:r>
      <w:r w:rsidR="00327284">
        <w:rPr>
          <w:lang w:val="en-GB"/>
        </w:rPr>
        <w:t xml:space="preserve">The </w:t>
      </w:r>
      <w:r w:rsidR="00F241F4" w:rsidRPr="00EF7303">
        <w:rPr>
          <w:lang w:val="en-GB"/>
        </w:rPr>
        <w:t>results</w:t>
      </w:r>
      <w:r w:rsidR="00F02D5B" w:rsidRPr="00EF7303">
        <w:rPr>
          <w:lang w:val="en-GB"/>
        </w:rPr>
        <w:t xml:space="preserve"> </w:t>
      </w:r>
      <w:r w:rsidR="00327284">
        <w:rPr>
          <w:lang w:val="en-GB"/>
        </w:rPr>
        <w:t xml:space="preserve">obtained </w:t>
      </w:r>
      <w:r w:rsidR="00F02D5B" w:rsidRPr="00EF7303">
        <w:rPr>
          <w:lang w:val="en-GB"/>
        </w:rPr>
        <w:t>show</w:t>
      </w:r>
      <w:r w:rsidR="00F8617C" w:rsidRPr="00EF7303">
        <w:rPr>
          <w:lang w:val="en-GB"/>
        </w:rPr>
        <w:t xml:space="preserve"> that higher activities of extracellular lipases </w:t>
      </w:r>
      <w:r>
        <w:rPr>
          <w:lang w:val="en-GB"/>
        </w:rPr>
        <w:t>can</w:t>
      </w:r>
      <w:r w:rsidRPr="00EF7303">
        <w:rPr>
          <w:lang w:val="en-GB"/>
        </w:rPr>
        <w:t xml:space="preserve"> </w:t>
      </w:r>
      <w:r w:rsidR="00F02D5B" w:rsidRPr="00EF7303">
        <w:rPr>
          <w:lang w:val="en-GB"/>
        </w:rPr>
        <w:t xml:space="preserve">be </w:t>
      </w:r>
      <w:r w:rsidR="00A445E6">
        <w:rPr>
          <w:lang w:val="en-GB"/>
        </w:rPr>
        <w:t>achiev</w:t>
      </w:r>
      <w:r w:rsidR="00F02D5B" w:rsidRPr="00EF7303">
        <w:rPr>
          <w:lang w:val="en-GB"/>
        </w:rPr>
        <w:t>ed</w:t>
      </w:r>
      <w:r w:rsidR="00F241F4" w:rsidRPr="00EF7303">
        <w:rPr>
          <w:lang w:val="en-GB"/>
        </w:rPr>
        <w:t xml:space="preserve"> with </w:t>
      </w:r>
      <w:r w:rsidR="001804F7" w:rsidRPr="00EF7303">
        <w:rPr>
          <w:lang w:val="en-GB"/>
        </w:rPr>
        <w:t>culture</w:t>
      </w:r>
      <w:r w:rsidR="00F241F4" w:rsidRPr="00EF7303">
        <w:rPr>
          <w:lang w:val="en-GB"/>
        </w:rPr>
        <w:t>s</w:t>
      </w:r>
      <w:r w:rsidR="00F8617C" w:rsidRPr="00EF7303">
        <w:rPr>
          <w:lang w:val="en-GB"/>
        </w:rPr>
        <w:t xml:space="preserve"> longer than 24 h</w:t>
      </w:r>
      <w:r w:rsidR="002B102E" w:rsidRPr="00EF7303">
        <w:rPr>
          <w:lang w:val="en-GB"/>
        </w:rPr>
        <w:t>.</w:t>
      </w:r>
    </w:p>
    <w:p w14:paraId="78448AB6" w14:textId="662B0B77" w:rsidR="000B49AC" w:rsidRPr="00EF7303" w:rsidRDefault="009C065B" w:rsidP="000B49AC">
      <w:pPr>
        <w:pStyle w:val="CETBodytext"/>
        <w:rPr>
          <w:lang w:val="en-GB"/>
        </w:rPr>
      </w:pPr>
      <w:r w:rsidRPr="00EF7303">
        <w:rPr>
          <w:lang w:val="en-GB"/>
        </w:rPr>
        <w:t xml:space="preserve">To the best of our knowledge, this is the first report which shows </w:t>
      </w:r>
      <w:r w:rsidR="007B1932" w:rsidRPr="00EF7303">
        <w:rPr>
          <w:lang w:val="en-GB"/>
        </w:rPr>
        <w:t xml:space="preserve">concentrations of WCO </w:t>
      </w:r>
      <w:r w:rsidRPr="00EF7303">
        <w:rPr>
          <w:lang w:val="en-GB"/>
        </w:rPr>
        <w:t>high</w:t>
      </w:r>
      <w:r w:rsidR="00F241F4" w:rsidRPr="00EF7303">
        <w:rPr>
          <w:lang w:val="en-GB"/>
        </w:rPr>
        <w:t xml:space="preserve">er than 100 g/L </w:t>
      </w:r>
      <w:r w:rsidRPr="00EF7303">
        <w:rPr>
          <w:lang w:val="en-GB"/>
        </w:rPr>
        <w:t xml:space="preserve">used for lipase and biomass production for </w:t>
      </w:r>
      <w:r w:rsidRPr="00EF7303">
        <w:rPr>
          <w:i/>
          <w:iCs/>
          <w:lang w:val="en-GB"/>
        </w:rPr>
        <w:t>Y. lipolytica</w:t>
      </w:r>
      <w:r w:rsidR="000B49AC" w:rsidRPr="00EF7303">
        <w:rPr>
          <w:lang w:val="en-GB"/>
        </w:rPr>
        <w:t xml:space="preserve">. </w:t>
      </w:r>
    </w:p>
    <w:p w14:paraId="5C2ACD74" w14:textId="0EA18388" w:rsidR="002B0086" w:rsidRPr="00EF7303" w:rsidRDefault="002B0086" w:rsidP="000B49AC">
      <w:pPr>
        <w:pStyle w:val="CETHeading1"/>
      </w:pPr>
      <w:r w:rsidRPr="00EF7303">
        <w:t>Conclusions</w:t>
      </w:r>
    </w:p>
    <w:p w14:paraId="3F3AD623" w14:textId="77A59303" w:rsidR="0053149F" w:rsidRPr="00EF7303" w:rsidRDefault="009C065B" w:rsidP="00AA1802">
      <w:pPr>
        <w:pStyle w:val="CETBodytext"/>
        <w:rPr>
          <w:lang w:val="en-GB"/>
        </w:rPr>
      </w:pPr>
      <w:r w:rsidRPr="00EF7303">
        <w:t xml:space="preserve">In summary, </w:t>
      </w:r>
      <w:r w:rsidR="0022123C" w:rsidRPr="00EF7303">
        <w:t xml:space="preserve">it has been demonstrated that WCO can be </w:t>
      </w:r>
      <w:r w:rsidR="00762CDE" w:rsidRPr="00EF7303">
        <w:t>used to</w:t>
      </w:r>
      <w:r w:rsidR="00714DE5" w:rsidRPr="00EF7303">
        <w:t xml:space="preserve"> produce</w:t>
      </w:r>
      <w:r w:rsidR="0022123C" w:rsidRPr="00EF7303">
        <w:t xml:space="preserve"> </w:t>
      </w:r>
      <w:r w:rsidR="00714DE5" w:rsidRPr="00EF7303">
        <w:t xml:space="preserve">lipases </w:t>
      </w:r>
      <w:r w:rsidR="001B00E4" w:rsidRPr="00EF7303">
        <w:t xml:space="preserve">in </w:t>
      </w:r>
      <w:r w:rsidR="00714DE5" w:rsidRPr="00EF7303">
        <w:rPr>
          <w:i/>
          <w:iCs/>
        </w:rPr>
        <w:t>Y</w:t>
      </w:r>
      <w:r w:rsidR="00762CDE" w:rsidRPr="00EF7303">
        <w:rPr>
          <w:i/>
          <w:iCs/>
        </w:rPr>
        <w:t>arrowia</w:t>
      </w:r>
      <w:r w:rsidR="00714DE5" w:rsidRPr="00EF7303">
        <w:rPr>
          <w:i/>
          <w:iCs/>
        </w:rPr>
        <w:t xml:space="preserve"> </w:t>
      </w:r>
      <w:r w:rsidR="005047B0" w:rsidRPr="00EF7303">
        <w:rPr>
          <w:i/>
          <w:iCs/>
        </w:rPr>
        <w:t>lipolytica</w:t>
      </w:r>
      <w:r w:rsidR="00714DE5" w:rsidRPr="00EF7303">
        <w:rPr>
          <w:i/>
          <w:iCs/>
        </w:rPr>
        <w:t xml:space="preserve"> </w:t>
      </w:r>
      <w:r w:rsidR="00714DE5" w:rsidRPr="00EF7303">
        <w:t>W29</w:t>
      </w:r>
      <w:r w:rsidR="00AB6EB7" w:rsidRPr="00EF7303">
        <w:rPr>
          <w:lang w:val="en-GB"/>
        </w:rPr>
        <w:t xml:space="preserve"> under high concentration of hydrophobic substrates</w:t>
      </w:r>
      <w:r w:rsidR="00470FDD" w:rsidRPr="00EF7303">
        <w:t xml:space="preserve">. The yeast </w:t>
      </w:r>
      <w:r w:rsidR="00F62C70" w:rsidRPr="00EF7303">
        <w:t xml:space="preserve">could </w:t>
      </w:r>
      <w:r w:rsidR="00470FDD" w:rsidRPr="00EF7303">
        <w:t>grow</w:t>
      </w:r>
      <w:r w:rsidR="00F62C70" w:rsidRPr="00EF7303">
        <w:t xml:space="preserve"> to optimal levels </w:t>
      </w:r>
      <w:r w:rsidR="00302E32" w:rsidRPr="00EF7303">
        <w:t xml:space="preserve">in </w:t>
      </w:r>
      <w:r w:rsidR="00B9769C">
        <w:t xml:space="preserve">the presence of </w:t>
      </w:r>
      <w:r w:rsidR="00302E32" w:rsidRPr="00EF7303">
        <w:t>high concentrations of hydrophobic substrate</w:t>
      </w:r>
      <w:r w:rsidR="00F62C70" w:rsidRPr="00EF7303">
        <w:t>s</w:t>
      </w:r>
      <w:r w:rsidR="00302E32" w:rsidRPr="00EF7303">
        <w:t xml:space="preserve">. </w:t>
      </w:r>
      <w:r w:rsidR="008B2C89">
        <w:t>Moreover</w:t>
      </w:r>
      <w:r w:rsidR="00302E32" w:rsidRPr="00EF7303">
        <w:t>, cell growth</w:t>
      </w:r>
      <w:r w:rsidR="001B00E4" w:rsidRPr="00EF7303">
        <w:t xml:space="preserve"> </w:t>
      </w:r>
      <w:r w:rsidR="003A4368" w:rsidRPr="00EF7303">
        <w:t>was shown</w:t>
      </w:r>
      <w:r w:rsidR="001B00E4" w:rsidRPr="00EF7303">
        <w:t xml:space="preserve"> to</w:t>
      </w:r>
      <w:r w:rsidR="00302E32" w:rsidRPr="00EF7303">
        <w:t xml:space="preserve"> </w:t>
      </w:r>
      <w:r w:rsidR="00B9769C">
        <w:t>be</w:t>
      </w:r>
      <w:r w:rsidR="00470FDD" w:rsidRPr="00EF7303">
        <w:t xml:space="preserve"> </w:t>
      </w:r>
      <w:r w:rsidR="003A4368" w:rsidRPr="00EF7303">
        <w:t>enhanced</w:t>
      </w:r>
      <w:r w:rsidR="00470FDD" w:rsidRPr="00EF7303">
        <w:t xml:space="preserve"> </w:t>
      </w:r>
      <w:r w:rsidR="00B9769C">
        <w:t>in</w:t>
      </w:r>
      <w:r w:rsidR="00B9769C" w:rsidRPr="00EF7303">
        <w:t xml:space="preserve"> </w:t>
      </w:r>
      <w:r w:rsidR="00302E32" w:rsidRPr="00EF7303">
        <w:t>these conditions</w:t>
      </w:r>
      <w:r w:rsidR="00470FDD" w:rsidRPr="00EF7303">
        <w:t xml:space="preserve">, </w:t>
      </w:r>
      <w:r w:rsidR="00F62C70" w:rsidRPr="00EF7303">
        <w:t xml:space="preserve">triggering at the same time the </w:t>
      </w:r>
      <w:r w:rsidR="00912BE9" w:rsidRPr="00EF7303">
        <w:t xml:space="preserve">production </w:t>
      </w:r>
      <w:r w:rsidR="00857904" w:rsidRPr="00EF7303">
        <w:t xml:space="preserve">of </w:t>
      </w:r>
      <w:r w:rsidR="00C51A6E" w:rsidRPr="00EF7303">
        <w:t xml:space="preserve">lipase </w:t>
      </w:r>
      <w:r w:rsidR="00B9769C">
        <w:t xml:space="preserve">whose maximal recorded extracellular </w:t>
      </w:r>
      <w:r w:rsidR="00C51A6E" w:rsidRPr="00EF7303">
        <w:t xml:space="preserve">activity </w:t>
      </w:r>
      <w:r w:rsidR="00B9769C">
        <w:t>was</w:t>
      </w:r>
      <w:r w:rsidR="00B9769C" w:rsidRPr="00EF7303">
        <w:t xml:space="preserve"> </w:t>
      </w:r>
      <w:r w:rsidR="00F87E95" w:rsidRPr="00EF7303">
        <w:t>0.925</w:t>
      </w:r>
      <w:r w:rsidR="00C51A6E" w:rsidRPr="00EF7303">
        <w:rPr>
          <w:lang w:val="en-GB"/>
        </w:rPr>
        <w:t xml:space="preserve"> ± 0.08 U/mL after 198 h of </w:t>
      </w:r>
      <w:r w:rsidR="001804F7" w:rsidRPr="00EF7303">
        <w:rPr>
          <w:lang w:val="en-GB"/>
        </w:rPr>
        <w:t>culture</w:t>
      </w:r>
      <w:r w:rsidR="00C51A6E" w:rsidRPr="00EF7303">
        <w:rPr>
          <w:lang w:val="en-GB"/>
        </w:rPr>
        <w:t xml:space="preserve"> on 200 g/L WCO supplemented media.</w:t>
      </w:r>
      <w:r w:rsidR="00DE7904" w:rsidRPr="00EF7303">
        <w:rPr>
          <w:lang w:val="en-GB"/>
        </w:rPr>
        <w:t xml:space="preserve"> </w:t>
      </w:r>
      <w:r w:rsidR="00F62C70" w:rsidRPr="00EF7303">
        <w:rPr>
          <w:lang w:val="en-GB"/>
        </w:rPr>
        <w:t>Future</w:t>
      </w:r>
      <w:r w:rsidR="001427CB" w:rsidRPr="00EF7303">
        <w:rPr>
          <w:lang w:val="en-GB"/>
        </w:rPr>
        <w:t xml:space="preserve"> analysis</w:t>
      </w:r>
      <w:r w:rsidR="003A4368" w:rsidRPr="00EF7303">
        <w:rPr>
          <w:lang w:val="en-GB"/>
        </w:rPr>
        <w:t xml:space="preserve"> </w:t>
      </w:r>
      <w:r w:rsidR="001427CB" w:rsidRPr="00EF7303">
        <w:rPr>
          <w:lang w:val="en-GB"/>
        </w:rPr>
        <w:t>on media and cell lipid composition</w:t>
      </w:r>
      <w:r w:rsidR="00F62C70" w:rsidRPr="00EF7303">
        <w:rPr>
          <w:lang w:val="en-GB"/>
        </w:rPr>
        <w:t xml:space="preserve"> during the </w:t>
      </w:r>
      <w:r w:rsidR="001804F7" w:rsidRPr="00EF7303">
        <w:rPr>
          <w:lang w:val="en-GB"/>
        </w:rPr>
        <w:t>culture</w:t>
      </w:r>
      <w:r w:rsidR="001427CB" w:rsidRPr="00EF7303">
        <w:rPr>
          <w:lang w:val="en-GB"/>
        </w:rPr>
        <w:t xml:space="preserve"> </w:t>
      </w:r>
      <w:r w:rsidR="003A4368" w:rsidRPr="00EF7303">
        <w:rPr>
          <w:lang w:val="en-GB"/>
        </w:rPr>
        <w:t>may</w:t>
      </w:r>
      <w:r w:rsidR="001427CB" w:rsidRPr="00EF7303">
        <w:rPr>
          <w:lang w:val="en-GB"/>
        </w:rPr>
        <w:t xml:space="preserve"> bring new information capable of </w:t>
      </w:r>
      <w:r w:rsidR="003A4368" w:rsidRPr="00EF7303">
        <w:rPr>
          <w:lang w:val="en-GB"/>
        </w:rPr>
        <w:t>improving the results of this work for lipase and biomass production for the valorization of a waste product such as WCO</w:t>
      </w:r>
      <w:r w:rsidR="00AA1802" w:rsidRPr="00EF7303">
        <w:rPr>
          <w:lang w:val="en-GB"/>
        </w:rPr>
        <w:t>.</w:t>
      </w:r>
      <w:r w:rsidR="00AA4F40" w:rsidRPr="00EF7303">
        <w:rPr>
          <w:lang w:val="en-GB"/>
        </w:rPr>
        <w:t xml:space="preserve"> Further supernatant characterization could help identify the presence of different proteases which could be inhibited, probably increasing lipase activities.</w:t>
      </w:r>
      <w:r w:rsidR="00AA1802" w:rsidRPr="00EF7303">
        <w:rPr>
          <w:lang w:val="en-GB"/>
        </w:rPr>
        <w:t xml:space="preserve"> </w:t>
      </w:r>
      <w:r w:rsidR="008B2C89">
        <w:rPr>
          <w:lang w:val="en-GB"/>
        </w:rPr>
        <w:t>M</w:t>
      </w:r>
      <w:r w:rsidR="0053149F" w:rsidRPr="00EF7303">
        <w:rPr>
          <w:lang w:val="en-GB"/>
        </w:rPr>
        <w:t>edia design approaches and genetic</w:t>
      </w:r>
      <w:r w:rsidR="003A4368" w:rsidRPr="00EF7303">
        <w:rPr>
          <w:lang w:val="en-GB"/>
        </w:rPr>
        <w:t xml:space="preserve"> engineering could </w:t>
      </w:r>
      <w:r w:rsidR="00454ACF">
        <w:rPr>
          <w:lang w:val="en-GB"/>
        </w:rPr>
        <w:t>also</w:t>
      </w:r>
      <w:r w:rsidR="003A4368" w:rsidRPr="00EF7303">
        <w:rPr>
          <w:lang w:val="en-GB"/>
        </w:rPr>
        <w:t xml:space="preserve"> improve the preliminary results showed in this work to </w:t>
      </w:r>
      <w:r w:rsidR="00C80C29">
        <w:rPr>
          <w:lang w:val="en-GB"/>
        </w:rPr>
        <w:t>promote</w:t>
      </w:r>
      <w:r w:rsidR="003A4368" w:rsidRPr="00EF7303">
        <w:rPr>
          <w:lang w:val="en-GB"/>
        </w:rPr>
        <w:t xml:space="preserve"> the industrial feasibility of </w:t>
      </w:r>
      <w:r w:rsidR="0053149F" w:rsidRPr="00EF7303">
        <w:rPr>
          <w:lang w:val="en-GB"/>
        </w:rPr>
        <w:t>the process</w:t>
      </w:r>
      <w:r w:rsidR="00ED5AC0" w:rsidRPr="00EF7303">
        <w:rPr>
          <w:lang w:val="en-GB"/>
        </w:rPr>
        <w:t>.</w:t>
      </w:r>
    </w:p>
    <w:p w14:paraId="01C2E8BE" w14:textId="67D3D7D2" w:rsidR="00AA1802" w:rsidRPr="00762CDE" w:rsidRDefault="00AA1802" w:rsidP="00AA1802">
      <w:pPr>
        <w:pStyle w:val="CETBodytext"/>
        <w:rPr>
          <w:lang w:val="en-GB"/>
        </w:rPr>
      </w:pPr>
      <w:r w:rsidRPr="00EF7303">
        <w:rPr>
          <w:lang w:val="en-GB"/>
        </w:rPr>
        <w:t xml:space="preserve">Overall, it can be concluded that WCO revealed itself as </w:t>
      </w:r>
      <w:r w:rsidR="00DE7904" w:rsidRPr="00EF7303">
        <w:rPr>
          <w:lang w:val="en-GB"/>
        </w:rPr>
        <w:t xml:space="preserve">the best substrate, among the tested ones, </w:t>
      </w:r>
      <w:r w:rsidR="00AC64D0" w:rsidRPr="00EF7303">
        <w:rPr>
          <w:lang w:val="en-GB"/>
        </w:rPr>
        <w:t xml:space="preserve">for lipase production in </w:t>
      </w:r>
      <w:r w:rsidR="00AC64D0" w:rsidRPr="00EF7303">
        <w:rPr>
          <w:i/>
          <w:iCs/>
          <w:lang w:val="en-GB"/>
        </w:rPr>
        <w:t>Y. lipolytica</w:t>
      </w:r>
      <w:r w:rsidR="0053149F" w:rsidRPr="00EF7303">
        <w:rPr>
          <w:lang w:val="en-GB"/>
        </w:rPr>
        <w:t xml:space="preserve"> and it </w:t>
      </w:r>
      <w:r w:rsidR="00AC64D0" w:rsidRPr="00EF7303">
        <w:rPr>
          <w:lang w:val="en-GB"/>
        </w:rPr>
        <w:t xml:space="preserve">is, thus, a suitable </w:t>
      </w:r>
      <w:r w:rsidR="001B00E4" w:rsidRPr="00EF7303">
        <w:rPr>
          <w:lang w:val="en-GB"/>
        </w:rPr>
        <w:t>alternative to other carbon sources</w:t>
      </w:r>
      <w:r w:rsidR="00AC64D0" w:rsidRPr="00EF7303">
        <w:rPr>
          <w:lang w:val="en-GB"/>
        </w:rPr>
        <w:t xml:space="preserve"> due to its cheap nature, availability and need of disposal</w:t>
      </w:r>
      <w:r w:rsidR="0053149F" w:rsidRPr="00EF7303">
        <w:rPr>
          <w:lang w:val="en-GB"/>
        </w:rPr>
        <w:t>.</w:t>
      </w:r>
      <w:r w:rsidR="00AC64D0" w:rsidRPr="00EF7303">
        <w:rPr>
          <w:lang w:val="en-GB"/>
        </w:rPr>
        <w:t xml:space="preserve"> </w:t>
      </w:r>
      <w:r w:rsidR="00AB6EB7" w:rsidRPr="00EF7303">
        <w:rPr>
          <w:lang w:val="en-GB"/>
        </w:rPr>
        <w:t>I</w:t>
      </w:r>
      <w:r w:rsidR="00857904" w:rsidRPr="00EF7303">
        <w:rPr>
          <w:lang w:val="en-GB"/>
        </w:rPr>
        <w:t>ts use</w:t>
      </w:r>
      <w:r w:rsidR="00AC64D0" w:rsidRPr="00EF7303">
        <w:rPr>
          <w:lang w:val="en-GB"/>
        </w:rPr>
        <w:t xml:space="preserve"> as feedstock for </w:t>
      </w:r>
      <w:r w:rsidR="001804F7" w:rsidRPr="00EF7303">
        <w:rPr>
          <w:lang w:val="en-GB"/>
        </w:rPr>
        <w:t>culture</w:t>
      </w:r>
      <w:r w:rsidR="00AC64D0" w:rsidRPr="00EF7303">
        <w:rPr>
          <w:lang w:val="en-GB"/>
        </w:rPr>
        <w:t xml:space="preserve">s involving </w:t>
      </w:r>
      <w:r w:rsidR="00AC64D0" w:rsidRPr="00EF7303">
        <w:rPr>
          <w:i/>
          <w:iCs/>
          <w:lang w:val="en-GB"/>
        </w:rPr>
        <w:t xml:space="preserve">Y. lipolytica </w:t>
      </w:r>
      <w:r w:rsidR="00AC64D0" w:rsidRPr="00EF7303">
        <w:rPr>
          <w:lang w:val="en-GB"/>
        </w:rPr>
        <w:t>could bring interesting solutions</w:t>
      </w:r>
      <w:r w:rsidR="0053149F" w:rsidRPr="00EF7303">
        <w:rPr>
          <w:lang w:val="en-GB"/>
        </w:rPr>
        <w:t xml:space="preserve"> to pollution problems</w:t>
      </w:r>
      <w:r w:rsidR="00AC64D0" w:rsidRPr="00EF7303">
        <w:rPr>
          <w:lang w:val="en-GB"/>
        </w:rPr>
        <w:t xml:space="preserve"> and alternative approaches to the field</w:t>
      </w:r>
      <w:r w:rsidR="0053149F" w:rsidRPr="00EF7303">
        <w:rPr>
          <w:lang w:val="en-GB"/>
        </w:rPr>
        <w:t xml:space="preserve"> of waste valorization.</w:t>
      </w:r>
      <w:r w:rsidR="00AC64D0">
        <w:rPr>
          <w:lang w:val="en-GB"/>
        </w:rPr>
        <w:t xml:space="preserve"> </w:t>
      </w:r>
    </w:p>
    <w:p w14:paraId="53DAB79D" w14:textId="3D9E393F" w:rsidR="002B0086" w:rsidRPr="00AA1802" w:rsidRDefault="00C07D7E" w:rsidP="005B2B1B">
      <w:pPr>
        <w:pStyle w:val="CETHeading1"/>
        <w:numPr>
          <w:ilvl w:val="0"/>
          <w:numId w:val="0"/>
        </w:numPr>
        <w:rPr>
          <w:lang w:val="en-GB"/>
        </w:rPr>
      </w:pPr>
      <w:r>
        <w:t>Acknowledgements</w:t>
      </w:r>
    </w:p>
    <w:p w14:paraId="003B7900" w14:textId="77777777" w:rsidR="00470FDD" w:rsidRDefault="00A33D71" w:rsidP="00A33D71">
      <w:pPr>
        <w:pStyle w:val="CETBodytext"/>
      </w:pPr>
      <w:r>
        <w:t xml:space="preserve">The authors are thankful for the </w:t>
      </w:r>
      <w:r w:rsidR="00470FDD" w:rsidRPr="00470FDD">
        <w:t>Interuniversity Consortium for Biotechnology (CIB), 34100, Trieste, Italy</w:t>
      </w:r>
      <w:r>
        <w:t xml:space="preserve"> and</w:t>
      </w:r>
      <w:r w:rsidR="00470FDD" w:rsidRPr="00470FDD">
        <w:br/>
        <w:t xml:space="preserve">Interuniversity Consortium of Chemical Reactivity and Catalysis, Via Celso </w:t>
      </w:r>
      <w:proofErr w:type="spellStart"/>
      <w:r w:rsidR="00470FDD" w:rsidRPr="00470FDD">
        <w:t>Upiani</w:t>
      </w:r>
      <w:proofErr w:type="spellEnd"/>
      <w:r w:rsidR="00470FDD" w:rsidRPr="00470FDD">
        <w:t xml:space="preserve"> 27, 70216, Bari, Italy</w:t>
      </w:r>
      <w:r>
        <w:t xml:space="preserve"> for the support. </w:t>
      </w:r>
    </w:p>
    <w:p w14:paraId="76926DA1" w14:textId="03550464" w:rsidR="002B0086" w:rsidRDefault="00155F8B" w:rsidP="005B2B1B">
      <w:pPr>
        <w:pStyle w:val="CETHeading1"/>
        <w:numPr>
          <w:ilvl w:val="0"/>
          <w:numId w:val="0"/>
        </w:numPr>
      </w:pPr>
      <w:r>
        <w:t>R</w:t>
      </w:r>
      <w:r w:rsidR="002B0086">
        <w:t>eferences</w:t>
      </w:r>
    </w:p>
    <w:p w14:paraId="23BF3ACA" w14:textId="78A1C2B1" w:rsidR="00D3455D" w:rsidRPr="001D4FF4" w:rsidRDefault="00D3455D" w:rsidP="002530AE">
      <w:pPr>
        <w:pStyle w:val="CETReferencetext"/>
      </w:pPr>
      <w:r w:rsidRPr="001D4FF4">
        <w:t xml:space="preserve">Barth G., Gaillardin C., 1996, </w:t>
      </w:r>
      <w:r w:rsidRPr="00FB5F4A">
        <w:rPr>
          <w:i/>
          <w:iCs/>
        </w:rPr>
        <w:t>Yarrowia lipolytica</w:t>
      </w:r>
      <w:r w:rsidRPr="001D4FF4">
        <w:t>, Nonconventional Yeasts in Biotechnology</w:t>
      </w:r>
      <w:r w:rsidR="00995644">
        <w:t>.</w:t>
      </w:r>
      <w:r w:rsidRPr="001D4FF4">
        <w:t xml:space="preserve"> </w:t>
      </w:r>
    </w:p>
    <w:p w14:paraId="7A3F28D4" w14:textId="0424AF49" w:rsidR="00D3455D" w:rsidRPr="001D4FF4" w:rsidRDefault="00D3455D" w:rsidP="002530AE">
      <w:pPr>
        <w:pStyle w:val="CETReferencetext"/>
      </w:pPr>
      <w:r w:rsidRPr="001D4FF4">
        <w:lastRenderedPageBreak/>
        <w:t>Ben Sassi A., Boularbah A, Jaouad A., Walker G., Boussaid A.</w:t>
      </w:r>
      <w:r w:rsidR="00861CB0" w:rsidRPr="001D4FF4">
        <w:t>, 2006</w:t>
      </w:r>
      <w:r w:rsidR="00861CB0">
        <w:t>,</w:t>
      </w:r>
      <w:r w:rsidRPr="001D4FF4">
        <w:t xml:space="preserve"> A comparison of Olive oil Mill Wastewaters (OMW) from three different processes in Morocco, Process Biochemistry, 41</w:t>
      </w:r>
      <w:r w:rsidR="00FA4669">
        <w:t>.</w:t>
      </w:r>
    </w:p>
    <w:p w14:paraId="640E37DD" w14:textId="68F130A0" w:rsidR="00D3455D" w:rsidRPr="001D4FF4" w:rsidRDefault="00D874EE" w:rsidP="002530AE">
      <w:pPr>
        <w:pStyle w:val="CETReferencetext"/>
      </w:pPr>
      <w:r>
        <w:t xml:space="preserve">Beopoulos A., Desfougeres T., Sabirova J., Zinjarde S., </w:t>
      </w:r>
      <w:proofErr w:type="spellStart"/>
      <w:r>
        <w:t>Neuvéglise</w:t>
      </w:r>
      <w:proofErr w:type="spellEnd"/>
      <w:r>
        <w:t xml:space="preserve"> C., Nicaud J.-M., 2010. The Hydrocarbon-Degrading Oleaginous Yeast Yarrowia lipolytica. Handbook of Hydrocarbon and Lipid Microbiology 2111–2121</w:t>
      </w:r>
      <w:r w:rsidR="00FA4669">
        <w:t>.</w:t>
      </w:r>
    </w:p>
    <w:p w14:paraId="1081F407" w14:textId="6447F8A4" w:rsidR="00D3455D" w:rsidRPr="001D4FF4" w:rsidRDefault="00D3455D" w:rsidP="002530AE">
      <w:pPr>
        <w:pStyle w:val="CETReferencetext"/>
      </w:pPr>
      <w:r w:rsidRPr="001D4FF4">
        <w:t xml:space="preserve">Beopoulos A., Cescut J., Haddouche R., Uribelarrea J.-L, Molina-Jouve C., Nicaud J.-M., 2009, </w:t>
      </w:r>
      <w:r w:rsidRPr="00FB5F4A">
        <w:rPr>
          <w:i/>
          <w:iCs/>
        </w:rPr>
        <w:t>Yarrowia lipolytica</w:t>
      </w:r>
      <w:r w:rsidRPr="001D4FF4">
        <w:t xml:space="preserve"> as a model for bio-oil production, Progress in Lipid Research, 48, 6, </w:t>
      </w:r>
      <w:r w:rsidR="00FA4669" w:rsidRPr="001D4FF4">
        <w:t>375-387</w:t>
      </w:r>
      <w:r w:rsidR="00FA4669">
        <w:t>.</w:t>
      </w:r>
    </w:p>
    <w:p w14:paraId="647B62BE" w14:textId="3F41E480" w:rsidR="00D3455D" w:rsidRPr="001D4FF4" w:rsidRDefault="00076217" w:rsidP="002530AE">
      <w:pPr>
        <w:pStyle w:val="CETReferencetext"/>
      </w:pPr>
      <w:r>
        <w:t xml:space="preserve">Biundo, A., Hromic, A., Pavkov-Keller, T., Gruber, K., </w:t>
      </w:r>
      <w:proofErr w:type="spellStart"/>
      <w:r>
        <w:t>Quartinello</w:t>
      </w:r>
      <w:proofErr w:type="spellEnd"/>
      <w:r>
        <w:t xml:space="preserve">, F., </w:t>
      </w:r>
      <w:proofErr w:type="spellStart"/>
      <w:r>
        <w:t>Haernvall</w:t>
      </w:r>
      <w:proofErr w:type="spellEnd"/>
      <w:r>
        <w:t xml:space="preserve">, K., </w:t>
      </w:r>
      <w:proofErr w:type="spellStart"/>
      <w:r>
        <w:t>Perz</w:t>
      </w:r>
      <w:proofErr w:type="spellEnd"/>
      <w:r>
        <w:t xml:space="preserve">, V., </w:t>
      </w:r>
      <w:proofErr w:type="spellStart"/>
      <w:r>
        <w:t>Arrell</w:t>
      </w:r>
      <w:proofErr w:type="spellEnd"/>
      <w:r>
        <w:t xml:space="preserve">, M.S., Zinn, M., </w:t>
      </w:r>
      <w:proofErr w:type="spellStart"/>
      <w:r>
        <w:t>Ribitsch</w:t>
      </w:r>
      <w:proofErr w:type="spellEnd"/>
      <w:r>
        <w:t xml:space="preserve">, D., </w:t>
      </w:r>
      <w:proofErr w:type="spellStart"/>
      <w:r>
        <w:t>Guebitz</w:t>
      </w:r>
      <w:proofErr w:type="spellEnd"/>
      <w:r>
        <w:t xml:space="preserve">, G.M., 2016. Characterization of a </w:t>
      </w:r>
      <w:proofErr w:type="gramStart"/>
      <w:r>
        <w:t>poly(</w:t>
      </w:r>
      <w:proofErr w:type="gramEnd"/>
      <w:r>
        <w:t>butylene adipate-co-terephthalate)-hydrolyzing lipase from Pelosinus fermentans. Applied Microbiology and Biotechnology 100, 1753–1764</w:t>
      </w:r>
      <w:r w:rsidR="00FA4669">
        <w:t>.</w:t>
      </w:r>
    </w:p>
    <w:p w14:paraId="6C8807AF" w14:textId="1E1BAA4C" w:rsidR="00D3455D" w:rsidRPr="001D4FF4" w:rsidRDefault="00D3455D" w:rsidP="002530AE">
      <w:pPr>
        <w:pStyle w:val="CETReferencetext"/>
      </w:pPr>
      <w:r w:rsidRPr="001D4FF4">
        <w:t>Braga A., Gomes N.</w:t>
      </w:r>
      <w:r w:rsidR="00E468B9">
        <w:t>,</w:t>
      </w:r>
      <w:r w:rsidRPr="001D4FF4">
        <w:t xml:space="preserve"> Belo I., 2012, Lipase Induction in </w:t>
      </w:r>
      <w:r w:rsidRPr="00FB5F4A">
        <w:rPr>
          <w:i/>
          <w:iCs/>
        </w:rPr>
        <w:t>Yarrowia lipolytica</w:t>
      </w:r>
      <w:r w:rsidRPr="001D4FF4">
        <w:t> for Castor Oil Hydrolysis and Its Effect on γ-Decalactone Production. J Am Oil Chem Soc 89, 1041–</w:t>
      </w:r>
      <w:r w:rsidR="00FA4669" w:rsidRPr="001D4FF4">
        <w:t>1047</w:t>
      </w:r>
      <w:r w:rsidR="00FA4669">
        <w:t>.</w:t>
      </w:r>
    </w:p>
    <w:p w14:paraId="399BBDA9" w14:textId="5982A1AD" w:rsidR="00D3455D" w:rsidRPr="001D4FF4" w:rsidRDefault="00E93383" w:rsidP="002530AE">
      <w:pPr>
        <w:pStyle w:val="CETReferencetext"/>
      </w:pPr>
      <w:r w:rsidRPr="00E93383">
        <w:rPr>
          <w:lang w:val="en-US"/>
        </w:rPr>
        <w:t xml:space="preserve">Casaregola, S., </w:t>
      </w:r>
      <w:proofErr w:type="spellStart"/>
      <w:r w:rsidRPr="00E93383">
        <w:rPr>
          <w:lang w:val="en-US"/>
        </w:rPr>
        <w:t>Neuvéglise</w:t>
      </w:r>
      <w:proofErr w:type="spellEnd"/>
      <w:r w:rsidRPr="00E93383">
        <w:rPr>
          <w:lang w:val="en-US"/>
        </w:rPr>
        <w:t xml:space="preserve">, C., </w:t>
      </w:r>
      <w:proofErr w:type="spellStart"/>
      <w:r w:rsidRPr="00E93383">
        <w:rPr>
          <w:lang w:val="en-US"/>
        </w:rPr>
        <w:t>Lépingle</w:t>
      </w:r>
      <w:proofErr w:type="spellEnd"/>
      <w:r w:rsidRPr="00E93383">
        <w:rPr>
          <w:lang w:val="en-US"/>
        </w:rPr>
        <w:t xml:space="preserve">, A., Bon, E., Feynerol, C., Artiguenave, F., </w:t>
      </w:r>
      <w:proofErr w:type="spellStart"/>
      <w:r w:rsidRPr="00E93383">
        <w:rPr>
          <w:lang w:val="en-US"/>
        </w:rPr>
        <w:t>Wincker</w:t>
      </w:r>
      <w:proofErr w:type="spellEnd"/>
      <w:r w:rsidRPr="00E93383">
        <w:rPr>
          <w:lang w:val="en-US"/>
        </w:rPr>
        <w:t xml:space="preserve">, P., Gaillardin, C., 2000. </w:t>
      </w:r>
      <w:r>
        <w:t>Genomic exploration of the hemiascomycetous yeasts: 17. Yarrowia lipolytica. FEBS Lett 487</w:t>
      </w:r>
      <w:r w:rsidR="00602121">
        <w:t>.</w:t>
      </w:r>
    </w:p>
    <w:p w14:paraId="26C7C441" w14:textId="0B9FFA95" w:rsidR="00D3455D" w:rsidRPr="001D4FF4" w:rsidRDefault="00D3455D" w:rsidP="002530AE">
      <w:pPr>
        <w:pStyle w:val="CETReferencetext"/>
      </w:pPr>
      <w:r w:rsidRPr="001D4FF4">
        <w:t xml:space="preserve">Corzo G., Revah S., 1999, Production and characteristics of the lipase from </w:t>
      </w:r>
      <w:r w:rsidRPr="00FB5F4A">
        <w:rPr>
          <w:i/>
          <w:iCs/>
        </w:rPr>
        <w:t>Yarrowia lipolytica</w:t>
      </w:r>
      <w:r w:rsidRPr="001D4FF4">
        <w:t xml:space="preserve"> 681, Bioresource Technology, 70, 2, </w:t>
      </w:r>
      <w:r w:rsidR="00FA4669" w:rsidRPr="001D4FF4">
        <w:t>173-180</w:t>
      </w:r>
      <w:r w:rsidR="00FA4669">
        <w:t>.</w:t>
      </w:r>
    </w:p>
    <w:p w14:paraId="58C0AC81" w14:textId="3B3F83FD" w:rsidR="00D3455D" w:rsidRPr="001D4FF4" w:rsidRDefault="00D3455D" w:rsidP="002530AE">
      <w:pPr>
        <w:pStyle w:val="CETReferencetext"/>
      </w:pPr>
      <w:r w:rsidRPr="001D4FF4">
        <w:t xml:space="preserve">De Felice B., Pontecorvo G., Carfagna M., 1997, Degradation of wastewaters from olive oil mills by </w:t>
      </w:r>
      <w:r w:rsidRPr="00FB5F4A">
        <w:rPr>
          <w:i/>
          <w:iCs/>
        </w:rPr>
        <w:t>Yarrowia lipolytica</w:t>
      </w:r>
      <w:r w:rsidRPr="001D4FF4">
        <w:t xml:space="preserve"> ATCC 20225 and Pseudomonas putida. Acta Biotechnol 17:231–</w:t>
      </w:r>
      <w:r w:rsidR="00FA4669" w:rsidRPr="001D4FF4">
        <w:t>239</w:t>
      </w:r>
      <w:r w:rsidR="00FA4669">
        <w:t>.</w:t>
      </w:r>
    </w:p>
    <w:p w14:paraId="72A6C839" w14:textId="5C2663B1" w:rsidR="00D3455D" w:rsidRPr="001D4FF4" w:rsidRDefault="00D3455D" w:rsidP="002530AE">
      <w:pPr>
        <w:pStyle w:val="CETReferencetext"/>
      </w:pPr>
      <w:r w:rsidRPr="001D4FF4">
        <w:t>Dujon B, Sherman D, Fischer G, Durrens P, Casaregola S, Lafontaine I, et al., 2004, Genome evolution in yeasts. Nature, 430:35–</w:t>
      </w:r>
      <w:r w:rsidR="00FA4669" w:rsidRPr="001D4FF4">
        <w:t>44</w:t>
      </w:r>
      <w:r w:rsidR="00FA4669">
        <w:t>.</w:t>
      </w:r>
    </w:p>
    <w:p w14:paraId="035C1A1D" w14:textId="73C2D568" w:rsidR="00D3455D" w:rsidRPr="001D4FF4" w:rsidRDefault="00D3455D" w:rsidP="002530AE">
      <w:pPr>
        <w:pStyle w:val="CETReferencetext"/>
      </w:pPr>
      <w:r w:rsidRPr="001D4FF4">
        <w:t xml:space="preserve">European Biomass Industry Association, </w:t>
      </w:r>
      <w:r w:rsidR="00FA4669" w:rsidRPr="001D4FF4">
        <w:t>2021</w:t>
      </w:r>
      <w:r w:rsidR="00FA4669">
        <w:t>.</w:t>
      </w:r>
      <w:r w:rsidRPr="001D4FF4">
        <w:t xml:space="preserve"> </w:t>
      </w:r>
    </w:p>
    <w:p w14:paraId="7F62711F" w14:textId="4C32EDE3" w:rsidR="00D3455D" w:rsidRPr="001D4FF4" w:rsidRDefault="00D3455D" w:rsidP="002530AE">
      <w:pPr>
        <w:pStyle w:val="CETReferencetext"/>
      </w:pPr>
      <w:r w:rsidRPr="001D4FF4">
        <w:t xml:space="preserve">Fickers P., Marty A., Nicaud J.-M., </w:t>
      </w:r>
      <w:r>
        <w:t xml:space="preserve">2011, </w:t>
      </w:r>
      <w:r w:rsidRPr="001D4FF4">
        <w:t xml:space="preserve">The lipases from </w:t>
      </w:r>
      <w:r w:rsidRPr="00FB5F4A">
        <w:rPr>
          <w:i/>
          <w:iCs/>
        </w:rPr>
        <w:t>Yarrowia lipolytica</w:t>
      </w:r>
      <w:r w:rsidRPr="001D4FF4">
        <w:t xml:space="preserve">: Genetics, production, regulation, biochemical characterization and biotechnological applications, Biotechnology Advances, 29, 6, </w:t>
      </w:r>
      <w:r w:rsidR="00FA4669" w:rsidRPr="001D4FF4">
        <w:t>632-644</w:t>
      </w:r>
      <w:r w:rsidR="00FA4669">
        <w:t>.</w:t>
      </w:r>
    </w:p>
    <w:p w14:paraId="7E9AA101" w14:textId="691C7A6D" w:rsidR="00D3455D" w:rsidRPr="001D4FF4" w:rsidRDefault="00D3455D" w:rsidP="002530AE">
      <w:pPr>
        <w:pStyle w:val="CETReferencetext"/>
      </w:pPr>
      <w:r w:rsidRPr="001D4FF4">
        <w:t>Fickers P., Nicaud J., Gaillardin C., Destain J.</w:t>
      </w:r>
      <w:r w:rsidR="00A05E13">
        <w:t>,</w:t>
      </w:r>
      <w:r w:rsidRPr="001D4FF4">
        <w:t xml:space="preserve"> Thonart P., 2004, Carbon and nitrogen sources modulate lipase production in the yeast </w:t>
      </w:r>
      <w:r w:rsidRPr="00FB5F4A">
        <w:rPr>
          <w:i/>
          <w:iCs/>
        </w:rPr>
        <w:t>Yarrowia lipolytica</w:t>
      </w:r>
      <w:r w:rsidRPr="001D4FF4">
        <w:t xml:space="preserve">. Journal of Applied Microbiology, 96: </w:t>
      </w:r>
      <w:r w:rsidR="00FA4669" w:rsidRPr="001D4FF4">
        <w:t>742-749</w:t>
      </w:r>
      <w:r w:rsidR="00FA4669">
        <w:t>.</w:t>
      </w:r>
    </w:p>
    <w:p w14:paraId="0D1F8F30" w14:textId="7C675E04" w:rsidR="00D3455D" w:rsidRPr="001D4FF4" w:rsidRDefault="00D3455D" w:rsidP="002530AE">
      <w:pPr>
        <w:pStyle w:val="CETReferencetext"/>
      </w:pPr>
      <w:r w:rsidRPr="001D4FF4">
        <w:t xml:space="preserve">Foo W.H., Chia W.Y., Tang D.Y.Y., Koay S.S.N., Lim S.S., Chew K.W., 2021, The conundrum of waste cooking oil: Transforming hazard into energy, Journal of Hazardous Materials, </w:t>
      </w:r>
      <w:r w:rsidR="00FA4669" w:rsidRPr="001D4FF4">
        <w:t>417</w:t>
      </w:r>
      <w:r w:rsidR="00FA4669">
        <w:t>.</w:t>
      </w:r>
    </w:p>
    <w:p w14:paraId="0EC4E69A" w14:textId="536853BE" w:rsidR="00D3455D" w:rsidRPr="001D4FF4" w:rsidRDefault="00D3455D" w:rsidP="002530AE">
      <w:pPr>
        <w:pStyle w:val="CETReferencetext"/>
      </w:pPr>
      <w:r w:rsidRPr="001D4FF4">
        <w:t>Isabel P. Marques, 2001, Anaerobic digestion treatment of olive mill wastewater for effluent re-use in irrigation, Desalination, Volume 137, 1–</w:t>
      </w:r>
      <w:r w:rsidR="00FA4669" w:rsidRPr="001D4FF4">
        <w:t>3</w:t>
      </w:r>
      <w:r w:rsidR="00FA4669">
        <w:t>.</w:t>
      </w:r>
    </w:p>
    <w:p w14:paraId="32CF6455" w14:textId="0F8443D5" w:rsidR="00D3455D" w:rsidRPr="001D4FF4" w:rsidRDefault="00D3455D" w:rsidP="002530AE">
      <w:pPr>
        <w:pStyle w:val="CETReferencetext"/>
      </w:pPr>
      <w:r w:rsidRPr="001D4FF4">
        <w:t>Li S., Rong L., Wang S., Liu S., Lu Z., Miao L., Zhao B., Zhang C., Xiao D., Pushpanathan K., Wong A, Yu A., 2022,</w:t>
      </w:r>
      <w:r>
        <w:t xml:space="preserve"> </w:t>
      </w:r>
      <w:r w:rsidRPr="001D4FF4">
        <w:t xml:space="preserve">Enhanced limonene production by metabolically engineered </w:t>
      </w:r>
      <w:r w:rsidRPr="00FB5F4A">
        <w:rPr>
          <w:i/>
          <w:iCs/>
        </w:rPr>
        <w:t>Yarrowia lipolytica</w:t>
      </w:r>
      <w:r w:rsidRPr="001D4FF4">
        <w:t xml:space="preserve"> from cheap carbon sources, Chemical Engineering Science, </w:t>
      </w:r>
      <w:r w:rsidR="00FA4669" w:rsidRPr="001D4FF4">
        <w:t>249</w:t>
      </w:r>
      <w:r w:rsidR="00FA4669">
        <w:t>.</w:t>
      </w:r>
    </w:p>
    <w:p w14:paraId="5948E82B" w14:textId="4052DDC8" w:rsidR="00D3455D" w:rsidRPr="001D4FF4" w:rsidRDefault="00D3455D" w:rsidP="002530AE">
      <w:pPr>
        <w:pStyle w:val="CETReferencetext"/>
      </w:pPr>
      <w:r w:rsidRPr="001D4FF4">
        <w:t>Lopes M., Araújo C., Aguedo M., Gomes N., Gonçalves C., Teixeira J.A.</w:t>
      </w:r>
      <w:r w:rsidR="009B4F9A">
        <w:t>,</w:t>
      </w:r>
      <w:r w:rsidRPr="001D4FF4">
        <w:t xml:space="preserve"> Belo I., 2009, The use of olive mill wastewater by wild type </w:t>
      </w:r>
      <w:r w:rsidRPr="00FB5F4A">
        <w:rPr>
          <w:i/>
          <w:iCs/>
        </w:rPr>
        <w:t>Yarrowia lipolytica</w:t>
      </w:r>
      <w:r w:rsidRPr="001D4FF4">
        <w:t xml:space="preserve"> strains: medium supplementation and surfactant presence effect. J. Chem. Technol. Biotechnol., 84: </w:t>
      </w:r>
      <w:r w:rsidR="00FA4669" w:rsidRPr="001D4FF4">
        <w:t>533-537</w:t>
      </w:r>
      <w:r w:rsidR="00FA4669">
        <w:t>.</w:t>
      </w:r>
    </w:p>
    <w:p w14:paraId="5CFFAAE9" w14:textId="52DFA9F1" w:rsidR="00D3455D" w:rsidRPr="001D4FF4" w:rsidRDefault="00D3455D" w:rsidP="002530AE">
      <w:pPr>
        <w:pStyle w:val="CETReferencetext"/>
      </w:pPr>
      <w:r w:rsidRPr="001D4FF4">
        <w:t xml:space="preserve">Lopes M., Gomes N., Mota M., 2009, </w:t>
      </w:r>
      <w:r w:rsidRPr="00FB5F4A">
        <w:rPr>
          <w:i/>
          <w:iCs/>
        </w:rPr>
        <w:t>Yarrowia lipolytica</w:t>
      </w:r>
      <w:r w:rsidRPr="001D4FF4">
        <w:t xml:space="preserve"> Growth Under Increased Air Pressure: Influence on Enzyme Production. Appl Biochem Biotechnol 159, 46–</w:t>
      </w:r>
      <w:r w:rsidR="00FA4669" w:rsidRPr="001D4FF4">
        <w:t>53</w:t>
      </w:r>
      <w:r w:rsidR="00FA4669">
        <w:t>.</w:t>
      </w:r>
    </w:p>
    <w:p w14:paraId="574C9F0F" w14:textId="053BDB9E" w:rsidR="00D3455D" w:rsidRPr="001D4FF4" w:rsidRDefault="00D3455D" w:rsidP="002530AE">
      <w:pPr>
        <w:pStyle w:val="CETReferencetext"/>
      </w:pPr>
      <w:r w:rsidRPr="001D4FF4">
        <w:t>Miller K.K.</w:t>
      </w:r>
      <w:r w:rsidR="003C60F2">
        <w:t>,</w:t>
      </w:r>
      <w:r w:rsidRPr="001D4FF4">
        <w:t xml:space="preserve"> Alper H.S., 2019, </w:t>
      </w:r>
      <w:r w:rsidRPr="00FB5F4A">
        <w:rPr>
          <w:i/>
          <w:iCs/>
        </w:rPr>
        <w:t>Yarrowia lipolytica</w:t>
      </w:r>
      <w:r w:rsidRPr="001D4FF4">
        <w:t>: more than an oleaginous workhorse, Applied Microbiology and Biotechnology 103, 9251–</w:t>
      </w:r>
      <w:r w:rsidR="00FA4669" w:rsidRPr="001D4FF4">
        <w:t>9262</w:t>
      </w:r>
      <w:r w:rsidR="00FA4669">
        <w:t>.</w:t>
      </w:r>
    </w:p>
    <w:p w14:paraId="317EEA4D" w14:textId="002D82B9" w:rsidR="00D3455D" w:rsidRPr="001D4FF4" w:rsidRDefault="00D3455D" w:rsidP="002530AE">
      <w:pPr>
        <w:pStyle w:val="CETReferencetext"/>
      </w:pPr>
      <w:r w:rsidRPr="001D4FF4">
        <w:t xml:space="preserve">Nicaud J.-M., 2012, </w:t>
      </w:r>
      <w:r w:rsidRPr="00FB5F4A">
        <w:rPr>
          <w:i/>
          <w:iCs/>
        </w:rPr>
        <w:t>Yarrowia lipolytica</w:t>
      </w:r>
      <w:r w:rsidRPr="001D4FF4">
        <w:t xml:space="preserve">, Yeast Primer, 29: </w:t>
      </w:r>
      <w:r w:rsidR="00FA4669" w:rsidRPr="001D4FF4">
        <w:t>409-418</w:t>
      </w:r>
      <w:r w:rsidR="00FA4669">
        <w:t>.</w:t>
      </w:r>
      <w:r w:rsidRPr="001D4FF4">
        <w:t xml:space="preserve"> </w:t>
      </w:r>
    </w:p>
    <w:p w14:paraId="6CEF5C5E" w14:textId="77777777" w:rsidR="00D3455D" w:rsidRDefault="00D3455D" w:rsidP="00483A7D">
      <w:pPr>
        <w:pStyle w:val="CETReferencetext"/>
      </w:pPr>
      <w:r w:rsidRPr="002F49F4">
        <w:rPr>
          <w:lang w:val="en-US"/>
        </w:rPr>
        <w:t xml:space="preserve">Nunes P., Martins A., Brígida A., Rocha-Leão M. H., Amaral P., </w:t>
      </w:r>
      <w:r w:rsidRPr="002F49F4">
        <w:t>2014</w:t>
      </w:r>
      <w:r>
        <w:t>,</w:t>
      </w:r>
      <w:r w:rsidRPr="002F49F4">
        <w:t xml:space="preserve"> Intracellular Lipase Production by </w:t>
      </w:r>
      <w:r w:rsidRPr="00FB5F4A">
        <w:rPr>
          <w:i/>
          <w:iCs/>
        </w:rPr>
        <w:t>Yarrowia lipolytica</w:t>
      </w:r>
      <w:r w:rsidRPr="002F49F4">
        <w:t xml:space="preserve"> Using Different Carbon Sources. Chemical Engineering Transactions. 38. 421.</w:t>
      </w:r>
    </w:p>
    <w:p w14:paraId="35B77E88" w14:textId="523C64A6" w:rsidR="00D3455D" w:rsidRPr="001D4FF4" w:rsidRDefault="00D3455D" w:rsidP="002530AE">
      <w:pPr>
        <w:pStyle w:val="CETReferencetext"/>
      </w:pPr>
      <w:r w:rsidRPr="001D4FF4">
        <w:t>Salimon J., Bashar M. A.</w:t>
      </w:r>
      <w:r w:rsidR="00F04C2A">
        <w:t>,</w:t>
      </w:r>
      <w:r w:rsidRPr="001D4FF4">
        <w:t xml:space="preserve"> Salih N., 2011, Hydrolysis optimization and characterization study of preparing fatty acids from Jatropha curcas seed oil, Chemistry Central Journal, 5, </w:t>
      </w:r>
      <w:r w:rsidR="00FA4669" w:rsidRPr="001D4FF4">
        <w:t>67</w:t>
      </w:r>
      <w:r w:rsidR="00FA4669">
        <w:t>.</w:t>
      </w:r>
    </w:p>
    <w:p w14:paraId="5B7DEEF6" w14:textId="5B15419E" w:rsidR="00D3455D" w:rsidRPr="001D4FF4" w:rsidRDefault="00D3455D" w:rsidP="002530AE">
      <w:pPr>
        <w:pStyle w:val="CETReferencetext"/>
      </w:pPr>
      <w:r w:rsidRPr="001D4FF4">
        <w:t xml:space="preserve">Smita S., Zinjarde A.P., Mukund V. D., 1998, Dimorphic transition in </w:t>
      </w:r>
      <w:r w:rsidRPr="00FB5F4A">
        <w:rPr>
          <w:i/>
          <w:iCs/>
        </w:rPr>
        <w:t>Yarrowia lipolytica</w:t>
      </w:r>
      <w:r w:rsidRPr="001D4FF4">
        <w:t xml:space="preserve"> isolated from oil-polluted sea water, Mycological Research,102, </w:t>
      </w:r>
      <w:r w:rsidR="00FA4669" w:rsidRPr="001D4FF4">
        <w:t>5</w:t>
      </w:r>
      <w:r w:rsidR="00FA4669">
        <w:t>.</w:t>
      </w:r>
    </w:p>
    <w:p w14:paraId="09453F1E" w14:textId="75DAA49E" w:rsidR="00D3455D" w:rsidRPr="001D4FF4" w:rsidRDefault="00D3455D" w:rsidP="002530AE">
      <w:pPr>
        <w:pStyle w:val="CETReferencetext"/>
      </w:pPr>
      <w:r w:rsidRPr="001D4FF4">
        <w:t xml:space="preserve">Suzzi G., Lanorte </w:t>
      </w:r>
      <w:proofErr w:type="gramStart"/>
      <w:r w:rsidRPr="001D4FF4">
        <w:t>M.T. ,</w:t>
      </w:r>
      <w:proofErr w:type="gramEnd"/>
      <w:r w:rsidRPr="001D4FF4">
        <w:t xml:space="preserve"> Galgano F., Andrighetto C., Lombardi A., Lanciotti R.,  </w:t>
      </w:r>
      <w:proofErr w:type="spellStart"/>
      <w:r w:rsidRPr="001D4FF4">
        <w:t>Guerzoni</w:t>
      </w:r>
      <w:proofErr w:type="spellEnd"/>
      <w:r w:rsidRPr="001D4FF4">
        <w:t xml:space="preserve"> M.R., 2001, Proteolytic, lipolytic and molecular characterisation of </w:t>
      </w:r>
      <w:r w:rsidRPr="00FB5F4A">
        <w:rPr>
          <w:i/>
          <w:iCs/>
        </w:rPr>
        <w:t>Yarrowia lipolytica</w:t>
      </w:r>
      <w:r w:rsidRPr="001D4FF4">
        <w:t xml:space="preserve"> isolated from cheese, International Journal of Food Microbiology,69, 1–2</w:t>
      </w:r>
      <w:r w:rsidR="00FA4669">
        <w:t>.</w:t>
      </w:r>
    </w:p>
    <w:p w14:paraId="40931D04" w14:textId="76485EFD" w:rsidR="00D3455D" w:rsidRPr="001D4FF4" w:rsidRDefault="00D3455D" w:rsidP="002530AE">
      <w:pPr>
        <w:pStyle w:val="CETReferencetext"/>
      </w:pPr>
      <w:r w:rsidRPr="001D4FF4">
        <w:t xml:space="preserve">Treichel. H, de Oliveira D., </w:t>
      </w:r>
      <w:proofErr w:type="spellStart"/>
      <w:r w:rsidRPr="001D4FF4">
        <w:t>Mazutti</w:t>
      </w:r>
      <w:proofErr w:type="spellEnd"/>
      <w:r w:rsidRPr="001D4FF4">
        <w:t xml:space="preserve"> M.A., Di </w:t>
      </w:r>
      <w:proofErr w:type="spellStart"/>
      <w:r w:rsidRPr="001D4FF4">
        <w:t>Luccio</w:t>
      </w:r>
      <w:proofErr w:type="spellEnd"/>
      <w:r w:rsidRPr="001D4FF4">
        <w:t xml:space="preserve"> M., Oliveira L., 2010, A Review on Microbial Lipases Production, Food and Bioprocess Technology 3, 182–</w:t>
      </w:r>
      <w:r w:rsidR="00FA4669" w:rsidRPr="001D4FF4">
        <w:t>196</w:t>
      </w:r>
      <w:r w:rsidR="00FA4669">
        <w:t>.</w:t>
      </w:r>
      <w:r w:rsidRPr="001D4FF4">
        <w:t xml:space="preserve"> </w:t>
      </w:r>
    </w:p>
    <w:p w14:paraId="35B3276C" w14:textId="2F4CADDD" w:rsidR="00FA4669" w:rsidRPr="001D4FF4" w:rsidRDefault="00D3455D" w:rsidP="00FA4669">
      <w:pPr>
        <w:pStyle w:val="CETReferencetext"/>
      </w:pPr>
      <w:r w:rsidRPr="001D4FF4">
        <w:t xml:space="preserve">Verger R., de Haas G. H., 1976, Interfacial enzyme kinetics of </w:t>
      </w:r>
      <w:proofErr w:type="spellStart"/>
      <w:r w:rsidRPr="001D4FF4">
        <w:t>lypolisis</w:t>
      </w:r>
      <w:proofErr w:type="spellEnd"/>
      <w:r w:rsidRPr="001D4FF4">
        <w:t xml:space="preserve">, </w:t>
      </w:r>
      <w:proofErr w:type="spellStart"/>
      <w:r w:rsidRPr="001D4FF4">
        <w:t>Annu</w:t>
      </w:r>
      <w:proofErr w:type="spellEnd"/>
      <w:r w:rsidRPr="001D4FF4">
        <w:t>. Rev. Biophys. Bioeng.</w:t>
      </w:r>
      <w:r>
        <w:t xml:space="preserve">,5, </w:t>
      </w:r>
      <w:r w:rsidRPr="001D4FF4">
        <w:t>77-117</w:t>
      </w:r>
      <w:r w:rsidR="00FA4669">
        <w:t>.</w:t>
      </w:r>
    </w:p>
    <w:p w14:paraId="62C66618" w14:textId="1B558E16" w:rsidR="00D3455D" w:rsidRPr="001D4FF4" w:rsidRDefault="00D3455D" w:rsidP="002530AE">
      <w:pPr>
        <w:pStyle w:val="CETReferencetext"/>
      </w:pPr>
      <w:r w:rsidRPr="001D4FF4">
        <w:t>Verger R., Mieras M. C. E., and de Haas G. H., 1973, Action of phospholipase A at interfaces, J. Biol. Chem. 248, 4023–4034</w:t>
      </w:r>
      <w:r w:rsidR="00FA4669">
        <w:t>.</w:t>
      </w:r>
    </w:p>
    <w:p w14:paraId="70479B28" w14:textId="6185F15E" w:rsidR="00D3455D" w:rsidRPr="001D4FF4" w:rsidRDefault="00D3455D" w:rsidP="002530AE">
      <w:pPr>
        <w:pStyle w:val="CETReferencetext"/>
      </w:pPr>
      <w:r w:rsidRPr="001D4FF4">
        <w:t xml:space="preserve">Xiaoyan L., Yu X., Lv </w:t>
      </w:r>
      <w:proofErr w:type="gramStart"/>
      <w:r w:rsidRPr="001D4FF4">
        <w:t>J,,</w:t>
      </w:r>
      <w:proofErr w:type="gramEnd"/>
      <w:r w:rsidRPr="001D4FF4">
        <w:t xml:space="preserve">  Xu J., Xia J., Wu Z., Zhang T., Deng Y, 2017, A cost-effective process for the coproduction of erythritol and lipase with </w:t>
      </w:r>
      <w:r w:rsidRPr="00FB5F4A">
        <w:rPr>
          <w:i/>
          <w:iCs/>
        </w:rPr>
        <w:t>Yarrowia lipolytica</w:t>
      </w:r>
      <w:r w:rsidRPr="001D4FF4">
        <w:t xml:space="preserve"> M53 from waste cooking oil, Food and Bioproducts Processing, 103, 86-94</w:t>
      </w:r>
      <w:r w:rsidR="00FA4669">
        <w:t>.</w:t>
      </w:r>
    </w:p>
    <w:p w14:paraId="7F86E831" w14:textId="3441D179" w:rsidR="00E46338" w:rsidRPr="00E46338" w:rsidRDefault="00D3455D" w:rsidP="00053BE8">
      <w:pPr>
        <w:pStyle w:val="CETReferencetext"/>
      </w:pPr>
      <w:r w:rsidRPr="001D4FF4">
        <w:t xml:space="preserve">Zhu Q., Jackson E.N., 2015, Metabolic engineering of </w:t>
      </w:r>
      <w:r w:rsidRPr="00FB5F4A">
        <w:rPr>
          <w:i/>
          <w:iCs/>
        </w:rPr>
        <w:t>Yarrowia lipolytica</w:t>
      </w:r>
      <w:r w:rsidRPr="001D4FF4">
        <w:t xml:space="preserve"> for industrial applications, Current Opinion in Biotechnology, 36</w:t>
      </w:r>
      <w:r w:rsidR="00FA4669">
        <w:t>.</w:t>
      </w:r>
    </w:p>
    <w:sectPr w:rsidR="00E46338" w:rsidRPr="00E46338"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CF826" w14:textId="77777777" w:rsidR="00BF2CDD" w:rsidRDefault="00BF2CDD" w:rsidP="004F5E36">
      <w:r>
        <w:separator/>
      </w:r>
    </w:p>
  </w:endnote>
  <w:endnote w:type="continuationSeparator" w:id="0">
    <w:p w14:paraId="74B9A47E" w14:textId="77777777" w:rsidR="00BF2CDD" w:rsidRDefault="00BF2CD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7D24D" w14:textId="77777777" w:rsidR="00BF2CDD" w:rsidRDefault="00BF2CDD" w:rsidP="004F5E36">
      <w:r>
        <w:separator/>
      </w:r>
    </w:p>
  </w:footnote>
  <w:footnote w:type="continuationSeparator" w:id="0">
    <w:p w14:paraId="3FEF1BAB" w14:textId="77777777" w:rsidR="00BF2CDD" w:rsidRDefault="00BF2CD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0F441D0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2D7"/>
    <w:rsid w:val="000020EF"/>
    <w:rsid w:val="000027C0"/>
    <w:rsid w:val="000052FB"/>
    <w:rsid w:val="00006542"/>
    <w:rsid w:val="00007305"/>
    <w:rsid w:val="000117CB"/>
    <w:rsid w:val="000118C2"/>
    <w:rsid w:val="00014AC9"/>
    <w:rsid w:val="00017ED8"/>
    <w:rsid w:val="0002627D"/>
    <w:rsid w:val="00030C43"/>
    <w:rsid w:val="0003148D"/>
    <w:rsid w:val="00031EEC"/>
    <w:rsid w:val="0003469F"/>
    <w:rsid w:val="000347F9"/>
    <w:rsid w:val="00051566"/>
    <w:rsid w:val="00053BE8"/>
    <w:rsid w:val="00062A9A"/>
    <w:rsid w:val="0006430B"/>
    <w:rsid w:val="00065058"/>
    <w:rsid w:val="0007203A"/>
    <w:rsid w:val="00076217"/>
    <w:rsid w:val="00084C89"/>
    <w:rsid w:val="00086311"/>
    <w:rsid w:val="00086C39"/>
    <w:rsid w:val="000879A3"/>
    <w:rsid w:val="000906E8"/>
    <w:rsid w:val="00094770"/>
    <w:rsid w:val="000A03B2"/>
    <w:rsid w:val="000A0CD3"/>
    <w:rsid w:val="000B49AC"/>
    <w:rsid w:val="000B4BC4"/>
    <w:rsid w:val="000C1E1F"/>
    <w:rsid w:val="000C2294"/>
    <w:rsid w:val="000C4A48"/>
    <w:rsid w:val="000C736D"/>
    <w:rsid w:val="000C7B95"/>
    <w:rsid w:val="000D0268"/>
    <w:rsid w:val="000D2632"/>
    <w:rsid w:val="000D34BE"/>
    <w:rsid w:val="000D5961"/>
    <w:rsid w:val="000D6EE0"/>
    <w:rsid w:val="000E0553"/>
    <w:rsid w:val="000E102F"/>
    <w:rsid w:val="000E1DCF"/>
    <w:rsid w:val="000E36F1"/>
    <w:rsid w:val="000E3A73"/>
    <w:rsid w:val="000E414A"/>
    <w:rsid w:val="000F093C"/>
    <w:rsid w:val="000F787B"/>
    <w:rsid w:val="00100607"/>
    <w:rsid w:val="00102827"/>
    <w:rsid w:val="00106267"/>
    <w:rsid w:val="00116117"/>
    <w:rsid w:val="0012091F"/>
    <w:rsid w:val="00126BC2"/>
    <w:rsid w:val="00126C79"/>
    <w:rsid w:val="00127023"/>
    <w:rsid w:val="001308B6"/>
    <w:rsid w:val="0013121F"/>
    <w:rsid w:val="00131FE6"/>
    <w:rsid w:val="001324AB"/>
    <w:rsid w:val="0013263F"/>
    <w:rsid w:val="00132F33"/>
    <w:rsid w:val="001331DF"/>
    <w:rsid w:val="00134DE4"/>
    <w:rsid w:val="00135B26"/>
    <w:rsid w:val="00136155"/>
    <w:rsid w:val="00136F13"/>
    <w:rsid w:val="00137031"/>
    <w:rsid w:val="0014034D"/>
    <w:rsid w:val="001427CB"/>
    <w:rsid w:val="00144D16"/>
    <w:rsid w:val="00147944"/>
    <w:rsid w:val="00150E59"/>
    <w:rsid w:val="00152DE3"/>
    <w:rsid w:val="00154F84"/>
    <w:rsid w:val="00155F8B"/>
    <w:rsid w:val="00164CF9"/>
    <w:rsid w:val="001667A6"/>
    <w:rsid w:val="001766B0"/>
    <w:rsid w:val="001804F7"/>
    <w:rsid w:val="00181648"/>
    <w:rsid w:val="0018284C"/>
    <w:rsid w:val="00184AD6"/>
    <w:rsid w:val="001850B3"/>
    <w:rsid w:val="001907D9"/>
    <w:rsid w:val="00191DF7"/>
    <w:rsid w:val="00192359"/>
    <w:rsid w:val="001A4AF7"/>
    <w:rsid w:val="001B00E4"/>
    <w:rsid w:val="001B0349"/>
    <w:rsid w:val="001B03BA"/>
    <w:rsid w:val="001B0B25"/>
    <w:rsid w:val="001B1E93"/>
    <w:rsid w:val="001B65C1"/>
    <w:rsid w:val="001C0EF9"/>
    <w:rsid w:val="001C2672"/>
    <w:rsid w:val="001C4DA0"/>
    <w:rsid w:val="001C684B"/>
    <w:rsid w:val="001D0CFB"/>
    <w:rsid w:val="001D21AF"/>
    <w:rsid w:val="001D46D6"/>
    <w:rsid w:val="001D4FF4"/>
    <w:rsid w:val="001D53FC"/>
    <w:rsid w:val="001D77CA"/>
    <w:rsid w:val="001E0AF8"/>
    <w:rsid w:val="001E3640"/>
    <w:rsid w:val="001F1976"/>
    <w:rsid w:val="001F2EB9"/>
    <w:rsid w:val="001F365E"/>
    <w:rsid w:val="001F42A5"/>
    <w:rsid w:val="001F7B9D"/>
    <w:rsid w:val="00201C93"/>
    <w:rsid w:val="002038E4"/>
    <w:rsid w:val="00217AC4"/>
    <w:rsid w:val="0022123C"/>
    <w:rsid w:val="002224B4"/>
    <w:rsid w:val="002375A2"/>
    <w:rsid w:val="00242491"/>
    <w:rsid w:val="002447EF"/>
    <w:rsid w:val="00246F37"/>
    <w:rsid w:val="00251550"/>
    <w:rsid w:val="002525E8"/>
    <w:rsid w:val="002530AE"/>
    <w:rsid w:val="002542C0"/>
    <w:rsid w:val="00263B05"/>
    <w:rsid w:val="0027221A"/>
    <w:rsid w:val="002752A2"/>
    <w:rsid w:val="002754DB"/>
    <w:rsid w:val="00275B61"/>
    <w:rsid w:val="00280FAF"/>
    <w:rsid w:val="00282656"/>
    <w:rsid w:val="002839F0"/>
    <w:rsid w:val="00283B7D"/>
    <w:rsid w:val="0028461F"/>
    <w:rsid w:val="002908D0"/>
    <w:rsid w:val="00296B83"/>
    <w:rsid w:val="002A2D38"/>
    <w:rsid w:val="002A33C3"/>
    <w:rsid w:val="002A6184"/>
    <w:rsid w:val="002B0086"/>
    <w:rsid w:val="002B102E"/>
    <w:rsid w:val="002B15C6"/>
    <w:rsid w:val="002B3F5F"/>
    <w:rsid w:val="002B4015"/>
    <w:rsid w:val="002B78CE"/>
    <w:rsid w:val="002C2FB6"/>
    <w:rsid w:val="002D088C"/>
    <w:rsid w:val="002D2230"/>
    <w:rsid w:val="002D4755"/>
    <w:rsid w:val="002D5EE7"/>
    <w:rsid w:val="002E1643"/>
    <w:rsid w:val="002E5FA7"/>
    <w:rsid w:val="002E7495"/>
    <w:rsid w:val="002F3309"/>
    <w:rsid w:val="002F49F4"/>
    <w:rsid w:val="003008CE"/>
    <w:rsid w:val="003009B7"/>
    <w:rsid w:val="00300E56"/>
    <w:rsid w:val="003029EE"/>
    <w:rsid w:val="00302E32"/>
    <w:rsid w:val="0030469C"/>
    <w:rsid w:val="00314A0E"/>
    <w:rsid w:val="00315D2B"/>
    <w:rsid w:val="00317001"/>
    <w:rsid w:val="00317358"/>
    <w:rsid w:val="003176F1"/>
    <w:rsid w:val="00321CA6"/>
    <w:rsid w:val="00323763"/>
    <w:rsid w:val="0032651E"/>
    <w:rsid w:val="00327284"/>
    <w:rsid w:val="00332365"/>
    <w:rsid w:val="00334C09"/>
    <w:rsid w:val="003360AD"/>
    <w:rsid w:val="003368DC"/>
    <w:rsid w:val="00341824"/>
    <w:rsid w:val="003426D1"/>
    <w:rsid w:val="00346172"/>
    <w:rsid w:val="003523C1"/>
    <w:rsid w:val="003526DC"/>
    <w:rsid w:val="00357C37"/>
    <w:rsid w:val="00361A6E"/>
    <w:rsid w:val="00364D84"/>
    <w:rsid w:val="0036695D"/>
    <w:rsid w:val="003723D4"/>
    <w:rsid w:val="00375BA3"/>
    <w:rsid w:val="00376CA2"/>
    <w:rsid w:val="003803EF"/>
    <w:rsid w:val="00381905"/>
    <w:rsid w:val="00384CC8"/>
    <w:rsid w:val="003867ED"/>
    <w:rsid w:val="003871FD"/>
    <w:rsid w:val="003903AD"/>
    <w:rsid w:val="003950F0"/>
    <w:rsid w:val="003A1E30"/>
    <w:rsid w:val="003A2829"/>
    <w:rsid w:val="003A4368"/>
    <w:rsid w:val="003A7625"/>
    <w:rsid w:val="003A7D1C"/>
    <w:rsid w:val="003B304B"/>
    <w:rsid w:val="003B3146"/>
    <w:rsid w:val="003B51FA"/>
    <w:rsid w:val="003B5D4A"/>
    <w:rsid w:val="003C0BE3"/>
    <w:rsid w:val="003C3EF9"/>
    <w:rsid w:val="003C5BBC"/>
    <w:rsid w:val="003C60F2"/>
    <w:rsid w:val="003D2533"/>
    <w:rsid w:val="003D43D6"/>
    <w:rsid w:val="003E20C2"/>
    <w:rsid w:val="003F015E"/>
    <w:rsid w:val="00400325"/>
    <w:rsid w:val="00400414"/>
    <w:rsid w:val="00402EA5"/>
    <w:rsid w:val="00407D60"/>
    <w:rsid w:val="0041446B"/>
    <w:rsid w:val="004209A3"/>
    <w:rsid w:val="004235DA"/>
    <w:rsid w:val="00425583"/>
    <w:rsid w:val="0043115F"/>
    <w:rsid w:val="0044071E"/>
    <w:rsid w:val="00442EF1"/>
    <w:rsid w:val="004431E1"/>
    <w:rsid w:val="0044329C"/>
    <w:rsid w:val="004448B7"/>
    <w:rsid w:val="00451054"/>
    <w:rsid w:val="004513CA"/>
    <w:rsid w:val="004519CE"/>
    <w:rsid w:val="00453E24"/>
    <w:rsid w:val="00454ACF"/>
    <w:rsid w:val="00457456"/>
    <w:rsid w:val="004577FE"/>
    <w:rsid w:val="00457B9C"/>
    <w:rsid w:val="0046164A"/>
    <w:rsid w:val="004628D2"/>
    <w:rsid w:val="00462DCD"/>
    <w:rsid w:val="004639C1"/>
    <w:rsid w:val="004648AD"/>
    <w:rsid w:val="00466E33"/>
    <w:rsid w:val="004703A9"/>
    <w:rsid w:val="00470B99"/>
    <w:rsid w:val="00470FDD"/>
    <w:rsid w:val="00471BC9"/>
    <w:rsid w:val="00473083"/>
    <w:rsid w:val="004760DE"/>
    <w:rsid w:val="004763D7"/>
    <w:rsid w:val="00480B5F"/>
    <w:rsid w:val="0048111C"/>
    <w:rsid w:val="00482612"/>
    <w:rsid w:val="00483A7D"/>
    <w:rsid w:val="00487493"/>
    <w:rsid w:val="00492953"/>
    <w:rsid w:val="004A004E"/>
    <w:rsid w:val="004A24CF"/>
    <w:rsid w:val="004B667A"/>
    <w:rsid w:val="004B6DA9"/>
    <w:rsid w:val="004C3B7C"/>
    <w:rsid w:val="004C3D1D"/>
    <w:rsid w:val="004C7913"/>
    <w:rsid w:val="004D1346"/>
    <w:rsid w:val="004D68FA"/>
    <w:rsid w:val="004E176A"/>
    <w:rsid w:val="004E1E8C"/>
    <w:rsid w:val="004E3EBD"/>
    <w:rsid w:val="004E4DD6"/>
    <w:rsid w:val="004F4CAB"/>
    <w:rsid w:val="004F5E36"/>
    <w:rsid w:val="004F5EA9"/>
    <w:rsid w:val="005047B0"/>
    <w:rsid w:val="005061CE"/>
    <w:rsid w:val="00506405"/>
    <w:rsid w:val="005064DA"/>
    <w:rsid w:val="00506670"/>
    <w:rsid w:val="00507B47"/>
    <w:rsid w:val="00507BEF"/>
    <w:rsid w:val="00507CC9"/>
    <w:rsid w:val="005119A5"/>
    <w:rsid w:val="00517045"/>
    <w:rsid w:val="0052199A"/>
    <w:rsid w:val="00521D96"/>
    <w:rsid w:val="00525317"/>
    <w:rsid w:val="005278B7"/>
    <w:rsid w:val="0053149F"/>
    <w:rsid w:val="00532016"/>
    <w:rsid w:val="005346C8"/>
    <w:rsid w:val="00536954"/>
    <w:rsid w:val="00536CFD"/>
    <w:rsid w:val="00543E7D"/>
    <w:rsid w:val="00545789"/>
    <w:rsid w:val="0054644D"/>
    <w:rsid w:val="00547A68"/>
    <w:rsid w:val="00550BA7"/>
    <w:rsid w:val="00550E8C"/>
    <w:rsid w:val="005531C9"/>
    <w:rsid w:val="005539A2"/>
    <w:rsid w:val="005553E0"/>
    <w:rsid w:val="0057058C"/>
    <w:rsid w:val="00570C43"/>
    <w:rsid w:val="005715B7"/>
    <w:rsid w:val="00583D13"/>
    <w:rsid w:val="005867DE"/>
    <w:rsid w:val="00587EA3"/>
    <w:rsid w:val="00591959"/>
    <w:rsid w:val="005A20F0"/>
    <w:rsid w:val="005A2B8D"/>
    <w:rsid w:val="005B05D3"/>
    <w:rsid w:val="005B2110"/>
    <w:rsid w:val="005B2B1B"/>
    <w:rsid w:val="005B56EB"/>
    <w:rsid w:val="005B61E6"/>
    <w:rsid w:val="005C5D06"/>
    <w:rsid w:val="005C77E1"/>
    <w:rsid w:val="005D1BD1"/>
    <w:rsid w:val="005D668A"/>
    <w:rsid w:val="005D6A2F"/>
    <w:rsid w:val="005E0648"/>
    <w:rsid w:val="005E1A82"/>
    <w:rsid w:val="005E278A"/>
    <w:rsid w:val="005E2E88"/>
    <w:rsid w:val="005E794C"/>
    <w:rsid w:val="005F0A28"/>
    <w:rsid w:val="005F0E5E"/>
    <w:rsid w:val="005F2E7C"/>
    <w:rsid w:val="005F3074"/>
    <w:rsid w:val="005F4727"/>
    <w:rsid w:val="005F558B"/>
    <w:rsid w:val="00600535"/>
    <w:rsid w:val="00602121"/>
    <w:rsid w:val="00604911"/>
    <w:rsid w:val="0060686A"/>
    <w:rsid w:val="00610CD6"/>
    <w:rsid w:val="006166A8"/>
    <w:rsid w:val="00620DEE"/>
    <w:rsid w:val="00621A58"/>
    <w:rsid w:val="00621F92"/>
    <w:rsid w:val="0062280A"/>
    <w:rsid w:val="00622B17"/>
    <w:rsid w:val="00625639"/>
    <w:rsid w:val="0062654C"/>
    <w:rsid w:val="00630885"/>
    <w:rsid w:val="00630BD0"/>
    <w:rsid w:val="00631B33"/>
    <w:rsid w:val="00634D00"/>
    <w:rsid w:val="00637D23"/>
    <w:rsid w:val="0064184D"/>
    <w:rsid w:val="006422CC"/>
    <w:rsid w:val="0064615B"/>
    <w:rsid w:val="00646B48"/>
    <w:rsid w:val="00651604"/>
    <w:rsid w:val="0065637E"/>
    <w:rsid w:val="00660E3E"/>
    <w:rsid w:val="00662E74"/>
    <w:rsid w:val="006666BD"/>
    <w:rsid w:val="00680C23"/>
    <w:rsid w:val="006875F3"/>
    <w:rsid w:val="00692FB5"/>
    <w:rsid w:val="00693766"/>
    <w:rsid w:val="006A3281"/>
    <w:rsid w:val="006A3454"/>
    <w:rsid w:val="006A786C"/>
    <w:rsid w:val="006B4888"/>
    <w:rsid w:val="006B6B3E"/>
    <w:rsid w:val="006B7536"/>
    <w:rsid w:val="006C23E6"/>
    <w:rsid w:val="006C2E45"/>
    <w:rsid w:val="006C359C"/>
    <w:rsid w:val="006C5579"/>
    <w:rsid w:val="006C6065"/>
    <w:rsid w:val="006C6D6F"/>
    <w:rsid w:val="006C7F6A"/>
    <w:rsid w:val="006D2072"/>
    <w:rsid w:val="006D2889"/>
    <w:rsid w:val="006D6E8B"/>
    <w:rsid w:val="006E0C5C"/>
    <w:rsid w:val="006E0E49"/>
    <w:rsid w:val="006E2600"/>
    <w:rsid w:val="006E28A4"/>
    <w:rsid w:val="006E5B92"/>
    <w:rsid w:val="006E60E1"/>
    <w:rsid w:val="006E6F9A"/>
    <w:rsid w:val="006E737D"/>
    <w:rsid w:val="006E7B1B"/>
    <w:rsid w:val="006F1461"/>
    <w:rsid w:val="006F2245"/>
    <w:rsid w:val="00701468"/>
    <w:rsid w:val="00702208"/>
    <w:rsid w:val="00702DB8"/>
    <w:rsid w:val="00703A09"/>
    <w:rsid w:val="00703D6A"/>
    <w:rsid w:val="00704822"/>
    <w:rsid w:val="00711BD2"/>
    <w:rsid w:val="00713973"/>
    <w:rsid w:val="00714DE5"/>
    <w:rsid w:val="007156E3"/>
    <w:rsid w:val="00717A5A"/>
    <w:rsid w:val="00720A24"/>
    <w:rsid w:val="0073136E"/>
    <w:rsid w:val="00732386"/>
    <w:rsid w:val="00734EBA"/>
    <w:rsid w:val="0073514D"/>
    <w:rsid w:val="007358B1"/>
    <w:rsid w:val="00743811"/>
    <w:rsid w:val="007447F3"/>
    <w:rsid w:val="00750A79"/>
    <w:rsid w:val="0075499F"/>
    <w:rsid w:val="007572E7"/>
    <w:rsid w:val="007601A5"/>
    <w:rsid w:val="00762CDE"/>
    <w:rsid w:val="00765DA7"/>
    <w:rsid w:val="007661C8"/>
    <w:rsid w:val="00766C6B"/>
    <w:rsid w:val="0077098D"/>
    <w:rsid w:val="00771202"/>
    <w:rsid w:val="007752F2"/>
    <w:rsid w:val="0078137F"/>
    <w:rsid w:val="00784F02"/>
    <w:rsid w:val="007931FA"/>
    <w:rsid w:val="007A0CA2"/>
    <w:rsid w:val="007A4861"/>
    <w:rsid w:val="007A6B2E"/>
    <w:rsid w:val="007A7BBA"/>
    <w:rsid w:val="007B0277"/>
    <w:rsid w:val="007B0C50"/>
    <w:rsid w:val="007B1932"/>
    <w:rsid w:val="007B48F9"/>
    <w:rsid w:val="007C1A43"/>
    <w:rsid w:val="007C2913"/>
    <w:rsid w:val="007C6FC8"/>
    <w:rsid w:val="007D6F3A"/>
    <w:rsid w:val="007D7522"/>
    <w:rsid w:val="007F3ACE"/>
    <w:rsid w:val="007F55AE"/>
    <w:rsid w:val="007F6375"/>
    <w:rsid w:val="007F6BDE"/>
    <w:rsid w:val="0080013E"/>
    <w:rsid w:val="00803562"/>
    <w:rsid w:val="008040AC"/>
    <w:rsid w:val="00804474"/>
    <w:rsid w:val="00804ECE"/>
    <w:rsid w:val="008069D7"/>
    <w:rsid w:val="008069FF"/>
    <w:rsid w:val="0081219E"/>
    <w:rsid w:val="00813288"/>
    <w:rsid w:val="008168FC"/>
    <w:rsid w:val="00817A6C"/>
    <w:rsid w:val="0082379A"/>
    <w:rsid w:val="008306BE"/>
    <w:rsid w:val="00830996"/>
    <w:rsid w:val="008315EF"/>
    <w:rsid w:val="00832839"/>
    <w:rsid w:val="008345F1"/>
    <w:rsid w:val="008359E1"/>
    <w:rsid w:val="00837352"/>
    <w:rsid w:val="00841658"/>
    <w:rsid w:val="0084307C"/>
    <w:rsid w:val="00845E71"/>
    <w:rsid w:val="00847365"/>
    <w:rsid w:val="00857904"/>
    <w:rsid w:val="00860C5B"/>
    <w:rsid w:val="00861322"/>
    <w:rsid w:val="00861CB0"/>
    <w:rsid w:val="00865B07"/>
    <w:rsid w:val="00865B83"/>
    <w:rsid w:val="008667EA"/>
    <w:rsid w:val="00875AE5"/>
    <w:rsid w:val="0087637F"/>
    <w:rsid w:val="00885A1A"/>
    <w:rsid w:val="00887332"/>
    <w:rsid w:val="0089109D"/>
    <w:rsid w:val="0089143D"/>
    <w:rsid w:val="00892AD5"/>
    <w:rsid w:val="008934B4"/>
    <w:rsid w:val="0089799A"/>
    <w:rsid w:val="008A1512"/>
    <w:rsid w:val="008A7AB2"/>
    <w:rsid w:val="008B2C89"/>
    <w:rsid w:val="008C62C5"/>
    <w:rsid w:val="008D32B9"/>
    <w:rsid w:val="008D433B"/>
    <w:rsid w:val="008D5261"/>
    <w:rsid w:val="008D664D"/>
    <w:rsid w:val="008E454C"/>
    <w:rsid w:val="008E566E"/>
    <w:rsid w:val="008E72C4"/>
    <w:rsid w:val="008F1D63"/>
    <w:rsid w:val="0090161A"/>
    <w:rsid w:val="00901EB6"/>
    <w:rsid w:val="00902431"/>
    <w:rsid w:val="00904C62"/>
    <w:rsid w:val="0091103E"/>
    <w:rsid w:val="00912BE9"/>
    <w:rsid w:val="0092193E"/>
    <w:rsid w:val="00922BA8"/>
    <w:rsid w:val="00924DAC"/>
    <w:rsid w:val="00927058"/>
    <w:rsid w:val="00932A95"/>
    <w:rsid w:val="0093465B"/>
    <w:rsid w:val="00936BE5"/>
    <w:rsid w:val="009421E9"/>
    <w:rsid w:val="00942750"/>
    <w:rsid w:val="009442F3"/>
    <w:rsid w:val="009450CE"/>
    <w:rsid w:val="00945AB6"/>
    <w:rsid w:val="00947179"/>
    <w:rsid w:val="009472F4"/>
    <w:rsid w:val="0095164B"/>
    <w:rsid w:val="00954090"/>
    <w:rsid w:val="009558C3"/>
    <w:rsid w:val="00956BE5"/>
    <w:rsid w:val="009573E7"/>
    <w:rsid w:val="00963E05"/>
    <w:rsid w:val="00964A45"/>
    <w:rsid w:val="00967843"/>
    <w:rsid w:val="00967D54"/>
    <w:rsid w:val="00970EB6"/>
    <w:rsid w:val="00971028"/>
    <w:rsid w:val="009900C9"/>
    <w:rsid w:val="00993B84"/>
    <w:rsid w:val="00995644"/>
    <w:rsid w:val="00996483"/>
    <w:rsid w:val="00996F5A"/>
    <w:rsid w:val="00997813"/>
    <w:rsid w:val="009A2B3D"/>
    <w:rsid w:val="009B041A"/>
    <w:rsid w:val="009B13F4"/>
    <w:rsid w:val="009B4EA7"/>
    <w:rsid w:val="009B4F9A"/>
    <w:rsid w:val="009B5141"/>
    <w:rsid w:val="009C065B"/>
    <w:rsid w:val="009C12A1"/>
    <w:rsid w:val="009C37C3"/>
    <w:rsid w:val="009C5D33"/>
    <w:rsid w:val="009C7C86"/>
    <w:rsid w:val="009D0B8C"/>
    <w:rsid w:val="009D1190"/>
    <w:rsid w:val="009D2FF7"/>
    <w:rsid w:val="009E2F29"/>
    <w:rsid w:val="009E7884"/>
    <w:rsid w:val="009E788A"/>
    <w:rsid w:val="009F0E08"/>
    <w:rsid w:val="009F49A9"/>
    <w:rsid w:val="009F54F9"/>
    <w:rsid w:val="009F6B05"/>
    <w:rsid w:val="009F6B3F"/>
    <w:rsid w:val="00A00B4A"/>
    <w:rsid w:val="00A02ABA"/>
    <w:rsid w:val="00A04053"/>
    <w:rsid w:val="00A05E13"/>
    <w:rsid w:val="00A1763D"/>
    <w:rsid w:val="00A17CEC"/>
    <w:rsid w:val="00A17E0A"/>
    <w:rsid w:val="00A23146"/>
    <w:rsid w:val="00A2502D"/>
    <w:rsid w:val="00A27EF0"/>
    <w:rsid w:val="00A3144D"/>
    <w:rsid w:val="00A33D71"/>
    <w:rsid w:val="00A3615B"/>
    <w:rsid w:val="00A42361"/>
    <w:rsid w:val="00A445E6"/>
    <w:rsid w:val="00A44778"/>
    <w:rsid w:val="00A50B20"/>
    <w:rsid w:val="00A51390"/>
    <w:rsid w:val="00A605BC"/>
    <w:rsid w:val="00A60D13"/>
    <w:rsid w:val="00A624EC"/>
    <w:rsid w:val="00A66A97"/>
    <w:rsid w:val="00A70B22"/>
    <w:rsid w:val="00A72745"/>
    <w:rsid w:val="00A73EB0"/>
    <w:rsid w:val="00A75C7F"/>
    <w:rsid w:val="00A76EFC"/>
    <w:rsid w:val="00A8292F"/>
    <w:rsid w:val="00A835A9"/>
    <w:rsid w:val="00A841F6"/>
    <w:rsid w:val="00A84D1A"/>
    <w:rsid w:val="00A8534C"/>
    <w:rsid w:val="00A91010"/>
    <w:rsid w:val="00A96C16"/>
    <w:rsid w:val="00A97F29"/>
    <w:rsid w:val="00AA1802"/>
    <w:rsid w:val="00AA2D0D"/>
    <w:rsid w:val="00AA4F40"/>
    <w:rsid w:val="00AA702E"/>
    <w:rsid w:val="00AB003E"/>
    <w:rsid w:val="00AB0964"/>
    <w:rsid w:val="00AB5011"/>
    <w:rsid w:val="00AB6AA1"/>
    <w:rsid w:val="00AB6EB7"/>
    <w:rsid w:val="00AC64D0"/>
    <w:rsid w:val="00AC7368"/>
    <w:rsid w:val="00AC7959"/>
    <w:rsid w:val="00AC7A7E"/>
    <w:rsid w:val="00AD16B9"/>
    <w:rsid w:val="00AD65BD"/>
    <w:rsid w:val="00AE1DDD"/>
    <w:rsid w:val="00AE377D"/>
    <w:rsid w:val="00AE4E4E"/>
    <w:rsid w:val="00AF0EBA"/>
    <w:rsid w:val="00AF6775"/>
    <w:rsid w:val="00B0242D"/>
    <w:rsid w:val="00B02C8A"/>
    <w:rsid w:val="00B0463E"/>
    <w:rsid w:val="00B058F1"/>
    <w:rsid w:val="00B11635"/>
    <w:rsid w:val="00B12757"/>
    <w:rsid w:val="00B17FBD"/>
    <w:rsid w:val="00B26583"/>
    <w:rsid w:val="00B2797B"/>
    <w:rsid w:val="00B315A6"/>
    <w:rsid w:val="00B31813"/>
    <w:rsid w:val="00B33365"/>
    <w:rsid w:val="00B33B8B"/>
    <w:rsid w:val="00B45E2C"/>
    <w:rsid w:val="00B545D2"/>
    <w:rsid w:val="00B57B36"/>
    <w:rsid w:val="00B57E6F"/>
    <w:rsid w:val="00B60AA2"/>
    <w:rsid w:val="00B65DC7"/>
    <w:rsid w:val="00B66244"/>
    <w:rsid w:val="00B81AFF"/>
    <w:rsid w:val="00B8261E"/>
    <w:rsid w:val="00B829BE"/>
    <w:rsid w:val="00B8304C"/>
    <w:rsid w:val="00B8686D"/>
    <w:rsid w:val="00B93F69"/>
    <w:rsid w:val="00B9421C"/>
    <w:rsid w:val="00B9769C"/>
    <w:rsid w:val="00BA2339"/>
    <w:rsid w:val="00BA532D"/>
    <w:rsid w:val="00BA5778"/>
    <w:rsid w:val="00BA78F1"/>
    <w:rsid w:val="00BB1DDC"/>
    <w:rsid w:val="00BB60AA"/>
    <w:rsid w:val="00BC051F"/>
    <w:rsid w:val="00BC30C9"/>
    <w:rsid w:val="00BC45DA"/>
    <w:rsid w:val="00BD077D"/>
    <w:rsid w:val="00BD1A33"/>
    <w:rsid w:val="00BD4C3C"/>
    <w:rsid w:val="00BD6043"/>
    <w:rsid w:val="00BE1728"/>
    <w:rsid w:val="00BE1DB7"/>
    <w:rsid w:val="00BE3E58"/>
    <w:rsid w:val="00BE4A64"/>
    <w:rsid w:val="00BF2CDD"/>
    <w:rsid w:val="00BF3325"/>
    <w:rsid w:val="00C01616"/>
    <w:rsid w:val="00C0162B"/>
    <w:rsid w:val="00C03FCE"/>
    <w:rsid w:val="00C068ED"/>
    <w:rsid w:val="00C07D7E"/>
    <w:rsid w:val="00C12E63"/>
    <w:rsid w:val="00C22E0C"/>
    <w:rsid w:val="00C257BB"/>
    <w:rsid w:val="00C26C3F"/>
    <w:rsid w:val="00C27FB9"/>
    <w:rsid w:val="00C3308E"/>
    <w:rsid w:val="00C345B1"/>
    <w:rsid w:val="00C40142"/>
    <w:rsid w:val="00C44D65"/>
    <w:rsid w:val="00C504D2"/>
    <w:rsid w:val="00C508A4"/>
    <w:rsid w:val="00C51A6E"/>
    <w:rsid w:val="00C52340"/>
    <w:rsid w:val="00C52C3C"/>
    <w:rsid w:val="00C56D53"/>
    <w:rsid w:val="00C57182"/>
    <w:rsid w:val="00C57863"/>
    <w:rsid w:val="00C63609"/>
    <w:rsid w:val="00C655FD"/>
    <w:rsid w:val="00C66827"/>
    <w:rsid w:val="00C74F71"/>
    <w:rsid w:val="00C75407"/>
    <w:rsid w:val="00C80C29"/>
    <w:rsid w:val="00C8372B"/>
    <w:rsid w:val="00C870A8"/>
    <w:rsid w:val="00C875E1"/>
    <w:rsid w:val="00C90CD0"/>
    <w:rsid w:val="00C94434"/>
    <w:rsid w:val="00C94D3D"/>
    <w:rsid w:val="00CA0D75"/>
    <w:rsid w:val="00CA1C95"/>
    <w:rsid w:val="00CA1D4E"/>
    <w:rsid w:val="00CA5A9C"/>
    <w:rsid w:val="00CC363E"/>
    <w:rsid w:val="00CC4C20"/>
    <w:rsid w:val="00CC6312"/>
    <w:rsid w:val="00CD2080"/>
    <w:rsid w:val="00CD330E"/>
    <w:rsid w:val="00CD3517"/>
    <w:rsid w:val="00CD5632"/>
    <w:rsid w:val="00CD5FE2"/>
    <w:rsid w:val="00CD6327"/>
    <w:rsid w:val="00CD6BF0"/>
    <w:rsid w:val="00CE2C33"/>
    <w:rsid w:val="00CE7C68"/>
    <w:rsid w:val="00CF1FE1"/>
    <w:rsid w:val="00CF381C"/>
    <w:rsid w:val="00CF42AA"/>
    <w:rsid w:val="00D0084B"/>
    <w:rsid w:val="00D02265"/>
    <w:rsid w:val="00D02A38"/>
    <w:rsid w:val="00D02B4C"/>
    <w:rsid w:val="00D0349D"/>
    <w:rsid w:val="00D03C5B"/>
    <w:rsid w:val="00D040C4"/>
    <w:rsid w:val="00D14B4F"/>
    <w:rsid w:val="00D20D6E"/>
    <w:rsid w:val="00D26CAD"/>
    <w:rsid w:val="00D31F9E"/>
    <w:rsid w:val="00D32D24"/>
    <w:rsid w:val="00D33388"/>
    <w:rsid w:val="00D3455D"/>
    <w:rsid w:val="00D44C4E"/>
    <w:rsid w:val="00D46B7E"/>
    <w:rsid w:val="00D46FFB"/>
    <w:rsid w:val="00D51F1A"/>
    <w:rsid w:val="00D57C84"/>
    <w:rsid w:val="00D6057D"/>
    <w:rsid w:val="00D6069B"/>
    <w:rsid w:val="00D61C8E"/>
    <w:rsid w:val="00D71640"/>
    <w:rsid w:val="00D75F61"/>
    <w:rsid w:val="00D778F9"/>
    <w:rsid w:val="00D8049C"/>
    <w:rsid w:val="00D836C5"/>
    <w:rsid w:val="00D83E99"/>
    <w:rsid w:val="00D84576"/>
    <w:rsid w:val="00D874EE"/>
    <w:rsid w:val="00D95790"/>
    <w:rsid w:val="00D972DA"/>
    <w:rsid w:val="00DA1399"/>
    <w:rsid w:val="00DA24C6"/>
    <w:rsid w:val="00DA352A"/>
    <w:rsid w:val="00DA4D7B"/>
    <w:rsid w:val="00DB3A1B"/>
    <w:rsid w:val="00DB4034"/>
    <w:rsid w:val="00DC4316"/>
    <w:rsid w:val="00DD5282"/>
    <w:rsid w:val="00DE015B"/>
    <w:rsid w:val="00DE264A"/>
    <w:rsid w:val="00DE7712"/>
    <w:rsid w:val="00DE7904"/>
    <w:rsid w:val="00DF08AC"/>
    <w:rsid w:val="00DF5072"/>
    <w:rsid w:val="00DF6DD5"/>
    <w:rsid w:val="00E00868"/>
    <w:rsid w:val="00E00D6B"/>
    <w:rsid w:val="00E02D18"/>
    <w:rsid w:val="00E041E7"/>
    <w:rsid w:val="00E04B13"/>
    <w:rsid w:val="00E05389"/>
    <w:rsid w:val="00E1005B"/>
    <w:rsid w:val="00E10DE6"/>
    <w:rsid w:val="00E2039B"/>
    <w:rsid w:val="00E23BFF"/>
    <w:rsid w:val="00E23CA1"/>
    <w:rsid w:val="00E3440B"/>
    <w:rsid w:val="00E407CE"/>
    <w:rsid w:val="00E409A8"/>
    <w:rsid w:val="00E41B32"/>
    <w:rsid w:val="00E43088"/>
    <w:rsid w:val="00E46338"/>
    <w:rsid w:val="00E468B9"/>
    <w:rsid w:val="00E50C12"/>
    <w:rsid w:val="00E65B91"/>
    <w:rsid w:val="00E70B7B"/>
    <w:rsid w:val="00E7209D"/>
    <w:rsid w:val="00E72EAD"/>
    <w:rsid w:val="00E77223"/>
    <w:rsid w:val="00E83873"/>
    <w:rsid w:val="00E84B20"/>
    <w:rsid w:val="00E8528B"/>
    <w:rsid w:val="00E85812"/>
    <w:rsid w:val="00E85B94"/>
    <w:rsid w:val="00E86AAA"/>
    <w:rsid w:val="00E93383"/>
    <w:rsid w:val="00E96758"/>
    <w:rsid w:val="00E978D0"/>
    <w:rsid w:val="00EA4613"/>
    <w:rsid w:val="00EA4D7A"/>
    <w:rsid w:val="00EA7F91"/>
    <w:rsid w:val="00EB1523"/>
    <w:rsid w:val="00EB54AF"/>
    <w:rsid w:val="00EC0E49"/>
    <w:rsid w:val="00EC101F"/>
    <w:rsid w:val="00EC1D9F"/>
    <w:rsid w:val="00EC647B"/>
    <w:rsid w:val="00ED0E1B"/>
    <w:rsid w:val="00ED5AC0"/>
    <w:rsid w:val="00EE0131"/>
    <w:rsid w:val="00EE1214"/>
    <w:rsid w:val="00EE123F"/>
    <w:rsid w:val="00EE17B0"/>
    <w:rsid w:val="00EE34A3"/>
    <w:rsid w:val="00EE4E29"/>
    <w:rsid w:val="00EE70F6"/>
    <w:rsid w:val="00EE7E90"/>
    <w:rsid w:val="00EF06D9"/>
    <w:rsid w:val="00EF0D4B"/>
    <w:rsid w:val="00EF2986"/>
    <w:rsid w:val="00EF2F4F"/>
    <w:rsid w:val="00EF3B94"/>
    <w:rsid w:val="00EF7303"/>
    <w:rsid w:val="00F01D30"/>
    <w:rsid w:val="00F02D5B"/>
    <w:rsid w:val="00F0330C"/>
    <w:rsid w:val="00F04080"/>
    <w:rsid w:val="00F04C2A"/>
    <w:rsid w:val="00F11D1B"/>
    <w:rsid w:val="00F159FE"/>
    <w:rsid w:val="00F22A29"/>
    <w:rsid w:val="00F241F4"/>
    <w:rsid w:val="00F24EED"/>
    <w:rsid w:val="00F2695F"/>
    <w:rsid w:val="00F30C64"/>
    <w:rsid w:val="00F32BA2"/>
    <w:rsid w:val="00F32CDB"/>
    <w:rsid w:val="00F33502"/>
    <w:rsid w:val="00F5189B"/>
    <w:rsid w:val="00F519A5"/>
    <w:rsid w:val="00F54FD9"/>
    <w:rsid w:val="00F565FE"/>
    <w:rsid w:val="00F607E0"/>
    <w:rsid w:val="00F60CB6"/>
    <w:rsid w:val="00F62C70"/>
    <w:rsid w:val="00F63A70"/>
    <w:rsid w:val="00F6723D"/>
    <w:rsid w:val="00F72C33"/>
    <w:rsid w:val="00F72DAE"/>
    <w:rsid w:val="00F7534E"/>
    <w:rsid w:val="00F76701"/>
    <w:rsid w:val="00F779ED"/>
    <w:rsid w:val="00F77B8F"/>
    <w:rsid w:val="00F8617C"/>
    <w:rsid w:val="00F86440"/>
    <w:rsid w:val="00F87E95"/>
    <w:rsid w:val="00F96F04"/>
    <w:rsid w:val="00FA1802"/>
    <w:rsid w:val="00FA21D0"/>
    <w:rsid w:val="00FA4669"/>
    <w:rsid w:val="00FA537C"/>
    <w:rsid w:val="00FA5F5F"/>
    <w:rsid w:val="00FB2D95"/>
    <w:rsid w:val="00FB5F4A"/>
    <w:rsid w:val="00FB730C"/>
    <w:rsid w:val="00FC2695"/>
    <w:rsid w:val="00FC3E03"/>
    <w:rsid w:val="00FC3FC1"/>
    <w:rsid w:val="00FC68C4"/>
    <w:rsid w:val="00FD2820"/>
    <w:rsid w:val="00FD6236"/>
    <w:rsid w:val="00FE18AB"/>
    <w:rsid w:val="00FE192E"/>
    <w:rsid w:val="00FE2110"/>
    <w:rsid w:val="00FE2F6B"/>
    <w:rsid w:val="00FE53D8"/>
    <w:rsid w:val="00FE6FD5"/>
    <w:rsid w:val="00FF406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38FB97BB-A0D8-4D21-A626-DEB2BAB9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30C43"/>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30C43"/>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styleId="Menzionenonrisolta">
    <w:name w:val="Unresolved Mention"/>
    <w:basedOn w:val="Carpredefinitoparagrafo"/>
    <w:uiPriority w:val="99"/>
    <w:semiHidden/>
    <w:unhideWhenUsed/>
    <w:rsid w:val="00D33388"/>
    <w:rPr>
      <w:color w:val="605E5C"/>
      <w:shd w:val="clear" w:color="auto" w:fill="E1DFDD"/>
    </w:rPr>
  </w:style>
  <w:style w:type="character" w:styleId="Testosegnaposto">
    <w:name w:val="Placeholder Text"/>
    <w:basedOn w:val="Carpredefinitoparagrafo"/>
    <w:uiPriority w:val="99"/>
    <w:semiHidden/>
    <w:rsid w:val="008D664D"/>
    <w:rPr>
      <w:color w:val="808080"/>
    </w:rPr>
  </w:style>
  <w:style w:type="paragraph" w:styleId="Revisione">
    <w:name w:val="Revision"/>
    <w:hidden/>
    <w:uiPriority w:val="99"/>
    <w:semiHidden/>
    <w:rsid w:val="008A7AB2"/>
    <w:pPr>
      <w:spacing w:after="0" w:line="240" w:lineRule="auto"/>
    </w:pPr>
    <w:rPr>
      <w:rFonts w:ascii="Arial" w:eastAsia="Times New Roman" w:hAnsi="Arial" w:cs="Times New Roman"/>
      <w:sz w:val="18"/>
      <w:szCs w:val="20"/>
      <w:lang w:val="en-GB"/>
    </w:rPr>
  </w:style>
  <w:style w:type="character" w:styleId="Collegamentovisitato">
    <w:name w:val="FollowedHyperlink"/>
    <w:basedOn w:val="Carpredefinitoparagrafo"/>
    <w:uiPriority w:val="99"/>
    <w:semiHidden/>
    <w:unhideWhenUsed/>
    <w:rsid w:val="008035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4435">
      <w:bodyDiv w:val="1"/>
      <w:marLeft w:val="0"/>
      <w:marRight w:val="0"/>
      <w:marTop w:val="0"/>
      <w:marBottom w:val="0"/>
      <w:divBdr>
        <w:top w:val="none" w:sz="0" w:space="0" w:color="auto"/>
        <w:left w:val="none" w:sz="0" w:space="0" w:color="auto"/>
        <w:bottom w:val="none" w:sz="0" w:space="0" w:color="auto"/>
        <w:right w:val="none" w:sz="0" w:space="0" w:color="auto"/>
      </w:divBdr>
    </w:div>
    <w:div w:id="340545747">
      <w:bodyDiv w:val="1"/>
      <w:marLeft w:val="0"/>
      <w:marRight w:val="0"/>
      <w:marTop w:val="0"/>
      <w:marBottom w:val="0"/>
      <w:divBdr>
        <w:top w:val="none" w:sz="0" w:space="0" w:color="auto"/>
        <w:left w:val="none" w:sz="0" w:space="0" w:color="auto"/>
        <w:bottom w:val="none" w:sz="0" w:space="0" w:color="auto"/>
        <w:right w:val="none" w:sz="0" w:space="0" w:color="auto"/>
      </w:divBdr>
      <w:divsChild>
        <w:div w:id="1581059657">
          <w:marLeft w:val="480"/>
          <w:marRight w:val="0"/>
          <w:marTop w:val="0"/>
          <w:marBottom w:val="0"/>
          <w:divBdr>
            <w:top w:val="none" w:sz="0" w:space="0" w:color="auto"/>
            <w:left w:val="none" w:sz="0" w:space="0" w:color="auto"/>
            <w:bottom w:val="none" w:sz="0" w:space="0" w:color="auto"/>
            <w:right w:val="none" w:sz="0" w:space="0" w:color="auto"/>
          </w:divBdr>
        </w:div>
      </w:divsChild>
    </w:div>
    <w:div w:id="500506913">
      <w:bodyDiv w:val="1"/>
      <w:marLeft w:val="0"/>
      <w:marRight w:val="0"/>
      <w:marTop w:val="0"/>
      <w:marBottom w:val="0"/>
      <w:divBdr>
        <w:top w:val="none" w:sz="0" w:space="0" w:color="auto"/>
        <w:left w:val="none" w:sz="0" w:space="0" w:color="auto"/>
        <w:bottom w:val="none" w:sz="0" w:space="0" w:color="auto"/>
        <w:right w:val="none" w:sz="0" w:space="0" w:color="auto"/>
      </w:divBdr>
    </w:div>
    <w:div w:id="77136178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14572">
      <w:bodyDiv w:val="1"/>
      <w:marLeft w:val="0"/>
      <w:marRight w:val="0"/>
      <w:marTop w:val="0"/>
      <w:marBottom w:val="0"/>
      <w:divBdr>
        <w:top w:val="none" w:sz="0" w:space="0" w:color="auto"/>
        <w:left w:val="none" w:sz="0" w:space="0" w:color="auto"/>
        <w:bottom w:val="none" w:sz="0" w:space="0" w:color="auto"/>
        <w:right w:val="none" w:sz="0" w:space="0" w:color="auto"/>
      </w:divBdr>
      <w:divsChild>
        <w:div w:id="1140029039">
          <w:marLeft w:val="48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704292">
      <w:bodyDiv w:val="1"/>
      <w:marLeft w:val="0"/>
      <w:marRight w:val="0"/>
      <w:marTop w:val="0"/>
      <w:marBottom w:val="0"/>
      <w:divBdr>
        <w:top w:val="none" w:sz="0" w:space="0" w:color="auto"/>
        <w:left w:val="none" w:sz="0" w:space="0" w:color="auto"/>
        <w:bottom w:val="none" w:sz="0" w:space="0" w:color="auto"/>
        <w:right w:val="none" w:sz="0" w:space="0" w:color="auto"/>
      </w:divBdr>
      <w:divsChild>
        <w:div w:id="1850293130">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2710">
      <w:bodyDiv w:val="1"/>
      <w:marLeft w:val="0"/>
      <w:marRight w:val="0"/>
      <w:marTop w:val="0"/>
      <w:marBottom w:val="0"/>
      <w:divBdr>
        <w:top w:val="none" w:sz="0" w:space="0" w:color="auto"/>
        <w:left w:val="none" w:sz="0" w:space="0" w:color="auto"/>
        <w:bottom w:val="none" w:sz="0" w:space="0" w:color="auto"/>
        <w:right w:val="none" w:sz="0" w:space="0" w:color="auto"/>
      </w:divBdr>
    </w:div>
    <w:div w:id="2026902228">
      <w:bodyDiv w:val="1"/>
      <w:marLeft w:val="0"/>
      <w:marRight w:val="0"/>
      <w:marTop w:val="0"/>
      <w:marBottom w:val="0"/>
      <w:divBdr>
        <w:top w:val="none" w:sz="0" w:space="0" w:color="auto"/>
        <w:left w:val="none" w:sz="0" w:space="0" w:color="auto"/>
        <w:bottom w:val="none" w:sz="0" w:space="0" w:color="auto"/>
        <w:right w:val="none" w:sz="0" w:space="0" w:color="auto"/>
      </w:divBdr>
    </w:div>
    <w:div w:id="209434842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abella.pisano@unib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6488CD-716D-4899-9BC2-D630C499B684}">
  <we:reference id="wa104382081" version="1.35.0.0" store="en-US" storeType="OMEX"/>
  <we:alternateReferences>
    <we:reference id="WA104382081" version="1.35.0.0" store="" storeType="OMEX"/>
  </we:alternateReferences>
  <we:properties>
    <we:property name="MENDELEY_CITATIONS" value="[]"/>
    <we:property name="MENDELEY_CITATIONS_STYLE" value="{&quot;id&quot;:&quot;https://www.zotero.org/styles/elsevier-harvard&quot;,&quot;title&quot;:&quot;Elsevier - Harvard (with titles)&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Jea12</b:Tag>
    <b:SourceType>JournalArticle</b:SourceType>
    <b:Guid>{2FF4D903-E879-49D5-A3FD-E0445B82DC4E}</b:Guid>
    <b:Title>Yarrowia lipolytica</b:Title>
    <b:Year>2012</b:Year>
    <b:Author>
      <b:Author>
        <b:NameList>
          <b:Person>
            <b:Last>Nicaud</b:Last>
            <b:First>Jean-Marc</b:First>
          </b:Person>
        </b:NameList>
      </b:Author>
    </b:Author>
    <b:PeriodicalTitle>Yeast Primer</b:PeriodicalTitle>
    <b:Month>Ottobre</b:Month>
    <b:Day>5</b:Day>
    <b:Pages>29:409-418</b:Pages>
    <b:JournalName>Yeast Primer</b:JournalName>
    <b:LCID>en-US</b:LCID>
    <b:RefOrder>1</b:RefOrder>
  </b:Source>
  <b:Source>
    <b:Tag>Mil19</b:Tag>
    <b:SourceType>JournalArticle</b:SourceType>
    <b:Guid>{DAAB2A85-AE3D-4DBE-84AF-11BC53EC6CC1}</b:Guid>
    <b:Author>
      <b:Author>
        <b:NameList>
          <b:Person>
            <b:Last>Miller</b:Last>
            <b:First>K.</b:First>
            <b:Middle>K., and H. S. Alper</b:Middle>
          </b:Person>
        </b:NameList>
      </b:Author>
    </b:Author>
    <b:Title>Yarrowia lipolytica: more than an oleaginous workhorse</b:Title>
    <b:JournalName>Applied Microbiology and Biotechnology</b:JournalName>
    <b:Year>2019</b:Year>
    <b:Pages>9251–62</b:Pages>
    <b:Issue>103</b:Issue>
    <b:RefOrder>2</b:RefOrder>
  </b:Source>
  <b:Source>
    <b:Tag>Tre10</b:Tag>
    <b:SourceType>JournalArticle</b:SourceType>
    <b:Guid>{56304017-229E-4C7C-8BC5-83E21EE6D64D}</b:Guid>
    <b:Title>A Review on Microbial Lipases Production</b:Title>
    <b:Year>2010</b:Year>
    <b:Author>
      <b:Author>
        <b:NameList>
          <b:Person>
            <b:Last>Treichel H.</b:Last>
            <b:First>et</b:First>
            <b:Middle>al.,</b:Middle>
          </b:Person>
        </b:NameList>
      </b:Author>
    </b:Author>
    <b:JournalName>Food and Bioprocess Technology</b:JournalName>
    <b:Pages>182-196</b:Pages>
    <b:Volume>3</b:Volume>
    <b:RefOrder>3</b:RefOrder>
  </b:Source>
  <b:Source>
    <b:Tag>Eur21</b:Tag>
    <b:SourceType>Misc</b:SourceType>
    <b:Guid>{AEC41E0F-A602-465D-90C7-9FC63A7A70F3}</b:Guid>
    <b:Year>2021</b:Year>
    <b:Author>
      <b:Author>
        <b:NameList>
          <b:Person>
            <b:Last>Association</b:Last>
            <b:First>European</b:First>
            <b:Middle>Biomass Industry</b:Middle>
          </b:Person>
        </b:NameList>
      </b:Author>
    </b:Author>
    <b:RefOrder>4</b:RefOrder>
  </b:Source>
  <b:Source>
    <b:Tag>Wei21</b:Tag>
    <b:SourceType>JournalArticle</b:SourceType>
    <b:Guid>{83A752B5-A76D-4807-A7EF-680B4A21DF21}</b:Guid>
    <b:Author>
      <b:Author>
        <b:NameList>
          <b:Person>
            <b:Last>Wei H. F. et al.</b:Last>
          </b:Person>
        </b:NameList>
      </b:Author>
    </b:Author>
    <b:Title>The conondrum of waste cooking oil: Transforming hazard into energy</b:Title>
    <b:JournalName>Journal of Hazardous Materials</b:JournalName>
    <b:Year>2021</b:Year>
    <b:Pages>126-129</b:Pages>
    <b:Volume>417</b:Volume>
    <b:RefOrder>5</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5D0F5645A6D4247A516C441A27F4954" ma:contentTypeVersion="8" ma:contentTypeDescription="Creare un nuovo documento." ma:contentTypeScope="" ma:versionID="701484a7bed9d57bfb0498ef6a78ad80">
  <xsd:schema xmlns:xsd="http://www.w3.org/2001/XMLSchema" xmlns:xs="http://www.w3.org/2001/XMLSchema" xmlns:p="http://schemas.microsoft.com/office/2006/metadata/properties" xmlns:ns2="0b86b544-fa42-4290-ba6a-d1e7f343485e" targetNamespace="http://schemas.microsoft.com/office/2006/metadata/properties" ma:root="true" ma:fieldsID="d79b24043e98fc154134d7fa9df6ee89" ns2:_="">
    <xsd:import namespace="0b86b544-fa42-4290-ba6a-d1e7f34348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6b544-fa42-4290-ba6a-d1e7f3434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49356-8556-408D-869F-E65AF0D1EE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424347-F524-45CE-8E35-BBCE362F5812}">
  <ds:schemaRefs>
    <ds:schemaRef ds:uri="http://schemas.openxmlformats.org/officeDocument/2006/bibliography"/>
  </ds:schemaRefs>
</ds:datastoreItem>
</file>

<file path=customXml/itemProps3.xml><?xml version="1.0" encoding="utf-8"?>
<ds:datastoreItem xmlns:ds="http://schemas.openxmlformats.org/officeDocument/2006/customXml" ds:itemID="{8AF6C888-C553-4E7C-9CFB-B0181013B8A7}">
  <ds:schemaRefs>
    <ds:schemaRef ds:uri="http://schemas.microsoft.com/sharepoint/v3/contenttype/forms"/>
  </ds:schemaRefs>
</ds:datastoreItem>
</file>

<file path=customXml/itemProps4.xml><?xml version="1.0" encoding="utf-8"?>
<ds:datastoreItem xmlns:ds="http://schemas.openxmlformats.org/officeDocument/2006/customXml" ds:itemID="{69248B93-6C59-4F9B-8745-14C153E95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6b544-fa42-4290-ba6a-d1e7f3434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3492</Words>
  <Characters>19911</Characters>
  <Application>Microsoft Office Word</Application>
  <DocSecurity>0</DocSecurity>
  <Lines>165</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Isabella Pisano</cp:lastModifiedBy>
  <cp:revision>2</cp:revision>
  <cp:lastPrinted>2015-05-12T18:31:00Z</cp:lastPrinted>
  <dcterms:created xsi:type="dcterms:W3CDTF">2022-03-29T22:37:00Z</dcterms:created>
  <dcterms:modified xsi:type="dcterms:W3CDTF">2022-03-29T22:37:00Z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0x01010075D0F5645A6D4247A516C441A27F4954</vt:lpwstr>
  </property>
</Properties>
</file>