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4CE268" w:rsidR="000A03B2" w:rsidRPr="00B57B36" w:rsidRDefault="00A76EFC" w:rsidP="0060491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604911">
              <w:rPr>
                <w:rFonts w:cs="Arial"/>
                <w:b/>
                <w:bCs/>
                <w:i/>
                <w:iCs/>
                <w:color w:val="000066"/>
                <w:sz w:val="22"/>
                <w:szCs w:val="22"/>
                <w:lang w:eastAsia="it-IT"/>
              </w:rPr>
              <w:t>3</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A46CB"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D24B86" w:rsidRDefault="000D0268" w:rsidP="00CD5FE2">
            <w:pPr>
              <w:spacing w:line="140" w:lineRule="atLeast"/>
              <w:jc w:val="right"/>
              <w:rPr>
                <w:rFonts w:cs="Arial"/>
                <w:sz w:val="13"/>
                <w:szCs w:val="13"/>
              </w:rPr>
            </w:pPr>
            <w:r w:rsidRPr="00D24B86">
              <w:rPr>
                <w:rFonts w:cs="Arial"/>
                <w:sz w:val="13"/>
                <w:szCs w:val="13"/>
              </w:rPr>
              <w:t>Online at www.cetjournal.it</w:t>
            </w:r>
          </w:p>
        </w:tc>
      </w:tr>
      <w:tr w:rsidR="000A03B2" w:rsidRPr="00DA46CB" w14:paraId="2D1B7169" w14:textId="77777777" w:rsidTr="00DE264A">
        <w:trPr>
          <w:trHeight w:val="68"/>
          <w:jc w:val="center"/>
        </w:trPr>
        <w:tc>
          <w:tcPr>
            <w:tcW w:w="8789" w:type="dxa"/>
            <w:gridSpan w:val="2"/>
          </w:tcPr>
          <w:p w14:paraId="4B0BB442" w14:textId="73B2847B"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AF6775">
              <w:rPr>
                <w:rFonts w:ascii="Tahoma" w:hAnsi="Tahoma" w:cs="Tahoma"/>
                <w:color w:val="000000"/>
                <w:sz w:val="14"/>
                <w:szCs w:val="14"/>
                <w:shd w:val="clear" w:color="auto" w:fill="FFFFFF"/>
                <w:lang w:val="it-IT"/>
              </w:rPr>
              <w:t>Marco Bravi,</w:t>
            </w:r>
            <w:r w:rsidR="00945AB6">
              <w:rPr>
                <w:rFonts w:ascii="Tahoma" w:hAnsi="Tahoma" w:cs="Tahoma"/>
                <w:color w:val="000000"/>
                <w:sz w:val="14"/>
                <w:szCs w:val="14"/>
                <w:shd w:val="clear" w:color="auto" w:fill="FFFFFF"/>
                <w:lang w:val="it-IT"/>
              </w:rPr>
              <w:t xml:space="preserve"> Alberto Brucato, Antonio </w:t>
            </w:r>
            <w:proofErr w:type="spellStart"/>
            <w:r w:rsidR="00945AB6">
              <w:rPr>
                <w:rFonts w:ascii="Tahoma" w:hAnsi="Tahoma" w:cs="Tahoma"/>
                <w:color w:val="000000"/>
                <w:sz w:val="14"/>
                <w:szCs w:val="14"/>
                <w:shd w:val="clear" w:color="auto" w:fill="FFFFFF"/>
                <w:lang w:val="it-IT"/>
              </w:rPr>
              <w:t>Marzocchella</w:t>
            </w:r>
            <w:proofErr w:type="spellEnd"/>
          </w:p>
          <w:p w14:paraId="1B0F1814" w14:textId="5B50B5BE" w:rsidR="000A03B2" w:rsidRPr="00D24B86" w:rsidRDefault="00FA5F5F" w:rsidP="00604911">
            <w:pPr>
              <w:tabs>
                <w:tab w:val="left" w:pos="-108"/>
              </w:tabs>
              <w:spacing w:line="140" w:lineRule="atLeast"/>
              <w:ind w:left="-107"/>
              <w:jc w:val="left"/>
            </w:pPr>
            <w:r w:rsidRPr="00D24B86">
              <w:rPr>
                <w:rFonts w:ascii="Tahoma" w:hAnsi="Tahoma" w:cs="Tahoma"/>
                <w:iCs/>
                <w:color w:val="333333"/>
                <w:sz w:val="14"/>
                <w:szCs w:val="14"/>
                <w:lang w:eastAsia="it-IT"/>
              </w:rPr>
              <w:t>Copyright © 20</w:t>
            </w:r>
            <w:r w:rsidR="00DF5072" w:rsidRPr="00D24B86">
              <w:rPr>
                <w:rFonts w:ascii="Tahoma" w:hAnsi="Tahoma" w:cs="Tahoma"/>
                <w:iCs/>
                <w:color w:val="333333"/>
                <w:sz w:val="14"/>
                <w:szCs w:val="14"/>
                <w:lang w:eastAsia="it-IT"/>
              </w:rPr>
              <w:t>2</w:t>
            </w:r>
            <w:r w:rsidR="00E72EAD" w:rsidRPr="00D24B86">
              <w:rPr>
                <w:rFonts w:ascii="Tahoma" w:hAnsi="Tahoma" w:cs="Tahoma"/>
                <w:iCs/>
                <w:color w:val="333333"/>
                <w:sz w:val="14"/>
                <w:szCs w:val="14"/>
                <w:lang w:eastAsia="it-IT"/>
              </w:rPr>
              <w:t>2</w:t>
            </w:r>
            <w:r w:rsidR="00904C62" w:rsidRPr="00D24B86">
              <w:rPr>
                <w:rFonts w:ascii="Tahoma" w:hAnsi="Tahoma" w:cs="Tahoma"/>
                <w:iCs/>
                <w:color w:val="333333"/>
                <w:sz w:val="14"/>
                <w:szCs w:val="14"/>
                <w:lang w:eastAsia="it-IT"/>
              </w:rPr>
              <w:t>, AIDIC Servizi S.r.l.</w:t>
            </w:r>
            <w:r w:rsidR="00300E56" w:rsidRPr="00D24B86">
              <w:rPr>
                <w:rFonts w:ascii="Tahoma" w:hAnsi="Tahoma" w:cs="Tahoma"/>
                <w:iCs/>
                <w:color w:val="333333"/>
                <w:sz w:val="14"/>
                <w:szCs w:val="14"/>
                <w:lang w:eastAsia="it-IT"/>
              </w:rPr>
              <w:br/>
            </w:r>
            <w:r w:rsidR="00300E56" w:rsidRPr="00D24B86">
              <w:rPr>
                <w:rFonts w:ascii="Tahoma" w:hAnsi="Tahoma" w:cs="Tahoma"/>
                <w:b/>
                <w:iCs/>
                <w:color w:val="000000"/>
                <w:sz w:val="14"/>
                <w:szCs w:val="14"/>
                <w:lang w:eastAsia="it-IT"/>
              </w:rPr>
              <w:t>ISBN</w:t>
            </w:r>
            <w:r w:rsidR="00300E56" w:rsidRPr="00D24B86">
              <w:rPr>
                <w:rFonts w:ascii="Tahoma" w:hAnsi="Tahoma" w:cs="Tahoma"/>
                <w:iCs/>
                <w:color w:val="000000"/>
                <w:sz w:val="14"/>
                <w:szCs w:val="14"/>
                <w:lang w:eastAsia="it-IT"/>
              </w:rPr>
              <w:t xml:space="preserve"> </w:t>
            </w:r>
            <w:r w:rsidR="008D32B9" w:rsidRPr="00D24B86">
              <w:rPr>
                <w:rFonts w:ascii="Tahoma" w:hAnsi="Tahoma" w:cs="Tahoma"/>
                <w:sz w:val="14"/>
                <w:szCs w:val="14"/>
              </w:rPr>
              <w:t>978-88-95608</w:t>
            </w:r>
            <w:r w:rsidR="00D46B7E" w:rsidRPr="00D24B86">
              <w:rPr>
                <w:rFonts w:ascii="Tahoma" w:hAnsi="Tahoma" w:cs="Tahoma"/>
                <w:sz w:val="14"/>
                <w:szCs w:val="14"/>
              </w:rPr>
              <w:t>-</w:t>
            </w:r>
            <w:r w:rsidR="001D21AF" w:rsidRPr="00D24B86">
              <w:rPr>
                <w:rFonts w:ascii="Tahoma" w:hAnsi="Tahoma" w:cs="Tahoma"/>
                <w:sz w:val="14"/>
                <w:szCs w:val="14"/>
              </w:rPr>
              <w:t>9</w:t>
            </w:r>
            <w:r w:rsidR="00604911" w:rsidRPr="00D24B86">
              <w:rPr>
                <w:rFonts w:ascii="Tahoma" w:hAnsi="Tahoma" w:cs="Tahoma"/>
                <w:sz w:val="14"/>
                <w:szCs w:val="14"/>
              </w:rPr>
              <w:t>1</w:t>
            </w:r>
            <w:r w:rsidR="00D46B7E" w:rsidRPr="00D24B86">
              <w:rPr>
                <w:rFonts w:ascii="Tahoma" w:hAnsi="Tahoma" w:cs="Tahoma"/>
                <w:sz w:val="14"/>
                <w:szCs w:val="14"/>
              </w:rPr>
              <w:t>-</w:t>
            </w:r>
            <w:r w:rsidR="00604911" w:rsidRPr="00D24B86">
              <w:rPr>
                <w:rFonts w:ascii="Tahoma" w:hAnsi="Tahoma" w:cs="Tahoma"/>
                <w:sz w:val="14"/>
                <w:szCs w:val="14"/>
              </w:rPr>
              <w:t>4</w:t>
            </w:r>
            <w:r w:rsidR="007B48F9" w:rsidRPr="00D24B86">
              <w:rPr>
                <w:rFonts w:ascii="Tahoma" w:hAnsi="Tahoma" w:cs="Tahoma"/>
                <w:iCs/>
                <w:color w:val="333333"/>
                <w:sz w:val="14"/>
                <w:szCs w:val="14"/>
                <w:lang w:eastAsia="it-IT"/>
              </w:rPr>
              <w:t>;</w:t>
            </w:r>
            <w:r w:rsidR="00300E56" w:rsidRPr="00D24B86">
              <w:rPr>
                <w:rFonts w:ascii="Tahoma" w:hAnsi="Tahoma" w:cs="Tahoma"/>
                <w:iCs/>
                <w:color w:val="333333"/>
                <w:sz w:val="14"/>
                <w:szCs w:val="14"/>
                <w:lang w:eastAsia="it-IT"/>
              </w:rPr>
              <w:t xml:space="preserve"> </w:t>
            </w:r>
            <w:r w:rsidR="00300E56" w:rsidRPr="00D24B86">
              <w:rPr>
                <w:rFonts w:ascii="Tahoma" w:hAnsi="Tahoma" w:cs="Tahoma"/>
                <w:b/>
                <w:iCs/>
                <w:color w:val="333333"/>
                <w:sz w:val="14"/>
                <w:szCs w:val="14"/>
                <w:lang w:eastAsia="it-IT"/>
              </w:rPr>
              <w:t>ISSN</w:t>
            </w:r>
            <w:r w:rsidR="00300E56" w:rsidRPr="00D24B86">
              <w:rPr>
                <w:rFonts w:ascii="Tahoma" w:hAnsi="Tahoma" w:cs="Tahoma"/>
                <w:iCs/>
                <w:color w:val="333333"/>
                <w:sz w:val="14"/>
                <w:szCs w:val="14"/>
                <w:lang w:eastAsia="it-IT"/>
              </w:rPr>
              <w:t xml:space="preserve"> 2283-9216</w:t>
            </w:r>
          </w:p>
        </w:tc>
      </w:tr>
    </w:tbl>
    <w:p w14:paraId="10DAA130" w14:textId="77777777" w:rsidR="000A03B2" w:rsidRPr="00D24B86" w:rsidRDefault="000A03B2" w:rsidP="000A03B2">
      <w:pPr>
        <w:pStyle w:val="CETAuthors"/>
        <w:sectPr w:rsidR="000A03B2" w:rsidRPr="00D24B86" w:rsidSect="00CD5FE2">
          <w:type w:val="continuous"/>
          <w:pgSz w:w="11906" w:h="16838" w:code="9"/>
          <w:pgMar w:top="1701" w:right="1418" w:bottom="1701" w:left="1701" w:header="1701" w:footer="0" w:gutter="0"/>
          <w:cols w:space="708"/>
          <w:titlePg/>
          <w:docGrid w:linePitch="360"/>
        </w:sectPr>
      </w:pPr>
    </w:p>
    <w:p w14:paraId="2E667253" w14:textId="6A5B4D3C" w:rsidR="00E978D0" w:rsidRPr="00B57B36" w:rsidRDefault="00D24B86" w:rsidP="00E978D0">
      <w:pPr>
        <w:pStyle w:val="CETTitle"/>
      </w:pPr>
      <w:r w:rsidRPr="00134817">
        <w:t xml:space="preserve">Measurements </w:t>
      </w:r>
      <w:r>
        <w:t>o</w:t>
      </w:r>
      <w:r w:rsidRPr="00134817">
        <w:t xml:space="preserve">f Protein Content </w:t>
      </w:r>
      <w:r>
        <w:t>i</w:t>
      </w:r>
      <w:r w:rsidRPr="00134817">
        <w:t xml:space="preserve">n Aqueous </w:t>
      </w:r>
      <w:r>
        <w:t>a</w:t>
      </w:r>
      <w:r w:rsidRPr="00134817">
        <w:t xml:space="preserve">nd Alkaline Extracts </w:t>
      </w:r>
      <w:r>
        <w:t>f</w:t>
      </w:r>
      <w:r w:rsidRPr="00134817">
        <w:t>rom Brewer's Spent Grains (B</w:t>
      </w:r>
      <w:r>
        <w:t>SG</w:t>
      </w:r>
      <w:r w:rsidRPr="00134817">
        <w:t xml:space="preserve">): Insights </w:t>
      </w:r>
      <w:r>
        <w:t>i</w:t>
      </w:r>
      <w:r w:rsidRPr="00134817">
        <w:t xml:space="preserve">nto </w:t>
      </w:r>
      <w:r>
        <w:t>t</w:t>
      </w:r>
      <w:r w:rsidRPr="00134817">
        <w:t xml:space="preserve">he Extraction Kinetics </w:t>
      </w:r>
      <w:r>
        <w:t>a</w:t>
      </w:r>
      <w:r w:rsidRPr="00134817">
        <w:t>nd Energy Consumption</w:t>
      </w:r>
    </w:p>
    <w:p w14:paraId="0488FED2" w14:textId="28918BD6" w:rsidR="00B57E6F" w:rsidRPr="00D24B86" w:rsidRDefault="00D24B86" w:rsidP="00B57E6F">
      <w:pPr>
        <w:pStyle w:val="CETAuthors"/>
        <w:rPr>
          <w:lang w:val="it-IT"/>
        </w:rPr>
      </w:pPr>
      <w:r>
        <w:rPr>
          <w:lang w:val="it-IT"/>
        </w:rPr>
        <w:t xml:space="preserve">Carlos E. </w:t>
      </w:r>
      <w:r w:rsidR="00134817" w:rsidRPr="00134817">
        <w:rPr>
          <w:lang w:val="it-IT"/>
        </w:rPr>
        <w:t>Gómez-Camacho</w:t>
      </w:r>
      <w:r w:rsidR="002B3478" w:rsidRPr="00AD260A">
        <w:rPr>
          <w:lang w:val="it-IT"/>
        </w:rPr>
        <w:t>*</w:t>
      </w:r>
      <w:r w:rsidR="00134817" w:rsidRPr="00134817">
        <w:rPr>
          <w:lang w:val="it-IT"/>
        </w:rPr>
        <w:t>,</w:t>
      </w:r>
      <w:r>
        <w:rPr>
          <w:lang w:val="it-IT"/>
        </w:rPr>
        <w:t xml:space="preserve"> Chiara</w:t>
      </w:r>
      <w:r w:rsidR="00134817" w:rsidRPr="00134817">
        <w:rPr>
          <w:lang w:val="it-IT"/>
        </w:rPr>
        <w:t xml:space="preserve"> Mollea,</w:t>
      </w:r>
      <w:r>
        <w:rPr>
          <w:lang w:val="it-IT"/>
        </w:rPr>
        <w:t xml:space="preserve"> Francesca</w:t>
      </w:r>
      <w:r w:rsidR="00134817" w:rsidRPr="00134817">
        <w:rPr>
          <w:lang w:val="it-IT"/>
        </w:rPr>
        <w:t xml:space="preserve"> Bosco, </w:t>
      </w:r>
      <w:r>
        <w:rPr>
          <w:lang w:val="it-IT"/>
        </w:rPr>
        <w:t xml:space="preserve">Bernardo </w:t>
      </w:r>
      <w:r w:rsidR="00134418" w:rsidRPr="00134817">
        <w:rPr>
          <w:lang w:val="it-IT"/>
        </w:rPr>
        <w:t>Ruggeri</w:t>
      </w:r>
      <w:r w:rsidR="00C516C8">
        <w:rPr>
          <w:lang w:val="it-IT"/>
        </w:rPr>
        <w:t>,</w:t>
      </w:r>
      <w:r w:rsidR="00C516C8" w:rsidRPr="00C516C8">
        <w:rPr>
          <w:lang w:val="it-IT"/>
        </w:rPr>
        <w:t xml:space="preserve"> </w:t>
      </w:r>
      <w:r>
        <w:rPr>
          <w:lang w:val="it-IT"/>
        </w:rPr>
        <w:t xml:space="preserve">Italo </w:t>
      </w:r>
      <w:r w:rsidR="00C516C8" w:rsidRPr="00134817">
        <w:rPr>
          <w:lang w:val="it-IT"/>
        </w:rPr>
        <w:t>Mazzarino</w:t>
      </w:r>
      <w:r w:rsidR="002B3478">
        <w:rPr>
          <w:lang w:val="it-IT"/>
        </w:rPr>
        <w:t>*</w:t>
      </w:r>
    </w:p>
    <w:p w14:paraId="6B2D21B3" w14:textId="17642A5F" w:rsidR="00B57E6F" w:rsidRPr="00BB2B02" w:rsidRDefault="00BB2B02" w:rsidP="00B57E6F">
      <w:pPr>
        <w:pStyle w:val="CETAddress"/>
        <w:rPr>
          <w:lang w:val="it-IT"/>
        </w:rPr>
      </w:pPr>
      <w:r w:rsidRPr="00BB2B02">
        <w:rPr>
          <w:lang w:val="it-IT"/>
        </w:rPr>
        <w:t>Politecnico di Torino, Dep. of Applied Science and Technology (DISAT), C/so Duca degli Abruzzi 24, 10129 Torino.</w:t>
      </w:r>
    </w:p>
    <w:p w14:paraId="73F1267A" w14:textId="26C593BA" w:rsidR="00B57E6F" w:rsidRPr="002B3478" w:rsidRDefault="000772DF" w:rsidP="00B57E6F">
      <w:pPr>
        <w:pStyle w:val="CETemail"/>
        <w:rPr>
          <w:lang w:val="it-IT"/>
        </w:rPr>
      </w:pPr>
      <w:hyperlink r:id="rId10" w:history="1">
        <w:r w:rsidR="00B51FE6" w:rsidRPr="002B3478">
          <w:rPr>
            <w:rStyle w:val="Hyperlink"/>
            <w:lang w:val="it-IT"/>
          </w:rPr>
          <w:t>carlos.gomezcamacho@polito.it</w:t>
        </w:r>
      </w:hyperlink>
      <w:r w:rsidR="00B51FE6" w:rsidRPr="002B3478">
        <w:rPr>
          <w:lang w:val="it-IT"/>
        </w:rPr>
        <w:t xml:space="preserve"> and </w:t>
      </w:r>
      <w:hyperlink r:id="rId11" w:history="1">
        <w:r w:rsidR="00C516C8" w:rsidRPr="002B3478">
          <w:rPr>
            <w:rStyle w:val="Hyperlink"/>
            <w:lang w:val="it-IT"/>
          </w:rPr>
          <w:t>italo.mazzarino@polito.it</w:t>
        </w:r>
      </w:hyperlink>
      <w:r w:rsidR="008C0246" w:rsidRPr="002B3478">
        <w:rPr>
          <w:lang w:val="it-IT"/>
        </w:rPr>
        <w:t xml:space="preserve"> </w:t>
      </w:r>
    </w:p>
    <w:p w14:paraId="75299162" w14:textId="3C5FF415" w:rsidR="00BB2B02" w:rsidRPr="00147151" w:rsidRDefault="00147151" w:rsidP="00E82FB9">
      <w:pPr>
        <w:pStyle w:val="CETBodytext"/>
        <w:rPr>
          <w:lang w:val="en-GB"/>
        </w:rPr>
      </w:pPr>
      <w:r w:rsidRPr="00147151">
        <w:rPr>
          <w:lang w:val="en-GB"/>
        </w:rPr>
        <w:t xml:space="preserve">The </w:t>
      </w:r>
      <w:r w:rsidR="00251A7D" w:rsidRPr="00B912AC">
        <w:t xml:space="preserve">brewers’ spent grain </w:t>
      </w:r>
      <w:r w:rsidRPr="00147151">
        <w:rPr>
          <w:lang w:val="en-GB"/>
        </w:rPr>
        <w:t xml:space="preserve">(BSG) is a </w:t>
      </w:r>
      <w:r w:rsidR="00251A7D">
        <w:rPr>
          <w:lang w:val="en-GB"/>
        </w:rPr>
        <w:t xml:space="preserve">rich </w:t>
      </w:r>
      <w:r w:rsidRPr="00147151">
        <w:rPr>
          <w:lang w:val="en-GB"/>
        </w:rPr>
        <w:t>biomass</w:t>
      </w:r>
      <w:r w:rsidR="00251A7D">
        <w:rPr>
          <w:lang w:val="en-GB"/>
        </w:rPr>
        <w:t xml:space="preserve"> matrix containing several</w:t>
      </w:r>
      <w:r w:rsidRPr="00147151">
        <w:rPr>
          <w:lang w:val="en-GB"/>
        </w:rPr>
        <w:t xml:space="preserve"> compounds of interest that </w:t>
      </w:r>
      <w:r w:rsidR="00251A7D">
        <w:rPr>
          <w:lang w:val="en-GB"/>
        </w:rPr>
        <w:t xml:space="preserve">require </w:t>
      </w:r>
      <w:r w:rsidR="00482F24">
        <w:rPr>
          <w:lang w:val="en-GB"/>
        </w:rPr>
        <w:t xml:space="preserve">urgent and </w:t>
      </w:r>
      <w:r w:rsidR="00251A7D">
        <w:rPr>
          <w:lang w:val="en-GB"/>
        </w:rPr>
        <w:t xml:space="preserve">suitable valorisation strategies, </w:t>
      </w:r>
      <w:r w:rsidRPr="00147151">
        <w:rPr>
          <w:lang w:val="en-GB"/>
        </w:rPr>
        <w:t xml:space="preserve">due to its high production </w:t>
      </w:r>
      <w:r w:rsidR="009E00A1" w:rsidRPr="00147151">
        <w:rPr>
          <w:lang w:val="en-GB"/>
        </w:rPr>
        <w:t xml:space="preserve">volume </w:t>
      </w:r>
      <w:r w:rsidRPr="00147151">
        <w:rPr>
          <w:lang w:val="en-GB"/>
        </w:rPr>
        <w:t xml:space="preserve">in the brewing industry. Among the most widespread approaches is the preparation of extracts, targeting </w:t>
      </w:r>
      <w:r w:rsidR="00251A7D">
        <w:rPr>
          <w:lang w:val="en-GB"/>
        </w:rPr>
        <w:t xml:space="preserve">particular compounds or </w:t>
      </w:r>
      <w:r w:rsidRPr="00147151">
        <w:rPr>
          <w:lang w:val="en-GB"/>
        </w:rPr>
        <w:t>soluble and/or insoluble fractions</w:t>
      </w:r>
      <w:r w:rsidR="00CA2138">
        <w:rPr>
          <w:lang w:val="en-GB"/>
        </w:rPr>
        <w:t>,</w:t>
      </w:r>
      <w:r w:rsidRPr="00147151">
        <w:rPr>
          <w:lang w:val="en-GB"/>
        </w:rPr>
        <w:t xml:space="preserve"> after operating pre-treatment processes. In the present study, extraction experiments are carried out with fres</w:t>
      </w:r>
      <w:r w:rsidR="00251A7D">
        <w:rPr>
          <w:lang w:val="en-GB"/>
        </w:rPr>
        <w:t>h</w:t>
      </w:r>
      <w:r w:rsidRPr="00147151">
        <w:rPr>
          <w:lang w:val="en-GB"/>
        </w:rPr>
        <w:t xml:space="preserve"> untreated BSG, under very gentle extraction conditions (room temperature and moderate agitation, </w:t>
      </w:r>
      <w:r w:rsidR="00251A7D">
        <w:rPr>
          <w:lang w:val="en-GB"/>
        </w:rPr>
        <w:t xml:space="preserve">in the </w:t>
      </w:r>
      <w:r w:rsidR="00E82FB9">
        <w:rPr>
          <w:lang w:val="en-GB"/>
        </w:rPr>
        <w:t>0</w:t>
      </w:r>
      <w:r w:rsidR="00251A7D">
        <w:rPr>
          <w:lang w:val="en-GB"/>
        </w:rPr>
        <w:t>-</w:t>
      </w:r>
      <w:r w:rsidRPr="00147151">
        <w:rPr>
          <w:lang w:val="en-GB"/>
        </w:rPr>
        <w:t>5 h</w:t>
      </w:r>
      <w:r w:rsidR="00251A7D">
        <w:rPr>
          <w:lang w:val="en-GB"/>
        </w:rPr>
        <w:t xml:space="preserve"> interval</w:t>
      </w:r>
      <w:r w:rsidRPr="00147151">
        <w:rPr>
          <w:lang w:val="en-GB"/>
        </w:rPr>
        <w:t>),</w:t>
      </w:r>
      <w:r w:rsidR="00134418">
        <w:rPr>
          <w:lang w:val="en-GB"/>
        </w:rPr>
        <w:t xml:space="preserve"> and using </w:t>
      </w:r>
      <w:r w:rsidR="00462D39">
        <w:rPr>
          <w:lang w:val="en-GB"/>
        </w:rPr>
        <w:t>different solvent</w:t>
      </w:r>
      <w:r w:rsidR="009E00A1">
        <w:rPr>
          <w:lang w:val="en-GB"/>
        </w:rPr>
        <w:t>s</w:t>
      </w:r>
      <w:r w:rsidR="00462D39">
        <w:rPr>
          <w:lang w:val="en-GB"/>
        </w:rPr>
        <w:t xml:space="preserve">: </w:t>
      </w:r>
      <w:r w:rsidR="00134418">
        <w:rPr>
          <w:lang w:val="en-GB"/>
        </w:rPr>
        <w:t xml:space="preserve">deionized water, 0.1 M NaOH and 0.5 M NaOH in a 1:5 </w:t>
      </w:r>
      <w:r w:rsidR="00134418" w:rsidRPr="00134418">
        <w:rPr>
          <w:i/>
          <w:iCs/>
          <w:lang w:val="en-GB"/>
        </w:rPr>
        <w:t xml:space="preserve">m/v </w:t>
      </w:r>
      <w:r w:rsidR="00134418">
        <w:rPr>
          <w:lang w:val="en-GB"/>
        </w:rPr>
        <w:t xml:space="preserve">solid-to-solvent ratio. The extraction dynamics </w:t>
      </w:r>
      <w:r w:rsidR="00462D39">
        <w:rPr>
          <w:lang w:val="en-GB"/>
        </w:rPr>
        <w:t>w</w:t>
      </w:r>
      <w:r w:rsidR="009E00A1">
        <w:rPr>
          <w:lang w:val="en-GB"/>
        </w:rPr>
        <w:t>ere</w:t>
      </w:r>
      <w:r w:rsidR="00134418">
        <w:rPr>
          <w:lang w:val="en-GB"/>
        </w:rPr>
        <w:t xml:space="preserve"> followed by monitoring the </w:t>
      </w:r>
      <w:r w:rsidRPr="00147151">
        <w:rPr>
          <w:lang w:val="en-GB"/>
        </w:rPr>
        <w:t>dry matter</w:t>
      </w:r>
      <w:r w:rsidR="00482C74">
        <w:rPr>
          <w:lang w:val="en-GB"/>
        </w:rPr>
        <w:t xml:space="preserve"> (DM)</w:t>
      </w:r>
      <w:r w:rsidRPr="00147151">
        <w:rPr>
          <w:lang w:val="en-GB"/>
        </w:rPr>
        <w:t xml:space="preserve"> </w:t>
      </w:r>
      <w:r w:rsidR="00DD7B00">
        <w:rPr>
          <w:lang w:val="en-GB"/>
        </w:rPr>
        <w:t xml:space="preserve">content </w:t>
      </w:r>
      <w:r w:rsidRPr="00147151">
        <w:rPr>
          <w:lang w:val="en-GB"/>
        </w:rPr>
        <w:t>obtained in the extracts after a centrifugation step</w:t>
      </w:r>
      <w:r w:rsidR="00251A7D">
        <w:rPr>
          <w:lang w:val="en-GB"/>
        </w:rPr>
        <w:t>.</w:t>
      </w:r>
      <w:r w:rsidR="00482C74">
        <w:rPr>
          <w:lang w:val="en-GB"/>
        </w:rPr>
        <w:t xml:space="preserve"> </w:t>
      </w:r>
      <w:r w:rsidR="00251A7D">
        <w:rPr>
          <w:lang w:val="en-GB"/>
        </w:rPr>
        <w:t>T</w:t>
      </w:r>
      <w:r w:rsidRPr="00147151">
        <w:rPr>
          <w:lang w:val="en-GB"/>
        </w:rPr>
        <w:t>he protein content i</w:t>
      </w:r>
      <w:r w:rsidR="00251A7D">
        <w:rPr>
          <w:lang w:val="en-GB"/>
        </w:rPr>
        <w:t>s estimated i</w:t>
      </w:r>
      <w:r w:rsidRPr="00147151">
        <w:rPr>
          <w:lang w:val="en-GB"/>
        </w:rPr>
        <w:t>n each case</w:t>
      </w:r>
      <w:r w:rsidR="00251A7D">
        <w:rPr>
          <w:lang w:val="en-GB"/>
        </w:rPr>
        <w:t xml:space="preserve"> </w:t>
      </w:r>
      <w:r w:rsidR="00D473EC">
        <w:rPr>
          <w:lang w:val="en-GB"/>
        </w:rPr>
        <w:t>by means of two different methods:</w:t>
      </w:r>
      <w:r w:rsidR="00134418">
        <w:rPr>
          <w:lang w:val="en-GB"/>
        </w:rPr>
        <w:t xml:space="preserve"> </w:t>
      </w:r>
      <w:r w:rsidR="00D473EC" w:rsidRPr="00D473EC">
        <w:rPr>
          <w:lang w:val="en-GB"/>
        </w:rPr>
        <w:t>direct measurements of </w:t>
      </w:r>
      <w:r w:rsidR="00D473EC" w:rsidRPr="00C516C8">
        <w:rPr>
          <w:bCs/>
          <w:lang w:val="en-GB"/>
        </w:rPr>
        <w:t>absorbance at 280 nm</w:t>
      </w:r>
      <w:r w:rsidR="00D473EC">
        <w:rPr>
          <w:b/>
          <w:bCs/>
          <w:lang w:val="en-GB"/>
        </w:rPr>
        <w:t xml:space="preserve"> </w:t>
      </w:r>
      <w:r w:rsidR="00134418" w:rsidRPr="00134418">
        <w:rPr>
          <w:lang w:val="en-GB"/>
        </w:rPr>
        <w:t xml:space="preserve">(using </w:t>
      </w:r>
      <w:r w:rsidR="00251A7D" w:rsidRPr="00134418">
        <w:rPr>
          <w:lang w:val="en-GB"/>
        </w:rPr>
        <w:t>bovine</w:t>
      </w:r>
      <w:r w:rsidR="00251A7D">
        <w:rPr>
          <w:lang w:val="en-GB"/>
        </w:rPr>
        <w:t xml:space="preserve"> serum albumin</w:t>
      </w:r>
      <w:r w:rsidR="00D473EC">
        <w:rPr>
          <w:lang w:val="en-GB"/>
        </w:rPr>
        <w:t xml:space="preserve">, </w:t>
      </w:r>
      <w:r w:rsidR="00D473EC" w:rsidRPr="009E00A1">
        <w:rPr>
          <w:lang w:val="en-GB"/>
        </w:rPr>
        <w:t>BSA</w:t>
      </w:r>
      <w:r w:rsidR="00D473EC">
        <w:rPr>
          <w:lang w:val="en-GB"/>
        </w:rPr>
        <w:t>,</w:t>
      </w:r>
      <w:r w:rsidR="00251A7D">
        <w:rPr>
          <w:lang w:val="en-GB"/>
        </w:rPr>
        <w:t xml:space="preserve"> </w:t>
      </w:r>
      <w:r w:rsidR="00134418">
        <w:rPr>
          <w:lang w:val="en-GB"/>
        </w:rPr>
        <w:t>and</w:t>
      </w:r>
      <w:r w:rsidR="00251A7D">
        <w:rPr>
          <w:lang w:val="en-GB"/>
        </w:rPr>
        <w:t xml:space="preserve"> commercial whey protein isolate </w:t>
      </w:r>
      <w:r w:rsidR="00134418">
        <w:rPr>
          <w:lang w:val="en-GB"/>
        </w:rPr>
        <w:t xml:space="preserve">as standards) </w:t>
      </w:r>
      <w:r w:rsidR="00251A7D">
        <w:rPr>
          <w:lang w:val="en-GB"/>
        </w:rPr>
        <w:t>as well as using the Bradford colorimetric method and BSA</w:t>
      </w:r>
      <w:r w:rsidR="00482C74">
        <w:rPr>
          <w:lang w:val="en-GB"/>
        </w:rPr>
        <w:t xml:space="preserve"> standard</w:t>
      </w:r>
      <w:r w:rsidR="00134418" w:rsidRPr="00EC2E96">
        <w:rPr>
          <w:lang w:val="en-GB"/>
        </w:rPr>
        <w:t xml:space="preserve">; </w:t>
      </w:r>
      <w:r w:rsidR="00251A7D" w:rsidRPr="00EC2E96">
        <w:rPr>
          <w:lang w:val="en-GB"/>
        </w:rPr>
        <w:t>the consistency of these measurements is contrasted against the DM values</w:t>
      </w:r>
      <w:r w:rsidRPr="00EC2E96">
        <w:rPr>
          <w:lang w:val="en-GB"/>
        </w:rPr>
        <w:t>.</w:t>
      </w:r>
      <w:r w:rsidR="00134418" w:rsidRPr="00EC2E96">
        <w:rPr>
          <w:lang w:val="en-GB"/>
        </w:rPr>
        <w:t xml:space="preserve"> </w:t>
      </w:r>
      <w:r w:rsidR="00462D39" w:rsidRPr="00EC2E96">
        <w:rPr>
          <w:lang w:val="en-GB"/>
        </w:rPr>
        <w:t>The</w:t>
      </w:r>
      <w:r w:rsidR="00462D39">
        <w:rPr>
          <w:lang w:val="en-GB"/>
        </w:rPr>
        <w:t xml:space="preserve"> apparent </w:t>
      </w:r>
      <w:r w:rsidR="009E00A1">
        <w:rPr>
          <w:lang w:val="en-GB"/>
        </w:rPr>
        <w:t xml:space="preserve">extraction </w:t>
      </w:r>
      <w:r w:rsidR="007977E1" w:rsidRPr="00A83FFC">
        <w:rPr>
          <w:lang w:val="en-GB"/>
        </w:rPr>
        <w:t>kinetics w</w:t>
      </w:r>
      <w:r w:rsidR="00EC2E96">
        <w:rPr>
          <w:lang w:val="en-GB"/>
        </w:rPr>
        <w:t>ere studied</w:t>
      </w:r>
      <w:r w:rsidR="007977E1">
        <w:rPr>
          <w:lang w:val="en-GB"/>
        </w:rPr>
        <w:t>,</w:t>
      </w:r>
      <w:r w:rsidR="007977E1" w:rsidRPr="00A83FFC">
        <w:rPr>
          <w:lang w:val="en-GB"/>
        </w:rPr>
        <w:t xml:space="preserve"> </w:t>
      </w:r>
      <w:r w:rsidR="00462D39">
        <w:rPr>
          <w:lang w:val="en-GB"/>
        </w:rPr>
        <w:t xml:space="preserve">using </w:t>
      </w:r>
      <w:r w:rsidR="007977E1" w:rsidRPr="00A83FFC">
        <w:rPr>
          <w:lang w:val="en-GB"/>
        </w:rPr>
        <w:t xml:space="preserve"> a saturati</w:t>
      </w:r>
      <w:r w:rsidR="007977E1">
        <w:rPr>
          <w:lang w:val="en-GB"/>
        </w:rPr>
        <w:t>on</w:t>
      </w:r>
      <w:r w:rsidR="007977E1" w:rsidRPr="00A83FFC">
        <w:rPr>
          <w:lang w:val="en-GB"/>
        </w:rPr>
        <w:t xml:space="preserve"> model; the coefficients and their range of uncertainty were obtained.</w:t>
      </w:r>
      <w:r w:rsidR="007977E1">
        <w:rPr>
          <w:lang w:val="en-GB"/>
        </w:rPr>
        <w:t xml:space="preserve"> </w:t>
      </w:r>
      <w:r w:rsidR="00E82FB9" w:rsidRPr="00E82FB9">
        <w:rPr>
          <w:lang w:val="en-GB"/>
        </w:rPr>
        <w:t xml:space="preserve">Extraction efficiencies in the range 14.24%-53.60% </w:t>
      </w:r>
      <w:proofErr w:type="spellStart"/>
      <w:r w:rsidR="00E82FB9" w:rsidRPr="00E82FB9">
        <w:rPr>
          <w:lang w:val="en-GB"/>
        </w:rPr>
        <w:t>g</w:t>
      </w:r>
      <w:r w:rsidR="00E82FB9" w:rsidRPr="00E82FB9">
        <w:rPr>
          <w:vertAlign w:val="subscript"/>
          <w:lang w:val="en-GB"/>
        </w:rPr>
        <w:t>DM</w:t>
      </w:r>
      <w:proofErr w:type="spellEnd"/>
      <w:r w:rsidR="00E82FB9">
        <w:rPr>
          <w:vertAlign w:val="subscript"/>
          <w:lang w:val="en-GB"/>
        </w:rPr>
        <w:t xml:space="preserve"> </w:t>
      </w:r>
      <w:proofErr w:type="spellStart"/>
      <w:r w:rsidR="00E82FB9" w:rsidRPr="00E82FB9">
        <w:rPr>
          <w:vertAlign w:val="subscript"/>
          <w:lang w:val="en-GB"/>
        </w:rPr>
        <w:t>ext</w:t>
      </w:r>
      <w:proofErr w:type="spellEnd"/>
      <w:r w:rsidR="00E82FB9" w:rsidRPr="00E82FB9">
        <w:rPr>
          <w:lang w:val="en-GB"/>
        </w:rPr>
        <w:t>/</w:t>
      </w:r>
      <w:proofErr w:type="spellStart"/>
      <w:r w:rsidR="00E82FB9" w:rsidRPr="00E82FB9">
        <w:rPr>
          <w:lang w:val="en-GB"/>
        </w:rPr>
        <w:t>g</w:t>
      </w:r>
      <w:r w:rsidR="00E82FB9" w:rsidRPr="00E82FB9">
        <w:rPr>
          <w:vertAlign w:val="subscript"/>
          <w:lang w:val="en-GB"/>
        </w:rPr>
        <w:t>DM</w:t>
      </w:r>
      <w:proofErr w:type="spellEnd"/>
      <w:r w:rsidR="00E82FB9">
        <w:rPr>
          <w:vertAlign w:val="subscript"/>
          <w:lang w:val="en-GB"/>
        </w:rPr>
        <w:t xml:space="preserve"> </w:t>
      </w:r>
      <w:r w:rsidR="00E82FB9" w:rsidRPr="00E82FB9">
        <w:rPr>
          <w:vertAlign w:val="subscript"/>
          <w:lang w:val="en-GB"/>
        </w:rPr>
        <w:t>BSG</w:t>
      </w:r>
      <w:r w:rsidR="00E82FB9" w:rsidRPr="00E82FB9">
        <w:rPr>
          <w:lang w:val="en-GB"/>
        </w:rPr>
        <w:t xml:space="preserve"> </w:t>
      </w:r>
      <w:r w:rsidR="00E82FB9">
        <w:rPr>
          <w:lang w:val="en-GB"/>
        </w:rPr>
        <w:t>a</w:t>
      </w:r>
      <w:r w:rsidR="00E82FB9" w:rsidRPr="00E82FB9">
        <w:rPr>
          <w:lang w:val="en-GB"/>
        </w:rPr>
        <w:t xml:space="preserve">re achieved, </w:t>
      </w:r>
      <w:r w:rsidR="00E82FB9">
        <w:rPr>
          <w:lang w:val="en-GB"/>
        </w:rPr>
        <w:t>which correspond to extraction yields of</w:t>
      </w:r>
      <w:r w:rsidR="00E82FB9" w:rsidRPr="00E82FB9">
        <w:rPr>
          <w:lang w:val="en-GB"/>
        </w:rPr>
        <w:t xml:space="preserve"> 38.88-150.09 </w:t>
      </w:r>
      <w:proofErr w:type="spellStart"/>
      <w:r w:rsidR="00E82FB9">
        <w:rPr>
          <w:lang w:val="en-GB"/>
        </w:rPr>
        <w:t>g</w:t>
      </w:r>
      <w:r w:rsidR="00E82FB9" w:rsidRPr="00E82FB9">
        <w:rPr>
          <w:vertAlign w:val="subscript"/>
          <w:lang w:val="en-GB"/>
        </w:rPr>
        <w:t>DM</w:t>
      </w:r>
      <w:proofErr w:type="spellEnd"/>
      <w:r w:rsidR="00E82FB9">
        <w:rPr>
          <w:lang w:val="en-GB"/>
        </w:rPr>
        <w:t xml:space="preserve"> </w:t>
      </w:r>
      <w:proofErr w:type="spellStart"/>
      <w:r w:rsidR="00E82FB9" w:rsidRPr="00E82FB9">
        <w:rPr>
          <w:vertAlign w:val="subscript"/>
          <w:lang w:val="en-GB"/>
        </w:rPr>
        <w:t>ext</w:t>
      </w:r>
      <w:proofErr w:type="spellEnd"/>
      <w:r w:rsidR="00E82FB9" w:rsidRPr="00E82FB9">
        <w:rPr>
          <w:lang w:val="en-GB"/>
        </w:rPr>
        <w:t>/k</w:t>
      </w:r>
      <w:r w:rsidR="00E82FB9">
        <w:rPr>
          <w:lang w:val="en-GB"/>
        </w:rPr>
        <w:t>g</w:t>
      </w:r>
      <w:r w:rsidR="00E82FB9" w:rsidRPr="00E82FB9">
        <w:rPr>
          <w:lang w:val="en-GB"/>
        </w:rPr>
        <w:t xml:space="preserve"> </w:t>
      </w:r>
      <w:r w:rsidR="00E82FB9" w:rsidRPr="00E82FB9">
        <w:rPr>
          <w:vertAlign w:val="subscript"/>
          <w:lang w:val="en-GB"/>
        </w:rPr>
        <w:t>fresh BSG</w:t>
      </w:r>
      <w:r w:rsidR="00E82FB9" w:rsidRPr="00E82FB9">
        <w:rPr>
          <w:lang w:val="en-GB"/>
        </w:rPr>
        <w:t xml:space="preserve">. </w:t>
      </w:r>
      <w:r w:rsidRPr="00147151">
        <w:rPr>
          <w:lang w:val="en-GB"/>
        </w:rPr>
        <w:t xml:space="preserve"> In addition, the energy footprint of the process is estimated a</w:t>
      </w:r>
      <w:r w:rsidR="003C7188">
        <w:rPr>
          <w:lang w:val="en-GB"/>
        </w:rPr>
        <w:t>t</w:t>
      </w:r>
      <w:r w:rsidRPr="00147151">
        <w:rPr>
          <w:lang w:val="en-GB"/>
        </w:rPr>
        <w:t xml:space="preserve"> laboratory scale.</w:t>
      </w:r>
    </w:p>
    <w:p w14:paraId="3F89247E" w14:textId="77777777" w:rsidR="00BB2B02" w:rsidRPr="00B57B36" w:rsidRDefault="00BB2B02" w:rsidP="00BB2B02">
      <w:pPr>
        <w:pStyle w:val="CETHeading1"/>
        <w:rPr>
          <w:lang w:val="en-GB"/>
        </w:rPr>
      </w:pPr>
      <w:r w:rsidRPr="00B57B36">
        <w:rPr>
          <w:lang w:val="en-GB"/>
        </w:rPr>
        <w:t>Introduction</w:t>
      </w:r>
    </w:p>
    <w:p w14:paraId="31BA9E4F" w14:textId="42C76665" w:rsidR="00227BE7" w:rsidRDefault="00B912AC" w:rsidP="00B912AC">
      <w:pPr>
        <w:pStyle w:val="CETBodytext"/>
        <w:rPr>
          <w:color w:val="FF0000"/>
        </w:rPr>
      </w:pPr>
      <w:r>
        <w:t xml:space="preserve">The global beer </w:t>
      </w:r>
      <w:r w:rsidR="00227BE7">
        <w:t xml:space="preserve">industry </w:t>
      </w:r>
      <w:r w:rsidR="00751100">
        <w:t xml:space="preserve">has grown over the past 20 years, </w:t>
      </w:r>
      <w:r w:rsidR="002B3478">
        <w:t xml:space="preserve">beer </w:t>
      </w:r>
      <w:r>
        <w:t xml:space="preserve">production </w:t>
      </w:r>
      <w:r w:rsidR="00751100">
        <w:t xml:space="preserve">has increased from 1.390 </w:t>
      </w:r>
      <w:r>
        <w:t>to</w:t>
      </w:r>
      <w:r w:rsidR="00F02724">
        <w:t xml:space="preserve"> </w:t>
      </w:r>
      <w:r>
        <w:t>1.8</w:t>
      </w:r>
      <w:r w:rsidR="00751100">
        <w:t>20 million hectoliters in</w:t>
      </w:r>
      <w:r w:rsidR="002B3478">
        <w:t xml:space="preserve"> the last twenty years</w:t>
      </w:r>
      <w:r w:rsidR="00751100">
        <w:t xml:space="preserve"> (i.e., a 30 % increase)</w:t>
      </w:r>
      <w:r w:rsidR="00445E6F">
        <w:t xml:space="preserve"> </w:t>
      </w:r>
      <w:r w:rsidR="00445E6F">
        <w:fldChar w:fldCharType="begin" w:fldLock="1"/>
      </w:r>
      <w:r w:rsidR="00C1193E">
        <w:instrText>ADDIN CSL_CITATION {"citationItems":[{"id":"ITEM-1","itemData":{"URL":"https://www.statista.com/statistics/270275/worldwide-beer-production","accessed":{"date-parts":[["2022","1","7"]]},"author":[{"dropping-particle":"","family":"STATISTA","given":"","non-dropping-particle":"","parse-names":false,"suffix":""}],"id":"ITEM-1","issued":{"date-parts":[["2021"]]},"title":"World beer production","type":"webpage"},"uris":["http://www.mendeley.com/documents/?uuid=fbde878b-6970-4db7-b70d-ef52f186c0f6","http://www.mendeley.com/documents/?uuid=376fa374-597d-44a8-8019-ea58b9b0d475"]}],"mendeley":{"formattedCitation":"(STATISTA, 2021)","plainTextFormattedCitation":"(STATISTA, 2021)","previouslyFormattedCitation":"(STATISTA, 2021)"},"properties":{"noteIndex":0},"schema":"https://github.com/citation-style-language/schema/raw/master/csl-citation.json"}</w:instrText>
      </w:r>
      <w:r w:rsidR="00445E6F">
        <w:fldChar w:fldCharType="separate"/>
      </w:r>
      <w:r w:rsidR="00445E6F" w:rsidRPr="00445E6F">
        <w:rPr>
          <w:noProof/>
        </w:rPr>
        <w:t>(STATISTA, 2021)</w:t>
      </w:r>
      <w:r w:rsidR="00445E6F">
        <w:fldChar w:fldCharType="end"/>
      </w:r>
      <w:r w:rsidR="00751100">
        <w:t xml:space="preserve">. Besides beer, </w:t>
      </w:r>
      <w:r w:rsidR="00227BE7">
        <w:t>certain</w:t>
      </w:r>
      <w:r w:rsidR="00751100">
        <w:t xml:space="preserve"> r</w:t>
      </w:r>
      <w:r w:rsidRPr="00B912AC">
        <w:t xml:space="preserve">esidues and by-products </w:t>
      </w:r>
      <w:r w:rsidR="00227BE7">
        <w:t xml:space="preserve">are also </w:t>
      </w:r>
      <w:r w:rsidR="00751100">
        <w:t xml:space="preserve">generated during the </w:t>
      </w:r>
      <w:r w:rsidR="00713073">
        <w:t xml:space="preserve">brewing </w:t>
      </w:r>
      <w:r w:rsidR="00751100">
        <w:t>process</w:t>
      </w:r>
      <w:r w:rsidRPr="00B912AC">
        <w:t>, such as brewery wastewater (BWW), brewers’ spent yeast (BSY), and brewers’ spent grain (BSG)</w:t>
      </w:r>
      <w:r w:rsidR="00751100">
        <w:t>.</w:t>
      </w:r>
      <w:r w:rsidR="00751100" w:rsidRPr="00227BE7">
        <w:t xml:space="preserve"> </w:t>
      </w:r>
      <w:r w:rsidRPr="00227BE7">
        <w:t xml:space="preserve">In particular, the latter is estimated to represent </w:t>
      </w:r>
      <w:r w:rsidR="00713073">
        <w:t xml:space="preserve">c. </w:t>
      </w:r>
      <w:r w:rsidRPr="00227BE7">
        <w:t xml:space="preserve">85 % of the total by-products, with an approximate yield of 0.2 kg </w:t>
      </w:r>
      <w:r w:rsidRPr="00227BE7">
        <w:rPr>
          <w:sz w:val="20"/>
          <w:szCs w:val="22"/>
          <w:vertAlign w:val="subscript"/>
        </w:rPr>
        <w:t>BSG</w:t>
      </w:r>
      <w:r w:rsidRPr="00227BE7">
        <w:t xml:space="preserve">/L </w:t>
      </w:r>
      <w:r w:rsidRPr="00227BE7">
        <w:rPr>
          <w:vertAlign w:val="subscript"/>
        </w:rPr>
        <w:t>beer</w:t>
      </w:r>
      <w:r w:rsidR="00E82FB9">
        <w:t xml:space="preserve">  </w:t>
      </w:r>
      <w:r w:rsidR="00E82FB9">
        <w:fldChar w:fldCharType="begin" w:fldLock="1"/>
      </w:r>
      <w:r w:rsidR="00BA624A">
        <w:instrText>ADDIN CSL_CITATION {"citationItems":[{"id":"ITEM-1","itemData":{"DOI":"10.1002/jib.363","author":[{"dropping-particle":"","family":"Lynch","given":"Kieran M","non-dropping-particle":"","parse-names":false,"suffix":""},{"dropping-particle":"","family":"Steffen","given":"Eric J","non-dropping-particle":"","parse-names":false,"suffix":""},{"dropping-particle":"","family":"Arendt","given":"Elke K","non-dropping-particle":"","parse-names":false,"suffix":""}],"id":"ITEM-1","issue":"February","issued":{"date-parts":[["2016"]]},"page":"553-568","title":"Brewers ’ spent grain : a review with an emphasis on food and health","type":"article-journal"},"uris":["http://www.mendeley.com/documents/?uuid=113400e2-8174-44d6-8998-f1ca4ce27552"]}],"mendeley":{"formattedCitation":"(Lynch, Steffen and Arendt, 2016)","plainTextFormattedCitation":"(Lynch, Steffen and Arendt, 2016)","previouslyFormattedCitation":"(Lynch, Steffen and Arendt, 2016)"},"properties":{"noteIndex":0},"schema":"https://github.com/citation-style-language/schema/raw/master/csl-citation.json"}</w:instrText>
      </w:r>
      <w:r w:rsidR="00E82FB9">
        <w:fldChar w:fldCharType="separate"/>
      </w:r>
      <w:r w:rsidR="00E82FB9" w:rsidRPr="00E82FB9">
        <w:rPr>
          <w:noProof/>
        </w:rPr>
        <w:t>(Lynch</w:t>
      </w:r>
      <w:r w:rsidR="002B3478">
        <w:rPr>
          <w:noProof/>
        </w:rPr>
        <w:t xml:space="preserve"> et al.</w:t>
      </w:r>
      <w:r w:rsidR="00E82FB9" w:rsidRPr="00E82FB9">
        <w:rPr>
          <w:noProof/>
        </w:rPr>
        <w:t xml:space="preserve">, </w:t>
      </w:r>
      <w:r w:rsidR="00E82FB9" w:rsidRPr="00EC2E96">
        <w:rPr>
          <w:noProof/>
        </w:rPr>
        <w:t>2016</w:t>
      </w:r>
      <w:r w:rsidR="00E82FB9" w:rsidRPr="00E82FB9">
        <w:rPr>
          <w:noProof/>
        </w:rPr>
        <w:t>)</w:t>
      </w:r>
      <w:r w:rsidR="00E82FB9">
        <w:fldChar w:fldCharType="end"/>
      </w:r>
      <w:r w:rsidR="00E82FB9">
        <w:t>.</w:t>
      </w:r>
    </w:p>
    <w:p w14:paraId="28D79A37" w14:textId="6EE272FE" w:rsidR="001C0D91" w:rsidRDefault="00FE50F2" w:rsidP="004E5D53">
      <w:pPr>
        <w:pStyle w:val="CETBodytext"/>
        <w:rPr>
          <w:lang w:val="en-GB"/>
        </w:rPr>
      </w:pPr>
      <w:r w:rsidRPr="00227F63">
        <w:t>Barley (</w:t>
      </w:r>
      <w:r w:rsidRPr="00227F63">
        <w:rPr>
          <w:i/>
          <w:iCs/>
        </w:rPr>
        <w:t>Hordeum vulgare</w:t>
      </w:r>
      <w:r w:rsidR="00E20C58">
        <w:rPr>
          <w:i/>
          <w:iCs/>
        </w:rPr>
        <w:t xml:space="preserve"> L.</w:t>
      </w:r>
      <w:r w:rsidRPr="00227F63">
        <w:rPr>
          <w:lang w:val="en-GB"/>
        </w:rPr>
        <w:t>) is a very adaptable crop</w:t>
      </w:r>
      <w:r w:rsidR="00EC2180">
        <w:rPr>
          <w:lang w:val="en-GB"/>
        </w:rPr>
        <w:t>, which is extensively used in the brewing industry. T</w:t>
      </w:r>
      <w:r w:rsidRPr="00227F63">
        <w:rPr>
          <w:lang w:val="en-GB"/>
        </w:rPr>
        <w:t>h</w:t>
      </w:r>
      <w:r w:rsidR="00ED4E3D" w:rsidRPr="00227F63">
        <w:rPr>
          <w:lang w:val="en-GB"/>
        </w:rPr>
        <w:t>e</w:t>
      </w:r>
      <w:r w:rsidRPr="00227F63">
        <w:rPr>
          <w:lang w:val="en-GB"/>
        </w:rPr>
        <w:t xml:space="preserve"> grain structure is composed </w:t>
      </w:r>
      <w:r w:rsidR="002C25B8">
        <w:rPr>
          <w:lang w:val="en-GB"/>
        </w:rPr>
        <w:t xml:space="preserve">of </w:t>
      </w:r>
      <w:r w:rsidRPr="00227F63">
        <w:rPr>
          <w:lang w:val="en-GB"/>
        </w:rPr>
        <w:t>the embryo, a starchy endosperm, an aleurone layer and the grain covering (</w:t>
      </w:r>
      <w:r w:rsidR="00ED4E3D" w:rsidRPr="00227F63">
        <w:rPr>
          <w:lang w:val="en-GB"/>
        </w:rPr>
        <w:t>i.e</w:t>
      </w:r>
      <w:r w:rsidR="00F02724">
        <w:rPr>
          <w:lang w:val="en-GB"/>
        </w:rPr>
        <w:t>.</w:t>
      </w:r>
      <w:r w:rsidR="00ED4E3D" w:rsidRPr="00227F63">
        <w:rPr>
          <w:lang w:val="en-GB"/>
        </w:rPr>
        <w:t>, the seed coat, the pericarp layers and the husk</w:t>
      </w:r>
      <w:r w:rsidRPr="00227F63">
        <w:rPr>
          <w:lang w:val="en-GB"/>
        </w:rPr>
        <w:t xml:space="preserve">). </w:t>
      </w:r>
      <w:r w:rsidR="000D58EA" w:rsidRPr="00227F63">
        <w:rPr>
          <w:lang w:val="en-GB"/>
        </w:rPr>
        <w:t>A</w:t>
      </w:r>
      <w:r w:rsidRPr="00227F63">
        <w:rPr>
          <w:lang w:val="en-GB"/>
        </w:rPr>
        <w:t xml:space="preserve">fter the </w:t>
      </w:r>
      <w:r w:rsidR="000D58EA" w:rsidRPr="00227F63">
        <w:rPr>
          <w:lang w:val="en-GB"/>
        </w:rPr>
        <w:t xml:space="preserve">malting </w:t>
      </w:r>
      <w:r w:rsidR="00214F87" w:rsidRPr="00227F63">
        <w:rPr>
          <w:lang w:val="en-GB"/>
        </w:rPr>
        <w:t>stage</w:t>
      </w:r>
      <w:r w:rsidR="005E405E">
        <w:rPr>
          <w:lang w:val="en-GB"/>
        </w:rPr>
        <w:t xml:space="preserve"> in breweries</w:t>
      </w:r>
      <w:r w:rsidR="00214F87" w:rsidRPr="00227F63">
        <w:rPr>
          <w:lang w:val="en-GB"/>
        </w:rPr>
        <w:t xml:space="preserve">, the </w:t>
      </w:r>
      <w:r w:rsidRPr="00227F63">
        <w:rPr>
          <w:lang w:val="en-GB"/>
        </w:rPr>
        <w:t xml:space="preserve">mashing </w:t>
      </w:r>
      <w:r w:rsidR="00214F87" w:rsidRPr="00227F63">
        <w:rPr>
          <w:lang w:val="en-GB"/>
        </w:rPr>
        <w:t>process takes</w:t>
      </w:r>
      <w:r w:rsidR="00207513">
        <w:rPr>
          <w:lang w:val="en-GB"/>
        </w:rPr>
        <w:t xml:space="preserve"> place</w:t>
      </w:r>
      <w:r w:rsidR="00214F87" w:rsidRPr="00227F63">
        <w:rPr>
          <w:lang w:val="en-GB"/>
        </w:rPr>
        <w:t xml:space="preserve"> under suitable conditions (e.g., pH, temperature, </w:t>
      </w:r>
      <w:r w:rsidR="001C0D91">
        <w:rPr>
          <w:lang w:val="en-GB"/>
        </w:rPr>
        <w:t xml:space="preserve">water hardness, </w:t>
      </w:r>
      <w:r w:rsidR="00214F87" w:rsidRPr="00227F63">
        <w:rPr>
          <w:lang w:val="en-GB"/>
        </w:rPr>
        <w:t xml:space="preserve">time, addition of </w:t>
      </w:r>
      <w:r w:rsidR="00713073">
        <w:rPr>
          <w:lang w:val="en-GB"/>
        </w:rPr>
        <w:t>exogenous</w:t>
      </w:r>
      <w:r w:rsidR="00214F87" w:rsidRPr="00227F63">
        <w:rPr>
          <w:lang w:val="en-GB"/>
        </w:rPr>
        <w:t xml:space="preserve"> enzymes). During mashing</w:t>
      </w:r>
      <w:r w:rsidR="005E405E">
        <w:rPr>
          <w:lang w:val="en-GB"/>
        </w:rPr>
        <w:t xml:space="preserve">, </w:t>
      </w:r>
      <w:r w:rsidR="00214F87" w:rsidRPr="00227F63">
        <w:rPr>
          <w:lang w:val="en-GB"/>
        </w:rPr>
        <w:t xml:space="preserve">malted barley grains are hydrated, </w:t>
      </w:r>
      <w:r w:rsidR="00E20C58">
        <w:rPr>
          <w:lang w:val="en-GB"/>
        </w:rPr>
        <w:t xml:space="preserve">certain </w:t>
      </w:r>
      <w:r w:rsidR="00214F87" w:rsidRPr="00227F63">
        <w:rPr>
          <w:lang w:val="en-GB"/>
        </w:rPr>
        <w:t>enzymes are activated</w:t>
      </w:r>
      <w:r w:rsidR="00E20C58">
        <w:rPr>
          <w:lang w:val="en-GB"/>
        </w:rPr>
        <w:t>/</w:t>
      </w:r>
      <w:r w:rsidR="00A83FFC">
        <w:rPr>
          <w:lang w:val="en-GB"/>
        </w:rPr>
        <w:t>de</w:t>
      </w:r>
      <w:r w:rsidR="00E20C58">
        <w:rPr>
          <w:lang w:val="en-GB"/>
        </w:rPr>
        <w:t>activated</w:t>
      </w:r>
      <w:r w:rsidR="005E405E">
        <w:rPr>
          <w:lang w:val="en-GB"/>
        </w:rPr>
        <w:t xml:space="preserve"> (i.e., amylases, proteolytic enzymes, </w:t>
      </w:r>
      <w:proofErr w:type="spellStart"/>
      <w:r w:rsidR="005E405E">
        <w:rPr>
          <w:lang w:val="en-GB"/>
        </w:rPr>
        <w:t>glucanases</w:t>
      </w:r>
      <w:proofErr w:type="spellEnd"/>
      <w:r w:rsidR="005E405E">
        <w:rPr>
          <w:lang w:val="en-GB"/>
        </w:rPr>
        <w:t>, debranching enzymes)</w:t>
      </w:r>
      <w:r w:rsidR="00214F87" w:rsidRPr="00227F63">
        <w:rPr>
          <w:lang w:val="en-GB"/>
        </w:rPr>
        <w:t xml:space="preserve">, and the </w:t>
      </w:r>
      <w:r w:rsidR="005E405E">
        <w:rPr>
          <w:lang w:val="en-GB"/>
        </w:rPr>
        <w:t xml:space="preserve">original </w:t>
      </w:r>
      <w:r w:rsidR="00214F87" w:rsidRPr="00227F63">
        <w:rPr>
          <w:lang w:val="en-GB"/>
        </w:rPr>
        <w:t>grain starches are converted into fermentable</w:t>
      </w:r>
      <w:r w:rsidR="00227F63" w:rsidRPr="00227F63">
        <w:rPr>
          <w:lang w:val="en-GB"/>
        </w:rPr>
        <w:t xml:space="preserve"> and unfermentable</w:t>
      </w:r>
      <w:r w:rsidR="00214F87" w:rsidRPr="00227F63">
        <w:rPr>
          <w:lang w:val="en-GB"/>
        </w:rPr>
        <w:t xml:space="preserve"> sugars. </w:t>
      </w:r>
      <w:r w:rsidR="00227F63" w:rsidRPr="00227F63">
        <w:rPr>
          <w:lang w:val="en-GB"/>
        </w:rPr>
        <w:t xml:space="preserve">Successful mashing requires optimal </w:t>
      </w:r>
      <w:r w:rsidR="00EC2180">
        <w:rPr>
          <w:lang w:val="en-GB"/>
        </w:rPr>
        <w:t xml:space="preserve">pH, </w:t>
      </w:r>
      <w:r w:rsidR="00344874">
        <w:rPr>
          <w:lang w:val="en-GB"/>
        </w:rPr>
        <w:t xml:space="preserve">sufficient </w:t>
      </w:r>
      <w:r w:rsidR="00227F63" w:rsidRPr="00227F63">
        <w:rPr>
          <w:lang w:val="en-GB"/>
        </w:rPr>
        <w:t xml:space="preserve">resting times during the protein and conversion rests as well as temperature conditions and ramps </w:t>
      </w:r>
      <w:r w:rsidR="00227F63">
        <w:rPr>
          <w:lang w:val="en-GB"/>
        </w:rPr>
        <w:t>that all</w:t>
      </w:r>
      <w:r w:rsidR="00EC2180">
        <w:rPr>
          <w:lang w:val="en-GB"/>
        </w:rPr>
        <w:t xml:space="preserve">ow the activation and </w:t>
      </w:r>
      <w:r w:rsidR="00AF4E5D">
        <w:rPr>
          <w:lang w:val="en-GB"/>
        </w:rPr>
        <w:t>de</w:t>
      </w:r>
      <w:r w:rsidR="00EC2180">
        <w:rPr>
          <w:lang w:val="en-GB"/>
        </w:rPr>
        <w:t>activation of the desired enzymes</w:t>
      </w:r>
      <w:r w:rsidR="00227F63" w:rsidRPr="00227F63">
        <w:rPr>
          <w:lang w:val="en-GB"/>
        </w:rPr>
        <w:t>.</w:t>
      </w:r>
      <w:r w:rsidR="00344874">
        <w:rPr>
          <w:lang w:val="en-GB"/>
        </w:rPr>
        <w:t xml:space="preserve"> </w:t>
      </w:r>
      <w:r w:rsidR="00207513" w:rsidRPr="00207513">
        <w:rPr>
          <w:lang w:val="en-GB"/>
        </w:rPr>
        <w:t>After the mashing</w:t>
      </w:r>
      <w:r w:rsidR="005E405E">
        <w:rPr>
          <w:lang w:val="en-GB"/>
        </w:rPr>
        <w:t xml:space="preserve"> step</w:t>
      </w:r>
      <w:r w:rsidR="00207513">
        <w:rPr>
          <w:lang w:val="en-GB"/>
        </w:rPr>
        <w:t>, the phases are separated into the soluble liquid fraction (the brewer’s wort) and the</w:t>
      </w:r>
      <w:r w:rsidR="00207513" w:rsidRPr="00207513">
        <w:rPr>
          <w:lang w:val="en-GB"/>
        </w:rPr>
        <w:t xml:space="preserve"> </w:t>
      </w:r>
      <w:r w:rsidR="00207513">
        <w:rPr>
          <w:lang w:val="en-GB"/>
        </w:rPr>
        <w:t>i</w:t>
      </w:r>
      <w:r w:rsidR="00207513" w:rsidRPr="00207513">
        <w:rPr>
          <w:lang w:val="en-GB"/>
        </w:rPr>
        <w:t xml:space="preserve">nsoluble </w:t>
      </w:r>
      <w:r w:rsidR="00207513">
        <w:rPr>
          <w:lang w:val="en-GB"/>
        </w:rPr>
        <w:t>residues</w:t>
      </w:r>
      <w:r w:rsidR="00207513" w:rsidRPr="00207513">
        <w:rPr>
          <w:lang w:val="en-GB"/>
        </w:rPr>
        <w:t xml:space="preserve"> of the </w:t>
      </w:r>
      <w:r w:rsidR="00207513">
        <w:rPr>
          <w:lang w:val="en-GB"/>
        </w:rPr>
        <w:t xml:space="preserve">initial </w:t>
      </w:r>
      <w:r w:rsidR="00207513" w:rsidRPr="00207513">
        <w:rPr>
          <w:lang w:val="en-GB"/>
        </w:rPr>
        <w:t>barley grain</w:t>
      </w:r>
      <w:r w:rsidR="00207513">
        <w:rPr>
          <w:lang w:val="en-GB"/>
        </w:rPr>
        <w:t xml:space="preserve">, this latter fraction is termed BSG. BSG then mainly contains </w:t>
      </w:r>
      <w:r w:rsidR="00344874" w:rsidRPr="00207513">
        <w:rPr>
          <w:lang w:val="en-GB"/>
        </w:rPr>
        <w:t>the seed coat–pericarp–husk layers that covered</w:t>
      </w:r>
      <w:r w:rsidR="00207513" w:rsidRPr="00207513">
        <w:rPr>
          <w:lang w:val="en-GB"/>
        </w:rPr>
        <w:t xml:space="preserve"> </w:t>
      </w:r>
      <w:r w:rsidR="00344874" w:rsidRPr="00207513">
        <w:rPr>
          <w:lang w:val="en-GB"/>
        </w:rPr>
        <w:t>the original barley grain</w:t>
      </w:r>
      <w:r w:rsidR="00207513" w:rsidRPr="00207513">
        <w:rPr>
          <w:lang w:val="en-GB"/>
        </w:rPr>
        <w:t xml:space="preserve"> and, depending on the </w:t>
      </w:r>
      <w:r w:rsidR="00344874" w:rsidRPr="00207513">
        <w:rPr>
          <w:lang w:val="en-GB"/>
        </w:rPr>
        <w:t>efficiency of mashing,</w:t>
      </w:r>
      <w:r w:rsidR="00207513" w:rsidRPr="00207513">
        <w:rPr>
          <w:lang w:val="en-GB"/>
        </w:rPr>
        <w:t xml:space="preserve"> residues from the </w:t>
      </w:r>
      <w:r w:rsidR="00344874" w:rsidRPr="00207513">
        <w:rPr>
          <w:lang w:val="en-GB"/>
        </w:rPr>
        <w:t>starchy endosperm</w:t>
      </w:r>
      <w:r w:rsidR="00207513" w:rsidRPr="00207513">
        <w:rPr>
          <w:lang w:val="en-GB"/>
        </w:rPr>
        <w:t xml:space="preserve">, and </w:t>
      </w:r>
      <w:r w:rsidR="00413960">
        <w:rPr>
          <w:lang w:val="en-GB"/>
        </w:rPr>
        <w:t xml:space="preserve">cell </w:t>
      </w:r>
      <w:r w:rsidR="00344874" w:rsidRPr="00207513">
        <w:rPr>
          <w:lang w:val="en-GB"/>
        </w:rPr>
        <w:t>wall</w:t>
      </w:r>
      <w:r w:rsidR="00207513" w:rsidRPr="00207513">
        <w:rPr>
          <w:lang w:val="en-GB"/>
        </w:rPr>
        <w:t xml:space="preserve"> </w:t>
      </w:r>
      <w:r w:rsidR="00207513" w:rsidRPr="00207513">
        <w:rPr>
          <w:lang w:val="en-GB"/>
        </w:rPr>
        <w:lastRenderedPageBreak/>
        <w:t>residues from the</w:t>
      </w:r>
      <w:r w:rsidR="00344874" w:rsidRPr="00207513">
        <w:rPr>
          <w:lang w:val="en-GB"/>
        </w:rPr>
        <w:t xml:space="preserve"> </w:t>
      </w:r>
      <w:r w:rsidR="00207513" w:rsidRPr="00207513">
        <w:rPr>
          <w:lang w:val="en-GB"/>
        </w:rPr>
        <w:t xml:space="preserve">(partially) </w:t>
      </w:r>
      <w:r w:rsidR="00344874" w:rsidRPr="00207513">
        <w:rPr>
          <w:lang w:val="en-GB"/>
        </w:rPr>
        <w:t>empty aleurone cells</w:t>
      </w:r>
      <w:r w:rsidR="00207513" w:rsidRPr="00207513">
        <w:rPr>
          <w:lang w:val="en-GB"/>
        </w:rPr>
        <w:t xml:space="preserve"> can also be found. </w:t>
      </w:r>
      <w:r w:rsidR="003323F0">
        <w:rPr>
          <w:lang w:val="en-GB"/>
        </w:rPr>
        <w:t>Therefore</w:t>
      </w:r>
      <w:r w:rsidR="00E20C58" w:rsidRPr="00E20C58">
        <w:rPr>
          <w:lang w:val="en-GB"/>
        </w:rPr>
        <w:t>, B</w:t>
      </w:r>
      <w:r w:rsidR="00E20C58">
        <w:rPr>
          <w:lang w:val="en-GB"/>
        </w:rPr>
        <w:t>SG</w:t>
      </w:r>
      <w:r w:rsidR="00E20C58" w:rsidRPr="00E20C58">
        <w:rPr>
          <w:lang w:val="en-GB"/>
        </w:rPr>
        <w:t xml:space="preserve"> is thus a highly variable matrix, which can </w:t>
      </w:r>
      <w:r w:rsidR="003C7188" w:rsidRPr="00E20C58">
        <w:rPr>
          <w:lang w:val="en-GB"/>
        </w:rPr>
        <w:t xml:space="preserve">greatly </w:t>
      </w:r>
      <w:r w:rsidR="00E20C58" w:rsidRPr="00E20C58">
        <w:rPr>
          <w:lang w:val="en-GB"/>
        </w:rPr>
        <w:t>differ between breweries depending on the grain and the process followed.</w:t>
      </w:r>
      <w:r w:rsidR="00E20C58">
        <w:rPr>
          <w:color w:val="FF0000"/>
          <w:lang w:val="en-GB"/>
        </w:rPr>
        <w:t xml:space="preserve"> </w:t>
      </w:r>
      <w:r w:rsidR="00E758D7" w:rsidRPr="00E758D7">
        <w:rPr>
          <w:lang w:val="en-GB"/>
        </w:rPr>
        <w:t>This heterogeneity also makes its characterization complex, since there are no dedicated methods to quantify the components of interest in the variable range where they can be expected</w:t>
      </w:r>
      <w:r w:rsidR="006A33D4">
        <w:rPr>
          <w:lang w:val="en-GB"/>
        </w:rPr>
        <w:t xml:space="preserve"> </w:t>
      </w:r>
      <w:r w:rsidR="006A33D4" w:rsidRPr="006A33D4">
        <w:rPr>
          <w:lang w:val="en-GB"/>
        </w:rPr>
        <w:t>(</w:t>
      </w:r>
      <w:r w:rsidR="00F858A5">
        <w:rPr>
          <w:lang w:val="en-GB"/>
        </w:rPr>
        <w:t>Mata</w:t>
      </w:r>
      <w:r w:rsidR="006A33D4" w:rsidRPr="006A33D4">
        <w:rPr>
          <w:lang w:val="en-GB"/>
        </w:rPr>
        <w:t xml:space="preserve"> et al., 201</w:t>
      </w:r>
      <w:r w:rsidR="00F858A5">
        <w:rPr>
          <w:lang w:val="en-GB"/>
        </w:rPr>
        <w:t>5</w:t>
      </w:r>
      <w:r w:rsidR="006A33D4" w:rsidRPr="006A33D4">
        <w:rPr>
          <w:lang w:val="en-GB"/>
        </w:rPr>
        <w:t>)</w:t>
      </w:r>
      <w:r w:rsidR="00E758D7" w:rsidRPr="00E758D7">
        <w:rPr>
          <w:lang w:val="en-GB"/>
        </w:rPr>
        <w:t>.</w:t>
      </w:r>
    </w:p>
    <w:p w14:paraId="7BF4F4B1" w14:textId="76AFFA0B" w:rsidR="0089074B" w:rsidRPr="008A1C6F" w:rsidRDefault="005E405E" w:rsidP="004E5D53">
      <w:pPr>
        <w:pStyle w:val="CETBodytext"/>
      </w:pPr>
      <w:r>
        <w:t xml:space="preserve">The dry matter in </w:t>
      </w:r>
      <w:r w:rsidR="00B912AC" w:rsidRPr="0089074B">
        <w:t xml:space="preserve">BSG is </w:t>
      </w:r>
      <w:r>
        <w:t xml:space="preserve">composed of </w:t>
      </w:r>
      <w:r w:rsidR="00B912AC" w:rsidRPr="0089074B">
        <w:t>fiber (i.e., hemicellulose and cellulose), protein</w:t>
      </w:r>
      <w:r w:rsidR="003C7188">
        <w:t>s</w:t>
      </w:r>
      <w:r w:rsidR="00B912AC" w:rsidRPr="0089074B">
        <w:t xml:space="preserve"> and lignin; the fiber</w:t>
      </w:r>
      <w:r>
        <w:t xml:space="preserve"> and </w:t>
      </w:r>
      <w:r w:rsidR="00B912AC" w:rsidRPr="0089074B">
        <w:t xml:space="preserve"> </w:t>
      </w:r>
      <w:r w:rsidRPr="0089074B">
        <w:t xml:space="preserve">protein fraction </w:t>
      </w:r>
      <w:r>
        <w:t>account for more than 80 %</w:t>
      </w:r>
      <w:r w:rsidR="00B912AC" w:rsidRPr="0089074B">
        <w:t xml:space="preserve"> (on a dry weight basis). These high fiber and protein fraction could be of interest for </w:t>
      </w:r>
      <w:r w:rsidR="00E20C58" w:rsidRPr="0089074B">
        <w:t xml:space="preserve">BSG </w:t>
      </w:r>
      <w:r w:rsidR="00B912AC" w:rsidRPr="0089074B">
        <w:t>valorization</w:t>
      </w:r>
      <w:r w:rsidR="007638DB" w:rsidRPr="0089074B">
        <w:t xml:space="preserve">. Indeed, BSG has been primarily used as livestock feed, although </w:t>
      </w:r>
      <w:r w:rsidR="00DE6E48">
        <w:t xml:space="preserve">other applications are intended for human nutrition, such as the manufacture of bakery products as reported in </w:t>
      </w:r>
      <w:r w:rsidR="00DE6E48">
        <w:fldChar w:fldCharType="begin" w:fldLock="1"/>
      </w:r>
      <w:r w:rsidR="00C1193E">
        <w:instrText>ADDIN CSL_CITATION {"citationItems":[{"id":"ITEM-1","itemData":{"DOI":"10.1002/jib.363","author":[{"dropping-particle":"","family":"Lynch","given":"Kieran M","non-dropping-particle":"","parse-names":false,"suffix":""},{"dropping-particle":"","family":"Steffen","given":"Eric J","non-dropping-particle":"","parse-names":false,"suffix":""},{"dropping-particle":"","family":"Arendt","given":"Elke K","non-dropping-particle":"","parse-names":false,"suffix":""}],"id":"ITEM-1","issue":"February","issued":{"date-parts":[["2016"]]},"page":"553-568","title":"Brewers ’ spent grain : a review with an emphasis on food and health","type":"article-journal"},"uris":["http://www.mendeley.com/documents/?uuid=113400e2-8174-44d6-8998-f1ca4ce27552"]}],"mendeley":{"formattedCitation":"(Lynch, Steffen and Arendt, 2016)","plainTextFormattedCitation":"(Lynch, Steffen and Arendt, 2016)","previouslyFormattedCitation":"(Lynch, Steffen and Arendt, 2016)"},"properties":{"noteIndex":0},"schema":"https://github.com/citation-style-language/schema/raw/master/csl-citation.json"}</w:instrText>
      </w:r>
      <w:r w:rsidR="00DE6E48">
        <w:fldChar w:fldCharType="separate"/>
      </w:r>
      <w:r w:rsidR="00DE6E48" w:rsidRPr="00DE6E48">
        <w:rPr>
          <w:noProof/>
        </w:rPr>
        <w:t>(Lynch</w:t>
      </w:r>
      <w:r w:rsidR="003323F0">
        <w:rPr>
          <w:noProof/>
        </w:rPr>
        <w:t xml:space="preserve"> et al.</w:t>
      </w:r>
      <w:r w:rsidR="00DE6E48" w:rsidRPr="00DE6E48">
        <w:rPr>
          <w:noProof/>
        </w:rPr>
        <w:t xml:space="preserve">,  </w:t>
      </w:r>
      <w:r w:rsidR="00DE6E48" w:rsidRPr="00EC2E96">
        <w:rPr>
          <w:noProof/>
        </w:rPr>
        <w:t>2016</w:t>
      </w:r>
      <w:r w:rsidR="00DE6E48" w:rsidRPr="00DE6E48">
        <w:rPr>
          <w:noProof/>
        </w:rPr>
        <w:t>)</w:t>
      </w:r>
      <w:r w:rsidR="00DE6E48">
        <w:fldChar w:fldCharType="end"/>
      </w:r>
      <w:r w:rsidR="00DE6E48">
        <w:t>.</w:t>
      </w:r>
      <w:r w:rsidR="004E5D53">
        <w:t xml:space="preserve"> In particular, BSG potential </w:t>
      </w:r>
      <w:r w:rsidR="004E5D53" w:rsidRPr="008A1C6F">
        <w:t>functional properties</w:t>
      </w:r>
      <w:r>
        <w:t xml:space="preserve"> </w:t>
      </w:r>
      <w:r w:rsidR="004E5D53" w:rsidRPr="008A1C6F">
        <w:t>such as emulsifying/</w:t>
      </w:r>
      <w:r w:rsidR="008A1C6F" w:rsidRPr="008A1C6F">
        <w:t>stabilizing</w:t>
      </w:r>
      <w:r w:rsidR="004E5D53" w:rsidRPr="008A1C6F">
        <w:t xml:space="preserve"> capacity,</w:t>
      </w:r>
      <w:r w:rsidR="008A1C6F" w:rsidRPr="008A1C6F">
        <w:t xml:space="preserve"> water holding capacity, elasticity </w:t>
      </w:r>
      <w:r>
        <w:t>could serve as</w:t>
      </w:r>
      <w:r w:rsidRPr="005E405E">
        <w:t xml:space="preserve"> </w:t>
      </w:r>
      <w:r w:rsidR="002C25B8">
        <w:t xml:space="preserve">a </w:t>
      </w:r>
      <w:r>
        <w:t>food additive</w:t>
      </w:r>
      <w:r w:rsidR="008A1C6F" w:rsidRPr="008A1C6F">
        <w:t xml:space="preserve">. </w:t>
      </w:r>
      <w:r>
        <w:t>Especially b</w:t>
      </w:r>
      <w:r w:rsidR="0089074B" w:rsidRPr="008A1C6F">
        <w:t xml:space="preserve">arley proteins </w:t>
      </w:r>
      <w:r w:rsidR="004E5D53" w:rsidRPr="008A1C6F">
        <w:t>have been reported to contain both, essential and non-essential amino acids, such as threonine, valine, phenylalanine, and arginine</w:t>
      </w:r>
      <w:r w:rsidR="008A1C6F">
        <w:t xml:space="preserve"> </w:t>
      </w:r>
      <w:r w:rsidR="001C0D91">
        <w:fldChar w:fldCharType="begin" w:fldLock="1"/>
      </w:r>
      <w:r w:rsidR="00C1193E">
        <w:instrText>ADDIN CSL_CITATION {"citationItems":[{"id":"ITEM-1","itemData":{"DOI":"10.1016/j.foodchem.2018.01.156","ISSN":"18737072","abstract":"Protein concentrates were prepared from defatted barley (Hordeum vulgare L.) flour using alkaline and enzymatic treatments. Milder enzymatic treatments included (i) a bi-enzymatic method involving the use of starch-hydrolyzing enzymes, and (ii) a tri-enzymatic method using the former bi-enzymatic treatment followed by digestion with glucanase. The concentrate obtained through alkaline extraction (AI-BP) was comprised mainly of low molecular weight fractions of proteins. Bi-enzymatic treatment produced a protein concentrate with the highest protein content (49.0%), while those obtained by the tri-enzymatic treatment followed by an isoelectric precipitation step (TEI-BP) gave the highest protein recovery yield (78.3%). In both of the latter concentrates, 35 kDa B-hordeins were the major protein fraction. Divergence in secondary/tertiary structure elements (AI-BP; TEI-BP) was obtained and attributed to the difference in the protein profiles. Further characterization of protein concentrates indicated that they exhibit pseudoplastic behavior. Emulsifying capacity of concentrates was comparable to that of whey protein isolate.","author":[{"dropping-particle":"","family":"Houde","given":"Marika","non-dropping-particle":"","parse-names":false,"suffix":""},{"dropping-particle":"","family":"Khodaei","given":"Nastaran","non-dropping-particle":"","parse-names":false,"suffix":""},{"dropping-particle":"","family":"Benkerroum","given":"Noreddine","non-dropping-particle":"","parse-names":false,"suffix":""},{"dropping-particle":"","family":"Karboune","given":"Salwa","non-dropping-particle":"","parse-names":false,"suffix":""}],"container-title":"Food Chemistry","id":"ITEM-1","issue":"August 2017","issued":{"date-parts":[["2018"]]},"page":"367-376","publisher":"Elsevier","title":"Barley protein concentrates: Extraction, structural and functional properties","type":"article-journal","volume":"254"},"uris":["http://www.mendeley.com/documents/?uuid=55cb75f5-6d4f-48e4-927b-81965234a371","http://www.mendeley.com/documents/?uuid=40852b86-1e28-44ee-bc61-4194f7980606"]}],"mendeley":{"formattedCitation":"(Houde &lt;i&gt;et al.&lt;/i&gt;, 2018)","plainTextFormattedCitation":"(Houde et al., 2018)","previouslyFormattedCitation":"(Houde &lt;i&gt;et al.&lt;/i&gt;, 2018)"},"properties":{"noteIndex":0},"schema":"https://github.com/citation-style-language/schema/raw/master/csl-citation.json"}</w:instrText>
      </w:r>
      <w:r w:rsidR="001C0D91">
        <w:fldChar w:fldCharType="separate"/>
      </w:r>
      <w:r w:rsidR="001C0D91" w:rsidRPr="001C0D91">
        <w:rPr>
          <w:noProof/>
        </w:rPr>
        <w:t xml:space="preserve">(Houde </w:t>
      </w:r>
      <w:r w:rsidR="001C0D91" w:rsidRPr="00AD260A">
        <w:rPr>
          <w:iCs/>
          <w:noProof/>
        </w:rPr>
        <w:t>et al</w:t>
      </w:r>
      <w:r w:rsidR="001C0D91" w:rsidRPr="001C0D91">
        <w:rPr>
          <w:i/>
          <w:noProof/>
        </w:rPr>
        <w:t>.</w:t>
      </w:r>
      <w:r w:rsidR="001C0D91" w:rsidRPr="001C0D91">
        <w:rPr>
          <w:noProof/>
        </w:rPr>
        <w:t xml:space="preserve">, </w:t>
      </w:r>
      <w:r w:rsidR="001C0D91" w:rsidRPr="00EC2E96">
        <w:rPr>
          <w:noProof/>
        </w:rPr>
        <w:t>2018</w:t>
      </w:r>
      <w:r w:rsidR="001C0D91" w:rsidRPr="001C0D91">
        <w:rPr>
          <w:noProof/>
        </w:rPr>
        <w:t>)</w:t>
      </w:r>
      <w:r w:rsidR="001C0D91">
        <w:fldChar w:fldCharType="end"/>
      </w:r>
      <w:r w:rsidR="004E5D53" w:rsidRPr="008A1C6F">
        <w:t xml:space="preserve">. </w:t>
      </w:r>
    </w:p>
    <w:p w14:paraId="5F4A4BC1" w14:textId="3CC839DC" w:rsidR="009E397A" w:rsidRDefault="009E397A" w:rsidP="00227BE7">
      <w:pPr>
        <w:pStyle w:val="CETBodytext"/>
      </w:pPr>
      <w:r w:rsidRPr="009E397A">
        <w:t>One of the</w:t>
      </w:r>
      <w:r>
        <w:t xml:space="preserve"> </w:t>
      </w:r>
      <w:r w:rsidR="005E405E">
        <w:t>commonly found</w:t>
      </w:r>
      <w:r>
        <w:t xml:space="preserve"> </w:t>
      </w:r>
      <w:r w:rsidR="003323F0">
        <w:t xml:space="preserve">methods </w:t>
      </w:r>
      <w:r w:rsidRPr="009E397A">
        <w:t xml:space="preserve">in the literature for the valorization of </w:t>
      </w:r>
      <w:r>
        <w:t>BSG</w:t>
      </w:r>
      <w:r w:rsidRPr="009E397A">
        <w:t xml:space="preserve"> is through extraction processes.</w:t>
      </w:r>
      <w:r>
        <w:t xml:space="preserve"> </w:t>
      </w:r>
      <w:r w:rsidR="00E758D7" w:rsidRPr="00E758D7">
        <w:t xml:space="preserve">Based on the complex nature of the BSG and exploiting its great </w:t>
      </w:r>
      <w:r w:rsidR="00E758D7">
        <w:t>richness</w:t>
      </w:r>
      <w:r w:rsidR="00E758D7" w:rsidRPr="00E758D7">
        <w:t xml:space="preserve"> as biomass, different compounds of interest can be targeted</w:t>
      </w:r>
      <w:r w:rsidR="00E758D7">
        <w:t xml:space="preserve"> </w:t>
      </w:r>
      <w:r w:rsidR="00F93BBB">
        <w:t>by</w:t>
      </w:r>
      <w:r w:rsidR="00E758D7">
        <w:t xml:space="preserve"> extraction processes</w:t>
      </w:r>
      <w:r w:rsidR="003323F0">
        <w:t xml:space="preserve"> (</w:t>
      </w:r>
      <w:proofErr w:type="spellStart"/>
      <w:r w:rsidR="003323F0">
        <w:t>Houde</w:t>
      </w:r>
      <w:proofErr w:type="spellEnd"/>
      <w:r w:rsidR="003323F0">
        <w:t xml:space="preserve"> et al., 2018)</w:t>
      </w:r>
      <w:r w:rsidR="00E758D7" w:rsidRPr="00E758D7">
        <w:t>.</w:t>
      </w:r>
      <w:r w:rsidR="00E758D7">
        <w:t xml:space="preserve"> However, even though BSG constitutes retrieved biomass, the choice of pre-treatments, the extraction solvent</w:t>
      </w:r>
      <w:r w:rsidR="00F93BBB">
        <w:t>,</w:t>
      </w:r>
      <w:r w:rsidR="00E758D7">
        <w:t xml:space="preserve"> the</w:t>
      </w:r>
      <w:r w:rsidR="00E758D7" w:rsidRPr="00E758D7">
        <w:t xml:space="preserve"> solvent-to-solid ratio</w:t>
      </w:r>
      <w:r w:rsidR="00E758D7">
        <w:t xml:space="preserve">, the extraction temperature and the downstream steps required might influence the </w:t>
      </w:r>
      <w:r w:rsidR="00F93BBB" w:rsidRPr="00F93BBB">
        <w:t xml:space="preserve">feasibility of the overall process </w:t>
      </w:r>
      <w:r w:rsidR="00E758D7">
        <w:t>and</w:t>
      </w:r>
      <w:r w:rsidR="00EC2E96">
        <w:t>,</w:t>
      </w:r>
      <w:r w:rsidR="00E758D7">
        <w:t xml:space="preserve"> </w:t>
      </w:r>
      <w:r w:rsidR="00F93BBB">
        <w:t xml:space="preserve">its economic </w:t>
      </w:r>
      <w:r w:rsidR="00EC2E96">
        <w:t>and environmental viability</w:t>
      </w:r>
      <w:r w:rsidR="00E758D7">
        <w:t xml:space="preserve">. </w:t>
      </w:r>
    </w:p>
    <w:p w14:paraId="3AB379A3" w14:textId="66721FA3" w:rsidR="00E758D7" w:rsidRDefault="00F02724" w:rsidP="00227BE7">
      <w:pPr>
        <w:pStyle w:val="CETBodytext"/>
      </w:pPr>
      <w:r w:rsidRPr="00F02724">
        <w:t xml:space="preserve">In this study, a </w:t>
      </w:r>
      <w:r>
        <w:t xml:space="preserve">first </w:t>
      </w:r>
      <w:r w:rsidRPr="00F02724">
        <w:t>characterization o</w:t>
      </w:r>
      <w:r>
        <w:t>n</w:t>
      </w:r>
      <w:r w:rsidRPr="00F02724">
        <w:t xml:space="preserve"> the BSG was performed. </w:t>
      </w:r>
      <w:r w:rsidR="001C55F6">
        <w:t>Exploratory e</w:t>
      </w:r>
      <w:r w:rsidRPr="00F02724">
        <w:t xml:space="preserve">xtraction tests were then carried out, using deionized water and dilute alkaline solutions (0.1 and 0.5 M NaOH) under continuous agitation, </w:t>
      </w:r>
      <w:r w:rsidR="00F93BBB">
        <w:t>monitoring</w:t>
      </w:r>
      <w:r w:rsidRPr="00F02724">
        <w:t xml:space="preserve"> the extraction process over a 5-h interval. </w:t>
      </w:r>
      <w:r w:rsidR="000004E1">
        <w:t>After the extraction</w:t>
      </w:r>
      <w:r w:rsidRPr="00F02724">
        <w:t xml:space="preserve">, a centrifugation step was </w:t>
      </w:r>
      <w:r w:rsidR="001C55F6">
        <w:t>performed</w:t>
      </w:r>
      <w:r w:rsidRPr="00F02724">
        <w:t xml:space="preserve"> to separate the soluble and insoluble products resulting from the extraction. The extracts were characterized in terms of the </w:t>
      </w:r>
      <w:r>
        <w:t>dry</w:t>
      </w:r>
      <w:r w:rsidRPr="00F02724">
        <w:t xml:space="preserve"> matter content</w:t>
      </w:r>
      <w:r w:rsidR="004928A2">
        <w:t>, in addition</w:t>
      </w:r>
      <w:r w:rsidRPr="00F02724">
        <w:t xml:space="preserve"> different methods for the quantitative estimation of the protein content were tested. In addition</w:t>
      </w:r>
      <w:r w:rsidR="003E4024">
        <w:t>,</w:t>
      </w:r>
      <w:r w:rsidR="004928A2">
        <w:t xml:space="preserve"> the dynamics of </w:t>
      </w:r>
      <w:r w:rsidR="004928A2" w:rsidRPr="004928A2">
        <w:t xml:space="preserve">extraction </w:t>
      </w:r>
      <w:r w:rsidR="004928A2">
        <w:t>process</w:t>
      </w:r>
      <w:r w:rsidRPr="00F02724">
        <w:t xml:space="preserve"> </w:t>
      </w:r>
      <w:r w:rsidR="004928A2">
        <w:t>was describe</w:t>
      </w:r>
      <w:r w:rsidR="003E4024">
        <w:t>d</w:t>
      </w:r>
      <w:r w:rsidR="004928A2">
        <w:t xml:space="preserve"> using a second order saturation model by </w:t>
      </w:r>
      <w:r w:rsidR="003E4024">
        <w:t xml:space="preserve">fitting </w:t>
      </w:r>
      <w:r w:rsidRPr="00F02724">
        <w:t>the experimental data.</w:t>
      </w:r>
      <w:r>
        <w:t xml:space="preserve"> Finally, laboratory-scale energy consumption for the extraction process in each case is calculated. </w:t>
      </w:r>
    </w:p>
    <w:p w14:paraId="299D4C7C" w14:textId="77777777" w:rsidR="00BB2B02" w:rsidRDefault="00BB2B02" w:rsidP="00BB2B02">
      <w:pPr>
        <w:pStyle w:val="CETHeading1"/>
      </w:pPr>
      <w:r>
        <w:t xml:space="preserve">Materials and Methods </w:t>
      </w:r>
    </w:p>
    <w:p w14:paraId="7D872DDB" w14:textId="60DF6C2F" w:rsidR="00B51FE6" w:rsidRDefault="00B51FE6" w:rsidP="0042402C">
      <w:pPr>
        <w:pStyle w:val="CETheadingx"/>
        <w:rPr>
          <w:color w:val="FF0000"/>
        </w:rPr>
      </w:pPr>
      <w:r w:rsidRPr="00B51FE6">
        <w:t>Brewer’s Spent Grains (BSG)</w:t>
      </w:r>
      <w:r w:rsidR="00106188">
        <w:t xml:space="preserve"> and pre-treatments</w:t>
      </w:r>
    </w:p>
    <w:p w14:paraId="36C5C5DD" w14:textId="2FC34F7E" w:rsidR="00B51FE6" w:rsidRDefault="00B51FE6" w:rsidP="00B51FE6">
      <w:pPr>
        <w:pStyle w:val="CETBodytext"/>
      </w:pPr>
      <w:r w:rsidRPr="00B51FE6">
        <w:t>The Brewer’s Spent Grain (BSG)</w:t>
      </w:r>
      <w:r>
        <w:t xml:space="preserve"> w</w:t>
      </w:r>
      <w:r w:rsidR="00D24339">
        <w:t>as</w:t>
      </w:r>
      <w:r w:rsidRPr="00B51FE6">
        <w:t xml:space="preserve"> supplied by a local brewery company (</w:t>
      </w:r>
      <w:proofErr w:type="spellStart"/>
      <w:r w:rsidRPr="00B51FE6">
        <w:t>Birrificio</w:t>
      </w:r>
      <w:proofErr w:type="spellEnd"/>
      <w:r w:rsidRPr="00B51FE6">
        <w:t xml:space="preserve"> </w:t>
      </w:r>
      <w:proofErr w:type="spellStart"/>
      <w:r w:rsidRPr="00B51FE6">
        <w:t>Leumann</w:t>
      </w:r>
      <w:proofErr w:type="spellEnd"/>
      <w:r w:rsidRPr="00B51FE6">
        <w:t xml:space="preserve">, </w:t>
      </w:r>
      <w:proofErr w:type="spellStart"/>
      <w:r w:rsidRPr="00B51FE6">
        <w:t>Collegno</w:t>
      </w:r>
      <w:proofErr w:type="spellEnd"/>
      <w:r w:rsidRPr="00B51FE6">
        <w:t xml:space="preserve">, </w:t>
      </w:r>
      <w:proofErr w:type="spellStart"/>
      <w:r w:rsidRPr="00B51FE6">
        <w:t>ltaly</w:t>
      </w:r>
      <w:proofErr w:type="spellEnd"/>
      <w:r w:rsidRPr="00B51FE6">
        <w:t xml:space="preserve">). </w:t>
      </w:r>
      <w:r w:rsidR="00F02724" w:rsidRPr="001E5BF5">
        <w:t>Immediately upon receipt</w:t>
      </w:r>
      <w:r w:rsidR="00F02724">
        <w:t>, u</w:t>
      </w:r>
      <w:r w:rsidRPr="00B51FE6">
        <w:t xml:space="preserve">ntreated fresh samples were stored in plastic containers at -20 °C. Prior to the </w:t>
      </w:r>
      <w:r>
        <w:t>extraction tests</w:t>
      </w:r>
      <w:r w:rsidRPr="00B51FE6">
        <w:t xml:space="preserve">, a thawing step was performed allowing the </w:t>
      </w:r>
      <w:r>
        <w:t>BSG</w:t>
      </w:r>
      <w:r w:rsidRPr="00B51FE6">
        <w:t xml:space="preserve"> to defrost at room temperature for </w:t>
      </w:r>
      <w:r w:rsidR="00D24339">
        <w:t>about</w:t>
      </w:r>
      <w:r w:rsidRPr="00B51FE6">
        <w:t xml:space="preserve"> 2 h.</w:t>
      </w:r>
      <w:r w:rsidR="003D6E3D">
        <w:t xml:space="preserve"> </w:t>
      </w:r>
    </w:p>
    <w:p w14:paraId="1F6E1074" w14:textId="75B7FB92" w:rsidR="00BB2B02" w:rsidRDefault="00F1138B" w:rsidP="0042402C">
      <w:pPr>
        <w:pStyle w:val="CETheadingx"/>
      </w:pPr>
      <w:r>
        <w:t xml:space="preserve">Extraction </w:t>
      </w:r>
    </w:p>
    <w:p w14:paraId="2E3B0647" w14:textId="1A8AB892" w:rsidR="00F1138B" w:rsidRPr="000004E1" w:rsidRDefault="00F1138B" w:rsidP="00F1138B">
      <w:pPr>
        <w:pStyle w:val="CETBodytext"/>
        <w:rPr>
          <w:lang w:val="en-GB"/>
        </w:rPr>
      </w:pPr>
      <w:r>
        <w:t xml:space="preserve">For the extraction </w:t>
      </w:r>
      <w:r w:rsidR="00C515A5">
        <w:t>tests</w:t>
      </w:r>
      <w:r>
        <w:t xml:space="preserve">, two different </w:t>
      </w:r>
      <w:r w:rsidR="00C515A5">
        <w:t>types of</w:t>
      </w:r>
      <w:r w:rsidR="003D6E3D">
        <w:t xml:space="preserve"> </w:t>
      </w:r>
      <w:r>
        <w:t xml:space="preserve">solvents are </w:t>
      </w:r>
      <w:r w:rsidR="003D6E3D">
        <w:t xml:space="preserve">tested: </w:t>
      </w:r>
      <w:r w:rsidR="003D6E3D" w:rsidRPr="00DE4EF0">
        <w:rPr>
          <w:i/>
          <w:iCs/>
        </w:rPr>
        <w:t>i)</w:t>
      </w:r>
      <w:r w:rsidR="003D6E3D">
        <w:t xml:space="preserve"> deionized water and </w:t>
      </w:r>
      <w:r w:rsidR="00DE4EF0" w:rsidRPr="00DE4EF0">
        <w:rPr>
          <w:i/>
          <w:iCs/>
        </w:rPr>
        <w:t>ii)</w:t>
      </w:r>
      <w:r w:rsidR="00DE4EF0">
        <w:t xml:space="preserve"> </w:t>
      </w:r>
      <w:r w:rsidR="003D6E3D">
        <w:t>mild alkaline solutions at 0.1 and 0.5 M NaOH</w:t>
      </w:r>
      <w:r>
        <w:t xml:space="preserve">. </w:t>
      </w:r>
      <w:r w:rsidR="003D6E3D">
        <w:t>The extraction step was performed</w:t>
      </w:r>
      <w:r w:rsidR="000004E1">
        <w:t xml:space="preserve"> in</w:t>
      </w:r>
      <w:r w:rsidR="000004E1" w:rsidRPr="000004E1">
        <w:t xml:space="preserve"> 250 m</w:t>
      </w:r>
      <w:r w:rsidR="000004E1">
        <w:t>L</w:t>
      </w:r>
      <w:r w:rsidR="000004E1" w:rsidRPr="000004E1">
        <w:t xml:space="preserve"> flasks, mixing 15 g of BSG with each solvent (75 m</w:t>
      </w:r>
      <w:r w:rsidR="000004E1">
        <w:t>L</w:t>
      </w:r>
      <w:r w:rsidR="000004E1" w:rsidRPr="000004E1">
        <w:t>)</w:t>
      </w:r>
      <w:r w:rsidR="000004E1">
        <w:t>, hence in</w:t>
      </w:r>
      <w:r w:rsidR="000004E1" w:rsidRPr="000004E1">
        <w:t xml:space="preserve"> a 1:5 </w:t>
      </w:r>
      <w:r w:rsidR="000004E1" w:rsidRPr="000004E1">
        <w:rPr>
          <w:i/>
          <w:iCs/>
        </w:rPr>
        <w:t>w/v</w:t>
      </w:r>
      <w:r w:rsidR="000004E1" w:rsidRPr="000004E1">
        <w:t xml:space="preserve"> proportion</w:t>
      </w:r>
      <w:r w:rsidR="000004E1">
        <w:t>.</w:t>
      </w:r>
      <w:r w:rsidR="00966BBE">
        <w:t xml:space="preserve"> The systems were kept </w:t>
      </w:r>
      <w:r w:rsidR="00D24339">
        <w:t xml:space="preserve">at room temperature </w:t>
      </w:r>
      <w:r w:rsidR="00966BBE">
        <w:t xml:space="preserve">under continuous magnetic stirring (c. 500 rpm) conditions for 5 h, and measurements were conducted after each hour elapsed. </w:t>
      </w:r>
      <w:r w:rsidR="00B67971">
        <w:t>Collected</w:t>
      </w:r>
      <w:r w:rsidR="00966BBE">
        <w:t xml:space="preserve"> samples were ultracentrifuged at </w:t>
      </w:r>
      <w:r w:rsidR="00966BBE" w:rsidRPr="00586AAC">
        <w:t xml:space="preserve">15000 rpm </w:t>
      </w:r>
      <w:r w:rsidR="00966BBE">
        <w:t>(</w:t>
      </w:r>
      <w:proofErr w:type="spellStart"/>
      <w:r w:rsidR="00966BBE" w:rsidRPr="000004E1">
        <w:t>Centrikon</w:t>
      </w:r>
      <w:proofErr w:type="spellEnd"/>
      <w:r w:rsidR="00966BBE" w:rsidRPr="000004E1">
        <w:t xml:space="preserve"> T-42K Kontron Instruments</w:t>
      </w:r>
      <w:r w:rsidR="00966BBE">
        <w:t xml:space="preserve">) at </w:t>
      </w:r>
      <w:r w:rsidR="00D24339">
        <w:t>25°C</w:t>
      </w:r>
      <w:r w:rsidR="00966BBE">
        <w:t xml:space="preserve">. </w:t>
      </w:r>
      <w:r w:rsidR="000004E1" w:rsidRPr="000004E1">
        <w:t>The volume of the supernatants was measured and then the samples were stored at +4°C until their utilization.</w:t>
      </w:r>
    </w:p>
    <w:p w14:paraId="54CC5DA6" w14:textId="595FCCD2" w:rsidR="00BB2B02" w:rsidRPr="00C22062" w:rsidRDefault="00BB2B02" w:rsidP="0042402C">
      <w:pPr>
        <w:pStyle w:val="CETheadingx"/>
      </w:pPr>
      <w:r w:rsidRPr="00C22062">
        <w:t>Analytical measurements</w:t>
      </w:r>
    </w:p>
    <w:p w14:paraId="29EFFE59" w14:textId="65D2479F" w:rsidR="00C22062" w:rsidRDefault="00C22062" w:rsidP="0042402C">
      <w:pPr>
        <w:pStyle w:val="CETHeadingxx"/>
      </w:pPr>
      <w:r>
        <w:t>Proximate analysis, pH measurements and titratable acidity</w:t>
      </w:r>
    </w:p>
    <w:p w14:paraId="19385288" w14:textId="39394B87" w:rsidR="00176C24" w:rsidRDefault="00C22062" w:rsidP="00C22062">
      <w:pPr>
        <w:pStyle w:val="CETBodytext"/>
      </w:pPr>
      <w:r>
        <w:t xml:space="preserve">The fresh BSG matrix and the BSG extracts were characterized through a simplified proximate analysis by measuring the dry matter (DM), the volatile solids (VS) and the ash fractions (AF). The DM was calculated by gravimetrical difference, placing the samples in crucibles, and recording the mass loss after a drying step (65 ° C) for 24 h (until constant weight), </w:t>
      </w:r>
      <w:r w:rsidR="00205700" w:rsidRPr="00205700">
        <w:t>while the VS and AF fractions were determined after a subsequent drying step at 550 °C for 6 hours.</w:t>
      </w:r>
      <w:r w:rsidR="00205700">
        <w:t xml:space="preserve"> </w:t>
      </w:r>
      <w:r w:rsidR="00176C24">
        <w:t>F</w:t>
      </w:r>
      <w:r w:rsidRPr="00C22062">
        <w:t xml:space="preserve">or the </w:t>
      </w:r>
      <w:r w:rsidR="00205700" w:rsidRPr="00C22062">
        <w:t xml:space="preserve">pH </w:t>
      </w:r>
      <w:r w:rsidRPr="00C22062">
        <w:t>measurement</w:t>
      </w:r>
      <w:r w:rsidR="00205700">
        <w:t>s</w:t>
      </w:r>
      <w:r w:rsidR="00176C24">
        <w:t xml:space="preserve">, 20 g of BSG were suspended in 50 mL of three different solutions: i) deionized water, ii) 1 M </w:t>
      </w:r>
      <w:proofErr w:type="spellStart"/>
      <w:r w:rsidR="00176C24">
        <w:t>KCl</w:t>
      </w:r>
      <w:proofErr w:type="spellEnd"/>
      <w:r w:rsidR="00176C24">
        <w:t xml:space="preserve"> and iii) 0.01 M CaCl</w:t>
      </w:r>
      <w:r w:rsidR="00176C24" w:rsidRPr="00176C24">
        <w:rPr>
          <w:vertAlign w:val="subscript"/>
        </w:rPr>
        <w:t>2</w:t>
      </w:r>
      <w:r w:rsidR="00176C24">
        <w:t xml:space="preserve">. </w:t>
      </w:r>
      <w:r w:rsidR="00176C24" w:rsidRPr="00586AAC">
        <w:t>Then</w:t>
      </w:r>
      <w:r w:rsidR="006F3812">
        <w:t>,</w:t>
      </w:r>
      <w:r w:rsidR="00176C24" w:rsidRPr="00586AAC">
        <w:t xml:space="preserve"> these suspension</w:t>
      </w:r>
      <w:r w:rsidR="000004E1">
        <w:t>s</w:t>
      </w:r>
      <w:r w:rsidR="00176C24" w:rsidRPr="00586AAC">
        <w:t xml:space="preserve"> were homogenized for 5 min at 10000 rpm and the pH measurements were performed</w:t>
      </w:r>
      <w:r w:rsidR="00176C24" w:rsidRPr="00176C24">
        <w:rPr>
          <w:color w:val="FF0000"/>
        </w:rPr>
        <w:t xml:space="preserve"> </w:t>
      </w:r>
      <w:r w:rsidR="00176C24" w:rsidRPr="00586AAC">
        <w:t>(</w:t>
      </w:r>
      <w:proofErr w:type="spellStart"/>
      <w:r w:rsidR="00176C24" w:rsidRPr="00586AAC">
        <w:t>micropH</w:t>
      </w:r>
      <w:proofErr w:type="spellEnd"/>
      <w:r w:rsidR="00176C24" w:rsidRPr="00586AAC">
        <w:t xml:space="preserve"> 2001 </w:t>
      </w:r>
      <w:proofErr w:type="spellStart"/>
      <w:r w:rsidR="00176C24" w:rsidRPr="00586AAC">
        <w:t>Crison</w:t>
      </w:r>
      <w:proofErr w:type="spellEnd"/>
      <w:r w:rsidR="00176C24" w:rsidRPr="00586AAC">
        <w:t xml:space="preserve"> Instruments SA, Barcelona, Spain)</w:t>
      </w:r>
      <w:r w:rsidR="00586AAC">
        <w:t xml:space="preserve">. </w:t>
      </w:r>
      <w:r w:rsidRPr="00C22062">
        <w:t xml:space="preserve">TA titrations were conducted on 5 mL of the homogenized samples (diluted 1:3 </w:t>
      </w:r>
      <w:r w:rsidRPr="00586AAC">
        <w:rPr>
          <w:i/>
          <w:iCs/>
        </w:rPr>
        <w:t>v/v</w:t>
      </w:r>
      <w:r w:rsidRPr="00C22062">
        <w:t xml:space="preserve">) using a standardized 0.1 N NaOH solution as titrant and phenolphthalein (c. 100 </w:t>
      </w:r>
      <w:proofErr w:type="spellStart"/>
      <w:r w:rsidRPr="00C22062">
        <w:t>μL</w:t>
      </w:r>
      <w:proofErr w:type="spellEnd"/>
      <w:r w:rsidRPr="00C22062">
        <w:t xml:space="preserve">) as visual endpoint indicator under constant mixing conditions; </w:t>
      </w:r>
      <w:r w:rsidRPr="00586AAC">
        <w:t>the TA of the samples is expressed as mL of NaOH/mL</w:t>
      </w:r>
      <w:r w:rsidR="00586AAC" w:rsidRPr="00586AAC">
        <w:t>.</w:t>
      </w:r>
      <w:r w:rsidRPr="00586AAC">
        <w:t xml:space="preserve"> </w:t>
      </w:r>
    </w:p>
    <w:p w14:paraId="7089773F" w14:textId="2ECA8E69" w:rsidR="00C22062" w:rsidRDefault="00C22062" w:rsidP="0042402C">
      <w:pPr>
        <w:pStyle w:val="CETHeadingxx"/>
      </w:pPr>
      <w:r>
        <w:t>Protein content</w:t>
      </w:r>
    </w:p>
    <w:p w14:paraId="4999ECE0" w14:textId="05AFEE30" w:rsidR="00E1363C" w:rsidRDefault="00E1363C" w:rsidP="00176C24">
      <w:pPr>
        <w:pStyle w:val="CETBodytext"/>
      </w:pPr>
      <w:r>
        <w:t>T</w:t>
      </w:r>
      <w:r w:rsidR="00176C24" w:rsidRPr="00C22062">
        <w:t xml:space="preserve">he protein content was estimated </w:t>
      </w:r>
      <w:r w:rsidRPr="00C22062">
        <w:t>in the</w:t>
      </w:r>
      <w:r>
        <w:t xml:space="preserve"> extract</w:t>
      </w:r>
      <w:r w:rsidRPr="00C22062">
        <w:t xml:space="preserve"> samples </w:t>
      </w:r>
      <w:r w:rsidR="00176C24" w:rsidRPr="00C22062">
        <w:t xml:space="preserve">using </w:t>
      </w:r>
      <w:r w:rsidR="00205700">
        <w:t>three different methods</w:t>
      </w:r>
      <w:r w:rsidR="0072070C">
        <w:t xml:space="preserve"> (Ahmed, 2017)</w:t>
      </w:r>
      <w:r w:rsidR="00205700">
        <w:t>:</w:t>
      </w:r>
      <w:r w:rsidR="00205700" w:rsidRPr="000004E1">
        <w:rPr>
          <w:i/>
          <w:iCs/>
        </w:rPr>
        <w:t xml:space="preserve"> i) </w:t>
      </w:r>
      <w:r w:rsidR="00176C24" w:rsidRPr="00C22062">
        <w:t>the</w:t>
      </w:r>
      <w:r>
        <w:t xml:space="preserve"> direct</w:t>
      </w:r>
      <w:r w:rsidR="00176C24" w:rsidRPr="00C22062">
        <w:t xml:space="preserve"> UV-absorbance (A</w:t>
      </w:r>
      <w:r w:rsidR="00176C24" w:rsidRPr="00E1363C">
        <w:rPr>
          <w:vertAlign w:val="subscript"/>
        </w:rPr>
        <w:t>280</w:t>
      </w:r>
      <w:r w:rsidR="00176C24" w:rsidRPr="00C22062">
        <w:t>) method</w:t>
      </w:r>
      <w:r w:rsidR="00205700">
        <w:t xml:space="preserve"> using bovine serum albumin (BSA-A</w:t>
      </w:r>
      <w:r w:rsidR="00205700" w:rsidRPr="00205700">
        <w:rPr>
          <w:vertAlign w:val="subscript"/>
        </w:rPr>
        <w:t>280</w:t>
      </w:r>
      <w:r w:rsidR="00205700">
        <w:t xml:space="preserve">) </w:t>
      </w:r>
      <w:r w:rsidR="006F3812">
        <w:t xml:space="preserve">or </w:t>
      </w:r>
      <w:r w:rsidR="006F3812" w:rsidRPr="000004E1">
        <w:rPr>
          <w:i/>
          <w:iCs/>
        </w:rPr>
        <w:t>ii)</w:t>
      </w:r>
      <w:r w:rsidR="006F3812">
        <w:t xml:space="preserve"> </w:t>
      </w:r>
      <w:r w:rsidR="00B67971" w:rsidRPr="00C22062">
        <w:t>the</w:t>
      </w:r>
      <w:r w:rsidR="00B67971">
        <w:t xml:space="preserve"> direct</w:t>
      </w:r>
      <w:r w:rsidR="00B67971" w:rsidRPr="00C22062">
        <w:t xml:space="preserve"> UV-absorbance </w:t>
      </w:r>
      <w:r w:rsidR="00B67971" w:rsidRPr="00C22062">
        <w:lastRenderedPageBreak/>
        <w:t>(A</w:t>
      </w:r>
      <w:r w:rsidR="00B67971" w:rsidRPr="00E1363C">
        <w:rPr>
          <w:vertAlign w:val="subscript"/>
        </w:rPr>
        <w:t>280</w:t>
      </w:r>
      <w:r w:rsidR="00B67971" w:rsidRPr="00C22062">
        <w:t>) method</w:t>
      </w:r>
      <w:r w:rsidR="00B67971">
        <w:t xml:space="preserve"> using </w:t>
      </w:r>
      <w:r w:rsidR="006F3812">
        <w:t>whey protein isolate (</w:t>
      </w:r>
      <w:r w:rsidR="006F3812" w:rsidRPr="00C22062">
        <w:t>BULK POWDERS™, Colchester, United Kingdom</w:t>
      </w:r>
      <w:r w:rsidR="006F3812">
        <w:t>)</w:t>
      </w:r>
      <w:r w:rsidR="006F3812" w:rsidRPr="006F3812">
        <w:t xml:space="preserve"> </w:t>
      </w:r>
      <w:r w:rsidR="006F3812">
        <w:t>(WPI-A</w:t>
      </w:r>
      <w:r w:rsidR="006F3812" w:rsidRPr="00205700">
        <w:rPr>
          <w:vertAlign w:val="subscript"/>
        </w:rPr>
        <w:t>280</w:t>
      </w:r>
      <w:r w:rsidR="006F3812">
        <w:t xml:space="preserve">) </w:t>
      </w:r>
      <w:r w:rsidR="00205700">
        <w:t>as standard</w:t>
      </w:r>
      <w:r w:rsidR="006F3812">
        <w:t>s</w:t>
      </w:r>
      <w:r w:rsidR="00205700">
        <w:t xml:space="preserve"> and </w:t>
      </w:r>
      <w:r w:rsidR="006F3812" w:rsidRPr="000004E1">
        <w:rPr>
          <w:i/>
          <w:iCs/>
        </w:rPr>
        <w:t>iii)</w:t>
      </w:r>
      <w:r w:rsidR="006F3812">
        <w:t xml:space="preserve"> </w:t>
      </w:r>
      <w:r w:rsidR="00205700">
        <w:t>the</w:t>
      </w:r>
      <w:r>
        <w:t xml:space="preserve"> Bradford colorimetric method </w:t>
      </w:r>
      <w:r w:rsidR="00205700">
        <w:t>using bovine serum albumin (BSA-Bradford)</w:t>
      </w:r>
      <w:r w:rsidR="006F3812">
        <w:t xml:space="preserve"> as standard</w:t>
      </w:r>
      <w:r w:rsidR="00205700">
        <w:t>.</w:t>
      </w:r>
      <w:r w:rsidR="00BB5EB5">
        <w:t xml:space="preserve"> </w:t>
      </w:r>
      <w:r>
        <w:t xml:space="preserve">For the protein measurements, </w:t>
      </w:r>
      <w:r w:rsidR="006F3812">
        <w:t xml:space="preserve">aliquots of well homogenized samples were opportunely </w:t>
      </w:r>
      <w:r>
        <w:t xml:space="preserve">diluted </w:t>
      </w:r>
      <w:r w:rsidR="006F3812">
        <w:t>(in</w:t>
      </w:r>
      <w:r>
        <w:t xml:space="preserve"> a 1:100 </w:t>
      </w:r>
      <w:r w:rsidR="00586AAC">
        <w:t>proportion</w:t>
      </w:r>
      <w:r w:rsidR="006F3812">
        <w:t>)</w:t>
      </w:r>
      <w:r w:rsidR="00586AAC">
        <w:t xml:space="preserve"> </w:t>
      </w:r>
      <w:r>
        <w:t xml:space="preserve">with deionized water </w:t>
      </w:r>
      <w:r w:rsidR="00586AAC">
        <w:t>for the</w:t>
      </w:r>
      <w:r>
        <w:t xml:space="preserve"> absorbance </w:t>
      </w:r>
      <w:r w:rsidR="00586AAC">
        <w:t>readings</w:t>
      </w:r>
      <w:r w:rsidR="00620E3C">
        <w:t xml:space="preserve"> (</w:t>
      </w:r>
      <w:r w:rsidR="00620E3C" w:rsidRPr="00EC6708">
        <w:t xml:space="preserve">Lambda 465 </w:t>
      </w:r>
      <w:proofErr w:type="spellStart"/>
      <w:r w:rsidR="00620E3C" w:rsidRPr="00EC6708">
        <w:t>Pelkin</w:t>
      </w:r>
      <w:proofErr w:type="spellEnd"/>
      <w:r w:rsidR="00620E3C" w:rsidRPr="00EC6708">
        <w:t xml:space="preserve"> Elmer, </w:t>
      </w:r>
      <w:r w:rsidR="00EC6708" w:rsidRPr="00EC6708">
        <w:t>Waltham, USA</w:t>
      </w:r>
      <w:r w:rsidR="00620E3C">
        <w:t>)</w:t>
      </w:r>
      <w:r>
        <w:t xml:space="preserve">. </w:t>
      </w:r>
    </w:p>
    <w:p w14:paraId="45D75E8C" w14:textId="60EF0E25" w:rsidR="00176C24" w:rsidRDefault="00713073" w:rsidP="0042402C">
      <w:pPr>
        <w:pStyle w:val="CETheadingx"/>
      </w:pPr>
      <w:r>
        <w:t>Kinetic</w:t>
      </w:r>
      <w:r w:rsidR="00B6543C">
        <w:t xml:space="preserve"> modelling</w:t>
      </w:r>
    </w:p>
    <w:p w14:paraId="4A032E49" w14:textId="2183C013" w:rsidR="00EC6708" w:rsidRDefault="00EC6708" w:rsidP="00BB2B02">
      <w:pPr>
        <w:pStyle w:val="CETBodytext"/>
      </w:pPr>
      <w:r w:rsidRPr="00EC6708">
        <w:t xml:space="preserve">The faithful modeling of S-L extraction kinetics has the </w:t>
      </w:r>
      <w:r>
        <w:t xml:space="preserve">drawback </w:t>
      </w:r>
      <w:r w:rsidRPr="00EC6708">
        <w:t>of measuring the concentration in the solid</w:t>
      </w:r>
      <w:r>
        <w:t xml:space="preserve"> phase,</w:t>
      </w:r>
      <w:r w:rsidRPr="00EC6708">
        <w:t xml:space="preserve"> and </w:t>
      </w:r>
      <w:r>
        <w:t xml:space="preserve">to follow </w:t>
      </w:r>
      <w:r w:rsidRPr="00EC6708">
        <w:t xml:space="preserve">its evolution over time. Due to these difficulties, one of the most used approaches is to monitor the concentration in the </w:t>
      </w:r>
      <w:r>
        <w:t>liquid phase (</w:t>
      </w:r>
      <w:r w:rsidRPr="00EC6708">
        <w:t>solvent</w:t>
      </w:r>
      <w:r>
        <w:t>)</w:t>
      </w:r>
      <w:r w:rsidRPr="00EC6708">
        <w:t xml:space="preserve"> and</w:t>
      </w:r>
      <w:r w:rsidR="00C37BEA">
        <w:t>, to</w:t>
      </w:r>
      <w:r w:rsidRPr="00EC6708">
        <w:t xml:space="preserve"> calculate </w:t>
      </w:r>
      <w:r w:rsidR="00C37BEA">
        <w:t>(</w:t>
      </w:r>
      <w:r w:rsidR="00C37BEA" w:rsidRPr="00EC6708">
        <w:t>pseudo</w:t>
      </w:r>
      <w:r w:rsidR="00C37BEA">
        <w:t>)</w:t>
      </w:r>
      <w:r w:rsidR="00C37BEA" w:rsidRPr="00EC6708">
        <w:t>kinetic</w:t>
      </w:r>
      <w:r w:rsidRPr="00EC6708">
        <w:t xml:space="preserve"> coefficients, which are mainly valid</w:t>
      </w:r>
      <w:r w:rsidR="003E4024">
        <w:t xml:space="preserve"> almost exclusively</w:t>
      </w:r>
      <w:r w:rsidRPr="00EC6708">
        <w:t xml:space="preserve"> </w:t>
      </w:r>
      <w:r w:rsidR="004928A2">
        <w:t xml:space="preserve">under </w:t>
      </w:r>
      <w:r w:rsidRPr="00EC6708">
        <w:t>the conditions in which the process is carried out</w:t>
      </w:r>
      <w:r w:rsidR="00C37BEA">
        <w:t>. The extraction data was modelled following a saturation model of the form</w:t>
      </w:r>
      <w:r w:rsidR="0034524C">
        <w:t xml:space="preserve">, </w:t>
      </w:r>
      <w:r w:rsidR="003E4024">
        <w:t>based on the</w:t>
      </w:r>
      <w:r w:rsidR="0034524C">
        <w:t xml:space="preserve"> concentration in the </w:t>
      </w:r>
      <w:r w:rsidR="0034524C" w:rsidRPr="0034524C">
        <w:t>extraction solvent</w:t>
      </w:r>
      <w:r w:rsidR="003E4024">
        <w:t xml:space="preserve">, </w:t>
      </w:r>
      <w:r w:rsidR="003E4024" w:rsidRPr="00046EDD">
        <w:rPr>
          <w:i/>
          <w:iCs/>
        </w:rPr>
        <w:t>C(t)</w:t>
      </w:r>
      <w:r w:rsidR="003E4024">
        <w:rPr>
          <w:i/>
          <w:iCs/>
        </w:rPr>
        <w:t xml:space="preserve"> </w:t>
      </w:r>
      <w:r w:rsidR="00C37BEA">
        <w:t xml:space="preserve">: </w:t>
      </w:r>
    </w:p>
    <w:tbl>
      <w:tblPr>
        <w:tblW w:w="5000" w:type="pct"/>
        <w:tblLook w:val="04A0" w:firstRow="1" w:lastRow="0" w:firstColumn="1" w:lastColumn="0" w:noHBand="0" w:noVBand="1"/>
      </w:tblPr>
      <w:tblGrid>
        <w:gridCol w:w="7983"/>
        <w:gridCol w:w="804"/>
      </w:tblGrid>
      <w:tr w:rsidR="003F0892" w:rsidRPr="00CC63CE" w14:paraId="2DE5B836" w14:textId="77777777" w:rsidTr="00C37BEA">
        <w:tc>
          <w:tcPr>
            <w:tcW w:w="7983" w:type="dxa"/>
            <w:shd w:val="clear" w:color="auto" w:fill="auto"/>
            <w:vAlign w:val="center"/>
          </w:tcPr>
          <w:p w14:paraId="4D05B669" w14:textId="092B0EFA" w:rsidR="003F0892" w:rsidRPr="00CC63CE" w:rsidRDefault="00C37BEA" w:rsidP="00AB35CB">
            <w:pPr>
              <w:pStyle w:val="CETEquation"/>
              <w:rPr>
                <w:rFonts w:cs="Arial"/>
                <w:i/>
              </w:rPr>
            </w:pPr>
            <w:r>
              <w:t xml:space="preserve">  </w:t>
            </w:r>
            <m:oMath>
              <m:r>
                <w:rPr>
                  <w:rFonts w:ascii="Cambria Math" w:hAnsi="Cambria Math"/>
                </w:rPr>
                <m:t>C</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eastAsiaTheme="minorHAnsi" w:hAnsi="Cambria Math" w:cstheme="minorBidi"/>
                      <w:i/>
                      <w:sz w:val="22"/>
                      <w:szCs w:val="22"/>
                      <w:lang w:val="en-US"/>
                    </w:rPr>
                  </m:ctrlPr>
                </m:sSubPr>
                <m:e>
                  <m:r>
                    <w:rPr>
                      <w:rFonts w:ascii="Cambria Math" w:hAnsi="Cambria Math"/>
                    </w:rPr>
                    <m:t>C</m:t>
                  </m:r>
                </m:e>
                <m:sub>
                  <m:r>
                    <w:rPr>
                      <w:rFonts w:ascii="Cambria Math" w:hAnsi="Cambria Math"/>
                    </w:rPr>
                    <m:t>Max</m:t>
                  </m:r>
                </m:sub>
              </m:sSub>
              <m:r>
                <w:rPr>
                  <w:rFonts w:ascii="Cambria Math" w:hAnsi="Cambria Math"/>
                </w:rPr>
                <m:t xml:space="preserve"> </m:t>
              </m:r>
              <m:f>
                <m:fPr>
                  <m:ctrlPr>
                    <w:rPr>
                      <w:rFonts w:ascii="Cambria Math" w:eastAsiaTheme="minorHAnsi" w:hAnsi="Cambria Math" w:cstheme="minorBidi"/>
                      <w:i/>
                      <w:sz w:val="22"/>
                      <w:szCs w:val="22"/>
                      <w:lang w:val="en-US"/>
                    </w:rPr>
                  </m:ctrlPr>
                </m:fPr>
                <m:num>
                  <m:r>
                    <w:rPr>
                      <w:rFonts w:ascii="Cambria Math" w:hAnsi="Cambria Math"/>
                    </w:rPr>
                    <m:t>t</m:t>
                  </m:r>
                </m:num>
                <m:den>
                  <m:r>
                    <w:rPr>
                      <w:rFonts w:ascii="Cambria Math" w:hAnsi="Cambria Math"/>
                    </w:rPr>
                    <m:t>k+t</m:t>
                  </m:r>
                </m:den>
              </m:f>
            </m:oMath>
            <w:r>
              <w:t xml:space="preserve">    </w:t>
            </w:r>
          </w:p>
        </w:tc>
        <w:tc>
          <w:tcPr>
            <w:tcW w:w="804" w:type="dxa"/>
            <w:shd w:val="clear" w:color="auto" w:fill="auto"/>
            <w:vAlign w:val="center"/>
          </w:tcPr>
          <w:p w14:paraId="6F33B64E" w14:textId="77777777" w:rsidR="003F0892" w:rsidRPr="00CC63CE" w:rsidRDefault="003F0892" w:rsidP="00AB35CB">
            <w:pPr>
              <w:pStyle w:val="CETEquation"/>
              <w:jc w:val="right"/>
              <w:rPr>
                <w:rFonts w:cs="Arial"/>
              </w:rPr>
            </w:pPr>
            <w:r w:rsidRPr="00CC63CE">
              <w:rPr>
                <w:rFonts w:cs="Arial"/>
              </w:rPr>
              <w:t>(1)</w:t>
            </w:r>
          </w:p>
        </w:tc>
      </w:tr>
    </w:tbl>
    <w:p w14:paraId="02615C9E" w14:textId="4D69CC0A" w:rsidR="00CC63CE" w:rsidRDefault="0034524C" w:rsidP="00BB2B02">
      <w:pPr>
        <w:pStyle w:val="CETBodytext"/>
      </w:pPr>
      <w:r>
        <w:t>To</w:t>
      </w:r>
      <w:r w:rsidR="00C37BEA">
        <w:t xml:space="preserve"> </w:t>
      </w:r>
      <w:proofErr w:type="spellStart"/>
      <w:r w:rsidR="00C37BEA">
        <w:t>obtent</w:t>
      </w:r>
      <w:proofErr w:type="spellEnd"/>
      <w:r w:rsidR="00C37BEA">
        <w:t xml:space="preserve"> the kinetic coefficients, and their relative uncertainty range, three lineariz</w:t>
      </w:r>
      <w:r>
        <w:t>ation approaches of the</w:t>
      </w:r>
      <w:r w:rsidR="00C37BEA">
        <w:t xml:space="preserve"> model are used</w:t>
      </w:r>
      <w:r>
        <w:t>; the following is the first linearized model</w:t>
      </w:r>
      <w:r w:rsidR="00C37BEA">
        <w:t xml:space="preserve">: </w:t>
      </w:r>
    </w:p>
    <w:tbl>
      <w:tblPr>
        <w:tblpPr w:leftFromText="180" w:rightFromText="180" w:vertAnchor="text" w:horzAnchor="margin" w:tblpY="19"/>
        <w:tblW w:w="5000" w:type="pct"/>
        <w:tblLook w:val="04A0" w:firstRow="1" w:lastRow="0" w:firstColumn="1" w:lastColumn="0" w:noHBand="0" w:noVBand="1"/>
      </w:tblPr>
      <w:tblGrid>
        <w:gridCol w:w="7982"/>
        <w:gridCol w:w="805"/>
      </w:tblGrid>
      <w:tr w:rsidR="00CC63CE" w:rsidRPr="00896328" w14:paraId="4BC621FB" w14:textId="77777777" w:rsidTr="00896328">
        <w:tc>
          <w:tcPr>
            <w:tcW w:w="7973" w:type="dxa"/>
            <w:shd w:val="clear" w:color="auto" w:fill="auto"/>
            <w:vAlign w:val="center"/>
          </w:tcPr>
          <w:p w14:paraId="53F05CDD" w14:textId="091CE5D8" w:rsidR="00CC63CE" w:rsidRPr="00896328" w:rsidRDefault="00C37BEA" w:rsidP="00CC63CE">
            <w:pPr>
              <w:pStyle w:val="CETEquation"/>
              <w:rPr>
                <w:rFonts w:cs="Arial"/>
                <w:szCs w:val="18"/>
              </w:rPr>
            </w:pPr>
            <w:r>
              <w:rPr>
                <w:szCs w:val="18"/>
              </w:rPr>
              <w:t xml:space="preserve"> </w:t>
            </w:r>
            <m:oMath>
              <m:f>
                <m:fPr>
                  <m:ctrlPr>
                    <w:rPr>
                      <w:rFonts w:ascii="Cambria Math" w:eastAsiaTheme="minorHAnsi" w:hAnsi="Cambria Math" w:cstheme="minorBidi"/>
                      <w:i/>
                      <w:sz w:val="22"/>
                      <w:szCs w:val="22"/>
                      <w:lang w:val="en-US"/>
                    </w:rPr>
                  </m:ctrlPr>
                </m:fPr>
                <m:num>
                  <m:r>
                    <w:rPr>
                      <w:rFonts w:ascii="Cambria Math" w:hAnsi="Cambria Math"/>
                    </w:rPr>
                    <m:t>1</m:t>
                  </m:r>
                </m:num>
                <m:den>
                  <m:r>
                    <w:rPr>
                      <w:rFonts w:ascii="Cambria Math" w:hAnsi="Cambria Math"/>
                    </w:rPr>
                    <m:t>C</m:t>
                  </m:r>
                  <m:d>
                    <m:dPr>
                      <m:ctrlPr>
                        <w:rPr>
                          <w:rFonts w:ascii="Cambria Math" w:hAnsi="Cambria Math"/>
                          <w:i/>
                        </w:rPr>
                      </m:ctrlPr>
                    </m:dPr>
                    <m:e>
                      <m:r>
                        <w:rPr>
                          <w:rFonts w:ascii="Cambria Math" w:hAnsi="Cambria Math"/>
                        </w:rPr>
                        <m:t>t</m:t>
                      </m:r>
                    </m:e>
                  </m:d>
                </m:den>
              </m:f>
              <m:r>
                <w:rPr>
                  <w:rFonts w:ascii="Cambria Math" w:hAnsi="Cambria Math"/>
                </w:rPr>
                <m:t>=</m:t>
              </m:r>
              <m:f>
                <m:fPr>
                  <m:ctrlPr>
                    <w:rPr>
                      <w:rFonts w:ascii="Cambria Math" w:eastAsiaTheme="minorHAnsi" w:hAnsi="Cambria Math" w:cstheme="minorBidi"/>
                      <w:i/>
                      <w:sz w:val="22"/>
                      <w:szCs w:val="22"/>
                      <w:lang w:val="en-US"/>
                    </w:rPr>
                  </m:ctrlPr>
                </m:fPr>
                <m:num>
                  <m:r>
                    <w:rPr>
                      <w:rFonts w:ascii="Cambria Math" w:hAnsi="Cambria Math"/>
                    </w:rPr>
                    <m:t xml:space="preserve">k </m:t>
                  </m:r>
                </m:num>
                <m:den>
                  <m:sSub>
                    <m:sSubPr>
                      <m:ctrlPr>
                        <w:rPr>
                          <w:rFonts w:ascii="Cambria Math" w:eastAsiaTheme="minorHAnsi" w:hAnsi="Cambria Math" w:cstheme="minorBidi"/>
                          <w:i/>
                          <w:sz w:val="22"/>
                          <w:szCs w:val="22"/>
                          <w:lang w:val="en-US"/>
                        </w:rPr>
                      </m:ctrlPr>
                    </m:sSubPr>
                    <m:e>
                      <m:r>
                        <w:rPr>
                          <w:rFonts w:ascii="Cambria Math" w:hAnsi="Cambria Math"/>
                        </w:rPr>
                        <m:t>C</m:t>
                      </m:r>
                    </m:e>
                    <m:sub>
                      <m:r>
                        <w:rPr>
                          <w:rFonts w:ascii="Cambria Math" w:hAnsi="Cambria Math"/>
                        </w:rPr>
                        <m:t>Max</m:t>
                      </m:r>
                    </m:sub>
                  </m:sSub>
                </m:den>
              </m:f>
              <m:r>
                <w:rPr>
                  <w:rFonts w:ascii="Cambria Math" w:hAnsi="Cambria Math"/>
                </w:rPr>
                <m:t xml:space="preserve">· </m:t>
              </m:r>
              <m:f>
                <m:fPr>
                  <m:ctrlPr>
                    <w:rPr>
                      <w:rFonts w:ascii="Cambria Math" w:eastAsiaTheme="minorHAnsi" w:hAnsi="Cambria Math" w:cstheme="minorBidi"/>
                      <w:i/>
                      <w:sz w:val="22"/>
                      <w:szCs w:val="22"/>
                      <w:lang w:val="en-US"/>
                    </w:rPr>
                  </m:ctrlPr>
                </m:fPr>
                <m:num>
                  <m:r>
                    <w:rPr>
                      <w:rFonts w:ascii="Cambria Math" w:hAnsi="Cambria Math"/>
                    </w:rPr>
                    <m:t>1</m:t>
                  </m:r>
                </m:num>
                <m:den>
                  <m:r>
                    <w:rPr>
                      <w:rFonts w:ascii="Cambria Math" w:hAnsi="Cambria Math"/>
                    </w:rPr>
                    <m:t>t</m:t>
                  </m:r>
                </m:den>
              </m:f>
              <m:r>
                <w:rPr>
                  <w:rFonts w:ascii="Cambria Math" w:hAnsi="Cambria Math"/>
                </w:rPr>
                <m:t>+</m:t>
              </m:r>
              <m:f>
                <m:fPr>
                  <m:ctrlPr>
                    <w:rPr>
                      <w:rFonts w:ascii="Cambria Math" w:eastAsiaTheme="minorHAnsi" w:hAnsi="Cambria Math" w:cstheme="minorBidi"/>
                      <w:i/>
                      <w:sz w:val="22"/>
                      <w:szCs w:val="22"/>
                      <w:lang w:val="en-US"/>
                    </w:rPr>
                  </m:ctrlPr>
                </m:fPr>
                <m:num>
                  <m:r>
                    <w:rPr>
                      <w:rFonts w:ascii="Cambria Math" w:hAnsi="Cambria Math"/>
                    </w:rPr>
                    <m:t xml:space="preserve">1 </m:t>
                  </m:r>
                </m:num>
                <m:den>
                  <m:sSub>
                    <m:sSubPr>
                      <m:ctrlPr>
                        <w:rPr>
                          <w:rFonts w:ascii="Cambria Math" w:eastAsiaTheme="minorHAnsi" w:hAnsi="Cambria Math" w:cstheme="minorBidi"/>
                          <w:i/>
                          <w:sz w:val="22"/>
                          <w:szCs w:val="22"/>
                          <w:lang w:val="en-US"/>
                        </w:rPr>
                      </m:ctrlPr>
                    </m:sSubPr>
                    <m:e>
                      <m:r>
                        <w:rPr>
                          <w:rFonts w:ascii="Cambria Math" w:hAnsi="Cambria Math"/>
                        </w:rPr>
                        <m:t>C</m:t>
                      </m:r>
                    </m:e>
                    <m:sub>
                      <m:r>
                        <w:rPr>
                          <w:rFonts w:ascii="Cambria Math" w:hAnsi="Cambria Math"/>
                        </w:rPr>
                        <m:t>Max</m:t>
                      </m:r>
                    </m:sub>
                  </m:sSub>
                </m:den>
              </m:f>
            </m:oMath>
          </w:p>
        </w:tc>
        <w:tc>
          <w:tcPr>
            <w:tcW w:w="804" w:type="dxa"/>
            <w:shd w:val="clear" w:color="auto" w:fill="auto"/>
            <w:vAlign w:val="center"/>
          </w:tcPr>
          <w:p w14:paraId="47275A75" w14:textId="27CDD10F" w:rsidR="00CC63CE" w:rsidRPr="00896328" w:rsidRDefault="00CC63CE" w:rsidP="00CC63CE">
            <w:pPr>
              <w:pStyle w:val="CETEquation"/>
              <w:jc w:val="right"/>
              <w:rPr>
                <w:rFonts w:cs="Arial"/>
                <w:szCs w:val="18"/>
              </w:rPr>
            </w:pPr>
            <w:r w:rsidRPr="00896328">
              <w:rPr>
                <w:rFonts w:cs="Arial"/>
                <w:szCs w:val="18"/>
              </w:rPr>
              <w:t>(</w:t>
            </w:r>
            <w:r w:rsidR="00896328">
              <w:rPr>
                <w:rFonts w:cs="Arial"/>
                <w:szCs w:val="18"/>
              </w:rPr>
              <w:t xml:space="preserve"> </w:t>
            </w:r>
            <w:r w:rsidRPr="00896328">
              <w:rPr>
                <w:rFonts w:cs="Arial"/>
                <w:szCs w:val="18"/>
              </w:rPr>
              <w:t>2)</w:t>
            </w:r>
          </w:p>
        </w:tc>
      </w:tr>
    </w:tbl>
    <w:p w14:paraId="5602A457" w14:textId="27697DF1" w:rsidR="00CC63CE" w:rsidRDefault="0034524C" w:rsidP="00BB2B02">
      <w:pPr>
        <w:pStyle w:val="CETBodytext"/>
      </w:pPr>
      <w:r>
        <w:t>t</w:t>
      </w:r>
      <w:r w:rsidR="00C37BEA">
        <w:t>he second is taken as</w:t>
      </w:r>
      <w:r w:rsidR="00CC63CE">
        <w:t xml:space="preserve">: </w:t>
      </w:r>
    </w:p>
    <w:tbl>
      <w:tblPr>
        <w:tblW w:w="5000" w:type="pct"/>
        <w:tblLook w:val="04A0" w:firstRow="1" w:lastRow="0" w:firstColumn="1" w:lastColumn="0" w:noHBand="0" w:noVBand="1"/>
      </w:tblPr>
      <w:tblGrid>
        <w:gridCol w:w="7982"/>
        <w:gridCol w:w="805"/>
      </w:tblGrid>
      <w:tr w:rsidR="00CC63CE" w:rsidRPr="00CC63CE" w14:paraId="7CB9E75C" w14:textId="77777777" w:rsidTr="00896328">
        <w:tc>
          <w:tcPr>
            <w:tcW w:w="8188" w:type="dxa"/>
            <w:shd w:val="clear" w:color="auto" w:fill="auto"/>
            <w:vAlign w:val="center"/>
          </w:tcPr>
          <w:p w14:paraId="3BA0BADA" w14:textId="46EDAC2C" w:rsidR="00CC63CE" w:rsidRPr="00CC63CE" w:rsidRDefault="000772DF" w:rsidP="00AB35CB">
            <w:pPr>
              <w:pStyle w:val="CETEquation"/>
              <w:rPr>
                <w:rFonts w:cs="Arial"/>
                <w:i/>
              </w:rPr>
            </w:pPr>
            <m:oMath>
              <m:f>
                <m:fPr>
                  <m:ctrlPr>
                    <w:rPr>
                      <w:rFonts w:ascii="Cambria Math" w:eastAsiaTheme="minorHAnsi" w:hAnsi="Cambria Math" w:cstheme="minorBidi"/>
                      <w:i/>
                      <w:sz w:val="22"/>
                      <w:szCs w:val="22"/>
                      <w:lang w:val="en-US"/>
                    </w:rPr>
                  </m:ctrlPr>
                </m:fPr>
                <m:num>
                  <m:r>
                    <w:rPr>
                      <w:rFonts w:ascii="Cambria Math" w:hAnsi="Cambria Math"/>
                    </w:rPr>
                    <m:t>t</m:t>
                  </m:r>
                </m:num>
                <m:den>
                  <m:r>
                    <w:rPr>
                      <w:rFonts w:ascii="Cambria Math" w:hAnsi="Cambria Math"/>
                    </w:rPr>
                    <m:t>C</m:t>
                  </m:r>
                  <m:d>
                    <m:dPr>
                      <m:ctrlPr>
                        <w:rPr>
                          <w:rFonts w:ascii="Cambria Math" w:hAnsi="Cambria Math"/>
                          <w:i/>
                        </w:rPr>
                      </m:ctrlPr>
                    </m:dPr>
                    <m:e>
                      <m:r>
                        <w:rPr>
                          <w:rFonts w:ascii="Cambria Math" w:hAnsi="Cambria Math"/>
                        </w:rPr>
                        <m:t>t</m:t>
                      </m:r>
                    </m:e>
                  </m:d>
                </m:den>
              </m:f>
              <m:r>
                <w:rPr>
                  <w:rFonts w:ascii="Cambria Math" w:hAnsi="Cambria Math"/>
                </w:rPr>
                <m:t>=</m:t>
              </m:r>
              <m:f>
                <m:fPr>
                  <m:ctrlPr>
                    <w:rPr>
                      <w:rFonts w:ascii="Cambria Math" w:eastAsiaTheme="minorHAnsi" w:hAnsi="Cambria Math" w:cstheme="minorBidi"/>
                      <w:i/>
                      <w:sz w:val="22"/>
                      <w:szCs w:val="22"/>
                      <w:lang w:val="en-US"/>
                    </w:rPr>
                  </m:ctrlPr>
                </m:fPr>
                <m:num>
                  <m:r>
                    <w:rPr>
                      <w:rFonts w:ascii="Cambria Math" w:hAnsi="Cambria Math"/>
                    </w:rPr>
                    <m:t xml:space="preserve">k </m:t>
                  </m:r>
                </m:num>
                <m:den>
                  <m:sSub>
                    <m:sSubPr>
                      <m:ctrlPr>
                        <w:rPr>
                          <w:rFonts w:ascii="Cambria Math" w:eastAsiaTheme="minorHAnsi" w:hAnsi="Cambria Math" w:cstheme="minorBidi"/>
                          <w:i/>
                          <w:sz w:val="22"/>
                          <w:szCs w:val="22"/>
                          <w:lang w:val="en-US"/>
                        </w:rPr>
                      </m:ctrlPr>
                    </m:sSubPr>
                    <m:e>
                      <m:r>
                        <w:rPr>
                          <w:rFonts w:ascii="Cambria Math" w:hAnsi="Cambria Math"/>
                        </w:rPr>
                        <m:t>C</m:t>
                      </m:r>
                    </m:e>
                    <m:sub>
                      <m:r>
                        <w:rPr>
                          <w:rFonts w:ascii="Cambria Math" w:hAnsi="Cambria Math"/>
                        </w:rPr>
                        <m:t>Max</m:t>
                      </m:r>
                    </m:sub>
                  </m:sSub>
                </m:den>
              </m:f>
              <m:r>
                <w:rPr>
                  <w:rFonts w:ascii="Cambria Math" w:hAnsi="Cambria Math"/>
                </w:rPr>
                <m:t>+</m:t>
              </m:r>
              <m:f>
                <m:fPr>
                  <m:ctrlPr>
                    <w:rPr>
                      <w:rFonts w:ascii="Cambria Math" w:eastAsiaTheme="minorHAnsi" w:hAnsi="Cambria Math" w:cstheme="minorBidi"/>
                      <w:i/>
                      <w:sz w:val="22"/>
                      <w:szCs w:val="22"/>
                      <w:lang w:val="en-US"/>
                    </w:rPr>
                  </m:ctrlPr>
                </m:fPr>
                <m:num>
                  <m:r>
                    <w:rPr>
                      <w:rFonts w:ascii="Cambria Math" w:hAnsi="Cambria Math"/>
                    </w:rPr>
                    <m:t xml:space="preserve"> 1</m:t>
                  </m:r>
                </m:num>
                <m:den>
                  <m:sSub>
                    <m:sSubPr>
                      <m:ctrlPr>
                        <w:rPr>
                          <w:rFonts w:ascii="Cambria Math" w:eastAsiaTheme="minorHAnsi" w:hAnsi="Cambria Math" w:cstheme="minorBidi"/>
                          <w:i/>
                          <w:sz w:val="22"/>
                          <w:szCs w:val="22"/>
                          <w:lang w:val="en-US"/>
                        </w:rPr>
                      </m:ctrlPr>
                    </m:sSubPr>
                    <m:e>
                      <m:r>
                        <w:rPr>
                          <w:rFonts w:ascii="Cambria Math" w:hAnsi="Cambria Math"/>
                        </w:rPr>
                        <m:t>C</m:t>
                      </m:r>
                    </m:e>
                    <m:sub>
                      <m:r>
                        <w:rPr>
                          <w:rFonts w:ascii="Cambria Math" w:hAnsi="Cambria Math"/>
                        </w:rPr>
                        <m:t>Max</m:t>
                      </m:r>
                    </m:sub>
                  </m:sSub>
                </m:den>
              </m:f>
              <m:r>
                <w:rPr>
                  <w:rFonts w:ascii="Cambria Math" w:hAnsi="Cambria Math"/>
                </w:rPr>
                <m:t>·t</m:t>
              </m:r>
            </m:oMath>
            <w:r w:rsidR="00CC63CE" w:rsidRPr="00CC63CE">
              <w:rPr>
                <w:rFonts w:cs="Arial"/>
                <w:i/>
              </w:rPr>
              <w:t xml:space="preserve"> </w:t>
            </w:r>
          </w:p>
        </w:tc>
        <w:tc>
          <w:tcPr>
            <w:tcW w:w="815" w:type="dxa"/>
            <w:shd w:val="clear" w:color="auto" w:fill="auto"/>
            <w:vAlign w:val="center"/>
          </w:tcPr>
          <w:p w14:paraId="202D1636" w14:textId="3AD9270F" w:rsidR="00CC63CE" w:rsidRPr="00CC63CE" w:rsidRDefault="00CC63CE" w:rsidP="00AB35CB">
            <w:pPr>
              <w:pStyle w:val="CETEquation"/>
              <w:jc w:val="right"/>
              <w:rPr>
                <w:rFonts w:cs="Arial"/>
              </w:rPr>
            </w:pPr>
            <w:r w:rsidRPr="00CC63CE">
              <w:rPr>
                <w:rFonts w:cs="Arial"/>
              </w:rPr>
              <w:t>(</w:t>
            </w:r>
            <w:r>
              <w:rPr>
                <w:rFonts w:cs="Arial"/>
              </w:rPr>
              <w:t>3</w:t>
            </w:r>
            <w:r w:rsidRPr="00CC63CE">
              <w:rPr>
                <w:rFonts w:cs="Arial"/>
              </w:rPr>
              <w:t>)</w:t>
            </w:r>
          </w:p>
        </w:tc>
      </w:tr>
    </w:tbl>
    <w:p w14:paraId="315F8A49" w14:textId="63E0EA94" w:rsidR="0089074B" w:rsidRDefault="00EB109E" w:rsidP="00BB2B02">
      <w:pPr>
        <w:pStyle w:val="CETBodytext"/>
      </w:pPr>
      <w:r>
        <w:t>f</w:t>
      </w:r>
      <w:r w:rsidR="00C37BEA">
        <w:t xml:space="preserve">inally, the last </w:t>
      </w:r>
      <w:r w:rsidR="003E4024">
        <w:t xml:space="preserve">considered </w:t>
      </w:r>
      <w:r w:rsidR="00C37BEA">
        <w:t xml:space="preserve">linearization </w:t>
      </w:r>
      <w:r>
        <w:t>is</w:t>
      </w:r>
      <w:r w:rsidR="00C37BEA">
        <w:t xml:space="preserve">: </w:t>
      </w:r>
    </w:p>
    <w:tbl>
      <w:tblPr>
        <w:tblW w:w="5000" w:type="pct"/>
        <w:tblLook w:val="04A0" w:firstRow="1" w:lastRow="0" w:firstColumn="1" w:lastColumn="0" w:noHBand="0" w:noVBand="1"/>
      </w:tblPr>
      <w:tblGrid>
        <w:gridCol w:w="7983"/>
        <w:gridCol w:w="804"/>
      </w:tblGrid>
      <w:tr w:rsidR="00713073" w:rsidRPr="00CC63CE" w14:paraId="60506BF2" w14:textId="77777777" w:rsidTr="00EB109E">
        <w:tc>
          <w:tcPr>
            <w:tcW w:w="7983" w:type="dxa"/>
            <w:shd w:val="clear" w:color="auto" w:fill="auto"/>
            <w:vAlign w:val="center"/>
          </w:tcPr>
          <w:p w14:paraId="732FF9DA" w14:textId="5F4DD9FC" w:rsidR="00713073" w:rsidRPr="00C37BEA" w:rsidRDefault="00C37BEA" w:rsidP="00C37BEA">
            <w:pPr>
              <w:rPr>
                <w:rFonts w:eastAsiaTheme="minorEastAsia"/>
              </w:rPr>
            </w:pPr>
            <m:oMath>
              <m:r>
                <w:rPr>
                  <w:rFonts w:ascii="Cambria Math" w:hAnsi="Cambria Math"/>
                </w:rPr>
                <m:t>C</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eastAsiaTheme="minorHAnsi" w:hAnsi="Cambria Math" w:cstheme="minorBidi"/>
                      <w:i/>
                      <w:sz w:val="22"/>
                      <w:szCs w:val="22"/>
                      <w:lang w:val="en-US"/>
                    </w:rPr>
                  </m:ctrlPr>
                </m:sSubPr>
                <m:e>
                  <m:r>
                    <w:rPr>
                      <w:rFonts w:ascii="Cambria Math" w:hAnsi="Cambria Math"/>
                    </w:rPr>
                    <m:t>C</m:t>
                  </m:r>
                </m:e>
                <m:sub>
                  <m:r>
                    <w:rPr>
                      <w:rFonts w:ascii="Cambria Math" w:hAnsi="Cambria Math"/>
                    </w:rPr>
                    <m:t>Max</m:t>
                  </m:r>
                </m:sub>
              </m:sSub>
              <m:r>
                <w:rPr>
                  <w:rFonts w:ascii="Cambria Math" w:hAnsi="Cambria Math"/>
                </w:rPr>
                <m:t>-k·</m:t>
              </m:r>
              <m:f>
                <m:fPr>
                  <m:ctrlPr>
                    <w:rPr>
                      <w:rFonts w:ascii="Cambria Math" w:eastAsiaTheme="minorHAnsi" w:hAnsi="Cambria Math" w:cstheme="minorBidi"/>
                      <w:i/>
                      <w:sz w:val="22"/>
                      <w:szCs w:val="22"/>
                      <w:lang w:val="en-US"/>
                    </w:rPr>
                  </m:ctrlPr>
                </m:fPr>
                <m:num>
                  <m:r>
                    <w:rPr>
                      <w:rFonts w:ascii="Cambria Math" w:hAnsi="Cambria Math"/>
                    </w:rPr>
                    <m:t>C</m:t>
                  </m:r>
                  <m:d>
                    <m:dPr>
                      <m:ctrlPr>
                        <w:rPr>
                          <w:rFonts w:ascii="Cambria Math" w:hAnsi="Cambria Math"/>
                          <w:i/>
                        </w:rPr>
                      </m:ctrlPr>
                    </m:dPr>
                    <m:e>
                      <m:r>
                        <w:rPr>
                          <w:rFonts w:ascii="Cambria Math" w:hAnsi="Cambria Math"/>
                        </w:rPr>
                        <m:t>t</m:t>
                      </m:r>
                    </m:e>
                  </m:d>
                  <m:r>
                    <w:rPr>
                      <w:rFonts w:ascii="Cambria Math" w:hAnsi="Cambria Math"/>
                    </w:rPr>
                    <m:t xml:space="preserve"> </m:t>
                  </m:r>
                </m:num>
                <m:den>
                  <m:r>
                    <w:rPr>
                      <w:rFonts w:ascii="Cambria Math" w:hAnsi="Cambria Math"/>
                    </w:rPr>
                    <m:t>t</m:t>
                  </m:r>
                </m:den>
              </m:f>
            </m:oMath>
            <w:r>
              <w:rPr>
                <w:rFonts w:eastAsiaTheme="minorEastAsia"/>
              </w:rPr>
              <w:t xml:space="preserve"> </w:t>
            </w:r>
          </w:p>
        </w:tc>
        <w:tc>
          <w:tcPr>
            <w:tcW w:w="804" w:type="dxa"/>
            <w:shd w:val="clear" w:color="auto" w:fill="auto"/>
            <w:vAlign w:val="center"/>
          </w:tcPr>
          <w:p w14:paraId="129103EE" w14:textId="77777777" w:rsidR="00713073" w:rsidRPr="00CC63CE" w:rsidRDefault="00713073" w:rsidP="00AB35CB">
            <w:pPr>
              <w:pStyle w:val="CETEquation"/>
              <w:jc w:val="right"/>
              <w:rPr>
                <w:rFonts w:cs="Arial"/>
              </w:rPr>
            </w:pPr>
            <w:r w:rsidRPr="00CC63CE">
              <w:rPr>
                <w:rFonts w:cs="Arial"/>
              </w:rPr>
              <w:t>(</w:t>
            </w:r>
            <w:r>
              <w:rPr>
                <w:rFonts w:cs="Arial"/>
              </w:rPr>
              <w:t>4</w:t>
            </w:r>
            <w:r w:rsidRPr="00CC63CE">
              <w:rPr>
                <w:rFonts w:cs="Arial"/>
              </w:rPr>
              <w:t>)</w:t>
            </w:r>
          </w:p>
        </w:tc>
      </w:tr>
    </w:tbl>
    <w:p w14:paraId="39EB66E0" w14:textId="30525913" w:rsidR="00713073" w:rsidRPr="00713073" w:rsidRDefault="00EB109E" w:rsidP="00BB2B02">
      <w:pPr>
        <w:pStyle w:val="CETBodytext"/>
        <w:rPr>
          <w:lang w:val="en-GB"/>
        </w:rPr>
      </w:pPr>
      <w:r>
        <w:t>T</w:t>
      </w:r>
      <w:r w:rsidRPr="003F0892">
        <w:t xml:space="preserve">he </w:t>
      </w:r>
      <w:r>
        <w:t>experimental</w:t>
      </w:r>
      <w:r>
        <w:rPr>
          <w:i/>
          <w:iCs/>
        </w:rPr>
        <w:t xml:space="preserve"> </w:t>
      </w:r>
      <w:r>
        <w:t>data of</w:t>
      </w:r>
      <w:r w:rsidR="00713073">
        <w:t xml:space="preserve"> the DM concentration in the extracts as well as the protein content at the tested intervals (</w:t>
      </w:r>
      <w:r w:rsidR="00713073" w:rsidRPr="00713073">
        <w:rPr>
          <w:i/>
          <w:iCs/>
        </w:rPr>
        <w:t>C</w:t>
      </w:r>
      <w:r w:rsidR="00713073" w:rsidRPr="00713073">
        <w:rPr>
          <w:i/>
          <w:iCs/>
          <w:vertAlign w:val="subscript"/>
        </w:rPr>
        <w:t>t</w:t>
      </w:r>
      <w:r w:rsidR="00713073">
        <w:t>)</w:t>
      </w:r>
      <w:r w:rsidR="00AA4ADD">
        <w:t xml:space="preserve">, in </w:t>
      </w:r>
      <w:proofErr w:type="spellStart"/>
      <w:r w:rsidR="00AA4ADD">
        <w:t>g</w:t>
      </w:r>
      <w:r w:rsidR="00AA4ADD" w:rsidRPr="00AA4ADD">
        <w:rPr>
          <w:vertAlign w:val="subscript"/>
        </w:rPr>
        <w:t>DM</w:t>
      </w:r>
      <w:proofErr w:type="spellEnd"/>
      <w:r w:rsidR="00AA4ADD">
        <w:t xml:space="preserve">/L and </w:t>
      </w:r>
      <w:proofErr w:type="spellStart"/>
      <w:r w:rsidR="00AA4ADD">
        <w:t>g</w:t>
      </w:r>
      <w:r w:rsidR="00AA4ADD" w:rsidRPr="00AA4ADD">
        <w:rPr>
          <w:vertAlign w:val="subscript"/>
        </w:rPr>
        <w:t>protein</w:t>
      </w:r>
      <w:proofErr w:type="spellEnd"/>
      <w:r w:rsidR="00AA4ADD">
        <w:t>/L, respectively</w:t>
      </w:r>
      <w:r w:rsidR="003E4024">
        <w:t>,</w:t>
      </w:r>
      <w:r>
        <w:t xml:space="preserve"> </w:t>
      </w:r>
      <w:r w:rsidR="00713073">
        <w:t>w</w:t>
      </w:r>
      <w:r>
        <w:t>ere</w:t>
      </w:r>
      <w:r w:rsidR="00713073">
        <w:t xml:space="preserve"> </w:t>
      </w:r>
      <w:r w:rsidR="00C37BEA">
        <w:t xml:space="preserve">used to </w:t>
      </w:r>
      <w:r w:rsidR="00713073">
        <w:t xml:space="preserve">fit </w:t>
      </w:r>
      <w:r w:rsidR="00C37BEA">
        <w:t>eq. 2, 3, 4</w:t>
      </w:r>
      <w:r w:rsidR="00713073">
        <w:t>,</w:t>
      </w:r>
      <w:r>
        <w:t xml:space="preserve"> by best-fitting procedure,</w:t>
      </w:r>
      <w:r w:rsidR="00713073">
        <w:t xml:space="preserve"> from which the saturation conc</w:t>
      </w:r>
      <w:r w:rsidR="00AA4ADD">
        <w:t xml:space="preserve">entration in the extracts </w:t>
      </w:r>
      <w:r w:rsidR="00AA4ADD">
        <w:rPr>
          <w:lang w:val="en-GB"/>
        </w:rPr>
        <w:t>(</w:t>
      </w:r>
      <w:proofErr w:type="spellStart"/>
      <w:r w:rsidR="00AA4ADD" w:rsidRPr="00C37BEA">
        <w:rPr>
          <w:i/>
          <w:iCs/>
          <w:lang w:val="en-GB"/>
        </w:rPr>
        <w:t>C</w:t>
      </w:r>
      <w:r w:rsidR="00C37BEA">
        <w:rPr>
          <w:i/>
          <w:iCs/>
          <w:vertAlign w:val="subscript"/>
          <w:lang w:val="en-GB"/>
        </w:rPr>
        <w:t>M</w:t>
      </w:r>
      <w:r w:rsidR="00C37BEA" w:rsidRPr="00C37BEA">
        <w:rPr>
          <w:i/>
          <w:iCs/>
          <w:vertAlign w:val="subscript"/>
          <w:lang w:val="en-GB"/>
        </w:rPr>
        <w:t>ax</w:t>
      </w:r>
      <w:proofErr w:type="spellEnd"/>
      <w:r w:rsidR="00AA4ADD" w:rsidRPr="00AA4ADD">
        <w:rPr>
          <w:lang w:val="en-GB"/>
        </w:rPr>
        <w:t>)</w:t>
      </w:r>
      <w:r w:rsidR="00AA4ADD">
        <w:rPr>
          <w:lang w:val="en-GB"/>
        </w:rPr>
        <w:t xml:space="preserve"> </w:t>
      </w:r>
      <w:r w:rsidR="00AA4ADD" w:rsidRPr="00CA477F">
        <w:t xml:space="preserve">and the </w:t>
      </w:r>
      <w:r w:rsidR="006459A6" w:rsidRPr="00CA477F">
        <w:t>half saturation time constant</w:t>
      </w:r>
      <w:r w:rsidR="00AA4ADD" w:rsidRPr="00CA477F">
        <w:t xml:space="preserve"> </w:t>
      </w:r>
      <w:r w:rsidR="00AA4ADD">
        <w:t>(</w:t>
      </w:r>
      <w:r w:rsidR="00AA4ADD" w:rsidRPr="00AA4ADD">
        <w:rPr>
          <w:i/>
          <w:iCs/>
        </w:rPr>
        <w:t>k</w:t>
      </w:r>
      <w:r w:rsidR="00AA4ADD" w:rsidRPr="00AA4ADD">
        <w:t>)</w:t>
      </w:r>
      <w:r w:rsidR="00AA4ADD">
        <w:t xml:space="preserve"> are obtained</w:t>
      </w:r>
      <w:r>
        <w:t>,</w:t>
      </w:r>
      <w:r w:rsidR="003E4024">
        <w:t xml:space="preserve"> and</w:t>
      </w:r>
      <w:r>
        <w:t xml:space="preserve"> </w:t>
      </w:r>
      <w:r w:rsidRPr="00EB109E">
        <w:t>the mean</w:t>
      </w:r>
      <w:r w:rsidR="003E4024">
        <w:t xml:space="preserve"> values</w:t>
      </w:r>
      <w:r w:rsidRPr="00EB109E">
        <w:t xml:space="preserve"> and the uncertainty </w:t>
      </w:r>
      <w:r w:rsidR="003E4024">
        <w:t xml:space="preserve">ranges </w:t>
      </w:r>
      <w:r w:rsidRPr="00EB109E">
        <w:t xml:space="preserve">were calculated from the three </w:t>
      </w:r>
      <w:r w:rsidR="003E4024">
        <w:t>linearization models</w:t>
      </w:r>
      <w:r w:rsidR="00AA4ADD">
        <w:t xml:space="preserve">. </w:t>
      </w:r>
    </w:p>
    <w:p w14:paraId="103AD5CB" w14:textId="7FC006FA" w:rsidR="00E878C5" w:rsidRDefault="00E878C5" w:rsidP="0042402C">
      <w:pPr>
        <w:pStyle w:val="CETheadingx"/>
      </w:pPr>
      <w:r>
        <w:t>Energy consumption estimation</w:t>
      </w:r>
    </w:p>
    <w:p w14:paraId="6E48EA64" w14:textId="0592D35E" w:rsidR="00586AAC" w:rsidRDefault="00C05E81" w:rsidP="00703B9F">
      <w:pPr>
        <w:pStyle w:val="CETBodytext"/>
      </w:pPr>
      <w:r>
        <w:t>E</w:t>
      </w:r>
      <w:r w:rsidR="00703B9F">
        <w:t xml:space="preserve">nergy consumption </w:t>
      </w:r>
      <w:r>
        <w:t xml:space="preserve">was estimated during </w:t>
      </w:r>
      <w:r w:rsidR="00703B9F">
        <w:t>the preparation of the extracts</w:t>
      </w:r>
      <w:r w:rsidR="00586AAC">
        <w:t xml:space="preserve">, </w:t>
      </w:r>
      <w:r w:rsidR="00703B9F">
        <w:t xml:space="preserve">under the experimental conditions, on </w:t>
      </w:r>
      <w:r w:rsidR="00586AAC">
        <w:t>the</w:t>
      </w:r>
      <w:r w:rsidR="00703B9F">
        <w:t xml:space="preserve"> laboratory scale</w:t>
      </w:r>
      <w:r>
        <w:t xml:space="preserve">. </w:t>
      </w:r>
      <w:r w:rsidR="00586AAC">
        <w:t xml:space="preserve">A simplified inventory step was carried out, considering </w:t>
      </w:r>
      <w:r w:rsidR="00EB109E">
        <w:t xml:space="preserve">only </w:t>
      </w:r>
      <w:r w:rsidR="00586AAC">
        <w:t xml:space="preserve">the direct energy expenses </w:t>
      </w:r>
      <w:r w:rsidR="00EB109E">
        <w:t xml:space="preserve">as the electrical energy </w:t>
      </w:r>
      <w:r w:rsidR="00586AAC">
        <w:t xml:space="preserve">and the </w:t>
      </w:r>
      <w:r w:rsidR="00EB109E">
        <w:t xml:space="preserve">energy embedded in the </w:t>
      </w:r>
      <w:proofErr w:type="gramStart"/>
      <w:r w:rsidR="00586AAC">
        <w:t>chemicals</w:t>
      </w:r>
      <w:proofErr w:type="gramEnd"/>
      <w:r w:rsidR="00586AAC">
        <w:t xml:space="preserve"> expenses </w:t>
      </w:r>
      <w:r w:rsidR="00EB109E">
        <w:t xml:space="preserve">used, </w:t>
      </w:r>
      <w:r w:rsidR="00586AAC">
        <w:t xml:space="preserve">as reported in </w:t>
      </w:r>
      <w:r w:rsidR="00586AAC" w:rsidRPr="001C55F6">
        <w:t>Table 1</w:t>
      </w:r>
      <w:r w:rsidR="00586AAC">
        <w:t>.</w:t>
      </w:r>
    </w:p>
    <w:p w14:paraId="4BEBCD2C" w14:textId="77777777" w:rsidR="00586AAC" w:rsidRDefault="00586AAC" w:rsidP="00586AAC">
      <w:pPr>
        <w:pStyle w:val="CETCaption"/>
      </w:pPr>
      <w:r>
        <w:t>Table 1. Direct and chemicals energy expenses considered for the analysis</w:t>
      </w:r>
    </w:p>
    <w:tbl>
      <w:tblPr>
        <w:tblW w:w="5658" w:type="dxa"/>
        <w:tblCellMar>
          <w:left w:w="0" w:type="dxa"/>
          <w:right w:w="0" w:type="dxa"/>
        </w:tblCellMar>
        <w:tblLook w:val="00A0" w:firstRow="1" w:lastRow="0" w:firstColumn="1" w:lastColumn="0" w:noHBand="0" w:noVBand="0"/>
      </w:tblPr>
      <w:tblGrid>
        <w:gridCol w:w="1405"/>
        <w:gridCol w:w="1424"/>
        <w:gridCol w:w="1405"/>
        <w:gridCol w:w="1424"/>
      </w:tblGrid>
      <w:tr w:rsidR="00586AAC" w:rsidRPr="00C05E81" w14:paraId="17790054" w14:textId="77777777" w:rsidTr="00AB35CB">
        <w:trPr>
          <w:trHeight w:val="291"/>
        </w:trPr>
        <w:tc>
          <w:tcPr>
            <w:tcW w:w="2829" w:type="dxa"/>
            <w:gridSpan w:val="2"/>
            <w:tcBorders>
              <w:top w:val="single" w:sz="12" w:space="0" w:color="008000"/>
              <w:left w:val="nil"/>
              <w:bottom w:val="single" w:sz="8" w:space="0" w:color="008000"/>
              <w:right w:val="nil"/>
            </w:tcBorders>
            <w:shd w:val="clear" w:color="auto" w:fill="auto"/>
            <w:tcMar>
              <w:top w:w="15" w:type="dxa"/>
              <w:left w:w="15" w:type="dxa"/>
              <w:bottom w:w="0" w:type="dxa"/>
              <w:right w:w="15" w:type="dxa"/>
            </w:tcMar>
            <w:vAlign w:val="center"/>
            <w:hideMark/>
          </w:tcPr>
          <w:p w14:paraId="302AEFC5" w14:textId="77777777" w:rsidR="00586AAC" w:rsidRPr="00C05E81" w:rsidRDefault="00586AAC" w:rsidP="00AB35CB">
            <w:pPr>
              <w:pStyle w:val="CETBodytext"/>
              <w:jc w:val="center"/>
              <w:rPr>
                <w:sz w:val="16"/>
                <w:szCs w:val="16"/>
                <w:lang w:val="en-GB"/>
              </w:rPr>
            </w:pPr>
            <w:r w:rsidRPr="00C05E81">
              <w:rPr>
                <w:i/>
                <w:iCs/>
                <w:sz w:val="16"/>
                <w:szCs w:val="16"/>
                <w:lang w:val="en-GB"/>
              </w:rPr>
              <w:t>Chemicals</w:t>
            </w:r>
          </w:p>
        </w:tc>
        <w:tc>
          <w:tcPr>
            <w:tcW w:w="2829" w:type="dxa"/>
            <w:gridSpan w:val="2"/>
            <w:tcBorders>
              <w:top w:val="single" w:sz="12" w:space="0" w:color="008000"/>
              <w:left w:val="nil"/>
              <w:bottom w:val="single" w:sz="8" w:space="0" w:color="008000"/>
              <w:right w:val="nil"/>
            </w:tcBorders>
            <w:shd w:val="clear" w:color="auto" w:fill="auto"/>
            <w:tcMar>
              <w:top w:w="15" w:type="dxa"/>
              <w:left w:w="15" w:type="dxa"/>
              <w:bottom w:w="0" w:type="dxa"/>
              <w:right w:w="15" w:type="dxa"/>
            </w:tcMar>
            <w:vAlign w:val="center"/>
            <w:hideMark/>
          </w:tcPr>
          <w:p w14:paraId="7A3D29C9" w14:textId="77777777" w:rsidR="00586AAC" w:rsidRPr="00C05E81" w:rsidRDefault="00586AAC" w:rsidP="00AB35CB">
            <w:pPr>
              <w:pStyle w:val="CETBodytext"/>
              <w:jc w:val="center"/>
              <w:rPr>
                <w:sz w:val="16"/>
                <w:szCs w:val="16"/>
                <w:lang w:val="en-GB"/>
              </w:rPr>
            </w:pPr>
            <w:r w:rsidRPr="00C05E81">
              <w:rPr>
                <w:i/>
                <w:iCs/>
                <w:sz w:val="16"/>
                <w:szCs w:val="16"/>
                <w:lang w:val="en-GB"/>
              </w:rPr>
              <w:t>Direct Energy</w:t>
            </w:r>
          </w:p>
        </w:tc>
      </w:tr>
      <w:tr w:rsidR="00586AAC" w:rsidRPr="00C05E81" w14:paraId="211AD9E2" w14:textId="77777777" w:rsidTr="00AB35CB">
        <w:trPr>
          <w:trHeight w:val="281"/>
        </w:trPr>
        <w:tc>
          <w:tcPr>
            <w:tcW w:w="1405" w:type="dxa"/>
            <w:tcBorders>
              <w:top w:val="single" w:sz="8" w:space="0" w:color="008000"/>
              <w:left w:val="nil"/>
              <w:bottom w:val="single" w:sz="8" w:space="0" w:color="008000"/>
              <w:right w:val="nil"/>
            </w:tcBorders>
            <w:shd w:val="clear" w:color="auto" w:fill="auto"/>
            <w:tcMar>
              <w:top w:w="15" w:type="dxa"/>
              <w:left w:w="15" w:type="dxa"/>
              <w:bottom w:w="0" w:type="dxa"/>
              <w:right w:w="15" w:type="dxa"/>
            </w:tcMar>
            <w:vAlign w:val="center"/>
            <w:hideMark/>
          </w:tcPr>
          <w:p w14:paraId="180E572E" w14:textId="77777777" w:rsidR="00586AAC" w:rsidRPr="00C05E81" w:rsidRDefault="00586AAC" w:rsidP="00AB35CB">
            <w:pPr>
              <w:pStyle w:val="CETBodytext"/>
              <w:jc w:val="center"/>
              <w:rPr>
                <w:b/>
                <w:bCs/>
                <w:sz w:val="16"/>
                <w:szCs w:val="16"/>
                <w:lang w:val="en-GB"/>
              </w:rPr>
            </w:pPr>
            <w:r w:rsidRPr="00C05E81">
              <w:rPr>
                <w:b/>
                <w:bCs/>
                <w:sz w:val="16"/>
                <w:szCs w:val="16"/>
                <w:lang w:val="en-GB"/>
              </w:rPr>
              <w:t>Deionized water</w:t>
            </w:r>
          </w:p>
        </w:tc>
        <w:tc>
          <w:tcPr>
            <w:tcW w:w="1423" w:type="dxa"/>
            <w:tcBorders>
              <w:top w:val="single" w:sz="8" w:space="0" w:color="008000"/>
              <w:left w:val="nil"/>
              <w:bottom w:val="single" w:sz="8" w:space="0" w:color="008000"/>
              <w:right w:val="nil"/>
            </w:tcBorders>
            <w:shd w:val="clear" w:color="auto" w:fill="auto"/>
            <w:tcMar>
              <w:top w:w="15" w:type="dxa"/>
              <w:left w:w="15" w:type="dxa"/>
              <w:bottom w:w="0" w:type="dxa"/>
              <w:right w:w="15" w:type="dxa"/>
            </w:tcMar>
            <w:vAlign w:val="center"/>
            <w:hideMark/>
          </w:tcPr>
          <w:p w14:paraId="7933502E" w14:textId="77777777" w:rsidR="00586AAC" w:rsidRPr="00C05E81" w:rsidRDefault="00586AAC" w:rsidP="00AB35CB">
            <w:pPr>
              <w:pStyle w:val="CETBodytext"/>
              <w:jc w:val="center"/>
              <w:rPr>
                <w:b/>
                <w:bCs/>
                <w:sz w:val="16"/>
                <w:szCs w:val="16"/>
                <w:lang w:val="en-GB"/>
              </w:rPr>
            </w:pPr>
            <w:r w:rsidRPr="00C05E81">
              <w:rPr>
                <w:b/>
                <w:bCs/>
                <w:sz w:val="16"/>
                <w:szCs w:val="16"/>
                <w:lang w:val="en-GB"/>
              </w:rPr>
              <w:t>Caustic Soda</w:t>
            </w:r>
          </w:p>
        </w:tc>
        <w:tc>
          <w:tcPr>
            <w:tcW w:w="1405" w:type="dxa"/>
            <w:tcBorders>
              <w:top w:val="single" w:sz="8" w:space="0" w:color="008000"/>
              <w:left w:val="nil"/>
              <w:bottom w:val="single" w:sz="8" w:space="0" w:color="008000"/>
              <w:right w:val="nil"/>
            </w:tcBorders>
            <w:shd w:val="clear" w:color="auto" w:fill="auto"/>
            <w:tcMar>
              <w:top w:w="15" w:type="dxa"/>
              <w:left w:w="15" w:type="dxa"/>
              <w:bottom w:w="0" w:type="dxa"/>
              <w:right w:w="15" w:type="dxa"/>
            </w:tcMar>
            <w:vAlign w:val="center"/>
            <w:hideMark/>
          </w:tcPr>
          <w:p w14:paraId="4097F80F" w14:textId="77777777" w:rsidR="00586AAC" w:rsidRPr="00C05E81" w:rsidRDefault="00586AAC" w:rsidP="00AB35CB">
            <w:pPr>
              <w:pStyle w:val="CETBodytext"/>
              <w:jc w:val="center"/>
              <w:rPr>
                <w:b/>
                <w:bCs/>
                <w:sz w:val="16"/>
                <w:szCs w:val="16"/>
                <w:lang w:val="en-GB"/>
              </w:rPr>
            </w:pPr>
            <w:r w:rsidRPr="00C05E81">
              <w:rPr>
                <w:b/>
                <w:bCs/>
                <w:sz w:val="16"/>
                <w:szCs w:val="16"/>
                <w:lang w:val="en-GB"/>
              </w:rPr>
              <w:t>Mixing</w:t>
            </w:r>
          </w:p>
        </w:tc>
        <w:tc>
          <w:tcPr>
            <w:tcW w:w="1423" w:type="dxa"/>
            <w:tcBorders>
              <w:top w:val="single" w:sz="8" w:space="0" w:color="008000"/>
              <w:left w:val="nil"/>
              <w:bottom w:val="single" w:sz="8" w:space="0" w:color="008000"/>
              <w:right w:val="nil"/>
            </w:tcBorders>
            <w:shd w:val="clear" w:color="auto" w:fill="auto"/>
            <w:tcMar>
              <w:top w:w="15" w:type="dxa"/>
              <w:left w:w="15" w:type="dxa"/>
              <w:bottom w:w="0" w:type="dxa"/>
              <w:right w:w="15" w:type="dxa"/>
            </w:tcMar>
            <w:vAlign w:val="center"/>
            <w:hideMark/>
          </w:tcPr>
          <w:p w14:paraId="21144153" w14:textId="77777777" w:rsidR="00586AAC" w:rsidRPr="00C05E81" w:rsidRDefault="00586AAC" w:rsidP="00AB35CB">
            <w:pPr>
              <w:pStyle w:val="CETBodytext"/>
              <w:jc w:val="center"/>
              <w:rPr>
                <w:b/>
                <w:bCs/>
                <w:sz w:val="16"/>
                <w:szCs w:val="16"/>
                <w:lang w:val="en-GB"/>
              </w:rPr>
            </w:pPr>
            <w:r w:rsidRPr="00C05E81">
              <w:rPr>
                <w:b/>
                <w:bCs/>
                <w:sz w:val="16"/>
                <w:szCs w:val="16"/>
                <w:lang w:val="en-GB"/>
              </w:rPr>
              <w:t>Centrifugation</w:t>
            </w:r>
          </w:p>
        </w:tc>
      </w:tr>
      <w:tr w:rsidR="00586AAC" w:rsidRPr="00C05E81" w14:paraId="45A29987" w14:textId="77777777" w:rsidTr="00AB35CB">
        <w:trPr>
          <w:trHeight w:val="45"/>
        </w:trPr>
        <w:tc>
          <w:tcPr>
            <w:tcW w:w="1405" w:type="dxa"/>
            <w:tcBorders>
              <w:top w:val="nil"/>
              <w:left w:val="nil"/>
              <w:bottom w:val="single" w:sz="12" w:space="0" w:color="008000"/>
              <w:right w:val="nil"/>
            </w:tcBorders>
            <w:shd w:val="clear" w:color="auto" w:fill="auto"/>
            <w:tcMar>
              <w:top w:w="15" w:type="dxa"/>
              <w:left w:w="15" w:type="dxa"/>
              <w:bottom w:w="0" w:type="dxa"/>
              <w:right w:w="15" w:type="dxa"/>
            </w:tcMar>
            <w:vAlign w:val="center"/>
            <w:hideMark/>
          </w:tcPr>
          <w:p w14:paraId="1E256694" w14:textId="77777777" w:rsidR="00586AAC" w:rsidRPr="00C05E81" w:rsidRDefault="00586AAC" w:rsidP="00AB35CB">
            <w:pPr>
              <w:pStyle w:val="CETBodytext"/>
              <w:jc w:val="center"/>
              <w:rPr>
                <w:sz w:val="16"/>
                <w:szCs w:val="16"/>
                <w:lang w:val="en-GB"/>
              </w:rPr>
            </w:pPr>
            <w:r w:rsidRPr="00C05E81">
              <w:rPr>
                <w:sz w:val="16"/>
                <w:szCs w:val="16"/>
                <w:lang w:val="en-GB"/>
              </w:rPr>
              <w:t>0.103 [MJ/kg]</w:t>
            </w:r>
          </w:p>
        </w:tc>
        <w:tc>
          <w:tcPr>
            <w:tcW w:w="1423" w:type="dxa"/>
            <w:tcBorders>
              <w:top w:val="nil"/>
              <w:left w:val="nil"/>
              <w:bottom w:val="single" w:sz="12" w:space="0" w:color="008000"/>
              <w:right w:val="nil"/>
            </w:tcBorders>
            <w:shd w:val="clear" w:color="auto" w:fill="auto"/>
            <w:tcMar>
              <w:top w:w="15" w:type="dxa"/>
              <w:left w:w="15" w:type="dxa"/>
              <w:bottom w:w="0" w:type="dxa"/>
              <w:right w:w="15" w:type="dxa"/>
            </w:tcMar>
            <w:vAlign w:val="center"/>
            <w:hideMark/>
          </w:tcPr>
          <w:p w14:paraId="1BDD0D71" w14:textId="77777777" w:rsidR="00586AAC" w:rsidRPr="00C05E81" w:rsidRDefault="00586AAC" w:rsidP="00AB35CB">
            <w:pPr>
              <w:pStyle w:val="CETBodytext"/>
              <w:jc w:val="center"/>
              <w:rPr>
                <w:sz w:val="16"/>
                <w:szCs w:val="16"/>
                <w:lang w:val="en-GB"/>
              </w:rPr>
            </w:pPr>
            <w:r w:rsidRPr="00C05E81">
              <w:rPr>
                <w:sz w:val="16"/>
                <w:szCs w:val="16"/>
                <w:lang w:val="en-GB"/>
              </w:rPr>
              <w:t>15.900   [MJ/kg]</w:t>
            </w:r>
          </w:p>
        </w:tc>
        <w:tc>
          <w:tcPr>
            <w:tcW w:w="1405" w:type="dxa"/>
            <w:tcBorders>
              <w:top w:val="nil"/>
              <w:left w:val="nil"/>
              <w:bottom w:val="single" w:sz="12" w:space="0" w:color="008000"/>
              <w:right w:val="nil"/>
            </w:tcBorders>
            <w:shd w:val="clear" w:color="auto" w:fill="auto"/>
            <w:tcMar>
              <w:top w:w="15" w:type="dxa"/>
              <w:left w:w="15" w:type="dxa"/>
              <w:bottom w:w="0" w:type="dxa"/>
              <w:right w:w="15" w:type="dxa"/>
            </w:tcMar>
            <w:vAlign w:val="center"/>
            <w:hideMark/>
          </w:tcPr>
          <w:p w14:paraId="0A595B15" w14:textId="77777777" w:rsidR="00586AAC" w:rsidRPr="00C05E81" w:rsidRDefault="00586AAC" w:rsidP="00AB35CB">
            <w:pPr>
              <w:pStyle w:val="CETBodytext"/>
              <w:jc w:val="center"/>
              <w:rPr>
                <w:sz w:val="16"/>
                <w:szCs w:val="16"/>
                <w:lang w:val="en-GB"/>
              </w:rPr>
            </w:pPr>
            <w:r w:rsidRPr="00C05E81">
              <w:rPr>
                <w:sz w:val="16"/>
                <w:szCs w:val="16"/>
                <w:lang w:val="en-GB"/>
              </w:rPr>
              <w:t>0.</w:t>
            </w:r>
            <w:r>
              <w:rPr>
                <w:sz w:val="16"/>
                <w:szCs w:val="16"/>
                <w:lang w:val="en-GB"/>
              </w:rPr>
              <w:t>0072</w:t>
            </w:r>
            <w:r w:rsidRPr="00C05E81">
              <w:rPr>
                <w:sz w:val="16"/>
                <w:szCs w:val="16"/>
                <w:lang w:val="en-GB"/>
              </w:rPr>
              <w:t xml:space="preserve"> [MJ/h]</w:t>
            </w:r>
          </w:p>
        </w:tc>
        <w:tc>
          <w:tcPr>
            <w:tcW w:w="1423" w:type="dxa"/>
            <w:tcBorders>
              <w:top w:val="nil"/>
              <w:left w:val="nil"/>
              <w:bottom w:val="single" w:sz="12" w:space="0" w:color="008000"/>
              <w:right w:val="nil"/>
            </w:tcBorders>
            <w:shd w:val="clear" w:color="auto" w:fill="auto"/>
            <w:tcMar>
              <w:top w:w="15" w:type="dxa"/>
              <w:left w:w="15" w:type="dxa"/>
              <w:bottom w:w="0" w:type="dxa"/>
              <w:right w:w="15" w:type="dxa"/>
            </w:tcMar>
            <w:vAlign w:val="center"/>
            <w:hideMark/>
          </w:tcPr>
          <w:p w14:paraId="2107DC7E" w14:textId="77777777" w:rsidR="00586AAC" w:rsidRPr="00C05E81" w:rsidRDefault="00586AAC" w:rsidP="00AB35CB">
            <w:pPr>
              <w:pStyle w:val="CETBodytext"/>
              <w:jc w:val="center"/>
              <w:rPr>
                <w:sz w:val="16"/>
                <w:szCs w:val="16"/>
                <w:lang w:val="en-GB"/>
              </w:rPr>
            </w:pPr>
            <w:r>
              <w:rPr>
                <w:sz w:val="16"/>
                <w:szCs w:val="16"/>
                <w:lang w:val="en-GB"/>
              </w:rPr>
              <w:t>0.036</w:t>
            </w:r>
            <w:r w:rsidRPr="00C05E81">
              <w:rPr>
                <w:sz w:val="16"/>
                <w:szCs w:val="16"/>
                <w:lang w:val="en-GB"/>
              </w:rPr>
              <w:t xml:space="preserve"> [MJ/cycle]</w:t>
            </w:r>
          </w:p>
        </w:tc>
      </w:tr>
    </w:tbl>
    <w:p w14:paraId="1B8D91FC" w14:textId="77777777" w:rsidR="00586AAC" w:rsidRDefault="00586AAC" w:rsidP="00703B9F">
      <w:pPr>
        <w:pStyle w:val="CETBodytext"/>
      </w:pPr>
    </w:p>
    <w:p w14:paraId="3297339B" w14:textId="4B1BFE6E" w:rsidR="00703B9F" w:rsidRDefault="00A53ECC" w:rsidP="00703B9F">
      <w:pPr>
        <w:pStyle w:val="CETBodytext"/>
      </w:pPr>
      <w:r>
        <w:t xml:space="preserve">The direct </w:t>
      </w:r>
      <w:r w:rsidR="00EB109E">
        <w:t xml:space="preserve">energy </w:t>
      </w:r>
      <w:r>
        <w:t xml:space="preserve">expenses are based on the electricity consumption of the laboratory equipment, while the gross energy requirements (GER) of the chemicals are taken from </w:t>
      </w:r>
      <w:proofErr w:type="spellStart"/>
      <w:r w:rsidRPr="00A53ECC">
        <w:rPr>
          <w:i/>
          <w:iCs/>
        </w:rPr>
        <w:t>Simapro</w:t>
      </w:r>
      <w:proofErr w:type="spellEnd"/>
      <w:r w:rsidRPr="00A53ECC">
        <w:rPr>
          <w:i/>
          <w:iCs/>
        </w:rPr>
        <w:t xml:space="preserve"> 9.1.1.1</w:t>
      </w:r>
      <w:r>
        <w:t xml:space="preserve">, using the </w:t>
      </w:r>
      <w:r w:rsidRPr="00A53ECC">
        <w:rPr>
          <w:i/>
          <w:iCs/>
        </w:rPr>
        <w:t>USLCI database</w:t>
      </w:r>
      <w:r>
        <w:t xml:space="preserve"> and the </w:t>
      </w:r>
      <w:r w:rsidRPr="00A53ECC">
        <w:rPr>
          <w:i/>
          <w:iCs/>
        </w:rPr>
        <w:t>Cumulative Energy Demand (LHV)</w:t>
      </w:r>
      <w:r>
        <w:t xml:space="preserve"> impact method. The </w:t>
      </w:r>
      <w:r w:rsidR="00EB109E">
        <w:t>reference</w:t>
      </w:r>
      <w:r>
        <w:t xml:space="preserve"> unit for the analysis is the gram of dry matter extracted (</w:t>
      </w:r>
      <w:proofErr w:type="spellStart"/>
      <w:r>
        <w:t>g</w:t>
      </w:r>
      <w:r w:rsidRPr="00C05E81">
        <w:rPr>
          <w:vertAlign w:val="subscript"/>
        </w:rPr>
        <w:t>DM</w:t>
      </w:r>
      <w:proofErr w:type="spellEnd"/>
      <w:r w:rsidR="00586AAC">
        <w:rPr>
          <w:vertAlign w:val="subscript"/>
        </w:rPr>
        <w:t xml:space="preserve"> </w:t>
      </w:r>
      <w:proofErr w:type="spellStart"/>
      <w:r w:rsidR="00586AAC">
        <w:rPr>
          <w:vertAlign w:val="subscript"/>
        </w:rPr>
        <w:t>ext</w:t>
      </w:r>
      <w:proofErr w:type="spellEnd"/>
      <w:r>
        <w:t xml:space="preserve">) and the energy footprints are </w:t>
      </w:r>
      <w:r w:rsidR="00EB109E" w:rsidRPr="00EB109E">
        <w:t xml:space="preserve">expressed </w:t>
      </w:r>
      <w:r>
        <w:t>as MJ/</w:t>
      </w:r>
      <w:proofErr w:type="spellStart"/>
      <w:r>
        <w:t>g</w:t>
      </w:r>
      <w:r w:rsidRPr="001C55F6">
        <w:rPr>
          <w:vertAlign w:val="subscript"/>
        </w:rPr>
        <w:t>DM</w:t>
      </w:r>
      <w:proofErr w:type="spellEnd"/>
      <w:r>
        <w:t xml:space="preserve"> </w:t>
      </w:r>
      <w:r w:rsidRPr="00586AAC">
        <w:rPr>
          <w:vertAlign w:val="subscript"/>
        </w:rPr>
        <w:t>ext</w:t>
      </w:r>
      <w:r>
        <w:t xml:space="preserve">. </w:t>
      </w:r>
      <w:r w:rsidR="00703B9F">
        <w:t xml:space="preserve"> </w:t>
      </w:r>
    </w:p>
    <w:p w14:paraId="0486CC69" w14:textId="34B5D1D3" w:rsidR="00BB2B02" w:rsidRDefault="00BB2B02" w:rsidP="00BB2B02">
      <w:pPr>
        <w:pStyle w:val="CETHeading1"/>
        <w:tabs>
          <w:tab w:val="clear" w:pos="360"/>
          <w:tab w:val="right" w:pos="7100"/>
        </w:tabs>
        <w:jc w:val="both"/>
        <w:rPr>
          <w:lang w:val="en-GB"/>
        </w:rPr>
      </w:pPr>
      <w:r>
        <w:rPr>
          <w:lang w:val="en-GB"/>
        </w:rPr>
        <w:t xml:space="preserve">Results </w:t>
      </w:r>
    </w:p>
    <w:p w14:paraId="431B2221" w14:textId="69CE5031" w:rsidR="005A64C0" w:rsidRDefault="005A64C0" w:rsidP="0042402C">
      <w:pPr>
        <w:pStyle w:val="CETheadingx"/>
      </w:pPr>
      <w:r>
        <w:t>BSG characterization</w:t>
      </w:r>
    </w:p>
    <w:p w14:paraId="2AE7568C" w14:textId="434028E4" w:rsidR="00967964" w:rsidRDefault="00967964" w:rsidP="0042402C">
      <w:pPr>
        <w:pStyle w:val="CETBodytext"/>
      </w:pPr>
      <w:r w:rsidRPr="00967964">
        <w:t xml:space="preserve">Before the extraction tests, an initial characterization of the BSG was carried out. </w:t>
      </w:r>
      <w:r w:rsidR="00415C01">
        <w:t>The</w:t>
      </w:r>
      <w:r w:rsidRPr="00967964">
        <w:t xml:space="preserve"> proximity analysis </w:t>
      </w:r>
      <w:r w:rsidR="0042402C">
        <w:t xml:space="preserve">(% </w:t>
      </w:r>
      <w:r w:rsidR="0042402C" w:rsidRPr="00AD260A">
        <w:rPr>
          <w:i/>
          <w:iCs/>
        </w:rPr>
        <w:t>w/w</w:t>
      </w:r>
      <w:r w:rsidR="0042402C">
        <w:t xml:space="preserve"> fresh matter) </w:t>
      </w:r>
      <w:r w:rsidRPr="00967964">
        <w:t xml:space="preserve">resulted in a </w:t>
      </w:r>
      <w:r w:rsidR="0042402C">
        <w:t>DM</w:t>
      </w:r>
      <w:r w:rsidRPr="00967964">
        <w:t xml:space="preserve"> content of </w:t>
      </w:r>
      <w:r w:rsidR="0042402C">
        <w:t>28.02±1.18, 71.98±1.18 (MC), 26.62±0.17 (VM), 1.40±0.01 (AF), and TA of 0.75±0.05 mL NaOH/g BSG</w:t>
      </w:r>
      <w:r w:rsidR="00415C01">
        <w:t>.</w:t>
      </w:r>
      <w:r w:rsidRPr="00967964">
        <w:t xml:space="preserve"> </w:t>
      </w:r>
      <w:r w:rsidR="00415C01">
        <w:t>T</w:t>
      </w:r>
      <w:r w:rsidRPr="00967964">
        <w:t>h</w:t>
      </w:r>
      <w:r w:rsidR="0042402C">
        <w:t>e DM</w:t>
      </w:r>
      <w:r w:rsidRPr="00967964">
        <w:t xml:space="preserve"> </w:t>
      </w:r>
      <w:r w:rsidR="00415C01">
        <w:t>lumped</w:t>
      </w:r>
      <w:r w:rsidRPr="00967964">
        <w:t xml:space="preserve"> parameter gives a first idea of the potentially extractable matter within the matrix. The </w:t>
      </w:r>
      <w:r w:rsidR="0042402C">
        <w:t>AF</w:t>
      </w:r>
      <w:r w:rsidRPr="00967964">
        <w:t xml:space="preserve"> is low (&lt;2%), while the starting pH is consistent with the mashing phase, which typically takes place in a narrow range (pH=5.1-5.6)</w:t>
      </w:r>
      <w:r w:rsidR="0042402C">
        <w:t>; it resulted in 5.95±0.06 (DI H</w:t>
      </w:r>
      <w:r w:rsidR="0042402C" w:rsidRPr="00AD260A">
        <w:rPr>
          <w:vertAlign w:val="subscript"/>
        </w:rPr>
        <w:t>2</w:t>
      </w:r>
      <w:r w:rsidR="0042402C">
        <w:t xml:space="preserve">O, pH=6.02±0.12), 6.34±0.10 (1 M </w:t>
      </w:r>
      <w:proofErr w:type="spellStart"/>
      <w:r w:rsidR="0042402C">
        <w:t>KCl</w:t>
      </w:r>
      <w:proofErr w:type="spellEnd"/>
      <w:r w:rsidR="0042402C">
        <w:t xml:space="preserve">, pH=6.45±0.0.09) and 5.24±0.07 (0.01 M </w:t>
      </w:r>
      <w:proofErr w:type="spellStart"/>
      <w:r w:rsidR="0042402C">
        <w:t>CaCl</w:t>
      </w:r>
      <w:r w:rsidR="0042402C" w:rsidRPr="00AD260A">
        <w:rPr>
          <w:vertAlign w:val="subscript"/>
        </w:rPr>
        <w:t>2</w:t>
      </w:r>
      <w:proofErr w:type="spellEnd"/>
      <w:r w:rsidR="0042402C">
        <w:t>, pH=5.33±0.20)</w:t>
      </w:r>
      <w:r w:rsidRPr="00967964">
        <w:t xml:space="preserve">. However, </w:t>
      </w:r>
      <w:r w:rsidR="00415C01">
        <w:t>during</w:t>
      </w:r>
      <w:r w:rsidRPr="00967964">
        <w:t xml:space="preserve"> mashing, in addition to pH, the effective hardness is also fundamental (in terms of Ca</w:t>
      </w:r>
      <w:r w:rsidR="00C37BEA" w:rsidRPr="00C37BEA">
        <w:rPr>
          <w:vertAlign w:val="superscript"/>
        </w:rPr>
        <w:t>2+</w:t>
      </w:r>
      <w:r w:rsidRPr="00967964">
        <w:t xml:space="preserve"> and Mg</w:t>
      </w:r>
      <w:r w:rsidR="00C37BEA" w:rsidRPr="00C37BEA">
        <w:rPr>
          <w:vertAlign w:val="superscript"/>
        </w:rPr>
        <w:t>2+</w:t>
      </w:r>
      <w:r w:rsidR="00C37BEA" w:rsidRPr="00967964">
        <w:t xml:space="preserve"> </w:t>
      </w:r>
      <w:r w:rsidRPr="00967964">
        <w:t xml:space="preserve"> ions), while for the extraction tests a nearly neutral </w:t>
      </w:r>
      <w:r w:rsidR="00415C01">
        <w:t xml:space="preserve">deionized </w:t>
      </w:r>
      <w:r w:rsidR="000004E1">
        <w:t xml:space="preserve">water </w:t>
      </w:r>
      <w:r w:rsidRPr="00967964">
        <w:t>and dilute alkaline solutions were used.</w:t>
      </w:r>
      <w:r w:rsidR="0042402C">
        <w:t xml:space="preserve"> </w:t>
      </w:r>
    </w:p>
    <w:p w14:paraId="3E3F4C2B" w14:textId="5F45ED45" w:rsidR="00880103" w:rsidRPr="00880103" w:rsidRDefault="00415C01" w:rsidP="0042402C">
      <w:pPr>
        <w:pStyle w:val="CETheadingx"/>
      </w:pPr>
      <w:r>
        <w:lastRenderedPageBreak/>
        <w:t xml:space="preserve">Extraction tests </w:t>
      </w:r>
      <w:r w:rsidR="006C5246">
        <w:t xml:space="preserve">and quantitative protein measurements </w:t>
      </w:r>
    </w:p>
    <w:p w14:paraId="25A62A01" w14:textId="1EE9A2D1" w:rsidR="00B56CF2" w:rsidRDefault="00415C01" w:rsidP="00507640">
      <w:pPr>
        <w:pStyle w:val="CETBodytext"/>
        <w:rPr>
          <w:lang w:val="en-GB"/>
        </w:rPr>
      </w:pPr>
      <w:r w:rsidRPr="00415C01">
        <w:rPr>
          <w:lang w:val="en-GB"/>
        </w:rPr>
        <w:t xml:space="preserve">Figure </w:t>
      </w:r>
      <w:r w:rsidR="0018201D">
        <w:rPr>
          <w:lang w:val="en-GB"/>
        </w:rPr>
        <w:t>1</w:t>
      </w:r>
      <w:r w:rsidRPr="00415C01">
        <w:rPr>
          <w:lang w:val="en-GB"/>
        </w:rPr>
        <w:t xml:space="preserve"> shows the concentrations</w:t>
      </w:r>
      <w:r w:rsidR="0018201D">
        <w:rPr>
          <w:lang w:val="en-GB"/>
        </w:rPr>
        <w:t xml:space="preserve"> of</w:t>
      </w:r>
      <w:r w:rsidRPr="00415C01">
        <w:rPr>
          <w:lang w:val="en-GB"/>
        </w:rPr>
        <w:t xml:space="preserve"> </w:t>
      </w:r>
      <w:r>
        <w:rPr>
          <w:lang w:val="en-GB"/>
        </w:rPr>
        <w:t>DM</w:t>
      </w:r>
      <w:r w:rsidRPr="00415C01">
        <w:rPr>
          <w:lang w:val="en-GB"/>
        </w:rPr>
        <w:t xml:space="preserve"> and protein content obtained at different extraction times, using the different </w:t>
      </w:r>
      <w:r w:rsidR="0018201D">
        <w:rPr>
          <w:lang w:val="en-GB"/>
        </w:rPr>
        <w:t xml:space="preserve">tested </w:t>
      </w:r>
      <w:r w:rsidRPr="00415C01">
        <w:rPr>
          <w:lang w:val="en-GB"/>
        </w:rPr>
        <w:t>solvents.</w:t>
      </w:r>
      <w:r w:rsidRPr="00415C01">
        <w:t xml:space="preserve"> </w:t>
      </w:r>
      <w:r>
        <w:t>For t</w:t>
      </w:r>
      <w:r w:rsidRPr="00415C01">
        <w:rPr>
          <w:lang w:val="en-GB"/>
        </w:rPr>
        <w:t xml:space="preserve">he systems in which deionized water was used, the </w:t>
      </w:r>
      <w:r>
        <w:rPr>
          <w:lang w:val="en-GB"/>
        </w:rPr>
        <w:t>DM</w:t>
      </w:r>
      <w:r w:rsidRPr="00415C01">
        <w:rPr>
          <w:lang w:val="en-GB"/>
        </w:rPr>
        <w:t xml:space="preserve"> content in the extracts remained almost constant, with non-statistically significant variations after the first hour. For the systems extracted with alkaline solutions, higher concentrations were obtained in the extracts</w:t>
      </w:r>
      <w:r w:rsidR="00AB35CB">
        <w:rPr>
          <w:lang w:val="en-GB"/>
        </w:rPr>
        <w:t xml:space="preserve"> compared to water systems,</w:t>
      </w:r>
      <w:r w:rsidRPr="00415C01">
        <w:rPr>
          <w:lang w:val="en-GB"/>
        </w:rPr>
        <w:t xml:space="preserve"> and slight increase</w:t>
      </w:r>
      <w:r w:rsidR="006C5246">
        <w:rPr>
          <w:lang w:val="en-GB"/>
        </w:rPr>
        <w:t>s</w:t>
      </w:r>
      <w:r w:rsidRPr="00415C01">
        <w:rPr>
          <w:lang w:val="en-GB"/>
        </w:rPr>
        <w:t xml:space="preserve"> could be observed as the extraction time increased.</w:t>
      </w:r>
      <w:r w:rsidR="006C5246">
        <w:rPr>
          <w:lang w:val="en-GB"/>
        </w:rPr>
        <w:t xml:space="preserve"> </w:t>
      </w:r>
    </w:p>
    <w:p w14:paraId="613F498F" w14:textId="77777777" w:rsidR="006C5246" w:rsidRDefault="006C5246" w:rsidP="00507640">
      <w:pPr>
        <w:pStyle w:val="CETBodytext"/>
        <w:rPr>
          <w:lang w:val="en-GB"/>
        </w:rPr>
      </w:pPr>
    </w:p>
    <w:p w14:paraId="73A6E428" w14:textId="1E2453EE" w:rsidR="00096E85" w:rsidRDefault="00E9183D" w:rsidP="00507640">
      <w:pPr>
        <w:pStyle w:val="CETBodytext"/>
        <w:rPr>
          <w:lang w:val="en-GB"/>
        </w:rPr>
      </w:pPr>
      <w:r w:rsidRPr="00E9183D">
        <w:rPr>
          <w:noProof/>
          <w:lang w:val="en-GB"/>
        </w:rPr>
        <w:drawing>
          <wp:inline distT="0" distB="0" distL="0" distR="0" wp14:anchorId="72B48FCC" wp14:editId="2F102F3C">
            <wp:extent cx="4910276" cy="1410970"/>
            <wp:effectExtent l="0" t="0" r="5080" b="0"/>
            <wp:docPr id="10" name="Picture 9">
              <a:extLst xmlns:a="http://schemas.openxmlformats.org/drawingml/2006/main">
                <a:ext uri="{FF2B5EF4-FFF2-40B4-BE49-F238E27FC236}">
                  <a16:creationId xmlns:a16="http://schemas.microsoft.com/office/drawing/2014/main" id="{E93BBF4D-D527-42EA-8B35-1C781F6369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93BBF4D-D527-42EA-8B35-1C781F636938}"/>
                        </a:ext>
                      </a:extLst>
                    </pic:cNvPr>
                    <pic:cNvPicPr>
                      <a:picLocks noChangeAspect="1"/>
                    </pic:cNvPicPr>
                  </pic:nvPicPr>
                  <pic:blipFill>
                    <a:blip r:embed="rId12"/>
                    <a:stretch>
                      <a:fillRect/>
                    </a:stretch>
                  </pic:blipFill>
                  <pic:spPr>
                    <a:xfrm>
                      <a:off x="0" y="0"/>
                      <a:ext cx="4938638" cy="1419120"/>
                    </a:xfrm>
                    <a:prstGeom prst="rect">
                      <a:avLst/>
                    </a:prstGeom>
                  </pic:spPr>
                </pic:pic>
              </a:graphicData>
            </a:graphic>
          </wp:inline>
        </w:drawing>
      </w:r>
    </w:p>
    <w:p w14:paraId="4995F0CA" w14:textId="61B38A5A" w:rsidR="00C07370" w:rsidRPr="00AD260A" w:rsidRDefault="00096E85" w:rsidP="00096E85">
      <w:pPr>
        <w:pStyle w:val="CETCaption"/>
        <w:rPr>
          <w:sz w:val="14"/>
          <w:szCs w:val="14"/>
        </w:rPr>
      </w:pPr>
      <w:r>
        <w:t xml:space="preserve">Figure </w:t>
      </w:r>
      <w:r w:rsidR="0018201D">
        <w:t>1</w:t>
      </w:r>
      <w:r>
        <w:t xml:space="preserve">. </w:t>
      </w:r>
      <w:r w:rsidRPr="00096E85">
        <w:t>The extraction dynamics (0-5 h) using deionized water, 0.1 M NaOH and 0.5 M NaOH as solvents, considering A) the dry matter</w:t>
      </w:r>
      <w:r>
        <w:t xml:space="preserve"> content</w:t>
      </w:r>
      <w:r w:rsidRPr="00096E85">
        <w:t xml:space="preserve"> and B) the protein</w:t>
      </w:r>
      <w:r>
        <w:t xml:space="preserve"> content</w:t>
      </w:r>
      <w:r w:rsidR="00415C01">
        <w:t xml:space="preserve"> (WPI-A280)</w:t>
      </w:r>
      <w:r w:rsidRPr="00096E85">
        <w:t xml:space="preserve"> measured in the extract</w:t>
      </w:r>
      <w:r w:rsidR="00C07370">
        <w:t xml:space="preserve"> (p&lt;0.05 among the tested solvents)</w:t>
      </w:r>
    </w:p>
    <w:p w14:paraId="7AA05EE3" w14:textId="204DBE7B" w:rsidR="0018201D" w:rsidRDefault="0018201D" w:rsidP="00B62708">
      <w:pPr>
        <w:pStyle w:val="CETBodytext"/>
        <w:rPr>
          <w:lang w:val="en-GB"/>
        </w:rPr>
      </w:pPr>
      <w:r w:rsidRPr="0018201D">
        <w:rPr>
          <w:lang w:val="en-GB"/>
        </w:rPr>
        <w:t xml:space="preserve">These DM concentrations in the final extracts </w:t>
      </w:r>
      <w:r>
        <w:rPr>
          <w:lang w:val="en-GB"/>
        </w:rPr>
        <w:t xml:space="preserve">corresponded to </w:t>
      </w:r>
      <w:r w:rsidRPr="0018201D">
        <w:rPr>
          <w:lang w:val="en-GB"/>
        </w:rPr>
        <w:t xml:space="preserve">extraction </w:t>
      </w:r>
      <w:r w:rsidR="00AB35CB">
        <w:rPr>
          <w:lang w:val="en-GB"/>
        </w:rPr>
        <w:t>efficiencies</w:t>
      </w:r>
      <w:r w:rsidRPr="0018201D">
        <w:rPr>
          <w:lang w:val="en-GB"/>
        </w:rPr>
        <w:t xml:space="preserve"> of 14.24%, 29.58% and 53.60% for DI H2O, 0.1 M NaOH and 0.5 M NaOH, respectively, </w:t>
      </w:r>
      <w:r w:rsidR="0010035E">
        <w:rPr>
          <w:lang w:val="en-GB"/>
        </w:rPr>
        <w:t>based on</w:t>
      </w:r>
      <w:r w:rsidRPr="0018201D">
        <w:rPr>
          <w:lang w:val="en-GB"/>
        </w:rPr>
        <w:t xml:space="preserve"> the initial </w:t>
      </w:r>
      <w:r>
        <w:rPr>
          <w:lang w:val="en-GB"/>
        </w:rPr>
        <w:t xml:space="preserve">DM </w:t>
      </w:r>
      <w:r w:rsidRPr="0018201D">
        <w:rPr>
          <w:lang w:val="en-GB"/>
        </w:rPr>
        <w:t>content in the BSG. Th</w:t>
      </w:r>
      <w:r w:rsidR="00AB35CB">
        <w:rPr>
          <w:lang w:val="en-GB"/>
        </w:rPr>
        <w:t>ese values</w:t>
      </w:r>
      <w:r w:rsidRPr="0018201D">
        <w:rPr>
          <w:lang w:val="en-GB"/>
        </w:rPr>
        <w:t xml:space="preserve"> correspond to </w:t>
      </w:r>
      <w:r w:rsidR="00AB35CB">
        <w:rPr>
          <w:lang w:val="en-GB"/>
        </w:rPr>
        <w:t xml:space="preserve">extraction yields of </w:t>
      </w:r>
      <w:r w:rsidRPr="0018201D">
        <w:rPr>
          <w:lang w:val="en-GB"/>
        </w:rPr>
        <w:t xml:space="preserve">39.88, 82.81 and 150.09 </w:t>
      </w:r>
      <w:proofErr w:type="spellStart"/>
      <w:r w:rsidRPr="0018201D">
        <w:rPr>
          <w:lang w:val="en-GB"/>
        </w:rPr>
        <w:t>g</w:t>
      </w:r>
      <w:r w:rsidRPr="00AB35CB">
        <w:rPr>
          <w:vertAlign w:val="subscript"/>
          <w:lang w:val="en-GB"/>
        </w:rPr>
        <w:t>DM</w:t>
      </w:r>
      <w:proofErr w:type="spellEnd"/>
      <w:r w:rsidRPr="00AB35CB">
        <w:rPr>
          <w:vertAlign w:val="subscript"/>
          <w:lang w:val="en-GB"/>
        </w:rPr>
        <w:t xml:space="preserve"> </w:t>
      </w:r>
      <w:proofErr w:type="spellStart"/>
      <w:r w:rsidRPr="00AB35CB">
        <w:rPr>
          <w:vertAlign w:val="subscript"/>
          <w:lang w:val="en-GB"/>
        </w:rPr>
        <w:t>ext</w:t>
      </w:r>
      <w:proofErr w:type="spellEnd"/>
      <w:r w:rsidRPr="0018201D">
        <w:rPr>
          <w:lang w:val="en-GB"/>
        </w:rPr>
        <w:t xml:space="preserve">/kg </w:t>
      </w:r>
      <w:r w:rsidRPr="00AB35CB">
        <w:rPr>
          <w:vertAlign w:val="subscript"/>
          <w:lang w:val="en-GB"/>
        </w:rPr>
        <w:t>fresh BSG</w:t>
      </w:r>
      <w:r w:rsidRPr="0018201D">
        <w:rPr>
          <w:lang w:val="en-GB"/>
        </w:rPr>
        <w:t>, respectively.</w:t>
      </w:r>
      <w:r>
        <w:rPr>
          <w:lang w:val="en-GB"/>
        </w:rPr>
        <w:t xml:space="preserve"> </w:t>
      </w:r>
      <w:r w:rsidR="00C07370" w:rsidRPr="00C07370">
        <w:rPr>
          <w:lang w:val="en-GB"/>
        </w:rPr>
        <w:t>Higher concentration of the alkaline solvent was not tested, due to the concerns of nutrient and safety problems of protein isolate</w:t>
      </w:r>
      <w:r w:rsidR="002B3B66">
        <w:rPr>
          <w:lang w:val="en-GB"/>
        </w:rPr>
        <w:t>s</w:t>
      </w:r>
      <w:r w:rsidR="00C07370" w:rsidRPr="00C07370">
        <w:rPr>
          <w:lang w:val="en-GB"/>
        </w:rPr>
        <w:t xml:space="preserve"> and the more stringent required re-acidificatio</w:t>
      </w:r>
      <w:r w:rsidR="00C07370">
        <w:rPr>
          <w:lang w:val="en-GB"/>
        </w:rPr>
        <w:t xml:space="preserve">n, </w:t>
      </w:r>
      <w:r w:rsidR="002B3B66">
        <w:rPr>
          <w:lang w:val="en-GB"/>
        </w:rPr>
        <w:t>which</w:t>
      </w:r>
      <w:r w:rsidR="00C07370">
        <w:rPr>
          <w:lang w:val="en-GB"/>
        </w:rPr>
        <w:t xml:space="preserve"> have</w:t>
      </w:r>
      <w:r w:rsidR="00C07370" w:rsidRPr="00C07370">
        <w:rPr>
          <w:lang w:val="en-GB"/>
        </w:rPr>
        <w:t xml:space="preserve"> reported in the literature for similar matrices</w:t>
      </w:r>
      <w:r w:rsidR="00C07370">
        <w:rPr>
          <w:lang w:val="en-GB"/>
        </w:rPr>
        <w:t xml:space="preserve"> (</w:t>
      </w:r>
      <w:r w:rsidR="002B3B66">
        <w:rPr>
          <w:lang w:val="en-GB"/>
        </w:rPr>
        <w:t>Hou et al., 2017</w:t>
      </w:r>
      <w:r w:rsidR="00C07370">
        <w:rPr>
          <w:lang w:val="en-GB"/>
        </w:rPr>
        <w:t xml:space="preserve">) </w:t>
      </w:r>
      <w:r w:rsidR="00C07370" w:rsidRPr="00C07370">
        <w:rPr>
          <w:lang w:val="en-GB"/>
        </w:rPr>
        <w:t xml:space="preserve">.  </w:t>
      </w:r>
    </w:p>
    <w:p w14:paraId="435E0398" w14:textId="77777777" w:rsidR="006A33D4" w:rsidRDefault="006C5246" w:rsidP="006C5246">
      <w:pPr>
        <w:pStyle w:val="CETBodytext"/>
        <w:rPr>
          <w:lang w:val="en-GB"/>
        </w:rPr>
      </w:pPr>
      <w:r w:rsidRPr="006C5246">
        <w:rPr>
          <w:lang w:val="en-GB"/>
        </w:rPr>
        <w:t>Th</w:t>
      </w:r>
      <w:r w:rsidR="0018201D">
        <w:rPr>
          <w:lang w:val="en-GB"/>
        </w:rPr>
        <w:t xml:space="preserve">e extraction dynamics followed a similar trend based </w:t>
      </w:r>
      <w:r w:rsidR="0010035E">
        <w:rPr>
          <w:lang w:val="en-GB"/>
        </w:rPr>
        <w:t>o</w:t>
      </w:r>
      <w:r w:rsidR="0018201D">
        <w:rPr>
          <w:lang w:val="en-GB"/>
        </w:rPr>
        <w:t xml:space="preserve">n the </w:t>
      </w:r>
      <w:r w:rsidRPr="006C5246">
        <w:rPr>
          <w:lang w:val="en-GB"/>
        </w:rPr>
        <w:t>protein c</w:t>
      </w:r>
      <w:r w:rsidR="0018201D">
        <w:rPr>
          <w:lang w:val="en-GB"/>
        </w:rPr>
        <w:t>ontent</w:t>
      </w:r>
      <w:r w:rsidRPr="006C5246">
        <w:rPr>
          <w:lang w:val="en-GB"/>
        </w:rPr>
        <w:t xml:space="preserve"> in the extracts</w:t>
      </w:r>
      <w:r w:rsidR="0018201D">
        <w:rPr>
          <w:lang w:val="en-GB"/>
        </w:rPr>
        <w:t>;</w:t>
      </w:r>
      <w:r w:rsidRPr="006C5246">
        <w:rPr>
          <w:lang w:val="en-GB"/>
        </w:rPr>
        <w:t xml:space="preserve"> although</w:t>
      </w:r>
      <w:r w:rsidR="0018201D">
        <w:rPr>
          <w:lang w:val="en-GB"/>
        </w:rPr>
        <w:t>,</w:t>
      </w:r>
      <w:r w:rsidRPr="006C5246">
        <w:rPr>
          <w:lang w:val="en-GB"/>
        </w:rPr>
        <w:t xml:space="preserve"> these measurements exhibit a greater standard deviation due to the uncertainties in the measurement of protein content in </w:t>
      </w:r>
      <w:r>
        <w:rPr>
          <w:lang w:val="en-GB"/>
        </w:rPr>
        <w:t>c</w:t>
      </w:r>
      <w:r w:rsidR="00507640" w:rsidRPr="00507640">
        <w:rPr>
          <w:lang w:val="en-GB"/>
        </w:rPr>
        <w:t>omplex biomasses</w:t>
      </w:r>
      <w:r>
        <w:rPr>
          <w:lang w:val="en-GB"/>
        </w:rPr>
        <w:t>. Indeed, all quantitative protein measurements</w:t>
      </w:r>
      <w:r w:rsidR="00507640">
        <w:rPr>
          <w:lang w:val="en-GB"/>
        </w:rPr>
        <w:t xml:space="preserve"> methods present a </w:t>
      </w:r>
      <w:r>
        <w:rPr>
          <w:lang w:val="en-GB"/>
        </w:rPr>
        <w:t>wider ranges of</w:t>
      </w:r>
      <w:r w:rsidR="00507640">
        <w:rPr>
          <w:lang w:val="en-GB"/>
        </w:rPr>
        <w:t xml:space="preserve"> uncertainty </w:t>
      </w:r>
      <w:r w:rsidR="00AB35CB">
        <w:rPr>
          <w:lang w:val="en-GB"/>
        </w:rPr>
        <w:t xml:space="preserve">(compared to DM), </w:t>
      </w:r>
      <w:r w:rsidR="00507640">
        <w:rPr>
          <w:lang w:val="en-GB"/>
        </w:rPr>
        <w:t xml:space="preserve">which </w:t>
      </w:r>
      <w:r>
        <w:rPr>
          <w:lang w:val="en-GB"/>
        </w:rPr>
        <w:t xml:space="preserve">in the present case might </w:t>
      </w:r>
      <w:r w:rsidRPr="006C5246">
        <w:rPr>
          <w:lang w:val="en-GB"/>
        </w:rPr>
        <w:t xml:space="preserve">be due to the complex protein mix within the BSG and to the other residues (partially soluble) that are present and that </w:t>
      </w:r>
      <w:r w:rsidR="0018201D">
        <w:rPr>
          <w:lang w:val="en-GB"/>
        </w:rPr>
        <w:t xml:space="preserve">might </w:t>
      </w:r>
      <w:r w:rsidRPr="006C5246">
        <w:rPr>
          <w:lang w:val="en-GB"/>
        </w:rPr>
        <w:t>interfere with the measurement</w:t>
      </w:r>
      <w:r w:rsidR="0018201D">
        <w:rPr>
          <w:lang w:val="en-GB"/>
        </w:rPr>
        <w:t>s</w:t>
      </w:r>
      <w:r w:rsidRPr="006C5246">
        <w:rPr>
          <w:lang w:val="en-GB"/>
        </w:rPr>
        <w:t>.</w:t>
      </w:r>
      <w:r w:rsidR="00507640">
        <w:rPr>
          <w:lang w:val="en-GB"/>
        </w:rPr>
        <w:t xml:space="preserve"> </w:t>
      </w:r>
      <w:r w:rsidR="00B62708">
        <w:rPr>
          <w:lang w:val="en-GB"/>
        </w:rPr>
        <w:t xml:space="preserve">For example, the widely used </w:t>
      </w:r>
      <w:proofErr w:type="spellStart"/>
      <w:r w:rsidR="00B62708" w:rsidRPr="00507640">
        <w:rPr>
          <w:lang w:val="en-GB"/>
        </w:rPr>
        <w:t>Kjeldahl</w:t>
      </w:r>
      <w:proofErr w:type="spellEnd"/>
      <w:r w:rsidR="00B62708" w:rsidRPr="00507640">
        <w:rPr>
          <w:lang w:val="en-GB"/>
        </w:rPr>
        <w:t xml:space="preserve"> method </w:t>
      </w:r>
      <w:r w:rsidR="00B62708">
        <w:rPr>
          <w:lang w:val="en-GB"/>
        </w:rPr>
        <w:t xml:space="preserve">relies on the appropriate choice of a nitrogen-to-protein factor depending on the matrix, while detailed proteomics analysis require several preparation and derivatization steps. </w:t>
      </w:r>
      <w:r w:rsidR="00B62708">
        <w:rPr>
          <w:lang w:val="en-GB"/>
        </w:rPr>
        <w:fldChar w:fldCharType="begin" w:fldLock="1"/>
      </w:r>
      <w:r w:rsidR="00B62708">
        <w:rPr>
          <w:lang w:val="en-GB"/>
        </w:rPr>
        <w:instrText>ADDIN CSL_CITATION {"citationItems":[{"id":"ITEM-1","itemData":{"DOI":"10.1007/s12010-013-0466-x","ISSN":"02732289","PMID":"24046255","abstract":"Measurement of the protein content in samples from production of lignocellulosic bioethanol is an important tool when studying the adsorption of cellulases. Several methods have been used for this, and after reviewing the literature, we concluded that one of the most promising assays for simple and fast protein measurement on this type of samples was the ninhydrin assay. This method has also been used widely for this purpose, but with two different methods for protein hydrolysis prior to the assay - alkaline or acidic hydrolysis. In samples containing glucose or ethanol, there was significant interference from these compounds when using acid hydrolysis, which was not the case when using the alkaline hydrolysis. We evaluated the interference from glucose, cellulose, xylose, xylan, lignin and ethanol on protein determination of BSA, Accellerase® 1500 and Cellic® CTec2. The experiments demonstrated that the presence of cellulose, lignin and glucose (above 50 g/kg) could significantly affect the results of the assay. Comparison of analyses performed with the ninhydrin assay and with a CN analyser revealed that there was good agreement between these two analytical methods, but care has to be taken when applying the ninhydrin assay. If used correctly, the ninhydrin assay can be used as a fast method to evaluate the adsorption of cellulases to lignin. © 2013 Springer Science+Business Media New York.","author":[{"dropping-particle":"","family":"Haven","given":"Mai Østergaard","non-dropping-particle":"","parse-names":false,"suffix":""},{"dropping-particle":"","family":"Jørgensen","given":"Henning","non-dropping-particle":"","parse-names":false,"suffix":""}],"container-title":"Applied Biochemistry and Biotechnology","id":"ITEM-1","issue":"1","issued":{"date-parts":[["2014"]]},"page":"87-101","title":"The challenging measurement of protein in complex biomass-derived samples","type":"article-journal","volume":"172"},"uris":["http://www.mendeley.com/documents/?uuid=e34d1dbf-3d8f-4c3a-b4a2-54e268dd781b","http://www.mendeley.com/documents/?uuid=529ba664-8e20-4b0e-81cd-ee8267bf9163"]}],"mendeley":{"formattedCitation":"(Haven and Jørgensen, 2014)","plainTextFormattedCitation":"(Haven and Jørgensen, 2014)","previouslyFormattedCitation":"(Haven and Jørgensen, 2014)"},"properties":{"noteIndex":0},"schema":"https://github.com/citation-style-language/schema/raw/master/csl-citation.json"}</w:instrText>
      </w:r>
      <w:r w:rsidR="00B62708">
        <w:rPr>
          <w:lang w:val="en-GB"/>
        </w:rPr>
        <w:fldChar w:fldCharType="separate"/>
      </w:r>
      <w:r w:rsidR="00B62708" w:rsidRPr="005A64C0">
        <w:rPr>
          <w:noProof/>
          <w:lang w:val="en-GB"/>
        </w:rPr>
        <w:t xml:space="preserve">(Haven and Jørgensen, </w:t>
      </w:r>
      <w:r w:rsidR="00B62708" w:rsidRPr="003E4024">
        <w:rPr>
          <w:noProof/>
          <w:lang w:val="en-GB"/>
        </w:rPr>
        <w:t>2014</w:t>
      </w:r>
      <w:r w:rsidR="00B62708" w:rsidRPr="005A64C0">
        <w:rPr>
          <w:noProof/>
          <w:lang w:val="en-GB"/>
        </w:rPr>
        <w:t>)</w:t>
      </w:r>
      <w:r w:rsidR="00B62708">
        <w:rPr>
          <w:lang w:val="en-GB"/>
        </w:rPr>
        <w:fldChar w:fldCharType="end"/>
      </w:r>
      <w:r w:rsidR="0018201D">
        <w:rPr>
          <w:lang w:val="en-GB"/>
        </w:rPr>
        <w:t xml:space="preserve">. </w:t>
      </w:r>
      <w:r w:rsidR="00B62708" w:rsidRPr="00B62708">
        <w:rPr>
          <w:lang w:val="en-GB"/>
        </w:rPr>
        <w:t xml:space="preserve">The comparison among the tested </w:t>
      </w:r>
      <w:r w:rsidR="00B62708">
        <w:rPr>
          <w:lang w:val="en-GB"/>
        </w:rPr>
        <w:t xml:space="preserve">quantitative protein measurements </w:t>
      </w:r>
      <w:r w:rsidR="00B62708" w:rsidRPr="00B62708">
        <w:rPr>
          <w:lang w:val="en-GB"/>
        </w:rPr>
        <w:t>methods</w:t>
      </w:r>
      <w:r w:rsidR="00B62708">
        <w:rPr>
          <w:lang w:val="en-GB"/>
        </w:rPr>
        <w:t>/</w:t>
      </w:r>
      <w:r w:rsidR="00B62708" w:rsidRPr="00B62708">
        <w:rPr>
          <w:lang w:val="en-GB"/>
        </w:rPr>
        <w:t>standards</w:t>
      </w:r>
      <w:r w:rsidR="00B62708">
        <w:rPr>
          <w:lang w:val="en-GB"/>
        </w:rPr>
        <w:t xml:space="preserve"> (see section 2.3)</w:t>
      </w:r>
      <w:r w:rsidR="00B62708" w:rsidRPr="00B62708">
        <w:rPr>
          <w:lang w:val="en-GB"/>
        </w:rPr>
        <w:t xml:space="preserve"> is shown in </w:t>
      </w:r>
      <w:r w:rsidRPr="00B62708">
        <w:rPr>
          <w:lang w:val="en-GB"/>
        </w:rPr>
        <w:t xml:space="preserve">Figure </w:t>
      </w:r>
      <w:r w:rsidR="00AB35CB">
        <w:rPr>
          <w:lang w:val="en-GB"/>
        </w:rPr>
        <w:t>2</w:t>
      </w:r>
      <w:r w:rsidR="00B62708">
        <w:rPr>
          <w:lang w:val="en-GB"/>
        </w:rPr>
        <w:t xml:space="preserve">. </w:t>
      </w:r>
    </w:p>
    <w:p w14:paraId="69A005BA" w14:textId="77777777" w:rsidR="006A33D4" w:rsidRDefault="006A33D4" w:rsidP="006C5246">
      <w:pPr>
        <w:pStyle w:val="CETBodytext"/>
        <w:rPr>
          <w:lang w:val="en-GB"/>
        </w:rPr>
      </w:pPr>
    </w:p>
    <w:p w14:paraId="67BB610F" w14:textId="33078488" w:rsidR="006A33D4" w:rsidRDefault="006A33D4" w:rsidP="006C5246">
      <w:pPr>
        <w:pStyle w:val="CETBodytext"/>
        <w:rPr>
          <w:lang w:val="en-GB"/>
        </w:rPr>
      </w:pPr>
      <w:r>
        <w:rPr>
          <w:noProof/>
          <w:lang w:val="en-GB"/>
        </w:rPr>
        <w:drawing>
          <wp:inline distT="0" distB="0" distL="0" distR="0" wp14:anchorId="42742E32" wp14:editId="7E1D175E">
            <wp:extent cx="3822421" cy="1183963"/>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4097" cy="1184482"/>
                    </a:xfrm>
                    <a:prstGeom prst="rect">
                      <a:avLst/>
                    </a:prstGeom>
                    <a:noFill/>
                  </pic:spPr>
                </pic:pic>
              </a:graphicData>
            </a:graphic>
          </wp:inline>
        </w:drawing>
      </w:r>
    </w:p>
    <w:p w14:paraId="0ADF7869" w14:textId="163AF64F" w:rsidR="006A33D4" w:rsidRDefault="006A33D4" w:rsidP="006A33D4">
      <w:pPr>
        <w:pStyle w:val="CETCaption"/>
      </w:pPr>
      <w:r>
        <w:t>Figure 2. Comparison between the final concentration in the extracts (after 5 h of extraction) using the BSA-</w:t>
      </w:r>
      <w:r w:rsidRPr="00507640">
        <w:t>A</w:t>
      </w:r>
      <w:r w:rsidRPr="00E878C5">
        <w:rPr>
          <w:vertAlign w:val="subscript"/>
        </w:rPr>
        <w:t>280</w:t>
      </w:r>
      <w:r w:rsidRPr="00880103">
        <w:t>,</w:t>
      </w:r>
      <w:r>
        <w:rPr>
          <w:vertAlign w:val="subscript"/>
        </w:rPr>
        <w:t xml:space="preserve"> </w:t>
      </w:r>
      <w:r w:rsidRPr="00507640">
        <w:t>WP</w:t>
      </w:r>
      <w:r>
        <w:t>I-A</w:t>
      </w:r>
      <w:r w:rsidRPr="00E878C5">
        <w:rPr>
          <w:vertAlign w:val="subscript"/>
        </w:rPr>
        <w:t>280</w:t>
      </w:r>
      <w:r w:rsidRPr="00880103">
        <w:t>,</w:t>
      </w:r>
      <w:r>
        <w:t xml:space="preserve"> BSA-</w:t>
      </w:r>
      <w:r w:rsidRPr="00507640">
        <w:t>Bradford</w:t>
      </w:r>
      <w:r>
        <w:t xml:space="preserve"> and the DM methods. </w:t>
      </w:r>
    </w:p>
    <w:p w14:paraId="53C912FE" w14:textId="5F824A8C" w:rsidR="00AA4ADD" w:rsidRDefault="00B62708" w:rsidP="00AA4ADD">
      <w:pPr>
        <w:pStyle w:val="CETBodytext"/>
      </w:pPr>
      <w:r>
        <w:rPr>
          <w:lang w:val="en-GB"/>
        </w:rPr>
        <w:t>The presented values correspond to the final extracts (after 5h), as a reference the D</w:t>
      </w:r>
      <w:r w:rsidR="006C5246">
        <w:rPr>
          <w:lang w:val="en-GB"/>
        </w:rPr>
        <w:t>M</w:t>
      </w:r>
      <w:r w:rsidR="006C5246" w:rsidRPr="00507640">
        <w:rPr>
          <w:lang w:val="en-GB"/>
        </w:rPr>
        <w:t xml:space="preserve"> </w:t>
      </w:r>
      <w:r>
        <w:rPr>
          <w:lang w:val="en-GB"/>
        </w:rPr>
        <w:t xml:space="preserve">content are also presented </w:t>
      </w:r>
      <w:r w:rsidR="006C5246" w:rsidRPr="00507640">
        <w:rPr>
          <w:lang w:val="en-GB"/>
        </w:rPr>
        <w:t xml:space="preserve">for each case. </w:t>
      </w:r>
      <w:r w:rsidR="00001BA3">
        <w:rPr>
          <w:lang w:val="en-GB"/>
        </w:rPr>
        <w:t>D</w:t>
      </w:r>
      <w:r w:rsidR="006C5246" w:rsidRPr="00507640">
        <w:rPr>
          <w:lang w:val="en-GB"/>
        </w:rPr>
        <w:t xml:space="preserve">epending on the solvent in each case, there are </w:t>
      </w:r>
      <w:r w:rsidR="00AB35CB">
        <w:rPr>
          <w:lang w:val="en-GB"/>
        </w:rPr>
        <w:t>statistically</w:t>
      </w:r>
      <w:r w:rsidR="006C5246" w:rsidRPr="00507640">
        <w:rPr>
          <w:lang w:val="en-GB"/>
        </w:rPr>
        <w:t xml:space="preserve"> significant differences between </w:t>
      </w:r>
      <w:r w:rsidR="0010035E">
        <w:rPr>
          <w:lang w:val="en-GB"/>
        </w:rPr>
        <w:t>calculated concentrations</w:t>
      </w:r>
      <w:r w:rsidR="006C5246" w:rsidRPr="00507640">
        <w:rPr>
          <w:lang w:val="en-GB"/>
        </w:rPr>
        <w:t xml:space="preserve">. That is, while in the extraction using deionized water there is an overestimation of proteins through the </w:t>
      </w:r>
      <w:r w:rsidR="006C5246">
        <w:rPr>
          <w:lang w:val="en-GB"/>
        </w:rPr>
        <w:t>BSA-</w:t>
      </w:r>
      <w:r w:rsidR="006C5246" w:rsidRPr="00507640">
        <w:rPr>
          <w:lang w:val="en-GB"/>
        </w:rPr>
        <w:t>A</w:t>
      </w:r>
      <w:r w:rsidR="006C5246" w:rsidRPr="00E878C5">
        <w:rPr>
          <w:vertAlign w:val="subscript"/>
          <w:lang w:val="en-GB"/>
        </w:rPr>
        <w:t>280</w:t>
      </w:r>
      <w:r w:rsidR="006C5246" w:rsidRPr="00507640">
        <w:rPr>
          <w:lang w:val="en-GB"/>
        </w:rPr>
        <w:t xml:space="preserve"> reading</w:t>
      </w:r>
      <w:r w:rsidR="006C5246">
        <w:rPr>
          <w:lang w:val="en-GB"/>
        </w:rPr>
        <w:t>s</w:t>
      </w:r>
      <w:r w:rsidR="006C5246" w:rsidRPr="00507640">
        <w:rPr>
          <w:lang w:val="en-GB"/>
        </w:rPr>
        <w:t xml:space="preserve"> of 70% with respect to DM, the differences </w:t>
      </w:r>
      <w:r>
        <w:rPr>
          <w:lang w:val="en-GB"/>
        </w:rPr>
        <w:t>for WPI-A</w:t>
      </w:r>
      <w:r w:rsidRPr="00B62708">
        <w:rPr>
          <w:vertAlign w:val="subscript"/>
          <w:lang w:val="en-GB"/>
        </w:rPr>
        <w:t>280</w:t>
      </w:r>
      <w:r>
        <w:rPr>
          <w:lang w:val="en-GB"/>
        </w:rPr>
        <w:t xml:space="preserve"> vs DM </w:t>
      </w:r>
      <w:r w:rsidR="006C5246" w:rsidRPr="00507640">
        <w:rPr>
          <w:lang w:val="en-GB"/>
        </w:rPr>
        <w:t>are</w:t>
      </w:r>
      <w:r>
        <w:rPr>
          <w:lang w:val="en-GB"/>
        </w:rPr>
        <w:t xml:space="preserve"> of approximately</w:t>
      </w:r>
      <w:r w:rsidR="006C5246" w:rsidRPr="00507640">
        <w:rPr>
          <w:lang w:val="en-GB"/>
        </w:rPr>
        <w:t xml:space="preserve"> 30%</w:t>
      </w:r>
      <w:r w:rsidR="006C5246">
        <w:rPr>
          <w:lang w:val="en-GB"/>
        </w:rPr>
        <w:t xml:space="preserve"> less</w:t>
      </w:r>
      <w:r w:rsidR="006C5246" w:rsidRPr="00507640">
        <w:rPr>
          <w:lang w:val="en-GB"/>
        </w:rPr>
        <w:t xml:space="preserve"> and</w:t>
      </w:r>
      <w:r w:rsidR="006C5246">
        <w:rPr>
          <w:lang w:val="en-GB"/>
        </w:rPr>
        <w:t>,</w:t>
      </w:r>
      <w:r w:rsidR="006C5246" w:rsidRPr="00507640">
        <w:rPr>
          <w:lang w:val="en-GB"/>
        </w:rPr>
        <w:t xml:space="preserve"> </w:t>
      </w:r>
      <w:r>
        <w:rPr>
          <w:lang w:val="en-GB"/>
        </w:rPr>
        <w:t>and</w:t>
      </w:r>
      <w:r w:rsidR="006C5246" w:rsidRPr="00507640">
        <w:rPr>
          <w:lang w:val="en-GB"/>
        </w:rPr>
        <w:t xml:space="preserve"> the </w:t>
      </w:r>
      <w:r w:rsidR="006C5246">
        <w:rPr>
          <w:lang w:val="en-GB"/>
        </w:rPr>
        <w:t>BSA-</w:t>
      </w:r>
      <w:r w:rsidR="006C5246" w:rsidRPr="00507640">
        <w:rPr>
          <w:lang w:val="en-GB"/>
        </w:rPr>
        <w:t xml:space="preserve">Bradford method </w:t>
      </w:r>
      <w:r>
        <w:rPr>
          <w:lang w:val="en-GB"/>
        </w:rPr>
        <w:t>yielded the best results with less than 5 % compared to the DM</w:t>
      </w:r>
      <w:r w:rsidR="006C5246" w:rsidRPr="00507640">
        <w:rPr>
          <w:lang w:val="en-GB"/>
        </w:rPr>
        <w:t xml:space="preserve">. For the systems where the alkaline solvent was used at a concentration of 0.1 M, the </w:t>
      </w:r>
      <w:r w:rsidR="006C5246">
        <w:rPr>
          <w:lang w:val="en-GB"/>
        </w:rPr>
        <w:t>BSA-</w:t>
      </w:r>
      <w:r w:rsidR="006C5246" w:rsidRPr="00507640">
        <w:rPr>
          <w:lang w:val="en-GB"/>
        </w:rPr>
        <w:t>A</w:t>
      </w:r>
      <w:r w:rsidR="006C5246" w:rsidRPr="00E878C5">
        <w:rPr>
          <w:vertAlign w:val="subscript"/>
          <w:lang w:val="en-GB"/>
        </w:rPr>
        <w:t>280</w:t>
      </w:r>
      <w:r w:rsidR="006C5246" w:rsidRPr="00507640">
        <w:rPr>
          <w:lang w:val="en-GB"/>
        </w:rPr>
        <w:t xml:space="preserve"> </w:t>
      </w:r>
      <w:r w:rsidR="006C5246">
        <w:rPr>
          <w:lang w:val="en-GB"/>
        </w:rPr>
        <w:t>and BSA-</w:t>
      </w:r>
      <w:r w:rsidR="006C5246" w:rsidRPr="00507640">
        <w:rPr>
          <w:lang w:val="en-GB"/>
        </w:rPr>
        <w:t>Bradford reading</w:t>
      </w:r>
      <w:r w:rsidR="006C5246">
        <w:rPr>
          <w:lang w:val="en-GB"/>
        </w:rPr>
        <w:t>s</w:t>
      </w:r>
      <w:r w:rsidR="006C5246" w:rsidRPr="00507640">
        <w:rPr>
          <w:lang w:val="en-GB"/>
        </w:rPr>
        <w:t xml:space="preserve"> were greater than 300% with respect to the DM </w:t>
      </w:r>
      <w:r w:rsidR="006C5246">
        <w:rPr>
          <w:lang w:val="en-GB"/>
        </w:rPr>
        <w:t xml:space="preserve">measurements, </w:t>
      </w:r>
      <w:r w:rsidR="006C5246" w:rsidRPr="00507640">
        <w:rPr>
          <w:lang w:val="en-GB"/>
        </w:rPr>
        <w:t xml:space="preserve">while the </w:t>
      </w:r>
      <w:r w:rsidR="006C5246">
        <w:rPr>
          <w:lang w:val="en-GB"/>
        </w:rPr>
        <w:t>WPI-A</w:t>
      </w:r>
      <w:r w:rsidR="006C5246" w:rsidRPr="00E878C5">
        <w:rPr>
          <w:vertAlign w:val="subscript"/>
          <w:lang w:val="en-GB"/>
        </w:rPr>
        <w:t>280</w:t>
      </w:r>
      <w:r w:rsidR="006C5246" w:rsidRPr="00507640">
        <w:rPr>
          <w:lang w:val="en-GB"/>
        </w:rPr>
        <w:t xml:space="preserve"> </w:t>
      </w:r>
      <w:r w:rsidR="006C5246">
        <w:rPr>
          <w:lang w:val="en-GB"/>
        </w:rPr>
        <w:t xml:space="preserve">method </w:t>
      </w:r>
      <w:r w:rsidR="006C5246" w:rsidRPr="00507640">
        <w:rPr>
          <w:lang w:val="en-GB"/>
        </w:rPr>
        <w:t>result</w:t>
      </w:r>
      <w:r w:rsidR="006C5246">
        <w:rPr>
          <w:lang w:val="en-GB"/>
        </w:rPr>
        <w:t xml:space="preserve">ed </w:t>
      </w:r>
      <w:r w:rsidR="006C5246" w:rsidRPr="00507640">
        <w:rPr>
          <w:lang w:val="en-GB"/>
        </w:rPr>
        <w:t xml:space="preserve">40% higher than the </w:t>
      </w:r>
      <w:r w:rsidR="006C5246">
        <w:rPr>
          <w:lang w:val="en-GB"/>
        </w:rPr>
        <w:t>DM measurements</w:t>
      </w:r>
      <w:r w:rsidR="006C5246" w:rsidRPr="00507640">
        <w:rPr>
          <w:lang w:val="en-GB"/>
        </w:rPr>
        <w:t xml:space="preserve">. Finally, for the system at the </w:t>
      </w:r>
      <w:r w:rsidR="006C5246" w:rsidRPr="00507640">
        <w:rPr>
          <w:lang w:val="en-GB"/>
        </w:rPr>
        <w:lastRenderedPageBreak/>
        <w:t xml:space="preserve">highest </w:t>
      </w:r>
      <w:r>
        <w:rPr>
          <w:lang w:val="en-GB"/>
        </w:rPr>
        <w:t xml:space="preserve">alkaline </w:t>
      </w:r>
      <w:r w:rsidR="006C5246" w:rsidRPr="00507640">
        <w:rPr>
          <w:lang w:val="en-GB"/>
        </w:rPr>
        <w:t>concentration (0.5 M</w:t>
      </w:r>
      <w:r w:rsidR="006C5246">
        <w:rPr>
          <w:lang w:val="en-GB"/>
        </w:rPr>
        <w:t xml:space="preserve"> NaOH</w:t>
      </w:r>
      <w:r w:rsidR="006C5246" w:rsidRPr="00507640">
        <w:rPr>
          <w:lang w:val="en-GB"/>
        </w:rPr>
        <w:t>), it was shown that the BSA</w:t>
      </w:r>
      <w:r w:rsidR="006C5246">
        <w:rPr>
          <w:lang w:val="en-GB"/>
        </w:rPr>
        <w:t>-A280 and</w:t>
      </w:r>
      <w:r w:rsidR="006C5246" w:rsidRPr="00507640">
        <w:rPr>
          <w:lang w:val="en-GB"/>
        </w:rPr>
        <w:t xml:space="preserve"> </w:t>
      </w:r>
      <w:r w:rsidR="006C5246">
        <w:rPr>
          <w:lang w:val="en-GB"/>
        </w:rPr>
        <w:t>BSA-</w:t>
      </w:r>
      <w:r w:rsidR="006C5246" w:rsidRPr="00507640">
        <w:rPr>
          <w:lang w:val="en-GB"/>
        </w:rPr>
        <w:t>Bradford</w:t>
      </w:r>
      <w:r w:rsidR="006C5246">
        <w:rPr>
          <w:lang w:val="en-GB"/>
        </w:rPr>
        <w:t xml:space="preserve"> readings</w:t>
      </w:r>
      <w:r w:rsidR="006C5246" w:rsidRPr="00507640">
        <w:rPr>
          <w:lang w:val="en-GB"/>
        </w:rPr>
        <w:t xml:space="preserve"> are 50 - 60% higher than the DM measurements and</w:t>
      </w:r>
      <w:r w:rsidR="006C5246">
        <w:rPr>
          <w:lang w:val="en-GB"/>
        </w:rPr>
        <w:t xml:space="preserve"> that</w:t>
      </w:r>
      <w:r w:rsidR="006C5246" w:rsidRPr="00507640">
        <w:rPr>
          <w:lang w:val="en-GB"/>
        </w:rPr>
        <w:t xml:space="preserve"> the WPI</w:t>
      </w:r>
      <w:r w:rsidR="006C5246">
        <w:rPr>
          <w:lang w:val="en-GB"/>
        </w:rPr>
        <w:t>-A</w:t>
      </w:r>
      <w:r w:rsidR="006C5246" w:rsidRPr="00E878C5">
        <w:rPr>
          <w:vertAlign w:val="subscript"/>
          <w:lang w:val="en-GB"/>
        </w:rPr>
        <w:t>280</w:t>
      </w:r>
      <w:r w:rsidR="006C5246" w:rsidRPr="00507640">
        <w:rPr>
          <w:lang w:val="en-GB"/>
        </w:rPr>
        <w:t xml:space="preserve"> only </w:t>
      </w:r>
      <w:r w:rsidR="006C5246">
        <w:rPr>
          <w:lang w:val="en-GB"/>
        </w:rPr>
        <w:t xml:space="preserve">differed </w:t>
      </w:r>
      <w:r w:rsidR="006C5246" w:rsidRPr="00507640">
        <w:rPr>
          <w:lang w:val="en-GB"/>
        </w:rPr>
        <w:t xml:space="preserve">5% </w:t>
      </w:r>
      <w:r w:rsidR="006C5246">
        <w:rPr>
          <w:lang w:val="en-GB"/>
        </w:rPr>
        <w:t>from the</w:t>
      </w:r>
      <w:r w:rsidR="006C5246" w:rsidRPr="00507640">
        <w:rPr>
          <w:lang w:val="en-GB"/>
        </w:rPr>
        <w:t xml:space="preserve"> DM content</w:t>
      </w:r>
      <w:r w:rsidR="006C5246">
        <w:rPr>
          <w:lang w:val="en-GB"/>
        </w:rPr>
        <w:t xml:space="preserve"> (in defect)</w:t>
      </w:r>
      <w:r w:rsidR="006C5246" w:rsidRPr="00507640">
        <w:rPr>
          <w:lang w:val="en-GB"/>
        </w:rPr>
        <w:t>.</w:t>
      </w:r>
      <w:r w:rsidR="006C5246">
        <w:rPr>
          <w:lang w:val="en-GB"/>
        </w:rPr>
        <w:t xml:space="preserve"> </w:t>
      </w:r>
      <w:r w:rsidR="00AA4ADD" w:rsidRPr="00AA4ADD">
        <w:t xml:space="preserve">These differences in protein quantification are probably </w:t>
      </w:r>
      <w:r w:rsidR="00AB35CB">
        <w:t xml:space="preserve">also affected </w:t>
      </w:r>
      <w:r w:rsidR="00AA4ADD" w:rsidRPr="00AA4ADD">
        <w:t xml:space="preserve">due to the mix of proteins that are extracted in each case. In the case of seed proteins, albumins are </w:t>
      </w:r>
      <w:r w:rsidR="00AA4ADD">
        <w:t>considered</w:t>
      </w:r>
      <w:r w:rsidR="004A154C">
        <w:t xml:space="preserve"> the</w:t>
      </w:r>
      <w:r w:rsidR="00AA4ADD" w:rsidRPr="00AA4ADD">
        <w:t xml:space="preserve"> proteins that can be extracted with water (that is why BSA</w:t>
      </w:r>
      <w:r w:rsidR="00311FFF">
        <w:t>-Bradford</w:t>
      </w:r>
      <w:r w:rsidR="00AA4ADD" w:rsidRPr="00AA4ADD">
        <w:t xml:space="preserve"> </w:t>
      </w:r>
      <w:r w:rsidR="004A154C">
        <w:t>provided the best</w:t>
      </w:r>
      <w:r w:rsidR="00AA4ADD" w:rsidRPr="00AA4ADD">
        <w:t xml:space="preserve"> results as a standard), while for diluted alkaline systems there are mainly </w:t>
      </w:r>
      <w:proofErr w:type="spellStart"/>
      <w:r w:rsidR="004A154C" w:rsidRPr="00AA4ADD">
        <w:t>glutelin</w:t>
      </w:r>
      <w:r w:rsidR="004A154C">
        <w:t>s</w:t>
      </w:r>
      <w:proofErr w:type="spellEnd"/>
      <w:r w:rsidR="00AA4ADD" w:rsidRPr="00AA4ADD">
        <w:t xml:space="preserve"> and, to a lesser extent, albumins (so WPI protein </w:t>
      </w:r>
      <w:r w:rsidR="00AB35CB">
        <w:t>might perform better</w:t>
      </w:r>
      <w:r w:rsidR="00AA4ADD" w:rsidRPr="00AA4ADD">
        <w:t xml:space="preserve"> as a standard).</w:t>
      </w:r>
    </w:p>
    <w:p w14:paraId="43D1A15E" w14:textId="2AEF0DFF" w:rsidR="00507640" w:rsidRDefault="00880103" w:rsidP="0042402C">
      <w:pPr>
        <w:pStyle w:val="CETheadingx"/>
      </w:pPr>
      <w:r>
        <w:t>Kinetics Study</w:t>
      </w:r>
    </w:p>
    <w:p w14:paraId="15C51DAA" w14:textId="57279898" w:rsidR="004337A8" w:rsidRDefault="00CB035A" w:rsidP="00B62708">
      <w:pPr>
        <w:pStyle w:val="CETBodytext"/>
      </w:pPr>
      <w:r w:rsidRPr="00CB035A">
        <w:t>Due to the difficulties to accurately model the kinetics of the extraction process, a (pseudo)kinetics analysis was performed. This approach is widely used in the literature, especially for complex extraction process</w:t>
      </w:r>
      <w:r>
        <w:t xml:space="preserve"> </w:t>
      </w:r>
      <w:r>
        <w:fldChar w:fldCharType="begin" w:fldLock="1"/>
      </w:r>
      <w:r>
        <w:instrText>ADDIN CSL_CITATION {"citationItems":[{"id":"ITEM-1","itemData":{"DOI":"10.1186/s40643-021-00465-4","ISSN":"21974365","abstract":"Abstract: This study aims to assess kinetic modelling of the solid–liquid extraction process of total polyphenolic compounds (TPC) from apple pomace (AP). In this regard, we investigated the effects of temperature and solvent (i.e. water, ethanol, and acetone) on TPC extraction over various periods. The highest TPC yield of 11.1 ± 0.49 mg gallic acid equivalent (GAE)/g db (dry basis) was achieved with a mixture of 65% acetone–35% water (v/v) at 60 °C. The kinetics of the solvent-based TPC extraction processes were assessed via first-order and second-order kinetic models, with an associated investigation of the kinetic parameters and rate constants, saturation concentrations, and activation energies. The second-order kinetic model was sufficient to describe the extraction mechanism of TPC from AP. This study provides an understanding of the mass transfer mechanism involved in the polyphenolic compound extraction process, thus facilitating future large-scale design, optimization, and process control to valorize pomace waste. Graphical Abstract: [Figure not available: see fulltext.].","author":[{"dropping-particle":"","family":"Hobbi","given":"Parinaz","non-dropping-particle":"","parse-names":false,"suffix":""},{"dropping-particle":"","family":"Okoro","given":"Oseweuba Valentine","non-dropping-particle":"","parse-names":false,"suffix":""},{"dropping-particle":"","family":"Delporte","given":"Christine","non-dropping-particle":"","parse-names":false,"suffix":""},{"dropping-particle":"","family":"Alimoradi","given":"Houman","non-dropping-particle":"","parse-names":false,"suffix":""},{"dropping-particle":"","family":"Podstawczyk","given":"Daria","non-dropping-particle":"","parse-names":false,"suffix":""},{"dropping-particle":"","family":"Nie","given":"Lei","non-dropping-particle":"","parse-names":false,"suffix":""},{"dropping-particle":"V.","family":"Bernaerts","given":"Katrien","non-dropping-particle":"","parse-names":false,"suffix":""},{"dropping-particle":"","family":"Shavandi","given":"Amin","non-dropping-particle":"","parse-names":false,"suffix":""}],"container-title":"Bioresources and Bioprocessing","id":"ITEM-1","issue":"1","issued":{"date-parts":[["2021"]]},"publisher":"Springer Singapore","title":"Kinetic modelling of the solid–liquid extraction process of polyphenolic compounds from apple pomace: influence of solvent composition and temperature","type":"article-journal","volume":"8"},"uris":["http://www.mendeley.com/documents/?uuid=4f74bb6a-b6f8-42d5-9d90-7206fff0e9c5"]}],"mendeley":{"formattedCitation":"(Hobbi &lt;i&gt;et al.&lt;/i&gt;, 2021)","plainTextFormattedCitation":"(Hobbi et al., 2021)","previouslyFormattedCitation":"(Hobbi &lt;i&gt;et al.&lt;/i&gt;, 2021)"},"properties":{"noteIndex":0},"schema":"https://github.com/citation-style-language/schema/raw/master/csl-citation.json"}</w:instrText>
      </w:r>
      <w:r>
        <w:fldChar w:fldCharType="separate"/>
      </w:r>
      <w:r w:rsidRPr="00C1193E">
        <w:rPr>
          <w:noProof/>
        </w:rPr>
        <w:t xml:space="preserve">(Hobbi </w:t>
      </w:r>
      <w:r w:rsidRPr="00C1193E">
        <w:rPr>
          <w:i/>
          <w:noProof/>
        </w:rPr>
        <w:t>et al.</w:t>
      </w:r>
      <w:r w:rsidRPr="00C1193E">
        <w:rPr>
          <w:noProof/>
        </w:rPr>
        <w:t xml:space="preserve">, </w:t>
      </w:r>
      <w:r w:rsidRPr="003E4024">
        <w:rPr>
          <w:noProof/>
        </w:rPr>
        <w:t>2021</w:t>
      </w:r>
      <w:r w:rsidRPr="00C1193E">
        <w:rPr>
          <w:noProof/>
        </w:rPr>
        <w:t>)</w:t>
      </w:r>
      <w:r>
        <w:fldChar w:fldCharType="end"/>
      </w:r>
      <w:r w:rsidRPr="00CB035A">
        <w:t>. The chosen saturati</w:t>
      </w:r>
      <w:r>
        <w:t>on</w:t>
      </w:r>
      <w:r w:rsidRPr="00CB035A">
        <w:t xml:space="preserve"> model</w:t>
      </w:r>
      <w:r>
        <w:t xml:space="preserve"> (Eq. 1)</w:t>
      </w:r>
      <w:r w:rsidRPr="00CB035A">
        <w:t xml:space="preserve"> was able to fit the obtained data (using the  DM and protein content measurements), the parameters of the model for each case were obtained by using the three linearized models (Figure </w:t>
      </w:r>
      <w:r w:rsidR="003F7AAE">
        <w:t>3</w:t>
      </w:r>
      <w:r w:rsidRPr="00CB035A">
        <w:t xml:space="preserve">). </w:t>
      </w:r>
    </w:p>
    <w:p w14:paraId="2C55FE4F" w14:textId="7BE538CF" w:rsidR="00DD56A2" w:rsidRDefault="00DD56A2" w:rsidP="00BB2B02">
      <w:pPr>
        <w:pStyle w:val="CETBodytext"/>
        <w:rPr>
          <w:lang w:val="en-GB"/>
        </w:rPr>
      </w:pPr>
    </w:p>
    <w:p w14:paraId="23C14C78" w14:textId="397D8090" w:rsidR="00E9255B" w:rsidRDefault="00E9255B" w:rsidP="00BB2B02">
      <w:pPr>
        <w:pStyle w:val="CETBodytext"/>
        <w:rPr>
          <w:lang w:val="en-GB"/>
        </w:rPr>
      </w:pPr>
      <w:r>
        <w:rPr>
          <w:noProof/>
          <w:lang w:val="en-GB"/>
        </w:rPr>
        <w:drawing>
          <wp:inline distT="0" distB="0" distL="0" distR="0" wp14:anchorId="4F742F99" wp14:editId="181BD1C7">
            <wp:extent cx="5216837" cy="2423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794" cy="2449586"/>
                    </a:xfrm>
                    <a:prstGeom prst="rect">
                      <a:avLst/>
                    </a:prstGeom>
                    <a:noFill/>
                  </pic:spPr>
                </pic:pic>
              </a:graphicData>
            </a:graphic>
          </wp:inline>
        </w:drawing>
      </w:r>
    </w:p>
    <w:p w14:paraId="599692DD" w14:textId="1479EB99" w:rsidR="00D747F4" w:rsidRDefault="00D747F4" w:rsidP="00D747F4">
      <w:pPr>
        <w:pStyle w:val="CETCaption"/>
      </w:pPr>
      <w:r>
        <w:t xml:space="preserve">Figure </w:t>
      </w:r>
      <w:r w:rsidR="00D50A43">
        <w:t>3</w:t>
      </w:r>
      <w:r>
        <w:t>. Experimental data fitting to the</w:t>
      </w:r>
      <w:r w:rsidR="00E9183D">
        <w:t xml:space="preserve"> linearized </w:t>
      </w:r>
      <w:r w:rsidR="00E9183D" w:rsidRPr="00D747F4">
        <w:t xml:space="preserve">kinetic model </w:t>
      </w:r>
      <w:r w:rsidR="00E9183D">
        <w:t>(</w:t>
      </w:r>
      <w:r w:rsidR="003F7AAE">
        <w:t xml:space="preserve">a, d) </w:t>
      </w:r>
      <w:r>
        <w:t xml:space="preserve">using the DM </w:t>
      </w:r>
      <w:r w:rsidR="003F7AAE">
        <w:t xml:space="preserve">and protein content </w:t>
      </w:r>
      <w:r w:rsidR="00E9183D">
        <w:t>(</w:t>
      </w:r>
      <w:r w:rsidR="003F7AAE">
        <w:t>Eq. 2</w:t>
      </w:r>
      <w:r w:rsidR="00E9183D">
        <w:t>),</w:t>
      </w:r>
      <w:r w:rsidR="003F7AAE">
        <w:t>(b, e</w:t>
      </w:r>
      <w:r w:rsidR="00E9183D">
        <w:t>)</w:t>
      </w:r>
      <w:r>
        <w:t xml:space="preserve"> using the DM </w:t>
      </w:r>
      <w:r w:rsidR="003F7AAE">
        <w:t xml:space="preserve">and protein content </w:t>
      </w:r>
      <w:r w:rsidR="00E9183D">
        <w:t>(</w:t>
      </w:r>
      <w:r w:rsidR="003F7AAE">
        <w:t>Eq. 3</w:t>
      </w:r>
      <w:r w:rsidR="00E9183D">
        <w:t xml:space="preserve">) </w:t>
      </w:r>
      <w:r>
        <w:t xml:space="preserve">and </w:t>
      </w:r>
      <w:r w:rsidR="003F7AAE">
        <w:t>(c, f) using the DM and protein content (Eq. 4)</w:t>
      </w:r>
      <w:r>
        <w:t>.</w:t>
      </w:r>
    </w:p>
    <w:p w14:paraId="678B31B1" w14:textId="015D7BD7" w:rsidR="00A83FFC" w:rsidRDefault="00A83FFC" w:rsidP="00E9183D">
      <w:pPr>
        <w:pStyle w:val="CETBodytext"/>
        <w:rPr>
          <w:lang w:val="en-GB"/>
        </w:rPr>
      </w:pPr>
      <w:r w:rsidRPr="00CB035A">
        <w:t xml:space="preserve">Additionally, the uncertainty range of the parameters (given as the relative error) was calculated, using the obtained values from each linearized model (Table </w:t>
      </w:r>
      <w:r w:rsidR="006A33D4">
        <w:t>2</w:t>
      </w:r>
      <w:r w:rsidRPr="00CB035A">
        <w:t>).</w:t>
      </w:r>
      <w:r w:rsidR="00C1193E" w:rsidRPr="00C1193E">
        <w:t>Th</w:t>
      </w:r>
      <w:r w:rsidR="006D40A9">
        <w:t xml:space="preserve">e suitability of the pseudo-second order model to fit the experimental data </w:t>
      </w:r>
      <w:r w:rsidR="00C1193E" w:rsidRPr="00C1193E">
        <w:t xml:space="preserve">suggests that </w:t>
      </w:r>
      <w:r w:rsidR="003F7AAE">
        <w:t xml:space="preserve">the apparent </w:t>
      </w:r>
      <w:r w:rsidR="006D40A9">
        <w:t xml:space="preserve">extraction rate was </w:t>
      </w:r>
      <w:r w:rsidR="00C1193E" w:rsidRPr="00C1193E">
        <w:t>declining over time</w:t>
      </w:r>
      <w:r w:rsidR="006D40A9">
        <w:t xml:space="preserve">. </w:t>
      </w:r>
    </w:p>
    <w:p w14:paraId="5C8230EC" w14:textId="7A648CB7" w:rsidR="00A83FFC" w:rsidRDefault="00A83FFC" w:rsidP="00A83FFC">
      <w:pPr>
        <w:pStyle w:val="CETCaption"/>
      </w:pPr>
      <w:r w:rsidRPr="006D40A9">
        <w:t xml:space="preserve">Table </w:t>
      </w:r>
      <w:r w:rsidR="006A33D4">
        <w:t>2</w:t>
      </w:r>
      <w:r w:rsidRPr="006D40A9">
        <w:t>.</w:t>
      </w:r>
      <w:r>
        <w:t xml:space="preserve"> Fitting parameters for the pseudo first and second kinetic extraction models </w:t>
      </w:r>
    </w:p>
    <w:tbl>
      <w:tblPr>
        <w:tblW w:w="0" w:type="auto"/>
        <w:tblLayout w:type="fixed"/>
        <w:tblCellMar>
          <w:left w:w="0" w:type="dxa"/>
          <w:right w:w="0" w:type="dxa"/>
        </w:tblCellMar>
        <w:tblLook w:val="00A0" w:firstRow="1" w:lastRow="0" w:firstColumn="1" w:lastColumn="0" w:noHBand="0" w:noVBand="0"/>
      </w:tblPr>
      <w:tblGrid>
        <w:gridCol w:w="1378"/>
        <w:gridCol w:w="857"/>
        <w:gridCol w:w="650"/>
        <w:gridCol w:w="650"/>
        <w:gridCol w:w="797"/>
        <w:gridCol w:w="1065"/>
        <w:gridCol w:w="1129"/>
        <w:gridCol w:w="650"/>
        <w:gridCol w:w="796"/>
      </w:tblGrid>
      <w:tr w:rsidR="00A83FFC" w:rsidRPr="00BD466E" w14:paraId="61CA14A9" w14:textId="77777777" w:rsidTr="009761CA">
        <w:trPr>
          <w:trHeight w:val="161"/>
        </w:trPr>
        <w:tc>
          <w:tcPr>
            <w:tcW w:w="1378" w:type="dxa"/>
            <w:tcBorders>
              <w:top w:val="single" w:sz="12" w:space="0" w:color="008000"/>
              <w:left w:val="nil"/>
              <w:bottom w:val="single" w:sz="8" w:space="0" w:color="008000"/>
              <w:right w:val="nil"/>
            </w:tcBorders>
            <w:shd w:val="clear" w:color="auto" w:fill="auto"/>
            <w:tcMar>
              <w:top w:w="15" w:type="dxa"/>
              <w:left w:w="15" w:type="dxa"/>
              <w:bottom w:w="0" w:type="dxa"/>
              <w:right w:w="15" w:type="dxa"/>
            </w:tcMar>
            <w:vAlign w:val="bottom"/>
          </w:tcPr>
          <w:p w14:paraId="099BB789" w14:textId="77777777" w:rsidR="00A83FFC" w:rsidRPr="00BD466E" w:rsidRDefault="00A83FFC" w:rsidP="009761CA">
            <w:pPr>
              <w:pStyle w:val="NoSpacing"/>
              <w:rPr>
                <w:rFonts w:ascii="Arial" w:hAnsi="Arial" w:cs="Arial"/>
                <w:sz w:val="18"/>
                <w:szCs w:val="18"/>
                <w:lang w:val="en-GB"/>
              </w:rPr>
            </w:pPr>
          </w:p>
        </w:tc>
        <w:tc>
          <w:tcPr>
            <w:tcW w:w="2954" w:type="dxa"/>
            <w:gridSpan w:val="4"/>
            <w:tcBorders>
              <w:top w:val="single" w:sz="12" w:space="0" w:color="008000"/>
              <w:left w:val="nil"/>
              <w:bottom w:val="single" w:sz="8" w:space="0" w:color="008000"/>
              <w:right w:val="nil"/>
            </w:tcBorders>
            <w:shd w:val="clear" w:color="auto" w:fill="auto"/>
            <w:tcMar>
              <w:top w:w="15" w:type="dxa"/>
              <w:left w:w="15" w:type="dxa"/>
              <w:bottom w:w="0" w:type="dxa"/>
              <w:right w:w="15" w:type="dxa"/>
            </w:tcMar>
            <w:vAlign w:val="bottom"/>
          </w:tcPr>
          <w:p w14:paraId="35DCC887" w14:textId="77777777" w:rsidR="00A83FFC" w:rsidRPr="00BD466E" w:rsidRDefault="00A83FFC" w:rsidP="009761CA">
            <w:pPr>
              <w:pStyle w:val="NoSpacing"/>
              <w:jc w:val="center"/>
              <w:rPr>
                <w:rFonts w:ascii="Arial" w:hAnsi="Arial" w:cs="Arial"/>
                <w:sz w:val="18"/>
                <w:szCs w:val="18"/>
                <w:lang w:val="el-GR"/>
              </w:rPr>
            </w:pPr>
            <w:r w:rsidRPr="00BD466E">
              <w:rPr>
                <w:rFonts w:ascii="Arial" w:hAnsi="Arial" w:cs="Arial"/>
                <w:sz w:val="18"/>
                <w:szCs w:val="18"/>
                <w:lang w:val="en-GB"/>
              </w:rPr>
              <w:t>Dry Matter content</w:t>
            </w:r>
          </w:p>
        </w:tc>
        <w:tc>
          <w:tcPr>
            <w:tcW w:w="3640" w:type="dxa"/>
            <w:gridSpan w:val="4"/>
            <w:tcBorders>
              <w:top w:val="single" w:sz="12" w:space="0" w:color="008000"/>
              <w:left w:val="nil"/>
              <w:bottom w:val="single" w:sz="8" w:space="0" w:color="008000"/>
              <w:right w:val="nil"/>
            </w:tcBorders>
            <w:shd w:val="clear" w:color="auto" w:fill="auto"/>
            <w:tcMar>
              <w:top w:w="15" w:type="dxa"/>
              <w:left w:w="15" w:type="dxa"/>
              <w:bottom w:w="0" w:type="dxa"/>
              <w:right w:w="15" w:type="dxa"/>
            </w:tcMar>
            <w:vAlign w:val="bottom"/>
          </w:tcPr>
          <w:p w14:paraId="7205C100" w14:textId="77777777" w:rsidR="00A83FFC" w:rsidRPr="00BD466E" w:rsidRDefault="00A83FFC" w:rsidP="009761CA">
            <w:pPr>
              <w:pStyle w:val="NoSpacing"/>
              <w:jc w:val="center"/>
              <w:rPr>
                <w:rFonts w:ascii="Arial" w:hAnsi="Arial" w:cs="Arial"/>
                <w:sz w:val="18"/>
                <w:szCs w:val="18"/>
                <w:lang w:val="el-GR"/>
              </w:rPr>
            </w:pPr>
            <w:r w:rsidRPr="00BD466E">
              <w:rPr>
                <w:rFonts w:ascii="Arial" w:hAnsi="Arial" w:cs="Arial"/>
                <w:sz w:val="18"/>
                <w:szCs w:val="18"/>
                <w:lang w:val="en-GB"/>
              </w:rPr>
              <w:t>Protein content</w:t>
            </w:r>
          </w:p>
        </w:tc>
      </w:tr>
      <w:tr w:rsidR="00A83FFC" w:rsidRPr="00BD466E" w14:paraId="0AC0A250" w14:textId="77777777" w:rsidTr="009761CA">
        <w:trPr>
          <w:trHeight w:val="161"/>
        </w:trPr>
        <w:tc>
          <w:tcPr>
            <w:tcW w:w="1378" w:type="dxa"/>
            <w:tcBorders>
              <w:top w:val="single" w:sz="12" w:space="0" w:color="008000"/>
              <w:left w:val="nil"/>
              <w:bottom w:val="single" w:sz="8" w:space="0" w:color="008000"/>
              <w:right w:val="nil"/>
            </w:tcBorders>
            <w:shd w:val="clear" w:color="auto" w:fill="auto"/>
            <w:tcMar>
              <w:top w:w="15" w:type="dxa"/>
              <w:left w:w="15" w:type="dxa"/>
              <w:bottom w:w="0" w:type="dxa"/>
              <w:right w:w="15" w:type="dxa"/>
            </w:tcMar>
            <w:vAlign w:val="bottom"/>
            <w:hideMark/>
          </w:tcPr>
          <w:p w14:paraId="20877462" w14:textId="77777777" w:rsidR="00A83FFC" w:rsidRPr="00BD466E" w:rsidRDefault="00A83FFC" w:rsidP="009761CA">
            <w:pPr>
              <w:pStyle w:val="NoSpacing"/>
              <w:rPr>
                <w:rFonts w:ascii="Arial" w:hAnsi="Arial" w:cs="Arial"/>
                <w:sz w:val="18"/>
                <w:szCs w:val="18"/>
                <w:lang w:val="en-GB"/>
              </w:rPr>
            </w:pPr>
          </w:p>
        </w:tc>
        <w:tc>
          <w:tcPr>
            <w:tcW w:w="857" w:type="dxa"/>
            <w:tcBorders>
              <w:top w:val="single" w:sz="12" w:space="0" w:color="008000"/>
              <w:left w:val="nil"/>
              <w:bottom w:val="single" w:sz="8" w:space="0" w:color="008000"/>
              <w:right w:val="nil"/>
            </w:tcBorders>
            <w:shd w:val="clear" w:color="auto" w:fill="auto"/>
            <w:tcMar>
              <w:top w:w="15" w:type="dxa"/>
              <w:left w:w="15" w:type="dxa"/>
              <w:bottom w:w="0" w:type="dxa"/>
              <w:right w:w="15" w:type="dxa"/>
            </w:tcMar>
            <w:vAlign w:val="bottom"/>
            <w:hideMark/>
          </w:tcPr>
          <w:p w14:paraId="0788970A" w14:textId="77777777" w:rsidR="00A83FFC" w:rsidRPr="00BD466E" w:rsidRDefault="00A83FFC" w:rsidP="009761CA">
            <w:pPr>
              <w:pStyle w:val="NoSpacing"/>
              <w:jc w:val="center"/>
              <w:rPr>
                <w:rFonts w:ascii="Arial" w:hAnsi="Arial" w:cs="Arial"/>
                <w:i/>
                <w:iCs/>
                <w:sz w:val="18"/>
                <w:szCs w:val="18"/>
                <w:lang w:val="en-GB"/>
              </w:rPr>
            </w:pPr>
            <w:proofErr w:type="spellStart"/>
            <w:r w:rsidRPr="00BD466E">
              <w:rPr>
                <w:rFonts w:ascii="Arial" w:hAnsi="Arial" w:cs="Arial"/>
                <w:i/>
                <w:iCs/>
                <w:sz w:val="18"/>
                <w:szCs w:val="18"/>
                <w:lang w:val="en-GB"/>
              </w:rPr>
              <w:t>C</w:t>
            </w:r>
            <w:r w:rsidRPr="00BD466E">
              <w:rPr>
                <w:rFonts w:ascii="Arial" w:hAnsi="Arial" w:cs="Arial"/>
                <w:i/>
                <w:iCs/>
                <w:sz w:val="18"/>
                <w:szCs w:val="18"/>
                <w:vertAlign w:val="subscript"/>
                <w:lang w:val="en-GB"/>
              </w:rPr>
              <w:t>max</w:t>
            </w:r>
            <w:proofErr w:type="spellEnd"/>
          </w:p>
        </w:tc>
        <w:tc>
          <w:tcPr>
            <w:tcW w:w="650" w:type="dxa"/>
            <w:tcBorders>
              <w:top w:val="single" w:sz="12" w:space="0" w:color="008000"/>
              <w:left w:val="nil"/>
              <w:bottom w:val="single" w:sz="8" w:space="0" w:color="008000"/>
              <w:right w:val="nil"/>
            </w:tcBorders>
            <w:shd w:val="clear" w:color="auto" w:fill="auto"/>
            <w:tcMar>
              <w:top w:w="15" w:type="dxa"/>
              <w:left w:w="15" w:type="dxa"/>
              <w:bottom w:w="0" w:type="dxa"/>
              <w:right w:w="15" w:type="dxa"/>
            </w:tcMar>
            <w:vAlign w:val="bottom"/>
            <w:hideMark/>
          </w:tcPr>
          <w:p w14:paraId="1E172065" w14:textId="77777777" w:rsidR="00A83FFC" w:rsidRPr="00BD466E" w:rsidRDefault="00A83FFC" w:rsidP="009761CA">
            <w:pPr>
              <w:pStyle w:val="NoSpacing"/>
              <w:jc w:val="center"/>
              <w:rPr>
                <w:rFonts w:ascii="Arial" w:hAnsi="Arial" w:cs="Arial"/>
                <w:i/>
                <w:iCs/>
                <w:sz w:val="18"/>
                <w:szCs w:val="18"/>
                <w:lang w:val="en-GB"/>
              </w:rPr>
            </w:pPr>
            <w:r w:rsidRPr="00BD466E">
              <w:rPr>
                <w:rFonts w:ascii="Arial" w:hAnsi="Arial" w:cs="Arial"/>
                <w:i/>
                <w:iCs/>
                <w:sz w:val="18"/>
                <w:szCs w:val="18"/>
                <w:lang w:val="el-GR"/>
              </w:rPr>
              <w:t>δ</w:t>
            </w:r>
          </w:p>
        </w:tc>
        <w:tc>
          <w:tcPr>
            <w:tcW w:w="650" w:type="dxa"/>
            <w:tcBorders>
              <w:top w:val="single" w:sz="12" w:space="0" w:color="008000"/>
              <w:left w:val="nil"/>
              <w:bottom w:val="single" w:sz="8" w:space="0" w:color="008000"/>
              <w:right w:val="nil"/>
            </w:tcBorders>
            <w:shd w:val="clear" w:color="auto" w:fill="auto"/>
            <w:tcMar>
              <w:top w:w="15" w:type="dxa"/>
              <w:left w:w="15" w:type="dxa"/>
              <w:bottom w:w="0" w:type="dxa"/>
              <w:right w:w="15" w:type="dxa"/>
            </w:tcMar>
            <w:vAlign w:val="bottom"/>
            <w:hideMark/>
          </w:tcPr>
          <w:p w14:paraId="78427A49" w14:textId="77777777" w:rsidR="00A83FFC" w:rsidRPr="00BD466E" w:rsidRDefault="00A83FFC" w:rsidP="009761CA">
            <w:pPr>
              <w:pStyle w:val="NoSpacing"/>
              <w:jc w:val="center"/>
              <w:rPr>
                <w:rFonts w:ascii="Arial" w:hAnsi="Arial" w:cs="Arial"/>
                <w:i/>
                <w:iCs/>
                <w:sz w:val="18"/>
                <w:szCs w:val="18"/>
                <w:lang w:val="en-GB"/>
              </w:rPr>
            </w:pPr>
            <w:r w:rsidRPr="00BD466E">
              <w:rPr>
                <w:rFonts w:ascii="Arial" w:hAnsi="Arial" w:cs="Arial"/>
                <w:i/>
                <w:iCs/>
                <w:sz w:val="18"/>
                <w:szCs w:val="18"/>
                <w:lang w:val="en-GB"/>
              </w:rPr>
              <w:t>k</w:t>
            </w:r>
          </w:p>
        </w:tc>
        <w:tc>
          <w:tcPr>
            <w:tcW w:w="797" w:type="dxa"/>
            <w:tcBorders>
              <w:top w:val="single" w:sz="12" w:space="0" w:color="008000"/>
              <w:left w:val="nil"/>
              <w:bottom w:val="single" w:sz="8" w:space="0" w:color="008000"/>
              <w:right w:val="nil"/>
            </w:tcBorders>
            <w:shd w:val="clear" w:color="auto" w:fill="auto"/>
            <w:tcMar>
              <w:top w:w="15" w:type="dxa"/>
              <w:left w:w="15" w:type="dxa"/>
              <w:bottom w:w="0" w:type="dxa"/>
              <w:right w:w="15" w:type="dxa"/>
            </w:tcMar>
            <w:vAlign w:val="bottom"/>
            <w:hideMark/>
          </w:tcPr>
          <w:p w14:paraId="295A3A2F" w14:textId="18E09C84" w:rsidR="00A83FFC" w:rsidRPr="00C42C59" w:rsidRDefault="00A83FFC" w:rsidP="009761CA">
            <w:pPr>
              <w:pStyle w:val="NoSpacing"/>
              <w:jc w:val="center"/>
              <w:rPr>
                <w:rFonts w:ascii="Arial" w:hAnsi="Arial" w:cs="Arial"/>
                <w:i/>
                <w:iCs/>
                <w:sz w:val="18"/>
                <w:szCs w:val="18"/>
                <w:lang w:val="en-GB"/>
              </w:rPr>
            </w:pPr>
            <w:r w:rsidRPr="00BD466E">
              <w:rPr>
                <w:rFonts w:ascii="Arial" w:hAnsi="Arial" w:cs="Arial"/>
                <w:i/>
                <w:iCs/>
                <w:sz w:val="18"/>
                <w:szCs w:val="18"/>
                <w:lang w:val="el-GR"/>
              </w:rPr>
              <w:t>δ</w:t>
            </w:r>
            <w:r w:rsidR="00C42C59">
              <w:rPr>
                <w:rFonts w:ascii="Arial" w:hAnsi="Arial" w:cs="Arial"/>
                <w:i/>
                <w:iCs/>
                <w:sz w:val="18"/>
                <w:szCs w:val="18"/>
                <w:lang w:val="en-GB"/>
              </w:rPr>
              <w:t>*</w:t>
            </w:r>
          </w:p>
        </w:tc>
        <w:tc>
          <w:tcPr>
            <w:tcW w:w="1065" w:type="dxa"/>
            <w:tcBorders>
              <w:top w:val="single" w:sz="12" w:space="0" w:color="008000"/>
              <w:left w:val="nil"/>
              <w:bottom w:val="single" w:sz="8" w:space="0" w:color="008000"/>
              <w:right w:val="nil"/>
            </w:tcBorders>
            <w:shd w:val="clear" w:color="auto" w:fill="auto"/>
            <w:tcMar>
              <w:top w:w="15" w:type="dxa"/>
              <w:left w:w="15" w:type="dxa"/>
              <w:bottom w:w="0" w:type="dxa"/>
              <w:right w:w="15" w:type="dxa"/>
            </w:tcMar>
            <w:vAlign w:val="bottom"/>
            <w:hideMark/>
          </w:tcPr>
          <w:p w14:paraId="0576D3B3" w14:textId="77777777" w:rsidR="00A83FFC" w:rsidRPr="00BD466E" w:rsidRDefault="00A83FFC" w:rsidP="009761CA">
            <w:pPr>
              <w:pStyle w:val="NoSpacing"/>
              <w:jc w:val="center"/>
              <w:rPr>
                <w:rFonts w:ascii="Arial" w:hAnsi="Arial" w:cs="Arial"/>
                <w:i/>
                <w:iCs/>
                <w:sz w:val="18"/>
                <w:szCs w:val="18"/>
                <w:lang w:val="en-GB"/>
              </w:rPr>
            </w:pPr>
            <w:proofErr w:type="spellStart"/>
            <w:r w:rsidRPr="00BD466E">
              <w:rPr>
                <w:rFonts w:ascii="Arial" w:hAnsi="Arial" w:cs="Arial"/>
                <w:i/>
                <w:iCs/>
                <w:sz w:val="18"/>
                <w:szCs w:val="18"/>
                <w:lang w:val="en-GB"/>
              </w:rPr>
              <w:t>C</w:t>
            </w:r>
            <w:r w:rsidRPr="00BD466E">
              <w:rPr>
                <w:rFonts w:ascii="Arial" w:hAnsi="Arial" w:cs="Arial"/>
                <w:i/>
                <w:iCs/>
                <w:sz w:val="18"/>
                <w:szCs w:val="18"/>
                <w:vertAlign w:val="subscript"/>
                <w:lang w:val="en-GB"/>
              </w:rPr>
              <w:t>max</w:t>
            </w:r>
            <w:proofErr w:type="spellEnd"/>
          </w:p>
        </w:tc>
        <w:tc>
          <w:tcPr>
            <w:tcW w:w="1129" w:type="dxa"/>
            <w:tcBorders>
              <w:top w:val="single" w:sz="12" w:space="0" w:color="008000"/>
              <w:left w:val="nil"/>
              <w:bottom w:val="single" w:sz="8" w:space="0" w:color="008000"/>
              <w:right w:val="nil"/>
            </w:tcBorders>
            <w:shd w:val="clear" w:color="auto" w:fill="auto"/>
            <w:tcMar>
              <w:top w:w="15" w:type="dxa"/>
              <w:left w:w="15" w:type="dxa"/>
              <w:bottom w:w="0" w:type="dxa"/>
              <w:right w:w="15" w:type="dxa"/>
            </w:tcMar>
            <w:vAlign w:val="bottom"/>
            <w:hideMark/>
          </w:tcPr>
          <w:p w14:paraId="3AA43D77" w14:textId="77777777" w:rsidR="00A83FFC" w:rsidRPr="00BD466E" w:rsidRDefault="00A83FFC" w:rsidP="009761CA">
            <w:pPr>
              <w:pStyle w:val="NoSpacing"/>
              <w:jc w:val="center"/>
              <w:rPr>
                <w:rFonts w:ascii="Arial" w:hAnsi="Arial" w:cs="Arial"/>
                <w:i/>
                <w:iCs/>
                <w:sz w:val="18"/>
                <w:szCs w:val="18"/>
                <w:lang w:val="en-GB"/>
              </w:rPr>
            </w:pPr>
            <w:r w:rsidRPr="00BD466E">
              <w:rPr>
                <w:rFonts w:ascii="Arial" w:hAnsi="Arial" w:cs="Arial"/>
                <w:i/>
                <w:iCs/>
                <w:sz w:val="18"/>
                <w:szCs w:val="18"/>
                <w:lang w:val="el-GR"/>
              </w:rPr>
              <w:t>δ</w:t>
            </w:r>
          </w:p>
        </w:tc>
        <w:tc>
          <w:tcPr>
            <w:tcW w:w="650" w:type="dxa"/>
            <w:tcBorders>
              <w:top w:val="single" w:sz="12" w:space="0" w:color="008000"/>
              <w:left w:val="nil"/>
              <w:bottom w:val="single" w:sz="8" w:space="0" w:color="008000"/>
              <w:right w:val="nil"/>
            </w:tcBorders>
            <w:shd w:val="clear" w:color="auto" w:fill="auto"/>
            <w:tcMar>
              <w:top w:w="15" w:type="dxa"/>
              <w:left w:w="15" w:type="dxa"/>
              <w:bottom w:w="0" w:type="dxa"/>
              <w:right w:w="15" w:type="dxa"/>
            </w:tcMar>
            <w:vAlign w:val="bottom"/>
            <w:hideMark/>
          </w:tcPr>
          <w:p w14:paraId="49D6C3FD" w14:textId="77777777" w:rsidR="00A83FFC" w:rsidRPr="00BD466E" w:rsidRDefault="00A83FFC" w:rsidP="009761CA">
            <w:pPr>
              <w:pStyle w:val="NoSpacing"/>
              <w:jc w:val="center"/>
              <w:rPr>
                <w:rFonts w:ascii="Arial" w:hAnsi="Arial" w:cs="Arial"/>
                <w:i/>
                <w:iCs/>
                <w:sz w:val="18"/>
                <w:szCs w:val="18"/>
                <w:lang w:val="en-GB"/>
              </w:rPr>
            </w:pPr>
            <w:r w:rsidRPr="00BD466E">
              <w:rPr>
                <w:rFonts w:ascii="Arial" w:hAnsi="Arial" w:cs="Arial"/>
                <w:i/>
                <w:iCs/>
                <w:sz w:val="18"/>
                <w:szCs w:val="18"/>
                <w:lang w:val="en-GB"/>
              </w:rPr>
              <w:t>k</w:t>
            </w:r>
          </w:p>
        </w:tc>
        <w:tc>
          <w:tcPr>
            <w:tcW w:w="796" w:type="dxa"/>
            <w:tcBorders>
              <w:top w:val="single" w:sz="12" w:space="0" w:color="008000"/>
              <w:left w:val="nil"/>
              <w:bottom w:val="single" w:sz="8" w:space="0" w:color="008000"/>
              <w:right w:val="nil"/>
            </w:tcBorders>
            <w:shd w:val="clear" w:color="auto" w:fill="auto"/>
            <w:tcMar>
              <w:top w:w="15" w:type="dxa"/>
              <w:left w:w="15" w:type="dxa"/>
              <w:bottom w:w="0" w:type="dxa"/>
              <w:right w:w="15" w:type="dxa"/>
            </w:tcMar>
            <w:vAlign w:val="bottom"/>
            <w:hideMark/>
          </w:tcPr>
          <w:p w14:paraId="4F299EDF" w14:textId="3192C0F7" w:rsidR="00A83FFC" w:rsidRPr="00C42C59" w:rsidRDefault="00A83FFC" w:rsidP="009761CA">
            <w:pPr>
              <w:pStyle w:val="NoSpacing"/>
              <w:jc w:val="center"/>
              <w:rPr>
                <w:rFonts w:ascii="Arial" w:hAnsi="Arial" w:cs="Arial"/>
                <w:i/>
                <w:iCs/>
                <w:sz w:val="18"/>
                <w:szCs w:val="18"/>
                <w:lang w:val="en-GB"/>
              </w:rPr>
            </w:pPr>
            <w:r w:rsidRPr="00BD466E">
              <w:rPr>
                <w:rFonts w:ascii="Arial" w:hAnsi="Arial" w:cs="Arial"/>
                <w:i/>
                <w:iCs/>
                <w:sz w:val="18"/>
                <w:szCs w:val="18"/>
                <w:lang w:val="el-GR"/>
              </w:rPr>
              <w:t>δ</w:t>
            </w:r>
            <w:r w:rsidR="00C42C59">
              <w:rPr>
                <w:rFonts w:ascii="Arial" w:hAnsi="Arial" w:cs="Arial"/>
                <w:i/>
                <w:iCs/>
                <w:sz w:val="18"/>
                <w:szCs w:val="18"/>
                <w:lang w:val="en-GB"/>
              </w:rPr>
              <w:t>*</w:t>
            </w:r>
          </w:p>
        </w:tc>
      </w:tr>
      <w:tr w:rsidR="00A83FFC" w:rsidRPr="00BD466E" w14:paraId="56F57D55" w14:textId="77777777" w:rsidTr="009761CA">
        <w:trPr>
          <w:trHeight w:val="51"/>
        </w:trPr>
        <w:tc>
          <w:tcPr>
            <w:tcW w:w="1378" w:type="dxa"/>
            <w:tcBorders>
              <w:top w:val="single" w:sz="8" w:space="0" w:color="008000"/>
              <w:left w:val="nil"/>
              <w:bottom w:val="nil"/>
              <w:right w:val="nil"/>
            </w:tcBorders>
            <w:shd w:val="clear" w:color="auto" w:fill="auto"/>
            <w:tcMar>
              <w:top w:w="15" w:type="dxa"/>
              <w:left w:w="15" w:type="dxa"/>
              <w:bottom w:w="0" w:type="dxa"/>
              <w:right w:w="15" w:type="dxa"/>
            </w:tcMar>
            <w:vAlign w:val="bottom"/>
            <w:hideMark/>
          </w:tcPr>
          <w:p w14:paraId="1B1F8D9D" w14:textId="77777777" w:rsidR="00A83FFC" w:rsidRPr="00BD466E" w:rsidRDefault="00A83FFC" w:rsidP="009761CA">
            <w:pPr>
              <w:pStyle w:val="NoSpacing"/>
              <w:rPr>
                <w:rFonts w:ascii="Arial" w:hAnsi="Arial" w:cs="Arial"/>
                <w:sz w:val="18"/>
                <w:szCs w:val="18"/>
                <w:lang w:val="en-GB"/>
              </w:rPr>
            </w:pPr>
          </w:p>
        </w:tc>
        <w:tc>
          <w:tcPr>
            <w:tcW w:w="857" w:type="dxa"/>
            <w:tcBorders>
              <w:top w:val="single" w:sz="8" w:space="0" w:color="008000"/>
              <w:left w:val="nil"/>
              <w:bottom w:val="nil"/>
              <w:right w:val="nil"/>
            </w:tcBorders>
            <w:shd w:val="clear" w:color="auto" w:fill="auto"/>
            <w:tcMar>
              <w:top w:w="15" w:type="dxa"/>
              <w:left w:w="15" w:type="dxa"/>
              <w:bottom w:w="0" w:type="dxa"/>
              <w:right w:w="15" w:type="dxa"/>
            </w:tcMar>
            <w:vAlign w:val="bottom"/>
            <w:hideMark/>
          </w:tcPr>
          <w:p w14:paraId="24887C81"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w:t>
            </w:r>
            <w:proofErr w:type="spellStart"/>
            <w:r w:rsidRPr="00BD466E">
              <w:rPr>
                <w:rFonts w:ascii="Arial" w:hAnsi="Arial" w:cs="Arial"/>
                <w:sz w:val="18"/>
                <w:szCs w:val="18"/>
                <w:lang w:val="en-GB"/>
              </w:rPr>
              <w:t>g</w:t>
            </w:r>
            <w:r w:rsidRPr="00BD466E">
              <w:rPr>
                <w:rFonts w:ascii="Arial" w:hAnsi="Arial" w:cs="Arial"/>
                <w:sz w:val="18"/>
                <w:szCs w:val="18"/>
                <w:vertAlign w:val="subscript"/>
                <w:lang w:val="en-GB"/>
              </w:rPr>
              <w:t>DM</w:t>
            </w:r>
            <w:proofErr w:type="spellEnd"/>
            <w:r w:rsidRPr="00BD466E">
              <w:rPr>
                <w:rFonts w:ascii="Arial" w:hAnsi="Arial" w:cs="Arial"/>
                <w:sz w:val="18"/>
                <w:szCs w:val="18"/>
                <w:lang w:val="en-GB"/>
              </w:rPr>
              <w:t>/L]</w:t>
            </w:r>
          </w:p>
        </w:tc>
        <w:tc>
          <w:tcPr>
            <w:tcW w:w="650" w:type="dxa"/>
            <w:tcBorders>
              <w:top w:val="single" w:sz="8" w:space="0" w:color="008000"/>
              <w:left w:val="nil"/>
              <w:bottom w:val="nil"/>
              <w:right w:val="nil"/>
            </w:tcBorders>
            <w:shd w:val="clear" w:color="auto" w:fill="auto"/>
            <w:tcMar>
              <w:top w:w="15" w:type="dxa"/>
              <w:left w:w="15" w:type="dxa"/>
              <w:bottom w:w="0" w:type="dxa"/>
              <w:right w:w="15" w:type="dxa"/>
            </w:tcMar>
            <w:vAlign w:val="bottom"/>
            <w:hideMark/>
          </w:tcPr>
          <w:p w14:paraId="231D2ABF"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w:t>
            </w:r>
          </w:p>
        </w:tc>
        <w:tc>
          <w:tcPr>
            <w:tcW w:w="650" w:type="dxa"/>
            <w:tcBorders>
              <w:top w:val="single" w:sz="8" w:space="0" w:color="008000"/>
              <w:left w:val="nil"/>
              <w:bottom w:val="nil"/>
              <w:right w:val="nil"/>
            </w:tcBorders>
            <w:shd w:val="clear" w:color="auto" w:fill="auto"/>
            <w:tcMar>
              <w:top w:w="15" w:type="dxa"/>
              <w:left w:w="15" w:type="dxa"/>
              <w:bottom w:w="0" w:type="dxa"/>
              <w:right w:w="15" w:type="dxa"/>
            </w:tcMar>
            <w:vAlign w:val="bottom"/>
            <w:hideMark/>
          </w:tcPr>
          <w:p w14:paraId="30FD989C"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[h]</w:t>
            </w:r>
          </w:p>
        </w:tc>
        <w:tc>
          <w:tcPr>
            <w:tcW w:w="797" w:type="dxa"/>
            <w:tcBorders>
              <w:top w:val="single" w:sz="8" w:space="0" w:color="008000"/>
              <w:left w:val="nil"/>
              <w:bottom w:val="nil"/>
              <w:right w:val="nil"/>
            </w:tcBorders>
            <w:shd w:val="clear" w:color="auto" w:fill="auto"/>
            <w:tcMar>
              <w:top w:w="15" w:type="dxa"/>
              <w:left w:w="15" w:type="dxa"/>
              <w:bottom w:w="0" w:type="dxa"/>
              <w:right w:w="15" w:type="dxa"/>
            </w:tcMar>
            <w:vAlign w:val="bottom"/>
            <w:hideMark/>
          </w:tcPr>
          <w:p w14:paraId="0BD46D7F"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w:t>
            </w:r>
          </w:p>
        </w:tc>
        <w:tc>
          <w:tcPr>
            <w:tcW w:w="1065" w:type="dxa"/>
            <w:tcBorders>
              <w:top w:val="single" w:sz="8" w:space="0" w:color="008000"/>
              <w:left w:val="nil"/>
              <w:bottom w:val="nil"/>
              <w:right w:val="nil"/>
            </w:tcBorders>
            <w:shd w:val="clear" w:color="auto" w:fill="auto"/>
            <w:tcMar>
              <w:top w:w="15" w:type="dxa"/>
              <w:left w:w="15" w:type="dxa"/>
              <w:bottom w:w="0" w:type="dxa"/>
              <w:right w:w="15" w:type="dxa"/>
            </w:tcMar>
            <w:vAlign w:val="bottom"/>
            <w:hideMark/>
          </w:tcPr>
          <w:p w14:paraId="6F7945ED"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w:t>
            </w:r>
            <w:proofErr w:type="spellStart"/>
            <w:r w:rsidRPr="00BD466E">
              <w:rPr>
                <w:rFonts w:ascii="Arial" w:hAnsi="Arial" w:cs="Arial"/>
                <w:sz w:val="18"/>
                <w:szCs w:val="18"/>
                <w:lang w:val="en-GB"/>
              </w:rPr>
              <w:t>g</w:t>
            </w:r>
            <w:r w:rsidRPr="00BD466E">
              <w:rPr>
                <w:rFonts w:ascii="Arial" w:hAnsi="Arial" w:cs="Arial"/>
                <w:sz w:val="18"/>
                <w:szCs w:val="18"/>
                <w:vertAlign w:val="subscript"/>
                <w:lang w:val="en-GB"/>
              </w:rPr>
              <w:t>prot</w:t>
            </w:r>
            <w:proofErr w:type="spellEnd"/>
            <w:r w:rsidRPr="00BD466E">
              <w:rPr>
                <w:rFonts w:ascii="Arial" w:hAnsi="Arial" w:cs="Arial"/>
                <w:sz w:val="18"/>
                <w:szCs w:val="18"/>
                <w:vertAlign w:val="subscript"/>
                <w:lang w:val="en-GB"/>
              </w:rPr>
              <w:t>.</w:t>
            </w:r>
            <w:r w:rsidRPr="00BD466E">
              <w:rPr>
                <w:rFonts w:ascii="Arial" w:hAnsi="Arial" w:cs="Arial"/>
                <w:sz w:val="18"/>
                <w:szCs w:val="18"/>
                <w:lang w:val="en-GB"/>
              </w:rPr>
              <w:t>/L]</w:t>
            </w:r>
          </w:p>
        </w:tc>
        <w:tc>
          <w:tcPr>
            <w:tcW w:w="1129" w:type="dxa"/>
            <w:tcBorders>
              <w:top w:val="single" w:sz="8" w:space="0" w:color="008000"/>
              <w:left w:val="nil"/>
              <w:bottom w:val="nil"/>
              <w:right w:val="nil"/>
            </w:tcBorders>
            <w:shd w:val="clear" w:color="auto" w:fill="auto"/>
            <w:tcMar>
              <w:top w:w="15" w:type="dxa"/>
              <w:left w:w="15" w:type="dxa"/>
              <w:bottom w:w="0" w:type="dxa"/>
              <w:right w:w="15" w:type="dxa"/>
            </w:tcMar>
            <w:vAlign w:val="bottom"/>
            <w:hideMark/>
          </w:tcPr>
          <w:p w14:paraId="1A7C760F"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w:t>
            </w:r>
          </w:p>
        </w:tc>
        <w:tc>
          <w:tcPr>
            <w:tcW w:w="650" w:type="dxa"/>
            <w:tcBorders>
              <w:top w:val="single" w:sz="8" w:space="0" w:color="008000"/>
              <w:left w:val="nil"/>
              <w:bottom w:val="nil"/>
              <w:right w:val="nil"/>
            </w:tcBorders>
            <w:shd w:val="clear" w:color="auto" w:fill="auto"/>
            <w:tcMar>
              <w:top w:w="15" w:type="dxa"/>
              <w:left w:w="15" w:type="dxa"/>
              <w:bottom w:w="0" w:type="dxa"/>
              <w:right w:w="15" w:type="dxa"/>
            </w:tcMar>
            <w:vAlign w:val="bottom"/>
            <w:hideMark/>
          </w:tcPr>
          <w:p w14:paraId="33C9D2B9"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[h]</w:t>
            </w:r>
          </w:p>
        </w:tc>
        <w:tc>
          <w:tcPr>
            <w:tcW w:w="796" w:type="dxa"/>
            <w:tcBorders>
              <w:top w:val="single" w:sz="8" w:space="0" w:color="008000"/>
              <w:left w:val="nil"/>
              <w:bottom w:val="nil"/>
              <w:right w:val="nil"/>
            </w:tcBorders>
            <w:shd w:val="clear" w:color="auto" w:fill="auto"/>
            <w:tcMar>
              <w:top w:w="15" w:type="dxa"/>
              <w:left w:w="15" w:type="dxa"/>
              <w:bottom w:w="0" w:type="dxa"/>
              <w:right w:w="15" w:type="dxa"/>
            </w:tcMar>
            <w:vAlign w:val="bottom"/>
            <w:hideMark/>
          </w:tcPr>
          <w:p w14:paraId="60A5E2AA"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w:t>
            </w:r>
          </w:p>
        </w:tc>
      </w:tr>
      <w:tr w:rsidR="00A83FFC" w:rsidRPr="00BD466E" w14:paraId="60B2BFC9" w14:textId="77777777" w:rsidTr="009761CA">
        <w:trPr>
          <w:trHeight w:val="51"/>
        </w:trPr>
        <w:tc>
          <w:tcPr>
            <w:tcW w:w="1378" w:type="dxa"/>
            <w:tcBorders>
              <w:top w:val="nil"/>
              <w:left w:val="nil"/>
              <w:bottom w:val="nil"/>
              <w:right w:val="nil"/>
            </w:tcBorders>
            <w:shd w:val="clear" w:color="auto" w:fill="auto"/>
            <w:tcMar>
              <w:top w:w="15" w:type="dxa"/>
              <w:left w:w="15" w:type="dxa"/>
              <w:bottom w:w="0" w:type="dxa"/>
              <w:right w:w="15" w:type="dxa"/>
            </w:tcMar>
            <w:vAlign w:val="bottom"/>
            <w:hideMark/>
          </w:tcPr>
          <w:p w14:paraId="22D5FD19" w14:textId="77777777" w:rsidR="00A83FFC" w:rsidRPr="00BD466E" w:rsidRDefault="00A83FFC" w:rsidP="009761CA">
            <w:pPr>
              <w:pStyle w:val="NoSpacing"/>
              <w:rPr>
                <w:rFonts w:ascii="Arial" w:hAnsi="Arial" w:cs="Arial"/>
                <w:sz w:val="18"/>
                <w:szCs w:val="18"/>
                <w:lang w:val="en-GB"/>
              </w:rPr>
            </w:pPr>
            <w:r w:rsidRPr="00BD466E">
              <w:rPr>
                <w:rFonts w:ascii="Arial" w:hAnsi="Arial" w:cs="Arial"/>
                <w:sz w:val="18"/>
                <w:szCs w:val="18"/>
                <w:lang w:val="en-GB"/>
              </w:rPr>
              <w:t>DI H</w:t>
            </w:r>
            <w:r w:rsidRPr="003E4024">
              <w:rPr>
                <w:rFonts w:ascii="Arial" w:hAnsi="Arial" w:cs="Arial"/>
                <w:sz w:val="18"/>
                <w:szCs w:val="18"/>
                <w:vertAlign w:val="subscript"/>
                <w:lang w:val="en-GB"/>
              </w:rPr>
              <w:t>2</w:t>
            </w:r>
            <w:r w:rsidRPr="00BD466E">
              <w:rPr>
                <w:rFonts w:ascii="Arial" w:hAnsi="Arial" w:cs="Arial"/>
                <w:sz w:val="18"/>
                <w:szCs w:val="18"/>
                <w:lang w:val="en-GB"/>
              </w:rPr>
              <w:t>O</w:t>
            </w:r>
          </w:p>
        </w:tc>
        <w:tc>
          <w:tcPr>
            <w:tcW w:w="857" w:type="dxa"/>
            <w:tcBorders>
              <w:top w:val="nil"/>
              <w:left w:val="nil"/>
              <w:bottom w:val="nil"/>
              <w:right w:val="nil"/>
            </w:tcBorders>
            <w:shd w:val="clear" w:color="auto" w:fill="auto"/>
            <w:tcMar>
              <w:top w:w="15" w:type="dxa"/>
              <w:left w:w="15" w:type="dxa"/>
              <w:bottom w:w="0" w:type="dxa"/>
              <w:right w:w="15" w:type="dxa"/>
            </w:tcMar>
            <w:vAlign w:val="bottom"/>
            <w:hideMark/>
          </w:tcPr>
          <w:p w14:paraId="065B6C0C"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10.178</w:t>
            </w:r>
          </w:p>
        </w:tc>
        <w:tc>
          <w:tcPr>
            <w:tcW w:w="650" w:type="dxa"/>
            <w:tcBorders>
              <w:top w:val="nil"/>
              <w:left w:val="nil"/>
              <w:bottom w:val="nil"/>
              <w:right w:val="nil"/>
            </w:tcBorders>
            <w:shd w:val="clear" w:color="auto" w:fill="auto"/>
            <w:tcMar>
              <w:top w:w="15" w:type="dxa"/>
              <w:left w:w="15" w:type="dxa"/>
              <w:bottom w:w="0" w:type="dxa"/>
              <w:right w:w="15" w:type="dxa"/>
            </w:tcMar>
            <w:vAlign w:val="bottom"/>
            <w:hideMark/>
          </w:tcPr>
          <w:p w14:paraId="7C4CB22A"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0.303</w:t>
            </w:r>
          </w:p>
        </w:tc>
        <w:tc>
          <w:tcPr>
            <w:tcW w:w="650" w:type="dxa"/>
            <w:tcBorders>
              <w:top w:val="nil"/>
              <w:left w:val="nil"/>
              <w:bottom w:val="nil"/>
              <w:right w:val="nil"/>
            </w:tcBorders>
            <w:shd w:val="clear" w:color="auto" w:fill="auto"/>
            <w:tcMar>
              <w:top w:w="15" w:type="dxa"/>
              <w:left w:w="15" w:type="dxa"/>
              <w:bottom w:w="0" w:type="dxa"/>
              <w:right w:w="15" w:type="dxa"/>
            </w:tcMar>
            <w:vAlign w:val="bottom"/>
            <w:hideMark/>
          </w:tcPr>
          <w:p w14:paraId="255C0319"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0.017</w:t>
            </w:r>
          </w:p>
        </w:tc>
        <w:tc>
          <w:tcPr>
            <w:tcW w:w="797" w:type="dxa"/>
            <w:tcBorders>
              <w:top w:val="nil"/>
              <w:left w:val="nil"/>
              <w:bottom w:val="nil"/>
              <w:right w:val="nil"/>
            </w:tcBorders>
            <w:shd w:val="clear" w:color="auto" w:fill="auto"/>
            <w:tcMar>
              <w:top w:w="15" w:type="dxa"/>
              <w:left w:w="15" w:type="dxa"/>
              <w:bottom w:w="0" w:type="dxa"/>
              <w:right w:w="15" w:type="dxa"/>
            </w:tcMar>
            <w:vAlign w:val="bottom"/>
            <w:hideMark/>
          </w:tcPr>
          <w:p w14:paraId="55EFAA13"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44.610</w:t>
            </w:r>
          </w:p>
        </w:tc>
        <w:tc>
          <w:tcPr>
            <w:tcW w:w="1065" w:type="dxa"/>
            <w:tcBorders>
              <w:top w:val="nil"/>
              <w:left w:val="nil"/>
              <w:bottom w:val="nil"/>
              <w:right w:val="nil"/>
            </w:tcBorders>
            <w:shd w:val="clear" w:color="auto" w:fill="auto"/>
            <w:tcMar>
              <w:top w:w="15" w:type="dxa"/>
              <w:left w:w="15" w:type="dxa"/>
              <w:bottom w:w="0" w:type="dxa"/>
              <w:right w:w="15" w:type="dxa"/>
            </w:tcMar>
            <w:vAlign w:val="bottom"/>
            <w:hideMark/>
          </w:tcPr>
          <w:p w14:paraId="665C8C7E"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6.824</w:t>
            </w:r>
          </w:p>
        </w:tc>
        <w:tc>
          <w:tcPr>
            <w:tcW w:w="1129" w:type="dxa"/>
            <w:tcBorders>
              <w:top w:val="nil"/>
              <w:left w:val="nil"/>
              <w:bottom w:val="nil"/>
              <w:right w:val="nil"/>
            </w:tcBorders>
            <w:shd w:val="clear" w:color="auto" w:fill="auto"/>
            <w:tcMar>
              <w:top w:w="15" w:type="dxa"/>
              <w:left w:w="15" w:type="dxa"/>
              <w:bottom w:w="0" w:type="dxa"/>
              <w:right w:w="15" w:type="dxa"/>
            </w:tcMar>
            <w:vAlign w:val="bottom"/>
            <w:hideMark/>
          </w:tcPr>
          <w:p w14:paraId="0786A5B4"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4.972</w:t>
            </w:r>
          </w:p>
        </w:tc>
        <w:tc>
          <w:tcPr>
            <w:tcW w:w="650" w:type="dxa"/>
            <w:tcBorders>
              <w:top w:val="nil"/>
              <w:left w:val="nil"/>
              <w:bottom w:val="nil"/>
              <w:right w:val="nil"/>
            </w:tcBorders>
            <w:shd w:val="clear" w:color="auto" w:fill="auto"/>
            <w:tcMar>
              <w:top w:w="15" w:type="dxa"/>
              <w:left w:w="15" w:type="dxa"/>
              <w:bottom w:w="0" w:type="dxa"/>
              <w:right w:w="15" w:type="dxa"/>
            </w:tcMar>
            <w:vAlign w:val="bottom"/>
            <w:hideMark/>
          </w:tcPr>
          <w:p w14:paraId="538F9B65"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0.354</w:t>
            </w:r>
          </w:p>
        </w:tc>
        <w:tc>
          <w:tcPr>
            <w:tcW w:w="796" w:type="dxa"/>
            <w:tcBorders>
              <w:top w:val="nil"/>
              <w:left w:val="nil"/>
              <w:bottom w:val="nil"/>
              <w:right w:val="nil"/>
            </w:tcBorders>
            <w:shd w:val="clear" w:color="auto" w:fill="auto"/>
            <w:tcMar>
              <w:top w:w="15" w:type="dxa"/>
              <w:left w:w="15" w:type="dxa"/>
              <w:bottom w:w="0" w:type="dxa"/>
              <w:right w:w="15" w:type="dxa"/>
            </w:tcMar>
            <w:vAlign w:val="bottom"/>
            <w:hideMark/>
          </w:tcPr>
          <w:p w14:paraId="47494397"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42.735</w:t>
            </w:r>
          </w:p>
        </w:tc>
      </w:tr>
      <w:tr w:rsidR="00A83FFC" w:rsidRPr="00BD466E" w14:paraId="69C72A60" w14:textId="77777777" w:rsidTr="009761CA">
        <w:trPr>
          <w:trHeight w:val="51"/>
        </w:trPr>
        <w:tc>
          <w:tcPr>
            <w:tcW w:w="1378" w:type="dxa"/>
            <w:tcBorders>
              <w:top w:val="nil"/>
              <w:left w:val="nil"/>
              <w:bottom w:val="nil"/>
              <w:right w:val="nil"/>
            </w:tcBorders>
            <w:shd w:val="clear" w:color="auto" w:fill="auto"/>
            <w:tcMar>
              <w:top w:w="15" w:type="dxa"/>
              <w:left w:w="15" w:type="dxa"/>
              <w:bottom w:w="0" w:type="dxa"/>
              <w:right w:w="15" w:type="dxa"/>
            </w:tcMar>
            <w:vAlign w:val="bottom"/>
            <w:hideMark/>
          </w:tcPr>
          <w:p w14:paraId="44746A3F" w14:textId="77777777" w:rsidR="00A83FFC" w:rsidRPr="00BD466E" w:rsidRDefault="00A83FFC" w:rsidP="009761CA">
            <w:pPr>
              <w:pStyle w:val="NoSpacing"/>
              <w:rPr>
                <w:rFonts w:ascii="Arial" w:hAnsi="Arial" w:cs="Arial"/>
                <w:sz w:val="18"/>
                <w:szCs w:val="18"/>
                <w:lang w:val="en-GB"/>
              </w:rPr>
            </w:pPr>
            <w:r w:rsidRPr="00BD466E">
              <w:rPr>
                <w:rFonts w:ascii="Arial" w:hAnsi="Arial" w:cs="Arial"/>
                <w:sz w:val="18"/>
                <w:szCs w:val="18"/>
                <w:lang w:val="en-GB"/>
              </w:rPr>
              <w:t>0.1 M NaOH</w:t>
            </w:r>
          </w:p>
        </w:tc>
        <w:tc>
          <w:tcPr>
            <w:tcW w:w="857" w:type="dxa"/>
            <w:tcBorders>
              <w:top w:val="nil"/>
              <w:left w:val="nil"/>
              <w:bottom w:val="nil"/>
              <w:right w:val="nil"/>
            </w:tcBorders>
            <w:shd w:val="clear" w:color="auto" w:fill="auto"/>
            <w:tcMar>
              <w:top w:w="15" w:type="dxa"/>
              <w:left w:w="15" w:type="dxa"/>
              <w:bottom w:w="0" w:type="dxa"/>
              <w:right w:w="15" w:type="dxa"/>
            </w:tcMar>
            <w:vAlign w:val="bottom"/>
            <w:hideMark/>
          </w:tcPr>
          <w:p w14:paraId="411CBFC3"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20.640</w:t>
            </w:r>
          </w:p>
        </w:tc>
        <w:tc>
          <w:tcPr>
            <w:tcW w:w="650" w:type="dxa"/>
            <w:tcBorders>
              <w:top w:val="nil"/>
              <w:left w:val="nil"/>
              <w:bottom w:val="nil"/>
              <w:right w:val="nil"/>
            </w:tcBorders>
            <w:shd w:val="clear" w:color="auto" w:fill="auto"/>
            <w:tcMar>
              <w:top w:w="15" w:type="dxa"/>
              <w:left w:w="15" w:type="dxa"/>
              <w:bottom w:w="0" w:type="dxa"/>
              <w:right w:w="15" w:type="dxa"/>
            </w:tcMar>
            <w:vAlign w:val="bottom"/>
            <w:hideMark/>
          </w:tcPr>
          <w:p w14:paraId="06F5839F"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3.837</w:t>
            </w:r>
          </w:p>
        </w:tc>
        <w:tc>
          <w:tcPr>
            <w:tcW w:w="650" w:type="dxa"/>
            <w:tcBorders>
              <w:top w:val="nil"/>
              <w:left w:val="nil"/>
              <w:bottom w:val="nil"/>
              <w:right w:val="nil"/>
            </w:tcBorders>
            <w:shd w:val="clear" w:color="auto" w:fill="auto"/>
            <w:tcMar>
              <w:top w:w="15" w:type="dxa"/>
              <w:left w:w="15" w:type="dxa"/>
              <w:bottom w:w="0" w:type="dxa"/>
              <w:right w:w="15" w:type="dxa"/>
            </w:tcMar>
            <w:vAlign w:val="bottom"/>
            <w:hideMark/>
          </w:tcPr>
          <w:p w14:paraId="13C70DD5"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0.417</w:t>
            </w:r>
          </w:p>
        </w:tc>
        <w:tc>
          <w:tcPr>
            <w:tcW w:w="797" w:type="dxa"/>
            <w:tcBorders>
              <w:top w:val="nil"/>
              <w:left w:val="nil"/>
              <w:bottom w:val="nil"/>
              <w:right w:val="nil"/>
            </w:tcBorders>
            <w:shd w:val="clear" w:color="auto" w:fill="auto"/>
            <w:tcMar>
              <w:top w:w="15" w:type="dxa"/>
              <w:left w:w="15" w:type="dxa"/>
              <w:bottom w:w="0" w:type="dxa"/>
              <w:right w:w="15" w:type="dxa"/>
            </w:tcMar>
            <w:vAlign w:val="bottom"/>
            <w:hideMark/>
          </w:tcPr>
          <w:p w14:paraId="566A5827"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28.426</w:t>
            </w:r>
          </w:p>
        </w:tc>
        <w:tc>
          <w:tcPr>
            <w:tcW w:w="1065" w:type="dxa"/>
            <w:tcBorders>
              <w:top w:val="nil"/>
              <w:left w:val="nil"/>
              <w:bottom w:val="nil"/>
              <w:right w:val="nil"/>
            </w:tcBorders>
            <w:shd w:val="clear" w:color="auto" w:fill="auto"/>
            <w:tcMar>
              <w:top w:w="15" w:type="dxa"/>
              <w:left w:w="15" w:type="dxa"/>
              <w:bottom w:w="0" w:type="dxa"/>
              <w:right w:w="15" w:type="dxa"/>
            </w:tcMar>
            <w:vAlign w:val="bottom"/>
            <w:hideMark/>
          </w:tcPr>
          <w:p w14:paraId="48C4BDB7"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29.291</w:t>
            </w:r>
          </w:p>
        </w:tc>
        <w:tc>
          <w:tcPr>
            <w:tcW w:w="1129" w:type="dxa"/>
            <w:tcBorders>
              <w:top w:val="nil"/>
              <w:left w:val="nil"/>
              <w:bottom w:val="nil"/>
              <w:right w:val="nil"/>
            </w:tcBorders>
            <w:shd w:val="clear" w:color="auto" w:fill="auto"/>
            <w:tcMar>
              <w:top w:w="15" w:type="dxa"/>
              <w:left w:w="15" w:type="dxa"/>
              <w:bottom w:w="0" w:type="dxa"/>
              <w:right w:w="15" w:type="dxa"/>
            </w:tcMar>
            <w:vAlign w:val="bottom"/>
            <w:hideMark/>
          </w:tcPr>
          <w:p w14:paraId="3EAEDE63"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19.767</w:t>
            </w:r>
          </w:p>
        </w:tc>
        <w:tc>
          <w:tcPr>
            <w:tcW w:w="650" w:type="dxa"/>
            <w:tcBorders>
              <w:top w:val="nil"/>
              <w:left w:val="nil"/>
              <w:bottom w:val="nil"/>
              <w:right w:val="nil"/>
            </w:tcBorders>
            <w:shd w:val="clear" w:color="auto" w:fill="auto"/>
            <w:tcMar>
              <w:top w:w="15" w:type="dxa"/>
              <w:left w:w="15" w:type="dxa"/>
              <w:bottom w:w="0" w:type="dxa"/>
              <w:right w:w="15" w:type="dxa"/>
            </w:tcMar>
            <w:vAlign w:val="bottom"/>
            <w:hideMark/>
          </w:tcPr>
          <w:p w14:paraId="55964BB0"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1.266</w:t>
            </w:r>
          </w:p>
        </w:tc>
        <w:tc>
          <w:tcPr>
            <w:tcW w:w="796" w:type="dxa"/>
            <w:tcBorders>
              <w:top w:val="nil"/>
              <w:left w:val="nil"/>
              <w:bottom w:val="nil"/>
              <w:right w:val="nil"/>
            </w:tcBorders>
            <w:shd w:val="clear" w:color="auto" w:fill="auto"/>
            <w:tcMar>
              <w:top w:w="15" w:type="dxa"/>
              <w:left w:w="15" w:type="dxa"/>
              <w:bottom w:w="0" w:type="dxa"/>
              <w:right w:w="15" w:type="dxa"/>
            </w:tcMar>
            <w:vAlign w:val="bottom"/>
            <w:hideMark/>
          </w:tcPr>
          <w:p w14:paraId="01E282F9"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64.306</w:t>
            </w:r>
          </w:p>
        </w:tc>
      </w:tr>
      <w:tr w:rsidR="00A83FFC" w:rsidRPr="00BD466E" w14:paraId="7CAB3E69" w14:textId="77777777" w:rsidTr="009761CA">
        <w:trPr>
          <w:trHeight w:val="161"/>
        </w:trPr>
        <w:tc>
          <w:tcPr>
            <w:tcW w:w="1378" w:type="dxa"/>
            <w:tcBorders>
              <w:top w:val="nil"/>
              <w:left w:val="nil"/>
              <w:bottom w:val="single" w:sz="12" w:space="0" w:color="008000"/>
              <w:right w:val="nil"/>
            </w:tcBorders>
            <w:shd w:val="clear" w:color="auto" w:fill="auto"/>
            <w:tcMar>
              <w:top w:w="15" w:type="dxa"/>
              <w:left w:w="15" w:type="dxa"/>
              <w:bottom w:w="0" w:type="dxa"/>
              <w:right w:w="15" w:type="dxa"/>
            </w:tcMar>
            <w:vAlign w:val="bottom"/>
            <w:hideMark/>
          </w:tcPr>
          <w:p w14:paraId="18B18D41" w14:textId="77777777" w:rsidR="00A83FFC" w:rsidRPr="00BD466E" w:rsidRDefault="00A83FFC" w:rsidP="009761CA">
            <w:pPr>
              <w:pStyle w:val="NoSpacing"/>
              <w:rPr>
                <w:rFonts w:ascii="Arial" w:hAnsi="Arial" w:cs="Arial"/>
                <w:sz w:val="18"/>
                <w:szCs w:val="18"/>
                <w:lang w:val="en-GB"/>
              </w:rPr>
            </w:pPr>
            <w:r w:rsidRPr="00BD466E">
              <w:rPr>
                <w:rFonts w:ascii="Arial" w:hAnsi="Arial" w:cs="Arial"/>
                <w:sz w:val="18"/>
                <w:szCs w:val="18"/>
                <w:lang w:val="en-GB"/>
              </w:rPr>
              <w:t>0.5 M NaOH</w:t>
            </w:r>
          </w:p>
        </w:tc>
        <w:tc>
          <w:tcPr>
            <w:tcW w:w="857" w:type="dxa"/>
            <w:tcBorders>
              <w:top w:val="nil"/>
              <w:left w:val="nil"/>
              <w:bottom w:val="single" w:sz="12" w:space="0" w:color="008000"/>
              <w:right w:val="nil"/>
            </w:tcBorders>
            <w:shd w:val="clear" w:color="auto" w:fill="auto"/>
            <w:tcMar>
              <w:top w:w="15" w:type="dxa"/>
              <w:left w:w="15" w:type="dxa"/>
              <w:bottom w:w="0" w:type="dxa"/>
              <w:right w:w="15" w:type="dxa"/>
            </w:tcMar>
            <w:vAlign w:val="bottom"/>
            <w:hideMark/>
          </w:tcPr>
          <w:p w14:paraId="6E84C210"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38.599</w:t>
            </w:r>
          </w:p>
        </w:tc>
        <w:tc>
          <w:tcPr>
            <w:tcW w:w="650" w:type="dxa"/>
            <w:tcBorders>
              <w:top w:val="nil"/>
              <w:left w:val="nil"/>
              <w:bottom w:val="single" w:sz="12" w:space="0" w:color="008000"/>
              <w:right w:val="nil"/>
            </w:tcBorders>
            <w:shd w:val="clear" w:color="auto" w:fill="auto"/>
            <w:tcMar>
              <w:top w:w="15" w:type="dxa"/>
              <w:left w:w="15" w:type="dxa"/>
              <w:bottom w:w="0" w:type="dxa"/>
              <w:right w:w="15" w:type="dxa"/>
            </w:tcMar>
            <w:vAlign w:val="bottom"/>
            <w:hideMark/>
          </w:tcPr>
          <w:p w14:paraId="7615DCA4"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0.701</w:t>
            </w:r>
          </w:p>
        </w:tc>
        <w:tc>
          <w:tcPr>
            <w:tcW w:w="650" w:type="dxa"/>
            <w:tcBorders>
              <w:top w:val="nil"/>
              <w:left w:val="nil"/>
              <w:bottom w:val="single" w:sz="12" w:space="0" w:color="008000"/>
              <w:right w:val="nil"/>
            </w:tcBorders>
            <w:shd w:val="clear" w:color="auto" w:fill="auto"/>
            <w:tcMar>
              <w:top w:w="15" w:type="dxa"/>
              <w:left w:w="15" w:type="dxa"/>
              <w:bottom w:w="0" w:type="dxa"/>
              <w:right w:w="15" w:type="dxa"/>
            </w:tcMar>
            <w:vAlign w:val="bottom"/>
            <w:hideMark/>
          </w:tcPr>
          <w:p w14:paraId="3FBE7118"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0.138</w:t>
            </w:r>
          </w:p>
        </w:tc>
        <w:tc>
          <w:tcPr>
            <w:tcW w:w="797" w:type="dxa"/>
            <w:tcBorders>
              <w:top w:val="nil"/>
              <w:left w:val="nil"/>
              <w:bottom w:val="single" w:sz="12" w:space="0" w:color="008000"/>
              <w:right w:val="nil"/>
            </w:tcBorders>
            <w:shd w:val="clear" w:color="auto" w:fill="auto"/>
            <w:tcMar>
              <w:top w:w="15" w:type="dxa"/>
              <w:left w:w="15" w:type="dxa"/>
              <w:bottom w:w="0" w:type="dxa"/>
              <w:right w:w="15" w:type="dxa"/>
            </w:tcMar>
            <w:vAlign w:val="bottom"/>
            <w:hideMark/>
          </w:tcPr>
          <w:p w14:paraId="080586C1"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11.423</w:t>
            </w:r>
          </w:p>
        </w:tc>
        <w:tc>
          <w:tcPr>
            <w:tcW w:w="1065" w:type="dxa"/>
            <w:tcBorders>
              <w:top w:val="nil"/>
              <w:left w:val="nil"/>
              <w:bottom w:val="single" w:sz="12" w:space="0" w:color="008000"/>
              <w:right w:val="nil"/>
            </w:tcBorders>
            <w:shd w:val="clear" w:color="auto" w:fill="auto"/>
            <w:tcMar>
              <w:top w:w="15" w:type="dxa"/>
              <w:left w:w="15" w:type="dxa"/>
              <w:bottom w:w="0" w:type="dxa"/>
              <w:right w:w="15" w:type="dxa"/>
            </w:tcMar>
            <w:vAlign w:val="bottom"/>
            <w:hideMark/>
          </w:tcPr>
          <w:p w14:paraId="570F5634"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45.665</w:t>
            </w:r>
          </w:p>
        </w:tc>
        <w:tc>
          <w:tcPr>
            <w:tcW w:w="1129" w:type="dxa"/>
            <w:tcBorders>
              <w:top w:val="nil"/>
              <w:left w:val="nil"/>
              <w:bottom w:val="single" w:sz="12" w:space="0" w:color="008000"/>
              <w:right w:val="nil"/>
            </w:tcBorders>
            <w:shd w:val="clear" w:color="auto" w:fill="auto"/>
            <w:tcMar>
              <w:top w:w="15" w:type="dxa"/>
              <w:left w:w="15" w:type="dxa"/>
              <w:bottom w:w="0" w:type="dxa"/>
              <w:right w:w="15" w:type="dxa"/>
            </w:tcMar>
            <w:vAlign w:val="bottom"/>
            <w:hideMark/>
          </w:tcPr>
          <w:p w14:paraId="026AFCA9"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8.838</w:t>
            </w:r>
          </w:p>
        </w:tc>
        <w:tc>
          <w:tcPr>
            <w:tcW w:w="650" w:type="dxa"/>
            <w:tcBorders>
              <w:top w:val="nil"/>
              <w:left w:val="nil"/>
              <w:bottom w:val="single" w:sz="12" w:space="0" w:color="008000"/>
              <w:right w:val="nil"/>
            </w:tcBorders>
            <w:shd w:val="clear" w:color="auto" w:fill="auto"/>
            <w:tcMar>
              <w:top w:w="15" w:type="dxa"/>
              <w:left w:w="15" w:type="dxa"/>
              <w:bottom w:w="0" w:type="dxa"/>
              <w:right w:w="15" w:type="dxa"/>
            </w:tcMar>
            <w:vAlign w:val="bottom"/>
            <w:hideMark/>
          </w:tcPr>
          <w:p w14:paraId="5D6B84DB"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0.720</w:t>
            </w:r>
          </w:p>
        </w:tc>
        <w:tc>
          <w:tcPr>
            <w:tcW w:w="796" w:type="dxa"/>
            <w:tcBorders>
              <w:top w:val="nil"/>
              <w:left w:val="nil"/>
              <w:bottom w:val="single" w:sz="12" w:space="0" w:color="008000"/>
              <w:right w:val="nil"/>
            </w:tcBorders>
            <w:shd w:val="clear" w:color="auto" w:fill="auto"/>
            <w:tcMar>
              <w:top w:w="15" w:type="dxa"/>
              <w:left w:w="15" w:type="dxa"/>
              <w:bottom w:w="0" w:type="dxa"/>
              <w:right w:w="15" w:type="dxa"/>
            </w:tcMar>
            <w:vAlign w:val="bottom"/>
            <w:hideMark/>
          </w:tcPr>
          <w:p w14:paraId="00D4BEE0" w14:textId="77777777" w:rsidR="00A83FFC" w:rsidRPr="00BD466E" w:rsidRDefault="00A83FFC" w:rsidP="009761CA">
            <w:pPr>
              <w:pStyle w:val="NoSpacing"/>
              <w:jc w:val="center"/>
              <w:rPr>
                <w:rFonts w:ascii="Arial" w:hAnsi="Arial" w:cs="Arial"/>
                <w:sz w:val="18"/>
                <w:szCs w:val="18"/>
                <w:lang w:val="en-GB"/>
              </w:rPr>
            </w:pPr>
            <w:r w:rsidRPr="00BD466E">
              <w:rPr>
                <w:rFonts w:ascii="Arial" w:hAnsi="Arial" w:cs="Arial"/>
                <w:sz w:val="18"/>
                <w:szCs w:val="18"/>
                <w:lang w:val="en-GB"/>
              </w:rPr>
              <w:t>69.139</w:t>
            </w:r>
          </w:p>
        </w:tc>
      </w:tr>
    </w:tbl>
    <w:p w14:paraId="7218ED17" w14:textId="3940AB08" w:rsidR="00A83FFC" w:rsidRPr="00AD260A" w:rsidRDefault="00C42C59" w:rsidP="00E9183D">
      <w:pPr>
        <w:pStyle w:val="CETBodytext"/>
        <w:rPr>
          <w:sz w:val="14"/>
          <w:szCs w:val="14"/>
          <w:lang w:val="en-GB"/>
        </w:rPr>
      </w:pPr>
      <w:r w:rsidRPr="00AD260A">
        <w:rPr>
          <w:sz w:val="14"/>
          <w:szCs w:val="14"/>
          <w:lang w:val="en-GB"/>
        </w:rPr>
        <w:t xml:space="preserve">*Overall </w:t>
      </w:r>
      <w:r>
        <w:rPr>
          <w:sz w:val="14"/>
          <w:szCs w:val="14"/>
          <w:lang w:val="en-GB"/>
        </w:rPr>
        <w:t>u</w:t>
      </w:r>
      <w:r w:rsidRPr="00AD260A">
        <w:rPr>
          <w:sz w:val="14"/>
          <w:szCs w:val="14"/>
          <w:lang w:val="en-GB"/>
        </w:rPr>
        <w:t xml:space="preserve">ncertainty based on the obtained parameters of each </w:t>
      </w:r>
      <w:r w:rsidRPr="00C42C59">
        <w:rPr>
          <w:sz w:val="14"/>
          <w:szCs w:val="14"/>
          <w:lang w:val="en-GB"/>
        </w:rPr>
        <w:t>linearized</w:t>
      </w:r>
      <w:r w:rsidRPr="00AD260A">
        <w:rPr>
          <w:sz w:val="14"/>
          <w:szCs w:val="14"/>
          <w:lang w:val="en-GB"/>
        </w:rPr>
        <w:t xml:space="preserve"> model </w:t>
      </w:r>
    </w:p>
    <w:p w14:paraId="266CD53C" w14:textId="77777777" w:rsidR="00C42C59" w:rsidRDefault="00C42C59" w:rsidP="00E9183D">
      <w:pPr>
        <w:pStyle w:val="CETBodytext"/>
        <w:rPr>
          <w:lang w:val="en-GB"/>
        </w:rPr>
      </w:pPr>
    </w:p>
    <w:p w14:paraId="73F266F7" w14:textId="7E774FB9" w:rsidR="00E9183D" w:rsidRPr="00A83FFC" w:rsidRDefault="00A83FFC" w:rsidP="00E9183D">
      <w:pPr>
        <w:pStyle w:val="CETBodytext"/>
        <w:rPr>
          <w:lang w:val="en-GB"/>
        </w:rPr>
      </w:pPr>
      <w:r>
        <w:t>The saturation concentration (</w:t>
      </w:r>
      <w:proofErr w:type="spellStart"/>
      <w:r w:rsidRPr="003F7AAE">
        <w:rPr>
          <w:i/>
          <w:iCs/>
        </w:rPr>
        <w:t>C</w:t>
      </w:r>
      <w:r w:rsidRPr="003F7AAE">
        <w:rPr>
          <w:i/>
          <w:iCs/>
          <w:vertAlign w:val="subscript"/>
        </w:rPr>
        <w:t>max</w:t>
      </w:r>
      <w:proofErr w:type="spellEnd"/>
      <w:r>
        <w:t xml:space="preserve">) obtained of each solvent amounted to 10.2, 20.6 and 38.6 </w:t>
      </w:r>
      <w:proofErr w:type="spellStart"/>
      <w:r>
        <w:t>g</w:t>
      </w:r>
      <w:r w:rsidRPr="003F7AAE">
        <w:rPr>
          <w:vertAlign w:val="subscript"/>
        </w:rPr>
        <w:t>DM</w:t>
      </w:r>
      <w:proofErr w:type="spellEnd"/>
      <w:r>
        <w:t>/L for the DI H</w:t>
      </w:r>
      <w:r w:rsidRPr="003E4024">
        <w:rPr>
          <w:vertAlign w:val="subscript"/>
        </w:rPr>
        <w:t>2</w:t>
      </w:r>
      <w:r>
        <w:t xml:space="preserve">O, the 0.1 M NaOH and the 0.5 M NaOH systems, while the </w:t>
      </w:r>
      <w:r w:rsidRPr="00C51664">
        <w:rPr>
          <w:lang w:val="en-GB"/>
        </w:rPr>
        <w:t xml:space="preserve">half saturation </w:t>
      </w:r>
      <w:r>
        <w:rPr>
          <w:lang w:val="en-GB"/>
        </w:rPr>
        <w:t xml:space="preserve">time constants </w:t>
      </w:r>
      <w:r w:rsidR="007977E1">
        <w:rPr>
          <w:lang w:val="en-GB"/>
        </w:rPr>
        <w:t>(</w:t>
      </w:r>
      <w:r w:rsidR="007977E1" w:rsidRPr="007977E1">
        <w:rPr>
          <w:i/>
          <w:iCs/>
          <w:lang w:val="en-GB"/>
        </w:rPr>
        <w:t>k</w:t>
      </w:r>
      <w:r w:rsidR="007977E1">
        <w:rPr>
          <w:lang w:val="en-GB"/>
        </w:rPr>
        <w:t xml:space="preserve">) </w:t>
      </w:r>
      <w:r>
        <w:rPr>
          <w:lang w:val="en-GB"/>
        </w:rPr>
        <w:t xml:space="preserve">resulted in 1.0, 28.2 and 8.3 min, respectively. </w:t>
      </w:r>
      <w:r w:rsidR="00E9183D" w:rsidRPr="00C51664">
        <w:rPr>
          <w:lang w:val="en-GB"/>
        </w:rPr>
        <w:t xml:space="preserve">Given these results, and considering the intervals tested, </w:t>
      </w:r>
      <w:r w:rsidR="00E9183D">
        <w:rPr>
          <w:lang w:val="en-GB"/>
        </w:rPr>
        <w:t>experimental data is required for</w:t>
      </w:r>
      <w:r w:rsidR="00E9183D" w:rsidRPr="00C51664">
        <w:rPr>
          <w:lang w:val="en-GB"/>
        </w:rPr>
        <w:t xml:space="preserve"> extraction times of less than 1 h to further validate the </w:t>
      </w:r>
      <w:r w:rsidR="003F7AAE">
        <w:rPr>
          <w:lang w:val="en-GB"/>
        </w:rPr>
        <w:t>proposed (pseudo)</w:t>
      </w:r>
      <w:r w:rsidR="003F7AAE" w:rsidRPr="00C51664">
        <w:rPr>
          <w:lang w:val="en-GB"/>
        </w:rPr>
        <w:t>kinetic</w:t>
      </w:r>
      <w:r w:rsidR="00E9183D" w:rsidRPr="00C51664">
        <w:rPr>
          <w:lang w:val="en-GB"/>
        </w:rPr>
        <w:t xml:space="preserve"> </w:t>
      </w:r>
      <w:r w:rsidR="00E9183D">
        <w:rPr>
          <w:lang w:val="en-GB"/>
        </w:rPr>
        <w:t>models</w:t>
      </w:r>
      <w:r w:rsidR="00E9183D" w:rsidRPr="00C51664">
        <w:rPr>
          <w:lang w:val="en-GB"/>
        </w:rPr>
        <w:t>.</w:t>
      </w:r>
      <w:r w:rsidR="003F7AAE">
        <w:rPr>
          <w:lang w:val="en-GB"/>
        </w:rPr>
        <w:t xml:space="preserve"> </w:t>
      </w:r>
      <w:r w:rsidR="003F7AAE" w:rsidRPr="003F7AAE">
        <w:rPr>
          <w:lang w:val="en-GB"/>
        </w:rPr>
        <w:t>The fit</w:t>
      </w:r>
      <w:r w:rsidR="003F7AAE">
        <w:rPr>
          <w:lang w:val="en-GB"/>
        </w:rPr>
        <w:t>tings</w:t>
      </w:r>
      <w:r w:rsidR="003F7AAE" w:rsidRPr="003F7AAE">
        <w:rPr>
          <w:lang w:val="en-GB"/>
        </w:rPr>
        <w:t xml:space="preserve">, in terms of protein concentrations, followed very similar trends to the DM data, however, </w:t>
      </w:r>
      <w:r w:rsidR="003F7AAE">
        <w:rPr>
          <w:lang w:val="en-GB"/>
        </w:rPr>
        <w:t xml:space="preserve">they are characterized by </w:t>
      </w:r>
      <w:r w:rsidR="003F7AAE" w:rsidRPr="003F7AAE">
        <w:rPr>
          <w:lang w:val="en-GB"/>
        </w:rPr>
        <w:t>a greater range of uncertainty</w:t>
      </w:r>
      <w:r w:rsidR="003F7AAE">
        <w:rPr>
          <w:lang w:val="en-GB"/>
        </w:rPr>
        <w:t xml:space="preserve"> (Table </w:t>
      </w:r>
      <w:r w:rsidR="00B4121B">
        <w:rPr>
          <w:lang w:val="en-GB"/>
        </w:rPr>
        <w:t>2</w:t>
      </w:r>
      <w:r w:rsidR="003F7AAE">
        <w:rPr>
          <w:lang w:val="en-GB"/>
        </w:rPr>
        <w:t>)</w:t>
      </w:r>
      <w:r w:rsidR="003F7AAE" w:rsidRPr="003F7AAE">
        <w:rPr>
          <w:lang w:val="en-GB"/>
        </w:rPr>
        <w:t>, probably</w:t>
      </w:r>
      <w:r w:rsidR="003F7AAE">
        <w:rPr>
          <w:lang w:val="en-GB"/>
        </w:rPr>
        <w:t xml:space="preserve"> due to </w:t>
      </w:r>
      <w:r w:rsidR="003F7AAE" w:rsidRPr="003F7AAE">
        <w:rPr>
          <w:lang w:val="en-GB"/>
        </w:rPr>
        <w:t xml:space="preserve"> the </w:t>
      </w:r>
      <w:r w:rsidR="00C16714">
        <w:rPr>
          <w:lang w:val="en-GB"/>
        </w:rPr>
        <w:t>data</w:t>
      </w:r>
      <w:r w:rsidR="003F7AAE" w:rsidRPr="003F7AAE">
        <w:rPr>
          <w:lang w:val="en-GB"/>
        </w:rPr>
        <w:t xml:space="preserve"> </w:t>
      </w:r>
      <w:r w:rsidR="00025714">
        <w:rPr>
          <w:lang w:val="en-GB"/>
        </w:rPr>
        <w:t>reported</w:t>
      </w:r>
      <w:r w:rsidR="003F7AAE" w:rsidRPr="003F7AAE">
        <w:rPr>
          <w:lang w:val="en-GB"/>
        </w:rPr>
        <w:t xml:space="preserve"> in section 3.2.</w:t>
      </w:r>
    </w:p>
    <w:p w14:paraId="1A559404" w14:textId="36F40287" w:rsidR="00896328" w:rsidRDefault="00B62708" w:rsidP="0042402C">
      <w:pPr>
        <w:pStyle w:val="CETheadingx"/>
      </w:pPr>
      <w:r>
        <w:t>Energy Consumption</w:t>
      </w:r>
    </w:p>
    <w:p w14:paraId="1A053360" w14:textId="423A72B4" w:rsidR="006A33D4" w:rsidRDefault="00915EB3" w:rsidP="003B120D">
      <w:pPr>
        <w:pStyle w:val="CETBodytext"/>
      </w:pPr>
      <w:r w:rsidRPr="00915EB3">
        <w:t>I</w:t>
      </w:r>
      <w:r>
        <w:t>n</w:t>
      </w:r>
      <w:r w:rsidRPr="00915EB3">
        <w:t xml:space="preserve"> </w:t>
      </w:r>
      <w:r w:rsidRPr="00D50A43">
        <w:t>T</w:t>
      </w:r>
      <w:r w:rsidR="00D50A43" w:rsidRPr="00D50A43">
        <w:t>able</w:t>
      </w:r>
      <w:r w:rsidRPr="00D50A43">
        <w:t xml:space="preserve"> </w:t>
      </w:r>
      <w:r w:rsidR="00B4121B">
        <w:t>3</w:t>
      </w:r>
      <w:r w:rsidRPr="00D50A43">
        <w:t xml:space="preserve"> </w:t>
      </w:r>
      <w:r w:rsidRPr="00915EB3">
        <w:t xml:space="preserve">the </w:t>
      </w:r>
      <w:r w:rsidR="00D50A43" w:rsidRPr="00915EB3">
        <w:t>obtaine</w:t>
      </w:r>
      <w:r w:rsidR="00D50A43">
        <w:t xml:space="preserve">d </w:t>
      </w:r>
      <w:r w:rsidRPr="00915EB3">
        <w:t>results</w:t>
      </w:r>
      <w:r w:rsidR="00D50A43">
        <w:t xml:space="preserve"> </w:t>
      </w:r>
      <w:r w:rsidRPr="00915EB3">
        <w:t xml:space="preserve">from the energy </w:t>
      </w:r>
      <w:r w:rsidR="00D50A43">
        <w:t xml:space="preserve">expenses </w:t>
      </w:r>
      <w:r w:rsidRPr="00915EB3">
        <w:t>in each case are presented</w:t>
      </w:r>
      <w:r w:rsidR="004E4309">
        <w:t>. T</w:t>
      </w:r>
      <w:r>
        <w:t>he</w:t>
      </w:r>
      <w:r w:rsidRPr="00915EB3">
        <w:t xml:space="preserve"> DI H2O</w:t>
      </w:r>
      <w:r>
        <w:t xml:space="preserve"> systems resulted in the highest </w:t>
      </w:r>
      <w:r w:rsidRPr="00915EB3">
        <w:t xml:space="preserve">energy </w:t>
      </w:r>
      <w:proofErr w:type="gramStart"/>
      <w:r w:rsidRPr="00915EB3">
        <w:t>consumption</w:t>
      </w:r>
      <w:r>
        <w:t xml:space="preserve">, </w:t>
      </w:r>
      <w:r w:rsidRPr="00915EB3">
        <w:t>since</w:t>
      </w:r>
      <w:proofErr w:type="gramEnd"/>
      <w:r w:rsidRPr="00915EB3">
        <w:t xml:space="preserve"> the protein yield is lower than the alkaline systems and the </w:t>
      </w:r>
      <w:r w:rsidRPr="00915EB3">
        <w:lastRenderedPageBreak/>
        <w:t xml:space="preserve">processing chain is similar (with the exception of the expenses </w:t>
      </w:r>
      <w:r>
        <w:t>for NaOH</w:t>
      </w:r>
      <w:r w:rsidRPr="00915EB3">
        <w:t xml:space="preserve">). For the alkaline systems, </w:t>
      </w:r>
      <w:r>
        <w:t>it</w:t>
      </w:r>
      <w:r w:rsidRPr="00915EB3">
        <w:t xml:space="preserve"> was obtained that the system at 0.1 M presents a higher energy footprint</w:t>
      </w:r>
      <w:r>
        <w:t xml:space="preserve"> than the 0.5 M one</w:t>
      </w:r>
      <w:r w:rsidRPr="00915EB3">
        <w:t xml:space="preserve">, </w:t>
      </w:r>
      <w:r>
        <w:t xml:space="preserve">a figure which is driven by the </w:t>
      </w:r>
      <w:r w:rsidRPr="00915EB3">
        <w:t xml:space="preserve">lower </w:t>
      </w:r>
      <w:r w:rsidR="00D50A43">
        <w:t>achieved yield</w:t>
      </w:r>
      <w:r w:rsidRPr="00915EB3">
        <w:t>.</w:t>
      </w:r>
      <w:r>
        <w:t xml:space="preserve"> </w:t>
      </w:r>
      <w:r w:rsidRPr="00915EB3">
        <w:t xml:space="preserve">For the system at 0.5 M NaOH, the lowest energy footprint </w:t>
      </w:r>
      <w:r>
        <w:t>was attained. These results are preliminary, s</w:t>
      </w:r>
      <w:r w:rsidRPr="00915EB3">
        <w:t xml:space="preserve">ince </w:t>
      </w:r>
      <w:r>
        <w:t>the boundary for the analysis is the</w:t>
      </w:r>
      <w:r w:rsidRPr="00915EB3">
        <w:t xml:space="preserve"> laboratory</w:t>
      </w:r>
      <w:r>
        <w:t>; for more thorough analyses</w:t>
      </w:r>
      <w:r w:rsidRPr="00915EB3">
        <w:t xml:space="preserve"> other important aspects</w:t>
      </w:r>
      <w:r>
        <w:t xml:space="preserve"> must be considered</w:t>
      </w:r>
      <w:r w:rsidRPr="00915EB3">
        <w:t xml:space="preserve"> (</w:t>
      </w:r>
      <w:r>
        <w:t xml:space="preserve">e.g., </w:t>
      </w:r>
      <w:r w:rsidRPr="00915EB3">
        <w:t xml:space="preserve">transportation of </w:t>
      </w:r>
      <w:r>
        <w:t>the feedstock</w:t>
      </w:r>
      <w:r w:rsidRPr="00915EB3">
        <w:t xml:space="preserve">, </w:t>
      </w:r>
      <w:r>
        <w:t>further downstream processing steps</w:t>
      </w:r>
      <w:r w:rsidRPr="00915EB3">
        <w:t xml:space="preserve">, neutralization of the alkaline extracts, and </w:t>
      </w:r>
      <w:r>
        <w:t xml:space="preserve">the management of </w:t>
      </w:r>
      <w:r w:rsidRPr="00915EB3">
        <w:t xml:space="preserve">waste). In any case, the </w:t>
      </w:r>
      <w:r>
        <w:t xml:space="preserve">obtained </w:t>
      </w:r>
      <w:r w:rsidRPr="00915EB3">
        <w:t xml:space="preserve">results 89.8 for the </w:t>
      </w:r>
      <w:r>
        <w:t xml:space="preserve">DI H2O </w:t>
      </w:r>
      <w:r w:rsidRPr="00915EB3">
        <w:t xml:space="preserve">system, </w:t>
      </w:r>
      <w:r w:rsidR="00D50A43">
        <w:t xml:space="preserve">47.1 </w:t>
      </w:r>
      <w:r w:rsidRPr="00915EB3">
        <w:t xml:space="preserve">for the </w:t>
      </w:r>
      <w:r>
        <w:t>0.1 M NaOH and</w:t>
      </w:r>
      <w:r w:rsidRPr="00915EB3">
        <w:t xml:space="preserve"> 34.5 </w:t>
      </w:r>
      <w:r w:rsidRPr="003B120D">
        <w:rPr>
          <w:rFonts w:cs="Arial"/>
          <w:color w:val="000000"/>
          <w:kern w:val="24"/>
          <w:szCs w:val="18"/>
          <w:lang w:eastAsia="en-GB"/>
        </w:rPr>
        <w:t>MJ/</w:t>
      </w:r>
      <w:r>
        <w:rPr>
          <w:rFonts w:cs="Arial"/>
          <w:color w:val="000000"/>
          <w:kern w:val="24"/>
          <w:szCs w:val="18"/>
          <w:lang w:eastAsia="en-GB"/>
        </w:rPr>
        <w:t>K</w:t>
      </w:r>
      <w:r w:rsidRPr="003B120D">
        <w:rPr>
          <w:rFonts w:cs="Arial"/>
          <w:color w:val="000000"/>
          <w:kern w:val="24"/>
          <w:szCs w:val="18"/>
          <w:lang w:eastAsia="en-GB"/>
        </w:rPr>
        <w:t>g</w:t>
      </w:r>
      <w:r w:rsidRPr="003B120D">
        <w:rPr>
          <w:rFonts w:cs="Arial"/>
          <w:color w:val="000000"/>
          <w:kern w:val="24"/>
          <w:position w:val="-5"/>
          <w:szCs w:val="18"/>
          <w:vertAlign w:val="subscript"/>
          <w:lang w:eastAsia="en-GB"/>
        </w:rPr>
        <w:t xml:space="preserve">DM  </w:t>
      </w:r>
      <w:proofErr w:type="spellStart"/>
      <w:r w:rsidRPr="003B120D">
        <w:rPr>
          <w:rFonts w:cs="Arial"/>
          <w:color w:val="000000"/>
          <w:kern w:val="24"/>
          <w:position w:val="-5"/>
          <w:szCs w:val="18"/>
          <w:vertAlign w:val="subscript"/>
          <w:lang w:eastAsia="en-GB"/>
        </w:rPr>
        <w:t>ext</w:t>
      </w:r>
      <w:proofErr w:type="spellEnd"/>
      <w:r w:rsidRPr="00915EB3">
        <w:t xml:space="preserve"> </w:t>
      </w:r>
      <w:r>
        <w:t xml:space="preserve">for the </w:t>
      </w:r>
      <w:r w:rsidRPr="00915EB3">
        <w:t xml:space="preserve">0.5 M </w:t>
      </w:r>
      <w:r>
        <w:t xml:space="preserve">NaOH systems </w:t>
      </w:r>
      <w:r w:rsidRPr="00915EB3">
        <w:t>are in line with reference values ​​for protein extracts, e.g., 38.4 MJ/kg for soybean protein isolate, 39</w:t>
      </w:r>
      <w:r>
        <w:t>.0</w:t>
      </w:r>
      <w:r w:rsidRPr="00915EB3">
        <w:t xml:space="preserve"> MJ/kg for lupins protein isolate</w:t>
      </w:r>
      <w:r>
        <w:t xml:space="preserve"> (although these figures correspond to large</w:t>
      </w:r>
      <w:r w:rsidR="00A83FFC">
        <w:t>r</w:t>
      </w:r>
      <w:r>
        <w:t xml:space="preserve"> scales, where </w:t>
      </w:r>
      <w:r w:rsidR="00D50A43">
        <w:t>certain e</w:t>
      </w:r>
      <w:r>
        <w:t xml:space="preserve">nergy </w:t>
      </w:r>
      <w:r w:rsidR="00D50A43">
        <w:t>expenses are</w:t>
      </w:r>
      <w:r>
        <w:t xml:space="preserve"> probably optimized)</w:t>
      </w:r>
      <w:r w:rsidR="00D50A43">
        <w:t xml:space="preserve"> </w:t>
      </w:r>
      <w:r w:rsidR="00BA624A">
        <w:fldChar w:fldCharType="begin" w:fldLock="1"/>
      </w:r>
      <w:r w:rsidR="00BA624A">
        <w:instrText>ADDIN CSL_CITATION {"citationItems":[{"id":"ITEM-1","itemData":{"author":[{"dropping-particle":"","family":"Agri-footprint-5","given":"","non-dropping-particle":"","parse-names":false,"suffix":""}],"id":"ITEM-1","issued":{"date-parts":[["2021"]]},"publisher":"SimaPro 9.1.1.1","title":"Understanding the impact of food - database","type":"article"},"uris":["http://www.mendeley.com/documents/?uuid=29b3d446-3fe1-4ed5-8e73-80444a28b56f"]}],"mendeley":{"formattedCitation":"(Agri-footprint-5, 2021)","plainTextFormattedCitation":"(Agri-footprint-5, 2021)"},"properties":{"noteIndex":0},"schema":"https://github.com/citation-style-language/schema/raw/master/csl-citation.json"}</w:instrText>
      </w:r>
      <w:r w:rsidR="00BA624A">
        <w:fldChar w:fldCharType="separate"/>
      </w:r>
      <w:r w:rsidR="00BA624A" w:rsidRPr="00BA624A">
        <w:rPr>
          <w:noProof/>
        </w:rPr>
        <w:t>(Agri-footprint-5, 2021)</w:t>
      </w:r>
      <w:r w:rsidR="00BA624A">
        <w:fldChar w:fldCharType="end"/>
      </w:r>
      <w:r>
        <w:t xml:space="preserve">. </w:t>
      </w:r>
    </w:p>
    <w:p w14:paraId="6BACC4D1" w14:textId="43381F85" w:rsidR="006A33D4" w:rsidRPr="003B120D" w:rsidRDefault="006A33D4" w:rsidP="006A33D4">
      <w:pPr>
        <w:pStyle w:val="CETCaption"/>
      </w:pPr>
      <w:r>
        <w:t xml:space="preserve">Table </w:t>
      </w:r>
      <w:r w:rsidR="00B4121B">
        <w:t>3</w:t>
      </w:r>
      <w:r>
        <w:t>. Energy consumption at the laboratory scale for the tested extraction processes.</w:t>
      </w:r>
    </w:p>
    <w:tbl>
      <w:tblPr>
        <w:tblW w:w="5000" w:type="pct"/>
        <w:tblCellMar>
          <w:left w:w="0" w:type="dxa"/>
          <w:right w:w="0" w:type="dxa"/>
        </w:tblCellMar>
        <w:tblLook w:val="00A0" w:firstRow="1" w:lastRow="0" w:firstColumn="1" w:lastColumn="0" w:noHBand="0" w:noVBand="0"/>
      </w:tblPr>
      <w:tblGrid>
        <w:gridCol w:w="1135"/>
        <w:gridCol w:w="1460"/>
        <w:gridCol w:w="1088"/>
        <w:gridCol w:w="1018"/>
        <w:gridCol w:w="1457"/>
        <w:gridCol w:w="1508"/>
        <w:gridCol w:w="1121"/>
      </w:tblGrid>
      <w:tr w:rsidR="006A33D4" w:rsidRPr="003B120D" w14:paraId="3BD76A96" w14:textId="77777777" w:rsidTr="00F35276">
        <w:trPr>
          <w:trHeight w:val="444"/>
        </w:trPr>
        <w:tc>
          <w:tcPr>
            <w:tcW w:w="646" w:type="pct"/>
            <w:tcBorders>
              <w:top w:val="single" w:sz="12" w:space="0" w:color="008000"/>
              <w:left w:val="nil"/>
              <w:bottom w:val="nil"/>
              <w:right w:val="nil"/>
            </w:tcBorders>
            <w:shd w:val="clear" w:color="auto" w:fill="auto"/>
            <w:tcMar>
              <w:top w:w="15" w:type="dxa"/>
              <w:left w:w="15" w:type="dxa"/>
              <w:bottom w:w="0" w:type="dxa"/>
              <w:right w:w="15" w:type="dxa"/>
            </w:tcMar>
            <w:hideMark/>
          </w:tcPr>
          <w:p w14:paraId="5E077FFC" w14:textId="77777777" w:rsidR="006A33D4" w:rsidRPr="003B120D" w:rsidRDefault="006A33D4" w:rsidP="00F35276">
            <w:pPr>
              <w:tabs>
                <w:tab w:val="clear" w:pos="7100"/>
              </w:tabs>
              <w:spacing w:line="240" w:lineRule="auto"/>
              <w:jc w:val="left"/>
              <w:rPr>
                <w:rFonts w:ascii="Times New Roman" w:hAnsi="Times New Roman"/>
                <w:sz w:val="20"/>
                <w:szCs w:val="24"/>
                <w:lang w:eastAsia="en-GB"/>
              </w:rPr>
            </w:pPr>
          </w:p>
        </w:tc>
        <w:tc>
          <w:tcPr>
            <w:tcW w:w="1450" w:type="pct"/>
            <w:gridSpan w:val="2"/>
            <w:tcBorders>
              <w:top w:val="single" w:sz="12" w:space="0" w:color="008000"/>
              <w:left w:val="nil"/>
              <w:bottom w:val="nil"/>
              <w:right w:val="nil"/>
            </w:tcBorders>
            <w:shd w:val="clear" w:color="auto" w:fill="auto"/>
            <w:tcMar>
              <w:top w:w="15" w:type="dxa"/>
              <w:left w:w="15" w:type="dxa"/>
              <w:bottom w:w="0" w:type="dxa"/>
              <w:right w:w="15" w:type="dxa"/>
            </w:tcMar>
            <w:vAlign w:val="center"/>
            <w:hideMark/>
          </w:tcPr>
          <w:p w14:paraId="60C5BC57" w14:textId="77777777" w:rsidR="006A33D4" w:rsidRPr="003B120D" w:rsidRDefault="006A33D4" w:rsidP="00F35276">
            <w:pPr>
              <w:tabs>
                <w:tab w:val="clear" w:pos="7100"/>
              </w:tabs>
              <w:spacing w:line="240" w:lineRule="auto"/>
              <w:jc w:val="center"/>
              <w:textAlignment w:val="bottom"/>
              <w:rPr>
                <w:rFonts w:cs="Arial"/>
                <w:sz w:val="36"/>
                <w:szCs w:val="36"/>
                <w:lang w:eastAsia="en-GB"/>
              </w:rPr>
            </w:pPr>
            <w:r w:rsidRPr="003B120D">
              <w:rPr>
                <w:rFonts w:cs="Arial"/>
                <w:i/>
                <w:iCs/>
                <w:color w:val="000000"/>
                <w:kern w:val="24"/>
                <w:szCs w:val="18"/>
                <w:lang w:eastAsia="en-GB"/>
              </w:rPr>
              <w:t xml:space="preserve">Chemicals </w:t>
            </w:r>
          </w:p>
        </w:tc>
        <w:tc>
          <w:tcPr>
            <w:tcW w:w="1408" w:type="pct"/>
            <w:gridSpan w:val="2"/>
            <w:tcBorders>
              <w:top w:val="single" w:sz="12" w:space="0" w:color="008000"/>
              <w:left w:val="nil"/>
              <w:bottom w:val="nil"/>
              <w:right w:val="nil"/>
            </w:tcBorders>
            <w:shd w:val="clear" w:color="auto" w:fill="auto"/>
            <w:tcMar>
              <w:top w:w="15" w:type="dxa"/>
              <w:left w:w="15" w:type="dxa"/>
              <w:bottom w:w="0" w:type="dxa"/>
              <w:right w:w="15" w:type="dxa"/>
            </w:tcMar>
            <w:vAlign w:val="center"/>
            <w:hideMark/>
          </w:tcPr>
          <w:p w14:paraId="1CD72E9F" w14:textId="77777777" w:rsidR="006A33D4" w:rsidRPr="003B120D" w:rsidRDefault="006A33D4" w:rsidP="00F35276">
            <w:pPr>
              <w:jc w:val="center"/>
              <w:rPr>
                <w:rFonts w:cs="Arial"/>
                <w:sz w:val="36"/>
                <w:szCs w:val="36"/>
                <w:lang w:eastAsia="en-GB"/>
              </w:rPr>
            </w:pPr>
            <w:r w:rsidRPr="003B120D">
              <w:rPr>
                <w:rFonts w:cs="Arial"/>
                <w:i/>
                <w:iCs/>
                <w:color w:val="000000"/>
                <w:kern w:val="24"/>
                <w:szCs w:val="18"/>
                <w:lang w:eastAsia="en-GB"/>
              </w:rPr>
              <w:t> Direct Energy</w:t>
            </w:r>
          </w:p>
        </w:tc>
        <w:tc>
          <w:tcPr>
            <w:tcW w:w="1496" w:type="pct"/>
            <w:gridSpan w:val="2"/>
            <w:tcBorders>
              <w:top w:val="single" w:sz="12" w:space="0" w:color="008000"/>
              <w:left w:val="nil"/>
              <w:bottom w:val="nil"/>
              <w:right w:val="nil"/>
            </w:tcBorders>
            <w:shd w:val="clear" w:color="auto" w:fill="auto"/>
            <w:tcMar>
              <w:top w:w="15" w:type="dxa"/>
              <w:left w:w="15" w:type="dxa"/>
              <w:bottom w:w="0" w:type="dxa"/>
              <w:right w:w="15" w:type="dxa"/>
            </w:tcMar>
            <w:vAlign w:val="center"/>
            <w:hideMark/>
          </w:tcPr>
          <w:p w14:paraId="06245B83" w14:textId="3DA989B1" w:rsidR="006A33D4" w:rsidRPr="003B120D" w:rsidRDefault="006A33D4" w:rsidP="00F35276">
            <w:pPr>
              <w:tabs>
                <w:tab w:val="clear" w:pos="7100"/>
              </w:tabs>
              <w:spacing w:line="276" w:lineRule="auto"/>
              <w:jc w:val="center"/>
              <w:rPr>
                <w:rFonts w:cs="Arial"/>
                <w:sz w:val="36"/>
                <w:szCs w:val="36"/>
                <w:lang w:eastAsia="en-GB"/>
              </w:rPr>
            </w:pPr>
            <w:r w:rsidRPr="003B120D">
              <w:rPr>
                <w:rFonts w:cs="Arial"/>
                <w:i/>
                <w:iCs/>
                <w:color w:val="000000"/>
                <w:kern w:val="24"/>
                <w:szCs w:val="18"/>
                <w:lang w:eastAsia="en-GB"/>
              </w:rPr>
              <w:t>Total</w:t>
            </w:r>
            <w:r>
              <w:rPr>
                <w:rFonts w:cs="Arial"/>
                <w:i/>
                <w:iCs/>
                <w:color w:val="000000"/>
                <w:kern w:val="24"/>
                <w:szCs w:val="18"/>
                <w:lang w:eastAsia="en-GB"/>
              </w:rPr>
              <w:t>*</w:t>
            </w:r>
          </w:p>
        </w:tc>
      </w:tr>
      <w:tr w:rsidR="006A33D4" w:rsidRPr="003B120D" w14:paraId="6D6A2386" w14:textId="77777777" w:rsidTr="00F35276">
        <w:trPr>
          <w:trHeight w:val="223"/>
        </w:trPr>
        <w:tc>
          <w:tcPr>
            <w:tcW w:w="646" w:type="pct"/>
            <w:tcBorders>
              <w:top w:val="nil"/>
              <w:left w:val="nil"/>
              <w:bottom w:val="nil"/>
              <w:right w:val="nil"/>
            </w:tcBorders>
            <w:shd w:val="clear" w:color="auto" w:fill="auto"/>
            <w:tcMar>
              <w:top w:w="15" w:type="dxa"/>
              <w:left w:w="15" w:type="dxa"/>
              <w:bottom w:w="0" w:type="dxa"/>
              <w:right w:w="15" w:type="dxa"/>
            </w:tcMar>
            <w:hideMark/>
          </w:tcPr>
          <w:p w14:paraId="5220C698" w14:textId="77777777" w:rsidR="006A33D4" w:rsidRPr="003B120D" w:rsidRDefault="006A33D4" w:rsidP="00F35276">
            <w:pPr>
              <w:tabs>
                <w:tab w:val="clear" w:pos="7100"/>
              </w:tabs>
              <w:spacing w:line="276" w:lineRule="auto"/>
              <w:jc w:val="left"/>
              <w:rPr>
                <w:rFonts w:cs="Arial"/>
                <w:sz w:val="36"/>
                <w:szCs w:val="36"/>
                <w:lang w:eastAsia="en-GB"/>
              </w:rPr>
            </w:pPr>
            <w:r w:rsidRPr="003B120D">
              <w:rPr>
                <w:rFonts w:cs="Arial"/>
                <w:color w:val="000000"/>
                <w:kern w:val="24"/>
                <w:szCs w:val="18"/>
                <w:lang w:eastAsia="en-GB"/>
              </w:rPr>
              <w:t>Solvent</w:t>
            </w:r>
          </w:p>
        </w:tc>
        <w:tc>
          <w:tcPr>
            <w:tcW w:w="831" w:type="pct"/>
            <w:tcBorders>
              <w:top w:val="nil"/>
              <w:left w:val="nil"/>
              <w:bottom w:val="nil"/>
              <w:right w:val="nil"/>
            </w:tcBorders>
            <w:shd w:val="clear" w:color="auto" w:fill="auto"/>
            <w:tcMar>
              <w:top w:w="15" w:type="dxa"/>
              <w:left w:w="15" w:type="dxa"/>
              <w:bottom w:w="0" w:type="dxa"/>
              <w:right w:w="15" w:type="dxa"/>
            </w:tcMar>
            <w:hideMark/>
          </w:tcPr>
          <w:p w14:paraId="4E6FA7B5" w14:textId="77777777" w:rsidR="006A33D4" w:rsidRPr="003B120D" w:rsidRDefault="006A33D4" w:rsidP="00F35276">
            <w:pPr>
              <w:tabs>
                <w:tab w:val="clear" w:pos="7100"/>
              </w:tabs>
              <w:spacing w:line="276" w:lineRule="auto"/>
              <w:jc w:val="center"/>
              <w:rPr>
                <w:rFonts w:cs="Arial"/>
                <w:sz w:val="36"/>
                <w:szCs w:val="36"/>
                <w:lang w:eastAsia="en-GB"/>
              </w:rPr>
            </w:pPr>
            <w:r w:rsidRPr="003B120D">
              <w:rPr>
                <w:rFonts w:cs="Arial"/>
                <w:color w:val="000000"/>
                <w:kern w:val="24"/>
                <w:szCs w:val="18"/>
                <w:lang w:eastAsia="en-GB"/>
              </w:rPr>
              <w:t>Deionized water</w:t>
            </w:r>
          </w:p>
        </w:tc>
        <w:tc>
          <w:tcPr>
            <w:tcW w:w="619" w:type="pct"/>
            <w:tcBorders>
              <w:top w:val="nil"/>
              <w:left w:val="nil"/>
              <w:bottom w:val="nil"/>
              <w:right w:val="nil"/>
            </w:tcBorders>
            <w:shd w:val="clear" w:color="auto" w:fill="auto"/>
            <w:tcMar>
              <w:top w:w="15" w:type="dxa"/>
              <w:left w:w="15" w:type="dxa"/>
              <w:bottom w:w="0" w:type="dxa"/>
              <w:right w:w="15" w:type="dxa"/>
            </w:tcMar>
            <w:hideMark/>
          </w:tcPr>
          <w:p w14:paraId="2C81B993" w14:textId="77777777" w:rsidR="006A33D4" w:rsidRPr="003B120D" w:rsidRDefault="006A33D4" w:rsidP="00F35276">
            <w:pPr>
              <w:tabs>
                <w:tab w:val="clear" w:pos="7100"/>
              </w:tabs>
              <w:spacing w:line="276" w:lineRule="auto"/>
              <w:jc w:val="center"/>
              <w:rPr>
                <w:rFonts w:cs="Arial"/>
                <w:sz w:val="36"/>
                <w:szCs w:val="36"/>
                <w:lang w:eastAsia="en-GB"/>
              </w:rPr>
            </w:pPr>
            <w:r>
              <w:rPr>
                <w:rFonts w:cs="Arial"/>
                <w:color w:val="000000"/>
                <w:kern w:val="24"/>
                <w:szCs w:val="18"/>
                <w:lang w:eastAsia="en-GB"/>
              </w:rPr>
              <w:t>NaOH</w:t>
            </w:r>
          </w:p>
        </w:tc>
        <w:tc>
          <w:tcPr>
            <w:tcW w:w="579" w:type="pct"/>
            <w:tcBorders>
              <w:top w:val="nil"/>
              <w:left w:val="nil"/>
              <w:bottom w:val="nil"/>
              <w:right w:val="nil"/>
            </w:tcBorders>
            <w:shd w:val="clear" w:color="auto" w:fill="auto"/>
            <w:tcMar>
              <w:top w:w="15" w:type="dxa"/>
              <w:left w:w="15" w:type="dxa"/>
              <w:bottom w:w="0" w:type="dxa"/>
              <w:right w:w="15" w:type="dxa"/>
            </w:tcMar>
            <w:hideMark/>
          </w:tcPr>
          <w:p w14:paraId="07B908AF" w14:textId="77777777" w:rsidR="006A33D4" w:rsidRPr="003B120D" w:rsidRDefault="006A33D4" w:rsidP="00F35276">
            <w:pPr>
              <w:tabs>
                <w:tab w:val="clear" w:pos="7100"/>
              </w:tabs>
              <w:spacing w:line="276" w:lineRule="auto"/>
              <w:jc w:val="center"/>
              <w:rPr>
                <w:rFonts w:cs="Arial"/>
                <w:sz w:val="36"/>
                <w:szCs w:val="36"/>
                <w:lang w:eastAsia="en-GB"/>
              </w:rPr>
            </w:pPr>
            <w:r w:rsidRPr="003B120D">
              <w:rPr>
                <w:rFonts w:cs="Arial"/>
                <w:color w:val="000000"/>
                <w:kern w:val="24"/>
                <w:szCs w:val="18"/>
                <w:lang w:eastAsia="en-GB"/>
              </w:rPr>
              <w:t>Mixing</w:t>
            </w:r>
          </w:p>
        </w:tc>
        <w:tc>
          <w:tcPr>
            <w:tcW w:w="829" w:type="pct"/>
            <w:tcBorders>
              <w:top w:val="nil"/>
              <w:left w:val="nil"/>
              <w:bottom w:val="nil"/>
              <w:right w:val="nil"/>
            </w:tcBorders>
            <w:shd w:val="clear" w:color="auto" w:fill="auto"/>
            <w:tcMar>
              <w:top w:w="15" w:type="dxa"/>
              <w:left w:w="15" w:type="dxa"/>
              <w:bottom w:w="0" w:type="dxa"/>
              <w:right w:w="15" w:type="dxa"/>
            </w:tcMar>
            <w:hideMark/>
          </w:tcPr>
          <w:p w14:paraId="608ED19A" w14:textId="77777777" w:rsidR="006A33D4" w:rsidRPr="003B120D" w:rsidRDefault="006A33D4" w:rsidP="00F35276">
            <w:pPr>
              <w:tabs>
                <w:tab w:val="clear" w:pos="7100"/>
              </w:tabs>
              <w:spacing w:line="276" w:lineRule="auto"/>
              <w:jc w:val="center"/>
              <w:rPr>
                <w:rFonts w:cs="Arial"/>
                <w:sz w:val="36"/>
                <w:szCs w:val="36"/>
                <w:lang w:eastAsia="en-GB"/>
              </w:rPr>
            </w:pPr>
            <w:r w:rsidRPr="003B120D">
              <w:rPr>
                <w:rFonts w:cs="Arial"/>
                <w:color w:val="000000"/>
                <w:kern w:val="24"/>
                <w:szCs w:val="18"/>
                <w:lang w:eastAsia="en-GB"/>
              </w:rPr>
              <w:t>Centrifugation</w:t>
            </w:r>
          </w:p>
        </w:tc>
        <w:tc>
          <w:tcPr>
            <w:tcW w:w="858" w:type="pct"/>
            <w:tcBorders>
              <w:top w:val="nil"/>
              <w:left w:val="nil"/>
              <w:bottom w:val="nil"/>
              <w:right w:val="nil"/>
            </w:tcBorders>
            <w:shd w:val="clear" w:color="auto" w:fill="auto"/>
            <w:tcMar>
              <w:top w:w="15" w:type="dxa"/>
              <w:left w:w="15" w:type="dxa"/>
              <w:bottom w:w="0" w:type="dxa"/>
              <w:right w:w="15" w:type="dxa"/>
            </w:tcMar>
            <w:hideMark/>
          </w:tcPr>
          <w:p w14:paraId="620BEB57" w14:textId="77777777" w:rsidR="006A33D4" w:rsidRPr="003B120D" w:rsidRDefault="006A33D4" w:rsidP="00F35276">
            <w:pPr>
              <w:tabs>
                <w:tab w:val="clear" w:pos="7100"/>
              </w:tabs>
              <w:spacing w:line="276" w:lineRule="auto"/>
              <w:jc w:val="center"/>
              <w:rPr>
                <w:rFonts w:cs="Arial"/>
                <w:sz w:val="36"/>
                <w:szCs w:val="36"/>
                <w:lang w:eastAsia="en-GB"/>
              </w:rPr>
            </w:pPr>
            <w:r w:rsidRPr="003B120D">
              <w:rPr>
                <w:rFonts w:cs="Arial"/>
                <w:color w:val="000000"/>
                <w:kern w:val="24"/>
                <w:szCs w:val="18"/>
                <w:lang w:eastAsia="en-GB"/>
              </w:rPr>
              <w:t>Total Energy</w:t>
            </w:r>
          </w:p>
        </w:tc>
        <w:tc>
          <w:tcPr>
            <w:tcW w:w="638" w:type="pct"/>
            <w:tcBorders>
              <w:top w:val="nil"/>
              <w:left w:val="nil"/>
              <w:bottom w:val="nil"/>
              <w:right w:val="nil"/>
            </w:tcBorders>
            <w:shd w:val="clear" w:color="auto" w:fill="auto"/>
            <w:tcMar>
              <w:top w:w="15" w:type="dxa"/>
              <w:left w:w="15" w:type="dxa"/>
              <w:bottom w:w="0" w:type="dxa"/>
              <w:right w:w="15" w:type="dxa"/>
            </w:tcMar>
            <w:hideMark/>
          </w:tcPr>
          <w:p w14:paraId="7E50661B" w14:textId="77777777" w:rsidR="006A33D4" w:rsidRPr="003B120D" w:rsidRDefault="006A33D4" w:rsidP="00F35276">
            <w:pPr>
              <w:tabs>
                <w:tab w:val="clear" w:pos="7100"/>
              </w:tabs>
              <w:spacing w:line="276" w:lineRule="auto"/>
              <w:jc w:val="center"/>
              <w:rPr>
                <w:rFonts w:cs="Arial"/>
                <w:sz w:val="36"/>
                <w:szCs w:val="36"/>
                <w:lang w:eastAsia="en-GB"/>
              </w:rPr>
            </w:pPr>
            <w:r w:rsidRPr="003B120D">
              <w:rPr>
                <w:rFonts w:cs="Arial"/>
                <w:color w:val="000000"/>
                <w:kern w:val="24"/>
                <w:szCs w:val="18"/>
                <w:lang w:eastAsia="en-GB"/>
              </w:rPr>
              <w:t>Total Energy</w:t>
            </w:r>
          </w:p>
        </w:tc>
      </w:tr>
      <w:tr w:rsidR="006A33D4" w:rsidRPr="003B120D" w14:paraId="449F8A8E" w14:textId="77777777" w:rsidTr="00F35276">
        <w:trPr>
          <w:trHeight w:val="451"/>
        </w:trPr>
        <w:tc>
          <w:tcPr>
            <w:tcW w:w="646" w:type="pct"/>
            <w:tcBorders>
              <w:top w:val="nil"/>
              <w:left w:val="nil"/>
              <w:bottom w:val="single" w:sz="8" w:space="0" w:color="008000"/>
              <w:right w:val="nil"/>
            </w:tcBorders>
            <w:shd w:val="clear" w:color="auto" w:fill="auto"/>
            <w:tcMar>
              <w:top w:w="15" w:type="dxa"/>
              <w:left w:w="15" w:type="dxa"/>
              <w:bottom w:w="0" w:type="dxa"/>
              <w:right w:w="15" w:type="dxa"/>
            </w:tcMar>
            <w:hideMark/>
          </w:tcPr>
          <w:p w14:paraId="1BE1C67D" w14:textId="77777777" w:rsidR="006A33D4" w:rsidRPr="003B120D" w:rsidRDefault="006A33D4" w:rsidP="00F35276">
            <w:pPr>
              <w:tabs>
                <w:tab w:val="clear" w:pos="7100"/>
              </w:tabs>
              <w:spacing w:line="240" w:lineRule="auto"/>
              <w:jc w:val="left"/>
              <w:rPr>
                <w:rFonts w:cs="Arial"/>
                <w:sz w:val="36"/>
                <w:szCs w:val="36"/>
                <w:lang w:eastAsia="en-GB"/>
              </w:rPr>
            </w:pPr>
          </w:p>
        </w:tc>
        <w:tc>
          <w:tcPr>
            <w:tcW w:w="831" w:type="pct"/>
            <w:tcBorders>
              <w:top w:val="nil"/>
              <w:left w:val="nil"/>
              <w:bottom w:val="single" w:sz="8" w:space="0" w:color="008000"/>
              <w:right w:val="nil"/>
            </w:tcBorders>
            <w:shd w:val="clear" w:color="auto" w:fill="auto"/>
            <w:tcMar>
              <w:top w:w="15" w:type="dxa"/>
              <w:left w:w="15" w:type="dxa"/>
              <w:bottom w:w="0" w:type="dxa"/>
              <w:right w:w="15" w:type="dxa"/>
            </w:tcMar>
            <w:hideMark/>
          </w:tcPr>
          <w:p w14:paraId="3F887829" w14:textId="77777777" w:rsidR="006A33D4" w:rsidRPr="003B120D" w:rsidRDefault="006A33D4" w:rsidP="00F35276">
            <w:pPr>
              <w:tabs>
                <w:tab w:val="clear" w:pos="7100"/>
              </w:tabs>
              <w:spacing w:line="276" w:lineRule="auto"/>
              <w:jc w:val="center"/>
              <w:rPr>
                <w:rFonts w:cs="Arial"/>
                <w:sz w:val="36"/>
                <w:szCs w:val="36"/>
                <w:lang w:eastAsia="en-GB"/>
              </w:rPr>
            </w:pPr>
            <w:r w:rsidRPr="003B120D">
              <w:rPr>
                <w:rFonts w:cs="Arial"/>
                <w:color w:val="000000"/>
                <w:kern w:val="24"/>
                <w:szCs w:val="18"/>
                <w:lang w:eastAsia="en-GB"/>
              </w:rPr>
              <w:t>[MJ/g</w:t>
            </w:r>
            <w:r w:rsidRPr="003B120D">
              <w:rPr>
                <w:rFonts w:cs="Arial"/>
                <w:color w:val="000000"/>
                <w:kern w:val="24"/>
                <w:position w:val="-5"/>
                <w:szCs w:val="18"/>
                <w:vertAlign w:val="subscript"/>
                <w:lang w:eastAsia="en-GB"/>
              </w:rPr>
              <w:t xml:space="preserve">DM  </w:t>
            </w:r>
            <w:proofErr w:type="spellStart"/>
            <w:r w:rsidRPr="003B120D">
              <w:rPr>
                <w:rFonts w:cs="Arial"/>
                <w:color w:val="000000"/>
                <w:kern w:val="24"/>
                <w:position w:val="-5"/>
                <w:szCs w:val="18"/>
                <w:vertAlign w:val="subscript"/>
                <w:lang w:eastAsia="en-GB"/>
              </w:rPr>
              <w:t>ext</w:t>
            </w:r>
            <w:proofErr w:type="spellEnd"/>
            <w:r w:rsidRPr="003B120D">
              <w:rPr>
                <w:rFonts w:cs="Arial"/>
                <w:color w:val="000000"/>
                <w:kern w:val="24"/>
                <w:szCs w:val="18"/>
                <w:lang w:eastAsia="en-GB"/>
              </w:rPr>
              <w:t>]</w:t>
            </w:r>
          </w:p>
        </w:tc>
        <w:tc>
          <w:tcPr>
            <w:tcW w:w="619" w:type="pct"/>
            <w:tcBorders>
              <w:top w:val="nil"/>
              <w:left w:val="nil"/>
              <w:bottom w:val="single" w:sz="8" w:space="0" w:color="008000"/>
              <w:right w:val="nil"/>
            </w:tcBorders>
            <w:shd w:val="clear" w:color="auto" w:fill="auto"/>
            <w:tcMar>
              <w:top w:w="15" w:type="dxa"/>
              <w:left w:w="15" w:type="dxa"/>
              <w:bottom w:w="0" w:type="dxa"/>
              <w:right w:w="15" w:type="dxa"/>
            </w:tcMar>
            <w:hideMark/>
          </w:tcPr>
          <w:p w14:paraId="7176930F" w14:textId="77777777" w:rsidR="006A33D4" w:rsidRPr="003B120D" w:rsidRDefault="006A33D4" w:rsidP="00F35276">
            <w:pPr>
              <w:tabs>
                <w:tab w:val="clear" w:pos="7100"/>
              </w:tabs>
              <w:spacing w:line="276" w:lineRule="auto"/>
              <w:jc w:val="center"/>
              <w:rPr>
                <w:rFonts w:cs="Arial"/>
                <w:sz w:val="36"/>
                <w:szCs w:val="36"/>
                <w:lang w:eastAsia="en-GB"/>
              </w:rPr>
            </w:pPr>
            <w:r w:rsidRPr="003B120D">
              <w:rPr>
                <w:rFonts w:cs="Arial"/>
                <w:color w:val="000000"/>
                <w:kern w:val="24"/>
                <w:szCs w:val="18"/>
                <w:lang w:eastAsia="en-GB"/>
              </w:rPr>
              <w:t>[MJ/g</w:t>
            </w:r>
            <w:r w:rsidRPr="003B120D">
              <w:rPr>
                <w:rFonts w:cs="Arial"/>
                <w:color w:val="000000"/>
                <w:kern w:val="24"/>
                <w:position w:val="-5"/>
                <w:szCs w:val="18"/>
                <w:vertAlign w:val="subscript"/>
                <w:lang w:eastAsia="en-GB"/>
              </w:rPr>
              <w:t xml:space="preserve">DM  </w:t>
            </w:r>
            <w:proofErr w:type="spellStart"/>
            <w:r w:rsidRPr="003B120D">
              <w:rPr>
                <w:rFonts w:cs="Arial"/>
                <w:color w:val="000000"/>
                <w:kern w:val="24"/>
                <w:position w:val="-5"/>
                <w:szCs w:val="18"/>
                <w:vertAlign w:val="subscript"/>
                <w:lang w:eastAsia="en-GB"/>
              </w:rPr>
              <w:t>ext</w:t>
            </w:r>
            <w:proofErr w:type="spellEnd"/>
            <w:r w:rsidRPr="003B120D">
              <w:rPr>
                <w:rFonts w:cs="Arial"/>
                <w:color w:val="000000"/>
                <w:kern w:val="24"/>
                <w:szCs w:val="18"/>
                <w:lang w:eastAsia="en-GB"/>
              </w:rPr>
              <w:t>]</w:t>
            </w:r>
          </w:p>
        </w:tc>
        <w:tc>
          <w:tcPr>
            <w:tcW w:w="579" w:type="pct"/>
            <w:tcBorders>
              <w:top w:val="nil"/>
              <w:left w:val="nil"/>
              <w:bottom w:val="single" w:sz="8" w:space="0" w:color="008000"/>
              <w:right w:val="nil"/>
            </w:tcBorders>
            <w:shd w:val="clear" w:color="auto" w:fill="auto"/>
            <w:tcMar>
              <w:top w:w="15" w:type="dxa"/>
              <w:left w:w="15" w:type="dxa"/>
              <w:bottom w:w="0" w:type="dxa"/>
              <w:right w:w="15" w:type="dxa"/>
            </w:tcMar>
            <w:hideMark/>
          </w:tcPr>
          <w:p w14:paraId="6CF4A24E" w14:textId="77777777" w:rsidR="006A33D4" w:rsidRPr="003B120D" w:rsidRDefault="006A33D4" w:rsidP="00F35276">
            <w:pPr>
              <w:tabs>
                <w:tab w:val="clear" w:pos="7100"/>
              </w:tabs>
              <w:spacing w:line="276" w:lineRule="auto"/>
              <w:jc w:val="center"/>
              <w:rPr>
                <w:rFonts w:cs="Arial"/>
                <w:sz w:val="36"/>
                <w:szCs w:val="36"/>
                <w:lang w:eastAsia="en-GB"/>
              </w:rPr>
            </w:pPr>
            <w:r w:rsidRPr="003B120D">
              <w:rPr>
                <w:rFonts w:cs="Arial"/>
                <w:color w:val="000000"/>
                <w:kern w:val="24"/>
                <w:szCs w:val="18"/>
                <w:lang w:eastAsia="en-GB"/>
              </w:rPr>
              <w:t>[MJ/g</w:t>
            </w:r>
            <w:r w:rsidRPr="003B120D">
              <w:rPr>
                <w:rFonts w:cs="Arial"/>
                <w:color w:val="000000"/>
                <w:kern w:val="24"/>
                <w:position w:val="-5"/>
                <w:szCs w:val="18"/>
                <w:vertAlign w:val="subscript"/>
                <w:lang w:eastAsia="en-GB"/>
              </w:rPr>
              <w:t xml:space="preserve">DM  </w:t>
            </w:r>
            <w:proofErr w:type="spellStart"/>
            <w:r w:rsidRPr="003B120D">
              <w:rPr>
                <w:rFonts w:cs="Arial"/>
                <w:color w:val="000000"/>
                <w:kern w:val="24"/>
                <w:position w:val="-5"/>
                <w:szCs w:val="18"/>
                <w:vertAlign w:val="subscript"/>
                <w:lang w:eastAsia="en-GB"/>
              </w:rPr>
              <w:t>ext</w:t>
            </w:r>
            <w:proofErr w:type="spellEnd"/>
            <w:r w:rsidRPr="003B120D">
              <w:rPr>
                <w:rFonts w:cs="Arial"/>
                <w:color w:val="000000"/>
                <w:kern w:val="24"/>
                <w:szCs w:val="18"/>
                <w:lang w:eastAsia="en-GB"/>
              </w:rPr>
              <w:t>]</w:t>
            </w:r>
          </w:p>
        </w:tc>
        <w:tc>
          <w:tcPr>
            <w:tcW w:w="829" w:type="pct"/>
            <w:tcBorders>
              <w:top w:val="nil"/>
              <w:left w:val="nil"/>
              <w:bottom w:val="single" w:sz="8" w:space="0" w:color="008000"/>
              <w:right w:val="nil"/>
            </w:tcBorders>
            <w:shd w:val="clear" w:color="auto" w:fill="auto"/>
            <w:tcMar>
              <w:top w:w="15" w:type="dxa"/>
              <w:left w:w="15" w:type="dxa"/>
              <w:bottom w:w="0" w:type="dxa"/>
              <w:right w:w="15" w:type="dxa"/>
            </w:tcMar>
            <w:hideMark/>
          </w:tcPr>
          <w:p w14:paraId="00036DEB" w14:textId="77777777" w:rsidR="006A33D4" w:rsidRPr="003B120D" w:rsidRDefault="006A33D4" w:rsidP="00F35276">
            <w:pPr>
              <w:tabs>
                <w:tab w:val="clear" w:pos="7100"/>
              </w:tabs>
              <w:spacing w:line="276" w:lineRule="auto"/>
              <w:jc w:val="center"/>
              <w:rPr>
                <w:rFonts w:cs="Arial"/>
                <w:sz w:val="36"/>
                <w:szCs w:val="36"/>
                <w:lang w:eastAsia="en-GB"/>
              </w:rPr>
            </w:pPr>
            <w:r w:rsidRPr="003B120D">
              <w:rPr>
                <w:rFonts w:cs="Arial"/>
                <w:color w:val="000000"/>
                <w:kern w:val="24"/>
                <w:szCs w:val="18"/>
                <w:lang w:eastAsia="en-GB"/>
              </w:rPr>
              <w:t>[MJ/g</w:t>
            </w:r>
            <w:r w:rsidRPr="003B120D">
              <w:rPr>
                <w:rFonts w:cs="Arial"/>
                <w:color w:val="000000"/>
                <w:kern w:val="24"/>
                <w:position w:val="-5"/>
                <w:szCs w:val="18"/>
                <w:vertAlign w:val="subscript"/>
                <w:lang w:eastAsia="en-GB"/>
              </w:rPr>
              <w:t xml:space="preserve">DM  </w:t>
            </w:r>
            <w:proofErr w:type="spellStart"/>
            <w:r w:rsidRPr="003B120D">
              <w:rPr>
                <w:rFonts w:cs="Arial"/>
                <w:color w:val="000000"/>
                <w:kern w:val="24"/>
                <w:position w:val="-5"/>
                <w:szCs w:val="18"/>
                <w:vertAlign w:val="subscript"/>
                <w:lang w:eastAsia="en-GB"/>
              </w:rPr>
              <w:t>ext</w:t>
            </w:r>
            <w:proofErr w:type="spellEnd"/>
            <w:r w:rsidRPr="003B120D">
              <w:rPr>
                <w:rFonts w:cs="Arial"/>
                <w:color w:val="000000"/>
                <w:kern w:val="24"/>
                <w:szCs w:val="18"/>
                <w:lang w:eastAsia="en-GB"/>
              </w:rPr>
              <w:t>]</w:t>
            </w:r>
          </w:p>
        </w:tc>
        <w:tc>
          <w:tcPr>
            <w:tcW w:w="858" w:type="pct"/>
            <w:tcBorders>
              <w:top w:val="nil"/>
              <w:left w:val="nil"/>
              <w:bottom w:val="single" w:sz="8" w:space="0" w:color="008000"/>
              <w:right w:val="nil"/>
            </w:tcBorders>
            <w:shd w:val="clear" w:color="auto" w:fill="auto"/>
            <w:tcMar>
              <w:top w:w="15" w:type="dxa"/>
              <w:left w:w="15" w:type="dxa"/>
              <w:bottom w:w="0" w:type="dxa"/>
              <w:right w:w="15" w:type="dxa"/>
            </w:tcMar>
            <w:hideMark/>
          </w:tcPr>
          <w:p w14:paraId="1E9C9349" w14:textId="77777777" w:rsidR="006A33D4" w:rsidRPr="003B120D" w:rsidRDefault="006A33D4" w:rsidP="00F35276">
            <w:pPr>
              <w:tabs>
                <w:tab w:val="clear" w:pos="7100"/>
              </w:tabs>
              <w:spacing w:line="276" w:lineRule="auto"/>
              <w:jc w:val="center"/>
              <w:rPr>
                <w:rFonts w:cs="Arial"/>
                <w:sz w:val="36"/>
                <w:szCs w:val="36"/>
                <w:lang w:eastAsia="en-GB"/>
              </w:rPr>
            </w:pPr>
            <w:r w:rsidRPr="003B120D">
              <w:rPr>
                <w:rFonts w:cs="Arial"/>
                <w:color w:val="000000"/>
                <w:kern w:val="24"/>
                <w:szCs w:val="18"/>
                <w:lang w:eastAsia="en-GB"/>
              </w:rPr>
              <w:t>[MJ/g</w:t>
            </w:r>
            <w:r w:rsidRPr="003B120D">
              <w:rPr>
                <w:rFonts w:cs="Arial"/>
                <w:color w:val="000000"/>
                <w:kern w:val="24"/>
                <w:position w:val="-5"/>
                <w:szCs w:val="18"/>
                <w:vertAlign w:val="subscript"/>
                <w:lang w:eastAsia="en-GB"/>
              </w:rPr>
              <w:t xml:space="preserve">DM  </w:t>
            </w:r>
            <w:proofErr w:type="spellStart"/>
            <w:r w:rsidRPr="003B120D">
              <w:rPr>
                <w:rFonts w:cs="Arial"/>
                <w:color w:val="000000"/>
                <w:kern w:val="24"/>
                <w:position w:val="-5"/>
                <w:szCs w:val="18"/>
                <w:vertAlign w:val="subscript"/>
                <w:lang w:eastAsia="en-GB"/>
              </w:rPr>
              <w:t>ext</w:t>
            </w:r>
            <w:proofErr w:type="spellEnd"/>
            <w:r w:rsidRPr="003B120D">
              <w:rPr>
                <w:rFonts w:cs="Arial"/>
                <w:color w:val="000000"/>
                <w:kern w:val="24"/>
                <w:szCs w:val="18"/>
                <w:lang w:eastAsia="en-GB"/>
              </w:rPr>
              <w:t>]</w:t>
            </w:r>
          </w:p>
        </w:tc>
        <w:tc>
          <w:tcPr>
            <w:tcW w:w="638" w:type="pct"/>
            <w:tcBorders>
              <w:top w:val="nil"/>
              <w:left w:val="nil"/>
              <w:bottom w:val="single" w:sz="8" w:space="0" w:color="008000"/>
              <w:right w:val="nil"/>
            </w:tcBorders>
            <w:shd w:val="clear" w:color="auto" w:fill="auto"/>
            <w:tcMar>
              <w:top w:w="15" w:type="dxa"/>
              <w:left w:w="15" w:type="dxa"/>
              <w:bottom w:w="0" w:type="dxa"/>
              <w:right w:w="15" w:type="dxa"/>
            </w:tcMar>
            <w:hideMark/>
          </w:tcPr>
          <w:p w14:paraId="77CB12DC" w14:textId="77777777" w:rsidR="006A33D4" w:rsidRPr="003B120D" w:rsidRDefault="006A33D4" w:rsidP="00F35276">
            <w:pPr>
              <w:tabs>
                <w:tab w:val="clear" w:pos="7100"/>
              </w:tabs>
              <w:spacing w:line="276" w:lineRule="auto"/>
              <w:jc w:val="center"/>
              <w:rPr>
                <w:rFonts w:cs="Arial"/>
                <w:sz w:val="36"/>
                <w:szCs w:val="36"/>
                <w:lang w:eastAsia="en-GB"/>
              </w:rPr>
            </w:pPr>
            <w:r w:rsidRPr="003B120D">
              <w:rPr>
                <w:rFonts w:cs="Arial"/>
                <w:color w:val="000000"/>
                <w:kern w:val="24"/>
                <w:szCs w:val="18"/>
                <w:lang w:eastAsia="en-GB"/>
              </w:rPr>
              <w:t>[MJ/kg</w:t>
            </w:r>
            <w:r w:rsidRPr="003B120D">
              <w:rPr>
                <w:rFonts w:cs="Arial"/>
                <w:color w:val="000000"/>
                <w:kern w:val="24"/>
                <w:position w:val="-5"/>
                <w:szCs w:val="18"/>
                <w:vertAlign w:val="subscript"/>
                <w:lang w:eastAsia="en-GB"/>
              </w:rPr>
              <w:t xml:space="preserve">DM  </w:t>
            </w:r>
            <w:proofErr w:type="spellStart"/>
            <w:r w:rsidRPr="003B120D">
              <w:rPr>
                <w:rFonts w:cs="Arial"/>
                <w:color w:val="000000"/>
                <w:kern w:val="24"/>
                <w:position w:val="-5"/>
                <w:szCs w:val="18"/>
                <w:vertAlign w:val="subscript"/>
                <w:lang w:eastAsia="en-GB"/>
              </w:rPr>
              <w:t>ext</w:t>
            </w:r>
            <w:proofErr w:type="spellEnd"/>
            <w:r w:rsidRPr="003B120D">
              <w:rPr>
                <w:rFonts w:cs="Arial"/>
                <w:color w:val="000000"/>
                <w:kern w:val="24"/>
                <w:szCs w:val="18"/>
                <w:lang w:eastAsia="en-GB"/>
              </w:rPr>
              <w:t>]</w:t>
            </w:r>
          </w:p>
        </w:tc>
      </w:tr>
      <w:tr w:rsidR="006A33D4" w:rsidRPr="003B120D" w14:paraId="6A3FCD69" w14:textId="77777777" w:rsidTr="00F35276">
        <w:trPr>
          <w:trHeight w:val="197"/>
        </w:trPr>
        <w:tc>
          <w:tcPr>
            <w:tcW w:w="646" w:type="pct"/>
            <w:tcBorders>
              <w:top w:val="single" w:sz="8" w:space="0" w:color="008000"/>
              <w:left w:val="nil"/>
              <w:bottom w:val="nil"/>
              <w:right w:val="nil"/>
            </w:tcBorders>
            <w:shd w:val="clear" w:color="auto" w:fill="auto"/>
            <w:tcMar>
              <w:top w:w="15" w:type="dxa"/>
              <w:left w:w="15" w:type="dxa"/>
              <w:bottom w:w="0" w:type="dxa"/>
              <w:right w:w="15" w:type="dxa"/>
            </w:tcMar>
            <w:vAlign w:val="bottom"/>
            <w:hideMark/>
          </w:tcPr>
          <w:p w14:paraId="379338C9" w14:textId="77777777" w:rsidR="006A33D4" w:rsidRPr="003B120D" w:rsidRDefault="006A33D4" w:rsidP="00F35276">
            <w:pPr>
              <w:tabs>
                <w:tab w:val="left" w:pos="720"/>
              </w:tabs>
              <w:jc w:val="left"/>
              <w:textAlignment w:val="bottom"/>
              <w:rPr>
                <w:rFonts w:cs="Arial"/>
                <w:sz w:val="36"/>
                <w:szCs w:val="36"/>
                <w:lang w:eastAsia="en-GB"/>
              </w:rPr>
            </w:pPr>
            <w:r w:rsidRPr="003B120D">
              <w:rPr>
                <w:rFonts w:cs="Arial"/>
                <w:color w:val="000000"/>
                <w:kern w:val="24"/>
                <w:szCs w:val="18"/>
                <w:lang w:eastAsia="en-GB"/>
              </w:rPr>
              <w:t>DI H</w:t>
            </w:r>
            <w:r w:rsidRPr="003B120D">
              <w:rPr>
                <w:rFonts w:cs="Arial"/>
                <w:color w:val="000000"/>
                <w:kern w:val="24"/>
                <w:position w:val="-5"/>
                <w:szCs w:val="18"/>
                <w:vertAlign w:val="subscript"/>
                <w:lang w:eastAsia="en-GB"/>
              </w:rPr>
              <w:t>2</w:t>
            </w:r>
            <w:r w:rsidRPr="003B120D">
              <w:rPr>
                <w:rFonts w:cs="Arial"/>
                <w:color w:val="000000"/>
                <w:kern w:val="24"/>
                <w:szCs w:val="18"/>
                <w:lang w:eastAsia="en-GB"/>
              </w:rPr>
              <w:t>O</w:t>
            </w:r>
          </w:p>
        </w:tc>
        <w:tc>
          <w:tcPr>
            <w:tcW w:w="831" w:type="pct"/>
            <w:tcBorders>
              <w:top w:val="single" w:sz="8" w:space="0" w:color="008000"/>
              <w:left w:val="nil"/>
              <w:bottom w:val="nil"/>
              <w:right w:val="nil"/>
            </w:tcBorders>
            <w:shd w:val="clear" w:color="auto" w:fill="auto"/>
            <w:tcMar>
              <w:top w:w="15" w:type="dxa"/>
              <w:left w:w="15" w:type="dxa"/>
              <w:bottom w:w="0" w:type="dxa"/>
              <w:right w:w="15" w:type="dxa"/>
            </w:tcMar>
            <w:vAlign w:val="bottom"/>
            <w:hideMark/>
          </w:tcPr>
          <w:p w14:paraId="25F650A3" w14:textId="77777777" w:rsidR="006A33D4" w:rsidRPr="003B120D" w:rsidRDefault="006A33D4" w:rsidP="00F35276">
            <w:pPr>
              <w:tabs>
                <w:tab w:val="left" w:pos="720"/>
              </w:tabs>
              <w:jc w:val="center"/>
              <w:textAlignment w:val="bottom"/>
              <w:rPr>
                <w:rFonts w:cs="Arial"/>
                <w:sz w:val="36"/>
                <w:szCs w:val="36"/>
                <w:lang w:eastAsia="en-GB"/>
              </w:rPr>
            </w:pPr>
            <w:r w:rsidRPr="003B120D">
              <w:rPr>
                <w:rFonts w:cs="Arial"/>
                <w:color w:val="000000"/>
                <w:kern w:val="24"/>
                <w:szCs w:val="18"/>
                <w:lang w:eastAsia="en-GB"/>
              </w:rPr>
              <w:t>1.29E-02</w:t>
            </w:r>
          </w:p>
        </w:tc>
        <w:tc>
          <w:tcPr>
            <w:tcW w:w="619" w:type="pct"/>
            <w:tcBorders>
              <w:top w:val="single" w:sz="8" w:space="0" w:color="008000"/>
              <w:left w:val="nil"/>
              <w:bottom w:val="nil"/>
              <w:right w:val="nil"/>
            </w:tcBorders>
            <w:shd w:val="clear" w:color="auto" w:fill="auto"/>
            <w:tcMar>
              <w:top w:w="15" w:type="dxa"/>
              <w:left w:w="15" w:type="dxa"/>
              <w:bottom w:w="0" w:type="dxa"/>
              <w:right w:w="15" w:type="dxa"/>
            </w:tcMar>
            <w:vAlign w:val="bottom"/>
            <w:hideMark/>
          </w:tcPr>
          <w:p w14:paraId="758039FB" w14:textId="77777777" w:rsidR="006A33D4" w:rsidRPr="003B120D" w:rsidRDefault="006A33D4" w:rsidP="00F35276">
            <w:pPr>
              <w:tabs>
                <w:tab w:val="left" w:pos="720"/>
              </w:tabs>
              <w:jc w:val="center"/>
              <w:textAlignment w:val="bottom"/>
              <w:rPr>
                <w:rFonts w:cs="Arial"/>
                <w:sz w:val="36"/>
                <w:szCs w:val="36"/>
                <w:lang w:eastAsia="en-GB"/>
              </w:rPr>
            </w:pPr>
            <w:r w:rsidRPr="003B120D">
              <w:rPr>
                <w:rFonts w:cs="Arial"/>
                <w:color w:val="000000"/>
                <w:kern w:val="24"/>
                <w:szCs w:val="18"/>
                <w:lang w:eastAsia="en-GB"/>
              </w:rPr>
              <w:t>-</w:t>
            </w:r>
          </w:p>
        </w:tc>
        <w:tc>
          <w:tcPr>
            <w:tcW w:w="579" w:type="pct"/>
            <w:tcBorders>
              <w:top w:val="single" w:sz="8" w:space="0" w:color="008000"/>
              <w:left w:val="nil"/>
              <w:bottom w:val="nil"/>
              <w:right w:val="nil"/>
            </w:tcBorders>
            <w:shd w:val="clear" w:color="auto" w:fill="auto"/>
            <w:tcMar>
              <w:top w:w="15" w:type="dxa"/>
              <w:left w:w="15" w:type="dxa"/>
              <w:bottom w:w="0" w:type="dxa"/>
              <w:right w:w="15" w:type="dxa"/>
            </w:tcMar>
            <w:vAlign w:val="bottom"/>
            <w:hideMark/>
          </w:tcPr>
          <w:p w14:paraId="533D37EF" w14:textId="77777777" w:rsidR="006A33D4" w:rsidRPr="003B120D" w:rsidRDefault="006A33D4" w:rsidP="00F35276">
            <w:pPr>
              <w:tabs>
                <w:tab w:val="left" w:pos="720"/>
              </w:tabs>
              <w:jc w:val="center"/>
              <w:textAlignment w:val="bottom"/>
              <w:rPr>
                <w:rFonts w:cs="Arial"/>
                <w:sz w:val="36"/>
                <w:szCs w:val="36"/>
                <w:lang w:eastAsia="en-GB"/>
              </w:rPr>
            </w:pPr>
            <w:r w:rsidRPr="003B120D">
              <w:rPr>
                <w:rFonts w:cs="Arial"/>
                <w:color w:val="000000"/>
                <w:kern w:val="24"/>
                <w:szCs w:val="18"/>
                <w:lang w:eastAsia="en-GB"/>
              </w:rPr>
              <w:t>6.02E-02</w:t>
            </w:r>
          </w:p>
        </w:tc>
        <w:tc>
          <w:tcPr>
            <w:tcW w:w="829" w:type="pct"/>
            <w:tcBorders>
              <w:top w:val="single" w:sz="8" w:space="0" w:color="008000"/>
              <w:left w:val="nil"/>
              <w:bottom w:val="nil"/>
              <w:right w:val="nil"/>
            </w:tcBorders>
            <w:shd w:val="clear" w:color="auto" w:fill="auto"/>
            <w:tcMar>
              <w:top w:w="15" w:type="dxa"/>
              <w:left w:w="15" w:type="dxa"/>
              <w:bottom w:w="0" w:type="dxa"/>
              <w:right w:w="15" w:type="dxa"/>
            </w:tcMar>
            <w:vAlign w:val="bottom"/>
            <w:hideMark/>
          </w:tcPr>
          <w:p w14:paraId="6E97BF70" w14:textId="77777777" w:rsidR="006A33D4" w:rsidRPr="003B120D" w:rsidRDefault="006A33D4" w:rsidP="00F35276">
            <w:pPr>
              <w:tabs>
                <w:tab w:val="left" w:pos="720"/>
              </w:tabs>
              <w:jc w:val="center"/>
              <w:textAlignment w:val="bottom"/>
              <w:rPr>
                <w:rFonts w:cs="Arial"/>
                <w:sz w:val="36"/>
                <w:szCs w:val="36"/>
                <w:lang w:eastAsia="en-GB"/>
              </w:rPr>
            </w:pPr>
            <w:r w:rsidRPr="003B120D">
              <w:rPr>
                <w:rFonts w:cs="Arial"/>
                <w:color w:val="000000"/>
                <w:kern w:val="24"/>
                <w:szCs w:val="18"/>
                <w:lang w:eastAsia="en-GB"/>
              </w:rPr>
              <w:t>1.67E-02</w:t>
            </w:r>
          </w:p>
        </w:tc>
        <w:tc>
          <w:tcPr>
            <w:tcW w:w="858" w:type="pct"/>
            <w:tcBorders>
              <w:top w:val="single" w:sz="8" w:space="0" w:color="008000"/>
              <w:left w:val="nil"/>
              <w:bottom w:val="nil"/>
              <w:right w:val="nil"/>
            </w:tcBorders>
            <w:shd w:val="clear" w:color="auto" w:fill="auto"/>
            <w:tcMar>
              <w:top w:w="15" w:type="dxa"/>
              <w:left w:w="15" w:type="dxa"/>
              <w:bottom w:w="0" w:type="dxa"/>
              <w:right w:w="15" w:type="dxa"/>
            </w:tcMar>
            <w:vAlign w:val="bottom"/>
            <w:hideMark/>
          </w:tcPr>
          <w:p w14:paraId="4E980FF1" w14:textId="77777777" w:rsidR="006A33D4" w:rsidRPr="003B120D" w:rsidRDefault="006A33D4" w:rsidP="00F35276">
            <w:pPr>
              <w:tabs>
                <w:tab w:val="left" w:pos="720"/>
              </w:tabs>
              <w:jc w:val="center"/>
              <w:textAlignment w:val="bottom"/>
              <w:rPr>
                <w:rFonts w:cs="Arial"/>
                <w:sz w:val="36"/>
                <w:szCs w:val="36"/>
                <w:lang w:eastAsia="en-GB"/>
              </w:rPr>
            </w:pPr>
            <w:r w:rsidRPr="003B120D">
              <w:rPr>
                <w:rFonts w:cs="Arial"/>
                <w:color w:val="000000"/>
                <w:kern w:val="24"/>
                <w:szCs w:val="18"/>
                <w:lang w:eastAsia="en-GB"/>
              </w:rPr>
              <w:t>8.98E-02</w:t>
            </w:r>
          </w:p>
        </w:tc>
        <w:tc>
          <w:tcPr>
            <w:tcW w:w="638" w:type="pct"/>
            <w:tcBorders>
              <w:top w:val="single" w:sz="8" w:space="0" w:color="008000"/>
              <w:left w:val="nil"/>
              <w:bottom w:val="nil"/>
              <w:right w:val="nil"/>
            </w:tcBorders>
            <w:shd w:val="clear" w:color="auto" w:fill="auto"/>
            <w:tcMar>
              <w:top w:w="15" w:type="dxa"/>
              <w:left w:w="15" w:type="dxa"/>
              <w:bottom w:w="0" w:type="dxa"/>
              <w:right w:w="15" w:type="dxa"/>
            </w:tcMar>
            <w:vAlign w:val="bottom"/>
            <w:hideMark/>
          </w:tcPr>
          <w:p w14:paraId="3AA86BE4" w14:textId="77777777" w:rsidR="006A33D4" w:rsidRPr="003B120D" w:rsidRDefault="006A33D4" w:rsidP="00F35276">
            <w:pPr>
              <w:tabs>
                <w:tab w:val="left" w:pos="720"/>
              </w:tabs>
              <w:jc w:val="center"/>
              <w:textAlignment w:val="bottom"/>
              <w:rPr>
                <w:rFonts w:cs="Arial"/>
                <w:sz w:val="36"/>
                <w:szCs w:val="36"/>
                <w:lang w:eastAsia="en-GB"/>
              </w:rPr>
            </w:pPr>
            <w:r w:rsidRPr="003B120D">
              <w:rPr>
                <w:rFonts w:cs="Arial"/>
                <w:color w:val="000000"/>
                <w:kern w:val="24"/>
                <w:szCs w:val="18"/>
                <w:lang w:eastAsia="en-GB"/>
              </w:rPr>
              <w:t>8.98E+01</w:t>
            </w:r>
          </w:p>
        </w:tc>
      </w:tr>
      <w:tr w:rsidR="006A33D4" w:rsidRPr="003B120D" w14:paraId="3FFDA103" w14:textId="77777777" w:rsidTr="00F35276">
        <w:trPr>
          <w:trHeight w:val="197"/>
        </w:trPr>
        <w:tc>
          <w:tcPr>
            <w:tcW w:w="646" w:type="pct"/>
            <w:tcBorders>
              <w:top w:val="nil"/>
              <w:left w:val="nil"/>
              <w:bottom w:val="nil"/>
              <w:right w:val="nil"/>
            </w:tcBorders>
            <w:shd w:val="clear" w:color="auto" w:fill="auto"/>
            <w:tcMar>
              <w:top w:w="15" w:type="dxa"/>
              <w:left w:w="15" w:type="dxa"/>
              <w:bottom w:w="0" w:type="dxa"/>
              <w:right w:w="15" w:type="dxa"/>
            </w:tcMar>
            <w:vAlign w:val="bottom"/>
            <w:hideMark/>
          </w:tcPr>
          <w:p w14:paraId="2CB82F34" w14:textId="77777777" w:rsidR="006A33D4" w:rsidRPr="003B120D" w:rsidRDefault="006A33D4" w:rsidP="00F35276">
            <w:pPr>
              <w:tabs>
                <w:tab w:val="left" w:pos="720"/>
              </w:tabs>
              <w:jc w:val="left"/>
              <w:textAlignment w:val="bottom"/>
              <w:rPr>
                <w:rFonts w:cs="Arial"/>
                <w:sz w:val="36"/>
                <w:szCs w:val="36"/>
                <w:lang w:eastAsia="en-GB"/>
              </w:rPr>
            </w:pPr>
            <w:r w:rsidRPr="003B120D">
              <w:rPr>
                <w:rFonts w:cs="Arial"/>
                <w:color w:val="000000"/>
                <w:kern w:val="24"/>
                <w:szCs w:val="18"/>
                <w:lang w:eastAsia="en-GB"/>
              </w:rPr>
              <w:t xml:space="preserve">0. 1 M </w:t>
            </w:r>
            <w:r>
              <w:rPr>
                <w:rFonts w:cs="Arial"/>
                <w:color w:val="000000"/>
                <w:kern w:val="24"/>
                <w:szCs w:val="18"/>
                <w:lang w:eastAsia="en-GB"/>
              </w:rPr>
              <w:t>NaOH</w:t>
            </w:r>
          </w:p>
        </w:tc>
        <w:tc>
          <w:tcPr>
            <w:tcW w:w="831" w:type="pct"/>
            <w:tcBorders>
              <w:top w:val="nil"/>
              <w:left w:val="nil"/>
              <w:bottom w:val="nil"/>
              <w:right w:val="nil"/>
            </w:tcBorders>
            <w:shd w:val="clear" w:color="auto" w:fill="auto"/>
            <w:tcMar>
              <w:top w:w="15" w:type="dxa"/>
              <w:left w:w="15" w:type="dxa"/>
              <w:bottom w:w="0" w:type="dxa"/>
              <w:right w:w="15" w:type="dxa"/>
            </w:tcMar>
            <w:vAlign w:val="bottom"/>
            <w:hideMark/>
          </w:tcPr>
          <w:p w14:paraId="30F7B39C" w14:textId="77777777" w:rsidR="006A33D4" w:rsidRPr="003B120D" w:rsidRDefault="006A33D4" w:rsidP="00F35276">
            <w:pPr>
              <w:tabs>
                <w:tab w:val="left" w:pos="720"/>
              </w:tabs>
              <w:jc w:val="center"/>
              <w:textAlignment w:val="bottom"/>
              <w:rPr>
                <w:rFonts w:cs="Arial"/>
                <w:sz w:val="36"/>
                <w:szCs w:val="36"/>
                <w:lang w:eastAsia="en-GB"/>
              </w:rPr>
            </w:pPr>
            <w:r w:rsidRPr="003B120D">
              <w:rPr>
                <w:rFonts w:cs="Arial"/>
                <w:color w:val="000000"/>
                <w:kern w:val="24"/>
                <w:szCs w:val="18"/>
                <w:lang w:eastAsia="en-GB"/>
              </w:rPr>
              <w:t>6.22E-03</w:t>
            </w:r>
          </w:p>
        </w:tc>
        <w:tc>
          <w:tcPr>
            <w:tcW w:w="619" w:type="pct"/>
            <w:tcBorders>
              <w:top w:val="nil"/>
              <w:left w:val="nil"/>
              <w:bottom w:val="nil"/>
              <w:right w:val="nil"/>
            </w:tcBorders>
            <w:shd w:val="clear" w:color="auto" w:fill="auto"/>
            <w:tcMar>
              <w:top w:w="15" w:type="dxa"/>
              <w:left w:w="15" w:type="dxa"/>
              <w:bottom w:w="0" w:type="dxa"/>
              <w:right w:w="15" w:type="dxa"/>
            </w:tcMar>
            <w:vAlign w:val="bottom"/>
            <w:hideMark/>
          </w:tcPr>
          <w:p w14:paraId="29B239B8" w14:textId="77777777" w:rsidR="006A33D4" w:rsidRPr="003B120D" w:rsidRDefault="006A33D4" w:rsidP="00F35276">
            <w:pPr>
              <w:tabs>
                <w:tab w:val="left" w:pos="720"/>
              </w:tabs>
              <w:jc w:val="center"/>
              <w:textAlignment w:val="bottom"/>
              <w:rPr>
                <w:rFonts w:cs="Arial"/>
                <w:sz w:val="36"/>
                <w:szCs w:val="36"/>
                <w:lang w:eastAsia="en-GB"/>
              </w:rPr>
            </w:pPr>
            <w:r w:rsidRPr="003B120D">
              <w:rPr>
                <w:rFonts w:cs="Arial"/>
                <w:color w:val="000000"/>
                <w:kern w:val="24"/>
                <w:szCs w:val="18"/>
                <w:lang w:eastAsia="en-GB"/>
              </w:rPr>
              <w:t>3.84E-03</w:t>
            </w:r>
          </w:p>
        </w:tc>
        <w:tc>
          <w:tcPr>
            <w:tcW w:w="579" w:type="pct"/>
            <w:tcBorders>
              <w:top w:val="nil"/>
              <w:left w:val="nil"/>
              <w:bottom w:val="nil"/>
              <w:right w:val="nil"/>
            </w:tcBorders>
            <w:shd w:val="clear" w:color="auto" w:fill="auto"/>
            <w:tcMar>
              <w:top w:w="15" w:type="dxa"/>
              <w:left w:w="15" w:type="dxa"/>
              <w:bottom w:w="0" w:type="dxa"/>
              <w:right w:w="15" w:type="dxa"/>
            </w:tcMar>
            <w:vAlign w:val="bottom"/>
            <w:hideMark/>
          </w:tcPr>
          <w:p w14:paraId="355D1DB6" w14:textId="77777777" w:rsidR="006A33D4" w:rsidRPr="003B120D" w:rsidRDefault="006A33D4" w:rsidP="00F35276">
            <w:pPr>
              <w:tabs>
                <w:tab w:val="left" w:pos="720"/>
              </w:tabs>
              <w:jc w:val="center"/>
              <w:textAlignment w:val="bottom"/>
              <w:rPr>
                <w:rFonts w:cs="Arial"/>
                <w:sz w:val="36"/>
                <w:szCs w:val="36"/>
                <w:lang w:eastAsia="en-GB"/>
              </w:rPr>
            </w:pPr>
            <w:r w:rsidRPr="003B120D">
              <w:rPr>
                <w:rFonts w:cs="Arial"/>
                <w:color w:val="000000"/>
                <w:kern w:val="24"/>
                <w:szCs w:val="18"/>
                <w:lang w:eastAsia="en-GB"/>
              </w:rPr>
              <w:t>2.90E-02</w:t>
            </w:r>
          </w:p>
        </w:tc>
        <w:tc>
          <w:tcPr>
            <w:tcW w:w="829" w:type="pct"/>
            <w:tcBorders>
              <w:top w:val="nil"/>
              <w:left w:val="nil"/>
              <w:bottom w:val="nil"/>
              <w:right w:val="nil"/>
            </w:tcBorders>
            <w:shd w:val="clear" w:color="auto" w:fill="auto"/>
            <w:tcMar>
              <w:top w:w="15" w:type="dxa"/>
              <w:left w:w="15" w:type="dxa"/>
              <w:bottom w:w="0" w:type="dxa"/>
              <w:right w:w="15" w:type="dxa"/>
            </w:tcMar>
            <w:vAlign w:val="bottom"/>
            <w:hideMark/>
          </w:tcPr>
          <w:p w14:paraId="5049AF1A" w14:textId="77777777" w:rsidR="006A33D4" w:rsidRPr="003B120D" w:rsidRDefault="006A33D4" w:rsidP="00F35276">
            <w:pPr>
              <w:tabs>
                <w:tab w:val="left" w:pos="720"/>
              </w:tabs>
              <w:jc w:val="center"/>
              <w:textAlignment w:val="bottom"/>
              <w:rPr>
                <w:rFonts w:cs="Arial"/>
                <w:sz w:val="36"/>
                <w:szCs w:val="36"/>
                <w:lang w:eastAsia="en-GB"/>
              </w:rPr>
            </w:pPr>
            <w:r w:rsidRPr="003B120D">
              <w:rPr>
                <w:rFonts w:cs="Arial"/>
                <w:color w:val="000000"/>
                <w:kern w:val="24"/>
                <w:szCs w:val="18"/>
                <w:lang w:eastAsia="en-GB"/>
              </w:rPr>
              <w:t>8.05E-03</w:t>
            </w:r>
          </w:p>
        </w:tc>
        <w:tc>
          <w:tcPr>
            <w:tcW w:w="858" w:type="pct"/>
            <w:tcBorders>
              <w:top w:val="nil"/>
              <w:left w:val="nil"/>
              <w:bottom w:val="nil"/>
              <w:right w:val="nil"/>
            </w:tcBorders>
            <w:shd w:val="clear" w:color="auto" w:fill="auto"/>
            <w:tcMar>
              <w:top w:w="15" w:type="dxa"/>
              <w:left w:w="15" w:type="dxa"/>
              <w:bottom w:w="0" w:type="dxa"/>
              <w:right w:w="15" w:type="dxa"/>
            </w:tcMar>
            <w:vAlign w:val="bottom"/>
            <w:hideMark/>
          </w:tcPr>
          <w:p w14:paraId="35CF4612" w14:textId="77777777" w:rsidR="006A33D4" w:rsidRPr="003B120D" w:rsidRDefault="006A33D4" w:rsidP="00F35276">
            <w:pPr>
              <w:tabs>
                <w:tab w:val="left" w:pos="720"/>
              </w:tabs>
              <w:jc w:val="center"/>
              <w:textAlignment w:val="bottom"/>
              <w:rPr>
                <w:rFonts w:cs="Arial"/>
                <w:sz w:val="36"/>
                <w:szCs w:val="36"/>
                <w:lang w:eastAsia="en-GB"/>
              </w:rPr>
            </w:pPr>
            <w:r w:rsidRPr="003B120D">
              <w:rPr>
                <w:rFonts w:cs="Arial"/>
                <w:color w:val="000000"/>
                <w:kern w:val="24"/>
                <w:szCs w:val="18"/>
                <w:lang w:eastAsia="en-GB"/>
              </w:rPr>
              <w:t>4.71E-02</w:t>
            </w:r>
          </w:p>
        </w:tc>
        <w:tc>
          <w:tcPr>
            <w:tcW w:w="638" w:type="pct"/>
            <w:tcBorders>
              <w:top w:val="nil"/>
              <w:left w:val="nil"/>
              <w:bottom w:val="nil"/>
              <w:right w:val="nil"/>
            </w:tcBorders>
            <w:shd w:val="clear" w:color="auto" w:fill="auto"/>
            <w:tcMar>
              <w:top w:w="15" w:type="dxa"/>
              <w:left w:w="15" w:type="dxa"/>
              <w:bottom w:w="0" w:type="dxa"/>
              <w:right w:w="15" w:type="dxa"/>
            </w:tcMar>
            <w:vAlign w:val="bottom"/>
            <w:hideMark/>
          </w:tcPr>
          <w:p w14:paraId="6BC00145" w14:textId="77777777" w:rsidR="006A33D4" w:rsidRPr="003B120D" w:rsidRDefault="006A33D4" w:rsidP="00F35276">
            <w:pPr>
              <w:tabs>
                <w:tab w:val="left" w:pos="720"/>
              </w:tabs>
              <w:jc w:val="center"/>
              <w:textAlignment w:val="bottom"/>
              <w:rPr>
                <w:rFonts w:cs="Arial"/>
                <w:sz w:val="36"/>
                <w:szCs w:val="36"/>
                <w:lang w:eastAsia="en-GB"/>
              </w:rPr>
            </w:pPr>
            <w:r w:rsidRPr="003B120D">
              <w:rPr>
                <w:rFonts w:cs="Arial"/>
                <w:color w:val="000000"/>
                <w:kern w:val="24"/>
                <w:szCs w:val="18"/>
                <w:lang w:eastAsia="en-GB"/>
              </w:rPr>
              <w:t>4.71E+01</w:t>
            </w:r>
          </w:p>
        </w:tc>
      </w:tr>
      <w:tr w:rsidR="006A33D4" w:rsidRPr="003B120D" w14:paraId="3BBB4293" w14:textId="77777777" w:rsidTr="00F35276">
        <w:trPr>
          <w:trHeight w:val="197"/>
        </w:trPr>
        <w:tc>
          <w:tcPr>
            <w:tcW w:w="646" w:type="pct"/>
            <w:tcBorders>
              <w:top w:val="nil"/>
              <w:left w:val="nil"/>
              <w:bottom w:val="single" w:sz="12" w:space="0" w:color="008000"/>
              <w:right w:val="nil"/>
            </w:tcBorders>
            <w:shd w:val="clear" w:color="auto" w:fill="auto"/>
            <w:tcMar>
              <w:top w:w="15" w:type="dxa"/>
              <w:left w:w="15" w:type="dxa"/>
              <w:bottom w:w="0" w:type="dxa"/>
              <w:right w:w="15" w:type="dxa"/>
            </w:tcMar>
            <w:vAlign w:val="bottom"/>
            <w:hideMark/>
          </w:tcPr>
          <w:p w14:paraId="0016CE21" w14:textId="77777777" w:rsidR="006A33D4" w:rsidRPr="003B120D" w:rsidRDefault="006A33D4" w:rsidP="00F35276">
            <w:pPr>
              <w:tabs>
                <w:tab w:val="left" w:pos="720"/>
              </w:tabs>
              <w:jc w:val="left"/>
              <w:textAlignment w:val="bottom"/>
              <w:rPr>
                <w:rFonts w:cs="Arial"/>
                <w:sz w:val="36"/>
                <w:szCs w:val="36"/>
                <w:lang w:eastAsia="en-GB"/>
              </w:rPr>
            </w:pPr>
            <w:r w:rsidRPr="003B120D">
              <w:rPr>
                <w:rFonts w:cs="Arial"/>
                <w:color w:val="000000"/>
                <w:kern w:val="24"/>
                <w:szCs w:val="18"/>
                <w:lang w:eastAsia="en-GB"/>
              </w:rPr>
              <w:t xml:space="preserve">0.5 M </w:t>
            </w:r>
            <w:r>
              <w:rPr>
                <w:rFonts w:cs="Arial"/>
                <w:color w:val="000000"/>
                <w:kern w:val="24"/>
                <w:szCs w:val="18"/>
                <w:lang w:eastAsia="en-GB"/>
              </w:rPr>
              <w:t>NaOH</w:t>
            </w:r>
          </w:p>
        </w:tc>
        <w:tc>
          <w:tcPr>
            <w:tcW w:w="831" w:type="pct"/>
            <w:tcBorders>
              <w:top w:val="nil"/>
              <w:left w:val="nil"/>
              <w:bottom w:val="single" w:sz="12" w:space="0" w:color="008000"/>
              <w:right w:val="nil"/>
            </w:tcBorders>
            <w:shd w:val="clear" w:color="auto" w:fill="auto"/>
            <w:tcMar>
              <w:top w:w="15" w:type="dxa"/>
              <w:left w:w="15" w:type="dxa"/>
              <w:bottom w:w="0" w:type="dxa"/>
              <w:right w:w="15" w:type="dxa"/>
            </w:tcMar>
            <w:vAlign w:val="bottom"/>
            <w:hideMark/>
          </w:tcPr>
          <w:p w14:paraId="05EE79E5" w14:textId="77777777" w:rsidR="006A33D4" w:rsidRPr="003B120D" w:rsidRDefault="006A33D4" w:rsidP="00F35276">
            <w:pPr>
              <w:tabs>
                <w:tab w:val="left" w:pos="720"/>
              </w:tabs>
              <w:jc w:val="center"/>
              <w:textAlignment w:val="bottom"/>
              <w:rPr>
                <w:rFonts w:cs="Arial"/>
                <w:sz w:val="36"/>
                <w:szCs w:val="36"/>
                <w:lang w:eastAsia="en-GB"/>
              </w:rPr>
            </w:pPr>
            <w:r w:rsidRPr="003B120D">
              <w:rPr>
                <w:rFonts w:cs="Arial"/>
                <w:color w:val="000000"/>
                <w:kern w:val="24"/>
                <w:szCs w:val="18"/>
                <w:lang w:eastAsia="en-GB"/>
              </w:rPr>
              <w:t>3.43E-03</w:t>
            </w:r>
          </w:p>
        </w:tc>
        <w:tc>
          <w:tcPr>
            <w:tcW w:w="619" w:type="pct"/>
            <w:tcBorders>
              <w:top w:val="nil"/>
              <w:left w:val="nil"/>
              <w:bottom w:val="single" w:sz="12" w:space="0" w:color="008000"/>
              <w:right w:val="nil"/>
            </w:tcBorders>
            <w:shd w:val="clear" w:color="auto" w:fill="auto"/>
            <w:tcMar>
              <w:top w:w="15" w:type="dxa"/>
              <w:left w:w="15" w:type="dxa"/>
              <w:bottom w:w="0" w:type="dxa"/>
              <w:right w:w="15" w:type="dxa"/>
            </w:tcMar>
            <w:vAlign w:val="bottom"/>
            <w:hideMark/>
          </w:tcPr>
          <w:p w14:paraId="28C6F89F" w14:textId="77777777" w:rsidR="006A33D4" w:rsidRPr="003B120D" w:rsidRDefault="006A33D4" w:rsidP="00F35276">
            <w:pPr>
              <w:tabs>
                <w:tab w:val="left" w:pos="720"/>
              </w:tabs>
              <w:jc w:val="center"/>
              <w:textAlignment w:val="bottom"/>
              <w:rPr>
                <w:rFonts w:cs="Arial"/>
                <w:sz w:val="36"/>
                <w:szCs w:val="36"/>
                <w:lang w:eastAsia="en-GB"/>
              </w:rPr>
            </w:pPr>
            <w:r w:rsidRPr="003B120D">
              <w:rPr>
                <w:rFonts w:cs="Arial"/>
                <w:color w:val="000000"/>
                <w:kern w:val="24"/>
                <w:szCs w:val="18"/>
                <w:lang w:eastAsia="en-GB"/>
              </w:rPr>
              <w:t>1.06E-02</w:t>
            </w:r>
          </w:p>
        </w:tc>
        <w:tc>
          <w:tcPr>
            <w:tcW w:w="579" w:type="pct"/>
            <w:tcBorders>
              <w:top w:val="nil"/>
              <w:left w:val="nil"/>
              <w:bottom w:val="single" w:sz="12" w:space="0" w:color="008000"/>
              <w:right w:val="nil"/>
            </w:tcBorders>
            <w:shd w:val="clear" w:color="auto" w:fill="auto"/>
            <w:tcMar>
              <w:top w:w="15" w:type="dxa"/>
              <w:left w:w="15" w:type="dxa"/>
              <w:bottom w:w="0" w:type="dxa"/>
              <w:right w:w="15" w:type="dxa"/>
            </w:tcMar>
            <w:vAlign w:val="bottom"/>
            <w:hideMark/>
          </w:tcPr>
          <w:p w14:paraId="743CB642" w14:textId="77777777" w:rsidR="006A33D4" w:rsidRPr="003B120D" w:rsidRDefault="006A33D4" w:rsidP="00F35276">
            <w:pPr>
              <w:tabs>
                <w:tab w:val="left" w:pos="720"/>
              </w:tabs>
              <w:jc w:val="center"/>
              <w:textAlignment w:val="bottom"/>
              <w:rPr>
                <w:rFonts w:cs="Arial"/>
                <w:sz w:val="36"/>
                <w:szCs w:val="36"/>
                <w:lang w:eastAsia="en-GB"/>
              </w:rPr>
            </w:pPr>
            <w:r w:rsidRPr="003B120D">
              <w:rPr>
                <w:rFonts w:cs="Arial"/>
                <w:color w:val="000000"/>
                <w:kern w:val="24"/>
                <w:szCs w:val="18"/>
                <w:lang w:eastAsia="en-GB"/>
              </w:rPr>
              <w:t>1.60E-02</w:t>
            </w:r>
          </w:p>
        </w:tc>
        <w:tc>
          <w:tcPr>
            <w:tcW w:w="829" w:type="pct"/>
            <w:tcBorders>
              <w:top w:val="nil"/>
              <w:left w:val="nil"/>
              <w:bottom w:val="single" w:sz="12" w:space="0" w:color="008000"/>
              <w:right w:val="nil"/>
            </w:tcBorders>
            <w:shd w:val="clear" w:color="auto" w:fill="auto"/>
            <w:tcMar>
              <w:top w:w="15" w:type="dxa"/>
              <w:left w:w="15" w:type="dxa"/>
              <w:bottom w:w="0" w:type="dxa"/>
              <w:right w:w="15" w:type="dxa"/>
            </w:tcMar>
            <w:vAlign w:val="bottom"/>
            <w:hideMark/>
          </w:tcPr>
          <w:p w14:paraId="5828E914" w14:textId="77777777" w:rsidR="006A33D4" w:rsidRPr="003B120D" w:rsidRDefault="006A33D4" w:rsidP="00F35276">
            <w:pPr>
              <w:tabs>
                <w:tab w:val="left" w:pos="720"/>
              </w:tabs>
              <w:jc w:val="center"/>
              <w:textAlignment w:val="bottom"/>
              <w:rPr>
                <w:rFonts w:cs="Arial"/>
                <w:sz w:val="36"/>
                <w:szCs w:val="36"/>
                <w:lang w:eastAsia="en-GB"/>
              </w:rPr>
            </w:pPr>
            <w:r w:rsidRPr="003B120D">
              <w:rPr>
                <w:rFonts w:cs="Arial"/>
                <w:color w:val="000000"/>
                <w:kern w:val="24"/>
                <w:szCs w:val="18"/>
                <w:lang w:eastAsia="en-GB"/>
              </w:rPr>
              <w:t>4.44E-03</w:t>
            </w:r>
          </w:p>
        </w:tc>
        <w:tc>
          <w:tcPr>
            <w:tcW w:w="858" w:type="pct"/>
            <w:tcBorders>
              <w:top w:val="nil"/>
              <w:left w:val="nil"/>
              <w:bottom w:val="single" w:sz="12" w:space="0" w:color="008000"/>
              <w:right w:val="nil"/>
            </w:tcBorders>
            <w:shd w:val="clear" w:color="auto" w:fill="auto"/>
            <w:tcMar>
              <w:top w:w="15" w:type="dxa"/>
              <w:left w:w="15" w:type="dxa"/>
              <w:bottom w:w="0" w:type="dxa"/>
              <w:right w:w="15" w:type="dxa"/>
            </w:tcMar>
            <w:vAlign w:val="bottom"/>
            <w:hideMark/>
          </w:tcPr>
          <w:p w14:paraId="34827BB5" w14:textId="77777777" w:rsidR="006A33D4" w:rsidRPr="003B120D" w:rsidRDefault="006A33D4" w:rsidP="00F35276">
            <w:pPr>
              <w:tabs>
                <w:tab w:val="left" w:pos="720"/>
              </w:tabs>
              <w:jc w:val="center"/>
              <w:textAlignment w:val="bottom"/>
              <w:rPr>
                <w:rFonts w:cs="Arial"/>
                <w:sz w:val="36"/>
                <w:szCs w:val="36"/>
                <w:lang w:eastAsia="en-GB"/>
              </w:rPr>
            </w:pPr>
            <w:r w:rsidRPr="003B120D">
              <w:rPr>
                <w:rFonts w:cs="Arial"/>
                <w:color w:val="000000"/>
                <w:kern w:val="24"/>
                <w:szCs w:val="18"/>
                <w:lang w:eastAsia="en-GB"/>
              </w:rPr>
              <w:t>3.45E-02</w:t>
            </w:r>
          </w:p>
        </w:tc>
        <w:tc>
          <w:tcPr>
            <w:tcW w:w="638" w:type="pct"/>
            <w:tcBorders>
              <w:top w:val="nil"/>
              <w:left w:val="nil"/>
              <w:bottom w:val="single" w:sz="12" w:space="0" w:color="008000"/>
              <w:right w:val="nil"/>
            </w:tcBorders>
            <w:shd w:val="clear" w:color="auto" w:fill="auto"/>
            <w:tcMar>
              <w:top w:w="15" w:type="dxa"/>
              <w:left w:w="15" w:type="dxa"/>
              <w:bottom w:w="0" w:type="dxa"/>
              <w:right w:w="15" w:type="dxa"/>
            </w:tcMar>
            <w:vAlign w:val="bottom"/>
            <w:hideMark/>
          </w:tcPr>
          <w:p w14:paraId="0CD0A79F" w14:textId="77777777" w:rsidR="006A33D4" w:rsidRPr="003B120D" w:rsidRDefault="006A33D4" w:rsidP="00F35276">
            <w:pPr>
              <w:tabs>
                <w:tab w:val="left" w:pos="720"/>
              </w:tabs>
              <w:jc w:val="center"/>
              <w:textAlignment w:val="bottom"/>
              <w:rPr>
                <w:rFonts w:cs="Arial"/>
                <w:sz w:val="36"/>
                <w:szCs w:val="36"/>
                <w:lang w:eastAsia="en-GB"/>
              </w:rPr>
            </w:pPr>
            <w:r w:rsidRPr="003B120D">
              <w:rPr>
                <w:rFonts w:cs="Arial"/>
                <w:color w:val="000000"/>
                <w:kern w:val="24"/>
                <w:szCs w:val="18"/>
                <w:lang w:eastAsia="en-GB"/>
              </w:rPr>
              <w:t>3.45E+01</w:t>
            </w:r>
          </w:p>
        </w:tc>
      </w:tr>
    </w:tbl>
    <w:p w14:paraId="03BC205F" w14:textId="35ED22EE" w:rsidR="003B120D" w:rsidRPr="00AD260A" w:rsidRDefault="006A33D4" w:rsidP="003B120D">
      <w:pPr>
        <w:pStyle w:val="CETBodytext"/>
        <w:rPr>
          <w:sz w:val="14"/>
          <w:szCs w:val="14"/>
        </w:rPr>
      </w:pPr>
      <w:r w:rsidRPr="00AD260A">
        <w:rPr>
          <w:sz w:val="14"/>
          <w:szCs w:val="14"/>
          <w:lang w:val="en-GB"/>
        </w:rPr>
        <w:t>*</w:t>
      </w:r>
      <w:r w:rsidRPr="00AD260A">
        <w:rPr>
          <w:sz w:val="14"/>
          <w:szCs w:val="14"/>
        </w:rPr>
        <w:t xml:space="preserve">The overall uncertainty quantification resulted in less than 30 % for each case.  </w:t>
      </w:r>
    </w:p>
    <w:p w14:paraId="726DEF8E" w14:textId="77777777" w:rsidR="00BB2B02" w:rsidRDefault="00BB2B02" w:rsidP="00BB2B02">
      <w:pPr>
        <w:pStyle w:val="CETHeading1"/>
        <w:rPr>
          <w:lang w:val="en-GB"/>
        </w:rPr>
      </w:pPr>
      <w:r w:rsidRPr="00B57B36">
        <w:rPr>
          <w:lang w:val="en-GB"/>
        </w:rPr>
        <w:t>Conclusions</w:t>
      </w:r>
    </w:p>
    <w:p w14:paraId="7E8BFD1D" w14:textId="1FA76B19" w:rsidR="00BB2B02" w:rsidRPr="00D731BE" w:rsidRDefault="00AF4948" w:rsidP="00BB2B02">
      <w:pPr>
        <w:pStyle w:val="CETBodytext"/>
        <w:rPr>
          <w:lang w:val="en-GB"/>
        </w:rPr>
      </w:pPr>
      <w:r w:rsidRPr="00AF4948">
        <w:rPr>
          <w:lang w:val="en-GB"/>
        </w:rPr>
        <w:t>Preliminary tests on BSG showed that under minimal processing conditions it is possible to obtain extracts with a high dry matter content</w:t>
      </w:r>
      <w:r w:rsidR="007977E1">
        <w:rPr>
          <w:lang w:val="en-GB"/>
        </w:rPr>
        <w:t>. Q</w:t>
      </w:r>
      <w:r w:rsidRPr="00AF4948">
        <w:rPr>
          <w:lang w:val="en-GB"/>
        </w:rPr>
        <w:t xml:space="preserve">uantitative measurements of protein content in the extracts suggest </w:t>
      </w:r>
      <w:r w:rsidR="007977E1">
        <w:rPr>
          <w:lang w:val="en-GB"/>
        </w:rPr>
        <w:t>t</w:t>
      </w:r>
      <w:r w:rsidR="007977E1" w:rsidRPr="007977E1">
        <w:rPr>
          <w:lang w:val="en-GB"/>
        </w:rPr>
        <w:t>he extracted dry matter corresponds mostly to protein</w:t>
      </w:r>
      <w:r w:rsidR="007977E1">
        <w:rPr>
          <w:lang w:val="en-GB"/>
        </w:rPr>
        <w:t>s.</w:t>
      </w:r>
      <w:r w:rsidRPr="00AF4948">
        <w:rPr>
          <w:lang w:val="en-GB"/>
        </w:rPr>
        <w:t xml:space="preserve"> The</w:t>
      </w:r>
      <w:r w:rsidR="007977E1">
        <w:rPr>
          <w:lang w:val="en-GB"/>
        </w:rPr>
        <w:t xml:space="preserve"> achieved</w:t>
      </w:r>
      <w:r w:rsidRPr="00AF4948">
        <w:rPr>
          <w:lang w:val="en-GB"/>
        </w:rPr>
        <w:t xml:space="preserve"> extracti</w:t>
      </w:r>
      <w:r w:rsidR="007977E1">
        <w:rPr>
          <w:lang w:val="en-GB"/>
        </w:rPr>
        <w:t>on</w:t>
      </w:r>
      <w:r w:rsidRPr="00AF4948">
        <w:rPr>
          <w:lang w:val="en-GB"/>
        </w:rPr>
        <w:t xml:space="preserve"> yields are 39.88, 82.81 and 150.09 g </w:t>
      </w:r>
      <w:r w:rsidRPr="00BA624A">
        <w:rPr>
          <w:vertAlign w:val="subscript"/>
          <w:lang w:val="en-GB"/>
        </w:rPr>
        <w:t>DM</w:t>
      </w:r>
      <w:r w:rsidRPr="00AF4948">
        <w:rPr>
          <w:lang w:val="en-GB"/>
        </w:rPr>
        <w:t xml:space="preserve">/kg </w:t>
      </w:r>
      <w:r w:rsidRPr="00BA624A">
        <w:rPr>
          <w:vertAlign w:val="subscript"/>
          <w:lang w:val="en-GB"/>
        </w:rPr>
        <w:t>fresh BSG</w:t>
      </w:r>
      <w:r w:rsidRPr="00AF4948">
        <w:rPr>
          <w:lang w:val="en-GB"/>
        </w:rPr>
        <w:t xml:space="preserve"> for the system with DI H</w:t>
      </w:r>
      <w:r w:rsidRPr="003E4024">
        <w:rPr>
          <w:vertAlign w:val="subscript"/>
          <w:lang w:val="en-GB"/>
        </w:rPr>
        <w:t>2</w:t>
      </w:r>
      <w:r w:rsidRPr="00AF4948">
        <w:rPr>
          <w:lang w:val="en-GB"/>
        </w:rPr>
        <w:t xml:space="preserve">O, 0.1 M NaOH and 0.5 M NaOH, respectively. </w:t>
      </w:r>
      <w:r w:rsidR="007977E1" w:rsidRPr="007977E1">
        <w:rPr>
          <w:lang w:val="en-GB"/>
        </w:rPr>
        <w:t xml:space="preserve">The </w:t>
      </w:r>
      <w:r w:rsidR="007977E1">
        <w:rPr>
          <w:lang w:val="en-GB"/>
        </w:rPr>
        <w:t xml:space="preserve">chosen </w:t>
      </w:r>
      <w:r w:rsidR="007977E1" w:rsidRPr="007977E1">
        <w:rPr>
          <w:lang w:val="en-GB"/>
        </w:rPr>
        <w:t>saturati</w:t>
      </w:r>
      <w:r w:rsidR="007977E1">
        <w:rPr>
          <w:lang w:val="en-GB"/>
        </w:rPr>
        <w:t>on</w:t>
      </w:r>
      <w:r w:rsidR="007977E1" w:rsidRPr="007977E1">
        <w:rPr>
          <w:lang w:val="en-GB"/>
        </w:rPr>
        <w:t xml:space="preserve"> model was </w:t>
      </w:r>
      <w:r w:rsidR="007977E1">
        <w:rPr>
          <w:lang w:val="en-GB"/>
        </w:rPr>
        <w:t>suitabl</w:t>
      </w:r>
      <w:r w:rsidR="007977E1" w:rsidRPr="007977E1">
        <w:rPr>
          <w:lang w:val="en-GB"/>
        </w:rPr>
        <w:t xml:space="preserve">e to adjust the extraction data, considering the </w:t>
      </w:r>
      <w:r w:rsidR="007977E1">
        <w:rPr>
          <w:lang w:val="en-GB"/>
        </w:rPr>
        <w:t>phenomenology as the (</w:t>
      </w:r>
      <w:r w:rsidR="007977E1" w:rsidRPr="007977E1">
        <w:rPr>
          <w:lang w:val="en-GB"/>
        </w:rPr>
        <w:t>pseudo</w:t>
      </w:r>
      <w:r w:rsidR="007977E1">
        <w:rPr>
          <w:lang w:val="en-GB"/>
        </w:rPr>
        <w:t>)</w:t>
      </w:r>
      <w:r w:rsidR="007977E1" w:rsidRPr="007977E1">
        <w:rPr>
          <w:lang w:val="en-GB"/>
        </w:rPr>
        <w:t xml:space="preserve">kinetics of the </w:t>
      </w:r>
      <w:r w:rsidR="00AA7D84">
        <w:rPr>
          <w:lang w:val="en-GB"/>
        </w:rPr>
        <w:t>time-evolution</w:t>
      </w:r>
      <w:r w:rsidR="007977E1">
        <w:rPr>
          <w:lang w:val="en-GB"/>
        </w:rPr>
        <w:t xml:space="preserve"> </w:t>
      </w:r>
      <w:r w:rsidR="007977E1" w:rsidRPr="007977E1">
        <w:rPr>
          <w:lang w:val="en-GB"/>
        </w:rPr>
        <w:t>concentration in the extracts</w:t>
      </w:r>
      <w:r w:rsidRPr="00AA7D84">
        <w:rPr>
          <w:lang w:val="en-GB"/>
        </w:rPr>
        <w:t xml:space="preserve">. </w:t>
      </w:r>
      <w:r w:rsidR="0080547A" w:rsidRPr="00AA7D84">
        <w:rPr>
          <w:lang w:val="en-GB"/>
        </w:rPr>
        <w:t xml:space="preserve">The </w:t>
      </w:r>
      <w:r w:rsidR="00BA624A" w:rsidRPr="00AA7D84">
        <w:rPr>
          <w:lang w:val="en-GB"/>
        </w:rPr>
        <w:t>e</w:t>
      </w:r>
      <w:r w:rsidRPr="00AA7D84">
        <w:rPr>
          <w:lang w:val="en-GB"/>
        </w:rPr>
        <w:t>nergy costs were calculated at laboratory scale and energy footprints were obtained in the same order of magnitude of other reference protein extracts.</w:t>
      </w:r>
      <w:r w:rsidR="00BA624A" w:rsidRPr="00AA7D84">
        <w:rPr>
          <w:lang w:val="en-GB"/>
        </w:rPr>
        <w:t xml:space="preserve"> </w:t>
      </w:r>
      <w:r w:rsidR="0080547A" w:rsidRPr="00AA7D84">
        <w:rPr>
          <w:lang w:val="en-GB"/>
        </w:rPr>
        <w:t xml:space="preserve">Further experimental investigations are required to fully characterize the </w:t>
      </w:r>
      <w:r w:rsidR="0080547A">
        <w:rPr>
          <w:lang w:val="en-GB"/>
        </w:rPr>
        <w:t xml:space="preserve">obtained extracts, to </w:t>
      </w:r>
      <w:r w:rsidR="00BA624A">
        <w:rPr>
          <w:lang w:val="en-GB"/>
        </w:rPr>
        <w:t>establish a protocol for accurate quantification of the protein share in BSG extracts</w:t>
      </w:r>
      <w:r w:rsidR="0080547A">
        <w:rPr>
          <w:lang w:val="en-GB"/>
        </w:rPr>
        <w:t xml:space="preserve"> as well as other residual </w:t>
      </w:r>
      <w:r w:rsidR="00AA7D84">
        <w:rPr>
          <w:lang w:val="en-GB"/>
        </w:rPr>
        <w:t xml:space="preserve">(valuable) </w:t>
      </w:r>
      <w:r w:rsidR="0080547A">
        <w:rPr>
          <w:lang w:val="en-GB"/>
        </w:rPr>
        <w:t xml:space="preserve">compounds (e.g., </w:t>
      </w:r>
      <w:r w:rsidR="0080547A" w:rsidRPr="0080547A">
        <w:rPr>
          <w:lang w:val="en-GB"/>
        </w:rPr>
        <w:t>bioactive compound</w:t>
      </w:r>
      <w:r w:rsidR="0080547A">
        <w:rPr>
          <w:lang w:val="en-GB"/>
        </w:rPr>
        <w:t xml:space="preserve">s); while the kinetics and energy-consumption insights provided in this study might be useful for scale-up purposes. </w:t>
      </w:r>
    </w:p>
    <w:p w14:paraId="4A1E3845" w14:textId="36D95FBB" w:rsidR="0080547A" w:rsidRPr="004F19F7" w:rsidRDefault="0080547A" w:rsidP="0080547A">
      <w:pPr>
        <w:pStyle w:val="CETReference"/>
      </w:pPr>
      <w:r w:rsidRPr="004F19F7">
        <w:t>Acknowledgements</w:t>
      </w:r>
    </w:p>
    <w:p w14:paraId="297F1E80" w14:textId="4FAF00AC" w:rsidR="001D4AB3" w:rsidRPr="001E5BF5" w:rsidRDefault="0080547A" w:rsidP="001D4AB3">
      <w:pPr>
        <w:pStyle w:val="CETBodytext"/>
      </w:pPr>
      <w:r w:rsidRPr="00B806C0">
        <w:rPr>
          <w:lang w:val="en-GB"/>
        </w:rPr>
        <w:t xml:space="preserve">The authors kindly thank </w:t>
      </w:r>
      <w:r>
        <w:rPr>
          <w:lang w:val="en-GB"/>
        </w:rPr>
        <w:t>Thomas Piccolo</w:t>
      </w:r>
      <w:r w:rsidRPr="00B806C0">
        <w:rPr>
          <w:lang w:val="en-GB"/>
        </w:rPr>
        <w:t xml:space="preserve"> for </w:t>
      </w:r>
      <w:r>
        <w:rPr>
          <w:lang w:val="en-GB"/>
        </w:rPr>
        <w:t>his</w:t>
      </w:r>
      <w:r w:rsidRPr="00B806C0">
        <w:rPr>
          <w:lang w:val="en-GB"/>
        </w:rPr>
        <w:t xml:space="preserve"> valuable support in the experimental tests and data compilation</w:t>
      </w:r>
      <w:r w:rsidR="001D4AB3">
        <w:rPr>
          <w:lang w:val="en-GB"/>
        </w:rPr>
        <w:t xml:space="preserve"> and the </w:t>
      </w:r>
      <w:proofErr w:type="spellStart"/>
      <w:r w:rsidR="001D4AB3" w:rsidRPr="0034315D">
        <w:t>Birrificio</w:t>
      </w:r>
      <w:proofErr w:type="spellEnd"/>
      <w:r w:rsidR="001D4AB3" w:rsidRPr="0034315D">
        <w:t xml:space="preserve"> </w:t>
      </w:r>
      <w:proofErr w:type="spellStart"/>
      <w:r w:rsidR="001D4AB3" w:rsidRPr="0034315D">
        <w:t>Leumann</w:t>
      </w:r>
      <w:proofErr w:type="spellEnd"/>
      <w:r w:rsidR="001D4AB3">
        <w:t xml:space="preserve"> for supplying the BSG </w:t>
      </w:r>
      <w:r w:rsidR="00AD260A">
        <w:t xml:space="preserve">which was </w:t>
      </w:r>
      <w:r w:rsidR="001D4AB3">
        <w:t>used in this study.</w:t>
      </w:r>
    </w:p>
    <w:p w14:paraId="2492CB03" w14:textId="77777777" w:rsidR="00BB2B02" w:rsidRPr="00B57B36" w:rsidRDefault="00BB2B02" w:rsidP="00BB2B02">
      <w:pPr>
        <w:pStyle w:val="CETReference"/>
      </w:pPr>
      <w:r w:rsidRPr="00B57B36">
        <w:t>References</w:t>
      </w:r>
    </w:p>
    <w:p w14:paraId="65410932" w14:textId="7F94084A" w:rsidR="00BA624A" w:rsidRPr="00AD260A" w:rsidRDefault="00445E6F" w:rsidP="00BA624A">
      <w:pPr>
        <w:widowControl w:val="0"/>
        <w:autoSpaceDE w:val="0"/>
        <w:autoSpaceDN w:val="0"/>
        <w:adjustRightInd w:val="0"/>
        <w:spacing w:line="240" w:lineRule="auto"/>
        <w:rPr>
          <w:rFonts w:cs="Arial"/>
          <w:noProof/>
          <w:szCs w:val="18"/>
        </w:rPr>
      </w:pPr>
      <w:r w:rsidRPr="00AD260A">
        <w:rPr>
          <w:szCs w:val="18"/>
        </w:rPr>
        <w:fldChar w:fldCharType="begin" w:fldLock="1"/>
      </w:r>
      <w:r w:rsidRPr="00AD260A">
        <w:rPr>
          <w:szCs w:val="18"/>
        </w:rPr>
        <w:instrText xml:space="preserve">ADDIN Mendeley Bibliography CSL_BIBLIOGRAPHY </w:instrText>
      </w:r>
      <w:r w:rsidRPr="00AD260A">
        <w:rPr>
          <w:szCs w:val="18"/>
        </w:rPr>
        <w:fldChar w:fldCharType="separate"/>
      </w:r>
      <w:r w:rsidR="00BA624A" w:rsidRPr="00AD260A">
        <w:rPr>
          <w:rFonts w:cs="Arial"/>
          <w:noProof/>
          <w:szCs w:val="18"/>
        </w:rPr>
        <w:t>Agri-footprint-5</w:t>
      </w:r>
      <w:r w:rsidR="006A33D4">
        <w:rPr>
          <w:rFonts w:cs="Arial"/>
          <w:noProof/>
          <w:szCs w:val="18"/>
        </w:rPr>
        <w:t>,</w:t>
      </w:r>
      <w:r w:rsidR="00BA624A" w:rsidRPr="00AD260A">
        <w:rPr>
          <w:rFonts w:cs="Arial"/>
          <w:noProof/>
          <w:szCs w:val="18"/>
        </w:rPr>
        <w:t xml:space="preserve"> 2021</w:t>
      </w:r>
      <w:r w:rsidR="006A33D4">
        <w:rPr>
          <w:rFonts w:cs="Arial"/>
          <w:noProof/>
          <w:szCs w:val="18"/>
        </w:rPr>
        <w:t>,</w:t>
      </w:r>
      <w:r w:rsidR="00BA624A" w:rsidRPr="00AD260A">
        <w:rPr>
          <w:rFonts w:cs="Arial"/>
          <w:noProof/>
          <w:szCs w:val="18"/>
        </w:rPr>
        <w:t xml:space="preserve"> Understanding the impact of food - database’</w:t>
      </w:r>
      <w:r w:rsidR="006A33D4">
        <w:rPr>
          <w:rFonts w:cs="Arial"/>
          <w:noProof/>
          <w:szCs w:val="18"/>
        </w:rPr>
        <w:t>,</w:t>
      </w:r>
      <w:r w:rsidR="00BA624A" w:rsidRPr="00AD260A">
        <w:rPr>
          <w:rFonts w:cs="Arial"/>
          <w:noProof/>
          <w:szCs w:val="18"/>
        </w:rPr>
        <w:t xml:space="preserve"> SimaPro 9.1.1.1.</w:t>
      </w:r>
    </w:p>
    <w:p w14:paraId="0CBA9D12" w14:textId="3C746072" w:rsidR="0072070C" w:rsidRPr="00AD260A" w:rsidRDefault="0072070C" w:rsidP="0072070C">
      <w:pPr>
        <w:rPr>
          <w:rFonts w:cs="Arial"/>
          <w:noProof/>
          <w:szCs w:val="18"/>
        </w:rPr>
      </w:pPr>
      <w:r w:rsidRPr="00AD260A">
        <w:rPr>
          <w:rFonts w:cs="Arial"/>
          <w:noProof/>
          <w:szCs w:val="18"/>
        </w:rPr>
        <w:t>Ahmed H.</w:t>
      </w:r>
      <w:r w:rsidR="006A33D4">
        <w:rPr>
          <w:rFonts w:cs="Arial"/>
          <w:noProof/>
          <w:szCs w:val="18"/>
        </w:rPr>
        <w:t>,</w:t>
      </w:r>
      <w:r w:rsidRPr="00AD260A">
        <w:rPr>
          <w:rFonts w:cs="Arial"/>
          <w:noProof/>
          <w:szCs w:val="18"/>
        </w:rPr>
        <w:t xml:space="preserve"> 2017</w:t>
      </w:r>
      <w:r w:rsidR="006A33D4">
        <w:rPr>
          <w:rFonts w:cs="Arial"/>
          <w:noProof/>
          <w:szCs w:val="18"/>
        </w:rPr>
        <w:t>,</w:t>
      </w:r>
      <w:r w:rsidRPr="00AD260A">
        <w:rPr>
          <w:rFonts w:cs="Arial"/>
          <w:noProof/>
          <w:szCs w:val="18"/>
        </w:rPr>
        <w:t xml:space="preserve"> Estimation of Proteins</w:t>
      </w:r>
      <w:r w:rsidR="006A33D4">
        <w:rPr>
          <w:rFonts w:cs="Arial"/>
          <w:noProof/>
          <w:szCs w:val="18"/>
        </w:rPr>
        <w:t>,</w:t>
      </w:r>
      <w:r w:rsidRPr="00AD260A">
        <w:rPr>
          <w:rFonts w:cs="Arial"/>
          <w:noProof/>
          <w:szCs w:val="18"/>
        </w:rPr>
        <w:t xml:space="preserve"> in Principles and Reactions of Protein Extraction, Purification, and Characterization</w:t>
      </w:r>
      <w:r w:rsidR="006A33D4">
        <w:rPr>
          <w:rFonts w:cs="Arial"/>
          <w:noProof/>
          <w:szCs w:val="18"/>
        </w:rPr>
        <w:t>,</w:t>
      </w:r>
      <w:r w:rsidRPr="00AD260A">
        <w:rPr>
          <w:rFonts w:cs="Arial"/>
          <w:noProof/>
          <w:szCs w:val="18"/>
        </w:rPr>
        <w:t xml:space="preserve"> New York: CRC Press, p. 36.</w:t>
      </w:r>
    </w:p>
    <w:p w14:paraId="0B0AC013" w14:textId="4D719051" w:rsidR="00BA624A" w:rsidRPr="00AD260A" w:rsidRDefault="00BA624A" w:rsidP="00BA624A">
      <w:pPr>
        <w:widowControl w:val="0"/>
        <w:autoSpaceDE w:val="0"/>
        <w:autoSpaceDN w:val="0"/>
        <w:adjustRightInd w:val="0"/>
        <w:spacing w:line="240" w:lineRule="auto"/>
        <w:rPr>
          <w:rFonts w:cs="Arial"/>
          <w:noProof/>
          <w:szCs w:val="18"/>
        </w:rPr>
      </w:pPr>
      <w:r w:rsidRPr="00AD260A">
        <w:rPr>
          <w:rFonts w:cs="Arial"/>
          <w:noProof/>
          <w:szCs w:val="18"/>
        </w:rPr>
        <w:t>Haven M. Ø. and Jørgensen, 2014</w:t>
      </w:r>
      <w:r w:rsidR="00F858A5">
        <w:rPr>
          <w:rFonts w:cs="Arial"/>
          <w:noProof/>
          <w:szCs w:val="18"/>
        </w:rPr>
        <w:t xml:space="preserve">, </w:t>
      </w:r>
      <w:r w:rsidRPr="00AD260A">
        <w:rPr>
          <w:rFonts w:cs="Arial"/>
          <w:noProof/>
          <w:szCs w:val="18"/>
        </w:rPr>
        <w:t>The challenging measurement of protein in complex biomass-derived samples</w:t>
      </w:r>
      <w:r w:rsidR="00F858A5">
        <w:rPr>
          <w:rFonts w:cs="Arial"/>
          <w:noProof/>
          <w:szCs w:val="18"/>
        </w:rPr>
        <w:t xml:space="preserve">, </w:t>
      </w:r>
      <w:r w:rsidRPr="00AD260A">
        <w:rPr>
          <w:rFonts w:cs="Arial"/>
          <w:noProof/>
          <w:szCs w:val="18"/>
        </w:rPr>
        <w:t xml:space="preserve">Applied Biochemistry and Biotechnology, 172(1), pp. 87–101. </w:t>
      </w:r>
    </w:p>
    <w:p w14:paraId="36774483" w14:textId="161FE137" w:rsidR="00BA624A" w:rsidRPr="00AD260A" w:rsidRDefault="00BA624A" w:rsidP="00BA624A">
      <w:pPr>
        <w:widowControl w:val="0"/>
        <w:autoSpaceDE w:val="0"/>
        <w:autoSpaceDN w:val="0"/>
        <w:adjustRightInd w:val="0"/>
        <w:spacing w:line="240" w:lineRule="auto"/>
        <w:rPr>
          <w:rFonts w:cs="Arial"/>
          <w:noProof/>
          <w:szCs w:val="18"/>
        </w:rPr>
      </w:pPr>
      <w:r w:rsidRPr="00AD260A">
        <w:rPr>
          <w:rFonts w:cs="Arial"/>
          <w:noProof/>
          <w:szCs w:val="18"/>
        </w:rPr>
        <w:t>Hobbi P. et al.</w:t>
      </w:r>
      <w:r w:rsidR="00F858A5">
        <w:rPr>
          <w:rFonts w:cs="Arial"/>
          <w:i/>
          <w:iCs/>
          <w:noProof/>
          <w:szCs w:val="18"/>
        </w:rPr>
        <w:t>,</w:t>
      </w:r>
      <w:r w:rsidRPr="00AD260A">
        <w:rPr>
          <w:rFonts w:cs="Arial"/>
          <w:noProof/>
          <w:szCs w:val="18"/>
        </w:rPr>
        <w:t xml:space="preserve"> 2021</w:t>
      </w:r>
      <w:r w:rsidR="00F858A5">
        <w:rPr>
          <w:rFonts w:cs="Arial"/>
          <w:noProof/>
          <w:szCs w:val="18"/>
        </w:rPr>
        <w:t xml:space="preserve">, </w:t>
      </w:r>
      <w:r w:rsidRPr="00AD260A">
        <w:rPr>
          <w:rFonts w:cs="Arial"/>
          <w:noProof/>
          <w:szCs w:val="18"/>
        </w:rPr>
        <w:t>Kinetic modelling of the solid–liquid extraction process of polyphenolic compounds from apple pomace: influence of solvent composition and temperature, Bioresources and Bioprocessing</w:t>
      </w:r>
      <w:r w:rsidR="00F858A5">
        <w:rPr>
          <w:rFonts w:cs="Arial"/>
          <w:noProof/>
          <w:szCs w:val="18"/>
        </w:rPr>
        <w:t>,</w:t>
      </w:r>
      <w:r w:rsidRPr="00AD260A">
        <w:rPr>
          <w:rFonts w:cs="Arial"/>
          <w:noProof/>
          <w:szCs w:val="18"/>
        </w:rPr>
        <w:t xml:space="preserve"> Springer Singapore, 8(1). </w:t>
      </w:r>
    </w:p>
    <w:p w14:paraId="5CC7D88C" w14:textId="7B0D7576" w:rsidR="002B3B66" w:rsidRPr="00AD260A" w:rsidRDefault="002B3B66" w:rsidP="00BA624A">
      <w:pPr>
        <w:widowControl w:val="0"/>
        <w:autoSpaceDE w:val="0"/>
        <w:autoSpaceDN w:val="0"/>
        <w:adjustRightInd w:val="0"/>
        <w:spacing w:line="240" w:lineRule="auto"/>
        <w:rPr>
          <w:rFonts w:cs="Arial"/>
          <w:noProof/>
          <w:szCs w:val="18"/>
        </w:rPr>
      </w:pPr>
      <w:r w:rsidRPr="00AD260A">
        <w:rPr>
          <w:rFonts w:cs="Arial"/>
          <w:noProof/>
          <w:szCs w:val="18"/>
        </w:rPr>
        <w:t>Hou, F. et al.</w:t>
      </w:r>
      <w:r w:rsidR="00F858A5">
        <w:rPr>
          <w:rFonts w:cs="Arial"/>
          <w:noProof/>
          <w:szCs w:val="18"/>
        </w:rPr>
        <w:t xml:space="preserve">, </w:t>
      </w:r>
      <w:r w:rsidRPr="00AD260A">
        <w:rPr>
          <w:rFonts w:cs="Arial"/>
          <w:noProof/>
          <w:szCs w:val="18"/>
        </w:rPr>
        <w:t>2017</w:t>
      </w:r>
      <w:r w:rsidR="00F858A5">
        <w:rPr>
          <w:rFonts w:cs="Arial"/>
          <w:noProof/>
          <w:szCs w:val="18"/>
        </w:rPr>
        <w:t xml:space="preserve">, </w:t>
      </w:r>
      <w:r w:rsidRPr="00AD260A">
        <w:rPr>
          <w:rFonts w:cs="Arial"/>
          <w:noProof/>
          <w:szCs w:val="18"/>
        </w:rPr>
        <w:t>Alkali solution extraction of rice residue protein isolates: Influence of alkali concentration on protein functional, structural properties and lysinoalanine formation, Food Chemistry</w:t>
      </w:r>
      <w:r w:rsidR="00F858A5">
        <w:rPr>
          <w:rFonts w:cs="Arial"/>
          <w:noProof/>
          <w:szCs w:val="18"/>
        </w:rPr>
        <w:t xml:space="preserve">, </w:t>
      </w:r>
      <w:r w:rsidRPr="00AD260A">
        <w:rPr>
          <w:rFonts w:cs="Arial"/>
          <w:noProof/>
          <w:szCs w:val="18"/>
        </w:rPr>
        <w:t xml:space="preserve">218, pp. 207–215. </w:t>
      </w:r>
    </w:p>
    <w:p w14:paraId="188C247E" w14:textId="4C4AEE39" w:rsidR="00BA624A" w:rsidRPr="00AD260A" w:rsidRDefault="00BA624A" w:rsidP="00BA624A">
      <w:pPr>
        <w:widowControl w:val="0"/>
        <w:autoSpaceDE w:val="0"/>
        <w:autoSpaceDN w:val="0"/>
        <w:adjustRightInd w:val="0"/>
        <w:spacing w:line="240" w:lineRule="auto"/>
        <w:rPr>
          <w:rFonts w:cs="Arial"/>
          <w:noProof/>
          <w:szCs w:val="18"/>
        </w:rPr>
      </w:pPr>
      <w:r w:rsidRPr="00AD260A">
        <w:rPr>
          <w:rFonts w:cs="Arial"/>
          <w:noProof/>
          <w:szCs w:val="18"/>
        </w:rPr>
        <w:t>Houde M. et al</w:t>
      </w:r>
      <w:r w:rsidR="00F858A5" w:rsidRPr="00F858A5">
        <w:rPr>
          <w:rFonts w:cs="Arial"/>
          <w:noProof/>
          <w:szCs w:val="18"/>
        </w:rPr>
        <w:t>,</w:t>
      </w:r>
      <w:r w:rsidR="00F858A5">
        <w:rPr>
          <w:rFonts w:cs="Arial"/>
          <w:noProof/>
          <w:szCs w:val="18"/>
        </w:rPr>
        <w:t xml:space="preserve"> </w:t>
      </w:r>
      <w:r w:rsidRPr="00AD260A">
        <w:rPr>
          <w:rFonts w:cs="Arial"/>
          <w:noProof/>
          <w:szCs w:val="18"/>
        </w:rPr>
        <w:t>2018</w:t>
      </w:r>
      <w:r w:rsidR="00F858A5">
        <w:rPr>
          <w:rFonts w:cs="Arial"/>
          <w:noProof/>
          <w:szCs w:val="18"/>
        </w:rPr>
        <w:t>,</w:t>
      </w:r>
      <w:r w:rsidRPr="00AD260A">
        <w:rPr>
          <w:rFonts w:cs="Arial"/>
          <w:noProof/>
          <w:szCs w:val="18"/>
        </w:rPr>
        <w:t xml:space="preserve"> Barley protein concentrates: Extraction, structural and functional properties, Food Chemistry</w:t>
      </w:r>
      <w:r w:rsidR="00F858A5">
        <w:rPr>
          <w:rFonts w:cs="Arial"/>
          <w:noProof/>
          <w:szCs w:val="18"/>
        </w:rPr>
        <w:t>,</w:t>
      </w:r>
      <w:r w:rsidRPr="00AD260A">
        <w:rPr>
          <w:rFonts w:cs="Arial"/>
          <w:noProof/>
          <w:szCs w:val="18"/>
        </w:rPr>
        <w:t xml:space="preserve"> p</w:t>
      </w:r>
      <w:r w:rsidR="00F858A5">
        <w:rPr>
          <w:rFonts w:cs="Arial"/>
          <w:noProof/>
          <w:szCs w:val="18"/>
        </w:rPr>
        <w:t xml:space="preserve">. </w:t>
      </w:r>
      <w:r w:rsidRPr="00AD260A">
        <w:rPr>
          <w:rFonts w:cs="Arial"/>
          <w:noProof/>
          <w:szCs w:val="18"/>
        </w:rPr>
        <w:t>367–376.</w:t>
      </w:r>
    </w:p>
    <w:p w14:paraId="5360B383" w14:textId="1D8999B4" w:rsidR="00BA624A" w:rsidRPr="00AD260A" w:rsidRDefault="00BA624A" w:rsidP="00BA624A">
      <w:pPr>
        <w:widowControl w:val="0"/>
        <w:autoSpaceDE w:val="0"/>
        <w:autoSpaceDN w:val="0"/>
        <w:adjustRightInd w:val="0"/>
        <w:spacing w:line="240" w:lineRule="auto"/>
        <w:rPr>
          <w:rFonts w:cs="Arial"/>
          <w:noProof/>
          <w:szCs w:val="18"/>
        </w:rPr>
      </w:pPr>
      <w:r w:rsidRPr="00AD260A">
        <w:rPr>
          <w:rFonts w:cs="Arial"/>
          <w:noProof/>
          <w:szCs w:val="18"/>
        </w:rPr>
        <w:t>Lynch K. M</w:t>
      </w:r>
      <w:r w:rsidR="00F858A5">
        <w:rPr>
          <w:rFonts w:cs="Arial"/>
          <w:noProof/>
          <w:szCs w:val="18"/>
        </w:rPr>
        <w:t xml:space="preserve"> et al, </w:t>
      </w:r>
      <w:r w:rsidRPr="00AD260A">
        <w:rPr>
          <w:rFonts w:cs="Arial"/>
          <w:noProof/>
          <w:szCs w:val="18"/>
        </w:rPr>
        <w:t>2016</w:t>
      </w:r>
      <w:r w:rsidR="00F858A5">
        <w:rPr>
          <w:rFonts w:cs="Arial"/>
          <w:noProof/>
          <w:szCs w:val="18"/>
        </w:rPr>
        <w:t xml:space="preserve">, </w:t>
      </w:r>
      <w:r w:rsidRPr="00AD260A">
        <w:rPr>
          <w:rFonts w:cs="Arial"/>
          <w:noProof/>
          <w:szCs w:val="18"/>
        </w:rPr>
        <w:t xml:space="preserve">Brewers ’ spent grain :a review with an emphasis on food and health’, </w:t>
      </w:r>
      <w:r w:rsidR="00F858A5">
        <w:rPr>
          <w:rFonts w:cs="Arial"/>
          <w:noProof/>
          <w:szCs w:val="18"/>
        </w:rPr>
        <w:t>JIB</w:t>
      </w:r>
      <w:r w:rsidRPr="00AD260A">
        <w:rPr>
          <w:rFonts w:cs="Arial"/>
          <w:noProof/>
          <w:szCs w:val="18"/>
        </w:rPr>
        <w:t>, pp. 553–568.</w:t>
      </w:r>
    </w:p>
    <w:p w14:paraId="21D08BFF" w14:textId="77777777" w:rsidR="00F858A5" w:rsidRDefault="00F858A5" w:rsidP="006A33D4">
      <w:pPr>
        <w:widowControl w:val="0"/>
        <w:autoSpaceDE w:val="0"/>
        <w:autoSpaceDN w:val="0"/>
        <w:adjustRightInd w:val="0"/>
        <w:spacing w:line="240" w:lineRule="auto"/>
        <w:rPr>
          <w:rFonts w:cs="Arial"/>
          <w:noProof/>
          <w:szCs w:val="18"/>
        </w:rPr>
      </w:pPr>
      <w:r w:rsidRPr="00F858A5">
        <w:rPr>
          <w:rFonts w:cs="Arial"/>
          <w:noProof/>
          <w:szCs w:val="18"/>
        </w:rPr>
        <w:t>Mata T. M. et al</w:t>
      </w:r>
      <w:r w:rsidRPr="00AD260A">
        <w:rPr>
          <w:rFonts w:cs="Arial"/>
          <w:noProof/>
          <w:szCs w:val="18"/>
        </w:rPr>
        <w:t>,</w:t>
      </w:r>
      <w:r w:rsidRPr="00F858A5">
        <w:rPr>
          <w:rFonts w:cs="Arial"/>
          <w:noProof/>
          <w:szCs w:val="18"/>
        </w:rPr>
        <w:t xml:space="preserve"> 2015</w:t>
      </w:r>
      <w:r>
        <w:rPr>
          <w:rFonts w:cs="Arial"/>
          <w:noProof/>
          <w:szCs w:val="18"/>
        </w:rPr>
        <w:t>,</w:t>
      </w:r>
      <w:r w:rsidRPr="00F858A5">
        <w:rPr>
          <w:rFonts w:cs="Arial"/>
          <w:noProof/>
          <w:szCs w:val="18"/>
        </w:rPr>
        <w:t xml:space="preserve"> Bioethanol from brewers’ spent grain: Pentose fermentation, Chemical Engineering Transactions, 43, pp. 241–246. </w:t>
      </w:r>
    </w:p>
    <w:p w14:paraId="329C7C1C" w14:textId="4B95AD28" w:rsidR="00BB2B02" w:rsidRPr="00EC6708" w:rsidRDefault="00BA624A" w:rsidP="00AD260A">
      <w:pPr>
        <w:widowControl w:val="0"/>
        <w:autoSpaceDE w:val="0"/>
        <w:autoSpaceDN w:val="0"/>
        <w:adjustRightInd w:val="0"/>
        <w:spacing w:line="240" w:lineRule="auto"/>
        <w:rPr>
          <w:sz w:val="12"/>
          <w:szCs w:val="12"/>
        </w:rPr>
      </w:pPr>
      <w:r w:rsidRPr="00AD260A">
        <w:rPr>
          <w:rFonts w:cs="Arial"/>
          <w:noProof/>
          <w:szCs w:val="18"/>
        </w:rPr>
        <w:t>STATISTA</w:t>
      </w:r>
      <w:r w:rsidR="00F858A5">
        <w:rPr>
          <w:rFonts w:cs="Arial"/>
          <w:noProof/>
          <w:szCs w:val="18"/>
        </w:rPr>
        <w:t xml:space="preserve">, </w:t>
      </w:r>
      <w:r w:rsidRPr="00AD260A">
        <w:rPr>
          <w:rFonts w:cs="Arial"/>
          <w:noProof/>
          <w:szCs w:val="18"/>
        </w:rPr>
        <w:t>2021</w:t>
      </w:r>
      <w:r w:rsidR="00F858A5">
        <w:rPr>
          <w:rFonts w:cs="Arial"/>
          <w:noProof/>
          <w:szCs w:val="18"/>
        </w:rPr>
        <w:t xml:space="preserve">, </w:t>
      </w:r>
      <w:r w:rsidRPr="00AD260A">
        <w:rPr>
          <w:rFonts w:cs="Arial"/>
          <w:noProof/>
          <w:szCs w:val="18"/>
        </w:rPr>
        <w:t>World beer production</w:t>
      </w:r>
      <w:r w:rsidR="00F858A5">
        <w:rPr>
          <w:rFonts w:cs="Arial"/>
          <w:noProof/>
          <w:szCs w:val="18"/>
        </w:rPr>
        <w:t>,</w:t>
      </w:r>
      <w:r w:rsidR="00AD260A">
        <w:rPr>
          <w:rFonts w:cs="Arial"/>
          <w:noProof/>
          <w:szCs w:val="18"/>
        </w:rPr>
        <w:t xml:space="preserve"> </w:t>
      </w:r>
      <w:r w:rsidRPr="00AD260A">
        <w:rPr>
          <w:rFonts w:cs="Arial"/>
          <w:noProof/>
          <w:szCs w:val="18"/>
        </w:rPr>
        <w:t>https://www.statista.com/statistics/270275/worldwide-beer-production</w:t>
      </w:r>
      <w:r w:rsidR="00F858A5">
        <w:rPr>
          <w:rFonts w:cs="Arial"/>
          <w:noProof/>
          <w:szCs w:val="18"/>
        </w:rPr>
        <w:t>, a</w:t>
      </w:r>
      <w:r w:rsidRPr="00AD260A">
        <w:rPr>
          <w:rFonts w:cs="Arial"/>
          <w:noProof/>
          <w:szCs w:val="18"/>
        </w:rPr>
        <w:t>ccessed: 7 January 2022.</w:t>
      </w:r>
      <w:r w:rsidR="00445E6F" w:rsidRPr="00AD260A">
        <w:rPr>
          <w:szCs w:val="18"/>
        </w:rPr>
        <w:fldChar w:fldCharType="end"/>
      </w:r>
    </w:p>
    <w:sectPr w:rsidR="00BB2B02" w:rsidRPr="00EC670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41AC5" w14:textId="77777777" w:rsidR="000772DF" w:rsidRDefault="000772DF" w:rsidP="004F5E36">
      <w:r>
        <w:separator/>
      </w:r>
    </w:p>
  </w:endnote>
  <w:endnote w:type="continuationSeparator" w:id="0">
    <w:p w14:paraId="22A8917F" w14:textId="77777777" w:rsidR="000772DF" w:rsidRDefault="000772D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6570" w14:textId="77777777" w:rsidR="000772DF" w:rsidRDefault="000772DF" w:rsidP="004F5E36">
      <w:r>
        <w:separator/>
      </w:r>
    </w:p>
  </w:footnote>
  <w:footnote w:type="continuationSeparator" w:id="0">
    <w:p w14:paraId="213501D4" w14:textId="77777777" w:rsidR="000772DF" w:rsidRDefault="000772D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C23CFC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color w:val="auto"/>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89E2A28"/>
    <w:multiLevelType w:val="multilevel"/>
    <w:tmpl w:val="D646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057018"/>
    <w:multiLevelType w:val="multilevel"/>
    <w:tmpl w:val="447E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2"/>
  </w:num>
  <w:num w:numId="16">
    <w:abstractNumId w:val="21"/>
  </w:num>
  <w:num w:numId="17">
    <w:abstractNumId w:val="11"/>
  </w:num>
  <w:num w:numId="18">
    <w:abstractNumId w:val="12"/>
    <w:lvlOverride w:ilvl="0">
      <w:startOverride w:val="1"/>
    </w:lvlOverride>
  </w:num>
  <w:num w:numId="19">
    <w:abstractNumId w:val="17"/>
  </w:num>
  <w:num w:numId="20">
    <w:abstractNumId w:val="16"/>
  </w:num>
  <w:num w:numId="21">
    <w:abstractNumId w:val="14"/>
  </w:num>
  <w:num w:numId="22">
    <w:abstractNumId w:val="13"/>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4E1"/>
    <w:rsid w:val="00001BA3"/>
    <w:rsid w:val="000027C0"/>
    <w:rsid w:val="000052FB"/>
    <w:rsid w:val="000117CB"/>
    <w:rsid w:val="00013500"/>
    <w:rsid w:val="00025714"/>
    <w:rsid w:val="0003148D"/>
    <w:rsid w:val="00031EEC"/>
    <w:rsid w:val="00051566"/>
    <w:rsid w:val="0006246F"/>
    <w:rsid w:val="00062A9A"/>
    <w:rsid w:val="00065058"/>
    <w:rsid w:val="000772DF"/>
    <w:rsid w:val="00083FA2"/>
    <w:rsid w:val="00086C39"/>
    <w:rsid w:val="00092A45"/>
    <w:rsid w:val="00096E85"/>
    <w:rsid w:val="000A03B2"/>
    <w:rsid w:val="000D0268"/>
    <w:rsid w:val="000D0F9F"/>
    <w:rsid w:val="000D34BE"/>
    <w:rsid w:val="000D58EA"/>
    <w:rsid w:val="000E00D5"/>
    <w:rsid w:val="000E102F"/>
    <w:rsid w:val="000E36F1"/>
    <w:rsid w:val="000E3A73"/>
    <w:rsid w:val="000E414A"/>
    <w:rsid w:val="000F093C"/>
    <w:rsid w:val="000F787B"/>
    <w:rsid w:val="0010035E"/>
    <w:rsid w:val="00101A2F"/>
    <w:rsid w:val="0010262D"/>
    <w:rsid w:val="00106188"/>
    <w:rsid w:val="0012091F"/>
    <w:rsid w:val="00126BC2"/>
    <w:rsid w:val="001308B6"/>
    <w:rsid w:val="0013121F"/>
    <w:rsid w:val="00131FE6"/>
    <w:rsid w:val="0013263F"/>
    <w:rsid w:val="001331DF"/>
    <w:rsid w:val="00133693"/>
    <w:rsid w:val="00134418"/>
    <w:rsid w:val="00134817"/>
    <w:rsid w:val="00134DE4"/>
    <w:rsid w:val="0014034D"/>
    <w:rsid w:val="00142E53"/>
    <w:rsid w:val="00144D16"/>
    <w:rsid w:val="00147151"/>
    <w:rsid w:val="00150E59"/>
    <w:rsid w:val="00152DE3"/>
    <w:rsid w:val="00155789"/>
    <w:rsid w:val="00164CF9"/>
    <w:rsid w:val="001667A6"/>
    <w:rsid w:val="00176C24"/>
    <w:rsid w:val="0018201D"/>
    <w:rsid w:val="00184AD6"/>
    <w:rsid w:val="00195885"/>
    <w:rsid w:val="001A4AF7"/>
    <w:rsid w:val="001B0349"/>
    <w:rsid w:val="001B1E93"/>
    <w:rsid w:val="001B65C1"/>
    <w:rsid w:val="001C0D91"/>
    <w:rsid w:val="001C55F6"/>
    <w:rsid w:val="001C684B"/>
    <w:rsid w:val="001D0CFB"/>
    <w:rsid w:val="001D21AF"/>
    <w:rsid w:val="001D4AB3"/>
    <w:rsid w:val="001D53FC"/>
    <w:rsid w:val="001E1505"/>
    <w:rsid w:val="001F42A5"/>
    <w:rsid w:val="001F7B9D"/>
    <w:rsid w:val="00201C93"/>
    <w:rsid w:val="00205700"/>
    <w:rsid w:val="00207513"/>
    <w:rsid w:val="00214F87"/>
    <w:rsid w:val="002224B4"/>
    <w:rsid w:val="00227BE7"/>
    <w:rsid w:val="00227F63"/>
    <w:rsid w:val="002447EF"/>
    <w:rsid w:val="00251550"/>
    <w:rsid w:val="00251A7D"/>
    <w:rsid w:val="0025391F"/>
    <w:rsid w:val="00263B05"/>
    <w:rsid w:val="0027221A"/>
    <w:rsid w:val="002737A9"/>
    <w:rsid w:val="00275B61"/>
    <w:rsid w:val="00280FAF"/>
    <w:rsid w:val="00282656"/>
    <w:rsid w:val="00296B83"/>
    <w:rsid w:val="002A2E2F"/>
    <w:rsid w:val="002B3478"/>
    <w:rsid w:val="002B3B66"/>
    <w:rsid w:val="002B4015"/>
    <w:rsid w:val="002B78CE"/>
    <w:rsid w:val="002C25B8"/>
    <w:rsid w:val="002C2FB6"/>
    <w:rsid w:val="002D20B8"/>
    <w:rsid w:val="002E5FA7"/>
    <w:rsid w:val="002F3309"/>
    <w:rsid w:val="003008CE"/>
    <w:rsid w:val="003009B7"/>
    <w:rsid w:val="00300E56"/>
    <w:rsid w:val="0030469C"/>
    <w:rsid w:val="00311FFF"/>
    <w:rsid w:val="00316F11"/>
    <w:rsid w:val="00321CA6"/>
    <w:rsid w:val="00323763"/>
    <w:rsid w:val="003323F0"/>
    <w:rsid w:val="003330B7"/>
    <w:rsid w:val="00334C09"/>
    <w:rsid w:val="00344874"/>
    <w:rsid w:val="0034524C"/>
    <w:rsid w:val="003723D4"/>
    <w:rsid w:val="00381905"/>
    <w:rsid w:val="00384CC8"/>
    <w:rsid w:val="00385D8A"/>
    <w:rsid w:val="003871FD"/>
    <w:rsid w:val="0039780A"/>
    <w:rsid w:val="003A1E30"/>
    <w:rsid w:val="003A2829"/>
    <w:rsid w:val="003A7D1C"/>
    <w:rsid w:val="003B120D"/>
    <w:rsid w:val="003B304B"/>
    <w:rsid w:val="003B3146"/>
    <w:rsid w:val="003C7188"/>
    <w:rsid w:val="003D6E3D"/>
    <w:rsid w:val="003E4024"/>
    <w:rsid w:val="003F015E"/>
    <w:rsid w:val="003F0892"/>
    <w:rsid w:val="003F7AAE"/>
    <w:rsid w:val="00400414"/>
    <w:rsid w:val="00413960"/>
    <w:rsid w:val="0041446B"/>
    <w:rsid w:val="00415C01"/>
    <w:rsid w:val="0042402C"/>
    <w:rsid w:val="004337A8"/>
    <w:rsid w:val="0044071E"/>
    <w:rsid w:val="0044329C"/>
    <w:rsid w:val="00445E6F"/>
    <w:rsid w:val="004507D2"/>
    <w:rsid w:val="00453E24"/>
    <w:rsid w:val="00457456"/>
    <w:rsid w:val="004577FE"/>
    <w:rsid w:val="00457B9C"/>
    <w:rsid w:val="0046164A"/>
    <w:rsid w:val="004628D2"/>
    <w:rsid w:val="00462D39"/>
    <w:rsid w:val="00462DCD"/>
    <w:rsid w:val="004648AD"/>
    <w:rsid w:val="004703A9"/>
    <w:rsid w:val="004760DE"/>
    <w:rsid w:val="004763D7"/>
    <w:rsid w:val="00482C74"/>
    <w:rsid w:val="00482F24"/>
    <w:rsid w:val="004928A2"/>
    <w:rsid w:val="004A004E"/>
    <w:rsid w:val="004A154C"/>
    <w:rsid w:val="004A24CF"/>
    <w:rsid w:val="004A2784"/>
    <w:rsid w:val="004C3D1D"/>
    <w:rsid w:val="004C7913"/>
    <w:rsid w:val="004E4309"/>
    <w:rsid w:val="004E4DD6"/>
    <w:rsid w:val="004E5D53"/>
    <w:rsid w:val="004F5E36"/>
    <w:rsid w:val="00501BF1"/>
    <w:rsid w:val="00507640"/>
    <w:rsid w:val="00507B47"/>
    <w:rsid w:val="00507BEF"/>
    <w:rsid w:val="00507CC9"/>
    <w:rsid w:val="005119A5"/>
    <w:rsid w:val="005278B7"/>
    <w:rsid w:val="00527B55"/>
    <w:rsid w:val="00532016"/>
    <w:rsid w:val="005346C8"/>
    <w:rsid w:val="005435DD"/>
    <w:rsid w:val="00543E7D"/>
    <w:rsid w:val="00547A68"/>
    <w:rsid w:val="005531C9"/>
    <w:rsid w:val="005555B5"/>
    <w:rsid w:val="00570C43"/>
    <w:rsid w:val="00581CA2"/>
    <w:rsid w:val="00586AAC"/>
    <w:rsid w:val="005A64C0"/>
    <w:rsid w:val="005B2110"/>
    <w:rsid w:val="005B61E6"/>
    <w:rsid w:val="005C77E1"/>
    <w:rsid w:val="005D1226"/>
    <w:rsid w:val="005D668A"/>
    <w:rsid w:val="005D6A2F"/>
    <w:rsid w:val="005E1A82"/>
    <w:rsid w:val="005E405E"/>
    <w:rsid w:val="005E794C"/>
    <w:rsid w:val="005F0A28"/>
    <w:rsid w:val="005F0E5E"/>
    <w:rsid w:val="00600535"/>
    <w:rsid w:val="00604911"/>
    <w:rsid w:val="00610CD6"/>
    <w:rsid w:val="00620DEE"/>
    <w:rsid w:val="00620E3C"/>
    <w:rsid w:val="00621F92"/>
    <w:rsid w:val="0062280A"/>
    <w:rsid w:val="00625639"/>
    <w:rsid w:val="00631B33"/>
    <w:rsid w:val="0064184D"/>
    <w:rsid w:val="006422CC"/>
    <w:rsid w:val="006459A6"/>
    <w:rsid w:val="00660E3E"/>
    <w:rsid w:val="00662E74"/>
    <w:rsid w:val="00672A30"/>
    <w:rsid w:val="00680C23"/>
    <w:rsid w:val="00686B47"/>
    <w:rsid w:val="00693766"/>
    <w:rsid w:val="006A3281"/>
    <w:rsid w:val="006A33D4"/>
    <w:rsid w:val="006B4888"/>
    <w:rsid w:val="006C2E45"/>
    <w:rsid w:val="006C359C"/>
    <w:rsid w:val="006C5246"/>
    <w:rsid w:val="006C5579"/>
    <w:rsid w:val="006D40A9"/>
    <w:rsid w:val="006D6E8B"/>
    <w:rsid w:val="006E737D"/>
    <w:rsid w:val="006F3812"/>
    <w:rsid w:val="00702DB8"/>
    <w:rsid w:val="00703B9F"/>
    <w:rsid w:val="00713073"/>
    <w:rsid w:val="00713973"/>
    <w:rsid w:val="0072070C"/>
    <w:rsid w:val="00720A24"/>
    <w:rsid w:val="00732386"/>
    <w:rsid w:val="0073514D"/>
    <w:rsid w:val="007424FF"/>
    <w:rsid w:val="007447F3"/>
    <w:rsid w:val="00751100"/>
    <w:rsid w:val="0075499F"/>
    <w:rsid w:val="007638DB"/>
    <w:rsid w:val="007661C8"/>
    <w:rsid w:val="0077098D"/>
    <w:rsid w:val="007931FA"/>
    <w:rsid w:val="007977E1"/>
    <w:rsid w:val="007A4861"/>
    <w:rsid w:val="007A7BBA"/>
    <w:rsid w:val="007B0C50"/>
    <w:rsid w:val="007B48F9"/>
    <w:rsid w:val="007C1A43"/>
    <w:rsid w:val="007C3596"/>
    <w:rsid w:val="0080013E"/>
    <w:rsid w:val="0080547A"/>
    <w:rsid w:val="00810B15"/>
    <w:rsid w:val="00813288"/>
    <w:rsid w:val="008168FC"/>
    <w:rsid w:val="00830996"/>
    <w:rsid w:val="008345F1"/>
    <w:rsid w:val="00865B07"/>
    <w:rsid w:val="008667EA"/>
    <w:rsid w:val="0087637F"/>
    <w:rsid w:val="00876801"/>
    <w:rsid w:val="00880103"/>
    <w:rsid w:val="0089074B"/>
    <w:rsid w:val="00892AD5"/>
    <w:rsid w:val="00894C54"/>
    <w:rsid w:val="00896328"/>
    <w:rsid w:val="008A1512"/>
    <w:rsid w:val="008A1C6F"/>
    <w:rsid w:val="008C0246"/>
    <w:rsid w:val="008D32B9"/>
    <w:rsid w:val="008D433B"/>
    <w:rsid w:val="008D620F"/>
    <w:rsid w:val="008E566E"/>
    <w:rsid w:val="0090161A"/>
    <w:rsid w:val="00901EB6"/>
    <w:rsid w:val="00904C62"/>
    <w:rsid w:val="00915EB3"/>
    <w:rsid w:val="00922BA8"/>
    <w:rsid w:val="00924DAC"/>
    <w:rsid w:val="00927058"/>
    <w:rsid w:val="00942750"/>
    <w:rsid w:val="009450CE"/>
    <w:rsid w:val="00945AB6"/>
    <w:rsid w:val="009460D2"/>
    <w:rsid w:val="00947179"/>
    <w:rsid w:val="0095164B"/>
    <w:rsid w:val="00954090"/>
    <w:rsid w:val="009573E7"/>
    <w:rsid w:val="00963E05"/>
    <w:rsid w:val="00964A45"/>
    <w:rsid w:val="00966BBE"/>
    <w:rsid w:val="00967843"/>
    <w:rsid w:val="00967964"/>
    <w:rsid w:val="00967D54"/>
    <w:rsid w:val="00971028"/>
    <w:rsid w:val="0097409B"/>
    <w:rsid w:val="00993B84"/>
    <w:rsid w:val="00996483"/>
    <w:rsid w:val="00996F5A"/>
    <w:rsid w:val="009B041A"/>
    <w:rsid w:val="009C37C3"/>
    <w:rsid w:val="009C7C86"/>
    <w:rsid w:val="009D2FF7"/>
    <w:rsid w:val="009E00A1"/>
    <w:rsid w:val="009E397A"/>
    <w:rsid w:val="009E7884"/>
    <w:rsid w:val="009E788A"/>
    <w:rsid w:val="009E7CAE"/>
    <w:rsid w:val="009F0E08"/>
    <w:rsid w:val="00A11100"/>
    <w:rsid w:val="00A157DB"/>
    <w:rsid w:val="00A1763D"/>
    <w:rsid w:val="00A17CEC"/>
    <w:rsid w:val="00A27EF0"/>
    <w:rsid w:val="00A320ED"/>
    <w:rsid w:val="00A33AD7"/>
    <w:rsid w:val="00A42361"/>
    <w:rsid w:val="00A50B20"/>
    <w:rsid w:val="00A50F74"/>
    <w:rsid w:val="00A51390"/>
    <w:rsid w:val="00A53ECC"/>
    <w:rsid w:val="00A60D13"/>
    <w:rsid w:val="00A6203B"/>
    <w:rsid w:val="00A72745"/>
    <w:rsid w:val="00A74BCA"/>
    <w:rsid w:val="00A76317"/>
    <w:rsid w:val="00A76EFC"/>
    <w:rsid w:val="00A83FFC"/>
    <w:rsid w:val="00A87275"/>
    <w:rsid w:val="00A91010"/>
    <w:rsid w:val="00A97F29"/>
    <w:rsid w:val="00AA4ADD"/>
    <w:rsid w:val="00AA702E"/>
    <w:rsid w:val="00AA7D84"/>
    <w:rsid w:val="00AB0964"/>
    <w:rsid w:val="00AB35CB"/>
    <w:rsid w:val="00AB5011"/>
    <w:rsid w:val="00AC7368"/>
    <w:rsid w:val="00AD16B9"/>
    <w:rsid w:val="00AD260A"/>
    <w:rsid w:val="00AD6886"/>
    <w:rsid w:val="00AE377D"/>
    <w:rsid w:val="00AF0EBA"/>
    <w:rsid w:val="00AF4948"/>
    <w:rsid w:val="00AF4E5D"/>
    <w:rsid w:val="00AF6775"/>
    <w:rsid w:val="00B02C8A"/>
    <w:rsid w:val="00B02E78"/>
    <w:rsid w:val="00B16A7F"/>
    <w:rsid w:val="00B17FBD"/>
    <w:rsid w:val="00B315A6"/>
    <w:rsid w:val="00B31813"/>
    <w:rsid w:val="00B33365"/>
    <w:rsid w:val="00B4121B"/>
    <w:rsid w:val="00B51FE6"/>
    <w:rsid w:val="00B56CF2"/>
    <w:rsid w:val="00B57B36"/>
    <w:rsid w:val="00B57E6F"/>
    <w:rsid w:val="00B62708"/>
    <w:rsid w:val="00B6543C"/>
    <w:rsid w:val="00B67971"/>
    <w:rsid w:val="00B807D0"/>
    <w:rsid w:val="00B8686D"/>
    <w:rsid w:val="00B9087D"/>
    <w:rsid w:val="00B912AC"/>
    <w:rsid w:val="00B93F69"/>
    <w:rsid w:val="00BA624A"/>
    <w:rsid w:val="00BB1DDC"/>
    <w:rsid w:val="00BB2B02"/>
    <w:rsid w:val="00BB5EB5"/>
    <w:rsid w:val="00BC30C9"/>
    <w:rsid w:val="00BC4B73"/>
    <w:rsid w:val="00BD077D"/>
    <w:rsid w:val="00BE3E58"/>
    <w:rsid w:val="00C01616"/>
    <w:rsid w:val="00C0162B"/>
    <w:rsid w:val="00C05CA5"/>
    <w:rsid w:val="00C05E81"/>
    <w:rsid w:val="00C068ED"/>
    <w:rsid w:val="00C07370"/>
    <w:rsid w:val="00C1193E"/>
    <w:rsid w:val="00C125E1"/>
    <w:rsid w:val="00C16714"/>
    <w:rsid w:val="00C22062"/>
    <w:rsid w:val="00C22E0C"/>
    <w:rsid w:val="00C345B1"/>
    <w:rsid w:val="00C37BEA"/>
    <w:rsid w:val="00C40142"/>
    <w:rsid w:val="00C42C59"/>
    <w:rsid w:val="00C515A5"/>
    <w:rsid w:val="00C51664"/>
    <w:rsid w:val="00C516C8"/>
    <w:rsid w:val="00C52C3C"/>
    <w:rsid w:val="00C56BE3"/>
    <w:rsid w:val="00C57182"/>
    <w:rsid w:val="00C57863"/>
    <w:rsid w:val="00C655FD"/>
    <w:rsid w:val="00C66344"/>
    <w:rsid w:val="00C75407"/>
    <w:rsid w:val="00C870A8"/>
    <w:rsid w:val="00C94434"/>
    <w:rsid w:val="00CA0D75"/>
    <w:rsid w:val="00CA1C95"/>
    <w:rsid w:val="00CA2138"/>
    <w:rsid w:val="00CA477F"/>
    <w:rsid w:val="00CA5A9C"/>
    <w:rsid w:val="00CB035A"/>
    <w:rsid w:val="00CC4C20"/>
    <w:rsid w:val="00CC63CE"/>
    <w:rsid w:val="00CD3517"/>
    <w:rsid w:val="00CD5FE2"/>
    <w:rsid w:val="00CE7C68"/>
    <w:rsid w:val="00D02B4C"/>
    <w:rsid w:val="00D040C4"/>
    <w:rsid w:val="00D04A86"/>
    <w:rsid w:val="00D24339"/>
    <w:rsid w:val="00D24B86"/>
    <w:rsid w:val="00D44C4E"/>
    <w:rsid w:val="00D46B7E"/>
    <w:rsid w:val="00D473EC"/>
    <w:rsid w:val="00D50A43"/>
    <w:rsid w:val="00D57C84"/>
    <w:rsid w:val="00D6057D"/>
    <w:rsid w:val="00D64816"/>
    <w:rsid w:val="00D71640"/>
    <w:rsid w:val="00D747F4"/>
    <w:rsid w:val="00D81D15"/>
    <w:rsid w:val="00D836C5"/>
    <w:rsid w:val="00D84576"/>
    <w:rsid w:val="00D97503"/>
    <w:rsid w:val="00DA1399"/>
    <w:rsid w:val="00DA24C6"/>
    <w:rsid w:val="00DA46CB"/>
    <w:rsid w:val="00DA4D7B"/>
    <w:rsid w:val="00DC0395"/>
    <w:rsid w:val="00DD3222"/>
    <w:rsid w:val="00DD56A2"/>
    <w:rsid w:val="00DD7B00"/>
    <w:rsid w:val="00DE264A"/>
    <w:rsid w:val="00DE4EF0"/>
    <w:rsid w:val="00DE6E48"/>
    <w:rsid w:val="00DF5072"/>
    <w:rsid w:val="00DF6205"/>
    <w:rsid w:val="00E02D18"/>
    <w:rsid w:val="00E041E7"/>
    <w:rsid w:val="00E1363C"/>
    <w:rsid w:val="00E20C58"/>
    <w:rsid w:val="00E23CA1"/>
    <w:rsid w:val="00E409A8"/>
    <w:rsid w:val="00E50C12"/>
    <w:rsid w:val="00E65B91"/>
    <w:rsid w:val="00E7209D"/>
    <w:rsid w:val="00E72EAD"/>
    <w:rsid w:val="00E758D7"/>
    <w:rsid w:val="00E77223"/>
    <w:rsid w:val="00E82FB9"/>
    <w:rsid w:val="00E8528B"/>
    <w:rsid w:val="00E85B94"/>
    <w:rsid w:val="00E878C5"/>
    <w:rsid w:val="00E9183D"/>
    <w:rsid w:val="00E9255B"/>
    <w:rsid w:val="00E978D0"/>
    <w:rsid w:val="00EA4613"/>
    <w:rsid w:val="00EA7F91"/>
    <w:rsid w:val="00EB109E"/>
    <w:rsid w:val="00EB1523"/>
    <w:rsid w:val="00EC0E49"/>
    <w:rsid w:val="00EC101F"/>
    <w:rsid w:val="00EC1D9F"/>
    <w:rsid w:val="00EC2180"/>
    <w:rsid w:val="00EC2E96"/>
    <w:rsid w:val="00EC6708"/>
    <w:rsid w:val="00ED4E3D"/>
    <w:rsid w:val="00EE0131"/>
    <w:rsid w:val="00EE06BA"/>
    <w:rsid w:val="00EE17B0"/>
    <w:rsid w:val="00EF06D9"/>
    <w:rsid w:val="00F0085E"/>
    <w:rsid w:val="00F02724"/>
    <w:rsid w:val="00F1138B"/>
    <w:rsid w:val="00F30C64"/>
    <w:rsid w:val="00F32BA2"/>
    <w:rsid w:val="00F32CDB"/>
    <w:rsid w:val="00F4737B"/>
    <w:rsid w:val="00F565FE"/>
    <w:rsid w:val="00F63A70"/>
    <w:rsid w:val="00F7534E"/>
    <w:rsid w:val="00F81D7D"/>
    <w:rsid w:val="00F858A5"/>
    <w:rsid w:val="00F93BBB"/>
    <w:rsid w:val="00FA1802"/>
    <w:rsid w:val="00FA21D0"/>
    <w:rsid w:val="00FA5F5F"/>
    <w:rsid w:val="00FB3D29"/>
    <w:rsid w:val="00FB730C"/>
    <w:rsid w:val="00FC2695"/>
    <w:rsid w:val="00FC3E03"/>
    <w:rsid w:val="00FC3FC1"/>
    <w:rsid w:val="00FE50F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F189EE86-E11B-4EBD-9DF4-DE929082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42402C"/>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42402C"/>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8C0246"/>
    <w:rPr>
      <w:color w:val="605E5C"/>
      <w:shd w:val="clear" w:color="auto" w:fill="E1DFDD"/>
    </w:rPr>
  </w:style>
  <w:style w:type="paragraph" w:styleId="NoSpacing">
    <w:name w:val="No Spacing"/>
    <w:uiPriority w:val="1"/>
    <w:qFormat/>
    <w:rsid w:val="00E9255B"/>
    <w:pPr>
      <w:spacing w:after="0" w:line="240" w:lineRule="auto"/>
    </w:pPr>
    <w:rPr>
      <w:lang w:val="en-US"/>
    </w:rPr>
  </w:style>
  <w:style w:type="paragraph" w:styleId="Revision">
    <w:name w:val="Revision"/>
    <w:hidden/>
    <w:uiPriority w:val="99"/>
    <w:semiHidden/>
    <w:rsid w:val="00482F2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9709">
      <w:bodyDiv w:val="1"/>
      <w:marLeft w:val="0"/>
      <w:marRight w:val="0"/>
      <w:marTop w:val="0"/>
      <w:marBottom w:val="0"/>
      <w:divBdr>
        <w:top w:val="none" w:sz="0" w:space="0" w:color="auto"/>
        <w:left w:val="none" w:sz="0" w:space="0" w:color="auto"/>
        <w:bottom w:val="none" w:sz="0" w:space="0" w:color="auto"/>
        <w:right w:val="none" w:sz="0" w:space="0" w:color="auto"/>
      </w:divBdr>
    </w:div>
    <w:div w:id="140537707">
      <w:bodyDiv w:val="1"/>
      <w:marLeft w:val="0"/>
      <w:marRight w:val="0"/>
      <w:marTop w:val="0"/>
      <w:marBottom w:val="0"/>
      <w:divBdr>
        <w:top w:val="none" w:sz="0" w:space="0" w:color="auto"/>
        <w:left w:val="none" w:sz="0" w:space="0" w:color="auto"/>
        <w:bottom w:val="none" w:sz="0" w:space="0" w:color="auto"/>
        <w:right w:val="none" w:sz="0" w:space="0" w:color="auto"/>
      </w:divBdr>
    </w:div>
    <w:div w:id="445663283">
      <w:bodyDiv w:val="1"/>
      <w:marLeft w:val="0"/>
      <w:marRight w:val="0"/>
      <w:marTop w:val="0"/>
      <w:marBottom w:val="0"/>
      <w:divBdr>
        <w:top w:val="none" w:sz="0" w:space="0" w:color="auto"/>
        <w:left w:val="none" w:sz="0" w:space="0" w:color="auto"/>
        <w:bottom w:val="none" w:sz="0" w:space="0" w:color="auto"/>
        <w:right w:val="none" w:sz="0" w:space="0" w:color="auto"/>
      </w:divBdr>
    </w:div>
    <w:div w:id="665983575">
      <w:bodyDiv w:val="1"/>
      <w:marLeft w:val="0"/>
      <w:marRight w:val="0"/>
      <w:marTop w:val="0"/>
      <w:marBottom w:val="0"/>
      <w:divBdr>
        <w:top w:val="none" w:sz="0" w:space="0" w:color="auto"/>
        <w:left w:val="none" w:sz="0" w:space="0" w:color="auto"/>
        <w:bottom w:val="none" w:sz="0" w:space="0" w:color="auto"/>
        <w:right w:val="none" w:sz="0" w:space="0" w:color="auto"/>
      </w:divBdr>
    </w:div>
    <w:div w:id="737439530">
      <w:bodyDiv w:val="1"/>
      <w:marLeft w:val="0"/>
      <w:marRight w:val="0"/>
      <w:marTop w:val="0"/>
      <w:marBottom w:val="0"/>
      <w:divBdr>
        <w:top w:val="none" w:sz="0" w:space="0" w:color="auto"/>
        <w:left w:val="none" w:sz="0" w:space="0" w:color="auto"/>
        <w:bottom w:val="none" w:sz="0" w:space="0" w:color="auto"/>
        <w:right w:val="none" w:sz="0" w:space="0" w:color="auto"/>
      </w:divBdr>
    </w:div>
    <w:div w:id="76631378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5277">
      <w:bodyDiv w:val="1"/>
      <w:marLeft w:val="0"/>
      <w:marRight w:val="0"/>
      <w:marTop w:val="0"/>
      <w:marBottom w:val="0"/>
      <w:divBdr>
        <w:top w:val="none" w:sz="0" w:space="0" w:color="auto"/>
        <w:left w:val="none" w:sz="0" w:space="0" w:color="auto"/>
        <w:bottom w:val="none" w:sz="0" w:space="0" w:color="auto"/>
        <w:right w:val="none" w:sz="0" w:space="0" w:color="auto"/>
      </w:divBdr>
    </w:div>
    <w:div w:id="1237938040">
      <w:bodyDiv w:val="1"/>
      <w:marLeft w:val="0"/>
      <w:marRight w:val="0"/>
      <w:marTop w:val="0"/>
      <w:marBottom w:val="0"/>
      <w:divBdr>
        <w:top w:val="none" w:sz="0" w:space="0" w:color="auto"/>
        <w:left w:val="none" w:sz="0" w:space="0" w:color="auto"/>
        <w:bottom w:val="none" w:sz="0" w:space="0" w:color="auto"/>
        <w:right w:val="none" w:sz="0" w:space="0" w:color="auto"/>
      </w:divBdr>
    </w:div>
    <w:div w:id="1312905244">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250808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9388">
      <w:bodyDiv w:val="1"/>
      <w:marLeft w:val="0"/>
      <w:marRight w:val="0"/>
      <w:marTop w:val="0"/>
      <w:marBottom w:val="0"/>
      <w:divBdr>
        <w:top w:val="none" w:sz="0" w:space="0" w:color="auto"/>
        <w:left w:val="none" w:sz="0" w:space="0" w:color="auto"/>
        <w:bottom w:val="none" w:sz="0" w:space="0" w:color="auto"/>
        <w:right w:val="none" w:sz="0" w:space="0" w:color="auto"/>
      </w:divBdr>
    </w:div>
    <w:div w:id="1759600412">
      <w:bodyDiv w:val="1"/>
      <w:marLeft w:val="0"/>
      <w:marRight w:val="0"/>
      <w:marTop w:val="0"/>
      <w:marBottom w:val="0"/>
      <w:divBdr>
        <w:top w:val="none" w:sz="0" w:space="0" w:color="auto"/>
        <w:left w:val="none" w:sz="0" w:space="0" w:color="auto"/>
        <w:bottom w:val="none" w:sz="0" w:space="0" w:color="auto"/>
        <w:right w:val="none" w:sz="0" w:space="0" w:color="auto"/>
      </w:divBdr>
    </w:div>
    <w:div w:id="204001115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nardo.ruggeri@polit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rlos.gomezcamacho@polito.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E771D-43D0-4E92-8D01-EF86B93A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5291</Words>
  <Characters>30159</Characters>
  <Application>Microsoft Office Word</Application>
  <DocSecurity>0</DocSecurity>
  <Lines>251</Lines>
  <Paragraphs>70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Gomez Camacho  Carlos Enrique</cp:lastModifiedBy>
  <cp:revision>2</cp:revision>
  <cp:lastPrinted>2015-05-12T18:31:00Z</cp:lastPrinted>
  <dcterms:created xsi:type="dcterms:W3CDTF">2022-03-12T12:19:00Z</dcterms:created>
  <dcterms:modified xsi:type="dcterms:W3CDTF">2022-03-12T12:19:00Z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https://csl.mendeley.com/styles/461282961/apa</vt:lpwstr>
  </property>
  <property fmtid="{D5CDD505-2E9C-101B-9397-08002B2CF9AE}" pid="5" name="Mendeley Recent Style Name 0_1">
    <vt:lpwstr>American Psychological Association 6th edition - Carlos Gomez</vt:lpwstr>
  </property>
  <property fmtid="{D5CDD505-2E9C-101B-9397-08002B2CF9AE}" pid="6" name="Mendeley Recent Style Id 1_1">
    <vt:lpwstr>http://www.zotero.org/styles/harvard-cite-them-right</vt:lpwstr>
  </property>
  <property fmtid="{D5CDD505-2E9C-101B-9397-08002B2CF9AE}" pid="7" name="Mendeley Recent Style Name 1_1">
    <vt:lpwstr>Cite Them Right 10th edition - Harvard</vt:lpwstr>
  </property>
  <property fmtid="{D5CDD505-2E9C-101B-9397-08002B2CF9AE}" pid="8" name="Mendeley Recent Style Id 2_1">
    <vt:lpwstr>http://www.zotero.org/styles/energy</vt:lpwstr>
  </property>
  <property fmtid="{D5CDD505-2E9C-101B-9397-08002B2CF9AE}" pid="9" name="Mendeley Recent Style Name 2_1">
    <vt:lpwstr>Energy</vt:lpwstr>
  </property>
  <property fmtid="{D5CDD505-2E9C-101B-9397-08002B2CF9AE}" pid="10" name="Mendeley Recent Style Id 3_1">
    <vt:lpwstr>http://www.zotero.org/styles/energy-conversion-and-management</vt:lpwstr>
  </property>
  <property fmtid="{D5CDD505-2E9C-101B-9397-08002B2CF9AE}" pid="11" name="Mendeley Recent Style Name 3_1">
    <vt:lpwstr>Energy Conversion and Management</vt:lpwstr>
  </property>
  <property fmtid="{D5CDD505-2E9C-101B-9397-08002B2CF9AE}" pid="12" name="Mendeley Recent Style Id 4_1">
    <vt:lpwstr>http://www.zotero.org/styles/energy-strategy-reviews</vt:lpwstr>
  </property>
  <property fmtid="{D5CDD505-2E9C-101B-9397-08002B2CF9AE}" pid="13" name="Mendeley Recent Style Name 4_1">
    <vt:lpwstr>Energy Strategy Reviews</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http://www.zotero.org/styles/renewable-energy</vt:lpwstr>
  </property>
  <property fmtid="{D5CDD505-2E9C-101B-9397-08002B2CF9AE}" pid="21" name="Mendeley Recent Style Name 8_1">
    <vt:lpwstr>Renewable Energy</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1a9c1a3b-923b-31a2-8aae-b6a975777c24</vt:lpwstr>
  </property>
  <property fmtid="{D5CDD505-2E9C-101B-9397-08002B2CF9AE}" pid="26" name="Mendeley Citation Style_1">
    <vt:lpwstr>http://www.zotero.org/styles/harvard1</vt:lpwstr>
  </property>
</Properties>
</file>