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4CE268" w:rsidR="000A03B2" w:rsidRPr="00B57B36" w:rsidRDefault="00A76EFC" w:rsidP="0060491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604911">
              <w:rPr>
                <w:rFonts w:cs="Arial"/>
                <w:b/>
                <w:bCs/>
                <w:i/>
                <w:iCs/>
                <w:color w:val="000066"/>
                <w:sz w:val="22"/>
                <w:szCs w:val="22"/>
                <w:lang w:eastAsia="it-IT"/>
              </w:rPr>
              <w:t>3</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916407"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590882" w:rsidRDefault="000D0268" w:rsidP="00CD5FE2">
            <w:pPr>
              <w:spacing w:line="140" w:lineRule="atLeast"/>
              <w:jc w:val="right"/>
              <w:rPr>
                <w:rFonts w:cs="Arial"/>
                <w:sz w:val="13"/>
                <w:szCs w:val="13"/>
                <w:lang w:val="nb-NO"/>
              </w:rPr>
            </w:pPr>
            <w:r w:rsidRPr="00590882">
              <w:rPr>
                <w:rFonts w:cs="Arial"/>
                <w:sz w:val="13"/>
                <w:szCs w:val="13"/>
                <w:lang w:val="nb-NO"/>
              </w:rPr>
              <w:t>Online at www.cetjournal.it</w:t>
            </w:r>
          </w:p>
        </w:tc>
      </w:tr>
      <w:tr w:rsidR="000A03B2" w:rsidRPr="00B57B36" w14:paraId="2D1B7169" w14:textId="77777777" w:rsidTr="00DE264A">
        <w:trPr>
          <w:trHeight w:val="68"/>
          <w:jc w:val="center"/>
        </w:trPr>
        <w:tc>
          <w:tcPr>
            <w:tcW w:w="8789" w:type="dxa"/>
            <w:gridSpan w:val="2"/>
          </w:tcPr>
          <w:p w14:paraId="4B0BB442" w14:textId="73B2847B"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AF6775">
              <w:rPr>
                <w:rFonts w:ascii="Tahoma" w:hAnsi="Tahoma" w:cs="Tahoma"/>
                <w:color w:val="000000"/>
                <w:sz w:val="14"/>
                <w:szCs w:val="14"/>
                <w:shd w:val="clear" w:color="auto" w:fill="FFFFFF"/>
                <w:lang w:val="it-IT"/>
              </w:rPr>
              <w:t>Marco Bravi,</w:t>
            </w:r>
            <w:r w:rsidR="00945AB6">
              <w:rPr>
                <w:rFonts w:ascii="Tahoma" w:hAnsi="Tahoma" w:cs="Tahoma"/>
                <w:color w:val="000000"/>
                <w:sz w:val="14"/>
                <w:szCs w:val="14"/>
                <w:shd w:val="clear" w:color="auto" w:fill="FFFFFF"/>
                <w:lang w:val="it-IT"/>
              </w:rPr>
              <w:t xml:space="preserve"> Alberto Brucato, Antonio </w:t>
            </w:r>
            <w:proofErr w:type="spellStart"/>
            <w:r w:rsidR="00945AB6">
              <w:rPr>
                <w:rFonts w:ascii="Tahoma" w:hAnsi="Tahoma" w:cs="Tahoma"/>
                <w:color w:val="000000"/>
                <w:sz w:val="14"/>
                <w:szCs w:val="14"/>
                <w:shd w:val="clear" w:color="auto" w:fill="FFFFFF"/>
                <w:lang w:val="it-IT"/>
              </w:rPr>
              <w:t>Marzocchella</w:t>
            </w:r>
            <w:proofErr w:type="spellEnd"/>
          </w:p>
          <w:p w14:paraId="1B0F1814" w14:textId="5B50B5BE" w:rsidR="000A03B2" w:rsidRPr="00B57B36" w:rsidRDefault="00FA5F5F" w:rsidP="00604911">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604911">
              <w:rPr>
                <w:rFonts w:ascii="Tahoma" w:hAnsi="Tahoma" w:cs="Tahoma"/>
                <w:sz w:val="14"/>
                <w:szCs w:val="14"/>
              </w:rPr>
              <w:t>1</w:t>
            </w:r>
            <w:r w:rsidR="00D46B7E">
              <w:rPr>
                <w:rFonts w:ascii="Tahoma" w:hAnsi="Tahoma" w:cs="Tahoma"/>
                <w:sz w:val="14"/>
                <w:szCs w:val="14"/>
              </w:rPr>
              <w:t>-</w:t>
            </w:r>
            <w:r w:rsidR="00604911">
              <w:rPr>
                <w:rFonts w:ascii="Tahoma" w:hAnsi="Tahoma" w:cs="Tahoma"/>
                <w:sz w:val="14"/>
                <w:szCs w:val="14"/>
              </w:rPr>
              <w:t>4</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418" w:bottom="1701" w:left="1701" w:header="1701" w:footer="0" w:gutter="0"/>
          <w:cols w:space="708"/>
          <w:titlePg/>
          <w:docGrid w:linePitch="360"/>
        </w:sectPr>
      </w:pPr>
    </w:p>
    <w:p w14:paraId="2E667253" w14:textId="65E0304C" w:rsidR="00E978D0" w:rsidRPr="00BE6152" w:rsidRDefault="00A91868" w:rsidP="00A91868">
      <w:pPr>
        <w:pStyle w:val="CETTitle"/>
      </w:pPr>
      <w:r w:rsidRPr="00BE6152">
        <w:t>A N</w:t>
      </w:r>
      <w:r w:rsidR="0028450B" w:rsidRPr="00BE6152">
        <w:t>ovel</w:t>
      </w:r>
      <w:r w:rsidRPr="00BE6152">
        <w:t xml:space="preserve"> CO</w:t>
      </w:r>
      <w:r w:rsidRPr="00BE6152">
        <w:rPr>
          <w:vertAlign w:val="subscript"/>
        </w:rPr>
        <w:t>2</w:t>
      </w:r>
      <w:r w:rsidRPr="00BE6152">
        <w:t xml:space="preserve"> C</w:t>
      </w:r>
      <w:r w:rsidR="0028450B" w:rsidRPr="00BE6152">
        <w:t>apture</w:t>
      </w:r>
      <w:r w:rsidRPr="00BE6152">
        <w:t xml:space="preserve"> </w:t>
      </w:r>
      <w:r w:rsidR="0028450B" w:rsidRPr="00BE6152">
        <w:t>and</w:t>
      </w:r>
      <w:r w:rsidRPr="00BE6152">
        <w:t xml:space="preserve"> U</w:t>
      </w:r>
      <w:r w:rsidR="0028450B" w:rsidRPr="00BE6152">
        <w:t>tilization</w:t>
      </w:r>
      <w:r w:rsidRPr="00BE6152">
        <w:t xml:space="preserve"> S</w:t>
      </w:r>
      <w:r w:rsidR="0028450B" w:rsidRPr="00BE6152">
        <w:t>trategy</w:t>
      </w:r>
      <w:r w:rsidRPr="00BE6152">
        <w:t xml:space="preserve"> </w:t>
      </w:r>
      <w:r w:rsidR="0028450B" w:rsidRPr="00BE6152">
        <w:t>by</w:t>
      </w:r>
      <w:r w:rsidRPr="00BE6152">
        <w:t xml:space="preserve"> E</w:t>
      </w:r>
      <w:r w:rsidR="0028450B" w:rsidRPr="00BE6152">
        <w:t>nzyme</w:t>
      </w:r>
      <w:r w:rsidRPr="00BE6152">
        <w:t xml:space="preserve"> C</w:t>
      </w:r>
      <w:r w:rsidR="0028450B" w:rsidRPr="00BE6152">
        <w:t>atalysis</w:t>
      </w:r>
      <w:r w:rsidRPr="00BE6152">
        <w:t>: P</w:t>
      </w:r>
      <w:r w:rsidR="0028450B" w:rsidRPr="00BE6152">
        <w:t>reliminary</w:t>
      </w:r>
      <w:r w:rsidRPr="00BE6152">
        <w:t xml:space="preserve"> A</w:t>
      </w:r>
      <w:r w:rsidR="0028450B" w:rsidRPr="00BE6152">
        <w:t>ssessment</w:t>
      </w:r>
      <w:r w:rsidRPr="00BE6152">
        <w:t xml:space="preserve"> </w:t>
      </w:r>
      <w:r w:rsidR="0028450B" w:rsidRPr="00BE6152">
        <w:t xml:space="preserve">of </w:t>
      </w:r>
      <w:r w:rsidRPr="00BE6152">
        <w:t>P</w:t>
      </w:r>
      <w:r w:rsidR="0028450B" w:rsidRPr="00BE6152">
        <w:t>rocess</w:t>
      </w:r>
      <w:r w:rsidRPr="00BE6152">
        <w:t xml:space="preserve"> L</w:t>
      </w:r>
      <w:r w:rsidR="0028450B" w:rsidRPr="00BE6152">
        <w:t>ayout</w:t>
      </w:r>
    </w:p>
    <w:p w14:paraId="0488FED2" w14:textId="3DACA74A" w:rsidR="00B57E6F" w:rsidRPr="00590882" w:rsidRDefault="00A91868" w:rsidP="00B57E6F">
      <w:pPr>
        <w:pStyle w:val="CETAuthors"/>
        <w:rPr>
          <w:lang w:val="fi-FI"/>
        </w:rPr>
      </w:pPr>
      <w:r w:rsidRPr="00A91868">
        <w:rPr>
          <w:lang w:val="fi-FI"/>
        </w:rPr>
        <w:t>L. Marra</w:t>
      </w:r>
      <w:r w:rsidRPr="00A91868">
        <w:rPr>
          <w:vertAlign w:val="superscript"/>
          <w:lang w:val="fi-FI"/>
        </w:rPr>
        <w:t>a,b</w:t>
      </w:r>
      <w:r w:rsidRPr="00A91868">
        <w:rPr>
          <w:lang w:val="fi-FI"/>
        </w:rPr>
        <w:t>, H. Knuutila</w:t>
      </w:r>
      <w:r w:rsidRPr="00A91868">
        <w:rPr>
          <w:vertAlign w:val="superscript"/>
          <w:lang w:val="fi-FI"/>
        </w:rPr>
        <w:t>c</w:t>
      </w:r>
      <w:r w:rsidRPr="00A91868">
        <w:rPr>
          <w:lang w:val="fi-FI"/>
        </w:rPr>
        <w:t>, M.E. Russo</w:t>
      </w:r>
      <w:r w:rsidRPr="00A91868">
        <w:rPr>
          <w:vertAlign w:val="superscript"/>
          <w:lang w:val="fi-FI"/>
        </w:rPr>
        <w:t>a</w:t>
      </w:r>
      <w:r w:rsidRPr="00590882">
        <w:rPr>
          <w:lang w:val="fi-FI"/>
        </w:rPr>
        <w:t>*</w:t>
      </w:r>
    </w:p>
    <w:p w14:paraId="6B2D21B3" w14:textId="5FA755B7" w:rsidR="00B57E6F" w:rsidRPr="00FC5D0A" w:rsidRDefault="00A91868" w:rsidP="00B57E6F">
      <w:pPr>
        <w:pStyle w:val="CETAddress"/>
        <w:rPr>
          <w:lang w:val="it-IT"/>
        </w:rPr>
      </w:pPr>
      <w:r w:rsidRPr="00A91868">
        <w:rPr>
          <w:szCs w:val="24"/>
          <w:vertAlign w:val="superscript"/>
          <w:lang w:val="it-IT"/>
        </w:rPr>
        <w:t>a</w:t>
      </w:r>
      <w:r>
        <w:rPr>
          <w:szCs w:val="24"/>
          <w:lang w:val="it-IT"/>
        </w:rPr>
        <w:t xml:space="preserve"> </w:t>
      </w:r>
      <w:r w:rsidRPr="004872E1">
        <w:rPr>
          <w:szCs w:val="24"/>
          <w:lang w:val="it-IT"/>
        </w:rPr>
        <w:t xml:space="preserve">Istituto di </w:t>
      </w:r>
      <w:r>
        <w:rPr>
          <w:szCs w:val="24"/>
          <w:lang w:val="it-IT"/>
        </w:rPr>
        <w:t>Scienze e Tecnbologie per l’Energia e la Mobilità Sostenibili</w:t>
      </w:r>
      <w:r w:rsidRPr="004872E1">
        <w:rPr>
          <w:szCs w:val="24"/>
          <w:lang w:val="it-IT"/>
        </w:rPr>
        <w:t>– Consiglio Nazionale delle Ricerche, P.le V. Tecchio 80, 80125 Napoli, Italy</w:t>
      </w:r>
      <w:r w:rsidR="00B57E6F" w:rsidRPr="00FC5D0A">
        <w:rPr>
          <w:lang w:val="it-IT"/>
        </w:rPr>
        <w:t xml:space="preserve">] </w:t>
      </w:r>
    </w:p>
    <w:p w14:paraId="3D72B0B0" w14:textId="5655F53E" w:rsidR="00B57E6F" w:rsidRPr="00FC5D0A" w:rsidRDefault="00B57E6F" w:rsidP="00B57E6F">
      <w:pPr>
        <w:pStyle w:val="CETAddress"/>
        <w:rPr>
          <w:lang w:val="it-IT"/>
        </w:rPr>
      </w:pPr>
      <w:r w:rsidRPr="00FC5D0A">
        <w:rPr>
          <w:vertAlign w:val="superscript"/>
          <w:lang w:val="it-IT"/>
        </w:rPr>
        <w:t>b</w:t>
      </w:r>
      <w:r w:rsidR="00A91868" w:rsidRPr="00FC5D0A">
        <w:rPr>
          <w:lang w:val="it-IT"/>
        </w:rPr>
        <w:t xml:space="preserve"> </w:t>
      </w:r>
      <w:r w:rsidR="00A91868" w:rsidRPr="00B87BCF">
        <w:rPr>
          <w:szCs w:val="24"/>
          <w:lang w:val="it-IT"/>
        </w:rPr>
        <w:t>Dipartimento di Ingegneria Chimica, dei Materiali e della Produzione Industriale – Università degli Studi di Napoli Federico II, P.le V.</w:t>
      </w:r>
      <w:r w:rsidR="00A91868" w:rsidRPr="006E299A">
        <w:rPr>
          <w:szCs w:val="24"/>
          <w:lang w:val="it-IT"/>
        </w:rPr>
        <w:t xml:space="preserve"> Tecchio 80, 80125 Napoli – Italy</w:t>
      </w:r>
      <w:r w:rsidRPr="00FC5D0A">
        <w:rPr>
          <w:lang w:val="it-IT"/>
        </w:rPr>
        <w:t xml:space="preserve">] </w:t>
      </w:r>
    </w:p>
    <w:p w14:paraId="6D80D8E9" w14:textId="335607E2" w:rsidR="00A91868" w:rsidRPr="009358DC" w:rsidRDefault="00A91868" w:rsidP="00A91868">
      <w:pPr>
        <w:pStyle w:val="CETAddress"/>
      </w:pPr>
      <w:r w:rsidRPr="009358DC">
        <w:rPr>
          <w:vertAlign w:val="superscript"/>
        </w:rPr>
        <w:t>c</w:t>
      </w:r>
      <w:r w:rsidR="00571472">
        <w:rPr>
          <w:vertAlign w:val="superscript"/>
        </w:rPr>
        <w:t xml:space="preserve"> </w:t>
      </w:r>
      <w:r w:rsidRPr="009358DC">
        <w:t>Department of Chemical Engineering, Norwegian University of Science and Technology, N-7491Trondheim, Norway</w:t>
      </w:r>
    </w:p>
    <w:p w14:paraId="73F1267A" w14:textId="2FFA32B4" w:rsidR="00B57E6F" w:rsidRPr="00B57B36" w:rsidRDefault="00571472" w:rsidP="00B57E6F">
      <w:pPr>
        <w:pStyle w:val="CETemail"/>
      </w:pPr>
      <w:r w:rsidRPr="00571472">
        <w:t>*mariaelena.russo@stems.cnr.it</w:t>
      </w:r>
    </w:p>
    <w:p w14:paraId="1E87650E" w14:textId="35875191" w:rsidR="00571472" w:rsidRPr="00BE6152" w:rsidRDefault="00571472" w:rsidP="00571472">
      <w:pPr>
        <w:pStyle w:val="CETBodytext"/>
        <w:rPr>
          <w:lang w:val="en-GB"/>
        </w:rPr>
      </w:pPr>
      <w:r w:rsidRPr="00BE6152">
        <w:t>Catalytic conversion of CO</w:t>
      </w:r>
      <w:r w:rsidRPr="00BE6152">
        <w:rPr>
          <w:vertAlign w:val="subscript"/>
        </w:rPr>
        <w:t>2</w:t>
      </w:r>
      <w:r w:rsidRPr="00BE6152">
        <w:t xml:space="preserve"> into fuels and valuable chemicals </w:t>
      </w:r>
      <w:r w:rsidR="00916407" w:rsidRPr="00BE6152">
        <w:t xml:space="preserve">has </w:t>
      </w:r>
      <w:r w:rsidRPr="00BE6152">
        <w:t>gained large attention in the scientific and industrial research aimed at developing novel Carbon Capture and Utilization (CCU) processes. Among current uses of CO</w:t>
      </w:r>
      <w:r w:rsidRPr="00BE6152">
        <w:rPr>
          <w:vertAlign w:val="subscript"/>
        </w:rPr>
        <w:t>2</w:t>
      </w:r>
      <w:r w:rsidRPr="00BE6152">
        <w:t>, the Kolbe-Smith process allows the production of salicylic acid through carboxylation of phenol using CO</w:t>
      </w:r>
      <w:r w:rsidRPr="00BE6152">
        <w:rPr>
          <w:vertAlign w:val="subscript"/>
        </w:rPr>
        <w:t>2</w:t>
      </w:r>
      <w:r w:rsidRPr="00BE6152">
        <w:t xml:space="preserve"> at high pressure and temperatures. </w:t>
      </w:r>
      <w:r w:rsidR="00021B77" w:rsidRPr="00BE6152">
        <w:t>A</w:t>
      </w:r>
      <w:r w:rsidRPr="00BE6152">
        <w:t xml:space="preserve"> biocatalytic route has been proposed </w:t>
      </w:r>
      <w:r w:rsidR="00BE6152" w:rsidRPr="00BE6152">
        <w:t xml:space="preserve">and it </w:t>
      </w:r>
      <w:r w:rsidRPr="00BE6152">
        <w:t xml:space="preserve">is based on the enzymatic carboxylation of phenolic substrates </w:t>
      </w:r>
      <w:r w:rsidR="00021B77" w:rsidRPr="00BE6152">
        <w:t>(</w:t>
      </w:r>
      <w:proofErr w:type="gramStart"/>
      <w:r w:rsidR="00021B77" w:rsidRPr="00BE6152">
        <w:rPr>
          <w:i/>
        </w:rPr>
        <w:t>e.g.</w:t>
      </w:r>
      <w:proofErr w:type="gramEnd"/>
      <w:r w:rsidR="00021B77" w:rsidRPr="00BE6152">
        <w:t xml:space="preserve"> </w:t>
      </w:r>
      <w:r w:rsidRPr="00BE6152">
        <w:t>catechol and resorcinol</w:t>
      </w:r>
      <w:r w:rsidR="00021B77" w:rsidRPr="00BE6152">
        <w:t>)</w:t>
      </w:r>
      <w:r w:rsidRPr="00BE6152">
        <w:t xml:space="preserve"> into ortho-hydroxybenzoic acids catalyzed by non-oxidative carboxylases. </w:t>
      </w:r>
      <w:r w:rsidR="001C63AE" w:rsidRPr="00BE6152">
        <w:t xml:space="preserve">The main </w:t>
      </w:r>
      <w:r w:rsidRPr="00BE6152">
        <w:t xml:space="preserve">advantages of such biocatalytic carboxylation are related to good selectivity of the biocatalyst, absence of co-substrates, and the mild conditions of temperature and pressure typically applied in enzymatic bioconversions. </w:t>
      </w:r>
      <w:r w:rsidR="00021B77" w:rsidRPr="00BE6152">
        <w:t>E</w:t>
      </w:r>
      <w:r w:rsidRPr="00BE6152">
        <w:t xml:space="preserve">xperimental studies on enzymatic carboxylation of phenols </w:t>
      </w:r>
      <w:r w:rsidR="00021B77" w:rsidRPr="00BE6152">
        <w:t>(</w:t>
      </w:r>
      <w:r w:rsidR="001D2554" w:rsidRPr="00BE6152">
        <w:t>Pesci et al.</w:t>
      </w:r>
      <w:r w:rsidR="00021B77" w:rsidRPr="00BE6152">
        <w:t>,</w:t>
      </w:r>
      <w:r w:rsidR="001D2554" w:rsidRPr="00BE6152">
        <w:t xml:space="preserve"> 2015</w:t>
      </w:r>
      <w:r w:rsidR="00021B77" w:rsidRPr="00BE6152">
        <w:t>;</w:t>
      </w:r>
      <w:r w:rsidR="001D2554" w:rsidRPr="00BE6152">
        <w:t xml:space="preserve"> Meyer et al.</w:t>
      </w:r>
      <w:r w:rsidR="00021B77" w:rsidRPr="00BE6152">
        <w:t>,</w:t>
      </w:r>
      <w:r w:rsidR="001D2554" w:rsidRPr="00BE6152">
        <w:t xml:space="preserve"> 2018</w:t>
      </w:r>
      <w:r w:rsidR="00021B77" w:rsidRPr="00BE6152">
        <w:t>)</w:t>
      </w:r>
      <w:r w:rsidRPr="00BE6152">
        <w:t xml:space="preserve"> provided data on thermodynamics and kinetics of the process in </w:t>
      </w:r>
      <w:r w:rsidR="00021B77" w:rsidRPr="00BE6152">
        <w:t xml:space="preserve">1.8 – 2 M </w:t>
      </w:r>
      <w:r w:rsidR="00FC5D0A" w:rsidRPr="00BE6152">
        <w:t>K</w:t>
      </w:r>
      <w:r w:rsidR="00FC5D0A" w:rsidRPr="00BE6152">
        <w:rPr>
          <w:vertAlign w:val="subscript"/>
        </w:rPr>
        <w:t>2</w:t>
      </w:r>
      <w:r w:rsidR="00FC5D0A" w:rsidRPr="00BE6152">
        <w:t>CO</w:t>
      </w:r>
      <w:r w:rsidR="00FC5D0A" w:rsidRPr="00BE6152">
        <w:rPr>
          <w:vertAlign w:val="subscript"/>
        </w:rPr>
        <w:t>3</w:t>
      </w:r>
      <w:r w:rsidR="00FC5D0A" w:rsidRPr="00BE6152">
        <w:t xml:space="preserve"> </w:t>
      </w:r>
      <w:r w:rsidRPr="00BE6152">
        <w:t xml:space="preserve">solutions. The present contribution addresses some process design issues related </w:t>
      </w:r>
      <w:r w:rsidR="00061A96" w:rsidRPr="00BE6152">
        <w:t xml:space="preserve">to </w:t>
      </w:r>
      <w:r w:rsidRPr="00BE6152">
        <w:t>the development of an enzymatic carboxylation process as a possible CO</w:t>
      </w:r>
      <w:r w:rsidRPr="00BE6152">
        <w:rPr>
          <w:vertAlign w:val="subscript"/>
        </w:rPr>
        <w:t>2</w:t>
      </w:r>
      <w:r w:rsidRPr="00BE6152">
        <w:t xml:space="preserve"> utilization route. The following points </w:t>
      </w:r>
      <w:r w:rsidR="00CE09C2" w:rsidRPr="00BE6152">
        <w:t xml:space="preserve">have </w:t>
      </w:r>
      <w:r w:rsidRPr="00BE6152">
        <w:t>been considered in the study: the use of phenolic substrates from pyrolytic bio-oils as renewable carbon source; the capture of CO</w:t>
      </w:r>
      <w:r w:rsidRPr="00BE6152">
        <w:rPr>
          <w:vertAlign w:val="subscript"/>
        </w:rPr>
        <w:t>2</w:t>
      </w:r>
      <w:r w:rsidRPr="00BE6152">
        <w:t xml:space="preserve"> in the form of bicarbonate in aq. solvents to provide the necessary bicarbonate source to carboxylation; the effect of phenolic substrates solubility on the maximum equilibrium conversion into carboxylic acids. These points have been analyzed by simulations with the ASPEN PLUS® software</w:t>
      </w:r>
      <w:r w:rsidR="003D6A6C" w:rsidRPr="00BE6152">
        <w:t xml:space="preserve">. In the simulations, </w:t>
      </w:r>
      <w:r w:rsidRPr="00BE6152">
        <w:t>a CO</w:t>
      </w:r>
      <w:r w:rsidRPr="00BE6152">
        <w:rPr>
          <w:vertAlign w:val="subscript"/>
        </w:rPr>
        <w:t>2</w:t>
      </w:r>
      <w:r w:rsidRPr="00BE6152">
        <w:t xml:space="preserve"> absorption column operated with K</w:t>
      </w:r>
      <w:r w:rsidRPr="00BE6152">
        <w:rPr>
          <w:vertAlign w:val="subscript"/>
        </w:rPr>
        <w:t>2</w:t>
      </w:r>
      <w:r w:rsidRPr="00BE6152">
        <w:t>CO</w:t>
      </w:r>
      <w:r w:rsidRPr="00BE6152">
        <w:rPr>
          <w:vertAlign w:val="subscript"/>
        </w:rPr>
        <w:t>3</w:t>
      </w:r>
      <w:r w:rsidRPr="00BE6152">
        <w:t xml:space="preserve"> solution </w:t>
      </w:r>
      <w:r w:rsidR="00021B77" w:rsidRPr="00BE6152">
        <w:t>and</w:t>
      </w:r>
      <w:r w:rsidR="002361ED" w:rsidRPr="00BE6152">
        <w:t xml:space="preserve"> </w:t>
      </w:r>
      <w:r w:rsidRPr="00BE6152">
        <w:t xml:space="preserve">immobilized carbonic anhydrase as </w:t>
      </w:r>
      <w:r w:rsidR="002361ED" w:rsidRPr="00BE6152">
        <w:t xml:space="preserve">a </w:t>
      </w:r>
      <w:r w:rsidRPr="00BE6152">
        <w:t>promoter. The composition of the solvent from the absorption column has been used for equilibrium calculations of enzymatic carboxylation to assess the potential use of this bicarbonate enriched solvent as carbon vector in the enzymatic CCU process.</w:t>
      </w:r>
    </w:p>
    <w:p w14:paraId="476B2F2E" w14:textId="72504C22" w:rsidR="00600535" w:rsidRPr="00B57B36" w:rsidRDefault="00600535" w:rsidP="00947BF1">
      <w:pPr>
        <w:pStyle w:val="CETHeading1"/>
        <w:numPr>
          <w:ilvl w:val="0"/>
          <w:numId w:val="25"/>
        </w:numPr>
        <w:ind w:left="360"/>
        <w:rPr>
          <w:lang w:val="en-GB"/>
        </w:rPr>
      </w:pPr>
      <w:r w:rsidRPr="00B57B36">
        <w:rPr>
          <w:lang w:val="en-GB"/>
        </w:rPr>
        <w:t>Introduction</w:t>
      </w:r>
    </w:p>
    <w:p w14:paraId="3ADC465A" w14:textId="727102A9" w:rsidR="009246B7" w:rsidRPr="00BE6152" w:rsidRDefault="00571472" w:rsidP="0037603F">
      <w:pPr>
        <w:tabs>
          <w:tab w:val="clear" w:pos="7100"/>
        </w:tabs>
        <w:spacing w:after="160" w:line="259" w:lineRule="auto"/>
      </w:pPr>
      <w:r w:rsidRPr="00BE6152">
        <w:t xml:space="preserve">The scientific community has turned attention to new technologies </w:t>
      </w:r>
      <w:r w:rsidR="00E715C5" w:rsidRPr="00BE6152">
        <w:t>to</w:t>
      </w:r>
      <w:r w:rsidRPr="00BE6152">
        <w:t xml:space="preserve"> reduc</w:t>
      </w:r>
      <w:r w:rsidR="00E715C5" w:rsidRPr="00BE6152">
        <w:t>e</w:t>
      </w:r>
      <w:r w:rsidRPr="00BE6152">
        <w:t xml:space="preserve"> greenhouse gas emissions</w:t>
      </w:r>
      <w:r w:rsidR="008C6464" w:rsidRPr="00BE6152">
        <w:t>,</w:t>
      </w:r>
      <w:r w:rsidRPr="00BE6152">
        <w:t xml:space="preserve"> especially CO</w:t>
      </w:r>
      <w:r w:rsidRPr="00BE6152">
        <w:rPr>
          <w:vertAlign w:val="subscript"/>
        </w:rPr>
        <w:t>2</w:t>
      </w:r>
      <w:r w:rsidRPr="00BE6152">
        <w:t xml:space="preserve">. Many efforts are </w:t>
      </w:r>
      <w:r w:rsidR="00E715C5" w:rsidRPr="00BE6152">
        <w:t xml:space="preserve">ongoing </w:t>
      </w:r>
      <w:r w:rsidRPr="00BE6152">
        <w:t>to capture CO</w:t>
      </w:r>
      <w:r w:rsidRPr="00BE6152">
        <w:rPr>
          <w:vertAlign w:val="subscript"/>
        </w:rPr>
        <w:t>2</w:t>
      </w:r>
      <w:r w:rsidRPr="00BE6152">
        <w:t xml:space="preserve"> and reuse it as </w:t>
      </w:r>
      <w:r w:rsidR="008C6464" w:rsidRPr="00BE6152">
        <w:t xml:space="preserve">a </w:t>
      </w:r>
      <w:r w:rsidRPr="00BE6152">
        <w:t>carbon source. Captured CO</w:t>
      </w:r>
      <w:r w:rsidRPr="00BE6152">
        <w:rPr>
          <w:vertAlign w:val="subscript"/>
        </w:rPr>
        <w:t>2</w:t>
      </w:r>
      <w:r w:rsidRPr="00BE6152">
        <w:t xml:space="preserve"> can be stored underground or in deep oceans or used for enhanced oil recovery processes. </w:t>
      </w:r>
      <w:r w:rsidR="003755EC" w:rsidRPr="00BE6152">
        <w:t>I</w:t>
      </w:r>
      <w:r w:rsidRPr="00BE6152">
        <w:t>n addition</w:t>
      </w:r>
      <w:r w:rsidR="003052C6" w:rsidRPr="00BE6152">
        <w:t>,</w:t>
      </w:r>
      <w:r w:rsidRPr="00BE6152">
        <w:t xml:space="preserve"> CO</w:t>
      </w:r>
      <w:r w:rsidRPr="00BE6152">
        <w:rPr>
          <w:vertAlign w:val="subscript"/>
        </w:rPr>
        <w:t>2</w:t>
      </w:r>
      <w:r w:rsidRPr="00BE6152">
        <w:t xml:space="preserve"> conversion into chemicals, fuels, and materials by Carbon Capture and Utilization (CCU) processed will bring a </w:t>
      </w:r>
      <w:r w:rsidR="00D01D3A" w:rsidRPr="00BE6152">
        <w:t>further benefit</w:t>
      </w:r>
      <w:r w:rsidRPr="00BE6152">
        <w:t xml:space="preserve"> providing non-fossil commodities and integrating CO</w:t>
      </w:r>
      <w:r w:rsidRPr="00BE6152">
        <w:rPr>
          <w:vertAlign w:val="subscript"/>
        </w:rPr>
        <w:t>2</w:t>
      </w:r>
      <w:r w:rsidRPr="00BE6152">
        <w:t xml:space="preserve"> as raw material into the circular economy.</w:t>
      </w:r>
      <w:r w:rsidR="0008694E" w:rsidRPr="00BE6152">
        <w:t xml:space="preserve"> A</w:t>
      </w:r>
      <w:r w:rsidRPr="00BE6152">
        <w:t>bsorption in</w:t>
      </w:r>
      <w:r w:rsidR="00D2408A" w:rsidRPr="00BE6152">
        <w:t xml:space="preserve"> </w:t>
      </w:r>
      <w:r w:rsidR="00632147" w:rsidRPr="00BE6152">
        <w:t xml:space="preserve">carbonate </w:t>
      </w:r>
      <w:r w:rsidR="00E715C5" w:rsidRPr="00BE6152">
        <w:t xml:space="preserve">and amines </w:t>
      </w:r>
      <w:r w:rsidRPr="00BE6152">
        <w:t xml:space="preserve">solutions has been widely used for acid gas scrubbing from various sources, </w:t>
      </w:r>
      <w:proofErr w:type="gramStart"/>
      <w:r w:rsidRPr="00BE6152">
        <w:t>e.g.</w:t>
      </w:r>
      <w:proofErr w:type="gramEnd"/>
      <w:r w:rsidRPr="00BE6152">
        <w:t xml:space="preserve"> natural gas</w:t>
      </w:r>
      <w:r w:rsidR="0008694E" w:rsidRPr="00BE6152">
        <w:t>,</w:t>
      </w:r>
      <w:r w:rsidRPr="00BE6152">
        <w:t xml:space="preserve"> and has been </w:t>
      </w:r>
      <w:r w:rsidR="00E715C5" w:rsidRPr="00BE6152">
        <w:t xml:space="preserve">applied </w:t>
      </w:r>
      <w:r w:rsidRPr="00BE6152">
        <w:t xml:space="preserve">as the first step for CCU technologies </w:t>
      </w:r>
      <w:r w:rsidR="00021B77" w:rsidRPr="00BE6152">
        <w:t>(</w:t>
      </w:r>
      <w:proofErr w:type="spellStart"/>
      <w:r w:rsidR="00FD1589" w:rsidRPr="00BE6152">
        <w:t>Gondal</w:t>
      </w:r>
      <w:proofErr w:type="spellEnd"/>
      <w:r w:rsidR="00FD1589" w:rsidRPr="00BE6152">
        <w:t xml:space="preserve"> et al., 2016</w:t>
      </w:r>
      <w:r w:rsidR="0008694E" w:rsidRPr="00BE6152">
        <w:t>;</w:t>
      </w:r>
      <w:r w:rsidR="00FD1589" w:rsidRPr="00BE6152">
        <w:t xml:space="preserve"> </w:t>
      </w:r>
      <w:proofErr w:type="spellStart"/>
      <w:r w:rsidRPr="00BE6152">
        <w:t>Bernhardsen</w:t>
      </w:r>
      <w:proofErr w:type="spellEnd"/>
      <w:r w:rsidRPr="00BE6152">
        <w:t xml:space="preserve"> and </w:t>
      </w:r>
      <w:proofErr w:type="spellStart"/>
      <w:r w:rsidRPr="00BE6152">
        <w:t>Knuutila</w:t>
      </w:r>
      <w:proofErr w:type="spellEnd"/>
      <w:r w:rsidRPr="00BE6152">
        <w:t>, 2017</w:t>
      </w:r>
      <w:r w:rsidR="00021B77" w:rsidRPr="00BE6152">
        <w:t>)</w:t>
      </w:r>
      <w:r w:rsidRPr="00BE6152">
        <w:t xml:space="preserve">. </w:t>
      </w:r>
      <w:r w:rsidR="00021B77" w:rsidRPr="00BE6152">
        <w:t>A</w:t>
      </w:r>
      <w:r w:rsidR="00632147" w:rsidRPr="00BE6152">
        <w:t>bsorption</w:t>
      </w:r>
      <w:r w:rsidR="006213CC" w:rsidRPr="00BE6152">
        <w:t xml:space="preserve"> </w:t>
      </w:r>
      <w:r w:rsidR="00021B77" w:rsidRPr="00BE6152">
        <w:t xml:space="preserve">in aq. carbonate solutions </w:t>
      </w:r>
      <w:r w:rsidR="00E715C5" w:rsidRPr="00BE6152">
        <w:t xml:space="preserve">yields </w:t>
      </w:r>
      <w:r w:rsidRPr="00BE6152">
        <w:t>captured CO</w:t>
      </w:r>
      <w:r w:rsidRPr="00BE6152">
        <w:rPr>
          <w:vertAlign w:val="subscript"/>
        </w:rPr>
        <w:t>2</w:t>
      </w:r>
      <w:r w:rsidRPr="00BE6152">
        <w:t xml:space="preserve"> in the form of bicarbonate ions. The common configuration includes a closed loop </w:t>
      </w:r>
      <w:r w:rsidR="0029167F" w:rsidRPr="00BE6152">
        <w:t>with an</w:t>
      </w:r>
      <w:r w:rsidRPr="00BE6152">
        <w:t xml:space="preserve"> absorption unit coupled </w:t>
      </w:r>
      <w:r w:rsidR="0029167F" w:rsidRPr="00BE6152">
        <w:t>to a</w:t>
      </w:r>
      <w:r w:rsidRPr="00BE6152">
        <w:t xml:space="preserve"> desorption unit, pure gaseous CO</w:t>
      </w:r>
      <w:r w:rsidRPr="00BE6152">
        <w:rPr>
          <w:vertAlign w:val="subscript"/>
        </w:rPr>
        <w:t>2</w:t>
      </w:r>
      <w:r w:rsidRPr="00BE6152">
        <w:t xml:space="preserve"> is recovered</w:t>
      </w:r>
      <w:r w:rsidR="00883114" w:rsidRPr="00BE6152">
        <w:t>,</w:t>
      </w:r>
      <w:r w:rsidRPr="00BE6152">
        <w:t xml:space="preserve"> and the solvent regenerated. The desorption step impacts th</w:t>
      </w:r>
      <w:r w:rsidR="006213CC" w:rsidRPr="00BE6152">
        <w:t xml:space="preserve">e overall costs of the process </w:t>
      </w:r>
      <w:r w:rsidR="00750C71" w:rsidRPr="00BE6152">
        <w:t>as heat is needed to reverse the absorption reactions during regeneration</w:t>
      </w:r>
      <w:r w:rsidR="00FE2460" w:rsidRPr="00BE6152">
        <w:t xml:space="preserve">. This is </w:t>
      </w:r>
      <w:r w:rsidRPr="00BE6152">
        <w:t xml:space="preserve">the major fraction of the energy consumption </w:t>
      </w:r>
      <w:r w:rsidR="00750C71" w:rsidRPr="00BE6152">
        <w:t xml:space="preserve">of the process </w:t>
      </w:r>
      <w:r w:rsidR="00021B77" w:rsidRPr="00BE6152">
        <w:t>(</w:t>
      </w:r>
      <w:proofErr w:type="spellStart"/>
      <w:r w:rsidRPr="00BE6152">
        <w:t>Knuutila</w:t>
      </w:r>
      <w:proofErr w:type="spellEnd"/>
      <w:r w:rsidRPr="00BE6152">
        <w:t xml:space="preserve"> et al., 2009</w:t>
      </w:r>
      <w:r w:rsidR="00021B77" w:rsidRPr="00BE6152">
        <w:t>)</w:t>
      </w:r>
      <w:r w:rsidRPr="00BE6152">
        <w:t xml:space="preserve">. </w:t>
      </w:r>
      <w:r w:rsidR="00FE2460" w:rsidRPr="00BE6152">
        <w:t>To avoid desorption costs, direct utilization of bicarbonate ions has been proposed as an alternative to gaseous CO</w:t>
      </w:r>
      <w:r w:rsidR="00FE2460" w:rsidRPr="00BE6152">
        <w:rPr>
          <w:vertAlign w:val="subscript"/>
        </w:rPr>
        <w:t>2</w:t>
      </w:r>
      <w:r w:rsidR="00FE2460" w:rsidRPr="00BE6152">
        <w:t xml:space="preserve"> recovery</w:t>
      </w:r>
      <w:r w:rsidRPr="00BE6152">
        <w:t xml:space="preserve">. </w:t>
      </w:r>
      <w:r w:rsidR="00CB7CC0" w:rsidRPr="00BE6152">
        <w:t xml:space="preserve">Hybrid processes based on enzyme and microalgae </w:t>
      </w:r>
      <w:proofErr w:type="spellStart"/>
      <w:r w:rsidR="00CB7CC0" w:rsidRPr="00BE6152">
        <w:t>biocatalysis</w:t>
      </w:r>
      <w:proofErr w:type="spellEnd"/>
      <w:r w:rsidR="00CB7CC0" w:rsidRPr="00BE6152">
        <w:t xml:space="preserve"> have been pr</w:t>
      </w:r>
      <w:r w:rsidR="006E68EA" w:rsidRPr="00BE6152">
        <w:t>o</w:t>
      </w:r>
      <w:r w:rsidR="00CB7CC0" w:rsidRPr="00BE6152">
        <w:t>posed (</w:t>
      </w:r>
      <w:proofErr w:type="spellStart"/>
      <w:r w:rsidR="00CB7CC0" w:rsidRPr="00BE6152">
        <w:t>Di</w:t>
      </w:r>
      <w:r w:rsidR="006E68EA" w:rsidRPr="00BE6152">
        <w:t>b</w:t>
      </w:r>
      <w:r w:rsidR="00CB7CC0" w:rsidRPr="00BE6152">
        <w:t>enedetto</w:t>
      </w:r>
      <w:proofErr w:type="spellEnd"/>
      <w:r w:rsidR="00CB7CC0" w:rsidRPr="00BE6152">
        <w:t xml:space="preserve"> et al., </w:t>
      </w:r>
      <w:r w:rsidR="00CB7CC0" w:rsidRPr="00BE6152">
        <w:lastRenderedPageBreak/>
        <w:t xml:space="preserve">2012; </w:t>
      </w:r>
      <w:r w:rsidRPr="00BE6152">
        <w:t>Chi et al.</w:t>
      </w:r>
      <w:r w:rsidR="00CB7CC0" w:rsidRPr="00BE6152">
        <w:t xml:space="preserve">, </w:t>
      </w:r>
      <w:r w:rsidRPr="00BE6152">
        <w:t>2011</w:t>
      </w:r>
      <w:r w:rsidR="00CB7CC0" w:rsidRPr="00BE6152">
        <w:t>)</w:t>
      </w:r>
      <w:r w:rsidRPr="00BE6152">
        <w:t>. The present work preliminary develop</w:t>
      </w:r>
      <w:r w:rsidR="006E68EA" w:rsidRPr="00BE6152">
        <w:t>s</w:t>
      </w:r>
      <w:r w:rsidRPr="00BE6152">
        <w:t xml:space="preserve"> a new </w:t>
      </w:r>
      <w:r w:rsidR="006E68EA" w:rsidRPr="00BE6152">
        <w:t xml:space="preserve">CCU </w:t>
      </w:r>
      <w:r w:rsidRPr="00BE6152">
        <w:t xml:space="preserve">process </w:t>
      </w:r>
      <w:proofErr w:type="gramStart"/>
      <w:r w:rsidRPr="00BE6152">
        <w:t>for the production of</w:t>
      </w:r>
      <w:proofErr w:type="gramEnd"/>
      <w:r w:rsidRPr="00BE6152">
        <w:t xml:space="preserve"> carboxylic acids as platform chemicals</w:t>
      </w:r>
      <w:r w:rsidR="006E68EA" w:rsidRPr="00BE6152">
        <w:t xml:space="preserve"> that may enlarge the spectrum of CO</w:t>
      </w:r>
      <w:r w:rsidR="006E68EA" w:rsidRPr="00BE6152">
        <w:rPr>
          <w:vertAlign w:val="subscript"/>
        </w:rPr>
        <w:t>2</w:t>
      </w:r>
      <w:r w:rsidR="006E68EA" w:rsidRPr="00BE6152">
        <w:t>-based products other than fuels</w:t>
      </w:r>
      <w:r w:rsidRPr="00BE6152">
        <w:t>. The process includes carboxylation of phenolic compounds with bicarbonate ions obtained through CO</w:t>
      </w:r>
      <w:r w:rsidRPr="00BE6152">
        <w:rPr>
          <w:vertAlign w:val="subscript"/>
        </w:rPr>
        <w:t>2</w:t>
      </w:r>
      <w:r w:rsidRPr="00BE6152">
        <w:t xml:space="preserve"> absorption into a </w:t>
      </w:r>
      <w:r w:rsidR="008041E8" w:rsidRPr="00BE6152">
        <w:t>K</w:t>
      </w:r>
      <w:r w:rsidR="008041E8" w:rsidRPr="00BE6152">
        <w:rPr>
          <w:vertAlign w:val="subscript"/>
        </w:rPr>
        <w:t>2</w:t>
      </w:r>
      <w:r w:rsidR="008041E8" w:rsidRPr="00BE6152">
        <w:t>CO</w:t>
      </w:r>
      <w:r w:rsidR="008041E8" w:rsidRPr="00BE6152">
        <w:rPr>
          <w:vertAlign w:val="subscript"/>
        </w:rPr>
        <w:t>3</w:t>
      </w:r>
      <w:r w:rsidR="008041E8" w:rsidRPr="00BE6152">
        <w:t xml:space="preserve"> </w:t>
      </w:r>
      <w:r w:rsidRPr="00BE6152">
        <w:t>solution. The CO</w:t>
      </w:r>
      <w:r w:rsidRPr="00BE6152">
        <w:rPr>
          <w:vertAlign w:val="subscript"/>
        </w:rPr>
        <w:t>2</w:t>
      </w:r>
      <w:r w:rsidRPr="00BE6152">
        <w:t xml:space="preserve"> reactive absorption is catalysed by carbonic anhydrase (CA) </w:t>
      </w:r>
      <w:r w:rsidR="00021B77" w:rsidRPr="00BE6152">
        <w:t>(</w:t>
      </w:r>
      <w:r w:rsidRPr="00BE6152">
        <w:t>Russo et al., 2013</w:t>
      </w:r>
      <w:r w:rsidR="00D21288" w:rsidRPr="00BE6152">
        <w:t>a</w:t>
      </w:r>
      <w:r w:rsidR="00021B77" w:rsidRPr="00BE6152">
        <w:t>)</w:t>
      </w:r>
      <w:r w:rsidRPr="00BE6152">
        <w:t>. The bicarbonate-rich liquid can react with the phenolic substrates (</w:t>
      </w:r>
      <w:proofErr w:type="gramStart"/>
      <w:r w:rsidRPr="00BE6152">
        <w:rPr>
          <w:i/>
        </w:rPr>
        <w:t>e.g.</w:t>
      </w:r>
      <w:proofErr w:type="gramEnd"/>
      <w:r w:rsidRPr="00BE6152">
        <w:t xml:space="preserve"> catechol, orcinol, resorcinol) and form the corresponding carboxylic acids thanks to the activity of the enzyme</w:t>
      </w:r>
      <w:r w:rsidR="00021B77" w:rsidRPr="00BE6152">
        <w:t>s</w:t>
      </w:r>
      <w:r w:rsidRPr="00BE6152">
        <w:t xml:space="preserve"> hydroxybenzoic acid </w:t>
      </w:r>
      <w:r w:rsidR="0029167F" w:rsidRPr="00BE6152">
        <w:t>(</w:t>
      </w:r>
      <w:r w:rsidRPr="00BE6152">
        <w:t>de</w:t>
      </w:r>
      <w:r w:rsidR="0029167F" w:rsidRPr="00BE6152">
        <w:t>)</w:t>
      </w:r>
      <w:r w:rsidRPr="00BE6152">
        <w:t xml:space="preserve">carboxylase (HBDC) </w:t>
      </w:r>
      <w:r w:rsidR="00021B77" w:rsidRPr="00BE6152">
        <w:t>(</w:t>
      </w:r>
      <w:proofErr w:type="spellStart"/>
      <w:r w:rsidRPr="00BE6152">
        <w:t>Glueck</w:t>
      </w:r>
      <w:proofErr w:type="spellEnd"/>
      <w:r w:rsidRPr="00BE6152">
        <w:t xml:space="preserve"> et al., 2010</w:t>
      </w:r>
      <w:r w:rsidR="00021B77" w:rsidRPr="00BE6152">
        <w:t>)</w:t>
      </w:r>
      <w:r w:rsidRPr="00BE6152">
        <w:t>.</w:t>
      </w:r>
      <w:r w:rsidR="00FC5D0A" w:rsidRPr="00BE6152">
        <w:t xml:space="preserve"> Some studies addressed the recovery of the carboxylic acid through adso</w:t>
      </w:r>
      <w:r w:rsidR="00021B77" w:rsidRPr="00BE6152">
        <w:t>rption and precipitation steps (</w:t>
      </w:r>
      <w:r w:rsidR="00FC5D0A" w:rsidRPr="00BE6152">
        <w:t>Meyer et al., 2018</w:t>
      </w:r>
      <w:r w:rsidR="001C067F" w:rsidRPr="00BE6152">
        <w:t xml:space="preserve">; </w:t>
      </w:r>
      <w:proofErr w:type="spellStart"/>
      <w:r w:rsidR="001C067F" w:rsidRPr="00BE6152">
        <w:t>Ohde</w:t>
      </w:r>
      <w:proofErr w:type="spellEnd"/>
      <w:r w:rsidR="001C067F" w:rsidRPr="00BE6152">
        <w:t xml:space="preserve"> et al., 2021</w:t>
      </w:r>
      <w:r w:rsidR="00021B77" w:rsidRPr="00BE6152">
        <w:t>)</w:t>
      </w:r>
      <w:r w:rsidR="0037603F" w:rsidRPr="00BE6152">
        <w:t>.</w:t>
      </w:r>
      <w:r w:rsidR="009355CA" w:rsidRPr="00BE6152">
        <w:t xml:space="preserve"> </w:t>
      </w:r>
      <w:r w:rsidRPr="00BE6152">
        <w:t>CO</w:t>
      </w:r>
      <w:r w:rsidRPr="00BE6152">
        <w:rPr>
          <w:vertAlign w:val="subscript"/>
        </w:rPr>
        <w:t>2</w:t>
      </w:r>
      <w:r w:rsidRPr="00BE6152">
        <w:t xml:space="preserve"> reactive absorption into aqueous solutions is driven by two parallel reactions: hydration reaction and hydroxylation reaction. At pH &gt; 8 hydroxylation rate is higher than hydration rate, but CA </w:t>
      </w:r>
      <w:proofErr w:type="gramStart"/>
      <w:r w:rsidRPr="00BE6152">
        <w:t>is able to</w:t>
      </w:r>
      <w:proofErr w:type="gramEnd"/>
      <w:r w:rsidRPr="00BE6152">
        <w:t xml:space="preserve"> </w:t>
      </w:r>
      <w:proofErr w:type="spellStart"/>
      <w:r w:rsidRPr="00BE6152">
        <w:t>cataly</w:t>
      </w:r>
      <w:r w:rsidR="00E54A21" w:rsidRPr="00BE6152">
        <w:t>z</w:t>
      </w:r>
      <w:r w:rsidRPr="00BE6152">
        <w:t>e</w:t>
      </w:r>
      <w:proofErr w:type="spellEnd"/>
      <w:r w:rsidRPr="00BE6152">
        <w:t xml:space="preserve"> the first reaction. The overall rate of CO</w:t>
      </w:r>
      <w:r w:rsidRPr="00BE6152">
        <w:rPr>
          <w:vertAlign w:val="subscript"/>
        </w:rPr>
        <w:t>2</w:t>
      </w:r>
      <w:r w:rsidRPr="00BE6152">
        <w:t xml:space="preserve"> absorption is strongly affected by the CA activity and the operating conditions (pH, salts concentration, and temperature) </w:t>
      </w:r>
      <w:r w:rsidR="0008694E" w:rsidRPr="00BE6152">
        <w:t>(</w:t>
      </w:r>
      <w:r w:rsidRPr="00BE6152">
        <w:t>Russo et al., 2013</w:t>
      </w:r>
      <w:r w:rsidR="0029167F" w:rsidRPr="00BE6152">
        <w:t>a</w:t>
      </w:r>
      <w:r w:rsidR="005B42CF" w:rsidRPr="00BE6152">
        <w:t>; Russo et al., 2018</w:t>
      </w:r>
      <w:r w:rsidR="0008694E" w:rsidRPr="00BE6152">
        <w:t>)</w:t>
      </w:r>
      <w:r w:rsidRPr="00BE6152">
        <w:t>.</w:t>
      </w:r>
    </w:p>
    <w:p w14:paraId="4ECADE9B" w14:textId="23510676" w:rsidR="00D21288" w:rsidRPr="00BE6152" w:rsidRDefault="00571472" w:rsidP="00571472">
      <w:pPr>
        <w:pStyle w:val="CETBodytext"/>
      </w:pPr>
      <w:r w:rsidRPr="00BE6152">
        <w:t xml:space="preserve">In </w:t>
      </w:r>
      <w:r w:rsidR="006442A2" w:rsidRPr="00BE6152">
        <w:t>biological equivalent of the Kolbe–Schmitt reaction</w:t>
      </w:r>
      <w:r w:rsidR="00BE6152" w:rsidRPr="00BE6152">
        <w:t>,</w:t>
      </w:r>
      <w:r w:rsidR="006442A2" w:rsidRPr="00BE6152">
        <w:t xml:space="preserve"> </w:t>
      </w:r>
      <w:r w:rsidRPr="00BE6152">
        <w:t>a phenolic substrate reacts with a bicarbonate ion and the corresponding phenolic</w:t>
      </w:r>
      <w:r w:rsidR="0008694E" w:rsidRPr="00BE6152">
        <w:t xml:space="preserve"> carboxylic acid is formed (Figure</w:t>
      </w:r>
      <w:r w:rsidRPr="00BE6152">
        <w:t xml:space="preserve"> </w:t>
      </w:r>
      <w:r w:rsidR="001D78DF" w:rsidRPr="00BE6152">
        <w:t>1</w:t>
      </w:r>
      <w:r w:rsidRPr="00BE6152">
        <w:t xml:space="preserve">) </w:t>
      </w:r>
      <w:r w:rsidR="0008694E" w:rsidRPr="00BE6152">
        <w:t>(</w:t>
      </w:r>
      <w:r w:rsidRPr="00BE6152">
        <w:t>Pesci et al., 201</w:t>
      </w:r>
      <w:r w:rsidR="0021085D" w:rsidRPr="00BE6152">
        <w:t>5</w:t>
      </w:r>
      <w:r w:rsidR="0008694E" w:rsidRPr="00BE6152">
        <w:t>)</w:t>
      </w:r>
      <w:r w:rsidRPr="00BE6152">
        <w:t xml:space="preserve">. </w:t>
      </w:r>
      <w:r w:rsidR="006442A2" w:rsidRPr="00BE6152">
        <w:t xml:space="preserve">HBDC </w:t>
      </w:r>
      <w:r w:rsidRPr="00BE6152">
        <w:t xml:space="preserve">act in the C–C bond-forming direction to provide a more polar and water-soluble carboxylate anion </w:t>
      </w:r>
      <w:r w:rsidR="0008694E" w:rsidRPr="00BE6152">
        <w:t>(</w:t>
      </w:r>
      <w:proofErr w:type="spellStart"/>
      <w:r w:rsidRPr="00BE6152">
        <w:t>Brackmann</w:t>
      </w:r>
      <w:proofErr w:type="spellEnd"/>
      <w:r w:rsidRPr="00BE6152">
        <w:t xml:space="preserve"> and Fuchs, 1993; Payer et al, 2019</w:t>
      </w:r>
      <w:r w:rsidR="0008694E" w:rsidRPr="00BE6152">
        <w:t>)</w:t>
      </w:r>
      <w:r w:rsidRPr="00BE6152">
        <w:t xml:space="preserve"> using bicar</w:t>
      </w:r>
      <w:r w:rsidR="00D21288" w:rsidRPr="00BE6152">
        <w:t>bonate ion as second substrate.</w:t>
      </w:r>
    </w:p>
    <w:p w14:paraId="3DE0E02B" w14:textId="77777777" w:rsidR="00571472" w:rsidRPr="00BE6152" w:rsidRDefault="00571472" w:rsidP="006442A2">
      <w:pPr>
        <w:pStyle w:val="CETBodytext"/>
        <w:jc w:val="left"/>
      </w:pPr>
      <w:r w:rsidRPr="00BE6152">
        <w:rPr>
          <w:noProof/>
          <w:lang w:val="it-IT" w:eastAsia="it-IT"/>
        </w:rPr>
        <w:drawing>
          <wp:inline distT="0" distB="0" distL="0" distR="0" wp14:anchorId="1F6D7B82" wp14:editId="4627DD67">
            <wp:extent cx="3168573" cy="86262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20091"/>
                    <a:stretch/>
                  </pic:blipFill>
                  <pic:spPr bwMode="auto">
                    <a:xfrm>
                      <a:off x="0" y="0"/>
                      <a:ext cx="3181705" cy="866198"/>
                    </a:xfrm>
                    <a:prstGeom prst="rect">
                      <a:avLst/>
                    </a:prstGeom>
                    <a:noFill/>
                    <a:ln>
                      <a:noFill/>
                    </a:ln>
                    <a:extLst>
                      <a:ext uri="{53640926-AAD7-44D8-BBD7-CCE9431645EC}">
                        <a14:shadowObscured xmlns:a14="http://schemas.microsoft.com/office/drawing/2010/main"/>
                      </a:ext>
                    </a:extLst>
                  </pic:spPr>
                </pic:pic>
              </a:graphicData>
            </a:graphic>
          </wp:inline>
        </w:drawing>
      </w:r>
    </w:p>
    <w:p w14:paraId="7704B9C5" w14:textId="56FF720C" w:rsidR="00571472" w:rsidRPr="00BE6152" w:rsidRDefault="00571472" w:rsidP="006442A2">
      <w:pPr>
        <w:pStyle w:val="CETCaption"/>
        <w:jc w:val="left"/>
        <w:rPr>
          <w:i w:val="0"/>
          <w:iCs/>
        </w:rPr>
      </w:pPr>
      <w:r w:rsidRPr="00BE6152">
        <w:t xml:space="preserve">Figure </w:t>
      </w:r>
      <w:r w:rsidR="001D78DF" w:rsidRPr="00BE6152">
        <w:t>1</w:t>
      </w:r>
      <w:r w:rsidRPr="00BE6152">
        <w:t>:</w:t>
      </w:r>
      <w:r w:rsidR="006442A2" w:rsidRPr="00BE6152">
        <w:t xml:space="preserve"> </w:t>
      </w:r>
      <w:r w:rsidRPr="00BE6152">
        <w:t xml:space="preserve">Carboxylation of resorcinol catalysed by </w:t>
      </w:r>
      <w:r w:rsidR="006442A2" w:rsidRPr="00BE6152">
        <w:t>2,6-DHBA decarboxylase</w:t>
      </w:r>
      <w:r w:rsidRPr="00BE6152">
        <w:t xml:space="preserve"> from </w:t>
      </w:r>
      <w:r w:rsidRPr="00BE6152">
        <w:rPr>
          <w:i w:val="0"/>
        </w:rPr>
        <w:t>Rhizobium sp</w:t>
      </w:r>
      <w:r w:rsidRPr="00BE6152">
        <w:t>.</w:t>
      </w:r>
    </w:p>
    <w:p w14:paraId="3CA84BB7" w14:textId="7912B0F0" w:rsidR="00571472" w:rsidRPr="00BE6152" w:rsidRDefault="00571472" w:rsidP="00571472">
      <w:pPr>
        <w:pStyle w:val="CETBodytext"/>
      </w:pPr>
      <w:proofErr w:type="spellStart"/>
      <w:r w:rsidRPr="00BE6152">
        <w:t>Wuensch</w:t>
      </w:r>
      <w:proofErr w:type="spellEnd"/>
      <w:r w:rsidRPr="00BE6152">
        <w:t xml:space="preserve"> et al. </w:t>
      </w:r>
      <w:r w:rsidR="0037603F" w:rsidRPr="00BE6152">
        <w:t>[</w:t>
      </w:r>
      <w:r w:rsidRPr="00BE6152">
        <w:t>2014</w:t>
      </w:r>
      <w:r w:rsidR="0037603F" w:rsidRPr="00BE6152">
        <w:t>]</w:t>
      </w:r>
      <w:r w:rsidRPr="00BE6152">
        <w:t xml:space="preserve"> investigated the reaction conditions of resorcinol carboxylation catalyzed by 2,6-dihydroxybenzoic acid </w:t>
      </w:r>
      <w:r w:rsidR="00833B98" w:rsidRPr="00BE6152">
        <w:t xml:space="preserve">(2,6-DHBA) </w:t>
      </w:r>
      <w:r w:rsidRPr="00BE6152">
        <w:t xml:space="preserve">decarboxylases from </w:t>
      </w:r>
      <w:r w:rsidRPr="00BE6152">
        <w:rPr>
          <w:i/>
        </w:rPr>
        <w:t>Rhizobium sp.</w:t>
      </w:r>
      <w:r w:rsidRPr="00BE6152">
        <w:t xml:space="preserve"> and </w:t>
      </w:r>
      <w:r w:rsidR="0029167F" w:rsidRPr="00BE6152">
        <w:t>achieved 50% conversion</w:t>
      </w:r>
      <w:r w:rsidRPr="00BE6152">
        <w:t xml:space="preserve"> at optimal conditions. The </w:t>
      </w:r>
      <w:r w:rsidR="00833B98" w:rsidRPr="00BE6152">
        <w:t xml:space="preserve">same </w:t>
      </w:r>
      <w:r w:rsidRPr="00BE6152">
        <w:t xml:space="preserve">enzyme was studied by Pesci et al. </w:t>
      </w:r>
      <w:r w:rsidR="0037603F" w:rsidRPr="00BE6152">
        <w:t>[</w:t>
      </w:r>
      <w:r w:rsidRPr="00BE6152">
        <w:t>2015</w:t>
      </w:r>
      <w:r w:rsidR="0037603F" w:rsidRPr="00BE6152">
        <w:t>]</w:t>
      </w:r>
      <w:r w:rsidRPr="00BE6152">
        <w:t xml:space="preserve"> using catechol as substrate, the enzyme mechanism </w:t>
      </w:r>
      <w:r w:rsidR="0029167F" w:rsidRPr="00BE6152">
        <w:t xml:space="preserve">and </w:t>
      </w:r>
      <w:r w:rsidRPr="00BE6152">
        <w:t>a kinetic model were proposed.</w:t>
      </w:r>
      <w:r w:rsidR="00C3463A" w:rsidRPr="00BE6152">
        <w:t xml:space="preserve"> </w:t>
      </w:r>
      <w:r w:rsidRPr="00BE6152">
        <w:t xml:space="preserve">The </w:t>
      </w:r>
      <w:r w:rsidR="0008694E" w:rsidRPr="00BE6152">
        <w:t xml:space="preserve">present </w:t>
      </w:r>
      <w:r w:rsidRPr="00BE6152">
        <w:t xml:space="preserve">theoretical study </w:t>
      </w:r>
      <w:r w:rsidR="0008694E" w:rsidRPr="00BE6152">
        <w:t xml:space="preserve">is </w:t>
      </w:r>
      <w:r w:rsidRPr="00BE6152">
        <w:t>aimed at assessing the potential performances of coupl</w:t>
      </w:r>
      <w:r w:rsidR="0008694E" w:rsidRPr="00BE6152">
        <w:t>ed</w:t>
      </w:r>
      <w:r w:rsidRPr="00BE6152">
        <w:t xml:space="preserve"> enzymatic </w:t>
      </w:r>
      <w:r w:rsidR="006442A2" w:rsidRPr="00BE6152">
        <w:t xml:space="preserve">process of </w:t>
      </w:r>
      <w:r w:rsidRPr="00BE6152">
        <w:t>reactive CO</w:t>
      </w:r>
      <w:r w:rsidRPr="00BE6152">
        <w:rPr>
          <w:vertAlign w:val="subscript"/>
        </w:rPr>
        <w:t>2</w:t>
      </w:r>
      <w:r w:rsidRPr="00BE6152">
        <w:t xml:space="preserve"> absorption and carboxylation of phenols </w:t>
      </w:r>
      <w:r w:rsidR="0029167F" w:rsidRPr="00BE6152">
        <w:t xml:space="preserve">according to </w:t>
      </w:r>
      <w:r w:rsidRPr="00BE6152">
        <w:t>the kinetic models reported in the literature.</w:t>
      </w:r>
    </w:p>
    <w:p w14:paraId="6F6A5A7D" w14:textId="3606273B" w:rsidR="00D01D3A" w:rsidRDefault="00D01D3A" w:rsidP="00947BF1">
      <w:pPr>
        <w:pStyle w:val="CETHeading1"/>
        <w:numPr>
          <w:ilvl w:val="0"/>
          <w:numId w:val="25"/>
        </w:numPr>
        <w:tabs>
          <w:tab w:val="right" w:pos="7100"/>
        </w:tabs>
        <w:ind w:left="360"/>
        <w:jc w:val="both"/>
        <w:rPr>
          <w:lang w:val="en-GB"/>
        </w:rPr>
      </w:pPr>
      <w:r>
        <w:rPr>
          <w:lang w:val="en-GB"/>
        </w:rPr>
        <w:t>Theoretical methods</w:t>
      </w:r>
    </w:p>
    <w:p w14:paraId="626190B3" w14:textId="42B9DCF0" w:rsidR="00F20858" w:rsidRDefault="00F20858" w:rsidP="00F20858">
      <w:pPr>
        <w:pStyle w:val="CETBodytext"/>
        <w:rPr>
          <w:lang w:val="en-GB"/>
        </w:rPr>
      </w:pPr>
      <w:r>
        <w:rPr>
          <w:lang w:val="en-GB"/>
        </w:rPr>
        <w:t xml:space="preserve">The development of the theoretical model was based on the </w:t>
      </w:r>
      <w:r w:rsidR="006442A2">
        <w:rPr>
          <w:lang w:val="en-GB"/>
        </w:rPr>
        <w:t>scheme in Figure</w:t>
      </w:r>
      <w:r w:rsidR="001D78DF">
        <w:rPr>
          <w:lang w:val="en-GB"/>
        </w:rPr>
        <w:t xml:space="preserve"> 2. S</w:t>
      </w:r>
      <w:r>
        <w:rPr>
          <w:lang w:val="en-GB"/>
        </w:rPr>
        <w:t>imulation of a pilot unit where CO</w:t>
      </w:r>
      <w:r w:rsidRPr="00993BD7">
        <w:rPr>
          <w:vertAlign w:val="subscript"/>
          <w:lang w:val="en-GB"/>
        </w:rPr>
        <w:t>2</w:t>
      </w:r>
      <w:r>
        <w:rPr>
          <w:lang w:val="en-GB"/>
        </w:rPr>
        <w:t xml:space="preserve"> absorption is promoted by CA was obtained with the software </w:t>
      </w:r>
      <w:r>
        <w:t xml:space="preserve">ASPEN PLUS®. The resulting composition of the bicarbonate rich stream, as the outlet of the absorption unit, has been considered as the inlet stream of a carboxylation unit. 1,2-DHB has been considered as substrate for the base case simulation of the carboxylation unit, and 2,6-DHBA decarboxylase </w:t>
      </w:r>
      <w:r>
        <w:rPr>
          <w:lang w:val="en-GB"/>
        </w:rPr>
        <w:t xml:space="preserve">as the biocatalyst. The carboxylation unit model has been developed through mass balance equations and equilibrium conditions retrieved from the literature and </w:t>
      </w:r>
      <w:r w:rsidR="005B433C">
        <w:rPr>
          <w:lang w:val="en-GB"/>
        </w:rPr>
        <w:t xml:space="preserve">were </w:t>
      </w:r>
      <w:r>
        <w:rPr>
          <w:lang w:val="en-GB"/>
        </w:rPr>
        <w:t xml:space="preserve">solved by WOLFRAM MATHEMATICA® software. </w:t>
      </w:r>
    </w:p>
    <w:p w14:paraId="6281D1EF" w14:textId="77777777" w:rsidR="001D78DF" w:rsidRPr="00A75E85" w:rsidRDefault="001D78DF" w:rsidP="00A75E85">
      <w:pPr>
        <w:pStyle w:val="CETCaption"/>
        <w:rPr>
          <w:noProof/>
          <w:lang w:val="it-IT" w:eastAsia="it-IT"/>
        </w:rPr>
      </w:pPr>
      <w:r>
        <w:rPr>
          <w:noProof/>
          <w:lang w:val="it-IT" w:eastAsia="it-IT"/>
        </w:rPr>
        <w:drawing>
          <wp:inline distT="0" distB="0" distL="0" distR="0" wp14:anchorId="58494CE1" wp14:editId="0F1734B3">
            <wp:extent cx="2623577" cy="1602864"/>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1032" cy="1613528"/>
                    </a:xfrm>
                    <a:prstGeom prst="rect">
                      <a:avLst/>
                    </a:prstGeom>
                    <a:noFill/>
                  </pic:spPr>
                </pic:pic>
              </a:graphicData>
            </a:graphic>
          </wp:inline>
        </w:drawing>
      </w:r>
    </w:p>
    <w:p w14:paraId="1CDEEB96" w14:textId="77777777" w:rsidR="00BE6152" w:rsidRDefault="001D78DF" w:rsidP="001D78DF">
      <w:pPr>
        <w:pStyle w:val="CETCaption"/>
      </w:pPr>
      <w:r w:rsidRPr="009378F0">
        <w:t>Figure</w:t>
      </w:r>
      <w:r>
        <w:t xml:space="preserve"> 2</w:t>
      </w:r>
      <w:r w:rsidRPr="009378F0">
        <w:t>:</w:t>
      </w:r>
      <w:r w:rsidR="007B4D13">
        <w:t xml:space="preserve"> </w:t>
      </w:r>
      <w:r>
        <w:t>Block diagram of enzymatic CO</w:t>
      </w:r>
      <w:r w:rsidRPr="0064147D">
        <w:rPr>
          <w:vertAlign w:val="subscript"/>
        </w:rPr>
        <w:t>2</w:t>
      </w:r>
      <w:r>
        <w:t xml:space="preserve"> capture and carboxylation process. 1) Packed column for CO</w:t>
      </w:r>
      <w:r w:rsidRPr="00D71DC2">
        <w:rPr>
          <w:vertAlign w:val="subscript"/>
        </w:rPr>
        <w:t>2</w:t>
      </w:r>
      <w:r>
        <w:t xml:space="preserve"> enzymatic absorption; 2) enzymatic carboxylation unit.</w:t>
      </w:r>
    </w:p>
    <w:p w14:paraId="0F690535" w14:textId="2F0089F9" w:rsidR="001D78DF" w:rsidRPr="00BE6152" w:rsidRDefault="00BE6152" w:rsidP="00947BF1">
      <w:pPr>
        <w:pStyle w:val="CETCaption"/>
        <w:spacing w:before="0" w:after="0"/>
        <w:rPr>
          <w:i w:val="0"/>
          <w:iCs/>
        </w:rPr>
      </w:pPr>
      <w:r w:rsidRPr="00BE6152">
        <w:rPr>
          <w:i w:val="0"/>
          <w:iCs/>
        </w:rPr>
        <w:lastRenderedPageBreak/>
        <w:t>The recovery of the product and solvent regeneration is beyond the scope of the study and will be addressed in the future. Further simulations have been obtained for other phenolic substrates (3,5-DHT and 1,3-DHB). The effect of operating conditions on the equilibrium conversion degree has been assessed.</w:t>
      </w:r>
    </w:p>
    <w:p w14:paraId="53F8FCDE" w14:textId="76058A73" w:rsidR="00F20858" w:rsidRPr="00947BF1" w:rsidRDefault="007B4D13" w:rsidP="00947BF1">
      <w:pPr>
        <w:pStyle w:val="CETheadingx"/>
      </w:pPr>
      <w:r w:rsidRPr="00947BF1">
        <w:t>2.1</w:t>
      </w:r>
      <w:r w:rsidR="00F20858" w:rsidRPr="00947BF1">
        <w:t xml:space="preserve"> Modelling of CO</w:t>
      </w:r>
      <w:r w:rsidR="00F20858" w:rsidRPr="00947BF1">
        <w:rPr>
          <w:vertAlign w:val="subscript"/>
        </w:rPr>
        <w:t>2</w:t>
      </w:r>
      <w:r w:rsidR="00F20858" w:rsidRPr="00947BF1">
        <w:t xml:space="preserve"> absorption unit</w:t>
      </w:r>
    </w:p>
    <w:p w14:paraId="52919BEF" w14:textId="51FB2638" w:rsidR="00F20858" w:rsidRDefault="00F20858" w:rsidP="00F20858">
      <w:pPr>
        <w:pStyle w:val="CETBodytext"/>
      </w:pPr>
      <w:r>
        <w:t>Reactive absorption of CO</w:t>
      </w:r>
      <w:r w:rsidRPr="00BF5481">
        <w:rPr>
          <w:vertAlign w:val="subscript"/>
        </w:rPr>
        <w:t>2</w:t>
      </w:r>
      <w:r>
        <w:t xml:space="preserve"> in a K</w:t>
      </w:r>
      <w:r w:rsidRPr="00993BD7">
        <w:rPr>
          <w:vertAlign w:val="subscript"/>
        </w:rPr>
        <w:t>2</w:t>
      </w:r>
      <w:r>
        <w:t>CO</w:t>
      </w:r>
      <w:r w:rsidRPr="00993BD7">
        <w:rPr>
          <w:vertAlign w:val="subscript"/>
        </w:rPr>
        <w:t>3</w:t>
      </w:r>
      <w:r>
        <w:t xml:space="preserve"> solution catalyzed by CA has been modelled using ASPEN PLUS® software according to </w:t>
      </w:r>
      <w:r w:rsidR="0037603F">
        <w:t xml:space="preserve">an available base case </w:t>
      </w:r>
      <w:r w:rsidR="00D21288">
        <w:t>[</w:t>
      </w:r>
      <w:r>
        <w:t>Wu et al. 2018</w:t>
      </w:r>
      <w:r w:rsidR="00D21288">
        <w:t>]</w:t>
      </w:r>
      <w:r>
        <w:t xml:space="preserve">. ASPEN PLUS® settings have been selected to simulate </w:t>
      </w:r>
      <w:r w:rsidR="0037603F">
        <w:t>the</w:t>
      </w:r>
      <w:r>
        <w:t xml:space="preserve"> pilot-scale absorption column: ELECNRTL </w:t>
      </w:r>
      <w:r w:rsidR="0037603F">
        <w:t xml:space="preserve">was used </w:t>
      </w:r>
      <w:r>
        <w:t xml:space="preserve">as properties section model, </w:t>
      </w:r>
      <w:r w:rsidR="005B433C">
        <w:t xml:space="preserve">and a </w:t>
      </w:r>
      <w:r w:rsidR="008F7580">
        <w:t>rate-based calculation (</w:t>
      </w:r>
      <w:r>
        <w:t>RADFRAC model</w:t>
      </w:r>
      <w:r w:rsidR="008F7580">
        <w:t>)</w:t>
      </w:r>
      <w:r>
        <w:t xml:space="preserve"> </w:t>
      </w:r>
      <w:r w:rsidR="0037603F">
        <w:t xml:space="preserve">was </w:t>
      </w:r>
      <w:r>
        <w:t xml:space="preserve">used </w:t>
      </w:r>
      <w:r w:rsidR="008F7580">
        <w:t>in</w:t>
      </w:r>
      <w:r>
        <w:t xml:space="preserve"> </w:t>
      </w:r>
      <w:r w:rsidR="0037603F">
        <w:t xml:space="preserve">the </w:t>
      </w:r>
      <w:r>
        <w:t>simulation section.</w:t>
      </w:r>
      <w:r w:rsidR="00C3463A">
        <w:t xml:space="preserve"> </w:t>
      </w:r>
      <w:r w:rsidR="0037603F">
        <w:t>CO</w:t>
      </w:r>
      <w:r w:rsidR="0037603F" w:rsidRPr="0037603F">
        <w:rPr>
          <w:vertAlign w:val="subscript"/>
        </w:rPr>
        <w:t>2</w:t>
      </w:r>
      <w:r w:rsidR="0037603F">
        <w:t xml:space="preserve"> hydration</w:t>
      </w:r>
      <w:r w:rsidR="008F7580">
        <w:t xml:space="preserve"> and </w:t>
      </w:r>
      <w:r w:rsidR="0037603F">
        <w:t>hydroxylation</w:t>
      </w:r>
      <w:r w:rsidR="008F7580">
        <w:t xml:space="preserve"> </w:t>
      </w:r>
      <w:r w:rsidR="0037603F">
        <w:t xml:space="preserve">were </w:t>
      </w:r>
      <w:r>
        <w:t xml:space="preserve">included in the list of reactions to allow the non-equilibrium calculations of the rate-based simulation. </w:t>
      </w:r>
      <w:r w:rsidR="0037603F">
        <w:t>CO</w:t>
      </w:r>
      <w:r w:rsidR="0037603F" w:rsidRPr="0037603F">
        <w:rPr>
          <w:vertAlign w:val="subscript"/>
        </w:rPr>
        <w:t>2</w:t>
      </w:r>
      <w:r w:rsidR="0037603F">
        <w:t xml:space="preserve"> hydration</w:t>
      </w:r>
      <w:r>
        <w:t xml:space="preserve"> </w:t>
      </w:r>
      <w:r w:rsidR="0037603F">
        <w:t xml:space="preserve">was </w:t>
      </w:r>
      <w:r>
        <w:t xml:space="preserve">assumed catalyzed by </w:t>
      </w:r>
      <w:r w:rsidR="0037603F">
        <w:t xml:space="preserve">immobilized </w:t>
      </w:r>
      <w:r>
        <w:t xml:space="preserve">CA. </w:t>
      </w:r>
      <w:r w:rsidR="0037603F">
        <w:t>According to Peirce et al. [</w:t>
      </w:r>
      <w:r w:rsidR="00D21288">
        <w:t>2017</w:t>
      </w:r>
      <w:r w:rsidR="0037603F">
        <w:t>], t</w:t>
      </w:r>
      <w:r>
        <w:t xml:space="preserve">he biocatalyst </w:t>
      </w:r>
      <w:r w:rsidR="0037603F">
        <w:t>was</w:t>
      </w:r>
      <w:r>
        <w:t xml:space="preserve"> considered made by CA immobilized on paramagnetic nanoparticles and its kinetics </w:t>
      </w:r>
      <w:r w:rsidR="0037603F">
        <w:t>was</w:t>
      </w:r>
      <w:r>
        <w:t xml:space="preserve"> described by a pseudo-homogeneous model</w:t>
      </w:r>
      <w:r w:rsidR="0037603F">
        <w:t xml:space="preserve"> (</w:t>
      </w:r>
      <w:proofErr w:type="spellStart"/>
      <w:proofErr w:type="gramStart"/>
      <w:r w:rsidR="0037603F">
        <w:t>Eq.s</w:t>
      </w:r>
      <w:proofErr w:type="spellEnd"/>
      <w:proofErr w:type="gramEnd"/>
      <w:r w:rsidR="0037603F">
        <w:t xml:space="preserve"> </w:t>
      </w:r>
      <w:r w:rsidR="0008090E">
        <w:t>1</w:t>
      </w:r>
      <w:r w:rsidR="0037603F">
        <w:t>-</w:t>
      </w:r>
      <w:r w:rsidR="0008090E">
        <w:t>4</w:t>
      </w:r>
      <w:r w:rsidR="0037603F">
        <w:t>)</w:t>
      </w:r>
      <w:r>
        <w:t>. The biocatalyst has been assumed confined into the absorption column (</w:t>
      </w:r>
      <w:proofErr w:type="gramStart"/>
      <w:r>
        <w:t>e.g.</w:t>
      </w:r>
      <w:proofErr w:type="gramEnd"/>
      <w:r>
        <w:t xml:space="preserve"> by magnetic field assisted </w:t>
      </w:r>
      <w:r w:rsidR="0037603F">
        <w:t>confinement of the biocatalyst particles).</w:t>
      </w:r>
    </w:p>
    <w:bookmarkStart w:id="0" w:name="_Hlk93398549"/>
    <w:p w14:paraId="31751687" w14:textId="095166CC" w:rsidR="00F20858" w:rsidRPr="009246B7" w:rsidRDefault="00E122B1" w:rsidP="00E20BCE">
      <w:pPr>
        <w:pStyle w:val="CETBodytext"/>
        <w:spacing w:before="120" w:after="120"/>
        <w:rPr>
          <w:rFonts w:cs="Arial"/>
        </w:rPr>
      </w:pPr>
      <m:oMath>
        <m:sSub>
          <m:sSubPr>
            <m:ctrlPr>
              <w:rPr>
                <w:rFonts w:ascii="Cambria Math" w:hAnsi="Cambria Math" w:cs="Arial"/>
                <w:i/>
              </w:rPr>
            </m:ctrlPr>
          </m:sSubPr>
          <m:e>
            <m:r>
              <w:rPr>
                <w:rFonts w:ascii="Cambria Math" w:hAnsi="Cambria Math" w:cs="Arial"/>
              </w:rPr>
              <m:t>r</m:t>
            </m:r>
          </m:e>
          <m:sub>
            <m:r>
              <w:rPr>
                <w:rFonts w:ascii="Cambria Math" w:hAnsi="Cambria Math" w:cs="Arial"/>
              </w:rPr>
              <m:t>f</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f</m:t>
            </m:r>
          </m:sub>
        </m:sSub>
        <m:r>
          <w:rPr>
            <w:rFonts w:ascii="Cambria Math" w:hAnsi="Cambria Math" w:cs="Arial"/>
          </w:rPr>
          <m:t>∙[C</m:t>
        </m:r>
        <m:sSub>
          <m:sSubPr>
            <m:ctrlPr>
              <w:rPr>
                <w:rFonts w:ascii="Cambria Math" w:hAnsi="Cambria Math" w:cs="Arial"/>
                <w:i/>
              </w:rPr>
            </m:ctrlPr>
          </m:sSubPr>
          <m:e>
            <m:r>
              <w:rPr>
                <w:rFonts w:ascii="Cambria Math" w:hAnsi="Cambria Math" w:cs="Arial"/>
              </w:rPr>
              <m:t>O</m:t>
            </m:r>
          </m:e>
          <m:sub>
            <m:r>
              <w:rPr>
                <w:rFonts w:ascii="Cambria Math" w:hAnsi="Cambria Math" w:cs="Arial"/>
              </w:rPr>
              <m:t>2</m:t>
            </m:r>
          </m:sub>
        </m:sSub>
        <m:r>
          <w:rPr>
            <w:rFonts w:ascii="Cambria Math" w:hAnsi="Cambria Math" w:cs="Arial"/>
          </w:rPr>
          <m:t>]</m:t>
        </m:r>
      </m:oMath>
      <w:bookmarkEnd w:id="0"/>
      <w:r w:rsidR="00F20858" w:rsidRPr="009246B7">
        <w:rPr>
          <w:rFonts w:cs="Arial"/>
        </w:rPr>
        <w:tab/>
      </w:r>
      <w:r w:rsidR="00F20858" w:rsidRPr="009246B7">
        <w:rPr>
          <w:rFonts w:cs="Arial"/>
        </w:rPr>
        <w:tab/>
        <w:t>(</w:t>
      </w:r>
      <w:r w:rsidR="0008090E">
        <w:rPr>
          <w:rFonts w:cs="Arial"/>
        </w:rPr>
        <w:t>1</w:t>
      </w:r>
      <w:r w:rsidR="00F20858" w:rsidRPr="009246B7">
        <w:rPr>
          <w:rFonts w:cs="Arial"/>
        </w:rPr>
        <w:t>)</w:t>
      </w:r>
    </w:p>
    <w:p w14:paraId="73EE19EC" w14:textId="12E15948" w:rsidR="00F20858" w:rsidRPr="009246B7" w:rsidRDefault="00E122B1" w:rsidP="00E20BCE">
      <w:pPr>
        <w:pStyle w:val="CETBodytext"/>
        <w:spacing w:before="120" w:after="120"/>
        <w:rPr>
          <w:rFonts w:cs="Arial"/>
        </w:rPr>
      </w:pPr>
      <m:oMath>
        <m:sSub>
          <m:sSubPr>
            <m:ctrlPr>
              <w:rPr>
                <w:rFonts w:ascii="Cambria Math" w:hAnsi="Cambria Math" w:cs="Arial"/>
                <w:i/>
              </w:rPr>
            </m:ctrlPr>
          </m:sSubPr>
          <m:e>
            <m:r>
              <w:rPr>
                <w:rFonts w:ascii="Cambria Math" w:hAnsi="Cambria Math" w:cs="Arial"/>
              </w:rPr>
              <m:t>r</m:t>
            </m:r>
          </m:e>
          <m:sub>
            <m:r>
              <w:rPr>
                <w:rFonts w:ascii="Cambria Math" w:hAnsi="Cambria Math" w:cs="Arial"/>
              </w:rPr>
              <m:t>b</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k</m:t>
                </m:r>
              </m:e>
              <m:sub>
                <m:r>
                  <w:rPr>
                    <w:rFonts w:ascii="Cambria Math" w:hAnsi="Cambria Math" w:cs="Arial"/>
                  </w:rPr>
                  <m:t>f</m:t>
                </m:r>
              </m:sub>
            </m:sSub>
          </m:num>
          <m:den>
            <m:sSub>
              <m:sSubPr>
                <m:ctrlPr>
                  <w:rPr>
                    <w:rFonts w:ascii="Cambria Math" w:hAnsi="Cambria Math" w:cs="Arial"/>
                    <w:i/>
                  </w:rPr>
                </m:ctrlPr>
              </m:sSubPr>
              <m:e>
                <m:r>
                  <w:rPr>
                    <w:rFonts w:ascii="Cambria Math" w:hAnsi="Cambria Math" w:cs="Arial"/>
                  </w:rPr>
                  <m:t>K</m:t>
                </m:r>
              </m:e>
              <m:sub>
                <m:r>
                  <w:rPr>
                    <w:rFonts w:ascii="Cambria Math" w:hAnsi="Cambria Math" w:cs="Arial"/>
                  </w:rPr>
                  <m:t>1</m:t>
                </m:r>
              </m:sub>
            </m:sSub>
          </m:den>
        </m:f>
        <m:r>
          <w:rPr>
            <w:rFonts w:ascii="Cambria Math" w:hAnsi="Cambria Math" w:cs="Arial"/>
          </w:rPr>
          <m:t>∙</m:t>
        </m:r>
        <m:d>
          <m:dPr>
            <m:begChr m:val="["/>
            <m:endChr m:val="]"/>
            <m:ctrlPr>
              <w:rPr>
                <w:rFonts w:ascii="Cambria Math" w:hAnsi="Cambria Math" w:cs="Arial"/>
                <w:i/>
              </w:rPr>
            </m:ctrlPr>
          </m:dPr>
          <m:e>
            <m:r>
              <w:rPr>
                <w:rFonts w:ascii="Cambria Math" w:hAnsi="Cambria Math" w:cs="Arial"/>
              </w:rPr>
              <m:t>HC</m:t>
            </m:r>
            <m:sSubSup>
              <m:sSubSupPr>
                <m:ctrlPr>
                  <w:rPr>
                    <w:rFonts w:ascii="Cambria Math" w:hAnsi="Cambria Math" w:cs="Arial"/>
                    <w:i/>
                  </w:rPr>
                </m:ctrlPr>
              </m:sSubSupPr>
              <m:e>
                <m:r>
                  <w:rPr>
                    <w:rFonts w:ascii="Cambria Math" w:hAnsi="Cambria Math" w:cs="Arial"/>
                  </w:rPr>
                  <m:t>O</m:t>
                </m:r>
              </m:e>
              <m:sub>
                <m:r>
                  <w:rPr>
                    <w:rFonts w:ascii="Cambria Math" w:hAnsi="Cambria Math" w:cs="Arial"/>
                  </w:rPr>
                  <m:t>3</m:t>
                </m:r>
              </m:sub>
              <m:sup>
                <m:r>
                  <w:rPr>
                    <w:rFonts w:ascii="Cambria Math" w:hAnsi="Cambria Math" w:cs="Arial"/>
                  </w:rPr>
                  <m:t>-</m:t>
                </m:r>
              </m:sup>
            </m:sSubSup>
          </m:e>
        </m:d>
        <m:r>
          <w:rPr>
            <w:rFonts w:ascii="Cambria Math" w:hAnsi="Cambria Math" w:cs="Arial"/>
          </w:rPr>
          <m:t>∙[</m:t>
        </m:r>
        <m:sSup>
          <m:sSupPr>
            <m:ctrlPr>
              <w:rPr>
                <w:rFonts w:ascii="Cambria Math" w:hAnsi="Cambria Math" w:cs="Arial"/>
                <w:i/>
              </w:rPr>
            </m:ctrlPr>
          </m:sSupPr>
          <m:e>
            <m:r>
              <w:rPr>
                <w:rFonts w:ascii="Cambria Math" w:hAnsi="Cambria Math" w:cs="Arial"/>
              </w:rPr>
              <m:t>H</m:t>
            </m:r>
          </m:e>
          <m:sup>
            <m:r>
              <w:rPr>
                <w:rFonts w:ascii="Cambria Math" w:hAnsi="Cambria Math" w:cs="Arial"/>
              </w:rPr>
              <m:t>+</m:t>
            </m:r>
          </m:sup>
        </m:sSup>
        <m:r>
          <w:rPr>
            <w:rFonts w:ascii="Cambria Math" w:hAnsi="Cambria Math" w:cs="Arial"/>
          </w:rPr>
          <m:t>]</m:t>
        </m:r>
      </m:oMath>
      <w:r w:rsidR="00F20858" w:rsidRPr="009246B7">
        <w:rPr>
          <w:rFonts w:cs="Arial"/>
        </w:rPr>
        <w:tab/>
      </w:r>
      <w:r w:rsidR="00F20858" w:rsidRPr="009246B7">
        <w:rPr>
          <w:rFonts w:cs="Arial"/>
        </w:rPr>
        <w:tab/>
        <w:t>(</w:t>
      </w:r>
      <w:r w:rsidR="0008090E">
        <w:rPr>
          <w:rFonts w:cs="Arial"/>
        </w:rPr>
        <w:t>2</w:t>
      </w:r>
      <w:r w:rsidR="00F20858" w:rsidRPr="009246B7">
        <w:rPr>
          <w:rFonts w:cs="Arial"/>
        </w:rPr>
        <w:t>)</w:t>
      </w:r>
    </w:p>
    <w:p w14:paraId="10656D9F" w14:textId="6A2AE955" w:rsidR="00F20858" w:rsidRPr="009246B7" w:rsidRDefault="00E122B1" w:rsidP="00E20BCE">
      <w:pPr>
        <w:pStyle w:val="CETBodytext"/>
        <w:spacing w:before="120" w:after="120"/>
        <w:rPr>
          <w:rFonts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f</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E</m:t>
            </m:r>
          </m:sub>
        </m:sSub>
        <m:r>
          <w:rPr>
            <w:rFonts w:ascii="Cambria Math" w:hAnsi="Cambria Math" w:cs="Arial"/>
          </w:rPr>
          <m:t>∙[CA]</m:t>
        </m:r>
      </m:oMath>
      <w:r w:rsidR="00F20858" w:rsidRPr="009246B7">
        <w:rPr>
          <w:rFonts w:cs="Arial"/>
        </w:rPr>
        <w:tab/>
      </w:r>
      <w:r w:rsidR="00F20858" w:rsidRPr="009246B7">
        <w:rPr>
          <w:rFonts w:cs="Arial"/>
        </w:rPr>
        <w:tab/>
        <w:t>(</w:t>
      </w:r>
      <w:r w:rsidR="0008090E">
        <w:rPr>
          <w:rFonts w:cs="Arial"/>
        </w:rPr>
        <w:t>3</w:t>
      </w:r>
      <w:r w:rsidR="00F20858" w:rsidRPr="009246B7">
        <w:rPr>
          <w:rFonts w:cs="Arial"/>
        </w:rPr>
        <w:t>)</w:t>
      </w:r>
    </w:p>
    <w:p w14:paraId="1E2B1C0B" w14:textId="0B465B57" w:rsidR="00F20858" w:rsidRPr="009246B7" w:rsidRDefault="00E122B1" w:rsidP="00E20BCE">
      <w:pPr>
        <w:pStyle w:val="CETBodytext"/>
        <w:spacing w:before="120" w:after="120"/>
        <w:rPr>
          <w:rFonts w:cs="Arial"/>
        </w:rPr>
      </w:pPr>
      <m:oMath>
        <m:d>
          <m:dPr>
            <m:begChr m:val="["/>
            <m:endChr m:val="]"/>
            <m:ctrlPr>
              <w:rPr>
                <w:rFonts w:ascii="Cambria Math" w:hAnsi="Cambria Math" w:cs="Arial"/>
                <w:i/>
              </w:rPr>
            </m:ctrlPr>
          </m:dPr>
          <m:e>
            <m:r>
              <w:rPr>
                <w:rFonts w:ascii="Cambria Math" w:hAnsi="Cambria Math" w:cs="Arial"/>
              </w:rPr>
              <m:t>CA</m:t>
            </m:r>
          </m:e>
        </m:d>
        <m:r>
          <w:rPr>
            <w:rFonts w:ascii="Cambria Math" w:hAnsi="Cambria Math" w:cs="Arial"/>
          </w:rPr>
          <m:t>=</m:t>
        </m:r>
        <m:sSub>
          <m:sSubPr>
            <m:ctrlPr>
              <w:rPr>
                <w:rFonts w:ascii="Cambria Math" w:hAnsi="Cambria Math" w:cs="Arial"/>
                <w:i/>
              </w:rPr>
            </m:ctrlPr>
          </m:sSubPr>
          <m:e>
            <m:d>
              <m:dPr>
                <m:begChr m:val="["/>
                <m:endChr m:val="]"/>
                <m:ctrlPr>
                  <w:rPr>
                    <w:rFonts w:ascii="Cambria Math" w:hAnsi="Cambria Math" w:cs="Arial"/>
                    <w:i/>
                  </w:rPr>
                </m:ctrlPr>
              </m:dPr>
              <m:e>
                <m:r>
                  <w:rPr>
                    <w:rFonts w:ascii="Cambria Math" w:hAnsi="Cambria Math" w:cs="Arial"/>
                  </w:rPr>
                  <m:t>CA</m:t>
                </m:r>
              </m:e>
            </m:d>
          </m:e>
          <m:sub>
            <m:r>
              <w:rPr>
                <w:rFonts w:ascii="Cambria Math" w:hAnsi="Cambria Math" w:cs="Arial"/>
              </w:rPr>
              <m:t>im</m:t>
            </m:r>
          </m:sub>
        </m:sSub>
        <m:r>
          <w:rPr>
            <w:rFonts w:ascii="Cambria Math" w:hAnsi="Cambria Math" w:cs="Arial"/>
          </w:rPr>
          <m:t>∙ρ∙ε</m:t>
        </m:r>
      </m:oMath>
      <w:r w:rsidR="00F20858" w:rsidRPr="009246B7">
        <w:rPr>
          <w:rFonts w:cs="Arial"/>
        </w:rPr>
        <w:tab/>
      </w:r>
      <w:r w:rsidR="00F20858" w:rsidRPr="009246B7">
        <w:rPr>
          <w:rFonts w:cs="Arial"/>
        </w:rPr>
        <w:tab/>
        <w:t>(</w:t>
      </w:r>
      <w:r w:rsidR="0008090E">
        <w:rPr>
          <w:rFonts w:cs="Arial"/>
        </w:rPr>
        <w:t>4</w:t>
      </w:r>
      <w:r w:rsidR="00F20858" w:rsidRPr="009246B7">
        <w:rPr>
          <w:rFonts w:cs="Arial"/>
        </w:rPr>
        <w:t>)</w:t>
      </w:r>
    </w:p>
    <w:p w14:paraId="0675EEC9" w14:textId="3D6C8E9B" w:rsidR="00F20858" w:rsidRDefault="007138EE" w:rsidP="00F20858">
      <w:pPr>
        <w:pStyle w:val="CETBodytext"/>
      </w:pPr>
      <w:r>
        <w:t xml:space="preserve">In the equations </w:t>
      </w:r>
      <w:r w:rsidR="00F20858">
        <w:t>[CA]</w:t>
      </w:r>
      <w:proofErr w:type="spellStart"/>
      <w:r w:rsidR="00F20858">
        <w:rPr>
          <w:vertAlign w:val="subscript"/>
        </w:rPr>
        <w:t>im</w:t>
      </w:r>
      <w:proofErr w:type="spellEnd"/>
      <w:r w:rsidR="00F20858">
        <w:t xml:space="preserve"> is the concentration of immobilized CA per unit mass of solid carrier, </w:t>
      </w:r>
      <w:r w:rsidR="00F20858" w:rsidRPr="009726AD">
        <w:rPr>
          <w:rFonts w:ascii="Symbol" w:hAnsi="Symbol"/>
        </w:rPr>
        <w:t></w:t>
      </w:r>
      <w:r w:rsidR="00F20858">
        <w:t xml:space="preserve"> is the solid hold-up in the liquid solvent, ρ is solid density, </w:t>
      </w:r>
      <w:r w:rsidR="00F20858" w:rsidRPr="00A70975">
        <w:rPr>
          <w:i/>
        </w:rPr>
        <w:t>r</w:t>
      </w:r>
      <w:r w:rsidR="00F20858" w:rsidRPr="00A70975">
        <w:rPr>
          <w:i/>
          <w:vertAlign w:val="subscript"/>
        </w:rPr>
        <w:t>f</w:t>
      </w:r>
      <w:r w:rsidR="00F20858">
        <w:t xml:space="preserve"> and </w:t>
      </w:r>
      <w:proofErr w:type="spellStart"/>
      <w:r w:rsidR="00F20858" w:rsidRPr="00A70975">
        <w:rPr>
          <w:i/>
        </w:rPr>
        <w:t>r</w:t>
      </w:r>
      <w:r w:rsidR="00F20858" w:rsidRPr="00A70975">
        <w:rPr>
          <w:i/>
          <w:vertAlign w:val="subscript"/>
        </w:rPr>
        <w:t>b</w:t>
      </w:r>
      <w:proofErr w:type="spellEnd"/>
      <w:r w:rsidR="00F20858">
        <w:t xml:space="preserve"> are the direct and reverse CO</w:t>
      </w:r>
      <w:r w:rsidR="00F20858" w:rsidRPr="00A70975">
        <w:rPr>
          <w:vertAlign w:val="subscript"/>
        </w:rPr>
        <w:t>2</w:t>
      </w:r>
      <w:r w:rsidR="00F20858">
        <w:t xml:space="preserve"> </w:t>
      </w:r>
      <w:r w:rsidR="00F20858" w:rsidRPr="009726AD">
        <w:t>h</w:t>
      </w:r>
      <w:r w:rsidR="00F20858">
        <w:t xml:space="preserve">ydration rates, and </w:t>
      </w:r>
      <w:proofErr w:type="spellStart"/>
      <w:r w:rsidR="00F20858" w:rsidRPr="0068434D">
        <w:rPr>
          <w:i/>
        </w:rPr>
        <w:t>k</w:t>
      </w:r>
      <w:r w:rsidR="00F20858" w:rsidRPr="0068434D">
        <w:rPr>
          <w:i/>
          <w:vertAlign w:val="subscript"/>
        </w:rPr>
        <w:t>E</w:t>
      </w:r>
      <w:proofErr w:type="spellEnd"/>
      <w:r w:rsidR="00F20858">
        <w:t xml:space="preserve"> is the kinetic parameter of immobilized CA according to Peirce et al. </w:t>
      </w:r>
      <w:r w:rsidR="006442A2">
        <w:t>(</w:t>
      </w:r>
      <w:r w:rsidR="00F20858">
        <w:t>2018</w:t>
      </w:r>
      <w:r w:rsidR="006442A2">
        <w:t>)</w:t>
      </w:r>
      <w:r w:rsidR="00F20858">
        <w:t>. Temperature dependence of the equilibrium constants was described according to ASPEN PLUS® property section.</w:t>
      </w:r>
      <w:r w:rsidR="00C3463A">
        <w:t xml:space="preserve"> </w:t>
      </w:r>
      <w:r w:rsidR="00F20858">
        <w:t xml:space="preserve">A base case was defined according to the literature </w:t>
      </w:r>
      <w:r w:rsidR="006442A2">
        <w:t>(</w:t>
      </w:r>
      <w:r w:rsidR="00F20858">
        <w:t>Russo et</w:t>
      </w:r>
      <w:r w:rsidR="00D21288">
        <w:t xml:space="preserve"> al., 2013b; </w:t>
      </w:r>
      <w:r w:rsidR="00E715C5">
        <w:t>Wu et al</w:t>
      </w:r>
      <w:r w:rsidR="006442A2">
        <w:t>.</w:t>
      </w:r>
      <w:r w:rsidR="00E715C5">
        <w:t>, 2018</w:t>
      </w:r>
      <w:r w:rsidR="006442A2">
        <w:t>)</w:t>
      </w:r>
      <w:r w:rsidR="00F20858">
        <w:t xml:space="preserve">. </w:t>
      </w:r>
      <w:r w:rsidR="006442A2">
        <w:t>B</w:t>
      </w:r>
      <w:r w:rsidR="00F20858">
        <w:t xml:space="preserve">ase case absorption column parameters are listed in </w:t>
      </w:r>
      <w:r w:rsidR="005F1155">
        <w:t>T</w:t>
      </w:r>
      <w:r w:rsidR="00F20858">
        <w:t xml:space="preserve">able </w:t>
      </w:r>
      <w:r w:rsidR="001D78DF">
        <w:t>1</w:t>
      </w:r>
      <w:r w:rsidR="006213CC">
        <w:t>.</w:t>
      </w:r>
    </w:p>
    <w:p w14:paraId="7556407A" w14:textId="77777777" w:rsidR="00F20858" w:rsidRPr="00DB59D4" w:rsidRDefault="00F20858" w:rsidP="00DB59D4">
      <w:pPr>
        <w:pStyle w:val="CETBodytext"/>
        <w:spacing w:before="240" w:after="80"/>
        <w:rPr>
          <w:i/>
          <w:lang w:val="en-GB"/>
        </w:rPr>
      </w:pPr>
      <w:r w:rsidRPr="00DB59D4">
        <w:rPr>
          <w:i/>
          <w:lang w:val="en-GB"/>
        </w:rPr>
        <w:t>Table 1: Selected values of base case 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76"/>
        <w:gridCol w:w="1155"/>
        <w:gridCol w:w="1023"/>
        <w:gridCol w:w="1315"/>
        <w:gridCol w:w="1173"/>
        <w:gridCol w:w="1104"/>
      </w:tblGrid>
      <w:tr w:rsidR="00F20858" w:rsidRPr="00E10DF0" w14:paraId="246BF95D" w14:textId="77777777" w:rsidTr="00DB59D4">
        <w:trPr>
          <w:trHeight w:val="194"/>
        </w:trPr>
        <w:tc>
          <w:tcPr>
            <w:tcW w:w="6846" w:type="dxa"/>
            <w:gridSpan w:val="6"/>
            <w:tcBorders>
              <w:top w:val="single" w:sz="12" w:space="0" w:color="008000"/>
              <w:bottom w:val="single" w:sz="4" w:space="0" w:color="00B050"/>
            </w:tcBorders>
            <w:shd w:val="clear" w:color="auto" w:fill="FFFFFF"/>
            <w:vAlign w:val="center"/>
          </w:tcPr>
          <w:p w14:paraId="08F46FA6" w14:textId="77777777" w:rsidR="00F20858" w:rsidRPr="00E10DF0" w:rsidRDefault="00F20858" w:rsidP="00FC5D0A">
            <w:pPr>
              <w:pStyle w:val="CETBodytext"/>
              <w:jc w:val="center"/>
              <w:rPr>
                <w:b/>
                <w:bCs/>
                <w:lang w:val="en-GB"/>
              </w:rPr>
            </w:pPr>
            <w:bookmarkStart w:id="1" w:name="_Hlk93402386"/>
            <w:r w:rsidRPr="00E10DF0">
              <w:rPr>
                <w:b/>
                <w:bCs/>
                <w:lang w:val="en-GB"/>
              </w:rPr>
              <w:t>Flue Gas stream</w:t>
            </w:r>
          </w:p>
        </w:tc>
      </w:tr>
      <w:tr w:rsidR="00F20858" w:rsidRPr="00855C22" w14:paraId="09E180F1" w14:textId="77777777" w:rsidTr="00DB59D4">
        <w:trPr>
          <w:trHeight w:val="601"/>
        </w:trPr>
        <w:tc>
          <w:tcPr>
            <w:tcW w:w="1076" w:type="dxa"/>
            <w:tcBorders>
              <w:top w:val="single" w:sz="4" w:space="0" w:color="00B050"/>
              <w:bottom w:val="single" w:sz="6" w:space="0" w:color="008000"/>
            </w:tcBorders>
            <w:shd w:val="clear" w:color="auto" w:fill="FFFFFF"/>
            <w:vAlign w:val="center"/>
          </w:tcPr>
          <w:p w14:paraId="5D4A3841" w14:textId="77777777" w:rsidR="00F20858" w:rsidRDefault="00F20858" w:rsidP="00FC5D0A">
            <w:pPr>
              <w:pStyle w:val="CETBodytext"/>
              <w:jc w:val="center"/>
              <w:rPr>
                <w:lang w:val="en-GB"/>
              </w:rPr>
            </w:pPr>
            <w:r>
              <w:rPr>
                <w:lang w:val="en-GB"/>
              </w:rPr>
              <w:t>Flow Rate</w:t>
            </w:r>
          </w:p>
          <w:p w14:paraId="035CFCCB" w14:textId="77777777" w:rsidR="00F20858" w:rsidRDefault="00F20858" w:rsidP="00FC5D0A">
            <w:pPr>
              <w:pStyle w:val="CETBodytext"/>
              <w:jc w:val="center"/>
              <w:rPr>
                <w:lang w:val="en-GB"/>
              </w:rPr>
            </w:pPr>
            <w:r>
              <w:rPr>
                <w:lang w:val="en-GB"/>
              </w:rPr>
              <w:t>Temperature</w:t>
            </w:r>
          </w:p>
          <w:p w14:paraId="215AAFCB" w14:textId="77777777" w:rsidR="00F20858" w:rsidRPr="00B57B36" w:rsidRDefault="00F20858" w:rsidP="00FC5D0A">
            <w:pPr>
              <w:pStyle w:val="CETBodytext"/>
              <w:jc w:val="center"/>
              <w:rPr>
                <w:lang w:val="en-GB"/>
              </w:rPr>
            </w:pPr>
            <w:r>
              <w:rPr>
                <w:lang w:val="en-GB"/>
              </w:rPr>
              <w:t>Pressure</w:t>
            </w:r>
          </w:p>
        </w:tc>
        <w:tc>
          <w:tcPr>
            <w:tcW w:w="1155" w:type="dxa"/>
            <w:tcBorders>
              <w:top w:val="single" w:sz="4" w:space="0" w:color="00B050"/>
              <w:bottom w:val="single" w:sz="6" w:space="0" w:color="008000"/>
            </w:tcBorders>
            <w:shd w:val="clear" w:color="auto" w:fill="FFFFFF"/>
            <w:vAlign w:val="center"/>
          </w:tcPr>
          <w:p w14:paraId="2F16D37E" w14:textId="77777777" w:rsidR="00F20858" w:rsidRDefault="00F20858" w:rsidP="00FC5D0A">
            <w:pPr>
              <w:pStyle w:val="CETBodytext"/>
              <w:jc w:val="center"/>
              <w:rPr>
                <w:lang w:val="en-GB"/>
              </w:rPr>
            </w:pPr>
            <w:r>
              <w:rPr>
                <w:lang w:val="en-GB"/>
              </w:rPr>
              <w:t>1000</w:t>
            </w:r>
          </w:p>
          <w:p w14:paraId="19BC4CF6" w14:textId="77777777" w:rsidR="00F20858" w:rsidRDefault="00F20858" w:rsidP="00FC5D0A">
            <w:pPr>
              <w:pStyle w:val="CETBodytext"/>
              <w:jc w:val="center"/>
              <w:rPr>
                <w:lang w:val="en-GB"/>
              </w:rPr>
            </w:pPr>
            <w:r>
              <w:rPr>
                <w:lang w:val="en-GB"/>
              </w:rPr>
              <w:t>60</w:t>
            </w:r>
          </w:p>
          <w:p w14:paraId="67E13814" w14:textId="77777777" w:rsidR="00F20858" w:rsidRPr="00B57B36" w:rsidRDefault="00F20858" w:rsidP="00FC5D0A">
            <w:pPr>
              <w:pStyle w:val="CETBodytext"/>
              <w:jc w:val="center"/>
              <w:rPr>
                <w:lang w:val="en-GB"/>
              </w:rPr>
            </w:pPr>
            <w:r>
              <w:rPr>
                <w:lang w:val="en-GB"/>
              </w:rPr>
              <w:t>1.1</w:t>
            </w:r>
          </w:p>
        </w:tc>
        <w:tc>
          <w:tcPr>
            <w:tcW w:w="1023" w:type="dxa"/>
            <w:tcBorders>
              <w:top w:val="single" w:sz="4" w:space="0" w:color="00B050"/>
              <w:bottom w:val="single" w:sz="6" w:space="0" w:color="008000"/>
              <w:right w:val="single" w:sz="4" w:space="0" w:color="00B050"/>
            </w:tcBorders>
            <w:shd w:val="clear" w:color="auto" w:fill="FFFFFF"/>
            <w:vAlign w:val="center"/>
          </w:tcPr>
          <w:p w14:paraId="463158BE" w14:textId="77777777" w:rsidR="00F20858" w:rsidRDefault="00F20858" w:rsidP="00FC5D0A">
            <w:pPr>
              <w:pStyle w:val="CETBodytext"/>
              <w:jc w:val="center"/>
              <w:rPr>
                <w:lang w:val="en-GB"/>
              </w:rPr>
            </w:pPr>
            <w:r>
              <w:rPr>
                <w:lang w:val="en-GB"/>
              </w:rPr>
              <w:t>Nm</w:t>
            </w:r>
            <w:r w:rsidRPr="00D62793">
              <w:rPr>
                <w:vertAlign w:val="superscript"/>
                <w:lang w:val="en-GB"/>
              </w:rPr>
              <w:t>3</w:t>
            </w:r>
            <w:r w:rsidRPr="00D62793">
              <w:rPr>
                <w:lang w:val="en-GB"/>
              </w:rPr>
              <w:t>/h</w:t>
            </w:r>
          </w:p>
          <w:p w14:paraId="6E264611" w14:textId="77777777" w:rsidR="00F20858" w:rsidRDefault="00F20858" w:rsidP="00FC5D0A">
            <w:pPr>
              <w:pStyle w:val="CETBodytext"/>
              <w:jc w:val="center"/>
              <w:rPr>
                <w:lang w:val="en-GB"/>
              </w:rPr>
            </w:pPr>
            <w:r>
              <w:rPr>
                <w:lang w:val="en-GB"/>
              </w:rPr>
              <w:t>°C</w:t>
            </w:r>
          </w:p>
          <w:p w14:paraId="4D5ADA3C" w14:textId="77777777" w:rsidR="00F20858" w:rsidRPr="00B57B36" w:rsidRDefault="00F20858" w:rsidP="00FC5D0A">
            <w:pPr>
              <w:pStyle w:val="CETBodytext"/>
              <w:jc w:val="center"/>
              <w:rPr>
                <w:lang w:val="en-GB"/>
              </w:rPr>
            </w:pPr>
            <w:r>
              <w:rPr>
                <w:lang w:val="en-GB"/>
              </w:rPr>
              <w:t>bar</w:t>
            </w:r>
          </w:p>
        </w:tc>
        <w:tc>
          <w:tcPr>
            <w:tcW w:w="1315" w:type="dxa"/>
            <w:tcBorders>
              <w:top w:val="single" w:sz="4" w:space="0" w:color="00B050"/>
              <w:left w:val="single" w:sz="4" w:space="0" w:color="00B050"/>
              <w:bottom w:val="single" w:sz="6" w:space="0" w:color="008000"/>
            </w:tcBorders>
            <w:shd w:val="clear" w:color="auto" w:fill="FFFFFF"/>
            <w:vAlign w:val="center"/>
          </w:tcPr>
          <w:p w14:paraId="3173048B" w14:textId="77777777" w:rsidR="00F20858" w:rsidRDefault="00F20858" w:rsidP="00FC5D0A">
            <w:pPr>
              <w:pStyle w:val="CETBodytext"/>
              <w:ind w:right="-1"/>
              <w:jc w:val="center"/>
              <w:rPr>
                <w:rFonts w:cs="Arial"/>
                <w:szCs w:val="18"/>
                <w:lang w:val="en-GB"/>
              </w:rPr>
            </w:pPr>
            <w:r>
              <w:rPr>
                <w:rFonts w:cs="Arial"/>
                <w:szCs w:val="18"/>
                <w:lang w:val="en-GB"/>
              </w:rPr>
              <w:t>N</w:t>
            </w:r>
            <w:r w:rsidRPr="00D62793">
              <w:rPr>
                <w:rFonts w:cs="Arial"/>
                <w:szCs w:val="18"/>
                <w:vertAlign w:val="subscript"/>
                <w:lang w:val="en-GB"/>
              </w:rPr>
              <w:t>2</w:t>
            </w:r>
          </w:p>
          <w:p w14:paraId="24820CAF" w14:textId="77777777" w:rsidR="00F20858" w:rsidRDefault="00F20858" w:rsidP="00FC5D0A">
            <w:pPr>
              <w:pStyle w:val="CETBodytext"/>
              <w:ind w:right="-1"/>
              <w:jc w:val="center"/>
              <w:rPr>
                <w:rFonts w:cs="Arial"/>
                <w:szCs w:val="18"/>
                <w:lang w:val="en-GB"/>
              </w:rPr>
            </w:pPr>
            <w:r>
              <w:rPr>
                <w:rFonts w:cs="Arial"/>
                <w:szCs w:val="18"/>
                <w:lang w:val="en-GB"/>
              </w:rPr>
              <w:t>H</w:t>
            </w:r>
            <w:r w:rsidRPr="00D62793">
              <w:rPr>
                <w:rFonts w:cs="Arial"/>
                <w:szCs w:val="18"/>
                <w:vertAlign w:val="subscript"/>
                <w:lang w:val="en-GB"/>
              </w:rPr>
              <w:t>2</w:t>
            </w:r>
            <w:r>
              <w:rPr>
                <w:rFonts w:cs="Arial"/>
                <w:szCs w:val="18"/>
                <w:lang w:val="en-GB"/>
              </w:rPr>
              <w:t>O</w:t>
            </w:r>
          </w:p>
          <w:p w14:paraId="2C2D544A" w14:textId="77777777" w:rsidR="00F20858" w:rsidRPr="00B57B36" w:rsidRDefault="00F20858" w:rsidP="00FC5D0A">
            <w:pPr>
              <w:pStyle w:val="CETBodytext"/>
              <w:ind w:right="-1"/>
              <w:jc w:val="center"/>
              <w:rPr>
                <w:rFonts w:cs="Arial"/>
                <w:szCs w:val="18"/>
                <w:lang w:val="en-GB"/>
              </w:rPr>
            </w:pPr>
            <w:r>
              <w:rPr>
                <w:rFonts w:cs="Arial"/>
                <w:szCs w:val="18"/>
                <w:lang w:val="en-GB"/>
              </w:rPr>
              <w:t>CO</w:t>
            </w:r>
            <w:r w:rsidRPr="00D62793">
              <w:rPr>
                <w:rFonts w:cs="Arial"/>
                <w:szCs w:val="18"/>
                <w:vertAlign w:val="subscript"/>
                <w:lang w:val="en-GB"/>
              </w:rPr>
              <w:t>2</w:t>
            </w:r>
          </w:p>
        </w:tc>
        <w:tc>
          <w:tcPr>
            <w:tcW w:w="1173" w:type="dxa"/>
            <w:tcBorders>
              <w:top w:val="single" w:sz="4" w:space="0" w:color="00B050"/>
              <w:bottom w:val="single" w:sz="6" w:space="0" w:color="008000"/>
            </w:tcBorders>
            <w:shd w:val="clear" w:color="auto" w:fill="FFFFFF"/>
            <w:vAlign w:val="center"/>
          </w:tcPr>
          <w:p w14:paraId="620775FE" w14:textId="77777777" w:rsidR="00F20858" w:rsidRDefault="00F20858" w:rsidP="00FC5D0A">
            <w:pPr>
              <w:pStyle w:val="CETBodytext"/>
              <w:ind w:right="-1"/>
              <w:jc w:val="center"/>
              <w:rPr>
                <w:rFonts w:cs="Arial"/>
                <w:szCs w:val="18"/>
                <w:lang w:val="en-GB"/>
              </w:rPr>
            </w:pPr>
            <w:r>
              <w:rPr>
                <w:rFonts w:cs="Arial"/>
                <w:szCs w:val="18"/>
                <w:lang w:val="en-GB"/>
              </w:rPr>
              <w:t>0.899</w:t>
            </w:r>
          </w:p>
          <w:p w14:paraId="53468CAE" w14:textId="77777777" w:rsidR="00F20858" w:rsidRDefault="00F20858" w:rsidP="00FC5D0A">
            <w:pPr>
              <w:pStyle w:val="CETBodytext"/>
              <w:ind w:right="-1"/>
              <w:jc w:val="center"/>
              <w:rPr>
                <w:rFonts w:cs="Arial"/>
                <w:szCs w:val="18"/>
                <w:lang w:val="en-GB"/>
              </w:rPr>
            </w:pPr>
            <w:r>
              <w:rPr>
                <w:rFonts w:cs="Arial"/>
                <w:szCs w:val="18"/>
                <w:lang w:val="en-GB"/>
              </w:rPr>
              <w:t>0.001</w:t>
            </w:r>
          </w:p>
          <w:p w14:paraId="548FCF45" w14:textId="77777777" w:rsidR="00F20858" w:rsidRPr="00B57B36" w:rsidRDefault="00F20858" w:rsidP="00FC5D0A">
            <w:pPr>
              <w:pStyle w:val="CETBodytext"/>
              <w:ind w:right="-1"/>
              <w:jc w:val="center"/>
              <w:rPr>
                <w:rFonts w:cs="Arial"/>
                <w:szCs w:val="18"/>
                <w:lang w:val="en-GB"/>
              </w:rPr>
            </w:pPr>
            <w:r>
              <w:rPr>
                <w:rFonts w:cs="Arial"/>
                <w:szCs w:val="18"/>
                <w:lang w:val="en-GB"/>
              </w:rPr>
              <w:t>0.1</w:t>
            </w:r>
          </w:p>
        </w:tc>
        <w:tc>
          <w:tcPr>
            <w:tcW w:w="1104" w:type="dxa"/>
            <w:tcBorders>
              <w:top w:val="single" w:sz="4" w:space="0" w:color="00B050"/>
              <w:bottom w:val="single" w:sz="6" w:space="0" w:color="008000"/>
            </w:tcBorders>
            <w:shd w:val="clear" w:color="auto" w:fill="FFFFFF"/>
            <w:vAlign w:val="center"/>
          </w:tcPr>
          <w:p w14:paraId="2C0F5EA9" w14:textId="77777777" w:rsidR="00F20858" w:rsidRPr="00FC5D0A" w:rsidRDefault="00F20858" w:rsidP="00FC5D0A">
            <w:pPr>
              <w:pStyle w:val="CETBodytext"/>
              <w:ind w:right="-1"/>
              <w:jc w:val="center"/>
              <w:rPr>
                <w:rFonts w:cs="Arial"/>
                <w:szCs w:val="18"/>
                <w:lang w:val="it-IT"/>
              </w:rPr>
            </w:pPr>
            <w:proofErr w:type="spellStart"/>
            <w:r w:rsidRPr="00FC5D0A">
              <w:rPr>
                <w:rFonts w:cs="Arial"/>
                <w:szCs w:val="18"/>
                <w:lang w:val="it-IT"/>
              </w:rPr>
              <w:t>mol</w:t>
            </w:r>
            <w:proofErr w:type="spellEnd"/>
            <w:r w:rsidRPr="00FC5D0A">
              <w:rPr>
                <w:rFonts w:cs="Arial"/>
                <w:szCs w:val="18"/>
                <w:lang w:val="it-IT"/>
              </w:rPr>
              <w:t>/</w:t>
            </w:r>
            <w:proofErr w:type="spellStart"/>
            <w:r w:rsidRPr="00FC5D0A">
              <w:rPr>
                <w:rFonts w:cs="Arial"/>
                <w:szCs w:val="18"/>
                <w:lang w:val="it-IT"/>
              </w:rPr>
              <w:t>mol</w:t>
            </w:r>
            <w:proofErr w:type="spellEnd"/>
          </w:p>
          <w:p w14:paraId="64AF5601" w14:textId="77777777" w:rsidR="00F20858" w:rsidRPr="00FC5D0A" w:rsidRDefault="00F20858" w:rsidP="00FC5D0A">
            <w:pPr>
              <w:pStyle w:val="CETBodytext"/>
              <w:ind w:right="-1"/>
              <w:jc w:val="center"/>
              <w:rPr>
                <w:rFonts w:cs="Arial"/>
                <w:szCs w:val="18"/>
                <w:lang w:val="it-IT"/>
              </w:rPr>
            </w:pPr>
            <w:proofErr w:type="spellStart"/>
            <w:r w:rsidRPr="00FC5D0A">
              <w:rPr>
                <w:rFonts w:cs="Arial"/>
                <w:szCs w:val="18"/>
                <w:lang w:val="it-IT"/>
              </w:rPr>
              <w:t>mol</w:t>
            </w:r>
            <w:proofErr w:type="spellEnd"/>
            <w:r w:rsidRPr="00FC5D0A">
              <w:rPr>
                <w:rFonts w:cs="Arial"/>
                <w:szCs w:val="18"/>
                <w:lang w:val="it-IT"/>
              </w:rPr>
              <w:t>/</w:t>
            </w:r>
            <w:proofErr w:type="spellStart"/>
            <w:r w:rsidRPr="00FC5D0A">
              <w:rPr>
                <w:rFonts w:cs="Arial"/>
                <w:szCs w:val="18"/>
                <w:lang w:val="it-IT"/>
              </w:rPr>
              <w:t>mol</w:t>
            </w:r>
            <w:proofErr w:type="spellEnd"/>
          </w:p>
          <w:p w14:paraId="358351AF" w14:textId="77777777" w:rsidR="00F20858" w:rsidRPr="00FC5D0A" w:rsidRDefault="00F20858" w:rsidP="00FC5D0A">
            <w:pPr>
              <w:pStyle w:val="CETBodytext"/>
              <w:ind w:right="-1"/>
              <w:jc w:val="center"/>
              <w:rPr>
                <w:rFonts w:cs="Arial"/>
                <w:szCs w:val="18"/>
                <w:lang w:val="it-IT"/>
              </w:rPr>
            </w:pPr>
            <w:proofErr w:type="spellStart"/>
            <w:r w:rsidRPr="00FC5D0A">
              <w:rPr>
                <w:rFonts w:cs="Arial"/>
                <w:szCs w:val="18"/>
                <w:lang w:val="it-IT"/>
              </w:rPr>
              <w:t>mol</w:t>
            </w:r>
            <w:proofErr w:type="spellEnd"/>
            <w:r w:rsidRPr="00FC5D0A">
              <w:rPr>
                <w:rFonts w:cs="Arial"/>
                <w:szCs w:val="18"/>
                <w:lang w:val="it-IT"/>
              </w:rPr>
              <w:t>/</w:t>
            </w:r>
            <w:proofErr w:type="spellStart"/>
            <w:r w:rsidRPr="00FC5D0A">
              <w:rPr>
                <w:rFonts w:cs="Arial"/>
                <w:szCs w:val="18"/>
                <w:lang w:val="it-IT"/>
              </w:rPr>
              <w:t>mol</w:t>
            </w:r>
            <w:proofErr w:type="spellEnd"/>
          </w:p>
        </w:tc>
      </w:tr>
      <w:tr w:rsidR="00F20858" w:rsidRPr="00B57B36" w14:paraId="78B38755" w14:textId="77777777" w:rsidTr="00DB59D4">
        <w:trPr>
          <w:trHeight w:val="194"/>
        </w:trPr>
        <w:tc>
          <w:tcPr>
            <w:tcW w:w="6846" w:type="dxa"/>
            <w:gridSpan w:val="6"/>
            <w:tcBorders>
              <w:top w:val="single" w:sz="12" w:space="0" w:color="008000"/>
              <w:bottom w:val="single" w:sz="4" w:space="0" w:color="F79646" w:themeColor="accent6"/>
            </w:tcBorders>
            <w:shd w:val="clear" w:color="auto" w:fill="FFFFFF"/>
            <w:vAlign w:val="center"/>
          </w:tcPr>
          <w:p w14:paraId="2B1C5347" w14:textId="77777777" w:rsidR="00F20858" w:rsidRPr="005B3D24" w:rsidRDefault="00F20858" w:rsidP="00FC5D0A">
            <w:pPr>
              <w:pStyle w:val="CETBodytext"/>
              <w:ind w:right="-1"/>
              <w:jc w:val="center"/>
              <w:rPr>
                <w:rFonts w:cs="Arial"/>
                <w:b/>
                <w:bCs/>
                <w:szCs w:val="18"/>
                <w:lang w:val="en-GB"/>
              </w:rPr>
            </w:pPr>
            <w:r w:rsidRPr="005B3D24">
              <w:rPr>
                <w:b/>
                <w:bCs/>
                <w:lang w:val="en-GB"/>
              </w:rPr>
              <w:t>Lean Solvent stream</w:t>
            </w:r>
          </w:p>
        </w:tc>
      </w:tr>
      <w:tr w:rsidR="00F20858" w:rsidRPr="00B57B36" w14:paraId="177A3677" w14:textId="77777777" w:rsidTr="00DB59D4">
        <w:trPr>
          <w:trHeight w:val="398"/>
        </w:trPr>
        <w:tc>
          <w:tcPr>
            <w:tcW w:w="1076" w:type="dxa"/>
            <w:tcBorders>
              <w:top w:val="single" w:sz="4" w:space="0" w:color="00B050"/>
              <w:bottom w:val="nil"/>
            </w:tcBorders>
            <w:shd w:val="clear" w:color="auto" w:fill="FFFFFF"/>
            <w:vAlign w:val="center"/>
          </w:tcPr>
          <w:p w14:paraId="1A5BBF18" w14:textId="77777777" w:rsidR="00F20858" w:rsidRDefault="00F20858" w:rsidP="00FC5D0A">
            <w:pPr>
              <w:pStyle w:val="CETBodytext"/>
              <w:jc w:val="center"/>
              <w:rPr>
                <w:lang w:val="en-GB"/>
              </w:rPr>
            </w:pPr>
            <w:r>
              <w:rPr>
                <w:lang w:val="en-GB"/>
              </w:rPr>
              <w:t>L/G ratio</w:t>
            </w:r>
          </w:p>
          <w:p w14:paraId="4CBEAEE5" w14:textId="77777777" w:rsidR="00F20858" w:rsidRPr="00B57B36" w:rsidRDefault="00F20858" w:rsidP="00FC5D0A">
            <w:pPr>
              <w:pStyle w:val="CETBodytext"/>
              <w:jc w:val="center"/>
              <w:rPr>
                <w:lang w:val="en-GB"/>
              </w:rPr>
            </w:pPr>
            <w:r>
              <w:rPr>
                <w:lang w:val="en-GB"/>
              </w:rPr>
              <w:t>Temperature</w:t>
            </w:r>
          </w:p>
        </w:tc>
        <w:tc>
          <w:tcPr>
            <w:tcW w:w="1155" w:type="dxa"/>
            <w:tcBorders>
              <w:top w:val="single" w:sz="4" w:space="0" w:color="00B050"/>
              <w:bottom w:val="nil"/>
            </w:tcBorders>
            <w:shd w:val="clear" w:color="auto" w:fill="FFFFFF"/>
            <w:vAlign w:val="center"/>
          </w:tcPr>
          <w:p w14:paraId="4A48635A" w14:textId="77777777" w:rsidR="00F20858" w:rsidRDefault="00F20858" w:rsidP="00FC5D0A">
            <w:pPr>
              <w:pStyle w:val="CETBodytext"/>
              <w:jc w:val="center"/>
              <w:rPr>
                <w:lang w:val="en-GB"/>
              </w:rPr>
            </w:pPr>
            <w:r>
              <w:rPr>
                <w:lang w:val="en-GB"/>
              </w:rPr>
              <w:t>4</w:t>
            </w:r>
          </w:p>
          <w:p w14:paraId="56185D91" w14:textId="77777777" w:rsidR="00F20858" w:rsidRPr="00B57B36" w:rsidRDefault="00F20858" w:rsidP="00FC5D0A">
            <w:pPr>
              <w:pStyle w:val="CETBodytext"/>
              <w:jc w:val="center"/>
              <w:rPr>
                <w:lang w:val="en-GB"/>
              </w:rPr>
            </w:pPr>
            <w:r>
              <w:rPr>
                <w:lang w:val="en-GB"/>
              </w:rPr>
              <w:t>25</w:t>
            </w:r>
          </w:p>
        </w:tc>
        <w:tc>
          <w:tcPr>
            <w:tcW w:w="1023" w:type="dxa"/>
            <w:tcBorders>
              <w:top w:val="single" w:sz="4" w:space="0" w:color="00B050"/>
              <w:bottom w:val="nil"/>
              <w:right w:val="single" w:sz="4" w:space="0" w:color="00B050"/>
            </w:tcBorders>
            <w:shd w:val="clear" w:color="auto" w:fill="FFFFFF"/>
            <w:vAlign w:val="center"/>
          </w:tcPr>
          <w:p w14:paraId="7FCA76C3" w14:textId="77777777" w:rsidR="00F20858" w:rsidRDefault="00F20858" w:rsidP="00FC5D0A">
            <w:pPr>
              <w:pStyle w:val="CETBodytext"/>
              <w:jc w:val="center"/>
              <w:rPr>
                <w:lang w:val="en-GB"/>
              </w:rPr>
            </w:pPr>
            <w:r>
              <w:rPr>
                <w:lang w:val="en-GB"/>
              </w:rPr>
              <w:t>kg/kg</w:t>
            </w:r>
          </w:p>
          <w:p w14:paraId="153B170C" w14:textId="77777777" w:rsidR="00F20858" w:rsidRPr="00B57B36" w:rsidRDefault="00F20858" w:rsidP="00FC5D0A">
            <w:pPr>
              <w:pStyle w:val="CETBodytext"/>
              <w:jc w:val="center"/>
              <w:rPr>
                <w:lang w:val="en-GB"/>
              </w:rPr>
            </w:pPr>
            <w:r>
              <w:rPr>
                <w:lang w:val="en-GB"/>
              </w:rPr>
              <w:t>°C</w:t>
            </w:r>
          </w:p>
        </w:tc>
        <w:tc>
          <w:tcPr>
            <w:tcW w:w="1315" w:type="dxa"/>
            <w:tcBorders>
              <w:top w:val="single" w:sz="4" w:space="0" w:color="00B050"/>
              <w:left w:val="single" w:sz="4" w:space="0" w:color="00B050"/>
              <w:bottom w:val="nil"/>
            </w:tcBorders>
            <w:shd w:val="clear" w:color="auto" w:fill="FFFFFF"/>
            <w:vAlign w:val="center"/>
          </w:tcPr>
          <w:p w14:paraId="16EFD2BF" w14:textId="77777777" w:rsidR="00F20858" w:rsidRDefault="00F20858" w:rsidP="00FC5D0A">
            <w:pPr>
              <w:pStyle w:val="CETBodytext"/>
              <w:ind w:right="-1"/>
              <w:jc w:val="center"/>
              <w:rPr>
                <w:rFonts w:cs="Arial"/>
                <w:szCs w:val="18"/>
                <w:lang w:val="en-GB"/>
              </w:rPr>
            </w:pPr>
            <w:r>
              <w:rPr>
                <w:rFonts w:cs="Arial"/>
                <w:szCs w:val="18"/>
                <w:lang w:val="en-GB"/>
              </w:rPr>
              <w:t>Pressure</w:t>
            </w:r>
          </w:p>
          <w:p w14:paraId="0974A363" w14:textId="77777777" w:rsidR="00F20858" w:rsidRPr="00B57B36" w:rsidRDefault="00F20858" w:rsidP="00FC5D0A">
            <w:pPr>
              <w:pStyle w:val="CETBodytext"/>
              <w:ind w:right="-1"/>
              <w:jc w:val="center"/>
              <w:rPr>
                <w:rFonts w:cs="Arial"/>
                <w:szCs w:val="18"/>
                <w:lang w:val="en-GB"/>
              </w:rPr>
            </w:pPr>
            <w:r>
              <w:rPr>
                <w:rFonts w:cs="Arial"/>
                <w:szCs w:val="18"/>
                <w:lang w:val="en-GB"/>
              </w:rPr>
              <w:t>[K</w:t>
            </w:r>
            <w:r w:rsidRPr="00E10DF0">
              <w:rPr>
                <w:rFonts w:cs="Arial"/>
                <w:szCs w:val="18"/>
                <w:vertAlign w:val="subscript"/>
                <w:lang w:val="en-GB"/>
              </w:rPr>
              <w:t>2</w:t>
            </w:r>
            <w:r>
              <w:rPr>
                <w:rFonts w:cs="Arial"/>
                <w:szCs w:val="18"/>
                <w:lang w:val="en-GB"/>
              </w:rPr>
              <w:t>CO</w:t>
            </w:r>
            <w:r w:rsidRPr="00E10DF0">
              <w:rPr>
                <w:rFonts w:cs="Arial"/>
                <w:szCs w:val="18"/>
                <w:vertAlign w:val="subscript"/>
                <w:lang w:val="en-GB"/>
              </w:rPr>
              <w:t>3</w:t>
            </w:r>
            <w:r>
              <w:rPr>
                <w:rFonts w:cs="Arial"/>
                <w:szCs w:val="18"/>
                <w:lang w:val="en-GB"/>
              </w:rPr>
              <w:t>]</w:t>
            </w:r>
          </w:p>
        </w:tc>
        <w:tc>
          <w:tcPr>
            <w:tcW w:w="1173" w:type="dxa"/>
            <w:tcBorders>
              <w:top w:val="single" w:sz="4" w:space="0" w:color="00B050"/>
              <w:bottom w:val="nil"/>
            </w:tcBorders>
            <w:shd w:val="clear" w:color="auto" w:fill="FFFFFF"/>
            <w:vAlign w:val="center"/>
          </w:tcPr>
          <w:p w14:paraId="5AACB0B4" w14:textId="77777777" w:rsidR="00F20858" w:rsidRDefault="00F20858" w:rsidP="00FC5D0A">
            <w:pPr>
              <w:pStyle w:val="CETBodytext"/>
              <w:ind w:right="-1"/>
              <w:jc w:val="center"/>
              <w:rPr>
                <w:rFonts w:cs="Arial"/>
                <w:szCs w:val="18"/>
                <w:lang w:val="en-GB"/>
              </w:rPr>
            </w:pPr>
            <w:r>
              <w:rPr>
                <w:rFonts w:cs="Arial"/>
                <w:szCs w:val="18"/>
                <w:lang w:val="en-GB"/>
              </w:rPr>
              <w:t>1.3</w:t>
            </w:r>
          </w:p>
          <w:p w14:paraId="2E03DBE2" w14:textId="77777777" w:rsidR="00F20858" w:rsidRPr="00B57B36" w:rsidRDefault="00F20858" w:rsidP="00FC5D0A">
            <w:pPr>
              <w:pStyle w:val="CETBodytext"/>
              <w:ind w:right="-1"/>
              <w:jc w:val="center"/>
              <w:rPr>
                <w:rFonts w:cs="Arial"/>
                <w:szCs w:val="18"/>
                <w:lang w:val="en-GB"/>
              </w:rPr>
            </w:pPr>
            <w:r>
              <w:rPr>
                <w:rFonts w:cs="Arial"/>
                <w:szCs w:val="18"/>
                <w:lang w:val="en-GB"/>
              </w:rPr>
              <w:t>3</w:t>
            </w:r>
          </w:p>
        </w:tc>
        <w:tc>
          <w:tcPr>
            <w:tcW w:w="1104" w:type="dxa"/>
            <w:tcBorders>
              <w:top w:val="single" w:sz="4" w:space="0" w:color="00B050"/>
              <w:bottom w:val="nil"/>
            </w:tcBorders>
            <w:shd w:val="clear" w:color="auto" w:fill="FFFFFF"/>
            <w:vAlign w:val="center"/>
          </w:tcPr>
          <w:p w14:paraId="6517358E" w14:textId="77777777" w:rsidR="00F20858" w:rsidRDefault="00F20858" w:rsidP="00FC5D0A">
            <w:pPr>
              <w:pStyle w:val="CETBodytext"/>
              <w:ind w:right="-1"/>
              <w:jc w:val="center"/>
              <w:rPr>
                <w:rFonts w:cs="Arial"/>
                <w:szCs w:val="18"/>
                <w:lang w:val="en-GB"/>
              </w:rPr>
            </w:pPr>
            <w:r>
              <w:rPr>
                <w:rFonts w:cs="Arial"/>
                <w:szCs w:val="18"/>
                <w:lang w:val="en-GB"/>
              </w:rPr>
              <w:t>bar</w:t>
            </w:r>
          </w:p>
          <w:p w14:paraId="466E7B3A" w14:textId="77777777" w:rsidR="00F20858" w:rsidRPr="00B57B36" w:rsidRDefault="00F20858" w:rsidP="00FC5D0A">
            <w:pPr>
              <w:pStyle w:val="CETBodytext"/>
              <w:ind w:right="-1"/>
              <w:jc w:val="center"/>
              <w:rPr>
                <w:rFonts w:cs="Arial"/>
                <w:szCs w:val="18"/>
                <w:lang w:val="en-GB"/>
              </w:rPr>
            </w:pPr>
            <w:r>
              <w:rPr>
                <w:rFonts w:cs="Arial"/>
                <w:szCs w:val="18"/>
                <w:lang w:val="en-GB"/>
              </w:rPr>
              <w:t>M</w:t>
            </w:r>
          </w:p>
        </w:tc>
      </w:tr>
      <w:tr w:rsidR="00F20858" w:rsidRPr="00E10DF0" w14:paraId="72BD02D8" w14:textId="77777777" w:rsidTr="00DB59D4">
        <w:trPr>
          <w:trHeight w:val="194"/>
        </w:trPr>
        <w:tc>
          <w:tcPr>
            <w:tcW w:w="6846" w:type="dxa"/>
            <w:gridSpan w:val="6"/>
            <w:tcBorders>
              <w:top w:val="single" w:sz="12" w:space="0" w:color="008000"/>
              <w:bottom w:val="single" w:sz="4" w:space="0" w:color="F79646" w:themeColor="accent6"/>
            </w:tcBorders>
            <w:shd w:val="clear" w:color="auto" w:fill="FFFFFF"/>
            <w:vAlign w:val="center"/>
          </w:tcPr>
          <w:p w14:paraId="46883744" w14:textId="77777777" w:rsidR="00F20858" w:rsidRPr="00E10DF0" w:rsidRDefault="00F20858" w:rsidP="00FC5D0A">
            <w:pPr>
              <w:pStyle w:val="CETBodytext"/>
              <w:jc w:val="center"/>
              <w:rPr>
                <w:b/>
                <w:bCs/>
                <w:lang w:val="en-GB"/>
              </w:rPr>
            </w:pPr>
            <w:r>
              <w:rPr>
                <w:b/>
                <w:bCs/>
                <w:lang w:val="en-GB"/>
              </w:rPr>
              <w:t>Biocatalyst: immobilized Carbonic Anhydrase</w:t>
            </w:r>
          </w:p>
        </w:tc>
      </w:tr>
      <w:tr w:rsidR="00F20858" w:rsidRPr="00B57B36" w14:paraId="233FBB64" w14:textId="77777777" w:rsidTr="00DB59D4">
        <w:trPr>
          <w:trHeight w:val="194"/>
        </w:trPr>
        <w:tc>
          <w:tcPr>
            <w:tcW w:w="1076" w:type="dxa"/>
            <w:tcBorders>
              <w:top w:val="single" w:sz="4" w:space="0" w:color="00B050"/>
            </w:tcBorders>
            <w:shd w:val="clear" w:color="auto" w:fill="FFFFFF"/>
            <w:vAlign w:val="center"/>
          </w:tcPr>
          <w:p w14:paraId="5822FBD3" w14:textId="77777777" w:rsidR="00F20858" w:rsidRDefault="00F20858" w:rsidP="00FC5D0A">
            <w:pPr>
              <w:pStyle w:val="CETBodytext"/>
              <w:jc w:val="center"/>
              <w:rPr>
                <w:lang w:val="en-GB"/>
              </w:rPr>
            </w:pPr>
            <w:r w:rsidRPr="00A70975">
              <w:rPr>
                <w:szCs w:val="18"/>
              </w:rPr>
              <w:t>Solid loading</w:t>
            </w:r>
          </w:p>
        </w:tc>
        <w:tc>
          <w:tcPr>
            <w:tcW w:w="1155" w:type="dxa"/>
            <w:tcBorders>
              <w:top w:val="single" w:sz="4" w:space="0" w:color="00B050"/>
            </w:tcBorders>
            <w:shd w:val="clear" w:color="auto" w:fill="FFFFFF"/>
            <w:vAlign w:val="center"/>
          </w:tcPr>
          <w:p w14:paraId="5123A219" w14:textId="77777777" w:rsidR="00F20858" w:rsidRDefault="00F20858" w:rsidP="00FC5D0A">
            <w:pPr>
              <w:pStyle w:val="CETBodytext"/>
              <w:jc w:val="center"/>
              <w:rPr>
                <w:lang w:val="en-GB"/>
              </w:rPr>
            </w:pPr>
            <w:r w:rsidRPr="00A70975">
              <w:rPr>
                <w:szCs w:val="18"/>
              </w:rPr>
              <w:t>0.04</w:t>
            </w:r>
          </w:p>
        </w:tc>
        <w:tc>
          <w:tcPr>
            <w:tcW w:w="1023" w:type="dxa"/>
            <w:tcBorders>
              <w:top w:val="single" w:sz="4" w:space="0" w:color="00B050"/>
              <w:right w:val="single" w:sz="4" w:space="0" w:color="00B050"/>
            </w:tcBorders>
            <w:shd w:val="clear" w:color="auto" w:fill="FFFFFF"/>
            <w:vAlign w:val="center"/>
          </w:tcPr>
          <w:p w14:paraId="5F0E67C1" w14:textId="77777777" w:rsidR="00F20858" w:rsidRDefault="00F20858" w:rsidP="00FC5D0A">
            <w:pPr>
              <w:pStyle w:val="CETBodytext"/>
              <w:jc w:val="center"/>
              <w:rPr>
                <w:lang w:val="en-GB"/>
              </w:rPr>
            </w:pPr>
            <w:r w:rsidRPr="00A70975">
              <w:rPr>
                <w:szCs w:val="18"/>
              </w:rPr>
              <w:t>kg/kg</w:t>
            </w:r>
          </w:p>
        </w:tc>
        <w:tc>
          <w:tcPr>
            <w:tcW w:w="1315" w:type="dxa"/>
            <w:tcBorders>
              <w:top w:val="single" w:sz="4" w:space="0" w:color="00B050"/>
              <w:left w:val="single" w:sz="4" w:space="0" w:color="00B050"/>
            </w:tcBorders>
            <w:shd w:val="clear" w:color="auto" w:fill="FFFFFF"/>
            <w:vAlign w:val="center"/>
          </w:tcPr>
          <w:p w14:paraId="46AF4CAD" w14:textId="77777777" w:rsidR="00F20858" w:rsidRDefault="00F20858" w:rsidP="00FC5D0A">
            <w:pPr>
              <w:pStyle w:val="CETBodytext"/>
              <w:ind w:right="-1"/>
              <w:jc w:val="center"/>
              <w:rPr>
                <w:rFonts w:cs="Arial"/>
                <w:szCs w:val="18"/>
                <w:lang w:val="en-GB"/>
              </w:rPr>
            </w:pPr>
            <w:r w:rsidRPr="00A70975">
              <w:rPr>
                <w:szCs w:val="18"/>
              </w:rPr>
              <w:t>Solid hold-up</w:t>
            </w:r>
          </w:p>
        </w:tc>
        <w:tc>
          <w:tcPr>
            <w:tcW w:w="1173" w:type="dxa"/>
            <w:tcBorders>
              <w:top w:val="single" w:sz="4" w:space="0" w:color="00B050"/>
            </w:tcBorders>
            <w:shd w:val="clear" w:color="auto" w:fill="FFFFFF"/>
            <w:vAlign w:val="center"/>
          </w:tcPr>
          <w:p w14:paraId="4E1D6276" w14:textId="77777777" w:rsidR="00F20858" w:rsidRDefault="00F20858" w:rsidP="00FC5D0A">
            <w:pPr>
              <w:pStyle w:val="CETBodytext"/>
              <w:ind w:right="-1"/>
              <w:jc w:val="center"/>
              <w:rPr>
                <w:rFonts w:cs="Arial"/>
                <w:szCs w:val="18"/>
                <w:lang w:val="en-GB"/>
              </w:rPr>
            </w:pPr>
            <w:r w:rsidRPr="00A70975">
              <w:rPr>
                <w:szCs w:val="18"/>
              </w:rPr>
              <w:t>0.02</w:t>
            </w:r>
          </w:p>
        </w:tc>
        <w:tc>
          <w:tcPr>
            <w:tcW w:w="1104" w:type="dxa"/>
            <w:tcBorders>
              <w:top w:val="single" w:sz="4" w:space="0" w:color="00B050"/>
            </w:tcBorders>
            <w:shd w:val="clear" w:color="auto" w:fill="FFFFFF"/>
            <w:vAlign w:val="center"/>
          </w:tcPr>
          <w:p w14:paraId="58572BFF" w14:textId="77777777" w:rsidR="00F20858" w:rsidRDefault="00F20858" w:rsidP="00FC5D0A">
            <w:pPr>
              <w:pStyle w:val="CETBodytext"/>
              <w:ind w:right="-1"/>
              <w:jc w:val="center"/>
              <w:rPr>
                <w:rFonts w:cs="Arial"/>
                <w:szCs w:val="18"/>
                <w:lang w:val="en-GB"/>
              </w:rPr>
            </w:pPr>
          </w:p>
        </w:tc>
      </w:tr>
      <w:tr w:rsidR="00F20858" w:rsidRPr="00B57B36" w14:paraId="4B0C9F30" w14:textId="77777777" w:rsidTr="00DB59D4">
        <w:trPr>
          <w:trHeight w:val="194"/>
        </w:trPr>
        <w:tc>
          <w:tcPr>
            <w:tcW w:w="1076" w:type="dxa"/>
            <w:shd w:val="clear" w:color="auto" w:fill="FFFFFF"/>
            <w:vAlign w:val="center"/>
          </w:tcPr>
          <w:p w14:paraId="5F04B86E" w14:textId="77777777" w:rsidR="00F20858" w:rsidRDefault="00F20858" w:rsidP="00FC5D0A">
            <w:pPr>
              <w:pStyle w:val="CETBodytext"/>
              <w:jc w:val="center"/>
              <w:rPr>
                <w:lang w:val="en-GB"/>
              </w:rPr>
            </w:pPr>
            <w:r w:rsidRPr="00A70975">
              <w:rPr>
                <w:szCs w:val="18"/>
              </w:rPr>
              <w:t>Solid density</w:t>
            </w:r>
          </w:p>
        </w:tc>
        <w:tc>
          <w:tcPr>
            <w:tcW w:w="1155" w:type="dxa"/>
            <w:shd w:val="clear" w:color="auto" w:fill="FFFFFF"/>
            <w:vAlign w:val="center"/>
          </w:tcPr>
          <w:p w14:paraId="53242A47" w14:textId="77777777" w:rsidR="00F20858" w:rsidRDefault="00F20858" w:rsidP="00FC5D0A">
            <w:pPr>
              <w:pStyle w:val="CETBodytext"/>
              <w:jc w:val="center"/>
              <w:rPr>
                <w:lang w:val="en-GB"/>
              </w:rPr>
            </w:pPr>
            <w:r w:rsidRPr="00A70975">
              <w:rPr>
                <w:szCs w:val="18"/>
              </w:rPr>
              <w:t>5240</w:t>
            </w:r>
          </w:p>
        </w:tc>
        <w:tc>
          <w:tcPr>
            <w:tcW w:w="1023" w:type="dxa"/>
            <w:tcBorders>
              <w:right w:val="single" w:sz="4" w:space="0" w:color="00B050"/>
            </w:tcBorders>
            <w:shd w:val="clear" w:color="auto" w:fill="FFFFFF"/>
            <w:vAlign w:val="center"/>
          </w:tcPr>
          <w:p w14:paraId="2D76C939" w14:textId="77777777" w:rsidR="00F20858" w:rsidRDefault="00F20858" w:rsidP="00FC5D0A">
            <w:pPr>
              <w:pStyle w:val="CETBodytext"/>
              <w:jc w:val="center"/>
              <w:rPr>
                <w:lang w:val="en-GB"/>
              </w:rPr>
            </w:pPr>
            <w:r w:rsidRPr="00A70975">
              <w:rPr>
                <w:szCs w:val="18"/>
              </w:rPr>
              <w:t>kg/m</w:t>
            </w:r>
            <w:r w:rsidRPr="00A70975">
              <w:rPr>
                <w:szCs w:val="18"/>
                <w:vertAlign w:val="superscript"/>
              </w:rPr>
              <w:t>3</w:t>
            </w:r>
          </w:p>
        </w:tc>
        <w:tc>
          <w:tcPr>
            <w:tcW w:w="1315" w:type="dxa"/>
            <w:tcBorders>
              <w:left w:val="single" w:sz="4" w:space="0" w:color="00B050"/>
            </w:tcBorders>
            <w:shd w:val="clear" w:color="auto" w:fill="FFFFFF"/>
            <w:vAlign w:val="center"/>
          </w:tcPr>
          <w:p w14:paraId="41126AF8" w14:textId="77777777" w:rsidR="00F20858" w:rsidRDefault="00F20858" w:rsidP="00FC5D0A">
            <w:pPr>
              <w:pStyle w:val="CETBodytext"/>
              <w:ind w:right="-1"/>
              <w:jc w:val="center"/>
              <w:rPr>
                <w:rFonts w:cs="Arial"/>
                <w:szCs w:val="18"/>
                <w:lang w:val="en-GB"/>
              </w:rPr>
            </w:pPr>
            <w:proofErr w:type="spellStart"/>
            <w:r w:rsidRPr="00A70975">
              <w:rPr>
                <w:i/>
                <w:szCs w:val="18"/>
              </w:rPr>
              <w:t>k</w:t>
            </w:r>
            <w:r w:rsidRPr="00A70975">
              <w:rPr>
                <w:i/>
                <w:szCs w:val="18"/>
                <w:vertAlign w:val="subscript"/>
              </w:rPr>
              <w:t>E</w:t>
            </w:r>
            <w:proofErr w:type="spellEnd"/>
          </w:p>
        </w:tc>
        <w:tc>
          <w:tcPr>
            <w:tcW w:w="1173" w:type="dxa"/>
            <w:shd w:val="clear" w:color="auto" w:fill="FFFFFF"/>
            <w:vAlign w:val="center"/>
          </w:tcPr>
          <w:p w14:paraId="7A9E8F12" w14:textId="77777777" w:rsidR="00F20858" w:rsidRDefault="00F20858" w:rsidP="00FC5D0A">
            <w:pPr>
              <w:pStyle w:val="CETBodytext"/>
              <w:ind w:right="-1"/>
              <w:jc w:val="center"/>
              <w:rPr>
                <w:rFonts w:cs="Arial"/>
                <w:szCs w:val="18"/>
                <w:lang w:val="en-GB"/>
              </w:rPr>
            </w:pPr>
            <w:r w:rsidRPr="00A70975">
              <w:rPr>
                <w:szCs w:val="18"/>
              </w:rPr>
              <w:t>1460</w:t>
            </w:r>
          </w:p>
        </w:tc>
        <w:tc>
          <w:tcPr>
            <w:tcW w:w="1104" w:type="dxa"/>
            <w:shd w:val="clear" w:color="auto" w:fill="FFFFFF"/>
            <w:vAlign w:val="center"/>
          </w:tcPr>
          <w:p w14:paraId="2FE3A3B8" w14:textId="77777777" w:rsidR="00F20858" w:rsidRDefault="00F20858" w:rsidP="00FC5D0A">
            <w:pPr>
              <w:pStyle w:val="CETBodytext"/>
              <w:ind w:right="-1"/>
              <w:jc w:val="center"/>
              <w:rPr>
                <w:rFonts w:cs="Arial"/>
                <w:szCs w:val="18"/>
                <w:lang w:val="en-GB"/>
              </w:rPr>
            </w:pPr>
            <w:r w:rsidRPr="00A70975">
              <w:rPr>
                <w:szCs w:val="18"/>
              </w:rPr>
              <w:t>m</w:t>
            </w:r>
            <w:r w:rsidRPr="00A70975">
              <w:rPr>
                <w:szCs w:val="18"/>
                <w:vertAlign w:val="superscript"/>
              </w:rPr>
              <w:t>3</w:t>
            </w:r>
            <w:r w:rsidRPr="00A70975">
              <w:rPr>
                <w:szCs w:val="18"/>
              </w:rPr>
              <w:t>/kg s</w:t>
            </w:r>
          </w:p>
        </w:tc>
      </w:tr>
      <w:tr w:rsidR="00F20858" w:rsidRPr="00E10DF0" w14:paraId="49A972D6" w14:textId="77777777" w:rsidTr="00DB59D4">
        <w:trPr>
          <w:trHeight w:val="194"/>
        </w:trPr>
        <w:tc>
          <w:tcPr>
            <w:tcW w:w="6846" w:type="dxa"/>
            <w:gridSpan w:val="6"/>
            <w:tcBorders>
              <w:top w:val="single" w:sz="12" w:space="0" w:color="008000"/>
              <w:bottom w:val="single" w:sz="4" w:space="0" w:color="00B050"/>
              <w:right w:val="single" w:sz="4" w:space="0" w:color="00B050"/>
            </w:tcBorders>
            <w:shd w:val="clear" w:color="auto" w:fill="FFFFFF"/>
            <w:vAlign w:val="center"/>
          </w:tcPr>
          <w:p w14:paraId="3E43CA02" w14:textId="77777777" w:rsidR="00F20858" w:rsidRPr="00E10DF0" w:rsidRDefault="00F20858" w:rsidP="00FC5D0A">
            <w:pPr>
              <w:pStyle w:val="CETBodytext"/>
              <w:jc w:val="center"/>
              <w:rPr>
                <w:b/>
                <w:bCs/>
                <w:lang w:val="en-GB"/>
              </w:rPr>
            </w:pPr>
            <w:r>
              <w:rPr>
                <w:b/>
                <w:bCs/>
                <w:lang w:val="en-GB"/>
              </w:rPr>
              <w:t>Column design</w:t>
            </w:r>
          </w:p>
        </w:tc>
      </w:tr>
      <w:tr w:rsidR="00F20858" w:rsidRPr="00B57B36" w14:paraId="2FBB3C9A" w14:textId="77777777" w:rsidTr="00DB59D4">
        <w:trPr>
          <w:trHeight w:val="194"/>
        </w:trPr>
        <w:tc>
          <w:tcPr>
            <w:tcW w:w="1076" w:type="dxa"/>
            <w:tcBorders>
              <w:top w:val="single" w:sz="4" w:space="0" w:color="00B050"/>
            </w:tcBorders>
            <w:shd w:val="clear" w:color="auto" w:fill="FFFFFF"/>
            <w:vAlign w:val="center"/>
          </w:tcPr>
          <w:p w14:paraId="04A759DB" w14:textId="77777777" w:rsidR="00F20858" w:rsidRDefault="00F20858" w:rsidP="00FC5D0A">
            <w:pPr>
              <w:pStyle w:val="CETBodytext"/>
              <w:jc w:val="center"/>
              <w:rPr>
                <w:lang w:val="en-GB"/>
              </w:rPr>
            </w:pPr>
            <w:r w:rsidRPr="004C7FDD">
              <w:t>Diameter</w:t>
            </w:r>
          </w:p>
        </w:tc>
        <w:tc>
          <w:tcPr>
            <w:tcW w:w="1155" w:type="dxa"/>
            <w:tcBorders>
              <w:top w:val="single" w:sz="4" w:space="0" w:color="00B050"/>
            </w:tcBorders>
            <w:shd w:val="clear" w:color="auto" w:fill="FFFFFF"/>
            <w:vAlign w:val="center"/>
          </w:tcPr>
          <w:p w14:paraId="232EDF6E" w14:textId="77777777" w:rsidR="00F20858" w:rsidRDefault="00F20858" w:rsidP="00FC5D0A">
            <w:pPr>
              <w:pStyle w:val="CETBodytext"/>
              <w:jc w:val="center"/>
              <w:rPr>
                <w:lang w:val="en-GB"/>
              </w:rPr>
            </w:pPr>
            <w:r w:rsidRPr="004C7FDD">
              <w:t>0.5</w:t>
            </w:r>
          </w:p>
        </w:tc>
        <w:tc>
          <w:tcPr>
            <w:tcW w:w="1023" w:type="dxa"/>
            <w:tcBorders>
              <w:top w:val="single" w:sz="4" w:space="0" w:color="00B050"/>
              <w:right w:val="single" w:sz="4" w:space="0" w:color="00B050"/>
            </w:tcBorders>
            <w:shd w:val="clear" w:color="auto" w:fill="FFFFFF"/>
            <w:vAlign w:val="center"/>
          </w:tcPr>
          <w:p w14:paraId="583E53A1" w14:textId="77777777" w:rsidR="00F20858" w:rsidRDefault="00F20858" w:rsidP="00FC5D0A">
            <w:pPr>
              <w:pStyle w:val="CETBodytext"/>
              <w:jc w:val="center"/>
              <w:rPr>
                <w:lang w:val="en-GB"/>
              </w:rPr>
            </w:pPr>
            <w:r w:rsidRPr="004C7FDD">
              <w:t>m</w:t>
            </w:r>
          </w:p>
        </w:tc>
        <w:tc>
          <w:tcPr>
            <w:tcW w:w="1315" w:type="dxa"/>
            <w:tcBorders>
              <w:top w:val="single" w:sz="4" w:space="0" w:color="00B050"/>
              <w:left w:val="single" w:sz="4" w:space="0" w:color="00B050"/>
            </w:tcBorders>
            <w:shd w:val="clear" w:color="auto" w:fill="FFFFFF"/>
            <w:vAlign w:val="center"/>
          </w:tcPr>
          <w:p w14:paraId="6A1B2B11" w14:textId="77777777" w:rsidR="00F20858" w:rsidRDefault="00F20858" w:rsidP="00FC5D0A">
            <w:pPr>
              <w:pStyle w:val="CETBodytext"/>
              <w:ind w:right="-1"/>
              <w:jc w:val="center"/>
              <w:rPr>
                <w:rFonts w:cs="Arial"/>
                <w:szCs w:val="18"/>
                <w:lang w:val="en-GB"/>
              </w:rPr>
            </w:pPr>
            <w:r w:rsidRPr="004C7FDD">
              <w:t>Packing Height</w:t>
            </w:r>
          </w:p>
        </w:tc>
        <w:tc>
          <w:tcPr>
            <w:tcW w:w="1173" w:type="dxa"/>
            <w:tcBorders>
              <w:top w:val="single" w:sz="4" w:space="0" w:color="00B050"/>
            </w:tcBorders>
            <w:shd w:val="clear" w:color="auto" w:fill="FFFFFF"/>
            <w:vAlign w:val="center"/>
          </w:tcPr>
          <w:p w14:paraId="2F501460" w14:textId="77777777" w:rsidR="00F20858" w:rsidRDefault="00F20858" w:rsidP="00FC5D0A">
            <w:pPr>
              <w:pStyle w:val="CETBodytext"/>
              <w:ind w:right="-1"/>
              <w:jc w:val="center"/>
              <w:rPr>
                <w:rFonts w:cs="Arial"/>
                <w:szCs w:val="18"/>
                <w:lang w:val="en-GB"/>
              </w:rPr>
            </w:pPr>
            <w:r w:rsidRPr="004C7FDD">
              <w:t>10</w:t>
            </w:r>
          </w:p>
        </w:tc>
        <w:tc>
          <w:tcPr>
            <w:tcW w:w="1104" w:type="dxa"/>
            <w:tcBorders>
              <w:top w:val="single" w:sz="4" w:space="0" w:color="00B050"/>
            </w:tcBorders>
            <w:shd w:val="clear" w:color="auto" w:fill="FFFFFF"/>
            <w:vAlign w:val="center"/>
          </w:tcPr>
          <w:p w14:paraId="2E2A819D" w14:textId="77777777" w:rsidR="00F20858" w:rsidRDefault="00F20858" w:rsidP="00FC5D0A">
            <w:pPr>
              <w:pStyle w:val="CETBodytext"/>
              <w:ind w:right="-1"/>
              <w:jc w:val="center"/>
              <w:rPr>
                <w:rFonts w:cs="Arial"/>
                <w:szCs w:val="18"/>
                <w:lang w:val="en-GB"/>
              </w:rPr>
            </w:pPr>
            <w:r w:rsidRPr="004C7FDD">
              <w:t>m</w:t>
            </w:r>
          </w:p>
        </w:tc>
      </w:tr>
      <w:tr w:rsidR="00F20858" w:rsidRPr="00B57B36" w14:paraId="6059E516" w14:textId="77777777" w:rsidTr="00DB59D4">
        <w:trPr>
          <w:trHeight w:val="194"/>
        </w:trPr>
        <w:tc>
          <w:tcPr>
            <w:tcW w:w="1076" w:type="dxa"/>
            <w:shd w:val="clear" w:color="auto" w:fill="FFFFFF"/>
            <w:vAlign w:val="center"/>
          </w:tcPr>
          <w:p w14:paraId="3D10AE3F" w14:textId="77777777" w:rsidR="00F20858" w:rsidRDefault="00F20858" w:rsidP="00FC5D0A">
            <w:pPr>
              <w:pStyle w:val="CETBodytext"/>
              <w:jc w:val="center"/>
              <w:rPr>
                <w:lang w:val="en-GB"/>
              </w:rPr>
            </w:pPr>
            <w:r w:rsidRPr="002713B2">
              <w:t>Packing type</w:t>
            </w:r>
          </w:p>
        </w:tc>
        <w:tc>
          <w:tcPr>
            <w:tcW w:w="1155" w:type="dxa"/>
            <w:shd w:val="clear" w:color="auto" w:fill="FFFFFF"/>
            <w:vAlign w:val="center"/>
          </w:tcPr>
          <w:p w14:paraId="43F9799C" w14:textId="77777777" w:rsidR="00F20858" w:rsidRDefault="00F20858" w:rsidP="00FC5D0A">
            <w:pPr>
              <w:pStyle w:val="CETBodytext"/>
              <w:jc w:val="center"/>
              <w:rPr>
                <w:lang w:val="en-GB"/>
              </w:rPr>
            </w:pPr>
            <w:r w:rsidRPr="002713B2">
              <w:t>MELLAPAK 350Y SULZER</w:t>
            </w:r>
          </w:p>
        </w:tc>
        <w:tc>
          <w:tcPr>
            <w:tcW w:w="1023" w:type="dxa"/>
            <w:tcBorders>
              <w:right w:val="single" w:sz="4" w:space="0" w:color="00B050"/>
            </w:tcBorders>
            <w:shd w:val="clear" w:color="auto" w:fill="FFFFFF"/>
            <w:vAlign w:val="center"/>
          </w:tcPr>
          <w:p w14:paraId="54BB1D87" w14:textId="77777777" w:rsidR="00F20858" w:rsidRDefault="00F20858" w:rsidP="00FC5D0A">
            <w:pPr>
              <w:pStyle w:val="CETBodytext"/>
              <w:jc w:val="center"/>
              <w:rPr>
                <w:lang w:val="en-GB"/>
              </w:rPr>
            </w:pPr>
          </w:p>
        </w:tc>
        <w:tc>
          <w:tcPr>
            <w:tcW w:w="1315" w:type="dxa"/>
            <w:tcBorders>
              <w:left w:val="single" w:sz="4" w:space="0" w:color="00B050"/>
            </w:tcBorders>
            <w:shd w:val="clear" w:color="auto" w:fill="FFFFFF"/>
            <w:vAlign w:val="center"/>
          </w:tcPr>
          <w:p w14:paraId="2968A54D" w14:textId="73F71554" w:rsidR="00F20858" w:rsidRDefault="005F1155" w:rsidP="00FC5D0A">
            <w:pPr>
              <w:pStyle w:val="CETBodytext"/>
              <w:ind w:right="-1"/>
              <w:jc w:val="center"/>
              <w:rPr>
                <w:rFonts w:cs="Arial"/>
                <w:szCs w:val="18"/>
                <w:lang w:val="en-GB"/>
              </w:rPr>
            </w:pPr>
            <w:r>
              <w:t>Number of s</w:t>
            </w:r>
            <w:r w:rsidR="00F20858" w:rsidRPr="002713B2">
              <w:t xml:space="preserve">tages </w:t>
            </w:r>
          </w:p>
        </w:tc>
        <w:tc>
          <w:tcPr>
            <w:tcW w:w="1173" w:type="dxa"/>
            <w:shd w:val="clear" w:color="auto" w:fill="FFFFFF"/>
            <w:vAlign w:val="center"/>
          </w:tcPr>
          <w:p w14:paraId="2E9A4BF9" w14:textId="77777777" w:rsidR="00F20858" w:rsidRDefault="00F20858" w:rsidP="00FC5D0A">
            <w:pPr>
              <w:pStyle w:val="CETBodytext"/>
              <w:ind w:right="-1"/>
              <w:jc w:val="center"/>
              <w:rPr>
                <w:rFonts w:cs="Arial"/>
                <w:szCs w:val="18"/>
                <w:lang w:val="en-GB"/>
              </w:rPr>
            </w:pPr>
            <w:r w:rsidRPr="002713B2">
              <w:t>10</w:t>
            </w:r>
          </w:p>
        </w:tc>
        <w:tc>
          <w:tcPr>
            <w:tcW w:w="1104" w:type="dxa"/>
            <w:shd w:val="clear" w:color="auto" w:fill="FFFFFF"/>
            <w:vAlign w:val="center"/>
          </w:tcPr>
          <w:p w14:paraId="7061507E" w14:textId="77777777" w:rsidR="00F20858" w:rsidRDefault="00F20858" w:rsidP="00FC5D0A">
            <w:pPr>
              <w:pStyle w:val="CETBodytext"/>
              <w:ind w:right="-1"/>
              <w:jc w:val="center"/>
              <w:rPr>
                <w:rFonts w:cs="Arial"/>
                <w:szCs w:val="18"/>
                <w:lang w:val="en-GB"/>
              </w:rPr>
            </w:pPr>
          </w:p>
        </w:tc>
      </w:tr>
    </w:tbl>
    <w:bookmarkEnd w:id="1"/>
    <w:p w14:paraId="776026E5" w14:textId="0662C7EE" w:rsidR="0028450B" w:rsidRPr="00A75E85" w:rsidRDefault="0028450B" w:rsidP="00947BF1">
      <w:pPr>
        <w:pStyle w:val="CETheadingx"/>
      </w:pPr>
      <w:r w:rsidRPr="00947BF1">
        <w:rPr>
          <w:b w:val="0"/>
          <w:bCs w:val="0"/>
        </w:rPr>
        <w:t>Absorption performances have been calculated as CO</w:t>
      </w:r>
      <w:r w:rsidRPr="00947BF1">
        <w:rPr>
          <w:b w:val="0"/>
          <w:bCs w:val="0"/>
          <w:vertAlign w:val="subscript"/>
        </w:rPr>
        <w:t>2</w:t>
      </w:r>
      <w:r w:rsidRPr="00947BF1">
        <w:rPr>
          <w:b w:val="0"/>
          <w:bCs w:val="0"/>
        </w:rPr>
        <w:t xml:space="preserve"> removal efficiency from flue gas, bicarbonate concentration in the rich solvent (</w:t>
      </w:r>
      <m:oMath>
        <m:r>
          <w:rPr>
            <w:rFonts w:ascii="Cambria Math" w:hAnsi="Cambria Math"/>
          </w:rPr>
          <m:t>[HC</m:t>
        </m:r>
        <m:sSub>
          <m:sSubPr>
            <m:ctrlPr>
              <w:rPr>
                <w:rFonts w:ascii="Cambria Math" w:hAnsi="Cambria Math"/>
                <w:b w:val="0"/>
                <w:bCs w:val="0"/>
                <w:i/>
              </w:rPr>
            </m:ctrlPr>
          </m:sSubPr>
          <m:e>
            <m:sSubSup>
              <m:sSubSupPr>
                <m:ctrlPr>
                  <w:rPr>
                    <w:rFonts w:ascii="Cambria Math" w:hAnsi="Cambria Math"/>
                    <w:b w:val="0"/>
                    <w:bCs w:val="0"/>
                    <w:i/>
                  </w:rPr>
                </m:ctrlPr>
              </m:sSubSupPr>
              <m:e>
                <m:r>
                  <w:rPr>
                    <w:rFonts w:ascii="Cambria Math" w:hAnsi="Cambria Math"/>
                  </w:rPr>
                  <m:t>O</m:t>
                </m:r>
              </m:e>
              <m:sub>
                <m:r>
                  <w:rPr>
                    <w:rFonts w:ascii="Cambria Math" w:hAnsi="Cambria Math"/>
                  </w:rPr>
                  <m:t>3</m:t>
                </m:r>
              </m:sub>
              <m:sup>
                <m:r>
                  <w:rPr>
                    <w:rFonts w:ascii="Cambria Math" w:hAnsi="Cambria Math"/>
                  </w:rPr>
                  <m:t>-</m:t>
                </m:r>
              </m:sup>
            </m:sSubSup>
            <m:r>
              <w:rPr>
                <w:rFonts w:ascii="Cambria Math" w:hAnsi="Cambria Math"/>
              </w:rPr>
              <m:t>]</m:t>
            </m:r>
          </m:e>
          <m:sub>
            <m:r>
              <w:rPr>
                <w:rFonts w:ascii="Cambria Math" w:hAnsi="Cambria Math"/>
              </w:rPr>
              <m:t>Rich Solvent</m:t>
            </m:r>
          </m:sub>
        </m:sSub>
      </m:oMath>
      <w:r w:rsidRPr="00947BF1">
        <w:rPr>
          <w:b w:val="0"/>
          <w:bCs w:val="0"/>
        </w:rPr>
        <w:t>), and fraction of bicarbonate ions formed from CO</w:t>
      </w:r>
      <w:r w:rsidRPr="00947BF1">
        <w:rPr>
          <w:b w:val="0"/>
          <w:bCs w:val="0"/>
          <w:vertAlign w:val="subscript"/>
        </w:rPr>
        <w:t>2</w:t>
      </w:r>
      <w:r w:rsidRPr="00947BF1">
        <w:rPr>
          <w:b w:val="0"/>
          <w:bCs w:val="0"/>
        </w:rPr>
        <w:t xml:space="preserve"> hydration</w:t>
      </w:r>
      <w:r w:rsidRPr="00A75E85">
        <w:t>.</w:t>
      </w:r>
    </w:p>
    <w:p w14:paraId="3852D6D7" w14:textId="448665C2" w:rsidR="00F20858" w:rsidRPr="00A75E85" w:rsidRDefault="00A75E85" w:rsidP="00947BF1">
      <w:pPr>
        <w:pStyle w:val="CETheadingx"/>
      </w:pPr>
      <w:r>
        <w:t xml:space="preserve">2.2 </w:t>
      </w:r>
      <w:r w:rsidR="00F20858" w:rsidRPr="00A75E85">
        <w:t>Modelling of enzymatic carboxylation unit</w:t>
      </w:r>
    </w:p>
    <w:p w14:paraId="49343C84" w14:textId="0FA17459" w:rsidR="00F20858" w:rsidRDefault="00F20858" w:rsidP="005917B3">
      <w:pPr>
        <w:pStyle w:val="CETBodytext"/>
      </w:pPr>
      <w:r>
        <w:t xml:space="preserve">The carboxylation unit </w:t>
      </w:r>
      <w:r w:rsidR="001D78DF">
        <w:t>was</w:t>
      </w:r>
      <w:r>
        <w:t xml:space="preserve"> described assuming an homogeneous system continuously supplied with the liquid solvent from the absorption column (components concentrations </w:t>
      </w:r>
      <m:oMath>
        <m:r>
          <w:rPr>
            <w:rFonts w:ascii="Cambria Math" w:hAnsi="Cambria Math"/>
          </w:rPr>
          <m:t>[</m:t>
        </m:r>
        <m:r>
          <w:rPr>
            <w:rFonts w:ascii="Cambria Math" w:hAnsi="Cambria Math"/>
            <w:lang w:val="it-IT"/>
          </w:rPr>
          <m:t>C</m:t>
        </m:r>
        <m:sSub>
          <m:sSubPr>
            <m:ctrlPr>
              <w:rPr>
                <w:rFonts w:ascii="Cambria Math" w:hAnsi="Cambria Math"/>
                <w:i/>
                <w:iCs/>
                <w:lang w:val="it-IT"/>
              </w:rPr>
            </m:ctrlPr>
          </m:sSubPr>
          <m:e>
            <m:sSubSup>
              <m:sSubSupPr>
                <m:ctrlPr>
                  <w:rPr>
                    <w:rFonts w:ascii="Cambria Math" w:hAnsi="Cambria Math"/>
                    <w:i/>
                    <w:iCs/>
                    <w:lang w:val="it-IT"/>
                  </w:rPr>
                </m:ctrlPr>
              </m:sSubSupPr>
              <m:e>
                <m:r>
                  <w:rPr>
                    <w:rFonts w:ascii="Cambria Math" w:hAnsi="Cambria Math"/>
                    <w:lang w:val="it-IT"/>
                  </w:rPr>
                  <m:t>O</m:t>
                </m:r>
              </m:e>
              <m:sub>
                <m:r>
                  <w:rPr>
                    <w:rFonts w:ascii="Cambria Math" w:hAnsi="Cambria Math"/>
                  </w:rPr>
                  <m:t>3</m:t>
                </m:r>
              </m:sub>
              <m:sup>
                <m:r>
                  <w:rPr>
                    <w:rFonts w:ascii="Cambria Math" w:hAnsi="Cambria Math"/>
                  </w:rPr>
                  <m:t>2-</m:t>
                </m:r>
              </m:sup>
            </m:sSubSup>
            <m:r>
              <w:rPr>
                <w:rFonts w:ascii="Cambria Math" w:hAnsi="Cambria Math"/>
                <w:lang w:val="en-GB"/>
              </w:rPr>
              <m:t>]</m:t>
            </m:r>
          </m:e>
          <m:sub>
            <m:r>
              <w:rPr>
                <w:rFonts w:ascii="Cambria Math" w:hAnsi="Cambria Math"/>
                <w:lang w:val="it-IT"/>
              </w:rPr>
              <m:t>IN</m:t>
            </m:r>
          </m:sub>
        </m:sSub>
        <m:r>
          <w:rPr>
            <w:rFonts w:ascii="Cambria Math" w:hAnsi="Cambria Math"/>
          </w:rPr>
          <m:t>,[</m:t>
        </m:r>
        <m:r>
          <w:rPr>
            <w:rFonts w:ascii="Cambria Math" w:hAnsi="Cambria Math"/>
            <w:lang w:val="it-IT"/>
          </w:rPr>
          <m:t>HC</m:t>
        </m:r>
        <m:sSub>
          <m:sSubPr>
            <m:ctrlPr>
              <w:rPr>
                <w:rFonts w:ascii="Cambria Math" w:hAnsi="Cambria Math"/>
                <w:i/>
                <w:iCs/>
                <w:lang w:val="it-IT"/>
              </w:rPr>
            </m:ctrlPr>
          </m:sSubPr>
          <m:e>
            <m:sSubSup>
              <m:sSubSupPr>
                <m:ctrlPr>
                  <w:rPr>
                    <w:rFonts w:ascii="Cambria Math" w:hAnsi="Cambria Math"/>
                    <w:i/>
                    <w:iCs/>
                    <w:lang w:val="it-IT"/>
                  </w:rPr>
                </m:ctrlPr>
              </m:sSubSupPr>
              <m:e>
                <m:r>
                  <w:rPr>
                    <w:rFonts w:ascii="Cambria Math" w:hAnsi="Cambria Math"/>
                    <w:lang w:val="it-IT"/>
                  </w:rPr>
                  <m:t>O</m:t>
                </m:r>
              </m:e>
              <m:sub>
                <m:r>
                  <w:rPr>
                    <w:rFonts w:ascii="Cambria Math" w:hAnsi="Cambria Math"/>
                  </w:rPr>
                  <m:t>3</m:t>
                </m:r>
              </m:sub>
              <m:sup>
                <m:r>
                  <w:rPr>
                    <w:rFonts w:ascii="Cambria Math" w:hAnsi="Cambria Math"/>
                  </w:rPr>
                  <m:t>-</m:t>
                </m:r>
              </m:sup>
            </m:sSubSup>
            <m:r>
              <w:rPr>
                <w:rFonts w:ascii="Cambria Math" w:hAnsi="Cambria Math"/>
                <w:lang w:val="en-GB"/>
              </w:rPr>
              <m:t>]</m:t>
            </m:r>
          </m:e>
          <m:sub>
            <m:r>
              <w:rPr>
                <w:rFonts w:ascii="Cambria Math" w:hAnsi="Cambria Math"/>
                <w:lang w:val="it-IT"/>
              </w:rPr>
              <m:t>IN</m:t>
            </m:r>
          </m:sub>
        </m:sSub>
        <m:r>
          <w:rPr>
            <w:rFonts w:ascii="Cambria Math" w:hAnsi="Cambria Math"/>
          </w:rPr>
          <m:t>,[</m:t>
        </m:r>
        <m:r>
          <w:rPr>
            <w:rFonts w:ascii="Cambria Math" w:hAnsi="Cambria Math"/>
            <w:lang w:val="it-IT"/>
          </w:rPr>
          <m:t>C</m:t>
        </m:r>
        <m:sSub>
          <m:sSubPr>
            <m:ctrlPr>
              <w:rPr>
                <w:rFonts w:ascii="Cambria Math" w:hAnsi="Cambria Math"/>
                <w:i/>
                <w:iCs/>
                <w:lang w:val="it-IT"/>
              </w:rPr>
            </m:ctrlPr>
          </m:sSubPr>
          <m:e>
            <m:sSub>
              <m:sSubPr>
                <m:ctrlPr>
                  <w:rPr>
                    <w:rFonts w:ascii="Cambria Math" w:hAnsi="Cambria Math"/>
                    <w:i/>
                    <w:iCs/>
                    <w:lang w:val="it-IT"/>
                  </w:rPr>
                </m:ctrlPr>
              </m:sSubPr>
              <m:e>
                <m:r>
                  <w:rPr>
                    <w:rFonts w:ascii="Cambria Math" w:hAnsi="Cambria Math"/>
                    <w:lang w:val="it-IT"/>
                  </w:rPr>
                  <m:t>O</m:t>
                </m:r>
              </m:e>
              <m:sub>
                <m:r>
                  <w:rPr>
                    <w:rFonts w:ascii="Cambria Math" w:hAnsi="Cambria Math"/>
                  </w:rPr>
                  <m:t>2</m:t>
                </m:r>
              </m:sub>
            </m:sSub>
            <m:r>
              <w:rPr>
                <w:rFonts w:ascii="Cambria Math" w:hAnsi="Cambria Math"/>
                <w:lang w:val="en-GB"/>
              </w:rPr>
              <m:t>]</m:t>
            </m:r>
          </m:e>
          <m:sub>
            <m:r>
              <w:rPr>
                <w:rFonts w:ascii="Cambria Math" w:hAnsi="Cambria Math"/>
                <w:lang w:val="it-IT"/>
              </w:rPr>
              <m:t>IN</m:t>
            </m:r>
          </m:sub>
        </m:sSub>
        <m:r>
          <w:rPr>
            <w:rFonts w:ascii="Cambria Math" w:hAnsi="Cambria Math"/>
            <w:lang w:val="en-GB"/>
          </w:rPr>
          <m:t>,[</m:t>
        </m:r>
        <m:r>
          <w:rPr>
            <w:rFonts w:ascii="Cambria Math" w:hAnsi="Cambria Math"/>
            <w:lang w:val="it-IT"/>
          </w:rPr>
          <m:t>HC</m:t>
        </m:r>
        <m:sSub>
          <m:sSubPr>
            <m:ctrlPr>
              <w:rPr>
                <w:rFonts w:ascii="Cambria Math" w:hAnsi="Cambria Math"/>
                <w:i/>
                <w:iCs/>
                <w:lang w:val="it-IT"/>
              </w:rPr>
            </m:ctrlPr>
          </m:sSubPr>
          <m:e>
            <m:sSubSup>
              <m:sSubSupPr>
                <m:ctrlPr>
                  <w:rPr>
                    <w:rFonts w:ascii="Cambria Math" w:hAnsi="Cambria Math"/>
                    <w:i/>
                    <w:iCs/>
                    <w:lang w:val="it-IT"/>
                  </w:rPr>
                </m:ctrlPr>
              </m:sSubSupPr>
              <m:e>
                <m:r>
                  <w:rPr>
                    <w:rFonts w:ascii="Cambria Math" w:hAnsi="Cambria Math"/>
                    <w:lang w:val="it-IT"/>
                  </w:rPr>
                  <m:t>O</m:t>
                </m:r>
              </m:e>
              <m:sub>
                <m:r>
                  <w:rPr>
                    <w:rFonts w:ascii="Cambria Math" w:hAnsi="Cambria Math"/>
                  </w:rPr>
                  <m:t>3</m:t>
                </m:r>
              </m:sub>
              <m:sup>
                <m:r>
                  <w:rPr>
                    <w:rFonts w:ascii="Cambria Math" w:hAnsi="Cambria Math"/>
                  </w:rPr>
                  <m:t>-</m:t>
                </m:r>
              </m:sup>
            </m:sSubSup>
            <m:r>
              <w:rPr>
                <w:rFonts w:ascii="Cambria Math" w:hAnsi="Cambria Math"/>
                <w:lang w:val="en-GB"/>
              </w:rPr>
              <m:t>]</m:t>
            </m:r>
          </m:e>
          <m:sub>
            <m:r>
              <w:rPr>
                <w:rFonts w:ascii="Cambria Math" w:hAnsi="Cambria Math"/>
                <w:lang w:val="it-IT"/>
              </w:rPr>
              <m:t>IN</m:t>
            </m:r>
          </m:sub>
        </m:sSub>
        <m:r>
          <w:rPr>
            <w:rFonts w:ascii="Cambria Math" w:hAnsi="Cambria Math"/>
            <w:lang w:val="en-GB"/>
          </w:rPr>
          <m:t>,[</m:t>
        </m:r>
        <m:sSup>
          <m:sSupPr>
            <m:ctrlPr>
              <w:rPr>
                <w:rFonts w:ascii="Cambria Math" w:hAnsi="Cambria Math"/>
                <w:i/>
                <w:lang w:val="it-IT"/>
              </w:rPr>
            </m:ctrlPr>
          </m:sSupPr>
          <m:e>
            <m:r>
              <w:rPr>
                <w:rFonts w:ascii="Cambria Math" w:hAnsi="Cambria Math"/>
                <w:lang w:val="it-IT"/>
              </w:rPr>
              <m:t>K</m:t>
            </m:r>
          </m:e>
          <m:sup>
            <m:r>
              <w:rPr>
                <w:rFonts w:ascii="Cambria Math" w:hAnsi="Cambria Math"/>
                <w:lang w:val="en-GB"/>
              </w:rPr>
              <m:t>+</m:t>
            </m:r>
          </m:sup>
        </m:sSup>
        <m:sSub>
          <m:sSubPr>
            <m:ctrlPr>
              <w:rPr>
                <w:rFonts w:ascii="Cambria Math" w:hAnsi="Cambria Math"/>
                <w:i/>
                <w:iCs/>
                <w:lang w:val="it-IT"/>
              </w:rPr>
            </m:ctrlPr>
          </m:sSubPr>
          <m:e>
            <m:r>
              <w:rPr>
                <w:rFonts w:ascii="Cambria Math" w:hAnsi="Cambria Math"/>
                <w:lang w:val="en-GB"/>
              </w:rPr>
              <m:t>]</m:t>
            </m:r>
          </m:e>
          <m:sub>
            <m:r>
              <w:rPr>
                <w:rFonts w:ascii="Cambria Math" w:hAnsi="Cambria Math"/>
                <w:lang w:val="it-IT"/>
              </w:rPr>
              <m:t>IN</m:t>
            </m:r>
          </m:sub>
        </m:sSub>
      </m:oMath>
      <w:r w:rsidRPr="00BF5481">
        <w:rPr>
          <w:iCs/>
          <w:lang w:val="en-GB"/>
        </w:rPr>
        <w:t>)</w:t>
      </w:r>
      <w:r>
        <w:rPr>
          <w:iCs/>
          <w:lang w:val="en-GB"/>
        </w:rPr>
        <w:t xml:space="preserve"> </w:t>
      </w:r>
      <w:r>
        <w:t>and the phenolic substrate (</w:t>
      </w:r>
      <m:oMath>
        <m:r>
          <w:rPr>
            <w:rFonts w:ascii="Cambria Math" w:hAnsi="Cambria Math"/>
          </w:rPr>
          <m:t>[</m:t>
        </m:r>
        <m:r>
          <w:rPr>
            <w:rFonts w:ascii="Cambria Math" w:hAnsi="Cambria Math"/>
            <w:lang w:val="it-IT"/>
          </w:rPr>
          <m:t>A</m:t>
        </m:r>
        <m:sSub>
          <m:sSubPr>
            <m:ctrlPr>
              <w:rPr>
                <w:rFonts w:ascii="Cambria Math" w:hAnsi="Cambria Math"/>
                <w:i/>
                <w:iCs/>
                <w:lang w:val="it-IT"/>
              </w:rPr>
            </m:ctrlPr>
          </m:sSubPr>
          <m:e>
            <m:r>
              <w:rPr>
                <w:rFonts w:ascii="Cambria Math" w:hAnsi="Cambria Math"/>
                <w:lang w:val="it-IT"/>
              </w:rPr>
              <m:t>r</m:t>
            </m:r>
            <m:r>
              <w:rPr>
                <w:rFonts w:ascii="Cambria Math" w:hAnsi="Cambria Math"/>
                <w:lang w:val="en-GB"/>
              </w:rPr>
              <m:t>]</m:t>
            </m:r>
          </m:e>
          <m:sub>
            <m:r>
              <w:rPr>
                <w:rFonts w:ascii="Cambria Math" w:hAnsi="Cambria Math"/>
                <w:lang w:val="it-IT"/>
              </w:rPr>
              <m:t>IN</m:t>
            </m:r>
          </m:sub>
        </m:sSub>
      </m:oMath>
      <w:r>
        <w:t>). The carboxylation reaction ideally occurs up to the equilibrium conversion (</w:t>
      </w:r>
      <w:r w:rsidR="006213CC">
        <w:t>F</w:t>
      </w:r>
      <w:r>
        <w:t>ig</w:t>
      </w:r>
      <w:r w:rsidR="006213CC">
        <w:t>ure</w:t>
      </w:r>
      <w:r>
        <w:t xml:space="preserve"> </w:t>
      </w:r>
      <w:r w:rsidR="001D78DF">
        <w:t>1</w:t>
      </w:r>
      <w:r>
        <w:t>). The composition of the outlet liquid from the carboxylation unit has been calculated in terms of the concentrations of the relevant species (</w:t>
      </w:r>
      <m:oMath>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e>
          <m:sub>
            <m:r>
              <w:rPr>
                <w:rFonts w:ascii="Cambria Math" w:hAnsi="Cambria Math"/>
              </w:rPr>
              <m:t>OUT</m:t>
            </m:r>
          </m:sub>
        </m:sSub>
        <m:r>
          <w:rPr>
            <w:rFonts w:ascii="Cambria Math" w:hAnsi="Cambria Math"/>
          </w:rPr>
          <m:t xml:space="preserve">, </m:t>
        </m:r>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H</m:t>
                    </m:r>
                  </m:e>
                  <m:sup>
                    <m:r>
                      <w:rPr>
                        <w:rFonts w:ascii="Cambria Math" w:hAnsi="Cambria Math"/>
                      </w:rPr>
                      <m:t>+</m:t>
                    </m:r>
                  </m:sup>
                </m:sSup>
              </m:e>
            </m:d>
          </m:e>
          <m:sub>
            <m:r>
              <w:rPr>
                <w:rFonts w:ascii="Cambria Math" w:hAnsi="Cambria Math"/>
              </w:rPr>
              <m:t>OUT</m:t>
            </m:r>
          </m:sub>
        </m:sSub>
        <m:r>
          <w:rPr>
            <w:rFonts w:ascii="Cambria Math" w:hAnsi="Cambria Math"/>
          </w:rPr>
          <m:t xml:space="preserve">, </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H</m:t>
                    </m:r>
                  </m:e>
                  <m:sup>
                    <m:r>
                      <w:rPr>
                        <w:rFonts w:ascii="Cambria Math" w:hAnsi="Cambria Math"/>
                      </w:rPr>
                      <m:t>-</m:t>
                    </m:r>
                  </m:sup>
                </m:sSup>
              </m:e>
            </m:d>
          </m:e>
          <m:sub>
            <m:r>
              <w:rPr>
                <w:rFonts w:ascii="Cambria Math" w:hAnsi="Cambria Math"/>
              </w:rPr>
              <m:t>OUT</m:t>
            </m:r>
          </m:sub>
        </m:sSub>
        <m:r>
          <w:rPr>
            <w:rFonts w:ascii="Cambria Math" w:hAnsi="Cambria Math"/>
          </w:rPr>
          <m:t xml:space="preserve">, </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HC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m:t>
                    </m:r>
                  </m:sup>
                </m:sSubSup>
              </m:e>
            </m:d>
          </m:e>
          <m:sub>
            <m:r>
              <w:rPr>
                <w:rFonts w:ascii="Cambria Math" w:hAnsi="Cambria Math"/>
              </w:rPr>
              <m:t>OUT</m:t>
            </m:r>
          </m:sub>
        </m:sSub>
        <m:r>
          <w:rPr>
            <w:rFonts w:ascii="Cambria Math" w:hAnsi="Cambria Math"/>
          </w:rPr>
          <m:t xml:space="preserve">, </m:t>
        </m:r>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m:t>
                    </m:r>
                  </m:sup>
                </m:sSup>
              </m:e>
            </m:d>
          </m:e>
          <m:sub>
            <m:r>
              <w:rPr>
                <w:rFonts w:ascii="Cambria Math" w:hAnsi="Cambria Math"/>
              </w:rPr>
              <m:t>OUT</m:t>
            </m:r>
          </m:sub>
        </m:sSub>
        <m:r>
          <w:rPr>
            <w:rFonts w:ascii="Cambria Math" w:hAnsi="Cambria Math"/>
          </w:rPr>
          <m:t xml:space="preserve">, </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e>
            </m:d>
          </m:e>
          <m:sub>
            <m:r>
              <w:rPr>
                <w:rFonts w:ascii="Cambria Math" w:hAnsi="Cambria Math"/>
              </w:rPr>
              <m:t>OUT</m:t>
            </m:r>
          </m:sub>
        </m:sSub>
        <m:r>
          <w:rPr>
            <w:rFonts w:ascii="Cambria Math" w:hAnsi="Cambria Math"/>
          </w:rPr>
          <m:t xml:space="preserve">, </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Ar</m:t>
                </m:r>
              </m:e>
            </m:d>
          </m:e>
          <m:sub>
            <m:r>
              <w:rPr>
                <w:rFonts w:ascii="Cambria Math" w:hAnsi="Cambria Math"/>
              </w:rPr>
              <m:t>OUT</m:t>
            </m:r>
          </m:sub>
        </m:sSub>
        <m:r>
          <w:rPr>
            <w:rFonts w:ascii="Cambria Math" w:hAnsi="Cambria Math"/>
          </w:rPr>
          <m:t xml:space="preserve">, </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HA</m:t>
                </m:r>
              </m:e>
            </m:d>
          </m:e>
          <m:sub>
            <m:r>
              <w:rPr>
                <w:rFonts w:ascii="Cambria Math" w:hAnsi="Cambria Math"/>
              </w:rPr>
              <m:t>OUT</m:t>
            </m:r>
          </m:sub>
        </m:sSub>
        <m:r>
          <w:rPr>
            <w:rFonts w:ascii="Cambria Math" w:hAnsi="Cambria Math"/>
            <w:lang w:val="en-GB"/>
          </w:rPr>
          <m:t>)</m:t>
        </m:r>
      </m:oMath>
      <w:r>
        <w:rPr>
          <w:iCs/>
          <w:lang w:val="en-GB"/>
        </w:rPr>
        <w:t xml:space="preserve"> </w:t>
      </w:r>
      <w:r>
        <w:t>according to the following equations:</w:t>
      </w:r>
      <w:r w:rsidR="005917B3">
        <w:t xml:space="preserve"> </w:t>
      </w:r>
      <w:r>
        <w:t>conservation of the potassium ions condition (</w:t>
      </w:r>
      <w:r w:rsidR="001D78DF">
        <w:t>E</w:t>
      </w:r>
      <w:r>
        <w:t xml:space="preserve">q. </w:t>
      </w:r>
      <w:r w:rsidR="0008090E">
        <w:t>5</w:t>
      </w:r>
      <w:r>
        <w:t>)</w:t>
      </w:r>
      <w:r w:rsidR="005917B3">
        <w:t xml:space="preserve">; </w:t>
      </w:r>
      <w:r>
        <w:t xml:space="preserve">electroneutrality condition among ionic </w:t>
      </w:r>
      <w:r>
        <w:lastRenderedPageBreak/>
        <w:t>species in the outlet stream (</w:t>
      </w:r>
      <w:r w:rsidR="001D78DF">
        <w:t>E</w:t>
      </w:r>
      <w:r>
        <w:t xml:space="preserve">q. </w:t>
      </w:r>
      <w:r w:rsidR="0008090E">
        <w:t>6</w:t>
      </w:r>
      <w:r>
        <w:t>)</w:t>
      </w:r>
      <w:r w:rsidR="005917B3">
        <w:t xml:space="preserve">; </w:t>
      </w:r>
      <w:r>
        <w:t>equilibrium of water dissociation (</w:t>
      </w:r>
      <w:r w:rsidR="001D78DF">
        <w:t>E</w:t>
      </w:r>
      <w:r>
        <w:t xml:space="preserve">q. </w:t>
      </w:r>
      <w:r w:rsidR="0008090E">
        <w:t>7</w:t>
      </w:r>
      <w:r>
        <w:t>)</w:t>
      </w:r>
      <w:r w:rsidR="005917B3">
        <w:t xml:space="preserve">; </w:t>
      </w:r>
      <w:r>
        <w:t>equilibrium of first and second carbonic acid dissociations (</w:t>
      </w:r>
      <w:r w:rsidR="001D78DF">
        <w:t>E</w:t>
      </w:r>
      <w:r>
        <w:t xml:space="preserve">q. </w:t>
      </w:r>
      <w:r w:rsidR="0008090E">
        <w:t>8</w:t>
      </w:r>
      <w:r>
        <w:t>-</w:t>
      </w:r>
      <w:r w:rsidR="0008090E">
        <w:t>9</w:t>
      </w:r>
      <w:r>
        <w:t>)</w:t>
      </w:r>
      <w:r w:rsidR="005917B3">
        <w:t xml:space="preserve">; </w:t>
      </w:r>
      <w:r>
        <w:t>mass balance of dissolved inorganic carbon (</w:t>
      </w:r>
      <w:r w:rsidR="001D78DF">
        <w:t>E</w:t>
      </w:r>
      <w:r>
        <w:t>q. 1</w:t>
      </w:r>
      <w:r w:rsidR="0008090E">
        <w:t>0</w:t>
      </w:r>
      <w:r>
        <w:t>)</w:t>
      </w:r>
      <w:r w:rsidR="005917B3">
        <w:t xml:space="preserve">; </w:t>
      </w:r>
      <w:r>
        <w:t>equilibrium of the carboxylation reaction (</w:t>
      </w:r>
      <w:r w:rsidR="001D78DF">
        <w:t>E</w:t>
      </w:r>
      <w:r>
        <w:t>q. 1</w:t>
      </w:r>
      <w:r w:rsidR="0008090E">
        <w:t>1</w:t>
      </w:r>
      <w:r>
        <w:t xml:space="preserve">) </w:t>
      </w:r>
      <w:r w:rsidR="001D78DF">
        <w:t>[</w:t>
      </w:r>
      <w:r>
        <w:t>Pesci et al., 2015</w:t>
      </w:r>
      <w:r w:rsidR="001D78DF">
        <w:t>]</w:t>
      </w:r>
      <w:r w:rsidR="005917B3">
        <w:t xml:space="preserve">;  </w:t>
      </w:r>
      <w:r>
        <w:t>equilibrium of carboxylic acid dissociation (</w:t>
      </w:r>
      <w:r w:rsidR="001D78DF">
        <w:t>E</w:t>
      </w:r>
      <w:r>
        <w:t>q. 1</w:t>
      </w:r>
      <w:r w:rsidR="0008090E">
        <w:t>2</w:t>
      </w:r>
      <w:r>
        <w:t>)</w:t>
      </w:r>
      <w:r w:rsidR="005917B3">
        <w:t xml:space="preserve">; </w:t>
      </w:r>
      <w:r>
        <w:t>stoichiometry of the carboxylation reaction (</w:t>
      </w:r>
      <w:r w:rsidR="001D78DF">
        <w:t>E</w:t>
      </w:r>
      <w:r>
        <w:t>q. 1</w:t>
      </w:r>
      <w:r w:rsidR="0008090E">
        <w:t>3</w:t>
      </w:r>
      <w:r>
        <w:t>)</w:t>
      </w:r>
      <w:r w:rsidR="005917B3">
        <w:t>.</w:t>
      </w:r>
    </w:p>
    <w:p w14:paraId="1B7FFED4" w14:textId="48EFA175" w:rsidR="00F20858" w:rsidRPr="00F53002" w:rsidRDefault="00E122B1" w:rsidP="00E20BCE">
      <w:pPr>
        <w:spacing w:before="120" w:after="120"/>
      </w:pPr>
      <m:oMath>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e>
          <m:sub>
            <m:r>
              <w:rPr>
                <w:rFonts w:ascii="Cambria Math" w:hAnsi="Cambria Math"/>
              </w:rPr>
              <m:t>IN</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e>
          <m:sub>
            <m:r>
              <w:rPr>
                <w:rFonts w:ascii="Cambria Math" w:hAnsi="Cambria Math"/>
              </w:rPr>
              <m:t>OUT</m:t>
            </m:r>
          </m:sub>
        </m:sSub>
      </m:oMath>
      <w:r w:rsidR="00F20858">
        <w:t xml:space="preserve"> </w:t>
      </w:r>
      <w:r w:rsidR="00F20858" w:rsidRPr="00F53002">
        <w:tab/>
      </w:r>
      <w:r w:rsidR="00F20858">
        <w:tab/>
      </w:r>
      <w:r w:rsidR="00F20858" w:rsidRPr="00F53002">
        <w:t>(</w:t>
      </w:r>
      <w:r w:rsidR="0008090E">
        <w:t>5</w:t>
      </w:r>
      <w:r w:rsidR="00F20858" w:rsidRPr="00F53002">
        <w:t>)</w:t>
      </w:r>
    </w:p>
    <w:p w14:paraId="185FBD72" w14:textId="14347A98" w:rsidR="00F20858" w:rsidRPr="00F53002" w:rsidRDefault="00E122B1" w:rsidP="00E20BCE">
      <w:pPr>
        <w:spacing w:before="120" w:after="120"/>
      </w:pPr>
      <m:oMath>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H</m:t>
                    </m:r>
                  </m:e>
                  <m:sup>
                    <m:r>
                      <w:rPr>
                        <w:rFonts w:ascii="Cambria Math" w:hAnsi="Cambria Math"/>
                      </w:rPr>
                      <m:t>+</m:t>
                    </m:r>
                  </m:sup>
                </m:sSup>
              </m:e>
            </m:d>
          </m:e>
          <m:sub>
            <m:r>
              <w:rPr>
                <w:rFonts w:ascii="Cambria Math" w:hAnsi="Cambria Math"/>
              </w:rPr>
              <m:t>OUT</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e>
          <m:sub>
            <m:r>
              <w:rPr>
                <w:rFonts w:ascii="Cambria Math" w:hAnsi="Cambria Math"/>
              </w:rPr>
              <m:t>OUT</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H</m:t>
                    </m:r>
                  </m:e>
                  <m:sup>
                    <m:r>
                      <w:rPr>
                        <w:rFonts w:ascii="Cambria Math" w:hAnsi="Cambria Math"/>
                      </w:rPr>
                      <m:t>-</m:t>
                    </m:r>
                  </m:sup>
                </m:sSup>
              </m:e>
            </m:d>
          </m:e>
          <m:sub>
            <m:r>
              <w:rPr>
                <w:rFonts w:ascii="Cambria Math" w:hAnsi="Cambria Math"/>
              </w:rPr>
              <m:t>OUT</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HC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m:t>
                    </m:r>
                  </m:sup>
                </m:sSubSup>
              </m:e>
            </m:d>
          </m:e>
          <m:sub>
            <m:r>
              <w:rPr>
                <w:rFonts w:ascii="Cambria Math" w:hAnsi="Cambria Math"/>
              </w:rPr>
              <m:t>OUT</m:t>
            </m:r>
          </m:sub>
        </m:sSub>
        <m:r>
          <w:rPr>
            <w:rFonts w:ascii="Cambria Math" w:hAnsi="Cambria Math"/>
          </w:rPr>
          <m:t>-2∙</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2-</m:t>
                    </m:r>
                  </m:sup>
                </m:sSubSup>
              </m:e>
            </m:d>
          </m:e>
          <m:sub>
            <m:r>
              <w:rPr>
                <w:rFonts w:ascii="Cambria Math" w:hAnsi="Cambria Math"/>
              </w:rPr>
              <m:t>OUT</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m:t>
                    </m:r>
                  </m:sup>
                </m:sSup>
              </m:e>
            </m:d>
          </m:e>
          <m:sub>
            <m:r>
              <w:rPr>
                <w:rFonts w:ascii="Cambria Math" w:hAnsi="Cambria Math"/>
              </w:rPr>
              <m:t>OUT</m:t>
            </m:r>
          </m:sub>
        </m:sSub>
        <m:r>
          <w:rPr>
            <w:rFonts w:ascii="Cambria Math" w:hAnsi="Cambria Math"/>
          </w:rPr>
          <m:t>=0</m:t>
        </m:r>
      </m:oMath>
      <w:r w:rsidR="00F20858">
        <w:t xml:space="preserve"> </w:t>
      </w:r>
      <w:r w:rsidR="00F20858">
        <w:tab/>
      </w:r>
      <w:r w:rsidR="00F20858">
        <w:tab/>
      </w:r>
      <w:r w:rsidR="00F20858" w:rsidRPr="00F53002">
        <w:t>(</w:t>
      </w:r>
      <w:r w:rsidR="0008090E">
        <w:t>6</w:t>
      </w:r>
      <w:r w:rsidR="00F20858" w:rsidRPr="00F53002">
        <w:t>)</w:t>
      </w:r>
    </w:p>
    <w:p w14:paraId="2BF37B42" w14:textId="0C9559B6" w:rsidR="00F20858" w:rsidRPr="00F53002" w:rsidRDefault="00E122B1" w:rsidP="00E20BCE">
      <w:pPr>
        <w:pStyle w:val="CETBodytext"/>
        <w:spacing w:before="120" w:after="120"/>
      </w:pPr>
      <m:oMath>
        <m:sSub>
          <m:sSubPr>
            <m:ctrlPr>
              <w:rPr>
                <w:rFonts w:ascii="Cambria Math" w:hAnsi="Cambria Math"/>
                <w:i/>
                <w:iCs/>
                <w:lang w:val="it-IT"/>
              </w:rPr>
            </m:ctrlPr>
          </m:sSubPr>
          <m:e>
            <m:r>
              <w:rPr>
                <w:rFonts w:ascii="Cambria Math" w:hAnsi="Cambria Math"/>
                <w:lang w:val="it-IT"/>
              </w:rPr>
              <m:t>K</m:t>
            </m:r>
          </m:e>
          <m:sub>
            <m:r>
              <w:rPr>
                <w:rFonts w:ascii="Cambria Math" w:hAnsi="Cambria Math"/>
                <w:lang w:val="it-IT"/>
              </w:rPr>
              <m:t>w</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iCs/>
                    <w:lang w:val="it-IT"/>
                  </w:rPr>
                </m:ctrlPr>
              </m:dPr>
              <m:e>
                <m:sSup>
                  <m:sSupPr>
                    <m:ctrlPr>
                      <w:rPr>
                        <w:rFonts w:ascii="Cambria Math" w:hAnsi="Cambria Math"/>
                        <w:i/>
                        <w:iCs/>
                        <w:lang w:val="it-IT"/>
                      </w:rPr>
                    </m:ctrlPr>
                  </m:sSupPr>
                  <m:e>
                    <m:r>
                      <w:rPr>
                        <w:rFonts w:ascii="Cambria Math" w:hAnsi="Cambria Math"/>
                        <w:lang w:val="it-IT"/>
                      </w:rPr>
                      <m:t>H</m:t>
                    </m:r>
                  </m:e>
                  <m:sup>
                    <m:r>
                      <w:rPr>
                        <w:rFonts w:ascii="Cambria Math" w:hAnsi="Cambria Math"/>
                        <w:lang w:val="en-GB"/>
                      </w:rPr>
                      <m:t>+</m:t>
                    </m:r>
                  </m:sup>
                </m:sSup>
                <m:ctrlPr>
                  <w:rPr>
                    <w:rFonts w:ascii="Cambria Math" w:hAnsi="Cambria Math"/>
                    <w:i/>
                  </w:rPr>
                </m:ctrlPr>
              </m:e>
            </m:d>
          </m:e>
          <m:sub>
            <m:r>
              <w:rPr>
                <w:rFonts w:ascii="Cambria Math" w:hAnsi="Cambria Math"/>
              </w:rPr>
              <m:t>OUT</m:t>
            </m:r>
          </m:sub>
        </m:sSub>
        <m:r>
          <w:rPr>
            <w:rFonts w:ascii="Cambria Math" w:hAnsi="Cambria Math"/>
          </w:rPr>
          <m:t>∙</m:t>
        </m:r>
        <m:sSub>
          <m:sSubPr>
            <m:ctrlPr>
              <w:rPr>
                <w:rFonts w:ascii="Cambria Math" w:hAnsi="Cambria Math"/>
                <w:i/>
                <w:lang w:val="it-IT"/>
              </w:rPr>
            </m:ctrlPr>
          </m:sSubPr>
          <m:e>
            <m:d>
              <m:dPr>
                <m:begChr m:val="["/>
                <m:endChr m:val="]"/>
                <m:ctrlPr>
                  <w:rPr>
                    <w:rFonts w:ascii="Cambria Math" w:hAnsi="Cambria Math"/>
                    <w:i/>
                    <w:lang w:val="it-IT"/>
                  </w:rPr>
                </m:ctrlPr>
              </m:dPr>
              <m:e>
                <m:r>
                  <w:rPr>
                    <w:rFonts w:ascii="Cambria Math" w:hAnsi="Cambria Math"/>
                    <w:lang w:val="it-IT"/>
                  </w:rPr>
                  <m:t>O</m:t>
                </m:r>
                <m:sSup>
                  <m:sSupPr>
                    <m:ctrlPr>
                      <w:rPr>
                        <w:rFonts w:ascii="Cambria Math" w:hAnsi="Cambria Math"/>
                        <w:i/>
                        <w:lang w:val="it-IT"/>
                      </w:rPr>
                    </m:ctrlPr>
                  </m:sSupPr>
                  <m:e>
                    <m:r>
                      <w:rPr>
                        <w:rFonts w:ascii="Cambria Math" w:hAnsi="Cambria Math"/>
                        <w:lang w:val="it-IT"/>
                      </w:rPr>
                      <m:t>H</m:t>
                    </m:r>
                  </m:e>
                  <m:sup>
                    <m:r>
                      <w:rPr>
                        <w:rFonts w:ascii="Cambria Math" w:hAnsi="Cambria Math"/>
                        <w:lang w:val="en-GB"/>
                      </w:rPr>
                      <m:t>-</m:t>
                    </m:r>
                  </m:sup>
                </m:sSup>
              </m:e>
            </m:d>
            <m:ctrlPr>
              <w:rPr>
                <w:rFonts w:ascii="Cambria Math" w:hAnsi="Cambria Math"/>
                <w:i/>
              </w:rPr>
            </m:ctrlPr>
          </m:e>
          <m:sub>
            <m:r>
              <w:rPr>
                <w:rFonts w:ascii="Cambria Math" w:hAnsi="Cambria Math"/>
                <w:lang w:val="it-IT"/>
              </w:rPr>
              <m:t>OUt</m:t>
            </m:r>
          </m:sub>
        </m:sSub>
      </m:oMath>
      <w:r w:rsidR="00F20858" w:rsidRPr="00F53002">
        <w:tab/>
      </w:r>
      <w:r w:rsidR="00F20858">
        <w:tab/>
      </w:r>
      <w:r w:rsidR="00F20858" w:rsidRPr="00F53002">
        <w:t>(</w:t>
      </w:r>
      <w:r w:rsidR="0008090E">
        <w:t>7</w:t>
      </w:r>
      <w:r w:rsidR="00F20858" w:rsidRPr="00F53002">
        <w:t>)</w:t>
      </w:r>
    </w:p>
    <w:p w14:paraId="36CC5956" w14:textId="27637C90" w:rsidR="00F20858" w:rsidRPr="00F53002" w:rsidRDefault="00E122B1" w:rsidP="00E20BCE">
      <w:pPr>
        <w:pStyle w:val="CETBodytext"/>
        <w:spacing w:before="120" w:after="120"/>
      </w:pPr>
      <m:oMath>
        <m:sSub>
          <m:sSubPr>
            <m:ctrlPr>
              <w:rPr>
                <w:rFonts w:ascii="Cambria Math" w:hAnsi="Cambria Math"/>
                <w:i/>
                <w:iCs/>
                <w:lang w:val="it-IT"/>
              </w:rPr>
            </m:ctrlPr>
          </m:sSubPr>
          <m:e>
            <m:r>
              <w:rPr>
                <w:rFonts w:ascii="Cambria Math" w:hAnsi="Cambria Math"/>
                <w:lang w:val="it-IT"/>
              </w:rPr>
              <m:t>K</m:t>
            </m:r>
          </m:e>
          <m:sub>
            <m:r>
              <w:rPr>
                <w:rFonts w:ascii="Cambria Math" w:hAnsi="Cambria Math"/>
              </w:rPr>
              <m:t>1</m:t>
            </m:r>
          </m:sub>
        </m:sSub>
        <m:r>
          <w:rPr>
            <w:rFonts w:ascii="Cambria Math" w:hAnsi="Cambria Math"/>
          </w:rPr>
          <m:t>=</m:t>
        </m:r>
        <m:f>
          <m:fPr>
            <m:ctrlPr>
              <w:rPr>
                <w:rFonts w:ascii="Cambria Math" w:hAnsi="Cambria Math"/>
                <w:i/>
                <w:iCs/>
                <w:lang w:val="it-IT"/>
              </w:rPr>
            </m:ctrlPr>
          </m:fPr>
          <m:num>
            <m:sSub>
              <m:sSubPr>
                <m:ctrlPr>
                  <w:rPr>
                    <w:rFonts w:ascii="Cambria Math" w:hAnsi="Cambria Math"/>
                    <w:i/>
                  </w:rPr>
                </m:ctrlPr>
              </m:sSubPr>
              <m:e>
                <m:d>
                  <m:dPr>
                    <m:begChr m:val="["/>
                    <m:endChr m:val="]"/>
                    <m:ctrlPr>
                      <w:rPr>
                        <w:rFonts w:ascii="Cambria Math" w:hAnsi="Cambria Math"/>
                        <w:i/>
                        <w:lang w:val="it-IT"/>
                      </w:rPr>
                    </m:ctrlPr>
                  </m:dPr>
                  <m:e>
                    <m:r>
                      <w:rPr>
                        <w:rFonts w:ascii="Cambria Math" w:hAnsi="Cambria Math"/>
                        <w:lang w:val="it-IT"/>
                      </w:rPr>
                      <m:t>HC</m:t>
                    </m:r>
                    <m:sSubSup>
                      <m:sSubSupPr>
                        <m:ctrlPr>
                          <w:rPr>
                            <w:rFonts w:ascii="Cambria Math" w:hAnsi="Cambria Math"/>
                            <w:i/>
                          </w:rPr>
                        </m:ctrlPr>
                      </m:sSubSupPr>
                      <m:e>
                        <m:r>
                          <w:rPr>
                            <w:rFonts w:ascii="Cambria Math" w:hAnsi="Cambria Math"/>
                            <w:lang w:val="it-IT"/>
                          </w:rPr>
                          <m:t>O</m:t>
                        </m:r>
                        <m:ctrlPr>
                          <w:rPr>
                            <w:rFonts w:ascii="Cambria Math" w:hAnsi="Cambria Math"/>
                            <w:i/>
                            <w:lang w:val="it-IT"/>
                          </w:rPr>
                        </m:ctrlPr>
                      </m:e>
                      <m:sub>
                        <m:r>
                          <w:rPr>
                            <w:rFonts w:ascii="Cambria Math" w:hAnsi="Cambria Math"/>
                          </w:rPr>
                          <m:t>3</m:t>
                        </m:r>
                        <m:ctrlPr>
                          <w:rPr>
                            <w:rFonts w:ascii="Cambria Math" w:hAnsi="Cambria Math"/>
                            <w:i/>
                            <w:lang w:val="it-IT"/>
                          </w:rPr>
                        </m:ctrlPr>
                      </m:sub>
                      <m:sup>
                        <m:r>
                          <w:rPr>
                            <w:rFonts w:ascii="Cambria Math" w:hAnsi="Cambria Math"/>
                          </w:rPr>
                          <m:t>-</m:t>
                        </m:r>
                      </m:sup>
                    </m:sSubSup>
                    <m:ctrlPr>
                      <w:rPr>
                        <w:rFonts w:ascii="Cambria Math" w:hAnsi="Cambria Math"/>
                        <w:i/>
                      </w:rPr>
                    </m:ctrlPr>
                  </m:e>
                </m:d>
              </m:e>
              <m:sub>
                <m:r>
                  <w:rPr>
                    <w:rFonts w:ascii="Cambria Math" w:hAnsi="Cambria Math"/>
                  </w:rPr>
                  <m:t>OUT</m:t>
                </m:r>
              </m:sub>
            </m:sSub>
            <m:r>
              <w:rPr>
                <w:rFonts w:ascii="Cambria Math" w:hAnsi="Cambria Math"/>
              </w:rPr>
              <m:t>∙∙</m:t>
            </m:r>
            <m:sSub>
              <m:sSubPr>
                <m:ctrlPr>
                  <w:rPr>
                    <w:rFonts w:ascii="Cambria Math" w:hAnsi="Cambria Math"/>
                    <w:i/>
                    <w:iCs/>
                    <w:lang w:val="it-IT"/>
                  </w:rPr>
                </m:ctrlPr>
              </m:sSubPr>
              <m:e>
                <m:d>
                  <m:dPr>
                    <m:begChr m:val="["/>
                    <m:endChr m:val="]"/>
                    <m:ctrlPr>
                      <w:rPr>
                        <w:rFonts w:ascii="Cambria Math" w:hAnsi="Cambria Math"/>
                        <w:i/>
                        <w:iCs/>
                        <w:lang w:val="it-IT"/>
                      </w:rPr>
                    </m:ctrlPr>
                  </m:dPr>
                  <m:e>
                    <m:sSup>
                      <m:sSupPr>
                        <m:ctrlPr>
                          <w:rPr>
                            <w:rFonts w:ascii="Cambria Math" w:hAnsi="Cambria Math"/>
                            <w:i/>
                            <w:iCs/>
                            <w:lang w:val="it-IT"/>
                          </w:rPr>
                        </m:ctrlPr>
                      </m:sSupPr>
                      <m:e>
                        <m:r>
                          <w:rPr>
                            <w:rFonts w:ascii="Cambria Math" w:hAnsi="Cambria Math"/>
                            <w:lang w:val="it-IT"/>
                          </w:rPr>
                          <m:t>H</m:t>
                        </m:r>
                      </m:e>
                      <m:sup>
                        <m:r>
                          <w:rPr>
                            <w:rFonts w:ascii="Cambria Math" w:hAnsi="Cambria Math"/>
                          </w:rPr>
                          <m:t>+</m:t>
                        </m:r>
                      </m:sup>
                    </m:sSup>
                  </m:e>
                </m:d>
                <m:ctrlPr>
                  <w:rPr>
                    <w:rFonts w:ascii="Cambria Math" w:hAnsi="Cambria Math"/>
                    <w:i/>
                  </w:rPr>
                </m:ctrlPr>
              </m:e>
              <m:sub>
                <m:r>
                  <w:rPr>
                    <w:rFonts w:ascii="Cambria Math" w:hAnsi="Cambria Math"/>
                    <w:lang w:val="it-IT"/>
                  </w:rPr>
                  <m:t>OUT</m:t>
                </m:r>
              </m:sub>
            </m:sSub>
          </m:num>
          <m:den>
            <m:sSub>
              <m:sSubPr>
                <m:ctrlPr>
                  <w:rPr>
                    <w:rFonts w:ascii="Cambria Math" w:hAnsi="Cambria Math"/>
                    <w:i/>
                    <w:lang w:val="it-IT"/>
                  </w:rPr>
                </m:ctrlPr>
              </m:sSubPr>
              <m:e>
                <m:d>
                  <m:dPr>
                    <m:begChr m:val="["/>
                    <m:endChr m:val="]"/>
                    <m:ctrlPr>
                      <w:rPr>
                        <w:rFonts w:ascii="Cambria Math" w:hAnsi="Cambria Math"/>
                        <w:i/>
                        <w:lang w:val="it-IT"/>
                      </w:rPr>
                    </m:ctrlPr>
                  </m:dPr>
                  <m:e>
                    <m:r>
                      <w:rPr>
                        <w:rFonts w:ascii="Cambria Math" w:hAnsi="Cambria Math"/>
                        <w:lang w:val="it-IT"/>
                      </w:rPr>
                      <m:t>C</m:t>
                    </m:r>
                    <m:sSub>
                      <m:sSubPr>
                        <m:ctrlPr>
                          <w:rPr>
                            <w:rFonts w:ascii="Cambria Math" w:hAnsi="Cambria Math"/>
                            <w:i/>
                            <w:lang w:val="it-IT"/>
                          </w:rPr>
                        </m:ctrlPr>
                      </m:sSubPr>
                      <m:e>
                        <m:r>
                          <w:rPr>
                            <w:rFonts w:ascii="Cambria Math" w:hAnsi="Cambria Math"/>
                            <w:lang w:val="it-IT"/>
                          </w:rPr>
                          <m:t>O</m:t>
                        </m:r>
                      </m:e>
                      <m:sub>
                        <m:r>
                          <w:rPr>
                            <w:rFonts w:ascii="Cambria Math" w:hAnsi="Cambria Math"/>
                          </w:rPr>
                          <m:t>2</m:t>
                        </m:r>
                      </m:sub>
                    </m:sSub>
                  </m:e>
                </m:d>
              </m:e>
              <m:sub>
                <m:r>
                  <w:rPr>
                    <w:rFonts w:ascii="Cambria Math" w:hAnsi="Cambria Math"/>
                    <w:lang w:val="it-IT"/>
                  </w:rPr>
                  <m:t>OUT</m:t>
                </m:r>
              </m:sub>
            </m:sSub>
          </m:den>
        </m:f>
      </m:oMath>
      <w:r w:rsidR="00F20858" w:rsidRPr="00F53002">
        <w:tab/>
      </w:r>
      <w:r w:rsidR="00F20858">
        <w:tab/>
      </w:r>
      <w:r w:rsidR="00F20858" w:rsidRPr="00F53002">
        <w:t>(</w:t>
      </w:r>
      <w:r w:rsidR="0008090E">
        <w:t>8</w:t>
      </w:r>
      <w:r w:rsidR="00F20858" w:rsidRPr="00F53002">
        <w:t>)</w:t>
      </w:r>
    </w:p>
    <w:p w14:paraId="588C0139" w14:textId="70FA990A" w:rsidR="00F20858" w:rsidRPr="00F53002" w:rsidRDefault="00E122B1" w:rsidP="00E20BCE">
      <w:pPr>
        <w:pStyle w:val="CETBodytext"/>
        <w:spacing w:before="120" w:after="120"/>
      </w:pPr>
      <m:oMath>
        <m:sSub>
          <m:sSubPr>
            <m:ctrlPr>
              <w:rPr>
                <w:rFonts w:ascii="Cambria Math" w:hAnsi="Cambria Math"/>
                <w:i/>
                <w:iCs/>
                <w:lang w:val="it-IT"/>
              </w:rPr>
            </m:ctrlPr>
          </m:sSubPr>
          <m:e>
            <m:r>
              <w:rPr>
                <w:rFonts w:ascii="Cambria Math" w:hAnsi="Cambria Math"/>
                <w:lang w:val="it-IT"/>
              </w:rPr>
              <m:t>K</m:t>
            </m:r>
          </m:e>
          <m:sub>
            <m:r>
              <w:rPr>
                <w:rFonts w:ascii="Cambria Math" w:hAnsi="Cambria Math"/>
              </w:rPr>
              <m:t>2</m:t>
            </m:r>
          </m:sub>
        </m:sSub>
        <m:r>
          <w:rPr>
            <w:rFonts w:ascii="Cambria Math" w:hAnsi="Cambria Math"/>
          </w:rPr>
          <m:t>=</m:t>
        </m:r>
        <m:f>
          <m:fPr>
            <m:ctrlPr>
              <w:rPr>
                <w:rFonts w:ascii="Cambria Math" w:hAnsi="Cambria Math"/>
                <w:i/>
                <w:iCs/>
                <w:lang w:val="it-IT"/>
              </w:rPr>
            </m:ctrlPr>
          </m:fPr>
          <m:num>
            <m:sSub>
              <m:sSubPr>
                <m:ctrlPr>
                  <w:rPr>
                    <w:rFonts w:ascii="Cambria Math" w:hAnsi="Cambria Math"/>
                    <w:i/>
                  </w:rPr>
                </m:ctrlPr>
              </m:sSubPr>
              <m:e>
                <m:d>
                  <m:dPr>
                    <m:begChr m:val="["/>
                    <m:endChr m:val="]"/>
                    <m:ctrlPr>
                      <w:rPr>
                        <w:rFonts w:ascii="Cambria Math" w:hAnsi="Cambria Math"/>
                        <w:i/>
                        <w:iCs/>
                        <w:lang w:val="it-IT"/>
                      </w:rPr>
                    </m:ctrlPr>
                  </m:dPr>
                  <m:e>
                    <m:r>
                      <w:rPr>
                        <w:rFonts w:ascii="Cambria Math" w:hAnsi="Cambria Math"/>
                        <w:lang w:val="it-IT"/>
                      </w:rPr>
                      <m:t>C</m:t>
                    </m:r>
                    <m:sSubSup>
                      <m:sSubSupPr>
                        <m:ctrlPr>
                          <w:rPr>
                            <w:rFonts w:ascii="Cambria Math" w:hAnsi="Cambria Math"/>
                            <w:i/>
                          </w:rPr>
                        </m:ctrlPr>
                      </m:sSubSupPr>
                      <m:e>
                        <m:r>
                          <w:rPr>
                            <w:rFonts w:ascii="Cambria Math" w:hAnsi="Cambria Math"/>
                            <w:lang w:val="it-IT"/>
                          </w:rPr>
                          <m:t>O</m:t>
                        </m:r>
                        <m:ctrlPr>
                          <w:rPr>
                            <w:rFonts w:ascii="Cambria Math" w:hAnsi="Cambria Math"/>
                            <w:i/>
                            <w:iCs/>
                            <w:lang w:val="it-IT"/>
                          </w:rPr>
                        </m:ctrlPr>
                      </m:e>
                      <m:sub>
                        <m:r>
                          <w:rPr>
                            <w:rFonts w:ascii="Cambria Math" w:hAnsi="Cambria Math"/>
                          </w:rPr>
                          <m:t>3</m:t>
                        </m:r>
                        <m:ctrlPr>
                          <w:rPr>
                            <w:rFonts w:ascii="Cambria Math" w:hAnsi="Cambria Math"/>
                            <w:i/>
                            <w:iCs/>
                            <w:lang w:val="it-IT"/>
                          </w:rPr>
                        </m:ctrlPr>
                      </m:sub>
                      <m:sup>
                        <m:r>
                          <w:rPr>
                            <w:rFonts w:ascii="Cambria Math" w:hAnsi="Cambria Math"/>
                          </w:rPr>
                          <m:t>2-</m:t>
                        </m:r>
                      </m:sup>
                    </m:sSubSup>
                    <m:ctrlPr>
                      <w:rPr>
                        <w:rFonts w:ascii="Cambria Math" w:hAnsi="Cambria Math"/>
                        <w:i/>
                      </w:rPr>
                    </m:ctrlPr>
                  </m:e>
                </m:d>
              </m:e>
              <m:sub>
                <m:r>
                  <w:rPr>
                    <w:rFonts w:ascii="Cambria Math" w:hAnsi="Cambria Math"/>
                  </w:rPr>
                  <m:t>OUT</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H</m:t>
                        </m:r>
                      </m:e>
                      <m:sup>
                        <m:r>
                          <w:rPr>
                            <w:rFonts w:ascii="Cambria Math" w:hAnsi="Cambria Math"/>
                          </w:rPr>
                          <m:t>+</m:t>
                        </m:r>
                      </m:sup>
                    </m:sSup>
                  </m:e>
                </m:d>
              </m:e>
              <m:sub>
                <m:r>
                  <w:rPr>
                    <w:rFonts w:ascii="Cambria Math" w:hAnsi="Cambria Math"/>
                  </w:rPr>
                  <m:t>OUT</m:t>
                </m:r>
              </m:sub>
            </m:sSub>
            <m:r>
              <w:rPr>
                <w:rFonts w:ascii="Cambria Math" w:hAnsi="Cambria Math"/>
              </w:rPr>
              <m:t>∙</m:t>
            </m:r>
          </m:num>
          <m:den>
            <m:sSub>
              <m:sSubPr>
                <m:ctrlPr>
                  <w:rPr>
                    <w:rFonts w:ascii="Cambria Math" w:hAnsi="Cambria Math"/>
                    <w:i/>
                    <w:iCs/>
                    <w:lang w:val="it-IT"/>
                  </w:rPr>
                </m:ctrlPr>
              </m:sSubPr>
              <m:e>
                <m:d>
                  <m:dPr>
                    <m:begChr m:val="["/>
                    <m:endChr m:val="]"/>
                    <m:ctrlPr>
                      <w:rPr>
                        <w:rFonts w:ascii="Cambria Math" w:hAnsi="Cambria Math"/>
                        <w:i/>
                        <w:iCs/>
                        <w:lang w:val="it-IT"/>
                      </w:rPr>
                    </m:ctrlPr>
                  </m:dPr>
                  <m:e>
                    <m:r>
                      <w:rPr>
                        <w:rFonts w:ascii="Cambria Math" w:hAnsi="Cambria Math"/>
                        <w:lang w:val="it-IT"/>
                      </w:rPr>
                      <m:t>HC</m:t>
                    </m:r>
                    <m:sSubSup>
                      <m:sSubSupPr>
                        <m:ctrlPr>
                          <w:rPr>
                            <w:rFonts w:ascii="Cambria Math" w:hAnsi="Cambria Math"/>
                            <w:i/>
                            <w:iCs/>
                            <w:lang w:val="it-IT"/>
                          </w:rPr>
                        </m:ctrlPr>
                      </m:sSubSupPr>
                      <m:e>
                        <m:r>
                          <w:rPr>
                            <w:rFonts w:ascii="Cambria Math" w:hAnsi="Cambria Math"/>
                            <w:lang w:val="it-IT"/>
                          </w:rPr>
                          <m:t>O</m:t>
                        </m:r>
                      </m:e>
                      <m:sub>
                        <m:r>
                          <w:rPr>
                            <w:rFonts w:ascii="Cambria Math" w:hAnsi="Cambria Math"/>
                          </w:rPr>
                          <m:t>3</m:t>
                        </m:r>
                      </m:sub>
                      <m:sup>
                        <m:r>
                          <w:rPr>
                            <w:rFonts w:ascii="Cambria Math" w:hAnsi="Cambria Math"/>
                          </w:rPr>
                          <m:t>-</m:t>
                        </m:r>
                      </m:sup>
                    </m:sSubSup>
                  </m:e>
                </m:d>
              </m:e>
              <m:sub>
                <m:r>
                  <w:rPr>
                    <w:rFonts w:ascii="Cambria Math" w:hAnsi="Cambria Math"/>
                    <w:lang w:val="it-IT"/>
                  </w:rPr>
                  <m:t>OUT</m:t>
                </m:r>
              </m:sub>
            </m:sSub>
          </m:den>
        </m:f>
      </m:oMath>
      <w:r w:rsidR="00F20858" w:rsidRPr="00F53002">
        <w:tab/>
      </w:r>
      <w:r w:rsidR="00F20858">
        <w:tab/>
      </w:r>
      <w:r w:rsidR="00F20858" w:rsidRPr="00F53002">
        <w:t>(</w:t>
      </w:r>
      <w:r w:rsidR="0008090E">
        <w:t>9</w:t>
      </w:r>
      <w:r w:rsidR="00F20858" w:rsidRPr="00F53002">
        <w:t>)</w:t>
      </w:r>
    </w:p>
    <w:p w14:paraId="0E17BE67" w14:textId="715911A6" w:rsidR="00F20858" w:rsidRPr="00F53002" w:rsidRDefault="00E122B1" w:rsidP="00E20BCE">
      <w:pPr>
        <w:pStyle w:val="CETBodytext"/>
        <w:spacing w:before="120" w:after="120"/>
      </w:pPr>
      <m:oMath>
        <m:sSub>
          <m:sSubPr>
            <m:ctrlPr>
              <w:rPr>
                <w:rFonts w:ascii="Cambria Math" w:hAnsi="Cambria Math"/>
                <w:i/>
              </w:rPr>
            </m:ctrlPr>
          </m:sSubPr>
          <m:e>
            <m:d>
              <m:dPr>
                <m:begChr m:val="["/>
                <m:endChr m:val="]"/>
                <m:ctrlPr>
                  <w:rPr>
                    <w:rFonts w:ascii="Cambria Math" w:hAnsi="Cambria Math"/>
                    <w:i/>
                    <w:lang w:val="it-IT"/>
                  </w:rPr>
                </m:ctrlPr>
              </m:dPr>
              <m:e>
                <m:r>
                  <w:rPr>
                    <w:rFonts w:ascii="Cambria Math" w:hAnsi="Cambria Math"/>
                    <w:lang w:val="it-IT"/>
                  </w:rPr>
                  <m:t>C</m:t>
                </m:r>
                <m:sSubSup>
                  <m:sSubSupPr>
                    <m:ctrlPr>
                      <w:rPr>
                        <w:rFonts w:ascii="Cambria Math" w:hAnsi="Cambria Math"/>
                        <w:i/>
                      </w:rPr>
                    </m:ctrlPr>
                  </m:sSubSupPr>
                  <m:e>
                    <m:r>
                      <w:rPr>
                        <w:rFonts w:ascii="Cambria Math" w:hAnsi="Cambria Math"/>
                        <w:lang w:val="it-IT"/>
                      </w:rPr>
                      <m:t>O</m:t>
                    </m:r>
                    <m:ctrlPr>
                      <w:rPr>
                        <w:rFonts w:ascii="Cambria Math" w:hAnsi="Cambria Math"/>
                        <w:i/>
                        <w:lang w:val="it-IT"/>
                      </w:rPr>
                    </m:ctrlPr>
                  </m:e>
                  <m:sub>
                    <m:r>
                      <w:rPr>
                        <w:rFonts w:ascii="Cambria Math" w:hAnsi="Cambria Math"/>
                      </w:rPr>
                      <m:t>3</m:t>
                    </m:r>
                    <m:ctrlPr>
                      <w:rPr>
                        <w:rFonts w:ascii="Cambria Math" w:hAnsi="Cambria Math"/>
                        <w:i/>
                        <w:lang w:val="it-IT"/>
                      </w:rPr>
                    </m:ctrlPr>
                  </m:sub>
                  <m:sup>
                    <m:r>
                      <w:rPr>
                        <w:rFonts w:ascii="Cambria Math" w:hAnsi="Cambria Math"/>
                      </w:rPr>
                      <m:t>2-</m:t>
                    </m:r>
                  </m:sup>
                </m:sSubSup>
                <m:ctrlPr>
                  <w:rPr>
                    <w:rFonts w:ascii="Cambria Math" w:hAnsi="Cambria Math"/>
                    <w:i/>
                  </w:rPr>
                </m:ctrlPr>
              </m:e>
            </m:d>
          </m:e>
          <m:sub>
            <m:r>
              <w:rPr>
                <w:rFonts w:ascii="Cambria Math" w:hAnsi="Cambria Math"/>
              </w:rPr>
              <m:t>IN</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lang w:val="it-IT"/>
                  </w:rPr>
                </m:ctrlPr>
              </m:dPr>
              <m:e>
                <m:r>
                  <w:rPr>
                    <w:rFonts w:ascii="Cambria Math" w:hAnsi="Cambria Math"/>
                    <w:lang w:val="it-IT"/>
                  </w:rPr>
                  <m:t>HC</m:t>
                </m:r>
                <m:sSubSup>
                  <m:sSubSupPr>
                    <m:ctrlPr>
                      <w:rPr>
                        <w:rFonts w:ascii="Cambria Math" w:hAnsi="Cambria Math"/>
                        <w:i/>
                      </w:rPr>
                    </m:ctrlPr>
                  </m:sSubSupPr>
                  <m:e>
                    <m:r>
                      <w:rPr>
                        <w:rFonts w:ascii="Cambria Math" w:hAnsi="Cambria Math"/>
                        <w:lang w:val="it-IT"/>
                      </w:rPr>
                      <m:t>O</m:t>
                    </m:r>
                    <m:ctrlPr>
                      <w:rPr>
                        <w:rFonts w:ascii="Cambria Math" w:hAnsi="Cambria Math"/>
                        <w:i/>
                        <w:lang w:val="it-IT"/>
                      </w:rPr>
                    </m:ctrlPr>
                  </m:e>
                  <m:sub>
                    <m:r>
                      <w:rPr>
                        <w:rFonts w:ascii="Cambria Math" w:hAnsi="Cambria Math"/>
                      </w:rPr>
                      <m:t>3</m:t>
                    </m:r>
                    <m:ctrlPr>
                      <w:rPr>
                        <w:rFonts w:ascii="Cambria Math" w:hAnsi="Cambria Math"/>
                        <w:i/>
                        <w:lang w:val="it-IT"/>
                      </w:rPr>
                    </m:ctrlPr>
                  </m:sub>
                  <m:sup>
                    <m:r>
                      <w:rPr>
                        <w:rFonts w:ascii="Cambria Math" w:hAnsi="Cambria Math"/>
                      </w:rPr>
                      <m:t>-</m:t>
                    </m:r>
                  </m:sup>
                </m:sSubSup>
                <m:ctrlPr>
                  <w:rPr>
                    <w:rFonts w:ascii="Cambria Math" w:hAnsi="Cambria Math"/>
                    <w:i/>
                  </w:rPr>
                </m:ctrlPr>
              </m:e>
            </m:d>
          </m:e>
          <m:sub>
            <m:r>
              <w:rPr>
                <w:rFonts w:ascii="Cambria Math" w:hAnsi="Cambria Math"/>
              </w:rPr>
              <m:t>IN</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lang w:val="it-IT"/>
                  </w:rPr>
                </m:ctrlPr>
              </m:dPr>
              <m:e>
                <m:r>
                  <w:rPr>
                    <w:rFonts w:ascii="Cambria Math" w:hAnsi="Cambria Math"/>
                    <w:lang w:val="it-IT"/>
                  </w:rPr>
                  <m:t>C</m:t>
                </m:r>
                <m:sSub>
                  <m:sSubPr>
                    <m:ctrlPr>
                      <w:rPr>
                        <w:rFonts w:ascii="Cambria Math" w:hAnsi="Cambria Math"/>
                        <w:i/>
                        <w:lang w:val="it-IT"/>
                      </w:rPr>
                    </m:ctrlPr>
                  </m:sSubPr>
                  <m:e>
                    <m:r>
                      <w:rPr>
                        <w:rFonts w:ascii="Cambria Math" w:hAnsi="Cambria Math"/>
                        <w:lang w:val="it-IT"/>
                      </w:rPr>
                      <m:t>O</m:t>
                    </m:r>
                  </m:e>
                  <m:sub>
                    <m:r>
                      <w:rPr>
                        <w:rFonts w:ascii="Cambria Math" w:hAnsi="Cambria Math"/>
                      </w:rPr>
                      <m:t>2</m:t>
                    </m:r>
                  </m:sub>
                </m:sSub>
                <m:ctrlPr>
                  <w:rPr>
                    <w:rFonts w:ascii="Cambria Math" w:hAnsi="Cambria Math"/>
                    <w:i/>
                  </w:rPr>
                </m:ctrlPr>
              </m:e>
            </m:d>
          </m:e>
          <m:sub>
            <m:r>
              <w:rPr>
                <w:rFonts w:ascii="Cambria Math" w:hAnsi="Cambria Math"/>
              </w:rPr>
              <m:t>IN</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lang w:val="it-IT"/>
                  </w:rPr>
                </m:ctrlPr>
              </m:dPr>
              <m:e>
                <m:r>
                  <w:rPr>
                    <w:rFonts w:ascii="Cambria Math" w:hAnsi="Cambria Math"/>
                    <w:lang w:val="it-IT"/>
                  </w:rPr>
                  <m:t>C</m:t>
                </m:r>
                <m:sSubSup>
                  <m:sSubSupPr>
                    <m:ctrlPr>
                      <w:rPr>
                        <w:rFonts w:ascii="Cambria Math" w:hAnsi="Cambria Math"/>
                        <w:i/>
                      </w:rPr>
                    </m:ctrlPr>
                  </m:sSubSupPr>
                  <m:e>
                    <m:r>
                      <w:rPr>
                        <w:rFonts w:ascii="Cambria Math" w:hAnsi="Cambria Math"/>
                        <w:lang w:val="it-IT"/>
                      </w:rPr>
                      <m:t>O</m:t>
                    </m:r>
                    <m:ctrlPr>
                      <w:rPr>
                        <w:rFonts w:ascii="Cambria Math" w:hAnsi="Cambria Math"/>
                        <w:i/>
                        <w:lang w:val="it-IT"/>
                      </w:rPr>
                    </m:ctrlPr>
                  </m:e>
                  <m:sub>
                    <m:r>
                      <w:rPr>
                        <w:rFonts w:ascii="Cambria Math" w:hAnsi="Cambria Math"/>
                      </w:rPr>
                      <m:t>3</m:t>
                    </m:r>
                    <m:ctrlPr>
                      <w:rPr>
                        <w:rFonts w:ascii="Cambria Math" w:hAnsi="Cambria Math"/>
                        <w:i/>
                        <w:lang w:val="it-IT"/>
                      </w:rPr>
                    </m:ctrlPr>
                  </m:sub>
                  <m:sup>
                    <m:r>
                      <w:rPr>
                        <w:rFonts w:ascii="Cambria Math" w:hAnsi="Cambria Math"/>
                      </w:rPr>
                      <m:t>2-</m:t>
                    </m:r>
                  </m:sup>
                </m:sSubSup>
                <m:ctrlPr>
                  <w:rPr>
                    <w:rFonts w:ascii="Cambria Math" w:hAnsi="Cambria Math"/>
                    <w:i/>
                  </w:rPr>
                </m:ctrlPr>
              </m:e>
            </m:d>
          </m:e>
          <m:sub>
            <m:r>
              <w:rPr>
                <w:rFonts w:ascii="Cambria Math" w:hAnsi="Cambria Math"/>
              </w:rPr>
              <m:t>OUT</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lang w:val="it-IT"/>
                  </w:rPr>
                </m:ctrlPr>
              </m:dPr>
              <m:e>
                <m:r>
                  <w:rPr>
                    <w:rFonts w:ascii="Cambria Math" w:hAnsi="Cambria Math"/>
                    <w:lang w:val="it-IT"/>
                  </w:rPr>
                  <m:t>HC</m:t>
                </m:r>
                <m:sSubSup>
                  <m:sSubSupPr>
                    <m:ctrlPr>
                      <w:rPr>
                        <w:rFonts w:ascii="Cambria Math" w:hAnsi="Cambria Math"/>
                        <w:i/>
                      </w:rPr>
                    </m:ctrlPr>
                  </m:sSubSupPr>
                  <m:e>
                    <m:r>
                      <w:rPr>
                        <w:rFonts w:ascii="Cambria Math" w:hAnsi="Cambria Math"/>
                        <w:lang w:val="it-IT"/>
                      </w:rPr>
                      <m:t>O</m:t>
                    </m:r>
                    <m:ctrlPr>
                      <w:rPr>
                        <w:rFonts w:ascii="Cambria Math" w:hAnsi="Cambria Math"/>
                        <w:i/>
                        <w:lang w:val="it-IT"/>
                      </w:rPr>
                    </m:ctrlPr>
                  </m:e>
                  <m:sub>
                    <m:r>
                      <w:rPr>
                        <w:rFonts w:ascii="Cambria Math" w:hAnsi="Cambria Math"/>
                      </w:rPr>
                      <m:t>3</m:t>
                    </m:r>
                    <m:ctrlPr>
                      <w:rPr>
                        <w:rFonts w:ascii="Cambria Math" w:hAnsi="Cambria Math"/>
                        <w:i/>
                        <w:lang w:val="it-IT"/>
                      </w:rPr>
                    </m:ctrlPr>
                  </m:sub>
                  <m:sup>
                    <m:r>
                      <w:rPr>
                        <w:rFonts w:ascii="Cambria Math" w:hAnsi="Cambria Math"/>
                      </w:rPr>
                      <m:t>-</m:t>
                    </m:r>
                  </m:sup>
                </m:sSubSup>
                <m:ctrlPr>
                  <w:rPr>
                    <w:rFonts w:ascii="Cambria Math" w:hAnsi="Cambria Math"/>
                    <w:i/>
                  </w:rPr>
                </m:ctrlPr>
              </m:e>
            </m:d>
          </m:e>
          <m:sub>
            <m:r>
              <w:rPr>
                <w:rFonts w:ascii="Cambria Math" w:hAnsi="Cambria Math"/>
              </w:rPr>
              <m:t>OUT</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lang w:val="it-IT"/>
                  </w:rPr>
                </m:ctrlPr>
              </m:dPr>
              <m:e>
                <m:r>
                  <w:rPr>
                    <w:rFonts w:ascii="Cambria Math" w:hAnsi="Cambria Math"/>
                    <w:lang w:val="it-IT"/>
                  </w:rPr>
                  <m:t>C</m:t>
                </m:r>
                <m:sSub>
                  <m:sSubPr>
                    <m:ctrlPr>
                      <w:rPr>
                        <w:rFonts w:ascii="Cambria Math" w:hAnsi="Cambria Math"/>
                        <w:i/>
                        <w:lang w:val="it-IT"/>
                      </w:rPr>
                    </m:ctrlPr>
                  </m:sSubPr>
                  <m:e>
                    <m:r>
                      <w:rPr>
                        <w:rFonts w:ascii="Cambria Math" w:hAnsi="Cambria Math"/>
                        <w:lang w:val="it-IT"/>
                      </w:rPr>
                      <m:t>O</m:t>
                    </m:r>
                  </m:e>
                  <m:sub>
                    <m:r>
                      <w:rPr>
                        <w:rFonts w:ascii="Cambria Math" w:hAnsi="Cambria Math"/>
                      </w:rPr>
                      <m:t>2</m:t>
                    </m:r>
                  </m:sub>
                </m:sSub>
                <m:ctrlPr>
                  <w:rPr>
                    <w:rFonts w:ascii="Cambria Math" w:hAnsi="Cambria Math"/>
                    <w:i/>
                  </w:rPr>
                </m:ctrlPr>
              </m:e>
            </m:d>
          </m:e>
          <m:sub>
            <m:r>
              <w:rPr>
                <w:rFonts w:ascii="Cambria Math" w:hAnsi="Cambria Math"/>
              </w:rPr>
              <m:t>OUT</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iCs/>
                    <w:lang w:val="it-IT"/>
                  </w:rPr>
                </m:ctrlPr>
              </m:dPr>
              <m:e>
                <m:sSup>
                  <m:sSupPr>
                    <m:ctrlPr>
                      <w:rPr>
                        <w:rFonts w:ascii="Cambria Math" w:hAnsi="Cambria Math"/>
                        <w:i/>
                        <w:iCs/>
                        <w:lang w:val="it-IT"/>
                      </w:rPr>
                    </m:ctrlPr>
                  </m:sSupPr>
                  <m:e>
                    <m:r>
                      <w:rPr>
                        <w:rFonts w:ascii="Cambria Math" w:hAnsi="Cambria Math"/>
                        <w:lang w:val="it-IT"/>
                      </w:rPr>
                      <m:t>A</m:t>
                    </m:r>
                  </m:e>
                  <m:sup>
                    <m:r>
                      <w:rPr>
                        <w:rFonts w:ascii="Cambria Math" w:hAnsi="Cambria Math"/>
                      </w:rPr>
                      <m:t>-</m:t>
                    </m:r>
                  </m:sup>
                </m:sSup>
                <m:ctrlPr>
                  <w:rPr>
                    <w:rFonts w:ascii="Cambria Math" w:hAnsi="Cambria Math"/>
                    <w:i/>
                  </w:rPr>
                </m:ctrlPr>
              </m:e>
            </m:d>
          </m:e>
          <m:sub>
            <m:r>
              <w:rPr>
                <w:rFonts w:ascii="Cambria Math" w:hAnsi="Cambria Math"/>
              </w:rPr>
              <m:t>OUT</m:t>
            </m:r>
          </m:sub>
        </m:sSub>
        <m:r>
          <w:rPr>
            <w:rFonts w:ascii="Cambria Math" w:hAnsi="Cambria Math"/>
          </w:rPr>
          <m:t>+</m:t>
        </m:r>
        <m:sSub>
          <m:sSubPr>
            <m:ctrlPr>
              <w:rPr>
                <w:rFonts w:ascii="Cambria Math" w:hAnsi="Cambria Math"/>
                <w:i/>
                <w:lang w:val="it-IT"/>
              </w:rPr>
            </m:ctrlPr>
          </m:sSubPr>
          <m:e>
            <m:d>
              <m:dPr>
                <m:begChr m:val="["/>
                <m:endChr m:val="]"/>
                <m:ctrlPr>
                  <w:rPr>
                    <w:rFonts w:ascii="Cambria Math" w:hAnsi="Cambria Math"/>
                    <w:i/>
                    <w:lang w:val="it-IT"/>
                  </w:rPr>
                </m:ctrlPr>
              </m:dPr>
              <m:e>
                <m:r>
                  <w:rPr>
                    <w:rFonts w:ascii="Cambria Math" w:hAnsi="Cambria Math"/>
                    <w:lang w:val="it-IT"/>
                  </w:rPr>
                  <m:t>HA</m:t>
                </m:r>
              </m:e>
            </m:d>
          </m:e>
          <m:sub>
            <m:r>
              <w:rPr>
                <w:rFonts w:ascii="Cambria Math" w:hAnsi="Cambria Math"/>
                <w:lang w:val="it-IT"/>
              </w:rPr>
              <m:t>OUT</m:t>
            </m:r>
          </m:sub>
        </m:sSub>
      </m:oMath>
      <w:r w:rsidR="00F20858" w:rsidRPr="00F53002">
        <w:tab/>
        <w:t>(1</w:t>
      </w:r>
      <w:r w:rsidR="0008090E">
        <w:t>0</w:t>
      </w:r>
      <w:r w:rsidR="00F20858" w:rsidRPr="00F53002">
        <w:t>)</w:t>
      </w:r>
    </w:p>
    <w:p w14:paraId="3FF02EF7" w14:textId="01F51B93" w:rsidR="00F20858" w:rsidRPr="00F53002" w:rsidRDefault="00E122B1" w:rsidP="00E20BCE">
      <w:pPr>
        <w:pStyle w:val="CETBodytext"/>
        <w:spacing w:before="120" w:after="120"/>
      </w:pPr>
      <m:oMath>
        <m:sSub>
          <m:sSubPr>
            <m:ctrlPr>
              <w:rPr>
                <w:rFonts w:ascii="Cambria Math" w:hAnsi="Cambria Math"/>
                <w:i/>
                <w:iCs/>
                <w:lang w:val="it-IT"/>
              </w:rPr>
            </m:ctrlPr>
          </m:sSubPr>
          <m:e>
            <m:r>
              <w:rPr>
                <w:rFonts w:ascii="Cambria Math" w:hAnsi="Cambria Math"/>
                <w:lang w:val="it-IT"/>
              </w:rPr>
              <m:t>K</m:t>
            </m:r>
          </m:e>
          <m:sub>
            <m:r>
              <w:rPr>
                <w:rFonts w:ascii="Cambria Math" w:hAnsi="Cambria Math"/>
                <w:lang w:val="it-IT"/>
              </w:rPr>
              <m:t>A</m:t>
            </m:r>
          </m:sub>
        </m:sSub>
        <m:r>
          <w:rPr>
            <w:rFonts w:ascii="Cambria Math" w:hAnsi="Cambria Math"/>
          </w:rPr>
          <m:t>=</m:t>
        </m:r>
        <m:f>
          <m:fPr>
            <m:ctrlPr>
              <w:rPr>
                <w:rFonts w:ascii="Cambria Math" w:hAnsi="Cambria Math"/>
                <w:i/>
                <w:iCs/>
                <w:lang w:val="it-IT"/>
              </w:rPr>
            </m:ctrlPr>
          </m:fPr>
          <m:num>
            <m:sSub>
              <m:sSubPr>
                <m:ctrlPr>
                  <w:rPr>
                    <w:rFonts w:ascii="Cambria Math" w:hAnsi="Cambria Math"/>
                    <w:i/>
                    <w:iCs/>
                    <w:lang w:val="it-IT"/>
                  </w:rPr>
                </m:ctrlPr>
              </m:sSubPr>
              <m:e>
                <m:d>
                  <m:dPr>
                    <m:begChr m:val="["/>
                    <m:endChr m:val="]"/>
                    <m:ctrlPr>
                      <w:rPr>
                        <w:rFonts w:ascii="Cambria Math" w:hAnsi="Cambria Math"/>
                        <w:i/>
                        <w:iCs/>
                        <w:lang w:val="it-IT"/>
                      </w:rPr>
                    </m:ctrlPr>
                  </m:dPr>
                  <m:e>
                    <m:sSup>
                      <m:sSupPr>
                        <m:ctrlPr>
                          <w:rPr>
                            <w:rFonts w:ascii="Cambria Math" w:hAnsi="Cambria Math"/>
                            <w:i/>
                            <w:iCs/>
                            <w:lang w:val="it-IT"/>
                          </w:rPr>
                        </m:ctrlPr>
                      </m:sSupPr>
                      <m:e>
                        <m:r>
                          <w:rPr>
                            <w:rFonts w:ascii="Cambria Math" w:hAnsi="Cambria Math"/>
                            <w:lang w:val="it-IT"/>
                          </w:rPr>
                          <m:t>A</m:t>
                        </m:r>
                      </m:e>
                      <m:sup>
                        <m:r>
                          <w:rPr>
                            <w:rFonts w:ascii="Cambria Math" w:hAnsi="Cambria Math"/>
                          </w:rPr>
                          <m:t>-</m:t>
                        </m:r>
                      </m:sup>
                    </m:sSup>
                  </m:e>
                </m:d>
              </m:e>
              <m:sub>
                <m:r>
                  <w:rPr>
                    <w:rFonts w:ascii="Cambria Math" w:hAnsi="Cambria Math"/>
                    <w:lang w:val="it-IT"/>
                  </w:rPr>
                  <m:t>OUT</m:t>
                </m:r>
              </m:sub>
            </m:sSub>
            <m:r>
              <w:rPr>
                <w:rFonts w:ascii="Cambria Math" w:hAnsi="Cambria Math"/>
              </w:rPr>
              <m:t>∙</m:t>
            </m:r>
            <m:sSub>
              <m:sSubPr>
                <m:ctrlPr>
                  <w:rPr>
                    <w:rFonts w:ascii="Cambria Math" w:hAnsi="Cambria Math"/>
                    <w:i/>
                    <w:iCs/>
                    <w:lang w:val="it-IT"/>
                  </w:rPr>
                </m:ctrlPr>
              </m:sSubPr>
              <m:e>
                <m:d>
                  <m:dPr>
                    <m:begChr m:val="["/>
                    <m:endChr m:val="]"/>
                    <m:ctrlPr>
                      <w:rPr>
                        <w:rFonts w:ascii="Cambria Math" w:hAnsi="Cambria Math"/>
                        <w:i/>
                        <w:iCs/>
                        <w:lang w:val="it-IT"/>
                      </w:rPr>
                    </m:ctrlPr>
                  </m:dPr>
                  <m:e>
                    <m:sSup>
                      <m:sSupPr>
                        <m:ctrlPr>
                          <w:rPr>
                            <w:rFonts w:ascii="Cambria Math" w:hAnsi="Cambria Math"/>
                            <w:i/>
                            <w:iCs/>
                            <w:lang w:val="it-IT"/>
                          </w:rPr>
                        </m:ctrlPr>
                      </m:sSupPr>
                      <m:e>
                        <m:r>
                          <w:rPr>
                            <w:rFonts w:ascii="Cambria Math" w:hAnsi="Cambria Math"/>
                            <w:lang w:val="it-IT"/>
                          </w:rPr>
                          <m:t>H</m:t>
                        </m:r>
                      </m:e>
                      <m:sup>
                        <m:r>
                          <w:rPr>
                            <w:rFonts w:ascii="Cambria Math" w:hAnsi="Cambria Math"/>
                          </w:rPr>
                          <m:t>+</m:t>
                        </m:r>
                      </m:sup>
                    </m:sSup>
                  </m:e>
                </m:d>
              </m:e>
              <m:sub>
                <m:r>
                  <w:rPr>
                    <w:rFonts w:ascii="Cambria Math" w:hAnsi="Cambria Math"/>
                    <w:lang w:val="it-IT"/>
                  </w:rPr>
                  <m:t>OUT</m:t>
                </m:r>
              </m:sub>
            </m:sSub>
          </m:num>
          <m:den>
            <m:sSub>
              <m:sSubPr>
                <m:ctrlPr>
                  <w:rPr>
                    <w:rFonts w:ascii="Cambria Math" w:hAnsi="Cambria Math"/>
                    <w:i/>
                    <w:lang w:val="it-IT"/>
                  </w:rPr>
                </m:ctrlPr>
              </m:sSubPr>
              <m:e>
                <m:d>
                  <m:dPr>
                    <m:begChr m:val="["/>
                    <m:endChr m:val="]"/>
                    <m:ctrlPr>
                      <w:rPr>
                        <w:rFonts w:ascii="Cambria Math" w:hAnsi="Cambria Math"/>
                        <w:i/>
                        <w:lang w:val="it-IT"/>
                      </w:rPr>
                    </m:ctrlPr>
                  </m:dPr>
                  <m:e>
                    <m:r>
                      <w:rPr>
                        <w:rFonts w:ascii="Cambria Math" w:hAnsi="Cambria Math"/>
                        <w:lang w:val="it-IT"/>
                      </w:rPr>
                      <m:t>HA</m:t>
                    </m:r>
                  </m:e>
                </m:d>
              </m:e>
              <m:sub>
                <m:r>
                  <w:rPr>
                    <w:rFonts w:ascii="Cambria Math" w:hAnsi="Cambria Math"/>
                    <w:lang w:val="it-IT"/>
                  </w:rPr>
                  <m:t>OUT</m:t>
                </m:r>
              </m:sub>
            </m:sSub>
          </m:den>
        </m:f>
      </m:oMath>
      <w:r w:rsidR="00F20858" w:rsidRPr="00F53002">
        <w:tab/>
      </w:r>
      <w:r w:rsidR="00F20858">
        <w:tab/>
      </w:r>
      <w:r w:rsidR="00F20858" w:rsidRPr="00F53002">
        <w:t>(1</w:t>
      </w:r>
      <w:r w:rsidR="0008090E">
        <w:t>1</w:t>
      </w:r>
      <w:r w:rsidR="00F20858" w:rsidRPr="00F53002">
        <w:t>)</w:t>
      </w:r>
    </w:p>
    <w:p w14:paraId="7C468062" w14:textId="3F4E167E" w:rsidR="00F20858" w:rsidRPr="00F53002" w:rsidRDefault="00E122B1" w:rsidP="00E20BCE">
      <w:pPr>
        <w:pStyle w:val="CETBodytext"/>
        <w:spacing w:before="120" w:after="120"/>
      </w:pPr>
      <m:oMath>
        <m:sSub>
          <m:sSubPr>
            <m:ctrlPr>
              <w:rPr>
                <w:rFonts w:ascii="Cambria Math" w:hAnsi="Cambria Math"/>
                <w:i/>
                <w:iCs/>
                <w:lang w:val="it-IT"/>
              </w:rPr>
            </m:ctrlPr>
          </m:sSubPr>
          <m:e>
            <m:r>
              <w:rPr>
                <w:rFonts w:ascii="Cambria Math" w:hAnsi="Cambria Math"/>
                <w:lang w:val="it-IT"/>
              </w:rPr>
              <m:t>K</m:t>
            </m:r>
          </m:e>
          <m:sub>
            <m:r>
              <w:rPr>
                <w:rFonts w:ascii="Cambria Math" w:hAnsi="Cambria Math"/>
                <w:lang w:val="it-IT"/>
              </w:rPr>
              <m:t>Carboxy</m:t>
            </m:r>
          </m:sub>
        </m:sSub>
        <m:r>
          <w:rPr>
            <w:rFonts w:ascii="Cambria Math" w:hAnsi="Cambria Math"/>
          </w:rPr>
          <m:t>=</m:t>
        </m:r>
        <m:f>
          <m:fPr>
            <m:ctrlPr>
              <w:rPr>
                <w:rFonts w:ascii="Cambria Math" w:hAnsi="Cambria Math"/>
                <w:i/>
                <w:iCs/>
                <w:lang w:val="it-IT"/>
              </w:rPr>
            </m:ctrlPr>
          </m:fPr>
          <m:num>
            <m:sSub>
              <m:sSubPr>
                <m:ctrlPr>
                  <w:rPr>
                    <w:rFonts w:ascii="Cambria Math" w:hAnsi="Cambria Math"/>
                    <w:i/>
                    <w:iCs/>
                    <w:lang w:val="it-IT"/>
                  </w:rPr>
                </m:ctrlPr>
              </m:sSubPr>
              <m:e>
                <m:d>
                  <m:dPr>
                    <m:begChr m:val="["/>
                    <m:endChr m:val="]"/>
                    <m:ctrlPr>
                      <w:rPr>
                        <w:rFonts w:ascii="Cambria Math" w:hAnsi="Cambria Math"/>
                        <w:i/>
                        <w:iCs/>
                        <w:lang w:val="it-IT"/>
                      </w:rPr>
                    </m:ctrlPr>
                  </m:dPr>
                  <m:e>
                    <m:r>
                      <w:rPr>
                        <w:rFonts w:ascii="Cambria Math" w:hAnsi="Cambria Math"/>
                        <w:lang w:val="it-IT"/>
                      </w:rPr>
                      <m:t>A</m:t>
                    </m:r>
                  </m:e>
                </m:d>
              </m:e>
              <m:sub>
                <m:r>
                  <w:rPr>
                    <w:rFonts w:ascii="Cambria Math" w:hAnsi="Cambria Math"/>
                    <w:lang w:val="it-IT"/>
                  </w:rPr>
                  <m:t>OUT</m:t>
                </m:r>
              </m:sub>
            </m:sSub>
          </m:num>
          <m:den>
            <m:sSub>
              <m:sSubPr>
                <m:ctrlPr>
                  <w:rPr>
                    <w:rFonts w:ascii="Cambria Math" w:hAnsi="Cambria Math"/>
                    <w:i/>
                    <w:iCs/>
                    <w:lang w:val="it-IT"/>
                  </w:rPr>
                </m:ctrlPr>
              </m:sSubPr>
              <m:e>
                <m:d>
                  <m:dPr>
                    <m:begChr m:val="["/>
                    <m:endChr m:val="]"/>
                    <m:ctrlPr>
                      <w:rPr>
                        <w:rFonts w:ascii="Cambria Math" w:hAnsi="Cambria Math"/>
                        <w:i/>
                        <w:iCs/>
                        <w:lang w:val="it-IT"/>
                      </w:rPr>
                    </m:ctrlPr>
                  </m:dPr>
                  <m:e>
                    <m:r>
                      <w:rPr>
                        <w:rFonts w:ascii="Cambria Math" w:hAnsi="Cambria Math"/>
                        <w:lang w:val="it-IT"/>
                      </w:rPr>
                      <m:t>Ar</m:t>
                    </m:r>
                  </m:e>
                </m:d>
              </m:e>
              <m:sub>
                <m:r>
                  <w:rPr>
                    <w:rFonts w:ascii="Cambria Math" w:hAnsi="Cambria Math"/>
                    <w:lang w:val="it-IT"/>
                  </w:rPr>
                  <m:t>OUT</m:t>
                </m:r>
              </m:sub>
            </m:sSub>
            <m:r>
              <w:rPr>
                <w:rFonts w:ascii="Cambria Math" w:hAnsi="Cambria Math"/>
              </w:rPr>
              <m:t>∙</m:t>
            </m:r>
            <m:sSub>
              <m:sSubPr>
                <m:ctrlPr>
                  <w:rPr>
                    <w:rFonts w:ascii="Cambria Math" w:hAnsi="Cambria Math"/>
                    <w:i/>
                    <w:iCs/>
                    <w:lang w:val="it-IT"/>
                  </w:rPr>
                </m:ctrlPr>
              </m:sSubPr>
              <m:e>
                <m:d>
                  <m:dPr>
                    <m:begChr m:val="["/>
                    <m:endChr m:val="]"/>
                    <m:ctrlPr>
                      <w:rPr>
                        <w:rFonts w:ascii="Cambria Math" w:hAnsi="Cambria Math"/>
                        <w:i/>
                        <w:iCs/>
                        <w:lang w:val="it-IT"/>
                      </w:rPr>
                    </m:ctrlPr>
                  </m:dPr>
                  <m:e>
                    <m:r>
                      <w:rPr>
                        <w:rFonts w:ascii="Cambria Math" w:hAnsi="Cambria Math"/>
                        <w:lang w:val="it-IT"/>
                      </w:rPr>
                      <m:t>HC</m:t>
                    </m:r>
                    <m:sSubSup>
                      <m:sSubSupPr>
                        <m:ctrlPr>
                          <w:rPr>
                            <w:rFonts w:ascii="Cambria Math" w:hAnsi="Cambria Math"/>
                            <w:i/>
                            <w:iCs/>
                            <w:lang w:val="it-IT"/>
                          </w:rPr>
                        </m:ctrlPr>
                      </m:sSubSupPr>
                      <m:e>
                        <m:r>
                          <w:rPr>
                            <w:rFonts w:ascii="Cambria Math" w:hAnsi="Cambria Math"/>
                            <w:lang w:val="it-IT"/>
                          </w:rPr>
                          <m:t>O</m:t>
                        </m:r>
                      </m:e>
                      <m:sub>
                        <m:r>
                          <w:rPr>
                            <w:rFonts w:ascii="Cambria Math" w:hAnsi="Cambria Math"/>
                          </w:rPr>
                          <m:t>3</m:t>
                        </m:r>
                      </m:sub>
                      <m:sup>
                        <m:r>
                          <w:rPr>
                            <w:rFonts w:ascii="Cambria Math" w:hAnsi="Cambria Math"/>
                          </w:rPr>
                          <m:t>-</m:t>
                        </m:r>
                      </m:sup>
                    </m:sSubSup>
                  </m:e>
                </m:d>
              </m:e>
              <m:sub>
                <m:r>
                  <w:rPr>
                    <w:rFonts w:ascii="Cambria Math" w:hAnsi="Cambria Math"/>
                    <w:lang w:val="it-IT"/>
                  </w:rPr>
                  <m:t>OUT</m:t>
                </m:r>
              </m:sub>
            </m:sSub>
          </m:den>
        </m:f>
      </m:oMath>
      <w:r w:rsidR="00F20858" w:rsidRPr="00F53002">
        <w:tab/>
      </w:r>
      <w:r w:rsidR="00F20858">
        <w:tab/>
      </w:r>
      <w:r w:rsidR="00F20858" w:rsidRPr="00F53002">
        <w:t>(1</w:t>
      </w:r>
      <w:r w:rsidR="0008090E">
        <w:t>2</w:t>
      </w:r>
      <w:r w:rsidR="00F20858" w:rsidRPr="00F53002">
        <w:t>)</w:t>
      </w:r>
    </w:p>
    <w:p w14:paraId="37B83AD2" w14:textId="6D2A7E23" w:rsidR="00F20858" w:rsidRPr="00F53002" w:rsidRDefault="00E122B1" w:rsidP="00E20BCE">
      <w:pPr>
        <w:pStyle w:val="CETBodytext"/>
        <w:spacing w:before="120" w:after="120"/>
      </w:pPr>
      <m:oMath>
        <m:sSub>
          <m:sSubPr>
            <m:ctrlPr>
              <w:rPr>
                <w:rFonts w:ascii="Cambria Math" w:hAnsi="Cambria Math"/>
                <w:i/>
                <w:lang w:val="it-IT"/>
              </w:rPr>
            </m:ctrlPr>
          </m:sSubPr>
          <m:e>
            <m:d>
              <m:dPr>
                <m:begChr m:val="["/>
                <m:endChr m:val="]"/>
                <m:ctrlPr>
                  <w:rPr>
                    <w:rFonts w:ascii="Cambria Math" w:hAnsi="Cambria Math"/>
                    <w:i/>
                    <w:lang w:val="it-IT"/>
                  </w:rPr>
                </m:ctrlPr>
              </m:dPr>
              <m:e>
                <m:r>
                  <w:rPr>
                    <w:rFonts w:ascii="Cambria Math" w:hAnsi="Cambria Math"/>
                    <w:lang w:val="it-IT"/>
                  </w:rPr>
                  <m:t>Ar</m:t>
                </m:r>
              </m:e>
            </m:d>
          </m:e>
          <m:sub>
            <m:r>
              <w:rPr>
                <w:rFonts w:ascii="Cambria Math" w:hAnsi="Cambria Math"/>
                <w:lang w:val="it-IT"/>
              </w:rPr>
              <m:t>IN</m:t>
            </m:r>
          </m:sub>
        </m:sSub>
        <m:r>
          <w:rPr>
            <w:rFonts w:ascii="Cambria Math" w:hAnsi="Cambria Math"/>
          </w:rPr>
          <m:t>=</m:t>
        </m:r>
        <m:sSub>
          <m:sSubPr>
            <m:ctrlPr>
              <w:rPr>
                <w:rFonts w:ascii="Cambria Math" w:hAnsi="Cambria Math"/>
                <w:i/>
                <w:lang w:val="it-IT"/>
              </w:rPr>
            </m:ctrlPr>
          </m:sSubPr>
          <m:e>
            <m:d>
              <m:dPr>
                <m:begChr m:val="["/>
                <m:endChr m:val="]"/>
                <m:ctrlPr>
                  <w:rPr>
                    <w:rFonts w:ascii="Cambria Math" w:hAnsi="Cambria Math"/>
                    <w:i/>
                    <w:lang w:val="it-IT"/>
                  </w:rPr>
                </m:ctrlPr>
              </m:dPr>
              <m:e>
                <m:r>
                  <w:rPr>
                    <w:rFonts w:ascii="Cambria Math" w:hAnsi="Cambria Math"/>
                    <w:lang w:val="it-IT"/>
                  </w:rPr>
                  <m:t>Ar</m:t>
                </m:r>
              </m:e>
            </m:d>
          </m:e>
          <m:sub>
            <m:r>
              <w:rPr>
                <w:rFonts w:ascii="Cambria Math" w:hAnsi="Cambria Math"/>
                <w:lang w:val="it-IT"/>
              </w:rPr>
              <m:t>OUT</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m:t>
                    </m:r>
                  </m:sup>
                </m:sSup>
              </m:e>
            </m:d>
          </m:e>
          <m:sub>
            <m:r>
              <w:rPr>
                <w:rFonts w:ascii="Cambria Math" w:hAnsi="Cambria Math"/>
              </w:rPr>
              <m:t>OUT</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HA</m:t>
                </m:r>
              </m:e>
            </m:d>
          </m:e>
          <m:sub>
            <m:r>
              <w:rPr>
                <w:rFonts w:ascii="Cambria Math" w:hAnsi="Cambria Math"/>
              </w:rPr>
              <m:t>OUT</m:t>
            </m:r>
          </m:sub>
        </m:sSub>
      </m:oMath>
      <w:r w:rsidR="00F20858" w:rsidRPr="00F53002">
        <w:tab/>
      </w:r>
      <w:r w:rsidR="00F20858">
        <w:tab/>
      </w:r>
      <w:r w:rsidR="00F20858" w:rsidRPr="00F53002">
        <w:t>(1</w:t>
      </w:r>
      <w:r w:rsidR="0008090E">
        <w:t>3</w:t>
      </w:r>
      <w:r w:rsidR="00F20858" w:rsidRPr="00F53002">
        <w:t>)</w:t>
      </w:r>
    </w:p>
    <w:p w14:paraId="13E3B94A" w14:textId="27D2A893" w:rsidR="00F20858" w:rsidRPr="00A54050" w:rsidRDefault="00F20858" w:rsidP="00F20858">
      <w:pPr>
        <w:pStyle w:val="CETBodytext"/>
        <w:rPr>
          <w:iCs/>
        </w:rPr>
      </w:pPr>
      <w:r>
        <w:rPr>
          <w:lang w:val="en-GB"/>
        </w:rPr>
        <w:t xml:space="preserve">The inlet stream composition and properties have been fixed according to </w:t>
      </w:r>
      <w:r w:rsidR="009C73BA">
        <w:rPr>
          <w:lang w:val="en-GB"/>
        </w:rPr>
        <w:t xml:space="preserve">the </w:t>
      </w:r>
      <w:r>
        <w:rPr>
          <w:lang w:val="en-GB"/>
        </w:rPr>
        <w:t>results of ASPEN PLUS® simulation of the CO</w:t>
      </w:r>
      <w:r w:rsidRPr="00A54050">
        <w:rPr>
          <w:vertAlign w:val="subscript"/>
          <w:lang w:val="en-GB"/>
        </w:rPr>
        <w:t>2</w:t>
      </w:r>
      <w:r>
        <w:rPr>
          <w:lang w:val="en-GB"/>
        </w:rPr>
        <w:t xml:space="preserve"> absorption column. </w:t>
      </w:r>
      <w:proofErr w:type="spellStart"/>
      <w:proofErr w:type="gramStart"/>
      <w:r>
        <w:rPr>
          <w:lang w:val="en-GB"/>
        </w:rPr>
        <w:t>Eq.s</w:t>
      </w:r>
      <w:proofErr w:type="spellEnd"/>
      <w:proofErr w:type="gramEnd"/>
      <w:r>
        <w:rPr>
          <w:lang w:val="en-GB"/>
        </w:rPr>
        <w:t xml:space="preserve"> </w:t>
      </w:r>
      <w:r w:rsidR="005A32C1">
        <w:rPr>
          <w:lang w:val="en-GB"/>
        </w:rPr>
        <w:t>5</w:t>
      </w:r>
      <w:r>
        <w:rPr>
          <w:lang w:val="en-GB"/>
        </w:rPr>
        <w:t>-1</w:t>
      </w:r>
      <w:r w:rsidR="005A32C1">
        <w:rPr>
          <w:lang w:val="en-GB"/>
        </w:rPr>
        <w:t>3</w:t>
      </w:r>
      <w:r>
        <w:rPr>
          <w:lang w:val="en-GB"/>
        </w:rPr>
        <w:t xml:space="preserve"> has been solved using WOLFRAM MATHEMATICA® 12 software </w:t>
      </w:r>
      <w:r w:rsidR="006213CC">
        <w:rPr>
          <w:lang w:val="en-GB"/>
        </w:rPr>
        <w:t xml:space="preserve">by </w:t>
      </w:r>
      <w:r w:rsidR="006213CC" w:rsidRPr="00A54050">
        <w:rPr>
          <w:iCs/>
        </w:rPr>
        <w:t>setting chemical and physical parameters as in section 2.3.</w:t>
      </w:r>
      <w:r w:rsidR="006213CC">
        <w:rPr>
          <w:iCs/>
        </w:rPr>
        <w:t xml:space="preserve">, </w:t>
      </w:r>
      <w:r w:rsidR="006213CC">
        <w:rPr>
          <w:lang w:val="en-GB"/>
        </w:rPr>
        <w:t xml:space="preserve">results </w:t>
      </w:r>
      <w:r>
        <w:rPr>
          <w:lang w:val="en-GB"/>
        </w:rPr>
        <w:t>yielded the concentrations of all the considered species.</w:t>
      </w:r>
      <w:r w:rsidR="006213CC">
        <w:rPr>
          <w:lang w:val="en-GB"/>
        </w:rPr>
        <w:t xml:space="preserve"> </w:t>
      </w:r>
    </w:p>
    <w:p w14:paraId="7F63EFE1" w14:textId="3BD85C6B" w:rsidR="00F20858" w:rsidRPr="00A75E85" w:rsidRDefault="00A75E85" w:rsidP="00947BF1">
      <w:pPr>
        <w:pStyle w:val="CETheadingx"/>
      </w:pPr>
      <w:r>
        <w:t xml:space="preserve">2.3 </w:t>
      </w:r>
      <w:r w:rsidR="00F20858" w:rsidRPr="00A75E85">
        <w:t>Chemical and physical data</w:t>
      </w:r>
    </w:p>
    <w:p w14:paraId="054BF32F" w14:textId="5383C34D" w:rsidR="00F20858" w:rsidRPr="00C3463A" w:rsidRDefault="00F20858" w:rsidP="00F20858">
      <w:pPr>
        <w:pStyle w:val="CETBodytext"/>
        <w:rPr>
          <w:lang w:val="en-GB"/>
        </w:rPr>
      </w:pPr>
      <w:r>
        <w:rPr>
          <w:lang w:val="en-GB"/>
        </w:rPr>
        <w:t>Carboxylation equilibrium constants and the dissociation constant for DHBA have been fixed according to the literature and values are listed in table 4.</w:t>
      </w:r>
      <w:r w:rsidR="00C3463A">
        <w:rPr>
          <w:lang w:val="en-GB"/>
        </w:rPr>
        <w:t xml:space="preserve"> </w:t>
      </w:r>
      <w:r>
        <w:t>In the base case simulations, i</w:t>
      </w:r>
      <w:r w:rsidRPr="00A54050">
        <w:t>n</w:t>
      </w:r>
      <w:r>
        <w:t>let</w:t>
      </w:r>
      <w:r w:rsidRPr="00A54050">
        <w:t xml:space="preserve"> 1,2 DHB concentration </w:t>
      </w:r>
      <w:r w:rsidR="001D78DF">
        <w:t xml:space="preserve">was </w:t>
      </w:r>
      <w:r w:rsidRPr="00A54050">
        <w:t>fixed between 0.03 and 0.08 M according to the solubility limits and tests reported in the literature [Pesci et al., 2015].</w:t>
      </w:r>
      <w:r>
        <w:t xml:space="preserve"> Sensitivity analysis of phenolic substrates has been performed at </w:t>
      </w:r>
      <w:r w:rsidR="001D78DF">
        <w:t xml:space="preserve">0.05 </w:t>
      </w:r>
      <w:r>
        <w:t>M</w:t>
      </w:r>
      <w:r w:rsidR="001D78DF">
        <w:t xml:space="preserve"> </w:t>
      </w:r>
      <w:r w:rsidR="001D78DF" w:rsidRPr="00A54050">
        <w:t>1,2 DHB</w:t>
      </w:r>
      <w:r>
        <w:t>.</w:t>
      </w:r>
    </w:p>
    <w:p w14:paraId="69598F12" w14:textId="77777777" w:rsidR="00F20858" w:rsidRPr="00A54050" w:rsidRDefault="00F20858" w:rsidP="00BF7332">
      <w:pPr>
        <w:pStyle w:val="CETBodytext"/>
        <w:spacing w:before="240" w:after="80"/>
        <w:rPr>
          <w:i/>
          <w:lang w:val="en-GB"/>
        </w:rPr>
      </w:pPr>
      <w:r w:rsidRPr="00FA29AF">
        <w:rPr>
          <w:i/>
          <w:lang w:val="en-GB"/>
        </w:rPr>
        <w:t xml:space="preserve">Table </w:t>
      </w:r>
      <w:r>
        <w:rPr>
          <w:i/>
          <w:lang w:val="en-GB"/>
        </w:rPr>
        <w:t>2</w:t>
      </w:r>
      <w:r w:rsidRPr="00FA29AF">
        <w:rPr>
          <w:i/>
          <w:lang w:val="en-GB"/>
        </w:rPr>
        <w:t xml:space="preserve">: Values of </w:t>
      </w:r>
      <w:r>
        <w:rPr>
          <w:i/>
          <w:lang w:val="en-GB"/>
        </w:rPr>
        <w:t xml:space="preserve">equilibrium constants for enzymatic carboxylation of 1,2-DHB, 3,5-DHT and 1,3 DHB and dissociation equilibrium constant of </w:t>
      </w:r>
      <w:r w:rsidRPr="00BF7332">
        <w:rPr>
          <w:i/>
          <w:lang w:val="en-GB"/>
        </w:rPr>
        <w:t>2,3-dihydroxybenzoic acid.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73"/>
        <w:gridCol w:w="1573"/>
        <w:gridCol w:w="1573"/>
      </w:tblGrid>
      <w:tr w:rsidR="00F20858" w:rsidRPr="00674790" w14:paraId="4093B87A" w14:textId="77777777" w:rsidTr="00BE6152">
        <w:trPr>
          <w:trHeight w:val="527"/>
        </w:trPr>
        <w:tc>
          <w:tcPr>
            <w:tcW w:w="1573" w:type="dxa"/>
            <w:tcBorders>
              <w:top w:val="single" w:sz="12" w:space="0" w:color="008000"/>
              <w:bottom w:val="single" w:sz="6" w:space="0" w:color="008000"/>
            </w:tcBorders>
            <w:shd w:val="clear" w:color="auto" w:fill="FFFFFF"/>
            <w:vAlign w:val="center"/>
          </w:tcPr>
          <w:p w14:paraId="2BD299FB" w14:textId="77777777" w:rsidR="00F20858" w:rsidRPr="00674790" w:rsidRDefault="00F20858" w:rsidP="00FC5D0A">
            <w:pPr>
              <w:pStyle w:val="CETBodytext"/>
              <w:jc w:val="center"/>
              <w:rPr>
                <w:b/>
                <w:bCs/>
                <w:lang w:val="en-GB"/>
              </w:rPr>
            </w:pPr>
            <w:r w:rsidRPr="00674790">
              <w:rPr>
                <w:b/>
                <w:bCs/>
              </w:rPr>
              <w:t>Equilibrium Constant</w:t>
            </w:r>
          </w:p>
        </w:tc>
        <w:tc>
          <w:tcPr>
            <w:tcW w:w="1573" w:type="dxa"/>
            <w:tcBorders>
              <w:top w:val="single" w:sz="12" w:space="0" w:color="008000"/>
              <w:bottom w:val="single" w:sz="6" w:space="0" w:color="008000"/>
            </w:tcBorders>
            <w:shd w:val="clear" w:color="auto" w:fill="FFFFFF"/>
            <w:vAlign w:val="center"/>
          </w:tcPr>
          <w:p w14:paraId="4969F000" w14:textId="77777777" w:rsidR="00F20858" w:rsidRPr="00674790" w:rsidRDefault="00F20858" w:rsidP="00FC5D0A">
            <w:pPr>
              <w:pStyle w:val="CETBodytext"/>
              <w:jc w:val="center"/>
              <w:rPr>
                <w:b/>
                <w:bCs/>
                <w:lang w:val="en-GB"/>
              </w:rPr>
            </w:pPr>
            <w:r w:rsidRPr="00674790">
              <w:rPr>
                <w:b/>
                <w:bCs/>
              </w:rPr>
              <w:t>Value [</w:t>
            </w:r>
            <w:proofErr w:type="gramStart"/>
            <w:r w:rsidRPr="00674790">
              <w:rPr>
                <w:b/>
                <w:bCs/>
              </w:rPr>
              <w:t>mM</w:t>
            </w:r>
            <w:r w:rsidRPr="00674790">
              <w:rPr>
                <w:b/>
                <w:bCs/>
                <w:vertAlign w:val="superscript"/>
              </w:rPr>
              <w:t>-1</w:t>
            </w:r>
            <w:proofErr w:type="gramEnd"/>
            <w:r w:rsidRPr="00674790">
              <w:rPr>
                <w:b/>
                <w:bCs/>
              </w:rPr>
              <w:t>]</w:t>
            </w:r>
          </w:p>
        </w:tc>
        <w:tc>
          <w:tcPr>
            <w:tcW w:w="1573" w:type="dxa"/>
            <w:tcBorders>
              <w:top w:val="single" w:sz="12" w:space="0" w:color="008000"/>
              <w:bottom w:val="single" w:sz="6" w:space="0" w:color="008000"/>
            </w:tcBorders>
            <w:shd w:val="clear" w:color="auto" w:fill="FFFFFF"/>
            <w:vAlign w:val="center"/>
          </w:tcPr>
          <w:p w14:paraId="00290439" w14:textId="77777777" w:rsidR="00F20858" w:rsidRPr="00674790" w:rsidRDefault="00F20858" w:rsidP="00FC5D0A">
            <w:pPr>
              <w:pStyle w:val="CETBodytext"/>
              <w:jc w:val="center"/>
              <w:rPr>
                <w:b/>
                <w:bCs/>
                <w:lang w:val="en-GB"/>
              </w:rPr>
            </w:pPr>
            <w:r w:rsidRPr="00674790">
              <w:rPr>
                <w:b/>
                <w:bCs/>
              </w:rPr>
              <w:t>Ref.</w:t>
            </w:r>
          </w:p>
        </w:tc>
      </w:tr>
      <w:tr w:rsidR="00F20858" w:rsidRPr="00B57B36" w14:paraId="6C92A5F1" w14:textId="77777777" w:rsidTr="00BE6152">
        <w:trPr>
          <w:trHeight w:val="279"/>
        </w:trPr>
        <w:tc>
          <w:tcPr>
            <w:tcW w:w="1573" w:type="dxa"/>
            <w:shd w:val="clear" w:color="auto" w:fill="FFFFFF"/>
            <w:vAlign w:val="center"/>
          </w:tcPr>
          <w:p w14:paraId="7E18FBE1" w14:textId="77777777" w:rsidR="00F20858" w:rsidRPr="00B57B36" w:rsidRDefault="00E122B1" w:rsidP="00FC5D0A">
            <w:pPr>
              <w:pStyle w:val="CETBodytext"/>
              <w:jc w:val="center"/>
              <w:rPr>
                <w:lang w:val="en-GB"/>
              </w:rPr>
            </w:pPr>
            <m:oMathPara>
              <m:oMath>
                <m:sSub>
                  <m:sSubPr>
                    <m:ctrlPr>
                      <w:rPr>
                        <w:rFonts w:ascii="Cambria Math" w:hAnsi="Cambria Math"/>
                        <w:i/>
                      </w:rPr>
                    </m:ctrlPr>
                  </m:sSubPr>
                  <m:e>
                    <m:r>
                      <w:rPr>
                        <w:rFonts w:ascii="Cambria Math" w:hAnsi="Cambria Math"/>
                      </w:rPr>
                      <m:t>K</m:t>
                    </m:r>
                  </m:e>
                  <m:sub>
                    <m:r>
                      <w:rPr>
                        <w:rFonts w:ascii="Cambria Math" w:hAnsi="Cambria Math"/>
                      </w:rPr>
                      <m:t>carboxy 1,2-DHB</m:t>
                    </m:r>
                  </m:sub>
                </m:sSub>
              </m:oMath>
            </m:oMathPara>
          </w:p>
        </w:tc>
        <w:tc>
          <w:tcPr>
            <w:tcW w:w="1573" w:type="dxa"/>
            <w:shd w:val="clear" w:color="auto" w:fill="FFFFFF"/>
            <w:vAlign w:val="center"/>
          </w:tcPr>
          <w:p w14:paraId="1F83F3FB" w14:textId="77777777" w:rsidR="00F20858" w:rsidRPr="00B57B36" w:rsidRDefault="00F20858" w:rsidP="00FC5D0A">
            <w:pPr>
              <w:pStyle w:val="CETBodytext"/>
              <w:jc w:val="center"/>
              <w:rPr>
                <w:lang w:val="en-GB"/>
              </w:rPr>
            </w:pPr>
            <m:oMathPara>
              <m:oMath>
                <m:r>
                  <w:rPr>
                    <w:rFonts w:ascii="Cambria Math" w:hAnsi="Cambria Math"/>
                  </w:rPr>
                  <m:t>1.60∙</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c>
          <w:tcPr>
            <w:tcW w:w="1573" w:type="dxa"/>
            <w:shd w:val="clear" w:color="auto" w:fill="FFFFFF"/>
            <w:vAlign w:val="center"/>
          </w:tcPr>
          <w:p w14:paraId="2433A6CC" w14:textId="77777777" w:rsidR="00F20858" w:rsidRPr="00B57B36" w:rsidRDefault="00F20858" w:rsidP="00FC5D0A">
            <w:pPr>
              <w:pStyle w:val="CETBodytext"/>
              <w:jc w:val="center"/>
              <w:rPr>
                <w:lang w:val="en-GB"/>
              </w:rPr>
            </w:pPr>
            <w:r>
              <w:t>Pesci et al. 2015</w:t>
            </w:r>
          </w:p>
        </w:tc>
      </w:tr>
      <w:tr w:rsidR="00F20858" w:rsidRPr="00B57B36" w14:paraId="5154AD74" w14:textId="77777777" w:rsidTr="00BE6152">
        <w:trPr>
          <w:trHeight w:val="264"/>
        </w:trPr>
        <w:tc>
          <w:tcPr>
            <w:tcW w:w="1573" w:type="dxa"/>
            <w:shd w:val="clear" w:color="auto" w:fill="FFFFFF"/>
            <w:vAlign w:val="center"/>
          </w:tcPr>
          <w:p w14:paraId="50F4F37A" w14:textId="6C4861D1" w:rsidR="00F20858" w:rsidRPr="00B57B36" w:rsidRDefault="00E122B1" w:rsidP="00FC5D0A">
            <w:pPr>
              <w:pStyle w:val="CETBodytext"/>
              <w:jc w:val="center"/>
              <w:rPr>
                <w:lang w:val="en-GB"/>
              </w:rPr>
            </w:pPr>
            <m:oMathPara>
              <m:oMath>
                <m:sSub>
                  <m:sSubPr>
                    <m:ctrlPr>
                      <w:rPr>
                        <w:rFonts w:ascii="Cambria Math" w:hAnsi="Cambria Math"/>
                        <w:i/>
                      </w:rPr>
                    </m:ctrlPr>
                  </m:sSubPr>
                  <m:e>
                    <m:r>
                      <w:rPr>
                        <w:rFonts w:ascii="Cambria Math" w:hAnsi="Cambria Math"/>
                      </w:rPr>
                      <m:t>K</m:t>
                    </m:r>
                  </m:e>
                  <m:sub>
                    <m:r>
                      <w:rPr>
                        <w:rFonts w:ascii="Cambria Math" w:hAnsi="Cambria Math"/>
                      </w:rPr>
                      <m:t>carboxy,3,5-DHT</m:t>
                    </m:r>
                  </m:sub>
                </m:sSub>
              </m:oMath>
            </m:oMathPara>
          </w:p>
        </w:tc>
        <w:tc>
          <w:tcPr>
            <w:tcW w:w="1573" w:type="dxa"/>
            <w:shd w:val="clear" w:color="auto" w:fill="FFFFFF"/>
            <w:vAlign w:val="center"/>
          </w:tcPr>
          <w:p w14:paraId="602D82EF" w14:textId="77777777" w:rsidR="00F20858" w:rsidRPr="00B57B36" w:rsidRDefault="00F20858" w:rsidP="00FC5D0A">
            <w:pPr>
              <w:pStyle w:val="CETBodytext"/>
              <w:jc w:val="center"/>
              <w:rPr>
                <w:lang w:val="en-GB"/>
              </w:rPr>
            </w:pPr>
            <m:oMathPara>
              <m:oMath>
                <m:r>
                  <w:rPr>
                    <w:rFonts w:ascii="Cambria Math" w:hAnsi="Cambria Math"/>
                  </w:rPr>
                  <m:t>5.00∙</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c>
          <w:tcPr>
            <w:tcW w:w="1573" w:type="dxa"/>
            <w:shd w:val="clear" w:color="auto" w:fill="FFFFFF"/>
            <w:vAlign w:val="center"/>
          </w:tcPr>
          <w:p w14:paraId="4D04EF14" w14:textId="77777777" w:rsidR="00F20858" w:rsidRPr="00B57B36" w:rsidRDefault="00F20858" w:rsidP="00FC5D0A">
            <w:pPr>
              <w:pStyle w:val="CETBodytext"/>
              <w:jc w:val="center"/>
              <w:rPr>
                <w:lang w:val="en-GB"/>
              </w:rPr>
            </w:pPr>
            <w:r>
              <w:t>Meyer et al. 2018</w:t>
            </w:r>
          </w:p>
        </w:tc>
      </w:tr>
      <w:tr w:rsidR="00F20858" w:rsidRPr="00B57B36" w14:paraId="27E2D262" w14:textId="77777777" w:rsidTr="00BE6152">
        <w:trPr>
          <w:trHeight w:val="264"/>
        </w:trPr>
        <w:tc>
          <w:tcPr>
            <w:tcW w:w="1573" w:type="dxa"/>
            <w:shd w:val="clear" w:color="auto" w:fill="FFFFFF"/>
            <w:vAlign w:val="center"/>
          </w:tcPr>
          <w:p w14:paraId="388F1727" w14:textId="07431433" w:rsidR="00F20858" w:rsidRPr="00B57B36" w:rsidRDefault="00E122B1" w:rsidP="00FC5D0A">
            <w:pPr>
              <w:pStyle w:val="CETBodytext"/>
              <w:jc w:val="center"/>
              <w:rPr>
                <w:lang w:val="en-GB"/>
              </w:rPr>
            </w:pPr>
            <m:oMathPara>
              <m:oMath>
                <m:sSub>
                  <m:sSubPr>
                    <m:ctrlPr>
                      <w:rPr>
                        <w:rFonts w:ascii="Cambria Math" w:hAnsi="Cambria Math"/>
                        <w:i/>
                      </w:rPr>
                    </m:ctrlPr>
                  </m:sSubPr>
                  <m:e>
                    <m:r>
                      <w:rPr>
                        <w:rFonts w:ascii="Cambria Math" w:hAnsi="Cambria Math"/>
                      </w:rPr>
                      <m:t>K</m:t>
                    </m:r>
                  </m:e>
                  <m:sub>
                    <m:r>
                      <w:rPr>
                        <w:rFonts w:ascii="Cambria Math" w:hAnsi="Cambria Math"/>
                      </w:rPr>
                      <m:t>carboxy, 1,3-DHB</m:t>
                    </m:r>
                  </m:sub>
                </m:sSub>
              </m:oMath>
            </m:oMathPara>
          </w:p>
        </w:tc>
        <w:tc>
          <w:tcPr>
            <w:tcW w:w="1573" w:type="dxa"/>
            <w:shd w:val="clear" w:color="auto" w:fill="FFFFFF"/>
            <w:vAlign w:val="center"/>
          </w:tcPr>
          <w:p w14:paraId="64780F1A" w14:textId="77777777" w:rsidR="00F20858" w:rsidRPr="00B57B36" w:rsidRDefault="00F20858" w:rsidP="00FC5D0A">
            <w:pPr>
              <w:pStyle w:val="CETBodytext"/>
              <w:jc w:val="center"/>
              <w:rPr>
                <w:lang w:val="en-GB"/>
              </w:rPr>
            </w:pPr>
            <m:oMathPara>
              <m:oMath>
                <m:r>
                  <w:rPr>
                    <w:rFonts w:ascii="Cambria Math" w:hAnsi="Cambria Math"/>
                  </w:rPr>
                  <m:t>5.83∙</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c>
          <w:tcPr>
            <w:tcW w:w="1573" w:type="dxa"/>
            <w:shd w:val="clear" w:color="auto" w:fill="FFFFFF"/>
            <w:vAlign w:val="center"/>
          </w:tcPr>
          <w:p w14:paraId="6CE853C6" w14:textId="77777777" w:rsidR="00F20858" w:rsidRPr="00B57B36" w:rsidRDefault="00F20858" w:rsidP="00FC5D0A">
            <w:pPr>
              <w:pStyle w:val="CETBodytext"/>
              <w:jc w:val="center"/>
              <w:rPr>
                <w:lang w:val="en-GB"/>
              </w:rPr>
            </w:pPr>
            <w:proofErr w:type="spellStart"/>
            <w:r>
              <w:t>Ohde</w:t>
            </w:r>
            <w:proofErr w:type="spellEnd"/>
            <w:r>
              <w:t xml:space="preserve"> et al. 2020</w:t>
            </w:r>
          </w:p>
        </w:tc>
      </w:tr>
      <w:tr w:rsidR="00F20858" w:rsidRPr="00B57B36" w14:paraId="59B9420B" w14:textId="77777777" w:rsidTr="00BE6152">
        <w:trPr>
          <w:trHeight w:val="264"/>
        </w:trPr>
        <w:tc>
          <w:tcPr>
            <w:tcW w:w="1573" w:type="dxa"/>
            <w:shd w:val="clear" w:color="auto" w:fill="FFFFFF"/>
            <w:vAlign w:val="center"/>
          </w:tcPr>
          <w:p w14:paraId="43ADD264" w14:textId="77777777" w:rsidR="00F20858" w:rsidRPr="00B57B36" w:rsidRDefault="00E122B1" w:rsidP="00FC5D0A">
            <w:pPr>
              <w:pStyle w:val="CETBodytext"/>
              <w:ind w:right="-1"/>
              <w:jc w:val="center"/>
              <w:rPr>
                <w:rFonts w:cs="Arial"/>
                <w:szCs w:val="18"/>
                <w:lang w:val="en-GB"/>
              </w:rPr>
            </w:pPr>
            <m:oMathPara>
              <m:oMath>
                <m:sSub>
                  <m:sSubPr>
                    <m:ctrlPr>
                      <w:rPr>
                        <w:rFonts w:ascii="Cambria Math" w:hAnsi="Cambria Math"/>
                        <w:i/>
                      </w:rPr>
                    </m:ctrlPr>
                  </m:sSubPr>
                  <m:e>
                    <m:r>
                      <w:rPr>
                        <w:rFonts w:ascii="Cambria Math" w:hAnsi="Cambria Math"/>
                      </w:rPr>
                      <m:t>K</m:t>
                    </m:r>
                  </m:e>
                  <m:sub>
                    <m:r>
                      <w:rPr>
                        <w:rFonts w:ascii="Cambria Math" w:hAnsi="Cambria Math"/>
                      </w:rPr>
                      <m:t>A,  DHBA</m:t>
                    </m:r>
                  </m:sub>
                </m:sSub>
              </m:oMath>
            </m:oMathPara>
          </w:p>
        </w:tc>
        <w:tc>
          <w:tcPr>
            <w:tcW w:w="1573" w:type="dxa"/>
            <w:shd w:val="clear" w:color="auto" w:fill="FFFFFF"/>
            <w:vAlign w:val="center"/>
          </w:tcPr>
          <w:p w14:paraId="7E6D2988" w14:textId="77777777" w:rsidR="00F20858" w:rsidRPr="00B57B36" w:rsidRDefault="00F20858" w:rsidP="00FC5D0A">
            <w:pPr>
              <w:pStyle w:val="CETBodytext"/>
              <w:ind w:right="-1"/>
              <w:jc w:val="center"/>
              <w:rPr>
                <w:rFonts w:cs="Arial"/>
                <w:szCs w:val="18"/>
                <w:lang w:val="en-GB"/>
              </w:rPr>
            </w:pPr>
            <m:oMathPara>
              <m:oMath>
                <m:r>
                  <w:rPr>
                    <w:rFonts w:ascii="Cambria Math" w:hAnsi="Cambria Math"/>
                  </w:rPr>
                  <m:t>5.00∙</m:t>
                </m:r>
                <m:sSup>
                  <m:sSupPr>
                    <m:ctrlPr>
                      <w:rPr>
                        <w:rFonts w:ascii="Cambria Math" w:hAnsi="Cambria Math"/>
                        <w:i/>
                      </w:rPr>
                    </m:ctrlPr>
                  </m:sSupPr>
                  <m:e>
                    <m:r>
                      <w:rPr>
                        <w:rFonts w:ascii="Cambria Math" w:hAnsi="Cambria Math"/>
                      </w:rPr>
                      <m:t>10</m:t>
                    </m:r>
                  </m:e>
                  <m:sup>
                    <m:r>
                      <w:rPr>
                        <w:rFonts w:ascii="Cambria Math" w:hAnsi="Cambria Math"/>
                      </w:rPr>
                      <m:t>-2</m:t>
                    </m:r>
                  </m:sup>
                </m:sSup>
              </m:oMath>
            </m:oMathPara>
          </w:p>
        </w:tc>
        <w:tc>
          <w:tcPr>
            <w:tcW w:w="1573" w:type="dxa"/>
            <w:shd w:val="clear" w:color="auto" w:fill="FFFFFF"/>
            <w:vAlign w:val="center"/>
          </w:tcPr>
          <w:p w14:paraId="3CDF3321" w14:textId="77777777" w:rsidR="00F20858" w:rsidRPr="00B57B36" w:rsidRDefault="00F20858" w:rsidP="00FC5D0A">
            <w:pPr>
              <w:pStyle w:val="CETBodytext"/>
              <w:ind w:right="-1"/>
              <w:jc w:val="center"/>
              <w:rPr>
                <w:rFonts w:cs="Arial"/>
                <w:szCs w:val="18"/>
                <w:lang w:val="en-GB"/>
              </w:rPr>
            </w:pPr>
            <w:r>
              <w:t>Pesci et al. 2015</w:t>
            </w:r>
          </w:p>
        </w:tc>
      </w:tr>
    </w:tbl>
    <w:p w14:paraId="6BA73C07" w14:textId="77777777" w:rsidR="00D01D3A" w:rsidRPr="00D01D3A" w:rsidRDefault="00D01D3A" w:rsidP="00D01D3A">
      <w:pPr>
        <w:pStyle w:val="CETBodytext"/>
        <w:rPr>
          <w:lang w:val="en-GB"/>
        </w:rPr>
      </w:pPr>
    </w:p>
    <w:p w14:paraId="1523411A" w14:textId="63482B1D" w:rsidR="006B110F" w:rsidRPr="006B110F" w:rsidRDefault="006B110F" w:rsidP="00784963">
      <w:pPr>
        <w:pStyle w:val="CETHeading1"/>
        <w:numPr>
          <w:ilvl w:val="0"/>
          <w:numId w:val="25"/>
        </w:numPr>
        <w:ind w:left="360"/>
      </w:pPr>
      <w:r w:rsidRPr="006B110F">
        <w:t>Results</w:t>
      </w:r>
    </w:p>
    <w:p w14:paraId="04852D75" w14:textId="3E30D84E" w:rsidR="006B110F" w:rsidRPr="00A75E85" w:rsidRDefault="00A75E85" w:rsidP="00947BF1">
      <w:pPr>
        <w:pStyle w:val="CETheadingx"/>
      </w:pPr>
      <w:r>
        <w:t xml:space="preserve">3.1 </w:t>
      </w:r>
      <w:r w:rsidR="006B110F" w:rsidRPr="00A75E85">
        <w:t>Base-case simulations</w:t>
      </w:r>
    </w:p>
    <w:p w14:paraId="53F7296F" w14:textId="56930B3E" w:rsidR="008B3EDE" w:rsidRDefault="006B110F" w:rsidP="006B110F">
      <w:pPr>
        <w:pStyle w:val="CETBodytext"/>
        <w:rPr>
          <w:lang w:val="en-GB"/>
        </w:rPr>
      </w:pPr>
      <w:r>
        <w:rPr>
          <w:lang w:val="en-GB"/>
        </w:rPr>
        <w:t>The base case simulation referred to the use of 1,2 DHB as substrate. Results of the simulations of the CO</w:t>
      </w:r>
      <w:r w:rsidRPr="0064147D">
        <w:rPr>
          <w:vertAlign w:val="subscript"/>
          <w:lang w:val="en-GB"/>
        </w:rPr>
        <w:t>2</w:t>
      </w:r>
      <w:r>
        <w:rPr>
          <w:lang w:val="en-GB"/>
        </w:rPr>
        <w:t xml:space="preserve"> reactive absorption unit and enzymatic carboxylation unit are reported in </w:t>
      </w:r>
      <w:r w:rsidR="00DA023F">
        <w:rPr>
          <w:lang w:val="en-GB"/>
        </w:rPr>
        <w:t>T</w:t>
      </w:r>
      <w:r>
        <w:rPr>
          <w:lang w:val="en-GB"/>
        </w:rPr>
        <w:t xml:space="preserve">able </w:t>
      </w:r>
      <w:r w:rsidR="00DA023F">
        <w:rPr>
          <w:lang w:val="en-GB"/>
        </w:rPr>
        <w:t>3</w:t>
      </w:r>
      <w:r>
        <w:rPr>
          <w:lang w:val="en-GB"/>
        </w:rPr>
        <w:t xml:space="preserve">. Sensitivity analysis of the base case was performed by calculation of equilibrium concentrations in the liquid stream after enzymatic carboxylation at three initial catechol concentrations: </w:t>
      </w:r>
      <w:r w:rsidR="001D78DF">
        <w:rPr>
          <w:lang w:val="en-GB"/>
        </w:rPr>
        <w:t>0.03</w:t>
      </w:r>
      <w:r>
        <w:rPr>
          <w:lang w:val="en-GB"/>
        </w:rPr>
        <w:t xml:space="preserve">, </w:t>
      </w:r>
      <w:r w:rsidR="001D78DF">
        <w:rPr>
          <w:lang w:val="en-GB"/>
        </w:rPr>
        <w:t>0.05</w:t>
      </w:r>
      <w:r>
        <w:rPr>
          <w:lang w:val="en-GB"/>
        </w:rPr>
        <w:t xml:space="preserve"> and </w:t>
      </w:r>
      <w:r w:rsidR="001D78DF">
        <w:rPr>
          <w:lang w:val="en-GB"/>
        </w:rPr>
        <w:t>0.08</w:t>
      </w:r>
      <w:r>
        <w:rPr>
          <w:lang w:val="en-GB"/>
        </w:rPr>
        <w:t xml:space="preserve"> M.</w:t>
      </w:r>
      <w:r w:rsidR="001D78DF">
        <w:rPr>
          <w:lang w:val="en-GB"/>
        </w:rPr>
        <w:t xml:space="preserve"> </w:t>
      </w:r>
      <w:r>
        <w:rPr>
          <w:lang w:val="en-GB"/>
        </w:rPr>
        <w:t xml:space="preserve">Results show that inlet </w:t>
      </w:r>
      <w:r w:rsidRPr="001D78DF">
        <w:rPr>
          <w:lang w:val="en-GB"/>
        </w:rPr>
        <w:t>1,2 DHB</w:t>
      </w:r>
      <w:r w:rsidDel="00D84F4C">
        <w:rPr>
          <w:lang w:val="en-GB"/>
        </w:rPr>
        <w:t xml:space="preserve"> </w:t>
      </w:r>
      <w:r>
        <w:rPr>
          <w:lang w:val="en-GB"/>
        </w:rPr>
        <w:t>concentration slightly affects the equilibrium conversion degree in the enzymatic carboxylation unit. Similarly, due to 1:1 stoichiometry and the large bicarbonate excess, also outlet bicarbonate concentration does</w:t>
      </w:r>
      <w:r w:rsidR="001D78DF">
        <w:rPr>
          <w:lang w:val="en-GB"/>
        </w:rPr>
        <w:t xml:space="preserve"> not</w:t>
      </w:r>
      <w:r>
        <w:rPr>
          <w:lang w:val="en-GB"/>
        </w:rPr>
        <w:t xml:space="preserve"> change substantially. Since typical concentration of bicarbonate ions in rich solvent streams are large enough to support enzymatic carboxylation</w:t>
      </w:r>
      <w:r w:rsidR="00BE7782">
        <w:rPr>
          <w:lang w:val="en-GB"/>
        </w:rPr>
        <w:t>,</w:t>
      </w:r>
      <w:r>
        <w:rPr>
          <w:lang w:val="en-GB"/>
        </w:rPr>
        <w:t xml:space="preserve"> further sensitivity analysis </w:t>
      </w:r>
      <w:r w:rsidR="00BE7782">
        <w:rPr>
          <w:lang w:val="en-GB"/>
        </w:rPr>
        <w:t xml:space="preserve">has </w:t>
      </w:r>
      <w:r>
        <w:rPr>
          <w:lang w:val="en-GB"/>
        </w:rPr>
        <w:t>been considered.</w:t>
      </w:r>
    </w:p>
    <w:p w14:paraId="62232B61" w14:textId="77777777" w:rsidR="008B3EDE" w:rsidRDefault="008B3EDE" w:rsidP="006B110F">
      <w:pPr>
        <w:pStyle w:val="CETBodytext"/>
        <w:rPr>
          <w:lang w:val="en-GB"/>
        </w:rPr>
      </w:pPr>
    </w:p>
    <w:p w14:paraId="504837AC" w14:textId="77777777" w:rsidR="006B110F" w:rsidRDefault="006B110F" w:rsidP="00A926D8">
      <w:pPr>
        <w:pStyle w:val="CETBodytext"/>
        <w:spacing w:before="240" w:after="80"/>
        <w:rPr>
          <w:i/>
          <w:lang w:val="en-GB"/>
        </w:rPr>
      </w:pPr>
      <w:r w:rsidRPr="00FA29AF">
        <w:rPr>
          <w:i/>
          <w:lang w:val="en-GB"/>
        </w:rPr>
        <w:lastRenderedPageBreak/>
        <w:t xml:space="preserve">Table </w:t>
      </w:r>
      <w:r>
        <w:rPr>
          <w:i/>
          <w:lang w:val="en-GB"/>
        </w:rPr>
        <w:t>3</w:t>
      </w:r>
      <w:r w:rsidRPr="00FA29AF">
        <w:rPr>
          <w:i/>
          <w:lang w:val="en-GB"/>
        </w:rPr>
        <w:t xml:space="preserve">: </w:t>
      </w:r>
      <w:r>
        <w:rPr>
          <w:i/>
          <w:lang w:val="en-GB"/>
        </w:rPr>
        <w:t>Simulation results for CO</w:t>
      </w:r>
      <w:r w:rsidRPr="0064147D">
        <w:rPr>
          <w:i/>
          <w:vertAlign w:val="subscript"/>
          <w:lang w:val="en-GB"/>
        </w:rPr>
        <w:t>2</w:t>
      </w:r>
      <w:r>
        <w:rPr>
          <w:i/>
          <w:lang w:val="en-GB"/>
        </w:rPr>
        <w:t xml:space="preserve"> enzymatic absorption and 1,2 DHB enzymatic carboxylation according to methods reported in section 2.</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57"/>
        <w:gridCol w:w="143"/>
        <w:gridCol w:w="1191"/>
        <w:gridCol w:w="1421"/>
        <w:gridCol w:w="1522"/>
      </w:tblGrid>
      <w:tr w:rsidR="006B110F" w:rsidRPr="00D40170" w14:paraId="18183AD7" w14:textId="77777777" w:rsidTr="00BE6152">
        <w:trPr>
          <w:trHeight w:val="161"/>
        </w:trPr>
        <w:tc>
          <w:tcPr>
            <w:tcW w:w="6934" w:type="dxa"/>
            <w:gridSpan w:val="5"/>
            <w:tcBorders>
              <w:top w:val="single" w:sz="12" w:space="0" w:color="008000"/>
              <w:bottom w:val="single" w:sz="4" w:space="0" w:color="00B050"/>
            </w:tcBorders>
            <w:shd w:val="clear" w:color="auto" w:fill="FFFFFF"/>
          </w:tcPr>
          <w:p w14:paraId="7D8CA80F" w14:textId="77777777" w:rsidR="006B110F" w:rsidRPr="00D40170" w:rsidRDefault="006B110F" w:rsidP="00FC5D0A">
            <w:pPr>
              <w:pStyle w:val="CETBodytext"/>
              <w:jc w:val="center"/>
              <w:rPr>
                <w:b/>
                <w:bCs/>
                <w:iCs/>
                <w:lang w:val="en-GB"/>
              </w:rPr>
            </w:pPr>
            <w:r w:rsidRPr="00D40170">
              <w:rPr>
                <w:b/>
                <w:bCs/>
                <w:iCs/>
                <w:lang w:val="en-GB"/>
              </w:rPr>
              <w:t>CO</w:t>
            </w:r>
            <w:r w:rsidRPr="00D40170">
              <w:rPr>
                <w:b/>
                <w:bCs/>
                <w:iCs/>
                <w:vertAlign w:val="subscript"/>
                <w:lang w:val="en-GB"/>
              </w:rPr>
              <w:t>2</w:t>
            </w:r>
            <w:r w:rsidRPr="00D40170">
              <w:rPr>
                <w:b/>
                <w:bCs/>
                <w:iCs/>
                <w:lang w:val="en-GB"/>
              </w:rPr>
              <w:t xml:space="preserve"> enzymatic absorption unit</w:t>
            </w:r>
          </w:p>
        </w:tc>
      </w:tr>
      <w:tr w:rsidR="006B110F" w:rsidRPr="00FE3F13" w14:paraId="13F0E2AF" w14:textId="77777777" w:rsidTr="00BE6152">
        <w:trPr>
          <w:trHeight w:val="185"/>
        </w:trPr>
        <w:tc>
          <w:tcPr>
            <w:tcW w:w="2800" w:type="dxa"/>
            <w:gridSpan w:val="2"/>
            <w:tcBorders>
              <w:top w:val="single" w:sz="4" w:space="0" w:color="00B050"/>
              <w:bottom w:val="single" w:sz="6" w:space="0" w:color="008000"/>
            </w:tcBorders>
            <w:shd w:val="clear" w:color="auto" w:fill="FFFFFF"/>
          </w:tcPr>
          <w:p w14:paraId="74961974" w14:textId="77777777" w:rsidR="006B110F" w:rsidRPr="00FE3F13" w:rsidRDefault="006B110F" w:rsidP="00FC5D0A">
            <w:pPr>
              <w:pStyle w:val="CETBodytext"/>
              <w:ind w:right="-1"/>
              <w:jc w:val="center"/>
              <w:rPr>
                <w:rFonts w:cs="Arial"/>
                <w:iCs/>
                <w:szCs w:val="18"/>
                <w:lang w:val="en-GB"/>
              </w:rPr>
            </w:pPr>
            <w:r w:rsidRPr="00FE3F13">
              <w:rPr>
                <w:rFonts w:cs="Arial"/>
                <w:iCs/>
              </w:rPr>
              <w:t>Mass of captured CO</w:t>
            </w:r>
            <w:r w:rsidRPr="00FE3F13">
              <w:rPr>
                <w:rFonts w:cs="Arial"/>
                <w:iCs/>
                <w:vertAlign w:val="subscript"/>
              </w:rPr>
              <w:t>2</w:t>
            </w:r>
          </w:p>
        </w:tc>
        <w:tc>
          <w:tcPr>
            <w:tcW w:w="2612" w:type="dxa"/>
            <w:gridSpan w:val="2"/>
            <w:tcBorders>
              <w:top w:val="single" w:sz="4" w:space="0" w:color="00B050"/>
              <w:bottom w:val="single" w:sz="6" w:space="0" w:color="008000"/>
            </w:tcBorders>
            <w:shd w:val="clear" w:color="auto" w:fill="FFFFFF"/>
          </w:tcPr>
          <w:p w14:paraId="3D5B5EB1" w14:textId="77777777" w:rsidR="006B110F" w:rsidRPr="00FE3F13" w:rsidRDefault="006B110F" w:rsidP="00FC5D0A">
            <w:pPr>
              <w:pStyle w:val="CETBodytext"/>
              <w:ind w:right="-1"/>
              <w:jc w:val="center"/>
              <w:rPr>
                <w:rFonts w:cs="Arial"/>
                <w:iCs/>
                <w:szCs w:val="18"/>
                <w:lang w:val="en-GB"/>
              </w:rPr>
            </w:pPr>
            <w:r w:rsidRPr="00FE3F13">
              <w:rPr>
                <w:rFonts w:cs="Arial"/>
                <w:iCs/>
                <w:lang w:val="en-GB"/>
              </w:rPr>
              <w:t>129.8</w:t>
            </w:r>
          </w:p>
        </w:tc>
        <w:tc>
          <w:tcPr>
            <w:tcW w:w="1520" w:type="dxa"/>
            <w:tcBorders>
              <w:top w:val="single" w:sz="4" w:space="0" w:color="00B050"/>
              <w:bottom w:val="single" w:sz="6" w:space="0" w:color="008000"/>
            </w:tcBorders>
            <w:shd w:val="clear" w:color="auto" w:fill="FFFFFF"/>
          </w:tcPr>
          <w:p w14:paraId="754C8756" w14:textId="77777777" w:rsidR="006B110F" w:rsidRPr="00FE3F13" w:rsidRDefault="006B110F" w:rsidP="00FC5D0A">
            <w:pPr>
              <w:pStyle w:val="CETBodytext"/>
              <w:ind w:right="-1"/>
              <w:jc w:val="center"/>
              <w:rPr>
                <w:rFonts w:cs="Arial"/>
                <w:iCs/>
                <w:szCs w:val="18"/>
                <w:lang w:val="en-GB"/>
              </w:rPr>
            </w:pPr>
            <w:r w:rsidRPr="00FE3F13">
              <w:rPr>
                <w:rFonts w:cs="Arial"/>
                <w:iCs/>
                <w:lang w:val="en-GB"/>
              </w:rPr>
              <w:t>kg/hr</w:t>
            </w:r>
          </w:p>
        </w:tc>
      </w:tr>
      <w:tr w:rsidR="006B110F" w:rsidRPr="00FE3F13" w14:paraId="052B633F" w14:textId="77777777" w:rsidTr="00BE6152">
        <w:trPr>
          <w:trHeight w:val="185"/>
        </w:trPr>
        <w:tc>
          <w:tcPr>
            <w:tcW w:w="2800" w:type="dxa"/>
            <w:gridSpan w:val="2"/>
            <w:tcBorders>
              <w:top w:val="single" w:sz="4" w:space="0" w:color="00B050"/>
              <w:bottom w:val="single" w:sz="6" w:space="0" w:color="008000"/>
            </w:tcBorders>
            <w:shd w:val="clear" w:color="auto" w:fill="FFFFFF"/>
          </w:tcPr>
          <w:p w14:paraId="1B35118B" w14:textId="77777777" w:rsidR="006B110F" w:rsidRPr="00FE3F13" w:rsidRDefault="006B110F" w:rsidP="00FC5D0A">
            <w:pPr>
              <w:pStyle w:val="CETBodytext"/>
              <w:ind w:right="-1"/>
              <w:jc w:val="center"/>
              <w:rPr>
                <w:rFonts w:cs="Arial"/>
                <w:iCs/>
                <w:szCs w:val="18"/>
                <w:lang w:val="en-GB"/>
              </w:rPr>
            </w:pPr>
            <w:r w:rsidRPr="00FE3F13">
              <w:rPr>
                <w:rFonts w:cs="Arial"/>
                <w:iCs/>
                <w:lang w:val="en-GB"/>
              </w:rPr>
              <w:t>CO</w:t>
            </w:r>
            <w:r w:rsidRPr="00FE3F13">
              <w:rPr>
                <w:rFonts w:cs="Arial"/>
                <w:iCs/>
                <w:vertAlign w:val="subscript"/>
                <w:lang w:val="en-GB"/>
              </w:rPr>
              <w:t>2</w:t>
            </w:r>
            <w:r w:rsidRPr="00FE3F13">
              <w:rPr>
                <w:rFonts w:cs="Arial"/>
                <w:iCs/>
                <w:lang w:val="en-GB"/>
              </w:rPr>
              <w:t xml:space="preserve"> removal efficiency</w:t>
            </w:r>
          </w:p>
        </w:tc>
        <w:tc>
          <w:tcPr>
            <w:tcW w:w="2612" w:type="dxa"/>
            <w:gridSpan w:val="2"/>
            <w:tcBorders>
              <w:top w:val="single" w:sz="4" w:space="0" w:color="00B050"/>
              <w:bottom w:val="single" w:sz="6" w:space="0" w:color="008000"/>
            </w:tcBorders>
            <w:shd w:val="clear" w:color="auto" w:fill="FFFFFF"/>
          </w:tcPr>
          <w:p w14:paraId="5DEEBD4A" w14:textId="77777777" w:rsidR="006B110F" w:rsidRPr="00FE3F13" w:rsidRDefault="006B110F" w:rsidP="00FC5D0A">
            <w:pPr>
              <w:pStyle w:val="CETBodytext"/>
              <w:ind w:right="-1"/>
              <w:jc w:val="center"/>
              <w:rPr>
                <w:rFonts w:cs="Arial"/>
                <w:iCs/>
                <w:szCs w:val="18"/>
                <w:lang w:val="en-GB"/>
              </w:rPr>
            </w:pPr>
            <w:r w:rsidRPr="00FE3F13">
              <w:rPr>
                <w:rFonts w:cs="Arial"/>
                <w:iCs/>
                <w:lang w:val="en-GB"/>
              </w:rPr>
              <w:t>74.2</w:t>
            </w:r>
          </w:p>
        </w:tc>
        <w:tc>
          <w:tcPr>
            <w:tcW w:w="1520" w:type="dxa"/>
            <w:tcBorders>
              <w:top w:val="single" w:sz="4" w:space="0" w:color="00B050"/>
              <w:bottom w:val="single" w:sz="6" w:space="0" w:color="008000"/>
            </w:tcBorders>
            <w:shd w:val="clear" w:color="auto" w:fill="FFFFFF"/>
          </w:tcPr>
          <w:p w14:paraId="2AE097C6" w14:textId="77777777" w:rsidR="006B110F" w:rsidRPr="00FE3F13" w:rsidRDefault="006B110F" w:rsidP="00FC5D0A">
            <w:pPr>
              <w:pStyle w:val="CETBodytext"/>
              <w:ind w:right="-1"/>
              <w:jc w:val="center"/>
              <w:rPr>
                <w:rFonts w:cs="Arial"/>
                <w:iCs/>
                <w:szCs w:val="18"/>
                <w:lang w:val="en-GB"/>
              </w:rPr>
            </w:pPr>
            <w:r w:rsidRPr="00FE3F13">
              <w:rPr>
                <w:rFonts w:cs="Arial"/>
                <w:iCs/>
                <w:lang w:val="en-GB"/>
              </w:rPr>
              <w:t>%</w:t>
            </w:r>
          </w:p>
        </w:tc>
      </w:tr>
      <w:tr w:rsidR="006B110F" w:rsidRPr="00FE3F13" w14:paraId="1A8F1573" w14:textId="77777777" w:rsidTr="00BE6152">
        <w:trPr>
          <w:trHeight w:val="184"/>
        </w:trPr>
        <w:tc>
          <w:tcPr>
            <w:tcW w:w="2800" w:type="dxa"/>
            <w:gridSpan w:val="2"/>
            <w:tcBorders>
              <w:top w:val="single" w:sz="4" w:space="0" w:color="00B050"/>
              <w:bottom w:val="single" w:sz="6" w:space="0" w:color="008000"/>
            </w:tcBorders>
            <w:shd w:val="clear" w:color="auto" w:fill="FFFFFF"/>
          </w:tcPr>
          <w:p w14:paraId="6C8B12F8" w14:textId="77777777" w:rsidR="006B110F" w:rsidRPr="00FE3F13" w:rsidRDefault="006B110F" w:rsidP="00FC5D0A">
            <w:pPr>
              <w:pStyle w:val="CETBodytext"/>
              <w:ind w:right="-1"/>
              <w:jc w:val="center"/>
              <w:rPr>
                <w:rFonts w:cs="Arial"/>
                <w:iCs/>
                <w:szCs w:val="18"/>
                <w:lang w:val="en-GB"/>
              </w:rPr>
            </w:pPr>
            <m:oMathPara>
              <m:oMath>
                <m:r>
                  <m:rPr>
                    <m:sty m:val="p"/>
                  </m:rPr>
                  <w:rPr>
                    <w:rFonts w:ascii="Cambria Math" w:hAnsi="Cambria Math" w:cs="Arial"/>
                    <w:lang w:val="en-GB"/>
                  </w:rPr>
                  <m:t>HC</m:t>
                </m:r>
                <m:sSub>
                  <m:sSubPr>
                    <m:ctrlPr>
                      <w:rPr>
                        <w:rFonts w:ascii="Cambria Math" w:hAnsi="Cambria Math" w:cs="Arial"/>
                        <w:iCs/>
                        <w:lang w:val="en-GB"/>
                      </w:rPr>
                    </m:ctrlPr>
                  </m:sSubPr>
                  <m:e>
                    <m:sSubSup>
                      <m:sSubSupPr>
                        <m:ctrlPr>
                          <w:rPr>
                            <w:rFonts w:ascii="Cambria Math" w:hAnsi="Cambria Math" w:cs="Arial"/>
                            <w:iCs/>
                            <w:lang w:val="en-GB"/>
                          </w:rPr>
                        </m:ctrlPr>
                      </m:sSubSupPr>
                      <m:e>
                        <m:r>
                          <m:rPr>
                            <m:sty m:val="p"/>
                          </m:rPr>
                          <w:rPr>
                            <w:rFonts w:ascii="Cambria Math" w:hAnsi="Cambria Math" w:cs="Arial"/>
                            <w:lang w:val="en-GB"/>
                          </w:rPr>
                          <m:t>O</m:t>
                        </m:r>
                      </m:e>
                      <m:sub>
                        <m:r>
                          <m:rPr>
                            <m:sty m:val="p"/>
                          </m:rPr>
                          <w:rPr>
                            <w:rFonts w:ascii="Cambria Math" w:hAnsi="Cambria Math" w:cs="Arial"/>
                            <w:lang w:val="en-GB"/>
                          </w:rPr>
                          <m:t>3</m:t>
                        </m:r>
                      </m:sub>
                      <m:sup>
                        <m:r>
                          <m:rPr>
                            <m:sty m:val="p"/>
                          </m:rPr>
                          <w:rPr>
                            <w:rFonts w:ascii="Cambria Math" w:hAnsi="Cambria Math" w:cs="Arial"/>
                            <w:lang w:val="en-GB"/>
                          </w:rPr>
                          <m:t>-</m:t>
                        </m:r>
                      </m:sup>
                    </m:sSubSup>
                  </m:e>
                  <m:sub>
                    <m:r>
                      <m:rPr>
                        <m:sty m:val="p"/>
                      </m:rPr>
                      <w:rPr>
                        <w:rFonts w:ascii="Cambria Math" w:hAnsi="Cambria Math" w:cs="Arial"/>
                        <w:lang w:val="en-GB"/>
                      </w:rPr>
                      <m:t>Rich Solvent</m:t>
                    </m:r>
                  </m:sub>
                </m:sSub>
              </m:oMath>
            </m:oMathPara>
          </w:p>
        </w:tc>
        <w:tc>
          <w:tcPr>
            <w:tcW w:w="2612" w:type="dxa"/>
            <w:gridSpan w:val="2"/>
            <w:tcBorders>
              <w:top w:val="single" w:sz="4" w:space="0" w:color="00B050"/>
              <w:bottom w:val="single" w:sz="6" w:space="0" w:color="008000"/>
            </w:tcBorders>
            <w:shd w:val="clear" w:color="auto" w:fill="FFFFFF"/>
          </w:tcPr>
          <w:p w14:paraId="2E639EF1" w14:textId="77777777" w:rsidR="006B110F" w:rsidRPr="00FE3F13" w:rsidRDefault="006B110F" w:rsidP="00FC5D0A">
            <w:pPr>
              <w:pStyle w:val="CETBodytext"/>
              <w:ind w:right="-1"/>
              <w:jc w:val="center"/>
              <w:rPr>
                <w:rFonts w:cs="Arial"/>
                <w:iCs/>
                <w:szCs w:val="18"/>
                <w:lang w:val="en-GB"/>
              </w:rPr>
            </w:pPr>
            <w:r w:rsidRPr="00FE3F13">
              <w:rPr>
                <w:rFonts w:cs="Arial"/>
                <w:iCs/>
                <w:lang w:val="en-GB"/>
              </w:rPr>
              <w:t>1.643</w:t>
            </w:r>
          </w:p>
        </w:tc>
        <w:tc>
          <w:tcPr>
            <w:tcW w:w="1520" w:type="dxa"/>
            <w:tcBorders>
              <w:top w:val="single" w:sz="4" w:space="0" w:color="00B050"/>
              <w:bottom w:val="single" w:sz="6" w:space="0" w:color="008000"/>
            </w:tcBorders>
            <w:shd w:val="clear" w:color="auto" w:fill="FFFFFF"/>
          </w:tcPr>
          <w:p w14:paraId="3ED55E4A" w14:textId="77777777" w:rsidR="006B110F" w:rsidRPr="00FE3F13" w:rsidRDefault="006B110F" w:rsidP="00FC5D0A">
            <w:pPr>
              <w:pStyle w:val="CETBodytext"/>
              <w:ind w:right="-1"/>
              <w:jc w:val="center"/>
              <w:rPr>
                <w:rFonts w:cs="Arial"/>
                <w:iCs/>
                <w:szCs w:val="18"/>
                <w:lang w:val="en-GB"/>
              </w:rPr>
            </w:pPr>
            <w:r w:rsidRPr="00FE3F13">
              <w:rPr>
                <w:rFonts w:cs="Arial"/>
                <w:iCs/>
                <w:lang w:val="en-GB"/>
              </w:rPr>
              <w:t>M</w:t>
            </w:r>
          </w:p>
        </w:tc>
      </w:tr>
      <w:tr w:rsidR="006B110F" w:rsidRPr="00FE3F13" w14:paraId="7C3BFD75" w14:textId="77777777" w:rsidTr="00BE6152">
        <w:trPr>
          <w:trHeight w:val="184"/>
        </w:trPr>
        <w:tc>
          <w:tcPr>
            <w:tcW w:w="2800" w:type="dxa"/>
            <w:gridSpan w:val="2"/>
            <w:tcBorders>
              <w:top w:val="single" w:sz="4" w:space="0" w:color="00B050"/>
              <w:bottom w:val="single" w:sz="6" w:space="0" w:color="008000"/>
            </w:tcBorders>
            <w:shd w:val="clear" w:color="auto" w:fill="FFFFFF"/>
          </w:tcPr>
          <w:p w14:paraId="7E36AB13" w14:textId="77777777" w:rsidR="006B110F" w:rsidRPr="00FE3F13" w:rsidRDefault="006B110F" w:rsidP="00FC5D0A">
            <w:pPr>
              <w:pStyle w:val="CETBodytext"/>
              <w:ind w:right="-1"/>
              <w:jc w:val="center"/>
              <w:rPr>
                <w:rFonts w:cs="Arial"/>
                <w:iCs/>
                <w:szCs w:val="18"/>
                <w:lang w:val="en-GB"/>
              </w:rPr>
            </w:pPr>
            <w:r w:rsidRPr="00FE3F13">
              <w:rPr>
                <w:rFonts w:cs="Arial"/>
                <w:iCs/>
                <w:lang w:val="en-GB"/>
              </w:rPr>
              <w:t>Fraction of bicarbonate from CO</w:t>
            </w:r>
            <w:r w:rsidRPr="00FE3F13">
              <w:rPr>
                <w:rFonts w:cs="Arial"/>
                <w:iCs/>
                <w:vertAlign w:val="subscript"/>
                <w:lang w:val="en-GB"/>
              </w:rPr>
              <w:t>2</w:t>
            </w:r>
          </w:p>
        </w:tc>
        <w:tc>
          <w:tcPr>
            <w:tcW w:w="2612" w:type="dxa"/>
            <w:gridSpan w:val="2"/>
            <w:tcBorders>
              <w:top w:val="single" w:sz="4" w:space="0" w:color="00B050"/>
              <w:bottom w:val="single" w:sz="6" w:space="0" w:color="008000"/>
            </w:tcBorders>
            <w:shd w:val="clear" w:color="auto" w:fill="FFFFFF"/>
          </w:tcPr>
          <w:p w14:paraId="124DF0FD" w14:textId="77777777" w:rsidR="006B110F" w:rsidRPr="00FE3F13" w:rsidRDefault="006B110F" w:rsidP="00FC5D0A">
            <w:pPr>
              <w:pStyle w:val="CETBodytext"/>
              <w:ind w:right="-1"/>
              <w:jc w:val="center"/>
              <w:rPr>
                <w:rFonts w:cs="Arial"/>
                <w:iCs/>
                <w:szCs w:val="18"/>
                <w:lang w:val="en-GB"/>
              </w:rPr>
            </w:pPr>
            <w:r w:rsidRPr="00FE3F13">
              <w:rPr>
                <w:rFonts w:cs="Arial"/>
                <w:iCs/>
                <w:lang w:val="en-GB"/>
              </w:rPr>
              <w:t>49</w:t>
            </w:r>
          </w:p>
        </w:tc>
        <w:tc>
          <w:tcPr>
            <w:tcW w:w="1520" w:type="dxa"/>
            <w:tcBorders>
              <w:top w:val="single" w:sz="4" w:space="0" w:color="00B050"/>
              <w:bottom w:val="single" w:sz="6" w:space="0" w:color="008000"/>
            </w:tcBorders>
            <w:shd w:val="clear" w:color="auto" w:fill="FFFFFF"/>
          </w:tcPr>
          <w:p w14:paraId="5322E1C4" w14:textId="77777777" w:rsidR="006B110F" w:rsidRPr="00FE3F13" w:rsidRDefault="006B110F" w:rsidP="00FC5D0A">
            <w:pPr>
              <w:pStyle w:val="CETBodytext"/>
              <w:ind w:right="-1"/>
              <w:jc w:val="center"/>
              <w:rPr>
                <w:rFonts w:cs="Arial"/>
                <w:iCs/>
                <w:szCs w:val="18"/>
                <w:lang w:val="en-GB"/>
              </w:rPr>
            </w:pPr>
            <w:r w:rsidRPr="00FE3F13">
              <w:rPr>
                <w:rFonts w:cs="Arial"/>
                <w:iCs/>
                <w:lang w:val="en-GB"/>
              </w:rPr>
              <w:t>%</w:t>
            </w:r>
          </w:p>
        </w:tc>
      </w:tr>
      <w:tr w:rsidR="006B110F" w:rsidRPr="00FE3F13" w14:paraId="7AA04E19" w14:textId="77777777" w:rsidTr="00BE6152">
        <w:trPr>
          <w:trHeight w:val="184"/>
        </w:trPr>
        <w:tc>
          <w:tcPr>
            <w:tcW w:w="2800" w:type="dxa"/>
            <w:gridSpan w:val="2"/>
            <w:tcBorders>
              <w:top w:val="single" w:sz="4" w:space="0" w:color="00B050"/>
              <w:bottom w:val="single" w:sz="6" w:space="0" w:color="008000"/>
            </w:tcBorders>
            <w:shd w:val="clear" w:color="auto" w:fill="FFFFFF"/>
          </w:tcPr>
          <w:p w14:paraId="247768DE" w14:textId="1DD637D4" w:rsidR="006B110F" w:rsidRPr="00FE3F13" w:rsidRDefault="006B110F" w:rsidP="00FC5D0A">
            <w:pPr>
              <w:pStyle w:val="CETBodytext"/>
              <w:ind w:right="-1"/>
              <w:jc w:val="center"/>
              <w:rPr>
                <w:rFonts w:cs="Arial"/>
                <w:iCs/>
                <w:szCs w:val="18"/>
                <w:lang w:val="en-GB"/>
              </w:rPr>
            </w:pPr>
            <w:r w:rsidRPr="00FE3F13">
              <w:rPr>
                <w:rFonts w:cs="Arial"/>
                <w:iCs/>
              </w:rPr>
              <w:t>pH</w:t>
            </w:r>
            <w:r w:rsidR="00FE3F13" w:rsidRPr="00FE3F13">
              <w:rPr>
                <w:rFonts w:cs="Arial"/>
                <w:iCs/>
              </w:rPr>
              <w:t xml:space="preserve"> </w:t>
            </w:r>
            <w:r w:rsidR="00FE3F13" w:rsidRPr="00FE3F13">
              <w:rPr>
                <w:rFonts w:cs="Arial"/>
                <w:iCs/>
                <w:vertAlign w:val="subscript"/>
              </w:rPr>
              <w:t>Ri</w:t>
            </w:r>
            <w:r w:rsidRPr="00FE3F13">
              <w:rPr>
                <w:rFonts w:cs="Arial"/>
                <w:iCs/>
                <w:vertAlign w:val="subscript"/>
              </w:rPr>
              <w:t xml:space="preserve">ch </w:t>
            </w:r>
            <w:r w:rsidR="00FE3F13" w:rsidRPr="00FE3F13">
              <w:rPr>
                <w:rFonts w:cs="Arial"/>
                <w:iCs/>
                <w:vertAlign w:val="subscript"/>
              </w:rPr>
              <w:t>S</w:t>
            </w:r>
            <w:r w:rsidRPr="00FE3F13">
              <w:rPr>
                <w:rFonts w:cs="Arial"/>
                <w:iCs/>
                <w:vertAlign w:val="subscript"/>
              </w:rPr>
              <w:t>olvent</w:t>
            </w:r>
          </w:p>
        </w:tc>
        <w:tc>
          <w:tcPr>
            <w:tcW w:w="2612" w:type="dxa"/>
            <w:gridSpan w:val="2"/>
            <w:tcBorders>
              <w:top w:val="single" w:sz="4" w:space="0" w:color="00B050"/>
              <w:bottom w:val="single" w:sz="6" w:space="0" w:color="008000"/>
            </w:tcBorders>
            <w:shd w:val="clear" w:color="auto" w:fill="FFFFFF"/>
          </w:tcPr>
          <w:p w14:paraId="13FECDC4" w14:textId="77777777" w:rsidR="006B110F" w:rsidRPr="00FE3F13" w:rsidRDefault="006B110F" w:rsidP="00FC5D0A">
            <w:pPr>
              <w:pStyle w:val="CETBodytext"/>
              <w:ind w:right="-1"/>
              <w:jc w:val="center"/>
              <w:rPr>
                <w:rFonts w:cs="Arial"/>
                <w:iCs/>
                <w:szCs w:val="18"/>
                <w:lang w:val="en-GB"/>
              </w:rPr>
            </w:pPr>
            <w:r w:rsidRPr="00FE3F13">
              <w:rPr>
                <w:rFonts w:cs="Arial"/>
                <w:iCs/>
                <w:lang w:val="en-GB"/>
              </w:rPr>
              <w:t>9.75</w:t>
            </w:r>
          </w:p>
        </w:tc>
        <w:tc>
          <w:tcPr>
            <w:tcW w:w="1520" w:type="dxa"/>
            <w:tcBorders>
              <w:top w:val="single" w:sz="4" w:space="0" w:color="00B050"/>
              <w:bottom w:val="single" w:sz="6" w:space="0" w:color="008000"/>
            </w:tcBorders>
            <w:shd w:val="clear" w:color="auto" w:fill="FFFFFF"/>
          </w:tcPr>
          <w:p w14:paraId="312885C3" w14:textId="77777777" w:rsidR="006B110F" w:rsidRPr="00FE3F13" w:rsidRDefault="006B110F" w:rsidP="00FC5D0A">
            <w:pPr>
              <w:pStyle w:val="CETBodytext"/>
              <w:ind w:right="-1"/>
              <w:jc w:val="center"/>
              <w:rPr>
                <w:rFonts w:cs="Arial"/>
                <w:iCs/>
                <w:szCs w:val="18"/>
                <w:lang w:val="en-GB"/>
              </w:rPr>
            </w:pPr>
          </w:p>
        </w:tc>
      </w:tr>
      <w:tr w:rsidR="006B110F" w:rsidRPr="00D40170" w14:paraId="3CF52621" w14:textId="77777777" w:rsidTr="00BE6152">
        <w:trPr>
          <w:trHeight w:val="161"/>
        </w:trPr>
        <w:tc>
          <w:tcPr>
            <w:tcW w:w="6934" w:type="dxa"/>
            <w:gridSpan w:val="5"/>
            <w:tcBorders>
              <w:top w:val="single" w:sz="12" w:space="0" w:color="008000"/>
              <w:bottom w:val="single" w:sz="4" w:space="0" w:color="F79646" w:themeColor="accent6"/>
            </w:tcBorders>
            <w:shd w:val="clear" w:color="auto" w:fill="FFFFFF"/>
            <w:vAlign w:val="center"/>
          </w:tcPr>
          <w:p w14:paraId="72E10120" w14:textId="77777777" w:rsidR="006B110F" w:rsidRPr="00D40170" w:rsidRDefault="006B110F" w:rsidP="00FC5D0A">
            <w:pPr>
              <w:pStyle w:val="CETBodytext"/>
              <w:ind w:right="-1"/>
              <w:jc w:val="center"/>
              <w:rPr>
                <w:b/>
                <w:bCs/>
                <w:iCs/>
                <w:lang w:val="en-GB"/>
              </w:rPr>
            </w:pPr>
            <w:r w:rsidRPr="00D40170">
              <w:rPr>
                <w:b/>
                <w:bCs/>
                <w:iCs/>
                <w:lang w:val="en-GB"/>
              </w:rPr>
              <w:t>Enzymatic carboxylation unit</w:t>
            </w:r>
          </w:p>
        </w:tc>
      </w:tr>
      <w:tr w:rsidR="006B110F" w:rsidRPr="00D40170" w14:paraId="1D23CA56" w14:textId="77777777" w:rsidTr="00BE6152">
        <w:trPr>
          <w:trHeight w:val="331"/>
        </w:trPr>
        <w:tc>
          <w:tcPr>
            <w:tcW w:w="2657" w:type="dxa"/>
            <w:vMerge w:val="restart"/>
            <w:tcBorders>
              <w:top w:val="single" w:sz="4" w:space="0" w:color="00B050"/>
              <w:right w:val="single" w:sz="4" w:space="0" w:color="00B050"/>
            </w:tcBorders>
            <w:shd w:val="clear" w:color="auto" w:fill="FFFFFF"/>
            <w:vAlign w:val="center"/>
          </w:tcPr>
          <w:p w14:paraId="23C4A36C" w14:textId="77777777" w:rsidR="006B110F" w:rsidRPr="00D40170" w:rsidRDefault="006B110F" w:rsidP="00FC5D0A">
            <w:pPr>
              <w:pStyle w:val="CETBodytext"/>
              <w:jc w:val="center"/>
              <w:rPr>
                <w:iCs/>
                <w:lang w:val="en-GB"/>
              </w:rPr>
            </w:pPr>
          </w:p>
        </w:tc>
        <w:tc>
          <w:tcPr>
            <w:tcW w:w="4277" w:type="dxa"/>
            <w:gridSpan w:val="4"/>
            <w:tcBorders>
              <w:top w:val="single" w:sz="4" w:space="0" w:color="00B050"/>
              <w:left w:val="single" w:sz="4" w:space="0" w:color="00B050"/>
              <w:bottom w:val="nil"/>
            </w:tcBorders>
            <w:shd w:val="clear" w:color="auto" w:fill="FFFFFF"/>
            <w:vAlign w:val="center"/>
          </w:tcPr>
          <w:p w14:paraId="49BE1B22" w14:textId="77777777" w:rsidR="006B110F" w:rsidRPr="00D40170" w:rsidRDefault="006B110F" w:rsidP="00FC5D0A">
            <w:pPr>
              <w:pStyle w:val="CETBodytext"/>
              <w:ind w:right="-1"/>
              <w:jc w:val="center"/>
              <w:rPr>
                <w:rFonts w:cs="Arial"/>
                <w:b/>
                <w:bCs/>
                <w:iCs/>
                <w:szCs w:val="18"/>
                <w:lang w:val="en-GB"/>
              </w:rPr>
            </w:pPr>
            <w:r w:rsidRPr="00D40170">
              <w:rPr>
                <w:b/>
                <w:bCs/>
                <w:iCs/>
                <w:lang w:val="en-GB"/>
              </w:rPr>
              <w:t>Initial 1,2-DHB concentration, M</w:t>
            </w:r>
          </w:p>
        </w:tc>
      </w:tr>
      <w:tr w:rsidR="00136F9D" w:rsidRPr="00D40170" w14:paraId="5C177A51" w14:textId="77777777" w:rsidTr="00BE6152">
        <w:trPr>
          <w:trHeight w:val="331"/>
        </w:trPr>
        <w:tc>
          <w:tcPr>
            <w:tcW w:w="2657" w:type="dxa"/>
            <w:vMerge/>
            <w:tcBorders>
              <w:bottom w:val="single" w:sz="12" w:space="0" w:color="00B050"/>
              <w:right w:val="single" w:sz="4" w:space="0" w:color="00B050"/>
            </w:tcBorders>
            <w:shd w:val="clear" w:color="auto" w:fill="FFFFFF"/>
            <w:vAlign w:val="center"/>
          </w:tcPr>
          <w:p w14:paraId="0115F6B3" w14:textId="77777777" w:rsidR="006B110F" w:rsidRPr="00D40170" w:rsidRDefault="006B110F" w:rsidP="00FC5D0A">
            <w:pPr>
              <w:pStyle w:val="CETBodytext"/>
              <w:jc w:val="center"/>
              <w:rPr>
                <w:iCs/>
                <w:lang w:val="en-GB"/>
              </w:rPr>
            </w:pPr>
          </w:p>
        </w:tc>
        <w:tc>
          <w:tcPr>
            <w:tcW w:w="1334" w:type="dxa"/>
            <w:gridSpan w:val="2"/>
            <w:tcBorders>
              <w:top w:val="single" w:sz="4" w:space="0" w:color="00B050"/>
              <w:left w:val="single" w:sz="4" w:space="0" w:color="00B050"/>
              <w:bottom w:val="single" w:sz="12" w:space="0" w:color="00B050"/>
              <w:right w:val="single" w:sz="4" w:space="0" w:color="00B050"/>
            </w:tcBorders>
            <w:shd w:val="clear" w:color="auto" w:fill="FFFFFF"/>
            <w:vAlign w:val="center"/>
          </w:tcPr>
          <w:p w14:paraId="42A5E002" w14:textId="77777777" w:rsidR="006B110F" w:rsidRPr="00D40170" w:rsidRDefault="006B110F" w:rsidP="00FC5D0A">
            <w:pPr>
              <w:pStyle w:val="CETBodytext"/>
              <w:ind w:right="-1"/>
              <w:jc w:val="center"/>
              <w:rPr>
                <w:rFonts w:cs="Arial"/>
                <w:b/>
                <w:bCs/>
                <w:iCs/>
                <w:szCs w:val="18"/>
                <w:lang w:val="en-GB"/>
              </w:rPr>
            </w:pPr>
            <w:r w:rsidRPr="00D40170">
              <w:rPr>
                <w:b/>
                <w:bCs/>
                <w:iCs/>
                <w:lang w:val="en-GB"/>
              </w:rPr>
              <w:t>0.03</w:t>
            </w:r>
          </w:p>
        </w:tc>
        <w:tc>
          <w:tcPr>
            <w:tcW w:w="1421" w:type="dxa"/>
            <w:tcBorders>
              <w:top w:val="single" w:sz="4" w:space="0" w:color="00B050"/>
              <w:left w:val="single" w:sz="4" w:space="0" w:color="00B050"/>
              <w:bottom w:val="single" w:sz="12" w:space="0" w:color="00B050"/>
              <w:right w:val="single" w:sz="4" w:space="0" w:color="00B050"/>
            </w:tcBorders>
            <w:shd w:val="clear" w:color="auto" w:fill="FFFFFF"/>
            <w:vAlign w:val="center"/>
          </w:tcPr>
          <w:p w14:paraId="708F824B" w14:textId="77777777" w:rsidR="006B110F" w:rsidRPr="00D40170" w:rsidRDefault="006B110F" w:rsidP="00FC5D0A">
            <w:pPr>
              <w:pStyle w:val="CETBodytext"/>
              <w:ind w:right="-1"/>
              <w:jc w:val="center"/>
              <w:rPr>
                <w:rFonts w:cs="Arial"/>
                <w:b/>
                <w:bCs/>
                <w:iCs/>
                <w:szCs w:val="18"/>
                <w:lang w:val="en-GB"/>
              </w:rPr>
            </w:pPr>
            <w:r w:rsidRPr="00D40170">
              <w:rPr>
                <w:b/>
                <w:bCs/>
                <w:iCs/>
                <w:lang w:val="en-GB"/>
              </w:rPr>
              <w:t>0.05</w:t>
            </w:r>
          </w:p>
        </w:tc>
        <w:tc>
          <w:tcPr>
            <w:tcW w:w="1520" w:type="dxa"/>
            <w:tcBorders>
              <w:top w:val="single" w:sz="4" w:space="0" w:color="00B050"/>
              <w:left w:val="single" w:sz="4" w:space="0" w:color="00B050"/>
              <w:bottom w:val="single" w:sz="12" w:space="0" w:color="00B050"/>
            </w:tcBorders>
            <w:shd w:val="clear" w:color="auto" w:fill="FFFFFF"/>
            <w:vAlign w:val="center"/>
          </w:tcPr>
          <w:p w14:paraId="4C866D2F" w14:textId="77777777" w:rsidR="006B110F" w:rsidRPr="00D40170" w:rsidRDefault="006B110F" w:rsidP="00FC5D0A">
            <w:pPr>
              <w:pStyle w:val="CETBodytext"/>
              <w:ind w:right="-1"/>
              <w:jc w:val="center"/>
              <w:rPr>
                <w:rFonts w:cs="Arial"/>
                <w:b/>
                <w:bCs/>
                <w:iCs/>
                <w:szCs w:val="18"/>
                <w:lang w:val="en-GB"/>
              </w:rPr>
            </w:pPr>
            <w:r w:rsidRPr="00D40170">
              <w:rPr>
                <w:b/>
                <w:bCs/>
                <w:iCs/>
                <w:lang w:val="en-GB"/>
              </w:rPr>
              <w:t>0.08</w:t>
            </w:r>
          </w:p>
        </w:tc>
      </w:tr>
      <w:tr w:rsidR="00136F9D" w:rsidRPr="00D40170" w14:paraId="4B72D321" w14:textId="77777777" w:rsidTr="00BE6152">
        <w:trPr>
          <w:trHeight w:val="331"/>
        </w:trPr>
        <w:tc>
          <w:tcPr>
            <w:tcW w:w="2657" w:type="dxa"/>
            <w:tcBorders>
              <w:top w:val="single" w:sz="12" w:space="0" w:color="00B050"/>
              <w:bottom w:val="nil"/>
              <w:right w:val="single" w:sz="4" w:space="0" w:color="00B050"/>
            </w:tcBorders>
            <w:shd w:val="clear" w:color="auto" w:fill="FFFFFF"/>
            <w:vAlign w:val="center"/>
          </w:tcPr>
          <w:p w14:paraId="0BBC51E4" w14:textId="77777777" w:rsidR="006B110F" w:rsidRPr="00D40170" w:rsidRDefault="006B110F" w:rsidP="00FC5D0A">
            <w:pPr>
              <w:pStyle w:val="CETBodytext"/>
              <w:jc w:val="center"/>
              <w:rPr>
                <w:iCs/>
                <w:lang w:val="en-GB"/>
              </w:rPr>
            </w:pPr>
            <w:r w:rsidRPr="00D40170">
              <w:rPr>
                <w:iCs/>
              </w:rPr>
              <w:t>1,2 DHB conversion degree, %</w:t>
            </w:r>
          </w:p>
        </w:tc>
        <w:tc>
          <w:tcPr>
            <w:tcW w:w="1334" w:type="dxa"/>
            <w:gridSpan w:val="2"/>
            <w:tcBorders>
              <w:top w:val="single" w:sz="12" w:space="0" w:color="00B050"/>
              <w:left w:val="single" w:sz="4" w:space="0" w:color="00B050"/>
              <w:bottom w:val="nil"/>
              <w:right w:val="single" w:sz="4" w:space="0" w:color="00B050"/>
            </w:tcBorders>
            <w:shd w:val="clear" w:color="auto" w:fill="FFFFFF"/>
            <w:vAlign w:val="center"/>
          </w:tcPr>
          <w:p w14:paraId="529E50D9" w14:textId="77777777" w:rsidR="006B110F" w:rsidRPr="00D40170" w:rsidRDefault="006B110F" w:rsidP="00FC5D0A">
            <w:pPr>
              <w:pStyle w:val="CETBodytext"/>
              <w:ind w:right="-1"/>
              <w:jc w:val="center"/>
              <w:rPr>
                <w:rFonts w:cs="Arial"/>
                <w:iCs/>
                <w:szCs w:val="18"/>
                <w:lang w:val="en-GB"/>
              </w:rPr>
            </w:pPr>
            <w:r w:rsidRPr="00D40170">
              <w:rPr>
                <w:iCs/>
                <w:lang w:val="en-GB"/>
              </w:rPr>
              <w:t>20.8</w:t>
            </w:r>
          </w:p>
        </w:tc>
        <w:tc>
          <w:tcPr>
            <w:tcW w:w="1421" w:type="dxa"/>
            <w:tcBorders>
              <w:top w:val="single" w:sz="12" w:space="0" w:color="00B050"/>
              <w:left w:val="single" w:sz="4" w:space="0" w:color="00B050"/>
              <w:bottom w:val="nil"/>
              <w:right w:val="single" w:sz="4" w:space="0" w:color="00B050"/>
            </w:tcBorders>
            <w:shd w:val="clear" w:color="auto" w:fill="FFFFFF"/>
            <w:vAlign w:val="center"/>
          </w:tcPr>
          <w:p w14:paraId="1E907771" w14:textId="77777777" w:rsidR="006B110F" w:rsidRPr="00D40170" w:rsidRDefault="006B110F" w:rsidP="00FC5D0A">
            <w:pPr>
              <w:pStyle w:val="CETBodytext"/>
              <w:ind w:right="-1"/>
              <w:jc w:val="center"/>
              <w:rPr>
                <w:rFonts w:cs="Arial"/>
                <w:iCs/>
                <w:szCs w:val="18"/>
                <w:lang w:val="en-GB"/>
              </w:rPr>
            </w:pPr>
            <w:r w:rsidRPr="00D40170">
              <w:rPr>
                <w:iCs/>
                <w:lang w:val="en-GB"/>
              </w:rPr>
              <w:t>20.8</w:t>
            </w:r>
          </w:p>
        </w:tc>
        <w:tc>
          <w:tcPr>
            <w:tcW w:w="1520" w:type="dxa"/>
            <w:tcBorders>
              <w:top w:val="single" w:sz="12" w:space="0" w:color="00B050"/>
              <w:left w:val="single" w:sz="4" w:space="0" w:color="00B050"/>
              <w:bottom w:val="nil"/>
            </w:tcBorders>
            <w:shd w:val="clear" w:color="auto" w:fill="FFFFFF"/>
            <w:vAlign w:val="center"/>
          </w:tcPr>
          <w:p w14:paraId="2742DF07" w14:textId="77777777" w:rsidR="006B110F" w:rsidRPr="00D40170" w:rsidRDefault="006B110F" w:rsidP="00FC5D0A">
            <w:pPr>
              <w:pStyle w:val="CETBodytext"/>
              <w:ind w:right="-1"/>
              <w:jc w:val="center"/>
              <w:rPr>
                <w:rFonts w:cs="Arial"/>
                <w:iCs/>
                <w:szCs w:val="18"/>
                <w:lang w:val="en-GB"/>
              </w:rPr>
            </w:pPr>
            <w:r w:rsidRPr="00D40170">
              <w:rPr>
                <w:iCs/>
                <w:lang w:val="en-GB"/>
              </w:rPr>
              <w:t>20.7</w:t>
            </w:r>
          </w:p>
        </w:tc>
      </w:tr>
      <w:tr w:rsidR="00136F9D" w:rsidRPr="00D40170" w14:paraId="1E1A5D85" w14:textId="77777777" w:rsidTr="00BE6152">
        <w:trPr>
          <w:trHeight w:val="331"/>
        </w:trPr>
        <w:tc>
          <w:tcPr>
            <w:tcW w:w="2657" w:type="dxa"/>
            <w:tcBorders>
              <w:top w:val="single" w:sz="4" w:space="0" w:color="00B050"/>
              <w:bottom w:val="nil"/>
              <w:right w:val="single" w:sz="4" w:space="0" w:color="00B050"/>
            </w:tcBorders>
            <w:shd w:val="clear" w:color="auto" w:fill="FFFFFF"/>
            <w:vAlign w:val="center"/>
          </w:tcPr>
          <w:p w14:paraId="0F1A6CB0" w14:textId="77777777" w:rsidR="006B110F" w:rsidRPr="00D40170" w:rsidRDefault="006B110F" w:rsidP="00FC5D0A">
            <w:pPr>
              <w:pStyle w:val="CETBodytext"/>
              <w:jc w:val="center"/>
              <w:rPr>
                <w:iCs/>
                <w:lang w:val="en-GB"/>
              </w:rPr>
            </w:pPr>
            <w:r w:rsidRPr="00D40170">
              <w:rPr>
                <w:iCs/>
              </w:rPr>
              <w:t>[A</w:t>
            </w:r>
            <w:r w:rsidRPr="00D40170">
              <w:rPr>
                <w:iCs/>
                <w:vertAlign w:val="superscript"/>
              </w:rPr>
              <w:t>-</w:t>
            </w:r>
            <w:r w:rsidRPr="00D40170">
              <w:rPr>
                <w:iCs/>
              </w:rPr>
              <w:t>]</w:t>
            </w:r>
            <w:r w:rsidRPr="00D40170">
              <w:rPr>
                <w:iCs/>
                <w:vertAlign w:val="subscript"/>
              </w:rPr>
              <w:t>OUT</w:t>
            </w:r>
            <w:r w:rsidRPr="00D40170">
              <w:rPr>
                <w:iCs/>
              </w:rPr>
              <w:t>, M</w:t>
            </w:r>
          </w:p>
        </w:tc>
        <w:tc>
          <w:tcPr>
            <w:tcW w:w="1334" w:type="dxa"/>
            <w:gridSpan w:val="2"/>
            <w:tcBorders>
              <w:top w:val="single" w:sz="4" w:space="0" w:color="00B050"/>
              <w:left w:val="single" w:sz="4" w:space="0" w:color="00B050"/>
              <w:bottom w:val="nil"/>
              <w:right w:val="single" w:sz="4" w:space="0" w:color="00B050"/>
            </w:tcBorders>
            <w:shd w:val="clear" w:color="auto" w:fill="FFFFFF"/>
            <w:vAlign w:val="center"/>
          </w:tcPr>
          <w:p w14:paraId="03C84B4C" w14:textId="77777777" w:rsidR="006B110F" w:rsidRPr="00D40170" w:rsidRDefault="006B110F" w:rsidP="00FC5D0A">
            <w:pPr>
              <w:pStyle w:val="CETBodytext"/>
              <w:ind w:right="-1"/>
              <w:jc w:val="center"/>
              <w:rPr>
                <w:rFonts w:cs="Arial"/>
                <w:iCs/>
                <w:szCs w:val="18"/>
                <w:lang w:val="en-GB"/>
              </w:rPr>
            </w:pPr>
            <w:r w:rsidRPr="00D40170">
              <w:rPr>
                <w:iCs/>
                <w:lang w:val="en-GB"/>
              </w:rPr>
              <w:t>0.0062</w:t>
            </w:r>
          </w:p>
        </w:tc>
        <w:tc>
          <w:tcPr>
            <w:tcW w:w="1421" w:type="dxa"/>
            <w:tcBorders>
              <w:top w:val="single" w:sz="4" w:space="0" w:color="00B050"/>
              <w:left w:val="single" w:sz="4" w:space="0" w:color="00B050"/>
              <w:bottom w:val="nil"/>
              <w:right w:val="single" w:sz="4" w:space="0" w:color="00B050"/>
            </w:tcBorders>
            <w:shd w:val="clear" w:color="auto" w:fill="FFFFFF"/>
            <w:vAlign w:val="center"/>
          </w:tcPr>
          <w:p w14:paraId="35FD4E4B" w14:textId="77777777" w:rsidR="006B110F" w:rsidRPr="00D40170" w:rsidRDefault="006B110F" w:rsidP="00FC5D0A">
            <w:pPr>
              <w:pStyle w:val="CETBodytext"/>
              <w:ind w:right="-1"/>
              <w:jc w:val="center"/>
              <w:rPr>
                <w:rFonts w:cs="Arial"/>
                <w:iCs/>
                <w:szCs w:val="18"/>
                <w:lang w:val="en-GB"/>
              </w:rPr>
            </w:pPr>
            <w:r w:rsidRPr="00D40170">
              <w:rPr>
                <w:iCs/>
                <w:lang w:val="en-GB"/>
              </w:rPr>
              <w:t>0.0104</w:t>
            </w:r>
          </w:p>
        </w:tc>
        <w:tc>
          <w:tcPr>
            <w:tcW w:w="1520" w:type="dxa"/>
            <w:tcBorders>
              <w:top w:val="single" w:sz="4" w:space="0" w:color="00B050"/>
              <w:left w:val="single" w:sz="4" w:space="0" w:color="00B050"/>
              <w:bottom w:val="nil"/>
            </w:tcBorders>
            <w:shd w:val="clear" w:color="auto" w:fill="FFFFFF"/>
            <w:vAlign w:val="center"/>
          </w:tcPr>
          <w:p w14:paraId="51B1691D" w14:textId="77777777" w:rsidR="006B110F" w:rsidRPr="00D40170" w:rsidRDefault="006B110F" w:rsidP="00FC5D0A">
            <w:pPr>
              <w:pStyle w:val="CETBodytext"/>
              <w:ind w:right="-1"/>
              <w:jc w:val="center"/>
              <w:rPr>
                <w:rFonts w:cs="Arial"/>
                <w:iCs/>
                <w:szCs w:val="18"/>
                <w:lang w:val="en-GB"/>
              </w:rPr>
            </w:pPr>
            <w:r w:rsidRPr="00D40170">
              <w:rPr>
                <w:iCs/>
                <w:lang w:val="en-GB"/>
              </w:rPr>
              <w:t>0.0165</w:t>
            </w:r>
          </w:p>
        </w:tc>
      </w:tr>
      <w:tr w:rsidR="00136F9D" w:rsidRPr="00D40170" w14:paraId="76313118" w14:textId="77777777" w:rsidTr="00BE6152">
        <w:trPr>
          <w:trHeight w:val="331"/>
        </w:trPr>
        <w:tc>
          <w:tcPr>
            <w:tcW w:w="2657" w:type="dxa"/>
            <w:tcBorders>
              <w:top w:val="single" w:sz="4" w:space="0" w:color="00B050"/>
              <w:bottom w:val="nil"/>
              <w:right w:val="single" w:sz="4" w:space="0" w:color="00B050"/>
            </w:tcBorders>
            <w:shd w:val="clear" w:color="auto" w:fill="FFFFFF"/>
            <w:vAlign w:val="center"/>
          </w:tcPr>
          <w:p w14:paraId="748284F0" w14:textId="77777777" w:rsidR="006B110F" w:rsidRPr="00D40170" w:rsidRDefault="006B110F" w:rsidP="00FC5D0A">
            <w:pPr>
              <w:pStyle w:val="CETBodytext"/>
              <w:jc w:val="center"/>
              <w:rPr>
                <w:iCs/>
              </w:rPr>
            </w:pPr>
            <w:r w:rsidRPr="00D40170">
              <w:rPr>
                <w:iCs/>
              </w:rPr>
              <w:t>[HA]</w:t>
            </w:r>
            <w:r w:rsidRPr="00D40170">
              <w:rPr>
                <w:iCs/>
                <w:vertAlign w:val="subscript"/>
              </w:rPr>
              <w:t>OUT</w:t>
            </w:r>
            <w:r w:rsidRPr="00D40170">
              <w:rPr>
                <w:iCs/>
              </w:rPr>
              <w:t>, M</w:t>
            </w:r>
          </w:p>
        </w:tc>
        <w:tc>
          <w:tcPr>
            <w:tcW w:w="1334" w:type="dxa"/>
            <w:gridSpan w:val="2"/>
            <w:tcBorders>
              <w:top w:val="single" w:sz="4" w:space="0" w:color="00B050"/>
              <w:left w:val="single" w:sz="4" w:space="0" w:color="00B050"/>
              <w:bottom w:val="nil"/>
              <w:right w:val="single" w:sz="4" w:space="0" w:color="00B050"/>
            </w:tcBorders>
            <w:shd w:val="clear" w:color="auto" w:fill="FFFFFF"/>
            <w:vAlign w:val="center"/>
          </w:tcPr>
          <w:p w14:paraId="4E32F248" w14:textId="77777777" w:rsidR="006B110F" w:rsidRPr="00D40170" w:rsidRDefault="006B110F" w:rsidP="00FC5D0A">
            <w:pPr>
              <w:pStyle w:val="CETBodytext"/>
              <w:ind w:right="-1"/>
              <w:jc w:val="center"/>
              <w:rPr>
                <w:iCs/>
                <w:lang w:val="en-GB"/>
              </w:rPr>
            </w:pPr>
            <w:r w:rsidRPr="00D40170">
              <w:rPr>
                <w:iCs/>
                <w:lang w:val="en-GB"/>
              </w:rPr>
              <w:t>7.6 10</w:t>
            </w:r>
            <w:r w:rsidRPr="00D40170">
              <w:rPr>
                <w:iCs/>
                <w:vertAlign w:val="superscript"/>
                <w:lang w:val="en-GB"/>
              </w:rPr>
              <w:t>-12</w:t>
            </w:r>
          </w:p>
        </w:tc>
        <w:tc>
          <w:tcPr>
            <w:tcW w:w="1421" w:type="dxa"/>
            <w:tcBorders>
              <w:top w:val="single" w:sz="4" w:space="0" w:color="00B050"/>
              <w:left w:val="single" w:sz="4" w:space="0" w:color="00B050"/>
              <w:bottom w:val="nil"/>
              <w:right w:val="single" w:sz="4" w:space="0" w:color="00B050"/>
            </w:tcBorders>
            <w:shd w:val="clear" w:color="auto" w:fill="FFFFFF"/>
            <w:vAlign w:val="center"/>
          </w:tcPr>
          <w:p w14:paraId="1385A12E" w14:textId="77777777" w:rsidR="006B110F" w:rsidRPr="00D40170" w:rsidRDefault="006B110F" w:rsidP="00FC5D0A">
            <w:pPr>
              <w:pStyle w:val="CETBodytext"/>
              <w:ind w:right="-1"/>
              <w:jc w:val="center"/>
              <w:rPr>
                <w:iCs/>
                <w:lang w:val="en-GB"/>
              </w:rPr>
            </w:pPr>
            <w:r w:rsidRPr="00D40170">
              <w:rPr>
                <w:iCs/>
                <w:lang w:val="en-GB"/>
              </w:rPr>
              <w:t>1.3 10</w:t>
            </w:r>
            <w:r w:rsidRPr="00D40170">
              <w:rPr>
                <w:iCs/>
                <w:vertAlign w:val="superscript"/>
                <w:lang w:val="en-GB"/>
              </w:rPr>
              <w:t>-11</w:t>
            </w:r>
          </w:p>
        </w:tc>
        <w:tc>
          <w:tcPr>
            <w:tcW w:w="1520" w:type="dxa"/>
            <w:tcBorders>
              <w:top w:val="single" w:sz="4" w:space="0" w:color="00B050"/>
              <w:left w:val="single" w:sz="4" w:space="0" w:color="00B050"/>
              <w:bottom w:val="nil"/>
            </w:tcBorders>
            <w:shd w:val="clear" w:color="auto" w:fill="FFFFFF"/>
            <w:vAlign w:val="center"/>
          </w:tcPr>
          <w:p w14:paraId="08852034" w14:textId="77777777" w:rsidR="006B110F" w:rsidRPr="00D40170" w:rsidRDefault="006B110F" w:rsidP="00FC5D0A">
            <w:pPr>
              <w:pStyle w:val="CETBodytext"/>
              <w:ind w:right="-1"/>
              <w:jc w:val="center"/>
              <w:rPr>
                <w:iCs/>
                <w:lang w:val="en-GB"/>
              </w:rPr>
            </w:pPr>
            <w:r w:rsidRPr="00D40170">
              <w:rPr>
                <w:iCs/>
                <w:lang w:val="en-GB"/>
              </w:rPr>
              <w:t>2.0 10</w:t>
            </w:r>
            <w:r w:rsidRPr="00D40170">
              <w:rPr>
                <w:iCs/>
                <w:vertAlign w:val="superscript"/>
                <w:lang w:val="en-GB"/>
              </w:rPr>
              <w:t>-11</w:t>
            </w:r>
          </w:p>
        </w:tc>
      </w:tr>
      <w:tr w:rsidR="00136F9D" w:rsidRPr="00D40170" w14:paraId="10E370A4" w14:textId="77777777" w:rsidTr="00BE6152">
        <w:trPr>
          <w:trHeight w:val="331"/>
        </w:trPr>
        <w:tc>
          <w:tcPr>
            <w:tcW w:w="2657" w:type="dxa"/>
            <w:tcBorders>
              <w:top w:val="single" w:sz="4" w:space="0" w:color="00B050"/>
              <w:bottom w:val="single" w:sz="12" w:space="0" w:color="00B050"/>
              <w:right w:val="single" w:sz="4" w:space="0" w:color="00B050"/>
            </w:tcBorders>
            <w:shd w:val="clear" w:color="auto" w:fill="FFFFFF"/>
            <w:vAlign w:val="center"/>
          </w:tcPr>
          <w:p w14:paraId="58356D7D" w14:textId="77777777" w:rsidR="006B110F" w:rsidRPr="00D40170" w:rsidRDefault="006B110F" w:rsidP="00FC5D0A">
            <w:pPr>
              <w:pStyle w:val="CETBodytext"/>
              <w:jc w:val="center"/>
              <w:rPr>
                <w:iCs/>
              </w:rPr>
            </w:pPr>
            <w:r w:rsidRPr="00D40170">
              <w:rPr>
                <w:iCs/>
              </w:rPr>
              <w:t>[HCO</w:t>
            </w:r>
            <w:r w:rsidRPr="00D40170">
              <w:rPr>
                <w:iCs/>
                <w:vertAlign w:val="subscript"/>
              </w:rPr>
              <w:t>3</w:t>
            </w:r>
            <w:r w:rsidRPr="00D40170">
              <w:rPr>
                <w:iCs/>
                <w:vertAlign w:val="superscript"/>
              </w:rPr>
              <w:t>-</w:t>
            </w:r>
            <w:r w:rsidRPr="00D40170">
              <w:rPr>
                <w:iCs/>
              </w:rPr>
              <w:t>]</w:t>
            </w:r>
            <w:r w:rsidRPr="00D40170">
              <w:rPr>
                <w:iCs/>
                <w:vertAlign w:val="subscript"/>
              </w:rPr>
              <w:t>OUT</w:t>
            </w:r>
            <w:r w:rsidRPr="00D40170">
              <w:rPr>
                <w:iCs/>
              </w:rPr>
              <w:t>, M</w:t>
            </w:r>
          </w:p>
        </w:tc>
        <w:tc>
          <w:tcPr>
            <w:tcW w:w="1334" w:type="dxa"/>
            <w:gridSpan w:val="2"/>
            <w:tcBorders>
              <w:top w:val="single" w:sz="4" w:space="0" w:color="00B050"/>
              <w:left w:val="single" w:sz="4" w:space="0" w:color="00B050"/>
              <w:bottom w:val="single" w:sz="12" w:space="0" w:color="00B050"/>
              <w:right w:val="single" w:sz="4" w:space="0" w:color="00B050"/>
            </w:tcBorders>
            <w:shd w:val="clear" w:color="auto" w:fill="FFFFFF"/>
            <w:vAlign w:val="center"/>
          </w:tcPr>
          <w:p w14:paraId="14B63359" w14:textId="77777777" w:rsidR="006B110F" w:rsidRPr="00D40170" w:rsidRDefault="006B110F" w:rsidP="00FC5D0A">
            <w:pPr>
              <w:pStyle w:val="CETBodytext"/>
              <w:ind w:right="-1"/>
              <w:jc w:val="center"/>
              <w:rPr>
                <w:iCs/>
                <w:lang w:val="en-GB"/>
              </w:rPr>
            </w:pPr>
            <w:r w:rsidRPr="00D40170">
              <w:rPr>
                <w:iCs/>
                <w:lang w:val="en-GB"/>
              </w:rPr>
              <w:t>1.641</w:t>
            </w:r>
          </w:p>
        </w:tc>
        <w:tc>
          <w:tcPr>
            <w:tcW w:w="1421" w:type="dxa"/>
            <w:tcBorders>
              <w:top w:val="single" w:sz="4" w:space="0" w:color="00B050"/>
              <w:left w:val="single" w:sz="4" w:space="0" w:color="00B050"/>
              <w:bottom w:val="single" w:sz="12" w:space="0" w:color="00B050"/>
              <w:right w:val="single" w:sz="4" w:space="0" w:color="00B050"/>
            </w:tcBorders>
            <w:shd w:val="clear" w:color="auto" w:fill="FFFFFF"/>
            <w:vAlign w:val="center"/>
          </w:tcPr>
          <w:p w14:paraId="2CDC9621" w14:textId="77777777" w:rsidR="006B110F" w:rsidRPr="00D40170" w:rsidRDefault="006B110F" w:rsidP="00FC5D0A">
            <w:pPr>
              <w:pStyle w:val="CETBodytext"/>
              <w:ind w:right="-1"/>
              <w:jc w:val="center"/>
              <w:rPr>
                <w:iCs/>
                <w:lang w:val="en-GB"/>
              </w:rPr>
            </w:pPr>
            <w:r w:rsidRPr="00D40170">
              <w:rPr>
                <w:iCs/>
                <w:lang w:val="en-GB"/>
              </w:rPr>
              <w:t>1.637</w:t>
            </w:r>
          </w:p>
        </w:tc>
        <w:tc>
          <w:tcPr>
            <w:tcW w:w="1520" w:type="dxa"/>
            <w:tcBorders>
              <w:top w:val="single" w:sz="4" w:space="0" w:color="00B050"/>
              <w:left w:val="single" w:sz="4" w:space="0" w:color="00B050"/>
              <w:bottom w:val="single" w:sz="12" w:space="0" w:color="00B050"/>
            </w:tcBorders>
            <w:shd w:val="clear" w:color="auto" w:fill="FFFFFF"/>
            <w:vAlign w:val="center"/>
          </w:tcPr>
          <w:p w14:paraId="25783DB1" w14:textId="77777777" w:rsidR="006B110F" w:rsidRPr="00D40170" w:rsidRDefault="006B110F" w:rsidP="00FC5D0A">
            <w:pPr>
              <w:pStyle w:val="CETBodytext"/>
              <w:ind w:right="-1"/>
              <w:jc w:val="center"/>
              <w:rPr>
                <w:iCs/>
                <w:lang w:val="en-GB"/>
              </w:rPr>
            </w:pPr>
            <w:r w:rsidRPr="00D40170">
              <w:rPr>
                <w:iCs/>
                <w:lang w:val="en-GB"/>
              </w:rPr>
              <w:t>1.630</w:t>
            </w:r>
          </w:p>
        </w:tc>
      </w:tr>
    </w:tbl>
    <w:p w14:paraId="3EA58BE5" w14:textId="59097579" w:rsidR="006B110F" w:rsidRPr="00A75E85" w:rsidRDefault="00A75E85" w:rsidP="00947BF1">
      <w:pPr>
        <w:pStyle w:val="CETheadingx"/>
      </w:pPr>
      <w:r>
        <w:t xml:space="preserve">3.2 </w:t>
      </w:r>
      <w:r w:rsidR="006B110F" w:rsidRPr="00A75E85">
        <w:t>Sensitivity analysis of reactants concentrations.</w:t>
      </w:r>
    </w:p>
    <w:p w14:paraId="6FF496FF" w14:textId="29AA9485" w:rsidR="006B110F" w:rsidRDefault="006B110F" w:rsidP="006B110F">
      <w:pPr>
        <w:pStyle w:val="CETBodytext"/>
        <w:rPr>
          <w:lang w:val="en-GB"/>
        </w:rPr>
      </w:pPr>
      <w:r>
        <w:rPr>
          <w:lang w:val="en-GB"/>
        </w:rPr>
        <w:t>Bicarbonate concentration can affect the equilibrium conversion of the enzymatic carboxylation. Results of simulations carried out at bicarbonate concentration</w:t>
      </w:r>
      <w:r w:rsidR="00272984">
        <w:rPr>
          <w:lang w:val="en-GB"/>
        </w:rPr>
        <w:t>s</w:t>
      </w:r>
      <w:r>
        <w:rPr>
          <w:lang w:val="en-GB"/>
        </w:rPr>
        <w:t xml:space="preserve"> between 0.5 and 3 M are reported in </w:t>
      </w:r>
      <w:r w:rsidR="006442A2">
        <w:rPr>
          <w:lang w:val="en-GB"/>
        </w:rPr>
        <w:t>F</w:t>
      </w:r>
      <w:r>
        <w:rPr>
          <w:lang w:val="en-GB"/>
        </w:rPr>
        <w:t>ig</w:t>
      </w:r>
      <w:r w:rsidR="006442A2">
        <w:rPr>
          <w:lang w:val="en-GB"/>
        </w:rPr>
        <w:t>ure</w:t>
      </w:r>
      <w:r>
        <w:rPr>
          <w:lang w:val="en-GB"/>
        </w:rPr>
        <w:t xml:space="preserve"> 3 in terms of phenols conversion degree for each considered substrate.</w:t>
      </w:r>
    </w:p>
    <w:p w14:paraId="7AB8CC18" w14:textId="5521684D" w:rsidR="006B110F" w:rsidRPr="00A75E85" w:rsidRDefault="006B110F" w:rsidP="00A75E85">
      <w:pPr>
        <w:pStyle w:val="CETCaption"/>
        <w:rPr>
          <w:noProof/>
          <w:lang w:val="it-IT" w:eastAsia="it-IT"/>
        </w:rPr>
      </w:pPr>
      <w:r>
        <w:rPr>
          <w:noProof/>
          <w:lang w:val="it-IT" w:eastAsia="it-IT"/>
        </w:rPr>
        <w:drawing>
          <wp:inline distT="0" distB="0" distL="0" distR="0" wp14:anchorId="0802B2A8" wp14:editId="6A8C82B6">
            <wp:extent cx="3061854" cy="2059822"/>
            <wp:effectExtent l="0" t="0" r="571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0412" cy="2065579"/>
                    </a:xfrm>
                    <a:prstGeom prst="rect">
                      <a:avLst/>
                    </a:prstGeom>
                    <a:noFill/>
                  </pic:spPr>
                </pic:pic>
              </a:graphicData>
            </a:graphic>
          </wp:inline>
        </w:drawing>
      </w:r>
    </w:p>
    <w:p w14:paraId="1E7AA543" w14:textId="04711690" w:rsidR="006B110F" w:rsidRPr="00A75E85" w:rsidRDefault="006B110F" w:rsidP="00A926D8">
      <w:pPr>
        <w:pStyle w:val="CETCaption"/>
        <w:rPr>
          <w:rStyle w:val="CETCaptionCarattere"/>
          <w:i/>
        </w:rPr>
      </w:pPr>
      <w:r w:rsidRPr="00A75E85">
        <w:rPr>
          <w:rStyle w:val="CETCaptionCarattere"/>
          <w:i/>
        </w:rPr>
        <w:t xml:space="preserve">Figure 3: Equilibrium conversion degree against bicarbonate inlet concentration calculated according to eq. 17-18 and equilibrium constants in table </w:t>
      </w:r>
      <w:r w:rsidR="001D78DF" w:rsidRPr="00A75E85">
        <w:rPr>
          <w:rStyle w:val="CETCaptionCarattere"/>
          <w:i/>
        </w:rPr>
        <w:t>2</w:t>
      </w:r>
      <w:r w:rsidRPr="00A75E85">
        <w:rPr>
          <w:rStyle w:val="CETCaptionCarattere"/>
          <w:i/>
        </w:rPr>
        <w:t xml:space="preserve">. </w:t>
      </w:r>
      <w:proofErr w:type="gramStart"/>
      <w:r w:rsidRPr="00A75E85">
        <w:rPr>
          <w:rStyle w:val="CETCaptionCarattere"/>
          <w:i/>
        </w:rPr>
        <w:t>Phenols</w:t>
      </w:r>
      <w:proofErr w:type="gramEnd"/>
      <w:r w:rsidRPr="00A75E85">
        <w:rPr>
          <w:rStyle w:val="CETCaptionCarattere"/>
          <w:i/>
        </w:rPr>
        <w:t xml:space="preserve"> inlet concentrations set at 50 </w:t>
      </w:r>
      <w:proofErr w:type="spellStart"/>
      <w:r w:rsidRPr="00A75E85">
        <w:rPr>
          <w:rStyle w:val="CETCaptionCarattere"/>
          <w:i/>
        </w:rPr>
        <w:t>mM.</w:t>
      </w:r>
      <w:proofErr w:type="spellEnd"/>
    </w:p>
    <w:p w14:paraId="6C5C22C3" w14:textId="5013082A" w:rsidR="006B110F" w:rsidRPr="00947BF1" w:rsidRDefault="006B110F" w:rsidP="006B110F">
      <w:pPr>
        <w:pStyle w:val="CETBodytext"/>
        <w:rPr>
          <w:lang w:val="en-GB"/>
        </w:rPr>
      </w:pPr>
      <w:r w:rsidRPr="00947BF1">
        <w:rPr>
          <w:lang w:val="en-GB"/>
        </w:rPr>
        <w:t xml:space="preserve">Results show that 3,5-DHT and 1,3-DHB achieved the largest equilibrium conversion due to the higher carboxylation equilibrium constants. Further sensitivity analysis of phenolics inlet concentration provided negligible effect on the equilibrium conversion in agreement with the results of the base case simulations </w:t>
      </w:r>
      <w:r w:rsidR="006442A2" w:rsidRPr="00947BF1">
        <w:rPr>
          <w:lang w:val="en-GB"/>
        </w:rPr>
        <w:t>(</w:t>
      </w:r>
      <w:r w:rsidRPr="00947BF1">
        <w:rPr>
          <w:lang w:val="en-GB"/>
        </w:rPr>
        <w:t xml:space="preserve">not </w:t>
      </w:r>
      <w:r w:rsidR="006442A2" w:rsidRPr="00947BF1">
        <w:rPr>
          <w:lang w:val="en-GB"/>
        </w:rPr>
        <w:t>r</w:t>
      </w:r>
      <w:r w:rsidRPr="00947BF1">
        <w:rPr>
          <w:lang w:val="en-GB"/>
        </w:rPr>
        <w:t>eported</w:t>
      </w:r>
      <w:r w:rsidR="006442A2" w:rsidRPr="00947BF1">
        <w:rPr>
          <w:lang w:val="en-GB"/>
        </w:rPr>
        <w:t>)</w:t>
      </w:r>
      <w:r w:rsidRPr="00947BF1">
        <w:rPr>
          <w:lang w:val="en-GB"/>
        </w:rPr>
        <w:t>.</w:t>
      </w:r>
    </w:p>
    <w:p w14:paraId="25AE7D9D" w14:textId="77777777" w:rsidR="006B110F" w:rsidRDefault="006B110F" w:rsidP="008B3EDE">
      <w:pPr>
        <w:pStyle w:val="CETHeading1"/>
        <w:numPr>
          <w:ilvl w:val="0"/>
          <w:numId w:val="25"/>
        </w:numPr>
        <w:ind w:left="360"/>
        <w:jc w:val="both"/>
        <w:rPr>
          <w:lang w:val="en-GB"/>
        </w:rPr>
      </w:pPr>
      <w:r w:rsidRPr="009378F0">
        <w:rPr>
          <w:lang w:val="en-GB"/>
        </w:rPr>
        <w:t>Conclusions</w:t>
      </w:r>
    </w:p>
    <w:p w14:paraId="13ABA393" w14:textId="3842B902" w:rsidR="00D01D3A" w:rsidRPr="00D01D3A" w:rsidRDefault="001D78DF" w:rsidP="00D01D3A">
      <w:pPr>
        <w:pStyle w:val="CETBodytext"/>
        <w:rPr>
          <w:lang w:val="en-GB"/>
        </w:rPr>
      </w:pPr>
      <w:r>
        <w:rPr>
          <w:lang w:val="en-GB"/>
        </w:rPr>
        <w:t>A</w:t>
      </w:r>
      <w:r w:rsidR="006B110F">
        <w:rPr>
          <w:lang w:val="en-GB"/>
        </w:rPr>
        <w:t xml:space="preserve"> </w:t>
      </w:r>
      <w:r w:rsidR="006B110F" w:rsidRPr="00947BF1">
        <w:rPr>
          <w:lang w:val="en-GB"/>
        </w:rPr>
        <w:t>novel potential carbon capture and utilization process has been investigated. Preliminary process layout assessment has shown the opportunity of coupling CO</w:t>
      </w:r>
      <w:r w:rsidR="006B110F" w:rsidRPr="00947BF1">
        <w:rPr>
          <w:vertAlign w:val="subscript"/>
          <w:lang w:val="en-GB"/>
        </w:rPr>
        <w:t>2</w:t>
      </w:r>
      <w:r w:rsidR="006B110F" w:rsidRPr="00947BF1">
        <w:rPr>
          <w:lang w:val="en-GB"/>
        </w:rPr>
        <w:t xml:space="preserve"> absorption by K</w:t>
      </w:r>
      <w:r w:rsidR="006B110F" w:rsidRPr="00947BF1">
        <w:rPr>
          <w:vertAlign w:val="subscript"/>
          <w:lang w:val="en-GB"/>
        </w:rPr>
        <w:t>2</w:t>
      </w:r>
      <w:r w:rsidR="006B110F" w:rsidRPr="00947BF1">
        <w:rPr>
          <w:lang w:val="en-GB"/>
        </w:rPr>
        <w:t>CO</w:t>
      </w:r>
      <w:r w:rsidR="006B110F" w:rsidRPr="00947BF1">
        <w:rPr>
          <w:vertAlign w:val="subscript"/>
          <w:lang w:val="en-GB"/>
        </w:rPr>
        <w:t>3</w:t>
      </w:r>
      <w:r w:rsidR="006B110F" w:rsidRPr="00947BF1">
        <w:rPr>
          <w:lang w:val="en-GB"/>
        </w:rPr>
        <w:t xml:space="preserve"> solutions with enzymatic carboxylation of phenols to carboxylic acids. Two major issues have been pointed out by simulation results.</w:t>
      </w:r>
      <w:r w:rsidR="00B43A7E" w:rsidRPr="00947BF1">
        <w:rPr>
          <w:lang w:val="en-GB"/>
        </w:rPr>
        <w:t xml:space="preserve"> </w:t>
      </w:r>
      <w:r w:rsidR="00414BBE" w:rsidRPr="00947BF1">
        <w:rPr>
          <w:lang w:val="en-GB"/>
        </w:rPr>
        <w:t xml:space="preserve">Bicarbonate concentration larger than 1.8 M is required to boost </w:t>
      </w:r>
      <w:r w:rsidR="00B43A7E" w:rsidRPr="00947BF1">
        <w:rPr>
          <w:lang w:val="en-GB"/>
        </w:rPr>
        <w:t xml:space="preserve">the </w:t>
      </w:r>
      <w:r w:rsidR="00414BBE" w:rsidRPr="00947BF1">
        <w:rPr>
          <w:lang w:val="en-GB"/>
        </w:rPr>
        <w:t xml:space="preserve">carboxylation conversion towards </w:t>
      </w:r>
      <w:r w:rsidR="00B43A7E" w:rsidRPr="00947BF1">
        <w:rPr>
          <w:lang w:val="en-GB"/>
        </w:rPr>
        <w:t xml:space="preserve">the </w:t>
      </w:r>
      <w:r w:rsidR="00414BBE" w:rsidRPr="00947BF1">
        <w:rPr>
          <w:lang w:val="en-GB"/>
        </w:rPr>
        <w:t>desired products</w:t>
      </w:r>
      <w:r w:rsidR="00B43A7E" w:rsidRPr="00947BF1">
        <w:rPr>
          <w:lang w:val="en-GB"/>
        </w:rPr>
        <w:t>,</w:t>
      </w:r>
      <w:r w:rsidR="006B110F" w:rsidRPr="00947BF1">
        <w:rPr>
          <w:lang w:val="en-GB"/>
        </w:rPr>
        <w:t xml:space="preserve"> </w:t>
      </w:r>
      <w:r w:rsidR="00B43A7E" w:rsidRPr="00947BF1">
        <w:rPr>
          <w:lang w:val="en-GB"/>
        </w:rPr>
        <w:t>t</w:t>
      </w:r>
      <w:r w:rsidR="006B110F" w:rsidRPr="00947BF1">
        <w:rPr>
          <w:lang w:val="en-GB"/>
        </w:rPr>
        <w:t xml:space="preserve">o this purpose </w:t>
      </w:r>
      <w:r w:rsidR="00335116" w:rsidRPr="00947BF1">
        <w:rPr>
          <w:lang w:val="en-GB"/>
        </w:rPr>
        <w:t>the</w:t>
      </w:r>
      <w:r w:rsidR="00A14D5C" w:rsidRPr="00947BF1">
        <w:rPr>
          <w:lang w:val="en-GB"/>
        </w:rPr>
        <w:t xml:space="preserve"> </w:t>
      </w:r>
      <w:r w:rsidR="006B110F" w:rsidRPr="00947BF1">
        <w:rPr>
          <w:lang w:val="en-GB"/>
        </w:rPr>
        <w:t xml:space="preserve">absorption </w:t>
      </w:r>
      <w:r w:rsidR="006B110F">
        <w:rPr>
          <w:lang w:val="en-GB"/>
        </w:rPr>
        <w:t xml:space="preserve">unit should be designed to meet the bicarbonate demand in the rich stream. According to carboxylation equilibrium, 1,2-DHB shows the lower theoretical conversion among the selected substrates, while 1,3-DHB reaches more than 50% equilibrium conversion when </w:t>
      </w:r>
      <w:r w:rsidR="006B110F">
        <w:rPr>
          <w:lang w:val="en-GB"/>
        </w:rPr>
        <w:lastRenderedPageBreak/>
        <w:t xml:space="preserve">bicarbonate concentration is 2 M. </w:t>
      </w:r>
      <w:r w:rsidR="00031828">
        <w:rPr>
          <w:lang w:val="en-GB"/>
        </w:rPr>
        <w:t>P</w:t>
      </w:r>
      <w:r w:rsidR="006B110F">
        <w:rPr>
          <w:lang w:val="en-GB"/>
        </w:rPr>
        <w:t>henols concentration does</w:t>
      </w:r>
      <w:r w:rsidR="00031828">
        <w:rPr>
          <w:lang w:val="en-GB"/>
        </w:rPr>
        <w:t xml:space="preserve"> not</w:t>
      </w:r>
      <w:r w:rsidR="006B110F">
        <w:rPr>
          <w:lang w:val="en-GB"/>
        </w:rPr>
        <w:t xml:space="preserve"> affect noticeably equilibrium conversion but fixes the amount of CO</w:t>
      </w:r>
      <w:r w:rsidR="006B110F" w:rsidRPr="00846D07">
        <w:rPr>
          <w:vertAlign w:val="subscript"/>
          <w:lang w:val="en-GB"/>
        </w:rPr>
        <w:t>2</w:t>
      </w:r>
      <w:r w:rsidR="006B110F">
        <w:rPr>
          <w:lang w:val="en-GB"/>
        </w:rPr>
        <w:t xml:space="preserve"> converted into organic acids. For this reason, </w:t>
      </w:r>
      <w:r w:rsidR="00A14D5C">
        <w:rPr>
          <w:lang w:val="en-GB"/>
        </w:rPr>
        <w:t xml:space="preserve">the </w:t>
      </w:r>
      <w:r w:rsidR="006B110F">
        <w:rPr>
          <w:lang w:val="en-GB"/>
        </w:rPr>
        <w:t>solubility limit is the second key issue to improve carbon utilization and make it feasible along this biocatalytic route. Further investigations are envisaged to overcome phenols concentration limit (</w:t>
      </w:r>
      <w:proofErr w:type="gramStart"/>
      <w:r w:rsidR="00031828">
        <w:rPr>
          <w:lang w:val="en-GB"/>
        </w:rPr>
        <w:t>e.g.</w:t>
      </w:r>
      <w:proofErr w:type="gramEnd"/>
      <w:r w:rsidR="00031828">
        <w:rPr>
          <w:lang w:val="en-GB"/>
        </w:rPr>
        <w:t xml:space="preserve"> </w:t>
      </w:r>
      <w:r w:rsidR="006B110F">
        <w:rPr>
          <w:lang w:val="en-GB"/>
        </w:rPr>
        <w:t>solvent</w:t>
      </w:r>
      <w:r w:rsidR="00031828">
        <w:rPr>
          <w:lang w:val="en-GB"/>
        </w:rPr>
        <w:t xml:space="preserve"> composition</w:t>
      </w:r>
      <w:r w:rsidR="006B110F">
        <w:rPr>
          <w:lang w:val="en-GB"/>
        </w:rPr>
        <w:t xml:space="preserve">, </w:t>
      </w:r>
      <w:r w:rsidR="006B110F" w:rsidRPr="00993BD7">
        <w:rPr>
          <w:i/>
          <w:lang w:val="en-GB"/>
        </w:rPr>
        <w:t>in situ</w:t>
      </w:r>
      <w:r w:rsidR="006B110F">
        <w:rPr>
          <w:lang w:val="en-GB"/>
        </w:rPr>
        <w:t xml:space="preserve"> acid separation) as well as </w:t>
      </w:r>
      <w:r w:rsidR="006B110F">
        <w:rPr>
          <w:i/>
          <w:lang w:val="en-GB"/>
        </w:rPr>
        <w:t xml:space="preserve">ad </w:t>
      </w:r>
      <w:r w:rsidR="006B110F" w:rsidRPr="00993BD7">
        <w:rPr>
          <w:i/>
          <w:lang w:val="en-GB"/>
        </w:rPr>
        <w:t>hoc</w:t>
      </w:r>
      <w:r w:rsidR="006B110F">
        <w:rPr>
          <w:lang w:val="en-GB"/>
        </w:rPr>
        <w:t xml:space="preserve"> designed </w:t>
      </w:r>
      <w:r w:rsidR="00031828">
        <w:rPr>
          <w:lang w:val="en-GB"/>
        </w:rPr>
        <w:t xml:space="preserve">continuous </w:t>
      </w:r>
      <w:r w:rsidR="006B110F">
        <w:rPr>
          <w:lang w:val="en-GB"/>
        </w:rPr>
        <w:t>carboxylation reactors configuration to maximize phenols conversion.</w:t>
      </w:r>
      <w:r w:rsidR="00031828">
        <w:rPr>
          <w:lang w:val="en-GB"/>
        </w:rPr>
        <w:t xml:space="preserve"> The latter point asks for careful development of biocatalyst made by immobilized carboxylases.</w:t>
      </w:r>
    </w:p>
    <w:p w14:paraId="4F1327F8" w14:textId="77777777" w:rsidR="00600535" w:rsidRPr="00B57B36" w:rsidRDefault="00600535" w:rsidP="00600535">
      <w:pPr>
        <w:pStyle w:val="CETReference"/>
      </w:pPr>
      <w:r w:rsidRPr="00B57B36">
        <w:t>References</w:t>
      </w:r>
    </w:p>
    <w:p w14:paraId="41616A00" w14:textId="48090973" w:rsidR="00E715C5" w:rsidRDefault="00E715C5" w:rsidP="00D6185C">
      <w:pPr>
        <w:pStyle w:val="CETReference-text"/>
      </w:pPr>
      <w:proofErr w:type="spellStart"/>
      <w:r>
        <w:t>Bernhardsen</w:t>
      </w:r>
      <w:proofErr w:type="spellEnd"/>
      <w:r>
        <w:t xml:space="preserve"> I. M., </w:t>
      </w:r>
      <w:proofErr w:type="spellStart"/>
      <w:r>
        <w:t>Knuutila</w:t>
      </w:r>
      <w:proofErr w:type="spellEnd"/>
      <w:r w:rsidR="00D8541C">
        <w:t xml:space="preserve"> H</w:t>
      </w:r>
      <w:r>
        <w:t>., 2017, A review of potential amine solvents for CO</w:t>
      </w:r>
      <w:r w:rsidRPr="00FC5D0A">
        <w:rPr>
          <w:vertAlign w:val="subscript"/>
        </w:rPr>
        <w:t>2</w:t>
      </w:r>
      <w:r>
        <w:t xml:space="preserve"> absorption process: Absorption capacity, cyclic capacity and </w:t>
      </w:r>
      <w:proofErr w:type="spellStart"/>
      <w:r>
        <w:t>pK</w:t>
      </w:r>
      <w:r w:rsidRPr="00FC5D0A">
        <w:rPr>
          <w:vertAlign w:val="subscript"/>
        </w:rPr>
        <w:t>a</w:t>
      </w:r>
      <w:proofErr w:type="spellEnd"/>
      <w:r>
        <w:t>, International Journal of Greenhouse Gas Control, 61, 27-48.</w:t>
      </w:r>
    </w:p>
    <w:p w14:paraId="512C4FA0" w14:textId="77777777" w:rsidR="00E715C5" w:rsidRDefault="00E715C5" w:rsidP="00D6185C">
      <w:pPr>
        <w:pStyle w:val="CETReference-text"/>
      </w:pPr>
      <w:proofErr w:type="spellStart"/>
      <w:r>
        <w:t>Brackmann</w:t>
      </w:r>
      <w:proofErr w:type="spellEnd"/>
      <w:r>
        <w:t xml:space="preserve"> R., Fuchs G,1993, Enzymes of anaerobic metabolism of phenolic compounds. European Journal of Biochemistry 213, 563–571.</w:t>
      </w:r>
    </w:p>
    <w:p w14:paraId="5309F781" w14:textId="7D00F2F8" w:rsidR="00E715C5" w:rsidRPr="00947BF1" w:rsidRDefault="00E715C5" w:rsidP="00D6185C">
      <w:pPr>
        <w:pStyle w:val="CETReference-text"/>
      </w:pPr>
      <w:r w:rsidRPr="0060133D">
        <w:t>Chi Z., O’Fallon J. V</w:t>
      </w:r>
      <w:r w:rsidR="001958F2">
        <w:t>.</w:t>
      </w:r>
      <w:r w:rsidRPr="0060133D">
        <w:t xml:space="preserve">, </w:t>
      </w:r>
      <w:r w:rsidR="001958F2">
        <w:t>and</w:t>
      </w:r>
      <w:r w:rsidRPr="0060133D">
        <w:t xml:space="preserve"> Chen S., 2011, Bicarbonate produced from carbon capture for algae culture. Trends </w:t>
      </w:r>
      <w:r w:rsidRPr="00947BF1">
        <w:t xml:space="preserve">in </w:t>
      </w:r>
      <w:r w:rsidR="00CB7CC0" w:rsidRPr="00947BF1">
        <w:t>Biotechnology, 29(11), 537–541.</w:t>
      </w:r>
    </w:p>
    <w:p w14:paraId="2875FDBF" w14:textId="350FA7FE" w:rsidR="00CB7CC0" w:rsidRPr="00947BF1" w:rsidRDefault="00CB7CC0" w:rsidP="00D6185C">
      <w:pPr>
        <w:pStyle w:val="CETReference-text"/>
      </w:pPr>
      <w:proofErr w:type="spellStart"/>
      <w:r w:rsidRPr="00947BF1">
        <w:rPr>
          <w:lang w:val="it-IT"/>
        </w:rPr>
        <w:t>Dibenedetto</w:t>
      </w:r>
      <w:proofErr w:type="spellEnd"/>
      <w:r w:rsidRPr="00947BF1">
        <w:rPr>
          <w:lang w:val="it-IT"/>
        </w:rPr>
        <w:t xml:space="preserve"> A., Stufano P., </w:t>
      </w:r>
      <w:proofErr w:type="spellStart"/>
      <w:r w:rsidRPr="00947BF1">
        <w:rPr>
          <w:lang w:val="it-IT"/>
        </w:rPr>
        <w:t>MacYk</w:t>
      </w:r>
      <w:proofErr w:type="spellEnd"/>
      <w:r w:rsidRPr="00947BF1">
        <w:rPr>
          <w:lang w:val="it-IT"/>
        </w:rPr>
        <w:t xml:space="preserve"> W., </w:t>
      </w:r>
      <w:proofErr w:type="spellStart"/>
      <w:r w:rsidRPr="00947BF1">
        <w:rPr>
          <w:lang w:val="it-IT"/>
        </w:rPr>
        <w:t>Baran</w:t>
      </w:r>
      <w:proofErr w:type="spellEnd"/>
      <w:r w:rsidRPr="00947BF1">
        <w:rPr>
          <w:lang w:val="it-IT"/>
        </w:rPr>
        <w:t xml:space="preserve"> T., Fragale C., Costa M., </w:t>
      </w:r>
      <w:proofErr w:type="spellStart"/>
      <w:r w:rsidRPr="00947BF1">
        <w:rPr>
          <w:lang w:val="it-IT"/>
        </w:rPr>
        <w:t>Aresta</w:t>
      </w:r>
      <w:proofErr w:type="spellEnd"/>
      <w:r w:rsidRPr="00947BF1">
        <w:rPr>
          <w:lang w:val="it-IT"/>
        </w:rPr>
        <w:t xml:space="preserve">, M., 2012. </w:t>
      </w:r>
      <w:r w:rsidRPr="00947BF1">
        <w:t>Hybrid technologies for an enhanced carbon recycling based on the enzymatic reduction of CO</w:t>
      </w:r>
      <w:r w:rsidRPr="00947BF1">
        <w:rPr>
          <w:vertAlign w:val="subscript"/>
        </w:rPr>
        <w:t>2</w:t>
      </w:r>
      <w:r w:rsidRPr="00947BF1">
        <w:t xml:space="preserve"> to methanol in water: Chemical and photochemical NADH regeneration. </w:t>
      </w:r>
      <w:proofErr w:type="spellStart"/>
      <w:r w:rsidRPr="00947BF1">
        <w:t>ChemSusChem</w:t>
      </w:r>
      <w:proofErr w:type="spellEnd"/>
      <w:r w:rsidRPr="00947BF1">
        <w:t>, 5(2), 373–378.</w:t>
      </w:r>
    </w:p>
    <w:p w14:paraId="4068EDC0" w14:textId="77777777" w:rsidR="00E715C5" w:rsidRPr="00947BF1" w:rsidRDefault="00E715C5" w:rsidP="00D6185C">
      <w:pPr>
        <w:pStyle w:val="CETReference-text"/>
      </w:pPr>
      <w:proofErr w:type="spellStart"/>
      <w:r w:rsidRPr="00947BF1">
        <w:t>Glueck</w:t>
      </w:r>
      <w:proofErr w:type="spellEnd"/>
      <w:r w:rsidRPr="00947BF1">
        <w:t xml:space="preserve"> S. M., </w:t>
      </w:r>
      <w:proofErr w:type="spellStart"/>
      <w:r w:rsidRPr="00947BF1">
        <w:t>Gumus</w:t>
      </w:r>
      <w:proofErr w:type="spellEnd"/>
      <w:r w:rsidRPr="00947BF1">
        <w:t xml:space="preserve"> S., Fabian W. M. F., Faber K., 2010, Biocatalytic Carboxylation. Chemical Society Review, 39, 313–328.</w:t>
      </w:r>
    </w:p>
    <w:p w14:paraId="1475A915" w14:textId="23BCCF87" w:rsidR="00E715C5" w:rsidRPr="00947BF1" w:rsidRDefault="00E715C5" w:rsidP="00D6185C">
      <w:pPr>
        <w:pStyle w:val="CETReference-text"/>
      </w:pPr>
      <w:proofErr w:type="spellStart"/>
      <w:r w:rsidRPr="00947BF1">
        <w:t>Gondal</w:t>
      </w:r>
      <w:proofErr w:type="spellEnd"/>
      <w:r w:rsidRPr="00947BF1">
        <w:t xml:space="preserve"> S., Svendsen H. F., </w:t>
      </w:r>
      <w:proofErr w:type="spellStart"/>
      <w:r w:rsidRPr="00947BF1">
        <w:t>Knuutila</w:t>
      </w:r>
      <w:proofErr w:type="spellEnd"/>
      <w:r w:rsidR="00D8541C" w:rsidRPr="00947BF1">
        <w:t xml:space="preserve"> H.</w:t>
      </w:r>
      <w:r w:rsidRPr="00947BF1">
        <w:t>, 2016, Activity based kinetics of CO</w:t>
      </w:r>
      <w:r w:rsidRPr="00947BF1">
        <w:rPr>
          <w:vertAlign w:val="subscript"/>
        </w:rPr>
        <w:t>2</w:t>
      </w:r>
      <w:r w:rsidRPr="00947BF1">
        <w:t>–OH- systems with Li</w:t>
      </w:r>
      <w:r w:rsidRPr="00947BF1">
        <w:rPr>
          <w:vertAlign w:val="superscript"/>
        </w:rPr>
        <w:t>+</w:t>
      </w:r>
      <w:r w:rsidRPr="00947BF1">
        <w:t>, Na</w:t>
      </w:r>
      <w:r w:rsidRPr="00947BF1">
        <w:rPr>
          <w:vertAlign w:val="superscript"/>
        </w:rPr>
        <w:t>+</w:t>
      </w:r>
      <w:r w:rsidRPr="00947BF1">
        <w:t xml:space="preserve"> and K</w:t>
      </w:r>
      <w:r w:rsidRPr="00947BF1">
        <w:rPr>
          <w:vertAlign w:val="superscript"/>
        </w:rPr>
        <w:t>+</w:t>
      </w:r>
      <w:r w:rsidRPr="00947BF1">
        <w:t xml:space="preserve"> counter ions, Chemical Engineering Science, 151, 1-6.</w:t>
      </w:r>
    </w:p>
    <w:p w14:paraId="00E4454D" w14:textId="0BD30FD6" w:rsidR="00E715C5" w:rsidRPr="00947BF1" w:rsidRDefault="00E715C5" w:rsidP="00D6185C">
      <w:pPr>
        <w:pStyle w:val="CETReference-text"/>
      </w:pPr>
      <w:proofErr w:type="spellStart"/>
      <w:r w:rsidRPr="00947BF1">
        <w:t>Knuutila</w:t>
      </w:r>
      <w:proofErr w:type="spellEnd"/>
      <w:r w:rsidRPr="00947BF1">
        <w:t xml:space="preserve"> H., Svendsen H. F., </w:t>
      </w:r>
      <w:proofErr w:type="spellStart"/>
      <w:r w:rsidRPr="00947BF1">
        <w:t>Anttila</w:t>
      </w:r>
      <w:proofErr w:type="spellEnd"/>
      <w:r w:rsidRPr="00947BF1">
        <w:t xml:space="preserve"> M., 2009, CO</w:t>
      </w:r>
      <w:r w:rsidRPr="00947BF1">
        <w:rPr>
          <w:vertAlign w:val="subscript"/>
        </w:rPr>
        <w:t>2</w:t>
      </w:r>
      <w:r w:rsidRPr="00947BF1">
        <w:t xml:space="preserve"> capture from coal-fired power plants based on sodium carbonate slurry; a systems feasibility and sensitivity study, International Journal of Greenhouse Gas Control, 3, 143-151.</w:t>
      </w:r>
    </w:p>
    <w:p w14:paraId="50435711" w14:textId="3F360960" w:rsidR="00E715C5" w:rsidRPr="00947BF1" w:rsidRDefault="00E715C5" w:rsidP="00D6185C">
      <w:pPr>
        <w:pStyle w:val="CETReference-text"/>
      </w:pPr>
      <w:r w:rsidRPr="00947BF1">
        <w:t>Meyer</w:t>
      </w:r>
      <w:r w:rsidR="0029167F" w:rsidRPr="00947BF1">
        <w:t xml:space="preserve"> L. E., </w:t>
      </w:r>
      <w:proofErr w:type="spellStart"/>
      <w:r w:rsidR="0029167F" w:rsidRPr="00947BF1">
        <w:t>Plasch</w:t>
      </w:r>
      <w:proofErr w:type="spellEnd"/>
      <w:r w:rsidRPr="00947BF1">
        <w:t xml:space="preserve"> K., </w:t>
      </w:r>
      <w:proofErr w:type="spellStart"/>
      <w:r w:rsidRPr="00947BF1">
        <w:t>Kragl</w:t>
      </w:r>
      <w:proofErr w:type="spellEnd"/>
      <w:r w:rsidRPr="00947BF1">
        <w:t xml:space="preserve"> U., Von </w:t>
      </w:r>
      <w:proofErr w:type="spellStart"/>
      <w:r w:rsidRPr="00947BF1">
        <w:t>Langermann</w:t>
      </w:r>
      <w:proofErr w:type="spellEnd"/>
      <w:r w:rsidRPr="00947BF1">
        <w:t xml:space="preserve"> J., 2018, Adsorbent-Based Downstream-Processing of the Decarboxylase-Based Synthesis of 2,6-Dihydroxy-4-methylbenzoic Acid. Organic Process Research and Development, 22(8), 963–970.</w:t>
      </w:r>
    </w:p>
    <w:p w14:paraId="426FF494" w14:textId="42A9E43E" w:rsidR="00E715C5" w:rsidRPr="00947BF1" w:rsidRDefault="0029167F" w:rsidP="00D6185C">
      <w:pPr>
        <w:pStyle w:val="CETReference-text"/>
      </w:pPr>
      <w:proofErr w:type="spellStart"/>
      <w:r w:rsidRPr="00947BF1">
        <w:t>Ohde</w:t>
      </w:r>
      <w:proofErr w:type="spellEnd"/>
      <w:r w:rsidRPr="00947BF1">
        <w:t xml:space="preserve"> D., Thomas B., </w:t>
      </w:r>
      <w:proofErr w:type="spellStart"/>
      <w:r w:rsidRPr="00947BF1">
        <w:t>Bubenheim</w:t>
      </w:r>
      <w:proofErr w:type="spellEnd"/>
      <w:r w:rsidR="00E715C5" w:rsidRPr="00947BF1">
        <w:t xml:space="preserve"> P., </w:t>
      </w:r>
      <w:proofErr w:type="spellStart"/>
      <w:r w:rsidR="00E715C5" w:rsidRPr="00947BF1">
        <w:t>Liese</w:t>
      </w:r>
      <w:proofErr w:type="spellEnd"/>
      <w:r w:rsidR="00E715C5" w:rsidRPr="00947BF1">
        <w:t xml:space="preserve"> A.,</w:t>
      </w:r>
      <w:r w:rsidR="004F480C" w:rsidRPr="00947BF1">
        <w:t xml:space="preserve"> </w:t>
      </w:r>
      <w:r w:rsidR="00E715C5" w:rsidRPr="00947BF1">
        <w:t>2020, Enhanced CO</w:t>
      </w:r>
      <w:r w:rsidR="00E715C5" w:rsidRPr="00947BF1">
        <w:rPr>
          <w:vertAlign w:val="subscript"/>
        </w:rPr>
        <w:t>2</w:t>
      </w:r>
      <w:r w:rsidR="00E715C5" w:rsidRPr="00947BF1">
        <w:t xml:space="preserve"> fixation in the biocatalytic carboxylation of resorcinol: Utilization of amines for amine scrubbing and in situ product precipitation. Biochemical Engineering Journal, 107825.</w:t>
      </w:r>
    </w:p>
    <w:p w14:paraId="5C06A90E" w14:textId="421935D8" w:rsidR="00E715C5" w:rsidRPr="00947BF1" w:rsidRDefault="00E715C5" w:rsidP="00D6185C">
      <w:pPr>
        <w:pStyle w:val="CETReference-text"/>
      </w:pPr>
      <w:r w:rsidRPr="00947BF1">
        <w:t xml:space="preserve">Payer S. E., Faber K., </w:t>
      </w:r>
      <w:proofErr w:type="spellStart"/>
      <w:r w:rsidRPr="00947BF1">
        <w:t>Glueck</w:t>
      </w:r>
      <w:proofErr w:type="spellEnd"/>
      <w:r w:rsidRPr="00947BF1">
        <w:t xml:space="preserve"> S. M., 2019, Non-Oxidative Enzymatic (De)Carboxylation of (Hetero)Aromatics and Acrylic Acid Derivatives, Advanced Synthesis and Catalysis, 361, 2402-2420.</w:t>
      </w:r>
    </w:p>
    <w:p w14:paraId="06906F62" w14:textId="77777777" w:rsidR="00E715C5" w:rsidRPr="00947BF1" w:rsidRDefault="00E715C5" w:rsidP="004030E7">
      <w:pPr>
        <w:pStyle w:val="CETReference-text"/>
      </w:pPr>
      <w:r w:rsidRPr="00947BF1">
        <w:t xml:space="preserve">Peirce S., Russo M.E., </w:t>
      </w:r>
      <w:proofErr w:type="spellStart"/>
      <w:r w:rsidRPr="00947BF1">
        <w:t>Isticato</w:t>
      </w:r>
      <w:proofErr w:type="spellEnd"/>
      <w:r w:rsidRPr="00947BF1">
        <w:t xml:space="preserve"> R., Fern</w:t>
      </w:r>
      <w:r w:rsidRPr="00947BF1">
        <w:rPr>
          <w:rFonts w:cs="Arial"/>
        </w:rPr>
        <w:t>á</w:t>
      </w:r>
      <w:r w:rsidRPr="00947BF1">
        <w:t xml:space="preserve">ndez </w:t>
      </w:r>
      <w:proofErr w:type="spellStart"/>
      <w:r w:rsidRPr="00947BF1">
        <w:t>Lafuente</w:t>
      </w:r>
      <w:proofErr w:type="spellEnd"/>
      <w:r w:rsidRPr="00947BF1">
        <w:t xml:space="preserve"> R., </w:t>
      </w:r>
      <w:proofErr w:type="spellStart"/>
      <w:r w:rsidRPr="00947BF1">
        <w:t>Salatino</w:t>
      </w:r>
      <w:proofErr w:type="spellEnd"/>
      <w:r w:rsidRPr="00947BF1">
        <w:t xml:space="preserve"> P., </w:t>
      </w:r>
      <w:proofErr w:type="spellStart"/>
      <w:r w:rsidRPr="00947BF1">
        <w:t>Marzocchella</w:t>
      </w:r>
      <w:proofErr w:type="spellEnd"/>
      <w:r w:rsidRPr="00947BF1">
        <w:t xml:space="preserve"> A., 2017, Structure and activity of magnetic cross-linked enzyme aggregates of bovine carbonic anhydrase as promoters of enzymatic CO</w:t>
      </w:r>
      <w:r w:rsidRPr="00947BF1">
        <w:rPr>
          <w:vertAlign w:val="subscript"/>
        </w:rPr>
        <w:t>2</w:t>
      </w:r>
      <w:r w:rsidRPr="00947BF1">
        <w:t xml:space="preserve"> capture, Biochemical Engineering Journal, 127, 188–195.</w:t>
      </w:r>
    </w:p>
    <w:p w14:paraId="6E0DA84A" w14:textId="77777777" w:rsidR="00E715C5" w:rsidRPr="00947BF1" w:rsidRDefault="00E715C5" w:rsidP="00D6185C">
      <w:pPr>
        <w:pStyle w:val="CETReference-text"/>
      </w:pPr>
      <w:r w:rsidRPr="00947BF1">
        <w:t xml:space="preserve">Pesci L., </w:t>
      </w:r>
      <w:proofErr w:type="spellStart"/>
      <w:r w:rsidRPr="00947BF1">
        <w:t>Glueck</w:t>
      </w:r>
      <w:proofErr w:type="spellEnd"/>
      <w:r w:rsidRPr="00947BF1">
        <w:t xml:space="preserve"> S. M., </w:t>
      </w:r>
      <w:proofErr w:type="spellStart"/>
      <w:r w:rsidRPr="00947BF1">
        <w:t>Gurikov</w:t>
      </w:r>
      <w:proofErr w:type="spellEnd"/>
      <w:r w:rsidRPr="00947BF1">
        <w:t xml:space="preserve"> P., Smirnova I., Faber K., </w:t>
      </w:r>
      <w:proofErr w:type="spellStart"/>
      <w:r w:rsidRPr="00947BF1">
        <w:t>Liese</w:t>
      </w:r>
      <w:proofErr w:type="spellEnd"/>
      <w:r w:rsidRPr="00947BF1">
        <w:t xml:space="preserve"> A., 2015, Biocatalytic carboxylation of phenol derivatives: kinetics and thermodynamics of the biological Kolbe–Schmitt synthesis, FEBS Journal, 282, 1334-1345.</w:t>
      </w:r>
    </w:p>
    <w:p w14:paraId="58552AD8" w14:textId="65022EB1" w:rsidR="00E715C5" w:rsidRPr="00947BF1" w:rsidRDefault="00E715C5" w:rsidP="00D6185C">
      <w:pPr>
        <w:pStyle w:val="CETReference-text"/>
      </w:pPr>
      <w:r w:rsidRPr="00947BF1">
        <w:t xml:space="preserve">Russo M. E., </w:t>
      </w:r>
      <w:proofErr w:type="spellStart"/>
      <w:r w:rsidRPr="00947BF1">
        <w:t>Olivieri</w:t>
      </w:r>
      <w:proofErr w:type="spellEnd"/>
      <w:r w:rsidRPr="00947BF1">
        <w:t xml:space="preserve"> G., </w:t>
      </w:r>
      <w:proofErr w:type="spellStart"/>
      <w:r w:rsidRPr="00947BF1">
        <w:t>Marzocchella</w:t>
      </w:r>
      <w:proofErr w:type="spellEnd"/>
      <w:r w:rsidRPr="00947BF1">
        <w:t xml:space="preserve"> </w:t>
      </w:r>
      <w:r w:rsidR="00D578F7" w:rsidRPr="00947BF1">
        <w:t>A</w:t>
      </w:r>
      <w:r w:rsidRPr="00947BF1">
        <w:t xml:space="preserve">., </w:t>
      </w:r>
      <w:proofErr w:type="spellStart"/>
      <w:r w:rsidRPr="00947BF1">
        <w:t>Salatino</w:t>
      </w:r>
      <w:proofErr w:type="spellEnd"/>
      <w:r w:rsidRPr="00947BF1">
        <w:t xml:space="preserve"> P., </w:t>
      </w:r>
      <w:proofErr w:type="spellStart"/>
      <w:r w:rsidRPr="00947BF1">
        <w:t>Caramuscio</w:t>
      </w:r>
      <w:proofErr w:type="spellEnd"/>
      <w:r w:rsidRPr="00947BF1">
        <w:t xml:space="preserve"> P., </w:t>
      </w:r>
      <w:r w:rsidR="00D578F7" w:rsidRPr="00947BF1">
        <w:t>and</w:t>
      </w:r>
      <w:r w:rsidRPr="00947BF1">
        <w:t xml:space="preserve"> </w:t>
      </w:r>
      <w:proofErr w:type="spellStart"/>
      <w:r w:rsidRPr="00947BF1">
        <w:t>Cavaleiro</w:t>
      </w:r>
      <w:proofErr w:type="spellEnd"/>
      <w:r w:rsidRPr="00947BF1">
        <w:t xml:space="preserve">, C., 2013a, </w:t>
      </w:r>
      <w:proofErr w:type="gramStart"/>
      <w:r w:rsidRPr="00947BF1">
        <w:t>Post-combustion</w:t>
      </w:r>
      <w:proofErr w:type="gramEnd"/>
      <w:r w:rsidRPr="00947BF1">
        <w:t xml:space="preserve"> carbon capture mediated by carbonic anhydrase. Separation and Purification Technology, 107, 331–339. </w:t>
      </w:r>
    </w:p>
    <w:p w14:paraId="5659846C" w14:textId="08337276" w:rsidR="00E715C5" w:rsidRPr="00947BF1" w:rsidRDefault="00E715C5" w:rsidP="00D6185C">
      <w:pPr>
        <w:pStyle w:val="CETReference-text"/>
      </w:pPr>
      <w:r w:rsidRPr="00947BF1">
        <w:t xml:space="preserve">Russo M. E., </w:t>
      </w:r>
      <w:proofErr w:type="spellStart"/>
      <w:r w:rsidRPr="00947BF1">
        <w:t>Olivieri</w:t>
      </w:r>
      <w:proofErr w:type="spellEnd"/>
      <w:r w:rsidRPr="00947BF1">
        <w:t xml:space="preserve"> G., </w:t>
      </w:r>
      <w:proofErr w:type="spellStart"/>
      <w:r w:rsidRPr="00947BF1">
        <w:t>Salatino</w:t>
      </w:r>
      <w:proofErr w:type="spellEnd"/>
      <w:r w:rsidRPr="00947BF1">
        <w:t xml:space="preserve"> P., </w:t>
      </w:r>
      <w:proofErr w:type="spellStart"/>
      <w:r w:rsidRPr="00947BF1">
        <w:t>Marzocchella</w:t>
      </w:r>
      <w:proofErr w:type="spellEnd"/>
      <w:r w:rsidRPr="00947BF1">
        <w:t xml:space="preserve"> A., 2013b, CO</w:t>
      </w:r>
      <w:r w:rsidRPr="00947BF1">
        <w:rPr>
          <w:vertAlign w:val="subscript"/>
        </w:rPr>
        <w:t>2</w:t>
      </w:r>
      <w:r w:rsidRPr="00947BF1">
        <w:t xml:space="preserve"> capture by biomimetic absorption: enzyme mediated CO</w:t>
      </w:r>
      <w:r w:rsidRPr="00947BF1">
        <w:rPr>
          <w:vertAlign w:val="subscript"/>
        </w:rPr>
        <w:t>2</w:t>
      </w:r>
      <w:r w:rsidRPr="00947BF1">
        <w:t xml:space="preserve"> absorption for post-combustion carbon sequestration and storage process. Environmental and Engineering Management Journal, 12(8), 1595–1603.</w:t>
      </w:r>
    </w:p>
    <w:p w14:paraId="38BABD95" w14:textId="64A4F58C" w:rsidR="005B42CF" w:rsidRPr="00947BF1" w:rsidRDefault="005B42CF" w:rsidP="00D6185C">
      <w:pPr>
        <w:pStyle w:val="CETReference-text"/>
      </w:pPr>
      <w:r w:rsidRPr="00947BF1">
        <w:t xml:space="preserve">Russo M. E., </w:t>
      </w:r>
      <w:proofErr w:type="spellStart"/>
      <w:r w:rsidRPr="00947BF1">
        <w:t>Bareschino</w:t>
      </w:r>
      <w:proofErr w:type="spellEnd"/>
      <w:r w:rsidRPr="00947BF1">
        <w:t xml:space="preserve"> P., Pepe F., </w:t>
      </w:r>
      <w:proofErr w:type="spellStart"/>
      <w:r w:rsidRPr="00947BF1">
        <w:t>Marzocchella</w:t>
      </w:r>
      <w:proofErr w:type="spellEnd"/>
      <w:r w:rsidRPr="00947BF1">
        <w:t xml:space="preserve"> A., </w:t>
      </w:r>
      <w:proofErr w:type="spellStart"/>
      <w:r w:rsidRPr="00947BF1">
        <w:t>Salatino</w:t>
      </w:r>
      <w:proofErr w:type="spellEnd"/>
      <w:r w:rsidRPr="00947BF1">
        <w:t xml:space="preserve"> P., 2018, Modelling of enzymatic reactive CO</w:t>
      </w:r>
      <w:r w:rsidRPr="00947BF1">
        <w:rPr>
          <w:vertAlign w:val="subscript"/>
        </w:rPr>
        <w:t>2</w:t>
      </w:r>
      <w:r w:rsidRPr="00947BF1">
        <w:t xml:space="preserve"> absorption. Chemical Engineering Transactions, 69, 457–462.</w:t>
      </w:r>
    </w:p>
    <w:p w14:paraId="433A08EA" w14:textId="5BCE3242" w:rsidR="00E715C5" w:rsidRPr="00947BF1" w:rsidRDefault="00E715C5" w:rsidP="00D6185C">
      <w:pPr>
        <w:pStyle w:val="CETReference-text"/>
      </w:pPr>
      <w:r w:rsidRPr="00947BF1">
        <w:t>Wu</w:t>
      </w:r>
      <w:r w:rsidR="00D578F7" w:rsidRPr="00947BF1">
        <w:t xml:space="preserve"> </w:t>
      </w:r>
      <w:r w:rsidR="00A926D8" w:rsidRPr="00947BF1">
        <w:t>Y., Wu F., Hu</w:t>
      </w:r>
      <w:r w:rsidRPr="00947BF1">
        <w:t xml:space="preserve"> G., Mirza N. R., Stevens G. W., Mumford K. A., 2018, Modelling of a post-combustion carbon dioxide capture absorber using potassium carbonate solvent in Aspen Custom Modeller. Chinese Journal of Chemical Engineering, 26(11), 2327–2336.</w:t>
      </w:r>
    </w:p>
    <w:p w14:paraId="2474BF25" w14:textId="77777777" w:rsidR="00E715C5" w:rsidRPr="00947BF1" w:rsidRDefault="00E715C5" w:rsidP="00D6185C">
      <w:pPr>
        <w:pStyle w:val="CETReference-text"/>
      </w:pPr>
      <w:proofErr w:type="spellStart"/>
      <w:r w:rsidRPr="00947BF1">
        <w:t>Wuensch</w:t>
      </w:r>
      <w:proofErr w:type="spellEnd"/>
      <w:r w:rsidRPr="00947BF1">
        <w:t xml:space="preserve"> C., Gross J., </w:t>
      </w:r>
      <w:proofErr w:type="spellStart"/>
      <w:r w:rsidRPr="00947BF1">
        <w:t>Steinkellner</w:t>
      </w:r>
      <w:proofErr w:type="spellEnd"/>
      <w:r w:rsidRPr="00947BF1">
        <w:t xml:space="preserve"> G., </w:t>
      </w:r>
      <w:proofErr w:type="spellStart"/>
      <w:r w:rsidRPr="00947BF1">
        <w:t>Lyskowski</w:t>
      </w:r>
      <w:proofErr w:type="spellEnd"/>
      <w:r w:rsidRPr="00947BF1">
        <w:t xml:space="preserve"> A., Gruber K., </w:t>
      </w:r>
      <w:proofErr w:type="spellStart"/>
      <w:r w:rsidRPr="00947BF1">
        <w:t>Glueck</w:t>
      </w:r>
      <w:proofErr w:type="spellEnd"/>
      <w:r w:rsidRPr="00947BF1">
        <w:t xml:space="preserve"> S. M., Faber K., 2014, Regioselective ortho-carboxylation of phenols </w:t>
      </w:r>
      <w:proofErr w:type="spellStart"/>
      <w:r w:rsidRPr="00947BF1">
        <w:t>catalyzed</w:t>
      </w:r>
      <w:proofErr w:type="spellEnd"/>
      <w:r w:rsidRPr="00947BF1">
        <w:t xml:space="preserve"> by benzoic acid decarboxylases: a biocatalytic equivalent to the Kolbe–Schmitt reaction, RSC Advances, 4, 9673-9679.</w:t>
      </w:r>
    </w:p>
    <w:sectPr w:rsidR="00E715C5" w:rsidRPr="00947BF1"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5C4B" w14:textId="77777777" w:rsidR="00E122B1" w:rsidRDefault="00E122B1" w:rsidP="004F5E36">
      <w:r>
        <w:separator/>
      </w:r>
    </w:p>
  </w:endnote>
  <w:endnote w:type="continuationSeparator" w:id="0">
    <w:p w14:paraId="5BDE532F" w14:textId="77777777" w:rsidR="00E122B1" w:rsidRDefault="00E122B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04AD" w14:textId="77777777" w:rsidR="00855C22" w:rsidRDefault="00855C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F4C0" w14:textId="77777777" w:rsidR="00855C22" w:rsidRDefault="00855C2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A363" w14:textId="77777777" w:rsidR="00855C22" w:rsidRDefault="00855C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DA31" w14:textId="77777777" w:rsidR="00E122B1" w:rsidRDefault="00E122B1" w:rsidP="004F5E36">
      <w:r>
        <w:separator/>
      </w:r>
    </w:p>
  </w:footnote>
  <w:footnote w:type="continuationSeparator" w:id="0">
    <w:p w14:paraId="11B8D03E" w14:textId="77777777" w:rsidR="00E122B1" w:rsidRDefault="00E122B1"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2B6E" w14:textId="77777777" w:rsidR="00855C22" w:rsidRDefault="00855C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46FA" w14:textId="77777777" w:rsidR="00855C22" w:rsidRDefault="00855C2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D410" w14:textId="77777777" w:rsidR="00855C22" w:rsidRDefault="00855C2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D855E6B"/>
    <w:multiLevelType w:val="hybridMultilevel"/>
    <w:tmpl w:val="5AAE38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77290D"/>
    <w:multiLevelType w:val="hybridMultilevel"/>
    <w:tmpl w:val="22C0A882"/>
    <w:lvl w:ilvl="0" w:tplc="E13A052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2"/>
  </w:num>
  <w:num w:numId="16">
    <w:abstractNumId w:val="21"/>
  </w:num>
  <w:num w:numId="17">
    <w:abstractNumId w:val="13"/>
  </w:num>
  <w:num w:numId="18">
    <w:abstractNumId w:val="14"/>
    <w:lvlOverride w:ilvl="0">
      <w:startOverride w:val="1"/>
    </w:lvlOverride>
  </w:num>
  <w:num w:numId="19">
    <w:abstractNumId w:val="18"/>
  </w:num>
  <w:num w:numId="20">
    <w:abstractNumId w:val="17"/>
  </w:num>
  <w:num w:numId="21">
    <w:abstractNumId w:val="16"/>
  </w:num>
  <w:num w:numId="22">
    <w:abstractNumId w:val="15"/>
  </w:num>
  <w:num w:numId="23">
    <w:abstractNumId w:val="11"/>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27C0"/>
    <w:rsid w:val="000052FB"/>
    <w:rsid w:val="000117CB"/>
    <w:rsid w:val="00021B77"/>
    <w:rsid w:val="0002628A"/>
    <w:rsid w:val="0003148D"/>
    <w:rsid w:val="00031828"/>
    <w:rsid w:val="00031EEC"/>
    <w:rsid w:val="00051566"/>
    <w:rsid w:val="00061A96"/>
    <w:rsid w:val="00062A9A"/>
    <w:rsid w:val="00065058"/>
    <w:rsid w:val="0008090E"/>
    <w:rsid w:val="0008694E"/>
    <w:rsid w:val="00086C39"/>
    <w:rsid w:val="000A03B2"/>
    <w:rsid w:val="000D0268"/>
    <w:rsid w:val="000D34BE"/>
    <w:rsid w:val="000E102F"/>
    <w:rsid w:val="000E36F1"/>
    <w:rsid w:val="000E3A73"/>
    <w:rsid w:val="000E414A"/>
    <w:rsid w:val="000F093C"/>
    <w:rsid w:val="000F787B"/>
    <w:rsid w:val="0012091F"/>
    <w:rsid w:val="00126BC2"/>
    <w:rsid w:val="001306B7"/>
    <w:rsid w:val="001308B6"/>
    <w:rsid w:val="0013121F"/>
    <w:rsid w:val="00131FE6"/>
    <w:rsid w:val="0013263F"/>
    <w:rsid w:val="001331DF"/>
    <w:rsid w:val="00134DE4"/>
    <w:rsid w:val="00136F9D"/>
    <w:rsid w:val="0014034D"/>
    <w:rsid w:val="00144D16"/>
    <w:rsid w:val="00150E59"/>
    <w:rsid w:val="00152DE3"/>
    <w:rsid w:val="00164CF9"/>
    <w:rsid w:val="001667A6"/>
    <w:rsid w:val="00184AD6"/>
    <w:rsid w:val="001958F2"/>
    <w:rsid w:val="001A4AF7"/>
    <w:rsid w:val="001B0349"/>
    <w:rsid w:val="001B1E93"/>
    <w:rsid w:val="001B65C1"/>
    <w:rsid w:val="001C067F"/>
    <w:rsid w:val="001C63AE"/>
    <w:rsid w:val="001C684B"/>
    <w:rsid w:val="001D0CFB"/>
    <w:rsid w:val="001D21AF"/>
    <w:rsid w:val="001D2554"/>
    <w:rsid w:val="001D53FC"/>
    <w:rsid w:val="001D76B3"/>
    <w:rsid w:val="001D78DF"/>
    <w:rsid w:val="001E1917"/>
    <w:rsid w:val="001F42A5"/>
    <w:rsid w:val="001F7B9D"/>
    <w:rsid w:val="00201C93"/>
    <w:rsid w:val="0021085D"/>
    <w:rsid w:val="002224B4"/>
    <w:rsid w:val="002361ED"/>
    <w:rsid w:val="002447EF"/>
    <w:rsid w:val="00251550"/>
    <w:rsid w:val="00263B05"/>
    <w:rsid w:val="00267B3B"/>
    <w:rsid w:val="0027221A"/>
    <w:rsid w:val="00272984"/>
    <w:rsid w:val="00275B61"/>
    <w:rsid w:val="00280FAF"/>
    <w:rsid w:val="00282656"/>
    <w:rsid w:val="0028450B"/>
    <w:rsid w:val="0029167F"/>
    <w:rsid w:val="00296B83"/>
    <w:rsid w:val="002A27FC"/>
    <w:rsid w:val="002B4015"/>
    <w:rsid w:val="002B78CE"/>
    <w:rsid w:val="002C2FB6"/>
    <w:rsid w:val="002E5FA7"/>
    <w:rsid w:val="002F3309"/>
    <w:rsid w:val="003008CE"/>
    <w:rsid w:val="003009B7"/>
    <w:rsid w:val="00300E56"/>
    <w:rsid w:val="0030469C"/>
    <w:rsid w:val="003052C6"/>
    <w:rsid w:val="00321CA6"/>
    <w:rsid w:val="00323763"/>
    <w:rsid w:val="00334C09"/>
    <w:rsid w:val="00335116"/>
    <w:rsid w:val="00343C13"/>
    <w:rsid w:val="003611C5"/>
    <w:rsid w:val="00367FA6"/>
    <w:rsid w:val="003723D4"/>
    <w:rsid w:val="003755EC"/>
    <w:rsid w:val="0037603F"/>
    <w:rsid w:val="00381905"/>
    <w:rsid w:val="00384CC8"/>
    <w:rsid w:val="00385943"/>
    <w:rsid w:val="003871FD"/>
    <w:rsid w:val="003A1E30"/>
    <w:rsid w:val="003A2829"/>
    <w:rsid w:val="003A7D1C"/>
    <w:rsid w:val="003B304B"/>
    <w:rsid w:val="003B3146"/>
    <w:rsid w:val="003D6A6C"/>
    <w:rsid w:val="003F015E"/>
    <w:rsid w:val="00400414"/>
    <w:rsid w:val="004030E7"/>
    <w:rsid w:val="0041446B"/>
    <w:rsid w:val="00414BBE"/>
    <w:rsid w:val="00424EEB"/>
    <w:rsid w:val="004402BC"/>
    <w:rsid w:val="0044071E"/>
    <w:rsid w:val="0044329C"/>
    <w:rsid w:val="00445BD3"/>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7913"/>
    <w:rsid w:val="004E4DD6"/>
    <w:rsid w:val="004F480C"/>
    <w:rsid w:val="004F5E36"/>
    <w:rsid w:val="00507B47"/>
    <w:rsid w:val="00507BEF"/>
    <w:rsid w:val="00507CC9"/>
    <w:rsid w:val="005119A5"/>
    <w:rsid w:val="005278B7"/>
    <w:rsid w:val="00532016"/>
    <w:rsid w:val="005346C8"/>
    <w:rsid w:val="00543E7D"/>
    <w:rsid w:val="00547A68"/>
    <w:rsid w:val="005531C9"/>
    <w:rsid w:val="00570C43"/>
    <w:rsid w:val="00571472"/>
    <w:rsid w:val="00590882"/>
    <w:rsid w:val="005917B3"/>
    <w:rsid w:val="005A32C1"/>
    <w:rsid w:val="005B2110"/>
    <w:rsid w:val="005B42CF"/>
    <w:rsid w:val="005B433C"/>
    <w:rsid w:val="005B61E6"/>
    <w:rsid w:val="005C0629"/>
    <w:rsid w:val="005C77E1"/>
    <w:rsid w:val="005D668A"/>
    <w:rsid w:val="005D6A2F"/>
    <w:rsid w:val="005E1A82"/>
    <w:rsid w:val="005E794C"/>
    <w:rsid w:val="005F0A28"/>
    <w:rsid w:val="005F0E5E"/>
    <w:rsid w:val="005F1155"/>
    <w:rsid w:val="00600535"/>
    <w:rsid w:val="0060133D"/>
    <w:rsid w:val="00602F43"/>
    <w:rsid w:val="00604911"/>
    <w:rsid w:val="00610CD6"/>
    <w:rsid w:val="00620DEE"/>
    <w:rsid w:val="006213CC"/>
    <w:rsid w:val="00621F92"/>
    <w:rsid w:val="0062280A"/>
    <w:rsid w:val="00625639"/>
    <w:rsid w:val="00631B33"/>
    <w:rsid w:val="00632147"/>
    <w:rsid w:val="0064184D"/>
    <w:rsid w:val="006422CC"/>
    <w:rsid w:val="006442A2"/>
    <w:rsid w:val="00660E3E"/>
    <w:rsid w:val="00662E74"/>
    <w:rsid w:val="00680C23"/>
    <w:rsid w:val="00693766"/>
    <w:rsid w:val="006A3281"/>
    <w:rsid w:val="006B110F"/>
    <w:rsid w:val="006B4888"/>
    <w:rsid w:val="006C2E45"/>
    <w:rsid w:val="006C359C"/>
    <w:rsid w:val="006C5579"/>
    <w:rsid w:val="006D6E8B"/>
    <w:rsid w:val="006E68EA"/>
    <w:rsid w:val="006E737D"/>
    <w:rsid w:val="00702DB8"/>
    <w:rsid w:val="007138EE"/>
    <w:rsid w:val="00713973"/>
    <w:rsid w:val="00720A24"/>
    <w:rsid w:val="00732386"/>
    <w:rsid w:val="0073514D"/>
    <w:rsid w:val="007447F3"/>
    <w:rsid w:val="00750C71"/>
    <w:rsid w:val="0075499F"/>
    <w:rsid w:val="007661C8"/>
    <w:rsid w:val="0077098D"/>
    <w:rsid w:val="00784963"/>
    <w:rsid w:val="007931FA"/>
    <w:rsid w:val="007A4861"/>
    <w:rsid w:val="007A7BBA"/>
    <w:rsid w:val="007B0C50"/>
    <w:rsid w:val="007B48F9"/>
    <w:rsid w:val="007B4D13"/>
    <w:rsid w:val="007C1A43"/>
    <w:rsid w:val="007C4BEC"/>
    <w:rsid w:val="0080013E"/>
    <w:rsid w:val="008041E8"/>
    <w:rsid w:val="00813288"/>
    <w:rsid w:val="008168FC"/>
    <w:rsid w:val="00822F45"/>
    <w:rsid w:val="00830996"/>
    <w:rsid w:val="00833B98"/>
    <w:rsid w:val="008345F1"/>
    <w:rsid w:val="00855C22"/>
    <w:rsid w:val="00865B07"/>
    <w:rsid w:val="008667EA"/>
    <w:rsid w:val="0087637F"/>
    <w:rsid w:val="00883114"/>
    <w:rsid w:val="00887351"/>
    <w:rsid w:val="00892AD5"/>
    <w:rsid w:val="008A1512"/>
    <w:rsid w:val="008B3EDE"/>
    <w:rsid w:val="008C6464"/>
    <w:rsid w:val="008D32B9"/>
    <w:rsid w:val="008D433B"/>
    <w:rsid w:val="008E566E"/>
    <w:rsid w:val="008F7580"/>
    <w:rsid w:val="0090161A"/>
    <w:rsid w:val="00901EB6"/>
    <w:rsid w:val="00904C62"/>
    <w:rsid w:val="00916407"/>
    <w:rsid w:val="00922BA8"/>
    <w:rsid w:val="009246B7"/>
    <w:rsid w:val="00924DAC"/>
    <w:rsid w:val="00927058"/>
    <w:rsid w:val="009355CA"/>
    <w:rsid w:val="00942750"/>
    <w:rsid w:val="00943477"/>
    <w:rsid w:val="009450CE"/>
    <w:rsid w:val="00945AB6"/>
    <w:rsid w:val="00947179"/>
    <w:rsid w:val="00947BF1"/>
    <w:rsid w:val="0095164B"/>
    <w:rsid w:val="00954090"/>
    <w:rsid w:val="009573E7"/>
    <w:rsid w:val="00963E05"/>
    <w:rsid w:val="00964A45"/>
    <w:rsid w:val="00967843"/>
    <w:rsid w:val="00967D54"/>
    <w:rsid w:val="00971028"/>
    <w:rsid w:val="00993B84"/>
    <w:rsid w:val="00996483"/>
    <w:rsid w:val="00996F5A"/>
    <w:rsid w:val="009B041A"/>
    <w:rsid w:val="009C37C3"/>
    <w:rsid w:val="009C73BA"/>
    <w:rsid w:val="009C7C86"/>
    <w:rsid w:val="009D2FF7"/>
    <w:rsid w:val="009E7884"/>
    <w:rsid w:val="009E788A"/>
    <w:rsid w:val="009F0E08"/>
    <w:rsid w:val="00A14D5C"/>
    <w:rsid w:val="00A15A21"/>
    <w:rsid w:val="00A1763D"/>
    <w:rsid w:val="00A17CEC"/>
    <w:rsid w:val="00A27EF0"/>
    <w:rsid w:val="00A42361"/>
    <w:rsid w:val="00A50B20"/>
    <w:rsid w:val="00A51390"/>
    <w:rsid w:val="00A60D13"/>
    <w:rsid w:val="00A63CD1"/>
    <w:rsid w:val="00A72745"/>
    <w:rsid w:val="00A75E85"/>
    <w:rsid w:val="00A76EFC"/>
    <w:rsid w:val="00A91010"/>
    <w:rsid w:val="00A91868"/>
    <w:rsid w:val="00A926D8"/>
    <w:rsid w:val="00A97F29"/>
    <w:rsid w:val="00AA702E"/>
    <w:rsid w:val="00AB0964"/>
    <w:rsid w:val="00AB5011"/>
    <w:rsid w:val="00AB7108"/>
    <w:rsid w:val="00AC7368"/>
    <w:rsid w:val="00AD16B9"/>
    <w:rsid w:val="00AE0C5A"/>
    <w:rsid w:val="00AE377D"/>
    <w:rsid w:val="00AF0EBA"/>
    <w:rsid w:val="00AF0F49"/>
    <w:rsid w:val="00AF6775"/>
    <w:rsid w:val="00B02C8A"/>
    <w:rsid w:val="00B17FBD"/>
    <w:rsid w:val="00B315A6"/>
    <w:rsid w:val="00B31813"/>
    <w:rsid w:val="00B33365"/>
    <w:rsid w:val="00B43A7E"/>
    <w:rsid w:val="00B57B36"/>
    <w:rsid w:val="00B57E6F"/>
    <w:rsid w:val="00B8686D"/>
    <w:rsid w:val="00B93F69"/>
    <w:rsid w:val="00BB1DDC"/>
    <w:rsid w:val="00BC30C9"/>
    <w:rsid w:val="00BD077D"/>
    <w:rsid w:val="00BE3E58"/>
    <w:rsid w:val="00BE6152"/>
    <w:rsid w:val="00BE7782"/>
    <w:rsid w:val="00BF7332"/>
    <w:rsid w:val="00C01616"/>
    <w:rsid w:val="00C0162B"/>
    <w:rsid w:val="00C068ED"/>
    <w:rsid w:val="00C22E0C"/>
    <w:rsid w:val="00C2785D"/>
    <w:rsid w:val="00C345B1"/>
    <w:rsid w:val="00C3463A"/>
    <w:rsid w:val="00C40142"/>
    <w:rsid w:val="00C52C3C"/>
    <w:rsid w:val="00C57182"/>
    <w:rsid w:val="00C57863"/>
    <w:rsid w:val="00C655FD"/>
    <w:rsid w:val="00C75407"/>
    <w:rsid w:val="00C86A9F"/>
    <w:rsid w:val="00C870A8"/>
    <w:rsid w:val="00C94434"/>
    <w:rsid w:val="00CA0D75"/>
    <w:rsid w:val="00CA1C95"/>
    <w:rsid w:val="00CA5A9C"/>
    <w:rsid w:val="00CB7CC0"/>
    <w:rsid w:val="00CC4C20"/>
    <w:rsid w:val="00CD0F54"/>
    <w:rsid w:val="00CD3517"/>
    <w:rsid w:val="00CD5FE2"/>
    <w:rsid w:val="00CE09C2"/>
    <w:rsid w:val="00CE7C68"/>
    <w:rsid w:val="00D01D3A"/>
    <w:rsid w:val="00D02B4C"/>
    <w:rsid w:val="00D040C4"/>
    <w:rsid w:val="00D21288"/>
    <w:rsid w:val="00D2408A"/>
    <w:rsid w:val="00D44C4E"/>
    <w:rsid w:val="00D46B7E"/>
    <w:rsid w:val="00D578F7"/>
    <w:rsid w:val="00D57C84"/>
    <w:rsid w:val="00D6057D"/>
    <w:rsid w:val="00D6185C"/>
    <w:rsid w:val="00D71640"/>
    <w:rsid w:val="00D836C5"/>
    <w:rsid w:val="00D84576"/>
    <w:rsid w:val="00D8541C"/>
    <w:rsid w:val="00DA023F"/>
    <w:rsid w:val="00DA1399"/>
    <w:rsid w:val="00DA24C6"/>
    <w:rsid w:val="00DA4D7B"/>
    <w:rsid w:val="00DB59D4"/>
    <w:rsid w:val="00DE264A"/>
    <w:rsid w:val="00DF5072"/>
    <w:rsid w:val="00E02D18"/>
    <w:rsid w:val="00E041E7"/>
    <w:rsid w:val="00E122B1"/>
    <w:rsid w:val="00E161D9"/>
    <w:rsid w:val="00E20BCE"/>
    <w:rsid w:val="00E23CA1"/>
    <w:rsid w:val="00E409A8"/>
    <w:rsid w:val="00E50C12"/>
    <w:rsid w:val="00E54A21"/>
    <w:rsid w:val="00E575E7"/>
    <w:rsid w:val="00E6345E"/>
    <w:rsid w:val="00E646C3"/>
    <w:rsid w:val="00E65B91"/>
    <w:rsid w:val="00E715C5"/>
    <w:rsid w:val="00E7209D"/>
    <w:rsid w:val="00E72EAD"/>
    <w:rsid w:val="00E77223"/>
    <w:rsid w:val="00E8528B"/>
    <w:rsid w:val="00E85B94"/>
    <w:rsid w:val="00E93302"/>
    <w:rsid w:val="00E978D0"/>
    <w:rsid w:val="00EA4613"/>
    <w:rsid w:val="00EA7F91"/>
    <w:rsid w:val="00EB1523"/>
    <w:rsid w:val="00EC0E49"/>
    <w:rsid w:val="00EC101F"/>
    <w:rsid w:val="00EC1D9F"/>
    <w:rsid w:val="00EE0131"/>
    <w:rsid w:val="00EE17B0"/>
    <w:rsid w:val="00EF06D9"/>
    <w:rsid w:val="00F11AE5"/>
    <w:rsid w:val="00F20858"/>
    <w:rsid w:val="00F30C64"/>
    <w:rsid w:val="00F32BA2"/>
    <w:rsid w:val="00F32CDB"/>
    <w:rsid w:val="00F35A6C"/>
    <w:rsid w:val="00F45567"/>
    <w:rsid w:val="00F565FE"/>
    <w:rsid w:val="00F616CE"/>
    <w:rsid w:val="00F63A70"/>
    <w:rsid w:val="00F72341"/>
    <w:rsid w:val="00F7534E"/>
    <w:rsid w:val="00FA1802"/>
    <w:rsid w:val="00FA21D0"/>
    <w:rsid w:val="00FA5F5F"/>
    <w:rsid w:val="00FB730C"/>
    <w:rsid w:val="00FC2695"/>
    <w:rsid w:val="00FC3E03"/>
    <w:rsid w:val="00FC3FC1"/>
    <w:rsid w:val="00FC5D0A"/>
    <w:rsid w:val="00FD1589"/>
    <w:rsid w:val="00FE2460"/>
    <w:rsid w:val="00FE3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B8BFC67B-427F-471B-9C85-3BC0F3B5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947BF1"/>
    <w:pPr>
      <w:keepNext/>
      <w:suppressAutoHyphens/>
      <w:spacing w:before="120" w:after="120" w:line="240" w:lineRule="auto"/>
      <w:jc w:val="both"/>
    </w:pPr>
    <w:rPr>
      <w:rFonts w:ascii="Arial" w:eastAsia="Times New Roman" w:hAnsi="Arial" w:cs="Times New Roman"/>
      <w:b/>
      <w:bCs/>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47BF1"/>
    <w:rPr>
      <w:rFonts w:ascii="Arial" w:eastAsia="Times New Roman" w:hAnsi="Arial" w:cs="Times New Roman"/>
      <w:b/>
      <w:bCs/>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bCs/>
      <w:sz w:val="18"/>
      <w:szCs w:val="20"/>
      <w:lang w:val="en-US"/>
    </w:rPr>
  </w:style>
  <w:style w:type="paragraph" w:styleId="Paragrafoelenco">
    <w:name w:val="List Paragraph"/>
    <w:basedOn w:val="Normale"/>
    <w:uiPriority w:val="34"/>
    <w:rsid w:val="00280FAF"/>
    <w:pPr>
      <w:ind w:left="720"/>
      <w:contextualSpacing/>
    </w:pPr>
  </w:style>
  <w:style w:type="paragraph" w:customStyle="1" w:styleId="CETReference-text">
    <w:name w:val="CET Reference-text"/>
    <w:rsid w:val="00D6185C"/>
    <w:pPr>
      <w:spacing w:after="0" w:line="264" w:lineRule="auto"/>
      <w:ind w:left="284" w:hanging="284"/>
      <w:jc w:val="both"/>
    </w:pPr>
    <w:rPr>
      <w:rFonts w:ascii="Arial" w:eastAsia="Times New Roman" w:hAnsi="Arial" w:cs="Times New Roman"/>
      <w:sz w:val="18"/>
      <w:szCs w:val="20"/>
      <w:lang w:val="en-GB"/>
    </w:rPr>
  </w:style>
  <w:style w:type="paragraph" w:styleId="Revisione">
    <w:name w:val="Revision"/>
    <w:hidden/>
    <w:uiPriority w:val="99"/>
    <w:semiHidden/>
    <w:rsid w:val="00916407"/>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257">
      <w:bodyDiv w:val="1"/>
      <w:marLeft w:val="0"/>
      <w:marRight w:val="0"/>
      <w:marTop w:val="0"/>
      <w:marBottom w:val="0"/>
      <w:divBdr>
        <w:top w:val="none" w:sz="0" w:space="0" w:color="auto"/>
        <w:left w:val="none" w:sz="0" w:space="0" w:color="auto"/>
        <w:bottom w:val="none" w:sz="0" w:space="0" w:color="auto"/>
        <w:right w:val="none" w:sz="0" w:space="0" w:color="auto"/>
      </w:divBdr>
    </w:div>
    <w:div w:id="65098288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32776">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8180772">
      <w:bodyDiv w:val="1"/>
      <w:marLeft w:val="0"/>
      <w:marRight w:val="0"/>
      <w:marTop w:val="0"/>
      <w:marBottom w:val="0"/>
      <w:divBdr>
        <w:top w:val="none" w:sz="0" w:space="0" w:color="auto"/>
        <w:left w:val="none" w:sz="0" w:space="0" w:color="auto"/>
        <w:bottom w:val="none" w:sz="0" w:space="0" w:color="auto"/>
        <w:right w:val="none" w:sz="0" w:space="0" w:color="auto"/>
      </w:divBdr>
    </w:div>
    <w:div w:id="1536037107">
      <w:bodyDiv w:val="1"/>
      <w:marLeft w:val="0"/>
      <w:marRight w:val="0"/>
      <w:marTop w:val="0"/>
      <w:marBottom w:val="0"/>
      <w:divBdr>
        <w:top w:val="none" w:sz="0" w:space="0" w:color="auto"/>
        <w:left w:val="none" w:sz="0" w:space="0" w:color="auto"/>
        <w:bottom w:val="none" w:sz="0" w:space="0" w:color="auto"/>
        <w:right w:val="none" w:sz="0" w:space="0" w:color="auto"/>
      </w:divBdr>
    </w:div>
    <w:div w:id="1579244339">
      <w:bodyDiv w:val="1"/>
      <w:marLeft w:val="0"/>
      <w:marRight w:val="0"/>
      <w:marTop w:val="0"/>
      <w:marBottom w:val="0"/>
      <w:divBdr>
        <w:top w:val="none" w:sz="0" w:space="0" w:color="auto"/>
        <w:left w:val="none" w:sz="0" w:space="0" w:color="auto"/>
        <w:bottom w:val="none" w:sz="0" w:space="0" w:color="auto"/>
        <w:right w:val="none" w:sz="0" w:space="0" w:color="auto"/>
      </w:divBdr>
    </w:div>
    <w:div w:id="168227386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59940">
      <w:bodyDiv w:val="1"/>
      <w:marLeft w:val="0"/>
      <w:marRight w:val="0"/>
      <w:marTop w:val="0"/>
      <w:marBottom w:val="0"/>
      <w:divBdr>
        <w:top w:val="none" w:sz="0" w:space="0" w:color="auto"/>
        <w:left w:val="none" w:sz="0" w:space="0" w:color="auto"/>
        <w:bottom w:val="none" w:sz="0" w:space="0" w:color="auto"/>
        <w:right w:val="none" w:sz="0" w:space="0" w:color="auto"/>
      </w:divBdr>
    </w:div>
    <w:div w:id="210306732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1672E-C6A6-424D-8FB4-2E53B0BD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2917</TotalTime>
  <Pages>6</Pages>
  <Words>3111</Words>
  <Characters>17739</Characters>
  <Application>Microsoft Office Word</Application>
  <DocSecurity>0</DocSecurity>
  <Lines>147</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Luigi Marra</cp:lastModifiedBy>
  <cp:revision>65</cp:revision>
  <cp:lastPrinted>2015-05-12T18:31:00Z</cp:lastPrinted>
  <dcterms:created xsi:type="dcterms:W3CDTF">2022-01-23T16:14:00Z</dcterms:created>
  <dcterms:modified xsi:type="dcterms:W3CDTF">2022-04-08T15:27:00Z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