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 xml:space="preserve">Guest </w:t>
            </w:r>
            <w:proofErr w:type="spellStart"/>
            <w:r w:rsidRPr="0044071E">
              <w:rPr>
                <w:rFonts w:ascii="Tahoma" w:hAnsi="Tahoma" w:cs="Tahoma"/>
                <w:iCs/>
                <w:color w:val="333333"/>
                <w:sz w:val="14"/>
                <w:szCs w:val="14"/>
                <w:lang w:val="it-IT" w:eastAsia="it-IT"/>
              </w:rPr>
              <w:t>Editors</w:t>
            </w:r>
            <w:proofErr w:type="spellEnd"/>
            <w:r w:rsidRPr="0044071E">
              <w:rPr>
                <w:rFonts w:ascii="Tahoma" w:hAnsi="Tahoma" w:cs="Tahoma"/>
                <w:iCs/>
                <w:color w:val="333333"/>
                <w:sz w:val="14"/>
                <w:szCs w:val="14"/>
                <w:lang w:val="it-IT" w:eastAsia="it-IT"/>
              </w:rPr>
              <w:t>:</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w:t>
            </w:r>
            <w:proofErr w:type="spellStart"/>
            <w:r w:rsidR="00945AB6">
              <w:rPr>
                <w:rFonts w:ascii="Tahoma" w:hAnsi="Tahoma" w:cs="Tahoma"/>
                <w:color w:val="000000"/>
                <w:sz w:val="14"/>
                <w:szCs w:val="14"/>
                <w:shd w:val="clear" w:color="auto" w:fill="FFFFFF"/>
                <w:lang w:val="it-IT"/>
              </w:rPr>
              <w:t>Marzocchella</w:t>
            </w:r>
            <w:proofErr w:type="spellEnd"/>
          </w:p>
          <w:p w14:paraId="1B0F1814" w14:textId="5B50B5BE" w:rsidR="000A03B2" w:rsidRPr="00B57B36" w:rsidRDefault="00FA5F5F" w:rsidP="0060491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604911">
              <w:rPr>
                <w:rFonts w:ascii="Tahoma" w:hAnsi="Tahoma" w:cs="Tahoma"/>
                <w:sz w:val="14"/>
                <w:szCs w:val="14"/>
              </w:rPr>
              <w:t>1</w:t>
            </w:r>
            <w:r w:rsidR="00D46B7E">
              <w:rPr>
                <w:rFonts w:ascii="Tahoma" w:hAnsi="Tahoma" w:cs="Tahoma"/>
                <w:sz w:val="14"/>
                <w:szCs w:val="14"/>
              </w:rPr>
              <w:t>-</w:t>
            </w:r>
            <w:r w:rsidR="00604911">
              <w:rPr>
                <w:rFonts w:ascii="Tahoma" w:hAnsi="Tahoma" w:cs="Tahoma"/>
                <w:sz w:val="14"/>
                <w:szCs w:val="14"/>
              </w:rPr>
              <w:t>4</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6189C07A" w14:textId="5F24C021" w:rsidR="00DA1940" w:rsidRPr="00B57B36" w:rsidRDefault="00DA1940" w:rsidP="00DA1940">
      <w:pPr>
        <w:pStyle w:val="CETTitle"/>
      </w:pPr>
      <w:r>
        <w:t xml:space="preserve">Valuable routes for sewage sludge utilization: effect of temperature and hydraulic retention time in the acidogenic fermentation process </w:t>
      </w:r>
    </w:p>
    <w:p w14:paraId="2F707B5D" w14:textId="67530665" w:rsidR="00DA1940" w:rsidRPr="009C7A7D" w:rsidRDefault="00DA1940" w:rsidP="00DA1940">
      <w:pPr>
        <w:pStyle w:val="CETAuthors"/>
        <w:rPr>
          <w:lang w:val="it-IT"/>
        </w:rPr>
      </w:pPr>
      <w:r w:rsidRPr="00D94696">
        <w:rPr>
          <w:lang w:val="it-IT"/>
        </w:rPr>
        <w:t>F. Valentino</w:t>
      </w:r>
      <w:r w:rsidRPr="00D94696">
        <w:rPr>
          <w:vertAlign w:val="superscript"/>
          <w:lang w:val="it-IT"/>
        </w:rPr>
        <w:t xml:space="preserve">a </w:t>
      </w:r>
      <w:r w:rsidRPr="00D94696">
        <w:rPr>
          <w:lang w:val="it-IT"/>
        </w:rPr>
        <w:t>, A.C. Parmar</w:t>
      </w:r>
      <w:r w:rsidRPr="00D94696">
        <w:rPr>
          <w:vertAlign w:val="superscript"/>
          <w:lang w:val="it-IT"/>
        </w:rPr>
        <w:t>a</w:t>
      </w:r>
      <w:r w:rsidRPr="00D94696">
        <w:rPr>
          <w:lang w:val="it-IT"/>
        </w:rPr>
        <w:t xml:space="preserve"> , F. Micolucci</w:t>
      </w:r>
      <w:r w:rsidRPr="00D94696">
        <w:rPr>
          <w:vertAlign w:val="superscript"/>
          <w:lang w:val="it-IT"/>
        </w:rPr>
        <w:t>b</w:t>
      </w:r>
      <w:r w:rsidRPr="00D94696">
        <w:rPr>
          <w:lang w:val="it-IT"/>
        </w:rPr>
        <w:t xml:space="preserve"> , J. Dosta</w:t>
      </w:r>
      <w:r w:rsidRPr="00D94696">
        <w:rPr>
          <w:vertAlign w:val="superscript"/>
          <w:lang w:val="it-IT"/>
        </w:rPr>
        <w:t>c</w:t>
      </w:r>
      <w:r w:rsidRPr="00D94696">
        <w:rPr>
          <w:lang w:val="it-IT"/>
        </w:rPr>
        <w:t xml:space="preserve"> , P. Pavan</w:t>
      </w:r>
      <w:r w:rsidRPr="00D94696">
        <w:rPr>
          <w:vertAlign w:val="superscript"/>
          <w:lang w:val="it-IT"/>
        </w:rPr>
        <w:t>a</w:t>
      </w:r>
      <w:r w:rsidR="009C7A7D">
        <w:rPr>
          <w:lang w:val="it-IT"/>
        </w:rPr>
        <w:t>, M. Gottardo</w:t>
      </w:r>
      <w:r w:rsidR="009C7A7D" w:rsidRPr="009C7A7D">
        <w:rPr>
          <w:vertAlign w:val="superscript"/>
          <w:lang w:val="it-IT"/>
        </w:rPr>
        <w:t>a</w:t>
      </w:r>
    </w:p>
    <w:p w14:paraId="1F9389E6" w14:textId="6CECD9A2" w:rsidR="00DA1940" w:rsidRPr="009D7C5E" w:rsidRDefault="00DA1940" w:rsidP="00DA1940">
      <w:pPr>
        <w:pStyle w:val="CETAddress"/>
      </w:pPr>
      <w:r w:rsidRPr="009D7C5E">
        <w:rPr>
          <w:vertAlign w:val="superscript"/>
        </w:rPr>
        <w:t>a</w:t>
      </w:r>
      <w:r w:rsidRPr="009D7C5E">
        <w:t xml:space="preserve">Department of Environmental Sciences, Informatics and Statistics, Cà Foscari University of Venice, Via Torino 155, 30170 Mestre-Venice, Italy; </w:t>
      </w:r>
    </w:p>
    <w:p w14:paraId="7A1E0BFA" w14:textId="556610E3" w:rsidR="00DA1940" w:rsidRPr="009D7C5E" w:rsidRDefault="00DA1940" w:rsidP="00DA1940">
      <w:pPr>
        <w:pStyle w:val="CETAddress"/>
      </w:pPr>
      <w:r w:rsidRPr="009D7C5E">
        <w:rPr>
          <w:vertAlign w:val="superscript"/>
        </w:rPr>
        <w:t>b</w:t>
      </w:r>
      <w:r w:rsidRPr="009D7C5E">
        <w:t xml:space="preserve">Department of Biological and Environmental Sciences, University of Gothenburg, &amp; Swedish Mariculture Research Center (SWEMARC), P.O. Box 463, SE-405 30, Gothenburg, Sweden; </w:t>
      </w:r>
    </w:p>
    <w:p w14:paraId="6DBE6456" w14:textId="733502B9" w:rsidR="00DA1940" w:rsidRDefault="00DA1940" w:rsidP="00DA1940">
      <w:pPr>
        <w:pStyle w:val="CETAddress"/>
      </w:pPr>
      <w:r w:rsidRPr="009D7C5E">
        <w:rPr>
          <w:vertAlign w:val="superscript"/>
        </w:rPr>
        <w:t>c</w:t>
      </w:r>
      <w:r w:rsidRPr="009D7C5E">
        <w:t>Department of Chemical Engineering and Analytical Chemistry, University of Barcelona, C/Marti i Franquès 1, Barcelona, Spain.</w:t>
      </w:r>
    </w:p>
    <w:p w14:paraId="53B669AB" w14:textId="556ECEF1" w:rsidR="00974AC1" w:rsidRPr="00BB1108" w:rsidRDefault="00B6682E" w:rsidP="00974AC1">
      <w:pPr>
        <w:pStyle w:val="CETemail"/>
      </w:pPr>
      <w:r>
        <w:t>francesco</w:t>
      </w:r>
      <w:r w:rsidR="00974AC1" w:rsidRPr="00B57B36">
        <w:t>.</w:t>
      </w:r>
      <w:r>
        <w:t>valentino</w:t>
      </w:r>
      <w:r w:rsidR="00974AC1" w:rsidRPr="00B57B36">
        <w:t>@</w:t>
      </w:r>
      <w:r>
        <w:t>unive.it</w:t>
      </w:r>
    </w:p>
    <w:p w14:paraId="0061DB63" w14:textId="14921C7D" w:rsidR="00BD032F" w:rsidRPr="00BB1108" w:rsidRDefault="008A3BF4" w:rsidP="000D67BB">
      <w:pPr>
        <w:pStyle w:val="CETHeading1"/>
        <w:numPr>
          <w:ilvl w:val="0"/>
          <w:numId w:val="0"/>
        </w:numPr>
        <w:jc w:val="both"/>
        <w:rPr>
          <w:b w:val="0"/>
          <w:sz w:val="18"/>
          <w:lang w:val="en-GB"/>
        </w:rPr>
      </w:pPr>
      <w:r>
        <w:rPr>
          <w:b w:val="0"/>
          <w:sz w:val="18"/>
          <w:lang w:val="en-GB"/>
        </w:rPr>
        <w:t>T</w:t>
      </w:r>
      <w:r w:rsidR="00BD032F" w:rsidRPr="009D7C5E">
        <w:rPr>
          <w:b w:val="0"/>
          <w:sz w:val="18"/>
          <w:lang w:val="en-GB"/>
        </w:rPr>
        <w:t xml:space="preserve">he disposal of </w:t>
      </w:r>
      <w:r>
        <w:rPr>
          <w:b w:val="0"/>
          <w:sz w:val="18"/>
          <w:lang w:val="en-GB"/>
        </w:rPr>
        <w:t>sewage</w:t>
      </w:r>
      <w:r w:rsidR="00BD032F" w:rsidRPr="009D7C5E">
        <w:rPr>
          <w:b w:val="0"/>
          <w:sz w:val="18"/>
          <w:lang w:val="en-GB"/>
        </w:rPr>
        <w:t xml:space="preserve"> sludge potentially reaches the 50-60% of WWTP’s total operation cost</w:t>
      </w:r>
      <w:r>
        <w:rPr>
          <w:b w:val="0"/>
          <w:sz w:val="18"/>
          <w:lang w:val="en-GB"/>
        </w:rPr>
        <w:t>.</w:t>
      </w:r>
      <w:r w:rsidR="00BD032F" w:rsidRPr="009D7C5E">
        <w:rPr>
          <w:b w:val="0"/>
          <w:sz w:val="18"/>
          <w:lang w:val="en-GB"/>
        </w:rPr>
        <w:t xml:space="preserve"> </w:t>
      </w:r>
      <w:r>
        <w:rPr>
          <w:b w:val="0"/>
          <w:sz w:val="18"/>
          <w:lang w:val="en-GB"/>
        </w:rPr>
        <w:t xml:space="preserve">Such stream </w:t>
      </w:r>
      <w:r w:rsidR="00BD032F" w:rsidRPr="009D7C5E">
        <w:rPr>
          <w:b w:val="0"/>
          <w:sz w:val="18"/>
          <w:lang w:val="en-GB"/>
        </w:rPr>
        <w:t xml:space="preserve">can be considered a renewable carbon source </w:t>
      </w:r>
      <w:r>
        <w:rPr>
          <w:b w:val="0"/>
          <w:sz w:val="18"/>
          <w:lang w:val="en-GB"/>
        </w:rPr>
        <w:t xml:space="preserve">to produce </w:t>
      </w:r>
      <w:r w:rsidR="00BD032F" w:rsidRPr="009D7C5E">
        <w:rPr>
          <w:b w:val="0"/>
          <w:sz w:val="18"/>
          <w:lang w:val="en-GB"/>
        </w:rPr>
        <w:t xml:space="preserve">added-value products. </w:t>
      </w:r>
      <w:r w:rsidR="006125AB">
        <w:rPr>
          <w:b w:val="0"/>
          <w:sz w:val="18"/>
          <w:lang w:val="en-GB"/>
        </w:rPr>
        <w:t>Different pre-treatment methods have</w:t>
      </w:r>
      <w:r>
        <w:rPr>
          <w:b w:val="0"/>
          <w:sz w:val="18"/>
          <w:lang w:val="en-GB"/>
        </w:rPr>
        <w:t xml:space="preserve"> been </w:t>
      </w:r>
      <w:r w:rsidR="00BD032F" w:rsidRPr="009D7C5E">
        <w:rPr>
          <w:b w:val="0"/>
          <w:sz w:val="18"/>
          <w:lang w:val="en-GB"/>
        </w:rPr>
        <w:t xml:space="preserve">applied on thickened sewage sludge </w:t>
      </w:r>
      <w:r>
        <w:rPr>
          <w:b w:val="0"/>
          <w:sz w:val="18"/>
          <w:lang w:val="en-GB"/>
        </w:rPr>
        <w:t xml:space="preserve">(SS) </w:t>
      </w:r>
      <w:r w:rsidR="00BD032F" w:rsidRPr="009D7C5E">
        <w:rPr>
          <w:b w:val="0"/>
          <w:sz w:val="18"/>
          <w:lang w:val="en-GB"/>
        </w:rPr>
        <w:t xml:space="preserve">coming from the domestic wastewater treatment plant </w:t>
      </w:r>
      <w:r>
        <w:rPr>
          <w:b w:val="0"/>
          <w:sz w:val="18"/>
          <w:lang w:val="en-GB"/>
        </w:rPr>
        <w:t xml:space="preserve">(WWTP) </w:t>
      </w:r>
      <w:r w:rsidR="00BD032F" w:rsidRPr="009D7C5E">
        <w:rPr>
          <w:b w:val="0"/>
          <w:sz w:val="18"/>
          <w:lang w:val="en-GB"/>
        </w:rPr>
        <w:t>of Treviso (northeast Italy)</w:t>
      </w:r>
      <w:r>
        <w:rPr>
          <w:b w:val="0"/>
          <w:sz w:val="18"/>
          <w:lang w:val="en-GB"/>
        </w:rPr>
        <w:t xml:space="preserve"> to</w:t>
      </w:r>
      <w:r w:rsidR="00BD032F" w:rsidRPr="009D7C5E">
        <w:rPr>
          <w:b w:val="0"/>
          <w:sz w:val="18"/>
          <w:lang w:val="en-GB"/>
        </w:rPr>
        <w:t xml:space="preserve"> favour its </w:t>
      </w:r>
      <w:r>
        <w:rPr>
          <w:b w:val="0"/>
          <w:sz w:val="18"/>
          <w:lang w:val="en-GB"/>
        </w:rPr>
        <w:t xml:space="preserve">acidogenic </w:t>
      </w:r>
      <w:r w:rsidR="00BD032F" w:rsidRPr="009D7C5E">
        <w:rPr>
          <w:b w:val="0"/>
          <w:sz w:val="18"/>
          <w:lang w:val="en-GB"/>
        </w:rPr>
        <w:t>fermentability</w:t>
      </w:r>
      <w:r>
        <w:rPr>
          <w:b w:val="0"/>
          <w:sz w:val="18"/>
          <w:lang w:val="en-GB"/>
        </w:rPr>
        <w:t>.</w:t>
      </w:r>
      <w:r w:rsidR="00BD032F" w:rsidRPr="009D7C5E">
        <w:rPr>
          <w:b w:val="0"/>
          <w:sz w:val="18"/>
          <w:lang w:val="en-GB"/>
        </w:rPr>
        <w:t xml:space="preserve"> </w:t>
      </w:r>
      <w:r w:rsidR="006125AB">
        <w:rPr>
          <w:b w:val="0"/>
          <w:sz w:val="18"/>
          <w:lang w:val="en-GB"/>
        </w:rPr>
        <w:t>A</w:t>
      </w:r>
      <w:r w:rsidR="009C7A7D" w:rsidRPr="009D7C5E">
        <w:rPr>
          <w:b w:val="0"/>
          <w:sz w:val="18"/>
          <w:lang w:val="en-GB"/>
        </w:rPr>
        <w:t xml:space="preserve">lkaline (pH 9-11) and thermal (50-70°C) hydrolysis were applied separately and in combination </w:t>
      </w:r>
      <w:r w:rsidR="00BD032F" w:rsidRPr="009D7C5E">
        <w:rPr>
          <w:b w:val="0"/>
          <w:sz w:val="18"/>
          <w:lang w:val="en-GB"/>
        </w:rPr>
        <w:t xml:space="preserve">The following fermentation process was addressed to the recovery of volatile fatty acids (VFA) as valuable building blocks substances. Batch </w:t>
      </w:r>
      <w:r w:rsidR="006125AB">
        <w:rPr>
          <w:b w:val="0"/>
          <w:sz w:val="18"/>
          <w:lang w:val="en-GB"/>
        </w:rPr>
        <w:t xml:space="preserve">fermentation </w:t>
      </w:r>
      <w:r w:rsidR="00BD032F" w:rsidRPr="009D7C5E">
        <w:rPr>
          <w:b w:val="0"/>
          <w:sz w:val="18"/>
          <w:lang w:val="en-GB"/>
        </w:rPr>
        <w:t xml:space="preserve">tests were conducted </w:t>
      </w:r>
      <w:r w:rsidR="006125AB">
        <w:rPr>
          <w:b w:val="0"/>
          <w:sz w:val="18"/>
          <w:lang w:val="en-GB"/>
        </w:rPr>
        <w:t>at lab-scale</w:t>
      </w:r>
      <w:r w:rsidR="00BD032F" w:rsidRPr="009D7C5E">
        <w:rPr>
          <w:b w:val="0"/>
          <w:sz w:val="18"/>
          <w:lang w:val="en-GB"/>
        </w:rPr>
        <w:t xml:space="preserve"> under controlled temperature</w:t>
      </w:r>
      <w:r w:rsidR="006125AB">
        <w:rPr>
          <w:b w:val="0"/>
          <w:sz w:val="18"/>
          <w:lang w:val="en-GB"/>
        </w:rPr>
        <w:t xml:space="preserve"> (T):</w:t>
      </w:r>
      <w:r w:rsidR="00BD032F" w:rsidRPr="009D7C5E">
        <w:rPr>
          <w:b w:val="0"/>
          <w:sz w:val="18"/>
          <w:lang w:val="en-GB"/>
        </w:rPr>
        <w:t xml:space="preserve"> 20, 37, 55 and 70°C by using</w:t>
      </w:r>
      <w:r w:rsidR="009F053C">
        <w:rPr>
          <w:b w:val="0"/>
          <w:sz w:val="18"/>
          <w:lang w:val="en-GB"/>
        </w:rPr>
        <w:t xml:space="preserve"> an available mixed fermentative consortium</w:t>
      </w:r>
      <w:r w:rsidR="00BD032F" w:rsidRPr="009D7C5E">
        <w:rPr>
          <w:b w:val="0"/>
          <w:sz w:val="18"/>
          <w:lang w:val="en-GB"/>
        </w:rPr>
        <w:t xml:space="preserve"> as inoculum. Thermophilic T (55°C) was chosen in the following semi-continuous fermentation process (fill and draw), carried out with three different hydraulic retention time (HRT; 4-5-6 days). In terms of organic matter solubilisation, the thermal hydrolysis (70°C) allowed to obtain a </w:t>
      </w:r>
      <w:r w:rsidR="006125AB">
        <w:rPr>
          <w:b w:val="0"/>
          <w:sz w:val="18"/>
          <w:lang w:val="en-GB"/>
        </w:rPr>
        <w:t>soluble chemical oxygen demand (</w:t>
      </w:r>
      <w:r w:rsidR="00BD032F" w:rsidRPr="009D7C5E">
        <w:rPr>
          <w:b w:val="0"/>
          <w:sz w:val="18"/>
          <w:lang w:val="en-GB"/>
        </w:rPr>
        <w:t>COD</w:t>
      </w:r>
      <w:r w:rsidR="00BD032F" w:rsidRPr="006125AB">
        <w:rPr>
          <w:b w:val="0"/>
          <w:sz w:val="18"/>
          <w:vertAlign w:val="subscript"/>
          <w:lang w:val="en-GB"/>
        </w:rPr>
        <w:t>SOL</w:t>
      </w:r>
      <w:r w:rsidR="006125AB">
        <w:rPr>
          <w:b w:val="0"/>
          <w:sz w:val="18"/>
          <w:lang w:val="en-GB"/>
        </w:rPr>
        <w:t>)</w:t>
      </w:r>
      <w:r w:rsidR="00BD032F" w:rsidRPr="009D7C5E">
        <w:rPr>
          <w:b w:val="0"/>
          <w:sz w:val="18"/>
          <w:lang w:val="en-GB"/>
        </w:rPr>
        <w:t xml:space="preserve"> concentration around 10.0 g/L, with no additional benefits from </w:t>
      </w:r>
      <w:r w:rsidR="00825988">
        <w:rPr>
          <w:b w:val="0"/>
          <w:sz w:val="18"/>
          <w:lang w:val="en-GB"/>
        </w:rPr>
        <w:t xml:space="preserve">the </w:t>
      </w:r>
      <w:r w:rsidR="00BD032F" w:rsidRPr="009D7C5E">
        <w:rPr>
          <w:b w:val="0"/>
          <w:sz w:val="18"/>
          <w:lang w:val="en-GB"/>
        </w:rPr>
        <w:t>combined alkaline treatment. The batch acidogenic fermentation tests highlighted the T effect on acidification performances</w:t>
      </w:r>
      <w:r w:rsidR="004B5D90">
        <w:rPr>
          <w:b w:val="0"/>
          <w:sz w:val="18"/>
          <w:lang w:val="en-GB"/>
        </w:rPr>
        <w:t>;</w:t>
      </w:r>
      <w:r w:rsidR="00BD032F" w:rsidRPr="009D7C5E">
        <w:rPr>
          <w:b w:val="0"/>
          <w:sz w:val="18"/>
          <w:lang w:val="en-GB"/>
        </w:rPr>
        <w:t xml:space="preserve"> thermophilic trials (55°C) showed the highest COD</w:t>
      </w:r>
      <w:r w:rsidR="00BD032F" w:rsidRPr="00825988">
        <w:rPr>
          <w:b w:val="0"/>
          <w:sz w:val="18"/>
          <w:vertAlign w:val="subscript"/>
          <w:lang w:val="en-GB"/>
        </w:rPr>
        <w:t>VFA</w:t>
      </w:r>
      <w:r w:rsidR="00BD032F" w:rsidRPr="009D7C5E">
        <w:rPr>
          <w:b w:val="0"/>
          <w:sz w:val="18"/>
          <w:lang w:val="en-GB"/>
        </w:rPr>
        <w:t>/COD</w:t>
      </w:r>
      <w:r w:rsidR="00BD032F" w:rsidRPr="00825988">
        <w:rPr>
          <w:b w:val="0"/>
          <w:sz w:val="18"/>
          <w:vertAlign w:val="subscript"/>
          <w:lang w:val="en-GB"/>
        </w:rPr>
        <w:t>SOL</w:t>
      </w:r>
      <w:r w:rsidR="00BD032F" w:rsidRPr="009D7C5E">
        <w:rPr>
          <w:b w:val="0"/>
          <w:sz w:val="18"/>
          <w:lang w:val="en-GB"/>
        </w:rPr>
        <w:t xml:space="preserve"> ratio (0.81). The three semi-continuous tests (HRT 4-5-6 days) were followed for 45 days (roughly), under the chosen thermophilic condition (55°C). </w:t>
      </w:r>
      <w:r w:rsidR="004B5D90">
        <w:rPr>
          <w:b w:val="0"/>
          <w:sz w:val="18"/>
          <w:lang w:val="en-GB"/>
        </w:rPr>
        <w:t>The</w:t>
      </w:r>
      <w:r w:rsidR="00BD032F" w:rsidRPr="009D7C5E">
        <w:rPr>
          <w:b w:val="0"/>
          <w:sz w:val="18"/>
          <w:lang w:val="en-GB"/>
        </w:rPr>
        <w:t xml:space="preserve"> highest fermentation rate was obtained at 4.0 d as HRT (22 </w:t>
      </w:r>
      <w:proofErr w:type="spellStart"/>
      <w:r w:rsidR="00BD032F" w:rsidRPr="009D7C5E">
        <w:rPr>
          <w:b w:val="0"/>
          <w:sz w:val="18"/>
          <w:lang w:val="en-GB"/>
        </w:rPr>
        <w:t>mgCOD</w:t>
      </w:r>
      <w:r w:rsidR="00BD032F" w:rsidRPr="004B5D90">
        <w:rPr>
          <w:b w:val="0"/>
          <w:sz w:val="18"/>
          <w:vertAlign w:val="subscript"/>
          <w:lang w:val="en-GB"/>
        </w:rPr>
        <w:t>VFA</w:t>
      </w:r>
      <w:proofErr w:type="spellEnd"/>
      <w:r w:rsidR="00BD032F" w:rsidRPr="009D7C5E">
        <w:rPr>
          <w:b w:val="0"/>
          <w:sz w:val="18"/>
          <w:lang w:val="en-GB"/>
        </w:rPr>
        <w:t>/</w:t>
      </w:r>
      <w:proofErr w:type="spellStart"/>
      <w:r w:rsidR="00BD032F" w:rsidRPr="009D7C5E">
        <w:rPr>
          <w:b w:val="0"/>
          <w:sz w:val="18"/>
          <w:lang w:val="en-GB"/>
        </w:rPr>
        <w:t>gVS</w:t>
      </w:r>
      <w:proofErr w:type="spellEnd"/>
      <w:r w:rsidR="00BD032F" w:rsidRPr="009D7C5E">
        <w:rPr>
          <w:b w:val="0"/>
          <w:sz w:val="18"/>
          <w:lang w:val="en-GB"/>
        </w:rPr>
        <w:t xml:space="preserve"> d); on the contrary, the highest fermentation yield (0.30 </w:t>
      </w:r>
      <w:proofErr w:type="spellStart"/>
      <w:r w:rsidR="00BD032F" w:rsidRPr="009D7C5E">
        <w:rPr>
          <w:b w:val="0"/>
          <w:sz w:val="18"/>
          <w:lang w:val="en-GB"/>
        </w:rPr>
        <w:t>gCOD</w:t>
      </w:r>
      <w:r w:rsidR="00BD032F" w:rsidRPr="004B5D90">
        <w:rPr>
          <w:b w:val="0"/>
          <w:sz w:val="18"/>
          <w:vertAlign w:val="subscript"/>
          <w:lang w:val="en-GB"/>
        </w:rPr>
        <w:t>VFA</w:t>
      </w:r>
      <w:proofErr w:type="spellEnd"/>
      <w:r w:rsidR="00BD032F" w:rsidRPr="009D7C5E">
        <w:rPr>
          <w:b w:val="0"/>
          <w:sz w:val="18"/>
          <w:lang w:val="en-GB"/>
        </w:rPr>
        <w:t>/</w:t>
      </w:r>
      <w:proofErr w:type="spellStart"/>
      <w:r w:rsidR="00BD032F" w:rsidRPr="009D7C5E">
        <w:rPr>
          <w:b w:val="0"/>
          <w:sz w:val="18"/>
          <w:lang w:val="en-GB"/>
        </w:rPr>
        <w:t>gVS</w:t>
      </w:r>
      <w:proofErr w:type="spellEnd"/>
      <w:r w:rsidR="00BD032F" w:rsidRPr="009D7C5E">
        <w:rPr>
          <w:b w:val="0"/>
          <w:sz w:val="18"/>
          <w:lang w:val="en-GB"/>
        </w:rPr>
        <w:t>) and COD</w:t>
      </w:r>
      <w:r w:rsidR="00BD032F" w:rsidRPr="004B5D90">
        <w:rPr>
          <w:b w:val="0"/>
          <w:sz w:val="18"/>
          <w:vertAlign w:val="subscript"/>
          <w:lang w:val="en-GB"/>
        </w:rPr>
        <w:t>VFA</w:t>
      </w:r>
      <w:r w:rsidR="00BD032F" w:rsidRPr="009D7C5E">
        <w:rPr>
          <w:b w:val="0"/>
          <w:sz w:val="18"/>
          <w:lang w:val="en-GB"/>
        </w:rPr>
        <w:t>/COD</w:t>
      </w:r>
      <w:r w:rsidR="00BD032F" w:rsidRPr="004B5D90">
        <w:rPr>
          <w:b w:val="0"/>
          <w:sz w:val="18"/>
          <w:vertAlign w:val="subscript"/>
          <w:lang w:val="en-GB"/>
        </w:rPr>
        <w:t>SOL</w:t>
      </w:r>
      <w:r w:rsidR="00BD032F" w:rsidRPr="009D7C5E">
        <w:rPr>
          <w:b w:val="0"/>
          <w:sz w:val="18"/>
          <w:lang w:val="en-GB"/>
        </w:rPr>
        <w:t xml:space="preserve"> ratio (0.73) were obtained at 6.0 d as HRT. In practice, low HRT selected for a mixed consortium with high fermentation rate, but less efficient in the conversion of the organic matter into VFA. No HRT’s effect was instead observed in the VFA composition, always rich in acetic (29-31% COD basis) and butyric acid (31-32%), and poorer in propionic (14-15%), valeric (12-13%) and caproic acid (11-12%).</w:t>
      </w:r>
    </w:p>
    <w:p w14:paraId="476B2F2E" w14:textId="77777777" w:rsidR="00600535" w:rsidRPr="00B57B36" w:rsidRDefault="00600535" w:rsidP="00600535">
      <w:pPr>
        <w:pStyle w:val="CETHeading1"/>
        <w:rPr>
          <w:lang w:val="en-GB"/>
        </w:rPr>
      </w:pPr>
      <w:r w:rsidRPr="00B57B36">
        <w:rPr>
          <w:lang w:val="en-GB"/>
        </w:rPr>
        <w:t>Introduction</w:t>
      </w:r>
    </w:p>
    <w:p w14:paraId="61CA715B" w14:textId="642CEC6F" w:rsidR="003B5A9E" w:rsidRDefault="00BD032F" w:rsidP="00E80158">
      <w:pPr>
        <w:pStyle w:val="Paragrafoelenco"/>
        <w:ind w:left="0"/>
      </w:pPr>
      <w:r>
        <w:t>T</w:t>
      </w:r>
      <w:r w:rsidRPr="009D7C5E">
        <w:t xml:space="preserve">he volume of sewage sludge </w:t>
      </w:r>
      <w:r w:rsidR="006848C9">
        <w:t xml:space="preserve">(SS) </w:t>
      </w:r>
      <w:r w:rsidRPr="009D7C5E">
        <w:t xml:space="preserve">from wastewater treatment plants (WWTP) has increased in recent years </w:t>
      </w:r>
      <w:r w:rsidRPr="00361400">
        <w:t>due to population expansion and subsequent urbanization (Li et al. 20</w:t>
      </w:r>
      <w:r w:rsidR="00361400" w:rsidRPr="00361400">
        <w:t>18</w:t>
      </w:r>
      <w:r w:rsidRPr="00361400">
        <w:t>).</w:t>
      </w:r>
      <w:r w:rsidR="00E80158" w:rsidRPr="00361400">
        <w:t xml:space="preserve"> </w:t>
      </w:r>
      <w:r w:rsidRPr="00361400">
        <w:t>The disposal of these sludges, which accounts for 50-60% of overall WWTP running costs, must be completed (Liu et al.</w:t>
      </w:r>
      <w:r w:rsidR="0044626A" w:rsidRPr="00361400">
        <w:t>,</w:t>
      </w:r>
      <w:r w:rsidRPr="00361400">
        <w:t xml:space="preserve"> 201</w:t>
      </w:r>
      <w:r w:rsidR="0044626A" w:rsidRPr="00361400">
        <w:t>8</w:t>
      </w:r>
      <w:r w:rsidRPr="00361400">
        <w:t xml:space="preserve">). </w:t>
      </w:r>
      <w:r w:rsidR="00E80158" w:rsidRPr="00361400">
        <w:t>T</w:t>
      </w:r>
      <w:r w:rsidRPr="00361400">
        <w:t>hese sludges</w:t>
      </w:r>
      <w:r w:rsidRPr="009D7C5E">
        <w:t xml:space="preserve"> are abundant in protein and carbohydrates, and they are readily available as urban resources (from WWTPs). Anaerobic fermentation, for example, produces </w:t>
      </w:r>
      <w:r w:rsidR="006848C9">
        <w:t>v</w:t>
      </w:r>
      <w:r w:rsidRPr="009D7C5E">
        <w:t xml:space="preserve">olatile </w:t>
      </w:r>
      <w:r w:rsidR="006848C9">
        <w:t>f</w:t>
      </w:r>
      <w:r w:rsidRPr="009D7C5E">
        <w:t xml:space="preserve">atty </w:t>
      </w:r>
      <w:r w:rsidR="006848C9">
        <w:t>a</w:t>
      </w:r>
      <w:r w:rsidRPr="009D7C5E">
        <w:t>cids</w:t>
      </w:r>
      <w:r w:rsidR="006848C9">
        <w:t xml:space="preserve"> (VFA) from numerous types of organic waste</w:t>
      </w:r>
      <w:r w:rsidRPr="009D7C5E">
        <w:t xml:space="preserve"> </w:t>
      </w:r>
      <w:r w:rsidRPr="00361400">
        <w:t>(Liu et al.</w:t>
      </w:r>
      <w:r w:rsidR="0044626A" w:rsidRPr="00361400">
        <w:t>,</w:t>
      </w:r>
      <w:r w:rsidRPr="00361400">
        <w:t xml:space="preserve"> 201</w:t>
      </w:r>
      <w:r w:rsidR="0044626A" w:rsidRPr="00361400">
        <w:t>8</w:t>
      </w:r>
      <w:r w:rsidRPr="00361400">
        <w:t>).</w:t>
      </w:r>
      <w:r w:rsidR="00E80158" w:rsidRPr="00361400">
        <w:t xml:space="preserve"> </w:t>
      </w:r>
      <w:r w:rsidRPr="00361400">
        <w:t>As a result, WWTPs are now evaluated not only on effluent quality, but also on materials</w:t>
      </w:r>
      <w:r w:rsidRPr="009D7C5E">
        <w:t xml:space="preserve"> </w:t>
      </w:r>
      <w:r w:rsidRPr="00361400">
        <w:t>recovered and wastewater resources to increase water sector sustainability towards circular economy. Anaerobic fermentation is a phase of anaerobic digestion when organic matter is digested in</w:t>
      </w:r>
      <w:r w:rsidRPr="009D7C5E">
        <w:t xml:space="preserve"> differe</w:t>
      </w:r>
      <w:r w:rsidRPr="00361400">
        <w:t xml:space="preserve">nt organisms without oxygen, converting the organic substrate </w:t>
      </w:r>
      <w:r w:rsidR="006848C9" w:rsidRPr="00361400">
        <w:t xml:space="preserve">mainly </w:t>
      </w:r>
      <w:r w:rsidRPr="00361400">
        <w:t>into CO</w:t>
      </w:r>
      <w:r w:rsidRPr="00361400">
        <w:rPr>
          <w:vertAlign w:val="subscript"/>
        </w:rPr>
        <w:t>2</w:t>
      </w:r>
      <w:r w:rsidRPr="00361400">
        <w:t xml:space="preserve"> and H</w:t>
      </w:r>
      <w:r w:rsidRPr="00361400">
        <w:rPr>
          <w:vertAlign w:val="subscript"/>
        </w:rPr>
        <w:t>2</w:t>
      </w:r>
      <w:r w:rsidRPr="00361400">
        <w:t xml:space="preserve"> (Zh</w:t>
      </w:r>
      <w:r w:rsidR="00361400" w:rsidRPr="00361400">
        <w:t>ang</w:t>
      </w:r>
      <w:r w:rsidRPr="00361400">
        <w:t xml:space="preserve"> et al</w:t>
      </w:r>
      <w:r w:rsidR="00361400" w:rsidRPr="00361400">
        <w:t>.,</w:t>
      </w:r>
      <w:r w:rsidRPr="00361400">
        <w:t xml:space="preserve"> 201</w:t>
      </w:r>
      <w:r w:rsidR="00361400" w:rsidRPr="00361400">
        <w:t>9</w:t>
      </w:r>
      <w:r w:rsidRPr="00361400">
        <w:t>)</w:t>
      </w:r>
      <w:r w:rsidR="006848C9">
        <w:t>, via three</w:t>
      </w:r>
      <w:r w:rsidRPr="009D7C5E">
        <w:t xml:space="preserve"> </w:t>
      </w:r>
      <w:r w:rsidR="006848C9">
        <w:t xml:space="preserve">process </w:t>
      </w:r>
      <w:r w:rsidRPr="009D7C5E">
        <w:t>steps: hydrolysis, acidogenesis</w:t>
      </w:r>
      <w:r w:rsidR="006848C9">
        <w:t xml:space="preserve"> and</w:t>
      </w:r>
      <w:r w:rsidRPr="009D7C5E">
        <w:t xml:space="preserve"> acetogenesis.</w:t>
      </w:r>
      <w:r w:rsidR="006848C9">
        <w:t xml:space="preserve"> </w:t>
      </w:r>
      <w:r w:rsidRPr="009D7C5E">
        <w:t>In the acetogenesis phase, ferment</w:t>
      </w:r>
      <w:r w:rsidR="006848C9">
        <w:t>ative</w:t>
      </w:r>
      <w:r w:rsidRPr="009D7C5E">
        <w:t xml:space="preserve"> bacteria metabolize soluble chemicals </w:t>
      </w:r>
      <w:r w:rsidR="006848C9">
        <w:t xml:space="preserve">derived </w:t>
      </w:r>
      <w:r w:rsidRPr="009D7C5E">
        <w:t>from the hydrolysis phase to produce VFA. Due to their functional groups</w:t>
      </w:r>
      <w:r w:rsidR="00E85DA0">
        <w:t>,</w:t>
      </w:r>
      <w:r w:rsidRPr="009D7C5E">
        <w:t xml:space="preserve"> (VFA) are </w:t>
      </w:r>
      <w:r w:rsidRPr="009D7C5E">
        <w:lastRenderedPageBreak/>
        <w:t xml:space="preserve">frequently employed in the chemical industry. They are usually </w:t>
      </w:r>
      <w:r w:rsidR="005D0E74">
        <w:t>recovered</w:t>
      </w:r>
      <w:r w:rsidRPr="009D7C5E">
        <w:t xml:space="preserve"> </w:t>
      </w:r>
      <w:r w:rsidR="005D0E74">
        <w:t xml:space="preserve">from </w:t>
      </w:r>
      <w:r w:rsidRPr="009D7C5E">
        <w:t xml:space="preserve">petroleum fuels, </w:t>
      </w:r>
      <w:r w:rsidR="005D0E74">
        <w:t xml:space="preserve">increasing </w:t>
      </w:r>
      <w:r w:rsidRPr="009D7C5E">
        <w:t xml:space="preserve">greenhouse gases and pollutants. VFA are short-chain linear mono aliphatic molecules (2-6 carbon atoms) that may be used to make biofuels (like methane and hydrogen), remove </w:t>
      </w:r>
      <w:r w:rsidR="005D0E74">
        <w:t>nutrients</w:t>
      </w:r>
      <w:r w:rsidRPr="009D7C5E">
        <w:t xml:space="preserve"> from wastewater, and </w:t>
      </w:r>
      <w:r w:rsidR="005D0E74">
        <w:t xml:space="preserve">synthetize </w:t>
      </w:r>
      <w:r w:rsidRPr="009D7C5E">
        <w:t xml:space="preserve">microbial </w:t>
      </w:r>
      <w:r w:rsidRPr="0044626A">
        <w:t>biopolymers (</w:t>
      </w:r>
      <w:r w:rsidR="005D0E74" w:rsidRPr="0044626A">
        <w:t>such as</w:t>
      </w:r>
      <w:r w:rsidRPr="0044626A">
        <w:t xml:space="preserve"> polyhydroxyalkanoates</w:t>
      </w:r>
      <w:r w:rsidR="00B41537" w:rsidRPr="0044626A">
        <w:t>, PHA</w:t>
      </w:r>
      <w:r w:rsidR="005D0E74" w:rsidRPr="0044626A">
        <w:t xml:space="preserve">; </w:t>
      </w:r>
      <w:r w:rsidR="0044626A" w:rsidRPr="0044626A">
        <w:t>Moretto</w:t>
      </w:r>
      <w:r w:rsidRPr="0044626A">
        <w:t xml:space="preserve"> et al. 20</w:t>
      </w:r>
      <w:r w:rsidR="005D0E74" w:rsidRPr="0044626A">
        <w:t>20</w:t>
      </w:r>
      <w:r w:rsidRPr="0044626A">
        <w:t>).</w:t>
      </w:r>
      <w:r w:rsidR="00E80158" w:rsidRPr="0044626A">
        <w:t xml:space="preserve"> </w:t>
      </w:r>
      <w:r w:rsidR="00B41537" w:rsidRPr="0044626A">
        <w:t>A thermoplastic biodegradable polymer</w:t>
      </w:r>
      <w:r w:rsidR="00B41537" w:rsidRPr="009D7C5E">
        <w:t xml:space="preserve"> like PHA is a sustainable alternative to th</w:t>
      </w:r>
      <w:r w:rsidR="00D05EBD">
        <w:t xml:space="preserve">e </w:t>
      </w:r>
      <w:r w:rsidR="00D05EBD" w:rsidRPr="009D7C5E">
        <w:t>petroleum-derived polymers</w:t>
      </w:r>
      <w:r w:rsidR="00D05EBD">
        <w:t xml:space="preserve">, which have been in high demand </w:t>
      </w:r>
      <w:r w:rsidR="00D05EBD" w:rsidRPr="009D7C5E">
        <w:t>for decades</w:t>
      </w:r>
      <w:r w:rsidR="00D05EBD">
        <w:t>, due to</w:t>
      </w:r>
      <w:r w:rsidR="00B41537" w:rsidRPr="009D7C5E">
        <w:t xml:space="preserve"> </w:t>
      </w:r>
      <w:r w:rsidRPr="009D7C5E">
        <w:t>their low cost</w:t>
      </w:r>
      <w:r w:rsidR="00D05EBD">
        <w:t xml:space="preserve"> and</w:t>
      </w:r>
      <w:r w:rsidRPr="009D7C5E">
        <w:t xml:space="preserve"> durability</w:t>
      </w:r>
      <w:r w:rsidR="00D05EBD">
        <w:t xml:space="preserve"> and despite of the environmental concerns</w:t>
      </w:r>
      <w:r w:rsidRPr="009D7C5E">
        <w:t>. VFA can also be used as carbon sources for biological nutrient elimination (nitrogen and phosphorus)</w:t>
      </w:r>
      <w:r w:rsidR="003C2946">
        <w:t xml:space="preserve"> in WWTPs</w:t>
      </w:r>
      <w:r w:rsidRPr="009D7C5E">
        <w:t>. Methanol is commonly utilized</w:t>
      </w:r>
      <w:r w:rsidR="003C2946">
        <w:t xml:space="preserve"> for this purpose</w:t>
      </w:r>
      <w:r w:rsidRPr="009D7C5E">
        <w:t xml:space="preserve">, however VFA </w:t>
      </w:r>
      <w:r w:rsidR="003C2946">
        <w:t>can b</w:t>
      </w:r>
      <w:r w:rsidR="003C2946" w:rsidRPr="0044626A">
        <w:t>e</w:t>
      </w:r>
      <w:r w:rsidRPr="0044626A">
        <w:t xml:space="preserve"> similarly effective and less costly</w:t>
      </w:r>
      <w:r w:rsidR="003C2946" w:rsidRPr="0044626A">
        <w:t xml:space="preserve"> if produced from sludges within the same WWTP</w:t>
      </w:r>
      <w:r w:rsidRPr="0044626A">
        <w:t xml:space="preserve"> (Zh</w:t>
      </w:r>
      <w:r w:rsidR="0044626A" w:rsidRPr="0044626A">
        <w:t>ang</w:t>
      </w:r>
      <w:r w:rsidRPr="0044626A">
        <w:t xml:space="preserve"> et al</w:t>
      </w:r>
      <w:r w:rsidR="00C76728" w:rsidRPr="0044626A">
        <w:t>.,</w:t>
      </w:r>
      <w:r w:rsidRPr="0044626A">
        <w:t xml:space="preserve"> 201</w:t>
      </w:r>
      <w:r w:rsidR="0044626A" w:rsidRPr="0044626A">
        <w:t>9</w:t>
      </w:r>
      <w:r w:rsidRPr="009D7C5E">
        <w:t xml:space="preserve">). </w:t>
      </w:r>
      <w:r w:rsidR="003C2946">
        <w:t>Other applications have also their commercial interest; t</w:t>
      </w:r>
      <w:r w:rsidRPr="009D7C5E">
        <w:t xml:space="preserve">o name a few, </w:t>
      </w:r>
      <w:r w:rsidR="003C2946">
        <w:t>a</w:t>
      </w:r>
      <w:r w:rsidRPr="009D7C5E">
        <w:t xml:space="preserve">cetic </w:t>
      </w:r>
      <w:r w:rsidR="003C2946">
        <w:t>a</w:t>
      </w:r>
      <w:r w:rsidRPr="009D7C5E">
        <w:t>cid is used in chemical manufacturing, esters production, and food colorant and additive solvents</w:t>
      </w:r>
      <w:r w:rsidR="003C2946">
        <w:t>;</w:t>
      </w:r>
      <w:r w:rsidRPr="009D7C5E">
        <w:t xml:space="preserve"> </w:t>
      </w:r>
      <w:r w:rsidR="003C2946">
        <w:t>b</w:t>
      </w:r>
      <w:r w:rsidRPr="009D7C5E">
        <w:t xml:space="preserve">utyric </w:t>
      </w:r>
      <w:r w:rsidR="003C2946">
        <w:t>a</w:t>
      </w:r>
      <w:r w:rsidRPr="009D7C5E">
        <w:t>cid is used as an aromatic, pharmaceutic, or animal nutrition ingredient.</w:t>
      </w:r>
      <w:r w:rsidR="00E80158">
        <w:t xml:space="preserve"> </w:t>
      </w:r>
      <w:r w:rsidR="003B5A9E">
        <w:t>A cr</w:t>
      </w:r>
      <w:r w:rsidR="003B5A9E" w:rsidRPr="00B05451">
        <w:t xml:space="preserve">itical aspect for </w:t>
      </w:r>
      <w:r w:rsidR="00B05451" w:rsidRPr="00B05451">
        <w:t>waste derived</w:t>
      </w:r>
      <w:r w:rsidR="003B5A9E" w:rsidRPr="00B05451">
        <w:t xml:space="preserve"> </w:t>
      </w:r>
      <w:r w:rsidRPr="00B05451">
        <w:t>VFA</w:t>
      </w:r>
      <w:r w:rsidR="003B5A9E" w:rsidRPr="00B05451">
        <w:t xml:space="preserve"> is the </w:t>
      </w:r>
      <w:r w:rsidRPr="00B05451">
        <w:t>extraction from fermentation</w:t>
      </w:r>
      <w:r w:rsidR="003B5A9E" w:rsidRPr="00B05451">
        <w:t xml:space="preserve"> broth</w:t>
      </w:r>
      <w:r w:rsidRPr="00B05451">
        <w:t xml:space="preserve">, which </w:t>
      </w:r>
      <w:r w:rsidR="003B5A9E" w:rsidRPr="00B05451">
        <w:t xml:space="preserve">may </w:t>
      </w:r>
      <w:r w:rsidR="00C57EDF" w:rsidRPr="00B05451">
        <w:t>affect</w:t>
      </w:r>
      <w:r w:rsidR="003B5A9E" w:rsidRPr="00B05451">
        <w:t xml:space="preserve"> the</w:t>
      </w:r>
      <w:r w:rsidRPr="00B05451">
        <w:t xml:space="preserve"> production costs (</w:t>
      </w:r>
      <w:proofErr w:type="spellStart"/>
      <w:r w:rsidRPr="00B05451">
        <w:t>Braguglia</w:t>
      </w:r>
      <w:proofErr w:type="spellEnd"/>
      <w:r w:rsidRPr="00B05451">
        <w:t xml:space="preserve"> et al</w:t>
      </w:r>
      <w:r w:rsidR="003B5A9E" w:rsidRPr="00B05451">
        <w:t>.,</w:t>
      </w:r>
      <w:r w:rsidRPr="00B05451">
        <w:t xml:space="preserve"> 2018).</w:t>
      </w:r>
      <w:r w:rsidR="00E80158" w:rsidRPr="00B05451">
        <w:t xml:space="preserve"> </w:t>
      </w:r>
      <w:r w:rsidRPr="00B05451">
        <w:t>Methods that have been developed include liquid-liquid extraction, membrane proce</w:t>
      </w:r>
      <w:r w:rsidRPr="009D7C5E">
        <w:t>ss, adsorption, ion-exchange and distillation and evaporation. Some are more costly or efficient than others and must be selected based on the broth's chemical and physical properties, as well as the desired VFA.</w:t>
      </w:r>
      <w:r w:rsidR="00E80158">
        <w:t xml:space="preserve"> </w:t>
      </w:r>
    </w:p>
    <w:p w14:paraId="719E166F" w14:textId="743984E8" w:rsidR="00BD032F" w:rsidRPr="009D7C5E" w:rsidRDefault="00BD032F" w:rsidP="009D3C1B">
      <w:pPr>
        <w:pStyle w:val="Paragrafoelenco"/>
        <w:ind w:left="0"/>
      </w:pPr>
      <w:r w:rsidRPr="009D7C5E">
        <w:t xml:space="preserve">Anaerobic fermentation in urban </w:t>
      </w:r>
      <w:r w:rsidR="003B5A9E">
        <w:t>scenario</w:t>
      </w:r>
      <w:r w:rsidRPr="009D7C5E">
        <w:t xml:space="preserve">, where organic substrate is constantly accessible </w:t>
      </w:r>
      <w:r w:rsidR="003B5A9E">
        <w:t xml:space="preserve">could represent a </w:t>
      </w:r>
      <w:r w:rsidR="003B5A9E" w:rsidRPr="0044626A">
        <w:t>way for</w:t>
      </w:r>
      <w:r w:rsidRPr="0044626A">
        <w:t xml:space="preserve"> more sustainable </w:t>
      </w:r>
      <w:r w:rsidR="003B5A9E" w:rsidRPr="0044626A">
        <w:t xml:space="preserve">waste management </w:t>
      </w:r>
      <w:r w:rsidRPr="0044626A">
        <w:t>(Moretto et al</w:t>
      </w:r>
      <w:r w:rsidR="003B5A9E" w:rsidRPr="0044626A">
        <w:t>.,</w:t>
      </w:r>
      <w:r w:rsidRPr="0044626A">
        <w:t xml:space="preserve"> 2020).</w:t>
      </w:r>
      <w:r w:rsidR="003B5A9E" w:rsidRPr="0044626A">
        <w:t xml:space="preserve"> </w:t>
      </w:r>
      <w:r w:rsidRPr="0044626A">
        <w:t>This research evaluated thermal</w:t>
      </w:r>
      <w:r w:rsidR="00C57EDF" w:rsidRPr="0044626A">
        <w:t xml:space="preserve"> and</w:t>
      </w:r>
      <w:r w:rsidRPr="009D7C5E">
        <w:t xml:space="preserve"> alkaline</w:t>
      </w:r>
      <w:r w:rsidR="00C57EDF">
        <w:t xml:space="preserve"> SS pre-treatment (isolated and in combination) for the solubilisation of the organic matter and its utilisation in a following acidogenic fermentation process, addressed to the synthesis of VFA. </w:t>
      </w:r>
      <w:r w:rsidR="00405CC6">
        <w:t>Fermentation b</w:t>
      </w:r>
      <w:r w:rsidR="00C57EDF">
        <w:t xml:space="preserve">atch </w:t>
      </w:r>
      <w:r w:rsidR="00405CC6">
        <w:t xml:space="preserve">tests were performed in a wide range of temperature (20-70°C), by using </w:t>
      </w:r>
      <w:r w:rsidR="002B6E0B">
        <w:t xml:space="preserve">the pre-treated sludge collected before. Finally, a single and fixed T was chosen and applied to the </w:t>
      </w:r>
      <w:r w:rsidR="00C57EDF">
        <w:t xml:space="preserve">semi-continuous </w:t>
      </w:r>
      <w:r w:rsidRPr="009D7C5E">
        <w:t xml:space="preserve">fermentation </w:t>
      </w:r>
      <w:r w:rsidR="00C57EDF">
        <w:t>tests</w:t>
      </w:r>
      <w:r w:rsidR="002B6E0B">
        <w:t>,</w:t>
      </w:r>
      <w:r w:rsidR="00C57EDF">
        <w:t xml:space="preserve"> w</w:t>
      </w:r>
      <w:r w:rsidR="002B6E0B">
        <w:t>h</w:t>
      </w:r>
      <w:r w:rsidR="00C57EDF">
        <w:t xml:space="preserve">ere </w:t>
      </w:r>
      <w:r w:rsidR="002B6E0B">
        <w:t>three different</w:t>
      </w:r>
      <w:r w:rsidR="00C57EDF">
        <w:t xml:space="preserve"> hydraulic retention time (HRT; 4-</w:t>
      </w:r>
      <w:r w:rsidR="002B6E0B">
        <w:t>5-</w:t>
      </w:r>
      <w:r w:rsidR="00C57EDF">
        <w:t>6 days)</w:t>
      </w:r>
      <w:r w:rsidRPr="009D7C5E">
        <w:t xml:space="preserve"> </w:t>
      </w:r>
      <w:r w:rsidR="002B6E0B">
        <w:t xml:space="preserve">were applied </w:t>
      </w:r>
      <w:r w:rsidRPr="009D7C5E">
        <w:t xml:space="preserve">to compare the VFA </w:t>
      </w:r>
      <w:r w:rsidR="00C57EDF">
        <w:t>production (maximal VFA concentration, fermentation rates and yields) and VFA composition (from acetic to caproic acids)</w:t>
      </w:r>
      <w:r w:rsidRPr="009D7C5E">
        <w:t xml:space="preserve">. </w:t>
      </w:r>
    </w:p>
    <w:p w14:paraId="04963A06" w14:textId="00BBF747" w:rsidR="00600535" w:rsidRPr="00B57B36" w:rsidRDefault="00216E55" w:rsidP="00413B50">
      <w:pPr>
        <w:pStyle w:val="CETHeading1"/>
        <w:tabs>
          <w:tab w:val="right" w:pos="7100"/>
        </w:tabs>
        <w:jc w:val="both"/>
      </w:pPr>
      <w:r w:rsidRPr="002E0677">
        <w:rPr>
          <w:lang w:val="en-GB"/>
        </w:rPr>
        <w:t>Materials and Methods</w:t>
      </w:r>
    </w:p>
    <w:p w14:paraId="251F1415" w14:textId="1ABC66A6" w:rsidR="00420A37" w:rsidRPr="005E27B8" w:rsidRDefault="00420A37" w:rsidP="00420A37">
      <w:pPr>
        <w:rPr>
          <w:b/>
          <w:bCs/>
          <w:szCs w:val="18"/>
          <w:lang w:val="en-US"/>
        </w:rPr>
      </w:pPr>
      <w:r w:rsidRPr="005E27B8">
        <w:rPr>
          <w:b/>
          <w:bCs/>
          <w:szCs w:val="18"/>
          <w:lang w:val="en-US"/>
        </w:rPr>
        <w:t xml:space="preserve">2.1 </w:t>
      </w:r>
      <w:r w:rsidR="005E27B8">
        <w:rPr>
          <w:b/>
          <w:bCs/>
          <w:szCs w:val="18"/>
          <w:lang w:val="en-US"/>
        </w:rPr>
        <w:t>Configuration and process set up</w:t>
      </w:r>
    </w:p>
    <w:p w14:paraId="5B7BA861" w14:textId="2F82876D" w:rsidR="008A3BF4" w:rsidRDefault="005E27B8" w:rsidP="00420A37">
      <w:pPr>
        <w:rPr>
          <w:lang w:val="en-US"/>
        </w:rPr>
      </w:pPr>
      <w:r>
        <w:t>T</w:t>
      </w:r>
      <w:r w:rsidR="008A3BF4" w:rsidRPr="009D7C5E">
        <w:t xml:space="preserve">he pre-treatment </w:t>
      </w:r>
      <w:r>
        <w:t xml:space="preserve">step </w:t>
      </w:r>
      <w:r w:rsidR="008A3BF4" w:rsidRPr="009D7C5E">
        <w:t>was conceived to solubilize the organic matter (volatile solids; VS) and, therefore, to increase the soluble chemical oxygen demand (COD</w:t>
      </w:r>
      <w:r w:rsidR="008A3BF4" w:rsidRPr="005E27B8">
        <w:rPr>
          <w:vertAlign w:val="subscript"/>
        </w:rPr>
        <w:t>SOL</w:t>
      </w:r>
      <w:r w:rsidR="008A3BF4" w:rsidRPr="009D7C5E">
        <w:t>) in the liquid phase.</w:t>
      </w:r>
      <w:r w:rsidR="00E31F64" w:rsidRPr="00E31F64">
        <w:rPr>
          <w:lang w:val="en-US"/>
        </w:rPr>
        <w:t xml:space="preserve"> </w:t>
      </w:r>
      <w:r w:rsidR="00E31F64">
        <w:rPr>
          <w:lang w:val="en-US"/>
        </w:rPr>
        <w:t>A</w:t>
      </w:r>
      <w:r w:rsidR="00E31F64" w:rsidRPr="00420A37">
        <w:rPr>
          <w:lang w:val="en-US"/>
        </w:rPr>
        <w:t>lkalin</w:t>
      </w:r>
      <w:r w:rsidR="00E31F64">
        <w:rPr>
          <w:lang w:val="en-US"/>
        </w:rPr>
        <w:t>e</w:t>
      </w:r>
      <w:r w:rsidR="00E31F64" w:rsidRPr="00420A37">
        <w:rPr>
          <w:lang w:val="en-US"/>
        </w:rPr>
        <w:t xml:space="preserve"> test</w:t>
      </w:r>
      <w:r w:rsidR="00E31F64">
        <w:rPr>
          <w:lang w:val="en-US"/>
        </w:rPr>
        <w:t>s</w:t>
      </w:r>
      <w:r w:rsidR="00E31F64" w:rsidRPr="00420A37">
        <w:rPr>
          <w:lang w:val="en-US"/>
        </w:rPr>
        <w:t xml:space="preserve"> w</w:t>
      </w:r>
      <w:r w:rsidR="00E31F64">
        <w:rPr>
          <w:lang w:val="en-US"/>
        </w:rPr>
        <w:t>ere</w:t>
      </w:r>
      <w:r w:rsidR="00E31F64" w:rsidRPr="00420A37">
        <w:rPr>
          <w:lang w:val="en-US"/>
        </w:rPr>
        <w:t xml:space="preserve"> carried out </w:t>
      </w:r>
      <w:r w:rsidR="00E31F64">
        <w:rPr>
          <w:lang w:val="en-US"/>
        </w:rPr>
        <w:t>at</w:t>
      </w:r>
      <w:r w:rsidR="00E31F64" w:rsidRPr="00420A37">
        <w:rPr>
          <w:lang w:val="en-US"/>
        </w:rPr>
        <w:t xml:space="preserve"> pH 9</w:t>
      </w:r>
      <w:r w:rsidR="00E31F64">
        <w:rPr>
          <w:lang w:val="en-US"/>
        </w:rPr>
        <w:t>.0</w:t>
      </w:r>
      <w:r w:rsidR="00E31F64" w:rsidRPr="00420A37">
        <w:rPr>
          <w:lang w:val="en-US"/>
        </w:rPr>
        <w:t xml:space="preserve"> </w:t>
      </w:r>
      <w:r w:rsidR="00E31F64">
        <w:rPr>
          <w:lang w:val="en-US"/>
        </w:rPr>
        <w:t>(</w:t>
      </w:r>
      <w:r w:rsidR="00F44678">
        <w:rPr>
          <w:lang w:val="en-US"/>
        </w:rPr>
        <w:t>A</w:t>
      </w:r>
      <w:r w:rsidR="00E31F64">
        <w:rPr>
          <w:lang w:val="en-US"/>
        </w:rPr>
        <w:t xml:space="preserve">1) </w:t>
      </w:r>
      <w:r w:rsidR="00E31F64" w:rsidRPr="00420A37">
        <w:rPr>
          <w:lang w:val="en-US"/>
        </w:rPr>
        <w:t>and 11.</w:t>
      </w:r>
      <w:r w:rsidR="00E31F64">
        <w:rPr>
          <w:lang w:val="en-US"/>
        </w:rPr>
        <w:t>0 (</w:t>
      </w:r>
      <w:r w:rsidR="00F44678">
        <w:rPr>
          <w:lang w:val="en-US"/>
        </w:rPr>
        <w:t>A</w:t>
      </w:r>
      <w:r w:rsidR="00E31F64">
        <w:rPr>
          <w:lang w:val="en-US"/>
        </w:rPr>
        <w:t>2)</w:t>
      </w:r>
      <w:r w:rsidR="004D03B8">
        <w:rPr>
          <w:lang w:val="en-US"/>
        </w:rPr>
        <w:t xml:space="preserve"> by adding </w:t>
      </w:r>
      <w:r w:rsidR="00D21031">
        <w:rPr>
          <w:lang w:val="en-US"/>
        </w:rPr>
        <w:t xml:space="preserve">3.0 M </w:t>
      </w:r>
      <w:r w:rsidR="004D03B8">
        <w:rPr>
          <w:lang w:val="en-US"/>
        </w:rPr>
        <w:t xml:space="preserve">NaOH </w:t>
      </w:r>
      <w:r w:rsidR="00D21031">
        <w:rPr>
          <w:lang w:val="en-US"/>
        </w:rPr>
        <w:t>solution</w:t>
      </w:r>
      <w:r w:rsidR="00E31F64">
        <w:rPr>
          <w:lang w:val="en-US"/>
        </w:rPr>
        <w:t xml:space="preserve">. Thermal pre-treatment tests were performed at </w:t>
      </w:r>
      <w:r w:rsidR="004D03B8">
        <w:rPr>
          <w:lang w:val="en-US"/>
        </w:rPr>
        <w:t>70°C (T1) and 90°C (T2)</w:t>
      </w:r>
      <w:r w:rsidR="00D21031">
        <w:rPr>
          <w:lang w:val="en-US"/>
        </w:rPr>
        <w:t>, controlled in the oven</w:t>
      </w:r>
      <w:r w:rsidR="004D03B8">
        <w:rPr>
          <w:lang w:val="en-US"/>
        </w:rPr>
        <w:t>. In the combined pre-treatment, the pH value was equal to 11.0, and the T was controlled at 70°C (</w:t>
      </w:r>
      <w:r w:rsidR="00F44678">
        <w:rPr>
          <w:lang w:val="en-US"/>
        </w:rPr>
        <w:t>A</w:t>
      </w:r>
      <w:r w:rsidR="004D03B8">
        <w:rPr>
          <w:lang w:val="en-US"/>
        </w:rPr>
        <w:t>2-T1) and 90°C (</w:t>
      </w:r>
      <w:r w:rsidR="00F44678">
        <w:rPr>
          <w:lang w:val="en-US"/>
        </w:rPr>
        <w:t>A</w:t>
      </w:r>
      <w:r w:rsidR="004D03B8">
        <w:rPr>
          <w:lang w:val="en-US"/>
        </w:rPr>
        <w:t>2-T2).</w:t>
      </w:r>
      <w:r w:rsidR="00D21031">
        <w:rPr>
          <w:lang w:val="en-US"/>
        </w:rPr>
        <w:t xml:space="preserve"> Each test was conducted in duplicate, in a 2.0 L glass bottles for 24 h. </w:t>
      </w:r>
      <w:r w:rsidR="004D03B8">
        <w:rPr>
          <w:lang w:val="en-US"/>
        </w:rPr>
        <w:t xml:space="preserve">  </w:t>
      </w:r>
    </w:p>
    <w:p w14:paraId="6E7FA5F3" w14:textId="2A774C65" w:rsidR="00420A37" w:rsidRDefault="00D21031" w:rsidP="00420A37">
      <w:pPr>
        <w:rPr>
          <w:lang w:val="en-US"/>
        </w:rPr>
      </w:pPr>
      <w:r w:rsidRPr="00420A37">
        <w:rPr>
          <w:lang w:val="en-US"/>
        </w:rPr>
        <w:t xml:space="preserve">Batch fermentation tests were carried out for up to 7 days </w:t>
      </w:r>
      <w:r w:rsidR="00A91C87">
        <w:rPr>
          <w:lang w:val="en-US"/>
        </w:rPr>
        <w:t xml:space="preserve">with sludge obtained from T1 pre-treated test, </w:t>
      </w:r>
      <w:r w:rsidRPr="00420A37">
        <w:rPr>
          <w:lang w:val="en-US"/>
        </w:rPr>
        <w:t xml:space="preserve">at </w:t>
      </w:r>
      <w:r>
        <w:rPr>
          <w:lang w:val="en-US"/>
        </w:rPr>
        <w:t>four different T (from mesophi</w:t>
      </w:r>
      <w:r w:rsidRPr="009F053C">
        <w:rPr>
          <w:lang w:val="en-US"/>
        </w:rPr>
        <w:t xml:space="preserve">lic to </w:t>
      </w:r>
      <w:proofErr w:type="spellStart"/>
      <w:r w:rsidR="00B0017D">
        <w:rPr>
          <w:lang w:val="en-US"/>
        </w:rPr>
        <w:t>hy</w:t>
      </w:r>
      <w:r w:rsidRPr="009F053C">
        <w:rPr>
          <w:lang w:val="en-US"/>
        </w:rPr>
        <w:t>perthermophilic</w:t>
      </w:r>
      <w:proofErr w:type="spellEnd"/>
      <w:r w:rsidRPr="009F053C">
        <w:rPr>
          <w:lang w:val="en-US"/>
        </w:rPr>
        <w:t xml:space="preserve"> conditions)</w:t>
      </w:r>
      <w:r w:rsidR="00A91C87" w:rsidRPr="009F053C">
        <w:rPr>
          <w:lang w:val="en-US"/>
        </w:rPr>
        <w:t xml:space="preserve"> </w:t>
      </w:r>
      <w:r w:rsidR="00A91C87" w:rsidRPr="009F053C">
        <w:t xml:space="preserve">by using </w:t>
      </w:r>
      <w:r w:rsidR="009F053C" w:rsidRPr="009F053C">
        <w:t>an available mixed fermentative consortium as inoculum</w:t>
      </w:r>
      <w:r>
        <w:rPr>
          <w:lang w:val="en-US"/>
        </w:rPr>
        <w:t>:</w:t>
      </w:r>
      <w:r w:rsidRPr="00420A37">
        <w:rPr>
          <w:lang w:val="en-US"/>
        </w:rPr>
        <w:t xml:space="preserve"> 20°C, 3</w:t>
      </w:r>
      <w:r>
        <w:rPr>
          <w:lang w:val="en-US"/>
        </w:rPr>
        <w:t>7</w:t>
      </w:r>
      <w:r w:rsidRPr="00420A37">
        <w:rPr>
          <w:lang w:val="en-US"/>
        </w:rPr>
        <w:t xml:space="preserve">°C, 55°C and 70°C. </w:t>
      </w:r>
      <w:r w:rsidR="00A91C87" w:rsidRPr="00420A37">
        <w:rPr>
          <w:lang w:val="en-US"/>
        </w:rPr>
        <w:t>Daily, a liquid sample was taken for VFA analysis</w:t>
      </w:r>
      <w:r w:rsidR="00A91C87">
        <w:rPr>
          <w:lang w:val="en-US"/>
        </w:rPr>
        <w:t xml:space="preserve"> and</w:t>
      </w:r>
      <w:r w:rsidR="00A91C87" w:rsidRPr="00420A37">
        <w:rPr>
          <w:lang w:val="en-US"/>
        </w:rPr>
        <w:t xml:space="preserve"> pH measurements</w:t>
      </w:r>
      <w:r w:rsidR="00A91C87">
        <w:rPr>
          <w:lang w:val="en-US"/>
        </w:rPr>
        <w:t>.</w:t>
      </w:r>
      <w:r w:rsidR="00A91C87" w:rsidRPr="00420A37">
        <w:rPr>
          <w:lang w:val="en-US"/>
        </w:rPr>
        <w:t xml:space="preserve"> </w:t>
      </w:r>
      <w:r w:rsidR="00A91C87">
        <w:rPr>
          <w:lang w:val="en-US"/>
        </w:rPr>
        <w:t>A</w:t>
      </w:r>
      <w:r w:rsidR="00A91C87" w:rsidRPr="00420A37">
        <w:rPr>
          <w:lang w:val="en-US"/>
        </w:rPr>
        <w:t>mmonium, phosphate and COD</w:t>
      </w:r>
      <w:r w:rsidR="00A91C87" w:rsidRPr="00A91C87">
        <w:rPr>
          <w:vertAlign w:val="subscript"/>
          <w:lang w:val="en-US"/>
        </w:rPr>
        <w:t>SOL</w:t>
      </w:r>
      <w:r w:rsidR="00A91C87" w:rsidRPr="00420A37">
        <w:rPr>
          <w:lang w:val="en-US"/>
        </w:rPr>
        <w:t xml:space="preserve"> </w:t>
      </w:r>
      <w:r w:rsidR="00A91C87">
        <w:rPr>
          <w:lang w:val="en-US"/>
        </w:rPr>
        <w:t>was analyzed at the end of the test.</w:t>
      </w:r>
      <w:r w:rsidR="00A91C87" w:rsidRPr="00420A37">
        <w:rPr>
          <w:lang w:val="en-US"/>
        </w:rPr>
        <w:t xml:space="preserve"> </w:t>
      </w:r>
      <w:r w:rsidRPr="00420A37">
        <w:rPr>
          <w:lang w:val="en-US"/>
        </w:rPr>
        <w:t>E</w:t>
      </w:r>
      <w:r w:rsidR="00A91C87">
        <w:rPr>
          <w:lang w:val="en-US"/>
        </w:rPr>
        <w:t>ach test was conducted in duplicate, in a 2.0 L glass bottle.</w:t>
      </w:r>
      <w:r w:rsidR="00B6682E">
        <w:rPr>
          <w:lang w:val="en-US"/>
        </w:rPr>
        <w:t xml:space="preserve"> </w:t>
      </w:r>
      <w:r w:rsidR="00A91C87">
        <w:rPr>
          <w:lang w:val="en-US"/>
        </w:rPr>
        <w:t xml:space="preserve">After evaluation </w:t>
      </w:r>
      <w:r w:rsidR="009F053C">
        <w:rPr>
          <w:lang w:val="en-US"/>
        </w:rPr>
        <w:t>of fermentation performances in batch tests, a semi-continuous fermentation process was performed at 55°C. Such</w:t>
      </w:r>
      <w:r w:rsidR="00420A37" w:rsidRPr="00420A37">
        <w:rPr>
          <w:lang w:val="en-US"/>
        </w:rPr>
        <w:t xml:space="preserve"> experiment was conducted in </w:t>
      </w:r>
      <w:r w:rsidR="009F053C">
        <w:rPr>
          <w:lang w:val="en-US"/>
        </w:rPr>
        <w:t>0.</w:t>
      </w:r>
      <w:r w:rsidR="00420A37" w:rsidRPr="00420A37">
        <w:rPr>
          <w:lang w:val="en-US"/>
        </w:rPr>
        <w:t xml:space="preserve">8 L </w:t>
      </w:r>
      <w:r w:rsidR="009F053C">
        <w:rPr>
          <w:lang w:val="en-US"/>
        </w:rPr>
        <w:t xml:space="preserve">(working volume) glass </w:t>
      </w:r>
      <w:r w:rsidR="00420A37" w:rsidRPr="00420A37">
        <w:rPr>
          <w:lang w:val="en-US"/>
        </w:rPr>
        <w:t>bottle</w:t>
      </w:r>
      <w:r w:rsidR="009F053C">
        <w:rPr>
          <w:lang w:val="en-US"/>
        </w:rPr>
        <w:t>,</w:t>
      </w:r>
      <w:r w:rsidR="00420A37" w:rsidRPr="00420A37">
        <w:rPr>
          <w:lang w:val="en-US"/>
        </w:rPr>
        <w:t xml:space="preserve"> kept at a constant </w:t>
      </w:r>
      <w:r w:rsidR="009F053C">
        <w:rPr>
          <w:lang w:val="en-US"/>
        </w:rPr>
        <w:t xml:space="preserve">T in an oven </w:t>
      </w:r>
      <w:r w:rsidR="00420A37" w:rsidRPr="00420A37">
        <w:rPr>
          <w:lang w:val="en-US"/>
        </w:rPr>
        <w:t xml:space="preserve">for nearly 35 days. Three different HRTs were examined i.e., </w:t>
      </w:r>
      <w:r w:rsidR="009F053C">
        <w:rPr>
          <w:lang w:val="en-US"/>
        </w:rPr>
        <w:t>4-5-6</w:t>
      </w:r>
      <w:r w:rsidR="00420A37" w:rsidRPr="00420A37">
        <w:rPr>
          <w:lang w:val="en-US"/>
        </w:rPr>
        <w:t xml:space="preserve"> days. </w:t>
      </w:r>
      <w:r w:rsidR="009F053C" w:rsidRPr="009F053C">
        <w:rPr>
          <w:lang w:val="en-US"/>
        </w:rPr>
        <w:t>The slurry was mixed</w:t>
      </w:r>
      <w:r w:rsidR="0088091A">
        <w:rPr>
          <w:lang w:val="en-US"/>
        </w:rPr>
        <w:t xml:space="preserve"> with magnetic stirrer and periodically, a</w:t>
      </w:r>
      <w:r w:rsidR="0088091A" w:rsidRPr="00420A37">
        <w:rPr>
          <w:lang w:val="en-US"/>
        </w:rPr>
        <w:t xml:space="preserve"> </w:t>
      </w:r>
      <w:r w:rsidR="0088091A">
        <w:rPr>
          <w:lang w:val="en-US"/>
        </w:rPr>
        <w:t xml:space="preserve">small aliquot of </w:t>
      </w:r>
      <w:r w:rsidR="0088091A" w:rsidRPr="00420A37">
        <w:rPr>
          <w:lang w:val="en-US"/>
        </w:rPr>
        <w:t xml:space="preserve">sample was taken for </w:t>
      </w:r>
      <w:r w:rsidR="0088091A">
        <w:rPr>
          <w:lang w:val="en-US"/>
        </w:rPr>
        <w:t>COD</w:t>
      </w:r>
      <w:r w:rsidR="0088091A" w:rsidRPr="0088091A">
        <w:rPr>
          <w:vertAlign w:val="subscript"/>
          <w:lang w:val="en-US"/>
        </w:rPr>
        <w:t>SOL</w:t>
      </w:r>
      <w:r w:rsidR="0088091A">
        <w:rPr>
          <w:lang w:val="en-US"/>
        </w:rPr>
        <w:t xml:space="preserve"> and </w:t>
      </w:r>
      <w:r w:rsidR="0088091A" w:rsidRPr="00420A37">
        <w:rPr>
          <w:lang w:val="en-US"/>
        </w:rPr>
        <w:t xml:space="preserve">VFA analysis, </w:t>
      </w:r>
      <w:r w:rsidR="0088091A">
        <w:rPr>
          <w:lang w:val="en-US"/>
        </w:rPr>
        <w:t xml:space="preserve">and </w:t>
      </w:r>
      <w:r w:rsidR="0088091A" w:rsidRPr="00420A37">
        <w:rPr>
          <w:lang w:val="en-US"/>
        </w:rPr>
        <w:t>pH measurements</w:t>
      </w:r>
      <w:r w:rsidR="009F053C" w:rsidRPr="009F053C">
        <w:rPr>
          <w:lang w:val="en-US"/>
        </w:rPr>
        <w:t xml:space="preserve">. </w:t>
      </w:r>
      <w:r w:rsidR="0088091A">
        <w:rPr>
          <w:lang w:val="en-US"/>
        </w:rPr>
        <w:t xml:space="preserve">For </w:t>
      </w:r>
      <w:r w:rsidR="009F053C" w:rsidRPr="009F053C">
        <w:rPr>
          <w:lang w:val="en-US"/>
        </w:rPr>
        <w:t>the sampling</w:t>
      </w:r>
      <w:r w:rsidR="0088091A">
        <w:rPr>
          <w:lang w:val="en-US"/>
        </w:rPr>
        <w:t>, the bottles were opened</w:t>
      </w:r>
      <w:r w:rsidR="009F053C" w:rsidRPr="009F053C">
        <w:rPr>
          <w:lang w:val="en-US"/>
        </w:rPr>
        <w:t xml:space="preserve"> and maintained under N</w:t>
      </w:r>
      <w:r w:rsidR="009F053C" w:rsidRPr="0088091A">
        <w:rPr>
          <w:vertAlign w:val="subscript"/>
          <w:lang w:val="en-US"/>
        </w:rPr>
        <w:t>2</w:t>
      </w:r>
      <w:r w:rsidR="009F053C" w:rsidRPr="009F053C">
        <w:rPr>
          <w:lang w:val="en-US"/>
        </w:rPr>
        <w:t xml:space="preserve"> flux for </w:t>
      </w:r>
      <w:r w:rsidR="0088091A">
        <w:rPr>
          <w:lang w:val="en-US"/>
        </w:rPr>
        <w:t>15</w:t>
      </w:r>
      <w:r w:rsidR="009F053C" w:rsidRPr="009F053C">
        <w:rPr>
          <w:lang w:val="en-US"/>
        </w:rPr>
        <w:t xml:space="preserve"> min to re-establish anaerobic conditions</w:t>
      </w:r>
      <w:r w:rsidR="00420A37" w:rsidRPr="00420A37">
        <w:rPr>
          <w:lang w:val="en-US"/>
        </w:rPr>
        <w:t>.</w:t>
      </w:r>
    </w:p>
    <w:p w14:paraId="55E211DC" w14:textId="77777777" w:rsidR="0088091A" w:rsidRPr="00420A37" w:rsidRDefault="0088091A" w:rsidP="00420A37">
      <w:pPr>
        <w:rPr>
          <w:lang w:val="en-US"/>
        </w:rPr>
      </w:pPr>
    </w:p>
    <w:p w14:paraId="320E40A8" w14:textId="098143FA" w:rsidR="00420A37" w:rsidRPr="005E27B8" w:rsidRDefault="00420A37" w:rsidP="00420A37">
      <w:pPr>
        <w:rPr>
          <w:b/>
          <w:bCs/>
          <w:lang w:val="en-US"/>
        </w:rPr>
      </w:pPr>
      <w:r w:rsidRPr="005E27B8">
        <w:rPr>
          <w:b/>
          <w:bCs/>
          <w:lang w:val="en-US"/>
        </w:rPr>
        <w:t>2.2 Analytical methods.</w:t>
      </w:r>
    </w:p>
    <w:p w14:paraId="67D33DBA" w14:textId="3DBA9203" w:rsidR="00420A37" w:rsidRPr="00420A37" w:rsidRDefault="0088091A" w:rsidP="00420A37">
      <w:pPr>
        <w:rPr>
          <w:lang w:val="en-US"/>
        </w:rPr>
      </w:pPr>
      <w:r>
        <w:rPr>
          <w:lang w:val="en-US"/>
        </w:rPr>
        <w:t xml:space="preserve">For </w:t>
      </w:r>
      <w:r w:rsidR="00DF08F6">
        <w:rPr>
          <w:lang w:val="en-US"/>
        </w:rPr>
        <w:t xml:space="preserve">the quantification of </w:t>
      </w:r>
      <w:r>
        <w:rPr>
          <w:lang w:val="en-US"/>
        </w:rPr>
        <w:t>total and volatile solids (TS; VS), COD</w:t>
      </w:r>
      <w:r w:rsidRPr="0088091A">
        <w:rPr>
          <w:vertAlign w:val="subscript"/>
          <w:lang w:val="en-US"/>
        </w:rPr>
        <w:t>SOL</w:t>
      </w:r>
      <w:r>
        <w:rPr>
          <w:lang w:val="en-US"/>
        </w:rPr>
        <w:t>, ammonia, phosphate, t</w:t>
      </w:r>
      <w:r w:rsidRPr="0088091A">
        <w:rPr>
          <w:lang w:val="en-US"/>
        </w:rPr>
        <w:t xml:space="preserve">otal </w:t>
      </w:r>
      <w:proofErr w:type="spellStart"/>
      <w:r>
        <w:rPr>
          <w:lang w:val="en-US"/>
        </w:rPr>
        <w:t>k</w:t>
      </w:r>
      <w:r w:rsidRPr="0088091A">
        <w:rPr>
          <w:lang w:val="en-US"/>
        </w:rPr>
        <w:t>jeldahl</w:t>
      </w:r>
      <w:proofErr w:type="spellEnd"/>
      <w:r w:rsidRPr="0088091A">
        <w:rPr>
          <w:lang w:val="en-US"/>
        </w:rPr>
        <w:t xml:space="preserve"> </w:t>
      </w:r>
      <w:r>
        <w:rPr>
          <w:lang w:val="en-US"/>
        </w:rPr>
        <w:t>n</w:t>
      </w:r>
      <w:r w:rsidRPr="0088091A">
        <w:rPr>
          <w:lang w:val="en-US"/>
        </w:rPr>
        <w:t xml:space="preserve">itrogen </w:t>
      </w:r>
      <w:r>
        <w:rPr>
          <w:lang w:val="en-US"/>
        </w:rPr>
        <w:t>(TKN) and total phosphorus (P</w:t>
      </w:r>
      <w:r w:rsidRPr="0088091A">
        <w:rPr>
          <w:vertAlign w:val="subscript"/>
          <w:lang w:val="en-US"/>
        </w:rPr>
        <w:t>TOT</w:t>
      </w:r>
      <w:r>
        <w:rPr>
          <w:lang w:val="en-US"/>
        </w:rPr>
        <w:t>)</w:t>
      </w:r>
      <w:r w:rsidR="00DF08F6">
        <w:rPr>
          <w:lang w:val="en-US"/>
        </w:rPr>
        <w:t>,</w:t>
      </w:r>
      <w:r>
        <w:rPr>
          <w:lang w:val="en-US"/>
        </w:rPr>
        <w:t xml:space="preserve"> </w:t>
      </w:r>
      <w:r w:rsidR="00DF08F6">
        <w:rPr>
          <w:lang w:val="en-US"/>
        </w:rPr>
        <w:t>the a</w:t>
      </w:r>
      <w:r w:rsidR="00420A37" w:rsidRPr="00420A37">
        <w:rPr>
          <w:lang w:val="en-US"/>
        </w:rPr>
        <w:t xml:space="preserve">nalyses were performed in accordance with Standard Methods (APHA et al. 1998). An Agilent 6890 N gas chromatograph </w:t>
      </w:r>
      <w:r w:rsidR="00DF08F6">
        <w:rPr>
          <w:lang w:val="en-US"/>
        </w:rPr>
        <w:t xml:space="preserve">(GC) </w:t>
      </w:r>
      <w:r w:rsidR="00420A37" w:rsidRPr="00420A37">
        <w:rPr>
          <w:lang w:val="en-US"/>
        </w:rPr>
        <w:t xml:space="preserve">equipped with a flame ionization detector (FID) (T = </w:t>
      </w:r>
      <w:proofErr w:type="gramStart"/>
      <w:r w:rsidR="00420A37" w:rsidRPr="00420A37">
        <w:rPr>
          <w:lang w:val="en-US"/>
        </w:rPr>
        <w:t>250</w:t>
      </w:r>
      <w:r w:rsidR="00881A9D">
        <w:rPr>
          <w:lang w:val="en-US"/>
        </w:rPr>
        <w:t xml:space="preserve"> </w:t>
      </w:r>
      <w:r w:rsidR="00881A9D" w:rsidRPr="00B74A9C">
        <w:rPr>
          <w:lang w:val="en-US"/>
        </w:rPr>
        <w:t xml:space="preserve"> °</w:t>
      </w:r>
      <w:proofErr w:type="gramEnd"/>
      <w:r w:rsidR="00420A37" w:rsidRPr="00420A37">
        <w:rPr>
          <w:lang w:val="en-US"/>
        </w:rPr>
        <w:t xml:space="preserve">C) was used to analyze </w:t>
      </w:r>
      <w:r w:rsidR="00DF08F6">
        <w:rPr>
          <w:lang w:val="en-US"/>
        </w:rPr>
        <w:t>VFA</w:t>
      </w:r>
      <w:r w:rsidR="00420A37" w:rsidRPr="00420A37">
        <w:rPr>
          <w:lang w:val="en-US"/>
        </w:rPr>
        <w:t xml:space="preserve">. </w:t>
      </w:r>
      <w:r w:rsidR="00DF08F6">
        <w:rPr>
          <w:lang w:val="en-US"/>
        </w:rPr>
        <w:t>H</w:t>
      </w:r>
      <w:r w:rsidR="00420A37" w:rsidRPr="00420A37">
        <w:rPr>
          <w:lang w:val="en-US"/>
        </w:rPr>
        <w:t xml:space="preserve">ydrogen </w:t>
      </w:r>
      <w:r w:rsidR="00DF08F6">
        <w:rPr>
          <w:lang w:val="en-US"/>
        </w:rPr>
        <w:t xml:space="preserve">was used </w:t>
      </w:r>
      <w:r w:rsidR="00420A37" w:rsidRPr="00420A37">
        <w:rPr>
          <w:lang w:val="en-US"/>
        </w:rPr>
        <w:t xml:space="preserve">as </w:t>
      </w:r>
      <w:r w:rsidR="00DF08F6">
        <w:rPr>
          <w:lang w:val="en-US"/>
        </w:rPr>
        <w:t>gas-</w:t>
      </w:r>
      <w:r w:rsidR="00420A37" w:rsidRPr="00420A37">
        <w:rPr>
          <w:lang w:val="en-US"/>
        </w:rPr>
        <w:t>carrier</w:t>
      </w:r>
      <w:r w:rsidR="00DF08F6">
        <w:rPr>
          <w:lang w:val="en-US"/>
        </w:rPr>
        <w:t>;</w:t>
      </w:r>
      <w:r w:rsidR="00420A37" w:rsidRPr="00420A37">
        <w:rPr>
          <w:lang w:val="en-US"/>
        </w:rPr>
        <w:t xml:space="preserve"> </w:t>
      </w:r>
      <w:r w:rsidR="00DF08F6">
        <w:rPr>
          <w:lang w:val="en-US"/>
        </w:rPr>
        <w:t xml:space="preserve">filtered liquid </w:t>
      </w:r>
      <w:r w:rsidR="00420A37" w:rsidRPr="00420A37">
        <w:rPr>
          <w:lang w:val="en-US"/>
        </w:rPr>
        <w:t>samples</w:t>
      </w:r>
      <w:r w:rsidR="00DF08F6">
        <w:rPr>
          <w:lang w:val="en-US"/>
        </w:rPr>
        <w:t xml:space="preserve"> </w:t>
      </w:r>
      <w:r w:rsidR="00420A37" w:rsidRPr="00420A37">
        <w:rPr>
          <w:lang w:val="en-US"/>
        </w:rPr>
        <w:t xml:space="preserve">were run over an Agilent J&amp;W DB-FFAP fused silica capillary column (15 m length, 0.53 mm </w:t>
      </w:r>
      <w:proofErr w:type="spellStart"/>
      <w:r w:rsidR="00420A37" w:rsidRPr="00420A37">
        <w:rPr>
          <w:lang w:val="en-US"/>
        </w:rPr>
        <w:t>i.D.</w:t>
      </w:r>
      <w:proofErr w:type="spellEnd"/>
      <w:r w:rsidR="00420A37" w:rsidRPr="00420A37">
        <w:rPr>
          <w:lang w:val="en-US"/>
        </w:rPr>
        <w:t>, 0.5 mm film). The inlet was in split mode, with a 20:1 split ratio. The instrument was set to ramp temperature from 80</w:t>
      </w:r>
      <w:r w:rsidR="00DF08F6">
        <w:rPr>
          <w:lang w:val="en-US"/>
        </w:rPr>
        <w:t>°</w:t>
      </w:r>
      <w:r w:rsidR="00420A37" w:rsidRPr="00420A37">
        <w:rPr>
          <w:lang w:val="en-US"/>
        </w:rPr>
        <w:t>C to 100</w:t>
      </w:r>
      <w:r w:rsidR="00DF08F6">
        <w:rPr>
          <w:lang w:val="en-US"/>
        </w:rPr>
        <w:t>°</w:t>
      </w:r>
      <w:r w:rsidR="00420A37" w:rsidRPr="00420A37">
        <w:rPr>
          <w:lang w:val="en-US"/>
        </w:rPr>
        <w:t>C (10</w:t>
      </w:r>
      <w:r w:rsidR="00DF08F6">
        <w:rPr>
          <w:lang w:val="en-US"/>
        </w:rPr>
        <w:t>°</w:t>
      </w:r>
      <w:r w:rsidR="00420A37" w:rsidRPr="00420A37">
        <w:rPr>
          <w:lang w:val="en-US"/>
        </w:rPr>
        <w:t xml:space="preserve">C/min). Before GC analysis, samples were centrifuged for </w:t>
      </w:r>
      <w:r w:rsidR="00DF08F6">
        <w:rPr>
          <w:lang w:val="en-US"/>
        </w:rPr>
        <w:t>ten</w:t>
      </w:r>
      <w:r w:rsidR="00420A37" w:rsidRPr="00420A37">
        <w:rPr>
          <w:lang w:val="en-US"/>
        </w:rPr>
        <w:t xml:space="preserve"> minutes at 4,500 rpm, and the supernatant was filtered at 0.2 </w:t>
      </w:r>
      <w:r w:rsidR="00DF08F6" w:rsidRPr="00DF08F6">
        <w:rPr>
          <w:rFonts w:ascii="Symbol" w:hAnsi="Symbol"/>
          <w:lang w:val="en-US"/>
        </w:rPr>
        <w:t>m</w:t>
      </w:r>
      <w:r w:rsidR="00DF08F6">
        <w:rPr>
          <w:lang w:val="en-US"/>
        </w:rPr>
        <w:t>m</w:t>
      </w:r>
      <w:r w:rsidR="00420A37" w:rsidRPr="00420A37">
        <w:rPr>
          <w:lang w:val="en-US"/>
        </w:rPr>
        <w:t xml:space="preserve"> using acetate cellulose syringe filters (Whatman).</w:t>
      </w:r>
    </w:p>
    <w:p w14:paraId="03CEA04C" w14:textId="77777777" w:rsidR="00C52C3C" w:rsidRDefault="00C52C3C" w:rsidP="002E0677">
      <w:pPr>
        <w:pStyle w:val="CETReferencetext"/>
        <w:ind w:left="0" w:firstLine="0"/>
      </w:pPr>
    </w:p>
    <w:p w14:paraId="5804C8C0" w14:textId="52ED8F89" w:rsidR="00631DBB" w:rsidRDefault="00631DBB" w:rsidP="00376CC5">
      <w:pPr>
        <w:pStyle w:val="CETHeading1"/>
        <w:tabs>
          <w:tab w:val="right" w:pos="7100"/>
        </w:tabs>
        <w:jc w:val="both"/>
      </w:pPr>
      <w:r w:rsidRPr="00376CC5">
        <w:rPr>
          <w:lang w:val="en-GB"/>
        </w:rPr>
        <w:t>Results and Discussion</w:t>
      </w:r>
    </w:p>
    <w:p w14:paraId="0A04C0B2" w14:textId="17B50EDC" w:rsidR="007E2C31" w:rsidRPr="007E2C31" w:rsidRDefault="007E2C31" w:rsidP="007E2C31">
      <w:pPr>
        <w:pStyle w:val="Paragrafoelenco"/>
        <w:ind w:left="0"/>
        <w:rPr>
          <w:lang w:val="en-US"/>
        </w:rPr>
      </w:pPr>
      <w:r w:rsidRPr="007E2C31">
        <w:rPr>
          <w:lang w:val="en-US"/>
        </w:rPr>
        <w:t xml:space="preserve">The </w:t>
      </w:r>
      <w:r w:rsidR="002E0AF3">
        <w:rPr>
          <w:lang w:val="en-US"/>
        </w:rPr>
        <w:t>sludge</w:t>
      </w:r>
      <w:r w:rsidRPr="007E2C31">
        <w:rPr>
          <w:lang w:val="en-US"/>
        </w:rPr>
        <w:t xml:space="preserve"> </w:t>
      </w:r>
      <w:r w:rsidR="002E0AF3" w:rsidRPr="007E2C31">
        <w:rPr>
          <w:lang w:val="en-US"/>
        </w:rPr>
        <w:t>u</w:t>
      </w:r>
      <w:r w:rsidR="002E0AF3">
        <w:rPr>
          <w:lang w:val="en-US"/>
        </w:rPr>
        <w:t>tili</w:t>
      </w:r>
      <w:r w:rsidR="002E0AF3" w:rsidRPr="007E2C31">
        <w:rPr>
          <w:lang w:val="en-US"/>
        </w:rPr>
        <w:t>zed</w:t>
      </w:r>
      <w:r w:rsidRPr="007E2C31">
        <w:rPr>
          <w:lang w:val="en-US"/>
        </w:rPr>
        <w:t xml:space="preserve"> in this study </w:t>
      </w:r>
      <w:r w:rsidR="002E0AF3">
        <w:rPr>
          <w:lang w:val="en-US"/>
        </w:rPr>
        <w:t>was</w:t>
      </w:r>
      <w:r w:rsidRPr="007E2C31">
        <w:rPr>
          <w:lang w:val="en-US"/>
        </w:rPr>
        <w:t xml:space="preserve"> available at the Treviso WWTP</w:t>
      </w:r>
      <w:r w:rsidR="002E0AF3">
        <w:rPr>
          <w:lang w:val="en-US"/>
        </w:rPr>
        <w:t>, directly from the</w:t>
      </w:r>
      <w:r w:rsidRPr="007E2C31">
        <w:rPr>
          <w:lang w:val="en-US"/>
        </w:rPr>
        <w:t xml:space="preserve"> static thickener.</w:t>
      </w:r>
      <w:r w:rsidR="00481924">
        <w:rPr>
          <w:lang w:val="en-US"/>
        </w:rPr>
        <w:t xml:space="preserve"> This SS had a content of total and volatile solids (TS and VS) equal to 29.8 </w:t>
      </w:r>
      <w:r w:rsidR="00481924" w:rsidRPr="00631DBB">
        <w:t>±</w:t>
      </w:r>
      <w:r w:rsidR="00481924">
        <w:t xml:space="preserve"> 0.5 </w:t>
      </w:r>
      <w:proofErr w:type="spellStart"/>
      <w:r w:rsidR="00481924">
        <w:t>gTS</w:t>
      </w:r>
      <w:proofErr w:type="spellEnd"/>
      <w:r w:rsidR="00481924">
        <w:t xml:space="preserve">/kg and 22.6 </w:t>
      </w:r>
      <w:r w:rsidR="00481924" w:rsidRPr="00631DBB">
        <w:t>±</w:t>
      </w:r>
      <w:r w:rsidR="00481924">
        <w:t xml:space="preserve"> 0.2 </w:t>
      </w:r>
      <w:proofErr w:type="spellStart"/>
      <w:r w:rsidR="00481924">
        <w:t>gVS</w:t>
      </w:r>
      <w:proofErr w:type="spellEnd"/>
      <w:r w:rsidR="00481924">
        <w:t xml:space="preserve">/kg </w:t>
      </w:r>
      <w:r w:rsidR="00481924">
        <w:lastRenderedPageBreak/>
        <w:t xml:space="preserve">respectively. </w:t>
      </w:r>
      <w:r w:rsidR="00612C1C">
        <w:t xml:space="preserve">The other parameters are summarized as it follows: 0.9 </w:t>
      </w:r>
      <w:r w:rsidR="00612C1C" w:rsidRPr="00631DBB">
        <w:t>±</w:t>
      </w:r>
      <w:r w:rsidR="00612C1C">
        <w:t xml:space="preserve"> 0.1 </w:t>
      </w:r>
      <w:proofErr w:type="spellStart"/>
      <w:r w:rsidR="00612C1C" w:rsidRPr="00612C1C">
        <w:t>gCOD</w:t>
      </w:r>
      <w:r w:rsidR="00612C1C" w:rsidRPr="00612C1C">
        <w:rPr>
          <w:vertAlign w:val="subscript"/>
        </w:rPr>
        <w:t>SOL</w:t>
      </w:r>
      <w:proofErr w:type="spellEnd"/>
      <w:r w:rsidR="00612C1C" w:rsidRPr="00612C1C">
        <w:t xml:space="preserve">/L, </w:t>
      </w:r>
      <w:r w:rsidR="00612C1C">
        <w:t xml:space="preserve">163 </w:t>
      </w:r>
      <w:r w:rsidR="00612C1C" w:rsidRPr="00631DBB">
        <w:t>±</w:t>
      </w:r>
      <w:r w:rsidR="00612C1C" w:rsidRPr="00612C1C">
        <w:t xml:space="preserve"> </w:t>
      </w:r>
      <w:r w:rsidR="00612C1C">
        <w:t xml:space="preserve">22 </w:t>
      </w:r>
      <w:r w:rsidR="00612C1C" w:rsidRPr="00612C1C">
        <w:t>mgN</w:t>
      </w:r>
      <w:r w:rsidR="00612C1C">
        <w:t>-NH</w:t>
      </w:r>
      <w:r w:rsidR="00612C1C" w:rsidRPr="00612C1C">
        <w:rPr>
          <w:vertAlign w:val="subscript"/>
        </w:rPr>
        <w:t>4</w:t>
      </w:r>
      <w:r w:rsidR="00612C1C" w:rsidRPr="00612C1C">
        <w:rPr>
          <w:vertAlign w:val="superscript"/>
        </w:rPr>
        <w:t>+</w:t>
      </w:r>
      <w:r w:rsidR="00612C1C" w:rsidRPr="00612C1C">
        <w:t xml:space="preserve">/L, </w:t>
      </w:r>
      <w:r w:rsidR="00612C1C">
        <w:t xml:space="preserve">65 </w:t>
      </w:r>
      <w:r w:rsidR="00612C1C" w:rsidRPr="00631DBB">
        <w:t>±</w:t>
      </w:r>
      <w:r w:rsidR="00612C1C">
        <w:t xml:space="preserve"> 9 </w:t>
      </w:r>
      <w:r w:rsidR="00612C1C" w:rsidRPr="00612C1C">
        <w:t>mg</w:t>
      </w:r>
      <w:r w:rsidR="00612C1C">
        <w:t>P-PO</w:t>
      </w:r>
      <w:r w:rsidR="00612C1C" w:rsidRPr="00612C1C">
        <w:rPr>
          <w:vertAlign w:val="subscript"/>
        </w:rPr>
        <w:t>4</w:t>
      </w:r>
      <w:r w:rsidR="00612C1C" w:rsidRPr="00612C1C">
        <w:rPr>
          <w:vertAlign w:val="superscript"/>
        </w:rPr>
        <w:t>3-</w:t>
      </w:r>
      <w:r w:rsidR="00612C1C" w:rsidRPr="00612C1C">
        <w:t xml:space="preserve">/L, </w:t>
      </w:r>
      <w:r w:rsidR="00612C1C">
        <w:t xml:space="preserve">TKN equal to 34 </w:t>
      </w:r>
      <w:r w:rsidR="00612C1C" w:rsidRPr="00631DBB">
        <w:t>±</w:t>
      </w:r>
      <w:r w:rsidR="00612C1C">
        <w:t xml:space="preserve"> 3 </w:t>
      </w:r>
      <w:proofErr w:type="spellStart"/>
      <w:r w:rsidR="00612C1C">
        <w:t>gN</w:t>
      </w:r>
      <w:proofErr w:type="spellEnd"/>
      <w:r w:rsidR="00612C1C">
        <w:t>/</w:t>
      </w:r>
      <w:proofErr w:type="spellStart"/>
      <w:r w:rsidR="00612C1C">
        <w:t>kgTS</w:t>
      </w:r>
      <w:proofErr w:type="spellEnd"/>
      <w:r w:rsidR="00612C1C">
        <w:t xml:space="preserve"> and P</w:t>
      </w:r>
      <w:r w:rsidR="00612C1C" w:rsidRPr="00612C1C">
        <w:rPr>
          <w:vertAlign w:val="subscript"/>
        </w:rPr>
        <w:t>TOT</w:t>
      </w:r>
      <w:r w:rsidR="00612C1C">
        <w:t xml:space="preserve"> of 16 </w:t>
      </w:r>
      <w:r w:rsidR="00612C1C" w:rsidRPr="00631DBB">
        <w:t>±</w:t>
      </w:r>
      <w:r w:rsidR="00612C1C">
        <w:t xml:space="preserve"> 1 </w:t>
      </w:r>
      <w:proofErr w:type="spellStart"/>
      <w:r w:rsidR="00612C1C">
        <w:t>gP</w:t>
      </w:r>
      <w:proofErr w:type="spellEnd"/>
      <w:r w:rsidR="00612C1C">
        <w:t>/</w:t>
      </w:r>
      <w:proofErr w:type="spellStart"/>
      <w:r w:rsidR="00612C1C">
        <w:t>kgTS</w:t>
      </w:r>
      <w:proofErr w:type="spellEnd"/>
      <w:r w:rsidR="00612C1C" w:rsidRPr="00612C1C">
        <w:t>.</w:t>
      </w:r>
    </w:p>
    <w:p w14:paraId="7EA85A73" w14:textId="77777777" w:rsidR="00631DBB" w:rsidRPr="007E2C31" w:rsidRDefault="00631DBB" w:rsidP="00C76728">
      <w:pPr>
        <w:rPr>
          <w:lang w:val="en-US"/>
        </w:rPr>
      </w:pPr>
    </w:p>
    <w:p w14:paraId="4A9650BB" w14:textId="5B299130" w:rsidR="00631DBB" w:rsidRPr="00376CC5" w:rsidRDefault="00B16F2A" w:rsidP="00F7785E">
      <w:pPr>
        <w:pStyle w:val="CETheadingx"/>
      </w:pPr>
      <w:r>
        <w:t>Sewage</w:t>
      </w:r>
      <w:r w:rsidR="00631DBB" w:rsidRPr="00376CC5">
        <w:t xml:space="preserve"> sludge</w:t>
      </w:r>
      <w:r>
        <w:t xml:space="preserve"> pre-treatment and hydrolysis</w:t>
      </w:r>
    </w:p>
    <w:p w14:paraId="00FD07FA" w14:textId="52EF42F2" w:rsidR="00724B68" w:rsidRPr="00F150B7" w:rsidRDefault="00F44678" w:rsidP="00F150B7">
      <w:pPr>
        <w:pStyle w:val="Paragrafoelenco"/>
        <w:ind w:left="0"/>
      </w:pPr>
      <w:r>
        <w:t xml:space="preserve">The results shown in </w:t>
      </w:r>
      <w:r w:rsidR="00F150B7">
        <w:t xml:space="preserve">Table 1 </w:t>
      </w:r>
      <w:r>
        <w:t>summarize the characteristics of the sewage sludge after the application of a 24 h pre-treatment. In general, thermal pre-treatment (T1 and T2)</w:t>
      </w:r>
      <w:r w:rsidR="00F150B7" w:rsidRPr="00CF42A7">
        <w:t xml:space="preserve"> </w:t>
      </w:r>
      <w:r>
        <w:t>caused</w:t>
      </w:r>
      <w:r w:rsidR="00F150B7" w:rsidRPr="00CF42A7">
        <w:t xml:space="preserve"> a larger reduction in the </w:t>
      </w:r>
      <w:r>
        <w:t xml:space="preserve">TS and VS concentration, compared to the performances of </w:t>
      </w:r>
      <w:r w:rsidR="00F150B7" w:rsidRPr="00CF42A7">
        <w:t>alkaline treatment</w:t>
      </w:r>
      <w:r>
        <w:t xml:space="preserve"> (A1 and A2)</w:t>
      </w:r>
      <w:r w:rsidR="00F150B7" w:rsidRPr="00CF42A7">
        <w:t xml:space="preserve">. </w:t>
      </w:r>
      <w:r>
        <w:t xml:space="preserve">According to </w:t>
      </w:r>
      <w:r w:rsidR="00186268">
        <w:t>these results</w:t>
      </w:r>
      <w:r w:rsidR="00F150B7" w:rsidRPr="00CF42A7">
        <w:t>, the</w:t>
      </w:r>
      <w:r w:rsidR="00186268">
        <w:t xml:space="preserve"> COD</w:t>
      </w:r>
      <w:r w:rsidR="00186268" w:rsidRPr="00186268">
        <w:rPr>
          <w:vertAlign w:val="subscript"/>
        </w:rPr>
        <w:t>SOL</w:t>
      </w:r>
      <w:r w:rsidR="00F150B7" w:rsidRPr="00CF42A7">
        <w:t xml:space="preserve"> values </w:t>
      </w:r>
      <w:r w:rsidR="00186268">
        <w:t>were higher in T1 and T2 tests. In fact, the</w:t>
      </w:r>
      <w:r w:rsidR="00F150B7" w:rsidRPr="00CF42A7">
        <w:t xml:space="preserve"> </w:t>
      </w:r>
      <w:r w:rsidR="00186268">
        <w:t>higher</w:t>
      </w:r>
      <w:r w:rsidR="00F150B7" w:rsidRPr="00CF42A7">
        <w:t xml:space="preserve"> solubilisation of </w:t>
      </w:r>
      <w:r w:rsidR="00F150B7">
        <w:t>solids</w:t>
      </w:r>
      <w:r w:rsidR="00F150B7" w:rsidRPr="00CF42A7">
        <w:t xml:space="preserve"> with thermal pre-treatment</w:t>
      </w:r>
      <w:r w:rsidR="00F150B7">
        <w:t xml:space="preserve"> increas</w:t>
      </w:r>
      <w:r w:rsidR="00186268">
        <w:t>ed</w:t>
      </w:r>
      <w:r w:rsidR="00F150B7" w:rsidRPr="00CF42A7">
        <w:t xml:space="preserve"> </w:t>
      </w:r>
      <w:r w:rsidR="00186268">
        <w:t>the COD</w:t>
      </w:r>
      <w:r w:rsidR="00186268" w:rsidRPr="00186268">
        <w:rPr>
          <w:vertAlign w:val="subscript"/>
        </w:rPr>
        <w:t>SOL</w:t>
      </w:r>
      <w:r w:rsidR="00186268">
        <w:t xml:space="preserve"> </w:t>
      </w:r>
      <w:r w:rsidR="00F150B7" w:rsidRPr="00CF42A7">
        <w:t xml:space="preserve">from </w:t>
      </w:r>
      <w:r w:rsidR="00186268">
        <w:t>0</w:t>
      </w:r>
      <w:r w:rsidR="00F150B7" w:rsidRPr="00CF42A7">
        <w:t>.</w:t>
      </w:r>
      <w:r w:rsidR="00186268">
        <w:t>9</w:t>
      </w:r>
      <w:r w:rsidR="00F150B7" w:rsidRPr="00CF42A7">
        <w:t xml:space="preserve"> </w:t>
      </w:r>
      <w:r w:rsidR="00F150B7">
        <w:t>g</w:t>
      </w:r>
      <w:r w:rsidR="00E9265D">
        <w:t xml:space="preserve"> </w:t>
      </w:r>
      <w:r w:rsidR="00F150B7">
        <w:t>O</w:t>
      </w:r>
      <w:r w:rsidR="00F150B7" w:rsidRPr="006574AD">
        <w:rPr>
          <w:vertAlign w:val="subscript"/>
        </w:rPr>
        <w:t>2</w:t>
      </w:r>
      <w:r w:rsidR="00F150B7">
        <w:t xml:space="preserve">/L </w:t>
      </w:r>
      <w:r w:rsidR="00F150B7" w:rsidRPr="00CF42A7">
        <w:t xml:space="preserve">to </w:t>
      </w:r>
      <w:r w:rsidR="00186268">
        <w:t xml:space="preserve">around </w:t>
      </w:r>
      <w:r w:rsidR="00F150B7" w:rsidRPr="00CF42A7">
        <w:t xml:space="preserve">10 </w:t>
      </w:r>
      <w:r w:rsidR="00F150B7">
        <w:t>g</w:t>
      </w:r>
      <w:r w:rsidR="00E9265D">
        <w:t xml:space="preserve"> </w:t>
      </w:r>
      <w:r w:rsidR="00F150B7">
        <w:t>O</w:t>
      </w:r>
      <w:r w:rsidR="00F150B7" w:rsidRPr="006574AD">
        <w:rPr>
          <w:vertAlign w:val="subscript"/>
        </w:rPr>
        <w:t>2</w:t>
      </w:r>
      <w:r w:rsidR="00F150B7">
        <w:t>/L</w:t>
      </w:r>
      <w:r w:rsidR="00186268">
        <w:t>, with no remarkable difference between 70°C (T1) and 90°C (T2)</w:t>
      </w:r>
      <w:r w:rsidR="00F150B7" w:rsidRPr="00CF42A7">
        <w:t xml:space="preserve">. </w:t>
      </w:r>
      <w:r w:rsidR="00186268">
        <w:t xml:space="preserve">Alkaline treatment was efficient in solids solubilisation </w:t>
      </w:r>
      <w:r w:rsidR="00C604C9">
        <w:t xml:space="preserve">only at pH 11.0 (A2). </w:t>
      </w:r>
      <w:r w:rsidR="00F150B7" w:rsidRPr="00CF42A7">
        <w:t>When</w:t>
      </w:r>
      <w:r w:rsidR="00C604C9">
        <w:t xml:space="preserve"> treated at pH 9.0, the COD</w:t>
      </w:r>
      <w:r w:rsidR="00C604C9" w:rsidRPr="00C604C9">
        <w:rPr>
          <w:vertAlign w:val="subscript"/>
        </w:rPr>
        <w:t>SOL</w:t>
      </w:r>
      <w:r w:rsidR="00C604C9">
        <w:t xml:space="preserve"> increased 0.9 to 4.2 g</w:t>
      </w:r>
      <w:r w:rsidR="00E9265D">
        <w:t xml:space="preserve"> </w:t>
      </w:r>
      <w:r w:rsidR="00C604C9">
        <w:t>O</w:t>
      </w:r>
      <w:r w:rsidR="00C604C9" w:rsidRPr="00C604C9">
        <w:rPr>
          <w:vertAlign w:val="subscript"/>
        </w:rPr>
        <w:t>2</w:t>
      </w:r>
      <w:r w:rsidR="00C604C9">
        <w:t>/L, in practice more than 50% lower if compared to A2, T1 and T2 data. T</w:t>
      </w:r>
      <w:r w:rsidR="00F150B7" w:rsidRPr="00CF42A7">
        <w:t xml:space="preserve">he combination </w:t>
      </w:r>
      <w:r w:rsidR="00C604C9">
        <w:t>of alkaline (pH 11.0) and thermal (70°C) pre-</w:t>
      </w:r>
      <w:r w:rsidR="00F150B7" w:rsidRPr="00CF42A7">
        <w:t xml:space="preserve">treatment did not make a significant difference in </w:t>
      </w:r>
      <w:r w:rsidR="00C604C9" w:rsidRPr="00CF42A7">
        <w:t xml:space="preserve">either </w:t>
      </w:r>
      <w:r w:rsidR="00C604C9">
        <w:t>parameter</w:t>
      </w:r>
      <w:r w:rsidR="00F150B7" w:rsidRPr="00CF42A7">
        <w:t xml:space="preserve"> (solids </w:t>
      </w:r>
      <w:r w:rsidR="0073465C">
        <w:t>or</w:t>
      </w:r>
      <w:r w:rsidR="00C604C9">
        <w:t xml:space="preserve"> </w:t>
      </w:r>
      <w:r w:rsidR="00F150B7" w:rsidRPr="00CF42A7">
        <w:t>COD</w:t>
      </w:r>
      <w:r w:rsidR="00C604C9" w:rsidRPr="00C604C9">
        <w:rPr>
          <w:vertAlign w:val="subscript"/>
        </w:rPr>
        <w:t>SOL</w:t>
      </w:r>
      <w:r w:rsidR="00F150B7" w:rsidRPr="00CF42A7">
        <w:t xml:space="preserve">). </w:t>
      </w:r>
      <w:r w:rsidR="0073465C">
        <w:t>At least for these conditions tested, it seemed that the COD</w:t>
      </w:r>
      <w:r w:rsidR="0073465C" w:rsidRPr="0073465C">
        <w:rPr>
          <w:vertAlign w:val="subscript"/>
        </w:rPr>
        <w:t>SOL</w:t>
      </w:r>
      <w:r w:rsidR="0073465C">
        <w:t xml:space="preserve"> cannot be increased more than 10-11 g</w:t>
      </w:r>
      <w:r w:rsidR="00E9265D">
        <w:t xml:space="preserve"> </w:t>
      </w:r>
      <w:r w:rsidR="0073465C">
        <w:t>O</w:t>
      </w:r>
      <w:r w:rsidR="0073465C" w:rsidRPr="006574AD">
        <w:rPr>
          <w:vertAlign w:val="subscript"/>
        </w:rPr>
        <w:t>2</w:t>
      </w:r>
      <w:r w:rsidR="0073465C">
        <w:t>/L.</w:t>
      </w:r>
      <w:r w:rsidR="0073465C" w:rsidRPr="00CF42A7">
        <w:t xml:space="preserve"> </w:t>
      </w:r>
      <w:r w:rsidR="0073465C">
        <w:t>Hence, t</w:t>
      </w:r>
      <w:r w:rsidR="00F150B7" w:rsidRPr="00CF42A7">
        <w:t xml:space="preserve">hermal </w:t>
      </w:r>
      <w:r w:rsidR="0073465C">
        <w:t>pre-</w:t>
      </w:r>
      <w:r w:rsidR="00F150B7" w:rsidRPr="00CF42A7">
        <w:t>treatment alone can accomplish solubilization without the need of additional chemicals</w:t>
      </w:r>
      <w:r w:rsidR="0073465C">
        <w:t>, under both 70°C and 90°C</w:t>
      </w:r>
      <w:r w:rsidR="00F150B7" w:rsidRPr="00CF42A7">
        <w:t xml:space="preserve">. </w:t>
      </w:r>
      <w:r w:rsidR="0073465C">
        <w:t>In terms of nutrients release,</w:t>
      </w:r>
      <w:r w:rsidR="002650F6">
        <w:t xml:space="preserve"> accordingly,</w:t>
      </w:r>
      <w:r w:rsidR="0073465C">
        <w:t xml:space="preserve"> alkaline treatment showed lower values of ammonia (350-521 </w:t>
      </w:r>
      <w:r w:rsidR="00E9265D">
        <w:t>mg N-NH</w:t>
      </w:r>
      <w:r w:rsidR="00E9265D" w:rsidRPr="00E9265D">
        <w:rPr>
          <w:vertAlign w:val="subscript"/>
        </w:rPr>
        <w:t>4</w:t>
      </w:r>
      <w:r w:rsidR="00E9265D" w:rsidRPr="00E9265D">
        <w:rPr>
          <w:vertAlign w:val="superscript"/>
        </w:rPr>
        <w:t>+</w:t>
      </w:r>
      <w:r w:rsidR="00E9265D">
        <w:t>/L) and phosphate (85-188 mg P-PO</w:t>
      </w:r>
      <w:r w:rsidR="00E9265D" w:rsidRPr="00E9265D">
        <w:rPr>
          <w:vertAlign w:val="subscript"/>
        </w:rPr>
        <w:t>4</w:t>
      </w:r>
      <w:r w:rsidR="00E9265D">
        <w:rPr>
          <w:vertAlign w:val="superscript"/>
        </w:rPr>
        <w:t>3</w:t>
      </w:r>
      <w:r w:rsidR="00E9265D">
        <w:t>/L) compared to the values of thermal and combined pre-treatment, where ammonia was close/higher than 1000 mg N-NH</w:t>
      </w:r>
      <w:r w:rsidR="00E9265D" w:rsidRPr="00E9265D">
        <w:rPr>
          <w:vertAlign w:val="subscript"/>
        </w:rPr>
        <w:t>4</w:t>
      </w:r>
      <w:r w:rsidR="00E9265D" w:rsidRPr="00E9265D">
        <w:rPr>
          <w:vertAlign w:val="superscript"/>
        </w:rPr>
        <w:t>+</w:t>
      </w:r>
      <w:r w:rsidR="00E9265D">
        <w:t>/L, and phosphate was always higher than 200 mg P-PO</w:t>
      </w:r>
      <w:r w:rsidR="00E9265D" w:rsidRPr="00E9265D">
        <w:rPr>
          <w:vertAlign w:val="subscript"/>
        </w:rPr>
        <w:t>4</w:t>
      </w:r>
      <w:r w:rsidR="00E9265D">
        <w:rPr>
          <w:vertAlign w:val="superscript"/>
        </w:rPr>
        <w:t>3</w:t>
      </w:r>
      <w:r w:rsidR="00E9265D">
        <w:t xml:space="preserve">/L. </w:t>
      </w:r>
      <w:r w:rsidR="002650F6">
        <w:t xml:space="preserve">Given the high solubilisation grade without the use of chemicals, the thermal pre-treatment was chosen as </w:t>
      </w:r>
      <w:r w:rsidR="00736EA3">
        <w:t xml:space="preserve">method to enhance </w:t>
      </w:r>
      <w:r w:rsidR="00736EA3" w:rsidRPr="00723631">
        <w:t xml:space="preserve">the following acidification process. Also, in </w:t>
      </w:r>
      <w:r w:rsidR="00F150B7" w:rsidRPr="00723631">
        <w:t>Morgan-</w:t>
      </w:r>
      <w:proofErr w:type="spellStart"/>
      <w:r w:rsidR="00F150B7" w:rsidRPr="00723631">
        <w:t>Sagastume</w:t>
      </w:r>
      <w:proofErr w:type="spellEnd"/>
      <w:r w:rsidR="00F150B7" w:rsidRPr="00723631">
        <w:t xml:space="preserve"> et al. (2015)</w:t>
      </w:r>
      <w:r w:rsidR="00736EA3" w:rsidRPr="00723631">
        <w:t>, the</w:t>
      </w:r>
      <w:r w:rsidR="00F150B7" w:rsidRPr="00723631">
        <w:t xml:space="preserve"> physical</w:t>
      </w:r>
      <w:r w:rsidR="00736EA3" w:rsidRPr="00723631">
        <w:t>-</w:t>
      </w:r>
      <w:r w:rsidR="00F150B7" w:rsidRPr="00723631">
        <w:t xml:space="preserve">thermal </w:t>
      </w:r>
      <w:proofErr w:type="spellStart"/>
      <w:r w:rsidR="00F150B7" w:rsidRPr="00723631">
        <w:t>pretreatments</w:t>
      </w:r>
      <w:proofErr w:type="spellEnd"/>
      <w:r w:rsidR="00F150B7" w:rsidRPr="009D7C5E">
        <w:t xml:space="preserve"> </w:t>
      </w:r>
      <w:r w:rsidR="00736EA3">
        <w:t>were indicated as the</w:t>
      </w:r>
      <w:r w:rsidR="00F150B7" w:rsidRPr="009D7C5E">
        <w:t xml:space="preserve"> best </w:t>
      </w:r>
      <w:r w:rsidR="00736EA3">
        <w:t xml:space="preserve">options to sustain </w:t>
      </w:r>
      <w:r w:rsidR="002C287B">
        <w:t>the acidification process of</w:t>
      </w:r>
      <w:r w:rsidR="00F150B7" w:rsidRPr="009D7C5E">
        <w:t xml:space="preserve"> sludge since </w:t>
      </w:r>
      <w:r w:rsidR="002C287B">
        <w:t>it allows to produce high</w:t>
      </w:r>
      <w:r w:rsidR="00F150B7" w:rsidRPr="009D7C5E">
        <w:t xml:space="preserve"> VFA</w:t>
      </w:r>
      <w:r w:rsidR="002C287B">
        <w:t xml:space="preserve"> concentration</w:t>
      </w:r>
      <w:r w:rsidR="00F150B7" w:rsidRPr="009D7C5E">
        <w:t xml:space="preserve">. </w:t>
      </w:r>
      <w:r w:rsidR="002C287B">
        <w:t xml:space="preserve">Regarding the nutrients release, high level of ammonia and phosphate could be not recommendable if pre-treated fermented sludges are utilised for microbial polymer synthesis (PHA), since high level of nutrients may shift the substrate utilisation mechanism to the cellular growth, more than storage PHA </w:t>
      </w:r>
      <w:r w:rsidR="002C287B" w:rsidRPr="00723631">
        <w:t>response (</w:t>
      </w:r>
      <w:proofErr w:type="spellStart"/>
      <w:r w:rsidR="002C287B" w:rsidRPr="00723631">
        <w:t>Villano</w:t>
      </w:r>
      <w:proofErr w:type="spellEnd"/>
      <w:r w:rsidR="002C287B" w:rsidRPr="00723631">
        <w:t xml:space="preserve"> et al., 2010)</w:t>
      </w:r>
      <w:r w:rsidR="00F150B7" w:rsidRPr="00723631">
        <w:t>.</w:t>
      </w:r>
    </w:p>
    <w:p w14:paraId="0A8DD7E7" w14:textId="0D4D471E" w:rsidR="00D94696" w:rsidRPr="00B57B36" w:rsidRDefault="00D94696" w:rsidP="00D94696">
      <w:pPr>
        <w:pStyle w:val="CETTabletitle"/>
      </w:pPr>
      <w:r w:rsidRPr="00B57B36">
        <w:t xml:space="preserve">Table 1: </w:t>
      </w:r>
      <w:r>
        <w:t>S</w:t>
      </w:r>
      <w:r w:rsidR="00F150B7">
        <w:t>ummary of the main characteristics (average data and standard deviation) of the thickened sludge after the different applied pre-treatment.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21"/>
        <w:gridCol w:w="1102"/>
        <w:gridCol w:w="1098"/>
        <w:gridCol w:w="1098"/>
        <w:gridCol w:w="1098"/>
        <w:gridCol w:w="1090"/>
        <w:gridCol w:w="1090"/>
        <w:gridCol w:w="1090"/>
      </w:tblGrid>
      <w:tr w:rsidR="00C45B81" w:rsidRPr="00B57B36" w14:paraId="42A3D5A3" w14:textId="44DA6177" w:rsidTr="00BC13A0">
        <w:tc>
          <w:tcPr>
            <w:tcW w:w="1121" w:type="dxa"/>
            <w:vMerge w:val="restart"/>
            <w:tcBorders>
              <w:top w:val="single" w:sz="12" w:space="0" w:color="008000"/>
            </w:tcBorders>
            <w:shd w:val="clear" w:color="auto" w:fill="FFFFFF"/>
          </w:tcPr>
          <w:p w14:paraId="7EA08245" w14:textId="2158B100" w:rsidR="00C45B81" w:rsidRPr="00B57B36" w:rsidRDefault="00C45B81" w:rsidP="00556835">
            <w:pPr>
              <w:pStyle w:val="CETBodytext"/>
              <w:rPr>
                <w:lang w:val="en-GB"/>
              </w:rPr>
            </w:pPr>
            <w:r>
              <w:rPr>
                <w:lang w:val="en-GB"/>
              </w:rPr>
              <w:t>Parameter</w:t>
            </w:r>
            <w:r w:rsidRPr="00B57B36">
              <w:rPr>
                <w:lang w:val="en-GB"/>
              </w:rPr>
              <w:t xml:space="preserve"> </w:t>
            </w:r>
          </w:p>
        </w:tc>
        <w:tc>
          <w:tcPr>
            <w:tcW w:w="1102" w:type="dxa"/>
            <w:vMerge w:val="restart"/>
            <w:tcBorders>
              <w:top w:val="single" w:sz="12" w:space="0" w:color="008000"/>
            </w:tcBorders>
            <w:shd w:val="clear" w:color="auto" w:fill="FFFFFF"/>
          </w:tcPr>
          <w:p w14:paraId="6EB28A99" w14:textId="24CD6ED1" w:rsidR="00C45B81" w:rsidRPr="00B57B36" w:rsidRDefault="00C45B81" w:rsidP="00556835">
            <w:pPr>
              <w:pStyle w:val="CETBodytext"/>
              <w:rPr>
                <w:lang w:val="en-GB"/>
              </w:rPr>
            </w:pPr>
            <w:r>
              <w:rPr>
                <w:lang w:val="en-GB"/>
              </w:rPr>
              <w:t>Unit</w:t>
            </w:r>
          </w:p>
        </w:tc>
        <w:tc>
          <w:tcPr>
            <w:tcW w:w="6564" w:type="dxa"/>
            <w:gridSpan w:val="6"/>
            <w:tcBorders>
              <w:top w:val="single" w:sz="12" w:space="0" w:color="008000"/>
              <w:bottom w:val="single" w:sz="6" w:space="0" w:color="008000"/>
            </w:tcBorders>
            <w:shd w:val="clear" w:color="auto" w:fill="FFFFFF"/>
          </w:tcPr>
          <w:p w14:paraId="08D9DD2A" w14:textId="736164CF" w:rsidR="00C45B81" w:rsidRDefault="00C45B81" w:rsidP="00556835">
            <w:pPr>
              <w:pStyle w:val="CETBodytext"/>
              <w:ind w:right="-1"/>
              <w:rPr>
                <w:rFonts w:cs="Arial"/>
                <w:szCs w:val="18"/>
                <w:lang w:val="en-GB"/>
              </w:rPr>
            </w:pPr>
            <w:r>
              <w:rPr>
                <w:rFonts w:cs="Arial"/>
                <w:szCs w:val="18"/>
                <w:lang w:val="en-GB"/>
              </w:rPr>
              <w:t>Pre-treatment test</w:t>
            </w:r>
          </w:p>
        </w:tc>
      </w:tr>
      <w:tr w:rsidR="00C45B81" w:rsidRPr="00B57B36" w14:paraId="7C5C1575" w14:textId="77777777" w:rsidTr="00803BDB">
        <w:tc>
          <w:tcPr>
            <w:tcW w:w="1121" w:type="dxa"/>
            <w:vMerge/>
            <w:tcBorders>
              <w:bottom w:val="single" w:sz="6" w:space="0" w:color="008000"/>
            </w:tcBorders>
            <w:shd w:val="clear" w:color="auto" w:fill="FFFFFF"/>
          </w:tcPr>
          <w:p w14:paraId="61C41C30" w14:textId="77777777" w:rsidR="00C45B81" w:rsidRDefault="00C45B81" w:rsidP="00556835">
            <w:pPr>
              <w:pStyle w:val="CETBodytext"/>
              <w:rPr>
                <w:lang w:val="en-GB"/>
              </w:rPr>
            </w:pPr>
          </w:p>
        </w:tc>
        <w:tc>
          <w:tcPr>
            <w:tcW w:w="1102" w:type="dxa"/>
            <w:vMerge/>
            <w:tcBorders>
              <w:bottom w:val="single" w:sz="6" w:space="0" w:color="008000"/>
            </w:tcBorders>
            <w:shd w:val="clear" w:color="auto" w:fill="FFFFFF"/>
          </w:tcPr>
          <w:p w14:paraId="3B7A40DE" w14:textId="77777777" w:rsidR="00C45B81" w:rsidRDefault="00C45B81" w:rsidP="00556835">
            <w:pPr>
              <w:pStyle w:val="CETBodytext"/>
              <w:rPr>
                <w:lang w:val="en-GB"/>
              </w:rPr>
            </w:pPr>
          </w:p>
        </w:tc>
        <w:tc>
          <w:tcPr>
            <w:tcW w:w="1098" w:type="dxa"/>
            <w:tcBorders>
              <w:top w:val="single" w:sz="12" w:space="0" w:color="008000"/>
              <w:bottom w:val="single" w:sz="6" w:space="0" w:color="008000"/>
            </w:tcBorders>
            <w:shd w:val="clear" w:color="auto" w:fill="FFFFFF"/>
          </w:tcPr>
          <w:p w14:paraId="5C175FE9" w14:textId="1BF4273C" w:rsidR="00C45B81" w:rsidRDefault="00C45B81" w:rsidP="00556835">
            <w:pPr>
              <w:pStyle w:val="CETBodytext"/>
              <w:rPr>
                <w:lang w:val="en-GB"/>
              </w:rPr>
            </w:pPr>
            <w:r>
              <w:rPr>
                <w:lang w:val="en-GB"/>
              </w:rPr>
              <w:t>A1</w:t>
            </w:r>
          </w:p>
        </w:tc>
        <w:tc>
          <w:tcPr>
            <w:tcW w:w="1098" w:type="dxa"/>
            <w:tcBorders>
              <w:top w:val="single" w:sz="12" w:space="0" w:color="008000"/>
              <w:bottom w:val="single" w:sz="6" w:space="0" w:color="008000"/>
            </w:tcBorders>
            <w:shd w:val="clear" w:color="auto" w:fill="FFFFFF"/>
          </w:tcPr>
          <w:p w14:paraId="07C750A1" w14:textId="7B1788EB" w:rsidR="00C45B81" w:rsidRDefault="00C45B81" w:rsidP="00556835">
            <w:pPr>
              <w:pStyle w:val="CETBodytext"/>
              <w:ind w:right="-1"/>
              <w:rPr>
                <w:rFonts w:cs="Arial"/>
                <w:szCs w:val="18"/>
                <w:lang w:val="en-GB"/>
              </w:rPr>
            </w:pPr>
            <w:r>
              <w:rPr>
                <w:rFonts w:cs="Arial"/>
                <w:szCs w:val="18"/>
                <w:lang w:val="en-GB"/>
              </w:rPr>
              <w:t>A2</w:t>
            </w:r>
          </w:p>
        </w:tc>
        <w:tc>
          <w:tcPr>
            <w:tcW w:w="1098" w:type="dxa"/>
            <w:tcBorders>
              <w:top w:val="single" w:sz="12" w:space="0" w:color="008000"/>
              <w:bottom w:val="single" w:sz="6" w:space="0" w:color="008000"/>
            </w:tcBorders>
            <w:shd w:val="clear" w:color="auto" w:fill="FFFFFF"/>
          </w:tcPr>
          <w:p w14:paraId="046CE1F2" w14:textId="2278D342" w:rsidR="00C45B81" w:rsidRDefault="00C45B81" w:rsidP="00556835">
            <w:pPr>
              <w:pStyle w:val="CETBodytext"/>
              <w:ind w:right="-1"/>
              <w:rPr>
                <w:rFonts w:cs="Arial"/>
                <w:szCs w:val="18"/>
                <w:lang w:val="en-GB"/>
              </w:rPr>
            </w:pPr>
            <w:r>
              <w:rPr>
                <w:rFonts w:cs="Arial"/>
                <w:szCs w:val="18"/>
                <w:lang w:val="en-GB"/>
              </w:rPr>
              <w:t>T1</w:t>
            </w:r>
          </w:p>
        </w:tc>
        <w:tc>
          <w:tcPr>
            <w:tcW w:w="1090" w:type="dxa"/>
            <w:tcBorders>
              <w:top w:val="single" w:sz="12" w:space="0" w:color="008000"/>
              <w:bottom w:val="single" w:sz="6" w:space="0" w:color="008000"/>
            </w:tcBorders>
            <w:shd w:val="clear" w:color="auto" w:fill="FFFFFF"/>
          </w:tcPr>
          <w:p w14:paraId="6024AFE4" w14:textId="7F5BCE8F" w:rsidR="00C45B81" w:rsidRDefault="00C45B81" w:rsidP="00556835">
            <w:pPr>
              <w:pStyle w:val="CETBodytext"/>
              <w:ind w:right="-1"/>
              <w:rPr>
                <w:rFonts w:cs="Arial"/>
                <w:szCs w:val="18"/>
                <w:lang w:val="en-GB"/>
              </w:rPr>
            </w:pPr>
            <w:r>
              <w:rPr>
                <w:rFonts w:cs="Arial"/>
                <w:szCs w:val="18"/>
                <w:lang w:val="en-GB"/>
              </w:rPr>
              <w:t>T2</w:t>
            </w:r>
          </w:p>
        </w:tc>
        <w:tc>
          <w:tcPr>
            <w:tcW w:w="1090" w:type="dxa"/>
            <w:tcBorders>
              <w:top w:val="single" w:sz="12" w:space="0" w:color="008000"/>
              <w:bottom w:val="single" w:sz="6" w:space="0" w:color="008000"/>
            </w:tcBorders>
            <w:shd w:val="clear" w:color="auto" w:fill="FFFFFF"/>
          </w:tcPr>
          <w:p w14:paraId="7A7CB9C2" w14:textId="62BAEE59" w:rsidR="00C45B81" w:rsidRDefault="00C45B81" w:rsidP="00556835">
            <w:pPr>
              <w:pStyle w:val="CETBodytext"/>
              <w:ind w:right="-1"/>
              <w:rPr>
                <w:rFonts w:cs="Arial"/>
                <w:szCs w:val="18"/>
                <w:lang w:val="en-GB"/>
              </w:rPr>
            </w:pPr>
            <w:r>
              <w:rPr>
                <w:rFonts w:cs="Arial"/>
                <w:szCs w:val="18"/>
                <w:lang w:val="en-GB"/>
              </w:rPr>
              <w:t>A2-T1</w:t>
            </w:r>
          </w:p>
        </w:tc>
        <w:tc>
          <w:tcPr>
            <w:tcW w:w="1090" w:type="dxa"/>
            <w:tcBorders>
              <w:top w:val="single" w:sz="12" w:space="0" w:color="008000"/>
              <w:bottom w:val="single" w:sz="6" w:space="0" w:color="008000"/>
            </w:tcBorders>
            <w:shd w:val="clear" w:color="auto" w:fill="FFFFFF"/>
          </w:tcPr>
          <w:p w14:paraId="1DEF31F4" w14:textId="43C0D424" w:rsidR="00C45B81" w:rsidRDefault="00C45B81" w:rsidP="00556835">
            <w:pPr>
              <w:pStyle w:val="CETBodytext"/>
              <w:ind w:right="-1"/>
              <w:rPr>
                <w:rFonts w:cs="Arial"/>
                <w:szCs w:val="18"/>
                <w:lang w:val="en-GB"/>
              </w:rPr>
            </w:pPr>
            <w:r>
              <w:rPr>
                <w:rFonts w:cs="Arial"/>
                <w:szCs w:val="18"/>
                <w:lang w:val="en-GB"/>
              </w:rPr>
              <w:t>A2-T2</w:t>
            </w:r>
          </w:p>
        </w:tc>
      </w:tr>
      <w:tr w:rsidR="00E31F64" w:rsidRPr="00B57B36" w14:paraId="0D216CA7" w14:textId="290639F3" w:rsidTr="00D94696">
        <w:tc>
          <w:tcPr>
            <w:tcW w:w="1121" w:type="dxa"/>
            <w:shd w:val="clear" w:color="auto" w:fill="FFFFFF"/>
          </w:tcPr>
          <w:p w14:paraId="224799E5" w14:textId="0BBF6288" w:rsidR="00E31F64" w:rsidRPr="00B57B36" w:rsidRDefault="00E31F64" w:rsidP="00E31F64">
            <w:pPr>
              <w:pStyle w:val="CETBodytext"/>
              <w:rPr>
                <w:lang w:val="en-GB"/>
              </w:rPr>
            </w:pPr>
            <w:r>
              <w:rPr>
                <w:lang w:val="en-GB"/>
              </w:rPr>
              <w:t>TS</w:t>
            </w:r>
          </w:p>
        </w:tc>
        <w:tc>
          <w:tcPr>
            <w:tcW w:w="1102" w:type="dxa"/>
            <w:shd w:val="clear" w:color="auto" w:fill="FFFFFF"/>
          </w:tcPr>
          <w:p w14:paraId="2FE7AB34" w14:textId="27F16AAF" w:rsidR="00E31F64" w:rsidRPr="00B57B36" w:rsidRDefault="00E31F64" w:rsidP="00E31F64">
            <w:pPr>
              <w:pStyle w:val="CETBodytext"/>
              <w:rPr>
                <w:lang w:val="en-GB"/>
              </w:rPr>
            </w:pPr>
            <w:r>
              <w:rPr>
                <w:lang w:val="en-GB"/>
              </w:rPr>
              <w:t>g/kg</w:t>
            </w:r>
          </w:p>
        </w:tc>
        <w:tc>
          <w:tcPr>
            <w:tcW w:w="1098" w:type="dxa"/>
            <w:shd w:val="clear" w:color="auto" w:fill="FFFFFF"/>
          </w:tcPr>
          <w:p w14:paraId="659FA887" w14:textId="4E5A38BD" w:rsidR="00E31F64" w:rsidRPr="00B57B36" w:rsidRDefault="00481924" w:rsidP="00E31F64">
            <w:pPr>
              <w:pStyle w:val="CETBodytext"/>
              <w:rPr>
                <w:lang w:val="en-GB"/>
              </w:rPr>
            </w:pPr>
            <w:r>
              <w:rPr>
                <w:lang w:val="en-GB"/>
              </w:rPr>
              <w:t>28</w:t>
            </w:r>
            <w:r w:rsidR="00E31F64" w:rsidRPr="00631DBB">
              <w:rPr>
                <w:lang w:val="en-GB"/>
              </w:rPr>
              <w:t>.1</w:t>
            </w:r>
            <w:r w:rsidR="00E31F64">
              <w:rPr>
                <w:lang w:val="en-GB"/>
              </w:rPr>
              <w:t xml:space="preserve"> </w:t>
            </w:r>
            <w:r w:rsidR="00E31F64" w:rsidRPr="00631DBB">
              <w:rPr>
                <w:lang w:val="en-GB"/>
              </w:rPr>
              <w:t>±</w:t>
            </w:r>
            <w:r w:rsidR="00E31F64">
              <w:rPr>
                <w:lang w:val="en-GB"/>
              </w:rPr>
              <w:t xml:space="preserve"> </w:t>
            </w:r>
            <w:r w:rsidR="00E31F64" w:rsidRPr="00631DBB">
              <w:rPr>
                <w:lang w:val="en-GB"/>
              </w:rPr>
              <w:t>0.3</w:t>
            </w:r>
          </w:p>
        </w:tc>
        <w:tc>
          <w:tcPr>
            <w:tcW w:w="1098" w:type="dxa"/>
            <w:shd w:val="clear" w:color="auto" w:fill="FFFFFF"/>
          </w:tcPr>
          <w:p w14:paraId="39113D8D" w14:textId="7D9A8D47" w:rsidR="00E31F64" w:rsidRPr="00B57B36" w:rsidRDefault="00481924" w:rsidP="00E31F64">
            <w:pPr>
              <w:pStyle w:val="CETBodytext"/>
              <w:ind w:right="-1"/>
              <w:rPr>
                <w:rFonts w:cs="Arial"/>
                <w:szCs w:val="18"/>
                <w:lang w:val="en-GB"/>
              </w:rPr>
            </w:pPr>
            <w:r>
              <w:rPr>
                <w:lang w:val="en-GB"/>
              </w:rPr>
              <w:t>27</w:t>
            </w:r>
            <w:r w:rsidR="00E31F64" w:rsidRPr="00631DBB">
              <w:rPr>
                <w:lang w:val="en-GB"/>
              </w:rPr>
              <w:t>.8</w:t>
            </w:r>
            <w:r w:rsidR="00E31F64">
              <w:rPr>
                <w:lang w:val="en-GB"/>
              </w:rPr>
              <w:t xml:space="preserve"> </w:t>
            </w:r>
            <w:r w:rsidR="00E31F64" w:rsidRPr="00631DBB">
              <w:rPr>
                <w:lang w:val="en-GB"/>
              </w:rPr>
              <w:t>±</w:t>
            </w:r>
            <w:r w:rsidR="00E31F64">
              <w:rPr>
                <w:lang w:val="en-GB"/>
              </w:rPr>
              <w:t xml:space="preserve"> </w:t>
            </w:r>
            <w:r w:rsidR="00E31F64" w:rsidRPr="00631DBB">
              <w:rPr>
                <w:lang w:val="en-GB"/>
              </w:rPr>
              <w:t>0.4</w:t>
            </w:r>
          </w:p>
        </w:tc>
        <w:tc>
          <w:tcPr>
            <w:tcW w:w="1098" w:type="dxa"/>
            <w:shd w:val="clear" w:color="auto" w:fill="FFFFFF"/>
          </w:tcPr>
          <w:p w14:paraId="65732363" w14:textId="1D1E6528" w:rsidR="00E31F64" w:rsidRPr="00B57B36" w:rsidRDefault="00E31F64" w:rsidP="00E31F64">
            <w:pPr>
              <w:pStyle w:val="CETBodytext"/>
              <w:ind w:right="-1"/>
              <w:rPr>
                <w:rFonts w:cs="Arial"/>
                <w:szCs w:val="18"/>
                <w:lang w:val="en-GB"/>
              </w:rPr>
            </w:pPr>
            <w:r w:rsidRPr="00631DBB">
              <w:rPr>
                <w:lang w:val="en-GB"/>
              </w:rPr>
              <w:t>25.1</w:t>
            </w:r>
            <w:r>
              <w:rPr>
                <w:lang w:val="en-GB"/>
              </w:rPr>
              <w:t xml:space="preserve"> </w:t>
            </w:r>
            <w:r w:rsidRPr="00631DBB">
              <w:rPr>
                <w:lang w:val="en-GB"/>
              </w:rPr>
              <w:t>±</w:t>
            </w:r>
            <w:r>
              <w:rPr>
                <w:lang w:val="en-GB"/>
              </w:rPr>
              <w:t xml:space="preserve"> </w:t>
            </w:r>
            <w:r w:rsidRPr="00631DBB">
              <w:rPr>
                <w:lang w:val="en-GB"/>
              </w:rPr>
              <w:t>0.2</w:t>
            </w:r>
          </w:p>
        </w:tc>
        <w:tc>
          <w:tcPr>
            <w:tcW w:w="1090" w:type="dxa"/>
            <w:shd w:val="clear" w:color="auto" w:fill="FFFFFF"/>
          </w:tcPr>
          <w:p w14:paraId="26A39196" w14:textId="3EFFC1EA" w:rsidR="00E31F64" w:rsidRPr="00B57B36" w:rsidRDefault="00E31F64" w:rsidP="00E31F64">
            <w:pPr>
              <w:pStyle w:val="CETBodytext"/>
              <w:ind w:right="-1"/>
              <w:rPr>
                <w:rFonts w:cs="Arial"/>
                <w:szCs w:val="18"/>
                <w:lang w:val="en-GB"/>
              </w:rPr>
            </w:pPr>
            <w:r w:rsidRPr="00631DBB">
              <w:rPr>
                <w:lang w:val="en-GB"/>
              </w:rPr>
              <w:t>2</w:t>
            </w:r>
            <w:r>
              <w:rPr>
                <w:lang w:val="en-GB"/>
              </w:rPr>
              <w:t>2</w:t>
            </w:r>
            <w:r w:rsidRPr="00631DBB">
              <w:rPr>
                <w:lang w:val="en-GB"/>
              </w:rPr>
              <w:t>.</w:t>
            </w:r>
            <w:r>
              <w:rPr>
                <w:lang w:val="en-GB"/>
              </w:rPr>
              <w:t xml:space="preserve">3 </w:t>
            </w:r>
            <w:r w:rsidRPr="00631DBB">
              <w:rPr>
                <w:lang w:val="en-GB"/>
              </w:rPr>
              <w:t>±</w:t>
            </w:r>
            <w:r>
              <w:rPr>
                <w:lang w:val="en-GB"/>
              </w:rPr>
              <w:t xml:space="preserve"> </w:t>
            </w:r>
            <w:r w:rsidRPr="00631DBB">
              <w:rPr>
                <w:lang w:val="en-GB"/>
              </w:rPr>
              <w:t>0.</w:t>
            </w:r>
            <w:r w:rsidR="004D03B8">
              <w:rPr>
                <w:lang w:val="en-GB"/>
              </w:rPr>
              <w:t>3</w:t>
            </w:r>
          </w:p>
        </w:tc>
        <w:tc>
          <w:tcPr>
            <w:tcW w:w="1090" w:type="dxa"/>
            <w:shd w:val="clear" w:color="auto" w:fill="FFFFFF"/>
          </w:tcPr>
          <w:p w14:paraId="1B734A86" w14:textId="779B67DD" w:rsidR="00E31F64" w:rsidRPr="00B57B36" w:rsidRDefault="00E31F64" w:rsidP="00E31F64">
            <w:pPr>
              <w:pStyle w:val="CETBodytext"/>
              <w:ind w:right="-1"/>
              <w:rPr>
                <w:rFonts w:cs="Arial"/>
                <w:szCs w:val="18"/>
                <w:lang w:val="en-GB"/>
              </w:rPr>
            </w:pPr>
            <w:r w:rsidRPr="00631DBB">
              <w:rPr>
                <w:lang w:val="en-GB"/>
              </w:rPr>
              <w:t>25.7</w:t>
            </w:r>
            <w:r>
              <w:rPr>
                <w:lang w:val="en-GB"/>
              </w:rPr>
              <w:t xml:space="preserve"> </w:t>
            </w:r>
            <w:r w:rsidRPr="00631DBB">
              <w:rPr>
                <w:lang w:val="en-GB"/>
              </w:rPr>
              <w:t>±</w:t>
            </w:r>
            <w:r>
              <w:rPr>
                <w:lang w:val="en-GB"/>
              </w:rPr>
              <w:t xml:space="preserve"> </w:t>
            </w:r>
            <w:r w:rsidRPr="00631DBB">
              <w:rPr>
                <w:lang w:val="en-GB"/>
              </w:rPr>
              <w:t>0.5</w:t>
            </w:r>
          </w:p>
        </w:tc>
        <w:tc>
          <w:tcPr>
            <w:tcW w:w="1090" w:type="dxa"/>
            <w:shd w:val="clear" w:color="auto" w:fill="FFFFFF"/>
          </w:tcPr>
          <w:p w14:paraId="6EE9E0C3" w14:textId="08019FD6" w:rsidR="00E31F64" w:rsidRPr="00B57B36" w:rsidRDefault="00E31F64" w:rsidP="00E31F64">
            <w:pPr>
              <w:pStyle w:val="CETBodytext"/>
              <w:ind w:right="-1"/>
              <w:rPr>
                <w:rFonts w:cs="Arial"/>
                <w:szCs w:val="18"/>
                <w:lang w:val="en-GB"/>
              </w:rPr>
            </w:pPr>
            <w:r w:rsidRPr="00631DBB">
              <w:rPr>
                <w:lang w:val="en-GB"/>
              </w:rPr>
              <w:t>2</w:t>
            </w:r>
            <w:r w:rsidR="002E0AF3">
              <w:rPr>
                <w:lang w:val="en-GB"/>
              </w:rPr>
              <w:t>5</w:t>
            </w:r>
            <w:r w:rsidRPr="00631DBB">
              <w:rPr>
                <w:lang w:val="en-GB"/>
              </w:rPr>
              <w:t>.4</w:t>
            </w:r>
            <w:r>
              <w:rPr>
                <w:lang w:val="en-GB"/>
              </w:rPr>
              <w:t xml:space="preserve"> </w:t>
            </w:r>
            <w:r w:rsidRPr="00631DBB">
              <w:rPr>
                <w:lang w:val="en-GB"/>
              </w:rPr>
              <w:t>±</w:t>
            </w:r>
            <w:r>
              <w:rPr>
                <w:lang w:val="en-GB"/>
              </w:rPr>
              <w:t xml:space="preserve"> </w:t>
            </w:r>
            <w:r w:rsidRPr="00631DBB">
              <w:rPr>
                <w:lang w:val="en-GB"/>
              </w:rPr>
              <w:t>0.6</w:t>
            </w:r>
          </w:p>
        </w:tc>
      </w:tr>
      <w:tr w:rsidR="00E31F64" w:rsidRPr="00B57B36" w14:paraId="28F5FE6A" w14:textId="1D608F9B" w:rsidTr="002B0906">
        <w:tc>
          <w:tcPr>
            <w:tcW w:w="1121" w:type="dxa"/>
            <w:shd w:val="clear" w:color="auto" w:fill="FFFFFF"/>
          </w:tcPr>
          <w:p w14:paraId="5651F46B" w14:textId="7B991244" w:rsidR="00E31F64" w:rsidRPr="00B57B36" w:rsidRDefault="00E31F64" w:rsidP="00E31F64">
            <w:pPr>
              <w:pStyle w:val="CETBodytext"/>
              <w:ind w:right="-1"/>
              <w:rPr>
                <w:rFonts w:cs="Arial"/>
                <w:szCs w:val="18"/>
                <w:lang w:val="en-GB"/>
              </w:rPr>
            </w:pPr>
            <w:r>
              <w:rPr>
                <w:rFonts w:cs="Arial"/>
                <w:szCs w:val="18"/>
                <w:lang w:val="en-GB"/>
              </w:rPr>
              <w:t>VS</w:t>
            </w:r>
          </w:p>
        </w:tc>
        <w:tc>
          <w:tcPr>
            <w:tcW w:w="1102" w:type="dxa"/>
            <w:shd w:val="clear" w:color="auto" w:fill="FFFFFF"/>
          </w:tcPr>
          <w:p w14:paraId="211A9E17" w14:textId="6A3E06A6" w:rsidR="00E31F64" w:rsidRPr="00B57B36" w:rsidRDefault="00E31F64" w:rsidP="00E31F64">
            <w:pPr>
              <w:pStyle w:val="CETBodytext"/>
              <w:ind w:right="-1"/>
              <w:rPr>
                <w:rFonts w:cs="Arial"/>
                <w:szCs w:val="18"/>
                <w:lang w:val="en-GB"/>
              </w:rPr>
            </w:pPr>
            <w:r>
              <w:rPr>
                <w:rFonts w:cs="Arial"/>
                <w:szCs w:val="18"/>
                <w:lang w:val="en-GB"/>
              </w:rPr>
              <w:t>g/kg</w:t>
            </w:r>
          </w:p>
        </w:tc>
        <w:tc>
          <w:tcPr>
            <w:tcW w:w="1098" w:type="dxa"/>
            <w:shd w:val="clear" w:color="auto" w:fill="FFFFFF"/>
            <w:vAlign w:val="center"/>
          </w:tcPr>
          <w:p w14:paraId="152F9D71" w14:textId="5F368259" w:rsidR="00E31F64" w:rsidRPr="00B57B36" w:rsidRDefault="00E31F64" w:rsidP="00E31F64">
            <w:pPr>
              <w:pStyle w:val="CETBodytext"/>
              <w:ind w:right="-1"/>
              <w:rPr>
                <w:rFonts w:cs="Arial"/>
                <w:szCs w:val="18"/>
                <w:lang w:val="en-GB"/>
              </w:rPr>
            </w:pPr>
            <w:r w:rsidRPr="00631DBB">
              <w:rPr>
                <w:lang w:val="en-GB"/>
              </w:rPr>
              <w:t>2</w:t>
            </w:r>
            <w:r w:rsidR="00481924">
              <w:rPr>
                <w:lang w:val="en-GB"/>
              </w:rPr>
              <w:t>2</w:t>
            </w:r>
            <w:r w:rsidRPr="00631DBB">
              <w:rPr>
                <w:lang w:val="en-GB"/>
              </w:rPr>
              <w:t>.</w:t>
            </w:r>
            <w:r>
              <w:rPr>
                <w:lang w:val="en-GB"/>
              </w:rPr>
              <w:t xml:space="preserve">3 </w:t>
            </w:r>
            <w:r w:rsidRPr="00631DBB">
              <w:rPr>
                <w:lang w:val="en-GB"/>
              </w:rPr>
              <w:t>±</w:t>
            </w:r>
            <w:r>
              <w:rPr>
                <w:lang w:val="en-GB"/>
              </w:rPr>
              <w:t xml:space="preserve"> </w:t>
            </w:r>
            <w:r w:rsidRPr="00631DBB">
              <w:rPr>
                <w:lang w:val="en-GB"/>
              </w:rPr>
              <w:t>0.4</w:t>
            </w:r>
          </w:p>
        </w:tc>
        <w:tc>
          <w:tcPr>
            <w:tcW w:w="1098" w:type="dxa"/>
            <w:shd w:val="clear" w:color="auto" w:fill="FFFFFF"/>
            <w:vAlign w:val="center"/>
          </w:tcPr>
          <w:p w14:paraId="5EB7BDA8" w14:textId="58EC5892" w:rsidR="00E31F64" w:rsidRPr="00B57B36" w:rsidRDefault="00E31F64" w:rsidP="00E31F64">
            <w:pPr>
              <w:pStyle w:val="CETBodytext"/>
              <w:ind w:right="-1"/>
              <w:rPr>
                <w:rFonts w:cs="Arial"/>
                <w:szCs w:val="18"/>
                <w:lang w:val="en-GB"/>
              </w:rPr>
            </w:pPr>
            <w:r w:rsidRPr="00631DBB">
              <w:rPr>
                <w:lang w:val="en-GB"/>
              </w:rPr>
              <w:t>2</w:t>
            </w:r>
            <w:r w:rsidR="00481924">
              <w:rPr>
                <w:lang w:val="en-GB"/>
              </w:rPr>
              <w:t>0</w:t>
            </w:r>
            <w:r w:rsidRPr="00631DBB">
              <w:rPr>
                <w:lang w:val="en-GB"/>
              </w:rPr>
              <w:t>.9</w:t>
            </w:r>
            <w:r>
              <w:rPr>
                <w:lang w:val="en-GB"/>
              </w:rPr>
              <w:t xml:space="preserve"> </w:t>
            </w:r>
            <w:r w:rsidRPr="00631DBB">
              <w:rPr>
                <w:lang w:val="en-GB"/>
              </w:rPr>
              <w:t>±</w:t>
            </w:r>
            <w:r>
              <w:rPr>
                <w:lang w:val="en-GB"/>
              </w:rPr>
              <w:t xml:space="preserve"> </w:t>
            </w:r>
            <w:r w:rsidRPr="00631DBB">
              <w:rPr>
                <w:lang w:val="en-GB"/>
              </w:rPr>
              <w:t>0.3</w:t>
            </w:r>
          </w:p>
        </w:tc>
        <w:tc>
          <w:tcPr>
            <w:tcW w:w="1098" w:type="dxa"/>
            <w:shd w:val="clear" w:color="auto" w:fill="FFFFFF"/>
            <w:vAlign w:val="center"/>
          </w:tcPr>
          <w:p w14:paraId="49F3CC6B" w14:textId="60758C9A" w:rsidR="00E31F64" w:rsidRPr="00B57B36" w:rsidRDefault="00E31F64" w:rsidP="00E31F64">
            <w:pPr>
              <w:pStyle w:val="CETBodytext"/>
              <w:ind w:right="-1"/>
              <w:rPr>
                <w:rFonts w:cs="Arial"/>
                <w:szCs w:val="18"/>
                <w:lang w:val="en-GB"/>
              </w:rPr>
            </w:pPr>
            <w:r w:rsidRPr="00631DBB">
              <w:rPr>
                <w:lang w:val="en-GB"/>
              </w:rPr>
              <w:t>18.8</w:t>
            </w:r>
            <w:r>
              <w:rPr>
                <w:lang w:val="en-GB"/>
              </w:rPr>
              <w:t xml:space="preserve"> </w:t>
            </w:r>
            <w:r w:rsidRPr="00631DBB">
              <w:rPr>
                <w:lang w:val="en-GB"/>
              </w:rPr>
              <w:t>±</w:t>
            </w:r>
            <w:r>
              <w:rPr>
                <w:lang w:val="en-GB"/>
              </w:rPr>
              <w:t xml:space="preserve"> </w:t>
            </w:r>
            <w:r w:rsidRPr="00631DBB">
              <w:rPr>
                <w:lang w:val="en-GB"/>
              </w:rPr>
              <w:t>0.2</w:t>
            </w:r>
          </w:p>
        </w:tc>
        <w:tc>
          <w:tcPr>
            <w:tcW w:w="1090" w:type="dxa"/>
            <w:shd w:val="clear" w:color="auto" w:fill="FFFFFF"/>
            <w:vAlign w:val="center"/>
          </w:tcPr>
          <w:p w14:paraId="7909D7C7" w14:textId="0D190DFF" w:rsidR="00E31F64" w:rsidRPr="00B57B36" w:rsidRDefault="00E31F64" w:rsidP="00E31F64">
            <w:pPr>
              <w:pStyle w:val="CETBodytext"/>
              <w:ind w:right="-1"/>
              <w:rPr>
                <w:rFonts w:cs="Arial"/>
                <w:szCs w:val="18"/>
                <w:lang w:val="en-GB"/>
              </w:rPr>
            </w:pPr>
            <w:r w:rsidRPr="00631DBB">
              <w:rPr>
                <w:lang w:val="en-GB"/>
              </w:rPr>
              <w:t>1</w:t>
            </w:r>
            <w:r>
              <w:rPr>
                <w:lang w:val="en-GB"/>
              </w:rPr>
              <w:t>7</w:t>
            </w:r>
            <w:r w:rsidRPr="00631DBB">
              <w:rPr>
                <w:lang w:val="en-GB"/>
              </w:rPr>
              <w:t>.</w:t>
            </w:r>
            <w:r>
              <w:rPr>
                <w:lang w:val="en-GB"/>
              </w:rPr>
              <w:t xml:space="preserve">6 </w:t>
            </w:r>
            <w:r w:rsidRPr="00631DBB">
              <w:rPr>
                <w:lang w:val="en-GB"/>
              </w:rPr>
              <w:t>±</w:t>
            </w:r>
            <w:r>
              <w:rPr>
                <w:lang w:val="en-GB"/>
              </w:rPr>
              <w:t xml:space="preserve"> </w:t>
            </w:r>
            <w:r w:rsidRPr="00631DBB">
              <w:rPr>
                <w:lang w:val="en-GB"/>
              </w:rPr>
              <w:t>0.2</w:t>
            </w:r>
          </w:p>
        </w:tc>
        <w:tc>
          <w:tcPr>
            <w:tcW w:w="1090" w:type="dxa"/>
            <w:shd w:val="clear" w:color="auto" w:fill="FFFFFF"/>
            <w:vAlign w:val="center"/>
          </w:tcPr>
          <w:p w14:paraId="3922608B" w14:textId="25B758FD" w:rsidR="00E31F64" w:rsidRPr="00B57B36" w:rsidRDefault="00E31F64" w:rsidP="00E31F64">
            <w:pPr>
              <w:pStyle w:val="CETBodytext"/>
              <w:ind w:right="-1"/>
              <w:rPr>
                <w:rFonts w:cs="Arial"/>
                <w:szCs w:val="18"/>
                <w:lang w:val="en-GB"/>
              </w:rPr>
            </w:pPr>
            <w:r w:rsidRPr="00631DBB">
              <w:rPr>
                <w:lang w:val="en-GB"/>
              </w:rPr>
              <w:t>17.9</w:t>
            </w:r>
            <w:r>
              <w:rPr>
                <w:lang w:val="en-GB"/>
              </w:rPr>
              <w:t xml:space="preserve"> </w:t>
            </w:r>
            <w:r w:rsidRPr="00631DBB">
              <w:rPr>
                <w:lang w:val="en-GB"/>
              </w:rPr>
              <w:t>±</w:t>
            </w:r>
            <w:r>
              <w:rPr>
                <w:lang w:val="en-GB"/>
              </w:rPr>
              <w:t xml:space="preserve"> </w:t>
            </w:r>
            <w:r w:rsidRPr="00631DBB">
              <w:rPr>
                <w:lang w:val="en-GB"/>
              </w:rPr>
              <w:t>0.1</w:t>
            </w:r>
          </w:p>
        </w:tc>
        <w:tc>
          <w:tcPr>
            <w:tcW w:w="1090" w:type="dxa"/>
            <w:shd w:val="clear" w:color="auto" w:fill="FFFFFF"/>
            <w:vAlign w:val="center"/>
          </w:tcPr>
          <w:p w14:paraId="1C71DD0A" w14:textId="2C39C25E" w:rsidR="00E31F64" w:rsidRPr="00B57B36" w:rsidRDefault="00E31F64" w:rsidP="00E31F64">
            <w:pPr>
              <w:pStyle w:val="CETBodytext"/>
              <w:ind w:right="-1"/>
              <w:rPr>
                <w:rFonts w:cs="Arial"/>
                <w:szCs w:val="18"/>
                <w:lang w:val="en-GB"/>
              </w:rPr>
            </w:pPr>
            <w:r w:rsidRPr="00631DBB">
              <w:rPr>
                <w:lang w:val="en-GB"/>
              </w:rPr>
              <w:t>1</w:t>
            </w:r>
            <w:r w:rsidR="00481924">
              <w:rPr>
                <w:lang w:val="en-GB"/>
              </w:rPr>
              <w:t>8</w:t>
            </w:r>
            <w:r w:rsidRPr="00631DBB">
              <w:rPr>
                <w:lang w:val="en-GB"/>
              </w:rPr>
              <w:t>.1</w:t>
            </w:r>
            <w:r>
              <w:rPr>
                <w:lang w:val="en-GB"/>
              </w:rPr>
              <w:t xml:space="preserve"> </w:t>
            </w:r>
            <w:r w:rsidRPr="00631DBB">
              <w:rPr>
                <w:lang w:val="en-GB"/>
              </w:rPr>
              <w:t>±</w:t>
            </w:r>
            <w:r>
              <w:rPr>
                <w:lang w:val="en-GB"/>
              </w:rPr>
              <w:t xml:space="preserve"> </w:t>
            </w:r>
            <w:r w:rsidRPr="00631DBB">
              <w:rPr>
                <w:lang w:val="en-GB"/>
              </w:rPr>
              <w:t>0.1</w:t>
            </w:r>
          </w:p>
        </w:tc>
      </w:tr>
      <w:tr w:rsidR="00E31F64" w:rsidRPr="00B57B36" w14:paraId="742029AF" w14:textId="77777777" w:rsidTr="00C8676A">
        <w:tc>
          <w:tcPr>
            <w:tcW w:w="1121" w:type="dxa"/>
            <w:shd w:val="clear" w:color="auto" w:fill="FFFFFF"/>
          </w:tcPr>
          <w:p w14:paraId="71655557" w14:textId="4A06D2D0" w:rsidR="00E31F64" w:rsidRPr="00B57B36" w:rsidRDefault="00E31F64" w:rsidP="00E31F64">
            <w:pPr>
              <w:pStyle w:val="CETBodytext"/>
              <w:ind w:right="-1"/>
              <w:rPr>
                <w:rFonts w:cs="Arial"/>
                <w:szCs w:val="18"/>
                <w:lang w:val="en-GB"/>
              </w:rPr>
            </w:pPr>
            <w:r>
              <w:rPr>
                <w:rFonts w:cs="Arial"/>
                <w:szCs w:val="18"/>
                <w:lang w:val="en-GB"/>
              </w:rPr>
              <w:t>COD</w:t>
            </w:r>
            <w:r w:rsidRPr="00D94696">
              <w:rPr>
                <w:rFonts w:cs="Arial"/>
                <w:szCs w:val="18"/>
                <w:vertAlign w:val="subscript"/>
                <w:lang w:val="en-GB"/>
              </w:rPr>
              <w:t>SOL</w:t>
            </w:r>
          </w:p>
        </w:tc>
        <w:tc>
          <w:tcPr>
            <w:tcW w:w="1102" w:type="dxa"/>
            <w:shd w:val="clear" w:color="auto" w:fill="FFFFFF"/>
          </w:tcPr>
          <w:p w14:paraId="5787CE8F" w14:textId="4820E6F5" w:rsidR="00E31F64" w:rsidRPr="00B57B36" w:rsidRDefault="00E31F64" w:rsidP="00E31F64">
            <w:pPr>
              <w:pStyle w:val="CETBodytext"/>
              <w:ind w:right="-1"/>
              <w:rPr>
                <w:rFonts w:cs="Arial"/>
                <w:szCs w:val="18"/>
                <w:lang w:val="en-GB"/>
              </w:rPr>
            </w:pPr>
            <w:r>
              <w:rPr>
                <w:rFonts w:cs="Arial"/>
                <w:szCs w:val="18"/>
                <w:lang w:val="en-GB"/>
              </w:rPr>
              <w:t>g/L</w:t>
            </w:r>
          </w:p>
        </w:tc>
        <w:tc>
          <w:tcPr>
            <w:tcW w:w="1098" w:type="dxa"/>
            <w:shd w:val="clear" w:color="auto" w:fill="FFFFFF"/>
            <w:vAlign w:val="center"/>
          </w:tcPr>
          <w:p w14:paraId="100C29C8" w14:textId="53A36BAE" w:rsidR="00E31F64" w:rsidRPr="00B57B36" w:rsidRDefault="00E31F64" w:rsidP="00E31F64">
            <w:pPr>
              <w:pStyle w:val="CETBodytext"/>
              <w:ind w:right="-1"/>
              <w:rPr>
                <w:rFonts w:cs="Arial"/>
                <w:szCs w:val="18"/>
                <w:lang w:val="en-GB"/>
              </w:rPr>
            </w:pPr>
            <w:r w:rsidRPr="00631DBB">
              <w:rPr>
                <w:lang w:val="en-GB"/>
              </w:rPr>
              <w:t>4</w:t>
            </w:r>
            <w:r>
              <w:rPr>
                <w:lang w:val="en-GB"/>
              </w:rPr>
              <w:t>.</w:t>
            </w:r>
            <w:r w:rsidRPr="00631DBB">
              <w:rPr>
                <w:lang w:val="en-GB"/>
              </w:rPr>
              <w:t>2</w:t>
            </w:r>
            <w:r>
              <w:rPr>
                <w:lang w:val="en-GB"/>
              </w:rPr>
              <w:t xml:space="preserve"> </w:t>
            </w:r>
            <w:r w:rsidRPr="00631DBB">
              <w:rPr>
                <w:lang w:val="en-GB"/>
              </w:rPr>
              <w:t>±</w:t>
            </w:r>
            <w:r>
              <w:rPr>
                <w:lang w:val="en-GB"/>
              </w:rPr>
              <w:t xml:space="preserve"> 0.</w:t>
            </w:r>
            <w:r w:rsidRPr="00631DBB">
              <w:rPr>
                <w:lang w:val="en-GB"/>
              </w:rPr>
              <w:t>1</w:t>
            </w:r>
          </w:p>
        </w:tc>
        <w:tc>
          <w:tcPr>
            <w:tcW w:w="1098" w:type="dxa"/>
            <w:shd w:val="clear" w:color="auto" w:fill="FFFFFF"/>
            <w:vAlign w:val="center"/>
          </w:tcPr>
          <w:p w14:paraId="3DAB8B5D" w14:textId="784DF7C5" w:rsidR="00E31F64" w:rsidRPr="00B57B36" w:rsidRDefault="00E31F64" w:rsidP="00E31F64">
            <w:pPr>
              <w:pStyle w:val="CETBodytext"/>
              <w:ind w:right="-1"/>
              <w:rPr>
                <w:rFonts w:cs="Arial"/>
                <w:szCs w:val="18"/>
                <w:lang w:val="en-GB"/>
              </w:rPr>
            </w:pPr>
            <w:r w:rsidRPr="00631DBB">
              <w:rPr>
                <w:lang w:val="en-GB"/>
              </w:rPr>
              <w:t>9</w:t>
            </w:r>
            <w:r>
              <w:rPr>
                <w:lang w:val="en-GB"/>
              </w:rPr>
              <w:t xml:space="preserve">.3 </w:t>
            </w:r>
            <w:r w:rsidRPr="00631DBB">
              <w:rPr>
                <w:lang w:val="en-GB"/>
              </w:rPr>
              <w:t>±</w:t>
            </w:r>
            <w:r>
              <w:rPr>
                <w:lang w:val="en-GB"/>
              </w:rPr>
              <w:t xml:space="preserve"> 0.2</w:t>
            </w:r>
          </w:p>
        </w:tc>
        <w:tc>
          <w:tcPr>
            <w:tcW w:w="1098" w:type="dxa"/>
            <w:shd w:val="clear" w:color="auto" w:fill="FFFFFF"/>
            <w:vAlign w:val="center"/>
          </w:tcPr>
          <w:p w14:paraId="790E40FA" w14:textId="48FB086D" w:rsidR="00E31F64" w:rsidRPr="00B57B36" w:rsidRDefault="00E31F64" w:rsidP="00E31F64">
            <w:pPr>
              <w:pStyle w:val="CETBodytext"/>
              <w:ind w:right="-1"/>
              <w:rPr>
                <w:rFonts w:cs="Arial"/>
                <w:szCs w:val="18"/>
                <w:lang w:val="en-GB"/>
              </w:rPr>
            </w:pPr>
            <w:r w:rsidRPr="00631DBB">
              <w:rPr>
                <w:lang w:val="en-GB"/>
              </w:rPr>
              <w:t>10</w:t>
            </w:r>
            <w:r>
              <w:rPr>
                <w:lang w:val="en-GB"/>
              </w:rPr>
              <w:t xml:space="preserve">.4 </w:t>
            </w:r>
            <w:r w:rsidRPr="00631DBB">
              <w:rPr>
                <w:lang w:val="en-GB"/>
              </w:rPr>
              <w:t>±</w:t>
            </w:r>
            <w:r>
              <w:rPr>
                <w:lang w:val="en-GB"/>
              </w:rPr>
              <w:t xml:space="preserve"> 0.2</w:t>
            </w:r>
          </w:p>
        </w:tc>
        <w:tc>
          <w:tcPr>
            <w:tcW w:w="1090" w:type="dxa"/>
            <w:shd w:val="clear" w:color="auto" w:fill="FFFFFF"/>
            <w:vAlign w:val="center"/>
          </w:tcPr>
          <w:p w14:paraId="32DFC0FD" w14:textId="5EE9C8CF" w:rsidR="00E31F64" w:rsidRPr="00B57B36" w:rsidRDefault="004D03B8" w:rsidP="00E31F64">
            <w:pPr>
              <w:pStyle w:val="CETBodytext"/>
              <w:ind w:right="-1"/>
              <w:rPr>
                <w:rFonts w:cs="Arial"/>
                <w:szCs w:val="18"/>
                <w:lang w:val="en-GB"/>
              </w:rPr>
            </w:pPr>
            <w:r>
              <w:rPr>
                <w:lang w:val="en-GB"/>
              </w:rPr>
              <w:t>9</w:t>
            </w:r>
            <w:r w:rsidR="00E31F64">
              <w:rPr>
                <w:lang w:val="en-GB"/>
              </w:rPr>
              <w:t>.</w:t>
            </w:r>
            <w:r>
              <w:rPr>
                <w:lang w:val="en-GB"/>
              </w:rPr>
              <w:t>9</w:t>
            </w:r>
            <w:r w:rsidR="00E31F64">
              <w:rPr>
                <w:lang w:val="en-GB"/>
              </w:rPr>
              <w:t xml:space="preserve"> </w:t>
            </w:r>
            <w:r w:rsidR="00E31F64" w:rsidRPr="00631DBB">
              <w:rPr>
                <w:lang w:val="en-GB"/>
              </w:rPr>
              <w:t>±</w:t>
            </w:r>
            <w:r w:rsidR="00E31F64">
              <w:rPr>
                <w:lang w:val="en-GB"/>
              </w:rPr>
              <w:t xml:space="preserve"> 0.2</w:t>
            </w:r>
          </w:p>
        </w:tc>
        <w:tc>
          <w:tcPr>
            <w:tcW w:w="1090" w:type="dxa"/>
            <w:shd w:val="clear" w:color="auto" w:fill="FFFFFF"/>
            <w:vAlign w:val="center"/>
          </w:tcPr>
          <w:p w14:paraId="4CFB81A7" w14:textId="6CEA8142" w:rsidR="00E31F64" w:rsidRPr="00B57B36" w:rsidRDefault="00E31F64" w:rsidP="00E31F64">
            <w:pPr>
              <w:pStyle w:val="CETBodytext"/>
              <w:ind w:right="-1"/>
              <w:rPr>
                <w:rFonts w:cs="Arial"/>
                <w:szCs w:val="18"/>
                <w:lang w:val="en-GB"/>
              </w:rPr>
            </w:pPr>
            <w:r w:rsidRPr="00631DBB">
              <w:rPr>
                <w:lang w:val="en-GB"/>
              </w:rPr>
              <w:t>10</w:t>
            </w:r>
            <w:r>
              <w:rPr>
                <w:lang w:val="en-GB"/>
              </w:rPr>
              <w:t xml:space="preserve">.8 </w:t>
            </w:r>
            <w:r w:rsidRPr="00631DBB">
              <w:rPr>
                <w:lang w:val="en-GB"/>
              </w:rPr>
              <w:t>±</w:t>
            </w:r>
            <w:r>
              <w:rPr>
                <w:lang w:val="en-GB"/>
              </w:rPr>
              <w:t xml:space="preserve"> 0.2</w:t>
            </w:r>
          </w:p>
        </w:tc>
        <w:tc>
          <w:tcPr>
            <w:tcW w:w="1090" w:type="dxa"/>
            <w:shd w:val="clear" w:color="auto" w:fill="FFFFFF"/>
            <w:vAlign w:val="center"/>
          </w:tcPr>
          <w:p w14:paraId="67A9B20A" w14:textId="2C7964E8" w:rsidR="00E31F64" w:rsidRPr="00B57B36" w:rsidRDefault="00E31F64" w:rsidP="00E31F64">
            <w:pPr>
              <w:pStyle w:val="CETBodytext"/>
              <w:ind w:right="-1"/>
              <w:rPr>
                <w:rFonts w:cs="Arial"/>
                <w:szCs w:val="18"/>
                <w:lang w:val="en-GB"/>
              </w:rPr>
            </w:pPr>
            <w:r w:rsidRPr="00631DBB">
              <w:rPr>
                <w:lang w:val="en-GB"/>
              </w:rPr>
              <w:t>11</w:t>
            </w:r>
            <w:r>
              <w:rPr>
                <w:lang w:val="en-GB"/>
              </w:rPr>
              <w:t xml:space="preserve">.1 </w:t>
            </w:r>
            <w:r w:rsidRPr="00631DBB">
              <w:rPr>
                <w:lang w:val="en-GB"/>
              </w:rPr>
              <w:t>±</w:t>
            </w:r>
            <w:r>
              <w:rPr>
                <w:lang w:val="en-GB"/>
              </w:rPr>
              <w:t xml:space="preserve"> 0.2</w:t>
            </w:r>
          </w:p>
        </w:tc>
      </w:tr>
      <w:tr w:rsidR="00E31F64" w:rsidRPr="00B57B36" w14:paraId="7E525A9C" w14:textId="77777777" w:rsidTr="00AB79B1">
        <w:tc>
          <w:tcPr>
            <w:tcW w:w="1121" w:type="dxa"/>
            <w:shd w:val="clear" w:color="auto" w:fill="FFFFFF"/>
          </w:tcPr>
          <w:p w14:paraId="05A9F8F6" w14:textId="1135EEFC" w:rsidR="00E31F64" w:rsidRPr="00B57B36" w:rsidRDefault="00E31F64" w:rsidP="00E31F64">
            <w:pPr>
              <w:pStyle w:val="CETBodytext"/>
              <w:ind w:right="-1"/>
              <w:rPr>
                <w:rFonts w:cs="Arial"/>
                <w:szCs w:val="18"/>
                <w:lang w:val="en-GB"/>
              </w:rPr>
            </w:pPr>
            <w:r>
              <w:rPr>
                <w:rFonts w:cs="Arial"/>
                <w:szCs w:val="18"/>
                <w:lang w:val="en-GB"/>
              </w:rPr>
              <w:t>N-NH</w:t>
            </w:r>
            <w:r w:rsidRPr="009E5347">
              <w:rPr>
                <w:rFonts w:cs="Arial"/>
                <w:szCs w:val="18"/>
                <w:vertAlign w:val="subscript"/>
                <w:lang w:val="en-GB"/>
              </w:rPr>
              <w:t>4</w:t>
            </w:r>
            <w:r w:rsidRPr="009E5347">
              <w:rPr>
                <w:rFonts w:cs="Arial"/>
                <w:szCs w:val="18"/>
                <w:vertAlign w:val="superscript"/>
                <w:lang w:val="en-GB"/>
              </w:rPr>
              <w:t>+</w:t>
            </w:r>
            <w:r>
              <w:rPr>
                <w:rFonts w:cs="Arial"/>
                <w:szCs w:val="18"/>
                <w:lang w:val="en-GB"/>
              </w:rPr>
              <w:t>/L</w:t>
            </w:r>
          </w:p>
        </w:tc>
        <w:tc>
          <w:tcPr>
            <w:tcW w:w="1102" w:type="dxa"/>
            <w:shd w:val="clear" w:color="auto" w:fill="FFFFFF"/>
          </w:tcPr>
          <w:p w14:paraId="64C0B761" w14:textId="18A68FDF" w:rsidR="00E31F64" w:rsidRPr="00B57B36" w:rsidRDefault="00E31F64" w:rsidP="00E31F64">
            <w:pPr>
              <w:pStyle w:val="CETBodytext"/>
              <w:ind w:right="-1"/>
              <w:rPr>
                <w:rFonts w:cs="Arial"/>
                <w:szCs w:val="18"/>
                <w:lang w:val="en-GB"/>
              </w:rPr>
            </w:pPr>
            <w:r>
              <w:rPr>
                <w:rFonts w:cs="Arial"/>
                <w:szCs w:val="18"/>
                <w:lang w:val="en-GB"/>
              </w:rPr>
              <w:t>mg/L</w:t>
            </w:r>
          </w:p>
        </w:tc>
        <w:tc>
          <w:tcPr>
            <w:tcW w:w="1098" w:type="dxa"/>
            <w:shd w:val="clear" w:color="auto" w:fill="FFFFFF"/>
            <w:vAlign w:val="center"/>
          </w:tcPr>
          <w:p w14:paraId="5047DF0D" w14:textId="16E70A99" w:rsidR="00E31F64" w:rsidRPr="00B57B36" w:rsidRDefault="00E31F64" w:rsidP="00E31F64">
            <w:pPr>
              <w:pStyle w:val="CETBodytext"/>
              <w:ind w:right="-1"/>
              <w:rPr>
                <w:rFonts w:cs="Arial"/>
                <w:szCs w:val="18"/>
                <w:lang w:val="en-GB"/>
              </w:rPr>
            </w:pPr>
            <w:r w:rsidRPr="00631DBB">
              <w:rPr>
                <w:lang w:val="en-GB"/>
              </w:rPr>
              <w:t>350</w:t>
            </w:r>
            <w:r>
              <w:rPr>
                <w:lang w:val="en-GB"/>
              </w:rPr>
              <w:t xml:space="preserve"> </w:t>
            </w:r>
            <w:r w:rsidRPr="00631DBB">
              <w:rPr>
                <w:lang w:val="en-GB"/>
              </w:rPr>
              <w:t>±</w:t>
            </w:r>
            <w:r>
              <w:rPr>
                <w:lang w:val="en-GB"/>
              </w:rPr>
              <w:t xml:space="preserve"> </w:t>
            </w:r>
            <w:r w:rsidRPr="00631DBB">
              <w:rPr>
                <w:lang w:val="en-GB"/>
              </w:rPr>
              <w:t>36</w:t>
            </w:r>
          </w:p>
        </w:tc>
        <w:tc>
          <w:tcPr>
            <w:tcW w:w="1098" w:type="dxa"/>
            <w:shd w:val="clear" w:color="auto" w:fill="FFFFFF"/>
            <w:vAlign w:val="center"/>
          </w:tcPr>
          <w:p w14:paraId="7044D541" w14:textId="48A33A99" w:rsidR="00E31F64" w:rsidRPr="00B57B36" w:rsidRDefault="00E31F64" w:rsidP="00E31F64">
            <w:pPr>
              <w:pStyle w:val="CETBodytext"/>
              <w:ind w:right="-1"/>
              <w:rPr>
                <w:rFonts w:cs="Arial"/>
                <w:szCs w:val="18"/>
                <w:lang w:val="en-GB"/>
              </w:rPr>
            </w:pPr>
            <w:r w:rsidRPr="00631DBB">
              <w:rPr>
                <w:lang w:val="en-GB"/>
              </w:rPr>
              <w:t>521</w:t>
            </w:r>
            <w:r>
              <w:rPr>
                <w:lang w:val="en-GB"/>
              </w:rPr>
              <w:t xml:space="preserve"> </w:t>
            </w:r>
            <w:r w:rsidRPr="00631DBB">
              <w:rPr>
                <w:lang w:val="en-GB"/>
              </w:rPr>
              <w:t>±</w:t>
            </w:r>
            <w:r>
              <w:rPr>
                <w:lang w:val="en-GB"/>
              </w:rPr>
              <w:t xml:space="preserve"> </w:t>
            </w:r>
            <w:r w:rsidRPr="00631DBB">
              <w:rPr>
                <w:lang w:val="en-GB"/>
              </w:rPr>
              <w:t>44</w:t>
            </w:r>
          </w:p>
        </w:tc>
        <w:tc>
          <w:tcPr>
            <w:tcW w:w="1098" w:type="dxa"/>
            <w:shd w:val="clear" w:color="auto" w:fill="FFFFFF"/>
            <w:vAlign w:val="center"/>
          </w:tcPr>
          <w:p w14:paraId="1BB60F28" w14:textId="65F1DB7E" w:rsidR="00E31F64" w:rsidRPr="00B57B36" w:rsidRDefault="00E31F64" w:rsidP="00E31F64">
            <w:pPr>
              <w:pStyle w:val="CETBodytext"/>
              <w:ind w:right="-1"/>
              <w:rPr>
                <w:rFonts w:cs="Arial"/>
                <w:szCs w:val="18"/>
                <w:lang w:val="en-GB"/>
              </w:rPr>
            </w:pPr>
            <w:r w:rsidRPr="00631DBB">
              <w:rPr>
                <w:lang w:val="en-GB"/>
              </w:rPr>
              <w:t>1264</w:t>
            </w:r>
            <w:r>
              <w:rPr>
                <w:lang w:val="en-GB"/>
              </w:rPr>
              <w:t xml:space="preserve"> </w:t>
            </w:r>
            <w:r w:rsidRPr="00631DBB">
              <w:rPr>
                <w:lang w:val="en-GB"/>
              </w:rPr>
              <w:t>±</w:t>
            </w:r>
            <w:r>
              <w:rPr>
                <w:lang w:val="en-GB"/>
              </w:rPr>
              <w:t xml:space="preserve"> </w:t>
            </w:r>
            <w:r w:rsidRPr="00631DBB">
              <w:rPr>
                <w:lang w:val="en-GB"/>
              </w:rPr>
              <w:t>78</w:t>
            </w:r>
          </w:p>
        </w:tc>
        <w:tc>
          <w:tcPr>
            <w:tcW w:w="1090" w:type="dxa"/>
            <w:shd w:val="clear" w:color="auto" w:fill="FFFFFF"/>
            <w:vAlign w:val="center"/>
          </w:tcPr>
          <w:p w14:paraId="327044C7" w14:textId="1FEB07FA" w:rsidR="00E31F64" w:rsidRPr="00B57B36" w:rsidRDefault="00E31F64" w:rsidP="00E31F64">
            <w:pPr>
              <w:pStyle w:val="CETBodytext"/>
              <w:ind w:right="-1"/>
              <w:rPr>
                <w:rFonts w:cs="Arial"/>
                <w:szCs w:val="18"/>
                <w:lang w:val="en-GB"/>
              </w:rPr>
            </w:pPr>
            <w:r w:rsidRPr="00631DBB">
              <w:rPr>
                <w:lang w:val="en-GB"/>
              </w:rPr>
              <w:t>1</w:t>
            </w:r>
            <w:r w:rsidR="004D03B8">
              <w:rPr>
                <w:lang w:val="en-GB"/>
              </w:rPr>
              <w:t>136</w:t>
            </w:r>
            <w:r>
              <w:rPr>
                <w:lang w:val="en-GB"/>
              </w:rPr>
              <w:t xml:space="preserve"> </w:t>
            </w:r>
            <w:r w:rsidRPr="00631DBB">
              <w:rPr>
                <w:lang w:val="en-GB"/>
              </w:rPr>
              <w:t>±</w:t>
            </w:r>
            <w:r>
              <w:rPr>
                <w:lang w:val="en-GB"/>
              </w:rPr>
              <w:t xml:space="preserve"> </w:t>
            </w:r>
            <w:r w:rsidRPr="00631DBB">
              <w:rPr>
                <w:lang w:val="en-GB"/>
              </w:rPr>
              <w:t>78</w:t>
            </w:r>
          </w:p>
        </w:tc>
        <w:tc>
          <w:tcPr>
            <w:tcW w:w="1090" w:type="dxa"/>
            <w:shd w:val="clear" w:color="auto" w:fill="FFFFFF"/>
            <w:vAlign w:val="center"/>
          </w:tcPr>
          <w:p w14:paraId="180B5891" w14:textId="52D9F45C" w:rsidR="00E31F64" w:rsidRPr="00B57B36" w:rsidRDefault="00E31F64" w:rsidP="00E31F64">
            <w:pPr>
              <w:pStyle w:val="CETBodytext"/>
              <w:ind w:right="-1"/>
              <w:rPr>
                <w:rFonts w:cs="Arial"/>
                <w:szCs w:val="18"/>
                <w:lang w:val="en-GB"/>
              </w:rPr>
            </w:pPr>
            <w:r w:rsidRPr="00631DBB">
              <w:rPr>
                <w:lang w:val="en-GB"/>
              </w:rPr>
              <w:t>960</w:t>
            </w:r>
            <w:r>
              <w:rPr>
                <w:lang w:val="en-GB"/>
              </w:rPr>
              <w:t xml:space="preserve"> </w:t>
            </w:r>
            <w:r w:rsidRPr="00631DBB">
              <w:rPr>
                <w:lang w:val="en-GB"/>
              </w:rPr>
              <w:t>±</w:t>
            </w:r>
            <w:r>
              <w:rPr>
                <w:lang w:val="en-GB"/>
              </w:rPr>
              <w:t xml:space="preserve"> </w:t>
            </w:r>
            <w:r w:rsidRPr="00631DBB">
              <w:rPr>
                <w:lang w:val="en-GB"/>
              </w:rPr>
              <w:t>102</w:t>
            </w:r>
          </w:p>
        </w:tc>
        <w:tc>
          <w:tcPr>
            <w:tcW w:w="1090" w:type="dxa"/>
            <w:shd w:val="clear" w:color="auto" w:fill="FFFFFF"/>
            <w:vAlign w:val="center"/>
          </w:tcPr>
          <w:p w14:paraId="06517717" w14:textId="6B0FBB86" w:rsidR="00E31F64" w:rsidRPr="00B57B36" w:rsidRDefault="00E31F64" w:rsidP="00E31F64">
            <w:pPr>
              <w:pStyle w:val="CETBodytext"/>
              <w:ind w:right="-1"/>
              <w:rPr>
                <w:rFonts w:cs="Arial"/>
                <w:szCs w:val="18"/>
                <w:lang w:val="en-GB"/>
              </w:rPr>
            </w:pPr>
            <w:r w:rsidRPr="00631DBB">
              <w:rPr>
                <w:lang w:val="en-GB"/>
              </w:rPr>
              <w:t>1195</w:t>
            </w:r>
            <w:r>
              <w:rPr>
                <w:lang w:val="en-GB"/>
              </w:rPr>
              <w:t xml:space="preserve"> </w:t>
            </w:r>
            <w:r w:rsidRPr="00631DBB">
              <w:rPr>
                <w:lang w:val="en-GB"/>
              </w:rPr>
              <w:t>±</w:t>
            </w:r>
            <w:r>
              <w:rPr>
                <w:lang w:val="en-GB"/>
              </w:rPr>
              <w:t xml:space="preserve"> </w:t>
            </w:r>
            <w:r w:rsidRPr="00631DBB">
              <w:rPr>
                <w:lang w:val="en-GB"/>
              </w:rPr>
              <w:t>87</w:t>
            </w:r>
          </w:p>
        </w:tc>
      </w:tr>
      <w:tr w:rsidR="00E31F64" w:rsidRPr="00B57B36" w14:paraId="522BF7EF" w14:textId="77777777" w:rsidTr="007067FD">
        <w:tc>
          <w:tcPr>
            <w:tcW w:w="1121" w:type="dxa"/>
            <w:shd w:val="clear" w:color="auto" w:fill="FFFFFF"/>
          </w:tcPr>
          <w:p w14:paraId="3755FBF5" w14:textId="487450B1" w:rsidR="00E31F64" w:rsidRPr="00B57B36" w:rsidRDefault="00E31F64" w:rsidP="00E31F64">
            <w:pPr>
              <w:pStyle w:val="CETBodytext"/>
              <w:ind w:right="-1"/>
              <w:rPr>
                <w:rFonts w:cs="Arial"/>
                <w:szCs w:val="18"/>
                <w:lang w:val="en-GB"/>
              </w:rPr>
            </w:pPr>
            <w:r>
              <w:rPr>
                <w:rFonts w:cs="Arial"/>
                <w:szCs w:val="18"/>
                <w:lang w:val="en-GB"/>
              </w:rPr>
              <w:t>P-PO</w:t>
            </w:r>
            <w:r w:rsidRPr="009E5347">
              <w:rPr>
                <w:rFonts w:cs="Arial"/>
                <w:szCs w:val="18"/>
                <w:vertAlign w:val="subscript"/>
                <w:lang w:val="en-GB"/>
              </w:rPr>
              <w:t>4</w:t>
            </w:r>
            <w:r w:rsidRPr="009E5347">
              <w:rPr>
                <w:rFonts w:cs="Arial"/>
                <w:szCs w:val="18"/>
                <w:vertAlign w:val="superscript"/>
                <w:lang w:val="en-GB"/>
              </w:rPr>
              <w:t>3-</w:t>
            </w:r>
          </w:p>
        </w:tc>
        <w:tc>
          <w:tcPr>
            <w:tcW w:w="1102" w:type="dxa"/>
            <w:shd w:val="clear" w:color="auto" w:fill="FFFFFF"/>
          </w:tcPr>
          <w:p w14:paraId="78AFBBF2" w14:textId="434503C7" w:rsidR="00E31F64" w:rsidRPr="00B57B36" w:rsidRDefault="00E31F64" w:rsidP="00E31F64">
            <w:pPr>
              <w:pStyle w:val="CETBodytext"/>
              <w:ind w:right="-1"/>
              <w:rPr>
                <w:rFonts w:cs="Arial"/>
                <w:szCs w:val="18"/>
                <w:lang w:val="en-GB"/>
              </w:rPr>
            </w:pPr>
            <w:r>
              <w:rPr>
                <w:rFonts w:cs="Arial"/>
                <w:szCs w:val="18"/>
                <w:lang w:val="en-GB"/>
              </w:rPr>
              <w:t>mg/L</w:t>
            </w:r>
          </w:p>
        </w:tc>
        <w:tc>
          <w:tcPr>
            <w:tcW w:w="1098" w:type="dxa"/>
            <w:shd w:val="clear" w:color="auto" w:fill="FFFFFF"/>
            <w:vAlign w:val="center"/>
          </w:tcPr>
          <w:p w14:paraId="08CA19DF" w14:textId="2C5806B9" w:rsidR="00E31F64" w:rsidRPr="00B57B36" w:rsidRDefault="00E31F64" w:rsidP="00E31F64">
            <w:pPr>
              <w:pStyle w:val="CETBodytext"/>
              <w:ind w:right="-1"/>
              <w:rPr>
                <w:rFonts w:cs="Arial"/>
                <w:szCs w:val="18"/>
                <w:lang w:val="en-GB"/>
              </w:rPr>
            </w:pPr>
            <w:r w:rsidRPr="00631DBB">
              <w:rPr>
                <w:lang w:val="en-GB"/>
              </w:rPr>
              <w:t>85</w:t>
            </w:r>
            <w:r>
              <w:rPr>
                <w:lang w:val="en-GB"/>
              </w:rPr>
              <w:t xml:space="preserve"> </w:t>
            </w:r>
            <w:r w:rsidRPr="00631DBB">
              <w:rPr>
                <w:lang w:val="en-GB"/>
              </w:rPr>
              <w:t>±</w:t>
            </w:r>
            <w:r>
              <w:rPr>
                <w:lang w:val="en-GB"/>
              </w:rPr>
              <w:t xml:space="preserve"> </w:t>
            </w:r>
            <w:r w:rsidRPr="00631DBB">
              <w:rPr>
                <w:lang w:val="en-GB"/>
              </w:rPr>
              <w:t>10</w:t>
            </w:r>
          </w:p>
        </w:tc>
        <w:tc>
          <w:tcPr>
            <w:tcW w:w="1098" w:type="dxa"/>
            <w:shd w:val="clear" w:color="auto" w:fill="FFFFFF"/>
            <w:vAlign w:val="center"/>
          </w:tcPr>
          <w:p w14:paraId="4C4F234D" w14:textId="15010F70" w:rsidR="00E31F64" w:rsidRPr="00B57B36" w:rsidRDefault="00E9265D" w:rsidP="00E31F64">
            <w:pPr>
              <w:pStyle w:val="CETBodytext"/>
              <w:ind w:right="-1"/>
              <w:rPr>
                <w:rFonts w:cs="Arial"/>
                <w:szCs w:val="18"/>
                <w:lang w:val="en-GB"/>
              </w:rPr>
            </w:pPr>
            <w:r>
              <w:rPr>
                <w:lang w:val="en-GB"/>
              </w:rPr>
              <w:t>188</w:t>
            </w:r>
            <w:r w:rsidR="00E31F64">
              <w:rPr>
                <w:lang w:val="en-GB"/>
              </w:rPr>
              <w:t xml:space="preserve"> </w:t>
            </w:r>
            <w:r w:rsidR="00E31F64" w:rsidRPr="00631DBB">
              <w:rPr>
                <w:lang w:val="en-GB"/>
              </w:rPr>
              <w:t>±</w:t>
            </w:r>
            <w:r w:rsidR="00E31F64">
              <w:rPr>
                <w:lang w:val="en-GB"/>
              </w:rPr>
              <w:t xml:space="preserve"> </w:t>
            </w:r>
            <w:r w:rsidR="00E31F64" w:rsidRPr="00631DBB">
              <w:rPr>
                <w:lang w:val="en-GB"/>
              </w:rPr>
              <w:t>15</w:t>
            </w:r>
          </w:p>
        </w:tc>
        <w:tc>
          <w:tcPr>
            <w:tcW w:w="1098" w:type="dxa"/>
            <w:shd w:val="clear" w:color="auto" w:fill="FFFFFF"/>
            <w:vAlign w:val="center"/>
          </w:tcPr>
          <w:p w14:paraId="130A3005" w14:textId="2CE6D958" w:rsidR="00E31F64" w:rsidRPr="00B57B36" w:rsidRDefault="00E31F64" w:rsidP="00E31F64">
            <w:pPr>
              <w:pStyle w:val="CETBodytext"/>
              <w:ind w:right="-1"/>
              <w:rPr>
                <w:rFonts w:cs="Arial"/>
                <w:szCs w:val="18"/>
                <w:lang w:val="en-GB"/>
              </w:rPr>
            </w:pPr>
            <w:r w:rsidRPr="00631DBB">
              <w:rPr>
                <w:lang w:val="en-GB"/>
              </w:rPr>
              <w:t>241</w:t>
            </w:r>
            <w:r>
              <w:rPr>
                <w:lang w:val="en-GB"/>
              </w:rPr>
              <w:t xml:space="preserve"> </w:t>
            </w:r>
            <w:r w:rsidRPr="00631DBB">
              <w:rPr>
                <w:lang w:val="en-GB"/>
              </w:rPr>
              <w:t>±</w:t>
            </w:r>
            <w:r>
              <w:rPr>
                <w:lang w:val="en-GB"/>
              </w:rPr>
              <w:t xml:space="preserve"> </w:t>
            </w:r>
            <w:r w:rsidRPr="00631DBB">
              <w:rPr>
                <w:lang w:val="en-GB"/>
              </w:rPr>
              <w:t>22</w:t>
            </w:r>
          </w:p>
        </w:tc>
        <w:tc>
          <w:tcPr>
            <w:tcW w:w="1090" w:type="dxa"/>
            <w:shd w:val="clear" w:color="auto" w:fill="FFFFFF"/>
            <w:vAlign w:val="center"/>
          </w:tcPr>
          <w:p w14:paraId="08E0EAA4" w14:textId="2FD3D790" w:rsidR="00E31F64" w:rsidRPr="00B57B36" w:rsidRDefault="004D03B8" w:rsidP="00E31F64">
            <w:pPr>
              <w:pStyle w:val="CETBodytext"/>
              <w:ind w:right="-1"/>
              <w:rPr>
                <w:rFonts w:cs="Arial"/>
                <w:szCs w:val="18"/>
                <w:lang w:val="en-GB"/>
              </w:rPr>
            </w:pPr>
            <w:r>
              <w:rPr>
                <w:lang w:val="en-GB"/>
              </w:rPr>
              <w:t>23</w:t>
            </w:r>
            <w:r w:rsidR="00E31F64" w:rsidRPr="00631DBB">
              <w:rPr>
                <w:lang w:val="en-GB"/>
              </w:rPr>
              <w:t>1</w:t>
            </w:r>
            <w:r w:rsidR="00E31F64">
              <w:rPr>
                <w:lang w:val="en-GB"/>
              </w:rPr>
              <w:t xml:space="preserve"> </w:t>
            </w:r>
            <w:r w:rsidR="00E31F64" w:rsidRPr="00631DBB">
              <w:rPr>
                <w:lang w:val="en-GB"/>
              </w:rPr>
              <w:t>±</w:t>
            </w:r>
            <w:r w:rsidR="00E31F64">
              <w:rPr>
                <w:lang w:val="en-GB"/>
              </w:rPr>
              <w:t xml:space="preserve"> </w:t>
            </w:r>
            <w:r w:rsidR="00E31F64" w:rsidRPr="00631DBB">
              <w:rPr>
                <w:lang w:val="en-GB"/>
              </w:rPr>
              <w:t>22</w:t>
            </w:r>
          </w:p>
        </w:tc>
        <w:tc>
          <w:tcPr>
            <w:tcW w:w="1090" w:type="dxa"/>
            <w:shd w:val="clear" w:color="auto" w:fill="FFFFFF"/>
            <w:vAlign w:val="center"/>
          </w:tcPr>
          <w:p w14:paraId="3796393F" w14:textId="6915317C" w:rsidR="00E31F64" w:rsidRPr="00B57B36" w:rsidRDefault="00E31F64" w:rsidP="00E31F64">
            <w:pPr>
              <w:pStyle w:val="CETBodytext"/>
              <w:ind w:right="-1"/>
              <w:rPr>
                <w:rFonts w:cs="Arial"/>
                <w:szCs w:val="18"/>
                <w:lang w:val="en-GB"/>
              </w:rPr>
            </w:pPr>
            <w:r w:rsidRPr="00631DBB">
              <w:rPr>
                <w:lang w:val="en-GB"/>
              </w:rPr>
              <w:t>222</w:t>
            </w:r>
            <w:r>
              <w:rPr>
                <w:lang w:val="en-GB"/>
              </w:rPr>
              <w:t xml:space="preserve"> </w:t>
            </w:r>
            <w:r w:rsidRPr="00631DBB">
              <w:rPr>
                <w:lang w:val="en-GB"/>
              </w:rPr>
              <w:t>±</w:t>
            </w:r>
            <w:r>
              <w:rPr>
                <w:lang w:val="en-GB"/>
              </w:rPr>
              <w:t xml:space="preserve"> </w:t>
            </w:r>
            <w:r w:rsidRPr="00631DBB">
              <w:rPr>
                <w:lang w:val="en-GB"/>
              </w:rPr>
              <w:t>17</w:t>
            </w:r>
          </w:p>
        </w:tc>
        <w:tc>
          <w:tcPr>
            <w:tcW w:w="1090" w:type="dxa"/>
            <w:shd w:val="clear" w:color="auto" w:fill="FFFFFF"/>
            <w:vAlign w:val="center"/>
          </w:tcPr>
          <w:p w14:paraId="191EEB0C" w14:textId="579B6FAB" w:rsidR="00E31F64" w:rsidRPr="00B57B36" w:rsidRDefault="00E31F64" w:rsidP="00E31F64">
            <w:pPr>
              <w:pStyle w:val="CETBodytext"/>
              <w:ind w:right="-1"/>
              <w:rPr>
                <w:rFonts w:cs="Arial"/>
                <w:szCs w:val="18"/>
                <w:lang w:val="en-GB"/>
              </w:rPr>
            </w:pPr>
            <w:r w:rsidRPr="00631DBB">
              <w:rPr>
                <w:lang w:val="en-GB"/>
              </w:rPr>
              <w:t>219</w:t>
            </w:r>
            <w:r>
              <w:rPr>
                <w:lang w:val="en-GB"/>
              </w:rPr>
              <w:t xml:space="preserve"> </w:t>
            </w:r>
            <w:r w:rsidRPr="00631DBB">
              <w:rPr>
                <w:lang w:val="en-GB"/>
              </w:rPr>
              <w:t>±</w:t>
            </w:r>
            <w:r>
              <w:rPr>
                <w:lang w:val="en-GB"/>
              </w:rPr>
              <w:t xml:space="preserve"> </w:t>
            </w:r>
            <w:r w:rsidRPr="00631DBB">
              <w:rPr>
                <w:lang w:val="en-GB"/>
              </w:rPr>
              <w:t>18</w:t>
            </w:r>
          </w:p>
        </w:tc>
      </w:tr>
    </w:tbl>
    <w:p w14:paraId="4BF1CFD6" w14:textId="16BF1BD0" w:rsidR="00C57EDF" w:rsidRDefault="00C57EDF" w:rsidP="005202BD">
      <w:pPr>
        <w:pStyle w:val="Paragrafoelenco"/>
        <w:ind w:left="0"/>
      </w:pPr>
    </w:p>
    <w:p w14:paraId="10ED65DA" w14:textId="0397A234" w:rsidR="00631DBB" w:rsidRPr="00DA41DA" w:rsidRDefault="005362B8" w:rsidP="00F7785E">
      <w:pPr>
        <w:pStyle w:val="CETheadingx"/>
      </w:pPr>
      <w:r>
        <w:t>Acidogenic fermentation in b</w:t>
      </w:r>
      <w:r w:rsidR="00631DBB" w:rsidRPr="00DA41DA">
        <w:t xml:space="preserve">atch </w:t>
      </w:r>
      <w:r>
        <w:t>t</w:t>
      </w:r>
      <w:r w:rsidR="00631DBB" w:rsidRPr="00DA41DA">
        <w:t>est</w:t>
      </w:r>
      <w:r>
        <w:t>s</w:t>
      </w:r>
      <w:r w:rsidR="00631DBB" w:rsidRPr="00DA41DA">
        <w:t xml:space="preserve"> </w:t>
      </w:r>
    </w:p>
    <w:p w14:paraId="5053FDE0" w14:textId="0E9DABFC" w:rsidR="00631DBB" w:rsidRDefault="00C76728" w:rsidP="003D1B89">
      <w:pPr>
        <w:pStyle w:val="Paragrafoelenco"/>
        <w:ind w:left="0"/>
      </w:pPr>
      <w:r w:rsidRPr="00ED1E53">
        <w:t xml:space="preserve">The batch test was performed to monitor the fermentation of </w:t>
      </w:r>
      <w:r w:rsidR="00FF1D1A">
        <w:t xml:space="preserve">thermally pre-treated (T1) sewage </w:t>
      </w:r>
      <w:r w:rsidRPr="00ED1E53">
        <w:t xml:space="preserve">sludge </w:t>
      </w:r>
      <w:r w:rsidR="00D03607" w:rsidRPr="00ED1E53">
        <w:t>to</w:t>
      </w:r>
      <w:r w:rsidRPr="00ED1E53">
        <w:t xml:space="preserve"> </w:t>
      </w:r>
      <w:r w:rsidR="00FF1D1A">
        <w:t>evaluate</w:t>
      </w:r>
      <w:r w:rsidRPr="00ED1E53">
        <w:t xml:space="preserve"> </w:t>
      </w:r>
      <w:r w:rsidR="00FF1D1A">
        <w:t xml:space="preserve">the maximum </w:t>
      </w:r>
      <w:r w:rsidRPr="00ED1E53">
        <w:t xml:space="preserve">VFA concentration </w:t>
      </w:r>
      <w:r w:rsidR="00FF1D1A">
        <w:t>achievable and the requested time</w:t>
      </w:r>
      <w:r w:rsidRPr="00ED1E53">
        <w:t>. The VFA</w:t>
      </w:r>
      <w:r w:rsidR="001A6B4B">
        <w:t xml:space="preserve"> reported in Table 2 </w:t>
      </w:r>
      <w:r w:rsidRPr="00ED1E53">
        <w:t xml:space="preserve">indicates the </w:t>
      </w:r>
      <w:r w:rsidR="001A6B4B">
        <w:t>sum</w:t>
      </w:r>
      <w:r w:rsidRPr="00ED1E53">
        <w:t xml:space="preserve"> of </w:t>
      </w:r>
      <w:r w:rsidR="001A6B4B">
        <w:t xml:space="preserve">each </w:t>
      </w:r>
      <w:r w:rsidRPr="00ED1E53">
        <w:t xml:space="preserve">VFA </w:t>
      </w:r>
      <w:r w:rsidR="00F57C36" w:rsidRPr="00ED1E53">
        <w:t>generated</w:t>
      </w:r>
      <w:r w:rsidR="00F57C36">
        <w:t xml:space="preserve"> and</w:t>
      </w:r>
      <w:r w:rsidR="001A6B4B">
        <w:t xml:space="preserve"> measured at the end of the test</w:t>
      </w:r>
      <w:r w:rsidR="00F57C36">
        <w:t>s.</w:t>
      </w:r>
      <w:r w:rsidRPr="00ED1E53">
        <w:t xml:space="preserve"> </w:t>
      </w:r>
      <w:r w:rsidR="00F57C36">
        <w:t>Generally, in all the batch tests the VFA concentration increased in the first 4-5 days, with a slight increase or a complete stabilisation afterwards. The stabilization of the signal was an indication of the maximum acidification achieved; such values were compared to the COD</w:t>
      </w:r>
      <w:r w:rsidR="00F57C36" w:rsidRPr="00F57C36">
        <w:rPr>
          <w:vertAlign w:val="subscript"/>
        </w:rPr>
        <w:t>SOL</w:t>
      </w:r>
      <w:r w:rsidR="00F57C36">
        <w:t xml:space="preserve"> values, which were measured at the end of each test. </w:t>
      </w:r>
      <w:r w:rsidRPr="00ED1E53">
        <w:t>A successful process has a high VFA/COD</w:t>
      </w:r>
      <w:r w:rsidR="003D1B89" w:rsidRPr="003D1B89">
        <w:rPr>
          <w:vertAlign w:val="subscript"/>
        </w:rPr>
        <w:t>SOL</w:t>
      </w:r>
      <w:r w:rsidRPr="00ED1E53">
        <w:t xml:space="preserve"> ratio</w:t>
      </w:r>
      <w:r w:rsidR="003D1B89">
        <w:t>;</w:t>
      </w:r>
      <w:r w:rsidRPr="00ED1E53">
        <w:t xml:space="preserve"> </w:t>
      </w:r>
      <w:r w:rsidR="003D1B89">
        <w:t xml:space="preserve">the temperature has a remarkable effect since the highest value was observed in thermophilic condition (55°C), being </w:t>
      </w:r>
      <w:r w:rsidR="003D1B89" w:rsidRPr="00ED1E53">
        <w:t>VFA/COD</w:t>
      </w:r>
      <w:r w:rsidR="003D1B89" w:rsidRPr="003D1B89">
        <w:rPr>
          <w:vertAlign w:val="subscript"/>
        </w:rPr>
        <w:t>SOL</w:t>
      </w:r>
      <w:r w:rsidR="003D1B89" w:rsidRPr="00ED1E53">
        <w:t xml:space="preserve"> ratio </w:t>
      </w:r>
      <w:r w:rsidR="003D1B89">
        <w:t xml:space="preserve">equal to 0.81 </w:t>
      </w:r>
      <w:r w:rsidR="003D1B89" w:rsidRPr="00631DBB">
        <w:t>±</w:t>
      </w:r>
      <w:r w:rsidR="003D1B89">
        <w:t xml:space="preserve"> </w:t>
      </w:r>
      <w:r w:rsidR="003D1B89" w:rsidRPr="00631DBB">
        <w:t>0.</w:t>
      </w:r>
      <w:r w:rsidR="003D1B89">
        <w:t>0</w:t>
      </w:r>
      <w:r w:rsidR="003D1B89" w:rsidRPr="00631DBB">
        <w:t>3</w:t>
      </w:r>
      <w:r w:rsidRPr="00ED1E53">
        <w:t>. Th</w:t>
      </w:r>
      <w:r w:rsidR="003D1B89">
        <w:t>is valu</w:t>
      </w:r>
      <w:r w:rsidRPr="00ED1E53">
        <w:t xml:space="preserve">e </w:t>
      </w:r>
      <w:r w:rsidR="003D1B89">
        <w:t xml:space="preserve">already suggested </w:t>
      </w:r>
      <w:r w:rsidRPr="00ED1E53">
        <w:t xml:space="preserve">the optimal temperature for </w:t>
      </w:r>
      <w:r w:rsidR="003D1B89">
        <w:t xml:space="preserve">the </w:t>
      </w:r>
      <w:r w:rsidRPr="00ED1E53">
        <w:t>maxim</w:t>
      </w:r>
      <w:r w:rsidR="003D1B89">
        <w:t xml:space="preserve">ization of the </w:t>
      </w:r>
      <w:r w:rsidRPr="00ED1E53">
        <w:t xml:space="preserve">VFA </w:t>
      </w:r>
      <w:r w:rsidR="003D1B89">
        <w:t>concentration and acidification yield</w:t>
      </w:r>
      <w:r w:rsidR="007E698B">
        <w:t xml:space="preserve"> (calculated with respect to initial VS)</w:t>
      </w:r>
      <w:r w:rsidRPr="00ED1E53">
        <w:t xml:space="preserve">. </w:t>
      </w:r>
      <w:r w:rsidR="007E698B">
        <w:t xml:space="preserve">The latter was also the highest observed compared to the other tested temperature and equal to 0.29 </w:t>
      </w:r>
      <w:r w:rsidR="00E1017B" w:rsidRPr="00631DBB">
        <w:t>±</w:t>
      </w:r>
      <w:r w:rsidR="00E1017B">
        <w:t xml:space="preserve"> </w:t>
      </w:r>
      <w:r w:rsidR="00E1017B" w:rsidRPr="00631DBB">
        <w:t>0.</w:t>
      </w:r>
      <w:r w:rsidR="00E1017B">
        <w:t xml:space="preserve">04 </w:t>
      </w:r>
      <w:proofErr w:type="spellStart"/>
      <w:r w:rsidR="007E698B">
        <w:t>gCOD</w:t>
      </w:r>
      <w:r w:rsidR="007E698B" w:rsidRPr="007E698B">
        <w:rPr>
          <w:vertAlign w:val="subscript"/>
        </w:rPr>
        <w:t>VFA</w:t>
      </w:r>
      <w:proofErr w:type="spellEnd"/>
      <w:r w:rsidR="007E698B">
        <w:t>/gVS</w:t>
      </w:r>
      <w:r w:rsidR="007E698B" w:rsidRPr="007E698B">
        <w:rPr>
          <w:vertAlign w:val="subscript"/>
        </w:rPr>
        <w:t>0</w:t>
      </w:r>
      <w:r w:rsidR="007E698B">
        <w:t xml:space="preserve">. Mesophilic condition also appeared favourable for the acidification of pre-treated sludge (0.70 </w:t>
      </w:r>
      <w:r w:rsidR="007E698B" w:rsidRPr="00631DBB">
        <w:t>±</w:t>
      </w:r>
      <w:r w:rsidR="007E698B">
        <w:t xml:space="preserve"> </w:t>
      </w:r>
      <w:r w:rsidR="007E698B" w:rsidRPr="00631DBB">
        <w:t>0.</w:t>
      </w:r>
      <w:r w:rsidR="007E698B">
        <w:t>04 COD</w:t>
      </w:r>
      <w:r w:rsidR="007E698B" w:rsidRPr="007E698B">
        <w:rPr>
          <w:vertAlign w:val="subscript"/>
        </w:rPr>
        <w:t>VFA</w:t>
      </w:r>
      <w:r w:rsidR="007E698B">
        <w:t>/COD</w:t>
      </w:r>
      <w:r w:rsidR="007E698B" w:rsidRPr="007E698B">
        <w:rPr>
          <w:vertAlign w:val="subscript"/>
        </w:rPr>
        <w:t>SOL</w:t>
      </w:r>
      <w:r w:rsidR="00E1017B">
        <w:t xml:space="preserve">; 0.18 </w:t>
      </w:r>
      <w:r w:rsidR="00E1017B" w:rsidRPr="00631DBB">
        <w:t>±</w:t>
      </w:r>
      <w:r w:rsidR="00E1017B">
        <w:t xml:space="preserve"> </w:t>
      </w:r>
      <w:r w:rsidR="00E1017B" w:rsidRPr="00631DBB">
        <w:t>0.</w:t>
      </w:r>
      <w:r w:rsidR="00E1017B">
        <w:t xml:space="preserve">02 </w:t>
      </w:r>
      <w:proofErr w:type="spellStart"/>
      <w:r w:rsidR="00E1017B">
        <w:t>gCOD</w:t>
      </w:r>
      <w:r w:rsidR="00E1017B" w:rsidRPr="007E698B">
        <w:rPr>
          <w:vertAlign w:val="subscript"/>
        </w:rPr>
        <w:t>VFA</w:t>
      </w:r>
      <w:proofErr w:type="spellEnd"/>
      <w:r w:rsidR="00E1017B">
        <w:t>/gVS</w:t>
      </w:r>
      <w:r w:rsidR="00E1017B" w:rsidRPr="007E698B">
        <w:rPr>
          <w:vertAlign w:val="subscript"/>
        </w:rPr>
        <w:t>0</w:t>
      </w:r>
      <w:r w:rsidR="00E1017B">
        <w:t>)</w:t>
      </w:r>
      <w:r w:rsidR="007E698B">
        <w:t xml:space="preserve">, even though with lower performances compared to thermophilic one.  </w:t>
      </w:r>
      <w:r w:rsidR="00E1017B">
        <w:t xml:space="preserve">Low temperature (20°C) </w:t>
      </w:r>
      <w:r w:rsidR="006D2965">
        <w:t>gave acceptable results, since VFA represented the 60% of the COD</w:t>
      </w:r>
      <w:r w:rsidR="006D2965" w:rsidRPr="006D2965">
        <w:rPr>
          <w:vertAlign w:val="subscript"/>
        </w:rPr>
        <w:t>SOL</w:t>
      </w:r>
      <w:r w:rsidR="006D2965">
        <w:t xml:space="preserve">; </w:t>
      </w:r>
      <w:r w:rsidR="008B4017">
        <w:t>the low T may imply low energy consumption in the perspective of full-scale application. H</w:t>
      </w:r>
      <w:r w:rsidR="006D2965">
        <w:t xml:space="preserve">owever, given the relatively low fermentation yield achieved, this condition can be considered feasible or not </w:t>
      </w:r>
      <w:r w:rsidR="008B4017">
        <w:t xml:space="preserve">in a larger discussion where mass and energy balances are assessed (out of the scope of this work). </w:t>
      </w:r>
      <w:proofErr w:type="spellStart"/>
      <w:r w:rsidR="008B4017">
        <w:t>H</w:t>
      </w:r>
      <w:r w:rsidR="00B0017D">
        <w:t>yperthermophilic</w:t>
      </w:r>
      <w:proofErr w:type="spellEnd"/>
      <w:r w:rsidR="00B0017D">
        <w:t xml:space="preserve"> condition (70°C) appeared not feasible for the acidogenic fermentation process, according to the data reported in Table 2. </w:t>
      </w:r>
      <w:r w:rsidR="008B4017">
        <w:t>Based on such considerations, t</w:t>
      </w:r>
      <w:r w:rsidR="00B0017D">
        <w:t xml:space="preserve">hermophilic condition </w:t>
      </w:r>
      <w:r w:rsidR="008B4017">
        <w:t xml:space="preserve">was the best option for the </w:t>
      </w:r>
      <w:r w:rsidR="008B4017">
        <w:lastRenderedPageBreak/>
        <w:t xml:space="preserve">acidogenic fermentation process; among others, it showed </w:t>
      </w:r>
      <w:r w:rsidR="00B0017D">
        <w:t xml:space="preserve">the highest VFA concentration achieved (7.8 </w:t>
      </w:r>
      <w:r w:rsidR="00B0017D" w:rsidRPr="00631DBB">
        <w:t>±</w:t>
      </w:r>
      <w:r w:rsidR="00B0017D">
        <w:t xml:space="preserve"> 0.4 </w:t>
      </w:r>
      <w:proofErr w:type="spellStart"/>
      <w:r w:rsidR="00B0017D">
        <w:t>gCOD</w:t>
      </w:r>
      <w:r w:rsidR="00B0017D" w:rsidRPr="00B0017D">
        <w:rPr>
          <w:vertAlign w:val="subscript"/>
        </w:rPr>
        <w:t>VFA</w:t>
      </w:r>
      <w:proofErr w:type="spellEnd"/>
      <w:r w:rsidR="00B0017D">
        <w:t>/L)</w:t>
      </w:r>
      <w:r w:rsidRPr="00ED1E53">
        <w:t xml:space="preserve">. </w:t>
      </w:r>
    </w:p>
    <w:p w14:paraId="389E4860" w14:textId="6B527DCE" w:rsidR="001A6B4B" w:rsidRDefault="00AE36C2" w:rsidP="00AE36C2">
      <w:pPr>
        <w:pStyle w:val="CETTabletitle"/>
      </w:pPr>
      <w:r w:rsidRPr="00B57B36">
        <w:t xml:space="preserve">Table </w:t>
      </w:r>
      <w:r w:rsidR="001A6B4B">
        <w:t>2</w:t>
      </w:r>
      <w:r w:rsidRPr="00B57B36">
        <w:t xml:space="preserve">: </w:t>
      </w:r>
      <w:r>
        <w:t xml:space="preserve">Summary of the main </w:t>
      </w:r>
      <w:r w:rsidR="00C76728">
        <w:t>parameters</w:t>
      </w:r>
      <w:r>
        <w:t xml:space="preserve"> (average data and standard deviation) of the </w:t>
      </w:r>
      <w:r w:rsidR="00C76728">
        <w:t xml:space="preserve">acidogenic fermentation batch tests with thermally pre-treated </w:t>
      </w:r>
      <w:r>
        <w:t>thickened sludge.</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93"/>
        <w:gridCol w:w="1426"/>
        <w:gridCol w:w="1416"/>
        <w:gridCol w:w="1420"/>
        <w:gridCol w:w="1416"/>
        <w:gridCol w:w="12"/>
        <w:gridCol w:w="1404"/>
      </w:tblGrid>
      <w:tr w:rsidR="001A6B4B" w:rsidRPr="00B57B36" w14:paraId="7A53CF8F" w14:textId="77777777" w:rsidTr="00E03FAE">
        <w:tc>
          <w:tcPr>
            <w:tcW w:w="963" w:type="pct"/>
            <w:vMerge w:val="restart"/>
            <w:tcBorders>
              <w:top w:val="single" w:sz="12" w:space="0" w:color="008000"/>
            </w:tcBorders>
            <w:shd w:val="clear" w:color="auto" w:fill="FFFFFF"/>
          </w:tcPr>
          <w:p w14:paraId="2D997540" w14:textId="77777777" w:rsidR="001A6B4B" w:rsidRPr="00B57B36" w:rsidRDefault="001A6B4B" w:rsidP="00A132F0">
            <w:pPr>
              <w:pStyle w:val="CETBodytext"/>
              <w:rPr>
                <w:lang w:val="en-GB"/>
              </w:rPr>
            </w:pPr>
            <w:r>
              <w:rPr>
                <w:lang w:val="en-GB"/>
              </w:rPr>
              <w:t>Parameter</w:t>
            </w:r>
            <w:r w:rsidRPr="00B57B36">
              <w:rPr>
                <w:lang w:val="en-GB"/>
              </w:rPr>
              <w:t xml:space="preserve"> </w:t>
            </w:r>
          </w:p>
        </w:tc>
        <w:tc>
          <w:tcPr>
            <w:tcW w:w="811" w:type="pct"/>
            <w:vMerge w:val="restart"/>
            <w:tcBorders>
              <w:top w:val="single" w:sz="12" w:space="0" w:color="008000"/>
            </w:tcBorders>
            <w:shd w:val="clear" w:color="auto" w:fill="FFFFFF"/>
          </w:tcPr>
          <w:p w14:paraId="7333EAE5" w14:textId="77777777" w:rsidR="001A6B4B" w:rsidRPr="00B57B36" w:rsidRDefault="001A6B4B" w:rsidP="00A132F0">
            <w:pPr>
              <w:pStyle w:val="CETBodytext"/>
              <w:rPr>
                <w:lang w:val="en-GB"/>
              </w:rPr>
            </w:pPr>
            <w:r>
              <w:rPr>
                <w:lang w:val="en-GB"/>
              </w:rPr>
              <w:t>Unit</w:t>
            </w:r>
          </w:p>
        </w:tc>
        <w:tc>
          <w:tcPr>
            <w:tcW w:w="3225" w:type="pct"/>
            <w:gridSpan w:val="5"/>
            <w:tcBorders>
              <w:top w:val="single" w:sz="12" w:space="0" w:color="008000"/>
              <w:bottom w:val="single" w:sz="6" w:space="0" w:color="008000"/>
            </w:tcBorders>
            <w:shd w:val="clear" w:color="auto" w:fill="FFFFFF"/>
          </w:tcPr>
          <w:p w14:paraId="6AC044D5" w14:textId="64ABFC83" w:rsidR="001A6B4B" w:rsidRDefault="001A6B4B" w:rsidP="00A132F0">
            <w:pPr>
              <w:pStyle w:val="CETBodytext"/>
              <w:ind w:right="-1"/>
              <w:rPr>
                <w:rFonts w:cs="Arial"/>
                <w:szCs w:val="18"/>
                <w:lang w:val="en-GB"/>
              </w:rPr>
            </w:pPr>
            <w:r>
              <w:rPr>
                <w:rFonts w:cs="Arial"/>
                <w:szCs w:val="18"/>
                <w:lang w:val="en-GB"/>
              </w:rPr>
              <w:t>Temperature (°C) of the batch tests</w:t>
            </w:r>
          </w:p>
        </w:tc>
      </w:tr>
      <w:tr w:rsidR="001A6B4B" w:rsidRPr="00B57B36" w14:paraId="1D8EF5D3" w14:textId="77777777" w:rsidTr="00E03FAE">
        <w:tc>
          <w:tcPr>
            <w:tcW w:w="963" w:type="pct"/>
            <w:vMerge/>
            <w:tcBorders>
              <w:bottom w:val="single" w:sz="6" w:space="0" w:color="008000"/>
            </w:tcBorders>
            <w:shd w:val="clear" w:color="auto" w:fill="FFFFFF"/>
          </w:tcPr>
          <w:p w14:paraId="2EAA071C" w14:textId="77777777" w:rsidR="001A6B4B" w:rsidRDefault="001A6B4B" w:rsidP="00A132F0">
            <w:pPr>
              <w:pStyle w:val="CETBodytext"/>
              <w:rPr>
                <w:lang w:val="en-GB"/>
              </w:rPr>
            </w:pPr>
          </w:p>
        </w:tc>
        <w:tc>
          <w:tcPr>
            <w:tcW w:w="811" w:type="pct"/>
            <w:vMerge/>
            <w:tcBorders>
              <w:bottom w:val="single" w:sz="6" w:space="0" w:color="008000"/>
            </w:tcBorders>
            <w:shd w:val="clear" w:color="auto" w:fill="FFFFFF"/>
          </w:tcPr>
          <w:p w14:paraId="4BDF93DD" w14:textId="77777777" w:rsidR="001A6B4B" w:rsidRDefault="001A6B4B" w:rsidP="00A132F0">
            <w:pPr>
              <w:pStyle w:val="CETBodytext"/>
              <w:rPr>
                <w:lang w:val="en-GB"/>
              </w:rPr>
            </w:pPr>
          </w:p>
        </w:tc>
        <w:tc>
          <w:tcPr>
            <w:tcW w:w="806" w:type="pct"/>
            <w:tcBorders>
              <w:top w:val="single" w:sz="12" w:space="0" w:color="008000"/>
              <w:bottom w:val="single" w:sz="6" w:space="0" w:color="008000"/>
            </w:tcBorders>
            <w:shd w:val="clear" w:color="auto" w:fill="FFFFFF"/>
          </w:tcPr>
          <w:p w14:paraId="75BCE932" w14:textId="515AA2F6" w:rsidR="001A6B4B" w:rsidRDefault="001A6B4B" w:rsidP="00A132F0">
            <w:pPr>
              <w:pStyle w:val="CETBodytext"/>
              <w:ind w:right="-1"/>
              <w:rPr>
                <w:rFonts w:cs="Arial"/>
                <w:szCs w:val="18"/>
                <w:lang w:val="en-GB"/>
              </w:rPr>
            </w:pPr>
            <w:r>
              <w:rPr>
                <w:rFonts w:cs="Arial"/>
                <w:szCs w:val="18"/>
                <w:lang w:val="en-GB"/>
              </w:rPr>
              <w:t>20</w:t>
            </w:r>
          </w:p>
        </w:tc>
        <w:tc>
          <w:tcPr>
            <w:tcW w:w="808" w:type="pct"/>
            <w:tcBorders>
              <w:top w:val="single" w:sz="12" w:space="0" w:color="008000"/>
              <w:bottom w:val="single" w:sz="6" w:space="0" w:color="008000"/>
            </w:tcBorders>
            <w:shd w:val="clear" w:color="auto" w:fill="FFFFFF"/>
          </w:tcPr>
          <w:p w14:paraId="6B4B149A" w14:textId="065C010F" w:rsidR="001A6B4B" w:rsidRDefault="001A6B4B" w:rsidP="00A132F0">
            <w:pPr>
              <w:pStyle w:val="CETBodytext"/>
              <w:ind w:right="-1"/>
              <w:rPr>
                <w:rFonts w:cs="Arial"/>
                <w:szCs w:val="18"/>
                <w:lang w:val="en-GB"/>
              </w:rPr>
            </w:pPr>
            <w:r>
              <w:rPr>
                <w:rFonts w:cs="Arial"/>
                <w:szCs w:val="18"/>
                <w:lang w:val="en-GB"/>
              </w:rPr>
              <w:t>37</w:t>
            </w:r>
          </w:p>
        </w:tc>
        <w:tc>
          <w:tcPr>
            <w:tcW w:w="806" w:type="pct"/>
            <w:tcBorders>
              <w:top w:val="single" w:sz="12" w:space="0" w:color="008000"/>
              <w:bottom w:val="single" w:sz="6" w:space="0" w:color="008000"/>
            </w:tcBorders>
            <w:shd w:val="clear" w:color="auto" w:fill="FFFFFF"/>
          </w:tcPr>
          <w:p w14:paraId="3A625873" w14:textId="4F6A80F4" w:rsidR="001A6B4B" w:rsidRDefault="001A6B4B" w:rsidP="00A132F0">
            <w:pPr>
              <w:pStyle w:val="CETBodytext"/>
              <w:ind w:right="-1"/>
              <w:rPr>
                <w:rFonts w:cs="Arial"/>
                <w:szCs w:val="18"/>
                <w:lang w:val="en-GB"/>
              </w:rPr>
            </w:pPr>
            <w:r>
              <w:rPr>
                <w:rFonts w:cs="Arial"/>
                <w:szCs w:val="18"/>
                <w:lang w:val="en-GB"/>
              </w:rPr>
              <w:t>55</w:t>
            </w:r>
          </w:p>
        </w:tc>
        <w:tc>
          <w:tcPr>
            <w:tcW w:w="806" w:type="pct"/>
            <w:gridSpan w:val="2"/>
            <w:tcBorders>
              <w:top w:val="single" w:sz="12" w:space="0" w:color="008000"/>
              <w:bottom w:val="single" w:sz="6" w:space="0" w:color="008000"/>
            </w:tcBorders>
            <w:shd w:val="clear" w:color="auto" w:fill="FFFFFF"/>
          </w:tcPr>
          <w:p w14:paraId="5B386531" w14:textId="4D5D5D50" w:rsidR="001A6B4B" w:rsidRDefault="001A6B4B" w:rsidP="00A132F0">
            <w:pPr>
              <w:pStyle w:val="CETBodytext"/>
              <w:ind w:right="-1"/>
              <w:rPr>
                <w:rFonts w:cs="Arial"/>
                <w:szCs w:val="18"/>
                <w:lang w:val="en-GB"/>
              </w:rPr>
            </w:pPr>
            <w:r>
              <w:rPr>
                <w:rFonts w:cs="Arial"/>
                <w:szCs w:val="18"/>
                <w:lang w:val="en-GB"/>
              </w:rPr>
              <w:t>70</w:t>
            </w:r>
          </w:p>
        </w:tc>
      </w:tr>
      <w:tr w:rsidR="00FF1D1A" w:rsidRPr="00B57B36" w14:paraId="30DC24A3" w14:textId="77777777" w:rsidTr="001A6B4B">
        <w:tc>
          <w:tcPr>
            <w:tcW w:w="963" w:type="pct"/>
            <w:shd w:val="clear" w:color="auto" w:fill="FFFFFF"/>
          </w:tcPr>
          <w:p w14:paraId="0A62399A" w14:textId="77777777" w:rsidR="00AE36C2" w:rsidRPr="00B57B36" w:rsidRDefault="00AE36C2" w:rsidP="00A132F0">
            <w:pPr>
              <w:pStyle w:val="CETBodytext"/>
              <w:ind w:right="-1"/>
              <w:rPr>
                <w:rFonts w:cs="Arial"/>
                <w:szCs w:val="18"/>
                <w:lang w:val="en-GB"/>
              </w:rPr>
            </w:pPr>
            <w:r>
              <w:rPr>
                <w:rFonts w:cs="Arial"/>
                <w:szCs w:val="18"/>
                <w:lang w:val="en-GB"/>
              </w:rPr>
              <w:t>COD</w:t>
            </w:r>
            <w:r w:rsidRPr="00D94696">
              <w:rPr>
                <w:rFonts w:cs="Arial"/>
                <w:szCs w:val="18"/>
                <w:vertAlign w:val="subscript"/>
                <w:lang w:val="en-GB"/>
              </w:rPr>
              <w:t>SOL</w:t>
            </w:r>
          </w:p>
        </w:tc>
        <w:tc>
          <w:tcPr>
            <w:tcW w:w="811" w:type="pct"/>
            <w:shd w:val="clear" w:color="auto" w:fill="FFFFFF"/>
          </w:tcPr>
          <w:p w14:paraId="75487706" w14:textId="65ABE4FE" w:rsidR="00AE36C2" w:rsidRPr="00B57B36" w:rsidRDefault="00BB079B" w:rsidP="00A132F0">
            <w:pPr>
              <w:pStyle w:val="CETBodytext"/>
              <w:ind w:right="-1"/>
              <w:rPr>
                <w:rFonts w:cs="Arial"/>
                <w:szCs w:val="18"/>
                <w:lang w:val="en-GB"/>
              </w:rPr>
            </w:pPr>
            <w:r>
              <w:rPr>
                <w:rFonts w:cs="Arial"/>
                <w:szCs w:val="18"/>
                <w:lang w:val="en-GB"/>
              </w:rPr>
              <w:t>g O</w:t>
            </w:r>
            <w:r w:rsidRPr="00BB079B">
              <w:rPr>
                <w:rFonts w:cs="Arial"/>
                <w:szCs w:val="18"/>
                <w:vertAlign w:val="subscript"/>
                <w:lang w:val="en-GB"/>
              </w:rPr>
              <w:t>2</w:t>
            </w:r>
            <w:r w:rsidR="00AE36C2">
              <w:rPr>
                <w:rFonts w:cs="Arial"/>
                <w:szCs w:val="18"/>
                <w:lang w:val="en-GB"/>
              </w:rPr>
              <w:t>/L</w:t>
            </w:r>
          </w:p>
        </w:tc>
        <w:tc>
          <w:tcPr>
            <w:tcW w:w="806" w:type="pct"/>
            <w:shd w:val="clear" w:color="auto" w:fill="FFFFFF"/>
            <w:vAlign w:val="center"/>
          </w:tcPr>
          <w:p w14:paraId="780B1637" w14:textId="53469ACA" w:rsidR="00AE36C2" w:rsidRPr="00B57B36" w:rsidRDefault="0085271D" w:rsidP="00A132F0">
            <w:pPr>
              <w:pStyle w:val="CETBodytext"/>
              <w:ind w:right="-1"/>
              <w:rPr>
                <w:rFonts w:cs="Arial"/>
                <w:szCs w:val="18"/>
                <w:lang w:val="en-GB"/>
              </w:rPr>
            </w:pPr>
            <w:r>
              <w:rPr>
                <w:lang w:val="en-GB"/>
              </w:rPr>
              <w:t>9.0</w:t>
            </w:r>
            <w:r w:rsidR="00AE36C2">
              <w:rPr>
                <w:lang w:val="en-GB"/>
              </w:rPr>
              <w:t xml:space="preserve"> </w:t>
            </w:r>
            <w:r w:rsidR="00AE36C2" w:rsidRPr="00631DBB">
              <w:rPr>
                <w:lang w:val="en-GB"/>
              </w:rPr>
              <w:t>±</w:t>
            </w:r>
            <w:r w:rsidR="00AE36C2">
              <w:rPr>
                <w:lang w:val="en-GB"/>
              </w:rPr>
              <w:t xml:space="preserve"> 0.</w:t>
            </w:r>
            <w:r>
              <w:rPr>
                <w:lang w:val="en-GB"/>
              </w:rPr>
              <w:t>2</w:t>
            </w:r>
          </w:p>
        </w:tc>
        <w:tc>
          <w:tcPr>
            <w:tcW w:w="808" w:type="pct"/>
            <w:shd w:val="clear" w:color="auto" w:fill="FFFFFF"/>
            <w:vAlign w:val="center"/>
          </w:tcPr>
          <w:p w14:paraId="5C6031B1" w14:textId="5F753D66" w:rsidR="00AE36C2" w:rsidRPr="00B57B36" w:rsidRDefault="0085271D" w:rsidP="00A132F0">
            <w:pPr>
              <w:pStyle w:val="CETBodytext"/>
              <w:ind w:right="-1"/>
              <w:rPr>
                <w:rFonts w:cs="Arial"/>
                <w:szCs w:val="18"/>
                <w:lang w:val="en-GB"/>
              </w:rPr>
            </w:pPr>
            <w:r>
              <w:rPr>
                <w:lang w:val="en-GB"/>
              </w:rPr>
              <w:t>8</w:t>
            </w:r>
            <w:r w:rsidR="00AE36C2">
              <w:rPr>
                <w:lang w:val="en-GB"/>
              </w:rPr>
              <w:t>.</w:t>
            </w:r>
            <w:r>
              <w:rPr>
                <w:lang w:val="en-GB"/>
              </w:rPr>
              <w:t>8</w:t>
            </w:r>
            <w:r w:rsidR="00AE36C2">
              <w:rPr>
                <w:lang w:val="en-GB"/>
              </w:rPr>
              <w:t xml:space="preserve"> </w:t>
            </w:r>
            <w:r w:rsidR="00AE36C2" w:rsidRPr="00631DBB">
              <w:rPr>
                <w:lang w:val="en-GB"/>
              </w:rPr>
              <w:t>±</w:t>
            </w:r>
            <w:r w:rsidR="00AE36C2">
              <w:rPr>
                <w:lang w:val="en-GB"/>
              </w:rPr>
              <w:t xml:space="preserve"> 0.2</w:t>
            </w:r>
          </w:p>
        </w:tc>
        <w:tc>
          <w:tcPr>
            <w:tcW w:w="813" w:type="pct"/>
            <w:gridSpan w:val="2"/>
            <w:shd w:val="clear" w:color="auto" w:fill="FFFFFF"/>
            <w:vAlign w:val="center"/>
          </w:tcPr>
          <w:p w14:paraId="715F3AED" w14:textId="4329292E" w:rsidR="00AE36C2" w:rsidRPr="00B57B36" w:rsidRDefault="0085271D" w:rsidP="00A132F0">
            <w:pPr>
              <w:pStyle w:val="CETBodytext"/>
              <w:ind w:right="-1"/>
              <w:rPr>
                <w:rFonts w:cs="Arial"/>
                <w:szCs w:val="18"/>
                <w:lang w:val="en-GB"/>
              </w:rPr>
            </w:pPr>
            <w:r>
              <w:rPr>
                <w:lang w:val="en-GB"/>
              </w:rPr>
              <w:t>9</w:t>
            </w:r>
            <w:r w:rsidR="00AE36C2">
              <w:rPr>
                <w:lang w:val="en-GB"/>
              </w:rPr>
              <w:t>.</w:t>
            </w:r>
            <w:r>
              <w:rPr>
                <w:lang w:val="en-GB"/>
              </w:rPr>
              <w:t>5</w:t>
            </w:r>
            <w:r w:rsidR="00AE36C2">
              <w:rPr>
                <w:lang w:val="en-GB"/>
              </w:rPr>
              <w:t xml:space="preserve"> </w:t>
            </w:r>
            <w:r w:rsidR="00AE36C2" w:rsidRPr="00631DBB">
              <w:rPr>
                <w:lang w:val="en-GB"/>
              </w:rPr>
              <w:t>±</w:t>
            </w:r>
            <w:r w:rsidR="00AE36C2">
              <w:rPr>
                <w:lang w:val="en-GB"/>
              </w:rPr>
              <w:t xml:space="preserve"> 0.</w:t>
            </w:r>
            <w:r>
              <w:rPr>
                <w:lang w:val="en-GB"/>
              </w:rPr>
              <w:t>3</w:t>
            </w:r>
          </w:p>
        </w:tc>
        <w:tc>
          <w:tcPr>
            <w:tcW w:w="799" w:type="pct"/>
            <w:shd w:val="clear" w:color="auto" w:fill="FFFFFF"/>
            <w:vAlign w:val="center"/>
          </w:tcPr>
          <w:p w14:paraId="6D6477F4" w14:textId="76E918BC" w:rsidR="00AE36C2" w:rsidRPr="00B57B36" w:rsidRDefault="0085271D" w:rsidP="00A132F0">
            <w:pPr>
              <w:pStyle w:val="CETBodytext"/>
              <w:ind w:right="-1"/>
              <w:rPr>
                <w:rFonts w:cs="Arial"/>
                <w:szCs w:val="18"/>
                <w:lang w:val="en-GB"/>
              </w:rPr>
            </w:pPr>
            <w:r>
              <w:rPr>
                <w:lang w:val="en-GB"/>
              </w:rPr>
              <w:t>10</w:t>
            </w:r>
            <w:r w:rsidR="00AE36C2">
              <w:rPr>
                <w:lang w:val="en-GB"/>
              </w:rPr>
              <w:t>.</w:t>
            </w:r>
            <w:r>
              <w:rPr>
                <w:lang w:val="en-GB"/>
              </w:rPr>
              <w:t>0</w:t>
            </w:r>
            <w:r w:rsidR="00AE36C2">
              <w:rPr>
                <w:lang w:val="en-GB"/>
              </w:rPr>
              <w:t xml:space="preserve"> </w:t>
            </w:r>
            <w:r w:rsidR="00AE36C2" w:rsidRPr="00631DBB">
              <w:rPr>
                <w:lang w:val="en-GB"/>
              </w:rPr>
              <w:t>±</w:t>
            </w:r>
            <w:r w:rsidR="00AE36C2">
              <w:rPr>
                <w:lang w:val="en-GB"/>
              </w:rPr>
              <w:t xml:space="preserve"> 0.</w:t>
            </w:r>
            <w:r>
              <w:rPr>
                <w:lang w:val="en-GB"/>
              </w:rPr>
              <w:t>3</w:t>
            </w:r>
          </w:p>
        </w:tc>
      </w:tr>
      <w:tr w:rsidR="00FF1D1A" w:rsidRPr="00B57B36" w14:paraId="73A460EF" w14:textId="77777777" w:rsidTr="001A6B4B">
        <w:tc>
          <w:tcPr>
            <w:tcW w:w="963" w:type="pct"/>
            <w:shd w:val="clear" w:color="auto" w:fill="FFFFFF"/>
          </w:tcPr>
          <w:p w14:paraId="0876506B" w14:textId="17D751E2" w:rsidR="00AE36C2" w:rsidRPr="00B57B36" w:rsidRDefault="00BB079B" w:rsidP="00A132F0">
            <w:pPr>
              <w:pStyle w:val="CETBodytext"/>
              <w:ind w:right="-1"/>
              <w:rPr>
                <w:rFonts w:cs="Arial"/>
                <w:szCs w:val="18"/>
                <w:lang w:val="en-GB"/>
              </w:rPr>
            </w:pPr>
            <w:r>
              <w:rPr>
                <w:rFonts w:cs="Arial"/>
                <w:szCs w:val="18"/>
                <w:lang w:val="en-GB"/>
              </w:rPr>
              <w:t>COD</w:t>
            </w:r>
            <w:r w:rsidR="00AE36C2" w:rsidRPr="00BB079B">
              <w:rPr>
                <w:rFonts w:cs="Arial"/>
                <w:szCs w:val="18"/>
                <w:vertAlign w:val="subscript"/>
                <w:lang w:val="en-GB"/>
              </w:rPr>
              <w:t>VFA</w:t>
            </w:r>
          </w:p>
        </w:tc>
        <w:tc>
          <w:tcPr>
            <w:tcW w:w="811" w:type="pct"/>
            <w:shd w:val="clear" w:color="auto" w:fill="FFFFFF"/>
          </w:tcPr>
          <w:p w14:paraId="3DF7CC1F" w14:textId="741E22AE" w:rsidR="00AE36C2" w:rsidRPr="00B57B36" w:rsidRDefault="009560C8" w:rsidP="00A132F0">
            <w:pPr>
              <w:pStyle w:val="CETBodytext"/>
              <w:ind w:right="-1"/>
              <w:rPr>
                <w:rFonts w:cs="Arial"/>
                <w:szCs w:val="18"/>
                <w:lang w:val="en-GB"/>
              </w:rPr>
            </w:pPr>
            <w:r>
              <w:rPr>
                <w:rFonts w:cs="Arial"/>
                <w:szCs w:val="18"/>
                <w:lang w:val="en-GB"/>
              </w:rPr>
              <w:t>g O</w:t>
            </w:r>
            <w:r w:rsidRPr="00BB079B">
              <w:rPr>
                <w:rFonts w:cs="Arial"/>
                <w:szCs w:val="18"/>
                <w:vertAlign w:val="subscript"/>
                <w:lang w:val="en-GB"/>
              </w:rPr>
              <w:t>2</w:t>
            </w:r>
            <w:r w:rsidR="00AE36C2">
              <w:rPr>
                <w:rFonts w:cs="Arial"/>
                <w:szCs w:val="18"/>
                <w:lang w:val="en-GB"/>
              </w:rPr>
              <w:t>/L</w:t>
            </w:r>
          </w:p>
        </w:tc>
        <w:tc>
          <w:tcPr>
            <w:tcW w:w="806" w:type="pct"/>
            <w:shd w:val="clear" w:color="auto" w:fill="FFFFFF"/>
            <w:vAlign w:val="center"/>
          </w:tcPr>
          <w:p w14:paraId="665EA464" w14:textId="278E356A" w:rsidR="00AE36C2" w:rsidRPr="00B57B36" w:rsidRDefault="0085271D" w:rsidP="00A132F0">
            <w:pPr>
              <w:pStyle w:val="CETBodytext"/>
              <w:ind w:right="-1"/>
              <w:rPr>
                <w:rFonts w:cs="Arial"/>
                <w:szCs w:val="18"/>
                <w:lang w:val="en-GB"/>
              </w:rPr>
            </w:pPr>
            <w:r>
              <w:rPr>
                <w:lang w:val="en-GB"/>
              </w:rPr>
              <w:t>5.4</w:t>
            </w:r>
            <w:r w:rsidR="00AE36C2">
              <w:rPr>
                <w:lang w:val="en-GB"/>
              </w:rPr>
              <w:t xml:space="preserve"> </w:t>
            </w:r>
            <w:r w:rsidR="00AE36C2" w:rsidRPr="00631DBB">
              <w:rPr>
                <w:lang w:val="en-GB"/>
              </w:rPr>
              <w:t>±</w:t>
            </w:r>
            <w:r w:rsidR="00AE36C2">
              <w:rPr>
                <w:lang w:val="en-GB"/>
              </w:rPr>
              <w:t xml:space="preserve"> </w:t>
            </w:r>
            <w:r>
              <w:rPr>
                <w:lang w:val="en-GB"/>
              </w:rPr>
              <w:t>0.4</w:t>
            </w:r>
          </w:p>
        </w:tc>
        <w:tc>
          <w:tcPr>
            <w:tcW w:w="808" w:type="pct"/>
            <w:shd w:val="clear" w:color="auto" w:fill="FFFFFF"/>
            <w:vAlign w:val="center"/>
          </w:tcPr>
          <w:p w14:paraId="57D57614" w14:textId="562C49A0" w:rsidR="00AE36C2" w:rsidRPr="00B57B36" w:rsidRDefault="0085271D" w:rsidP="00A132F0">
            <w:pPr>
              <w:pStyle w:val="CETBodytext"/>
              <w:ind w:right="-1"/>
              <w:rPr>
                <w:rFonts w:cs="Arial"/>
                <w:szCs w:val="18"/>
                <w:lang w:val="en-GB"/>
              </w:rPr>
            </w:pPr>
            <w:r>
              <w:rPr>
                <w:lang w:val="en-GB"/>
              </w:rPr>
              <w:t>6.1</w:t>
            </w:r>
            <w:r w:rsidR="00AE36C2">
              <w:rPr>
                <w:lang w:val="en-GB"/>
              </w:rPr>
              <w:t xml:space="preserve"> </w:t>
            </w:r>
            <w:r w:rsidR="00AE36C2" w:rsidRPr="00631DBB">
              <w:rPr>
                <w:lang w:val="en-GB"/>
              </w:rPr>
              <w:t>±</w:t>
            </w:r>
            <w:r w:rsidR="00AE36C2">
              <w:rPr>
                <w:lang w:val="en-GB"/>
              </w:rPr>
              <w:t xml:space="preserve"> </w:t>
            </w:r>
            <w:r>
              <w:rPr>
                <w:lang w:val="en-GB"/>
              </w:rPr>
              <w:t>0.3</w:t>
            </w:r>
          </w:p>
        </w:tc>
        <w:tc>
          <w:tcPr>
            <w:tcW w:w="813" w:type="pct"/>
            <w:gridSpan w:val="2"/>
            <w:shd w:val="clear" w:color="auto" w:fill="FFFFFF"/>
            <w:vAlign w:val="center"/>
          </w:tcPr>
          <w:p w14:paraId="331FD0BB" w14:textId="2BF0C3BC" w:rsidR="00AE36C2" w:rsidRPr="00B57B36" w:rsidRDefault="0085271D" w:rsidP="00A132F0">
            <w:pPr>
              <w:pStyle w:val="CETBodytext"/>
              <w:ind w:right="-1"/>
              <w:rPr>
                <w:rFonts w:cs="Arial"/>
                <w:szCs w:val="18"/>
                <w:lang w:val="en-GB"/>
              </w:rPr>
            </w:pPr>
            <w:r>
              <w:rPr>
                <w:lang w:val="en-GB"/>
              </w:rPr>
              <w:t>7.8</w:t>
            </w:r>
            <w:r w:rsidR="00AE36C2">
              <w:rPr>
                <w:lang w:val="en-GB"/>
              </w:rPr>
              <w:t xml:space="preserve"> </w:t>
            </w:r>
            <w:r w:rsidR="00AE36C2" w:rsidRPr="00631DBB">
              <w:rPr>
                <w:lang w:val="en-GB"/>
              </w:rPr>
              <w:t>±</w:t>
            </w:r>
            <w:r w:rsidR="00AE36C2">
              <w:rPr>
                <w:lang w:val="en-GB"/>
              </w:rPr>
              <w:t xml:space="preserve"> </w:t>
            </w:r>
            <w:r>
              <w:rPr>
                <w:lang w:val="en-GB"/>
              </w:rPr>
              <w:t>0.4</w:t>
            </w:r>
          </w:p>
        </w:tc>
        <w:tc>
          <w:tcPr>
            <w:tcW w:w="799" w:type="pct"/>
            <w:shd w:val="clear" w:color="auto" w:fill="FFFFFF"/>
            <w:vAlign w:val="center"/>
          </w:tcPr>
          <w:p w14:paraId="66976C40" w14:textId="627FFBCE" w:rsidR="00AE36C2" w:rsidRPr="00B57B36" w:rsidRDefault="0085271D" w:rsidP="00A132F0">
            <w:pPr>
              <w:pStyle w:val="CETBodytext"/>
              <w:ind w:right="-1"/>
              <w:rPr>
                <w:rFonts w:cs="Arial"/>
                <w:szCs w:val="18"/>
                <w:lang w:val="en-GB"/>
              </w:rPr>
            </w:pPr>
            <w:r>
              <w:rPr>
                <w:lang w:val="en-GB"/>
              </w:rPr>
              <w:t>4.4</w:t>
            </w:r>
            <w:r w:rsidR="00AE36C2">
              <w:rPr>
                <w:lang w:val="en-GB"/>
              </w:rPr>
              <w:t xml:space="preserve"> </w:t>
            </w:r>
            <w:r w:rsidR="00AE36C2" w:rsidRPr="00631DBB">
              <w:rPr>
                <w:lang w:val="en-GB"/>
              </w:rPr>
              <w:t>±</w:t>
            </w:r>
            <w:r w:rsidR="00AE36C2">
              <w:rPr>
                <w:lang w:val="en-GB"/>
              </w:rPr>
              <w:t xml:space="preserve"> </w:t>
            </w:r>
            <w:r>
              <w:rPr>
                <w:lang w:val="en-GB"/>
              </w:rPr>
              <w:t>0.2</w:t>
            </w:r>
          </w:p>
        </w:tc>
      </w:tr>
      <w:tr w:rsidR="00FF1D1A" w:rsidRPr="00B57B36" w14:paraId="6090D4A6" w14:textId="77777777" w:rsidTr="001A6B4B">
        <w:tc>
          <w:tcPr>
            <w:tcW w:w="963" w:type="pct"/>
            <w:shd w:val="clear" w:color="auto" w:fill="FFFFFF"/>
          </w:tcPr>
          <w:p w14:paraId="10DC404C" w14:textId="410B63BF" w:rsidR="00AE36C2" w:rsidRDefault="00AE36C2" w:rsidP="00A132F0">
            <w:pPr>
              <w:pStyle w:val="CETBodytext"/>
              <w:ind w:right="-1"/>
              <w:rPr>
                <w:rFonts w:cs="Arial"/>
                <w:szCs w:val="18"/>
                <w:lang w:val="en-GB"/>
              </w:rPr>
            </w:pPr>
            <w:r>
              <w:rPr>
                <w:rFonts w:cs="Arial"/>
                <w:szCs w:val="18"/>
                <w:lang w:val="en-GB"/>
              </w:rPr>
              <w:t>COD</w:t>
            </w:r>
            <w:r w:rsidRPr="00AE36C2">
              <w:rPr>
                <w:rFonts w:cs="Arial"/>
                <w:szCs w:val="18"/>
                <w:vertAlign w:val="subscript"/>
                <w:lang w:val="en-GB"/>
              </w:rPr>
              <w:t>VFA</w:t>
            </w:r>
            <w:r>
              <w:rPr>
                <w:rFonts w:cs="Arial"/>
                <w:szCs w:val="18"/>
                <w:lang w:val="en-GB"/>
              </w:rPr>
              <w:t>/</w:t>
            </w:r>
            <w:r w:rsidR="0085271D">
              <w:rPr>
                <w:rFonts w:cs="Arial"/>
                <w:szCs w:val="18"/>
                <w:lang w:val="en-GB"/>
              </w:rPr>
              <w:t>COD</w:t>
            </w:r>
            <w:r w:rsidR="0085271D" w:rsidRPr="0085271D">
              <w:rPr>
                <w:rFonts w:cs="Arial"/>
                <w:szCs w:val="18"/>
                <w:vertAlign w:val="subscript"/>
                <w:lang w:val="en-GB"/>
              </w:rPr>
              <w:t>SOL</w:t>
            </w:r>
          </w:p>
        </w:tc>
        <w:tc>
          <w:tcPr>
            <w:tcW w:w="811" w:type="pct"/>
            <w:shd w:val="clear" w:color="auto" w:fill="FFFFFF"/>
          </w:tcPr>
          <w:p w14:paraId="6C9B4CD1" w14:textId="7C73EC42" w:rsidR="00AE36C2" w:rsidRDefault="00AE36C2" w:rsidP="00A132F0">
            <w:pPr>
              <w:pStyle w:val="CETBodytext"/>
              <w:ind w:right="-1"/>
              <w:rPr>
                <w:rFonts w:cs="Arial"/>
                <w:szCs w:val="18"/>
                <w:lang w:val="en-GB"/>
              </w:rPr>
            </w:pPr>
            <w:r>
              <w:rPr>
                <w:rFonts w:cs="Arial"/>
                <w:szCs w:val="18"/>
                <w:lang w:val="en-GB"/>
              </w:rPr>
              <w:t>g/g</w:t>
            </w:r>
          </w:p>
        </w:tc>
        <w:tc>
          <w:tcPr>
            <w:tcW w:w="806" w:type="pct"/>
            <w:shd w:val="clear" w:color="auto" w:fill="FFFFFF"/>
            <w:vAlign w:val="center"/>
          </w:tcPr>
          <w:p w14:paraId="1CDEEA62" w14:textId="0043B6E2" w:rsidR="00AE36C2" w:rsidRPr="00631DBB" w:rsidRDefault="0085271D" w:rsidP="00A132F0">
            <w:pPr>
              <w:pStyle w:val="CETBodytext"/>
              <w:ind w:right="-1"/>
              <w:rPr>
                <w:lang w:val="en-GB"/>
              </w:rPr>
            </w:pPr>
            <w:r>
              <w:rPr>
                <w:lang w:val="en-GB"/>
              </w:rPr>
              <w:t xml:space="preserve">0.60 </w:t>
            </w:r>
            <w:r w:rsidRPr="00631DBB">
              <w:rPr>
                <w:lang w:val="en-GB"/>
              </w:rPr>
              <w:t>±</w:t>
            </w:r>
            <w:r>
              <w:rPr>
                <w:lang w:val="en-GB"/>
              </w:rPr>
              <w:t xml:space="preserve"> 0.04</w:t>
            </w:r>
          </w:p>
        </w:tc>
        <w:tc>
          <w:tcPr>
            <w:tcW w:w="808" w:type="pct"/>
            <w:shd w:val="clear" w:color="auto" w:fill="FFFFFF"/>
            <w:vAlign w:val="center"/>
          </w:tcPr>
          <w:p w14:paraId="2ED28034" w14:textId="40CBAEAE" w:rsidR="00AE36C2" w:rsidRPr="00631DBB" w:rsidRDefault="0085271D" w:rsidP="00A132F0">
            <w:pPr>
              <w:pStyle w:val="CETBodytext"/>
              <w:ind w:right="-1"/>
              <w:rPr>
                <w:lang w:val="en-GB"/>
              </w:rPr>
            </w:pPr>
            <w:r>
              <w:rPr>
                <w:lang w:val="en-GB"/>
              </w:rPr>
              <w:t xml:space="preserve">0.70 </w:t>
            </w:r>
            <w:r w:rsidRPr="00631DBB">
              <w:rPr>
                <w:lang w:val="en-GB"/>
              </w:rPr>
              <w:t>±</w:t>
            </w:r>
            <w:r>
              <w:rPr>
                <w:lang w:val="en-GB"/>
              </w:rPr>
              <w:t xml:space="preserve"> 0.04</w:t>
            </w:r>
          </w:p>
        </w:tc>
        <w:tc>
          <w:tcPr>
            <w:tcW w:w="813" w:type="pct"/>
            <w:gridSpan w:val="2"/>
            <w:shd w:val="clear" w:color="auto" w:fill="FFFFFF"/>
            <w:vAlign w:val="center"/>
          </w:tcPr>
          <w:p w14:paraId="5C8D131F" w14:textId="6DD7862F" w:rsidR="00AE36C2" w:rsidRPr="00631DBB" w:rsidRDefault="0085271D" w:rsidP="00A132F0">
            <w:pPr>
              <w:pStyle w:val="CETBodytext"/>
              <w:ind w:right="-1"/>
              <w:rPr>
                <w:lang w:val="en-GB"/>
              </w:rPr>
            </w:pPr>
            <w:r>
              <w:rPr>
                <w:lang w:val="en-GB"/>
              </w:rPr>
              <w:t xml:space="preserve">0.81 </w:t>
            </w:r>
            <w:r w:rsidRPr="00631DBB">
              <w:rPr>
                <w:lang w:val="en-GB"/>
              </w:rPr>
              <w:t>±</w:t>
            </w:r>
            <w:r>
              <w:rPr>
                <w:lang w:val="en-GB"/>
              </w:rPr>
              <w:t xml:space="preserve"> 0.03</w:t>
            </w:r>
          </w:p>
        </w:tc>
        <w:tc>
          <w:tcPr>
            <w:tcW w:w="799" w:type="pct"/>
            <w:shd w:val="clear" w:color="auto" w:fill="FFFFFF"/>
            <w:vAlign w:val="center"/>
          </w:tcPr>
          <w:p w14:paraId="2B236A00" w14:textId="59EBF2D7" w:rsidR="00AE36C2" w:rsidRPr="00631DBB" w:rsidRDefault="0085271D" w:rsidP="00A132F0">
            <w:pPr>
              <w:pStyle w:val="CETBodytext"/>
              <w:ind w:right="-1"/>
              <w:rPr>
                <w:lang w:val="en-GB"/>
              </w:rPr>
            </w:pPr>
            <w:r>
              <w:rPr>
                <w:lang w:val="en-GB"/>
              </w:rPr>
              <w:t xml:space="preserve">0.44 </w:t>
            </w:r>
            <w:r w:rsidRPr="00631DBB">
              <w:rPr>
                <w:lang w:val="en-GB"/>
              </w:rPr>
              <w:t>±</w:t>
            </w:r>
            <w:r>
              <w:rPr>
                <w:lang w:val="en-GB"/>
              </w:rPr>
              <w:t xml:space="preserve"> 0.02</w:t>
            </w:r>
          </w:p>
        </w:tc>
      </w:tr>
      <w:tr w:rsidR="00FF1D1A" w:rsidRPr="00B57B36" w14:paraId="27975207" w14:textId="77777777" w:rsidTr="001A6B4B">
        <w:tc>
          <w:tcPr>
            <w:tcW w:w="963" w:type="pct"/>
            <w:shd w:val="clear" w:color="auto" w:fill="FFFFFF"/>
          </w:tcPr>
          <w:p w14:paraId="1E144032" w14:textId="50AD1418" w:rsidR="00AE36C2" w:rsidRDefault="00AE36C2" w:rsidP="00A132F0">
            <w:pPr>
              <w:pStyle w:val="CETBodytext"/>
              <w:ind w:right="-1"/>
              <w:rPr>
                <w:rFonts w:cs="Arial"/>
                <w:szCs w:val="18"/>
                <w:lang w:val="en-GB"/>
              </w:rPr>
            </w:pPr>
            <w:proofErr w:type="spellStart"/>
            <w:r>
              <w:rPr>
                <w:rFonts w:cs="Arial"/>
                <w:szCs w:val="18"/>
                <w:lang w:val="en-GB"/>
              </w:rPr>
              <w:t>Yield</w:t>
            </w:r>
            <w:r w:rsidRPr="00AE36C2">
              <w:rPr>
                <w:rFonts w:cs="Arial"/>
                <w:szCs w:val="18"/>
                <w:vertAlign w:val="superscript"/>
                <w:lang w:val="en-GB"/>
              </w:rPr>
              <w:t>batch</w:t>
            </w:r>
            <w:proofErr w:type="spellEnd"/>
          </w:p>
        </w:tc>
        <w:tc>
          <w:tcPr>
            <w:tcW w:w="811" w:type="pct"/>
            <w:shd w:val="clear" w:color="auto" w:fill="FFFFFF"/>
          </w:tcPr>
          <w:p w14:paraId="09EF929D" w14:textId="18DBF869" w:rsidR="00AE36C2" w:rsidRDefault="009560C8" w:rsidP="00A132F0">
            <w:pPr>
              <w:pStyle w:val="CETBodytext"/>
              <w:ind w:right="-1"/>
              <w:rPr>
                <w:rFonts w:cs="Arial"/>
                <w:szCs w:val="18"/>
                <w:lang w:val="en-GB"/>
              </w:rPr>
            </w:pPr>
            <w:r>
              <w:rPr>
                <w:rFonts w:cs="Arial"/>
                <w:szCs w:val="18"/>
                <w:lang w:val="en-GB"/>
              </w:rPr>
              <w:t xml:space="preserve">g </w:t>
            </w:r>
            <w:r w:rsidR="00FF1D1A">
              <w:rPr>
                <w:rFonts w:cs="Arial"/>
                <w:szCs w:val="18"/>
                <w:lang w:val="en-GB"/>
              </w:rPr>
              <w:t>COD</w:t>
            </w:r>
            <w:r w:rsidR="00FF1D1A" w:rsidRPr="00FF1D1A">
              <w:rPr>
                <w:rFonts w:cs="Arial"/>
                <w:szCs w:val="18"/>
                <w:vertAlign w:val="subscript"/>
                <w:lang w:val="en-GB"/>
              </w:rPr>
              <w:t>VFA</w:t>
            </w:r>
            <w:r w:rsidR="00AE36C2">
              <w:rPr>
                <w:rFonts w:cs="Arial"/>
                <w:szCs w:val="18"/>
                <w:lang w:val="en-GB"/>
              </w:rPr>
              <w:t>/g</w:t>
            </w:r>
            <w:r w:rsidR="00FF1D1A">
              <w:rPr>
                <w:rFonts w:cs="Arial"/>
                <w:szCs w:val="18"/>
                <w:lang w:val="en-GB"/>
              </w:rPr>
              <w:t>VS</w:t>
            </w:r>
            <w:r w:rsidR="00FF1D1A" w:rsidRPr="00FF1D1A">
              <w:rPr>
                <w:rFonts w:cs="Arial"/>
                <w:szCs w:val="18"/>
                <w:vertAlign w:val="subscript"/>
                <w:lang w:val="en-GB"/>
              </w:rPr>
              <w:t>0</w:t>
            </w:r>
          </w:p>
        </w:tc>
        <w:tc>
          <w:tcPr>
            <w:tcW w:w="806" w:type="pct"/>
            <w:shd w:val="clear" w:color="auto" w:fill="FFFFFF"/>
            <w:vAlign w:val="center"/>
          </w:tcPr>
          <w:p w14:paraId="46D83959" w14:textId="562CB178" w:rsidR="00AE36C2" w:rsidRPr="00631DBB" w:rsidRDefault="0085271D" w:rsidP="00A132F0">
            <w:pPr>
              <w:pStyle w:val="CETBodytext"/>
              <w:ind w:right="-1"/>
              <w:rPr>
                <w:lang w:val="en-GB"/>
              </w:rPr>
            </w:pPr>
            <w:r>
              <w:rPr>
                <w:lang w:val="en-GB"/>
              </w:rPr>
              <w:t xml:space="preserve">0.15 </w:t>
            </w:r>
            <w:r w:rsidRPr="00631DBB">
              <w:rPr>
                <w:lang w:val="en-GB"/>
              </w:rPr>
              <w:t>±</w:t>
            </w:r>
            <w:r>
              <w:rPr>
                <w:lang w:val="en-GB"/>
              </w:rPr>
              <w:t xml:space="preserve"> 0.02</w:t>
            </w:r>
          </w:p>
        </w:tc>
        <w:tc>
          <w:tcPr>
            <w:tcW w:w="808" w:type="pct"/>
            <w:shd w:val="clear" w:color="auto" w:fill="FFFFFF"/>
            <w:vAlign w:val="center"/>
          </w:tcPr>
          <w:p w14:paraId="701CDA87" w14:textId="602F8FEC" w:rsidR="00AE36C2" w:rsidRPr="00631DBB" w:rsidRDefault="0085271D" w:rsidP="00A132F0">
            <w:pPr>
              <w:pStyle w:val="CETBodytext"/>
              <w:ind w:right="-1"/>
              <w:rPr>
                <w:lang w:val="en-GB"/>
              </w:rPr>
            </w:pPr>
            <w:r>
              <w:rPr>
                <w:lang w:val="en-GB"/>
              </w:rPr>
              <w:t xml:space="preserve">0.18 </w:t>
            </w:r>
            <w:r w:rsidRPr="00631DBB">
              <w:rPr>
                <w:lang w:val="en-GB"/>
              </w:rPr>
              <w:t>±</w:t>
            </w:r>
            <w:r>
              <w:rPr>
                <w:lang w:val="en-GB"/>
              </w:rPr>
              <w:t xml:space="preserve"> 0.02</w:t>
            </w:r>
          </w:p>
        </w:tc>
        <w:tc>
          <w:tcPr>
            <w:tcW w:w="813" w:type="pct"/>
            <w:gridSpan w:val="2"/>
            <w:shd w:val="clear" w:color="auto" w:fill="FFFFFF"/>
            <w:vAlign w:val="center"/>
          </w:tcPr>
          <w:p w14:paraId="1DF86D06" w14:textId="5DADDB4D" w:rsidR="00AE36C2" w:rsidRPr="00631DBB" w:rsidRDefault="0085271D" w:rsidP="00A132F0">
            <w:pPr>
              <w:pStyle w:val="CETBodytext"/>
              <w:ind w:right="-1"/>
              <w:rPr>
                <w:lang w:val="en-GB"/>
              </w:rPr>
            </w:pPr>
            <w:r>
              <w:rPr>
                <w:lang w:val="en-GB"/>
              </w:rPr>
              <w:t xml:space="preserve">0.29 </w:t>
            </w:r>
            <w:r w:rsidRPr="00631DBB">
              <w:rPr>
                <w:lang w:val="en-GB"/>
              </w:rPr>
              <w:t>±</w:t>
            </w:r>
            <w:r>
              <w:rPr>
                <w:lang w:val="en-GB"/>
              </w:rPr>
              <w:t xml:space="preserve"> 0.0</w:t>
            </w:r>
            <w:r w:rsidR="00E1017B">
              <w:rPr>
                <w:lang w:val="en-GB"/>
              </w:rPr>
              <w:t>4</w:t>
            </w:r>
          </w:p>
        </w:tc>
        <w:tc>
          <w:tcPr>
            <w:tcW w:w="799" w:type="pct"/>
            <w:shd w:val="clear" w:color="auto" w:fill="FFFFFF"/>
            <w:vAlign w:val="center"/>
          </w:tcPr>
          <w:p w14:paraId="5E7B3BF2" w14:textId="0C6382C7" w:rsidR="00AE36C2" w:rsidRPr="00631DBB" w:rsidRDefault="0085271D" w:rsidP="00A132F0">
            <w:pPr>
              <w:pStyle w:val="CETBodytext"/>
              <w:ind w:right="-1"/>
              <w:rPr>
                <w:lang w:val="en-GB"/>
              </w:rPr>
            </w:pPr>
            <w:r>
              <w:rPr>
                <w:lang w:val="en-GB"/>
              </w:rPr>
              <w:t xml:space="preserve">0.09 </w:t>
            </w:r>
            <w:r w:rsidRPr="00631DBB">
              <w:rPr>
                <w:lang w:val="en-GB"/>
              </w:rPr>
              <w:t>±</w:t>
            </w:r>
            <w:r>
              <w:rPr>
                <w:lang w:val="en-GB"/>
              </w:rPr>
              <w:t xml:space="preserve"> 0.01</w:t>
            </w:r>
          </w:p>
        </w:tc>
      </w:tr>
    </w:tbl>
    <w:p w14:paraId="7C2128B9" w14:textId="5EA9CE3B" w:rsidR="00631DBB" w:rsidRDefault="00631DBB" w:rsidP="005202BD">
      <w:pPr>
        <w:pStyle w:val="Paragrafoelenco"/>
        <w:ind w:left="0"/>
      </w:pPr>
    </w:p>
    <w:p w14:paraId="680275E5" w14:textId="67C694FE" w:rsidR="00631DBB" w:rsidRDefault="005362B8" w:rsidP="00F7785E">
      <w:pPr>
        <w:pStyle w:val="CETheadingx"/>
      </w:pPr>
      <w:r>
        <w:t>Acidogenic fermentation in s</w:t>
      </w:r>
      <w:r w:rsidR="00631DBB">
        <w:t>emi–</w:t>
      </w:r>
      <w:r>
        <w:t>c</w:t>
      </w:r>
      <w:r w:rsidR="00631DBB">
        <w:t xml:space="preserve">ontinuous </w:t>
      </w:r>
      <w:r>
        <w:t>stirred tank reactor (</w:t>
      </w:r>
      <w:proofErr w:type="spellStart"/>
      <w:r>
        <w:t>sCSTR</w:t>
      </w:r>
      <w:proofErr w:type="spellEnd"/>
      <w:r>
        <w:t>)</w:t>
      </w:r>
    </w:p>
    <w:p w14:paraId="332418B9" w14:textId="79B4E792" w:rsidR="008C5E05" w:rsidRDefault="00631DBB" w:rsidP="00007BC7">
      <w:pPr>
        <w:pStyle w:val="Paragrafoelenco"/>
        <w:ind w:left="0" w:firstLine="11"/>
      </w:pPr>
      <w:r w:rsidRPr="0019190D">
        <w:t xml:space="preserve">Semi-continuous tests </w:t>
      </w:r>
      <w:r w:rsidR="005362B8">
        <w:t xml:space="preserve">have been made at three different </w:t>
      </w:r>
      <w:r w:rsidRPr="0019190D">
        <w:t>HRT of 4, 5, and 6 days</w:t>
      </w:r>
      <w:r w:rsidR="005362B8">
        <w:t>,</w:t>
      </w:r>
      <w:r w:rsidRPr="0019190D">
        <w:t xml:space="preserve"> at </w:t>
      </w:r>
      <w:r w:rsidR="005362B8">
        <w:t>the chosen</w:t>
      </w:r>
      <w:r w:rsidRPr="0019190D">
        <w:t xml:space="preserve"> thermophilic temperature </w:t>
      </w:r>
      <w:r w:rsidR="005362B8">
        <w:t>(</w:t>
      </w:r>
      <w:r w:rsidRPr="0019190D">
        <w:t>55 °C</w:t>
      </w:r>
      <w:r w:rsidR="005362B8">
        <w:t>). All these tests</w:t>
      </w:r>
      <w:r w:rsidRPr="0019190D">
        <w:t xml:space="preserve"> reveal</w:t>
      </w:r>
      <w:r w:rsidR="005362B8">
        <w:t>ed</w:t>
      </w:r>
      <w:r w:rsidRPr="0019190D">
        <w:t xml:space="preserve"> that the biomass typically requires a minimal amount of time to acclimate </w:t>
      </w:r>
      <w:r w:rsidR="005362B8">
        <w:t xml:space="preserve">and to reach </w:t>
      </w:r>
      <w:r w:rsidRPr="0019190D">
        <w:t xml:space="preserve">stability for VFA synthesis. </w:t>
      </w:r>
      <w:r w:rsidR="005362B8">
        <w:t xml:space="preserve">Such period can be considered quite short, since the mixed consortium consisted in an already fermentative microorganisms taken from a batch reactor </w:t>
      </w:r>
      <w:r w:rsidR="00EB0E82">
        <w:t xml:space="preserve">filled with primary sludge. </w:t>
      </w:r>
      <w:r w:rsidR="000810A0">
        <w:t>T</w:t>
      </w:r>
      <w:r w:rsidRPr="0019190D">
        <w:t xml:space="preserve">he length </w:t>
      </w:r>
      <w:r w:rsidR="000810A0">
        <w:t xml:space="preserve">of the </w:t>
      </w:r>
      <w:r w:rsidRPr="0019190D">
        <w:t xml:space="preserve">start-up </w:t>
      </w:r>
      <w:r w:rsidR="000810A0">
        <w:t>periods was</w:t>
      </w:r>
      <w:r w:rsidRPr="0019190D">
        <w:t xml:space="preserve"> almost </w:t>
      </w:r>
      <w:r w:rsidR="000810A0">
        <w:t xml:space="preserve">the </w:t>
      </w:r>
      <w:r w:rsidRPr="0019190D">
        <w:t xml:space="preserve">same in all three </w:t>
      </w:r>
      <w:r w:rsidR="000810A0">
        <w:t>conditions (roughly 10-14 days)</w:t>
      </w:r>
      <w:r w:rsidRPr="0019190D">
        <w:t xml:space="preserve">, as </w:t>
      </w:r>
      <w:r w:rsidR="000810A0">
        <w:t xml:space="preserve">shown in figure 1A-B-C. After such periods, the fermentative activities of the selected bacteria appeared stable and the trends of VFA concentration showed stable values under the three tested HRTs. </w:t>
      </w:r>
      <w:r w:rsidRPr="0019190D">
        <w:t>The COD</w:t>
      </w:r>
      <w:r w:rsidR="000810A0" w:rsidRPr="000810A0">
        <w:rPr>
          <w:vertAlign w:val="subscript"/>
        </w:rPr>
        <w:t>SOL</w:t>
      </w:r>
      <w:r w:rsidRPr="0019190D">
        <w:t xml:space="preserve"> was also observed to be approximately similar in all three cases, with values of 10.</w:t>
      </w:r>
      <w:r w:rsidR="00E72D4D">
        <w:t>0</w:t>
      </w:r>
      <w:r w:rsidRPr="0019190D">
        <w:t xml:space="preserve"> </w:t>
      </w:r>
      <w:r w:rsidR="00E72D4D" w:rsidRPr="00631DBB">
        <w:t>±</w:t>
      </w:r>
      <w:r w:rsidR="00E72D4D">
        <w:t xml:space="preserve"> </w:t>
      </w:r>
      <w:r w:rsidR="00E72D4D" w:rsidRPr="00631DBB">
        <w:t>0.</w:t>
      </w:r>
      <w:r w:rsidR="00E72D4D">
        <w:t xml:space="preserve">5 </w:t>
      </w:r>
      <w:r w:rsidRPr="0019190D">
        <w:t>g</w:t>
      </w:r>
      <w:r w:rsidR="00E72D4D">
        <w:t xml:space="preserve"> O</w:t>
      </w:r>
      <w:r w:rsidR="00E72D4D" w:rsidRPr="00E72D4D">
        <w:rPr>
          <w:vertAlign w:val="subscript"/>
        </w:rPr>
        <w:t>2</w:t>
      </w:r>
      <w:r w:rsidRPr="0019190D">
        <w:t>/L at </w:t>
      </w:r>
      <w:r w:rsidR="000F7A2B">
        <w:t>4 and 5</w:t>
      </w:r>
      <w:r w:rsidRPr="0019190D">
        <w:t xml:space="preserve"> days</w:t>
      </w:r>
      <w:r w:rsidR="000F7A2B">
        <w:t xml:space="preserve"> as HRT</w:t>
      </w:r>
      <w:r w:rsidRPr="0019190D">
        <w:t>,</w:t>
      </w:r>
      <w:r w:rsidR="000F7A2B">
        <w:t xml:space="preserve"> and</w:t>
      </w:r>
      <w:r w:rsidRPr="0019190D">
        <w:t xml:space="preserve"> 9.</w:t>
      </w:r>
      <w:r w:rsidR="000F7A2B">
        <w:t>4</w:t>
      </w:r>
      <w:r w:rsidRPr="0019190D">
        <w:t xml:space="preserve"> </w:t>
      </w:r>
      <w:r w:rsidR="000F7A2B" w:rsidRPr="00631DBB">
        <w:t>±</w:t>
      </w:r>
      <w:r w:rsidR="000F7A2B">
        <w:t xml:space="preserve"> </w:t>
      </w:r>
      <w:r w:rsidR="000F7A2B" w:rsidRPr="00631DBB">
        <w:t>0.</w:t>
      </w:r>
      <w:r w:rsidR="000F7A2B">
        <w:t xml:space="preserve">3 </w:t>
      </w:r>
      <w:r w:rsidR="000F7A2B" w:rsidRPr="0019190D">
        <w:t>g</w:t>
      </w:r>
      <w:r w:rsidR="000F7A2B">
        <w:t xml:space="preserve"> O</w:t>
      </w:r>
      <w:r w:rsidR="000F7A2B" w:rsidRPr="00E72D4D">
        <w:rPr>
          <w:vertAlign w:val="subscript"/>
        </w:rPr>
        <w:t>2</w:t>
      </w:r>
      <w:r w:rsidR="000F7A2B" w:rsidRPr="0019190D">
        <w:t xml:space="preserve">/L </w:t>
      </w:r>
      <w:r w:rsidRPr="0019190D">
        <w:t>at </w:t>
      </w:r>
      <w:r w:rsidR="000F7A2B">
        <w:t>6</w:t>
      </w:r>
      <w:r w:rsidRPr="0019190D">
        <w:t xml:space="preserve"> days</w:t>
      </w:r>
      <w:r w:rsidR="000F7A2B">
        <w:t xml:space="preserve"> as HRT.</w:t>
      </w:r>
      <w:r w:rsidRPr="0019190D">
        <w:t xml:space="preserve"> </w:t>
      </w:r>
      <w:r w:rsidR="00744428">
        <w:t>T</w:t>
      </w:r>
      <w:r w:rsidR="00812BBB">
        <w:t>he effect of the HRT on the fermentation activity was remarkable: a</w:t>
      </w:r>
      <w:r w:rsidRPr="0019190D">
        <w:t xml:space="preserve"> significant quantity of VFA was created </w:t>
      </w:r>
      <w:r w:rsidR="00812BBB">
        <w:t>in the run conducted at</w:t>
      </w:r>
      <w:r w:rsidRPr="0019190D">
        <w:t xml:space="preserve"> HRT 6 days (7.3 </w:t>
      </w:r>
      <w:r w:rsidR="00A719D3" w:rsidRPr="00631DBB">
        <w:t>±</w:t>
      </w:r>
      <w:r w:rsidR="00A719D3">
        <w:t xml:space="preserve"> </w:t>
      </w:r>
      <w:r w:rsidR="00A719D3" w:rsidRPr="00631DBB">
        <w:t>0.</w:t>
      </w:r>
      <w:r w:rsidR="00A719D3">
        <w:t xml:space="preserve">3 </w:t>
      </w:r>
      <w:r w:rsidRPr="0019190D">
        <w:t>mg COD</w:t>
      </w:r>
      <w:r w:rsidR="00A719D3" w:rsidRPr="00A719D3">
        <w:rPr>
          <w:vertAlign w:val="subscript"/>
        </w:rPr>
        <w:t>VFA</w:t>
      </w:r>
      <w:r w:rsidRPr="0019190D">
        <w:t xml:space="preserve">/L) in comparison to HRT 5 (6.5 </w:t>
      </w:r>
      <w:r w:rsidR="00A719D3" w:rsidRPr="00631DBB">
        <w:t>±</w:t>
      </w:r>
      <w:r w:rsidR="00A719D3">
        <w:t xml:space="preserve"> </w:t>
      </w:r>
      <w:r w:rsidR="00A719D3" w:rsidRPr="00631DBB">
        <w:t>0.</w:t>
      </w:r>
      <w:r w:rsidR="00A719D3">
        <w:t xml:space="preserve">2 </w:t>
      </w:r>
      <w:r w:rsidRPr="0019190D">
        <w:t>mg COD</w:t>
      </w:r>
      <w:r w:rsidR="00A719D3" w:rsidRPr="00A719D3">
        <w:rPr>
          <w:vertAlign w:val="subscript"/>
        </w:rPr>
        <w:t>VFA</w:t>
      </w:r>
      <w:r w:rsidRPr="0019190D">
        <w:t xml:space="preserve">/L) and HRT 4 (5.7 </w:t>
      </w:r>
      <w:r w:rsidR="00A719D3" w:rsidRPr="00631DBB">
        <w:t>±</w:t>
      </w:r>
      <w:r w:rsidR="00A719D3">
        <w:t xml:space="preserve"> </w:t>
      </w:r>
      <w:r w:rsidR="00A719D3" w:rsidRPr="00631DBB">
        <w:t>0.</w:t>
      </w:r>
      <w:r w:rsidR="00A719D3">
        <w:t xml:space="preserve">3 </w:t>
      </w:r>
      <w:r w:rsidRPr="0019190D">
        <w:t>mg COD</w:t>
      </w:r>
      <w:r w:rsidR="00A719D3" w:rsidRPr="00A719D3">
        <w:rPr>
          <w:vertAlign w:val="subscript"/>
        </w:rPr>
        <w:t>VFA</w:t>
      </w:r>
      <w:r w:rsidRPr="0019190D">
        <w:t>/L</w:t>
      </w:r>
      <w:r>
        <w:t>)</w:t>
      </w:r>
      <w:r w:rsidRPr="0019190D">
        <w:t xml:space="preserve">. </w:t>
      </w:r>
      <w:r w:rsidR="00A719D3">
        <w:t>Therefore</w:t>
      </w:r>
      <w:r w:rsidRPr="0019190D">
        <w:t xml:space="preserve">, the </w:t>
      </w:r>
      <w:r w:rsidR="00A719D3">
        <w:t>COD</w:t>
      </w:r>
      <w:r w:rsidRPr="00A719D3">
        <w:rPr>
          <w:vertAlign w:val="subscript"/>
        </w:rPr>
        <w:t>VFA</w:t>
      </w:r>
      <w:r w:rsidRPr="0019190D">
        <w:t>/COD</w:t>
      </w:r>
      <w:r w:rsidR="00A719D3" w:rsidRPr="00A719D3">
        <w:rPr>
          <w:vertAlign w:val="subscript"/>
        </w:rPr>
        <w:t>SOL</w:t>
      </w:r>
      <w:r w:rsidRPr="0019190D">
        <w:t xml:space="preserve"> ratio was greatest at </w:t>
      </w:r>
      <w:r w:rsidR="00A719D3">
        <w:t xml:space="preserve">longer </w:t>
      </w:r>
      <w:r w:rsidRPr="0019190D">
        <w:t xml:space="preserve">HRT </w:t>
      </w:r>
      <w:r w:rsidR="00A719D3">
        <w:t xml:space="preserve">of </w:t>
      </w:r>
      <w:r w:rsidRPr="0019190D">
        <w:t xml:space="preserve">6 </w:t>
      </w:r>
      <w:r w:rsidR="00A719D3">
        <w:t xml:space="preserve">days </w:t>
      </w:r>
      <w:r w:rsidRPr="0019190D">
        <w:t>(</w:t>
      </w:r>
      <w:r>
        <w:t>0.7</w:t>
      </w:r>
      <w:r w:rsidR="00A719D3">
        <w:t xml:space="preserve">2 </w:t>
      </w:r>
      <w:r>
        <w:rPr>
          <w:rFonts w:cstheme="minorHAnsi"/>
        </w:rPr>
        <w:t>±</w:t>
      </w:r>
      <w:r w:rsidR="00A719D3">
        <w:rPr>
          <w:rFonts w:cstheme="minorHAnsi"/>
        </w:rPr>
        <w:t xml:space="preserve"> </w:t>
      </w:r>
      <w:r>
        <w:t>0.0</w:t>
      </w:r>
      <w:r w:rsidR="00A719D3">
        <w:t>2</w:t>
      </w:r>
      <w:r w:rsidRPr="0019190D">
        <w:t xml:space="preserve">), followed by </w:t>
      </w:r>
      <w:r>
        <w:t>0.66</w:t>
      </w:r>
      <w:r w:rsidR="00AC35BA">
        <w:t xml:space="preserve"> </w:t>
      </w:r>
      <w:r>
        <w:rPr>
          <w:rFonts w:cstheme="minorHAnsi"/>
        </w:rPr>
        <w:t>±</w:t>
      </w:r>
      <w:r w:rsidR="00AC35BA">
        <w:rPr>
          <w:rFonts w:cstheme="minorHAnsi"/>
        </w:rPr>
        <w:t xml:space="preserve"> </w:t>
      </w:r>
      <w:r>
        <w:rPr>
          <w:rFonts w:cstheme="minorHAnsi"/>
        </w:rPr>
        <w:t>0.0</w:t>
      </w:r>
      <w:r w:rsidR="00A719D3">
        <w:rPr>
          <w:rFonts w:cstheme="minorHAnsi"/>
        </w:rPr>
        <w:t>4</w:t>
      </w:r>
      <w:r>
        <w:t xml:space="preserve"> and 0.56</w:t>
      </w:r>
      <w:r w:rsidR="00AC35BA">
        <w:t xml:space="preserve"> </w:t>
      </w:r>
      <w:r>
        <w:rPr>
          <w:rFonts w:cstheme="minorHAnsi"/>
        </w:rPr>
        <w:t>±</w:t>
      </w:r>
      <w:r w:rsidR="00AC35BA">
        <w:rPr>
          <w:rFonts w:cstheme="minorHAnsi"/>
        </w:rPr>
        <w:t xml:space="preserve"> </w:t>
      </w:r>
      <w:r>
        <w:t>0.0</w:t>
      </w:r>
      <w:r w:rsidR="00A719D3">
        <w:t>5</w:t>
      </w:r>
      <w:r>
        <w:t xml:space="preserve"> at HRT </w:t>
      </w:r>
      <w:r w:rsidR="00A719D3">
        <w:t xml:space="preserve">5 and </w:t>
      </w:r>
      <w:r>
        <w:t>4 days</w:t>
      </w:r>
      <w:r w:rsidR="00A719D3">
        <w:t xml:space="preserve"> respectively</w:t>
      </w:r>
      <w:r w:rsidRPr="0019190D">
        <w:t xml:space="preserve">. </w:t>
      </w:r>
    </w:p>
    <w:p w14:paraId="2FAD8B13" w14:textId="7E97BBE4" w:rsidR="008C5E05" w:rsidRDefault="00DE29DC" w:rsidP="00007BC7">
      <w:pPr>
        <w:pStyle w:val="Paragrafoelenco"/>
        <w:ind w:left="0" w:firstLine="11"/>
      </w:pPr>
      <w:r>
        <w:t xml:space="preserve">In terms of rate and yield, the obtained results showed an opposite trend as a function of </w:t>
      </w:r>
      <w:r w:rsidR="00285270">
        <w:t>the HRT</w:t>
      </w:r>
      <w:r w:rsidR="007C2BA8">
        <w:t xml:space="preserve"> (figure 2)</w:t>
      </w:r>
      <w:r w:rsidR="00285270">
        <w:t xml:space="preserve">. Higher HRT selected for a mixed consortium characterized by lower specific activity. Therefore, the hydraulic regime </w:t>
      </w:r>
      <w:r w:rsidR="00EB6F53">
        <w:t>strongly affected the</w:t>
      </w:r>
      <w:r w:rsidR="00285270">
        <w:t xml:space="preserve"> biomass</w:t>
      </w:r>
      <w:r w:rsidR="00EB6F53">
        <w:t xml:space="preserve"> kinetics, being the highest fermentation rate observed at 4 days as HRT (39</w:t>
      </w:r>
      <w:r w:rsidR="00EB6F53" w:rsidRPr="0019190D">
        <w:t xml:space="preserve"> </w:t>
      </w:r>
      <w:r w:rsidR="00EB6F53" w:rsidRPr="00631DBB">
        <w:t>±</w:t>
      </w:r>
      <w:r w:rsidR="00EB6F53">
        <w:t xml:space="preserve"> 2 </w:t>
      </w:r>
      <w:r w:rsidR="00EB6F53" w:rsidRPr="0019190D">
        <w:t>mg COD</w:t>
      </w:r>
      <w:r w:rsidR="00EB6F53" w:rsidRPr="00A719D3">
        <w:rPr>
          <w:vertAlign w:val="subscript"/>
        </w:rPr>
        <w:t>VFA</w:t>
      </w:r>
      <w:r w:rsidR="00EB6F53" w:rsidRPr="0019190D">
        <w:t>/</w:t>
      </w:r>
      <w:r w:rsidR="00EB6F53">
        <w:t>g VS</w:t>
      </w:r>
      <w:r w:rsidR="00EB6F53" w:rsidRPr="00EB6F53">
        <w:rPr>
          <w:vertAlign w:val="subscript"/>
        </w:rPr>
        <w:t>0</w:t>
      </w:r>
      <w:r w:rsidR="00EB6F53">
        <w:t xml:space="preserve"> h). </w:t>
      </w:r>
      <w:r w:rsidR="00063D6F">
        <w:t>By increasing the HRT up to 6 days, a net decreasing of the specific fermentation rate was observed (3</w:t>
      </w:r>
      <w:r w:rsidR="00824F9C">
        <w:t>3</w:t>
      </w:r>
      <w:r w:rsidR="00063D6F" w:rsidRPr="0019190D">
        <w:t xml:space="preserve"> </w:t>
      </w:r>
      <w:r w:rsidR="00063D6F" w:rsidRPr="00631DBB">
        <w:t>±</w:t>
      </w:r>
      <w:r w:rsidR="00063D6F">
        <w:t xml:space="preserve"> 2 </w:t>
      </w:r>
      <w:r w:rsidR="00063D6F" w:rsidRPr="0019190D">
        <w:t>mg COD</w:t>
      </w:r>
      <w:r w:rsidR="00063D6F" w:rsidRPr="00A719D3">
        <w:rPr>
          <w:vertAlign w:val="subscript"/>
        </w:rPr>
        <w:t>VFA</w:t>
      </w:r>
      <w:r w:rsidR="00063D6F" w:rsidRPr="0019190D">
        <w:t>/</w:t>
      </w:r>
      <w:r w:rsidR="00063D6F">
        <w:t>g VS</w:t>
      </w:r>
      <w:r w:rsidR="00063D6F" w:rsidRPr="00EB6F53">
        <w:rPr>
          <w:vertAlign w:val="subscript"/>
        </w:rPr>
        <w:t>0</w:t>
      </w:r>
      <w:r w:rsidR="00063D6F">
        <w:t xml:space="preserve"> h). On the contrary, the fermentation yield</w:t>
      </w:r>
      <w:r w:rsidR="009B7903">
        <w:t xml:space="preserve"> </w:t>
      </w:r>
      <w:r w:rsidR="00063D6F">
        <w:t xml:space="preserve">showed an opposite behaviour: the highest acidification performance was obtained </w:t>
      </w:r>
      <w:r w:rsidR="007C2BA8">
        <w:t>at 6 days as HRT</w:t>
      </w:r>
      <w:r w:rsidR="00063D6F">
        <w:t xml:space="preserve">, </w:t>
      </w:r>
      <w:r w:rsidR="007C2BA8">
        <w:t xml:space="preserve">0.30 </w:t>
      </w:r>
      <w:r w:rsidR="007C2BA8" w:rsidRPr="00631DBB">
        <w:t>±</w:t>
      </w:r>
      <w:r w:rsidR="007C2BA8">
        <w:t xml:space="preserve"> </w:t>
      </w:r>
      <w:r w:rsidR="00824F9C">
        <w:t>0.0</w:t>
      </w:r>
      <w:r w:rsidR="007C2BA8">
        <w:t xml:space="preserve">2 </w:t>
      </w:r>
      <w:r w:rsidR="007C2BA8" w:rsidRPr="0019190D">
        <w:t>mg COD</w:t>
      </w:r>
      <w:r w:rsidR="007C2BA8" w:rsidRPr="00A719D3">
        <w:rPr>
          <w:vertAlign w:val="subscript"/>
        </w:rPr>
        <w:t>VFA</w:t>
      </w:r>
      <w:r w:rsidR="007C2BA8" w:rsidRPr="0019190D">
        <w:t>/</w:t>
      </w:r>
      <w:r w:rsidR="007C2BA8">
        <w:t xml:space="preserve">g </w:t>
      </w:r>
      <w:r w:rsidR="007C2BA8" w:rsidRPr="007C2BA8">
        <w:t>VS</w:t>
      </w:r>
      <w:r w:rsidR="007C2BA8" w:rsidRPr="007C2BA8">
        <w:rPr>
          <w:vertAlign w:val="subscript"/>
        </w:rPr>
        <w:t>0</w:t>
      </w:r>
      <w:r w:rsidR="007C2BA8">
        <w:t>. These results suggested</w:t>
      </w:r>
      <w:r w:rsidR="00EB6F53">
        <w:t xml:space="preserve"> </w:t>
      </w:r>
      <w:r w:rsidR="007C2BA8">
        <w:t>that</w:t>
      </w:r>
      <w:r w:rsidR="007C2BA8" w:rsidRPr="007C2BA8">
        <w:t xml:space="preserve"> low HRT selected for a mixed consortium with high fermentation rate, but less efficient in the conversion of the organic matter into VFA</w:t>
      </w:r>
      <w:r w:rsidR="005C6317">
        <w:t xml:space="preserve">. </w:t>
      </w:r>
      <w:r w:rsidR="009B7903">
        <w:t xml:space="preserve">In these </w:t>
      </w:r>
      <w:proofErr w:type="spellStart"/>
      <w:r w:rsidR="009B7903">
        <w:t>sCSTR</w:t>
      </w:r>
      <w:proofErr w:type="spellEnd"/>
      <w:r w:rsidR="009B7903">
        <w:t xml:space="preserve"> experiments, according to the highest fermentation yield observed, a maximum COD</w:t>
      </w:r>
      <w:r w:rsidR="009B7903" w:rsidRPr="009B7903">
        <w:rPr>
          <w:vertAlign w:val="subscript"/>
        </w:rPr>
        <w:t>VFA</w:t>
      </w:r>
      <w:r w:rsidR="009B7903">
        <w:t>/COD</w:t>
      </w:r>
      <w:r w:rsidR="009B7903" w:rsidRPr="009B7903">
        <w:rPr>
          <w:vertAlign w:val="subscript"/>
        </w:rPr>
        <w:t>SOL</w:t>
      </w:r>
      <w:r w:rsidR="009B7903">
        <w:t xml:space="preserve"> ratio of 0.72 </w:t>
      </w:r>
      <w:r w:rsidR="009B7903" w:rsidRPr="00631DBB">
        <w:t>±</w:t>
      </w:r>
      <w:r w:rsidR="009B7903">
        <w:t xml:space="preserve"> 0.</w:t>
      </w:r>
      <w:r w:rsidR="00824F9C">
        <w:t>0</w:t>
      </w:r>
      <w:r w:rsidR="009B7903">
        <w:t>2 was obtained.</w:t>
      </w:r>
      <w:r w:rsidR="00EA42B2">
        <w:t xml:space="preserve"> This result is promising for a further improvement, since almost 30% of the solubilised COD remained unconverted. This is quite typical when dealing with sewage sludge, since it is rich in organic matter usually more difficult to be fermented to VFA compared to other putrescible substances such as primary sludge </w:t>
      </w:r>
      <w:r w:rsidR="00EA42B2" w:rsidRPr="00723631">
        <w:t>and/or food waste</w:t>
      </w:r>
      <w:r w:rsidR="002A69CD" w:rsidRPr="00723631">
        <w:t xml:space="preserve"> (Morgan-</w:t>
      </w:r>
      <w:proofErr w:type="spellStart"/>
      <w:r w:rsidR="002A69CD" w:rsidRPr="00723631">
        <w:t>Sagastume</w:t>
      </w:r>
      <w:proofErr w:type="spellEnd"/>
      <w:r w:rsidR="002A69CD" w:rsidRPr="00723631">
        <w:t xml:space="preserve"> et al., 2015)</w:t>
      </w:r>
      <w:r w:rsidR="00EA42B2" w:rsidRPr="00723631">
        <w:t>.</w:t>
      </w:r>
      <w:r w:rsidR="00B766EE">
        <w:t xml:space="preserve"> A previous work demonstrated the importance of the thermal pre-treatment for increasing the COD</w:t>
      </w:r>
      <w:r w:rsidR="00B766EE" w:rsidRPr="00B74A9C">
        <w:rPr>
          <w:vertAlign w:val="subscript"/>
        </w:rPr>
        <w:t>SOL</w:t>
      </w:r>
      <w:r w:rsidR="00B766EE">
        <w:t xml:space="preserve"> content and VFA (Zhang et al., 2019); however, the </w:t>
      </w:r>
      <w:r w:rsidR="000753D0">
        <w:t xml:space="preserve">thermal hydrolysis at more than 150°C could be </w:t>
      </w:r>
      <w:r w:rsidR="00FA2A9C">
        <w:t>a</w:t>
      </w:r>
      <w:r w:rsidR="000753D0">
        <w:t xml:space="preserve"> high-cost technology with no substantial benefits in acidification performances (the obtained </w:t>
      </w:r>
      <w:r w:rsidR="00FA2A9C">
        <w:t>yield was comparable to this study and the VFA in the range 7.5-9.5 g</w:t>
      </w:r>
      <w:r w:rsidR="000C08F3">
        <w:t xml:space="preserve"> </w:t>
      </w:r>
      <w:r w:rsidR="00FA2A9C">
        <w:t>COD</w:t>
      </w:r>
      <w:r w:rsidR="00FA2A9C" w:rsidRPr="00B74A9C">
        <w:rPr>
          <w:vertAlign w:val="subscript"/>
        </w:rPr>
        <w:t>VFA</w:t>
      </w:r>
      <w:r w:rsidR="00FA2A9C">
        <w:t>/L).</w:t>
      </w:r>
      <w:r w:rsidR="000753D0">
        <w:t xml:space="preserve"> </w:t>
      </w:r>
      <w:r w:rsidR="00FA2A9C">
        <w:t xml:space="preserve">On the other hand, the absence of a pre-treatment could limit the potential of the acidogenic fermentation: </w:t>
      </w:r>
      <w:proofErr w:type="spellStart"/>
      <w:r w:rsidR="00FA2A9C">
        <w:t>Presti</w:t>
      </w:r>
      <w:proofErr w:type="spellEnd"/>
      <w:r w:rsidR="00FA2A9C">
        <w:t xml:space="preserve"> et al. (2021) obtained a fermented stream with VFA content slightly higher than 2.0 g </w:t>
      </w:r>
      <w:r w:rsidR="000C08F3">
        <w:t>COD</w:t>
      </w:r>
      <w:r w:rsidR="000C08F3" w:rsidRPr="00B87B82">
        <w:rPr>
          <w:vertAlign w:val="subscript"/>
        </w:rPr>
        <w:t>VFA</w:t>
      </w:r>
      <w:r w:rsidR="000C08F3">
        <w:t xml:space="preserve">/L, with acidification yield </w:t>
      </w:r>
      <w:proofErr w:type="gramStart"/>
      <w:r w:rsidR="000C08F3">
        <w:t>similar to</w:t>
      </w:r>
      <w:proofErr w:type="gramEnd"/>
      <w:r w:rsidR="000C08F3">
        <w:t xml:space="preserve"> those obtained in this study.</w:t>
      </w:r>
      <w:r w:rsidR="000753D0">
        <w:t xml:space="preserve"> </w:t>
      </w:r>
      <w:r w:rsidR="00B766EE">
        <w:t xml:space="preserve"> </w:t>
      </w:r>
      <w:r w:rsidR="009B7903">
        <w:t xml:space="preserve">  </w:t>
      </w:r>
    </w:p>
    <w:p w14:paraId="5A13856B" w14:textId="6E086404" w:rsidR="006B4888" w:rsidRPr="000D56D6" w:rsidRDefault="00631DBB" w:rsidP="00007BC7">
      <w:pPr>
        <w:pStyle w:val="Paragrafoelenco"/>
        <w:ind w:left="0" w:firstLine="11"/>
      </w:pPr>
      <w:r w:rsidRPr="0019190D">
        <w:t xml:space="preserve">There was no substantial change in the composition of the VFA generated in the three </w:t>
      </w:r>
      <w:proofErr w:type="spellStart"/>
      <w:r w:rsidR="00824F9C">
        <w:t>sCSTR</w:t>
      </w:r>
      <w:proofErr w:type="spellEnd"/>
      <w:r w:rsidR="00824F9C">
        <w:t xml:space="preserve"> runs</w:t>
      </w:r>
      <w:r w:rsidR="00486824">
        <w:t xml:space="preserve"> during the stability periods</w:t>
      </w:r>
      <w:r w:rsidRPr="0019190D">
        <w:t xml:space="preserve">. </w:t>
      </w:r>
      <w:r w:rsidR="00486824">
        <w:t xml:space="preserve">Also, in all the tested HRT, the start-up phase was characterized by a gradual increase of the acetic acid, in parallel to a progressive decrease of the caproic acid. This behaviour was likely due to the adaptation of the culture and to the progressive establishment of the fermentation pathways </w:t>
      </w:r>
      <w:r w:rsidR="00E32318">
        <w:t>towards the typical products of the acetogenesis (</w:t>
      </w:r>
      <w:proofErr w:type="gramStart"/>
      <w:r w:rsidR="00E32318">
        <w:t>i.e.</w:t>
      </w:r>
      <w:proofErr w:type="gramEnd"/>
      <w:r w:rsidR="00E32318">
        <w:t xml:space="preserve"> acetic acid, hydrogen and carbon dioxide). Once the stability periods were reached, </w:t>
      </w:r>
      <w:r w:rsidR="00B81F1C">
        <w:t>both</w:t>
      </w:r>
      <w:r w:rsidRPr="0019190D">
        <w:t xml:space="preserve"> acetic and caproic </w:t>
      </w:r>
      <w:r w:rsidR="00B81F1C">
        <w:t xml:space="preserve">acids showed stable trends. A certain stability was also observed for </w:t>
      </w:r>
      <w:r w:rsidRPr="0019190D">
        <w:t xml:space="preserve">propionic, butyric, and valeric </w:t>
      </w:r>
      <w:r w:rsidR="00B81F1C">
        <w:t>acids</w:t>
      </w:r>
      <w:r w:rsidR="008B1E3B">
        <w:t>, which</w:t>
      </w:r>
      <w:r w:rsidR="00B81F1C">
        <w:t xml:space="preserve"> </w:t>
      </w:r>
      <w:r w:rsidRPr="0019190D">
        <w:t>showed negligible differences</w:t>
      </w:r>
      <w:r w:rsidR="008B1E3B">
        <w:t xml:space="preserve"> in the three </w:t>
      </w:r>
      <w:proofErr w:type="spellStart"/>
      <w:r w:rsidR="008B1E3B">
        <w:t>sCSTR</w:t>
      </w:r>
      <w:proofErr w:type="spellEnd"/>
      <w:r w:rsidRPr="0019190D">
        <w:t xml:space="preserve">. </w:t>
      </w:r>
      <w:r w:rsidR="008B1E3B">
        <w:t xml:space="preserve">In general, </w:t>
      </w:r>
      <w:r w:rsidR="00D522CF">
        <w:t>an</w:t>
      </w:r>
      <w:r w:rsidRPr="0019190D">
        <w:t xml:space="preserve"> </w:t>
      </w:r>
      <w:r w:rsidR="00D522CF">
        <w:t>important and</w:t>
      </w:r>
      <w:r w:rsidRPr="0019190D">
        <w:t xml:space="preserve"> significant observation was that the acids generated were stable not </w:t>
      </w:r>
      <w:r w:rsidR="00D522CF">
        <w:t>only</w:t>
      </w:r>
      <w:r w:rsidRPr="0019190D">
        <w:t xml:space="preserve"> in terms of concentration, but also in terms of composition.</w:t>
      </w:r>
    </w:p>
    <w:p w14:paraId="10436700" w14:textId="24DB6BD9" w:rsidR="009F3773" w:rsidRDefault="009F3773" w:rsidP="009F3773">
      <w:pPr>
        <w:pStyle w:val="CETTabletitle"/>
      </w:pPr>
      <w:r>
        <w:lastRenderedPageBreak/>
        <w:t>Figure</w:t>
      </w:r>
      <w:r w:rsidRPr="00B57B36">
        <w:t xml:space="preserve"> </w:t>
      </w:r>
      <w:r>
        <w:t>1</w:t>
      </w:r>
      <w:r w:rsidRPr="00B57B36">
        <w:t xml:space="preserve">: </w:t>
      </w:r>
      <w:r w:rsidR="00FE5875">
        <w:t>Trends of VFA and COD</w:t>
      </w:r>
      <w:r w:rsidR="00FE5875" w:rsidRPr="00FE5875">
        <w:rPr>
          <w:vertAlign w:val="subscript"/>
        </w:rPr>
        <w:t>SOL</w:t>
      </w:r>
      <w:r>
        <w:t xml:space="preserve"> </w:t>
      </w:r>
      <w:r w:rsidR="00FE5875">
        <w:t>in three runs carried out at HRT of 4 (A), 5(B) and 6(C) days</w:t>
      </w:r>
      <w:r>
        <w:t>.</w:t>
      </w:r>
    </w:p>
    <w:p w14:paraId="3524DEE3" w14:textId="60D55398" w:rsidR="009F3773" w:rsidRDefault="009F3773" w:rsidP="008B4017">
      <w:pPr>
        <w:pStyle w:val="Paragrafoelenco"/>
        <w:ind w:left="0"/>
      </w:pPr>
      <w:r>
        <w:rPr>
          <w:noProof/>
        </w:rPr>
        <w:drawing>
          <wp:inline distT="0" distB="0" distL="0" distR="0" wp14:anchorId="24CD5FCB" wp14:editId="502E74D8">
            <wp:extent cx="2697833" cy="1756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97833" cy="1756800"/>
                    </a:xfrm>
                    <a:prstGeom prst="rect">
                      <a:avLst/>
                    </a:prstGeom>
                  </pic:spPr>
                </pic:pic>
              </a:graphicData>
            </a:graphic>
          </wp:inline>
        </w:drawing>
      </w:r>
      <w:r>
        <w:rPr>
          <w:noProof/>
        </w:rPr>
        <w:drawing>
          <wp:inline distT="0" distB="0" distL="0" distR="0" wp14:anchorId="1608B1AE" wp14:editId="4A3A1A61">
            <wp:extent cx="2697833" cy="1756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7833" cy="1756800"/>
                    </a:xfrm>
                    <a:prstGeom prst="rect">
                      <a:avLst/>
                    </a:prstGeom>
                  </pic:spPr>
                </pic:pic>
              </a:graphicData>
            </a:graphic>
          </wp:inline>
        </w:drawing>
      </w:r>
    </w:p>
    <w:p w14:paraId="72F4E2F4" w14:textId="23CB3F6C" w:rsidR="009F3773" w:rsidRDefault="009F3773" w:rsidP="008B4017">
      <w:pPr>
        <w:pStyle w:val="Paragrafoelenco"/>
        <w:ind w:left="0"/>
      </w:pPr>
      <w:r>
        <w:rPr>
          <w:noProof/>
        </w:rPr>
        <w:drawing>
          <wp:inline distT="0" distB="0" distL="0" distR="0" wp14:anchorId="5EE37496" wp14:editId="69DF3CD7">
            <wp:extent cx="2697833" cy="1756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7833" cy="1756800"/>
                    </a:xfrm>
                    <a:prstGeom prst="rect">
                      <a:avLst/>
                    </a:prstGeom>
                  </pic:spPr>
                </pic:pic>
              </a:graphicData>
            </a:graphic>
          </wp:inline>
        </w:drawing>
      </w:r>
    </w:p>
    <w:p w14:paraId="71647166" w14:textId="77777777" w:rsidR="00D522CF" w:rsidRDefault="00D522CF" w:rsidP="00D522CF">
      <w:pPr>
        <w:pStyle w:val="Paragrafoelenco"/>
        <w:ind w:left="0"/>
      </w:pPr>
    </w:p>
    <w:p w14:paraId="0967C832" w14:textId="6A16FE69" w:rsidR="00E153F2" w:rsidRDefault="00C85302" w:rsidP="008B4017">
      <w:pPr>
        <w:pStyle w:val="Paragrafoelenco"/>
        <w:ind w:left="0"/>
      </w:pPr>
      <w:r>
        <w:t>The literature is poor about the description of the HRT effect on the fermentation performances and/or fermentation products. Other carbon source has been subjected more often in past works, where the effect of the HRT was deeply investigated</w:t>
      </w:r>
      <w:r w:rsidR="000C08F3">
        <w:t>.</w:t>
      </w:r>
      <w:r>
        <w:t xml:space="preserve"> As an </w:t>
      </w:r>
      <w:r w:rsidRPr="00723631">
        <w:t xml:space="preserve">example, </w:t>
      </w:r>
      <w:proofErr w:type="spellStart"/>
      <w:r w:rsidRPr="00723631">
        <w:t>Strazzera</w:t>
      </w:r>
      <w:proofErr w:type="spellEnd"/>
      <w:r w:rsidRPr="00723631">
        <w:t xml:space="preserve"> et al</w:t>
      </w:r>
      <w:r w:rsidR="00ED1500" w:rsidRPr="00723631">
        <w:t>.</w:t>
      </w:r>
      <w:r w:rsidRPr="00723631">
        <w:t xml:space="preserve"> (2018)</w:t>
      </w:r>
      <w:r w:rsidR="00ED1500" w:rsidRPr="00723631">
        <w:t xml:space="preserve"> explained the possibility to increase the concentration of acetic acid at lower</w:t>
      </w:r>
      <w:r w:rsidR="00ED1500">
        <w:t xml:space="preserve"> HRT (4 and 8 days) and the selective production of propionic acid at higher HRT (12 days), in thermophilic fermentation of </w:t>
      </w:r>
      <w:r w:rsidR="00E153F2">
        <w:t>food waste</w:t>
      </w:r>
      <w:r w:rsidR="00D522CF" w:rsidRPr="009D7C5E">
        <w:t>.</w:t>
      </w:r>
    </w:p>
    <w:p w14:paraId="0585173B" w14:textId="4ADA3EDF" w:rsidR="008C5E05" w:rsidRDefault="008C5E05" w:rsidP="008C5E05">
      <w:pPr>
        <w:pStyle w:val="CETTabletitle"/>
      </w:pPr>
      <w:r>
        <w:t>Figure</w:t>
      </w:r>
      <w:r w:rsidRPr="00B57B36">
        <w:t xml:space="preserve"> </w:t>
      </w:r>
      <w:r>
        <w:t>2</w:t>
      </w:r>
      <w:r w:rsidRPr="00B57B36">
        <w:t xml:space="preserve">: </w:t>
      </w:r>
      <w:r>
        <w:t>Fermentation rate and yield observed in the three</w:t>
      </w:r>
      <w:r w:rsidR="00DE29DC">
        <w:t xml:space="preserve"> acidogenic</w:t>
      </w:r>
      <w:r>
        <w:t xml:space="preserve"> fermentation runs performed at </w:t>
      </w:r>
      <w:r w:rsidR="00DE29DC">
        <w:t>4, 5 and 6 as HRTs</w:t>
      </w:r>
      <w:r>
        <w:t>.</w:t>
      </w:r>
    </w:p>
    <w:p w14:paraId="67E2346B" w14:textId="0F2AF397" w:rsidR="008C5E05" w:rsidRDefault="00E85DA0" w:rsidP="008B4017">
      <w:pPr>
        <w:pStyle w:val="Paragrafoelenco"/>
        <w:ind w:left="0"/>
      </w:pPr>
      <w:r>
        <w:rPr>
          <w:noProof/>
        </w:rPr>
        <w:drawing>
          <wp:inline distT="0" distB="0" distL="0" distR="0" wp14:anchorId="3F72ECE5" wp14:editId="7A53F3C5">
            <wp:extent cx="2880269" cy="18756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0269" cy="1875600"/>
                    </a:xfrm>
                    <a:prstGeom prst="rect">
                      <a:avLst/>
                    </a:prstGeom>
                  </pic:spPr>
                </pic:pic>
              </a:graphicData>
            </a:graphic>
          </wp:inline>
        </w:drawing>
      </w:r>
    </w:p>
    <w:p w14:paraId="5301BB29" w14:textId="77777777" w:rsidR="00E153F2" w:rsidRDefault="00E153F2" w:rsidP="008B4017">
      <w:pPr>
        <w:pStyle w:val="Paragrafoelenco"/>
        <w:ind w:left="0"/>
      </w:pPr>
    </w:p>
    <w:p w14:paraId="76A1F41A" w14:textId="34F1F87A" w:rsidR="0042258C" w:rsidRDefault="00E153F2" w:rsidP="0042258C">
      <w:pPr>
        <w:pStyle w:val="Paragrafoelenco"/>
        <w:ind w:left="0"/>
      </w:pPr>
      <w:r>
        <w:t xml:space="preserve">The following table </w:t>
      </w:r>
      <w:r w:rsidR="00881A9D">
        <w:t>3</w:t>
      </w:r>
      <w:r>
        <w:t xml:space="preserve"> summarizes the main results (with average data and standard deviation) of the three </w:t>
      </w:r>
      <w:proofErr w:type="spellStart"/>
      <w:r>
        <w:t>sCSTR</w:t>
      </w:r>
      <w:proofErr w:type="spellEnd"/>
      <w:r>
        <w:t xml:space="preserve"> runs conducted in thermophilic conditions. </w:t>
      </w:r>
      <w:r w:rsidR="00490FD8">
        <w:t>Besides the parameters discussed above, the VFA distribution of the stability periods clearly highlighted a net predominance of VFA with even carbon’s atoms (acetic and butyric acids) compared to the others. The</w:t>
      </w:r>
      <w:r w:rsidR="00D03607">
        <w:t xml:space="preserve"> VFA spectrum is particularly relevant because each VFA has its market scenario a</w:t>
      </w:r>
      <w:r w:rsidR="0042258C">
        <w:t xml:space="preserve">nd </w:t>
      </w:r>
      <w:r w:rsidR="00D03607">
        <w:t xml:space="preserve">application </w:t>
      </w:r>
      <w:r w:rsidR="0042258C">
        <w:t xml:space="preserve">as </w:t>
      </w:r>
      <w:r w:rsidR="0042258C" w:rsidRPr="0042258C">
        <w:t>building blocks for the chemical industry</w:t>
      </w:r>
      <w:r>
        <w:t xml:space="preserve"> </w:t>
      </w:r>
      <w:r w:rsidR="0042258C">
        <w:t xml:space="preserve">or </w:t>
      </w:r>
      <w:r w:rsidR="0042258C" w:rsidRPr="0042258C">
        <w:t xml:space="preserve">precursors </w:t>
      </w:r>
      <w:r w:rsidR="0042258C">
        <w:t xml:space="preserve">for the synthesis of </w:t>
      </w:r>
      <w:r w:rsidR="0042258C" w:rsidRPr="0042258C">
        <w:t>reduced chemicals in conventional organic chemistry</w:t>
      </w:r>
      <w:r w:rsidR="0042258C">
        <w:t>.</w:t>
      </w:r>
    </w:p>
    <w:p w14:paraId="13D1DB4C" w14:textId="41D63E21" w:rsidR="00DE29DC" w:rsidRPr="00B57B36" w:rsidRDefault="00DE29DC" w:rsidP="00DE29DC">
      <w:pPr>
        <w:pStyle w:val="CETTabletitle"/>
      </w:pPr>
      <w:r w:rsidRPr="00B57B36">
        <w:lastRenderedPageBreak/>
        <w:t xml:space="preserve">Table </w:t>
      </w:r>
      <w:r w:rsidR="00881A9D">
        <w:t>3</w:t>
      </w:r>
      <w:r w:rsidRPr="00B57B36">
        <w:t xml:space="preserve">: </w:t>
      </w:r>
      <w:r>
        <w:t xml:space="preserve">Summary of the main parameters obtained in the three thermophilic </w:t>
      </w:r>
      <w:proofErr w:type="spellStart"/>
      <w:r w:rsidR="00490FD8">
        <w:t>s</w:t>
      </w:r>
      <w:r>
        <w:t>CSTR</w:t>
      </w:r>
      <w:proofErr w:type="spellEnd"/>
      <w:r>
        <w:t xml:space="preserve"> runs at different HRT.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05"/>
        <w:gridCol w:w="1864"/>
        <w:gridCol w:w="1701"/>
        <w:gridCol w:w="1418"/>
        <w:gridCol w:w="1417"/>
      </w:tblGrid>
      <w:tr w:rsidR="00BB079B" w:rsidRPr="00B57B36" w14:paraId="6095B1F8" w14:textId="77777777" w:rsidTr="009560C8">
        <w:tc>
          <w:tcPr>
            <w:tcW w:w="2105" w:type="dxa"/>
            <w:vMerge w:val="restart"/>
            <w:tcBorders>
              <w:top w:val="single" w:sz="12" w:space="0" w:color="008000"/>
            </w:tcBorders>
            <w:shd w:val="clear" w:color="auto" w:fill="FFFFFF"/>
          </w:tcPr>
          <w:p w14:paraId="33462198" w14:textId="2AF2ABA0" w:rsidR="00BB079B" w:rsidRPr="00B57B36" w:rsidRDefault="00BB079B" w:rsidP="001B75BC">
            <w:pPr>
              <w:pStyle w:val="CETBodytext"/>
              <w:rPr>
                <w:lang w:val="en-GB"/>
              </w:rPr>
            </w:pPr>
            <w:r>
              <w:rPr>
                <w:lang w:val="en-GB"/>
              </w:rPr>
              <w:t>Parameter</w:t>
            </w:r>
            <w:r w:rsidRPr="00B57B36">
              <w:rPr>
                <w:lang w:val="en-GB"/>
              </w:rPr>
              <w:t xml:space="preserve"> </w:t>
            </w:r>
          </w:p>
        </w:tc>
        <w:tc>
          <w:tcPr>
            <w:tcW w:w="1864" w:type="dxa"/>
            <w:vMerge w:val="restart"/>
            <w:tcBorders>
              <w:top w:val="single" w:sz="12" w:space="0" w:color="008000"/>
            </w:tcBorders>
            <w:shd w:val="clear" w:color="auto" w:fill="FFFFFF"/>
          </w:tcPr>
          <w:p w14:paraId="2483864F" w14:textId="6B2A035F" w:rsidR="00BB079B" w:rsidRPr="00B57B36" w:rsidRDefault="00BB079B" w:rsidP="001B75BC">
            <w:pPr>
              <w:pStyle w:val="CETBodytext"/>
              <w:rPr>
                <w:lang w:val="en-GB"/>
              </w:rPr>
            </w:pPr>
            <w:r>
              <w:rPr>
                <w:lang w:val="en-GB"/>
              </w:rPr>
              <w:t>Unit</w:t>
            </w:r>
          </w:p>
        </w:tc>
        <w:tc>
          <w:tcPr>
            <w:tcW w:w="4536" w:type="dxa"/>
            <w:gridSpan w:val="3"/>
            <w:tcBorders>
              <w:top w:val="single" w:sz="12" w:space="0" w:color="008000"/>
              <w:bottom w:val="single" w:sz="6" w:space="0" w:color="008000"/>
            </w:tcBorders>
            <w:shd w:val="clear" w:color="auto" w:fill="FFFFFF"/>
          </w:tcPr>
          <w:p w14:paraId="4518B99E" w14:textId="3375391C" w:rsidR="00BB079B" w:rsidRPr="00B57B36" w:rsidRDefault="00BB079B" w:rsidP="001B75BC">
            <w:pPr>
              <w:pStyle w:val="CETBodytext"/>
              <w:ind w:right="-1"/>
              <w:rPr>
                <w:rFonts w:cs="Arial"/>
                <w:szCs w:val="18"/>
                <w:lang w:val="en-GB"/>
              </w:rPr>
            </w:pPr>
            <w:r>
              <w:rPr>
                <w:lang w:val="en-GB"/>
              </w:rPr>
              <w:t>HRT</w:t>
            </w:r>
          </w:p>
        </w:tc>
      </w:tr>
      <w:tr w:rsidR="00BB079B" w:rsidRPr="00B57B36" w14:paraId="3142AFC1" w14:textId="77777777" w:rsidTr="009560C8">
        <w:tc>
          <w:tcPr>
            <w:tcW w:w="2105" w:type="dxa"/>
            <w:vMerge/>
            <w:tcBorders>
              <w:bottom w:val="single" w:sz="6" w:space="0" w:color="008000"/>
            </w:tcBorders>
            <w:shd w:val="clear" w:color="auto" w:fill="FFFFFF"/>
          </w:tcPr>
          <w:p w14:paraId="44989732" w14:textId="77777777" w:rsidR="00BB079B" w:rsidRDefault="00BB079B" w:rsidP="001B75BC">
            <w:pPr>
              <w:pStyle w:val="CETBodytext"/>
              <w:rPr>
                <w:lang w:val="en-GB"/>
              </w:rPr>
            </w:pPr>
          </w:p>
        </w:tc>
        <w:tc>
          <w:tcPr>
            <w:tcW w:w="1864" w:type="dxa"/>
            <w:vMerge/>
            <w:tcBorders>
              <w:bottom w:val="single" w:sz="6" w:space="0" w:color="008000"/>
            </w:tcBorders>
            <w:shd w:val="clear" w:color="auto" w:fill="FFFFFF"/>
          </w:tcPr>
          <w:p w14:paraId="2CED4450" w14:textId="77777777" w:rsidR="00BB079B" w:rsidRDefault="00BB079B" w:rsidP="001B75BC">
            <w:pPr>
              <w:pStyle w:val="CETBodytext"/>
              <w:rPr>
                <w:lang w:val="en-GB"/>
              </w:rPr>
            </w:pPr>
          </w:p>
        </w:tc>
        <w:tc>
          <w:tcPr>
            <w:tcW w:w="1701" w:type="dxa"/>
            <w:tcBorders>
              <w:top w:val="single" w:sz="12" w:space="0" w:color="008000"/>
              <w:bottom w:val="single" w:sz="6" w:space="0" w:color="008000"/>
            </w:tcBorders>
            <w:shd w:val="clear" w:color="auto" w:fill="FFFFFF"/>
          </w:tcPr>
          <w:p w14:paraId="2562812A" w14:textId="665D4851" w:rsidR="00BB079B" w:rsidRDefault="00BB079B" w:rsidP="001B75BC">
            <w:pPr>
              <w:pStyle w:val="CETBodytext"/>
              <w:rPr>
                <w:lang w:val="en-GB"/>
              </w:rPr>
            </w:pPr>
            <w:r>
              <w:rPr>
                <w:lang w:val="en-GB"/>
              </w:rPr>
              <w:t>4</w:t>
            </w:r>
          </w:p>
        </w:tc>
        <w:tc>
          <w:tcPr>
            <w:tcW w:w="1418" w:type="dxa"/>
            <w:tcBorders>
              <w:top w:val="single" w:sz="12" w:space="0" w:color="008000"/>
              <w:bottom w:val="single" w:sz="6" w:space="0" w:color="008000"/>
            </w:tcBorders>
            <w:shd w:val="clear" w:color="auto" w:fill="FFFFFF"/>
          </w:tcPr>
          <w:p w14:paraId="4F01E267" w14:textId="23AC3706" w:rsidR="00BB079B" w:rsidRDefault="00BB079B" w:rsidP="001B75BC">
            <w:pPr>
              <w:pStyle w:val="CETBodytext"/>
              <w:ind w:right="-1"/>
              <w:rPr>
                <w:rFonts w:cs="Arial"/>
                <w:szCs w:val="18"/>
                <w:lang w:val="en-GB"/>
              </w:rPr>
            </w:pPr>
            <w:r>
              <w:rPr>
                <w:rFonts w:cs="Arial"/>
                <w:szCs w:val="18"/>
                <w:lang w:val="en-GB"/>
              </w:rPr>
              <w:t>5</w:t>
            </w:r>
          </w:p>
        </w:tc>
        <w:tc>
          <w:tcPr>
            <w:tcW w:w="1417" w:type="dxa"/>
            <w:tcBorders>
              <w:top w:val="single" w:sz="12" w:space="0" w:color="008000"/>
              <w:bottom w:val="single" w:sz="6" w:space="0" w:color="008000"/>
            </w:tcBorders>
            <w:shd w:val="clear" w:color="auto" w:fill="FFFFFF"/>
          </w:tcPr>
          <w:p w14:paraId="16576176" w14:textId="20C7B4BA" w:rsidR="00BB079B" w:rsidRPr="00B57B36" w:rsidRDefault="00BB079B" w:rsidP="001B75BC">
            <w:pPr>
              <w:pStyle w:val="CETBodytext"/>
              <w:ind w:right="-1"/>
              <w:rPr>
                <w:rFonts w:cs="Arial"/>
                <w:szCs w:val="18"/>
                <w:lang w:val="en-GB"/>
              </w:rPr>
            </w:pPr>
            <w:r>
              <w:rPr>
                <w:rFonts w:cs="Arial"/>
                <w:szCs w:val="18"/>
                <w:lang w:val="en-GB"/>
              </w:rPr>
              <w:t>6</w:t>
            </w:r>
          </w:p>
        </w:tc>
      </w:tr>
      <w:tr w:rsidR="009560C8" w:rsidRPr="00B57B36" w14:paraId="4CFFE4C8" w14:textId="77777777" w:rsidTr="009560C8">
        <w:tc>
          <w:tcPr>
            <w:tcW w:w="2105" w:type="dxa"/>
            <w:shd w:val="clear" w:color="auto" w:fill="FFFFFF"/>
          </w:tcPr>
          <w:p w14:paraId="69D9738C" w14:textId="286D88C6" w:rsidR="00DE29DC" w:rsidRPr="00B57B36" w:rsidRDefault="00BB079B" w:rsidP="001B75BC">
            <w:pPr>
              <w:pStyle w:val="CETBodytext"/>
              <w:rPr>
                <w:lang w:val="en-GB"/>
              </w:rPr>
            </w:pPr>
            <w:r>
              <w:rPr>
                <w:lang w:val="en-GB"/>
              </w:rPr>
              <w:t>COD</w:t>
            </w:r>
            <w:r w:rsidRPr="00BB079B">
              <w:rPr>
                <w:vertAlign w:val="subscript"/>
                <w:lang w:val="en-GB"/>
              </w:rPr>
              <w:t>SOL</w:t>
            </w:r>
          </w:p>
        </w:tc>
        <w:tc>
          <w:tcPr>
            <w:tcW w:w="1864" w:type="dxa"/>
            <w:shd w:val="clear" w:color="auto" w:fill="FFFFFF"/>
          </w:tcPr>
          <w:p w14:paraId="5632B6BF" w14:textId="416A8F3A" w:rsidR="00DE29DC" w:rsidRPr="00B57B36" w:rsidRDefault="00BB079B" w:rsidP="001B75BC">
            <w:pPr>
              <w:pStyle w:val="CETBodytext"/>
              <w:rPr>
                <w:lang w:val="en-GB"/>
              </w:rPr>
            </w:pPr>
            <w:r>
              <w:rPr>
                <w:lang w:val="en-GB"/>
              </w:rPr>
              <w:t>g O</w:t>
            </w:r>
            <w:r w:rsidRPr="00BB079B">
              <w:rPr>
                <w:vertAlign w:val="subscript"/>
                <w:lang w:val="en-GB"/>
              </w:rPr>
              <w:t>2</w:t>
            </w:r>
            <w:r>
              <w:rPr>
                <w:lang w:val="en-GB"/>
              </w:rPr>
              <w:t>/L</w:t>
            </w:r>
          </w:p>
        </w:tc>
        <w:tc>
          <w:tcPr>
            <w:tcW w:w="1701" w:type="dxa"/>
            <w:shd w:val="clear" w:color="auto" w:fill="FFFFFF"/>
          </w:tcPr>
          <w:p w14:paraId="7299A503" w14:textId="78BD389A" w:rsidR="00DE29DC" w:rsidRPr="00B57B36" w:rsidRDefault="009B7903" w:rsidP="001B75BC">
            <w:pPr>
              <w:pStyle w:val="CETBodytext"/>
              <w:rPr>
                <w:lang w:val="en-GB"/>
              </w:rPr>
            </w:pPr>
            <w:r w:rsidRPr="0019190D">
              <w:t>10.</w:t>
            </w:r>
            <w:r>
              <w:t>0</w:t>
            </w:r>
            <w:r w:rsidRPr="0019190D">
              <w:t xml:space="preserve"> </w:t>
            </w:r>
            <w:r w:rsidRPr="00631DBB">
              <w:t>±</w:t>
            </w:r>
            <w:r>
              <w:t xml:space="preserve"> </w:t>
            </w:r>
            <w:r w:rsidRPr="00631DBB">
              <w:t>0.</w:t>
            </w:r>
            <w:r>
              <w:t>5</w:t>
            </w:r>
          </w:p>
        </w:tc>
        <w:tc>
          <w:tcPr>
            <w:tcW w:w="1418" w:type="dxa"/>
            <w:shd w:val="clear" w:color="auto" w:fill="FFFFFF"/>
          </w:tcPr>
          <w:p w14:paraId="0B5C45F3" w14:textId="0E3174D8" w:rsidR="00DE29DC" w:rsidRPr="00B57B36" w:rsidRDefault="009B7903" w:rsidP="001B75BC">
            <w:pPr>
              <w:pStyle w:val="CETBodytext"/>
              <w:ind w:right="-1"/>
              <w:rPr>
                <w:rFonts w:cs="Arial"/>
                <w:szCs w:val="18"/>
                <w:lang w:val="en-GB"/>
              </w:rPr>
            </w:pPr>
            <w:r w:rsidRPr="0019190D">
              <w:t>10.</w:t>
            </w:r>
            <w:r>
              <w:t>0</w:t>
            </w:r>
            <w:r w:rsidRPr="0019190D">
              <w:t xml:space="preserve"> </w:t>
            </w:r>
            <w:r w:rsidRPr="00631DBB">
              <w:t>±</w:t>
            </w:r>
            <w:r>
              <w:t xml:space="preserve"> </w:t>
            </w:r>
            <w:r w:rsidRPr="00631DBB">
              <w:t>0.</w:t>
            </w:r>
            <w:r>
              <w:t>5</w:t>
            </w:r>
          </w:p>
        </w:tc>
        <w:tc>
          <w:tcPr>
            <w:tcW w:w="1417" w:type="dxa"/>
            <w:shd w:val="clear" w:color="auto" w:fill="FFFFFF"/>
          </w:tcPr>
          <w:p w14:paraId="6DF43771" w14:textId="6B8CE1C1" w:rsidR="00DE29DC" w:rsidRPr="00B57B36" w:rsidRDefault="009B7903" w:rsidP="001B75BC">
            <w:pPr>
              <w:pStyle w:val="CETBodytext"/>
              <w:ind w:right="-1"/>
              <w:rPr>
                <w:rFonts w:cs="Arial"/>
                <w:szCs w:val="18"/>
                <w:lang w:val="en-GB"/>
              </w:rPr>
            </w:pPr>
            <w:r>
              <w:t>9</w:t>
            </w:r>
            <w:r w:rsidRPr="0019190D">
              <w:t>.</w:t>
            </w:r>
            <w:r>
              <w:t>4</w:t>
            </w:r>
            <w:r w:rsidRPr="0019190D">
              <w:t xml:space="preserve"> </w:t>
            </w:r>
            <w:r w:rsidRPr="00631DBB">
              <w:t>±</w:t>
            </w:r>
            <w:r>
              <w:t xml:space="preserve"> </w:t>
            </w:r>
            <w:r w:rsidRPr="00631DBB">
              <w:t>0.</w:t>
            </w:r>
            <w:r>
              <w:t>3</w:t>
            </w:r>
          </w:p>
        </w:tc>
      </w:tr>
      <w:tr w:rsidR="00BB079B" w:rsidRPr="00B57B36" w14:paraId="2F0705B5" w14:textId="77777777" w:rsidTr="009560C8">
        <w:tc>
          <w:tcPr>
            <w:tcW w:w="2105" w:type="dxa"/>
            <w:shd w:val="clear" w:color="auto" w:fill="FFFFFF"/>
          </w:tcPr>
          <w:p w14:paraId="395D5DD1" w14:textId="2B213B58" w:rsidR="00BB079B" w:rsidRDefault="00BB079B" w:rsidP="001B75BC">
            <w:pPr>
              <w:pStyle w:val="CETBodytext"/>
              <w:rPr>
                <w:lang w:val="en-GB"/>
              </w:rPr>
            </w:pPr>
            <w:r>
              <w:rPr>
                <w:lang w:val="en-GB"/>
              </w:rPr>
              <w:t>COD</w:t>
            </w:r>
            <w:r w:rsidRPr="00BB079B">
              <w:rPr>
                <w:vertAlign w:val="subscript"/>
                <w:lang w:val="en-GB"/>
              </w:rPr>
              <w:t>VFA</w:t>
            </w:r>
          </w:p>
        </w:tc>
        <w:tc>
          <w:tcPr>
            <w:tcW w:w="1864" w:type="dxa"/>
            <w:shd w:val="clear" w:color="auto" w:fill="FFFFFF"/>
          </w:tcPr>
          <w:p w14:paraId="4DE4DF09" w14:textId="2340622D" w:rsidR="00BB079B" w:rsidRPr="00B57B36" w:rsidRDefault="009560C8" w:rsidP="001B75BC">
            <w:pPr>
              <w:pStyle w:val="CETBodytext"/>
              <w:rPr>
                <w:lang w:val="en-GB"/>
              </w:rPr>
            </w:pPr>
            <w:r>
              <w:rPr>
                <w:lang w:val="en-GB"/>
              </w:rPr>
              <w:t>g O</w:t>
            </w:r>
            <w:r w:rsidRPr="00BB079B">
              <w:rPr>
                <w:vertAlign w:val="subscript"/>
                <w:lang w:val="en-GB"/>
              </w:rPr>
              <w:t>2</w:t>
            </w:r>
            <w:r>
              <w:rPr>
                <w:lang w:val="en-GB"/>
              </w:rPr>
              <w:t>/L</w:t>
            </w:r>
          </w:p>
        </w:tc>
        <w:tc>
          <w:tcPr>
            <w:tcW w:w="1701" w:type="dxa"/>
            <w:shd w:val="clear" w:color="auto" w:fill="FFFFFF"/>
          </w:tcPr>
          <w:p w14:paraId="604D3A61" w14:textId="68078BAE" w:rsidR="00BB079B" w:rsidRPr="00B57B36" w:rsidRDefault="009B7903" w:rsidP="001B75BC">
            <w:pPr>
              <w:pStyle w:val="CETBodytext"/>
              <w:rPr>
                <w:lang w:val="en-GB"/>
              </w:rPr>
            </w:pPr>
            <w:r>
              <w:t>5</w:t>
            </w:r>
            <w:r w:rsidRPr="0019190D">
              <w:t>.</w:t>
            </w:r>
            <w:r>
              <w:t>7</w:t>
            </w:r>
            <w:r w:rsidRPr="0019190D">
              <w:t xml:space="preserve"> </w:t>
            </w:r>
            <w:r w:rsidRPr="00631DBB">
              <w:t>±</w:t>
            </w:r>
            <w:r>
              <w:t xml:space="preserve"> </w:t>
            </w:r>
            <w:r w:rsidRPr="00631DBB">
              <w:t>0.</w:t>
            </w:r>
            <w:r>
              <w:t>3</w:t>
            </w:r>
          </w:p>
        </w:tc>
        <w:tc>
          <w:tcPr>
            <w:tcW w:w="1418" w:type="dxa"/>
            <w:shd w:val="clear" w:color="auto" w:fill="FFFFFF"/>
          </w:tcPr>
          <w:p w14:paraId="0DC57A7A" w14:textId="0E90E865" w:rsidR="00BB079B" w:rsidRPr="00B57B36" w:rsidRDefault="009B7903" w:rsidP="001B75BC">
            <w:pPr>
              <w:pStyle w:val="CETBodytext"/>
              <w:ind w:right="-1"/>
              <w:rPr>
                <w:rFonts w:cs="Arial"/>
                <w:szCs w:val="18"/>
                <w:lang w:val="en-GB"/>
              </w:rPr>
            </w:pPr>
            <w:r w:rsidRPr="0019190D">
              <w:t xml:space="preserve">6.5 </w:t>
            </w:r>
            <w:r w:rsidRPr="00631DBB">
              <w:t>±</w:t>
            </w:r>
            <w:r>
              <w:t xml:space="preserve"> </w:t>
            </w:r>
            <w:r w:rsidRPr="00631DBB">
              <w:t>0.</w:t>
            </w:r>
            <w:r>
              <w:t>2</w:t>
            </w:r>
          </w:p>
        </w:tc>
        <w:tc>
          <w:tcPr>
            <w:tcW w:w="1417" w:type="dxa"/>
            <w:shd w:val="clear" w:color="auto" w:fill="FFFFFF"/>
          </w:tcPr>
          <w:p w14:paraId="6BF848A0" w14:textId="6040D99C" w:rsidR="00BB079B" w:rsidRPr="00B57B36" w:rsidRDefault="009B7903" w:rsidP="001B75BC">
            <w:pPr>
              <w:pStyle w:val="CETBodytext"/>
              <w:ind w:right="-1"/>
              <w:rPr>
                <w:rFonts w:cs="Arial"/>
                <w:szCs w:val="18"/>
                <w:lang w:val="en-GB"/>
              </w:rPr>
            </w:pPr>
            <w:r w:rsidRPr="0019190D">
              <w:t xml:space="preserve">7.3 </w:t>
            </w:r>
            <w:r w:rsidRPr="00631DBB">
              <w:t>±</w:t>
            </w:r>
            <w:r>
              <w:t xml:space="preserve"> </w:t>
            </w:r>
            <w:r w:rsidRPr="00631DBB">
              <w:t>0.</w:t>
            </w:r>
            <w:r>
              <w:t>3</w:t>
            </w:r>
          </w:p>
        </w:tc>
      </w:tr>
      <w:tr w:rsidR="00BB079B" w:rsidRPr="00B57B36" w14:paraId="50EBD3B0" w14:textId="77777777" w:rsidTr="009560C8">
        <w:tc>
          <w:tcPr>
            <w:tcW w:w="2105" w:type="dxa"/>
            <w:shd w:val="clear" w:color="auto" w:fill="FFFFFF"/>
          </w:tcPr>
          <w:p w14:paraId="747D2A5A" w14:textId="6433222A" w:rsidR="00BB079B" w:rsidRDefault="00BB079B" w:rsidP="001B75BC">
            <w:pPr>
              <w:pStyle w:val="CETBodytext"/>
              <w:rPr>
                <w:lang w:val="en-GB"/>
              </w:rPr>
            </w:pPr>
            <w:r>
              <w:rPr>
                <w:lang w:val="en-GB"/>
              </w:rPr>
              <w:t>COD</w:t>
            </w:r>
            <w:r w:rsidRPr="00BB079B">
              <w:rPr>
                <w:vertAlign w:val="subscript"/>
                <w:lang w:val="en-GB"/>
              </w:rPr>
              <w:t>VFA</w:t>
            </w:r>
            <w:r>
              <w:rPr>
                <w:lang w:val="en-GB"/>
              </w:rPr>
              <w:t>/COD</w:t>
            </w:r>
            <w:r w:rsidRPr="00BB079B">
              <w:rPr>
                <w:vertAlign w:val="subscript"/>
                <w:lang w:val="en-GB"/>
              </w:rPr>
              <w:t>SOL</w:t>
            </w:r>
          </w:p>
        </w:tc>
        <w:tc>
          <w:tcPr>
            <w:tcW w:w="1864" w:type="dxa"/>
            <w:shd w:val="clear" w:color="auto" w:fill="FFFFFF"/>
          </w:tcPr>
          <w:p w14:paraId="00CEA1D4" w14:textId="524066E7" w:rsidR="00BB079B" w:rsidRPr="00B57B36" w:rsidRDefault="009560C8" w:rsidP="001B75BC">
            <w:pPr>
              <w:pStyle w:val="CETBodytext"/>
              <w:rPr>
                <w:lang w:val="en-GB"/>
              </w:rPr>
            </w:pPr>
            <w:r>
              <w:rPr>
                <w:lang w:val="en-GB"/>
              </w:rPr>
              <w:t>g/g</w:t>
            </w:r>
          </w:p>
        </w:tc>
        <w:tc>
          <w:tcPr>
            <w:tcW w:w="1701" w:type="dxa"/>
            <w:shd w:val="clear" w:color="auto" w:fill="FFFFFF"/>
          </w:tcPr>
          <w:p w14:paraId="1223017C" w14:textId="25820192" w:rsidR="00BB079B" w:rsidRPr="00B57B36" w:rsidRDefault="002A69CD" w:rsidP="001B75BC">
            <w:pPr>
              <w:pStyle w:val="CETBodytext"/>
              <w:rPr>
                <w:lang w:val="en-GB"/>
              </w:rPr>
            </w:pPr>
            <w:r>
              <w:t>0</w:t>
            </w:r>
            <w:r w:rsidRPr="0019190D">
              <w:t>.</w:t>
            </w:r>
            <w:r>
              <w:t>56</w:t>
            </w:r>
            <w:r w:rsidRPr="0019190D">
              <w:t xml:space="preserve"> </w:t>
            </w:r>
            <w:r w:rsidRPr="00631DBB">
              <w:t>±</w:t>
            </w:r>
            <w:r>
              <w:t xml:space="preserve"> </w:t>
            </w:r>
            <w:r w:rsidRPr="00631DBB">
              <w:t>0.</w:t>
            </w:r>
            <w:r w:rsidR="00824F9C">
              <w:t>0</w:t>
            </w:r>
            <w:r>
              <w:t>5</w:t>
            </w:r>
          </w:p>
        </w:tc>
        <w:tc>
          <w:tcPr>
            <w:tcW w:w="1418" w:type="dxa"/>
            <w:shd w:val="clear" w:color="auto" w:fill="FFFFFF"/>
          </w:tcPr>
          <w:p w14:paraId="63FC9FC1" w14:textId="07831795" w:rsidR="00BB079B" w:rsidRPr="00B57B36" w:rsidRDefault="002A69CD" w:rsidP="001B75BC">
            <w:pPr>
              <w:pStyle w:val="CETBodytext"/>
              <w:ind w:right="-1"/>
              <w:rPr>
                <w:rFonts w:cs="Arial"/>
                <w:szCs w:val="18"/>
                <w:lang w:val="en-GB"/>
              </w:rPr>
            </w:pPr>
            <w:r>
              <w:t>0</w:t>
            </w:r>
            <w:r w:rsidRPr="0019190D">
              <w:t>.</w:t>
            </w:r>
            <w:r>
              <w:t>66</w:t>
            </w:r>
            <w:r w:rsidRPr="0019190D">
              <w:t xml:space="preserve"> </w:t>
            </w:r>
            <w:r w:rsidRPr="00631DBB">
              <w:t>±</w:t>
            </w:r>
            <w:r>
              <w:t xml:space="preserve"> </w:t>
            </w:r>
            <w:r w:rsidRPr="00631DBB">
              <w:t>0.</w:t>
            </w:r>
            <w:r w:rsidR="00824F9C">
              <w:t>0</w:t>
            </w:r>
            <w:r>
              <w:t>4</w:t>
            </w:r>
          </w:p>
        </w:tc>
        <w:tc>
          <w:tcPr>
            <w:tcW w:w="1417" w:type="dxa"/>
            <w:shd w:val="clear" w:color="auto" w:fill="FFFFFF"/>
          </w:tcPr>
          <w:p w14:paraId="6D898CCF" w14:textId="4B2C64ED" w:rsidR="00BB079B" w:rsidRPr="00B57B36" w:rsidRDefault="002A69CD" w:rsidP="001B75BC">
            <w:pPr>
              <w:pStyle w:val="CETBodytext"/>
              <w:ind w:right="-1"/>
              <w:rPr>
                <w:rFonts w:cs="Arial"/>
                <w:szCs w:val="18"/>
                <w:lang w:val="en-GB"/>
              </w:rPr>
            </w:pPr>
            <w:r>
              <w:t>0</w:t>
            </w:r>
            <w:r w:rsidRPr="0019190D">
              <w:t>.</w:t>
            </w:r>
            <w:r>
              <w:t>72</w:t>
            </w:r>
            <w:r w:rsidRPr="0019190D">
              <w:t xml:space="preserve"> </w:t>
            </w:r>
            <w:r w:rsidRPr="00631DBB">
              <w:t>±</w:t>
            </w:r>
            <w:r>
              <w:t xml:space="preserve"> </w:t>
            </w:r>
            <w:r w:rsidRPr="00631DBB">
              <w:t>0.</w:t>
            </w:r>
            <w:r w:rsidR="00824F9C">
              <w:t>0</w:t>
            </w:r>
            <w:r>
              <w:t>2</w:t>
            </w:r>
          </w:p>
        </w:tc>
      </w:tr>
      <w:tr w:rsidR="00BB079B" w:rsidRPr="00B57B36" w14:paraId="4E587F29" w14:textId="77777777" w:rsidTr="009560C8">
        <w:tc>
          <w:tcPr>
            <w:tcW w:w="2105" w:type="dxa"/>
            <w:shd w:val="clear" w:color="auto" w:fill="FFFFFF"/>
          </w:tcPr>
          <w:p w14:paraId="4905A639" w14:textId="6E88EF0B" w:rsidR="00BB079B" w:rsidRDefault="00BB079B" w:rsidP="001B75BC">
            <w:pPr>
              <w:pStyle w:val="CETBodytext"/>
              <w:rPr>
                <w:lang w:val="en-GB"/>
              </w:rPr>
            </w:pPr>
            <w:r>
              <w:rPr>
                <w:lang w:val="en-GB"/>
              </w:rPr>
              <w:t>Acetic</w:t>
            </w:r>
            <w:r w:rsidR="00786FEF">
              <w:rPr>
                <w:lang w:val="en-GB"/>
              </w:rPr>
              <w:t xml:space="preserve"> acid</w:t>
            </w:r>
          </w:p>
        </w:tc>
        <w:tc>
          <w:tcPr>
            <w:tcW w:w="1864" w:type="dxa"/>
            <w:shd w:val="clear" w:color="auto" w:fill="FFFFFF"/>
          </w:tcPr>
          <w:p w14:paraId="78C6A295" w14:textId="36A182DF" w:rsidR="00BB079B" w:rsidRPr="00B57B36" w:rsidRDefault="009560C8" w:rsidP="001B75BC">
            <w:pPr>
              <w:pStyle w:val="CETBodytext"/>
              <w:rPr>
                <w:lang w:val="en-GB"/>
              </w:rPr>
            </w:pPr>
            <w:r>
              <w:rPr>
                <w:lang w:val="en-GB"/>
              </w:rPr>
              <w:t>g O</w:t>
            </w:r>
            <w:r w:rsidRPr="00BB079B">
              <w:rPr>
                <w:vertAlign w:val="subscript"/>
                <w:lang w:val="en-GB"/>
              </w:rPr>
              <w:t>2</w:t>
            </w:r>
            <w:r>
              <w:rPr>
                <w:lang w:val="en-GB"/>
              </w:rPr>
              <w:t>/L</w:t>
            </w:r>
          </w:p>
        </w:tc>
        <w:tc>
          <w:tcPr>
            <w:tcW w:w="1701" w:type="dxa"/>
            <w:shd w:val="clear" w:color="auto" w:fill="FFFFFF"/>
          </w:tcPr>
          <w:p w14:paraId="77583213" w14:textId="7F5FC768" w:rsidR="00BB079B" w:rsidRPr="00B57B36" w:rsidRDefault="002A69CD" w:rsidP="001B75BC">
            <w:pPr>
              <w:pStyle w:val="CETBodytext"/>
              <w:rPr>
                <w:lang w:val="en-GB"/>
              </w:rPr>
            </w:pPr>
            <w:r>
              <w:t>1</w:t>
            </w:r>
            <w:r w:rsidRPr="0019190D">
              <w:t>.</w:t>
            </w:r>
            <w:r>
              <w:t>8</w:t>
            </w:r>
            <w:r w:rsidRPr="0019190D">
              <w:t xml:space="preserve"> </w:t>
            </w:r>
            <w:r w:rsidRPr="00631DBB">
              <w:t>±</w:t>
            </w:r>
            <w:r>
              <w:t xml:space="preserve"> </w:t>
            </w:r>
            <w:r w:rsidRPr="00631DBB">
              <w:t>0.</w:t>
            </w:r>
            <w:r>
              <w:t>1</w:t>
            </w:r>
          </w:p>
        </w:tc>
        <w:tc>
          <w:tcPr>
            <w:tcW w:w="1418" w:type="dxa"/>
            <w:shd w:val="clear" w:color="auto" w:fill="FFFFFF"/>
          </w:tcPr>
          <w:p w14:paraId="0D85FE2A" w14:textId="5549E682" w:rsidR="00BB079B" w:rsidRPr="00B57B36" w:rsidRDefault="00786FEF" w:rsidP="001B75BC">
            <w:pPr>
              <w:pStyle w:val="CETBodytext"/>
              <w:ind w:right="-1"/>
              <w:rPr>
                <w:rFonts w:cs="Arial"/>
                <w:szCs w:val="18"/>
                <w:lang w:val="en-GB"/>
              </w:rPr>
            </w:pPr>
            <w:r>
              <w:t>1</w:t>
            </w:r>
            <w:r w:rsidRPr="0019190D">
              <w:t>.</w:t>
            </w:r>
            <w:r>
              <w:t>9</w:t>
            </w:r>
            <w:r w:rsidRPr="0019190D">
              <w:t xml:space="preserve"> </w:t>
            </w:r>
            <w:r w:rsidRPr="00631DBB">
              <w:t>±</w:t>
            </w:r>
            <w:r>
              <w:t xml:space="preserve"> </w:t>
            </w:r>
            <w:r w:rsidRPr="00631DBB">
              <w:t>0.</w:t>
            </w:r>
            <w:r>
              <w:t>1</w:t>
            </w:r>
          </w:p>
        </w:tc>
        <w:tc>
          <w:tcPr>
            <w:tcW w:w="1417" w:type="dxa"/>
            <w:shd w:val="clear" w:color="auto" w:fill="FFFFFF"/>
          </w:tcPr>
          <w:p w14:paraId="68743D17" w14:textId="7FFF841E" w:rsidR="00BB079B" w:rsidRPr="00B57B36" w:rsidRDefault="00786FEF" w:rsidP="001B75BC">
            <w:pPr>
              <w:pStyle w:val="CETBodytext"/>
              <w:ind w:right="-1"/>
              <w:rPr>
                <w:rFonts w:cs="Arial"/>
                <w:szCs w:val="18"/>
                <w:lang w:val="en-GB"/>
              </w:rPr>
            </w:pPr>
            <w:r>
              <w:t>2</w:t>
            </w:r>
            <w:r w:rsidRPr="0019190D">
              <w:t>.</w:t>
            </w:r>
            <w:r>
              <w:t>2</w:t>
            </w:r>
            <w:r w:rsidRPr="0019190D">
              <w:t xml:space="preserve"> </w:t>
            </w:r>
            <w:r w:rsidRPr="00631DBB">
              <w:t>±</w:t>
            </w:r>
            <w:r>
              <w:t xml:space="preserve"> </w:t>
            </w:r>
            <w:r w:rsidRPr="00631DBB">
              <w:t>0.</w:t>
            </w:r>
            <w:r>
              <w:t>1</w:t>
            </w:r>
          </w:p>
        </w:tc>
      </w:tr>
      <w:tr w:rsidR="00BB079B" w:rsidRPr="00B57B36" w14:paraId="437FDD81" w14:textId="77777777" w:rsidTr="009560C8">
        <w:tc>
          <w:tcPr>
            <w:tcW w:w="2105" w:type="dxa"/>
            <w:shd w:val="clear" w:color="auto" w:fill="FFFFFF"/>
          </w:tcPr>
          <w:p w14:paraId="742002A3" w14:textId="5F04E96C" w:rsidR="00BB079B" w:rsidRDefault="00BB079B" w:rsidP="001B75BC">
            <w:pPr>
              <w:pStyle w:val="CETBodytext"/>
              <w:rPr>
                <w:lang w:val="en-GB"/>
              </w:rPr>
            </w:pPr>
            <w:r>
              <w:rPr>
                <w:lang w:val="en-GB"/>
              </w:rPr>
              <w:t>Propionic</w:t>
            </w:r>
            <w:r w:rsidR="00786FEF">
              <w:rPr>
                <w:lang w:val="en-GB"/>
              </w:rPr>
              <w:t xml:space="preserve"> acid</w:t>
            </w:r>
          </w:p>
        </w:tc>
        <w:tc>
          <w:tcPr>
            <w:tcW w:w="1864" w:type="dxa"/>
            <w:shd w:val="clear" w:color="auto" w:fill="FFFFFF"/>
          </w:tcPr>
          <w:p w14:paraId="0B1217D6" w14:textId="6D2665F9" w:rsidR="00BB079B" w:rsidRPr="00B57B36" w:rsidRDefault="009560C8" w:rsidP="001B75BC">
            <w:pPr>
              <w:pStyle w:val="CETBodytext"/>
              <w:rPr>
                <w:lang w:val="en-GB"/>
              </w:rPr>
            </w:pPr>
            <w:r>
              <w:rPr>
                <w:lang w:val="en-GB"/>
              </w:rPr>
              <w:t>g O</w:t>
            </w:r>
            <w:r w:rsidRPr="00BB079B">
              <w:rPr>
                <w:vertAlign w:val="subscript"/>
                <w:lang w:val="en-GB"/>
              </w:rPr>
              <w:t>2</w:t>
            </w:r>
            <w:r>
              <w:rPr>
                <w:lang w:val="en-GB"/>
              </w:rPr>
              <w:t>/L</w:t>
            </w:r>
          </w:p>
        </w:tc>
        <w:tc>
          <w:tcPr>
            <w:tcW w:w="1701" w:type="dxa"/>
            <w:shd w:val="clear" w:color="auto" w:fill="FFFFFF"/>
          </w:tcPr>
          <w:p w14:paraId="50292084" w14:textId="0BA8C776" w:rsidR="00BB079B" w:rsidRPr="00B57B36" w:rsidRDefault="002A69CD" w:rsidP="001B75BC">
            <w:pPr>
              <w:pStyle w:val="CETBodytext"/>
              <w:rPr>
                <w:lang w:val="en-GB"/>
              </w:rPr>
            </w:pPr>
            <w:r>
              <w:t>0</w:t>
            </w:r>
            <w:r w:rsidRPr="0019190D">
              <w:t>.</w:t>
            </w:r>
            <w:r>
              <w:t>8</w:t>
            </w:r>
            <w:r w:rsidRPr="0019190D">
              <w:t xml:space="preserve"> </w:t>
            </w:r>
            <w:r w:rsidRPr="00631DBB">
              <w:t>±</w:t>
            </w:r>
            <w:r>
              <w:t xml:space="preserve"> </w:t>
            </w:r>
            <w:r w:rsidRPr="00631DBB">
              <w:t>0.</w:t>
            </w:r>
            <w:r>
              <w:t>06</w:t>
            </w:r>
          </w:p>
        </w:tc>
        <w:tc>
          <w:tcPr>
            <w:tcW w:w="1418" w:type="dxa"/>
            <w:shd w:val="clear" w:color="auto" w:fill="FFFFFF"/>
          </w:tcPr>
          <w:p w14:paraId="54D1557F" w14:textId="4E6B765E" w:rsidR="00BB079B" w:rsidRPr="00B57B36" w:rsidRDefault="00786FEF" w:rsidP="001B75BC">
            <w:pPr>
              <w:pStyle w:val="CETBodytext"/>
              <w:ind w:right="-1"/>
              <w:rPr>
                <w:rFonts w:cs="Arial"/>
                <w:szCs w:val="18"/>
                <w:lang w:val="en-GB"/>
              </w:rPr>
            </w:pPr>
            <w:r>
              <w:t>1</w:t>
            </w:r>
            <w:r w:rsidRPr="0019190D">
              <w:t>.</w:t>
            </w:r>
            <w:r>
              <w:t>0</w:t>
            </w:r>
            <w:r w:rsidRPr="0019190D">
              <w:t xml:space="preserve"> </w:t>
            </w:r>
            <w:r w:rsidRPr="00631DBB">
              <w:t>±</w:t>
            </w:r>
            <w:r>
              <w:t xml:space="preserve"> </w:t>
            </w:r>
            <w:r w:rsidRPr="00631DBB">
              <w:t>0.</w:t>
            </w:r>
            <w:r>
              <w:t>07</w:t>
            </w:r>
          </w:p>
        </w:tc>
        <w:tc>
          <w:tcPr>
            <w:tcW w:w="1417" w:type="dxa"/>
            <w:shd w:val="clear" w:color="auto" w:fill="FFFFFF"/>
          </w:tcPr>
          <w:p w14:paraId="7DC9D867" w14:textId="2D09489A" w:rsidR="00BB079B" w:rsidRPr="00B57B36" w:rsidRDefault="00786FEF" w:rsidP="001B75BC">
            <w:pPr>
              <w:pStyle w:val="CETBodytext"/>
              <w:ind w:right="-1"/>
              <w:rPr>
                <w:rFonts w:cs="Arial"/>
                <w:szCs w:val="18"/>
                <w:lang w:val="en-GB"/>
              </w:rPr>
            </w:pPr>
            <w:r>
              <w:t>1</w:t>
            </w:r>
            <w:r w:rsidRPr="0019190D">
              <w:t>.</w:t>
            </w:r>
            <w:r>
              <w:t>1</w:t>
            </w:r>
            <w:r w:rsidRPr="0019190D">
              <w:t xml:space="preserve"> </w:t>
            </w:r>
            <w:r w:rsidRPr="00631DBB">
              <w:t>±</w:t>
            </w:r>
            <w:r>
              <w:t xml:space="preserve"> </w:t>
            </w:r>
            <w:r w:rsidRPr="00631DBB">
              <w:t>0.</w:t>
            </w:r>
            <w:r>
              <w:t>1</w:t>
            </w:r>
          </w:p>
        </w:tc>
      </w:tr>
      <w:tr w:rsidR="00BB079B" w:rsidRPr="00B57B36" w14:paraId="30E4FE4A" w14:textId="77777777" w:rsidTr="009560C8">
        <w:tc>
          <w:tcPr>
            <w:tcW w:w="2105" w:type="dxa"/>
            <w:shd w:val="clear" w:color="auto" w:fill="FFFFFF"/>
          </w:tcPr>
          <w:p w14:paraId="47707721" w14:textId="4207B4B8" w:rsidR="00BB079B" w:rsidRDefault="00BB079B" w:rsidP="001B75BC">
            <w:pPr>
              <w:pStyle w:val="CETBodytext"/>
              <w:rPr>
                <w:lang w:val="en-GB"/>
              </w:rPr>
            </w:pPr>
            <w:r>
              <w:rPr>
                <w:lang w:val="en-GB"/>
              </w:rPr>
              <w:t>Butyric</w:t>
            </w:r>
            <w:r w:rsidR="00786FEF">
              <w:rPr>
                <w:lang w:val="en-GB"/>
              </w:rPr>
              <w:t xml:space="preserve"> acid</w:t>
            </w:r>
          </w:p>
        </w:tc>
        <w:tc>
          <w:tcPr>
            <w:tcW w:w="1864" w:type="dxa"/>
            <w:shd w:val="clear" w:color="auto" w:fill="FFFFFF"/>
          </w:tcPr>
          <w:p w14:paraId="40970F4B" w14:textId="7522EDCD" w:rsidR="00BB079B" w:rsidRPr="00B57B36" w:rsidRDefault="009560C8" w:rsidP="001B75BC">
            <w:pPr>
              <w:pStyle w:val="CETBodytext"/>
              <w:rPr>
                <w:lang w:val="en-GB"/>
              </w:rPr>
            </w:pPr>
            <w:r>
              <w:rPr>
                <w:lang w:val="en-GB"/>
              </w:rPr>
              <w:t>g O</w:t>
            </w:r>
            <w:r w:rsidRPr="00BB079B">
              <w:rPr>
                <w:vertAlign w:val="subscript"/>
                <w:lang w:val="en-GB"/>
              </w:rPr>
              <w:t>2</w:t>
            </w:r>
            <w:r>
              <w:rPr>
                <w:lang w:val="en-GB"/>
              </w:rPr>
              <w:t>/L</w:t>
            </w:r>
          </w:p>
        </w:tc>
        <w:tc>
          <w:tcPr>
            <w:tcW w:w="1701" w:type="dxa"/>
            <w:shd w:val="clear" w:color="auto" w:fill="FFFFFF"/>
          </w:tcPr>
          <w:p w14:paraId="7E329612" w14:textId="4007A170" w:rsidR="00BB079B" w:rsidRPr="00B57B36" w:rsidRDefault="00786FEF" w:rsidP="001B75BC">
            <w:pPr>
              <w:pStyle w:val="CETBodytext"/>
              <w:rPr>
                <w:lang w:val="en-GB"/>
              </w:rPr>
            </w:pPr>
            <w:r>
              <w:t>1</w:t>
            </w:r>
            <w:r w:rsidRPr="0019190D">
              <w:t>.</w:t>
            </w:r>
            <w:r>
              <w:t>8</w:t>
            </w:r>
            <w:r w:rsidRPr="0019190D">
              <w:t xml:space="preserve"> </w:t>
            </w:r>
            <w:r w:rsidRPr="00631DBB">
              <w:t>±</w:t>
            </w:r>
            <w:r>
              <w:t xml:space="preserve"> </w:t>
            </w:r>
            <w:r w:rsidRPr="00631DBB">
              <w:t>0.</w:t>
            </w:r>
            <w:r>
              <w:t>1</w:t>
            </w:r>
          </w:p>
        </w:tc>
        <w:tc>
          <w:tcPr>
            <w:tcW w:w="1418" w:type="dxa"/>
            <w:shd w:val="clear" w:color="auto" w:fill="FFFFFF"/>
          </w:tcPr>
          <w:p w14:paraId="75B42AF8" w14:textId="10AF6549" w:rsidR="00BB079B" w:rsidRPr="00B57B36" w:rsidRDefault="00786FEF" w:rsidP="001B75BC">
            <w:pPr>
              <w:pStyle w:val="CETBodytext"/>
              <w:ind w:right="-1"/>
              <w:rPr>
                <w:rFonts w:cs="Arial"/>
                <w:szCs w:val="18"/>
                <w:lang w:val="en-GB"/>
              </w:rPr>
            </w:pPr>
            <w:r>
              <w:t>2</w:t>
            </w:r>
            <w:r w:rsidRPr="0019190D">
              <w:t>.</w:t>
            </w:r>
            <w:r>
              <w:t>0</w:t>
            </w:r>
            <w:r w:rsidRPr="0019190D">
              <w:t xml:space="preserve"> </w:t>
            </w:r>
            <w:r w:rsidRPr="00631DBB">
              <w:t>±</w:t>
            </w:r>
            <w:r>
              <w:t xml:space="preserve"> </w:t>
            </w:r>
            <w:r w:rsidRPr="00631DBB">
              <w:t>0.</w:t>
            </w:r>
            <w:r>
              <w:t>1</w:t>
            </w:r>
          </w:p>
        </w:tc>
        <w:tc>
          <w:tcPr>
            <w:tcW w:w="1417" w:type="dxa"/>
            <w:shd w:val="clear" w:color="auto" w:fill="FFFFFF"/>
          </w:tcPr>
          <w:p w14:paraId="1BE164CE" w14:textId="3DABE91F" w:rsidR="00BB079B" w:rsidRPr="00B57B36" w:rsidRDefault="00786FEF" w:rsidP="001B75BC">
            <w:pPr>
              <w:pStyle w:val="CETBodytext"/>
              <w:ind w:right="-1"/>
              <w:rPr>
                <w:rFonts w:cs="Arial"/>
                <w:szCs w:val="18"/>
                <w:lang w:val="en-GB"/>
              </w:rPr>
            </w:pPr>
            <w:r>
              <w:t>2</w:t>
            </w:r>
            <w:r w:rsidRPr="0019190D">
              <w:t>.</w:t>
            </w:r>
            <w:r>
              <w:t>3</w:t>
            </w:r>
            <w:r w:rsidRPr="0019190D">
              <w:t xml:space="preserve"> </w:t>
            </w:r>
            <w:r w:rsidRPr="00631DBB">
              <w:t>±</w:t>
            </w:r>
            <w:r>
              <w:t xml:space="preserve"> </w:t>
            </w:r>
            <w:r w:rsidRPr="00631DBB">
              <w:t>0.</w:t>
            </w:r>
            <w:r>
              <w:t>2</w:t>
            </w:r>
          </w:p>
        </w:tc>
      </w:tr>
      <w:tr w:rsidR="00786FEF" w:rsidRPr="00B57B36" w14:paraId="40597001" w14:textId="77777777" w:rsidTr="009560C8">
        <w:tc>
          <w:tcPr>
            <w:tcW w:w="2105" w:type="dxa"/>
            <w:shd w:val="clear" w:color="auto" w:fill="FFFFFF"/>
          </w:tcPr>
          <w:p w14:paraId="676A576E" w14:textId="4CDCB1DB" w:rsidR="00786FEF" w:rsidRDefault="00786FEF" w:rsidP="001B75BC">
            <w:pPr>
              <w:pStyle w:val="CETBodytext"/>
              <w:rPr>
                <w:lang w:val="en-GB"/>
              </w:rPr>
            </w:pPr>
            <w:r>
              <w:rPr>
                <w:lang w:val="en-GB"/>
              </w:rPr>
              <w:t>Valeric acid</w:t>
            </w:r>
          </w:p>
        </w:tc>
        <w:tc>
          <w:tcPr>
            <w:tcW w:w="1864" w:type="dxa"/>
            <w:shd w:val="clear" w:color="auto" w:fill="FFFFFF"/>
          </w:tcPr>
          <w:p w14:paraId="75A91390" w14:textId="446DBF3B" w:rsidR="00786FEF" w:rsidRDefault="00786FEF" w:rsidP="001B75BC">
            <w:pPr>
              <w:pStyle w:val="CETBodytext"/>
              <w:rPr>
                <w:lang w:val="en-GB"/>
              </w:rPr>
            </w:pPr>
            <w:r>
              <w:rPr>
                <w:lang w:val="en-GB"/>
              </w:rPr>
              <w:t>g O</w:t>
            </w:r>
            <w:r w:rsidRPr="00BB079B">
              <w:rPr>
                <w:vertAlign w:val="subscript"/>
                <w:lang w:val="en-GB"/>
              </w:rPr>
              <w:t>2</w:t>
            </w:r>
            <w:r>
              <w:rPr>
                <w:lang w:val="en-GB"/>
              </w:rPr>
              <w:t>/L</w:t>
            </w:r>
          </w:p>
        </w:tc>
        <w:tc>
          <w:tcPr>
            <w:tcW w:w="1701" w:type="dxa"/>
            <w:shd w:val="clear" w:color="auto" w:fill="FFFFFF"/>
          </w:tcPr>
          <w:p w14:paraId="72607E22" w14:textId="64751A49" w:rsidR="00786FEF" w:rsidRDefault="00786FEF" w:rsidP="001B75BC">
            <w:pPr>
              <w:pStyle w:val="CETBodytext"/>
            </w:pPr>
            <w:r>
              <w:t>0</w:t>
            </w:r>
            <w:r w:rsidRPr="0019190D">
              <w:t>.</w:t>
            </w:r>
            <w:r>
              <w:t>7</w:t>
            </w:r>
            <w:r w:rsidRPr="0019190D">
              <w:t xml:space="preserve"> </w:t>
            </w:r>
            <w:r w:rsidRPr="00631DBB">
              <w:t>±</w:t>
            </w:r>
            <w:r>
              <w:t xml:space="preserve"> </w:t>
            </w:r>
            <w:r w:rsidRPr="00631DBB">
              <w:t>0.</w:t>
            </w:r>
            <w:r>
              <w:t>07</w:t>
            </w:r>
          </w:p>
        </w:tc>
        <w:tc>
          <w:tcPr>
            <w:tcW w:w="1418" w:type="dxa"/>
            <w:shd w:val="clear" w:color="auto" w:fill="FFFFFF"/>
          </w:tcPr>
          <w:p w14:paraId="7AD3E43F" w14:textId="74F8A8C5" w:rsidR="00786FEF" w:rsidRPr="00B57B36" w:rsidRDefault="00786FEF" w:rsidP="001B75BC">
            <w:pPr>
              <w:pStyle w:val="CETBodytext"/>
              <w:ind w:right="-1"/>
              <w:rPr>
                <w:rFonts w:cs="Arial"/>
                <w:szCs w:val="18"/>
                <w:lang w:val="en-GB"/>
              </w:rPr>
            </w:pPr>
            <w:r>
              <w:t>0</w:t>
            </w:r>
            <w:r w:rsidRPr="0019190D">
              <w:t>.</w:t>
            </w:r>
            <w:r>
              <w:t>8</w:t>
            </w:r>
            <w:r w:rsidRPr="0019190D">
              <w:t xml:space="preserve"> </w:t>
            </w:r>
            <w:r w:rsidRPr="00631DBB">
              <w:t>±</w:t>
            </w:r>
            <w:r>
              <w:t xml:space="preserve"> </w:t>
            </w:r>
            <w:r w:rsidRPr="00631DBB">
              <w:t>0.</w:t>
            </w:r>
            <w:r>
              <w:t>04</w:t>
            </w:r>
          </w:p>
        </w:tc>
        <w:tc>
          <w:tcPr>
            <w:tcW w:w="1417" w:type="dxa"/>
            <w:shd w:val="clear" w:color="auto" w:fill="FFFFFF"/>
          </w:tcPr>
          <w:p w14:paraId="2DE83581" w14:textId="0D5004F5" w:rsidR="00786FEF" w:rsidRPr="00B57B36" w:rsidRDefault="00786FEF" w:rsidP="001B75BC">
            <w:pPr>
              <w:pStyle w:val="CETBodytext"/>
              <w:ind w:right="-1"/>
              <w:rPr>
                <w:rFonts w:cs="Arial"/>
                <w:szCs w:val="18"/>
                <w:lang w:val="en-GB"/>
              </w:rPr>
            </w:pPr>
            <w:r>
              <w:t>0</w:t>
            </w:r>
            <w:r w:rsidRPr="0019190D">
              <w:t>.</w:t>
            </w:r>
            <w:r>
              <w:t>9</w:t>
            </w:r>
            <w:r w:rsidRPr="0019190D">
              <w:t xml:space="preserve"> </w:t>
            </w:r>
            <w:r w:rsidRPr="00631DBB">
              <w:t>±</w:t>
            </w:r>
            <w:r>
              <w:t xml:space="preserve"> </w:t>
            </w:r>
            <w:r w:rsidRPr="00631DBB">
              <w:t>0.</w:t>
            </w:r>
            <w:r>
              <w:t>03</w:t>
            </w:r>
          </w:p>
        </w:tc>
      </w:tr>
      <w:tr w:rsidR="00BB079B" w:rsidRPr="00B57B36" w14:paraId="57D8B270" w14:textId="77777777" w:rsidTr="009560C8">
        <w:tc>
          <w:tcPr>
            <w:tcW w:w="2105" w:type="dxa"/>
            <w:shd w:val="clear" w:color="auto" w:fill="FFFFFF"/>
          </w:tcPr>
          <w:p w14:paraId="2ECEB77C" w14:textId="18A44025" w:rsidR="00BB079B" w:rsidRDefault="00BB079B" w:rsidP="001B75BC">
            <w:pPr>
              <w:pStyle w:val="CETBodytext"/>
              <w:rPr>
                <w:lang w:val="en-GB"/>
              </w:rPr>
            </w:pPr>
            <w:r>
              <w:rPr>
                <w:lang w:val="en-GB"/>
              </w:rPr>
              <w:t>Caproic</w:t>
            </w:r>
            <w:r w:rsidR="00786FEF">
              <w:rPr>
                <w:lang w:val="en-GB"/>
              </w:rPr>
              <w:t xml:space="preserve"> acid</w:t>
            </w:r>
          </w:p>
        </w:tc>
        <w:tc>
          <w:tcPr>
            <w:tcW w:w="1864" w:type="dxa"/>
            <w:shd w:val="clear" w:color="auto" w:fill="FFFFFF"/>
          </w:tcPr>
          <w:p w14:paraId="4B61E95C" w14:textId="5809C47D" w:rsidR="00BB079B" w:rsidRPr="00B57B36" w:rsidRDefault="009560C8" w:rsidP="001B75BC">
            <w:pPr>
              <w:pStyle w:val="CETBodytext"/>
              <w:rPr>
                <w:lang w:val="en-GB"/>
              </w:rPr>
            </w:pPr>
            <w:r>
              <w:rPr>
                <w:lang w:val="en-GB"/>
              </w:rPr>
              <w:t>g O</w:t>
            </w:r>
            <w:r w:rsidRPr="00BB079B">
              <w:rPr>
                <w:vertAlign w:val="subscript"/>
                <w:lang w:val="en-GB"/>
              </w:rPr>
              <w:t>2</w:t>
            </w:r>
            <w:r>
              <w:rPr>
                <w:lang w:val="en-GB"/>
              </w:rPr>
              <w:t>/L</w:t>
            </w:r>
          </w:p>
        </w:tc>
        <w:tc>
          <w:tcPr>
            <w:tcW w:w="1701" w:type="dxa"/>
            <w:shd w:val="clear" w:color="auto" w:fill="FFFFFF"/>
          </w:tcPr>
          <w:p w14:paraId="06425C0C" w14:textId="39527153" w:rsidR="00BB079B" w:rsidRPr="00B57B36" w:rsidRDefault="00786FEF" w:rsidP="001B75BC">
            <w:pPr>
              <w:pStyle w:val="CETBodytext"/>
              <w:rPr>
                <w:lang w:val="en-GB"/>
              </w:rPr>
            </w:pPr>
            <w:r>
              <w:t>0</w:t>
            </w:r>
            <w:r w:rsidRPr="0019190D">
              <w:t>.</w:t>
            </w:r>
            <w:r>
              <w:t>7</w:t>
            </w:r>
            <w:r w:rsidRPr="0019190D">
              <w:t xml:space="preserve"> </w:t>
            </w:r>
            <w:r w:rsidRPr="00631DBB">
              <w:t>±</w:t>
            </w:r>
            <w:r>
              <w:t xml:space="preserve"> </w:t>
            </w:r>
            <w:r w:rsidRPr="00631DBB">
              <w:t>0.</w:t>
            </w:r>
            <w:r>
              <w:t>08</w:t>
            </w:r>
          </w:p>
        </w:tc>
        <w:tc>
          <w:tcPr>
            <w:tcW w:w="1418" w:type="dxa"/>
            <w:shd w:val="clear" w:color="auto" w:fill="FFFFFF"/>
          </w:tcPr>
          <w:p w14:paraId="3AD1E1DF" w14:textId="08A21E27" w:rsidR="00BB079B" w:rsidRPr="00B57B36" w:rsidRDefault="00786FEF" w:rsidP="001B75BC">
            <w:pPr>
              <w:pStyle w:val="CETBodytext"/>
              <w:ind w:right="-1"/>
              <w:rPr>
                <w:rFonts w:cs="Arial"/>
                <w:szCs w:val="18"/>
                <w:lang w:val="en-GB"/>
              </w:rPr>
            </w:pPr>
            <w:r>
              <w:t>0</w:t>
            </w:r>
            <w:r w:rsidRPr="0019190D">
              <w:t>.</w:t>
            </w:r>
            <w:r>
              <w:t>8</w:t>
            </w:r>
            <w:r w:rsidRPr="0019190D">
              <w:t xml:space="preserve"> </w:t>
            </w:r>
            <w:r w:rsidRPr="00631DBB">
              <w:t>±</w:t>
            </w:r>
            <w:r>
              <w:t xml:space="preserve"> </w:t>
            </w:r>
            <w:r w:rsidRPr="00631DBB">
              <w:t>0.</w:t>
            </w:r>
            <w:r>
              <w:t>06</w:t>
            </w:r>
          </w:p>
        </w:tc>
        <w:tc>
          <w:tcPr>
            <w:tcW w:w="1417" w:type="dxa"/>
            <w:shd w:val="clear" w:color="auto" w:fill="FFFFFF"/>
          </w:tcPr>
          <w:p w14:paraId="20D2F39E" w14:textId="70E6E200" w:rsidR="00BB079B" w:rsidRPr="00B57B36" w:rsidRDefault="00786FEF" w:rsidP="001B75BC">
            <w:pPr>
              <w:pStyle w:val="CETBodytext"/>
              <w:ind w:right="-1"/>
              <w:rPr>
                <w:rFonts w:cs="Arial"/>
                <w:szCs w:val="18"/>
                <w:lang w:val="en-GB"/>
              </w:rPr>
            </w:pPr>
            <w:r>
              <w:t>0</w:t>
            </w:r>
            <w:r w:rsidRPr="0019190D">
              <w:t>.</w:t>
            </w:r>
            <w:r>
              <w:t>8</w:t>
            </w:r>
            <w:r w:rsidRPr="0019190D">
              <w:t xml:space="preserve"> </w:t>
            </w:r>
            <w:r w:rsidRPr="00631DBB">
              <w:t>±</w:t>
            </w:r>
            <w:r>
              <w:t xml:space="preserve"> </w:t>
            </w:r>
            <w:r w:rsidRPr="00631DBB">
              <w:t>0.</w:t>
            </w:r>
            <w:r>
              <w:t>05</w:t>
            </w:r>
          </w:p>
        </w:tc>
      </w:tr>
      <w:tr w:rsidR="00BB079B" w:rsidRPr="00B57B36" w14:paraId="2E648880" w14:textId="77777777" w:rsidTr="009560C8">
        <w:tc>
          <w:tcPr>
            <w:tcW w:w="2105" w:type="dxa"/>
            <w:shd w:val="clear" w:color="auto" w:fill="FFFFFF"/>
          </w:tcPr>
          <w:p w14:paraId="512B81EC" w14:textId="017B0675" w:rsidR="00BB079B" w:rsidRDefault="00BB079B" w:rsidP="001B75BC">
            <w:pPr>
              <w:pStyle w:val="CETBodytext"/>
              <w:rPr>
                <w:lang w:val="en-GB"/>
              </w:rPr>
            </w:pPr>
            <w:r>
              <w:rPr>
                <w:lang w:val="en-GB"/>
              </w:rPr>
              <w:t xml:space="preserve">Specific </w:t>
            </w:r>
            <w:proofErr w:type="spellStart"/>
            <w:r w:rsidR="009560C8">
              <w:rPr>
                <w:lang w:val="en-GB"/>
              </w:rPr>
              <w:t>R</w:t>
            </w:r>
            <w:r>
              <w:rPr>
                <w:lang w:val="en-GB"/>
              </w:rPr>
              <w:t>ate</w:t>
            </w:r>
            <w:r w:rsidR="009560C8" w:rsidRPr="009560C8">
              <w:rPr>
                <w:vertAlign w:val="superscript"/>
                <w:lang w:val="en-GB"/>
              </w:rPr>
              <w:t>sCSTR</w:t>
            </w:r>
            <w:proofErr w:type="spellEnd"/>
          </w:p>
        </w:tc>
        <w:tc>
          <w:tcPr>
            <w:tcW w:w="1864" w:type="dxa"/>
            <w:shd w:val="clear" w:color="auto" w:fill="FFFFFF"/>
          </w:tcPr>
          <w:p w14:paraId="0D240DD5" w14:textId="35E5A163" w:rsidR="00BB079B" w:rsidRPr="00B57B36" w:rsidRDefault="009B7903" w:rsidP="001B75BC">
            <w:pPr>
              <w:pStyle w:val="CETBodytext"/>
              <w:rPr>
                <w:lang w:val="en-GB"/>
              </w:rPr>
            </w:pPr>
            <w:r>
              <w:rPr>
                <w:lang w:val="en-GB"/>
              </w:rPr>
              <w:t>m</w:t>
            </w:r>
            <w:r w:rsidR="009560C8">
              <w:rPr>
                <w:lang w:val="en-GB"/>
              </w:rPr>
              <w:t>g COD</w:t>
            </w:r>
            <w:r w:rsidR="009560C8" w:rsidRPr="009560C8">
              <w:rPr>
                <w:vertAlign w:val="subscript"/>
                <w:lang w:val="en-GB"/>
              </w:rPr>
              <w:t>VFA</w:t>
            </w:r>
            <w:proofErr w:type="gramStart"/>
            <w:r w:rsidR="009560C8">
              <w:rPr>
                <w:lang w:val="en-GB"/>
              </w:rPr>
              <w:t>/(</w:t>
            </w:r>
            <w:proofErr w:type="gramEnd"/>
            <w:r w:rsidR="009560C8">
              <w:rPr>
                <w:lang w:val="en-GB"/>
              </w:rPr>
              <w:t>gVS</w:t>
            </w:r>
            <w:r w:rsidR="009560C8" w:rsidRPr="009560C8">
              <w:rPr>
                <w:vertAlign w:val="subscript"/>
                <w:lang w:val="en-GB"/>
              </w:rPr>
              <w:t>0</w:t>
            </w:r>
            <w:r w:rsidR="009560C8">
              <w:rPr>
                <w:lang w:val="en-GB"/>
              </w:rPr>
              <w:t xml:space="preserve"> h)</w:t>
            </w:r>
          </w:p>
        </w:tc>
        <w:tc>
          <w:tcPr>
            <w:tcW w:w="1701" w:type="dxa"/>
            <w:shd w:val="clear" w:color="auto" w:fill="FFFFFF"/>
          </w:tcPr>
          <w:p w14:paraId="3B3368B7" w14:textId="4D79788F" w:rsidR="00BB079B" w:rsidRPr="00B57B36" w:rsidRDefault="00824F9C" w:rsidP="001B75BC">
            <w:pPr>
              <w:pStyle w:val="CETBodytext"/>
              <w:rPr>
                <w:lang w:val="en-GB"/>
              </w:rPr>
            </w:pPr>
            <w:r>
              <w:t>39</w:t>
            </w:r>
            <w:r w:rsidRPr="0019190D">
              <w:t xml:space="preserve"> </w:t>
            </w:r>
            <w:r w:rsidRPr="00631DBB">
              <w:t>±</w:t>
            </w:r>
            <w:r>
              <w:t xml:space="preserve"> 2</w:t>
            </w:r>
          </w:p>
        </w:tc>
        <w:tc>
          <w:tcPr>
            <w:tcW w:w="1418" w:type="dxa"/>
            <w:shd w:val="clear" w:color="auto" w:fill="FFFFFF"/>
          </w:tcPr>
          <w:p w14:paraId="3E450122" w14:textId="0B9AEF0A" w:rsidR="00BB079B" w:rsidRPr="00B57B36" w:rsidRDefault="00824F9C" w:rsidP="001B75BC">
            <w:pPr>
              <w:pStyle w:val="CETBodytext"/>
              <w:ind w:right="-1"/>
              <w:rPr>
                <w:rFonts w:cs="Arial"/>
                <w:szCs w:val="18"/>
                <w:lang w:val="en-GB"/>
              </w:rPr>
            </w:pPr>
            <w:r>
              <w:t>35</w:t>
            </w:r>
            <w:r w:rsidRPr="0019190D">
              <w:t xml:space="preserve"> </w:t>
            </w:r>
            <w:r w:rsidRPr="00631DBB">
              <w:t>±</w:t>
            </w:r>
            <w:r>
              <w:t xml:space="preserve"> 2</w:t>
            </w:r>
          </w:p>
        </w:tc>
        <w:tc>
          <w:tcPr>
            <w:tcW w:w="1417" w:type="dxa"/>
            <w:shd w:val="clear" w:color="auto" w:fill="FFFFFF"/>
          </w:tcPr>
          <w:p w14:paraId="78494838" w14:textId="5D625522" w:rsidR="00BB079B" w:rsidRPr="00B57B36" w:rsidRDefault="00824F9C" w:rsidP="001B75BC">
            <w:pPr>
              <w:pStyle w:val="CETBodytext"/>
              <w:ind w:right="-1"/>
              <w:rPr>
                <w:rFonts w:cs="Arial"/>
                <w:szCs w:val="18"/>
                <w:lang w:val="en-GB"/>
              </w:rPr>
            </w:pPr>
            <w:r>
              <w:t>33</w:t>
            </w:r>
            <w:r w:rsidRPr="0019190D">
              <w:t xml:space="preserve"> </w:t>
            </w:r>
            <w:r w:rsidRPr="00631DBB">
              <w:t>±</w:t>
            </w:r>
            <w:r>
              <w:t xml:space="preserve"> 2</w:t>
            </w:r>
          </w:p>
        </w:tc>
      </w:tr>
      <w:tr w:rsidR="009560C8" w:rsidRPr="00B57B36" w14:paraId="16CC7322" w14:textId="77777777" w:rsidTr="009560C8">
        <w:tc>
          <w:tcPr>
            <w:tcW w:w="2105" w:type="dxa"/>
            <w:shd w:val="clear" w:color="auto" w:fill="FFFFFF"/>
          </w:tcPr>
          <w:p w14:paraId="0FF8BAE1" w14:textId="527CD6E8" w:rsidR="00DE29DC" w:rsidRPr="00B57B36" w:rsidRDefault="00BB079B" w:rsidP="001B75BC">
            <w:pPr>
              <w:pStyle w:val="CETBodytext"/>
              <w:ind w:right="-1"/>
              <w:rPr>
                <w:rFonts w:cs="Arial"/>
                <w:szCs w:val="18"/>
                <w:lang w:val="en-GB"/>
              </w:rPr>
            </w:pPr>
            <w:proofErr w:type="spellStart"/>
            <w:r>
              <w:rPr>
                <w:rFonts w:cs="Arial"/>
                <w:szCs w:val="18"/>
                <w:lang w:val="en-GB"/>
              </w:rPr>
              <w:t>Yield</w:t>
            </w:r>
            <w:r w:rsidR="009B7903" w:rsidRPr="009B7903">
              <w:rPr>
                <w:rFonts w:cs="Arial"/>
                <w:szCs w:val="18"/>
                <w:vertAlign w:val="superscript"/>
                <w:lang w:val="en-GB"/>
              </w:rPr>
              <w:t>sCSTR</w:t>
            </w:r>
            <w:proofErr w:type="spellEnd"/>
          </w:p>
        </w:tc>
        <w:tc>
          <w:tcPr>
            <w:tcW w:w="1864" w:type="dxa"/>
            <w:shd w:val="clear" w:color="auto" w:fill="FFFFFF"/>
          </w:tcPr>
          <w:p w14:paraId="542604A2" w14:textId="456D1CEB" w:rsidR="00DE29DC" w:rsidRPr="00B57B36" w:rsidRDefault="009B7903" w:rsidP="001B75BC">
            <w:pPr>
              <w:pStyle w:val="CETBodytext"/>
              <w:ind w:right="-1"/>
              <w:rPr>
                <w:rFonts w:cs="Arial"/>
                <w:szCs w:val="18"/>
                <w:lang w:val="en-GB"/>
              </w:rPr>
            </w:pPr>
            <w:r>
              <w:rPr>
                <w:lang w:val="en-GB"/>
              </w:rPr>
              <w:t>g COD</w:t>
            </w:r>
            <w:r w:rsidRPr="009560C8">
              <w:rPr>
                <w:vertAlign w:val="subscript"/>
                <w:lang w:val="en-GB"/>
              </w:rPr>
              <w:t>VFA</w:t>
            </w:r>
            <w:r>
              <w:rPr>
                <w:lang w:val="en-GB"/>
              </w:rPr>
              <w:t>/gVS</w:t>
            </w:r>
            <w:r w:rsidRPr="009560C8">
              <w:rPr>
                <w:vertAlign w:val="subscript"/>
                <w:lang w:val="en-GB"/>
              </w:rPr>
              <w:t>0</w:t>
            </w:r>
          </w:p>
        </w:tc>
        <w:tc>
          <w:tcPr>
            <w:tcW w:w="1701" w:type="dxa"/>
            <w:shd w:val="clear" w:color="auto" w:fill="FFFFFF"/>
          </w:tcPr>
          <w:p w14:paraId="518C8BD9" w14:textId="345268CA" w:rsidR="00DE29DC" w:rsidRPr="00B57B36" w:rsidRDefault="00824F9C" w:rsidP="001B75BC">
            <w:pPr>
              <w:pStyle w:val="CETBodytext"/>
              <w:ind w:right="-1"/>
              <w:rPr>
                <w:rFonts w:cs="Arial"/>
                <w:szCs w:val="18"/>
                <w:lang w:val="en-GB"/>
              </w:rPr>
            </w:pPr>
            <w:r>
              <w:t>0.22</w:t>
            </w:r>
            <w:r w:rsidRPr="0019190D">
              <w:t xml:space="preserve"> </w:t>
            </w:r>
            <w:r w:rsidRPr="00631DBB">
              <w:t>±</w:t>
            </w:r>
            <w:r>
              <w:t xml:space="preserve"> 0.01</w:t>
            </w:r>
          </w:p>
        </w:tc>
        <w:tc>
          <w:tcPr>
            <w:tcW w:w="1418" w:type="dxa"/>
            <w:shd w:val="clear" w:color="auto" w:fill="FFFFFF"/>
          </w:tcPr>
          <w:p w14:paraId="17DDEB3C" w14:textId="6361AEE1" w:rsidR="00DE29DC" w:rsidRPr="00B57B36" w:rsidRDefault="00824F9C" w:rsidP="001B75BC">
            <w:pPr>
              <w:pStyle w:val="CETBodytext"/>
              <w:ind w:right="-1"/>
              <w:rPr>
                <w:rFonts w:cs="Arial"/>
                <w:szCs w:val="18"/>
                <w:lang w:val="en-GB"/>
              </w:rPr>
            </w:pPr>
            <w:r>
              <w:t>0.26</w:t>
            </w:r>
            <w:r w:rsidRPr="0019190D">
              <w:t xml:space="preserve"> </w:t>
            </w:r>
            <w:r w:rsidRPr="00631DBB">
              <w:t>±</w:t>
            </w:r>
            <w:r>
              <w:t xml:space="preserve"> 0.02</w:t>
            </w:r>
          </w:p>
        </w:tc>
        <w:tc>
          <w:tcPr>
            <w:tcW w:w="1417" w:type="dxa"/>
            <w:shd w:val="clear" w:color="auto" w:fill="FFFFFF"/>
          </w:tcPr>
          <w:p w14:paraId="379629C0" w14:textId="72180D5C" w:rsidR="00DE29DC" w:rsidRPr="00B57B36" w:rsidRDefault="00824F9C" w:rsidP="001B75BC">
            <w:pPr>
              <w:pStyle w:val="CETBodytext"/>
              <w:ind w:right="-1"/>
              <w:rPr>
                <w:rFonts w:cs="Arial"/>
                <w:szCs w:val="18"/>
                <w:lang w:val="en-GB"/>
              </w:rPr>
            </w:pPr>
            <w:r>
              <w:t>0.30</w:t>
            </w:r>
            <w:r w:rsidRPr="0019190D">
              <w:t xml:space="preserve"> </w:t>
            </w:r>
            <w:r w:rsidRPr="00631DBB">
              <w:t>±</w:t>
            </w:r>
            <w:r>
              <w:t xml:space="preserve"> 0.02</w:t>
            </w:r>
          </w:p>
        </w:tc>
      </w:tr>
    </w:tbl>
    <w:p w14:paraId="6AFBC618" w14:textId="77777777" w:rsidR="00DE29DC" w:rsidRDefault="00DE29DC" w:rsidP="00DE29DC">
      <w:pPr>
        <w:pStyle w:val="Paragrafoelenco"/>
        <w:ind w:left="0"/>
      </w:pPr>
    </w:p>
    <w:p w14:paraId="02961241" w14:textId="562998EE" w:rsidR="00E153F2" w:rsidRDefault="00E153F2" w:rsidP="00E153F2">
      <w:pPr>
        <w:pStyle w:val="CETHeading1"/>
        <w:tabs>
          <w:tab w:val="right" w:pos="7100"/>
        </w:tabs>
        <w:jc w:val="both"/>
      </w:pPr>
      <w:r>
        <w:rPr>
          <w:lang w:val="en-GB"/>
        </w:rPr>
        <w:t>Conclusio</w:t>
      </w:r>
      <w:r w:rsidRPr="00376CC5">
        <w:rPr>
          <w:lang w:val="en-GB"/>
        </w:rPr>
        <w:t>n</w:t>
      </w:r>
    </w:p>
    <w:p w14:paraId="54531ECF" w14:textId="5154837E" w:rsidR="00DE29DC" w:rsidRPr="00F65372" w:rsidRDefault="005B18A7" w:rsidP="005202BD">
      <w:pPr>
        <w:pStyle w:val="CETBodytext"/>
        <w:rPr>
          <w:lang w:val="en-GB"/>
        </w:rPr>
      </w:pPr>
      <w:r w:rsidRPr="00F65372">
        <w:rPr>
          <w:lang w:val="en-GB"/>
        </w:rPr>
        <w:t>Thermal</w:t>
      </w:r>
      <w:r w:rsidR="00C81261" w:rsidRPr="00F65372">
        <w:rPr>
          <w:lang w:val="en-GB"/>
        </w:rPr>
        <w:t>, alkaline, and combined pre-treatment of sewage s</w:t>
      </w:r>
      <w:r w:rsidRPr="00F65372">
        <w:rPr>
          <w:lang w:val="en-GB"/>
        </w:rPr>
        <w:t xml:space="preserve">ludge were compared on </w:t>
      </w:r>
      <w:r w:rsidR="00C81261" w:rsidRPr="00F65372">
        <w:rPr>
          <w:lang w:val="en-GB"/>
        </w:rPr>
        <w:t>solubilisation and potential increase of the COD</w:t>
      </w:r>
      <w:r w:rsidR="00C81261" w:rsidRPr="00F65372">
        <w:rPr>
          <w:vertAlign w:val="subscript"/>
          <w:lang w:val="en-GB"/>
        </w:rPr>
        <w:t>SOL</w:t>
      </w:r>
      <w:r w:rsidR="00C81261" w:rsidRPr="00F65372">
        <w:rPr>
          <w:lang w:val="en-GB"/>
        </w:rPr>
        <w:t xml:space="preserve"> to enhance </w:t>
      </w:r>
      <w:r w:rsidR="000C08F3">
        <w:rPr>
          <w:lang w:val="en-GB"/>
        </w:rPr>
        <w:t xml:space="preserve">thermophilic </w:t>
      </w:r>
      <w:r w:rsidRPr="00F65372">
        <w:rPr>
          <w:lang w:val="en-GB"/>
        </w:rPr>
        <w:t xml:space="preserve">VFA </w:t>
      </w:r>
      <w:r w:rsidR="00F65372" w:rsidRPr="00F65372">
        <w:rPr>
          <w:lang w:val="en-GB"/>
        </w:rPr>
        <w:t>production</w:t>
      </w:r>
      <w:r w:rsidRPr="00F65372">
        <w:rPr>
          <w:lang w:val="en-GB"/>
        </w:rPr>
        <w:t xml:space="preserve">. </w:t>
      </w:r>
      <w:r w:rsidR="00744428">
        <w:rPr>
          <w:lang w:val="en-GB"/>
        </w:rPr>
        <w:t>O</w:t>
      </w:r>
      <w:r w:rsidRPr="00F65372">
        <w:rPr>
          <w:lang w:val="en-GB"/>
        </w:rPr>
        <w:t xml:space="preserve">ptimal </w:t>
      </w:r>
      <w:r w:rsidR="00F65372">
        <w:rPr>
          <w:lang w:val="en-GB"/>
        </w:rPr>
        <w:t xml:space="preserve">solubilisation </w:t>
      </w:r>
      <w:r w:rsidRPr="00F65372">
        <w:rPr>
          <w:lang w:val="en-GB"/>
        </w:rPr>
        <w:t xml:space="preserve">was obtained </w:t>
      </w:r>
      <w:r w:rsidR="00F65372">
        <w:rPr>
          <w:lang w:val="en-GB"/>
        </w:rPr>
        <w:t>at 70°C</w:t>
      </w:r>
      <w:r w:rsidR="00744428">
        <w:rPr>
          <w:lang w:val="en-GB"/>
        </w:rPr>
        <w:t xml:space="preserve"> </w:t>
      </w:r>
      <w:r w:rsidR="00F65372">
        <w:rPr>
          <w:lang w:val="en-GB"/>
        </w:rPr>
        <w:t>(no alkaline conditions required), being the COD</w:t>
      </w:r>
      <w:r w:rsidR="00F65372" w:rsidRPr="00C027E0">
        <w:rPr>
          <w:vertAlign w:val="subscript"/>
          <w:lang w:val="en-GB"/>
        </w:rPr>
        <w:t>SOL</w:t>
      </w:r>
      <w:r w:rsidR="00F65372">
        <w:rPr>
          <w:lang w:val="en-GB"/>
        </w:rPr>
        <w:t xml:space="preserve"> increased ten times (roughly) compared to raw sludge</w:t>
      </w:r>
      <w:r w:rsidRPr="00F65372">
        <w:rPr>
          <w:lang w:val="en-GB"/>
        </w:rPr>
        <w:t xml:space="preserve">. </w:t>
      </w:r>
      <w:r w:rsidR="00F65372">
        <w:rPr>
          <w:lang w:val="en-GB"/>
        </w:rPr>
        <w:t xml:space="preserve">The following acidification process was conducted at three different HRTs (4, 5 and 6 days). </w:t>
      </w:r>
      <w:r w:rsidR="00006632">
        <w:rPr>
          <w:lang w:val="en-GB"/>
        </w:rPr>
        <w:t>Despite of the lower specific rate at HRT of 6 days, this condition appeared more suitable for the COD</w:t>
      </w:r>
      <w:r w:rsidR="00006632" w:rsidRPr="00006632">
        <w:rPr>
          <w:vertAlign w:val="subscript"/>
          <w:lang w:val="en-GB"/>
        </w:rPr>
        <w:t>SOL</w:t>
      </w:r>
      <w:r w:rsidR="00006632">
        <w:rPr>
          <w:lang w:val="en-GB"/>
        </w:rPr>
        <w:t xml:space="preserve"> conversion into VFA, having the highest VFA concentration</w:t>
      </w:r>
      <w:r w:rsidR="003D2EF4">
        <w:rPr>
          <w:lang w:val="en-GB"/>
        </w:rPr>
        <w:t xml:space="preserve"> (</w:t>
      </w:r>
      <w:r w:rsidR="003D2EF4" w:rsidRPr="0019190D">
        <w:t xml:space="preserve">7.3 </w:t>
      </w:r>
      <w:r w:rsidR="003D2EF4">
        <w:rPr>
          <w:lang w:val="en-GB"/>
        </w:rPr>
        <w:t>g O</w:t>
      </w:r>
      <w:r w:rsidR="003D2EF4" w:rsidRPr="00BB079B">
        <w:rPr>
          <w:vertAlign w:val="subscript"/>
          <w:lang w:val="en-GB"/>
        </w:rPr>
        <w:t>2</w:t>
      </w:r>
      <w:r w:rsidR="003D2EF4">
        <w:rPr>
          <w:lang w:val="en-GB"/>
        </w:rPr>
        <w:t>/L)</w:t>
      </w:r>
      <w:r w:rsidR="00006632">
        <w:rPr>
          <w:lang w:val="en-GB"/>
        </w:rPr>
        <w:t xml:space="preserve">, acidification yield </w:t>
      </w:r>
      <w:r w:rsidR="003D2EF4">
        <w:rPr>
          <w:lang w:val="en-GB"/>
        </w:rPr>
        <w:t>(0.30 g COD</w:t>
      </w:r>
      <w:r w:rsidR="003D2EF4" w:rsidRPr="009560C8">
        <w:rPr>
          <w:vertAlign w:val="subscript"/>
          <w:lang w:val="en-GB"/>
        </w:rPr>
        <w:t>VFA</w:t>
      </w:r>
      <w:r w:rsidR="003D2EF4">
        <w:rPr>
          <w:lang w:val="en-GB"/>
        </w:rPr>
        <w:t>/gVS</w:t>
      </w:r>
      <w:r w:rsidR="003D2EF4" w:rsidRPr="009560C8">
        <w:rPr>
          <w:vertAlign w:val="subscript"/>
          <w:lang w:val="en-GB"/>
        </w:rPr>
        <w:t>0</w:t>
      </w:r>
      <w:r w:rsidR="003D2EF4">
        <w:rPr>
          <w:lang w:val="en-GB"/>
        </w:rPr>
        <w:t xml:space="preserve">) </w:t>
      </w:r>
      <w:r w:rsidR="00006632">
        <w:rPr>
          <w:lang w:val="en-GB"/>
        </w:rPr>
        <w:t>and COD</w:t>
      </w:r>
      <w:r w:rsidR="00006632" w:rsidRPr="00006632">
        <w:rPr>
          <w:vertAlign w:val="subscript"/>
          <w:lang w:val="en-GB"/>
        </w:rPr>
        <w:t>VFA</w:t>
      </w:r>
      <w:r w:rsidR="00006632">
        <w:rPr>
          <w:lang w:val="en-GB"/>
        </w:rPr>
        <w:t>/COD</w:t>
      </w:r>
      <w:r w:rsidR="00006632" w:rsidRPr="00006632">
        <w:rPr>
          <w:vertAlign w:val="subscript"/>
          <w:lang w:val="en-GB"/>
        </w:rPr>
        <w:t>SOL</w:t>
      </w:r>
      <w:r w:rsidR="00006632">
        <w:rPr>
          <w:lang w:val="en-GB"/>
        </w:rPr>
        <w:t xml:space="preserve"> ratio</w:t>
      </w:r>
      <w:r w:rsidR="003D2EF4">
        <w:rPr>
          <w:lang w:val="en-GB"/>
        </w:rPr>
        <w:t xml:space="preserve"> (</w:t>
      </w:r>
      <w:r w:rsidR="003D2EF4">
        <w:t>0</w:t>
      </w:r>
      <w:r w:rsidR="003D2EF4" w:rsidRPr="0019190D">
        <w:t>.</w:t>
      </w:r>
      <w:r w:rsidR="003D2EF4">
        <w:t>72</w:t>
      </w:r>
      <w:r w:rsidR="003D2EF4">
        <w:rPr>
          <w:lang w:val="en-GB"/>
        </w:rPr>
        <w:t>)</w:t>
      </w:r>
      <w:r w:rsidR="00006632">
        <w:rPr>
          <w:lang w:val="en-GB"/>
        </w:rPr>
        <w:t xml:space="preserve">. These results open the discussion for further investigation in a perspective of </w:t>
      </w:r>
      <w:r w:rsidR="00C027E0">
        <w:rPr>
          <w:lang w:val="en-GB"/>
        </w:rPr>
        <w:t>sewage sludge utilisation within the WWTPs facilities, for the enhancement of nutrients removal from municipal wastewater or biopolymer production in a biorefinery technology chain</w:t>
      </w:r>
      <w:r w:rsidRPr="00F65372">
        <w:rPr>
          <w:lang w:val="en-GB"/>
        </w:rPr>
        <w:t>.</w:t>
      </w:r>
    </w:p>
    <w:p w14:paraId="54A876F3" w14:textId="77777777" w:rsidR="00007BC7" w:rsidRPr="00F65372" w:rsidRDefault="00007BC7" w:rsidP="00007BC7">
      <w:pPr>
        <w:pStyle w:val="CETAcknowledgementstitle"/>
      </w:pPr>
      <w:r w:rsidRPr="00F65372">
        <w:t>Acknowledgments</w:t>
      </w:r>
    </w:p>
    <w:p w14:paraId="5DE81FCB" w14:textId="5CE91629" w:rsidR="00007BC7" w:rsidRPr="00F65372" w:rsidRDefault="00007BC7" w:rsidP="00007BC7">
      <w:pPr>
        <w:pStyle w:val="CETBodytext"/>
        <w:rPr>
          <w:lang w:val="en-GB"/>
        </w:rPr>
      </w:pPr>
      <w:r w:rsidRPr="00F65372">
        <w:rPr>
          <w:lang w:val="en-GB"/>
        </w:rPr>
        <w:t>This work was partially supported by DAIS - Ca’ Foscari University of Venice, within the IRIDE program.</w:t>
      </w:r>
    </w:p>
    <w:p w14:paraId="2D188E95" w14:textId="77777777" w:rsidR="00007BC7" w:rsidRPr="00B57B36" w:rsidRDefault="00007BC7" w:rsidP="00007BC7">
      <w:pPr>
        <w:pStyle w:val="CETReference"/>
      </w:pPr>
      <w:r w:rsidRPr="00F65372">
        <w:t>References</w:t>
      </w:r>
    </w:p>
    <w:p w14:paraId="3900DCF8" w14:textId="4A7979C2" w:rsidR="0073060C" w:rsidRPr="0073060C" w:rsidRDefault="0073060C" w:rsidP="0044626A">
      <w:pPr>
        <w:pStyle w:val="CETBodytext"/>
        <w:ind w:left="284" w:hanging="284"/>
        <w:rPr>
          <w:lang w:val="en-GB"/>
        </w:rPr>
      </w:pPr>
      <w:proofErr w:type="spellStart"/>
      <w:r w:rsidRPr="0073060C">
        <w:rPr>
          <w:lang w:val="en-GB"/>
        </w:rPr>
        <w:t>Braguglia</w:t>
      </w:r>
      <w:proofErr w:type="spellEnd"/>
      <w:r w:rsidRPr="0073060C">
        <w:rPr>
          <w:lang w:val="en-GB"/>
        </w:rPr>
        <w:t xml:space="preserve"> C., Gallipoli A., </w:t>
      </w:r>
      <w:proofErr w:type="spellStart"/>
      <w:r w:rsidRPr="0073060C">
        <w:rPr>
          <w:lang w:val="en-GB"/>
        </w:rPr>
        <w:t>Gianico</w:t>
      </w:r>
      <w:proofErr w:type="spellEnd"/>
      <w:r w:rsidRPr="0073060C">
        <w:rPr>
          <w:lang w:val="en-GB"/>
        </w:rPr>
        <w:t xml:space="preserve"> A., </w:t>
      </w:r>
      <w:proofErr w:type="spellStart"/>
      <w:r w:rsidRPr="0073060C">
        <w:rPr>
          <w:lang w:val="en-GB"/>
        </w:rPr>
        <w:t>Pagliaccia</w:t>
      </w:r>
      <w:proofErr w:type="spellEnd"/>
      <w:r w:rsidR="003D2EF4">
        <w:rPr>
          <w:lang w:val="en-GB"/>
        </w:rPr>
        <w:t xml:space="preserve"> P</w:t>
      </w:r>
      <w:r w:rsidRPr="0073060C">
        <w:rPr>
          <w:lang w:val="en-GB"/>
        </w:rPr>
        <w:t>., 2018, Anaerobic bioconversion of food waste into energy: A critical review, Bioresource Technology, 248, 37-56.</w:t>
      </w:r>
    </w:p>
    <w:p w14:paraId="19E807A5" w14:textId="27FA1C2C" w:rsidR="00582D9C" w:rsidRDefault="00582D9C" w:rsidP="0044626A">
      <w:pPr>
        <w:pStyle w:val="CETBodytext"/>
        <w:ind w:left="284" w:hanging="284"/>
        <w:rPr>
          <w:lang w:val="en-GB"/>
        </w:rPr>
      </w:pPr>
      <w:r w:rsidRPr="0073060C">
        <w:t>Li X., Liu G., Liu S., Ma K., Meng L., 2018</w:t>
      </w:r>
      <w:r w:rsidR="0073060C" w:rsidRPr="0073060C">
        <w:t>,</w:t>
      </w:r>
      <w:r w:rsidRPr="0073060C">
        <w:t xml:space="preserve"> </w:t>
      </w:r>
      <w:r w:rsidRPr="00582D9C">
        <w:rPr>
          <w:lang w:val="en-GB"/>
        </w:rPr>
        <w:t>The relationship between volatile fatty acids accumulation and microbial community succession triggered by excess sludge alkaline fermentation</w:t>
      </w:r>
      <w:r w:rsidR="00B05451">
        <w:rPr>
          <w:lang w:val="en-GB"/>
        </w:rPr>
        <w:t xml:space="preserve">, </w:t>
      </w:r>
      <w:r w:rsidRPr="00582D9C">
        <w:rPr>
          <w:lang w:val="en-GB"/>
        </w:rPr>
        <w:t>J</w:t>
      </w:r>
      <w:r w:rsidR="00B05451">
        <w:rPr>
          <w:lang w:val="en-GB"/>
        </w:rPr>
        <w:t xml:space="preserve">ournal of </w:t>
      </w:r>
      <w:r w:rsidRPr="00582D9C">
        <w:rPr>
          <w:lang w:val="en-GB"/>
        </w:rPr>
        <w:t>Environ</w:t>
      </w:r>
      <w:r w:rsidR="00B05451">
        <w:rPr>
          <w:lang w:val="en-GB"/>
        </w:rPr>
        <w:t xml:space="preserve">mental Management, </w:t>
      </w:r>
      <w:r w:rsidRPr="00582D9C">
        <w:rPr>
          <w:lang w:val="en-GB"/>
        </w:rPr>
        <w:t>223, 85</w:t>
      </w:r>
      <w:r w:rsidR="00B05451">
        <w:rPr>
          <w:lang w:val="en-GB"/>
        </w:rPr>
        <w:t>-</w:t>
      </w:r>
      <w:r w:rsidRPr="00582D9C">
        <w:rPr>
          <w:lang w:val="en-GB"/>
        </w:rPr>
        <w:t>91.</w:t>
      </w:r>
    </w:p>
    <w:p w14:paraId="018BC80A" w14:textId="02563D47" w:rsidR="0044626A" w:rsidRDefault="0044626A" w:rsidP="0044626A">
      <w:pPr>
        <w:pStyle w:val="CETBodytext"/>
        <w:ind w:left="284" w:hanging="284"/>
        <w:rPr>
          <w:lang w:val="en-GB"/>
        </w:rPr>
      </w:pPr>
      <w:r w:rsidRPr="0044626A">
        <w:rPr>
          <w:lang w:val="en-GB"/>
        </w:rPr>
        <w:t>Liu He, Han P., Liu H</w:t>
      </w:r>
      <w:r w:rsidR="00B05451">
        <w:rPr>
          <w:lang w:val="en-GB"/>
        </w:rPr>
        <w:t>.</w:t>
      </w:r>
      <w:r w:rsidRPr="0044626A">
        <w:rPr>
          <w:lang w:val="en-GB"/>
        </w:rPr>
        <w:t>, Zhou G., Fu B., Zheng Z., 2018</w:t>
      </w:r>
      <w:r w:rsidR="00B05451">
        <w:rPr>
          <w:lang w:val="en-GB"/>
        </w:rPr>
        <w:t>,</w:t>
      </w:r>
      <w:r w:rsidRPr="0044626A">
        <w:rPr>
          <w:lang w:val="en-GB"/>
        </w:rPr>
        <w:t xml:space="preserve"> Full-scale production of VFAs from sewage sludge by anaerobic alkaline fermentation to improve biological nutrients removal in domestic wastewater</w:t>
      </w:r>
      <w:r w:rsidR="00B05451">
        <w:rPr>
          <w:lang w:val="en-GB"/>
        </w:rPr>
        <w:t>,</w:t>
      </w:r>
      <w:r w:rsidRPr="0044626A">
        <w:rPr>
          <w:lang w:val="en-GB"/>
        </w:rPr>
        <w:t xml:space="preserve"> Bioresour</w:t>
      </w:r>
      <w:r w:rsidR="00B05451">
        <w:rPr>
          <w:lang w:val="en-GB"/>
        </w:rPr>
        <w:t xml:space="preserve">ce </w:t>
      </w:r>
      <w:r w:rsidRPr="0044626A">
        <w:rPr>
          <w:lang w:val="en-GB"/>
        </w:rPr>
        <w:t>Technol</w:t>
      </w:r>
      <w:r w:rsidR="00B05451">
        <w:rPr>
          <w:lang w:val="en-GB"/>
        </w:rPr>
        <w:t xml:space="preserve">ogy, </w:t>
      </w:r>
      <w:r w:rsidRPr="0044626A">
        <w:rPr>
          <w:lang w:val="en-GB"/>
        </w:rPr>
        <w:t>260, 105</w:t>
      </w:r>
      <w:r w:rsidR="00B05451">
        <w:rPr>
          <w:lang w:val="en-GB"/>
        </w:rPr>
        <w:t>-</w:t>
      </w:r>
      <w:r w:rsidRPr="0044626A">
        <w:rPr>
          <w:lang w:val="en-GB"/>
        </w:rPr>
        <w:t>114.</w:t>
      </w:r>
    </w:p>
    <w:p w14:paraId="48F8C5B8" w14:textId="77777777" w:rsidR="00B05451" w:rsidRPr="0044626A" w:rsidRDefault="00B05451" w:rsidP="00B05451">
      <w:pPr>
        <w:pStyle w:val="CETBodytext"/>
        <w:rPr>
          <w:lang w:val="en-GB"/>
        </w:rPr>
      </w:pPr>
      <w:r w:rsidRPr="0044626A">
        <w:rPr>
          <w:lang w:val="en-GB"/>
        </w:rPr>
        <w:t xml:space="preserve">Moretto G., Russo I., </w:t>
      </w:r>
      <w:proofErr w:type="spellStart"/>
      <w:r w:rsidRPr="0044626A">
        <w:rPr>
          <w:lang w:val="en-GB"/>
        </w:rPr>
        <w:t>Bolzonella</w:t>
      </w:r>
      <w:proofErr w:type="spellEnd"/>
      <w:r w:rsidRPr="0044626A">
        <w:rPr>
          <w:lang w:val="en-GB"/>
        </w:rPr>
        <w:t xml:space="preserve"> D., Pavan P., </w:t>
      </w:r>
      <w:proofErr w:type="spellStart"/>
      <w:r w:rsidRPr="0044626A">
        <w:rPr>
          <w:lang w:val="en-GB"/>
        </w:rPr>
        <w:t>Majone</w:t>
      </w:r>
      <w:proofErr w:type="spellEnd"/>
      <w:r w:rsidRPr="0044626A">
        <w:rPr>
          <w:lang w:val="en-GB"/>
        </w:rPr>
        <w:t xml:space="preserve"> M., Valentino F., 2020, An urban biorefinery for food</w:t>
      </w:r>
    </w:p>
    <w:p w14:paraId="0AC5F2E6" w14:textId="77777777" w:rsidR="00B05451" w:rsidRPr="0044626A" w:rsidRDefault="00B05451" w:rsidP="00B05451">
      <w:pPr>
        <w:pStyle w:val="CETBodytext"/>
        <w:ind w:left="284" w:hanging="284"/>
        <w:rPr>
          <w:lang w:val="en-GB"/>
        </w:rPr>
      </w:pPr>
      <w:r>
        <w:rPr>
          <w:lang w:val="en-GB"/>
        </w:rPr>
        <w:tab/>
      </w:r>
      <w:r w:rsidRPr="0044626A">
        <w:rPr>
          <w:lang w:val="en-GB"/>
        </w:rPr>
        <w:t>waste and biological sludge conversion into polyhydroxyalkanoates and biogas, Water Research, 170,</w:t>
      </w:r>
    </w:p>
    <w:p w14:paraId="670406DE" w14:textId="77777777" w:rsidR="00B05451" w:rsidRDefault="00B05451" w:rsidP="00B05451">
      <w:pPr>
        <w:pStyle w:val="CETBodytext"/>
        <w:ind w:left="284"/>
        <w:rPr>
          <w:lang w:val="en-GB"/>
        </w:rPr>
      </w:pPr>
      <w:r w:rsidRPr="0044626A">
        <w:rPr>
          <w:lang w:val="en-GB"/>
        </w:rPr>
        <w:t>115371.</w:t>
      </w:r>
    </w:p>
    <w:p w14:paraId="6A6BDAC9" w14:textId="33F5F2D5" w:rsidR="00C81261" w:rsidRDefault="00B05451" w:rsidP="003D2EF4">
      <w:pPr>
        <w:pStyle w:val="CETBodytext"/>
        <w:ind w:left="284" w:hanging="284"/>
        <w:rPr>
          <w:lang w:val="en-GB"/>
        </w:rPr>
      </w:pPr>
      <w:r w:rsidRPr="00723631">
        <w:rPr>
          <w:lang w:val="en-GB"/>
        </w:rPr>
        <w:t>Morgan-</w:t>
      </w:r>
      <w:proofErr w:type="spellStart"/>
      <w:r w:rsidRPr="00723631">
        <w:rPr>
          <w:lang w:val="en-GB"/>
        </w:rPr>
        <w:t>Sagastume</w:t>
      </w:r>
      <w:proofErr w:type="spellEnd"/>
      <w:r w:rsidRPr="00723631">
        <w:rPr>
          <w:lang w:val="en-GB"/>
        </w:rPr>
        <w:t xml:space="preserve"> F., </w:t>
      </w:r>
      <w:proofErr w:type="spellStart"/>
      <w:r w:rsidRPr="00723631">
        <w:rPr>
          <w:lang w:val="en-GB"/>
        </w:rPr>
        <w:t>Hjort</w:t>
      </w:r>
      <w:proofErr w:type="spellEnd"/>
      <w:r w:rsidRPr="00723631">
        <w:rPr>
          <w:lang w:val="en-GB"/>
        </w:rPr>
        <w:t xml:space="preserve"> M., </w:t>
      </w:r>
      <w:proofErr w:type="spellStart"/>
      <w:r w:rsidRPr="00723631">
        <w:rPr>
          <w:lang w:val="en-GB"/>
        </w:rPr>
        <w:t>Cirne</w:t>
      </w:r>
      <w:proofErr w:type="spellEnd"/>
      <w:r w:rsidRPr="00723631">
        <w:rPr>
          <w:lang w:val="en-GB"/>
        </w:rPr>
        <w:t xml:space="preserve"> D., </w:t>
      </w:r>
      <w:proofErr w:type="spellStart"/>
      <w:r w:rsidRPr="00723631">
        <w:rPr>
          <w:lang w:val="en-GB"/>
        </w:rPr>
        <w:t>Gérardin</w:t>
      </w:r>
      <w:proofErr w:type="spellEnd"/>
      <w:r w:rsidRPr="00723631">
        <w:rPr>
          <w:lang w:val="en-GB"/>
        </w:rPr>
        <w:t xml:space="preserve"> F., Lacroix S., </w:t>
      </w:r>
      <w:proofErr w:type="spellStart"/>
      <w:r w:rsidRPr="00723631">
        <w:rPr>
          <w:lang w:val="en-GB"/>
        </w:rPr>
        <w:t>Gaval</w:t>
      </w:r>
      <w:proofErr w:type="spellEnd"/>
      <w:r w:rsidRPr="00723631">
        <w:rPr>
          <w:lang w:val="en-GB"/>
        </w:rPr>
        <w:t xml:space="preserve"> G., </w:t>
      </w:r>
      <w:proofErr w:type="spellStart"/>
      <w:r w:rsidRPr="00723631">
        <w:rPr>
          <w:lang w:val="en-GB"/>
        </w:rPr>
        <w:t>Karabegovic</w:t>
      </w:r>
      <w:proofErr w:type="spellEnd"/>
      <w:r w:rsidRPr="00723631">
        <w:rPr>
          <w:lang w:val="en-GB"/>
        </w:rPr>
        <w:t xml:space="preserve"> L., </w:t>
      </w:r>
      <w:proofErr w:type="spellStart"/>
      <w:r w:rsidRPr="00723631">
        <w:rPr>
          <w:lang w:val="en-GB"/>
        </w:rPr>
        <w:t>Alexandersson</w:t>
      </w:r>
      <w:proofErr w:type="spellEnd"/>
      <w:r w:rsidRPr="00723631">
        <w:rPr>
          <w:lang w:val="en-GB"/>
        </w:rPr>
        <w:t xml:space="preserve"> T., Johansson P., Karlsson A., Bengtsson S., </w:t>
      </w:r>
      <w:proofErr w:type="spellStart"/>
      <w:r w:rsidRPr="00723631">
        <w:rPr>
          <w:lang w:val="en-GB"/>
        </w:rPr>
        <w:t>Arcos</w:t>
      </w:r>
      <w:proofErr w:type="spellEnd"/>
      <w:r w:rsidRPr="00723631">
        <w:rPr>
          <w:lang w:val="en-GB"/>
        </w:rPr>
        <w:t xml:space="preserve">-Hernández M.V., Magnusson P., </w:t>
      </w:r>
      <w:proofErr w:type="spellStart"/>
      <w:r w:rsidRPr="00723631">
        <w:rPr>
          <w:lang w:val="en-GB"/>
        </w:rPr>
        <w:t>Werker</w:t>
      </w:r>
      <w:proofErr w:type="spellEnd"/>
      <w:r w:rsidRPr="00723631">
        <w:rPr>
          <w:lang w:val="en-GB"/>
        </w:rPr>
        <w:t xml:space="preserve"> A</w:t>
      </w:r>
      <w:r>
        <w:rPr>
          <w:lang w:val="en-GB"/>
        </w:rPr>
        <w:t>.</w:t>
      </w:r>
      <w:r w:rsidRPr="00723631">
        <w:rPr>
          <w:lang w:val="en-GB"/>
        </w:rPr>
        <w:t>, 2015, Integrated production of polyhydroxyalkanoates (PHAs) with municipal wastewater and sludge treatment at pilot scale, Bioresource Technology, 181, 78-89.</w:t>
      </w:r>
    </w:p>
    <w:p w14:paraId="7D719F41" w14:textId="04882B68" w:rsidR="000C08F3" w:rsidRPr="00B74A9C" w:rsidRDefault="000C08F3" w:rsidP="003D2EF4">
      <w:pPr>
        <w:pStyle w:val="CETBodytext"/>
        <w:ind w:left="284" w:hanging="284"/>
      </w:pPr>
      <w:proofErr w:type="spellStart"/>
      <w:r w:rsidRPr="00B74A9C">
        <w:t>Presti</w:t>
      </w:r>
      <w:proofErr w:type="spellEnd"/>
      <w:r w:rsidRPr="00B74A9C">
        <w:t xml:space="preserve"> D., Cosenza A., Capri F.C., Gallo G., </w:t>
      </w:r>
      <w:proofErr w:type="spellStart"/>
      <w:r w:rsidRPr="00B74A9C">
        <w:t>Alduina</w:t>
      </w:r>
      <w:proofErr w:type="spellEnd"/>
      <w:r w:rsidRPr="00B74A9C">
        <w:t xml:space="preserve"> R., </w:t>
      </w:r>
      <w:proofErr w:type="spellStart"/>
      <w:r w:rsidRPr="00B74A9C">
        <w:t>Mannina</w:t>
      </w:r>
      <w:proofErr w:type="spellEnd"/>
      <w:r w:rsidRPr="00B74A9C">
        <w:t xml:space="preserve"> G., 2021, Influence of volatile solids and pH </w:t>
      </w:r>
      <w:proofErr w:type="gramStart"/>
      <w:r w:rsidRPr="00B74A9C">
        <w:t>for the production of</w:t>
      </w:r>
      <w:proofErr w:type="gramEnd"/>
      <w:r w:rsidRPr="00B74A9C">
        <w:t xml:space="preserve"> volatile fatty acids: Batch fermentation tests using sewage sludge</w:t>
      </w:r>
      <w:r>
        <w:t>,</w:t>
      </w:r>
      <w:r w:rsidRPr="000C08F3">
        <w:t xml:space="preserve"> Bioresource Technology 342</w:t>
      </w:r>
      <w:r>
        <w:t>,</w:t>
      </w:r>
      <w:r w:rsidRPr="000C08F3">
        <w:t xml:space="preserve"> 125853</w:t>
      </w:r>
      <w:r>
        <w:t>.</w:t>
      </w:r>
    </w:p>
    <w:p w14:paraId="0E88899D" w14:textId="0FE8A0C2" w:rsidR="00723631" w:rsidRPr="00723631" w:rsidRDefault="00723631" w:rsidP="00723631">
      <w:pPr>
        <w:pStyle w:val="CETBodytext"/>
        <w:rPr>
          <w:lang w:val="en-GB"/>
        </w:rPr>
      </w:pPr>
      <w:proofErr w:type="spellStart"/>
      <w:r w:rsidRPr="00723631">
        <w:rPr>
          <w:lang w:val="en-GB"/>
        </w:rPr>
        <w:t>Strazzera</w:t>
      </w:r>
      <w:proofErr w:type="spellEnd"/>
      <w:r w:rsidRPr="00723631">
        <w:rPr>
          <w:lang w:val="en-GB"/>
        </w:rPr>
        <w:t xml:space="preserve"> G., Battista F., Garcia N.H., </w:t>
      </w:r>
      <w:proofErr w:type="spellStart"/>
      <w:r w:rsidRPr="00723631">
        <w:rPr>
          <w:lang w:val="en-GB"/>
        </w:rPr>
        <w:t>Frison</w:t>
      </w:r>
      <w:proofErr w:type="spellEnd"/>
      <w:r w:rsidRPr="00723631">
        <w:rPr>
          <w:lang w:val="en-GB"/>
        </w:rPr>
        <w:t xml:space="preserve"> N., </w:t>
      </w:r>
      <w:proofErr w:type="spellStart"/>
      <w:r w:rsidRPr="00723631">
        <w:rPr>
          <w:lang w:val="en-GB"/>
        </w:rPr>
        <w:t>Bolzonella</w:t>
      </w:r>
      <w:proofErr w:type="spellEnd"/>
      <w:r w:rsidRPr="00723631">
        <w:rPr>
          <w:lang w:val="en-GB"/>
        </w:rPr>
        <w:t xml:space="preserve"> D., 2018, Volatile fatty acids production from food</w:t>
      </w:r>
    </w:p>
    <w:p w14:paraId="58F1F09C" w14:textId="767C17B1" w:rsidR="00007BC7" w:rsidRDefault="00361400" w:rsidP="0044626A">
      <w:pPr>
        <w:pStyle w:val="CETBodytext"/>
        <w:ind w:left="284" w:hanging="284"/>
        <w:rPr>
          <w:lang w:val="en-GB"/>
        </w:rPr>
      </w:pPr>
      <w:r>
        <w:rPr>
          <w:lang w:val="en-GB"/>
        </w:rPr>
        <w:tab/>
      </w:r>
      <w:r w:rsidR="00723631" w:rsidRPr="00723631">
        <w:rPr>
          <w:lang w:val="en-GB"/>
        </w:rPr>
        <w:t>wastes for biorefinery platforms: A review, Journal of Environmental Management, 226, 278-288.</w:t>
      </w:r>
    </w:p>
    <w:p w14:paraId="313AC256" w14:textId="07F47515" w:rsidR="00723631" w:rsidRDefault="00723631" w:rsidP="00361400">
      <w:pPr>
        <w:pStyle w:val="CETBodytext"/>
        <w:ind w:left="284" w:hanging="284"/>
        <w:rPr>
          <w:lang w:val="en-GB"/>
        </w:rPr>
      </w:pPr>
      <w:proofErr w:type="spellStart"/>
      <w:r w:rsidRPr="00723631">
        <w:rPr>
          <w:lang w:val="en-GB"/>
        </w:rPr>
        <w:t>Villano</w:t>
      </w:r>
      <w:proofErr w:type="spellEnd"/>
      <w:r w:rsidRPr="00723631">
        <w:rPr>
          <w:lang w:val="en-GB"/>
        </w:rPr>
        <w:t xml:space="preserve"> M., </w:t>
      </w:r>
      <w:proofErr w:type="spellStart"/>
      <w:r w:rsidRPr="00723631">
        <w:rPr>
          <w:lang w:val="en-GB"/>
        </w:rPr>
        <w:t>Lampis</w:t>
      </w:r>
      <w:proofErr w:type="spellEnd"/>
      <w:r w:rsidRPr="00723631">
        <w:rPr>
          <w:lang w:val="en-GB"/>
        </w:rPr>
        <w:t xml:space="preserve"> S., Valentino F., </w:t>
      </w:r>
      <w:proofErr w:type="spellStart"/>
      <w:r w:rsidRPr="00723631">
        <w:rPr>
          <w:lang w:val="en-GB"/>
        </w:rPr>
        <w:t>Vallini</w:t>
      </w:r>
      <w:proofErr w:type="spellEnd"/>
      <w:r w:rsidRPr="00723631">
        <w:rPr>
          <w:lang w:val="en-GB"/>
        </w:rPr>
        <w:t xml:space="preserve"> G., </w:t>
      </w:r>
      <w:proofErr w:type="spellStart"/>
      <w:r w:rsidRPr="00723631">
        <w:rPr>
          <w:lang w:val="en-GB"/>
        </w:rPr>
        <w:t>Majone</w:t>
      </w:r>
      <w:proofErr w:type="spellEnd"/>
      <w:r w:rsidRPr="00723631">
        <w:rPr>
          <w:lang w:val="en-GB"/>
        </w:rPr>
        <w:t xml:space="preserve"> M., </w:t>
      </w:r>
      <w:proofErr w:type="spellStart"/>
      <w:r w:rsidRPr="00723631">
        <w:rPr>
          <w:lang w:val="en-GB"/>
        </w:rPr>
        <w:t>Beccari</w:t>
      </w:r>
      <w:proofErr w:type="spellEnd"/>
      <w:r w:rsidRPr="00723631">
        <w:rPr>
          <w:lang w:val="en-GB"/>
        </w:rPr>
        <w:t xml:space="preserve"> M., 2010, Effect of hydraulic and organic loads in Sequencing Batch Reactor on microbial ecology of activated sludge and storage of polyhydroxyalkanoates, Chemical Engineering Transactions, 20, 187-192.</w:t>
      </w:r>
    </w:p>
    <w:p w14:paraId="176BA0B7" w14:textId="4F98458E" w:rsidR="00723631" w:rsidRPr="008B4017" w:rsidRDefault="0044626A" w:rsidP="003D2EF4">
      <w:pPr>
        <w:pStyle w:val="CETBodytext"/>
        <w:ind w:left="284" w:hanging="284"/>
        <w:rPr>
          <w:lang w:val="en-GB"/>
        </w:rPr>
      </w:pPr>
      <w:r w:rsidRPr="0044626A">
        <w:rPr>
          <w:lang w:val="en-GB"/>
        </w:rPr>
        <w:t>Zhang D., Jiang H., Chang J., Sun J., Tu W., Wang H., 2019</w:t>
      </w:r>
      <w:r w:rsidR="00B05451">
        <w:rPr>
          <w:lang w:val="en-GB"/>
        </w:rPr>
        <w:t>,</w:t>
      </w:r>
      <w:r w:rsidRPr="0044626A">
        <w:rPr>
          <w:lang w:val="en-GB"/>
        </w:rPr>
        <w:t xml:space="preserve"> Effect of thermal hydrolysis </w:t>
      </w:r>
      <w:proofErr w:type="spellStart"/>
      <w:r w:rsidRPr="0044626A">
        <w:rPr>
          <w:lang w:val="en-GB"/>
        </w:rPr>
        <w:t>pretreatment</w:t>
      </w:r>
      <w:proofErr w:type="spellEnd"/>
      <w:r w:rsidRPr="0044626A">
        <w:rPr>
          <w:lang w:val="en-GB"/>
        </w:rPr>
        <w:t xml:space="preserve"> on volatile fatty acids production in sludge acidification and subsequent polyhydroxyalkanoates production</w:t>
      </w:r>
      <w:r w:rsidR="00B05451">
        <w:rPr>
          <w:lang w:val="en-GB"/>
        </w:rPr>
        <w:t>,</w:t>
      </w:r>
      <w:r w:rsidRPr="0044626A">
        <w:rPr>
          <w:lang w:val="en-GB"/>
        </w:rPr>
        <w:t xml:space="preserve"> Bioresour</w:t>
      </w:r>
      <w:r w:rsidR="00B05451">
        <w:rPr>
          <w:lang w:val="en-GB"/>
        </w:rPr>
        <w:t>ce</w:t>
      </w:r>
      <w:r w:rsidRPr="0044626A">
        <w:rPr>
          <w:lang w:val="en-GB"/>
        </w:rPr>
        <w:t xml:space="preserve"> Technol</w:t>
      </w:r>
      <w:r w:rsidR="00B05451">
        <w:rPr>
          <w:lang w:val="en-GB"/>
        </w:rPr>
        <w:t>ogy,</w:t>
      </w:r>
      <w:r w:rsidRPr="0044626A">
        <w:rPr>
          <w:lang w:val="en-GB"/>
        </w:rPr>
        <w:t xml:space="preserve"> 279, 92</w:t>
      </w:r>
      <w:r w:rsidR="00B05451">
        <w:rPr>
          <w:lang w:val="en-GB"/>
        </w:rPr>
        <w:t>-</w:t>
      </w:r>
      <w:r w:rsidRPr="0044626A">
        <w:rPr>
          <w:lang w:val="en-GB"/>
        </w:rPr>
        <w:t>100.</w:t>
      </w:r>
    </w:p>
    <w:sectPr w:rsidR="00723631" w:rsidRPr="008B4017" w:rsidSect="005E27B8">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614A" w14:textId="77777777" w:rsidR="00AE6505" w:rsidRDefault="00AE6505" w:rsidP="004F5E36">
      <w:r>
        <w:separator/>
      </w:r>
    </w:p>
  </w:endnote>
  <w:endnote w:type="continuationSeparator" w:id="0">
    <w:p w14:paraId="0D7BE9FA" w14:textId="77777777" w:rsidR="00AE6505" w:rsidRDefault="00AE650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85CA" w14:textId="77777777" w:rsidR="00AE6505" w:rsidRDefault="00AE6505" w:rsidP="004F5E36">
      <w:r>
        <w:separator/>
      </w:r>
    </w:p>
  </w:footnote>
  <w:footnote w:type="continuationSeparator" w:id="0">
    <w:p w14:paraId="339C445D" w14:textId="77777777" w:rsidR="00AE6505" w:rsidRDefault="00AE650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B5C2B68"/>
    <w:multiLevelType w:val="hybridMultilevel"/>
    <w:tmpl w:val="70C6FE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4FAKk8yLctAAAA"/>
  </w:docVars>
  <w:rsids>
    <w:rsidRoot w:val="000E414A"/>
    <w:rsid w:val="000027C0"/>
    <w:rsid w:val="000052FB"/>
    <w:rsid w:val="00006632"/>
    <w:rsid w:val="00007BC7"/>
    <w:rsid w:val="000117CB"/>
    <w:rsid w:val="00014BA8"/>
    <w:rsid w:val="00021B6A"/>
    <w:rsid w:val="0003148D"/>
    <w:rsid w:val="00031EEC"/>
    <w:rsid w:val="00051566"/>
    <w:rsid w:val="00062A9A"/>
    <w:rsid w:val="00063D6F"/>
    <w:rsid w:val="00065058"/>
    <w:rsid w:val="000753D0"/>
    <w:rsid w:val="000776D2"/>
    <w:rsid w:val="000810A0"/>
    <w:rsid w:val="0008149D"/>
    <w:rsid w:val="00086C39"/>
    <w:rsid w:val="000A03B2"/>
    <w:rsid w:val="000C08F3"/>
    <w:rsid w:val="000D0268"/>
    <w:rsid w:val="000D34BE"/>
    <w:rsid w:val="000D67BB"/>
    <w:rsid w:val="000E102F"/>
    <w:rsid w:val="000E36F1"/>
    <w:rsid w:val="000E3A73"/>
    <w:rsid w:val="000E414A"/>
    <w:rsid w:val="000F093C"/>
    <w:rsid w:val="000F787B"/>
    <w:rsid w:val="000F7A2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66D4A"/>
    <w:rsid w:val="001841DC"/>
    <w:rsid w:val="00184AD6"/>
    <w:rsid w:val="00186268"/>
    <w:rsid w:val="001A4AF7"/>
    <w:rsid w:val="001A6B4B"/>
    <w:rsid w:val="001B0349"/>
    <w:rsid w:val="001B1E93"/>
    <w:rsid w:val="001B65C1"/>
    <w:rsid w:val="001C684B"/>
    <w:rsid w:val="001D0CFB"/>
    <w:rsid w:val="001D0FE4"/>
    <w:rsid w:val="001D21AF"/>
    <w:rsid w:val="001D53FC"/>
    <w:rsid w:val="001F42A5"/>
    <w:rsid w:val="001F7B9D"/>
    <w:rsid w:val="00201C93"/>
    <w:rsid w:val="00216E55"/>
    <w:rsid w:val="002224B4"/>
    <w:rsid w:val="00226D91"/>
    <w:rsid w:val="002447EF"/>
    <w:rsid w:val="00251550"/>
    <w:rsid w:val="00263B05"/>
    <w:rsid w:val="002650F6"/>
    <w:rsid w:val="0027221A"/>
    <w:rsid w:val="00275B61"/>
    <w:rsid w:val="00280FAF"/>
    <w:rsid w:val="00282656"/>
    <w:rsid w:val="00285270"/>
    <w:rsid w:val="00296B83"/>
    <w:rsid w:val="002A69CD"/>
    <w:rsid w:val="002B4015"/>
    <w:rsid w:val="002B6E0B"/>
    <w:rsid w:val="002B78CE"/>
    <w:rsid w:val="002C287B"/>
    <w:rsid w:val="002C2FB6"/>
    <w:rsid w:val="002E0677"/>
    <w:rsid w:val="002E0AF3"/>
    <w:rsid w:val="002E5FA7"/>
    <w:rsid w:val="002F3309"/>
    <w:rsid w:val="003008CE"/>
    <w:rsid w:val="003009B7"/>
    <w:rsid w:val="00300E56"/>
    <w:rsid w:val="00302F52"/>
    <w:rsid w:val="0030469C"/>
    <w:rsid w:val="00321CA6"/>
    <w:rsid w:val="00323763"/>
    <w:rsid w:val="00334C09"/>
    <w:rsid w:val="003467AD"/>
    <w:rsid w:val="00351513"/>
    <w:rsid w:val="003520CA"/>
    <w:rsid w:val="00361400"/>
    <w:rsid w:val="003723D4"/>
    <w:rsid w:val="00376CC5"/>
    <w:rsid w:val="00381905"/>
    <w:rsid w:val="00384CC8"/>
    <w:rsid w:val="003871FD"/>
    <w:rsid w:val="003A1E30"/>
    <w:rsid w:val="003A2829"/>
    <w:rsid w:val="003A7D1C"/>
    <w:rsid w:val="003B304B"/>
    <w:rsid w:val="003B3146"/>
    <w:rsid w:val="003B5A9E"/>
    <w:rsid w:val="003C2946"/>
    <w:rsid w:val="003D1B89"/>
    <w:rsid w:val="003D2EF4"/>
    <w:rsid w:val="003F015E"/>
    <w:rsid w:val="00400414"/>
    <w:rsid w:val="00405CC6"/>
    <w:rsid w:val="00413B50"/>
    <w:rsid w:val="0041446B"/>
    <w:rsid w:val="00420A37"/>
    <w:rsid w:val="0042258C"/>
    <w:rsid w:val="0044071E"/>
    <w:rsid w:val="0044329C"/>
    <w:rsid w:val="0044626A"/>
    <w:rsid w:val="00453E24"/>
    <w:rsid w:val="00457456"/>
    <w:rsid w:val="004577FE"/>
    <w:rsid w:val="00457B9C"/>
    <w:rsid w:val="0046164A"/>
    <w:rsid w:val="004628D2"/>
    <w:rsid w:val="00462DCD"/>
    <w:rsid w:val="004648AD"/>
    <w:rsid w:val="004703A9"/>
    <w:rsid w:val="004760DE"/>
    <w:rsid w:val="004763D7"/>
    <w:rsid w:val="00481924"/>
    <w:rsid w:val="00486824"/>
    <w:rsid w:val="00490FD8"/>
    <w:rsid w:val="004A004E"/>
    <w:rsid w:val="004A1281"/>
    <w:rsid w:val="004A24CF"/>
    <w:rsid w:val="004B5D90"/>
    <w:rsid w:val="004C3D1D"/>
    <w:rsid w:val="004C7913"/>
    <w:rsid w:val="004D03B8"/>
    <w:rsid w:val="004E4DD6"/>
    <w:rsid w:val="004F5E36"/>
    <w:rsid w:val="00507B47"/>
    <w:rsid w:val="00507BEF"/>
    <w:rsid w:val="00507CC9"/>
    <w:rsid w:val="005119A5"/>
    <w:rsid w:val="00516819"/>
    <w:rsid w:val="005202BD"/>
    <w:rsid w:val="005278B7"/>
    <w:rsid w:val="00532016"/>
    <w:rsid w:val="005346C8"/>
    <w:rsid w:val="005362B8"/>
    <w:rsid w:val="00543E7D"/>
    <w:rsid w:val="00547A68"/>
    <w:rsid w:val="005531C9"/>
    <w:rsid w:val="00561EAE"/>
    <w:rsid w:val="00570C43"/>
    <w:rsid w:val="00582D9C"/>
    <w:rsid w:val="005A7ADE"/>
    <w:rsid w:val="005B18A7"/>
    <w:rsid w:val="005B2110"/>
    <w:rsid w:val="005B61E6"/>
    <w:rsid w:val="005C6317"/>
    <w:rsid w:val="005C77E1"/>
    <w:rsid w:val="005D0E74"/>
    <w:rsid w:val="005D668A"/>
    <w:rsid w:val="005D6A2F"/>
    <w:rsid w:val="005E1A82"/>
    <w:rsid w:val="005E27B8"/>
    <w:rsid w:val="005E794C"/>
    <w:rsid w:val="005F0A28"/>
    <w:rsid w:val="005F0E5E"/>
    <w:rsid w:val="00600535"/>
    <w:rsid w:val="00604911"/>
    <w:rsid w:val="00610CD6"/>
    <w:rsid w:val="006125AB"/>
    <w:rsid w:val="00612C1C"/>
    <w:rsid w:val="00620DEE"/>
    <w:rsid w:val="00621F92"/>
    <w:rsid w:val="0062280A"/>
    <w:rsid w:val="00625639"/>
    <w:rsid w:val="00631B33"/>
    <w:rsid w:val="00631DBB"/>
    <w:rsid w:val="0064184D"/>
    <w:rsid w:val="006422CC"/>
    <w:rsid w:val="00660E3E"/>
    <w:rsid w:val="00662E74"/>
    <w:rsid w:val="00680C23"/>
    <w:rsid w:val="006848C9"/>
    <w:rsid w:val="00685C19"/>
    <w:rsid w:val="00693766"/>
    <w:rsid w:val="006A3281"/>
    <w:rsid w:val="006B4888"/>
    <w:rsid w:val="006C2E45"/>
    <w:rsid w:val="006C359C"/>
    <w:rsid w:val="006C5579"/>
    <w:rsid w:val="006D2965"/>
    <w:rsid w:val="006D6E8B"/>
    <w:rsid w:val="006E737D"/>
    <w:rsid w:val="00702DB8"/>
    <w:rsid w:val="00713973"/>
    <w:rsid w:val="00720A24"/>
    <w:rsid w:val="00723631"/>
    <w:rsid w:val="00724B68"/>
    <w:rsid w:val="0073060C"/>
    <w:rsid w:val="00732386"/>
    <w:rsid w:val="0073465C"/>
    <w:rsid w:val="0073514D"/>
    <w:rsid w:val="00736EA3"/>
    <w:rsid w:val="00744428"/>
    <w:rsid w:val="007447F3"/>
    <w:rsid w:val="0075499F"/>
    <w:rsid w:val="007661C8"/>
    <w:rsid w:val="0077098D"/>
    <w:rsid w:val="00786FEF"/>
    <w:rsid w:val="007931FA"/>
    <w:rsid w:val="0079554E"/>
    <w:rsid w:val="007A4861"/>
    <w:rsid w:val="007A7BBA"/>
    <w:rsid w:val="007B0C50"/>
    <w:rsid w:val="007B48F9"/>
    <w:rsid w:val="007C1A43"/>
    <w:rsid w:val="007C2BA8"/>
    <w:rsid w:val="007E2C31"/>
    <w:rsid w:val="007E698B"/>
    <w:rsid w:val="0080013E"/>
    <w:rsid w:val="00812BBB"/>
    <w:rsid w:val="00813288"/>
    <w:rsid w:val="008168FC"/>
    <w:rsid w:val="00824F9C"/>
    <w:rsid w:val="00825988"/>
    <w:rsid w:val="00830996"/>
    <w:rsid w:val="00832DF7"/>
    <w:rsid w:val="008345F1"/>
    <w:rsid w:val="0085271D"/>
    <w:rsid w:val="00865B07"/>
    <w:rsid w:val="008667EA"/>
    <w:rsid w:val="0087637F"/>
    <w:rsid w:val="0088091A"/>
    <w:rsid w:val="00881A9D"/>
    <w:rsid w:val="00892AD5"/>
    <w:rsid w:val="008A1512"/>
    <w:rsid w:val="008A3BF4"/>
    <w:rsid w:val="008B1E3B"/>
    <w:rsid w:val="008B4017"/>
    <w:rsid w:val="008C5E05"/>
    <w:rsid w:val="008D32B9"/>
    <w:rsid w:val="008D433B"/>
    <w:rsid w:val="008E566E"/>
    <w:rsid w:val="0090161A"/>
    <w:rsid w:val="00901EB6"/>
    <w:rsid w:val="00904C62"/>
    <w:rsid w:val="009143DB"/>
    <w:rsid w:val="00922BA8"/>
    <w:rsid w:val="00924DAC"/>
    <w:rsid w:val="00927058"/>
    <w:rsid w:val="009300A9"/>
    <w:rsid w:val="00942750"/>
    <w:rsid w:val="009450CE"/>
    <w:rsid w:val="00945AB6"/>
    <w:rsid w:val="00947179"/>
    <w:rsid w:val="0095164B"/>
    <w:rsid w:val="00954090"/>
    <w:rsid w:val="009560C8"/>
    <w:rsid w:val="009573E7"/>
    <w:rsid w:val="00963E05"/>
    <w:rsid w:val="00964A45"/>
    <w:rsid w:val="00967843"/>
    <w:rsid w:val="00967D54"/>
    <w:rsid w:val="00971028"/>
    <w:rsid w:val="00974AC1"/>
    <w:rsid w:val="00975F62"/>
    <w:rsid w:val="00993B84"/>
    <w:rsid w:val="00996483"/>
    <w:rsid w:val="00996F5A"/>
    <w:rsid w:val="009B041A"/>
    <w:rsid w:val="009B7903"/>
    <w:rsid w:val="009C37C3"/>
    <w:rsid w:val="009C7A7D"/>
    <w:rsid w:val="009C7C86"/>
    <w:rsid w:val="009D2FF7"/>
    <w:rsid w:val="009D3C1B"/>
    <w:rsid w:val="009E5347"/>
    <w:rsid w:val="009E7884"/>
    <w:rsid w:val="009E788A"/>
    <w:rsid w:val="009F053C"/>
    <w:rsid w:val="009F0E08"/>
    <w:rsid w:val="009F3773"/>
    <w:rsid w:val="00A1763D"/>
    <w:rsid w:val="00A17CEC"/>
    <w:rsid w:val="00A27EF0"/>
    <w:rsid w:val="00A42361"/>
    <w:rsid w:val="00A50B20"/>
    <w:rsid w:val="00A51390"/>
    <w:rsid w:val="00A60D13"/>
    <w:rsid w:val="00A719D3"/>
    <w:rsid w:val="00A72745"/>
    <w:rsid w:val="00A76EFC"/>
    <w:rsid w:val="00A91010"/>
    <w:rsid w:val="00A91C87"/>
    <w:rsid w:val="00A97F29"/>
    <w:rsid w:val="00AA702E"/>
    <w:rsid w:val="00AB0964"/>
    <w:rsid w:val="00AB5011"/>
    <w:rsid w:val="00AC35BA"/>
    <w:rsid w:val="00AC7368"/>
    <w:rsid w:val="00AD16B9"/>
    <w:rsid w:val="00AD3ACC"/>
    <w:rsid w:val="00AE36C2"/>
    <w:rsid w:val="00AE377D"/>
    <w:rsid w:val="00AE6505"/>
    <w:rsid w:val="00AF0EBA"/>
    <w:rsid w:val="00AF6775"/>
    <w:rsid w:val="00B0017D"/>
    <w:rsid w:val="00B02C8A"/>
    <w:rsid w:val="00B05451"/>
    <w:rsid w:val="00B16F2A"/>
    <w:rsid w:val="00B17FBD"/>
    <w:rsid w:val="00B315A6"/>
    <w:rsid w:val="00B31813"/>
    <w:rsid w:val="00B32E80"/>
    <w:rsid w:val="00B33365"/>
    <w:rsid w:val="00B41537"/>
    <w:rsid w:val="00B57B36"/>
    <w:rsid w:val="00B57E6F"/>
    <w:rsid w:val="00B6682E"/>
    <w:rsid w:val="00B72362"/>
    <w:rsid w:val="00B74622"/>
    <w:rsid w:val="00B74A9C"/>
    <w:rsid w:val="00B766EE"/>
    <w:rsid w:val="00B81F1C"/>
    <w:rsid w:val="00B8686D"/>
    <w:rsid w:val="00B93F69"/>
    <w:rsid w:val="00BB079B"/>
    <w:rsid w:val="00BB1DDC"/>
    <w:rsid w:val="00BC30C9"/>
    <w:rsid w:val="00BC4B2E"/>
    <w:rsid w:val="00BD032F"/>
    <w:rsid w:val="00BD077D"/>
    <w:rsid w:val="00BE3E58"/>
    <w:rsid w:val="00C01616"/>
    <w:rsid w:val="00C0162B"/>
    <w:rsid w:val="00C027E0"/>
    <w:rsid w:val="00C068ED"/>
    <w:rsid w:val="00C22E0C"/>
    <w:rsid w:val="00C345B1"/>
    <w:rsid w:val="00C40142"/>
    <w:rsid w:val="00C45B81"/>
    <w:rsid w:val="00C52C3C"/>
    <w:rsid w:val="00C57182"/>
    <w:rsid w:val="00C57863"/>
    <w:rsid w:val="00C57EDF"/>
    <w:rsid w:val="00C604C9"/>
    <w:rsid w:val="00C655FD"/>
    <w:rsid w:val="00C75407"/>
    <w:rsid w:val="00C76728"/>
    <w:rsid w:val="00C81261"/>
    <w:rsid w:val="00C85302"/>
    <w:rsid w:val="00C870A8"/>
    <w:rsid w:val="00C94434"/>
    <w:rsid w:val="00CA0D75"/>
    <w:rsid w:val="00CA1C95"/>
    <w:rsid w:val="00CA5A9C"/>
    <w:rsid w:val="00CC4C20"/>
    <w:rsid w:val="00CD3517"/>
    <w:rsid w:val="00CD5FE2"/>
    <w:rsid w:val="00CE5AFF"/>
    <w:rsid w:val="00CE7C68"/>
    <w:rsid w:val="00D02B4C"/>
    <w:rsid w:val="00D03607"/>
    <w:rsid w:val="00D040C4"/>
    <w:rsid w:val="00D05EBD"/>
    <w:rsid w:val="00D21031"/>
    <w:rsid w:val="00D22A2C"/>
    <w:rsid w:val="00D44C4E"/>
    <w:rsid w:val="00D46B7E"/>
    <w:rsid w:val="00D522CF"/>
    <w:rsid w:val="00D57C84"/>
    <w:rsid w:val="00D6057D"/>
    <w:rsid w:val="00D71640"/>
    <w:rsid w:val="00D836C5"/>
    <w:rsid w:val="00D84576"/>
    <w:rsid w:val="00D855A2"/>
    <w:rsid w:val="00D94696"/>
    <w:rsid w:val="00DA1399"/>
    <w:rsid w:val="00DA1940"/>
    <w:rsid w:val="00DA24C6"/>
    <w:rsid w:val="00DA424F"/>
    <w:rsid w:val="00DA4D7B"/>
    <w:rsid w:val="00DE264A"/>
    <w:rsid w:val="00DE29DC"/>
    <w:rsid w:val="00DF08F6"/>
    <w:rsid w:val="00DF5072"/>
    <w:rsid w:val="00E02D18"/>
    <w:rsid w:val="00E041E7"/>
    <w:rsid w:val="00E078BD"/>
    <w:rsid w:val="00E1017B"/>
    <w:rsid w:val="00E153F2"/>
    <w:rsid w:val="00E23CA1"/>
    <w:rsid w:val="00E31F64"/>
    <w:rsid w:val="00E32318"/>
    <w:rsid w:val="00E409A8"/>
    <w:rsid w:val="00E50C12"/>
    <w:rsid w:val="00E65B91"/>
    <w:rsid w:val="00E7209D"/>
    <w:rsid w:val="00E72D4D"/>
    <w:rsid w:val="00E72EAD"/>
    <w:rsid w:val="00E77223"/>
    <w:rsid w:val="00E80158"/>
    <w:rsid w:val="00E8528B"/>
    <w:rsid w:val="00E85B94"/>
    <w:rsid w:val="00E85DA0"/>
    <w:rsid w:val="00E9265D"/>
    <w:rsid w:val="00E978D0"/>
    <w:rsid w:val="00EA42B2"/>
    <w:rsid w:val="00EA4613"/>
    <w:rsid w:val="00EA7F91"/>
    <w:rsid w:val="00EB0E82"/>
    <w:rsid w:val="00EB1523"/>
    <w:rsid w:val="00EB6F53"/>
    <w:rsid w:val="00EC0E49"/>
    <w:rsid w:val="00EC101F"/>
    <w:rsid w:val="00EC1D9F"/>
    <w:rsid w:val="00ED1500"/>
    <w:rsid w:val="00EE0131"/>
    <w:rsid w:val="00EE17B0"/>
    <w:rsid w:val="00EF06D9"/>
    <w:rsid w:val="00F150B7"/>
    <w:rsid w:val="00F30C64"/>
    <w:rsid w:val="00F32BA2"/>
    <w:rsid w:val="00F32CDB"/>
    <w:rsid w:val="00F44678"/>
    <w:rsid w:val="00F565FE"/>
    <w:rsid w:val="00F57C36"/>
    <w:rsid w:val="00F625D3"/>
    <w:rsid w:val="00F63A70"/>
    <w:rsid w:val="00F65372"/>
    <w:rsid w:val="00F7534E"/>
    <w:rsid w:val="00F7785E"/>
    <w:rsid w:val="00F94258"/>
    <w:rsid w:val="00FA1802"/>
    <w:rsid w:val="00FA21D0"/>
    <w:rsid w:val="00FA2A9C"/>
    <w:rsid w:val="00FA5F5F"/>
    <w:rsid w:val="00FB730C"/>
    <w:rsid w:val="00FC2695"/>
    <w:rsid w:val="00FC3E03"/>
    <w:rsid w:val="00FC3FC1"/>
    <w:rsid w:val="00FE5875"/>
    <w:rsid w:val="00FF1D1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5651CC28-517B-44F9-BC02-50DA1659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Menzionenonrisolta">
    <w:name w:val="Unresolved Mention"/>
    <w:basedOn w:val="Carpredefinitoparagrafo"/>
    <w:uiPriority w:val="99"/>
    <w:semiHidden/>
    <w:unhideWhenUsed/>
    <w:rsid w:val="00361400"/>
    <w:rPr>
      <w:color w:val="605E5C"/>
      <w:shd w:val="clear" w:color="auto" w:fill="E1DFDD"/>
    </w:rPr>
  </w:style>
  <w:style w:type="paragraph" w:styleId="Revisione">
    <w:name w:val="Revision"/>
    <w:hidden/>
    <w:uiPriority w:val="99"/>
    <w:semiHidden/>
    <w:rsid w:val="00881A9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28823">
      <w:bodyDiv w:val="1"/>
      <w:marLeft w:val="0"/>
      <w:marRight w:val="0"/>
      <w:marTop w:val="0"/>
      <w:marBottom w:val="0"/>
      <w:divBdr>
        <w:top w:val="none" w:sz="0" w:space="0" w:color="auto"/>
        <w:left w:val="none" w:sz="0" w:space="0" w:color="auto"/>
        <w:bottom w:val="none" w:sz="0" w:space="0" w:color="auto"/>
        <w:right w:val="none" w:sz="0" w:space="0" w:color="auto"/>
      </w:divBdr>
      <w:divsChild>
        <w:div w:id="1464231767">
          <w:marLeft w:val="0"/>
          <w:marRight w:val="0"/>
          <w:marTop w:val="0"/>
          <w:marBottom w:val="0"/>
          <w:divBdr>
            <w:top w:val="none" w:sz="0" w:space="0" w:color="auto"/>
            <w:left w:val="none" w:sz="0" w:space="0" w:color="auto"/>
            <w:bottom w:val="none" w:sz="0" w:space="0" w:color="auto"/>
            <w:right w:val="none" w:sz="0" w:space="0" w:color="auto"/>
          </w:divBdr>
          <w:divsChild>
            <w:div w:id="2117554534">
              <w:marLeft w:val="0"/>
              <w:marRight w:val="0"/>
              <w:marTop w:val="0"/>
              <w:marBottom w:val="0"/>
              <w:divBdr>
                <w:top w:val="none" w:sz="0" w:space="0" w:color="auto"/>
                <w:left w:val="none" w:sz="0" w:space="0" w:color="auto"/>
                <w:bottom w:val="none" w:sz="0" w:space="0" w:color="auto"/>
                <w:right w:val="none" w:sz="0" w:space="0" w:color="auto"/>
              </w:divBdr>
              <w:divsChild>
                <w:div w:id="2675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3C3F-18B4-40D2-BFA5-DCF057B0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3678</Words>
  <Characters>20967</Characters>
  <Application>Microsoft Office Word</Application>
  <DocSecurity>0</DocSecurity>
  <Lines>174</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Francesco Valentino</cp:lastModifiedBy>
  <cp:revision>4</cp:revision>
  <cp:lastPrinted>2015-05-12T18:31:00Z</cp:lastPrinted>
  <dcterms:created xsi:type="dcterms:W3CDTF">2022-02-23T09:38:00Z</dcterms:created>
  <dcterms:modified xsi:type="dcterms:W3CDTF">2022-02-23T15:03:00Z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