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167F3" w:rsidRPr="00F167F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167F3" w:rsidRDefault="000A03B2" w:rsidP="00DE264A">
            <w:pPr>
              <w:tabs>
                <w:tab w:val="left" w:pos="-108"/>
              </w:tabs>
              <w:ind w:left="-108"/>
              <w:jc w:val="left"/>
              <w:rPr>
                <w:rFonts w:cs="Arial"/>
                <w:b/>
                <w:bCs/>
                <w:i/>
                <w:iCs/>
                <w:sz w:val="12"/>
                <w:szCs w:val="12"/>
                <w:lang w:eastAsia="it-IT"/>
              </w:rPr>
            </w:pPr>
            <w:r w:rsidRPr="00F167F3">
              <w:rPr>
                <w:rFonts w:ascii="AdvP6960" w:hAnsi="AdvP6960" w:cs="AdvP6960"/>
                <w:noProof/>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167F3">
              <w:rPr>
                <w:rFonts w:ascii="AdvP6960" w:hAnsi="AdvP6960" w:cs="AdvP6960"/>
                <w:szCs w:val="18"/>
                <w:lang w:eastAsia="it-IT"/>
              </w:rPr>
              <w:t xml:space="preserve"> </w:t>
            </w:r>
            <w:r w:rsidRPr="00F167F3">
              <w:rPr>
                <w:rFonts w:cs="Arial"/>
                <w:b/>
                <w:bCs/>
                <w:i/>
                <w:iCs/>
                <w:sz w:val="24"/>
                <w:szCs w:val="24"/>
                <w:lang w:eastAsia="it-IT"/>
              </w:rPr>
              <w:t>CHEMICAL ENGINEERING TRANSACTIONS</w:t>
            </w:r>
            <w:r w:rsidRPr="00F167F3">
              <w:rPr>
                <w:sz w:val="24"/>
                <w:szCs w:val="24"/>
                <w:lang w:eastAsia="it-IT"/>
              </w:rPr>
              <w:t xml:space="preserve"> </w:t>
            </w:r>
            <w:r w:rsidRPr="00F167F3">
              <w:rPr>
                <w:rFonts w:cs="Arial"/>
                <w:b/>
                <w:bCs/>
                <w:i/>
                <w:iCs/>
                <w:sz w:val="27"/>
                <w:szCs w:val="27"/>
                <w:lang w:eastAsia="it-IT"/>
              </w:rPr>
              <w:br/>
            </w:r>
          </w:p>
          <w:p w14:paraId="4B780582" w14:textId="254CE268" w:rsidR="000A03B2" w:rsidRPr="00F167F3" w:rsidRDefault="00A76EFC" w:rsidP="00604911">
            <w:pPr>
              <w:tabs>
                <w:tab w:val="left" w:pos="-108"/>
              </w:tabs>
              <w:ind w:left="-108"/>
              <w:rPr>
                <w:rFonts w:cs="Arial"/>
                <w:b/>
                <w:bCs/>
                <w:i/>
                <w:iCs/>
                <w:sz w:val="22"/>
                <w:szCs w:val="22"/>
                <w:lang w:eastAsia="it-IT"/>
              </w:rPr>
            </w:pPr>
            <w:r w:rsidRPr="00F167F3">
              <w:rPr>
                <w:rFonts w:cs="Arial"/>
                <w:b/>
                <w:bCs/>
                <w:i/>
                <w:iCs/>
                <w:sz w:val="22"/>
                <w:szCs w:val="22"/>
                <w:lang w:eastAsia="it-IT"/>
              </w:rPr>
              <w:t xml:space="preserve">VOL. </w:t>
            </w:r>
            <w:r w:rsidR="00D46B7E" w:rsidRPr="00F167F3">
              <w:rPr>
                <w:rFonts w:cs="Arial"/>
                <w:b/>
                <w:bCs/>
                <w:i/>
                <w:iCs/>
                <w:sz w:val="22"/>
                <w:szCs w:val="22"/>
                <w:lang w:eastAsia="it-IT"/>
              </w:rPr>
              <w:t>9</w:t>
            </w:r>
            <w:r w:rsidR="00604911" w:rsidRPr="00F167F3">
              <w:rPr>
                <w:rFonts w:cs="Arial"/>
                <w:b/>
                <w:bCs/>
                <w:i/>
                <w:iCs/>
                <w:sz w:val="22"/>
                <w:szCs w:val="22"/>
                <w:lang w:eastAsia="it-IT"/>
              </w:rPr>
              <w:t>3</w:t>
            </w:r>
            <w:r w:rsidR="007B48F9" w:rsidRPr="00F167F3">
              <w:rPr>
                <w:rFonts w:cs="Arial"/>
                <w:b/>
                <w:bCs/>
                <w:i/>
                <w:iCs/>
                <w:sz w:val="22"/>
                <w:szCs w:val="22"/>
                <w:lang w:eastAsia="it-IT"/>
              </w:rPr>
              <w:t>,</w:t>
            </w:r>
            <w:r w:rsidR="00FA5F5F" w:rsidRPr="00F167F3">
              <w:rPr>
                <w:rFonts w:cs="Arial"/>
                <w:b/>
                <w:bCs/>
                <w:i/>
                <w:iCs/>
                <w:sz w:val="22"/>
                <w:szCs w:val="22"/>
                <w:lang w:eastAsia="it-IT"/>
              </w:rPr>
              <w:t xml:space="preserve"> 20</w:t>
            </w:r>
            <w:r w:rsidR="00DF5072" w:rsidRPr="00F167F3">
              <w:rPr>
                <w:rFonts w:cs="Arial"/>
                <w:b/>
                <w:bCs/>
                <w:i/>
                <w:iCs/>
                <w:sz w:val="22"/>
                <w:szCs w:val="22"/>
                <w:lang w:eastAsia="it-IT"/>
              </w:rPr>
              <w:t>2</w:t>
            </w:r>
            <w:r w:rsidR="007B48F9" w:rsidRPr="00F167F3">
              <w:rPr>
                <w:rFonts w:cs="Arial"/>
                <w:b/>
                <w:bCs/>
                <w:i/>
                <w:iCs/>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F167F3" w:rsidRDefault="000A03B2" w:rsidP="00CD5FE2">
            <w:pPr>
              <w:spacing w:line="140" w:lineRule="atLeast"/>
              <w:jc w:val="right"/>
              <w:rPr>
                <w:rFonts w:cs="Arial"/>
                <w:sz w:val="14"/>
                <w:szCs w:val="14"/>
              </w:rPr>
            </w:pPr>
            <w:r w:rsidRPr="00F167F3">
              <w:rPr>
                <w:rFonts w:cs="Arial"/>
                <w:sz w:val="14"/>
                <w:szCs w:val="14"/>
              </w:rPr>
              <w:t>A publication of</w:t>
            </w:r>
          </w:p>
          <w:p w14:paraId="599E5441" w14:textId="77777777" w:rsidR="000A03B2" w:rsidRPr="00F167F3" w:rsidRDefault="000A03B2" w:rsidP="00CD5FE2">
            <w:pPr>
              <w:jc w:val="right"/>
            </w:pPr>
            <w:r w:rsidRPr="00F167F3">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167F3" w:rsidRPr="00F167F3" w14:paraId="380FA3CD" w14:textId="77777777" w:rsidTr="00DE264A">
        <w:trPr>
          <w:trHeight w:val="567"/>
          <w:jc w:val="center"/>
        </w:trPr>
        <w:tc>
          <w:tcPr>
            <w:tcW w:w="6946" w:type="dxa"/>
            <w:vMerge/>
            <w:tcBorders>
              <w:right w:val="single" w:sz="4" w:space="0" w:color="auto"/>
            </w:tcBorders>
          </w:tcPr>
          <w:p w14:paraId="39E5E4C1" w14:textId="77777777" w:rsidR="000A03B2" w:rsidRPr="00F167F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F167F3" w:rsidRDefault="000A03B2" w:rsidP="00CD5FE2">
            <w:pPr>
              <w:spacing w:line="140" w:lineRule="atLeast"/>
              <w:jc w:val="right"/>
              <w:rPr>
                <w:rFonts w:cs="Arial"/>
                <w:sz w:val="14"/>
                <w:szCs w:val="14"/>
              </w:rPr>
            </w:pPr>
            <w:r w:rsidRPr="00F167F3">
              <w:rPr>
                <w:rFonts w:cs="Arial"/>
                <w:sz w:val="14"/>
                <w:szCs w:val="14"/>
              </w:rPr>
              <w:t>The Italian Association</w:t>
            </w:r>
          </w:p>
          <w:p w14:paraId="7522B1D2" w14:textId="77777777" w:rsidR="000A03B2" w:rsidRPr="00F167F3" w:rsidRDefault="000A03B2" w:rsidP="00CD5FE2">
            <w:pPr>
              <w:spacing w:line="140" w:lineRule="atLeast"/>
              <w:jc w:val="right"/>
              <w:rPr>
                <w:rFonts w:cs="Arial"/>
                <w:sz w:val="14"/>
                <w:szCs w:val="14"/>
              </w:rPr>
            </w:pPr>
            <w:r w:rsidRPr="00F167F3">
              <w:rPr>
                <w:rFonts w:cs="Arial"/>
                <w:sz w:val="14"/>
                <w:szCs w:val="14"/>
              </w:rPr>
              <w:t>of Chemical Engineering</w:t>
            </w:r>
          </w:p>
          <w:p w14:paraId="4F0CC5DE" w14:textId="47FDB2FC" w:rsidR="000A03B2" w:rsidRPr="00F167F3" w:rsidRDefault="000D0268" w:rsidP="00CD5FE2">
            <w:pPr>
              <w:spacing w:line="140" w:lineRule="atLeast"/>
              <w:jc w:val="right"/>
              <w:rPr>
                <w:rFonts w:cs="Arial"/>
                <w:sz w:val="13"/>
                <w:szCs w:val="13"/>
              </w:rPr>
            </w:pPr>
            <w:r w:rsidRPr="00F167F3">
              <w:rPr>
                <w:rFonts w:cs="Arial"/>
                <w:sz w:val="13"/>
                <w:szCs w:val="13"/>
              </w:rPr>
              <w:t>Online at www.cetjournal.it</w:t>
            </w:r>
          </w:p>
        </w:tc>
      </w:tr>
      <w:tr w:rsidR="000A03B2" w:rsidRPr="00F167F3" w14:paraId="2D1B7169" w14:textId="77777777" w:rsidTr="00DE264A">
        <w:trPr>
          <w:trHeight w:val="68"/>
          <w:jc w:val="center"/>
        </w:trPr>
        <w:tc>
          <w:tcPr>
            <w:tcW w:w="8789" w:type="dxa"/>
            <w:gridSpan w:val="2"/>
          </w:tcPr>
          <w:p w14:paraId="4B0BB442" w14:textId="73B2847B" w:rsidR="00300E56" w:rsidRPr="00F167F3" w:rsidRDefault="00300E56" w:rsidP="00B57E6F">
            <w:pPr>
              <w:ind w:left="-107"/>
              <w:outlineLvl w:val="2"/>
              <w:rPr>
                <w:rFonts w:ascii="Tahoma" w:hAnsi="Tahoma" w:cs="Tahoma"/>
                <w:bCs/>
                <w:sz w:val="14"/>
                <w:szCs w:val="14"/>
                <w:lang w:val="es-419" w:eastAsia="it-IT"/>
              </w:rPr>
            </w:pPr>
            <w:r w:rsidRPr="00F167F3">
              <w:rPr>
                <w:rFonts w:ascii="Tahoma" w:hAnsi="Tahoma" w:cs="Tahoma"/>
                <w:iCs/>
                <w:sz w:val="14"/>
                <w:szCs w:val="14"/>
                <w:lang w:val="es-419" w:eastAsia="it-IT"/>
              </w:rPr>
              <w:t>Guest Editors:</w:t>
            </w:r>
            <w:r w:rsidR="001D21AF" w:rsidRPr="00F167F3">
              <w:rPr>
                <w:rFonts w:ascii="Tahoma" w:hAnsi="Tahoma" w:cs="Tahoma"/>
                <w:sz w:val="14"/>
                <w:szCs w:val="14"/>
                <w:shd w:val="clear" w:color="auto" w:fill="FFFFFF"/>
                <w:lang w:val="es-419"/>
              </w:rPr>
              <w:t xml:space="preserve"> </w:t>
            </w:r>
            <w:r w:rsidR="00AF6775" w:rsidRPr="00F167F3">
              <w:rPr>
                <w:rFonts w:ascii="Tahoma" w:hAnsi="Tahoma" w:cs="Tahoma"/>
                <w:sz w:val="14"/>
                <w:szCs w:val="14"/>
                <w:shd w:val="clear" w:color="auto" w:fill="FFFFFF"/>
                <w:lang w:val="es-419"/>
              </w:rPr>
              <w:t>Marco Bravi,</w:t>
            </w:r>
            <w:r w:rsidR="00945AB6" w:rsidRPr="00F167F3">
              <w:rPr>
                <w:rFonts w:ascii="Tahoma" w:hAnsi="Tahoma" w:cs="Tahoma"/>
                <w:sz w:val="14"/>
                <w:szCs w:val="14"/>
                <w:shd w:val="clear" w:color="auto" w:fill="FFFFFF"/>
                <w:lang w:val="es-419"/>
              </w:rPr>
              <w:t xml:space="preserve"> Alberto Brucato, Antonio Marzocchella</w:t>
            </w:r>
          </w:p>
          <w:p w14:paraId="1B0F1814" w14:textId="5B50B5BE" w:rsidR="000A03B2" w:rsidRPr="00F167F3" w:rsidRDefault="00FA5F5F" w:rsidP="00604911">
            <w:pPr>
              <w:tabs>
                <w:tab w:val="left" w:pos="-108"/>
              </w:tabs>
              <w:spacing w:line="140" w:lineRule="atLeast"/>
              <w:ind w:left="-107"/>
              <w:jc w:val="left"/>
            </w:pPr>
            <w:r w:rsidRPr="00F167F3">
              <w:rPr>
                <w:rFonts w:ascii="Tahoma" w:hAnsi="Tahoma" w:cs="Tahoma"/>
                <w:iCs/>
                <w:sz w:val="14"/>
                <w:szCs w:val="14"/>
                <w:lang w:eastAsia="it-IT"/>
              </w:rPr>
              <w:t>Copyright © 20</w:t>
            </w:r>
            <w:r w:rsidR="00DF5072" w:rsidRPr="00F167F3">
              <w:rPr>
                <w:rFonts w:ascii="Tahoma" w:hAnsi="Tahoma" w:cs="Tahoma"/>
                <w:iCs/>
                <w:sz w:val="14"/>
                <w:szCs w:val="14"/>
                <w:lang w:eastAsia="it-IT"/>
              </w:rPr>
              <w:t>2</w:t>
            </w:r>
            <w:r w:rsidR="00E72EAD" w:rsidRPr="00F167F3">
              <w:rPr>
                <w:rFonts w:ascii="Tahoma" w:hAnsi="Tahoma" w:cs="Tahoma"/>
                <w:iCs/>
                <w:sz w:val="14"/>
                <w:szCs w:val="14"/>
                <w:lang w:eastAsia="it-IT"/>
              </w:rPr>
              <w:t>2</w:t>
            </w:r>
            <w:r w:rsidR="00904C62" w:rsidRPr="00F167F3">
              <w:rPr>
                <w:rFonts w:ascii="Tahoma" w:hAnsi="Tahoma" w:cs="Tahoma"/>
                <w:iCs/>
                <w:sz w:val="14"/>
                <w:szCs w:val="14"/>
                <w:lang w:eastAsia="it-IT"/>
              </w:rPr>
              <w:t>, AIDIC Servizi S.r.l.</w:t>
            </w:r>
            <w:r w:rsidR="00300E56" w:rsidRPr="00F167F3">
              <w:rPr>
                <w:rFonts w:ascii="Tahoma" w:hAnsi="Tahoma" w:cs="Tahoma"/>
                <w:iCs/>
                <w:sz w:val="14"/>
                <w:szCs w:val="14"/>
                <w:lang w:eastAsia="it-IT"/>
              </w:rPr>
              <w:br/>
            </w:r>
            <w:r w:rsidR="00300E56" w:rsidRPr="00F167F3">
              <w:rPr>
                <w:rFonts w:ascii="Tahoma" w:hAnsi="Tahoma" w:cs="Tahoma"/>
                <w:b/>
                <w:iCs/>
                <w:sz w:val="14"/>
                <w:szCs w:val="14"/>
                <w:lang w:eastAsia="it-IT"/>
              </w:rPr>
              <w:t>ISBN</w:t>
            </w:r>
            <w:r w:rsidR="00300E56" w:rsidRPr="00F167F3">
              <w:rPr>
                <w:rFonts w:ascii="Tahoma" w:hAnsi="Tahoma" w:cs="Tahoma"/>
                <w:iCs/>
                <w:sz w:val="14"/>
                <w:szCs w:val="14"/>
                <w:lang w:eastAsia="it-IT"/>
              </w:rPr>
              <w:t xml:space="preserve"> </w:t>
            </w:r>
            <w:r w:rsidR="008D32B9" w:rsidRPr="00F167F3">
              <w:rPr>
                <w:rFonts w:ascii="Tahoma" w:hAnsi="Tahoma" w:cs="Tahoma"/>
                <w:sz w:val="14"/>
                <w:szCs w:val="14"/>
              </w:rPr>
              <w:t>978-88-95608</w:t>
            </w:r>
            <w:r w:rsidR="00D46B7E" w:rsidRPr="00F167F3">
              <w:rPr>
                <w:rFonts w:ascii="Tahoma" w:hAnsi="Tahoma" w:cs="Tahoma"/>
                <w:sz w:val="14"/>
                <w:szCs w:val="14"/>
              </w:rPr>
              <w:t>-</w:t>
            </w:r>
            <w:r w:rsidR="001D21AF" w:rsidRPr="00F167F3">
              <w:rPr>
                <w:rFonts w:ascii="Tahoma" w:hAnsi="Tahoma" w:cs="Tahoma"/>
                <w:sz w:val="14"/>
                <w:szCs w:val="14"/>
              </w:rPr>
              <w:t>9</w:t>
            </w:r>
            <w:r w:rsidR="00604911" w:rsidRPr="00F167F3">
              <w:rPr>
                <w:rFonts w:ascii="Tahoma" w:hAnsi="Tahoma" w:cs="Tahoma"/>
                <w:sz w:val="14"/>
                <w:szCs w:val="14"/>
              </w:rPr>
              <w:t>1</w:t>
            </w:r>
            <w:r w:rsidR="00D46B7E" w:rsidRPr="00F167F3">
              <w:rPr>
                <w:rFonts w:ascii="Tahoma" w:hAnsi="Tahoma" w:cs="Tahoma"/>
                <w:sz w:val="14"/>
                <w:szCs w:val="14"/>
              </w:rPr>
              <w:t>-</w:t>
            </w:r>
            <w:r w:rsidR="00604911" w:rsidRPr="00F167F3">
              <w:rPr>
                <w:rFonts w:ascii="Tahoma" w:hAnsi="Tahoma" w:cs="Tahoma"/>
                <w:sz w:val="14"/>
                <w:szCs w:val="14"/>
              </w:rPr>
              <w:t>4</w:t>
            </w:r>
            <w:r w:rsidR="007B48F9" w:rsidRPr="00F167F3">
              <w:rPr>
                <w:rFonts w:ascii="Tahoma" w:hAnsi="Tahoma" w:cs="Tahoma"/>
                <w:iCs/>
                <w:sz w:val="14"/>
                <w:szCs w:val="14"/>
                <w:lang w:eastAsia="it-IT"/>
              </w:rPr>
              <w:t>;</w:t>
            </w:r>
            <w:r w:rsidR="00300E56" w:rsidRPr="00F167F3">
              <w:rPr>
                <w:rFonts w:ascii="Tahoma" w:hAnsi="Tahoma" w:cs="Tahoma"/>
                <w:iCs/>
                <w:sz w:val="14"/>
                <w:szCs w:val="14"/>
                <w:lang w:eastAsia="it-IT"/>
              </w:rPr>
              <w:t xml:space="preserve"> </w:t>
            </w:r>
            <w:r w:rsidR="00300E56" w:rsidRPr="00F167F3">
              <w:rPr>
                <w:rFonts w:ascii="Tahoma" w:hAnsi="Tahoma" w:cs="Tahoma"/>
                <w:b/>
                <w:iCs/>
                <w:sz w:val="14"/>
                <w:szCs w:val="14"/>
                <w:lang w:eastAsia="it-IT"/>
              </w:rPr>
              <w:t>ISSN</w:t>
            </w:r>
            <w:r w:rsidR="00300E56" w:rsidRPr="00F167F3">
              <w:rPr>
                <w:rFonts w:ascii="Tahoma" w:hAnsi="Tahoma" w:cs="Tahoma"/>
                <w:iCs/>
                <w:sz w:val="14"/>
                <w:szCs w:val="14"/>
                <w:lang w:eastAsia="it-IT"/>
              </w:rPr>
              <w:t xml:space="preserve"> 2283-9216</w:t>
            </w:r>
          </w:p>
        </w:tc>
      </w:tr>
    </w:tbl>
    <w:p w14:paraId="10DAA130" w14:textId="77777777" w:rsidR="000A03B2" w:rsidRPr="00F167F3" w:rsidRDefault="000A03B2" w:rsidP="000A03B2">
      <w:pPr>
        <w:pStyle w:val="CETAuthors"/>
        <w:sectPr w:rsidR="000A03B2" w:rsidRPr="00F167F3" w:rsidSect="00CD5FE2">
          <w:type w:val="continuous"/>
          <w:pgSz w:w="11906" w:h="16838" w:code="9"/>
          <w:pgMar w:top="1701" w:right="1418" w:bottom="1701" w:left="1701" w:header="1701" w:footer="0" w:gutter="0"/>
          <w:cols w:space="708"/>
          <w:titlePg/>
          <w:docGrid w:linePitch="360"/>
        </w:sectPr>
      </w:pPr>
    </w:p>
    <w:p w14:paraId="2E667253" w14:textId="5990A46D" w:rsidR="00E978D0" w:rsidRPr="00F167F3" w:rsidRDefault="0081734B" w:rsidP="00E978D0">
      <w:pPr>
        <w:pStyle w:val="CETTitle"/>
      </w:pPr>
      <w:r w:rsidRPr="00F167F3">
        <w:t>Inoculation of compost biofilter for the simultaneous removal of H</w:t>
      </w:r>
      <w:r w:rsidRPr="00F167F3">
        <w:rPr>
          <w:vertAlign w:val="subscript"/>
        </w:rPr>
        <w:t>2</w:t>
      </w:r>
      <w:r w:rsidRPr="00F167F3">
        <w:t>S and NH</w:t>
      </w:r>
      <w:r w:rsidRPr="00F167F3">
        <w:rPr>
          <w:vertAlign w:val="subscript"/>
        </w:rPr>
        <w:t>3</w:t>
      </w:r>
      <w:r w:rsidRPr="00F167F3">
        <w:t xml:space="preserve"> under transient conditions of gas concentration</w:t>
      </w:r>
    </w:p>
    <w:p w14:paraId="0488FED2" w14:textId="6DAB0F1B" w:rsidR="00B57E6F" w:rsidRPr="00F167F3" w:rsidRDefault="0081734B" w:rsidP="00B57E6F">
      <w:pPr>
        <w:pStyle w:val="CETAuthors"/>
        <w:rPr>
          <w:lang w:val="es-419"/>
        </w:rPr>
      </w:pPr>
      <w:r w:rsidRPr="00F167F3">
        <w:rPr>
          <w:lang w:val="es-419"/>
        </w:rPr>
        <w:t>Diana G. Vela-Aparicio</w:t>
      </w:r>
      <w:r w:rsidR="00B57E6F" w:rsidRPr="00F167F3">
        <w:rPr>
          <w:vertAlign w:val="superscript"/>
          <w:lang w:val="es-419"/>
        </w:rPr>
        <w:t>a</w:t>
      </w:r>
      <w:r w:rsidRPr="00F167F3">
        <w:rPr>
          <w:vertAlign w:val="superscript"/>
          <w:lang w:val="es-419"/>
        </w:rPr>
        <w:t>,</w:t>
      </w:r>
      <w:r w:rsidRPr="00F167F3">
        <w:rPr>
          <w:lang w:val="es-419"/>
        </w:rPr>
        <w:t>*</w:t>
      </w:r>
      <w:r w:rsidR="00B57E6F" w:rsidRPr="00F167F3">
        <w:rPr>
          <w:lang w:val="es-419"/>
        </w:rPr>
        <w:t xml:space="preserve">, </w:t>
      </w:r>
      <w:r w:rsidR="00244E46" w:rsidRPr="00F167F3">
        <w:rPr>
          <w:lang w:val="es-419"/>
        </w:rPr>
        <w:t>Carlos</w:t>
      </w:r>
      <w:r w:rsidR="009937FF" w:rsidRPr="00F167F3">
        <w:rPr>
          <w:lang w:val="es-419"/>
        </w:rPr>
        <w:t xml:space="preserve"> J.</w:t>
      </w:r>
      <w:r w:rsidR="00244E46" w:rsidRPr="00F167F3">
        <w:rPr>
          <w:lang w:val="es-419"/>
        </w:rPr>
        <w:t xml:space="preserve"> Bautista</w:t>
      </w:r>
      <w:r w:rsidR="00244E46" w:rsidRPr="00F167F3">
        <w:rPr>
          <w:vertAlign w:val="superscript"/>
          <w:lang w:val="es-419"/>
        </w:rPr>
        <w:t>a</w:t>
      </w:r>
      <w:r w:rsidR="00244E46" w:rsidRPr="00F167F3">
        <w:rPr>
          <w:lang w:val="es-419"/>
        </w:rPr>
        <w:t xml:space="preserve">, </w:t>
      </w:r>
      <w:r w:rsidRPr="00F167F3">
        <w:rPr>
          <w:lang w:val="es-419"/>
        </w:rPr>
        <w:t>Daniel F. Forero</w:t>
      </w:r>
      <w:r w:rsidR="00B57E6F" w:rsidRPr="00F167F3">
        <w:rPr>
          <w:vertAlign w:val="superscript"/>
          <w:lang w:val="es-419"/>
        </w:rPr>
        <w:t>b</w:t>
      </w:r>
      <w:r w:rsidR="00B57E6F" w:rsidRPr="00F167F3">
        <w:rPr>
          <w:lang w:val="es-419"/>
        </w:rPr>
        <w:t xml:space="preserve">, </w:t>
      </w:r>
      <w:r w:rsidR="00035D9E" w:rsidRPr="00F167F3">
        <w:rPr>
          <w:lang w:val="es-419"/>
        </w:rPr>
        <w:t>Paola Acevedo</w:t>
      </w:r>
      <w:r w:rsidR="00035D9E" w:rsidRPr="00F167F3">
        <w:rPr>
          <w:vertAlign w:val="superscript"/>
          <w:lang w:val="es-419"/>
        </w:rPr>
        <w:t>b</w:t>
      </w:r>
      <w:r w:rsidR="00FF0450">
        <w:rPr>
          <w:lang w:val="es-419"/>
        </w:rPr>
        <w:t xml:space="preserve">, </w:t>
      </w:r>
      <w:r w:rsidRPr="00F167F3">
        <w:rPr>
          <w:lang w:val="es-419"/>
        </w:rPr>
        <w:t>Pedro F.B. Brandão</w:t>
      </w:r>
      <w:r w:rsidRPr="00F167F3">
        <w:rPr>
          <w:vertAlign w:val="superscript"/>
          <w:lang w:val="es-419"/>
        </w:rPr>
        <w:t>a</w:t>
      </w:r>
      <w:r w:rsidRPr="00F167F3">
        <w:rPr>
          <w:lang w:val="es-419"/>
        </w:rPr>
        <w:t>,</w:t>
      </w:r>
      <w:r w:rsidR="00B57E6F" w:rsidRPr="00F167F3">
        <w:rPr>
          <w:lang w:val="es-419"/>
        </w:rPr>
        <w:t xml:space="preserve"> </w:t>
      </w:r>
      <w:r w:rsidRPr="00F167F3">
        <w:rPr>
          <w:lang w:val="es-419"/>
        </w:rPr>
        <w:t>Iván O. Cabeza</w:t>
      </w:r>
      <w:bookmarkStart w:id="0" w:name="_Hlk99388015"/>
      <w:r w:rsidR="00035D9E" w:rsidRPr="00F167F3">
        <w:rPr>
          <w:szCs w:val="24"/>
          <w:vertAlign w:val="superscript"/>
          <w:lang w:val="es-419"/>
        </w:rPr>
        <w:t>c</w:t>
      </w:r>
      <w:bookmarkEnd w:id="0"/>
      <w:r w:rsidR="00323481" w:rsidRPr="00F167F3">
        <w:rPr>
          <w:szCs w:val="24"/>
          <w:vertAlign w:val="superscript"/>
          <w:lang w:val="es-419"/>
        </w:rPr>
        <w:t>,</w:t>
      </w:r>
      <w:r w:rsidR="009514A3" w:rsidRPr="00F167F3">
        <w:rPr>
          <w:lang w:val="es-419"/>
        </w:rPr>
        <w:t>*</w:t>
      </w:r>
    </w:p>
    <w:p w14:paraId="6B2D21B3" w14:textId="0BB91B2F" w:rsidR="00B57E6F" w:rsidRPr="00F167F3" w:rsidRDefault="00B57E6F" w:rsidP="00B57E6F">
      <w:pPr>
        <w:pStyle w:val="CETAddress"/>
        <w:rPr>
          <w:lang w:val="es-419"/>
        </w:rPr>
      </w:pPr>
      <w:r w:rsidRPr="00F167F3">
        <w:rPr>
          <w:vertAlign w:val="superscript"/>
          <w:lang w:val="es-419"/>
        </w:rPr>
        <w:t>a</w:t>
      </w:r>
      <w:r w:rsidR="0081734B" w:rsidRPr="00F167F3">
        <w:rPr>
          <w:lang w:val="es-419"/>
        </w:rPr>
        <w:t>Universidad Nacional de Colombia, Facultad de Ciencias, Departamento de Química, Bogotá D.C.</w:t>
      </w:r>
    </w:p>
    <w:p w14:paraId="4952DE77" w14:textId="2064F19E" w:rsidR="00872960" w:rsidRPr="00F167F3" w:rsidRDefault="00B57E6F" w:rsidP="00872960">
      <w:pPr>
        <w:pStyle w:val="CETAddress"/>
        <w:rPr>
          <w:lang w:val="es-419"/>
        </w:rPr>
      </w:pPr>
      <w:r w:rsidRPr="00F167F3">
        <w:rPr>
          <w:vertAlign w:val="superscript"/>
          <w:lang w:val="es-419"/>
        </w:rPr>
        <w:t>b</w:t>
      </w:r>
      <w:r w:rsidR="00872960" w:rsidRPr="00F167F3">
        <w:rPr>
          <w:lang w:val="es-419"/>
        </w:rPr>
        <w:t xml:space="preserve">Universidad Santo Tomás, Facultad de Ingeniería Ambiental, Bogotá D.C., Colombia </w:t>
      </w:r>
    </w:p>
    <w:p w14:paraId="596119F9" w14:textId="7ACA2838" w:rsidR="00035D9E" w:rsidRPr="00F167F3" w:rsidRDefault="00035D9E" w:rsidP="00035D9E">
      <w:pPr>
        <w:pStyle w:val="CETAddress"/>
        <w:rPr>
          <w:lang w:val="es-419"/>
        </w:rPr>
      </w:pPr>
      <w:r w:rsidRPr="00F167F3">
        <w:rPr>
          <w:vertAlign w:val="superscript"/>
          <w:lang w:val="es-419"/>
        </w:rPr>
        <w:t>c</w:t>
      </w:r>
      <w:r w:rsidRPr="00F167F3">
        <w:rPr>
          <w:lang w:val="es-419"/>
        </w:rPr>
        <w:t xml:space="preserve">Universidad de la Sabana, Facultad de Ingeniería, Bogotá D.C., Colombia </w:t>
      </w:r>
    </w:p>
    <w:p w14:paraId="5B960553" w14:textId="7D2E45E3" w:rsidR="00035D9E" w:rsidRPr="00F167F3" w:rsidRDefault="00035D9E" w:rsidP="00872960">
      <w:pPr>
        <w:pStyle w:val="CETAddress"/>
        <w:rPr>
          <w:lang w:val="es-419"/>
        </w:rPr>
      </w:pPr>
    </w:p>
    <w:p w14:paraId="3D72B0B0" w14:textId="0E6D0FC8" w:rsidR="00B57E6F" w:rsidRPr="00F167F3" w:rsidRDefault="00323481" w:rsidP="00872960">
      <w:pPr>
        <w:pStyle w:val="CETAddress"/>
        <w:rPr>
          <w:lang w:val="es-419"/>
        </w:rPr>
      </w:pPr>
      <w:r w:rsidRPr="00F167F3">
        <w:rPr>
          <w:lang w:val="es-419"/>
        </w:rPr>
        <w:t>*dgvelaa@unal.edu.co;</w:t>
      </w:r>
      <w:r w:rsidR="00F167F3">
        <w:rPr>
          <w:lang w:val="es-419"/>
        </w:rPr>
        <w:t xml:space="preserve"> </w:t>
      </w:r>
      <w:r w:rsidR="00F167F3" w:rsidRPr="00F167F3">
        <w:rPr>
          <w:lang w:val="es-419"/>
        </w:rPr>
        <w:t>ivan.cabeza@unisabana.edu.co</w:t>
      </w:r>
      <w:r w:rsidRPr="00F167F3">
        <w:rPr>
          <w:lang w:val="es-419"/>
        </w:rPr>
        <w:t xml:space="preserve"> </w:t>
      </w:r>
      <w:r w:rsidR="00B57E6F" w:rsidRPr="00F167F3">
        <w:rPr>
          <w:lang w:val="es-419"/>
        </w:rPr>
        <w:t xml:space="preserve"> </w:t>
      </w:r>
    </w:p>
    <w:p w14:paraId="73F1267A" w14:textId="0647EB04" w:rsidR="00B57E6F" w:rsidRPr="00F167F3" w:rsidRDefault="00B57E6F" w:rsidP="00B57E6F">
      <w:pPr>
        <w:pStyle w:val="CETemail"/>
        <w:rPr>
          <w:lang w:val="es-419"/>
        </w:rPr>
      </w:pPr>
      <w:r w:rsidRPr="00F167F3">
        <w:rPr>
          <w:lang w:val="es-419"/>
        </w:rPr>
        <w:t xml:space="preserve"> </w:t>
      </w:r>
    </w:p>
    <w:p w14:paraId="5036007B" w14:textId="0C391BA2" w:rsidR="00872960" w:rsidRPr="00F167F3" w:rsidRDefault="00646A3A" w:rsidP="008264DA">
      <w:pPr>
        <w:pStyle w:val="CETBodytext"/>
        <w:rPr>
          <w:lang w:val="en-GB"/>
        </w:rPr>
      </w:pPr>
      <w:r w:rsidRPr="00F167F3">
        <w:rPr>
          <w:rFonts w:cs="Arial"/>
          <w:szCs w:val="18"/>
          <w:lang w:val="en-GB"/>
        </w:rPr>
        <w:t>Biofiltration is economic biotechnology of high efficiency for the removal of odorous gases, such as hydrogen sulphide (H</w:t>
      </w:r>
      <w:r w:rsidRPr="00F167F3">
        <w:rPr>
          <w:rFonts w:cs="Arial"/>
          <w:szCs w:val="18"/>
          <w:vertAlign w:val="subscript"/>
          <w:lang w:val="en-GB"/>
        </w:rPr>
        <w:t>2</w:t>
      </w:r>
      <w:r w:rsidRPr="00F167F3">
        <w:rPr>
          <w:rFonts w:cs="Arial"/>
          <w:szCs w:val="18"/>
          <w:lang w:val="en-GB"/>
        </w:rPr>
        <w:t>S) and ammonia (NH</w:t>
      </w:r>
      <w:r w:rsidRPr="00F167F3">
        <w:rPr>
          <w:rFonts w:cs="Arial"/>
          <w:szCs w:val="18"/>
          <w:vertAlign w:val="subscript"/>
          <w:lang w:val="en-GB"/>
        </w:rPr>
        <w:t>3</w:t>
      </w:r>
      <w:r w:rsidRPr="00F167F3">
        <w:rPr>
          <w:rFonts w:cs="Arial"/>
          <w:szCs w:val="18"/>
          <w:lang w:val="en-GB"/>
        </w:rPr>
        <w:t>), produced in different activities such as wastewater treatment plants (WWTP). However, in the case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treatment, the fluctuations in the concentration of gases found in industrial emissions and the accumulation of oxidation products in the biofilter bed can affect the elimination efficiency. Considering this disadvantage, in this work, we evaluated the performance of compost biofilters inoculated or uninoculated with a microbial culture enriched in nitrifying and sulphur-oxidizing bacteria (SOB) for the removal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under transient conditions of concentration, simulating industrial operation. The compost bed was made from chicken manure and sugar cane bagasse, and the biofilter operating conditions were: 1) empty bed residence time of 25 s and 2) bed moisture of 40%. The gas concentration and transient conditions simulated the emissions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in the pre-treatment zone of a WWTP during the dry and rainy season in Bogota, Colombia. The biofiltration performance was evaluated considering the removal efficiency and oxidation products (</w:t>
      </w:r>
      <w:r w:rsidR="00352255" w:rsidRPr="00F167F3">
        <w:rPr>
          <w:rFonts w:cs="Arial"/>
          <w:szCs w:val="18"/>
          <w:lang w:val="en-GB"/>
        </w:rPr>
        <w:t>sulphate</w:t>
      </w:r>
      <w:r w:rsidRPr="00F167F3">
        <w:rPr>
          <w:rFonts w:cs="Arial"/>
          <w:szCs w:val="18"/>
          <w:lang w:val="en-GB"/>
        </w:rPr>
        <w:t>, nitrate and ammonium). The biofilters had a 100% removal efficiency for both gases during the rainy season and transition stages. However, the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oxidation was affected by the daily changes in gas concentration. The increase of gases concentration at the last week of the dry season resulted in a gradual decrease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removal efficiency for both biofilters. However, the reduction in the removal efficiency was higher in the uninoculated biofilter. In addition, there was a higher increase in nitrate concentration in the inoculated biofilter. These results indicate that the inoculated biofilter could adapt</w:t>
      </w:r>
      <w:r w:rsidR="00352255" w:rsidRPr="00F167F3">
        <w:rPr>
          <w:rFonts w:cs="Arial"/>
          <w:szCs w:val="18"/>
          <w:lang w:val="en-GB"/>
        </w:rPr>
        <w:t xml:space="preserve"> better</w:t>
      </w:r>
      <w:r w:rsidRPr="00F167F3">
        <w:rPr>
          <w:rFonts w:cs="Arial"/>
          <w:szCs w:val="18"/>
          <w:lang w:val="en-GB"/>
        </w:rPr>
        <w:t xml:space="preserve"> to the transient conditions of gas concentration</w:t>
      </w:r>
      <w:r w:rsidR="008264DA" w:rsidRPr="00F167F3">
        <w:rPr>
          <w:lang w:val="en-GB"/>
        </w:rPr>
        <w:t>.</w:t>
      </w:r>
    </w:p>
    <w:p w14:paraId="23B9ED7D" w14:textId="77777777" w:rsidR="00EA29EA" w:rsidRPr="00F167F3" w:rsidRDefault="00EA29EA" w:rsidP="001A2632">
      <w:pPr>
        <w:pStyle w:val="CETHeading1"/>
        <w:rPr>
          <w:rFonts w:eastAsia="Arial"/>
          <w:lang w:val="en-GB"/>
        </w:rPr>
      </w:pPr>
      <w:r w:rsidRPr="00F167F3">
        <w:rPr>
          <w:rFonts w:eastAsia="Arial"/>
          <w:lang w:val="en-GB"/>
        </w:rPr>
        <w:t>Introduction</w:t>
      </w:r>
    </w:p>
    <w:p w14:paraId="24AF31A6" w14:textId="23CC7B0A" w:rsidR="00A54CE3" w:rsidRPr="00F167F3" w:rsidRDefault="00646A3A" w:rsidP="00904751">
      <w:pPr>
        <w:pStyle w:val="CETBodytext"/>
        <w:rPr>
          <w:szCs w:val="18"/>
          <w:lang w:val="en-GB"/>
        </w:rPr>
      </w:pPr>
      <w:r w:rsidRPr="00F167F3">
        <w:rPr>
          <w:rFonts w:cs="Arial"/>
          <w:szCs w:val="18"/>
          <w:lang w:val="en-GB"/>
        </w:rPr>
        <w:t>Offensive odours are considered a form of air pollution since they affect the life quality of exposed people and cause damage to health and the environment. These odours are produced in different activities such as wastewater treatment and waste management by the emission of low detection threshold compounds such as hydrogen sulphide (H</w:t>
      </w:r>
      <w:r w:rsidRPr="00F167F3">
        <w:rPr>
          <w:rFonts w:cs="Arial"/>
          <w:szCs w:val="18"/>
          <w:vertAlign w:val="subscript"/>
          <w:lang w:val="en-GB"/>
        </w:rPr>
        <w:t>2</w:t>
      </w:r>
      <w:r w:rsidRPr="00F167F3">
        <w:rPr>
          <w:rFonts w:cs="Arial"/>
          <w:szCs w:val="18"/>
          <w:lang w:val="en-GB"/>
        </w:rPr>
        <w:t>S), ammonia (NH</w:t>
      </w:r>
      <w:r w:rsidRPr="00F167F3">
        <w:rPr>
          <w:rFonts w:cs="Arial"/>
          <w:szCs w:val="18"/>
          <w:vertAlign w:val="subscript"/>
          <w:lang w:val="en-GB"/>
        </w:rPr>
        <w:t>3</w:t>
      </w:r>
      <w:r w:rsidRPr="00F167F3">
        <w:rPr>
          <w:rFonts w:cs="Arial"/>
          <w:szCs w:val="18"/>
          <w:lang w:val="en-GB"/>
        </w:rPr>
        <w:t xml:space="preserve">) and volatile organic compounds (VOCs) </w:t>
      </w:r>
      <w:r w:rsidR="00290D05" w:rsidRPr="00F167F3">
        <w:rPr>
          <w:szCs w:val="18"/>
          <w:lang w:val="en-GB"/>
        </w:rPr>
        <w:fldChar w:fldCharType="begin" w:fldLock="1"/>
      </w:r>
      <w:r w:rsidR="00BD1DE9">
        <w:rPr>
          <w:szCs w:val="18"/>
          <w:lang w:val="en-GB"/>
        </w:rPr>
        <w:instrText>ADDIN CSL_CITATION {"citationItems":[{"id":"ITEM-1","itemData":{"DOI":"10.1016/j.jclepro.2017.03.093","ISSN":"09596526","abstract":"Odors are emitted from agricultural and industrial activities, such as animal farms, rendering plants, wastewater treatment plants, waste treatment or disposal facilities, paint shops, oil refineries, pulp and paper mills, and various chemical industries. Effects of this kind of air pollution may include: impairment of the quality of the environment; interference with business activities; discomfort, harm or impairment of the safety of any person; rendering any property, plant or animal unsuitable for human use. Odor treatment technologies can be classified into three categories, namely ones employing chemical (thermal oxidation, catalytic oxidation, ozonation), physical (condensation, adsorption, absorption) and biological (using biofilters, biotrickling filters, bioscrubbers and other bioreactor types) treatment methods. An important advantage of biological treatment methods over physical and chemical technologies is that the biological processes can be conducted at moderate temperatures (10–40 °C) and atmospheric pressure. Moreover, microbial degradation processes are generally oxidative in nature and produce compounds such as carbon dioxide, water, sulfate and nitrate that are ecologically safe. Applications of biological odor treatment date back to 1950ties. Initially, simple biofilters with soil beds have been employed and later, the use of other bed materials in more advanced filter structures has been reported and more sophisticated types of filtration equipment such as biotrickling filters and bioscrubbers have been developed. On the basis of accumulated experience, some more process options and equipment types for the application of biological methods emerged in recent years. During more than 30 years covered by the present review, biological methods of odor treatment have matured to become a well-developed field of process technology. In order to provide an overview of the state of the art, process principles and characteristics including the use of various microorganisms and nutrients, variations in equipment design and application ranges of the different odor treatment technologies are outlined and compared.","author":[{"dropping-particle":"","family":"Barbusinski","given":"Krzysztof","non-dropping-particle":"","parse-names":false,"suffix":""},{"dropping-particle":"","family":"Kalemba","given":"Katarzyna","non-dropping-particle":"","parse-names":false,"suffix":""},{"dropping-particle":"","family":"Kasperczyk","given":"Damian","non-dropping-particle":"","parse-names":false,"suffix":""},{"dropping-particle":"","family":"Urbaniec","given":"Krzysztof","non-dropping-particle":"","parse-names":false,"suffix":""},{"dropping-particle":"","family":"Kozik","given":"Violetta","non-dropping-particle":"","parse-names":false,"suffix":""}],"container-title":"Journal of Cleaner Production","id":"ITEM-1","issued":{"date-parts":[["2017","5","20"]]},"page":"223-241","publisher":"Elsevier Ltd","title":"Biological methods for odor treatment – A review","type":"article","volume":"152"},"uris":["http://www.mendeley.com/documents/?uuid=72cc48bf-7120-3bc5-8a55-f4ca7d98a98b"]}],"mendeley":{"formattedCitation":"(Barbusinski et al., 2017)","plainTextFormattedCitation":"(Barbusinski et al., 2017)","previouslyFormattedCitation":"(Barbusinski et al., 2017)"},"properties":{"noteIndex":0},"schema":"https://github.com/citation-style-language/schema/raw/master/csl-citation.json"}</w:instrText>
      </w:r>
      <w:r w:rsidR="00290D05" w:rsidRPr="00F167F3">
        <w:rPr>
          <w:szCs w:val="18"/>
          <w:lang w:val="en-GB"/>
        </w:rPr>
        <w:fldChar w:fldCharType="separate"/>
      </w:r>
      <w:r w:rsidR="00BD1DE9" w:rsidRPr="00BD1DE9">
        <w:rPr>
          <w:noProof/>
          <w:szCs w:val="18"/>
          <w:lang w:val="en-GB"/>
        </w:rPr>
        <w:t>(Barbusinski et al., 2017)</w:t>
      </w:r>
      <w:r w:rsidR="00290D05" w:rsidRPr="00F167F3">
        <w:rPr>
          <w:szCs w:val="18"/>
          <w:lang w:val="en-GB"/>
        </w:rPr>
        <w:fldChar w:fldCharType="end"/>
      </w:r>
      <w:r w:rsidR="006A4BDB" w:rsidRPr="00F167F3">
        <w:rPr>
          <w:szCs w:val="18"/>
          <w:lang w:val="en-GB"/>
        </w:rPr>
        <w:t xml:space="preserve">. </w:t>
      </w:r>
      <w:r w:rsidRPr="00F167F3">
        <w:rPr>
          <w:rFonts w:cs="Arial"/>
          <w:szCs w:val="18"/>
          <w:lang w:val="en-GB"/>
        </w:rPr>
        <w:t>Biofiltration offers a low investment, environmentally friendly, and high removal efficiency alternative to remove these pollutants and comply with air quality regulations. In a biofilter, the gases pass through a wet porous bed that contains microorganisms for contaminant degradation. The use of compost as a biofilter bed is frequent because this material is affordable, has an intrinsic availability of nutrients, has optimal water retention capacity and contains a diverse microbial community</w:t>
      </w:r>
      <w:r w:rsidR="00CF62D4" w:rsidRPr="00F167F3">
        <w:rPr>
          <w:lang w:val="en-GB"/>
        </w:rPr>
        <w:t xml:space="preserve">. </w:t>
      </w:r>
      <w:r w:rsidRPr="00F167F3">
        <w:rPr>
          <w:rFonts w:cs="Arial"/>
          <w:szCs w:val="18"/>
          <w:lang w:val="en-GB"/>
        </w:rPr>
        <w:t xml:space="preserve">The performance of a biofilter depends mainly on the filter bed and gas emissions properties. In industrial conditions, gas emissions usually have fluctuations in the concentration </w:t>
      </w:r>
      <w:r w:rsidRPr="00F167F3">
        <w:rPr>
          <w:rFonts w:cs="Arial"/>
          <w:szCs w:val="18"/>
          <w:lang w:val="en-GB"/>
        </w:rPr>
        <w:lastRenderedPageBreak/>
        <w:t>or even in the composition that could affect the biofiltration performance in the long term</w:t>
      </w:r>
      <w:r w:rsidR="00D51282" w:rsidRPr="00F167F3">
        <w:rPr>
          <w:szCs w:val="18"/>
          <w:lang w:val="en-GB"/>
        </w:rPr>
        <w:t xml:space="preserve"> </w:t>
      </w:r>
      <w:r w:rsidR="00290D05" w:rsidRPr="00F167F3">
        <w:rPr>
          <w:szCs w:val="18"/>
          <w:lang w:val="en-GB"/>
        </w:rPr>
        <w:fldChar w:fldCharType="begin" w:fldLock="1"/>
      </w:r>
      <w:r w:rsidR="00BD1DE9">
        <w:rPr>
          <w:szCs w:val="18"/>
          <w:lang w:val="en-GB"/>
        </w:rPr>
        <w:instrText>ADDIN CSL_CITATION {"citationItems":[{"id":"ITEM-1","itemData":{"ISBN":"9780792371908","author":[{"dropping-particle":"","family":"Rene","given":"Eldon R.","non-dropping-particle":"","parse-names":false,"suffix":""},{"dropping-particle":"","family":"Kennes","given":"Christian","non-dropping-particle":"","parse-names":false,"suffix":""},{"dropping-particle":"","family":"Veiga","given":"María C","non-dropping-particle":"","parse-names":false,"suffix":""}],"chapter-number":"4","container-title":"Air Pollution Prevention and Control: Bioreactors and Bioenergy","edition":"First","editor":[{"dropping-particle":"","family":"Kennes","given":"Christian","non-dropping-particle":"","parse-names":false,"suffix":""},{"dropping-particle":"","family":"Veiga","given":"María C","non-dropping-particle":"","parse-names":false,"suffix":""}],"id":"ITEM-1","issued":{"date-parts":[["2013"]]},"page":"60-72","publisher":"John Wiley &amp; Sons, Ltd.","title":"Biofilters","type":"chapter"},"uris":["http://www.mendeley.com/documents/?uuid=6d1adcf5-c91b-48e9-aa0c-972ee3e98eca"]}],"mendeley":{"formattedCitation":"(Rene et al., 2013)","plainTextFormattedCitation":"(Rene et al., 2013)","previouslyFormattedCitation":"(Rene et al., 2013)"},"properties":{"noteIndex":0},"schema":"https://github.com/citation-style-language/schema/raw/master/csl-citation.json"}</w:instrText>
      </w:r>
      <w:r w:rsidR="00290D05" w:rsidRPr="00F167F3">
        <w:rPr>
          <w:szCs w:val="18"/>
          <w:lang w:val="en-GB"/>
        </w:rPr>
        <w:fldChar w:fldCharType="separate"/>
      </w:r>
      <w:r w:rsidR="00BD1DE9" w:rsidRPr="00BD1DE9">
        <w:rPr>
          <w:noProof/>
          <w:szCs w:val="18"/>
          <w:lang w:val="en-GB"/>
        </w:rPr>
        <w:t>(Rene et al., 2013)</w:t>
      </w:r>
      <w:r w:rsidR="00290D05" w:rsidRPr="00F167F3">
        <w:rPr>
          <w:szCs w:val="18"/>
          <w:lang w:val="en-GB"/>
        </w:rPr>
        <w:fldChar w:fldCharType="end"/>
      </w:r>
      <w:r w:rsidR="00CF62D4" w:rsidRPr="00F167F3">
        <w:rPr>
          <w:szCs w:val="18"/>
          <w:lang w:val="en-GB"/>
        </w:rPr>
        <w:t xml:space="preserve">. </w:t>
      </w:r>
      <w:r w:rsidRPr="00F167F3">
        <w:rPr>
          <w:rFonts w:cs="Arial"/>
          <w:szCs w:val="18"/>
          <w:lang w:val="en-GB"/>
        </w:rPr>
        <w:t> In the biofiltration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the decrease in ammonia removal efficiency has been reported at high H</w:t>
      </w:r>
      <w:r w:rsidRPr="00F167F3">
        <w:rPr>
          <w:rFonts w:cs="Arial"/>
          <w:szCs w:val="18"/>
          <w:vertAlign w:val="subscript"/>
          <w:lang w:val="en-GB"/>
        </w:rPr>
        <w:t>2</w:t>
      </w:r>
      <w:r w:rsidRPr="00F167F3">
        <w:rPr>
          <w:rFonts w:cs="Arial"/>
          <w:szCs w:val="18"/>
          <w:lang w:val="en-GB"/>
        </w:rPr>
        <w:t xml:space="preserve">S concentrations, a common situation in WWTP emissions </w:t>
      </w:r>
      <w:r w:rsidR="006657BC" w:rsidRPr="00F167F3">
        <w:rPr>
          <w:szCs w:val="18"/>
          <w:lang w:val="en-GB"/>
        </w:rPr>
        <w:fldChar w:fldCharType="begin" w:fldLock="1"/>
      </w:r>
      <w:r w:rsidR="00053287">
        <w:rPr>
          <w:szCs w:val="18"/>
          <w:lang w:val="en-GB"/>
        </w:rPr>
        <w:instrText>ADDIN CSL_CITATION {"citationItems":[{"id":"ITEM-1","itemData":{"DOI":"10.1080/10473289.2002.10470871","ISBN":"1047-3289","ISSN":"21622906","PMID":"12540044","abstract":"Simultaneous removal of NH3 and H2S was investigated using two types of biofilters-one packed with wood chips and the other with granular activated carbon (GAC). Experimental tests and measurements included analyses of removal efficiency (RE), metabolic products, and results of long-term operation (around 240 days). The REs for NH3 and H2S were 92 and 99.9%, respectively, before deactivation. After deactivation, the RE for NH3 and H2S were decreased to 30-50% and 75%, respectively. The activity of nitrifying bacteria was inhibited by high concentrations of H2S (over 200 ppm) but recovered gradually after H2S addition was ceased. However, the Thiobacillus thioparus as sulfur oxidizing bacteria did not show inhibition at the NH3 concentration under 150-ppm conditions. The deactivation of the biofilter was caused by metabolic products [elemental sulfur and (NH,),SO,] accumulating on the packing materials during the extended operation. The removal capacities for NH3 and H2S were 6.0-8.0 and 45-75 mg N, S/L/hr, respectively.","author":[{"dropping-particle":"","family":"Kim","given":"H. S.","non-dropping-particle":"","parse-names":false,"suffix":""},{"dropping-particle":"","family":"Kim","given":"Y J","non-dropping-particle":"","parse-names":false,"suffix":""},{"dropping-particle":"","family":"Chung","given":"J S","non-dropping-particle":"","parse-names":false,"suffix":""},{"dropping-particle":"","family":"Xie","given":"Q","non-dropping-particle":"","parse-names":false,"suffix":""}],"container-title":"Journal of the Air &amp; Waste Management Association","id":"ITEM-1","issue":"12","issued":{"date-parts":[["2002"]]},"page":"1389-1398","title":"Long-term operation of a biofilter for simultaneous removal of H2S and NH3","type":"article-journal","volume":"52"},"uris":["http://www.mendeley.com/documents/?uuid=e5a5b31c-ee91-4dc7-a990-fdedec2f974b"]}],"mendeley":{"formattedCitation":"(H. S. Kim et al., 2002)","manualFormatting":"(Kim et al., 2002)","plainTextFormattedCitation":"(H. S. Kim et al., 2002)","previouslyFormattedCitation":"(H. S. Kim et al., 2002)"},"properties":{"noteIndex":0},"schema":"https://github.com/citation-style-language/schema/raw/master/csl-citation.json"}</w:instrText>
      </w:r>
      <w:r w:rsidR="006657BC" w:rsidRPr="00F167F3">
        <w:rPr>
          <w:szCs w:val="18"/>
          <w:lang w:val="en-GB"/>
        </w:rPr>
        <w:fldChar w:fldCharType="separate"/>
      </w:r>
      <w:r w:rsidR="00BD1DE9" w:rsidRPr="00BD1DE9">
        <w:rPr>
          <w:noProof/>
          <w:szCs w:val="18"/>
          <w:lang w:val="en-GB"/>
        </w:rPr>
        <w:t>(Kim et al., 2002)</w:t>
      </w:r>
      <w:r w:rsidR="006657BC" w:rsidRPr="00F167F3">
        <w:rPr>
          <w:szCs w:val="18"/>
          <w:lang w:val="en-GB"/>
        </w:rPr>
        <w:fldChar w:fldCharType="end"/>
      </w:r>
      <w:r w:rsidR="006657BC" w:rsidRPr="00F167F3">
        <w:rPr>
          <w:szCs w:val="18"/>
          <w:lang w:val="en-GB"/>
        </w:rPr>
        <w:t>.</w:t>
      </w:r>
      <w:r w:rsidR="006016B5" w:rsidRPr="00F167F3">
        <w:rPr>
          <w:szCs w:val="18"/>
          <w:lang w:val="en-GB"/>
        </w:rPr>
        <w:t xml:space="preserve"> </w:t>
      </w:r>
      <w:r w:rsidRPr="00F167F3">
        <w:rPr>
          <w:rFonts w:cs="Arial"/>
          <w:szCs w:val="18"/>
          <w:lang w:val="en-GB"/>
        </w:rPr>
        <w:t xml:space="preserve">Also, the decrease in pH and the accumulation of ammonium, sulphate or elemental sulphur, products from the biological gas oxidation, can cause bed compaction problems and decrease the useful life of the biofilter </w:t>
      </w:r>
      <w:r w:rsidR="007445CE" w:rsidRPr="00F167F3">
        <w:rPr>
          <w:lang w:val="en-GB"/>
        </w:rPr>
        <w:fldChar w:fldCharType="begin" w:fldLock="1"/>
      </w:r>
      <w:r w:rsidR="00BD1DE9">
        <w:rPr>
          <w:lang w:val="en-GB"/>
        </w:rPr>
        <w:instrText>ADDIN CSL_CITATION {"citationItems":[{"id":"ITEM-1","itemData":{"DOI":"10.3390/chemengineering3030072","ISSN":"23057084","abstract":"Bacterial communities’ composition, activity and robustness determines the effectiveness of biofiltration units for the desulfurization of biogas. It is therefore important to get a better understanding of the bacterial communities that coexist in biofiltration units under different operational conditions for the removal of H2S, the main reduced sulfur compound to eliminate in biogas. This review presents the main characteristics of sulfur-oxidizing chemotrophic bacteria that are the base of the biological transformation of H2S to innocuous products in biofilters. A survey of the existing biofiltration technologies in relation to H2S elimination is then presented followed by a review of the microbial ecology studies performed to date on biotrickling filter units for the treatment of H2S in biogas under aerobic and anoxic conditions.","author":[{"dropping-particle":"","family":"Borgne","given":"Sylvie","non-dropping-particle":"Le","parse-names":false,"suffix":""},{"dropping-particle":"","family":"Baquerizo","given":"Guillermo","non-dropping-particle":"","parse-names":false,"suffix":""}],"container-title":"ChemEngineering","id":"ITEM-1","issue":"3","issued":{"date-parts":[["2019"]]},"page":"1-26","title":"Microbial ecology of biofiltration units used for the desulfurization of biogas","type":"article-journal","volume":"3"},"uris":["http://www.mendeley.com/documents/?uuid=7b7b2972-2fd3-4d9d-a225-08a5c4f753b0"]}],"mendeley":{"formattedCitation":"(Le Borgne &amp; Baquerizo, 2019)","plainTextFormattedCitation":"(Le Borgne &amp; Baquerizo, 2019)","previouslyFormattedCitation":"(Le Borgne &amp; Baquerizo, 2019)"},"properties":{"noteIndex":0},"schema":"https://github.com/citation-style-language/schema/raw/master/csl-citation.json"}</w:instrText>
      </w:r>
      <w:r w:rsidR="007445CE" w:rsidRPr="00F167F3">
        <w:rPr>
          <w:lang w:val="en-GB"/>
        </w:rPr>
        <w:fldChar w:fldCharType="separate"/>
      </w:r>
      <w:r w:rsidR="00BD1DE9" w:rsidRPr="00BD1DE9">
        <w:rPr>
          <w:noProof/>
          <w:lang w:val="en-GB"/>
        </w:rPr>
        <w:t>(Le Borgne &amp; Baquerizo, 2019)</w:t>
      </w:r>
      <w:r w:rsidR="007445CE" w:rsidRPr="00F167F3">
        <w:rPr>
          <w:lang w:val="en-GB"/>
        </w:rPr>
        <w:fldChar w:fldCharType="end"/>
      </w:r>
      <w:r w:rsidR="00E8289F" w:rsidRPr="00F167F3">
        <w:rPr>
          <w:lang w:val="en-GB"/>
        </w:rPr>
        <w:t>.</w:t>
      </w:r>
      <w:r w:rsidR="006016B5" w:rsidRPr="00F167F3">
        <w:rPr>
          <w:lang w:val="en-GB"/>
        </w:rPr>
        <w:t xml:space="preserve"> </w:t>
      </w:r>
      <w:r w:rsidR="008264DA" w:rsidRPr="00F167F3">
        <w:rPr>
          <w:rFonts w:cs="Arial"/>
          <w:szCs w:val="18"/>
          <w:lang w:val="en-GB"/>
        </w:rPr>
        <w:t>The accumulation of these compounds may reduce the area available for biofilm formation, inhibiting microbial growth and activity, thus causing a decrease in the elimination efficiency for one or more compounds</w:t>
      </w:r>
      <w:r w:rsidR="00E8289F" w:rsidRPr="00F167F3">
        <w:rPr>
          <w:lang w:val="en-GB"/>
        </w:rPr>
        <w:t xml:space="preserve"> </w:t>
      </w:r>
      <w:r w:rsidR="00D941C6" w:rsidRPr="00F167F3">
        <w:rPr>
          <w:lang w:val="en-GB"/>
        </w:rPr>
        <w:fldChar w:fldCharType="begin" w:fldLock="1"/>
      </w:r>
      <w:r w:rsidR="00053287">
        <w:rPr>
          <w:lang w:val="en-GB"/>
        </w:rPr>
        <w:instrText>ADDIN CSL_CITATION {"citationItems":[{"id":"ITEM-1","itemData":{"DOI":"10.1007/3-540-27007-8_6","ISBN":"3540233121","abstract":"Biotechnology offers one of the most economical and environmentally benign methods of air pollution control for industrial and municipal airstreams. Volatile organic and inorganic odorous compounds from various industries are emitted in large quantities and create hazards to the ecosystem and health effects to humans. Thus, the demand for odor and air pollution control systems that provide nuisance-free, breathable air is constantly growing. An international board of authors from universities, research institutes, and industries describe various biotechnological methods ranging from laboratory, to pilot evaluation and to full-scale process implementation. Topics include bioprocesses for the treatment of odors and air pollutants in wastewater treatment plants, rendering plants, chemical production facilities, and food and flavor manufacturing facilities. In addition to the basic microbiological and engineering aspects, the design, modeling and control of bioreactors are also presented.","author":[{"dropping-particle":"","family":"Datta","given":"Indrani","non-dropping-particle":"","parse-names":false,"suffix":""},{"dropping-particle":"","family":"Allen","given":"D. Grant","non-dropping-particle":"","parse-names":false,"suffix":""}],"container-title":"Biotechnology for Odor and Air Pollution Control","editor":[{"dropping-particle":"","family":"Shareefdeen","given":"Z.","non-dropping-particle":"","parse-names":false,"suffix":""},{"dropping-particle":"","family":"Singh","given":"A.","non-dropping-particle":"","parse-names":false,"suffix":""}],"id":"ITEM-1","issued":{"date-parts":[["2005"]]},"page":"125-145","publisher":"Springer, Berlin, Heidelberg","title":"Biofilter technology","type":"chapter"},"uris":["http://www.mendeley.com/documents/?uuid=3260c874-7320-4120-a451-3c680b5f887e"]},{"id":"ITEM-2","itemData":{"DOI":"10.1016/j.cej.2015.06.107","ISBN":"13858947","ISSN":"13858947","abstract":"A coal slag-packed biotrickling filter inoculated with autotrophic sulphide oxidizing and ammonia oxidizing bacteria was successfully operated for co-treating hydrogen sulphide (H&lt;inf&gt;2&lt;/inf&gt;S) and ammonia (NH&lt;inf&gt;3&lt;/inf&gt;). Excellent removal efficiencies of H&lt;inf&gt;2&lt;/inf&gt;S (98.5%) and NH&lt;inf&gt;3&lt;/inf&gt; (99.9%) were obtained at loadings of up to 120g H&lt;inf&gt;2&lt;/inf&gt;Sm&lt;sup&gt;-3&lt;/sup&gt;h&lt;sup&gt;-1&lt;/sup&gt; and 80g NH&lt;inf&gt;3&lt;/inf&gt;m&lt;sup&gt;-3&lt;/sup&gt;h&lt;sup&gt;-1&lt;/sup&gt;, respectively. The inhibitory effects of selected pollutants and metabolic products on the treatment performance were evaluated through mass balance and bacterial community analyses. The presence of NH&lt;inf&gt;3&lt;/inf&gt; significantly affected the composition of metabolic products of sulphide oxidation. Elemental sulphur was the dominant metabolite that ranged from 35% to 65%, whereas the amount of sulphite and thiosulphate generally increased up to 20%. However, a similar trend in the distribution of by-products to the results of nitrogen mass balance from sole NH&lt;inf&gt;3&lt;/inf&gt; removal was observed. The predominant bacteria were also changed with different loading ratios (H&lt;inf&gt;2&lt;/inf&gt;S:NH&lt;inf&gt;3&lt;/inf&gt;).","author":[{"dropping-particle":"","family":"Tsang","given":"Yiu Fai","non-dropping-particle":"","parse-names":false,"suffix":""},{"dropping-particle":"","family":"Wang","given":"Lei","non-dropping-particle":"","parse-names":false,"suffix":""},{"dropping-particle":"","family":"Chua","given":"Hong","non-dropping-particle":"","parse-names":false,"suffix":""}],"container-title":"Chemical Engineering Journal","id":"ITEM-2","issued":{"date-parts":[["2015"]]},"page":"389-396","publisher":"Elsevier B.V.","title":"Simultaneous hydrogen sulphide and ammonia removal in a biotrickling filter: Crossed inhibitory effects among selected pollutants and microbial community change","type":"article-journal","volume":"281"},"uris":["http://www.mendeley.com/documents/?uuid=ba4956c3-8c1d-456f-a6c9-a9ce2ac3f2eb"]}],"mendeley":{"formattedCitation":"(Datta &amp; Allen, 2005; Tsang et al., 2015)","manualFormatting":"(Tsang et al., 2015)","plainTextFormattedCitation":"(Datta &amp; Allen, 2005; Tsang et al., 2015)","previouslyFormattedCitation":"(Datta &amp; Allen, 2005; Tsang et al., 2015)"},"properties":{"noteIndex":0},"schema":"https://github.com/citation-style-language/schema/raw/master/csl-citation.json"}</w:instrText>
      </w:r>
      <w:r w:rsidR="00D941C6" w:rsidRPr="00F167F3">
        <w:rPr>
          <w:lang w:val="en-GB"/>
        </w:rPr>
        <w:fldChar w:fldCharType="separate"/>
      </w:r>
      <w:r w:rsidR="00053287">
        <w:rPr>
          <w:noProof/>
          <w:lang w:val="en-GB"/>
        </w:rPr>
        <w:t>(</w:t>
      </w:r>
      <w:r w:rsidR="00BD1DE9" w:rsidRPr="00BD1DE9">
        <w:rPr>
          <w:noProof/>
          <w:lang w:val="en-GB"/>
        </w:rPr>
        <w:t>Tsang et al., 2015)</w:t>
      </w:r>
      <w:r w:rsidR="00D941C6" w:rsidRPr="00F167F3">
        <w:rPr>
          <w:lang w:val="en-GB"/>
        </w:rPr>
        <w:fldChar w:fldCharType="end"/>
      </w:r>
      <w:r w:rsidR="00CF0CEF" w:rsidRPr="00F167F3">
        <w:rPr>
          <w:lang w:val="en-GB"/>
        </w:rPr>
        <w:t xml:space="preserve">. </w:t>
      </w:r>
      <w:r w:rsidRPr="00F167F3">
        <w:rPr>
          <w:rFonts w:cs="Arial"/>
          <w:szCs w:val="18"/>
          <w:lang w:val="en-GB"/>
        </w:rPr>
        <w:t xml:space="preserve">These problems pose a challenge for the full-scale implementation of biofiltration with high long-term efficiency under often variable operating conditions. An option to overcome these disadvantages is the enrichment of the biofilter bed with nitrifying and sulphur-oxidizing bacteria (SOB) that can oxidise ammonium and sulphide, respectively, to recover the microbial activity of the biofilter. A similar strategy was applied in the biofiltration of volatile organic </w:t>
      </w:r>
      <w:r w:rsidR="00352255" w:rsidRPr="00F167F3">
        <w:rPr>
          <w:rFonts w:cs="Arial"/>
          <w:szCs w:val="18"/>
          <w:lang w:val="en-GB"/>
        </w:rPr>
        <w:t>sulphur</w:t>
      </w:r>
      <w:r w:rsidRPr="00F167F3">
        <w:rPr>
          <w:rFonts w:cs="Arial"/>
          <w:szCs w:val="18"/>
          <w:lang w:val="en-GB"/>
        </w:rPr>
        <w:t xml:space="preserve"> compounds by the inoculation of a compost biofilter with specific microorganisms that convert methylated </w:t>
      </w:r>
      <w:r w:rsidR="00352255" w:rsidRPr="00F167F3">
        <w:rPr>
          <w:rFonts w:cs="Arial"/>
          <w:szCs w:val="18"/>
          <w:lang w:val="en-GB"/>
        </w:rPr>
        <w:t>sulphur</w:t>
      </w:r>
      <w:r w:rsidRPr="00F167F3">
        <w:rPr>
          <w:rFonts w:cs="Arial"/>
          <w:szCs w:val="18"/>
          <w:lang w:val="en-GB"/>
        </w:rPr>
        <w:t xml:space="preserve"> compounds into </w:t>
      </w:r>
      <w:r w:rsidR="00352255" w:rsidRPr="00F167F3">
        <w:rPr>
          <w:rFonts w:cs="Arial"/>
          <w:szCs w:val="18"/>
          <w:lang w:val="en-GB"/>
        </w:rPr>
        <w:t>sulphate</w:t>
      </w:r>
      <w:r w:rsidRPr="00F167F3">
        <w:rPr>
          <w:rFonts w:cs="Arial"/>
          <w:szCs w:val="18"/>
          <w:lang w:val="en-GB"/>
        </w:rPr>
        <w:t xml:space="preserve"> and carbon dioxide</w:t>
      </w:r>
      <w:r w:rsidR="008264DA" w:rsidRPr="00F167F3">
        <w:rPr>
          <w:lang w:val="en-GB"/>
        </w:rPr>
        <w:t xml:space="preserve"> </w:t>
      </w:r>
      <w:r w:rsidR="00A54CE3" w:rsidRPr="00F167F3">
        <w:rPr>
          <w:lang w:val="en-GB"/>
        </w:rPr>
        <w:fldChar w:fldCharType="begin" w:fldLock="1"/>
      </w:r>
      <w:r w:rsidR="00BD1DE9">
        <w:rPr>
          <w:lang w:val="en-GB"/>
        </w:rPr>
        <w:instrText>ADDIN CSL_CITATION {"citationItems":[{"id":"ITEM-1","itemData":{"DOI":"10.1023/a:1008281609966","ISSN":"09239820","PMID":"10022070","abstract":"Compounds of interest in this work are methanethiol (MESH), dimethyl sulfide (Me2S), dimethyl polysulfides (Me2S(x)) and carbon disulfide (CS2) since these volatiles have been identified as predominant odorants in the emission of a wide range of activities in the bio-industry (e.g. aerobic waste water treatment plants, composting plants, rendering plants). In these processes, the occurrence of volatile organic sulfur compounds is mainly related to the presence of anaerobic microsites with consecutive fermentation of sulfur containing organic material and/or to the breakdown of the latter due to thermal heating. Due to the chemical complexity of these low- concentrated waste gas streams and the high flow rates to be handled, mainly biotechnological techniques and scrubbers can be used to control the odour emission. When using biofilters or trickling filters, inoculation with specific microorganisms and pH-control strategies should be implemented to optimise the removal of volatile organic sulfur compounds. In scrubbers, chemical oxidation of the volatile organic sulfur compounds can be obtained by dosing hypochlorite, ozone or hydrogen peroxide to the scrubbing liquid. However, optimal operational conditions for each of these abatement techniques requires a further research in order to guarantee a long-term and efficient overall odour abatement.","author":[{"dropping-particle":"","family":"Smet","given":"E.","non-dropping-particle":"","parse-names":false,"suffix":""},{"dropping-particle":"","family":"Langenhove","given":"H.","non-dropping-particle":"Van","parse-names":false,"suffix":""}],"container-title":"Biodegradation","id":"ITEM-1","issue":"3-4","issued":{"date-parts":[["1998"]]},"page":"273-284","title":"Abatement of volatile organic sulfur compounds in odorous emissions from the bio-industry","type":"article-journal","volume":"9"},"uris":["http://www.mendeley.com/documents/?uuid=9708094b-801a-4cbe-a322-ea556e8671cb"]}],"mendeley":{"formattedCitation":"(Smet &amp; Van Langenhove, 1998)","plainTextFormattedCitation":"(Smet &amp; Van Langenhove, 1998)","previouslyFormattedCitation":"(Smet &amp; Van Langenhove, 1998)"},"properties":{"noteIndex":0},"schema":"https://github.com/citation-style-language/schema/raw/master/csl-citation.json"}</w:instrText>
      </w:r>
      <w:r w:rsidR="00A54CE3" w:rsidRPr="00F167F3">
        <w:rPr>
          <w:lang w:val="en-GB"/>
        </w:rPr>
        <w:fldChar w:fldCharType="separate"/>
      </w:r>
      <w:r w:rsidR="00BD1DE9" w:rsidRPr="00BD1DE9">
        <w:rPr>
          <w:noProof/>
          <w:lang w:val="en-GB"/>
        </w:rPr>
        <w:t>(Smet &amp; Van Langenhove, 1998)</w:t>
      </w:r>
      <w:r w:rsidR="00A54CE3" w:rsidRPr="00F167F3">
        <w:rPr>
          <w:lang w:val="en-GB"/>
        </w:rPr>
        <w:fldChar w:fldCharType="end"/>
      </w:r>
      <w:r w:rsidRPr="00F167F3">
        <w:rPr>
          <w:lang w:val="en-GB"/>
        </w:rPr>
        <w:t xml:space="preserve"> </w:t>
      </w:r>
      <w:r w:rsidRPr="00F167F3">
        <w:rPr>
          <w:szCs w:val="18"/>
          <w:lang w:val="en-GB"/>
        </w:rPr>
        <w:t>b</w:t>
      </w:r>
      <w:r w:rsidRPr="00F167F3">
        <w:rPr>
          <w:rFonts w:cs="Arial"/>
          <w:szCs w:val="18"/>
          <w:lang w:val="en-GB"/>
        </w:rPr>
        <w:t>ut has not been applied in the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elimination by compost biofilters. Thus, this work evaluated the performance of a compost biofilter inoculated with an enriched microbial culture for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removal under transient conditions of concentration that simulate gases emissions from a WWTP.</w:t>
      </w:r>
    </w:p>
    <w:p w14:paraId="09BA2194" w14:textId="77777777" w:rsidR="00EA29EA" w:rsidRPr="00F167F3" w:rsidRDefault="00EA29EA" w:rsidP="001A2632">
      <w:pPr>
        <w:pStyle w:val="CETHeading1"/>
        <w:rPr>
          <w:rFonts w:eastAsia="Arial"/>
          <w:lang w:val="en-GB"/>
        </w:rPr>
      </w:pPr>
      <w:r w:rsidRPr="00F167F3">
        <w:rPr>
          <w:rFonts w:eastAsia="Arial"/>
          <w:lang w:val="en-GB"/>
        </w:rPr>
        <w:t>Materials and Methods</w:t>
      </w:r>
    </w:p>
    <w:p w14:paraId="248555A5" w14:textId="3F8F78E4" w:rsidR="00292A33" w:rsidRPr="00F167F3" w:rsidRDefault="00292A33" w:rsidP="00292A33">
      <w:pPr>
        <w:pStyle w:val="CETheadingx"/>
        <w:numPr>
          <w:ilvl w:val="1"/>
          <w:numId w:val="24"/>
        </w:numPr>
        <w:rPr>
          <w:lang w:val="en-GB"/>
        </w:rPr>
      </w:pPr>
      <w:r w:rsidRPr="00F167F3">
        <w:rPr>
          <w:lang w:val="en-GB"/>
        </w:rPr>
        <w:t xml:space="preserve">Enrichment of microbial culture </w:t>
      </w:r>
    </w:p>
    <w:p w14:paraId="61A866F3" w14:textId="264CC43A" w:rsidR="00292A33" w:rsidRPr="00F167F3" w:rsidRDefault="00292A33" w:rsidP="00292A33">
      <w:pPr>
        <w:pStyle w:val="CETBodytext"/>
        <w:rPr>
          <w:lang w:val="en-GB"/>
        </w:rPr>
      </w:pPr>
      <w:r w:rsidRPr="00F167F3">
        <w:rPr>
          <w:lang w:val="en-GB"/>
        </w:rPr>
        <w:t>The microbial culture used as inoculum was obtained by dilution of digested sludge from the WWTP-El Salitre, Bogotá, Colombia, in a mineral medium with NH</w:t>
      </w:r>
      <w:r w:rsidRPr="00F167F3">
        <w:rPr>
          <w:vertAlign w:val="subscript"/>
          <w:lang w:val="en-GB"/>
        </w:rPr>
        <w:t>4</w:t>
      </w:r>
      <w:r w:rsidRPr="00F167F3">
        <w:rPr>
          <w:lang w:val="en-GB"/>
        </w:rPr>
        <w:t>Cl, phosphate buffer, NaHCO</w:t>
      </w:r>
      <w:r w:rsidRPr="00F167F3">
        <w:rPr>
          <w:vertAlign w:val="subscript"/>
          <w:lang w:val="en-GB"/>
        </w:rPr>
        <w:t>3</w:t>
      </w:r>
      <w:r w:rsidRPr="00F167F3">
        <w:rPr>
          <w:lang w:val="en-GB"/>
        </w:rPr>
        <w:t>, CaCl</w:t>
      </w:r>
      <w:r w:rsidRPr="00F167F3">
        <w:rPr>
          <w:vertAlign w:val="subscript"/>
          <w:lang w:val="en-GB"/>
        </w:rPr>
        <w:t>2</w:t>
      </w:r>
      <w:r w:rsidRPr="00F167F3">
        <w:rPr>
          <w:lang w:val="en-GB"/>
        </w:rPr>
        <w:t>, MgCl</w:t>
      </w:r>
      <w:r w:rsidRPr="00F167F3">
        <w:rPr>
          <w:vertAlign w:val="subscript"/>
          <w:lang w:val="en-GB"/>
        </w:rPr>
        <w:t>2</w:t>
      </w:r>
      <w:r w:rsidRPr="00F167F3">
        <w:rPr>
          <w:lang w:val="en-GB"/>
        </w:rPr>
        <w:t xml:space="preserve"> and metal trace solution at pH 8 </w:t>
      </w:r>
      <w:r w:rsidR="00BD1DE9">
        <w:rPr>
          <w:lang w:val="en-GB"/>
        </w:rPr>
        <w:fldChar w:fldCharType="begin" w:fldLock="1"/>
      </w:r>
      <w:r w:rsidR="008276CE">
        <w:rPr>
          <w:lang w:val="en-GB"/>
        </w:rPr>
        <w:instrText>ADDIN CSL_CITATION {"citationItems":[{"id":"ITEM-1","itemData":{"DOI":"10.1016/S0168-6496(01)00163-5","ISBN":"0168-6496","ISSN":"01686496","abstract":"Until now enrichments of ammonia-oxidizing bacteria from natural ammonium-limited environments have been performed mainly in the presence of much higher ammonia concentrations than those present in the natural environment and many have resulted in the enrichment and isolation of environmentally less important bacteria. Therefore, we used continuous cultures to enrich ammonia-oxidizing bacteria at growth-limiting ammonium concentrations of around 5 μM from the root zone of the macrophyte Glyceria maxima from the lake Drontermeer (The Netherlands). Molecular analysis at the end of the enrichment experiments showed that all continuous cultures consisted of Nitrosomonas cluster 6a, which comprises also Nitrosomonas ureae and Nitrosomonas oligotropha. This was independent of whether Nitrosomonas- or Nitrosospira-like bacteria were dominant in the inoculum. Thus all known ammonia-oxidizing bacteria belonging to Nitrosomonas cluster 6a are able to grow at very low ammonium concentrations. © 2001 Federation of European Microbiological Societies. Published by Elsevier Science B.V. All rights reserved.","author":[{"dropping-particle":"","family":"Bollmann","given":"Annette","non-dropping-particle":"","parse-names":false,"suffix":""},{"dropping-particle":"","family":"Laanbroek","given":"Hendrikus J","non-dropping-particle":"","parse-names":false,"suffix":""}],"container-title":"FEMS Microbiology Ecology","id":"ITEM-1","issue":"3","issued":{"date-parts":[["2001"]]},"page":"211-221","title":"Continuous culture enrichments of ammonia-oxidizing bacteria at low ammonium concentrations","type":"article-journal","volume":"37"},"uris":["http://www.mendeley.com/documents/?uuid=35698618-4a45-4825-998b-db1012664acf"]},{"id":"ITEM-2","itemData":{"DOI":"10.1016/j.biortech.2010.06.084","ISBN":"1873-2976 (Electronic)\\r0960-8524 (Linking)","ISSN":"09608524","PMID":"20620047","abstract":"The tolerance, kinetic and oxidizing capability of a nitrifying sludge exposed to different initial concentrations of sulfide (1.7 to 18mg/L) was evaluated in batch experiments. A nitrifying sludge fed with ammonium and thiosulfate and produced in steady state conditions was used as inoculum. Sulfide induced a significant effect either on ammonium consumption rates or nitrite accumulation. In spite of the nitrifying kinetic was affected, the ammonium consumption efficiencies were close to 100%, with nitrate production yields around 1.0. The IC50value for ammonium oxidizing-process was 13mg/L of sulfide. Sulfide was oxidized in two steps: first sulfide was oxidized to elemental sulfur and afterward into sulfate. FISH oligonucleotide probes for Thiobacillus denitrificans, Nitrosomonas spp., and Nitrobacter spp. were used in order to know if these bacteria were part of the microbial ecology. The obtained results showed that under nitrifying conditions are possible to carry out simultaneously two biological processes, nitrification and sulfur oxidation. © 2010 Elsevier Ltd.","author":[{"dropping-particle":"","family":"Beristain-Cardoso","given":"Ricardo","non-dropping-particle":"","parse-names":false,"suffix":""},{"dropping-particle":"","family":"Gómez","given":"Jorge","non-dropping-particle":"","parse-names":false,"suffix":""},{"dropping-particle":"","family":"Méndez-Pampín","given":"Ramón","non-dropping-particle":"","parse-names":false,"suffix":""}],"container-title":"Bioresource Technology","id":"ITEM-2","issue":"22","issued":{"date-parts":[["2010"]]},"page":"8593-8598","publisher":"Elsevier Ltd","title":"The behavior of nitrifying sludge in presence of sulfur compounds using a floating biofilm reactor","type":"article-journal","volume":"101"},"uris":["http://www.mendeley.com/documents/?uuid=a8aaeb56-c69c-4332-a4bc-2ece9c5084ae"]}],"mendeley":{"formattedCitation":"(Beristain-Cardoso et al., 2010; Bollmann &amp; Laanbroek, 2001)","manualFormatting":"(Beristain-Cardoso, Gómez and Méndez-Pampín, 2010; Bollmann &amp; Laanbroek, 2001)","plainTextFormattedCitation":"(Beristain-Cardoso et al., 2010; Bollmann &amp; Laanbroek, 2001)","previouslyFormattedCitation":"(Beristain-Cardoso et al., 2010; Bollmann &amp; Laanbroek, 2001)"},"properties":{"noteIndex":0},"schema":"https://github.com/citation-style-language/schema/raw/master/csl-citation.json"}</w:instrText>
      </w:r>
      <w:r w:rsidR="00BD1DE9">
        <w:rPr>
          <w:lang w:val="en-GB"/>
        </w:rPr>
        <w:fldChar w:fldCharType="separate"/>
      </w:r>
      <w:r w:rsidR="00BD1DE9" w:rsidRPr="00BD1DE9">
        <w:rPr>
          <w:noProof/>
          <w:lang w:val="en-GB"/>
        </w:rPr>
        <w:t>(Beristain-Cardoso</w:t>
      </w:r>
      <w:r w:rsidR="008276CE">
        <w:rPr>
          <w:noProof/>
          <w:lang w:val="en-GB"/>
        </w:rPr>
        <w:t xml:space="preserve">, </w:t>
      </w:r>
      <w:r w:rsidR="008276CE" w:rsidRPr="00F167F3">
        <w:rPr>
          <w:noProof/>
          <w:lang w:val="en-GB"/>
        </w:rPr>
        <w:t xml:space="preserve">Gómez and Méndez-Pampín, </w:t>
      </w:r>
      <w:r w:rsidR="00BD1DE9" w:rsidRPr="00BD1DE9">
        <w:rPr>
          <w:noProof/>
          <w:lang w:val="en-GB"/>
        </w:rPr>
        <w:t>2010; Bollmann &amp; Laanbroek, 2001)</w:t>
      </w:r>
      <w:r w:rsidR="00BD1DE9">
        <w:rPr>
          <w:lang w:val="en-GB"/>
        </w:rPr>
        <w:fldChar w:fldCharType="end"/>
      </w:r>
      <w:r w:rsidRPr="00F167F3">
        <w:rPr>
          <w:lang w:val="en-GB"/>
        </w:rPr>
        <w:t xml:space="preserve">;. The culture was incubated at 30 ºC and 100 rpm in the darkness. 50% of the culture was transferred to a new medium when the ammonium was consumed. This step was repeated until the ammonium was consumed in 2-3 days. </w:t>
      </w:r>
    </w:p>
    <w:p w14:paraId="7E1D862F" w14:textId="1BB73D94" w:rsidR="00292A33" w:rsidRPr="00F167F3" w:rsidRDefault="00292A33" w:rsidP="00292A33">
      <w:pPr>
        <w:pStyle w:val="CETBodytext"/>
        <w:rPr>
          <w:lang w:val="en-GB"/>
        </w:rPr>
      </w:pPr>
      <w:r w:rsidRPr="00F167F3">
        <w:rPr>
          <w:lang w:val="en-GB"/>
        </w:rPr>
        <w:t>Then, the culture was transferred to the same medium with an addition, every two days of sodium sulphide solution to reach 15 mg S/L in 5 L of culture. This transfer step was made each ten days for six months. Ammonium oxidation was confirmed in a culture aliquot by qualitative tests: ammonium consumption was verified by Nessler's reagent (no yellow colour appearance) and nitrite production by Griess' reagent (pink to purple colour appearance). Sulphate production was confirmed by BaSO</w:t>
      </w:r>
      <w:r w:rsidRPr="00F167F3">
        <w:rPr>
          <w:vertAlign w:val="subscript"/>
          <w:lang w:val="en-GB"/>
        </w:rPr>
        <w:t>4</w:t>
      </w:r>
      <w:r w:rsidRPr="00F167F3">
        <w:rPr>
          <w:lang w:val="en-GB"/>
        </w:rPr>
        <w:t xml:space="preserve"> precipitation when BaCl</w:t>
      </w:r>
      <w:r w:rsidRPr="00F167F3">
        <w:rPr>
          <w:vertAlign w:val="subscript"/>
          <w:lang w:val="en-GB"/>
        </w:rPr>
        <w:t>2</w:t>
      </w:r>
      <w:r w:rsidRPr="00F167F3">
        <w:rPr>
          <w:lang w:val="en-GB"/>
        </w:rPr>
        <w:t xml:space="preserve"> solution was added to a culture aliquot. The microbial culture was centrifuged, and cell biomass was washed with water and resuspended in 500 mL of saline solution for its use as inoculum.</w:t>
      </w:r>
    </w:p>
    <w:p w14:paraId="44A6D7B9" w14:textId="77777777" w:rsidR="00EA29EA" w:rsidRPr="00F167F3" w:rsidRDefault="00EA29EA" w:rsidP="004E44A5">
      <w:pPr>
        <w:pStyle w:val="CETheadingx"/>
        <w:numPr>
          <w:ilvl w:val="1"/>
          <w:numId w:val="24"/>
        </w:numPr>
        <w:rPr>
          <w:lang w:val="en-GB"/>
        </w:rPr>
      </w:pPr>
      <w:r w:rsidRPr="00F167F3">
        <w:rPr>
          <w:lang w:val="en-GB"/>
        </w:rPr>
        <w:t>Biofiltration system</w:t>
      </w:r>
    </w:p>
    <w:p w14:paraId="70D18DCF" w14:textId="323A218E" w:rsidR="008276CE" w:rsidRDefault="008276CE" w:rsidP="00EA29EA">
      <w:pPr>
        <w:pStyle w:val="CETBodytext"/>
        <w:rPr>
          <w:rFonts w:cs="Arial"/>
          <w:szCs w:val="18"/>
          <w:lang w:val="en-GB"/>
        </w:rPr>
      </w:pPr>
      <w:r w:rsidRPr="00F167F3">
        <w:rPr>
          <w:noProof/>
          <w:lang w:val="en-GB"/>
        </w:rPr>
        <w:drawing>
          <wp:anchor distT="0" distB="0" distL="114300" distR="114300" simplePos="0" relativeHeight="251659264" behindDoc="0" locked="0" layoutInCell="1" allowOverlap="1" wp14:anchorId="7B261907" wp14:editId="48172CF2">
            <wp:simplePos x="0" y="0"/>
            <wp:positionH relativeFrom="column">
              <wp:posOffset>0</wp:posOffset>
            </wp:positionH>
            <wp:positionV relativeFrom="paragraph">
              <wp:posOffset>150495</wp:posOffset>
            </wp:positionV>
            <wp:extent cx="3846195" cy="1979930"/>
            <wp:effectExtent l="0" t="0" r="1905" b="1270"/>
            <wp:wrapSquare wrapText="bothSides"/>
            <wp:docPr id="7" name="Imagen 7"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 Esquemátic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195" cy="1979930"/>
                    </a:xfrm>
                    <a:prstGeom prst="rect">
                      <a:avLst/>
                    </a:prstGeom>
                    <a:noFill/>
                  </pic:spPr>
                </pic:pic>
              </a:graphicData>
            </a:graphic>
          </wp:anchor>
        </w:drawing>
      </w:r>
    </w:p>
    <w:p w14:paraId="3CA4D81E" w14:textId="77777777" w:rsidR="008276CE" w:rsidRDefault="008276CE" w:rsidP="00EA29EA">
      <w:pPr>
        <w:pStyle w:val="CETBodytext"/>
        <w:rPr>
          <w:rFonts w:cs="Arial"/>
          <w:szCs w:val="18"/>
          <w:lang w:val="en-GB"/>
        </w:rPr>
      </w:pPr>
    </w:p>
    <w:p w14:paraId="7A4C6CC5" w14:textId="77777777" w:rsidR="008276CE" w:rsidRDefault="008276CE" w:rsidP="00EA29EA">
      <w:pPr>
        <w:pStyle w:val="CETBodytext"/>
        <w:rPr>
          <w:rFonts w:cs="Arial"/>
          <w:szCs w:val="18"/>
          <w:lang w:val="en-GB"/>
        </w:rPr>
      </w:pPr>
    </w:p>
    <w:p w14:paraId="50C3C0F8" w14:textId="77777777" w:rsidR="008276CE" w:rsidRDefault="008276CE" w:rsidP="00EA29EA">
      <w:pPr>
        <w:pStyle w:val="CETBodytext"/>
        <w:rPr>
          <w:rFonts w:cs="Arial"/>
          <w:szCs w:val="18"/>
          <w:lang w:val="en-GB"/>
        </w:rPr>
      </w:pPr>
    </w:p>
    <w:p w14:paraId="17259AAA" w14:textId="77777777" w:rsidR="008276CE" w:rsidRDefault="008276CE" w:rsidP="00EA29EA">
      <w:pPr>
        <w:pStyle w:val="CETBodytext"/>
        <w:rPr>
          <w:rFonts w:cs="Arial"/>
          <w:szCs w:val="18"/>
          <w:lang w:val="en-GB"/>
        </w:rPr>
      </w:pPr>
    </w:p>
    <w:p w14:paraId="779800F1" w14:textId="77777777" w:rsidR="008276CE" w:rsidRDefault="008276CE" w:rsidP="00EA29EA">
      <w:pPr>
        <w:pStyle w:val="CETBodytext"/>
        <w:rPr>
          <w:rFonts w:cs="Arial"/>
          <w:szCs w:val="18"/>
          <w:lang w:val="en-GB"/>
        </w:rPr>
      </w:pPr>
    </w:p>
    <w:p w14:paraId="63BD015C" w14:textId="77777777" w:rsidR="008276CE" w:rsidRDefault="008276CE" w:rsidP="00EA29EA">
      <w:pPr>
        <w:pStyle w:val="CETBodytext"/>
        <w:rPr>
          <w:rFonts w:cs="Arial"/>
          <w:szCs w:val="18"/>
          <w:lang w:val="en-GB"/>
        </w:rPr>
      </w:pPr>
    </w:p>
    <w:p w14:paraId="04E444CB" w14:textId="77777777" w:rsidR="008276CE" w:rsidRDefault="008276CE" w:rsidP="00EA29EA">
      <w:pPr>
        <w:pStyle w:val="CETBodytext"/>
        <w:rPr>
          <w:rFonts w:cs="Arial"/>
          <w:szCs w:val="18"/>
          <w:lang w:val="en-GB"/>
        </w:rPr>
      </w:pPr>
    </w:p>
    <w:p w14:paraId="7A765B7D" w14:textId="77777777" w:rsidR="008276CE" w:rsidRDefault="008276CE" w:rsidP="00EA29EA">
      <w:pPr>
        <w:pStyle w:val="CETBodytext"/>
        <w:rPr>
          <w:rFonts w:cs="Arial"/>
          <w:szCs w:val="18"/>
          <w:lang w:val="en-GB"/>
        </w:rPr>
      </w:pPr>
    </w:p>
    <w:p w14:paraId="154B003C" w14:textId="77777777" w:rsidR="008276CE" w:rsidRDefault="008276CE" w:rsidP="00EA29EA">
      <w:pPr>
        <w:pStyle w:val="CETBodytext"/>
        <w:rPr>
          <w:rFonts w:cs="Arial"/>
          <w:szCs w:val="18"/>
          <w:lang w:val="en-GB"/>
        </w:rPr>
      </w:pPr>
    </w:p>
    <w:p w14:paraId="436921D9" w14:textId="77777777" w:rsidR="008276CE" w:rsidRDefault="008276CE" w:rsidP="00EA29EA">
      <w:pPr>
        <w:pStyle w:val="CETBodytext"/>
        <w:rPr>
          <w:rFonts w:cs="Arial"/>
          <w:szCs w:val="18"/>
          <w:lang w:val="en-GB"/>
        </w:rPr>
      </w:pPr>
    </w:p>
    <w:p w14:paraId="618BDAFF" w14:textId="77777777" w:rsidR="008276CE" w:rsidRDefault="008276CE" w:rsidP="00EA29EA">
      <w:pPr>
        <w:pStyle w:val="CETBodytext"/>
        <w:rPr>
          <w:rFonts w:cs="Arial"/>
          <w:szCs w:val="18"/>
          <w:lang w:val="en-GB"/>
        </w:rPr>
      </w:pPr>
    </w:p>
    <w:p w14:paraId="12EAD906" w14:textId="77777777" w:rsidR="008276CE" w:rsidRDefault="008276CE" w:rsidP="00EA29EA">
      <w:pPr>
        <w:pStyle w:val="CETBodytext"/>
        <w:rPr>
          <w:rFonts w:cs="Arial"/>
          <w:szCs w:val="18"/>
          <w:lang w:val="en-GB"/>
        </w:rPr>
      </w:pPr>
    </w:p>
    <w:p w14:paraId="176BB472" w14:textId="77777777" w:rsidR="008276CE" w:rsidRDefault="008276CE" w:rsidP="00EA29EA">
      <w:pPr>
        <w:pStyle w:val="CETBodytext"/>
        <w:rPr>
          <w:rFonts w:cs="Arial"/>
          <w:szCs w:val="18"/>
          <w:lang w:val="en-GB"/>
        </w:rPr>
      </w:pPr>
    </w:p>
    <w:p w14:paraId="1897454A" w14:textId="77777777" w:rsidR="008276CE" w:rsidRDefault="008276CE" w:rsidP="00EA29EA">
      <w:pPr>
        <w:pStyle w:val="CETBodytext"/>
        <w:rPr>
          <w:rFonts w:cs="Arial"/>
          <w:szCs w:val="18"/>
          <w:lang w:val="en-GB"/>
        </w:rPr>
      </w:pPr>
    </w:p>
    <w:p w14:paraId="75064C59" w14:textId="5B071317" w:rsidR="008276CE" w:rsidRDefault="008276CE" w:rsidP="008276CE">
      <w:pPr>
        <w:pStyle w:val="CETCaption"/>
        <w:rPr>
          <w:rFonts w:cs="Arial"/>
          <w:szCs w:val="18"/>
        </w:rPr>
      </w:pPr>
      <w:r w:rsidRPr="00F167F3">
        <w:t>Figure 1. Gas generation system and laboratory-scale biofilters. a. Vacuum pump; b. Peristaltic pump; c. Valves; d. Humidifier; e. Mixing chamber; f. Flowmeters; Inoc. inoculated biofilter; No inoc, Uninoculated biofilter</w:t>
      </w:r>
      <w:r>
        <w:t>.</w:t>
      </w:r>
    </w:p>
    <w:p w14:paraId="0899A776" w14:textId="7E49EC97" w:rsidR="00EA29EA" w:rsidRPr="00F167F3" w:rsidRDefault="00402B29" w:rsidP="00EA29EA">
      <w:pPr>
        <w:pStyle w:val="CETBodytext"/>
        <w:rPr>
          <w:lang w:val="en-GB"/>
        </w:rPr>
      </w:pPr>
      <w:r w:rsidRPr="00F167F3">
        <w:rPr>
          <w:rFonts w:cs="Arial"/>
          <w:szCs w:val="18"/>
          <w:lang w:val="en-GB"/>
        </w:rPr>
        <w:t>The packing material was obtained previously from the composting of sugarcane bagasse and two-year-old chicken manure in a 1:1 volume ratio. This material previously demonstrated high efficiency in the biofiltration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under steady conditions </w:t>
      </w:r>
      <w:r w:rsidR="00EA56B8" w:rsidRPr="00F167F3">
        <w:rPr>
          <w:rFonts w:cs="Arial"/>
          <w:szCs w:val="18"/>
          <w:lang w:val="en-GB"/>
        </w:rPr>
        <w:fldChar w:fldCharType="begin" w:fldLock="1"/>
      </w:r>
      <w:r w:rsidR="00BD1DE9">
        <w:rPr>
          <w:rFonts w:cs="Arial"/>
          <w:szCs w:val="18"/>
          <w:lang w:val="en-GB"/>
        </w:rPr>
        <w:instrText>ADDIN CSL_CITATION {"citationItems":[{"id":"ITEM-1","itemData":{"DOI":"10.1007/s11356-020-10817-w","ISSN":"16147499","PMID":"32951172","abstract":"Biofiltration offers an efficient and economical alternative for the elimination of offensive odors caused by hydrogen sulfide, ammonia, and volatile organic compounds. Considering that packing materials affect the performance and represent the main installation cost, the purpose of this work was to evaluate the biofiltration of H2S and NH3 comparing three composted mixtures made from chicken manure and lignocellulosic residues (pruning waste, sugarcane bagasse, and rice husk) used as packing material. A range of gas concentrations similar to those of a municipal WWTP was used in the biofiltration of a contaminated stream performed on a laboratory scale. The results indicate that at low concentrations of H2S (6–36 ppm) and NH3 (0–1 ppm), the three biofilters showed 100% removal efficiency. Now, at the maximum levels of gas concentrations of H2S (250 ppm) and NH3 (19 ppm) while the removal efficiency of H2S remained higher than 90% in all cases, the removal efficiency of NH3 remained higher than 90% only in the sugarcane bagasse biofilter. Compost mixtures with sugarcane bagasse and rice husk are highly reliable as packing material for biofiltration at high concentration of H2S. Specifically, the sugarcane bagasse mixture had the highest removal efficiency (99% H2S and 95% NH3) and the highest elimination capacity (15 g H2S/m3h and 0.6 g NH3/m3h), making it a better option for the elimination of both gases. These results represent a contribution to the construction of a low-price elimination system of offensive odors in WTTPs and other industries.","author":[{"dropping-particle":"","family":"Vela-Aparicio","given":"Diana","non-dropping-particle":"","parse-names":false,"suffix":""},{"dropping-particle":"","family":"Forero","given":"Daniel F.","non-dropping-particle":"","parse-names":false,"suffix":""},{"dropping-particle":"","family":"Hernández","given":"Mario A.","non-dropping-particle":"","parse-names":false,"suffix":""},{"dropping-particle":"","family":"Brandão","given":"Pedro F.B.","non-dropping-particle":"","parse-names":false,"suffix":""},{"dropping-particle":"","family":"Cabeza","given":"Iván O.","non-dropping-particle":"","parse-names":false,"suffix":""}],"container-title":"Environmental Science and Pollution Research","id":"ITEM-1","issue":"19","issued":{"date-parts":[["2021"]]},"page":"24721-24730","title":"Simultaneous biofiltration of H2S and NH3 using compost mixtures from lignocellulosic waste and chicken manure as packing material","type":"article-journal","volume":"28"},"uris":["http://www.mendeley.com/documents/?uuid=9e1ffc85-fb9c-4ccf-83d7-1c9b086592e6"]}],"mendeley":{"formattedCitation":"(D. Vela-Aparicio et al., 2021)","manualFormatting":"(Vela-Aparicio et al., 2021a)","plainTextFormattedCitation":"(D. Vela-Aparicio et al., 2021)","previouslyFormattedCitation":"(D. Vela-Aparicio et al., 2021)"},"properties":{"noteIndex":0},"schema":"https://github.com/citation-style-language/schema/raw/master/csl-citation.json"}</w:instrText>
      </w:r>
      <w:r w:rsidR="00EA56B8" w:rsidRPr="00F167F3">
        <w:rPr>
          <w:rFonts w:cs="Arial"/>
          <w:szCs w:val="18"/>
          <w:lang w:val="en-GB"/>
        </w:rPr>
        <w:fldChar w:fldCharType="separate"/>
      </w:r>
      <w:r w:rsidR="00EA56B8" w:rsidRPr="00F167F3">
        <w:rPr>
          <w:rFonts w:cs="Arial"/>
          <w:noProof/>
          <w:szCs w:val="18"/>
          <w:lang w:val="en-GB"/>
        </w:rPr>
        <w:t>(Vela-Aparicio et al., 2021a)</w:t>
      </w:r>
      <w:r w:rsidR="00EA56B8" w:rsidRPr="00F167F3">
        <w:rPr>
          <w:rFonts w:cs="Arial"/>
          <w:szCs w:val="18"/>
          <w:lang w:val="en-GB"/>
        </w:rPr>
        <w:fldChar w:fldCharType="end"/>
      </w:r>
      <w:r w:rsidR="00260541" w:rsidRPr="00F167F3">
        <w:rPr>
          <w:lang w:val="en-GB"/>
        </w:rPr>
        <w:t>.</w:t>
      </w:r>
    </w:p>
    <w:p w14:paraId="28BDC379" w14:textId="176E7DD6" w:rsidR="00771EB1" w:rsidRPr="00F167F3" w:rsidRDefault="00771EB1" w:rsidP="00EA29EA">
      <w:pPr>
        <w:pStyle w:val="CETBodytext"/>
      </w:pPr>
      <w:r w:rsidRPr="00F167F3">
        <w:rPr>
          <w:rFonts w:cs="Arial"/>
          <w:szCs w:val="18"/>
        </w:rPr>
        <w:t xml:space="preserve">The compost bed used in this </w:t>
      </w:r>
      <w:r w:rsidR="00972344" w:rsidRPr="00F167F3">
        <w:rPr>
          <w:rFonts w:cs="Arial"/>
          <w:szCs w:val="18"/>
        </w:rPr>
        <w:t>work</w:t>
      </w:r>
      <w:r w:rsidRPr="00F167F3">
        <w:rPr>
          <w:rFonts w:cs="Arial"/>
          <w:szCs w:val="18"/>
        </w:rPr>
        <w:t xml:space="preserve"> comes from two biofilters previously employed in biofiltration assays to evaluate transient operative conditions (Vela-Aparicio et al., 2021b). Thus, each section of the new biofilter was </w:t>
      </w:r>
      <w:r w:rsidRPr="00F167F3">
        <w:rPr>
          <w:rFonts w:cs="Arial"/>
          <w:szCs w:val="18"/>
        </w:rPr>
        <w:lastRenderedPageBreak/>
        <w:t>prepared from a mixture of compost from each section of those two biofilters. Then, half of the mixed compost was inoculated with the microbial culture and packed in the corresponding section of the new biofilter. The uninoculated biofilter was used as a control to verify the effect of the inoculation on the gases elimination.</w:t>
      </w:r>
      <w:r w:rsidR="0038513E" w:rsidRPr="00F167F3">
        <w:rPr>
          <w:rFonts w:cs="Arial"/>
          <w:szCs w:val="18"/>
        </w:rPr>
        <w:t xml:space="preserve"> </w:t>
      </w:r>
    </w:p>
    <w:p w14:paraId="6142BC8E" w14:textId="77777777" w:rsidR="00F959FA" w:rsidRPr="00F167F3" w:rsidRDefault="00F959FA" w:rsidP="00F959FA">
      <w:pPr>
        <w:tabs>
          <w:tab w:val="clear" w:pos="7100"/>
        </w:tabs>
        <w:spacing w:line="240" w:lineRule="auto"/>
        <w:rPr>
          <w:rFonts w:ascii="Times New Roman" w:hAnsi="Times New Roman"/>
          <w:szCs w:val="18"/>
          <w:lang w:eastAsia="es-419"/>
        </w:rPr>
      </w:pPr>
      <w:r w:rsidRPr="00F167F3">
        <w:rPr>
          <w:rFonts w:cs="Arial"/>
          <w:szCs w:val="18"/>
          <w:lang w:eastAsia="es-419"/>
        </w:rPr>
        <w:t>The biofiltration system in a laboratory scale (Figure 1) consisted of two biofilters constructed with PVC pipes with a diameter of 10 cm, a height of 81 cm, and a total volume of 6.6 L. The biofilters had three sections of 27 cm in height and a sampling port to measure pollutant concentration.</w:t>
      </w:r>
    </w:p>
    <w:p w14:paraId="5848718B" w14:textId="2D8DB1AA" w:rsidR="00F959FA" w:rsidRPr="00F167F3" w:rsidRDefault="00F959FA" w:rsidP="00F959FA">
      <w:pPr>
        <w:pStyle w:val="CETBodytext"/>
        <w:rPr>
          <w:lang w:val="en-GB"/>
        </w:rPr>
      </w:pPr>
      <w:r w:rsidRPr="00F167F3">
        <w:rPr>
          <w:rFonts w:cs="Arial"/>
          <w:szCs w:val="18"/>
          <w:lang w:val="en-GB"/>
        </w:rPr>
        <w:t>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were volatilized from an acidic solution (HCl) of Na</w:t>
      </w:r>
      <w:r w:rsidRPr="00F167F3">
        <w:rPr>
          <w:rFonts w:cs="Arial"/>
          <w:szCs w:val="18"/>
          <w:vertAlign w:val="subscript"/>
          <w:lang w:val="en-GB"/>
        </w:rPr>
        <w:t>2</w:t>
      </w:r>
      <w:r w:rsidRPr="00F167F3">
        <w:rPr>
          <w:rFonts w:cs="Arial"/>
          <w:szCs w:val="18"/>
          <w:lang w:val="en-GB"/>
        </w:rPr>
        <w:t>S (0.005-0.035 M), and from a solution of NH</w:t>
      </w:r>
      <w:r w:rsidRPr="00F167F3">
        <w:rPr>
          <w:rFonts w:cs="Arial"/>
          <w:szCs w:val="18"/>
          <w:vertAlign w:val="subscript"/>
          <w:lang w:val="en-GB"/>
        </w:rPr>
        <w:t>4</w:t>
      </w:r>
      <w:r w:rsidRPr="00F167F3">
        <w:rPr>
          <w:rFonts w:cs="Arial"/>
          <w:szCs w:val="18"/>
          <w:lang w:val="en-GB"/>
        </w:rPr>
        <w:t xml:space="preserve">OH 1%, respectively (Figure 1). Then, the gases were mixed with humidified air in a mixing chamber. Air from a vacuum pump was used to apply an ascending gaseous stream through the biofilters and to assure the desired gas inlet flow rate. This mixed stream was finally distributed into the biofiltration system. </w:t>
      </w:r>
    </w:p>
    <w:p w14:paraId="58089559" w14:textId="5E541719" w:rsidR="004E6D15" w:rsidRPr="00F167F3" w:rsidRDefault="004E6D15" w:rsidP="008276CE">
      <w:pPr>
        <w:pStyle w:val="CETBodytext"/>
      </w:pPr>
    </w:p>
    <w:p w14:paraId="4EFA83EC" w14:textId="2E05978D" w:rsidR="00500572" w:rsidRPr="00F167F3" w:rsidRDefault="007D4A24" w:rsidP="004E44A5">
      <w:pPr>
        <w:pStyle w:val="CETheadingx"/>
        <w:numPr>
          <w:ilvl w:val="1"/>
          <w:numId w:val="24"/>
        </w:numPr>
        <w:rPr>
          <w:lang w:val="en-GB"/>
        </w:rPr>
      </w:pPr>
      <w:r w:rsidRPr="00F167F3">
        <w:rPr>
          <w:lang w:val="en-GB"/>
        </w:rPr>
        <w:t>O</w:t>
      </w:r>
      <w:r w:rsidR="003645B0" w:rsidRPr="00F167F3">
        <w:rPr>
          <w:lang w:val="en-GB"/>
        </w:rPr>
        <w:t xml:space="preserve">peration conditions of biofilters </w:t>
      </w:r>
    </w:p>
    <w:p w14:paraId="12CF74B7" w14:textId="400AEFF4" w:rsidR="00260541" w:rsidRPr="00F167F3" w:rsidRDefault="00E560CD" w:rsidP="001D7FAE">
      <w:r w:rsidRPr="00F167F3">
        <w:rPr>
          <w:rFonts w:cs="Arial"/>
          <w:szCs w:val="18"/>
        </w:rPr>
        <w:t xml:space="preserve">The biofilters were operated at an empty bed residence time </w:t>
      </w:r>
      <w:r w:rsidR="00771EB1" w:rsidRPr="00F167F3">
        <w:rPr>
          <w:rFonts w:cs="Arial"/>
          <w:szCs w:val="18"/>
        </w:rPr>
        <w:t xml:space="preserve">(EBRT) </w:t>
      </w:r>
      <w:r w:rsidRPr="00F167F3">
        <w:rPr>
          <w:rFonts w:cs="Arial"/>
          <w:szCs w:val="18"/>
        </w:rPr>
        <w:t>of 25s and moisture content bed of 40%. These conditions allowed the maximum elimination capacity for both gases</w:t>
      </w:r>
      <w:r w:rsidR="00BA5005" w:rsidRPr="00F167F3">
        <w:rPr>
          <w:rFonts w:cs="Arial"/>
          <w:szCs w:val="18"/>
        </w:rPr>
        <w:t xml:space="preserve"> </w:t>
      </w:r>
      <w:r w:rsidR="00BA5005" w:rsidRPr="00F167F3">
        <w:rPr>
          <w:rFonts w:cs="Arial"/>
          <w:szCs w:val="18"/>
        </w:rPr>
        <w:fldChar w:fldCharType="begin" w:fldLock="1"/>
      </w:r>
      <w:r w:rsidR="00BD1DE9">
        <w:rPr>
          <w:rFonts w:cs="Arial"/>
          <w:szCs w:val="18"/>
        </w:rPr>
        <w:instrText>ADDIN CSL_CITATION {"citationItems":[{"id":"ITEM-1","itemData":{"DOI":"10.3303/CET2185028","ISBN":"9788895608839","ISSN":"22839216","abstract":"Wastewater treatment plants (WWTP) are considered an important source of offensive odors, which are caused mainly by hydrogen sulfide, ammonia, and volatile organic compounds. For the elimination of these pollutants, biofiltration offers an economical alternative of high efficiency and low waste generation. The main factors that affect the performance of a biofilter are the characteristics of the packing material, pH, moisture, concentration of pollutants, and residence time of the gas in the bed. These parameters must be optimized to improve the performance of the biofilter. The purpose of this work was to evaluate the removal efficiency of H2S and NH3 with biofilters packed with compost mixtures made from chicken manure and lignocellulosic residues (pruning waste, sugarcane bagasse, and rice husk) under different residence time (60, 45, 33, 25, and 18 s at 40% moisture) and at two levels of pollutant concentration (52 mg H2S/m3 and 2 mg NH3/m3 and high: 260 mg H2S/m3 and 10 mg NH3/m3). At 60 s, all biofilters had high removal efficiency (higher than 90%) at the two evaluated gas concentrations. The maximum elimination capacity was reached at 25 s, with a removal efficiency of 80% for both gases at the highest concentration. Also, the effect of moisture content over removal efficiency was evaluated at 25 s. When moisture was 30%, the biofilter of compost from manure and pruning waste decreased its efficiency below 80%; on the other hand, the biofilters with the compost of manure and the two other lignocellulosic residues (sugarcane bagasse and rice husk) reduced their efficiency considerably when the moisture content was 20%. The results showed that the highest removal efficiency was obtained at a residence time of 25 s and a bed moisture content of 40% for the three types of compost mixtures evaluated. These results suggest that the moisture content of the packing material has a significant influence on the elimination of contaminants that are soluble in water. These results are valuable to scale up this kind of biotechnologies in real applications.","author":[{"dropping-particle":"","family":"Vela-Aparicio","given":"Diana G.","non-dropping-particle":"","parse-names":false,"suffix":""},{"dropping-particle":"","family":"Forero","given":"Daniel F.","non-dropping-particle":"","parse-names":false,"suffix":""},{"dropping-particle":"","family":"Fernandez","given":"Angela","non-dropping-particle":"","parse-names":false,"suffix":""},{"dropping-particle":"","family":"Hernandez","given":"Mario A.","non-dropping-particle":"","parse-names":false,"suffix":""},{"dropping-particle":"","family":"Brandão","given":"Pedro F.B.","non-dropping-particle":"","parse-names":false,"suffix":""},{"dropping-particle":"","family":"Cabeza","given":"Iván O.","non-dropping-particle":"","parse-names":false,"suffix":""}],"container-title":"Chemical Engineering Transactions","id":"ITEM-1","issue":"March","issued":{"date-parts":[["2021"]]},"page":"163-168","title":"Operational parameters analysis for the removal of H2S and NH3under transient conditions by a biofiltration system of compost beds","type":"article-journal","volume":"85"},"uris":["http://www.mendeley.com/documents/?uuid=cfe5f1af-39b7-4ba9-826a-2ab977bb6506"]}],"mendeley":{"formattedCitation":"(Diana G. Vela-Aparicio et al., 2021)","manualFormatting":"(Vela-Aparicio et al., 2021b)","plainTextFormattedCitation":"(Diana G. Vela-Aparicio et al., 2021)","previouslyFormattedCitation":"(Diana G. Vela-Aparicio et al., 2021)"},"properties":{"noteIndex":0},"schema":"https://github.com/citation-style-language/schema/raw/master/csl-citation.json"}</w:instrText>
      </w:r>
      <w:r w:rsidR="00BA5005" w:rsidRPr="00F167F3">
        <w:rPr>
          <w:rFonts w:cs="Arial"/>
          <w:szCs w:val="18"/>
        </w:rPr>
        <w:fldChar w:fldCharType="separate"/>
      </w:r>
      <w:r w:rsidR="00BA5005" w:rsidRPr="00F167F3">
        <w:rPr>
          <w:rFonts w:cs="Arial"/>
          <w:noProof/>
          <w:szCs w:val="18"/>
        </w:rPr>
        <w:t>(Vela-Aparicio et al., 2021b)</w:t>
      </w:r>
      <w:r w:rsidR="00BA5005" w:rsidRPr="00F167F3">
        <w:rPr>
          <w:rFonts w:cs="Arial"/>
          <w:szCs w:val="18"/>
        </w:rPr>
        <w:fldChar w:fldCharType="end"/>
      </w:r>
      <w:r w:rsidR="00BA5005" w:rsidRPr="00F167F3">
        <w:rPr>
          <w:rFonts w:cs="Arial"/>
          <w:szCs w:val="18"/>
        </w:rPr>
        <w:t>.</w:t>
      </w:r>
      <w:r w:rsidRPr="00F167F3">
        <w:rPr>
          <w:rFonts w:cs="Arial"/>
          <w:szCs w:val="18"/>
        </w:rPr>
        <w:t xml:space="preserve"> The bed moisture content was monitored every two days and adjusted with water when necessary. The gas concentration and transient conditions applied during the evaluation were based on previous analysis of emissions in the pre-treatment zone of the WWTP-El Salitre, during the dry and rainy season in Bogota, Colombia </w:t>
      </w:r>
      <w:r w:rsidR="002C5F68" w:rsidRPr="00F167F3">
        <w:fldChar w:fldCharType="begin" w:fldLock="1"/>
      </w:r>
      <w:r w:rsidR="001B2AD1">
        <w:instrText>ADDIN CSL_CITATION {"citationItems":[{"id":"ITEM-1","itemData":{"author":[{"dropping-particle":"","family":"Vela-Aparicio","given":"D G","non-dropping-particle":"","parse-names":false,"suffix":""},{"dropping-particle":"","family":"Muñoz Lasso","given":"Cristhian C","non-dropping-particle":"","parse-names":false,"suffix":""},{"dropping-particle":"","family":"Brandao","given":"Pedro F. B.","non-dropping-particle":"","parse-names":false,"suffix":""},{"dropping-particle":"","family":"Cabeza","given":"Iván O","non-dropping-particle":"","parse-names":false,"suffix":""},{"dropping-particle":"","family":"Hernandez","given":"Mario A","non-dropping-particle":"","parse-names":false,"suffix":""}],"container-title":"Air Pollution Conference Brazil | 4th CMAS South America","id":"ITEM-1","issued":{"date-parts":[["2019"]]},"page":"Session 10","publisher-place":"Belo Horizonte, Minas Gerais, Brazil.","title":"Evaluation of H2S, NH3 and Volatile Organic Compounds Emissions in a Waste Water Treatment Plant in Bogota, Colombia.","type":"paper-conference"},"uris":["http://www.mendeley.com/documents/?uuid=d264c570-8339-480d-8fc8-6f3ed18f25ac"]}],"mendeley":{"formattedCitation":"(D G Vela-Aparicio et al., 2019)","plainTextFormattedCitation":"(D G Vela-Aparicio et al., 2019)","previouslyFormattedCitation":"(D G Vela-Aparicio et al., 2019)"},"properties":{"noteIndex":0},"schema":"https://github.com/citation-style-language/schema/raw/master/csl-citation.json"}</w:instrText>
      </w:r>
      <w:r w:rsidR="002C5F68" w:rsidRPr="00F167F3">
        <w:fldChar w:fldCharType="separate"/>
      </w:r>
      <w:r w:rsidR="001B2AD1" w:rsidRPr="001B2AD1">
        <w:t>(D G Vela-Aparicio et al., 2019)</w:t>
      </w:r>
      <w:r w:rsidR="002C5F68" w:rsidRPr="00F167F3">
        <w:fldChar w:fldCharType="end"/>
      </w:r>
      <w:r w:rsidR="00101C19" w:rsidRPr="00F167F3">
        <w:t>(Table 1)</w:t>
      </w:r>
      <w:r w:rsidR="00260541" w:rsidRPr="00F167F3">
        <w:t xml:space="preserve">. </w:t>
      </w:r>
      <w:r w:rsidR="006E7121" w:rsidRPr="00F167F3">
        <w:t>The gas</w:t>
      </w:r>
      <w:r w:rsidR="00D77153" w:rsidRPr="00F167F3">
        <w:t>es</w:t>
      </w:r>
      <w:r w:rsidR="006E7121" w:rsidRPr="00F167F3">
        <w:t xml:space="preserve"> concentration </w:t>
      </w:r>
      <w:r w:rsidR="005246A8" w:rsidRPr="00F167F3">
        <w:t>was</w:t>
      </w:r>
      <w:r w:rsidR="006E7121" w:rsidRPr="00F167F3">
        <w:t xml:space="preserve"> increased weekly </w:t>
      </w:r>
      <w:r w:rsidR="00F959FA" w:rsidRPr="00F167F3">
        <w:t>during</w:t>
      </w:r>
      <w:r w:rsidR="006E7121" w:rsidRPr="00F167F3">
        <w:t xml:space="preserve"> the rainy season</w:t>
      </w:r>
      <w:r w:rsidR="00FB72C6" w:rsidRPr="00F167F3">
        <w:t xml:space="preserve"> stage</w:t>
      </w:r>
      <w:r w:rsidR="006E7121" w:rsidRPr="00F167F3">
        <w:t>. In the transition and dry season stages, the gases concentration was changed daily to simulate the emission peaks</w:t>
      </w:r>
      <w:r w:rsidR="00FB72C6" w:rsidRPr="00F167F3">
        <w:t xml:space="preserve"> reported</w:t>
      </w:r>
      <w:r w:rsidR="006E7121" w:rsidRPr="00F167F3">
        <w:t xml:space="preserve"> during </w:t>
      </w:r>
      <w:r w:rsidR="00FB72C6" w:rsidRPr="00F167F3">
        <w:t xml:space="preserve">the </w:t>
      </w:r>
      <w:r w:rsidR="006E7121" w:rsidRPr="00F167F3">
        <w:t>night periods</w:t>
      </w:r>
      <w:r w:rsidR="00FB72C6" w:rsidRPr="00F167F3">
        <w:t xml:space="preserve"> </w:t>
      </w:r>
      <w:r w:rsidR="00F959FA" w:rsidRPr="00F167F3">
        <w:t>a</w:t>
      </w:r>
      <w:r w:rsidR="00FB72C6" w:rsidRPr="00F167F3">
        <w:t>t the plant</w:t>
      </w:r>
      <w:r w:rsidR="006E7121" w:rsidRPr="00F167F3">
        <w:t>.</w:t>
      </w:r>
    </w:p>
    <w:p w14:paraId="1EF5C54C" w14:textId="2C09B266" w:rsidR="00260541" w:rsidRPr="00F167F3" w:rsidRDefault="00E560CD" w:rsidP="00E560CD">
      <w:pPr>
        <w:pStyle w:val="CETTabletitle"/>
      </w:pPr>
      <w:r w:rsidRPr="00F167F3">
        <w:t>Table 1: H</w:t>
      </w:r>
      <w:r w:rsidRPr="00F167F3">
        <w:rPr>
          <w:vertAlign w:val="subscript"/>
        </w:rPr>
        <w:t>2</w:t>
      </w:r>
      <w:r w:rsidRPr="00F167F3">
        <w:t>S and NH</w:t>
      </w:r>
      <w:r w:rsidRPr="00F167F3">
        <w:rPr>
          <w:vertAlign w:val="subscript"/>
        </w:rPr>
        <w:t>3</w:t>
      </w:r>
      <w:r w:rsidRPr="00F167F3">
        <w:t xml:space="preserve"> concentrations at different stages of transient conditions.</w:t>
      </w:r>
      <w:r w:rsidR="006E7121" w:rsidRPr="00F167F3">
        <w:t xml:space="preserve"> In parenthesis is indicated the daily duration of each concentration</w:t>
      </w:r>
      <w:r w:rsidR="00FE583C" w:rsidRPr="00F167F3">
        <w:t>.</w:t>
      </w:r>
    </w:p>
    <w:tbl>
      <w:tblPr>
        <w:tblpPr w:leftFromText="141" w:rightFromText="141" w:vertAnchor="text" w:horzAnchor="margin" w:tblpY="220"/>
        <w:tblW w:w="0" w:type="auto"/>
        <w:tblBorders>
          <w:top w:val="single" w:sz="12" w:space="0" w:color="008000"/>
          <w:bottom w:val="single" w:sz="12" w:space="0" w:color="008000"/>
        </w:tblBorders>
        <w:tblLook w:val="0000" w:firstRow="0" w:lastRow="0" w:firstColumn="0" w:lastColumn="0" w:noHBand="0" w:noVBand="0"/>
      </w:tblPr>
      <w:tblGrid>
        <w:gridCol w:w="1307"/>
        <w:gridCol w:w="677"/>
        <w:gridCol w:w="1300"/>
        <w:gridCol w:w="1310"/>
      </w:tblGrid>
      <w:tr w:rsidR="00F167F3" w:rsidRPr="00F167F3" w14:paraId="53F82D29" w14:textId="77777777" w:rsidTr="007E71FE">
        <w:tc>
          <w:tcPr>
            <w:tcW w:w="0" w:type="auto"/>
            <w:tcBorders>
              <w:top w:val="single" w:sz="12" w:space="0" w:color="008000"/>
              <w:bottom w:val="single" w:sz="6" w:space="0" w:color="008000"/>
            </w:tcBorders>
            <w:shd w:val="clear" w:color="auto" w:fill="FFFFFF"/>
            <w:vAlign w:val="center"/>
          </w:tcPr>
          <w:p w14:paraId="7F25DFF9" w14:textId="091843E8" w:rsidR="007E71FE" w:rsidRPr="00F167F3" w:rsidRDefault="007E71FE" w:rsidP="00FD21D5">
            <w:pPr>
              <w:pBdr>
                <w:top w:val="nil"/>
                <w:left w:val="nil"/>
                <w:bottom w:val="nil"/>
                <w:right w:val="nil"/>
                <w:between w:val="nil"/>
              </w:pBdr>
              <w:jc w:val="center"/>
              <w:rPr>
                <w:rFonts w:eastAsia="Arial" w:cs="Arial"/>
                <w:b/>
                <w:szCs w:val="18"/>
              </w:rPr>
            </w:pPr>
            <w:r w:rsidRPr="00F167F3">
              <w:rPr>
                <w:rFonts w:eastAsia="Arial" w:cs="Arial"/>
                <w:b/>
                <w:szCs w:val="18"/>
              </w:rPr>
              <w:t>Stage</w:t>
            </w:r>
          </w:p>
        </w:tc>
        <w:tc>
          <w:tcPr>
            <w:tcW w:w="0" w:type="auto"/>
            <w:tcBorders>
              <w:top w:val="single" w:sz="12" w:space="0" w:color="008000"/>
              <w:bottom w:val="single" w:sz="6" w:space="0" w:color="008000"/>
            </w:tcBorders>
            <w:shd w:val="clear" w:color="auto" w:fill="FFFFFF"/>
            <w:vAlign w:val="center"/>
          </w:tcPr>
          <w:p w14:paraId="6B0E5B00" w14:textId="2795E69A" w:rsidR="007E71FE" w:rsidRPr="00F167F3" w:rsidRDefault="007E71FE" w:rsidP="00FD21D5">
            <w:pPr>
              <w:pBdr>
                <w:top w:val="nil"/>
                <w:left w:val="nil"/>
                <w:bottom w:val="nil"/>
                <w:right w:val="nil"/>
                <w:between w:val="nil"/>
              </w:pBdr>
              <w:jc w:val="center"/>
              <w:rPr>
                <w:rFonts w:eastAsia="Arial" w:cs="Arial"/>
                <w:b/>
                <w:szCs w:val="18"/>
              </w:rPr>
            </w:pPr>
            <w:r w:rsidRPr="00F167F3">
              <w:rPr>
                <w:rFonts w:eastAsia="Arial" w:cs="Arial"/>
                <w:b/>
                <w:szCs w:val="18"/>
              </w:rPr>
              <w:t>Day</w:t>
            </w:r>
          </w:p>
        </w:tc>
        <w:tc>
          <w:tcPr>
            <w:tcW w:w="0" w:type="auto"/>
            <w:tcBorders>
              <w:top w:val="single" w:sz="12" w:space="0" w:color="008000"/>
              <w:bottom w:val="single" w:sz="6" w:space="0" w:color="008000"/>
            </w:tcBorders>
            <w:shd w:val="clear" w:color="auto" w:fill="FFFFFF"/>
            <w:vAlign w:val="center"/>
          </w:tcPr>
          <w:p w14:paraId="66E66ACB" w14:textId="1EF55177" w:rsidR="007E71FE" w:rsidRPr="00F167F3" w:rsidRDefault="007E71FE" w:rsidP="00FD21D5">
            <w:pPr>
              <w:pBdr>
                <w:top w:val="nil"/>
                <w:left w:val="nil"/>
                <w:bottom w:val="nil"/>
                <w:right w:val="nil"/>
                <w:between w:val="nil"/>
              </w:pBdr>
              <w:jc w:val="center"/>
              <w:rPr>
                <w:rFonts w:eastAsia="Arial" w:cs="Arial"/>
                <w:b/>
                <w:szCs w:val="18"/>
              </w:rPr>
            </w:pPr>
            <w:r w:rsidRPr="00F167F3">
              <w:rPr>
                <w:rFonts w:eastAsia="Arial" w:cs="Arial"/>
                <w:b/>
                <w:szCs w:val="18"/>
              </w:rPr>
              <w:t>[H</w:t>
            </w:r>
            <w:r w:rsidRPr="00F167F3">
              <w:rPr>
                <w:rFonts w:eastAsia="Arial" w:cs="Arial"/>
                <w:b/>
                <w:szCs w:val="18"/>
                <w:vertAlign w:val="subscript"/>
              </w:rPr>
              <w:t>2</w:t>
            </w:r>
            <w:r w:rsidRPr="00F167F3">
              <w:rPr>
                <w:rFonts w:eastAsia="Arial" w:cs="Arial"/>
                <w:b/>
                <w:szCs w:val="18"/>
              </w:rPr>
              <w:t>S], mg/m</w:t>
            </w:r>
            <w:r w:rsidRPr="00F167F3">
              <w:rPr>
                <w:rFonts w:eastAsia="Arial" w:cs="Arial"/>
                <w:b/>
                <w:szCs w:val="18"/>
                <w:vertAlign w:val="superscript"/>
              </w:rPr>
              <w:t>3</w:t>
            </w:r>
          </w:p>
        </w:tc>
        <w:tc>
          <w:tcPr>
            <w:tcW w:w="0" w:type="auto"/>
            <w:tcBorders>
              <w:top w:val="single" w:sz="12" w:space="0" w:color="008000"/>
              <w:bottom w:val="single" w:sz="6" w:space="0" w:color="008000"/>
            </w:tcBorders>
            <w:shd w:val="clear" w:color="auto" w:fill="FFFFFF"/>
            <w:vAlign w:val="center"/>
          </w:tcPr>
          <w:p w14:paraId="060048DE" w14:textId="3599B33B" w:rsidR="007E71FE" w:rsidRPr="00F167F3" w:rsidRDefault="007E71FE" w:rsidP="00FD21D5">
            <w:pPr>
              <w:pBdr>
                <w:top w:val="nil"/>
                <w:left w:val="nil"/>
                <w:bottom w:val="nil"/>
                <w:right w:val="nil"/>
                <w:between w:val="nil"/>
              </w:pBdr>
              <w:jc w:val="center"/>
              <w:rPr>
                <w:rFonts w:eastAsia="Arial" w:cs="Arial"/>
                <w:b/>
                <w:szCs w:val="18"/>
              </w:rPr>
            </w:pPr>
            <w:r w:rsidRPr="00F167F3">
              <w:rPr>
                <w:rFonts w:eastAsia="Arial" w:cs="Arial"/>
                <w:b/>
                <w:szCs w:val="18"/>
              </w:rPr>
              <w:t>[NH</w:t>
            </w:r>
            <w:r w:rsidRPr="00F167F3">
              <w:rPr>
                <w:rFonts w:eastAsia="Arial" w:cs="Arial"/>
                <w:b/>
                <w:szCs w:val="18"/>
                <w:vertAlign w:val="subscript"/>
              </w:rPr>
              <w:t>3</w:t>
            </w:r>
            <w:r w:rsidRPr="00F167F3">
              <w:rPr>
                <w:rFonts w:eastAsia="Arial" w:cs="Arial"/>
                <w:b/>
                <w:szCs w:val="18"/>
              </w:rPr>
              <w:t>], mg/m</w:t>
            </w:r>
            <w:r w:rsidRPr="00F167F3">
              <w:rPr>
                <w:rFonts w:eastAsia="Arial" w:cs="Arial"/>
                <w:b/>
                <w:szCs w:val="18"/>
                <w:vertAlign w:val="superscript"/>
              </w:rPr>
              <w:t>3</w:t>
            </w:r>
          </w:p>
        </w:tc>
      </w:tr>
      <w:tr w:rsidR="00F167F3" w:rsidRPr="00F167F3" w14:paraId="01802386" w14:textId="77777777" w:rsidTr="007E71FE">
        <w:tc>
          <w:tcPr>
            <w:tcW w:w="0" w:type="auto"/>
            <w:shd w:val="clear" w:color="auto" w:fill="FFFFFF"/>
            <w:vAlign w:val="center"/>
          </w:tcPr>
          <w:p w14:paraId="72E966CB" w14:textId="3A269C7E" w:rsidR="007E71FE" w:rsidRPr="00F167F3" w:rsidRDefault="007E71FE" w:rsidP="00FD21D5">
            <w:pPr>
              <w:pBdr>
                <w:top w:val="nil"/>
                <w:left w:val="nil"/>
                <w:bottom w:val="nil"/>
                <w:right w:val="nil"/>
                <w:between w:val="nil"/>
              </w:pBdr>
              <w:jc w:val="center"/>
              <w:rPr>
                <w:rFonts w:eastAsia="Arial" w:cs="Arial"/>
                <w:szCs w:val="18"/>
              </w:rPr>
            </w:pPr>
            <w:r w:rsidRPr="00F167F3">
              <w:rPr>
                <w:rFonts w:eastAsia="Arial" w:cs="Arial"/>
                <w:szCs w:val="18"/>
              </w:rPr>
              <w:t>Rainy season</w:t>
            </w:r>
          </w:p>
        </w:tc>
        <w:tc>
          <w:tcPr>
            <w:tcW w:w="0" w:type="auto"/>
            <w:shd w:val="clear" w:color="auto" w:fill="FFFFFF"/>
            <w:vAlign w:val="center"/>
          </w:tcPr>
          <w:p w14:paraId="7F195EF8" w14:textId="5C62453C" w:rsidR="007E71FE" w:rsidRPr="00F167F3" w:rsidRDefault="007E71FE" w:rsidP="00FD21D5">
            <w:pPr>
              <w:pBdr>
                <w:top w:val="nil"/>
                <w:left w:val="nil"/>
                <w:bottom w:val="nil"/>
                <w:right w:val="nil"/>
                <w:between w:val="nil"/>
              </w:pBdr>
              <w:jc w:val="center"/>
              <w:rPr>
                <w:rFonts w:eastAsia="Arial" w:cs="Arial"/>
                <w:szCs w:val="18"/>
              </w:rPr>
            </w:pPr>
            <w:r w:rsidRPr="00F167F3">
              <w:rPr>
                <w:rFonts w:eastAsia="Arial" w:cs="Arial"/>
                <w:szCs w:val="18"/>
              </w:rPr>
              <w:t>1-2</w:t>
            </w:r>
            <w:r w:rsidR="00364CCF" w:rsidRPr="00F167F3">
              <w:rPr>
                <w:rFonts w:eastAsia="Arial" w:cs="Arial"/>
                <w:szCs w:val="18"/>
              </w:rPr>
              <w:t>2</w:t>
            </w:r>
          </w:p>
        </w:tc>
        <w:tc>
          <w:tcPr>
            <w:tcW w:w="0" w:type="auto"/>
            <w:shd w:val="clear" w:color="auto" w:fill="FFFFFF"/>
            <w:vAlign w:val="center"/>
          </w:tcPr>
          <w:p w14:paraId="1828AAFA" w14:textId="6041316B" w:rsidR="007E71FE" w:rsidRPr="00F167F3" w:rsidRDefault="007E71FE" w:rsidP="00FD21D5">
            <w:pPr>
              <w:pBdr>
                <w:top w:val="nil"/>
                <w:left w:val="nil"/>
                <w:bottom w:val="nil"/>
                <w:right w:val="nil"/>
                <w:between w:val="nil"/>
              </w:pBdr>
              <w:jc w:val="center"/>
              <w:rPr>
                <w:rFonts w:eastAsia="Arial" w:cs="Arial"/>
                <w:szCs w:val="18"/>
              </w:rPr>
            </w:pPr>
            <w:r w:rsidRPr="00F167F3">
              <w:rPr>
                <w:rFonts w:eastAsia="Arial" w:cs="Arial"/>
                <w:szCs w:val="18"/>
              </w:rPr>
              <w:t>5-20</w:t>
            </w:r>
          </w:p>
        </w:tc>
        <w:tc>
          <w:tcPr>
            <w:tcW w:w="0" w:type="auto"/>
            <w:shd w:val="clear" w:color="auto" w:fill="FFFFFF"/>
            <w:vAlign w:val="center"/>
          </w:tcPr>
          <w:p w14:paraId="0DC9604D" w14:textId="357B2482" w:rsidR="007E71FE" w:rsidRPr="00F167F3" w:rsidRDefault="007E71FE" w:rsidP="00FD21D5">
            <w:pPr>
              <w:pBdr>
                <w:top w:val="nil"/>
                <w:left w:val="nil"/>
                <w:bottom w:val="nil"/>
                <w:right w:val="nil"/>
                <w:between w:val="nil"/>
              </w:pBdr>
              <w:jc w:val="center"/>
              <w:rPr>
                <w:rFonts w:eastAsia="Arial" w:cs="Arial"/>
                <w:szCs w:val="18"/>
              </w:rPr>
            </w:pPr>
            <w:r w:rsidRPr="00F167F3">
              <w:rPr>
                <w:rFonts w:eastAsia="Arial" w:cs="Arial"/>
                <w:szCs w:val="18"/>
              </w:rPr>
              <w:t xml:space="preserve">0.5-2.0 </w:t>
            </w:r>
          </w:p>
        </w:tc>
      </w:tr>
      <w:tr w:rsidR="00F167F3" w:rsidRPr="00F167F3" w14:paraId="41272583" w14:textId="77777777" w:rsidTr="007E71FE">
        <w:tc>
          <w:tcPr>
            <w:tcW w:w="0" w:type="auto"/>
            <w:vMerge w:val="restart"/>
            <w:shd w:val="clear" w:color="auto" w:fill="FFFFFF"/>
            <w:vAlign w:val="center"/>
          </w:tcPr>
          <w:p w14:paraId="2BDF6BFA" w14:textId="2130B7B5" w:rsidR="00DF3A4D" w:rsidRPr="00F167F3" w:rsidRDefault="00DF3A4D" w:rsidP="00FD21D5">
            <w:pPr>
              <w:pBdr>
                <w:top w:val="nil"/>
                <w:left w:val="nil"/>
                <w:bottom w:val="nil"/>
                <w:right w:val="nil"/>
                <w:between w:val="nil"/>
              </w:pBdr>
              <w:jc w:val="center"/>
              <w:rPr>
                <w:rFonts w:eastAsia="Arial" w:cs="Arial"/>
                <w:szCs w:val="18"/>
              </w:rPr>
            </w:pPr>
            <w:r w:rsidRPr="00F167F3">
              <w:rPr>
                <w:rFonts w:eastAsia="Arial" w:cs="Arial"/>
                <w:szCs w:val="18"/>
              </w:rPr>
              <w:t>Transition</w:t>
            </w:r>
          </w:p>
        </w:tc>
        <w:tc>
          <w:tcPr>
            <w:tcW w:w="0" w:type="auto"/>
            <w:shd w:val="clear" w:color="auto" w:fill="FFFFFF"/>
            <w:vAlign w:val="center"/>
          </w:tcPr>
          <w:p w14:paraId="353E1450" w14:textId="139F43AD" w:rsidR="00DF3A4D" w:rsidRPr="00F167F3" w:rsidRDefault="00364CCF" w:rsidP="00FD21D5">
            <w:pPr>
              <w:widowControl w:val="0"/>
              <w:pBdr>
                <w:top w:val="nil"/>
                <w:left w:val="nil"/>
                <w:bottom w:val="nil"/>
                <w:right w:val="nil"/>
                <w:between w:val="nil"/>
              </w:pBdr>
              <w:spacing w:line="276" w:lineRule="auto"/>
              <w:jc w:val="left"/>
              <w:rPr>
                <w:rFonts w:eastAsia="Arial" w:cs="Arial"/>
                <w:szCs w:val="18"/>
              </w:rPr>
            </w:pPr>
            <w:r w:rsidRPr="00F167F3">
              <w:rPr>
                <w:rFonts w:eastAsia="Arial" w:cs="Arial"/>
                <w:szCs w:val="18"/>
              </w:rPr>
              <w:t>30-34</w:t>
            </w:r>
          </w:p>
        </w:tc>
        <w:tc>
          <w:tcPr>
            <w:tcW w:w="0" w:type="auto"/>
            <w:shd w:val="clear" w:color="auto" w:fill="FFFFFF"/>
            <w:vAlign w:val="center"/>
          </w:tcPr>
          <w:p w14:paraId="25D9542E" w14:textId="6FDC88FB" w:rsidR="00DF3A4D" w:rsidRPr="00F167F3" w:rsidRDefault="00DF3A4D" w:rsidP="007E71FE">
            <w:pPr>
              <w:pBdr>
                <w:top w:val="nil"/>
                <w:left w:val="nil"/>
                <w:bottom w:val="nil"/>
                <w:right w:val="nil"/>
                <w:between w:val="nil"/>
              </w:pBdr>
              <w:jc w:val="center"/>
              <w:rPr>
                <w:rFonts w:eastAsia="Arial" w:cs="Arial"/>
                <w:szCs w:val="18"/>
              </w:rPr>
            </w:pPr>
            <w:r w:rsidRPr="00F167F3">
              <w:rPr>
                <w:rFonts w:eastAsia="Arial" w:cs="Arial"/>
                <w:szCs w:val="18"/>
              </w:rPr>
              <w:t>30 (2h)</w:t>
            </w:r>
          </w:p>
          <w:p w14:paraId="3042FF9F" w14:textId="7A7FF280" w:rsidR="00DF3A4D" w:rsidRPr="00F167F3" w:rsidRDefault="00DF3A4D" w:rsidP="007E71FE">
            <w:pPr>
              <w:pBdr>
                <w:top w:val="nil"/>
                <w:left w:val="nil"/>
                <w:bottom w:val="nil"/>
                <w:right w:val="nil"/>
                <w:between w:val="nil"/>
              </w:pBdr>
              <w:jc w:val="center"/>
              <w:rPr>
                <w:rFonts w:eastAsia="Arial" w:cs="Arial"/>
                <w:szCs w:val="18"/>
              </w:rPr>
            </w:pPr>
            <w:r w:rsidRPr="00F167F3">
              <w:rPr>
                <w:rFonts w:eastAsia="Arial" w:cs="Arial"/>
                <w:szCs w:val="18"/>
              </w:rPr>
              <w:t>12 (22h)</w:t>
            </w:r>
          </w:p>
        </w:tc>
        <w:tc>
          <w:tcPr>
            <w:tcW w:w="0" w:type="auto"/>
            <w:shd w:val="clear" w:color="auto" w:fill="FFFFFF"/>
            <w:vAlign w:val="center"/>
          </w:tcPr>
          <w:p w14:paraId="606FEEC0" w14:textId="2F127895" w:rsidR="00DF3A4D" w:rsidRPr="00F167F3" w:rsidRDefault="00DF3A4D" w:rsidP="00FD21D5">
            <w:pPr>
              <w:pBdr>
                <w:top w:val="nil"/>
                <w:left w:val="nil"/>
                <w:bottom w:val="nil"/>
                <w:right w:val="nil"/>
                <w:between w:val="nil"/>
              </w:pBdr>
              <w:jc w:val="center"/>
              <w:rPr>
                <w:rFonts w:eastAsia="Arial" w:cs="Arial"/>
                <w:szCs w:val="18"/>
              </w:rPr>
            </w:pPr>
            <w:r w:rsidRPr="00F167F3">
              <w:rPr>
                <w:rFonts w:eastAsia="Arial" w:cs="Arial"/>
                <w:szCs w:val="18"/>
              </w:rPr>
              <w:t>3</w:t>
            </w:r>
          </w:p>
        </w:tc>
      </w:tr>
      <w:tr w:rsidR="00F167F3" w:rsidRPr="00F167F3" w14:paraId="23711882" w14:textId="77777777" w:rsidTr="00DF3A4D">
        <w:trPr>
          <w:trHeight w:val="456"/>
        </w:trPr>
        <w:tc>
          <w:tcPr>
            <w:tcW w:w="0" w:type="auto"/>
            <w:vMerge/>
            <w:shd w:val="clear" w:color="auto" w:fill="FFFFFF"/>
            <w:vAlign w:val="center"/>
          </w:tcPr>
          <w:p w14:paraId="002E2026" w14:textId="77777777" w:rsidR="00DF3A4D" w:rsidRPr="00F167F3" w:rsidRDefault="00DF3A4D" w:rsidP="00FD21D5">
            <w:pPr>
              <w:pBdr>
                <w:top w:val="nil"/>
                <w:left w:val="nil"/>
                <w:bottom w:val="nil"/>
                <w:right w:val="nil"/>
                <w:between w:val="nil"/>
              </w:pBdr>
              <w:jc w:val="center"/>
              <w:rPr>
                <w:rFonts w:eastAsia="Arial" w:cs="Arial"/>
                <w:szCs w:val="18"/>
              </w:rPr>
            </w:pPr>
          </w:p>
        </w:tc>
        <w:tc>
          <w:tcPr>
            <w:tcW w:w="0" w:type="auto"/>
            <w:shd w:val="clear" w:color="auto" w:fill="FFFFFF"/>
            <w:vAlign w:val="center"/>
          </w:tcPr>
          <w:p w14:paraId="0494073C" w14:textId="5C004837" w:rsidR="00DF3A4D" w:rsidRPr="00F167F3" w:rsidRDefault="00364CCF" w:rsidP="00FD21D5">
            <w:pPr>
              <w:widowControl w:val="0"/>
              <w:pBdr>
                <w:top w:val="nil"/>
                <w:left w:val="nil"/>
                <w:bottom w:val="nil"/>
                <w:right w:val="nil"/>
                <w:between w:val="nil"/>
              </w:pBdr>
              <w:spacing w:line="276" w:lineRule="auto"/>
              <w:jc w:val="left"/>
              <w:rPr>
                <w:rFonts w:eastAsia="Arial" w:cs="Arial"/>
                <w:szCs w:val="18"/>
              </w:rPr>
            </w:pPr>
            <w:r w:rsidRPr="00F167F3">
              <w:rPr>
                <w:rFonts w:eastAsia="Arial" w:cs="Arial"/>
                <w:szCs w:val="18"/>
              </w:rPr>
              <w:t>35-37</w:t>
            </w:r>
          </w:p>
        </w:tc>
        <w:tc>
          <w:tcPr>
            <w:tcW w:w="0" w:type="auto"/>
            <w:shd w:val="clear" w:color="auto" w:fill="FFFFFF"/>
            <w:vAlign w:val="center"/>
          </w:tcPr>
          <w:p w14:paraId="6237620F" w14:textId="02A60534" w:rsidR="00DF3A4D" w:rsidRPr="00F167F3" w:rsidRDefault="00DF3A4D" w:rsidP="007E71FE">
            <w:pPr>
              <w:pBdr>
                <w:top w:val="nil"/>
                <w:left w:val="nil"/>
                <w:bottom w:val="nil"/>
                <w:right w:val="nil"/>
                <w:between w:val="nil"/>
              </w:pBdr>
              <w:jc w:val="center"/>
              <w:rPr>
                <w:rFonts w:eastAsia="Arial" w:cs="Arial"/>
                <w:szCs w:val="18"/>
              </w:rPr>
            </w:pPr>
            <w:r w:rsidRPr="00F167F3">
              <w:rPr>
                <w:rFonts w:eastAsia="Arial" w:cs="Arial"/>
                <w:szCs w:val="18"/>
              </w:rPr>
              <w:t>50</w:t>
            </w:r>
            <w:r w:rsidR="004E3F0C" w:rsidRPr="00F167F3">
              <w:rPr>
                <w:rFonts w:eastAsia="Arial" w:cs="Arial"/>
                <w:szCs w:val="18"/>
              </w:rPr>
              <w:t xml:space="preserve"> </w:t>
            </w:r>
            <w:r w:rsidRPr="00F167F3">
              <w:rPr>
                <w:rFonts w:eastAsia="Arial" w:cs="Arial"/>
                <w:szCs w:val="18"/>
              </w:rPr>
              <w:t>(3h)</w:t>
            </w:r>
          </w:p>
          <w:p w14:paraId="3DE62978" w14:textId="362242C8" w:rsidR="00DF3A4D" w:rsidRPr="00F167F3" w:rsidRDefault="00DF3A4D" w:rsidP="007E71FE">
            <w:pPr>
              <w:pBdr>
                <w:top w:val="nil"/>
                <w:left w:val="nil"/>
                <w:bottom w:val="nil"/>
                <w:right w:val="nil"/>
                <w:between w:val="nil"/>
              </w:pBdr>
              <w:jc w:val="center"/>
              <w:rPr>
                <w:rFonts w:eastAsia="Arial" w:cs="Arial"/>
                <w:szCs w:val="18"/>
              </w:rPr>
            </w:pPr>
            <w:r w:rsidRPr="00F167F3">
              <w:rPr>
                <w:rFonts w:eastAsia="Arial" w:cs="Arial"/>
                <w:szCs w:val="18"/>
              </w:rPr>
              <w:t>20 (21h)</w:t>
            </w:r>
          </w:p>
        </w:tc>
        <w:tc>
          <w:tcPr>
            <w:tcW w:w="0" w:type="auto"/>
            <w:shd w:val="clear" w:color="auto" w:fill="FFFFFF"/>
            <w:vAlign w:val="center"/>
          </w:tcPr>
          <w:p w14:paraId="41D1A9EF" w14:textId="72A8AE70" w:rsidR="00DF3A4D" w:rsidRPr="00F167F3" w:rsidRDefault="00DF3A4D" w:rsidP="00FD21D5">
            <w:pPr>
              <w:pBdr>
                <w:top w:val="nil"/>
                <w:left w:val="nil"/>
                <w:bottom w:val="nil"/>
                <w:right w:val="nil"/>
                <w:between w:val="nil"/>
              </w:pBdr>
              <w:jc w:val="center"/>
              <w:rPr>
                <w:rFonts w:eastAsia="Arial" w:cs="Arial"/>
                <w:szCs w:val="18"/>
              </w:rPr>
            </w:pPr>
            <w:r w:rsidRPr="00F167F3">
              <w:rPr>
                <w:rFonts w:eastAsia="Arial" w:cs="Arial"/>
                <w:szCs w:val="18"/>
              </w:rPr>
              <w:t>3</w:t>
            </w:r>
          </w:p>
        </w:tc>
      </w:tr>
      <w:tr w:rsidR="00F167F3" w:rsidRPr="00F167F3" w14:paraId="55309028" w14:textId="77777777" w:rsidTr="007E71FE">
        <w:tc>
          <w:tcPr>
            <w:tcW w:w="0" w:type="auto"/>
            <w:vMerge w:val="restart"/>
            <w:shd w:val="clear" w:color="auto" w:fill="FFFFFF"/>
            <w:vAlign w:val="center"/>
          </w:tcPr>
          <w:p w14:paraId="768E2CD5" w14:textId="7BA74ACE" w:rsidR="00DF3A4D" w:rsidRPr="00F167F3" w:rsidRDefault="00DF3A4D" w:rsidP="00212FAA">
            <w:pPr>
              <w:pBdr>
                <w:top w:val="nil"/>
                <w:left w:val="nil"/>
                <w:bottom w:val="nil"/>
                <w:right w:val="nil"/>
                <w:between w:val="nil"/>
              </w:pBdr>
              <w:jc w:val="center"/>
              <w:rPr>
                <w:rFonts w:eastAsia="Arial" w:cs="Arial"/>
                <w:szCs w:val="18"/>
              </w:rPr>
            </w:pPr>
            <w:r w:rsidRPr="00F167F3">
              <w:rPr>
                <w:rFonts w:eastAsia="Arial" w:cs="Arial"/>
                <w:szCs w:val="18"/>
              </w:rPr>
              <w:t>Dry season</w:t>
            </w:r>
          </w:p>
        </w:tc>
        <w:tc>
          <w:tcPr>
            <w:tcW w:w="0" w:type="auto"/>
            <w:shd w:val="clear" w:color="auto" w:fill="FFFFFF"/>
            <w:vAlign w:val="center"/>
          </w:tcPr>
          <w:p w14:paraId="475AE662" w14:textId="2CC07C47" w:rsidR="00DF3A4D" w:rsidRPr="00F167F3" w:rsidRDefault="00364CCF" w:rsidP="00DF3A4D">
            <w:pPr>
              <w:widowControl w:val="0"/>
              <w:pBdr>
                <w:top w:val="nil"/>
                <w:left w:val="nil"/>
                <w:bottom w:val="nil"/>
                <w:right w:val="nil"/>
                <w:between w:val="nil"/>
              </w:pBdr>
              <w:spacing w:line="276" w:lineRule="auto"/>
              <w:jc w:val="left"/>
              <w:rPr>
                <w:rFonts w:eastAsia="Arial" w:cs="Arial"/>
                <w:szCs w:val="18"/>
              </w:rPr>
            </w:pPr>
            <w:r w:rsidRPr="00F167F3">
              <w:rPr>
                <w:rFonts w:eastAsia="Arial" w:cs="Arial"/>
                <w:szCs w:val="18"/>
              </w:rPr>
              <w:t>37-</w:t>
            </w:r>
            <w:r w:rsidR="004B5845" w:rsidRPr="00F167F3">
              <w:rPr>
                <w:rFonts w:eastAsia="Arial" w:cs="Arial"/>
                <w:szCs w:val="18"/>
              </w:rPr>
              <w:t>42</w:t>
            </w:r>
          </w:p>
        </w:tc>
        <w:tc>
          <w:tcPr>
            <w:tcW w:w="0" w:type="auto"/>
            <w:shd w:val="clear" w:color="auto" w:fill="FFFFFF"/>
            <w:vAlign w:val="center"/>
          </w:tcPr>
          <w:p w14:paraId="7BE0B7E0" w14:textId="5B68B08C" w:rsidR="00DF3A4D" w:rsidRPr="00F167F3" w:rsidRDefault="00DF3A4D" w:rsidP="009D157A">
            <w:pPr>
              <w:pStyle w:val="CETTabletitle"/>
              <w:spacing w:before="0" w:after="0" w:line="240" w:lineRule="auto"/>
              <w:jc w:val="center"/>
              <w:rPr>
                <w:i w:val="0"/>
                <w:iCs/>
              </w:rPr>
            </w:pPr>
            <w:r w:rsidRPr="00F167F3">
              <w:rPr>
                <w:i w:val="0"/>
                <w:iCs/>
              </w:rPr>
              <w:t>20 (14h)</w:t>
            </w:r>
          </w:p>
          <w:p w14:paraId="054512F3" w14:textId="5A49DD0C" w:rsidR="00DF3A4D" w:rsidRPr="00F167F3" w:rsidRDefault="00DF3A4D" w:rsidP="00DF3A4D">
            <w:pPr>
              <w:pBdr>
                <w:top w:val="nil"/>
                <w:left w:val="nil"/>
                <w:bottom w:val="nil"/>
                <w:right w:val="nil"/>
                <w:between w:val="nil"/>
              </w:pBdr>
              <w:jc w:val="center"/>
              <w:rPr>
                <w:rFonts w:eastAsia="Arial" w:cs="Arial"/>
                <w:szCs w:val="18"/>
              </w:rPr>
            </w:pPr>
            <w:r w:rsidRPr="00F167F3">
              <w:t>35 (10 h)</w:t>
            </w:r>
          </w:p>
        </w:tc>
        <w:tc>
          <w:tcPr>
            <w:tcW w:w="0" w:type="auto"/>
            <w:shd w:val="clear" w:color="auto" w:fill="FFFFFF"/>
            <w:vAlign w:val="center"/>
          </w:tcPr>
          <w:p w14:paraId="45F4A37B" w14:textId="63D1D099" w:rsidR="00DF3A4D" w:rsidRPr="00F167F3" w:rsidRDefault="00DF3A4D" w:rsidP="00DF3A4D">
            <w:pPr>
              <w:pBdr>
                <w:top w:val="nil"/>
                <w:left w:val="nil"/>
                <w:bottom w:val="nil"/>
                <w:right w:val="nil"/>
                <w:between w:val="nil"/>
              </w:pBdr>
              <w:jc w:val="center"/>
              <w:rPr>
                <w:rFonts w:eastAsia="Arial" w:cs="Arial"/>
                <w:szCs w:val="18"/>
              </w:rPr>
            </w:pPr>
            <w:r w:rsidRPr="00F167F3">
              <w:rPr>
                <w:rFonts w:eastAsia="Arial" w:cs="Arial"/>
                <w:szCs w:val="18"/>
              </w:rPr>
              <w:t>1</w:t>
            </w:r>
          </w:p>
        </w:tc>
      </w:tr>
      <w:tr w:rsidR="00F167F3" w:rsidRPr="00F167F3" w14:paraId="69BC0C5B" w14:textId="77777777" w:rsidTr="007E71FE">
        <w:tc>
          <w:tcPr>
            <w:tcW w:w="0" w:type="auto"/>
            <w:vMerge/>
            <w:shd w:val="clear" w:color="auto" w:fill="FFFFFF"/>
            <w:vAlign w:val="center"/>
          </w:tcPr>
          <w:p w14:paraId="15D6E803" w14:textId="39BF5186" w:rsidR="00364CCF" w:rsidRPr="00F167F3" w:rsidRDefault="00364CCF" w:rsidP="00DF3A4D">
            <w:pPr>
              <w:pBdr>
                <w:top w:val="nil"/>
                <w:left w:val="nil"/>
                <w:bottom w:val="nil"/>
                <w:right w:val="nil"/>
                <w:between w:val="nil"/>
              </w:pBdr>
              <w:jc w:val="center"/>
              <w:rPr>
                <w:rFonts w:eastAsia="Arial" w:cs="Arial"/>
                <w:szCs w:val="18"/>
              </w:rPr>
            </w:pPr>
          </w:p>
        </w:tc>
        <w:tc>
          <w:tcPr>
            <w:tcW w:w="0" w:type="auto"/>
            <w:vMerge w:val="restart"/>
            <w:shd w:val="clear" w:color="auto" w:fill="FFFFFF"/>
            <w:vAlign w:val="center"/>
          </w:tcPr>
          <w:p w14:paraId="708F7143" w14:textId="6FE6D91C" w:rsidR="00364CCF" w:rsidRPr="00F167F3" w:rsidRDefault="004B5845" w:rsidP="00DF3A4D">
            <w:pPr>
              <w:pBdr>
                <w:top w:val="nil"/>
                <w:left w:val="nil"/>
                <w:bottom w:val="nil"/>
                <w:right w:val="nil"/>
                <w:between w:val="nil"/>
              </w:pBdr>
              <w:jc w:val="center"/>
              <w:rPr>
                <w:rFonts w:eastAsia="Arial" w:cs="Arial"/>
                <w:szCs w:val="18"/>
              </w:rPr>
            </w:pPr>
            <w:r w:rsidRPr="00F167F3">
              <w:rPr>
                <w:rFonts w:eastAsia="Arial" w:cs="Arial"/>
                <w:szCs w:val="18"/>
              </w:rPr>
              <w:t>43</w:t>
            </w:r>
            <w:r w:rsidR="00364CCF" w:rsidRPr="00F167F3">
              <w:rPr>
                <w:rFonts w:eastAsia="Arial" w:cs="Arial"/>
                <w:szCs w:val="18"/>
              </w:rPr>
              <w:t>-</w:t>
            </w:r>
            <w:r w:rsidRPr="00F167F3">
              <w:rPr>
                <w:rFonts w:eastAsia="Arial" w:cs="Arial"/>
                <w:szCs w:val="18"/>
              </w:rPr>
              <w:t>50</w:t>
            </w:r>
          </w:p>
        </w:tc>
        <w:tc>
          <w:tcPr>
            <w:tcW w:w="0" w:type="auto"/>
            <w:shd w:val="clear" w:color="auto" w:fill="FFFFFF"/>
            <w:vAlign w:val="center"/>
          </w:tcPr>
          <w:p w14:paraId="70294DEF" w14:textId="5EB20EAB" w:rsidR="00364CCF" w:rsidRPr="00F167F3" w:rsidRDefault="00364CCF" w:rsidP="00DF3A4D">
            <w:pPr>
              <w:pBdr>
                <w:top w:val="nil"/>
                <w:left w:val="nil"/>
                <w:bottom w:val="nil"/>
                <w:right w:val="nil"/>
                <w:between w:val="nil"/>
              </w:pBdr>
              <w:jc w:val="center"/>
              <w:rPr>
                <w:rFonts w:eastAsia="Arial" w:cs="Arial"/>
                <w:szCs w:val="18"/>
              </w:rPr>
            </w:pPr>
            <w:r w:rsidRPr="00F167F3">
              <w:rPr>
                <w:rFonts w:eastAsia="Arial" w:cs="Arial"/>
                <w:szCs w:val="18"/>
              </w:rPr>
              <w:t>30 (14h)</w:t>
            </w:r>
          </w:p>
        </w:tc>
        <w:tc>
          <w:tcPr>
            <w:tcW w:w="0" w:type="auto"/>
            <w:shd w:val="clear" w:color="auto" w:fill="FFFFFF"/>
            <w:vAlign w:val="center"/>
          </w:tcPr>
          <w:p w14:paraId="13E59619" w14:textId="7B7E64F0" w:rsidR="00364CCF" w:rsidRPr="00F167F3" w:rsidRDefault="00364CCF" w:rsidP="00DF3A4D">
            <w:pPr>
              <w:pBdr>
                <w:top w:val="nil"/>
                <w:left w:val="nil"/>
                <w:bottom w:val="nil"/>
                <w:right w:val="nil"/>
                <w:between w:val="nil"/>
              </w:pBdr>
              <w:jc w:val="center"/>
              <w:rPr>
                <w:rFonts w:eastAsia="Arial" w:cs="Arial"/>
                <w:szCs w:val="18"/>
              </w:rPr>
            </w:pPr>
            <w:r w:rsidRPr="00F167F3">
              <w:rPr>
                <w:rFonts w:eastAsia="Arial" w:cs="Arial"/>
                <w:szCs w:val="18"/>
              </w:rPr>
              <w:t>2 (14h)</w:t>
            </w:r>
          </w:p>
        </w:tc>
      </w:tr>
      <w:tr w:rsidR="00F167F3" w:rsidRPr="00F167F3" w14:paraId="18217D1B" w14:textId="77777777" w:rsidTr="007E71FE">
        <w:tc>
          <w:tcPr>
            <w:tcW w:w="0" w:type="auto"/>
            <w:vMerge/>
            <w:shd w:val="clear" w:color="auto" w:fill="FFFFFF"/>
            <w:vAlign w:val="center"/>
          </w:tcPr>
          <w:p w14:paraId="2E1F4AFA" w14:textId="77777777" w:rsidR="00364CCF" w:rsidRPr="00F167F3" w:rsidRDefault="00364CCF" w:rsidP="00DF3A4D">
            <w:pPr>
              <w:pBdr>
                <w:top w:val="nil"/>
                <w:left w:val="nil"/>
                <w:bottom w:val="nil"/>
                <w:right w:val="nil"/>
                <w:between w:val="nil"/>
              </w:pBdr>
              <w:jc w:val="center"/>
              <w:rPr>
                <w:rFonts w:eastAsia="Arial" w:cs="Arial"/>
                <w:szCs w:val="18"/>
              </w:rPr>
            </w:pPr>
          </w:p>
        </w:tc>
        <w:tc>
          <w:tcPr>
            <w:tcW w:w="0" w:type="auto"/>
            <w:vMerge/>
            <w:shd w:val="clear" w:color="auto" w:fill="FFFFFF"/>
            <w:vAlign w:val="center"/>
          </w:tcPr>
          <w:p w14:paraId="018C2CF8" w14:textId="77777777" w:rsidR="00364CCF" w:rsidRPr="00F167F3" w:rsidRDefault="00364CCF" w:rsidP="00DF3A4D">
            <w:pPr>
              <w:pBdr>
                <w:top w:val="nil"/>
                <w:left w:val="nil"/>
                <w:bottom w:val="nil"/>
                <w:right w:val="nil"/>
                <w:between w:val="nil"/>
              </w:pBdr>
              <w:jc w:val="center"/>
              <w:rPr>
                <w:rFonts w:eastAsia="Arial" w:cs="Arial"/>
                <w:szCs w:val="18"/>
              </w:rPr>
            </w:pPr>
          </w:p>
        </w:tc>
        <w:tc>
          <w:tcPr>
            <w:tcW w:w="0" w:type="auto"/>
            <w:shd w:val="clear" w:color="auto" w:fill="FFFFFF"/>
            <w:vAlign w:val="center"/>
          </w:tcPr>
          <w:p w14:paraId="79A5D8E4" w14:textId="00CA7B43" w:rsidR="00364CCF" w:rsidRPr="00F167F3" w:rsidRDefault="00364CCF" w:rsidP="00DF3A4D">
            <w:pPr>
              <w:pBdr>
                <w:top w:val="nil"/>
                <w:left w:val="nil"/>
                <w:bottom w:val="nil"/>
                <w:right w:val="nil"/>
                <w:between w:val="nil"/>
              </w:pBdr>
              <w:jc w:val="center"/>
              <w:rPr>
                <w:rFonts w:eastAsia="Arial" w:cs="Arial"/>
                <w:szCs w:val="18"/>
              </w:rPr>
            </w:pPr>
            <w:r w:rsidRPr="00F167F3">
              <w:rPr>
                <w:rFonts w:eastAsia="Arial" w:cs="Arial"/>
                <w:szCs w:val="18"/>
              </w:rPr>
              <w:t>4</w:t>
            </w:r>
            <w:r w:rsidR="009D157A" w:rsidRPr="00F167F3">
              <w:rPr>
                <w:rFonts w:eastAsia="Arial" w:cs="Arial"/>
                <w:szCs w:val="18"/>
              </w:rPr>
              <w:t>5</w:t>
            </w:r>
            <w:r w:rsidRPr="00F167F3">
              <w:rPr>
                <w:rFonts w:eastAsia="Arial" w:cs="Arial"/>
                <w:szCs w:val="18"/>
              </w:rPr>
              <w:t xml:space="preserve"> (10h)</w:t>
            </w:r>
          </w:p>
        </w:tc>
        <w:tc>
          <w:tcPr>
            <w:tcW w:w="0" w:type="auto"/>
            <w:shd w:val="clear" w:color="auto" w:fill="FFFFFF"/>
            <w:vAlign w:val="center"/>
          </w:tcPr>
          <w:p w14:paraId="6A7EA8E0" w14:textId="46A9CF31" w:rsidR="00364CCF" w:rsidRPr="00F167F3" w:rsidRDefault="00364CCF" w:rsidP="00DF3A4D">
            <w:pPr>
              <w:pBdr>
                <w:top w:val="nil"/>
                <w:left w:val="nil"/>
                <w:bottom w:val="nil"/>
                <w:right w:val="nil"/>
                <w:between w:val="nil"/>
              </w:pBdr>
              <w:jc w:val="center"/>
              <w:rPr>
                <w:rFonts w:eastAsia="Arial" w:cs="Arial"/>
                <w:szCs w:val="18"/>
              </w:rPr>
            </w:pPr>
            <w:r w:rsidRPr="00F167F3">
              <w:rPr>
                <w:rFonts w:eastAsia="Arial" w:cs="Arial"/>
                <w:szCs w:val="18"/>
              </w:rPr>
              <w:t>4 (10 h)</w:t>
            </w:r>
          </w:p>
        </w:tc>
      </w:tr>
      <w:tr w:rsidR="00F167F3" w:rsidRPr="00F167F3" w14:paraId="4E0B8188" w14:textId="77777777" w:rsidTr="007E71FE">
        <w:tc>
          <w:tcPr>
            <w:tcW w:w="0" w:type="auto"/>
            <w:vMerge/>
            <w:shd w:val="clear" w:color="auto" w:fill="FFFFFF"/>
            <w:vAlign w:val="center"/>
          </w:tcPr>
          <w:p w14:paraId="0A9531F0" w14:textId="77777777" w:rsidR="00364CCF" w:rsidRPr="00F167F3" w:rsidRDefault="00364CCF" w:rsidP="00DF3A4D">
            <w:pPr>
              <w:pBdr>
                <w:top w:val="nil"/>
                <w:left w:val="nil"/>
                <w:bottom w:val="nil"/>
                <w:right w:val="nil"/>
                <w:between w:val="nil"/>
              </w:pBdr>
              <w:jc w:val="center"/>
              <w:rPr>
                <w:rFonts w:eastAsia="Arial" w:cs="Arial"/>
                <w:szCs w:val="18"/>
              </w:rPr>
            </w:pPr>
          </w:p>
        </w:tc>
        <w:tc>
          <w:tcPr>
            <w:tcW w:w="0" w:type="auto"/>
            <w:vMerge w:val="restart"/>
            <w:shd w:val="clear" w:color="auto" w:fill="FFFFFF"/>
            <w:vAlign w:val="center"/>
          </w:tcPr>
          <w:p w14:paraId="18A97D6F" w14:textId="185892A7" w:rsidR="00364CCF" w:rsidRPr="00F167F3" w:rsidRDefault="004B5845" w:rsidP="00DF3A4D">
            <w:pPr>
              <w:pBdr>
                <w:top w:val="nil"/>
                <w:left w:val="nil"/>
                <w:bottom w:val="nil"/>
                <w:right w:val="nil"/>
                <w:between w:val="nil"/>
              </w:pBdr>
              <w:jc w:val="center"/>
              <w:rPr>
                <w:rFonts w:eastAsia="Arial" w:cs="Arial"/>
                <w:szCs w:val="18"/>
              </w:rPr>
            </w:pPr>
            <w:r w:rsidRPr="00F167F3">
              <w:rPr>
                <w:rFonts w:eastAsia="Arial" w:cs="Arial"/>
                <w:szCs w:val="18"/>
              </w:rPr>
              <w:t>51</w:t>
            </w:r>
            <w:r w:rsidR="004E3F0C" w:rsidRPr="00F167F3">
              <w:rPr>
                <w:rFonts w:eastAsia="Arial" w:cs="Arial"/>
                <w:szCs w:val="18"/>
              </w:rPr>
              <w:t>-59</w:t>
            </w:r>
          </w:p>
        </w:tc>
        <w:tc>
          <w:tcPr>
            <w:tcW w:w="0" w:type="auto"/>
            <w:shd w:val="clear" w:color="auto" w:fill="FFFFFF"/>
            <w:vAlign w:val="center"/>
          </w:tcPr>
          <w:p w14:paraId="393DDC79" w14:textId="6EB4BCFE" w:rsidR="00364CCF" w:rsidRPr="00F167F3" w:rsidRDefault="00364CCF" w:rsidP="00DF3A4D">
            <w:pPr>
              <w:pBdr>
                <w:top w:val="nil"/>
                <w:left w:val="nil"/>
                <w:bottom w:val="nil"/>
                <w:right w:val="nil"/>
                <w:between w:val="nil"/>
              </w:pBdr>
              <w:jc w:val="center"/>
              <w:rPr>
                <w:rFonts w:eastAsia="Arial" w:cs="Arial"/>
                <w:szCs w:val="18"/>
              </w:rPr>
            </w:pPr>
            <w:r w:rsidRPr="00F167F3">
              <w:rPr>
                <w:rFonts w:eastAsia="Arial" w:cs="Arial"/>
                <w:szCs w:val="18"/>
              </w:rPr>
              <w:t>50 (14h)</w:t>
            </w:r>
          </w:p>
        </w:tc>
        <w:tc>
          <w:tcPr>
            <w:tcW w:w="0" w:type="auto"/>
            <w:shd w:val="clear" w:color="auto" w:fill="FFFFFF"/>
            <w:vAlign w:val="center"/>
          </w:tcPr>
          <w:p w14:paraId="153FDCEF" w14:textId="53F80D2A" w:rsidR="00364CCF" w:rsidRPr="00F167F3" w:rsidRDefault="000E4E0C" w:rsidP="00DF3A4D">
            <w:pPr>
              <w:pBdr>
                <w:top w:val="nil"/>
                <w:left w:val="nil"/>
                <w:bottom w:val="nil"/>
                <w:right w:val="nil"/>
                <w:between w:val="nil"/>
              </w:pBdr>
              <w:jc w:val="center"/>
              <w:rPr>
                <w:rFonts w:eastAsia="Arial" w:cs="Arial"/>
                <w:szCs w:val="18"/>
              </w:rPr>
            </w:pPr>
            <w:r w:rsidRPr="00F167F3">
              <w:rPr>
                <w:rFonts w:eastAsia="Arial" w:cs="Arial"/>
                <w:szCs w:val="18"/>
              </w:rPr>
              <w:t>3</w:t>
            </w:r>
            <w:r w:rsidR="00364CCF" w:rsidRPr="00F167F3">
              <w:rPr>
                <w:rFonts w:eastAsia="Arial" w:cs="Arial"/>
                <w:szCs w:val="18"/>
              </w:rPr>
              <w:t xml:space="preserve"> (14h)</w:t>
            </w:r>
          </w:p>
        </w:tc>
      </w:tr>
      <w:tr w:rsidR="00F167F3" w:rsidRPr="00F167F3" w14:paraId="71E4C894" w14:textId="77777777" w:rsidTr="007E71FE">
        <w:tc>
          <w:tcPr>
            <w:tcW w:w="0" w:type="auto"/>
            <w:vMerge/>
            <w:shd w:val="clear" w:color="auto" w:fill="FFFFFF"/>
            <w:vAlign w:val="center"/>
          </w:tcPr>
          <w:p w14:paraId="71A75496" w14:textId="77777777" w:rsidR="00364CCF" w:rsidRPr="00F167F3" w:rsidRDefault="00364CCF" w:rsidP="00DF3A4D">
            <w:pPr>
              <w:pBdr>
                <w:top w:val="nil"/>
                <w:left w:val="nil"/>
                <w:bottom w:val="nil"/>
                <w:right w:val="nil"/>
                <w:between w:val="nil"/>
              </w:pBdr>
              <w:jc w:val="center"/>
              <w:rPr>
                <w:rFonts w:eastAsia="Arial" w:cs="Arial"/>
                <w:szCs w:val="18"/>
              </w:rPr>
            </w:pPr>
          </w:p>
        </w:tc>
        <w:tc>
          <w:tcPr>
            <w:tcW w:w="0" w:type="auto"/>
            <w:vMerge/>
            <w:shd w:val="clear" w:color="auto" w:fill="FFFFFF"/>
            <w:vAlign w:val="center"/>
          </w:tcPr>
          <w:p w14:paraId="3B64E6F1" w14:textId="77777777" w:rsidR="00364CCF" w:rsidRPr="00F167F3" w:rsidRDefault="00364CCF" w:rsidP="00DF3A4D">
            <w:pPr>
              <w:pBdr>
                <w:top w:val="nil"/>
                <w:left w:val="nil"/>
                <w:bottom w:val="nil"/>
                <w:right w:val="nil"/>
                <w:between w:val="nil"/>
              </w:pBdr>
              <w:jc w:val="center"/>
              <w:rPr>
                <w:rFonts w:eastAsia="Arial" w:cs="Arial"/>
                <w:szCs w:val="18"/>
              </w:rPr>
            </w:pPr>
          </w:p>
        </w:tc>
        <w:tc>
          <w:tcPr>
            <w:tcW w:w="0" w:type="auto"/>
            <w:shd w:val="clear" w:color="auto" w:fill="FFFFFF"/>
            <w:vAlign w:val="center"/>
          </w:tcPr>
          <w:p w14:paraId="28FC8D7C" w14:textId="47E96DB9" w:rsidR="00364CCF" w:rsidRPr="00F167F3" w:rsidRDefault="00364CCF" w:rsidP="00DF3A4D">
            <w:pPr>
              <w:pBdr>
                <w:top w:val="nil"/>
                <w:left w:val="nil"/>
                <w:bottom w:val="nil"/>
                <w:right w:val="nil"/>
                <w:between w:val="nil"/>
              </w:pBdr>
              <w:jc w:val="center"/>
              <w:rPr>
                <w:rFonts w:eastAsia="Arial" w:cs="Arial"/>
                <w:szCs w:val="18"/>
              </w:rPr>
            </w:pPr>
            <w:r w:rsidRPr="00F167F3">
              <w:rPr>
                <w:rFonts w:eastAsia="Arial" w:cs="Arial"/>
                <w:szCs w:val="18"/>
              </w:rPr>
              <w:t>7</w:t>
            </w:r>
            <w:r w:rsidR="004E3F0C" w:rsidRPr="00F167F3">
              <w:rPr>
                <w:rFonts w:eastAsia="Arial" w:cs="Arial"/>
                <w:szCs w:val="18"/>
              </w:rPr>
              <w:t>5</w:t>
            </w:r>
            <w:r w:rsidRPr="00F167F3">
              <w:rPr>
                <w:rFonts w:eastAsia="Arial" w:cs="Arial"/>
                <w:szCs w:val="18"/>
              </w:rPr>
              <w:t xml:space="preserve"> (10h)</w:t>
            </w:r>
          </w:p>
        </w:tc>
        <w:tc>
          <w:tcPr>
            <w:tcW w:w="0" w:type="auto"/>
            <w:shd w:val="clear" w:color="auto" w:fill="FFFFFF"/>
            <w:vAlign w:val="center"/>
          </w:tcPr>
          <w:p w14:paraId="7BCC9108" w14:textId="156FD912" w:rsidR="00364CCF" w:rsidRPr="00F167F3" w:rsidRDefault="000E4E0C" w:rsidP="00DF3A4D">
            <w:pPr>
              <w:pBdr>
                <w:top w:val="nil"/>
                <w:left w:val="nil"/>
                <w:bottom w:val="nil"/>
                <w:right w:val="nil"/>
                <w:between w:val="nil"/>
              </w:pBdr>
              <w:jc w:val="center"/>
              <w:rPr>
                <w:rFonts w:eastAsia="Arial" w:cs="Arial"/>
                <w:szCs w:val="18"/>
              </w:rPr>
            </w:pPr>
            <w:r w:rsidRPr="00F167F3">
              <w:rPr>
                <w:rFonts w:eastAsia="Arial" w:cs="Arial"/>
                <w:szCs w:val="18"/>
              </w:rPr>
              <w:t>5</w:t>
            </w:r>
            <w:r w:rsidR="00364CCF" w:rsidRPr="00F167F3">
              <w:rPr>
                <w:rFonts w:eastAsia="Arial" w:cs="Arial"/>
                <w:szCs w:val="18"/>
              </w:rPr>
              <w:t xml:space="preserve"> (10 h)</w:t>
            </w:r>
          </w:p>
        </w:tc>
      </w:tr>
    </w:tbl>
    <w:p w14:paraId="4B92A54B" w14:textId="77777777" w:rsidR="001D7FAE" w:rsidRPr="00F167F3" w:rsidRDefault="001D7FAE" w:rsidP="00260541">
      <w:pPr>
        <w:pStyle w:val="CETBodytext"/>
        <w:rPr>
          <w:rFonts w:cs="Arial"/>
          <w:szCs w:val="18"/>
          <w:lang w:val="en-GB"/>
        </w:rPr>
      </w:pPr>
    </w:p>
    <w:p w14:paraId="428410E4" w14:textId="77777777" w:rsidR="00B177B7" w:rsidRPr="00F167F3" w:rsidRDefault="00B177B7" w:rsidP="00260541">
      <w:pPr>
        <w:pStyle w:val="CETBodytext"/>
        <w:rPr>
          <w:rFonts w:cs="Arial"/>
          <w:szCs w:val="18"/>
          <w:lang w:val="en-GB"/>
        </w:rPr>
      </w:pPr>
    </w:p>
    <w:p w14:paraId="1AAE1C27" w14:textId="77777777" w:rsidR="004E6D15" w:rsidRPr="00F167F3" w:rsidRDefault="004E6D15" w:rsidP="00B177B7">
      <w:pPr>
        <w:pStyle w:val="CETheadingx"/>
        <w:numPr>
          <w:ilvl w:val="0"/>
          <w:numId w:val="0"/>
        </w:numPr>
        <w:rPr>
          <w:lang w:val="en-GB"/>
        </w:rPr>
      </w:pPr>
    </w:p>
    <w:p w14:paraId="51E9B0B2" w14:textId="77777777" w:rsidR="004E6D15" w:rsidRPr="00F167F3" w:rsidRDefault="004E6D15" w:rsidP="00B177B7">
      <w:pPr>
        <w:pStyle w:val="CETheadingx"/>
        <w:numPr>
          <w:ilvl w:val="0"/>
          <w:numId w:val="0"/>
        </w:numPr>
        <w:rPr>
          <w:lang w:val="en-GB"/>
        </w:rPr>
      </w:pPr>
    </w:p>
    <w:p w14:paraId="5E7093C5" w14:textId="77777777" w:rsidR="004E6D15" w:rsidRPr="00F167F3" w:rsidRDefault="004E6D15" w:rsidP="00B177B7">
      <w:pPr>
        <w:pStyle w:val="CETheadingx"/>
        <w:numPr>
          <w:ilvl w:val="0"/>
          <w:numId w:val="0"/>
        </w:numPr>
        <w:rPr>
          <w:lang w:val="en-GB"/>
        </w:rPr>
      </w:pPr>
    </w:p>
    <w:p w14:paraId="3704428B" w14:textId="77777777" w:rsidR="004E6D15" w:rsidRPr="00F167F3" w:rsidRDefault="004E6D15" w:rsidP="00B177B7">
      <w:pPr>
        <w:pStyle w:val="CETheadingx"/>
        <w:numPr>
          <w:ilvl w:val="0"/>
          <w:numId w:val="0"/>
        </w:numPr>
        <w:rPr>
          <w:lang w:val="en-GB"/>
        </w:rPr>
      </w:pPr>
    </w:p>
    <w:p w14:paraId="4F96DEFD" w14:textId="77777777" w:rsidR="004E6D15" w:rsidRPr="00F167F3" w:rsidRDefault="004E6D15" w:rsidP="00B177B7">
      <w:pPr>
        <w:pStyle w:val="CETheadingx"/>
        <w:numPr>
          <w:ilvl w:val="0"/>
          <w:numId w:val="0"/>
        </w:numPr>
        <w:rPr>
          <w:lang w:val="en-GB"/>
        </w:rPr>
      </w:pPr>
    </w:p>
    <w:p w14:paraId="3B1867D5" w14:textId="32FFF44F" w:rsidR="002B7DB3" w:rsidRPr="00F167F3" w:rsidRDefault="002B7DB3" w:rsidP="002B7DB3">
      <w:pPr>
        <w:pStyle w:val="CETBodytext"/>
        <w:rPr>
          <w:lang w:val="en-GB"/>
        </w:rPr>
      </w:pPr>
    </w:p>
    <w:p w14:paraId="204C58BD" w14:textId="77777777" w:rsidR="002B7DB3" w:rsidRPr="00F167F3" w:rsidRDefault="002B7DB3" w:rsidP="002B7DB3">
      <w:pPr>
        <w:pStyle w:val="CETBodytext"/>
        <w:rPr>
          <w:lang w:val="en-GB"/>
        </w:rPr>
      </w:pPr>
    </w:p>
    <w:p w14:paraId="1068B7EA" w14:textId="77777777" w:rsidR="006E7121" w:rsidRPr="00F167F3" w:rsidRDefault="006E7121" w:rsidP="00B177B7">
      <w:pPr>
        <w:pStyle w:val="CETheadingx"/>
        <w:numPr>
          <w:ilvl w:val="0"/>
          <w:numId w:val="0"/>
        </w:numPr>
        <w:rPr>
          <w:lang w:val="en-GB"/>
        </w:rPr>
      </w:pPr>
    </w:p>
    <w:p w14:paraId="4D57448C" w14:textId="77777777" w:rsidR="006E7121" w:rsidRPr="00F167F3" w:rsidRDefault="006E7121" w:rsidP="00B177B7">
      <w:pPr>
        <w:pStyle w:val="CETheadingx"/>
        <w:numPr>
          <w:ilvl w:val="0"/>
          <w:numId w:val="0"/>
        </w:numPr>
        <w:rPr>
          <w:lang w:val="en-GB"/>
        </w:rPr>
      </w:pPr>
    </w:p>
    <w:p w14:paraId="627D3E75" w14:textId="6BDC01AE" w:rsidR="004E44A5" w:rsidRPr="00F167F3" w:rsidRDefault="00B177B7" w:rsidP="00B177B7">
      <w:pPr>
        <w:pStyle w:val="CETheadingx"/>
        <w:numPr>
          <w:ilvl w:val="0"/>
          <w:numId w:val="0"/>
        </w:numPr>
        <w:rPr>
          <w:lang w:val="en-GB"/>
        </w:rPr>
      </w:pPr>
      <w:r w:rsidRPr="00F167F3">
        <w:rPr>
          <w:lang w:val="en-GB"/>
        </w:rPr>
        <w:t>2.3.</w:t>
      </w:r>
      <w:r w:rsidRPr="00F167F3">
        <w:rPr>
          <w:lang w:val="en-GB"/>
        </w:rPr>
        <w:tab/>
        <w:t>Analytical methods</w:t>
      </w:r>
    </w:p>
    <w:p w14:paraId="1A72BF03" w14:textId="6C996318" w:rsidR="00C15A0D" w:rsidRPr="00F167F3" w:rsidRDefault="00E560CD" w:rsidP="00C15A0D">
      <w:pPr>
        <w:pStyle w:val="CETBodytext"/>
        <w:rPr>
          <w:lang w:val="en-GB"/>
        </w:rPr>
      </w:pPr>
      <w:bookmarkStart w:id="1" w:name="_Hlk68433944"/>
      <w:r w:rsidRPr="00F167F3">
        <w:rPr>
          <w:rFonts w:cs="Arial"/>
          <w:szCs w:val="18"/>
          <w:lang w:val="en-GB"/>
        </w:rPr>
        <w:t>Gas concentration was measured in the inlet and outlet of the biofilters with a portable multi-gas monitor MultiRAE (PGM-6228 RAE Systems). The measurements were taken once the gas concentration was steady. Gases sampling was made three times per day, obtaining a daily average of gases removal data. The removal efficiency percentage (%RE) was calculated for each gas using the following equation</w:t>
      </w:r>
      <w:r w:rsidR="00C15A0D" w:rsidRPr="00F167F3">
        <w:rPr>
          <w:rFonts w:cs="Arial"/>
          <w:szCs w:val="18"/>
          <w:lang w:val="en-GB"/>
        </w:rPr>
        <w:t>:</w:t>
      </w:r>
      <w:r w:rsidR="00C15A0D" w:rsidRPr="00F167F3">
        <w:rPr>
          <w:lang w:val="en-GB"/>
        </w:rPr>
        <w:t xml:space="preserve"> </w:t>
      </w:r>
    </w:p>
    <w:tbl>
      <w:tblPr>
        <w:tblW w:w="9000" w:type="dxa"/>
        <w:tblLayout w:type="fixed"/>
        <w:tblLook w:val="0400" w:firstRow="0" w:lastRow="0" w:firstColumn="0" w:lastColumn="0" w:noHBand="0" w:noVBand="1"/>
      </w:tblPr>
      <w:tblGrid>
        <w:gridCol w:w="8470"/>
        <w:gridCol w:w="530"/>
      </w:tblGrid>
      <w:tr w:rsidR="00F167F3" w:rsidRPr="00F167F3" w14:paraId="15244FD5" w14:textId="77777777" w:rsidTr="00B177B7">
        <w:tc>
          <w:tcPr>
            <w:tcW w:w="8470" w:type="dxa"/>
            <w:shd w:val="clear" w:color="auto" w:fill="auto"/>
            <w:vAlign w:val="center"/>
          </w:tcPr>
          <w:bookmarkEnd w:id="1"/>
          <w:p w14:paraId="3F16A597" w14:textId="77777777" w:rsidR="00C15A0D" w:rsidRPr="00F167F3" w:rsidRDefault="00C15A0D" w:rsidP="004D32C2">
            <w:pPr>
              <w:jc w:val="left"/>
              <w:rPr>
                <w:rFonts w:ascii="Cambria Math" w:eastAsia="Cambria Math" w:hAnsi="Cambria Math" w:cs="Cambria Math"/>
                <w:szCs w:val="18"/>
              </w:rPr>
            </w:pPr>
            <m:oMathPara>
              <m:oMathParaPr>
                <m:jc m:val="left"/>
              </m:oMathParaPr>
              <m:oMath>
                <m:r>
                  <w:rPr>
                    <w:rFonts w:ascii="Cambria Math" w:eastAsia="Cambria Math" w:hAnsi="Cambria Math" w:cs="Cambria Math"/>
                    <w:szCs w:val="18"/>
                  </w:rPr>
                  <m:t>%RE=</m:t>
                </m:r>
                <m:f>
                  <m:fPr>
                    <m:ctrlPr>
                      <w:rPr>
                        <w:rFonts w:ascii="Cambria Math" w:eastAsia="Cambria Math" w:hAnsi="Cambria Math" w:cs="Cambria Math"/>
                        <w:szCs w:val="18"/>
                      </w:rPr>
                    </m:ctrlPr>
                  </m:fPr>
                  <m:num>
                    <m:sSub>
                      <m:sSubPr>
                        <m:ctrlPr>
                          <w:rPr>
                            <w:rFonts w:ascii="Cambria Math" w:eastAsia="Cambria Math" w:hAnsi="Cambria Math" w:cs="Cambria Math"/>
                            <w:szCs w:val="18"/>
                          </w:rPr>
                        </m:ctrlPr>
                      </m:sSubPr>
                      <m:e>
                        <m:r>
                          <w:rPr>
                            <w:rFonts w:ascii="Cambria Math" w:eastAsia="Cambria Math" w:hAnsi="Cambria Math" w:cs="Cambria Math"/>
                            <w:szCs w:val="18"/>
                          </w:rPr>
                          <m:t>(C</m:t>
                        </m:r>
                      </m:e>
                      <m:sub>
                        <m:r>
                          <w:rPr>
                            <w:rFonts w:ascii="Cambria Math" w:eastAsia="Cambria Math" w:hAnsi="Cambria Math" w:cs="Cambria Math"/>
                            <w:szCs w:val="18"/>
                          </w:rPr>
                          <m:t>i</m:t>
                        </m:r>
                      </m:sub>
                    </m:sSub>
                    <m:r>
                      <w:rPr>
                        <w:rFonts w:ascii="Cambria Math" w:eastAsia="Cambria Math" w:hAnsi="Cambria Math" w:cs="Cambria Math"/>
                        <w:szCs w:val="18"/>
                      </w:rPr>
                      <m:t>-</m:t>
                    </m:r>
                    <m:sSub>
                      <m:sSubPr>
                        <m:ctrlPr>
                          <w:rPr>
                            <w:rFonts w:ascii="Cambria Math" w:eastAsia="Cambria Math" w:hAnsi="Cambria Math" w:cs="Cambria Math"/>
                            <w:szCs w:val="18"/>
                          </w:rPr>
                        </m:ctrlPr>
                      </m:sSubPr>
                      <m:e>
                        <m:r>
                          <w:rPr>
                            <w:rFonts w:ascii="Cambria Math" w:eastAsia="Cambria Math" w:hAnsi="Cambria Math" w:cs="Cambria Math"/>
                            <w:szCs w:val="18"/>
                          </w:rPr>
                          <m:t>C</m:t>
                        </m:r>
                      </m:e>
                      <m:sub>
                        <m:r>
                          <w:rPr>
                            <w:rFonts w:ascii="Cambria Math" w:eastAsia="Cambria Math" w:hAnsi="Cambria Math" w:cs="Cambria Math"/>
                            <w:szCs w:val="18"/>
                          </w:rPr>
                          <m:t>o</m:t>
                        </m:r>
                      </m:sub>
                    </m:sSub>
                    <m:r>
                      <w:rPr>
                        <w:rFonts w:ascii="Cambria Math" w:eastAsia="Cambria Math" w:hAnsi="Cambria Math" w:cs="Cambria Math"/>
                        <w:szCs w:val="18"/>
                      </w:rPr>
                      <m:t>)*100</m:t>
                    </m:r>
                  </m:num>
                  <m:den>
                    <m:sSub>
                      <m:sSubPr>
                        <m:ctrlPr>
                          <w:rPr>
                            <w:rFonts w:ascii="Cambria Math" w:eastAsia="Cambria Math" w:hAnsi="Cambria Math" w:cs="Cambria Math"/>
                            <w:szCs w:val="18"/>
                          </w:rPr>
                        </m:ctrlPr>
                      </m:sSubPr>
                      <m:e>
                        <m:r>
                          <w:rPr>
                            <w:rFonts w:ascii="Cambria Math" w:eastAsia="Cambria Math" w:hAnsi="Cambria Math" w:cs="Cambria Math"/>
                            <w:szCs w:val="18"/>
                          </w:rPr>
                          <m:t>C</m:t>
                        </m:r>
                      </m:e>
                      <m:sub>
                        <m:r>
                          <w:rPr>
                            <w:rFonts w:ascii="Cambria Math" w:eastAsia="Cambria Math" w:hAnsi="Cambria Math" w:cs="Cambria Math"/>
                            <w:szCs w:val="18"/>
                          </w:rPr>
                          <m:t>i</m:t>
                        </m:r>
                      </m:sub>
                    </m:sSub>
                  </m:den>
                </m:f>
              </m:oMath>
            </m:oMathPara>
          </w:p>
        </w:tc>
        <w:tc>
          <w:tcPr>
            <w:tcW w:w="530" w:type="dxa"/>
            <w:shd w:val="clear" w:color="auto" w:fill="auto"/>
            <w:vAlign w:val="center"/>
          </w:tcPr>
          <w:p w14:paraId="62DB60FA" w14:textId="28BD737E" w:rsidR="00C15A0D" w:rsidRPr="00F167F3" w:rsidRDefault="00C15A0D" w:rsidP="004D32C2">
            <w:pPr>
              <w:pBdr>
                <w:top w:val="nil"/>
                <w:left w:val="nil"/>
                <w:bottom w:val="nil"/>
                <w:right w:val="nil"/>
                <w:between w:val="nil"/>
              </w:pBdr>
              <w:spacing w:before="120" w:after="120"/>
              <w:jc w:val="left"/>
              <w:rPr>
                <w:rFonts w:eastAsia="Arial" w:cs="Arial"/>
                <w:szCs w:val="18"/>
              </w:rPr>
            </w:pPr>
            <w:r w:rsidRPr="00F167F3">
              <w:rPr>
                <w:rFonts w:eastAsia="Arial" w:cs="Arial"/>
                <w:szCs w:val="18"/>
              </w:rPr>
              <w:t xml:space="preserve">    (1)</w:t>
            </w:r>
          </w:p>
        </w:tc>
      </w:tr>
    </w:tbl>
    <w:p w14:paraId="0715AF43" w14:textId="09711D15" w:rsidR="004E44A5" w:rsidRPr="00F167F3" w:rsidRDefault="00B177B7" w:rsidP="00260541">
      <w:pPr>
        <w:pStyle w:val="CETBodytext"/>
        <w:rPr>
          <w:rFonts w:eastAsia="Arial" w:cs="Arial"/>
          <w:szCs w:val="18"/>
          <w:lang w:val="en-GB"/>
        </w:rPr>
      </w:pPr>
      <w:r w:rsidRPr="00F167F3">
        <w:rPr>
          <w:rFonts w:eastAsia="Arial" w:cs="Arial"/>
          <w:szCs w:val="18"/>
          <w:lang w:val="en-GB"/>
        </w:rPr>
        <w:t>where</w:t>
      </w:r>
      <w:r w:rsidR="00FB72C6" w:rsidRPr="00F167F3">
        <w:rPr>
          <w:rFonts w:eastAsia="Arial" w:cs="Arial"/>
          <w:szCs w:val="18"/>
          <w:lang w:val="en-GB"/>
        </w:rPr>
        <w:t>,</w:t>
      </w:r>
      <w:r w:rsidRPr="00F167F3">
        <w:rPr>
          <w:rFonts w:eastAsia="Arial" w:cs="Arial"/>
          <w:szCs w:val="18"/>
          <w:lang w:val="en-GB"/>
        </w:rPr>
        <w:t xml:space="preserve"> </w:t>
      </w:r>
      <w:r w:rsidRPr="00F167F3">
        <w:rPr>
          <w:rFonts w:eastAsia="Arial" w:cs="Arial"/>
          <w:i/>
          <w:szCs w:val="18"/>
          <w:lang w:val="en-GB"/>
        </w:rPr>
        <w:t>C</w:t>
      </w:r>
      <w:r w:rsidRPr="00F167F3">
        <w:rPr>
          <w:rFonts w:eastAsia="Arial" w:cs="Arial"/>
          <w:i/>
          <w:szCs w:val="18"/>
          <w:vertAlign w:val="subscript"/>
          <w:lang w:val="en-GB"/>
        </w:rPr>
        <w:t>i</w:t>
      </w:r>
      <w:r w:rsidR="00D063E7" w:rsidRPr="00F167F3">
        <w:rPr>
          <w:rFonts w:eastAsia="Arial" w:cs="Arial"/>
          <w:szCs w:val="18"/>
          <w:lang w:val="en-GB"/>
        </w:rPr>
        <w:t xml:space="preserve"> is the </w:t>
      </w:r>
      <w:r w:rsidRPr="00F167F3">
        <w:rPr>
          <w:rFonts w:eastAsia="Arial" w:cs="Arial"/>
          <w:szCs w:val="18"/>
          <w:lang w:val="en-GB"/>
        </w:rPr>
        <w:t>gas inlet concentration (</w:t>
      </w:r>
      <w:r w:rsidRPr="00F167F3">
        <w:rPr>
          <w:rFonts w:cs="Arial"/>
          <w:szCs w:val="18"/>
          <w:lang w:val="en-GB"/>
        </w:rPr>
        <w:t>mg/m</w:t>
      </w:r>
      <w:r w:rsidRPr="00F167F3">
        <w:rPr>
          <w:rFonts w:cs="Arial"/>
          <w:szCs w:val="18"/>
          <w:vertAlign w:val="superscript"/>
          <w:lang w:val="en-GB"/>
        </w:rPr>
        <w:t>3</w:t>
      </w:r>
      <w:r w:rsidRPr="00F167F3">
        <w:rPr>
          <w:rFonts w:eastAsia="Arial" w:cs="Arial"/>
          <w:szCs w:val="18"/>
          <w:lang w:val="en-GB"/>
        </w:rPr>
        <w:t xml:space="preserve">), and </w:t>
      </w:r>
      <w:r w:rsidRPr="00F167F3">
        <w:rPr>
          <w:rFonts w:eastAsia="Arial" w:cs="Arial"/>
          <w:i/>
          <w:szCs w:val="18"/>
          <w:lang w:val="en-GB"/>
        </w:rPr>
        <w:t>C</w:t>
      </w:r>
      <w:r w:rsidRPr="00F167F3">
        <w:rPr>
          <w:rFonts w:eastAsia="Arial" w:cs="Arial"/>
          <w:i/>
          <w:szCs w:val="18"/>
          <w:vertAlign w:val="subscript"/>
          <w:lang w:val="en-GB"/>
        </w:rPr>
        <w:t>o</w:t>
      </w:r>
      <w:r w:rsidRPr="00F167F3">
        <w:rPr>
          <w:rFonts w:eastAsia="Arial" w:cs="Arial"/>
          <w:szCs w:val="18"/>
          <w:lang w:val="en-GB"/>
        </w:rPr>
        <w:t xml:space="preserve"> </w:t>
      </w:r>
      <w:r w:rsidR="00D063E7" w:rsidRPr="00F167F3">
        <w:rPr>
          <w:rFonts w:eastAsia="Arial" w:cs="Arial"/>
          <w:szCs w:val="18"/>
          <w:lang w:val="en-GB"/>
        </w:rPr>
        <w:t xml:space="preserve">is the </w:t>
      </w:r>
      <w:r w:rsidRPr="00F167F3">
        <w:rPr>
          <w:rFonts w:eastAsia="Arial" w:cs="Arial"/>
          <w:szCs w:val="18"/>
          <w:lang w:val="en-GB"/>
        </w:rPr>
        <w:t>gas outlet concentration (</w:t>
      </w:r>
      <w:r w:rsidRPr="00F167F3">
        <w:rPr>
          <w:rFonts w:cs="Arial"/>
          <w:szCs w:val="18"/>
          <w:lang w:val="en-GB"/>
        </w:rPr>
        <w:t>mg/m</w:t>
      </w:r>
      <w:r w:rsidRPr="00F167F3">
        <w:rPr>
          <w:rFonts w:cs="Arial"/>
          <w:szCs w:val="18"/>
          <w:vertAlign w:val="superscript"/>
          <w:lang w:val="en-GB"/>
        </w:rPr>
        <w:t>3</w:t>
      </w:r>
      <w:r w:rsidRPr="00F167F3">
        <w:rPr>
          <w:rFonts w:eastAsia="Arial" w:cs="Arial"/>
          <w:szCs w:val="18"/>
          <w:lang w:val="en-GB"/>
        </w:rPr>
        <w:t>).</w:t>
      </w:r>
    </w:p>
    <w:p w14:paraId="6F50502A" w14:textId="0E8032BA" w:rsidR="007B6CCB" w:rsidRPr="00F167F3" w:rsidRDefault="007B6CCB" w:rsidP="00260541">
      <w:pPr>
        <w:pStyle w:val="CETBodytext"/>
        <w:rPr>
          <w:rFonts w:eastAsia="Arial" w:cs="Arial"/>
          <w:szCs w:val="18"/>
          <w:lang w:val="en-GB"/>
        </w:rPr>
      </w:pPr>
    </w:p>
    <w:p w14:paraId="6726C0CA" w14:textId="04BBA3F5" w:rsidR="007B6CCB" w:rsidRPr="00F167F3" w:rsidRDefault="00E560CD" w:rsidP="00260541">
      <w:pPr>
        <w:pStyle w:val="CETBodytext"/>
        <w:rPr>
          <w:rFonts w:cs="Arial"/>
          <w:szCs w:val="18"/>
          <w:lang w:val="en-GB"/>
        </w:rPr>
      </w:pPr>
      <w:r w:rsidRPr="00F167F3">
        <w:rPr>
          <w:rFonts w:cs="Arial"/>
          <w:szCs w:val="18"/>
          <w:lang w:val="en-GB"/>
        </w:rPr>
        <w:t xml:space="preserve">Compost samples were taken from the three sections of the bed before changing stages. The samples were mixed with KCl 0.01 M (weight ratio 1:10) and shaken for 30 min. Then, the supernatant was centrifuged at 5000 rpm for 10 min and filtered through a 0.22 µm membrane. This solution was used to analyse pH and ammonium concentration by the spectrophotometric method of Berthelot (reaction of ammonium with salicylate and hypochlorite) </w:t>
      </w:r>
      <w:r w:rsidR="00B62E7B" w:rsidRPr="00F167F3">
        <w:rPr>
          <w:rFonts w:cs="Arial"/>
          <w:szCs w:val="18"/>
          <w:lang w:val="en-GB"/>
        </w:rPr>
        <w:fldChar w:fldCharType="begin" w:fldLock="1"/>
      </w:r>
      <w:r w:rsidR="00B62E7B" w:rsidRPr="00F167F3">
        <w:rPr>
          <w:rFonts w:cs="Arial"/>
          <w:szCs w:val="18"/>
          <w:lang w:val="en-GB"/>
        </w:rPr>
        <w:instrText>ADDIN CSL_CITATION {"citationItems":[{"id":"ITEM-1","itemData":{"DOI":"10.2136/sssabookser5.3.c38","ISBN":"978-0-89118-866-7","author":[{"dropping-particle":"","family":"Mulvaney","given":"R L","non-dropping-particle":"","parse-names":false,"suffix":""}],"collection-title":"SSSA Book Series SV  - 5.3","container-title":"Methods of Soil Analysis Part 3—Chemical Methods","id":"ITEM-1","issued":{"date-parts":[["1996"]]},"language":"English","page":"1123-1184","publisher":"Soil Science Society of America, American Society of Agronomy","publisher-place":"Madison, WI","title":"Nitrogen—Inorganic Forms","type":"chapter"},"uris":["http://www.mendeley.com/documents/?uuid=82d8799d-6882-4442-8160-e77a69555529"]}],"mendeley":{"formattedCitation":"(Mulvaney, 1996)","plainTextFormattedCitation":"(Mulvaney, 1996)","previouslyFormattedCitation":"(Mulvaney, 1996)"},"properties":{"noteIndex":0},"schema":"https://github.com/citation-style-language/schema/raw/master/csl-citation.json"}</w:instrText>
      </w:r>
      <w:r w:rsidR="00B62E7B" w:rsidRPr="00F167F3">
        <w:rPr>
          <w:rFonts w:cs="Arial"/>
          <w:szCs w:val="18"/>
          <w:lang w:val="en-GB"/>
        </w:rPr>
        <w:fldChar w:fldCharType="separate"/>
      </w:r>
      <w:r w:rsidR="00B62E7B" w:rsidRPr="00F167F3">
        <w:rPr>
          <w:rFonts w:cs="Arial"/>
          <w:noProof/>
          <w:szCs w:val="18"/>
          <w:lang w:val="en-GB"/>
        </w:rPr>
        <w:t>(Mulvaney, 1996)</w:t>
      </w:r>
      <w:r w:rsidR="00B62E7B" w:rsidRPr="00F167F3">
        <w:rPr>
          <w:rFonts w:cs="Arial"/>
          <w:szCs w:val="18"/>
          <w:lang w:val="en-GB"/>
        </w:rPr>
        <w:fldChar w:fldCharType="end"/>
      </w:r>
      <w:r w:rsidR="00B62E7B" w:rsidRPr="00F167F3">
        <w:rPr>
          <w:rFonts w:cs="Arial"/>
          <w:szCs w:val="18"/>
          <w:lang w:val="en-GB"/>
        </w:rPr>
        <w:t xml:space="preserve">. </w:t>
      </w:r>
      <w:r w:rsidRPr="00F167F3">
        <w:rPr>
          <w:rFonts w:cs="Arial"/>
          <w:szCs w:val="18"/>
          <w:lang w:val="en-GB"/>
        </w:rPr>
        <w:t xml:space="preserve">Nitrite, nitrate and sulphate ions quantification were carried out by anionic chromatography in a Dionex ICS 900 equipped with an IonPac AS22 column. The abundance of sulphur-oxidizing bacteria (SOB) and ammonia-oxidizing bacteria(AOB) was verified in a serial tenfold dilution of compost samples at the beginning and end of the assay by the plate count method in agar plates with sodium thiosulphate 10 g/L for SOB and ammonium </w:t>
      </w:r>
      <w:r w:rsidR="00352255" w:rsidRPr="00F167F3">
        <w:rPr>
          <w:rFonts w:cs="Arial"/>
          <w:szCs w:val="18"/>
          <w:lang w:val="en-GB"/>
        </w:rPr>
        <w:t>sulphate</w:t>
      </w:r>
      <w:r w:rsidRPr="00F167F3">
        <w:rPr>
          <w:rFonts w:cs="Arial"/>
          <w:szCs w:val="18"/>
          <w:lang w:val="en-GB"/>
        </w:rPr>
        <w:t xml:space="preserve"> 0.5 g/L for AOB </w:t>
      </w:r>
      <w:r w:rsidR="00B62E7B" w:rsidRPr="00F167F3">
        <w:rPr>
          <w:rFonts w:cs="Arial"/>
          <w:szCs w:val="18"/>
          <w:lang w:val="en-GB"/>
        </w:rPr>
        <w:fldChar w:fldCharType="begin" w:fldLock="1"/>
      </w:r>
      <w:r w:rsidR="001B2AD1">
        <w:rPr>
          <w:rFonts w:cs="Arial"/>
          <w:szCs w:val="18"/>
          <w:lang w:val="en-GB"/>
        </w:rPr>
        <w:instrText>ADDIN CSL_CITATION {"citationItems":[{"id":"ITEM-1","itemData":{"DOI":"10.1023/A:1008949821236","ISSN":"1573-0972","abstract":"16S rRNA-targeted oligonucleotide probes for eubacteria (EUB338), ammonium-oxidizing bacteria (Nsm156) and nitrite-oxidizing bacteria (Nb1000) were used for the rapid detection of nitrifying bacteria in the activated sludge of a pilot nitrifying reactor by whole-cell, fluorescent in situ hybridization (FISH). Emission scanning and synchronous scanning fluorescence spectrometry were used to measure the hybridization. The binding of the probes at a temperature significantly lower than the melting temperature of the hybrids was conventionally considered as non-specific. Total binding of the probes at a temperature significantly higher than the melting temperature of the hybrids was conventionally considered as the sum of non-specific and specific binding (hybridization). Non-specific binding of the oligonucleotide probes with a biomass of activated sludge was 37% of the total binding of the EUB338 probe, 54% of the total binding of the Nsm156 probe, and 69% of the total binding of the Nb1000 probe. The ratio of the specific binding of the Nsm156 and Nb1000 probes was 2.3:1. The ratio of the numbers of ammonium-oxidizing bacteria to nitrite-oxidizing bacteria, determined by microbiological methods, was 2.4:1. Measuring fluorescent in situ hybridization by fluorescence spectrometry appears to be a practical tool for monitoring the microbial communities that contain nitrifying bacteria. However, a method that accounts for the non-specific binding of the probes more easily and reliably should be developed for practical application.","author":[{"dropping-particle":"","family":"Kim","given":"In S","non-dropping-particle":"","parse-names":false,"suffix":""},{"dropping-particle":"","family":"Ivanov","given":"Volodymyr N","non-dropping-particle":"","parse-names":false,"suffix":""}],"container-title":"World Journal of Microbiology and Biotechnology","id":"ITEM-1","issue":"5","issued":{"date-parts":[["2000"]]},"page":"425-430","title":"Detection of nitrifying bacteria in activated sludge by fluorescent in situ hybridization and fluorescence spectrometry","type":"article-journal","volume":"16"},"uris":["http://www.mendeley.com/documents/?uuid=7e1503c9-d5f3-41ac-8d0e-4a90b5c272a0"]},{"id":"ITEM-2","itemData":{"DOI":"10.1080/10473289.2002.10470871","ISBN":"1047-3289","ISSN":"21622906","PMID":"12540044","abstract":"Simultaneous removal of NH3 and H2S was investigated using two types of biofilters-one packed with wood chips and the other with granular activated carbon (GAC). Experimental tests and measurements included analyses of removal efficiency (RE), metabolic products, and results of long-term operation (around 240 days). The REs for NH3 and H2S were 92 and 99.9%, respectively, before deactivation. After deactivation, the RE for NH3 and H2S were decreased to 30-50% and 75%, respectively. The activity of nitrifying bacteria was inhibited by high concentrations of H2S (over 200 ppm) but recovered gradually after H2S addition was ceased. However, the Thiobacillus thioparus as sulfur oxidizing bacteria did not show inhibition at the NH3 concentration under 150-ppm conditions. The deactivation of the biofilter was caused by metabolic products [elemental sulfur and (NH,),SO,] accumulating on the packing materials during the extended operation. The removal capacities for NH3 and H2S were 6.0-8.0 and 45-75 mg N, S/L/hr, respectively.","author":[{"dropping-particle":"","family":"Kim","given":"H. S.","non-dropping-particle":"","parse-names":false,"suffix":""},{"dropping-particle":"","family":"Kim","given":"Y J","non-dropping-particle":"","parse-names":false,"suffix":""},{"dropping-particle":"","family":"Chung","given":"J S","non-dropping-particle":"","parse-names":false,"suffix":""},{"dropping-particle":"","family":"Xie","given":"Q","non-dropping-particle":"","parse-names":false,"suffix":""}],"container-title":"Journal of the Air &amp; Waste Management Association","id":"ITEM-2","issue":"12","issued":{"date-parts":[["2002"]]},"page":"1389-1398","title":"Long-term operation of a biofilter for simultaneous removal of H2S and NH3","type":"article-journal","volume":"52"},"uris":["http://www.mendeley.com/documents/?uuid=e5a5b31c-ee91-4dc7-a990-fdedec2f974b"]}],"mendeley":{"formattedCitation":"(H. S. Kim et al., 2002; I. S. Kim &amp; Ivanov, 2000)","manualFormatting":"(Kim et al., 2002; Kim &amp; Ivanov, 2000)","plainTextFormattedCitation":"(H. S. Kim et al., 2002; I. S. Kim &amp; Ivanov, 2000)","previouslyFormattedCitation":"(H. S. Kim et al., 2002; I. S. Kim &amp; Ivanov, 2000)"},"properties":{"noteIndex":0},"schema":"https://github.com/citation-style-language/schema/raw/master/csl-citation.json"}</w:instrText>
      </w:r>
      <w:r w:rsidR="00B62E7B" w:rsidRPr="00F167F3">
        <w:rPr>
          <w:rFonts w:cs="Arial"/>
          <w:szCs w:val="18"/>
          <w:lang w:val="en-GB"/>
        </w:rPr>
        <w:fldChar w:fldCharType="separate"/>
      </w:r>
      <w:r w:rsidR="00BD1DE9" w:rsidRPr="00BD1DE9">
        <w:rPr>
          <w:rFonts w:cs="Arial"/>
          <w:noProof/>
          <w:szCs w:val="18"/>
          <w:lang w:val="en-GB"/>
        </w:rPr>
        <w:t>(Kim et al., 2002; Kim &amp; Ivanov, 2000)</w:t>
      </w:r>
      <w:r w:rsidR="00B62E7B" w:rsidRPr="00F167F3">
        <w:rPr>
          <w:rFonts w:cs="Arial"/>
          <w:szCs w:val="18"/>
          <w:lang w:val="en-GB"/>
        </w:rPr>
        <w:fldChar w:fldCharType="end"/>
      </w:r>
      <w:r w:rsidR="00794EC7" w:rsidRPr="00F167F3">
        <w:rPr>
          <w:rFonts w:cs="Arial"/>
          <w:szCs w:val="18"/>
          <w:lang w:val="en-GB"/>
        </w:rPr>
        <w:t>.</w:t>
      </w:r>
    </w:p>
    <w:p w14:paraId="24E7DF53" w14:textId="3064EE1D" w:rsidR="004E44A5" w:rsidRPr="00F167F3" w:rsidRDefault="004E44A5" w:rsidP="001A2632">
      <w:pPr>
        <w:pStyle w:val="CETHeading1"/>
        <w:rPr>
          <w:lang w:val="en-GB"/>
        </w:rPr>
      </w:pPr>
      <w:r w:rsidRPr="00F167F3">
        <w:rPr>
          <w:lang w:val="en-GB"/>
        </w:rPr>
        <w:lastRenderedPageBreak/>
        <w:t>Results and discuss</w:t>
      </w:r>
    </w:p>
    <w:p w14:paraId="168257D3" w14:textId="77777777" w:rsidR="001B2AD1" w:rsidRPr="00F167F3" w:rsidRDefault="001B2AD1" w:rsidP="001B2AD1">
      <w:pPr>
        <w:pStyle w:val="CETCaption"/>
        <w:rPr>
          <w:lang w:eastAsia="es-419"/>
        </w:rPr>
      </w:pPr>
      <w:r w:rsidRPr="00F167F3">
        <w:rPr>
          <w:noProof/>
          <w:lang w:eastAsia="es-419"/>
        </w:rPr>
        <w:drawing>
          <wp:inline distT="0" distB="0" distL="0" distR="0" wp14:anchorId="5EF9F05F" wp14:editId="35876466">
            <wp:extent cx="5574542" cy="1368000"/>
            <wp:effectExtent l="0" t="0" r="7620" b="3810"/>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4542" cy="1368000"/>
                    </a:xfrm>
                    <a:prstGeom prst="rect">
                      <a:avLst/>
                    </a:prstGeom>
                    <a:noFill/>
                  </pic:spPr>
                </pic:pic>
              </a:graphicData>
            </a:graphic>
          </wp:inline>
        </w:drawing>
      </w:r>
      <w:r w:rsidRPr="00F167F3">
        <w:rPr>
          <w:lang w:eastAsia="es-419"/>
        </w:rPr>
        <w:t xml:space="preserve"> </w:t>
      </w:r>
    </w:p>
    <w:p w14:paraId="216FF440" w14:textId="1E770FCD" w:rsidR="001B2AD1" w:rsidRPr="00F167F3" w:rsidRDefault="001B2AD1" w:rsidP="001B2AD1">
      <w:pPr>
        <w:pStyle w:val="CETCaption"/>
        <w:rPr>
          <w:rFonts w:ascii="Times New Roman" w:hAnsi="Times New Roman"/>
          <w:sz w:val="24"/>
          <w:szCs w:val="24"/>
          <w:lang w:eastAsia="es-419"/>
        </w:rPr>
      </w:pPr>
      <w:r w:rsidRPr="00F167F3">
        <w:t>Figure 2. Biofiltration of (a) H</w:t>
      </w:r>
      <w:r w:rsidRPr="00F167F3">
        <w:rPr>
          <w:vertAlign w:val="subscript"/>
        </w:rPr>
        <w:t>2</w:t>
      </w:r>
      <w:r w:rsidRPr="00F167F3">
        <w:t>S and (b) NH</w:t>
      </w:r>
      <w:r w:rsidRPr="00F167F3">
        <w:rPr>
          <w:vertAlign w:val="subscript"/>
        </w:rPr>
        <w:t>3</w:t>
      </w:r>
      <w:r w:rsidRPr="00F167F3">
        <w:t xml:space="preserve"> under transitory conditions of gas concentration. Black lines represent the removal efficiency (%ER) </w:t>
      </w:r>
      <w:r w:rsidRPr="00F167F3">
        <w:rPr>
          <w:iCs/>
        </w:rPr>
        <w:t>of inoculated</w:t>
      </w:r>
      <w:r>
        <w:rPr>
          <w:iCs/>
        </w:rPr>
        <w:t xml:space="preserve"> (Inoc) </w:t>
      </w:r>
      <w:r w:rsidRPr="00F167F3">
        <w:rPr>
          <w:iCs/>
        </w:rPr>
        <w:t>and not inoculated biofilters</w:t>
      </w:r>
      <w:r>
        <w:rPr>
          <w:iCs/>
        </w:rPr>
        <w:t xml:space="preserve"> (No inoc)</w:t>
      </w:r>
      <w:r w:rsidRPr="00F167F3">
        <w:t>. The continuous blue line indicates the inlet gas concentration. Dotted red vertical lines indicate the change in the type of transient condition applied. From day 25 to day 30 there was a stabilisation period at low gas concentration after a biofilter bed washing.</w:t>
      </w:r>
    </w:p>
    <w:p w14:paraId="47355464" w14:textId="18669AC4" w:rsidR="000E4E0C" w:rsidRDefault="00E560CD" w:rsidP="004E44A5">
      <w:pPr>
        <w:pStyle w:val="CETBodytext"/>
        <w:rPr>
          <w:rFonts w:cs="Arial"/>
          <w:szCs w:val="18"/>
          <w:lang w:val="en-GB"/>
        </w:rPr>
      </w:pPr>
      <w:r w:rsidRPr="00F167F3">
        <w:rPr>
          <w:rFonts w:cs="Arial"/>
          <w:szCs w:val="18"/>
          <w:lang w:val="en-GB"/>
        </w:rPr>
        <w:t>The removal efficiency for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was 100% in both biofilters during the stage corresponding to the rainy season (Figure 2). However, the removal efficiency of NH</w:t>
      </w:r>
      <w:r w:rsidRPr="00F167F3">
        <w:rPr>
          <w:rFonts w:cs="Arial"/>
          <w:szCs w:val="18"/>
          <w:vertAlign w:val="subscript"/>
          <w:lang w:val="en-GB"/>
        </w:rPr>
        <w:t>3</w:t>
      </w:r>
      <w:r w:rsidRPr="00F167F3">
        <w:rPr>
          <w:rFonts w:cs="Arial"/>
          <w:szCs w:val="18"/>
          <w:lang w:val="en-GB"/>
        </w:rPr>
        <w:t xml:space="preserve"> decreased and there was not a significant increase in the nitrate concentration after 21 days of operation at a low concentration of gases (Figure 3d). Besides, the sulphate concentration in the lower section of both biofilters decreased despite the reduction in pH, indicating that H</w:t>
      </w:r>
      <w:r w:rsidRPr="00F167F3">
        <w:rPr>
          <w:rFonts w:cs="Arial"/>
          <w:szCs w:val="18"/>
          <w:vertAlign w:val="subscript"/>
          <w:lang w:val="en-GB"/>
        </w:rPr>
        <w:t>2</w:t>
      </w:r>
      <w:r w:rsidRPr="00F167F3">
        <w:rPr>
          <w:rFonts w:cs="Arial"/>
          <w:szCs w:val="18"/>
          <w:lang w:val="en-GB"/>
        </w:rPr>
        <w:t>S was possibly partially oxidised to elemental sulphur (Figure 3a, b). These results suggested that the biological oxidation of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was probably affected by the high concentration of sulphate and </w:t>
      </w:r>
      <w:r w:rsidR="00486ACD" w:rsidRPr="00F167F3">
        <w:rPr>
          <w:rFonts w:cs="Arial"/>
          <w:szCs w:val="18"/>
          <w:lang w:val="en-GB"/>
        </w:rPr>
        <w:t xml:space="preserve">ammonium </w:t>
      </w:r>
      <w:r w:rsidR="00486ACD">
        <w:rPr>
          <w:rFonts w:cs="Arial"/>
          <w:color w:val="000000"/>
          <w:szCs w:val="18"/>
        </w:rPr>
        <w:t>accumulated</w:t>
      </w:r>
      <w:r w:rsidR="00486ACD" w:rsidRPr="00486ACD">
        <w:rPr>
          <w:rFonts w:cs="Arial"/>
          <w:color w:val="000000" w:themeColor="text1"/>
          <w:szCs w:val="18"/>
        </w:rPr>
        <w:t xml:space="preserve"> in the bed from the previous test</w:t>
      </w:r>
      <w:r w:rsidRPr="00F167F3">
        <w:rPr>
          <w:rFonts w:cs="Arial"/>
          <w:szCs w:val="18"/>
          <w:lang w:val="en-GB"/>
        </w:rPr>
        <w:t>. Therefore, each section of the biofilters was washe</w:t>
      </w:r>
      <w:r w:rsidR="00794EC7" w:rsidRPr="00F167F3">
        <w:rPr>
          <w:rFonts w:cs="Arial"/>
          <w:szCs w:val="18"/>
          <w:lang w:val="en-GB"/>
        </w:rPr>
        <w:t>d</w:t>
      </w:r>
      <w:r w:rsidRPr="00F167F3">
        <w:rPr>
          <w:rFonts w:cs="Arial"/>
          <w:szCs w:val="18"/>
          <w:lang w:val="en-GB"/>
        </w:rPr>
        <w:t xml:space="preserve"> with water to reduce the concentration of accumulated products</w:t>
      </w:r>
      <w:r w:rsidR="00EC3962" w:rsidRPr="00F167F3">
        <w:rPr>
          <w:rFonts w:cs="Arial"/>
          <w:szCs w:val="18"/>
          <w:lang w:val="en-GB"/>
        </w:rPr>
        <w:t>.</w:t>
      </w:r>
    </w:p>
    <w:p w14:paraId="334C09ED" w14:textId="77777777" w:rsidR="001B2AD1" w:rsidRPr="00F167F3" w:rsidRDefault="001B2AD1" w:rsidP="004E44A5">
      <w:pPr>
        <w:pStyle w:val="CETBodytext"/>
        <w:rPr>
          <w:lang w:val="en-GB"/>
        </w:rPr>
      </w:pPr>
    </w:p>
    <w:p w14:paraId="4C8AB21E" w14:textId="58A5F2CE" w:rsidR="00EC3962" w:rsidRDefault="00794EC7" w:rsidP="00EC3962">
      <w:pPr>
        <w:pStyle w:val="CETBodytext"/>
        <w:rPr>
          <w:rFonts w:cs="Arial"/>
          <w:szCs w:val="18"/>
          <w:lang w:val="en-GB"/>
        </w:rPr>
      </w:pPr>
      <w:r w:rsidRPr="00F167F3">
        <w:rPr>
          <w:rFonts w:cs="Arial"/>
          <w:szCs w:val="18"/>
          <w:lang w:val="en-GB"/>
        </w:rPr>
        <w:t>After washing the biofilter beds, a low and constant gas concentration (stabili</w:t>
      </w:r>
      <w:r w:rsidR="00C51C7D" w:rsidRPr="00F167F3">
        <w:rPr>
          <w:rFonts w:cs="Arial"/>
          <w:szCs w:val="18"/>
          <w:lang w:val="en-GB"/>
        </w:rPr>
        <w:t>s</w:t>
      </w:r>
      <w:r w:rsidRPr="00F167F3">
        <w:rPr>
          <w:rFonts w:cs="Arial"/>
          <w:szCs w:val="18"/>
          <w:lang w:val="en-GB"/>
        </w:rPr>
        <w:t xml:space="preserve">ation) was applied. In this stage, %RE was 100% for both gases, while nitrate concentration increased significantly, as well as sulphate concentration, in the low and central sections of both biofilters (Figure 3). These results suggest that the washing allowed the recovery of </w:t>
      </w:r>
      <w:r w:rsidR="00FB72C6" w:rsidRPr="00F167F3">
        <w:rPr>
          <w:rFonts w:cs="Arial"/>
          <w:szCs w:val="18"/>
          <w:lang w:val="en-GB"/>
        </w:rPr>
        <w:t xml:space="preserve">the </w:t>
      </w:r>
      <w:r w:rsidRPr="00F167F3">
        <w:rPr>
          <w:rFonts w:cs="Arial"/>
          <w:szCs w:val="18"/>
          <w:lang w:val="en-GB"/>
        </w:rPr>
        <w:t>microbial activity.</w:t>
      </w:r>
    </w:p>
    <w:p w14:paraId="71609FAD" w14:textId="77777777" w:rsidR="001B2AD1" w:rsidRDefault="001B2AD1" w:rsidP="00EC3962">
      <w:pPr>
        <w:pStyle w:val="CETBodytext"/>
        <w:rPr>
          <w:rFonts w:cs="Arial"/>
          <w:szCs w:val="18"/>
          <w:lang w:val="en-GB"/>
        </w:rPr>
      </w:pPr>
    </w:p>
    <w:p w14:paraId="3524BC6D" w14:textId="569CFBCE" w:rsidR="001B2AD1" w:rsidRDefault="001B2AD1" w:rsidP="00EC3962">
      <w:pPr>
        <w:pStyle w:val="CETBodytext"/>
        <w:rPr>
          <w:rFonts w:cs="Arial"/>
          <w:color w:val="000000"/>
          <w:szCs w:val="18"/>
        </w:rPr>
      </w:pPr>
      <w:r w:rsidRPr="00F167F3">
        <w:rPr>
          <w:rFonts w:cs="Arial"/>
          <w:noProof/>
          <w:szCs w:val="18"/>
          <w:lang w:val="en-GB"/>
        </w:rPr>
        <w:drawing>
          <wp:inline distT="0" distB="0" distL="0" distR="0" wp14:anchorId="625037A8" wp14:editId="3A7412F4">
            <wp:extent cx="4449600" cy="2340000"/>
            <wp:effectExtent l="0" t="0" r="8255" b="3175"/>
            <wp:docPr id="1" name="Imagen 1" descr="Gráf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600" cy="2340000"/>
                    </a:xfrm>
                    <a:prstGeom prst="rect">
                      <a:avLst/>
                    </a:prstGeom>
                    <a:noFill/>
                  </pic:spPr>
                </pic:pic>
              </a:graphicData>
            </a:graphic>
          </wp:inline>
        </w:drawing>
      </w:r>
    </w:p>
    <w:p w14:paraId="5F7504F8" w14:textId="3BC4FF37" w:rsidR="001B2AD1" w:rsidRDefault="001B2AD1" w:rsidP="001B2AD1">
      <w:pPr>
        <w:pStyle w:val="CETCaption"/>
        <w:rPr>
          <w:rFonts w:cs="Arial"/>
          <w:color w:val="000000"/>
        </w:rPr>
      </w:pPr>
      <w:r w:rsidRPr="00F167F3">
        <w:t>Figure 3. Monitoring of H</w:t>
      </w:r>
      <w:r w:rsidRPr="00F167F3">
        <w:rPr>
          <w:vertAlign w:val="subscript"/>
        </w:rPr>
        <w:t>2</w:t>
      </w:r>
      <w:r w:rsidRPr="00F167F3">
        <w:t>S and NH</w:t>
      </w:r>
      <w:r w:rsidRPr="00F167F3">
        <w:rPr>
          <w:vertAlign w:val="subscript"/>
        </w:rPr>
        <w:t>3</w:t>
      </w:r>
      <w:r w:rsidRPr="00F167F3">
        <w:t xml:space="preserve"> elimination products in upper, central and lower sections of uninoculated (NoInoc) and inoculated (Inoc) biofilters. (a) pH variation; (b) concentration of produced sulphate; (c) accumulated ammonium concentration; (d) concentration of produced nitrate. RS, Rainy season; Washing: sample was taken after bed washing; Stab, stabilisation stage; Trans, transition stage; and DS, dry season.</w:t>
      </w:r>
    </w:p>
    <w:p w14:paraId="75EB39D0" w14:textId="2B81FF1D" w:rsidR="00486ACD" w:rsidRPr="00F167F3" w:rsidRDefault="00486ACD" w:rsidP="00EC3962">
      <w:pPr>
        <w:pStyle w:val="CETBodytext"/>
        <w:rPr>
          <w:rFonts w:cs="Arial"/>
          <w:szCs w:val="18"/>
          <w:lang w:val="en-GB"/>
        </w:rPr>
      </w:pPr>
      <w:r>
        <w:rPr>
          <w:rFonts w:cs="Arial"/>
          <w:color w:val="000000"/>
          <w:szCs w:val="18"/>
        </w:rPr>
        <w:t xml:space="preserve">The removal efficiency was 100% </w:t>
      </w:r>
      <w:r w:rsidRPr="00486ACD">
        <w:rPr>
          <w:rFonts w:cs="Arial"/>
          <w:color w:val="000000"/>
          <w:szCs w:val="18"/>
        </w:rPr>
        <w:t>for H</w:t>
      </w:r>
      <w:r w:rsidRPr="00486ACD">
        <w:rPr>
          <w:rFonts w:cs="Arial"/>
          <w:color w:val="000000"/>
          <w:szCs w:val="18"/>
          <w:vertAlign w:val="subscript"/>
        </w:rPr>
        <w:t>2</w:t>
      </w:r>
      <w:r w:rsidRPr="00486ACD">
        <w:rPr>
          <w:rFonts w:cs="Arial"/>
          <w:color w:val="000000"/>
          <w:szCs w:val="18"/>
        </w:rPr>
        <w:t>S and NH</w:t>
      </w:r>
      <w:r w:rsidRPr="00486ACD">
        <w:rPr>
          <w:rFonts w:cs="Arial"/>
          <w:color w:val="000000"/>
          <w:szCs w:val="18"/>
          <w:vertAlign w:val="subscript"/>
        </w:rPr>
        <w:t>3</w:t>
      </w:r>
      <w:r>
        <w:rPr>
          <w:rFonts w:cs="Arial"/>
          <w:color w:val="000000"/>
          <w:szCs w:val="18"/>
        </w:rPr>
        <w:t xml:space="preserve"> in both biofilters during the transition stage. However, the sulphate concentration again decreased along the inoculated biofilter and in the central section of the uninoculated biofilter (Figure 3b). This decrease could be caused by bacterial sulphate assimilation to </w:t>
      </w:r>
      <w:r>
        <w:rPr>
          <w:rFonts w:cs="Arial"/>
          <w:color w:val="000000"/>
          <w:szCs w:val="18"/>
        </w:rPr>
        <w:lastRenderedPageBreak/>
        <w:t xml:space="preserve">synthesize organic sulphur compounds such as methionine and cysteine </w:t>
      </w:r>
      <w:r w:rsidR="00BD1DE9">
        <w:rPr>
          <w:rFonts w:cs="Arial"/>
          <w:color w:val="000000"/>
          <w:szCs w:val="18"/>
        </w:rPr>
        <w:fldChar w:fldCharType="begin" w:fldLock="1"/>
      </w:r>
      <w:r w:rsidR="00BD1DE9">
        <w:rPr>
          <w:rFonts w:cs="Arial"/>
          <w:color w:val="000000"/>
          <w:szCs w:val="18"/>
        </w:rPr>
        <w:instrText>ADDIN CSL_CITATION {"citationItems":[{"id":"ITEM-1","itemData":{"DOI":"10.1007/s00253-018-9246-4","ISSN":"1432-0614","abstract":"To all organisms, sulfur is an essential and important element. The assimilation of inorganic sulfur molecules such as sulfate and thiosulfate into organic sulfur compounds such as l-cysteine and l-methionine (essential amino acid for human) is largely contributed by microorganisms. Of these, special attention is given to thiosulfate (S2O32−) assimilation, because thiosulfate relative to often utilized sulfate (SO42−) as a sulfur source is proposed to be more advantageous in microbial growth and biotechnological applications like l-cysteine fermentative overproduction toward industrial manufacturing. In Escherichia coli as well as other many bacteria, the thiosulfate assimilation pathway is known to depend on O-acetyl-l-serine sulfhydrylase B. Recently, another yet-unidentified CysM-independent thiosulfate pathway was found in E. coli. This pathway is expected to consist of the initial part of the thiosulfate to sulfite (SO32−) conversion, and the latter part might be shared with the final part of the known sulfate assimilation pathway [sulfite → sulfide (S2−) → l-cysteine]. The catalysis of thiosulfate to sulfite is at least partly mediated by thiosulfate sulfurtransferase (GlpE). In this mini-review, we introduce updated comprehensive information about sulfur assimilation in microorganisms, including this topic. Also, we introduce recent advances of the application study about l-cysteine overproduction, including the GlpE overexpression.","author":[{"dropping-particle":"","family":"Kawano","given":"Yusuke","non-dropping-particle":"","parse-names":false,"suffix":""},{"dropping-particle":"","family":"Suzuki","given":"Kengo","non-dropping-particle":"","parse-names":false,"suffix":""},{"dropping-particle":"","family":"Ohtsu","given":"Iwao","non-dropping-particle":"","parse-names":false,"suffix":""}],"container-title":"Applied Microbiology and Biotechnology","id":"ITEM-1","issue":"19","issued":{"date-parts":[["2018"]]},"page":"8203-8211","title":"Current understanding of sulfur assimilation metabolism to biosynthesize l-cysteine and recent progress of its fermentative overproduction in microorganisms","type":"article-journal","volume":"102"},"uris":["http://www.mendeley.com/documents/?uuid=e0c27e2b-3750-4afa-a6d1-a3efe2d05124"]}],"mendeley":{"formattedCitation":"(Kawano et al., 2018)","plainTextFormattedCitation":"(Kawano et al., 2018)","previouslyFormattedCitation":"(Kawano et al., 2018)"},"properties":{"noteIndex":0},"schema":"https://github.com/citation-style-language/schema/raw/master/csl-citation.json"}</w:instrText>
      </w:r>
      <w:r w:rsidR="00BD1DE9">
        <w:rPr>
          <w:rFonts w:cs="Arial"/>
          <w:color w:val="000000"/>
          <w:szCs w:val="18"/>
        </w:rPr>
        <w:fldChar w:fldCharType="separate"/>
      </w:r>
      <w:r w:rsidR="00BD1DE9" w:rsidRPr="00BD1DE9">
        <w:rPr>
          <w:rFonts w:cs="Arial"/>
          <w:noProof/>
          <w:color w:val="000000"/>
          <w:szCs w:val="18"/>
        </w:rPr>
        <w:t>(Kawano et al., 2018)</w:t>
      </w:r>
      <w:r w:rsidR="00BD1DE9">
        <w:rPr>
          <w:rFonts w:cs="Arial"/>
          <w:color w:val="000000"/>
          <w:szCs w:val="18"/>
        </w:rPr>
        <w:fldChar w:fldCharType="end"/>
      </w:r>
      <w:r>
        <w:rPr>
          <w:rFonts w:cs="Arial"/>
          <w:color w:val="000000"/>
          <w:szCs w:val="18"/>
        </w:rPr>
        <w:t>. The differences in the sulphate concentration in the biofilters could be associated with a different microbial community in the inoculated bed. On the other hand, the NH</w:t>
      </w:r>
      <w:r w:rsidRPr="001B2AD1">
        <w:rPr>
          <w:rFonts w:cs="Arial"/>
          <w:color w:val="000000"/>
          <w:szCs w:val="18"/>
          <w:vertAlign w:val="subscript"/>
        </w:rPr>
        <w:t>3</w:t>
      </w:r>
      <w:r w:rsidRPr="001B2AD1">
        <w:rPr>
          <w:rFonts w:cs="Arial"/>
          <w:color w:val="000000"/>
          <w:szCs w:val="18"/>
        </w:rPr>
        <w:t xml:space="preserve"> oxidation</w:t>
      </w:r>
      <w:r>
        <w:rPr>
          <w:rFonts w:cs="Arial"/>
          <w:color w:val="000000"/>
          <w:szCs w:val="18"/>
        </w:rPr>
        <w:t xml:space="preserve"> was similarly affected in both biofilters as nitrate concentration decreased even though ammonium concentration decreased and </w:t>
      </w:r>
      <w:r w:rsidRPr="001B2AD1">
        <w:rPr>
          <w:rFonts w:cs="Arial"/>
          <w:color w:val="000000"/>
          <w:szCs w:val="18"/>
        </w:rPr>
        <w:t>NH</w:t>
      </w:r>
      <w:r w:rsidRPr="001B2AD1">
        <w:rPr>
          <w:rFonts w:cs="Arial"/>
          <w:color w:val="000000"/>
          <w:szCs w:val="18"/>
          <w:vertAlign w:val="subscript"/>
        </w:rPr>
        <w:t>3</w:t>
      </w:r>
      <w:r w:rsidRPr="001B2AD1">
        <w:rPr>
          <w:rFonts w:cs="Arial"/>
          <w:color w:val="000000"/>
          <w:szCs w:val="18"/>
        </w:rPr>
        <w:t xml:space="preserve"> re</w:t>
      </w:r>
      <w:r>
        <w:rPr>
          <w:rFonts w:cs="Arial"/>
          <w:color w:val="000000"/>
          <w:szCs w:val="18"/>
        </w:rPr>
        <w:t xml:space="preserve">moval efficiency was 100%. This result indicates that nitrite and nitrate, produced by ammonia oxidation, were reduced to nitrogen or nitrous oxide, a situation that has been reported previously in </w:t>
      </w:r>
      <w:r w:rsidRPr="001B2AD1">
        <w:rPr>
          <w:rFonts w:cs="Arial"/>
          <w:color w:val="000000"/>
          <w:szCs w:val="18"/>
        </w:rPr>
        <w:t>NH</w:t>
      </w:r>
      <w:r w:rsidRPr="001B2AD1">
        <w:rPr>
          <w:rFonts w:cs="Arial"/>
          <w:color w:val="000000"/>
          <w:szCs w:val="18"/>
          <w:vertAlign w:val="subscript"/>
        </w:rPr>
        <w:t>3</w:t>
      </w:r>
      <w:r w:rsidRPr="001B2AD1">
        <w:rPr>
          <w:rFonts w:cs="Arial"/>
          <w:color w:val="000000"/>
          <w:szCs w:val="18"/>
        </w:rPr>
        <w:t xml:space="preserve"> b</w:t>
      </w:r>
      <w:r>
        <w:rPr>
          <w:rFonts w:cs="Arial"/>
          <w:color w:val="000000"/>
          <w:szCs w:val="18"/>
        </w:rPr>
        <w:t xml:space="preserve">iofiltration </w:t>
      </w:r>
      <w:r w:rsidR="00BD1DE9">
        <w:rPr>
          <w:rFonts w:cs="Arial"/>
          <w:color w:val="000000"/>
          <w:szCs w:val="18"/>
        </w:rPr>
        <w:fldChar w:fldCharType="begin" w:fldLock="1"/>
      </w:r>
      <w:r w:rsidR="00BD1DE9">
        <w:rPr>
          <w:rFonts w:cs="Arial"/>
          <w:color w:val="000000"/>
          <w:szCs w:val="18"/>
        </w:rPr>
        <w:instrText>ADDIN CSL_CITATION {"citationItems":[{"id":"ITEM-1","itemData":{"DOI":"10.1016/j.jhazmat.2014.01.058","ISSN":"18733336","PMID":"24641992","abstract":"We established a four-biofilter setup to examine the effects of moisture content (MC) on biofilter performance, including NH3 removal and N2O generation. We hypothesized that MC increase can improve NH3 removal, stimulate N2O generation and alter the composition and function of microbial communities. We found that NH3 removal efficiency was greatly improved when MC increased from 35 to 55%, but further increasing MC to 63% did not help much; while N2O concentration was low at 35-55% MC, but dramatically increased at 63% MC. Decreasing MC from 63 to 55% restored N2O concentration. Examination of amoA communities using T-RFLP and real-time qPCR showed that the composition and abundance of ammonia oxidizers were not significantly changed in a \"moisture disturbance-disturbance relief\" process in which MC was increased from 55 to 63% and then reduced to 55%. This observation supported the changes of NH3 removal efficiency. The composition of nosZ community was altered at 63% MC and then was recovered at 55% MC, which indicates resilience to moisture disturbance. The abundance of nosZ community was negatively correlated with moisture content in this process, and the decreased nosZ abundance at 63% MC explained the observation of increased N2O concentration at that condition. © 2014 Elsevier B.V.","author":[{"dropping-particle":"","family":"Yang","given":"Liangcheng","non-dropping-particle":"","parse-names":false,"suffix":""},{"dropping-particle":"","family":"Kent","given":"Angela D.","non-dropping-particle":"","parse-names":false,"suffix":""},{"dropping-particle":"","family":"Wang","given":"Xinlei","non-dropping-particle":"","parse-names":false,"suffix":""},{"dropping-particle":"","family":"Funk","given":"Ted L.","non-dropping-particle":"","parse-names":false,"suffix":""},{"dropping-particle":"","family":"Gates","given":"Richard S.","non-dropping-particle":"","parse-names":false,"suffix":""},{"dropping-particle":"","family":"Zhang","given":"Yuanhui","non-dropping-particle":"","parse-names":false,"suffix":""}],"container-title":"Journal of Hazardous Materials","id":"ITEM-1","issue":"2","issued":{"date-parts":[["2014"]]},"page":"292-301","publisher":"Elsevier B.V.","title":"Moisture effects on gas-phase biofilter ammonia removal efficiency, nitrous oxide generation, and microbial communities","type":"article-journal","volume":"271"},"uris":["http://www.mendeley.com/documents/?uuid=2284e3be-7807-4684-b2e1-1a5803c9abac"]}],"mendeley":{"formattedCitation":"(Yang et al., 2014)","plainTextFormattedCitation":"(Yang et al., 2014)","previouslyFormattedCitation":"(Yang et al., 2014)"},"properties":{"noteIndex":0},"schema":"https://github.com/citation-style-language/schema/raw/master/csl-citation.json"}</w:instrText>
      </w:r>
      <w:r w:rsidR="00BD1DE9">
        <w:rPr>
          <w:rFonts w:cs="Arial"/>
          <w:color w:val="000000"/>
          <w:szCs w:val="18"/>
        </w:rPr>
        <w:fldChar w:fldCharType="separate"/>
      </w:r>
      <w:r w:rsidR="00BD1DE9" w:rsidRPr="00BD1DE9">
        <w:rPr>
          <w:rFonts w:cs="Arial"/>
          <w:noProof/>
          <w:color w:val="000000"/>
          <w:szCs w:val="18"/>
        </w:rPr>
        <w:t>(Yang et al., 2014)</w:t>
      </w:r>
      <w:r w:rsidR="00BD1DE9">
        <w:rPr>
          <w:rFonts w:cs="Arial"/>
          <w:color w:val="000000"/>
          <w:szCs w:val="18"/>
        </w:rPr>
        <w:fldChar w:fldCharType="end"/>
      </w:r>
      <w:r>
        <w:rPr>
          <w:rFonts w:cs="Arial"/>
          <w:color w:val="000000"/>
          <w:szCs w:val="18"/>
        </w:rPr>
        <w:t xml:space="preserve">. These results suggest </w:t>
      </w:r>
      <w:r w:rsidRPr="001B2AD1">
        <w:rPr>
          <w:rFonts w:cs="Arial"/>
          <w:color w:val="000000"/>
          <w:szCs w:val="18"/>
        </w:rPr>
        <w:t>H</w:t>
      </w:r>
      <w:r w:rsidRPr="001B2AD1">
        <w:rPr>
          <w:rFonts w:cs="Arial"/>
          <w:color w:val="000000"/>
          <w:szCs w:val="18"/>
          <w:vertAlign w:val="subscript"/>
        </w:rPr>
        <w:t>2</w:t>
      </w:r>
      <w:r w:rsidRPr="001B2AD1">
        <w:rPr>
          <w:rFonts w:cs="Arial"/>
          <w:color w:val="000000"/>
          <w:szCs w:val="18"/>
        </w:rPr>
        <w:t>S and NH</w:t>
      </w:r>
      <w:r w:rsidRPr="001B2AD1">
        <w:rPr>
          <w:rFonts w:cs="Arial"/>
          <w:color w:val="000000"/>
          <w:szCs w:val="18"/>
          <w:vertAlign w:val="subscript"/>
        </w:rPr>
        <w:t>3</w:t>
      </w:r>
      <w:r w:rsidRPr="001B2AD1">
        <w:rPr>
          <w:rFonts w:cs="Arial"/>
          <w:color w:val="000000"/>
          <w:szCs w:val="18"/>
        </w:rPr>
        <w:t xml:space="preserve"> oxidation</w:t>
      </w:r>
      <w:r>
        <w:rPr>
          <w:rFonts w:cs="Arial"/>
          <w:color w:val="000000"/>
          <w:szCs w:val="18"/>
        </w:rPr>
        <w:t xml:space="preserve"> in both biofilters was affected by the daily changes in gas concentration.</w:t>
      </w:r>
    </w:p>
    <w:p w14:paraId="55092611" w14:textId="77777777" w:rsidR="009514A3" w:rsidRPr="00F167F3" w:rsidRDefault="009514A3" w:rsidP="009514A3">
      <w:pPr>
        <w:pStyle w:val="CETBodytext"/>
        <w:rPr>
          <w:rFonts w:cs="Arial"/>
          <w:szCs w:val="18"/>
          <w:lang w:val="en-GB"/>
        </w:rPr>
      </w:pPr>
    </w:p>
    <w:p w14:paraId="320F18FB" w14:textId="30891C61" w:rsidR="009514A3" w:rsidRPr="00F167F3" w:rsidRDefault="009514A3" w:rsidP="009514A3">
      <w:pPr>
        <w:pStyle w:val="CETBodytext"/>
        <w:rPr>
          <w:szCs w:val="18"/>
          <w:lang w:val="en-GB"/>
        </w:rPr>
      </w:pPr>
      <w:r w:rsidRPr="00F167F3">
        <w:rPr>
          <w:rFonts w:cs="Arial"/>
          <w:szCs w:val="18"/>
          <w:lang w:val="en-GB"/>
        </w:rPr>
        <w:t>Finally, in the first weeks of the dry season, the removal efficiency remained high for both gases (</w:t>
      </w:r>
      <w:r w:rsidRPr="00F167F3">
        <w:rPr>
          <w:rFonts w:cs="Arial"/>
          <w:szCs w:val="18"/>
        </w:rPr>
        <w:t>&gt;98%)</w:t>
      </w:r>
      <w:r w:rsidRPr="00F167F3">
        <w:rPr>
          <w:rFonts w:cs="Arial"/>
          <w:szCs w:val="18"/>
          <w:lang w:val="en-GB"/>
        </w:rPr>
        <w:t>. However, the removal efficiency of the two biofilters gradually decreased when the gases concentration was increased at 7</w:t>
      </w:r>
      <w:r w:rsidRPr="00F167F3">
        <w:rPr>
          <w:rFonts w:cs="Arial"/>
          <w:szCs w:val="18"/>
        </w:rPr>
        <w:t>5 mg H</w:t>
      </w:r>
      <w:r w:rsidRPr="00F167F3">
        <w:rPr>
          <w:rFonts w:cs="Arial"/>
          <w:szCs w:val="18"/>
          <w:vertAlign w:val="subscript"/>
        </w:rPr>
        <w:t>2</w:t>
      </w:r>
      <w:r w:rsidRPr="00F167F3">
        <w:rPr>
          <w:rFonts w:cs="Arial"/>
          <w:szCs w:val="18"/>
        </w:rPr>
        <w:t>S/m</w:t>
      </w:r>
      <w:r w:rsidRPr="00F167F3">
        <w:rPr>
          <w:rFonts w:cs="Arial"/>
          <w:szCs w:val="18"/>
          <w:vertAlign w:val="superscript"/>
        </w:rPr>
        <w:t>3</w:t>
      </w:r>
      <w:r w:rsidRPr="00F167F3">
        <w:rPr>
          <w:rFonts w:cs="Arial"/>
          <w:szCs w:val="18"/>
        </w:rPr>
        <w:t xml:space="preserve"> and 5 mg NH</w:t>
      </w:r>
      <w:r w:rsidRPr="00F167F3">
        <w:rPr>
          <w:rFonts w:cs="Arial"/>
          <w:szCs w:val="18"/>
          <w:vertAlign w:val="subscript"/>
        </w:rPr>
        <w:t>3</w:t>
      </w:r>
      <w:r w:rsidRPr="00F167F3">
        <w:rPr>
          <w:rFonts w:cs="Arial"/>
          <w:szCs w:val="18"/>
        </w:rPr>
        <w:t>/m</w:t>
      </w:r>
      <w:r w:rsidRPr="00F167F3">
        <w:rPr>
          <w:rFonts w:cs="Arial"/>
          <w:szCs w:val="18"/>
          <w:vertAlign w:val="superscript"/>
        </w:rPr>
        <w:t xml:space="preserve">3 </w:t>
      </w:r>
      <w:r w:rsidRPr="00F167F3">
        <w:rPr>
          <w:rFonts w:cs="Arial"/>
          <w:szCs w:val="18"/>
          <w:lang w:val="en-GB"/>
        </w:rPr>
        <w:t>on day 51. Nevertheless, at the end of the evaluation, the inoculated biofilter showed higher removal of both gases than the uninoculated biofilter (Figure 2a). Also, sulphate concentration increased in the middle and upper sections of both biofilters but not in the lower one (Figure 3b), even though the reduction in pH suggested that the oxidation was taking place. On the other hand, nitrate concentration increased in the inoculated biofilter. However, its concentration was approximately 20 times lower than ammonium concentration (Figure 3c,d), indicating that nitrification was not the main pathway for NH</w:t>
      </w:r>
      <w:r w:rsidRPr="00F167F3">
        <w:rPr>
          <w:rFonts w:cs="Arial"/>
          <w:szCs w:val="18"/>
          <w:vertAlign w:val="subscript"/>
          <w:lang w:val="en-GB"/>
        </w:rPr>
        <w:t>3</w:t>
      </w:r>
      <w:r w:rsidRPr="00F167F3">
        <w:rPr>
          <w:rFonts w:cs="Arial"/>
          <w:szCs w:val="18"/>
          <w:lang w:val="en-GB"/>
        </w:rPr>
        <w:t xml:space="preserve"> removal but ammonium accumulation. </w:t>
      </w:r>
    </w:p>
    <w:p w14:paraId="16B69D1D" w14:textId="41661F44" w:rsidR="009514A3" w:rsidRPr="00F167F3" w:rsidRDefault="009514A3" w:rsidP="009514A3">
      <w:pPr>
        <w:pStyle w:val="CETBodytext"/>
        <w:spacing w:before="240"/>
        <w:rPr>
          <w:lang w:val="en-GB"/>
        </w:rPr>
      </w:pPr>
      <w:r w:rsidRPr="00F167F3">
        <w:rPr>
          <w:rFonts w:cs="Arial"/>
          <w:szCs w:val="18"/>
          <w:lang w:val="en-GB"/>
        </w:rPr>
        <w:t>The evaluation of bacterial abundance at the end of the assay showed a higher abundance of SOB and AOB in the inoculated biofilter, especially in the lower section (Figure 4), indicating the inoculum was able to adapt to the daily change in inlet gas concentration and could achieve H</w:t>
      </w:r>
      <w:r w:rsidRPr="00F167F3">
        <w:rPr>
          <w:rFonts w:cs="Arial"/>
          <w:szCs w:val="18"/>
          <w:vertAlign w:val="subscript"/>
          <w:lang w:val="en-GB"/>
        </w:rPr>
        <w:t>2</w:t>
      </w:r>
      <w:r w:rsidRPr="00F167F3">
        <w:rPr>
          <w:rFonts w:cs="Arial"/>
          <w:szCs w:val="18"/>
          <w:lang w:val="en-GB"/>
        </w:rPr>
        <w:t>S and NH</w:t>
      </w:r>
      <w:r w:rsidRPr="00F167F3">
        <w:rPr>
          <w:rFonts w:cs="Arial"/>
          <w:szCs w:val="18"/>
          <w:vertAlign w:val="subscript"/>
          <w:lang w:val="en-GB"/>
        </w:rPr>
        <w:t>3</w:t>
      </w:r>
      <w:r w:rsidRPr="00F167F3">
        <w:rPr>
          <w:rFonts w:cs="Arial"/>
          <w:szCs w:val="18"/>
          <w:lang w:val="en-GB"/>
        </w:rPr>
        <w:t xml:space="preserve"> oxidation</w:t>
      </w:r>
      <w:r w:rsidRPr="00F167F3">
        <w:rPr>
          <w:lang w:val="en-GB"/>
        </w:rPr>
        <w:t xml:space="preserve">. However, in the case of SOB, bacteria abundance decreased in the lower and central sections. </w:t>
      </w:r>
      <w:r w:rsidRPr="00F167F3">
        <w:rPr>
          <w:rFonts w:cs="Arial"/>
          <w:szCs w:val="18"/>
          <w:lang w:val="en-GB"/>
        </w:rPr>
        <w:t xml:space="preserve">This suggests a growth inhibition due to </w:t>
      </w:r>
      <w:r w:rsidRPr="00F167F3">
        <w:rPr>
          <w:lang w:val="en-GB"/>
        </w:rPr>
        <w:t>the high concentration of H</w:t>
      </w:r>
      <w:r w:rsidRPr="00F167F3">
        <w:rPr>
          <w:vertAlign w:val="subscript"/>
          <w:lang w:val="en-GB"/>
        </w:rPr>
        <w:t>2</w:t>
      </w:r>
      <w:r w:rsidRPr="00F167F3">
        <w:rPr>
          <w:lang w:val="en-GB"/>
        </w:rPr>
        <w:t xml:space="preserve">S at the end of the process. </w:t>
      </w:r>
      <w:r w:rsidRPr="00F167F3">
        <w:rPr>
          <w:lang w:val="en-GB"/>
        </w:rPr>
        <w:fldChar w:fldCharType="begin" w:fldLock="1"/>
      </w:r>
      <w:r w:rsidR="00BD1DE9">
        <w:rPr>
          <w:lang w:val="en-GB"/>
        </w:rPr>
        <w:instrText>ADDIN CSL_CITATION {"citationItems":[{"id":"ITEM-1","itemData":{"DOI":"10.1016/j.sjbs.2013.01.005","ISSN":"1319-562X","author":[{"dropping-particle":"","family":"Omri","given":"Ilhem","non-dropping-particle":"","parse-names":false,"suffix":""},{"dropping-particle":"","family":"Aouidi","given":"Fethia","non-dropping-particle":"","parse-names":false,"suffix":""},{"dropping-particle":"","family":"Bouallagui","given":"Hassib","non-dropping-particle":"","parse-names":false,"suffix":""},{"dropping-particle":"","family":"Godon","given":"Jean-jacques","non-dropping-particle":"","parse-names":false,"suffix":""},{"dropping-particle":"","family":"Hamdi","given":"Moktar","non-dropping-particle":"","parse-names":false,"suffix":""}],"container-title":"Saudi Journal of Biological Sciences","id":"ITEM-1","issued":{"date-parts":[["2013"]]},"page":"169-176","title":"Performance study of biofilter developed to treat H 2 S from wastewater odor","type":"article-journal"},"uris":["http://www.mendeley.com/documents/?uuid=21a3c3ad-daa6-45e8-8c61-84fa55b0776d"]}],"mendeley":{"formattedCitation":"(Omri et al., 2013)","manualFormatting":"Omri et al.(2013)","plainTextFormattedCitation":"(Omri et al., 2013)","previouslyFormattedCitation":"(Omri et al., 2013)"},"properties":{"noteIndex":0},"schema":"https://github.com/citation-style-language/schema/raw/master/csl-citation.json"}</w:instrText>
      </w:r>
      <w:r w:rsidRPr="00F167F3">
        <w:rPr>
          <w:lang w:val="en-GB"/>
        </w:rPr>
        <w:fldChar w:fldCharType="separate"/>
      </w:r>
      <w:r w:rsidRPr="00F167F3">
        <w:rPr>
          <w:noProof/>
          <w:lang w:val="en-GB"/>
        </w:rPr>
        <w:t xml:space="preserve">Omri </w:t>
      </w:r>
      <w:r w:rsidRPr="00F167F3">
        <w:rPr>
          <w:i/>
          <w:noProof/>
          <w:lang w:val="en-GB"/>
        </w:rPr>
        <w:t>et al.</w:t>
      </w:r>
      <w:r w:rsidRPr="00F167F3">
        <w:rPr>
          <w:noProof/>
          <w:lang w:val="en-GB"/>
        </w:rPr>
        <w:t>(2013)</w:t>
      </w:r>
      <w:r w:rsidRPr="00F167F3">
        <w:rPr>
          <w:lang w:val="en-GB"/>
        </w:rPr>
        <w:fldChar w:fldCharType="end"/>
      </w:r>
      <w:r w:rsidRPr="00F167F3">
        <w:rPr>
          <w:lang w:val="en-GB"/>
        </w:rPr>
        <w:t xml:space="preserve"> reported similar results in the biofiltration of gases emitted in a WWTP.</w:t>
      </w:r>
    </w:p>
    <w:p w14:paraId="181A6E39" w14:textId="77777777" w:rsidR="009514A3" w:rsidRPr="00F167F3" w:rsidRDefault="009514A3" w:rsidP="009514A3">
      <w:pPr>
        <w:pStyle w:val="CETBodytext"/>
        <w:spacing w:before="240"/>
        <w:rPr>
          <w:lang w:val="en-GB"/>
        </w:rPr>
      </w:pPr>
    </w:p>
    <w:p w14:paraId="152AFE59" w14:textId="5C25BA07" w:rsidR="00E0387F" w:rsidRPr="00F167F3" w:rsidRDefault="00FC6598" w:rsidP="009514A3">
      <w:pPr>
        <w:pStyle w:val="CETBodytext"/>
        <w:jc w:val="left"/>
        <w:rPr>
          <w:lang w:val="en-GB"/>
        </w:rPr>
      </w:pPr>
      <w:r w:rsidRPr="00F167F3">
        <w:rPr>
          <w:noProof/>
          <w:lang w:val="en-GB"/>
        </w:rPr>
        <w:drawing>
          <wp:inline distT="0" distB="0" distL="0" distR="0" wp14:anchorId="4041253A" wp14:editId="2FD5219B">
            <wp:extent cx="5493600" cy="126000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3600" cy="1260000"/>
                    </a:xfrm>
                    <a:prstGeom prst="rect">
                      <a:avLst/>
                    </a:prstGeom>
                    <a:noFill/>
                  </pic:spPr>
                </pic:pic>
              </a:graphicData>
            </a:graphic>
          </wp:inline>
        </w:drawing>
      </w:r>
    </w:p>
    <w:p w14:paraId="27659BA6" w14:textId="273E0A0D" w:rsidR="00C22450" w:rsidRPr="00F167F3" w:rsidRDefault="00794EC7" w:rsidP="0073084E">
      <w:pPr>
        <w:pStyle w:val="CETBodytext"/>
        <w:rPr>
          <w:rFonts w:cs="Arial"/>
          <w:i/>
          <w:iCs/>
          <w:szCs w:val="18"/>
          <w:lang w:val="en-GB"/>
        </w:rPr>
      </w:pPr>
      <w:r w:rsidRPr="00F167F3">
        <w:rPr>
          <w:rFonts w:cs="Arial"/>
          <w:i/>
          <w:iCs/>
          <w:szCs w:val="18"/>
          <w:lang w:val="en-GB"/>
        </w:rPr>
        <w:t>Figure 4. Bacterial abundance in upper, central and lower sections of uninoculated (NoInoc) and inoculated (Inoc) biofilters. (a) sulphur-oxidizing bacteria (SOB); (b)ammonia-oxidizing bacteria (AOB).</w:t>
      </w:r>
    </w:p>
    <w:p w14:paraId="353D6CFB" w14:textId="27F69D4B" w:rsidR="001A2632" w:rsidRPr="00F167F3" w:rsidRDefault="001A2632" w:rsidP="001A2632">
      <w:pPr>
        <w:pStyle w:val="CETHeading1"/>
        <w:rPr>
          <w:sz w:val="18"/>
          <w:szCs w:val="18"/>
          <w:lang w:val="en-GB"/>
        </w:rPr>
      </w:pPr>
      <w:r w:rsidRPr="00F167F3">
        <w:rPr>
          <w:lang w:val="en-GB"/>
        </w:rPr>
        <w:t>Conclusions</w:t>
      </w:r>
    </w:p>
    <w:p w14:paraId="3E196514" w14:textId="3E90A45A" w:rsidR="007C4DD7" w:rsidRPr="00F167F3" w:rsidRDefault="00794EC7" w:rsidP="009B70E6">
      <w:pPr>
        <w:rPr>
          <w:rFonts w:cs="Arial"/>
          <w:szCs w:val="18"/>
        </w:rPr>
      </w:pPr>
      <w:r w:rsidRPr="00F167F3">
        <w:rPr>
          <w:rFonts w:cs="Arial"/>
          <w:szCs w:val="18"/>
        </w:rPr>
        <w:t>The implementation of full-scale biofiltration of H</w:t>
      </w:r>
      <w:r w:rsidRPr="00F167F3">
        <w:rPr>
          <w:rFonts w:cs="Arial"/>
          <w:szCs w:val="18"/>
          <w:vertAlign w:val="subscript"/>
        </w:rPr>
        <w:t>2</w:t>
      </w:r>
      <w:r w:rsidRPr="00F167F3">
        <w:rPr>
          <w:rFonts w:cs="Arial"/>
          <w:szCs w:val="18"/>
        </w:rPr>
        <w:t>S and NH</w:t>
      </w:r>
      <w:r w:rsidRPr="00F167F3">
        <w:rPr>
          <w:rFonts w:cs="Arial"/>
          <w:szCs w:val="18"/>
          <w:vertAlign w:val="subscript"/>
        </w:rPr>
        <w:t>3</w:t>
      </w:r>
      <w:r w:rsidRPr="00F167F3">
        <w:rPr>
          <w:rFonts w:cs="Arial"/>
          <w:szCs w:val="18"/>
        </w:rPr>
        <w:t xml:space="preserve"> has challenges in the long term as the efficiency decreases under variable operating conditions and changes in the bed. In this work, a compost biofilter was inoculated with an enriched culture with nitrifying and sulphur-oxidizing bacteria to improve H</w:t>
      </w:r>
      <w:r w:rsidRPr="00F167F3">
        <w:rPr>
          <w:rFonts w:cs="Arial"/>
          <w:szCs w:val="18"/>
          <w:vertAlign w:val="subscript"/>
        </w:rPr>
        <w:t>2</w:t>
      </w:r>
      <w:r w:rsidRPr="00F167F3">
        <w:rPr>
          <w:rFonts w:cs="Arial"/>
          <w:szCs w:val="18"/>
        </w:rPr>
        <w:t>S and HN</w:t>
      </w:r>
      <w:r w:rsidRPr="00F167F3">
        <w:rPr>
          <w:rFonts w:cs="Arial"/>
          <w:szCs w:val="18"/>
          <w:vertAlign w:val="subscript"/>
        </w:rPr>
        <w:t>3</w:t>
      </w:r>
      <w:r w:rsidRPr="00F167F3">
        <w:rPr>
          <w:rFonts w:cs="Arial"/>
          <w:szCs w:val="18"/>
        </w:rPr>
        <w:t xml:space="preserve"> elimination under these transient conditions. When the gases concentrations were increased and changed daily, the inoculated biofilter had 90-100% removal efficiency for H</w:t>
      </w:r>
      <w:r w:rsidRPr="00F167F3">
        <w:rPr>
          <w:rFonts w:cs="Arial"/>
          <w:szCs w:val="18"/>
          <w:vertAlign w:val="subscript"/>
        </w:rPr>
        <w:t>2</w:t>
      </w:r>
      <w:r w:rsidRPr="00F167F3">
        <w:rPr>
          <w:rFonts w:cs="Arial"/>
          <w:szCs w:val="18"/>
        </w:rPr>
        <w:t>S, and 85-100% for NH</w:t>
      </w:r>
      <w:r w:rsidRPr="00F167F3">
        <w:rPr>
          <w:rFonts w:cs="Arial"/>
          <w:szCs w:val="18"/>
          <w:vertAlign w:val="subscript"/>
        </w:rPr>
        <w:t>3</w:t>
      </w:r>
      <w:r w:rsidRPr="00F167F3">
        <w:rPr>
          <w:rFonts w:cs="Arial"/>
          <w:szCs w:val="18"/>
        </w:rPr>
        <w:t>, while the uninoculated biofilter had lower removal efficiency (80-95% for H</w:t>
      </w:r>
      <w:r w:rsidRPr="00F167F3">
        <w:rPr>
          <w:rFonts w:cs="Arial"/>
          <w:szCs w:val="18"/>
          <w:vertAlign w:val="subscript"/>
        </w:rPr>
        <w:t>2</w:t>
      </w:r>
      <w:r w:rsidRPr="00F167F3">
        <w:rPr>
          <w:rFonts w:cs="Arial"/>
          <w:szCs w:val="18"/>
        </w:rPr>
        <w:t>S and 75-100% for NH</w:t>
      </w:r>
      <w:r w:rsidRPr="00F167F3">
        <w:rPr>
          <w:rFonts w:cs="Arial"/>
          <w:szCs w:val="18"/>
          <w:vertAlign w:val="subscript"/>
        </w:rPr>
        <w:t>3</w:t>
      </w:r>
      <w:r w:rsidRPr="00F167F3">
        <w:rPr>
          <w:rFonts w:cs="Arial"/>
          <w:szCs w:val="18"/>
        </w:rPr>
        <w:t xml:space="preserve">). Furthermore, this efficiency was maintained at high concentrations of sulphate and ammonium in </w:t>
      </w:r>
      <w:r w:rsidR="00386097" w:rsidRPr="00F167F3">
        <w:rPr>
          <w:rFonts w:cs="Arial"/>
          <w:szCs w:val="18"/>
        </w:rPr>
        <w:t>both</w:t>
      </w:r>
      <w:r w:rsidRPr="00F167F3">
        <w:rPr>
          <w:rFonts w:cs="Arial"/>
          <w:szCs w:val="18"/>
        </w:rPr>
        <w:t xml:space="preserve"> biofilter bed</w:t>
      </w:r>
      <w:r w:rsidR="00386097" w:rsidRPr="00F167F3">
        <w:rPr>
          <w:rFonts w:cs="Arial"/>
          <w:szCs w:val="18"/>
        </w:rPr>
        <w:t>s</w:t>
      </w:r>
      <w:r w:rsidRPr="00F167F3">
        <w:rPr>
          <w:rFonts w:cs="Arial"/>
          <w:szCs w:val="18"/>
        </w:rPr>
        <w:t>. The results show the benefit of inoculating the biofilter bed under stress conditions during operation, such as changes in the gas concentration and product accumulation. However, the oxidation of NH</w:t>
      </w:r>
      <w:r w:rsidRPr="00F167F3">
        <w:rPr>
          <w:rFonts w:cs="Arial"/>
          <w:szCs w:val="18"/>
          <w:vertAlign w:val="subscript"/>
        </w:rPr>
        <w:t>3</w:t>
      </w:r>
      <w:r w:rsidRPr="00F167F3">
        <w:rPr>
          <w:rFonts w:cs="Arial"/>
          <w:szCs w:val="18"/>
        </w:rPr>
        <w:t xml:space="preserve"> to nitrate is not the main elimination mechanism. Thus, strategies to avoid the reduction of nitrite and nitrate produced to avoid NO</w:t>
      </w:r>
      <w:r w:rsidRPr="00F167F3">
        <w:rPr>
          <w:rFonts w:cs="Arial"/>
          <w:szCs w:val="18"/>
          <w:vertAlign w:val="subscript"/>
        </w:rPr>
        <w:t>2</w:t>
      </w:r>
      <w:r w:rsidRPr="00F167F3">
        <w:rPr>
          <w:rFonts w:cs="Arial"/>
          <w:szCs w:val="18"/>
        </w:rPr>
        <w:t xml:space="preserve"> emission are still required</w:t>
      </w:r>
      <w:r w:rsidR="003E22E6" w:rsidRPr="00F167F3">
        <w:rPr>
          <w:rFonts w:cs="Arial"/>
          <w:szCs w:val="18"/>
        </w:rPr>
        <w:t>.</w:t>
      </w:r>
    </w:p>
    <w:p w14:paraId="196ED858" w14:textId="1FA2DF8A" w:rsidR="001A2632" w:rsidRPr="00F167F3" w:rsidRDefault="001A2632" w:rsidP="001A2632">
      <w:pPr>
        <w:pStyle w:val="CETAcknowledgementstitle"/>
      </w:pPr>
      <w:r w:rsidRPr="00F167F3">
        <w:t>Acknowledg</w:t>
      </w:r>
      <w:r w:rsidR="006C3F9C" w:rsidRPr="00F167F3">
        <w:t>e</w:t>
      </w:r>
      <w:r w:rsidRPr="00F167F3">
        <w:t>ments</w:t>
      </w:r>
    </w:p>
    <w:p w14:paraId="6207B9A3" w14:textId="210A64F2" w:rsidR="007C1C4F" w:rsidRPr="00F167F3" w:rsidRDefault="00794EC7" w:rsidP="00EA3429">
      <w:pPr>
        <w:pStyle w:val="CETBodytext"/>
        <w:rPr>
          <w:rFonts w:cs="Arial"/>
          <w:szCs w:val="18"/>
          <w:lang w:val="es-419"/>
        </w:rPr>
      </w:pPr>
      <w:r w:rsidRPr="00F167F3">
        <w:rPr>
          <w:rFonts w:cs="Arial"/>
          <w:szCs w:val="18"/>
          <w:lang w:val="en-GB"/>
        </w:rPr>
        <w:t xml:space="preserve">This work was financially supported </w:t>
      </w:r>
      <w:r w:rsidR="00CE46BB" w:rsidRPr="00CE46BB">
        <w:rPr>
          <w:rFonts w:cs="Arial"/>
          <w:szCs w:val="18"/>
          <w:lang w:val="en-GB"/>
        </w:rPr>
        <w:t>by the Dirección de Investigación de la Sede Bogotá, Universidad Nacional de Colombia (DIB 34885), and</w:t>
      </w:r>
      <w:r w:rsidR="00CE46BB">
        <w:rPr>
          <w:rFonts w:cs="Arial"/>
          <w:szCs w:val="18"/>
          <w:lang w:val="en-GB"/>
        </w:rPr>
        <w:t xml:space="preserve"> </w:t>
      </w:r>
      <w:r w:rsidRPr="00F167F3">
        <w:rPr>
          <w:rFonts w:cs="Arial"/>
          <w:szCs w:val="18"/>
          <w:lang w:val="en-GB"/>
        </w:rPr>
        <w:t xml:space="preserve">by the Research Unit from the Universidad Santo Tomás (FODEIN 2021), Bogotá, Colombia. </w:t>
      </w:r>
      <w:r w:rsidRPr="00F167F3">
        <w:rPr>
          <w:rFonts w:cs="Arial"/>
          <w:szCs w:val="18"/>
          <w:lang w:val="es-419"/>
        </w:rPr>
        <w:t>D. G. Vela-Aparicio acknowledges Minciencias for a doctoral fellowship (727 - Support to National Doctoral Program) and financial support to the work (Fondo Nacional de Financiamiento para la Ciencia, la Tecnología y la Innovación “Francisco José de Caldas”</w:t>
      </w:r>
      <w:r w:rsidR="00D8133E" w:rsidRPr="00F167F3">
        <w:rPr>
          <w:rFonts w:cs="Arial"/>
          <w:szCs w:val="18"/>
          <w:lang w:val="es-419"/>
        </w:rPr>
        <w:t>; DIB 42130</w:t>
      </w:r>
      <w:r w:rsidRPr="00F167F3">
        <w:rPr>
          <w:rFonts w:cs="Arial"/>
          <w:szCs w:val="18"/>
          <w:lang w:val="es-419"/>
        </w:rPr>
        <w:t>)</w:t>
      </w:r>
      <w:r w:rsidR="00D8133E" w:rsidRPr="00F167F3">
        <w:rPr>
          <w:rFonts w:cs="Arial"/>
          <w:szCs w:val="18"/>
          <w:lang w:val="es-419"/>
        </w:rPr>
        <w:t>.</w:t>
      </w:r>
    </w:p>
    <w:p w14:paraId="1A5E65BD" w14:textId="5C08E3BD" w:rsidR="001A2632" w:rsidRPr="00F167F3" w:rsidRDefault="001A2632" w:rsidP="001A2632">
      <w:pPr>
        <w:pStyle w:val="CETReference"/>
      </w:pPr>
      <w:r w:rsidRPr="00F167F3">
        <w:lastRenderedPageBreak/>
        <w:t>References</w:t>
      </w:r>
    </w:p>
    <w:p w14:paraId="48B4DA24" w14:textId="0AF3AC15" w:rsidR="001B2AD1" w:rsidRPr="00FF0450" w:rsidRDefault="0008373A" w:rsidP="001B2AD1">
      <w:pPr>
        <w:widowControl w:val="0"/>
        <w:autoSpaceDE w:val="0"/>
        <w:autoSpaceDN w:val="0"/>
        <w:adjustRightInd w:val="0"/>
        <w:spacing w:before="200" w:after="120" w:line="240" w:lineRule="auto"/>
        <w:rPr>
          <w:rFonts w:cs="Arial"/>
          <w:noProof/>
          <w:szCs w:val="24"/>
          <w:lang w:val="es-419"/>
        </w:rPr>
      </w:pPr>
      <w:r w:rsidRPr="00F167F3">
        <w:fldChar w:fldCharType="begin" w:fldLock="1"/>
      </w:r>
      <w:r w:rsidRPr="00F167F3">
        <w:instrText xml:space="preserve">ADDIN Mendeley Bibliography CSL_BIBLIOGRAPHY </w:instrText>
      </w:r>
      <w:r w:rsidRPr="00F167F3">
        <w:fldChar w:fldCharType="separate"/>
      </w:r>
      <w:r w:rsidR="001B2AD1" w:rsidRPr="001B2AD1">
        <w:rPr>
          <w:rFonts w:cs="Arial"/>
          <w:noProof/>
          <w:szCs w:val="24"/>
        </w:rPr>
        <w:t xml:space="preserve">Barbusinski, K., Kalemba, K., Kasperczyk, D., Urbaniec, K., &amp; Kozik, V. (2017). Biological methods for odor treatment – A review. In </w:t>
      </w:r>
      <w:r w:rsidR="001B2AD1" w:rsidRPr="001B2AD1">
        <w:rPr>
          <w:rFonts w:cs="Arial"/>
          <w:i/>
          <w:iCs/>
          <w:noProof/>
          <w:szCs w:val="24"/>
        </w:rPr>
        <w:t>Journal of Cleaner Production</w:t>
      </w:r>
      <w:r w:rsidR="001B2AD1" w:rsidRPr="001B2AD1">
        <w:rPr>
          <w:rFonts w:cs="Arial"/>
          <w:noProof/>
          <w:szCs w:val="24"/>
        </w:rPr>
        <w:t xml:space="preserve"> (Vol. 152, pp. 223–241). </w:t>
      </w:r>
      <w:r w:rsidR="001B2AD1" w:rsidRPr="00FF0450">
        <w:rPr>
          <w:rFonts w:cs="Arial"/>
          <w:noProof/>
          <w:szCs w:val="24"/>
          <w:lang w:val="es-419"/>
        </w:rPr>
        <w:t>Elsevier Ltd. https://doi.org/10.1016/j.jclepro.2017.03.093</w:t>
      </w:r>
    </w:p>
    <w:p w14:paraId="5D2160BB"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FF0450">
        <w:rPr>
          <w:rFonts w:cs="Arial"/>
          <w:noProof/>
          <w:szCs w:val="24"/>
          <w:lang w:val="es-419"/>
        </w:rPr>
        <w:t xml:space="preserve">Beristain-Cardoso, R., Gómez, J., &amp; Méndez-Pampín, R. (2010). </w:t>
      </w:r>
      <w:r w:rsidRPr="001B2AD1">
        <w:rPr>
          <w:rFonts w:cs="Arial"/>
          <w:noProof/>
          <w:szCs w:val="24"/>
        </w:rPr>
        <w:t xml:space="preserve">The behavior of nitrifying sludge in presence of sulfur compounds using a floating biofilm reactor. </w:t>
      </w:r>
      <w:r w:rsidRPr="001B2AD1">
        <w:rPr>
          <w:rFonts w:cs="Arial"/>
          <w:i/>
          <w:iCs/>
          <w:noProof/>
          <w:szCs w:val="24"/>
        </w:rPr>
        <w:t>Bioresource Technology</w:t>
      </w:r>
      <w:r w:rsidRPr="001B2AD1">
        <w:rPr>
          <w:rFonts w:cs="Arial"/>
          <w:noProof/>
          <w:szCs w:val="24"/>
        </w:rPr>
        <w:t xml:space="preserve">, </w:t>
      </w:r>
      <w:r w:rsidRPr="001B2AD1">
        <w:rPr>
          <w:rFonts w:cs="Arial"/>
          <w:i/>
          <w:iCs/>
          <w:noProof/>
          <w:szCs w:val="24"/>
        </w:rPr>
        <w:t>101</w:t>
      </w:r>
      <w:r w:rsidRPr="001B2AD1">
        <w:rPr>
          <w:rFonts w:cs="Arial"/>
          <w:noProof/>
          <w:szCs w:val="24"/>
        </w:rPr>
        <w:t>(22), 8593–8598. https://doi.org/10.1016/j.biortech.2010.06.084</w:t>
      </w:r>
    </w:p>
    <w:p w14:paraId="6488D4FA"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Bollmann, A., &amp; Laanbroek, H. J. (2001). Continuous culture enrichments of ammonia-oxidizing bacteria at low ammonium concentrations. </w:t>
      </w:r>
      <w:r w:rsidRPr="001B2AD1">
        <w:rPr>
          <w:rFonts w:cs="Arial"/>
          <w:i/>
          <w:iCs/>
          <w:noProof/>
          <w:szCs w:val="24"/>
        </w:rPr>
        <w:t>FEMS Microbiology Ecology</w:t>
      </w:r>
      <w:r w:rsidRPr="001B2AD1">
        <w:rPr>
          <w:rFonts w:cs="Arial"/>
          <w:noProof/>
          <w:szCs w:val="24"/>
        </w:rPr>
        <w:t xml:space="preserve">, </w:t>
      </w:r>
      <w:r w:rsidRPr="001B2AD1">
        <w:rPr>
          <w:rFonts w:cs="Arial"/>
          <w:i/>
          <w:iCs/>
          <w:noProof/>
          <w:szCs w:val="24"/>
        </w:rPr>
        <w:t>37</w:t>
      </w:r>
      <w:r w:rsidRPr="001B2AD1">
        <w:rPr>
          <w:rFonts w:cs="Arial"/>
          <w:noProof/>
          <w:szCs w:val="24"/>
        </w:rPr>
        <w:t>(3), 211–221. https://doi.org/10.1016/S0168-6496(01)00163-5</w:t>
      </w:r>
    </w:p>
    <w:p w14:paraId="203A53DA"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Kawano, Y., Suzuki, K., &amp; Ohtsu, I. (2018). Current understanding of sulfur assimilation metabolism to biosynthesize l-cysteine and recent progress of its fermentative overproduction in microorganisms. </w:t>
      </w:r>
      <w:r w:rsidRPr="001B2AD1">
        <w:rPr>
          <w:rFonts w:cs="Arial"/>
          <w:i/>
          <w:iCs/>
          <w:noProof/>
          <w:szCs w:val="24"/>
        </w:rPr>
        <w:t>Applied Microbiology and Biotechnology</w:t>
      </w:r>
      <w:r w:rsidRPr="001B2AD1">
        <w:rPr>
          <w:rFonts w:cs="Arial"/>
          <w:noProof/>
          <w:szCs w:val="24"/>
        </w:rPr>
        <w:t xml:space="preserve">, </w:t>
      </w:r>
      <w:r w:rsidRPr="001B2AD1">
        <w:rPr>
          <w:rFonts w:cs="Arial"/>
          <w:i/>
          <w:iCs/>
          <w:noProof/>
          <w:szCs w:val="24"/>
        </w:rPr>
        <w:t>102</w:t>
      </w:r>
      <w:r w:rsidRPr="001B2AD1">
        <w:rPr>
          <w:rFonts w:cs="Arial"/>
          <w:noProof/>
          <w:szCs w:val="24"/>
        </w:rPr>
        <w:t>(19), 8203–8211. https://doi.org/10.1007/s00253-018-9246-4</w:t>
      </w:r>
    </w:p>
    <w:p w14:paraId="78AF9EC5"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Kim, H. S., Kim, Y. J., Chung, J. S., &amp; Xie, Q. (2002). Long-term operation of a biofilter for simultaneous removal of H2S and NH3. </w:t>
      </w:r>
      <w:r w:rsidRPr="001B2AD1">
        <w:rPr>
          <w:rFonts w:cs="Arial"/>
          <w:i/>
          <w:iCs/>
          <w:noProof/>
          <w:szCs w:val="24"/>
        </w:rPr>
        <w:t>Journal of the Air &amp; Waste Management Association</w:t>
      </w:r>
      <w:r w:rsidRPr="001B2AD1">
        <w:rPr>
          <w:rFonts w:cs="Arial"/>
          <w:noProof/>
          <w:szCs w:val="24"/>
        </w:rPr>
        <w:t xml:space="preserve">, </w:t>
      </w:r>
      <w:r w:rsidRPr="001B2AD1">
        <w:rPr>
          <w:rFonts w:cs="Arial"/>
          <w:i/>
          <w:iCs/>
          <w:noProof/>
          <w:szCs w:val="24"/>
        </w:rPr>
        <w:t>52</w:t>
      </w:r>
      <w:r w:rsidRPr="001B2AD1">
        <w:rPr>
          <w:rFonts w:cs="Arial"/>
          <w:noProof/>
          <w:szCs w:val="24"/>
        </w:rPr>
        <w:t>(12), 1389–1398. https://doi.org/10.1080/10473289.2002.10470871</w:t>
      </w:r>
    </w:p>
    <w:p w14:paraId="046ADDD6"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Kim, I. S., &amp; Ivanov, V. N. (2000). Detection of nitrifying bacteria in activated sludge by fluorescent in situ hybridization and fluorescence spectrometry. </w:t>
      </w:r>
      <w:r w:rsidRPr="001B2AD1">
        <w:rPr>
          <w:rFonts w:cs="Arial"/>
          <w:i/>
          <w:iCs/>
          <w:noProof/>
          <w:szCs w:val="24"/>
        </w:rPr>
        <w:t>World Journal of Microbiology and Biotechnology</w:t>
      </w:r>
      <w:r w:rsidRPr="001B2AD1">
        <w:rPr>
          <w:rFonts w:cs="Arial"/>
          <w:noProof/>
          <w:szCs w:val="24"/>
        </w:rPr>
        <w:t xml:space="preserve">, </w:t>
      </w:r>
      <w:r w:rsidRPr="001B2AD1">
        <w:rPr>
          <w:rFonts w:cs="Arial"/>
          <w:i/>
          <w:iCs/>
          <w:noProof/>
          <w:szCs w:val="24"/>
        </w:rPr>
        <w:t>16</w:t>
      </w:r>
      <w:r w:rsidRPr="001B2AD1">
        <w:rPr>
          <w:rFonts w:cs="Arial"/>
          <w:noProof/>
          <w:szCs w:val="24"/>
        </w:rPr>
        <w:t>(5), 425–430. https://doi.org/10.1023/A:1008949821236</w:t>
      </w:r>
    </w:p>
    <w:p w14:paraId="12CD0E5F"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FF0450">
        <w:rPr>
          <w:rFonts w:cs="Arial"/>
          <w:noProof/>
          <w:szCs w:val="24"/>
          <w:lang w:val="es-419"/>
        </w:rPr>
        <w:t xml:space="preserve">Le Borgne, S., &amp; Baquerizo, G. (2019). </w:t>
      </w:r>
      <w:r w:rsidRPr="001B2AD1">
        <w:rPr>
          <w:rFonts w:cs="Arial"/>
          <w:noProof/>
          <w:szCs w:val="24"/>
        </w:rPr>
        <w:t xml:space="preserve">Microbial ecology of biofiltration units used for the desulfurization of biogas. </w:t>
      </w:r>
      <w:r w:rsidRPr="001B2AD1">
        <w:rPr>
          <w:rFonts w:cs="Arial"/>
          <w:i/>
          <w:iCs/>
          <w:noProof/>
          <w:szCs w:val="24"/>
        </w:rPr>
        <w:t>ChemEngineering</w:t>
      </w:r>
      <w:r w:rsidRPr="001B2AD1">
        <w:rPr>
          <w:rFonts w:cs="Arial"/>
          <w:noProof/>
          <w:szCs w:val="24"/>
        </w:rPr>
        <w:t xml:space="preserve">, </w:t>
      </w:r>
      <w:r w:rsidRPr="001B2AD1">
        <w:rPr>
          <w:rFonts w:cs="Arial"/>
          <w:i/>
          <w:iCs/>
          <w:noProof/>
          <w:szCs w:val="24"/>
        </w:rPr>
        <w:t>3</w:t>
      </w:r>
      <w:r w:rsidRPr="001B2AD1">
        <w:rPr>
          <w:rFonts w:cs="Arial"/>
          <w:noProof/>
          <w:szCs w:val="24"/>
        </w:rPr>
        <w:t>(3), 1–26. https://doi.org/10.3390/chemengineering3030072</w:t>
      </w:r>
    </w:p>
    <w:p w14:paraId="5FAD0BC1"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Mulvaney, R. L. (1996). Nitrogen—Inorganic Forms. In </w:t>
      </w:r>
      <w:r w:rsidRPr="001B2AD1">
        <w:rPr>
          <w:rFonts w:cs="Arial"/>
          <w:i/>
          <w:iCs/>
          <w:noProof/>
          <w:szCs w:val="24"/>
        </w:rPr>
        <w:t>Methods of Soil Analysis Part 3—Chemical Methods</w:t>
      </w:r>
      <w:r w:rsidRPr="001B2AD1">
        <w:rPr>
          <w:rFonts w:cs="Arial"/>
          <w:noProof/>
          <w:szCs w:val="24"/>
        </w:rPr>
        <w:t xml:space="preserve"> (pp. 1123–1184). Soil Science Society of America, American Society of Agronomy. https://doi.org/10.2136/sssabookser5.3.c38</w:t>
      </w:r>
    </w:p>
    <w:p w14:paraId="0CA8E2A1"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Omri, I., Aouidi, F., Bouallagui, H., Godon, J., &amp; Hamdi, M. (2013). Performance study of biofilter developed to treat H 2 S from wastewater odor. </w:t>
      </w:r>
      <w:r w:rsidRPr="001B2AD1">
        <w:rPr>
          <w:rFonts w:cs="Arial"/>
          <w:i/>
          <w:iCs/>
          <w:noProof/>
          <w:szCs w:val="24"/>
        </w:rPr>
        <w:t>Saudi Journal of Biological Sciences</w:t>
      </w:r>
      <w:r w:rsidRPr="001B2AD1">
        <w:rPr>
          <w:rFonts w:cs="Arial"/>
          <w:noProof/>
          <w:szCs w:val="24"/>
        </w:rPr>
        <w:t>, 169–176. https://doi.org/10.1016/j.sjbs.2013.01.005</w:t>
      </w:r>
    </w:p>
    <w:p w14:paraId="460AE319"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Rene, E. R., Kennes, C., &amp; Veiga, M. C. (2013). Biofilters. In C. Kennes &amp; M. C. Veiga (Eds.), </w:t>
      </w:r>
      <w:r w:rsidRPr="001B2AD1">
        <w:rPr>
          <w:rFonts w:cs="Arial"/>
          <w:i/>
          <w:iCs/>
          <w:noProof/>
          <w:szCs w:val="24"/>
        </w:rPr>
        <w:t>Air Pollution Prevention and Control: Bioreactors and Bioenergy</w:t>
      </w:r>
      <w:r w:rsidRPr="001B2AD1">
        <w:rPr>
          <w:rFonts w:cs="Arial"/>
          <w:noProof/>
          <w:szCs w:val="24"/>
        </w:rPr>
        <w:t xml:space="preserve"> (First, pp. 60–72). John Wiley &amp; Sons, Ltd.</w:t>
      </w:r>
    </w:p>
    <w:p w14:paraId="2AB72128"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Smet, E., &amp; Van Langenhove, H. (1998). Abatement of volatile organic sulfur compounds in odorous emissions from the bio-industry. </w:t>
      </w:r>
      <w:r w:rsidRPr="001B2AD1">
        <w:rPr>
          <w:rFonts w:cs="Arial"/>
          <w:i/>
          <w:iCs/>
          <w:noProof/>
          <w:szCs w:val="24"/>
        </w:rPr>
        <w:t>Biodegradation</w:t>
      </w:r>
      <w:r w:rsidRPr="001B2AD1">
        <w:rPr>
          <w:rFonts w:cs="Arial"/>
          <w:noProof/>
          <w:szCs w:val="24"/>
        </w:rPr>
        <w:t xml:space="preserve">, </w:t>
      </w:r>
      <w:r w:rsidRPr="001B2AD1">
        <w:rPr>
          <w:rFonts w:cs="Arial"/>
          <w:i/>
          <w:iCs/>
          <w:noProof/>
          <w:szCs w:val="24"/>
        </w:rPr>
        <w:t>9</w:t>
      </w:r>
      <w:r w:rsidRPr="001B2AD1">
        <w:rPr>
          <w:rFonts w:cs="Arial"/>
          <w:noProof/>
          <w:szCs w:val="24"/>
        </w:rPr>
        <w:t>(3–4), 273–284. https://doi.org/10.1023/a:1008281609966</w:t>
      </w:r>
    </w:p>
    <w:p w14:paraId="4E7FC4A9"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 xml:space="preserve">Tsang, Y. F., Wang, L., &amp; Chua, H. (2015). Simultaneous hydrogen sulphide and ammonia removal in a biotrickling filter: Crossed inhibitory effects among selected pollutants and microbial community change. </w:t>
      </w:r>
      <w:r w:rsidRPr="001B2AD1">
        <w:rPr>
          <w:rFonts w:cs="Arial"/>
          <w:i/>
          <w:iCs/>
          <w:noProof/>
          <w:szCs w:val="24"/>
        </w:rPr>
        <w:t>Chemical Engineering Journal</w:t>
      </w:r>
      <w:r w:rsidRPr="001B2AD1">
        <w:rPr>
          <w:rFonts w:cs="Arial"/>
          <w:noProof/>
          <w:szCs w:val="24"/>
        </w:rPr>
        <w:t xml:space="preserve">, </w:t>
      </w:r>
      <w:r w:rsidRPr="001B2AD1">
        <w:rPr>
          <w:rFonts w:cs="Arial"/>
          <w:i/>
          <w:iCs/>
          <w:noProof/>
          <w:szCs w:val="24"/>
        </w:rPr>
        <w:t>281</w:t>
      </w:r>
      <w:r w:rsidRPr="001B2AD1">
        <w:rPr>
          <w:rFonts w:cs="Arial"/>
          <w:noProof/>
          <w:szCs w:val="24"/>
        </w:rPr>
        <w:t>, 389–396. https://doi.org/10.1016/j.cej.2015.06.107</w:t>
      </w:r>
    </w:p>
    <w:p w14:paraId="16A86C07" w14:textId="77777777"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Vela-Aparicio, D., Forero, D. F., Hernández, M. A., Brandão, P. F. B., &amp; Cabeza, I. O. (2021). Simultaneous biofiltration of H</w:t>
      </w:r>
      <w:r w:rsidRPr="001B2AD1">
        <w:rPr>
          <w:rFonts w:cs="Arial"/>
          <w:noProof/>
          <w:szCs w:val="24"/>
          <w:vertAlign w:val="subscript"/>
        </w:rPr>
        <w:t>2</w:t>
      </w:r>
      <w:r w:rsidRPr="001B2AD1">
        <w:rPr>
          <w:rFonts w:cs="Arial"/>
          <w:noProof/>
          <w:szCs w:val="24"/>
        </w:rPr>
        <w:t>S and NH</w:t>
      </w:r>
      <w:r w:rsidRPr="001B2AD1">
        <w:rPr>
          <w:rFonts w:cs="Arial"/>
          <w:noProof/>
          <w:szCs w:val="24"/>
          <w:vertAlign w:val="subscript"/>
        </w:rPr>
        <w:t>3</w:t>
      </w:r>
      <w:r w:rsidRPr="001B2AD1">
        <w:rPr>
          <w:rFonts w:cs="Arial"/>
          <w:noProof/>
          <w:szCs w:val="24"/>
        </w:rPr>
        <w:t xml:space="preserve"> using compost mixtures from lignocellulosic waste and chicken manure as packing material. </w:t>
      </w:r>
      <w:r w:rsidRPr="001B2AD1">
        <w:rPr>
          <w:rFonts w:cs="Arial"/>
          <w:i/>
          <w:iCs/>
          <w:noProof/>
          <w:szCs w:val="24"/>
        </w:rPr>
        <w:t>Environmental Science and Pollution Research</w:t>
      </w:r>
      <w:r w:rsidRPr="001B2AD1">
        <w:rPr>
          <w:rFonts w:cs="Arial"/>
          <w:noProof/>
          <w:szCs w:val="24"/>
        </w:rPr>
        <w:t xml:space="preserve">, </w:t>
      </w:r>
      <w:r w:rsidRPr="001B2AD1">
        <w:rPr>
          <w:rFonts w:cs="Arial"/>
          <w:i/>
          <w:iCs/>
          <w:noProof/>
          <w:szCs w:val="24"/>
        </w:rPr>
        <w:t>28</w:t>
      </w:r>
      <w:r w:rsidRPr="001B2AD1">
        <w:rPr>
          <w:rFonts w:cs="Arial"/>
          <w:noProof/>
          <w:szCs w:val="24"/>
        </w:rPr>
        <w:t>(19), 24721–24730. https://doi.org/10.1007/s11356-020-10817-w</w:t>
      </w:r>
    </w:p>
    <w:p w14:paraId="2F31C13D" w14:textId="331EB09D" w:rsidR="001B2AD1" w:rsidRPr="001B2AD1" w:rsidRDefault="001B2AD1" w:rsidP="001B2AD1">
      <w:pPr>
        <w:widowControl w:val="0"/>
        <w:autoSpaceDE w:val="0"/>
        <w:autoSpaceDN w:val="0"/>
        <w:adjustRightInd w:val="0"/>
        <w:spacing w:before="200" w:after="120" w:line="240" w:lineRule="auto"/>
        <w:rPr>
          <w:rFonts w:cs="Arial"/>
          <w:noProof/>
          <w:szCs w:val="24"/>
        </w:rPr>
      </w:pPr>
      <w:r w:rsidRPr="001B2AD1">
        <w:rPr>
          <w:rFonts w:cs="Arial"/>
          <w:noProof/>
          <w:szCs w:val="24"/>
        </w:rPr>
        <w:t>Vela-Aparicio, Diana G., Forero, D. F., Fernandez, A., Hernandez, M. A., Brandão, P. F. B., &amp; Cabeza, I. O. (2021). Operational parameters analysis for the removal of H</w:t>
      </w:r>
      <w:r w:rsidRPr="001B2AD1">
        <w:rPr>
          <w:rFonts w:cs="Arial"/>
          <w:noProof/>
          <w:szCs w:val="24"/>
          <w:vertAlign w:val="subscript"/>
        </w:rPr>
        <w:t>2</w:t>
      </w:r>
      <w:r w:rsidRPr="001B2AD1">
        <w:rPr>
          <w:rFonts w:cs="Arial"/>
          <w:noProof/>
          <w:szCs w:val="24"/>
        </w:rPr>
        <w:t>S and NH</w:t>
      </w:r>
      <w:r w:rsidRPr="001B2AD1">
        <w:rPr>
          <w:rFonts w:cs="Arial"/>
          <w:noProof/>
          <w:szCs w:val="24"/>
          <w:vertAlign w:val="subscript"/>
        </w:rPr>
        <w:t>3</w:t>
      </w:r>
      <w:r>
        <w:rPr>
          <w:rFonts w:cs="Arial"/>
          <w:noProof/>
          <w:szCs w:val="24"/>
        </w:rPr>
        <w:t xml:space="preserve"> </w:t>
      </w:r>
      <w:r w:rsidRPr="001B2AD1">
        <w:rPr>
          <w:rFonts w:cs="Arial"/>
          <w:noProof/>
          <w:szCs w:val="24"/>
        </w:rPr>
        <w:t xml:space="preserve">under transient conditions by a biofiltration system of compost beds. </w:t>
      </w:r>
      <w:r w:rsidRPr="001B2AD1">
        <w:rPr>
          <w:rFonts w:cs="Arial"/>
          <w:i/>
          <w:iCs/>
          <w:noProof/>
          <w:szCs w:val="24"/>
        </w:rPr>
        <w:t>Chemical Engineering Transactions</w:t>
      </w:r>
      <w:r w:rsidRPr="001B2AD1">
        <w:rPr>
          <w:rFonts w:cs="Arial"/>
          <w:noProof/>
          <w:szCs w:val="24"/>
        </w:rPr>
        <w:t xml:space="preserve">, </w:t>
      </w:r>
      <w:r w:rsidRPr="001B2AD1">
        <w:rPr>
          <w:rFonts w:cs="Arial"/>
          <w:i/>
          <w:iCs/>
          <w:noProof/>
          <w:szCs w:val="24"/>
        </w:rPr>
        <w:t>85</w:t>
      </w:r>
      <w:r w:rsidRPr="001B2AD1">
        <w:rPr>
          <w:rFonts w:cs="Arial"/>
          <w:noProof/>
          <w:szCs w:val="24"/>
        </w:rPr>
        <w:t>(March), 163–168. https://doi.org/10.3303/CET2185028</w:t>
      </w:r>
    </w:p>
    <w:p w14:paraId="22CF1EF9" w14:textId="77777777" w:rsidR="001B2AD1" w:rsidRPr="001B2AD1" w:rsidRDefault="001B2AD1" w:rsidP="001B2AD1">
      <w:pPr>
        <w:widowControl w:val="0"/>
        <w:autoSpaceDE w:val="0"/>
        <w:autoSpaceDN w:val="0"/>
        <w:adjustRightInd w:val="0"/>
        <w:spacing w:before="200" w:after="120" w:line="240" w:lineRule="auto"/>
        <w:rPr>
          <w:rFonts w:cs="Arial"/>
          <w:noProof/>
        </w:rPr>
      </w:pPr>
      <w:r w:rsidRPr="001B2AD1">
        <w:rPr>
          <w:rFonts w:cs="Arial"/>
          <w:noProof/>
          <w:szCs w:val="24"/>
        </w:rPr>
        <w:t xml:space="preserve">Yang, L., Kent, A. D., Wang, X., Funk, T. L., Gates, R. S., &amp; Zhang, Y. (2014). Moisture effects on gas-phase biofilter ammonia removal efficiency, nitrous oxide generation, and microbial communities. </w:t>
      </w:r>
      <w:r w:rsidRPr="001B2AD1">
        <w:rPr>
          <w:rFonts w:cs="Arial"/>
          <w:i/>
          <w:iCs/>
          <w:noProof/>
          <w:szCs w:val="24"/>
        </w:rPr>
        <w:t>Journal of Hazardous Materials</w:t>
      </w:r>
      <w:r w:rsidRPr="001B2AD1">
        <w:rPr>
          <w:rFonts w:cs="Arial"/>
          <w:noProof/>
          <w:szCs w:val="24"/>
        </w:rPr>
        <w:t xml:space="preserve">, </w:t>
      </w:r>
      <w:r w:rsidRPr="001B2AD1">
        <w:rPr>
          <w:rFonts w:cs="Arial"/>
          <w:i/>
          <w:iCs/>
          <w:noProof/>
          <w:szCs w:val="24"/>
        </w:rPr>
        <w:t>271</w:t>
      </w:r>
      <w:r w:rsidRPr="001B2AD1">
        <w:rPr>
          <w:rFonts w:cs="Arial"/>
          <w:noProof/>
          <w:szCs w:val="24"/>
        </w:rPr>
        <w:t>(2), 292–301. https://doi.org/10.1016/j.jhazmat.2014.01.058</w:t>
      </w:r>
    </w:p>
    <w:p w14:paraId="0CEE073B" w14:textId="353F75D1" w:rsidR="005D6C36" w:rsidRPr="00F167F3" w:rsidRDefault="0008373A" w:rsidP="009514A3">
      <w:pPr>
        <w:widowControl w:val="0"/>
        <w:autoSpaceDE w:val="0"/>
        <w:autoSpaceDN w:val="0"/>
        <w:adjustRightInd w:val="0"/>
        <w:spacing w:before="200" w:after="120" w:line="240" w:lineRule="auto"/>
      </w:pPr>
      <w:r w:rsidRPr="00F167F3">
        <w:fldChar w:fldCharType="end"/>
      </w:r>
    </w:p>
    <w:sectPr w:rsidR="005D6C36" w:rsidRPr="00F167F3" w:rsidSect="00646A3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4D57" w14:textId="77777777" w:rsidR="0049016F" w:rsidRDefault="0049016F" w:rsidP="004F5E36">
      <w:r>
        <w:separator/>
      </w:r>
    </w:p>
  </w:endnote>
  <w:endnote w:type="continuationSeparator" w:id="0">
    <w:p w14:paraId="32D604B1" w14:textId="77777777" w:rsidR="0049016F" w:rsidRDefault="0049016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8D1A" w14:textId="77777777" w:rsidR="0049016F" w:rsidRDefault="0049016F" w:rsidP="004F5E36">
      <w:r>
        <w:separator/>
      </w:r>
    </w:p>
  </w:footnote>
  <w:footnote w:type="continuationSeparator" w:id="0">
    <w:p w14:paraId="0785A467" w14:textId="77777777" w:rsidR="0049016F" w:rsidRDefault="0049016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1893F5C"/>
    <w:multiLevelType w:val="multilevel"/>
    <w:tmpl w:val="65DC18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8217E"/>
    <w:multiLevelType w:val="multilevel"/>
    <w:tmpl w:val="8C1EE82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AB46EF6"/>
    <w:multiLevelType w:val="hybridMultilevel"/>
    <w:tmpl w:val="3D08D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156C0C"/>
    <w:multiLevelType w:val="multilevel"/>
    <w:tmpl w:val="AF4698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9D5CF0"/>
    <w:multiLevelType w:val="multilevel"/>
    <w:tmpl w:val="3DAE8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4"/>
  </w:num>
  <w:num w:numId="14">
    <w:abstractNumId w:val="22"/>
  </w:num>
  <w:num w:numId="15">
    <w:abstractNumId w:val="24"/>
  </w:num>
  <w:num w:numId="16">
    <w:abstractNumId w:val="23"/>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7"/>
  </w:num>
  <w:num w:numId="24">
    <w:abstractNumId w:val="10"/>
  </w:num>
  <w:num w:numId="25">
    <w:abstractNumId w:val="20"/>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30"/>
    <w:rsid w:val="000027C0"/>
    <w:rsid w:val="000052FB"/>
    <w:rsid w:val="0000545A"/>
    <w:rsid w:val="000117CB"/>
    <w:rsid w:val="00015860"/>
    <w:rsid w:val="00016F7C"/>
    <w:rsid w:val="0002429D"/>
    <w:rsid w:val="0003148D"/>
    <w:rsid w:val="00031EEC"/>
    <w:rsid w:val="00035D9E"/>
    <w:rsid w:val="00051566"/>
    <w:rsid w:val="00053287"/>
    <w:rsid w:val="00062A9A"/>
    <w:rsid w:val="000639D4"/>
    <w:rsid w:val="00065058"/>
    <w:rsid w:val="00072559"/>
    <w:rsid w:val="00080DA1"/>
    <w:rsid w:val="0008373A"/>
    <w:rsid w:val="00086C39"/>
    <w:rsid w:val="00093B63"/>
    <w:rsid w:val="0009794A"/>
    <w:rsid w:val="000A03B2"/>
    <w:rsid w:val="000B2F57"/>
    <w:rsid w:val="000B5AF9"/>
    <w:rsid w:val="000D0268"/>
    <w:rsid w:val="000D34BE"/>
    <w:rsid w:val="000E102F"/>
    <w:rsid w:val="000E2422"/>
    <w:rsid w:val="000E36F1"/>
    <w:rsid w:val="000E3A73"/>
    <w:rsid w:val="000E414A"/>
    <w:rsid w:val="000E4E0C"/>
    <w:rsid w:val="000F093C"/>
    <w:rsid w:val="000F787B"/>
    <w:rsid w:val="0010131A"/>
    <w:rsid w:val="00101C19"/>
    <w:rsid w:val="0012091F"/>
    <w:rsid w:val="00120EEC"/>
    <w:rsid w:val="00121867"/>
    <w:rsid w:val="00126BC2"/>
    <w:rsid w:val="00127C95"/>
    <w:rsid w:val="001308B6"/>
    <w:rsid w:val="0013121F"/>
    <w:rsid w:val="001319BA"/>
    <w:rsid w:val="00131FE6"/>
    <w:rsid w:val="0013263F"/>
    <w:rsid w:val="001331DF"/>
    <w:rsid w:val="00134DE4"/>
    <w:rsid w:val="0014034D"/>
    <w:rsid w:val="00144D16"/>
    <w:rsid w:val="00150E59"/>
    <w:rsid w:val="00152DE3"/>
    <w:rsid w:val="001566FE"/>
    <w:rsid w:val="00164CF9"/>
    <w:rsid w:val="001667A6"/>
    <w:rsid w:val="00183BFA"/>
    <w:rsid w:val="00184AD6"/>
    <w:rsid w:val="001851F0"/>
    <w:rsid w:val="001865B1"/>
    <w:rsid w:val="00187508"/>
    <w:rsid w:val="0019118C"/>
    <w:rsid w:val="001A2632"/>
    <w:rsid w:val="001A4AF7"/>
    <w:rsid w:val="001B0349"/>
    <w:rsid w:val="001B1E93"/>
    <w:rsid w:val="001B2AD1"/>
    <w:rsid w:val="001B65C1"/>
    <w:rsid w:val="001C0D9C"/>
    <w:rsid w:val="001C684B"/>
    <w:rsid w:val="001C6A0C"/>
    <w:rsid w:val="001C7DCE"/>
    <w:rsid w:val="001D0CFB"/>
    <w:rsid w:val="001D21AF"/>
    <w:rsid w:val="001D53FC"/>
    <w:rsid w:val="001D7FAE"/>
    <w:rsid w:val="001E13B8"/>
    <w:rsid w:val="001E189E"/>
    <w:rsid w:val="001F42A5"/>
    <w:rsid w:val="001F55CC"/>
    <w:rsid w:val="001F7B9D"/>
    <w:rsid w:val="00201110"/>
    <w:rsid w:val="00201C93"/>
    <w:rsid w:val="002224B4"/>
    <w:rsid w:val="00223B53"/>
    <w:rsid w:val="00233A19"/>
    <w:rsid w:val="00244500"/>
    <w:rsid w:val="002447EF"/>
    <w:rsid w:val="00244E46"/>
    <w:rsid w:val="002475F9"/>
    <w:rsid w:val="00251550"/>
    <w:rsid w:val="00260541"/>
    <w:rsid w:val="0026210D"/>
    <w:rsid w:val="00263B05"/>
    <w:rsid w:val="0027221A"/>
    <w:rsid w:val="00275B61"/>
    <w:rsid w:val="00280FAF"/>
    <w:rsid w:val="00282656"/>
    <w:rsid w:val="0028482E"/>
    <w:rsid w:val="00290D05"/>
    <w:rsid w:val="00292A33"/>
    <w:rsid w:val="0029534B"/>
    <w:rsid w:val="00296B83"/>
    <w:rsid w:val="002A368B"/>
    <w:rsid w:val="002A5B3E"/>
    <w:rsid w:val="002B4015"/>
    <w:rsid w:val="002B5E10"/>
    <w:rsid w:val="002B78CE"/>
    <w:rsid w:val="002B7D72"/>
    <w:rsid w:val="002B7DB3"/>
    <w:rsid w:val="002B7DBA"/>
    <w:rsid w:val="002C0E93"/>
    <w:rsid w:val="002C2FB6"/>
    <w:rsid w:val="002C5F68"/>
    <w:rsid w:val="002D3A46"/>
    <w:rsid w:val="002E5FA7"/>
    <w:rsid w:val="002F3309"/>
    <w:rsid w:val="002F331A"/>
    <w:rsid w:val="003008CE"/>
    <w:rsid w:val="003009B7"/>
    <w:rsid w:val="00300E56"/>
    <w:rsid w:val="003030EB"/>
    <w:rsid w:val="0030469C"/>
    <w:rsid w:val="00305A58"/>
    <w:rsid w:val="003077EA"/>
    <w:rsid w:val="003212F6"/>
    <w:rsid w:val="00321CA6"/>
    <w:rsid w:val="00323481"/>
    <w:rsid w:val="00323763"/>
    <w:rsid w:val="0032492E"/>
    <w:rsid w:val="00332878"/>
    <w:rsid w:val="00334C09"/>
    <w:rsid w:val="00352255"/>
    <w:rsid w:val="003602B1"/>
    <w:rsid w:val="003645B0"/>
    <w:rsid w:val="00364CCF"/>
    <w:rsid w:val="00366C0C"/>
    <w:rsid w:val="003723D4"/>
    <w:rsid w:val="0038156E"/>
    <w:rsid w:val="00381905"/>
    <w:rsid w:val="00384CC8"/>
    <w:rsid w:val="0038513E"/>
    <w:rsid w:val="00386097"/>
    <w:rsid w:val="003871FD"/>
    <w:rsid w:val="003A1E30"/>
    <w:rsid w:val="003A2829"/>
    <w:rsid w:val="003A324E"/>
    <w:rsid w:val="003A7D1C"/>
    <w:rsid w:val="003B304B"/>
    <w:rsid w:val="003B3146"/>
    <w:rsid w:val="003B7A84"/>
    <w:rsid w:val="003E22E6"/>
    <w:rsid w:val="003E37D6"/>
    <w:rsid w:val="003F015E"/>
    <w:rsid w:val="003F0A9D"/>
    <w:rsid w:val="00400414"/>
    <w:rsid w:val="00401F2B"/>
    <w:rsid w:val="00402B29"/>
    <w:rsid w:val="0041446B"/>
    <w:rsid w:val="00424C56"/>
    <w:rsid w:val="00425435"/>
    <w:rsid w:val="0044071E"/>
    <w:rsid w:val="0044329C"/>
    <w:rsid w:val="00446490"/>
    <w:rsid w:val="0044650F"/>
    <w:rsid w:val="00453E24"/>
    <w:rsid w:val="00457456"/>
    <w:rsid w:val="004577FE"/>
    <w:rsid w:val="00457B9C"/>
    <w:rsid w:val="0046164A"/>
    <w:rsid w:val="0046241D"/>
    <w:rsid w:val="004628D2"/>
    <w:rsid w:val="00462DCD"/>
    <w:rsid w:val="004648AD"/>
    <w:rsid w:val="00465EB0"/>
    <w:rsid w:val="004703A9"/>
    <w:rsid w:val="0047528F"/>
    <w:rsid w:val="004760DE"/>
    <w:rsid w:val="00476122"/>
    <w:rsid w:val="004763D7"/>
    <w:rsid w:val="00486ACD"/>
    <w:rsid w:val="0049016F"/>
    <w:rsid w:val="004972EE"/>
    <w:rsid w:val="004A004E"/>
    <w:rsid w:val="004A24CF"/>
    <w:rsid w:val="004B1DD9"/>
    <w:rsid w:val="004B5845"/>
    <w:rsid w:val="004B72F6"/>
    <w:rsid w:val="004C0816"/>
    <w:rsid w:val="004C26DE"/>
    <w:rsid w:val="004C3D1D"/>
    <w:rsid w:val="004C7913"/>
    <w:rsid w:val="004D258D"/>
    <w:rsid w:val="004E3F0C"/>
    <w:rsid w:val="004E44A5"/>
    <w:rsid w:val="004E4DD6"/>
    <w:rsid w:val="004E6D15"/>
    <w:rsid w:val="004F5E36"/>
    <w:rsid w:val="00500572"/>
    <w:rsid w:val="00507B47"/>
    <w:rsid w:val="00507BEF"/>
    <w:rsid w:val="00507CC9"/>
    <w:rsid w:val="005119A5"/>
    <w:rsid w:val="00516957"/>
    <w:rsid w:val="005246A8"/>
    <w:rsid w:val="005278B7"/>
    <w:rsid w:val="00532016"/>
    <w:rsid w:val="005346C8"/>
    <w:rsid w:val="00536FCF"/>
    <w:rsid w:val="00540114"/>
    <w:rsid w:val="005412C5"/>
    <w:rsid w:val="00543671"/>
    <w:rsid w:val="00543E7D"/>
    <w:rsid w:val="00546566"/>
    <w:rsid w:val="00547114"/>
    <w:rsid w:val="00547A68"/>
    <w:rsid w:val="005531C9"/>
    <w:rsid w:val="00556A5E"/>
    <w:rsid w:val="00562A72"/>
    <w:rsid w:val="005709CB"/>
    <w:rsid w:val="00570C43"/>
    <w:rsid w:val="005801FF"/>
    <w:rsid w:val="00584F5D"/>
    <w:rsid w:val="00585C15"/>
    <w:rsid w:val="00593768"/>
    <w:rsid w:val="005943DE"/>
    <w:rsid w:val="005A7C5A"/>
    <w:rsid w:val="005B2110"/>
    <w:rsid w:val="005B2C18"/>
    <w:rsid w:val="005B61E6"/>
    <w:rsid w:val="005C2787"/>
    <w:rsid w:val="005C77E1"/>
    <w:rsid w:val="005C7E36"/>
    <w:rsid w:val="005D668A"/>
    <w:rsid w:val="005D6A2F"/>
    <w:rsid w:val="005D6C36"/>
    <w:rsid w:val="005E1A82"/>
    <w:rsid w:val="005E68D4"/>
    <w:rsid w:val="005E794C"/>
    <w:rsid w:val="005F0A28"/>
    <w:rsid w:val="005F0E5E"/>
    <w:rsid w:val="005F7D1B"/>
    <w:rsid w:val="00600535"/>
    <w:rsid w:val="006016B5"/>
    <w:rsid w:val="00604911"/>
    <w:rsid w:val="00610941"/>
    <w:rsid w:val="00610B39"/>
    <w:rsid w:val="00610CD6"/>
    <w:rsid w:val="00611DD4"/>
    <w:rsid w:val="00620DEE"/>
    <w:rsid w:val="00621F92"/>
    <w:rsid w:val="0062280A"/>
    <w:rsid w:val="00625639"/>
    <w:rsid w:val="00631B33"/>
    <w:rsid w:val="006400DF"/>
    <w:rsid w:val="0064184D"/>
    <w:rsid w:val="006422CC"/>
    <w:rsid w:val="00646551"/>
    <w:rsid w:val="00646A3A"/>
    <w:rsid w:val="00647D85"/>
    <w:rsid w:val="00653D13"/>
    <w:rsid w:val="00657BCF"/>
    <w:rsid w:val="006601CA"/>
    <w:rsid w:val="00660E3E"/>
    <w:rsid w:val="00662E74"/>
    <w:rsid w:val="006657BC"/>
    <w:rsid w:val="00665F64"/>
    <w:rsid w:val="00671EDB"/>
    <w:rsid w:val="00673894"/>
    <w:rsid w:val="00680C23"/>
    <w:rsid w:val="00691A0C"/>
    <w:rsid w:val="00693384"/>
    <w:rsid w:val="00693766"/>
    <w:rsid w:val="006A3281"/>
    <w:rsid w:val="006A4BDB"/>
    <w:rsid w:val="006B2E86"/>
    <w:rsid w:val="006B4888"/>
    <w:rsid w:val="006C2E45"/>
    <w:rsid w:val="006C359C"/>
    <w:rsid w:val="006C3D4D"/>
    <w:rsid w:val="006C3F9C"/>
    <w:rsid w:val="006C4DDE"/>
    <w:rsid w:val="006C510B"/>
    <w:rsid w:val="006C5579"/>
    <w:rsid w:val="006D6E8B"/>
    <w:rsid w:val="006E1A6A"/>
    <w:rsid w:val="006E52FC"/>
    <w:rsid w:val="006E7121"/>
    <w:rsid w:val="006E737D"/>
    <w:rsid w:val="006F383F"/>
    <w:rsid w:val="006F573E"/>
    <w:rsid w:val="007010D4"/>
    <w:rsid w:val="0070176B"/>
    <w:rsid w:val="00702DB8"/>
    <w:rsid w:val="00703283"/>
    <w:rsid w:val="00707F8B"/>
    <w:rsid w:val="00713973"/>
    <w:rsid w:val="00720A24"/>
    <w:rsid w:val="00723A11"/>
    <w:rsid w:val="007240CF"/>
    <w:rsid w:val="0073084E"/>
    <w:rsid w:val="00732386"/>
    <w:rsid w:val="00732B31"/>
    <w:rsid w:val="0073514D"/>
    <w:rsid w:val="00744535"/>
    <w:rsid w:val="007445CE"/>
    <w:rsid w:val="007447F3"/>
    <w:rsid w:val="0075499F"/>
    <w:rsid w:val="007644C6"/>
    <w:rsid w:val="007661C8"/>
    <w:rsid w:val="0077098D"/>
    <w:rsid w:val="00771222"/>
    <w:rsid w:val="00771EB1"/>
    <w:rsid w:val="007763D4"/>
    <w:rsid w:val="0078589A"/>
    <w:rsid w:val="00787239"/>
    <w:rsid w:val="007910EB"/>
    <w:rsid w:val="007931FA"/>
    <w:rsid w:val="00794EC7"/>
    <w:rsid w:val="007A4861"/>
    <w:rsid w:val="007A7BBA"/>
    <w:rsid w:val="007B0C50"/>
    <w:rsid w:val="007B48F9"/>
    <w:rsid w:val="007B5766"/>
    <w:rsid w:val="007B6CCB"/>
    <w:rsid w:val="007C1A43"/>
    <w:rsid w:val="007C1C4F"/>
    <w:rsid w:val="007C4DD7"/>
    <w:rsid w:val="007C6A61"/>
    <w:rsid w:val="007D05BD"/>
    <w:rsid w:val="007D1053"/>
    <w:rsid w:val="007D4A24"/>
    <w:rsid w:val="007D5BC4"/>
    <w:rsid w:val="007D7453"/>
    <w:rsid w:val="007D7F36"/>
    <w:rsid w:val="007E71FE"/>
    <w:rsid w:val="007F66E1"/>
    <w:rsid w:val="0080013E"/>
    <w:rsid w:val="00813288"/>
    <w:rsid w:val="008168FC"/>
    <w:rsid w:val="0081734B"/>
    <w:rsid w:val="008264DA"/>
    <w:rsid w:val="008276CE"/>
    <w:rsid w:val="00830996"/>
    <w:rsid w:val="008345F1"/>
    <w:rsid w:val="00846675"/>
    <w:rsid w:val="00851E7C"/>
    <w:rsid w:val="00854C2F"/>
    <w:rsid w:val="008629A4"/>
    <w:rsid w:val="00864E02"/>
    <w:rsid w:val="00865B07"/>
    <w:rsid w:val="008667EA"/>
    <w:rsid w:val="00870BE6"/>
    <w:rsid w:val="00872960"/>
    <w:rsid w:val="0087637F"/>
    <w:rsid w:val="0088301C"/>
    <w:rsid w:val="00884C36"/>
    <w:rsid w:val="00892AD5"/>
    <w:rsid w:val="008A1512"/>
    <w:rsid w:val="008A34CA"/>
    <w:rsid w:val="008B15C3"/>
    <w:rsid w:val="008B4894"/>
    <w:rsid w:val="008C6E05"/>
    <w:rsid w:val="008D32B9"/>
    <w:rsid w:val="008D433B"/>
    <w:rsid w:val="008E383E"/>
    <w:rsid w:val="008E566E"/>
    <w:rsid w:val="008F341F"/>
    <w:rsid w:val="008F7176"/>
    <w:rsid w:val="0090161A"/>
    <w:rsid w:val="00901EB6"/>
    <w:rsid w:val="00904751"/>
    <w:rsid w:val="00904C62"/>
    <w:rsid w:val="00922BA8"/>
    <w:rsid w:val="00924DAC"/>
    <w:rsid w:val="009264D7"/>
    <w:rsid w:val="00927058"/>
    <w:rsid w:val="00942750"/>
    <w:rsid w:val="009450CE"/>
    <w:rsid w:val="00945AB6"/>
    <w:rsid w:val="00947179"/>
    <w:rsid w:val="009514A3"/>
    <w:rsid w:val="0095164B"/>
    <w:rsid w:val="00954090"/>
    <w:rsid w:val="009573E7"/>
    <w:rsid w:val="00963E05"/>
    <w:rsid w:val="00964A45"/>
    <w:rsid w:val="00967843"/>
    <w:rsid w:val="00967D54"/>
    <w:rsid w:val="00971028"/>
    <w:rsid w:val="00972344"/>
    <w:rsid w:val="0097382D"/>
    <w:rsid w:val="00973FD3"/>
    <w:rsid w:val="00990CEF"/>
    <w:rsid w:val="009937FF"/>
    <w:rsid w:val="00993B84"/>
    <w:rsid w:val="00996483"/>
    <w:rsid w:val="00996F5A"/>
    <w:rsid w:val="009A0D29"/>
    <w:rsid w:val="009A4229"/>
    <w:rsid w:val="009A70D4"/>
    <w:rsid w:val="009A73CB"/>
    <w:rsid w:val="009B041A"/>
    <w:rsid w:val="009B70E6"/>
    <w:rsid w:val="009C37C3"/>
    <w:rsid w:val="009C6A8C"/>
    <w:rsid w:val="009C7C86"/>
    <w:rsid w:val="009D157A"/>
    <w:rsid w:val="009D2FF7"/>
    <w:rsid w:val="009E2583"/>
    <w:rsid w:val="009E7884"/>
    <w:rsid w:val="009E788A"/>
    <w:rsid w:val="009F0E08"/>
    <w:rsid w:val="00A057C3"/>
    <w:rsid w:val="00A12F74"/>
    <w:rsid w:val="00A1763D"/>
    <w:rsid w:val="00A17CEC"/>
    <w:rsid w:val="00A22AAC"/>
    <w:rsid w:val="00A26E57"/>
    <w:rsid w:val="00A27EF0"/>
    <w:rsid w:val="00A42361"/>
    <w:rsid w:val="00A430F2"/>
    <w:rsid w:val="00A50B20"/>
    <w:rsid w:val="00A51390"/>
    <w:rsid w:val="00A54CE3"/>
    <w:rsid w:val="00A60D13"/>
    <w:rsid w:val="00A6167E"/>
    <w:rsid w:val="00A657E1"/>
    <w:rsid w:val="00A72745"/>
    <w:rsid w:val="00A730CF"/>
    <w:rsid w:val="00A73857"/>
    <w:rsid w:val="00A76EFC"/>
    <w:rsid w:val="00A91010"/>
    <w:rsid w:val="00A91B38"/>
    <w:rsid w:val="00A97F29"/>
    <w:rsid w:val="00AA702E"/>
    <w:rsid w:val="00AB05C9"/>
    <w:rsid w:val="00AB0964"/>
    <w:rsid w:val="00AB5011"/>
    <w:rsid w:val="00AB7E45"/>
    <w:rsid w:val="00AC7368"/>
    <w:rsid w:val="00AD16B9"/>
    <w:rsid w:val="00AD63F5"/>
    <w:rsid w:val="00AE0CAB"/>
    <w:rsid w:val="00AE377D"/>
    <w:rsid w:val="00AF0EBA"/>
    <w:rsid w:val="00AF6775"/>
    <w:rsid w:val="00B01102"/>
    <w:rsid w:val="00B02C8A"/>
    <w:rsid w:val="00B05CCB"/>
    <w:rsid w:val="00B0644D"/>
    <w:rsid w:val="00B10743"/>
    <w:rsid w:val="00B16953"/>
    <w:rsid w:val="00B177B7"/>
    <w:rsid w:val="00B17FBD"/>
    <w:rsid w:val="00B214B7"/>
    <w:rsid w:val="00B315A6"/>
    <w:rsid w:val="00B31813"/>
    <w:rsid w:val="00B33365"/>
    <w:rsid w:val="00B415A0"/>
    <w:rsid w:val="00B4562C"/>
    <w:rsid w:val="00B57A1D"/>
    <w:rsid w:val="00B57B36"/>
    <w:rsid w:val="00B57E6F"/>
    <w:rsid w:val="00B62E7B"/>
    <w:rsid w:val="00B8686D"/>
    <w:rsid w:val="00B8733B"/>
    <w:rsid w:val="00B93F69"/>
    <w:rsid w:val="00BA5005"/>
    <w:rsid w:val="00BA7D9B"/>
    <w:rsid w:val="00BB1DDC"/>
    <w:rsid w:val="00BC30C9"/>
    <w:rsid w:val="00BD077D"/>
    <w:rsid w:val="00BD1DE9"/>
    <w:rsid w:val="00BE3E58"/>
    <w:rsid w:val="00BE6893"/>
    <w:rsid w:val="00C01616"/>
    <w:rsid w:val="00C0162B"/>
    <w:rsid w:val="00C02221"/>
    <w:rsid w:val="00C028AC"/>
    <w:rsid w:val="00C02B1D"/>
    <w:rsid w:val="00C03892"/>
    <w:rsid w:val="00C068ED"/>
    <w:rsid w:val="00C15A0D"/>
    <w:rsid w:val="00C16E80"/>
    <w:rsid w:val="00C22450"/>
    <w:rsid w:val="00C22E0C"/>
    <w:rsid w:val="00C345B1"/>
    <w:rsid w:val="00C3468F"/>
    <w:rsid w:val="00C40142"/>
    <w:rsid w:val="00C51C7D"/>
    <w:rsid w:val="00C52C3C"/>
    <w:rsid w:val="00C57182"/>
    <w:rsid w:val="00C57863"/>
    <w:rsid w:val="00C633F3"/>
    <w:rsid w:val="00C655FD"/>
    <w:rsid w:val="00C75407"/>
    <w:rsid w:val="00C75CB9"/>
    <w:rsid w:val="00C778C2"/>
    <w:rsid w:val="00C870A8"/>
    <w:rsid w:val="00C94434"/>
    <w:rsid w:val="00C9530F"/>
    <w:rsid w:val="00CA0D75"/>
    <w:rsid w:val="00CA1C95"/>
    <w:rsid w:val="00CA5A9C"/>
    <w:rsid w:val="00CB7340"/>
    <w:rsid w:val="00CC2986"/>
    <w:rsid w:val="00CC4C20"/>
    <w:rsid w:val="00CD06E6"/>
    <w:rsid w:val="00CD3517"/>
    <w:rsid w:val="00CD5FE2"/>
    <w:rsid w:val="00CD6165"/>
    <w:rsid w:val="00CE0C1F"/>
    <w:rsid w:val="00CE46BB"/>
    <w:rsid w:val="00CE7C68"/>
    <w:rsid w:val="00CF0CEF"/>
    <w:rsid w:val="00CF62D4"/>
    <w:rsid w:val="00D02B4C"/>
    <w:rsid w:val="00D040C4"/>
    <w:rsid w:val="00D05981"/>
    <w:rsid w:val="00D063E7"/>
    <w:rsid w:val="00D11FDB"/>
    <w:rsid w:val="00D21C8A"/>
    <w:rsid w:val="00D44C4E"/>
    <w:rsid w:val="00D46B7E"/>
    <w:rsid w:val="00D51282"/>
    <w:rsid w:val="00D567D0"/>
    <w:rsid w:val="00D56B38"/>
    <w:rsid w:val="00D57C84"/>
    <w:rsid w:val="00D6057D"/>
    <w:rsid w:val="00D71640"/>
    <w:rsid w:val="00D72143"/>
    <w:rsid w:val="00D77153"/>
    <w:rsid w:val="00D8133E"/>
    <w:rsid w:val="00D836C5"/>
    <w:rsid w:val="00D8375A"/>
    <w:rsid w:val="00D8379B"/>
    <w:rsid w:val="00D84576"/>
    <w:rsid w:val="00D941C6"/>
    <w:rsid w:val="00D9712A"/>
    <w:rsid w:val="00DA1399"/>
    <w:rsid w:val="00DA24C6"/>
    <w:rsid w:val="00DA4D7B"/>
    <w:rsid w:val="00DB71E5"/>
    <w:rsid w:val="00DC64C1"/>
    <w:rsid w:val="00DC687F"/>
    <w:rsid w:val="00DE003C"/>
    <w:rsid w:val="00DE06F5"/>
    <w:rsid w:val="00DE1861"/>
    <w:rsid w:val="00DE264A"/>
    <w:rsid w:val="00DF0C72"/>
    <w:rsid w:val="00DF3A4D"/>
    <w:rsid w:val="00DF5072"/>
    <w:rsid w:val="00E02D18"/>
    <w:rsid w:val="00E0387F"/>
    <w:rsid w:val="00E041E7"/>
    <w:rsid w:val="00E05262"/>
    <w:rsid w:val="00E07E0F"/>
    <w:rsid w:val="00E102C7"/>
    <w:rsid w:val="00E119BD"/>
    <w:rsid w:val="00E23CA1"/>
    <w:rsid w:val="00E32611"/>
    <w:rsid w:val="00E35793"/>
    <w:rsid w:val="00E409A8"/>
    <w:rsid w:val="00E44D51"/>
    <w:rsid w:val="00E50C12"/>
    <w:rsid w:val="00E560CD"/>
    <w:rsid w:val="00E65B91"/>
    <w:rsid w:val="00E7209D"/>
    <w:rsid w:val="00E72D94"/>
    <w:rsid w:val="00E72DBF"/>
    <w:rsid w:val="00E72EAD"/>
    <w:rsid w:val="00E77223"/>
    <w:rsid w:val="00E81169"/>
    <w:rsid w:val="00E8289F"/>
    <w:rsid w:val="00E8528B"/>
    <w:rsid w:val="00E85B94"/>
    <w:rsid w:val="00E978D0"/>
    <w:rsid w:val="00EA06D5"/>
    <w:rsid w:val="00EA29EA"/>
    <w:rsid w:val="00EA2C8D"/>
    <w:rsid w:val="00EA3429"/>
    <w:rsid w:val="00EA4613"/>
    <w:rsid w:val="00EA56B8"/>
    <w:rsid w:val="00EA5941"/>
    <w:rsid w:val="00EA7F91"/>
    <w:rsid w:val="00EB1523"/>
    <w:rsid w:val="00EC0E49"/>
    <w:rsid w:val="00EC101F"/>
    <w:rsid w:val="00EC1D9F"/>
    <w:rsid w:val="00EC3962"/>
    <w:rsid w:val="00ED1EA1"/>
    <w:rsid w:val="00ED4BE4"/>
    <w:rsid w:val="00EE0131"/>
    <w:rsid w:val="00EE17B0"/>
    <w:rsid w:val="00EE295C"/>
    <w:rsid w:val="00EE6A12"/>
    <w:rsid w:val="00EF06D9"/>
    <w:rsid w:val="00EF5153"/>
    <w:rsid w:val="00EF6995"/>
    <w:rsid w:val="00F167F3"/>
    <w:rsid w:val="00F211FA"/>
    <w:rsid w:val="00F3046F"/>
    <w:rsid w:val="00F30C64"/>
    <w:rsid w:val="00F32BA2"/>
    <w:rsid w:val="00F32CDB"/>
    <w:rsid w:val="00F44AB5"/>
    <w:rsid w:val="00F4641F"/>
    <w:rsid w:val="00F565FE"/>
    <w:rsid w:val="00F56A9B"/>
    <w:rsid w:val="00F63A70"/>
    <w:rsid w:val="00F64A8A"/>
    <w:rsid w:val="00F721C1"/>
    <w:rsid w:val="00F7534E"/>
    <w:rsid w:val="00F81441"/>
    <w:rsid w:val="00F9074A"/>
    <w:rsid w:val="00F94A73"/>
    <w:rsid w:val="00F959FA"/>
    <w:rsid w:val="00FA1802"/>
    <w:rsid w:val="00FA21D0"/>
    <w:rsid w:val="00FA5F5F"/>
    <w:rsid w:val="00FB72C6"/>
    <w:rsid w:val="00FB730C"/>
    <w:rsid w:val="00FC2695"/>
    <w:rsid w:val="00FC3E03"/>
    <w:rsid w:val="00FC3FC1"/>
    <w:rsid w:val="00FC462B"/>
    <w:rsid w:val="00FC5B3A"/>
    <w:rsid w:val="00FC6598"/>
    <w:rsid w:val="00FD21D5"/>
    <w:rsid w:val="00FD5BD7"/>
    <w:rsid w:val="00FE1514"/>
    <w:rsid w:val="00FE583C"/>
    <w:rsid w:val="00FF0450"/>
    <w:rsid w:val="00FF624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E44A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E44A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99"/>
    <w:qFormat/>
    <w:rsid w:val="00280FAF"/>
    <w:pPr>
      <w:ind w:left="720"/>
      <w:contextualSpacing/>
    </w:pPr>
  </w:style>
  <w:style w:type="character" w:customStyle="1" w:styleId="jlqj4b">
    <w:name w:val="jlqj4b"/>
    <w:basedOn w:val="Fuentedeprrafopredeter"/>
    <w:rsid w:val="00FC5B3A"/>
  </w:style>
  <w:style w:type="character" w:styleId="Nmerodelnea">
    <w:name w:val="line number"/>
    <w:basedOn w:val="Fuentedeprrafopredeter"/>
    <w:uiPriority w:val="99"/>
    <w:semiHidden/>
    <w:unhideWhenUsed/>
    <w:rsid w:val="00ED1EA1"/>
  </w:style>
  <w:style w:type="paragraph" w:customStyle="1" w:styleId="Normal1">
    <w:name w:val="Normal1"/>
    <w:rsid w:val="009A70D4"/>
    <w:pPr>
      <w:spacing w:after="160" w:line="259" w:lineRule="auto"/>
    </w:pPr>
    <w:rPr>
      <w:rFonts w:ascii="Cambria" w:eastAsia="Cambria" w:hAnsi="Cambria" w:cs="Cambria"/>
      <w:lang w:val="en-US" w:eastAsia="es-ES"/>
    </w:rPr>
  </w:style>
  <w:style w:type="paragraph" w:styleId="Revisin">
    <w:name w:val="Revision"/>
    <w:hidden/>
    <w:uiPriority w:val="99"/>
    <w:semiHidden/>
    <w:rsid w:val="00846675"/>
    <w:pPr>
      <w:spacing w:after="0" w:line="240" w:lineRule="auto"/>
    </w:pPr>
    <w:rPr>
      <w:rFonts w:ascii="Arial" w:eastAsia="Times New Roman" w:hAnsi="Arial" w:cs="Times New Roman"/>
      <w:sz w:val="18"/>
      <w:szCs w:val="20"/>
      <w:lang w:val="en-GB"/>
    </w:rPr>
  </w:style>
  <w:style w:type="character" w:styleId="Mencinsinresolver">
    <w:name w:val="Unresolved Mention"/>
    <w:basedOn w:val="Fuentedeprrafopredeter"/>
    <w:uiPriority w:val="99"/>
    <w:semiHidden/>
    <w:unhideWhenUsed/>
    <w:rsid w:val="0032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531">
      <w:bodyDiv w:val="1"/>
      <w:marLeft w:val="0"/>
      <w:marRight w:val="0"/>
      <w:marTop w:val="0"/>
      <w:marBottom w:val="0"/>
      <w:divBdr>
        <w:top w:val="none" w:sz="0" w:space="0" w:color="auto"/>
        <w:left w:val="none" w:sz="0" w:space="0" w:color="auto"/>
        <w:bottom w:val="none" w:sz="0" w:space="0" w:color="auto"/>
        <w:right w:val="none" w:sz="0" w:space="0" w:color="auto"/>
      </w:divBdr>
    </w:div>
    <w:div w:id="11823209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9342">
      <w:bodyDiv w:val="1"/>
      <w:marLeft w:val="0"/>
      <w:marRight w:val="0"/>
      <w:marTop w:val="0"/>
      <w:marBottom w:val="0"/>
      <w:divBdr>
        <w:top w:val="none" w:sz="0" w:space="0" w:color="auto"/>
        <w:left w:val="none" w:sz="0" w:space="0" w:color="auto"/>
        <w:bottom w:val="none" w:sz="0" w:space="0" w:color="auto"/>
        <w:right w:val="none" w:sz="0" w:space="0" w:color="auto"/>
      </w:divBdr>
    </w:div>
    <w:div w:id="1217396796">
      <w:bodyDiv w:val="1"/>
      <w:marLeft w:val="0"/>
      <w:marRight w:val="0"/>
      <w:marTop w:val="0"/>
      <w:marBottom w:val="0"/>
      <w:divBdr>
        <w:top w:val="none" w:sz="0" w:space="0" w:color="auto"/>
        <w:left w:val="none" w:sz="0" w:space="0" w:color="auto"/>
        <w:bottom w:val="none" w:sz="0" w:space="0" w:color="auto"/>
        <w:right w:val="none" w:sz="0" w:space="0" w:color="auto"/>
      </w:divBdr>
    </w:div>
    <w:div w:id="1356805121">
      <w:bodyDiv w:val="1"/>
      <w:marLeft w:val="0"/>
      <w:marRight w:val="0"/>
      <w:marTop w:val="0"/>
      <w:marBottom w:val="0"/>
      <w:divBdr>
        <w:top w:val="none" w:sz="0" w:space="0" w:color="auto"/>
        <w:left w:val="none" w:sz="0" w:space="0" w:color="auto"/>
        <w:bottom w:val="none" w:sz="0" w:space="0" w:color="auto"/>
        <w:right w:val="none" w:sz="0" w:space="0" w:color="auto"/>
      </w:divBdr>
    </w:div>
    <w:div w:id="142449556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38610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990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C205-FDB8-453D-A790-0FB7F56A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6</Pages>
  <Words>9756</Words>
  <Characters>53664</Characters>
  <Application>Microsoft Office Word</Application>
  <DocSecurity>0</DocSecurity>
  <Lines>447</Lines>
  <Paragraphs>126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Diana Vela Aparicio</cp:lastModifiedBy>
  <cp:revision>22</cp:revision>
  <cp:lastPrinted>2015-05-12T18:31:00Z</cp:lastPrinted>
  <dcterms:created xsi:type="dcterms:W3CDTF">2022-01-31T23:43:00Z</dcterms:created>
  <dcterms:modified xsi:type="dcterms:W3CDTF">2022-03-31T16:53:00Z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c6014893-e9c0-378b-b53d-b00d2cf6b33a</vt:lpwstr>
  </property>
  <property fmtid="{D5CDD505-2E9C-101B-9397-08002B2CF9AE}" pid="6" name="Mendeley Citation Style_1">
    <vt:lpwstr>http://www.zotero.org/styles/apa</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http://www.zotero.org/styles/chemical-engineering-journal</vt:lpwstr>
  </property>
  <property fmtid="{D5CDD505-2E9C-101B-9397-08002B2CF9AE}" pid="14" name="Mendeley Recent Style Name 3_1">
    <vt:lpwstr>Chemical Engineering Journal</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