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PE" w:eastAsia="es-PE"/>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BED1033" w:rsidR="000A03B2" w:rsidRPr="00B57B36" w:rsidRDefault="00A76EFC" w:rsidP="005D668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C81B13">
              <w:rPr>
                <w:rFonts w:cs="Arial"/>
                <w:b/>
                <w:bCs/>
                <w:i/>
                <w:iCs/>
                <w:color w:val="000066"/>
                <w:sz w:val="22"/>
                <w:szCs w:val="22"/>
                <w:lang w:eastAsia="it-IT"/>
              </w:rPr>
              <w:t>92</w:t>
            </w:r>
            <w:r w:rsidR="00FA5F5F">
              <w:rPr>
                <w:rFonts w:cs="Arial"/>
                <w:b/>
                <w:bCs/>
                <w:i/>
                <w:iCs/>
                <w:color w:val="000066"/>
                <w:sz w:val="22"/>
                <w:szCs w:val="22"/>
                <w:lang w:eastAsia="it-IT"/>
              </w:rPr>
              <w:t>, 20</w:t>
            </w:r>
            <w:r w:rsidR="00DF5072">
              <w:rPr>
                <w:rFonts w:cs="Arial"/>
                <w:b/>
                <w:bCs/>
                <w:i/>
                <w:iCs/>
                <w:color w:val="000066"/>
                <w:sz w:val="22"/>
                <w:szCs w:val="22"/>
                <w:lang w:eastAsia="it-IT"/>
              </w:rPr>
              <w:t>2</w:t>
            </w:r>
            <w:r w:rsidR="00C81B13">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s-PE" w:eastAsia="es-PE"/>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20152819" w14:textId="77777777" w:rsidR="00C81B13" w:rsidRPr="0044071E" w:rsidRDefault="00C81B13" w:rsidP="00C81B13">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Pr="0044071E">
              <w:rPr>
                <w:rFonts w:ascii="Tahoma" w:hAnsi="Tahoma" w:cs="Tahoma"/>
                <w:color w:val="000000"/>
                <w:sz w:val="14"/>
                <w:szCs w:val="14"/>
                <w:shd w:val="clear" w:color="auto" w:fill="FFFFFF"/>
                <w:lang w:val="it-IT"/>
              </w:rPr>
              <w:t xml:space="preserve"> Rubens Maciel Filho</w:t>
            </w:r>
            <w:r>
              <w:rPr>
                <w:rFonts w:ascii="Tahoma" w:hAnsi="Tahoma" w:cs="Tahoma"/>
                <w:color w:val="000000"/>
                <w:sz w:val="14"/>
                <w:szCs w:val="14"/>
                <w:shd w:val="clear" w:color="auto" w:fill="FFFFFF"/>
                <w:lang w:val="it-IT"/>
              </w:rPr>
              <w:t>,</w:t>
            </w:r>
            <w:r w:rsidRPr="0044071E">
              <w:rPr>
                <w:rFonts w:ascii="Tahoma" w:hAnsi="Tahoma" w:cs="Tahoma"/>
                <w:color w:val="000000"/>
                <w:sz w:val="14"/>
                <w:szCs w:val="14"/>
                <w:shd w:val="clear" w:color="auto" w:fill="FFFFFF"/>
                <w:lang w:val="it-IT"/>
              </w:rPr>
              <w:t xml:space="preserve"> Eliseo Ranzi</w:t>
            </w:r>
            <w:r>
              <w:rPr>
                <w:rFonts w:ascii="Tahoma" w:hAnsi="Tahoma" w:cs="Tahoma"/>
                <w:color w:val="000000"/>
                <w:sz w:val="14"/>
                <w:szCs w:val="14"/>
                <w:shd w:val="clear" w:color="auto" w:fill="FFFFFF"/>
                <w:lang w:val="it-IT"/>
              </w:rPr>
              <w:t>, Leonardo Tognotti</w:t>
            </w:r>
          </w:p>
          <w:p w14:paraId="1B0F1814" w14:textId="66AFF84F" w:rsidR="000A03B2" w:rsidRPr="00B57B36" w:rsidRDefault="00C81B13" w:rsidP="00C81B13">
            <w:pPr>
              <w:tabs>
                <w:tab w:val="left" w:pos="-108"/>
              </w:tabs>
              <w:spacing w:line="140" w:lineRule="atLeast"/>
              <w:ind w:left="-107"/>
              <w:jc w:val="left"/>
            </w:pPr>
            <w:r>
              <w:rPr>
                <w:rFonts w:ascii="Tahoma" w:hAnsi="Tahoma" w:cs="Tahoma"/>
                <w:iCs/>
                <w:color w:val="333333"/>
                <w:sz w:val="14"/>
                <w:szCs w:val="14"/>
                <w:lang w:eastAsia="it-IT"/>
              </w:rPr>
              <w:t>Copyright © 2022</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Pr>
                <w:rFonts w:ascii="Tahoma" w:hAnsi="Tahoma" w:cs="Tahoma"/>
                <w:sz w:val="14"/>
                <w:szCs w:val="14"/>
              </w:rPr>
              <w:t>978-88-</w:t>
            </w:r>
            <w:r w:rsidRPr="00EF06D9">
              <w:rPr>
                <w:rFonts w:ascii="Tahoma" w:hAnsi="Tahoma" w:cs="Tahoma"/>
                <w:sz w:val="14"/>
                <w:szCs w:val="14"/>
              </w:rPr>
              <w:t>95608</w:t>
            </w:r>
            <w:r>
              <w:rPr>
                <w:rFonts w:ascii="Tahoma" w:hAnsi="Tahoma" w:cs="Tahoma"/>
                <w:sz w:val="14"/>
                <w:szCs w:val="14"/>
              </w:rPr>
              <w:t>-90-7</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11B09EB1" w:rsidR="00E978D0" w:rsidRPr="003A4A45" w:rsidRDefault="003A4A45" w:rsidP="003A4A45">
      <w:pPr>
        <w:pStyle w:val="CETTitle"/>
        <w:rPr>
          <w:bCs/>
          <w:iCs/>
          <w:lang w:val="en-US"/>
        </w:rPr>
      </w:pPr>
      <w:r w:rsidRPr="003A4A45">
        <w:rPr>
          <w:bCs/>
          <w:i/>
          <w:iCs/>
          <w:lang w:val="en-US"/>
        </w:rPr>
        <w:t>Eichhornia crassipes</w:t>
      </w:r>
      <w:r w:rsidRPr="003A4A45">
        <w:rPr>
          <w:bCs/>
          <w:iCs/>
          <w:lang w:val="en-US"/>
        </w:rPr>
        <w:t xml:space="preserve"> and </w:t>
      </w:r>
      <w:r w:rsidRPr="003A4A45">
        <w:rPr>
          <w:bCs/>
          <w:i/>
          <w:iCs/>
          <w:lang w:val="en-US"/>
        </w:rPr>
        <w:t>Pistia stratiotes</w:t>
      </w:r>
      <w:r w:rsidR="006C094C">
        <w:rPr>
          <w:bCs/>
          <w:iCs/>
          <w:lang w:val="en-US"/>
        </w:rPr>
        <w:t xml:space="preserve"> as Biosorbents for Lead, Copper and Zinc in Wastewater T</w:t>
      </w:r>
      <w:r w:rsidRPr="003A4A45">
        <w:rPr>
          <w:bCs/>
          <w:iCs/>
          <w:lang w:val="en-US"/>
        </w:rPr>
        <w:t>reatment</w:t>
      </w:r>
    </w:p>
    <w:p w14:paraId="2B3CA35C" w14:textId="575AAF52" w:rsidR="00E978D0" w:rsidRPr="00F31BC5" w:rsidRDefault="00740462" w:rsidP="007F4033">
      <w:pPr>
        <w:pStyle w:val="CETAuthors"/>
      </w:pPr>
      <w:r w:rsidRPr="00EF4175">
        <w:rPr>
          <w:bCs/>
          <w:szCs w:val="24"/>
          <w:lang w:val="en-US"/>
        </w:rPr>
        <w:t>Marina V. A</w:t>
      </w:r>
      <w:r w:rsidR="00E50734">
        <w:rPr>
          <w:bCs/>
          <w:szCs w:val="24"/>
          <w:lang w:val="en-US"/>
        </w:rPr>
        <w:t>yme Estacio</w:t>
      </w:r>
      <w:r w:rsidR="007705EF" w:rsidRPr="007705EF">
        <w:rPr>
          <w:bCs/>
          <w:lang w:val="en-US"/>
        </w:rPr>
        <w:t>,</w:t>
      </w:r>
      <w:r w:rsidR="003A4A45">
        <w:rPr>
          <w:bCs/>
        </w:rPr>
        <w:t xml:space="preserve"> Carlos A. Castañeda-</w:t>
      </w:r>
      <w:r w:rsidR="007F4033" w:rsidRPr="00C14646">
        <w:rPr>
          <w:bCs/>
        </w:rPr>
        <w:t>Olivera*</w:t>
      </w:r>
      <w:r>
        <w:rPr>
          <w:bCs/>
        </w:rPr>
        <w:t>, Elmer G. Benites Alfaro</w:t>
      </w:r>
    </w:p>
    <w:p w14:paraId="3AE11478" w14:textId="1ED6C82C" w:rsidR="00F84164" w:rsidRPr="00077999" w:rsidRDefault="00412957" w:rsidP="00F84164">
      <w:pPr>
        <w:pStyle w:val="CETAddress"/>
        <w:rPr>
          <w:lang w:val="en-US"/>
        </w:rPr>
      </w:pPr>
      <w:r w:rsidRPr="00077999">
        <w:rPr>
          <w:lang w:val="en-US"/>
        </w:rPr>
        <w:t xml:space="preserve">Universidad </w:t>
      </w:r>
      <w:r w:rsidR="00F31BC5" w:rsidRPr="00077999">
        <w:rPr>
          <w:lang w:val="en-US"/>
        </w:rPr>
        <w:t>César Vallejo</w:t>
      </w:r>
      <w:r w:rsidRPr="00077999">
        <w:rPr>
          <w:lang w:val="en-US"/>
        </w:rPr>
        <w:t xml:space="preserve">, </w:t>
      </w:r>
      <w:r w:rsidR="007705EF" w:rsidRPr="00077999">
        <w:rPr>
          <w:lang w:val="en-US"/>
        </w:rPr>
        <w:t xml:space="preserve">Campus Los Olivos, </w:t>
      </w:r>
      <w:r w:rsidRPr="00077999">
        <w:rPr>
          <w:lang w:val="en-US"/>
        </w:rPr>
        <w:t>Lima</w:t>
      </w:r>
      <w:r w:rsidR="007F4033" w:rsidRPr="00077999">
        <w:rPr>
          <w:lang w:val="en-US"/>
        </w:rPr>
        <w:t>, Perú</w:t>
      </w:r>
    </w:p>
    <w:p w14:paraId="0127A28D" w14:textId="0E9B7856" w:rsidR="00E978D0" w:rsidRPr="00A42589" w:rsidRDefault="00412957" w:rsidP="00E978D0">
      <w:pPr>
        <w:pStyle w:val="CETemail"/>
        <w:rPr>
          <w:lang w:val="en-US"/>
        </w:rPr>
      </w:pPr>
      <w:r w:rsidRPr="006C094C">
        <w:rPr>
          <w:vertAlign w:val="superscript"/>
          <w:lang w:val="en-US"/>
        </w:rPr>
        <w:t>*</w:t>
      </w:r>
      <w:r w:rsidRPr="006C094C">
        <w:rPr>
          <w:lang w:val="en-US"/>
        </w:rPr>
        <w:t>caralcaso@gmail.com</w:t>
      </w:r>
    </w:p>
    <w:p w14:paraId="6D31D76A" w14:textId="6CBA5393" w:rsidR="0005487D" w:rsidRPr="0005487D" w:rsidRDefault="00740462" w:rsidP="0005487D">
      <w:pPr>
        <w:pStyle w:val="CETBodytext"/>
      </w:pPr>
      <w:r w:rsidRPr="00740462">
        <w:rPr>
          <w:lang w:val="en-GB"/>
        </w:rPr>
        <w:t xml:space="preserve">In the world, a large part of the wastewater is not previously treated, resulting in the contamination of water resources. Thus, the present research aimed to evaluate </w:t>
      </w:r>
      <w:r w:rsidRPr="00740462">
        <w:rPr>
          <w:i/>
          <w:lang w:val="en-GB"/>
        </w:rPr>
        <w:t>Eichhornia crassipes</w:t>
      </w:r>
      <w:r w:rsidRPr="00740462">
        <w:rPr>
          <w:lang w:val="en-GB"/>
        </w:rPr>
        <w:t xml:space="preserve"> and </w:t>
      </w:r>
      <w:r w:rsidRPr="00740462">
        <w:rPr>
          <w:i/>
          <w:lang w:val="en-GB"/>
        </w:rPr>
        <w:t>Pistia stratiotes</w:t>
      </w:r>
      <w:r w:rsidRPr="00740462">
        <w:rPr>
          <w:lang w:val="en-GB"/>
        </w:rPr>
        <w:t xml:space="preserve"> as sorbents in the treatment of Pb, Cu and Zn in wastewater from the community of Cashaucro located in Oyón, Peru at 3600 masl. To evaluate the biosorption of the macrophytes, 6 glass cuvettes were used with concentrations of 750 mg/L of zinc, 25 mg/L of copper and 62.5 mg/L of lead. The treatment was carried out for 15 days and physicochemical parameters such as pH, electrical conductivity, dissolved oxygen and temperature were monitored every week. </w:t>
      </w:r>
      <w:r w:rsidR="00AA47BE" w:rsidRPr="00AA47BE">
        <w:rPr>
          <w:lang w:val="en-GB"/>
        </w:rPr>
        <w:t xml:space="preserve">According to the results obtained, the best removals for copper, lead and zinc were achieved with the macrophyte </w:t>
      </w:r>
      <w:r w:rsidR="00AA47BE" w:rsidRPr="00AA47BE">
        <w:rPr>
          <w:i/>
          <w:lang w:val="en-GB"/>
        </w:rPr>
        <w:t>Eichhornia crassipes</w:t>
      </w:r>
      <w:r w:rsidR="00AA47BE" w:rsidRPr="00AA47BE">
        <w:rPr>
          <w:lang w:val="en-GB"/>
        </w:rPr>
        <w:t>, with values of 99.86,</w:t>
      </w:r>
      <w:r w:rsidR="00AA47BE">
        <w:rPr>
          <w:lang w:val="en-GB"/>
        </w:rPr>
        <w:t xml:space="preserve"> 99.89 and 29.45%, respectively</w:t>
      </w:r>
      <w:r w:rsidRPr="00740462">
        <w:rPr>
          <w:lang w:val="en-GB"/>
        </w:rPr>
        <w:t>. On the other hand, values higher than 90% were achieved in the improvement of physicochemical parameters. Finally, the study showed that floating macrophytes are good adsorbents of heavy metals and could be used as an alternative for improving water quality due to their low cost.</w:t>
      </w:r>
      <w:r w:rsidR="0005487D" w:rsidRPr="0005487D">
        <w:t xml:space="preserve"> </w:t>
      </w:r>
    </w:p>
    <w:p w14:paraId="476B2F2E" w14:textId="23C2B55A" w:rsidR="00600535" w:rsidRPr="00B57B36" w:rsidRDefault="00C14646" w:rsidP="00600535">
      <w:pPr>
        <w:pStyle w:val="CETHeading1"/>
        <w:rPr>
          <w:lang w:val="en-GB"/>
        </w:rPr>
      </w:pPr>
      <w:r>
        <w:rPr>
          <w:lang w:val="en-GB"/>
        </w:rPr>
        <w:t xml:space="preserve">1. </w:t>
      </w:r>
      <w:r w:rsidR="00600535" w:rsidRPr="00B57B36">
        <w:rPr>
          <w:lang w:val="en-GB"/>
        </w:rPr>
        <w:t>Introduction</w:t>
      </w:r>
    </w:p>
    <w:p w14:paraId="18B22C84" w14:textId="5CE59565" w:rsidR="00AC726E" w:rsidRDefault="005E05C3" w:rsidP="005E05C3">
      <w:pPr>
        <w:pStyle w:val="CETBodytext"/>
      </w:pPr>
      <w:r>
        <w:t>In the world, more than 80% of wastewater is discharged directly into the river or the sea without giving it a previous treatment producing poll</w:t>
      </w:r>
      <w:r w:rsidR="00AA716D">
        <w:t>ution of water resources (WWAP</w:t>
      </w:r>
      <w:r>
        <w:t>, 2017). This pollution is mainly caused by chemical substances that are dumped by mining industries, and is a debatable issue due to the effects it causes on human health, ecolog</w:t>
      </w:r>
      <w:r w:rsidR="00AA716D">
        <w:t xml:space="preserve">y and the environment (Latorre and </w:t>
      </w:r>
      <w:r>
        <w:t>Tov</w:t>
      </w:r>
      <w:r w:rsidR="00131C44">
        <w:t>ar, 2017; Canaza Choque, 2018)</w:t>
      </w:r>
      <w:r w:rsidR="00AC726E" w:rsidRPr="00AC726E">
        <w:t>.</w:t>
      </w:r>
    </w:p>
    <w:p w14:paraId="3C6428CD" w14:textId="7F887B38" w:rsidR="00131C44" w:rsidRDefault="00131C44" w:rsidP="00131C44">
      <w:pPr>
        <w:pStyle w:val="CETBodytext"/>
      </w:pPr>
      <w:r>
        <w:t xml:space="preserve">Among the contaminants are heavy metals such as lead, cadmium, mercury and arsenic, among others. These metals, when in contact with living beings, generate disorders and alterations in the chemical reactions of metabolism, which are related to the time of exposure and their concentration. The absorption of lead in the blood affects </w:t>
      </w:r>
      <w:r w:rsidRPr="00131C44">
        <w:t>intelligence quotient</w:t>
      </w:r>
      <w:r>
        <w:t xml:space="preserve"> (IQ)</w:t>
      </w:r>
      <w:r w:rsidR="00BD645F">
        <w:t xml:space="preserve"> and academic</w:t>
      </w:r>
      <w:r>
        <w:t xml:space="preserve"> performance in children and cardiovascular diseases in adults (Osores</w:t>
      </w:r>
      <w:r w:rsidR="00F06111">
        <w:t xml:space="preserve"> Plenge</w:t>
      </w:r>
      <w:r>
        <w:t>, 2016). High concentrations of copper sulfate in sheep pr</w:t>
      </w:r>
      <w:r w:rsidR="00F20E8E">
        <w:t>oduce lethal hemolysis (</w:t>
      </w:r>
      <w:r>
        <w:t xml:space="preserve">Franco et al., 2016). High Zn intake for prolonged times can cause hypocupremia with anemia, neutropenia and leukopenia (Rubio et al., 2007). To counteract this, there are several technologies such as biological treatment using floating macrophytes. This treatment has received more attention because these species have the capacity to absorb toxic elements in their structure. In this regard, Caviedes </w:t>
      </w:r>
      <w:r w:rsidR="00F20E8E">
        <w:t xml:space="preserve">Rubio </w:t>
      </w:r>
      <w:r>
        <w:t xml:space="preserve">et al. (2016) state that these plants are effective in the remediation of waters that have organic matter and heavy metals. In addition, they mention that </w:t>
      </w:r>
      <w:r w:rsidRPr="00CD13C5">
        <w:rPr>
          <w:i/>
        </w:rPr>
        <w:t>Eichhornia crassipes</w:t>
      </w:r>
      <w:r>
        <w:t xml:space="preserve">, </w:t>
      </w:r>
      <w:r w:rsidRPr="00CD13C5">
        <w:rPr>
          <w:i/>
        </w:rPr>
        <w:t>Pistia stratiotes</w:t>
      </w:r>
      <w:r>
        <w:t xml:space="preserve"> and </w:t>
      </w:r>
      <w:r w:rsidRPr="00CD13C5">
        <w:rPr>
          <w:i/>
        </w:rPr>
        <w:t>Lemna minor</w:t>
      </w:r>
      <w:r>
        <w:t xml:space="preserve"> have been more researched species in wastewater treatment. </w:t>
      </w:r>
    </w:p>
    <w:p w14:paraId="7DF2EFE6" w14:textId="3AF4CFB6" w:rsidR="00BD645F" w:rsidRDefault="00BD645F" w:rsidP="00BD645F">
      <w:pPr>
        <w:pStyle w:val="CETBodytext"/>
      </w:pPr>
      <w:r>
        <w:t>Heavy metal adsorption using natural plants has been studied by several authors, among them, Mwaniki et al. (2019) studied the adsorption of Pb and Zn using water hyacinth in wastewater and aqueous solutions. Similarly, Sarkar et al. (2017) employed water hyacinth powder to remove heavy metals.</w:t>
      </w:r>
    </w:p>
    <w:p w14:paraId="6BEA58EB" w14:textId="1FD5C191" w:rsidR="00BD645F" w:rsidRDefault="00BD645F" w:rsidP="00BD645F">
      <w:pPr>
        <w:pStyle w:val="CETBodytext"/>
      </w:pPr>
      <w:r>
        <w:t xml:space="preserve">Floating macrophytes are used in polluted waters using environmentally friendly technology. Among the floating macrophytes we have water hyacinth, which is highly resistant that can tolerate the toxicity of heavy metals, phenols, formaldehydes, formic acids, acetic acids, and oxalic acids, even in their high concentrations </w:t>
      </w:r>
      <w:r w:rsidRPr="00A02346">
        <w:t>(Sanz et al., 2004).  For the uptake of heavy metals and organic matter in phytoremediation systems, aquatic</w:t>
      </w:r>
      <w:r>
        <w:t xml:space="preserve"> macrophytes such as </w:t>
      </w:r>
      <w:r w:rsidRPr="00CD13C5">
        <w:rPr>
          <w:i/>
        </w:rPr>
        <w:t>Lemna minor</w:t>
      </w:r>
      <w:r>
        <w:t xml:space="preserve"> and </w:t>
      </w:r>
      <w:r w:rsidRPr="00CD13C5">
        <w:rPr>
          <w:i/>
        </w:rPr>
        <w:t>Eichhornia crassipes</w:t>
      </w:r>
      <w:r>
        <w:t xml:space="preserve"> are very effective because they have the ability of </w:t>
      </w:r>
      <w:r>
        <w:lastRenderedPageBreak/>
        <w:t>resistance, bioaccumulation, mechanism, invasive and reproductive (Goswami and Das, 2018).</w:t>
      </w:r>
      <w:r w:rsidR="00771543">
        <w:t xml:space="preserve"> </w:t>
      </w:r>
      <w:r w:rsidR="00771543" w:rsidRPr="00771543">
        <w:t>The plant Eichhornia crassipes contains in its roots biosurfactant characterized as a hydroxyl-containing unsaturated fatty acid that can remove petroleum derived contaminants (Selva et al., 2020).</w:t>
      </w:r>
    </w:p>
    <w:p w14:paraId="3EF44CF8" w14:textId="746E8780" w:rsidR="00131C44" w:rsidRDefault="00BD645F" w:rsidP="00131C44">
      <w:pPr>
        <w:pStyle w:val="CETBodytext"/>
      </w:pPr>
      <w:r w:rsidRPr="00BD645F">
        <w:t>Heavy metals in watersheds disrupt ecosystems and organisms causing short and long term problems in tissues and organs. These metals are considered to be one of the most toxic and polluting components in rivers. The toxicity of the metal will depend both on the chemical compound it is bound to and the route of administration (Jaramillo and Flores</w:t>
      </w:r>
      <w:r w:rsidR="007D598F">
        <w:t>,</w:t>
      </w:r>
      <w:r w:rsidRPr="00BD645F">
        <w:t xml:space="preserve"> 2012). Moreover, the danger lies not only in its toxicity but also in the exposure time, despite being present in low concentrations (Osores</w:t>
      </w:r>
      <w:r w:rsidR="007D598F">
        <w:t xml:space="preserve"> Plenge</w:t>
      </w:r>
      <w:r w:rsidRPr="00BD645F">
        <w:t xml:space="preserve">, 2016). Therefore, the research evaluated </w:t>
      </w:r>
      <w:r w:rsidRPr="00CD13C5">
        <w:rPr>
          <w:i/>
        </w:rPr>
        <w:t>Eichhornia crassipes</w:t>
      </w:r>
      <w:r w:rsidRPr="00BD645F">
        <w:t xml:space="preserve"> and </w:t>
      </w:r>
      <w:r w:rsidRPr="00CD13C5">
        <w:rPr>
          <w:i/>
        </w:rPr>
        <w:t>Pistia stratiotes</w:t>
      </w:r>
      <w:r w:rsidRPr="00BD645F">
        <w:t xml:space="preserve"> as sorbents in the treatment of Pb, Cu and Zn in the waters of the Quichas River, located at 3600 masl in the district of Oyón in Lima, Peru.</w:t>
      </w:r>
    </w:p>
    <w:p w14:paraId="6D526EAA" w14:textId="34341936" w:rsidR="00AC756E" w:rsidRPr="00B57B36" w:rsidRDefault="00C14646" w:rsidP="00AC756E">
      <w:pPr>
        <w:pStyle w:val="CETHeading1"/>
        <w:rPr>
          <w:lang w:val="en-GB"/>
        </w:rPr>
      </w:pPr>
      <w:r>
        <w:rPr>
          <w:lang w:val="en-GB"/>
        </w:rPr>
        <w:t xml:space="preserve">2. </w:t>
      </w:r>
      <w:r w:rsidR="00AC756E">
        <w:rPr>
          <w:lang w:val="en-GB"/>
        </w:rPr>
        <w:t>Materials and m</w:t>
      </w:r>
      <w:r w:rsidR="00AC756E" w:rsidRPr="00AC756E">
        <w:rPr>
          <w:lang w:val="en-GB"/>
        </w:rPr>
        <w:t>ethods</w:t>
      </w:r>
    </w:p>
    <w:p w14:paraId="036DAF1A" w14:textId="35D3E796" w:rsidR="0099418D" w:rsidRPr="00C14646" w:rsidRDefault="0099418D" w:rsidP="00C14646">
      <w:pPr>
        <w:pStyle w:val="CETheadingx"/>
        <w:rPr>
          <w:iCs/>
          <w:lang w:val="en-GB"/>
        </w:rPr>
      </w:pPr>
      <w:r w:rsidRPr="00C14646">
        <w:rPr>
          <w:iCs/>
          <w:lang w:val="en-GB"/>
        </w:rPr>
        <w:t xml:space="preserve">2.1 </w:t>
      </w:r>
      <w:r w:rsidR="004C0883" w:rsidRPr="004C0883">
        <w:rPr>
          <w:iCs/>
          <w:lang w:val="en-GB"/>
        </w:rPr>
        <w:t>Study area</w:t>
      </w:r>
    </w:p>
    <w:p w14:paraId="09546196" w14:textId="47313315" w:rsidR="0099418D" w:rsidRPr="00B07A08" w:rsidRDefault="00281F5F" w:rsidP="0099418D">
      <w:pPr>
        <w:pStyle w:val="CETBodytext"/>
      </w:pPr>
      <w:r w:rsidRPr="00281F5F">
        <w:t>The study was conducted in the community of Cashaucro in the district of Oyón in Lima, Peru. This district is located at 3560.61 m</w:t>
      </w:r>
      <w:r>
        <w:t>.</w:t>
      </w:r>
      <w:r w:rsidRPr="00281F5F">
        <w:t>a</w:t>
      </w:r>
      <w:r>
        <w:t>.</w:t>
      </w:r>
      <w:r w:rsidRPr="00281F5F">
        <w:t>s</w:t>
      </w:r>
      <w:r>
        <w:t>.</w:t>
      </w:r>
      <w:r w:rsidRPr="00281F5F">
        <w:t>l</w:t>
      </w:r>
      <w:r>
        <w:t>.,</w:t>
      </w:r>
      <w:r w:rsidRPr="00281F5F">
        <w:t xml:space="preserve"> with UTM coordina</w:t>
      </w:r>
      <w:r>
        <w:t>tes 306022.909 E, 8824560.639 N</w:t>
      </w:r>
      <w:r w:rsidR="0099418D" w:rsidRPr="00B07A08">
        <w:t>.</w:t>
      </w:r>
    </w:p>
    <w:p w14:paraId="2435619B" w14:textId="75EAF878" w:rsidR="0099418D" w:rsidRPr="00C14646" w:rsidRDefault="0099418D" w:rsidP="00C14646">
      <w:pPr>
        <w:pStyle w:val="CETheadingx"/>
        <w:rPr>
          <w:iCs/>
          <w:lang w:val="en-GB"/>
        </w:rPr>
      </w:pPr>
      <w:r w:rsidRPr="00C14646">
        <w:rPr>
          <w:iCs/>
          <w:lang w:val="en-GB"/>
        </w:rPr>
        <w:t xml:space="preserve">2.2 </w:t>
      </w:r>
      <w:r w:rsidR="00E6398F" w:rsidRPr="00E6398F">
        <w:rPr>
          <w:iCs/>
          <w:lang w:val="en-GB"/>
        </w:rPr>
        <w:t>Characterization of macrophyte plants</w:t>
      </w:r>
    </w:p>
    <w:p w14:paraId="63DBD455" w14:textId="6AFF3AEE" w:rsidR="0099418D" w:rsidRPr="00B07A08" w:rsidRDefault="00756CB9" w:rsidP="00AC756E">
      <w:pPr>
        <w:pStyle w:val="CETBodytext"/>
      </w:pPr>
      <w:r w:rsidRPr="00756CB9">
        <w:t>Macrophytic species such as Eichhornia crassipes and Pistia stratiotes were physically characterized to determine the col</w:t>
      </w:r>
      <w:r>
        <w:t>or, shape and size of the roots</w:t>
      </w:r>
      <w:r w:rsidR="00D95FA1" w:rsidRPr="00D95FA1">
        <w:t>.</w:t>
      </w:r>
    </w:p>
    <w:p w14:paraId="320E3FF0" w14:textId="20272766" w:rsidR="00AB6233" w:rsidRPr="00C14646" w:rsidRDefault="00C14646" w:rsidP="00C14646">
      <w:pPr>
        <w:pStyle w:val="CETheadingx"/>
        <w:rPr>
          <w:iCs/>
          <w:lang w:val="en-GB"/>
        </w:rPr>
      </w:pPr>
      <w:r>
        <w:rPr>
          <w:iCs/>
          <w:lang w:val="en-GB"/>
        </w:rPr>
        <w:t>2.3</w:t>
      </w:r>
      <w:r w:rsidR="00AB6233" w:rsidRPr="00C14646">
        <w:rPr>
          <w:iCs/>
          <w:lang w:val="en-GB"/>
        </w:rPr>
        <w:t xml:space="preserve"> </w:t>
      </w:r>
      <w:r w:rsidR="00E6398F" w:rsidRPr="00E6398F">
        <w:rPr>
          <w:iCs/>
          <w:lang w:val="en-GB"/>
        </w:rPr>
        <w:t>Application of macrophyte plants in wastewater treatment</w:t>
      </w:r>
    </w:p>
    <w:p w14:paraId="301F1591" w14:textId="1FFE8D53" w:rsidR="00AB6233" w:rsidRDefault="00E6398F" w:rsidP="00AB6233">
      <w:pPr>
        <w:pStyle w:val="CETBodytext"/>
      </w:pPr>
      <w:r w:rsidRPr="00E6398F">
        <w:t>For th</w:t>
      </w:r>
      <w:r w:rsidR="003F08BB">
        <w:t>e experimentation, 6 glass cuvette</w:t>
      </w:r>
      <w:r w:rsidRPr="00E6398F">
        <w:t xml:space="preserve">s with a capacity of 30 liters were designed. The dimensions of the basin were 35 cm wide, 30 cm high and </w:t>
      </w:r>
      <w:r>
        <w:t>45 cm long</w:t>
      </w:r>
      <w:r w:rsidRPr="00E6398F">
        <w:t>.</w:t>
      </w:r>
    </w:p>
    <w:p w14:paraId="50BC7D79" w14:textId="7582CDFC" w:rsidR="008C7076" w:rsidRDefault="008C7076" w:rsidP="00AB6233">
      <w:pPr>
        <w:pStyle w:val="CETBodytext"/>
      </w:pPr>
      <w:r w:rsidRPr="008C7076">
        <w:t xml:space="preserve">Before the experiment, the </w:t>
      </w:r>
      <w:r w:rsidRPr="00F06B76">
        <w:rPr>
          <w:i/>
        </w:rPr>
        <w:t>Eichhornia crassipes</w:t>
      </w:r>
      <w:r w:rsidRPr="008C7076">
        <w:t xml:space="preserve"> and </w:t>
      </w:r>
      <w:r w:rsidRPr="00F06B76">
        <w:rPr>
          <w:i/>
        </w:rPr>
        <w:t>Pistia stratiotes</w:t>
      </w:r>
      <w:r w:rsidRPr="008C7076">
        <w:t xml:space="preserve"> plants were in the adaptation phase for 2 days. Then, the</w:t>
      </w:r>
      <w:r w:rsidR="003F08BB">
        <w:t xml:space="preserve"> plants were placed in the cuvette</w:t>
      </w:r>
      <w:r w:rsidRPr="008C7076">
        <w:t>s for experimental development. For this, the best macrophytes of each species of similar size were selected. For wastewater treatment, 3 plants of each species were placed in each cuvette. The cuvettes contained zinc sulfate, copper sulfate and lead nitrate solutions at concentrations of 750 mg/L, 25 mg/L and 62.5 mg/L, respectively (Figure 1).</w:t>
      </w:r>
    </w:p>
    <w:p w14:paraId="3625382E" w14:textId="4CE90B76" w:rsidR="00970A4E" w:rsidRDefault="00970A4E" w:rsidP="00AB6233">
      <w:pPr>
        <w:pStyle w:val="CETBodytext"/>
      </w:pPr>
    </w:p>
    <w:p w14:paraId="23698409" w14:textId="21FB22C4" w:rsidR="00970A4E" w:rsidRDefault="00970A4E" w:rsidP="00AB6233">
      <w:pPr>
        <w:pStyle w:val="CETBodytext"/>
      </w:pPr>
      <w:r>
        <w:rPr>
          <w:noProof/>
          <w:lang w:val="es-PE" w:eastAsia="es-PE"/>
        </w:rPr>
        <w:drawing>
          <wp:inline distT="0" distB="0" distL="0" distR="0" wp14:anchorId="3A717658" wp14:editId="27DFE158">
            <wp:extent cx="5585460" cy="1791970"/>
            <wp:effectExtent l="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6289" cy="1792236"/>
                    </a:xfrm>
                    <a:prstGeom prst="rect">
                      <a:avLst/>
                    </a:prstGeom>
                    <a:noFill/>
                  </pic:spPr>
                </pic:pic>
              </a:graphicData>
            </a:graphic>
          </wp:inline>
        </w:drawing>
      </w:r>
    </w:p>
    <w:p w14:paraId="2403E369" w14:textId="653867B0" w:rsidR="00756CB9" w:rsidRDefault="00756CB9" w:rsidP="00756CB9">
      <w:pPr>
        <w:pStyle w:val="CETCaption"/>
        <w:rPr>
          <w:rStyle w:val="CETCaptionCarattere"/>
          <w:i/>
        </w:rPr>
      </w:pPr>
      <w:r w:rsidRPr="00A14554">
        <w:rPr>
          <w:rStyle w:val="CETCaptionCarattere"/>
          <w:i/>
        </w:rPr>
        <w:t xml:space="preserve">Figure 1: </w:t>
      </w:r>
      <w:r w:rsidRPr="00756CB9">
        <w:rPr>
          <w:rStyle w:val="CETCaptionCarattere"/>
          <w:i/>
        </w:rPr>
        <w:t>Wastewater treatment using macrophytes: water hyacinth (Eichhornia crassipes) and water lettuce (Pistia stratiotes)</w:t>
      </w:r>
    </w:p>
    <w:p w14:paraId="45D420AF" w14:textId="77777777" w:rsidR="008C7076" w:rsidRDefault="008C7076" w:rsidP="008C7076">
      <w:pPr>
        <w:pStyle w:val="CETBodytext"/>
      </w:pPr>
      <w:r>
        <w:t>The treatment was monitored every week, measuring physical and chemical parameters such as pH, temperature, dissolved oxygen, electrical conductivity, copper, lead and zinc. This treatment was evaluated for 15 consecutive days.</w:t>
      </w:r>
    </w:p>
    <w:p w14:paraId="3CB48F7C" w14:textId="7FDB0662" w:rsidR="008C7076" w:rsidRDefault="008C7076" w:rsidP="008C7076">
      <w:pPr>
        <w:pStyle w:val="CETBodytext"/>
      </w:pPr>
      <w:r>
        <w:t>The atomic absorption spectroscopy technique was used to determine the concentration of heavy metals. Subsequently, the percentage removal of each metal was determined using equation 1.</w:t>
      </w:r>
    </w:p>
    <w:p w14:paraId="1090ECA5" w14:textId="22D31FFA" w:rsidR="008C7076" w:rsidRPr="008C7076" w:rsidRDefault="008C7076" w:rsidP="008C7076">
      <w:pPr>
        <w:pStyle w:val="CETBodytext"/>
        <w:rPr>
          <w:szCs w:val="18"/>
        </w:rPr>
      </w:pPr>
    </w:p>
    <w:p w14:paraId="4A60F2A9" w14:textId="5BC504E5" w:rsidR="008C7076" w:rsidRPr="008C7076" w:rsidRDefault="008C7076" w:rsidP="008C7076">
      <w:pPr>
        <w:jc w:val="center"/>
        <w:rPr>
          <w:rFonts w:eastAsia="Cambria Math" w:cs="Arial"/>
          <w:szCs w:val="18"/>
          <w:highlight w:val="yellow"/>
        </w:rPr>
      </w:pPr>
      <w:r>
        <w:rPr>
          <w:szCs w:val="18"/>
        </w:rPr>
        <w:t xml:space="preserve">                    </w:t>
      </w:r>
      <w:r w:rsidRPr="008C7076">
        <w:rPr>
          <w:szCs w:val="18"/>
        </w:rPr>
        <w:t xml:space="preserve">    </w:t>
      </w:r>
      <w:r>
        <w:rPr>
          <w:szCs w:val="18"/>
        </w:rPr>
        <w:t xml:space="preserve">    </w:t>
      </w:r>
      <w:r w:rsidRPr="008C7076">
        <w:rPr>
          <w:szCs w:val="18"/>
        </w:rPr>
        <w:t xml:space="preserve">           </w:t>
      </w:r>
      <m:oMath>
        <m:r>
          <w:rPr>
            <w:rFonts w:ascii="Cambria Math" w:eastAsia="Cambria Math" w:hAnsi="Cambria Math" w:cs="Arial"/>
            <w:szCs w:val="18"/>
          </w:rPr>
          <m:t>%R=</m:t>
        </m:r>
        <m:f>
          <m:fPr>
            <m:ctrlPr>
              <w:rPr>
                <w:rFonts w:ascii="Cambria Math" w:eastAsia="Cambria Math" w:hAnsi="Cambria Math" w:cs="Arial"/>
                <w:szCs w:val="18"/>
              </w:rPr>
            </m:ctrlPr>
          </m:fPr>
          <m:num>
            <m:d>
              <m:dPr>
                <m:ctrlPr>
                  <w:rPr>
                    <w:rFonts w:ascii="Cambria Math" w:eastAsia="Cambria Math" w:hAnsi="Cambria Math" w:cs="Arial"/>
                    <w:szCs w:val="18"/>
                  </w:rPr>
                </m:ctrlPr>
              </m:dPr>
              <m:e>
                <m:r>
                  <w:rPr>
                    <w:rFonts w:ascii="Cambria Math" w:eastAsia="Cambria Math" w:hAnsi="Cambria Math" w:cs="Arial"/>
                    <w:szCs w:val="18"/>
                  </w:rPr>
                  <m:t>Initial metal concentration- Final metal concentration</m:t>
                </m:r>
              </m:e>
            </m:d>
            <m:r>
              <w:rPr>
                <w:rFonts w:ascii="Cambria Math" w:eastAsia="Cambria Math" w:hAnsi="Cambria Math" w:cs="Arial"/>
                <w:szCs w:val="18"/>
              </w:rPr>
              <m:t xml:space="preserve"> </m:t>
            </m:r>
          </m:num>
          <m:den>
            <m:r>
              <w:rPr>
                <w:rFonts w:ascii="Cambria Math" w:eastAsia="Cambria Math" w:hAnsi="Cambria Math" w:cs="Arial"/>
                <w:szCs w:val="18"/>
              </w:rPr>
              <m:t>Initial metal concentration</m:t>
            </m:r>
          </m:den>
        </m:f>
        <m:r>
          <w:rPr>
            <w:rFonts w:ascii="Cambria Math" w:eastAsia="Cambria Math" w:hAnsi="Cambria Math" w:cs="Arial"/>
            <w:szCs w:val="18"/>
          </w:rPr>
          <m:t xml:space="preserve"> x 100</m:t>
        </m:r>
      </m:oMath>
      <w:r w:rsidRPr="008C7076">
        <w:rPr>
          <w:rFonts w:eastAsia="Cambria Math" w:cs="Arial"/>
          <w:szCs w:val="18"/>
        </w:rPr>
        <w:t xml:space="preserve"> </w:t>
      </w:r>
      <w:r>
        <w:rPr>
          <w:rFonts w:eastAsia="Cambria Math" w:cs="Arial"/>
          <w:szCs w:val="18"/>
        </w:rPr>
        <w:t xml:space="preserve">                                    </w:t>
      </w:r>
      <w:r w:rsidRPr="008C7076">
        <w:rPr>
          <w:rFonts w:eastAsia="Cambria Math" w:cs="Arial"/>
          <w:szCs w:val="18"/>
        </w:rPr>
        <w:t>(1)</w:t>
      </w:r>
    </w:p>
    <w:p w14:paraId="187E8FD7" w14:textId="77777777" w:rsidR="008C7076" w:rsidRPr="00B07A08" w:rsidRDefault="008C7076" w:rsidP="008C7076">
      <w:pPr>
        <w:pStyle w:val="CETBodytext"/>
      </w:pPr>
    </w:p>
    <w:p w14:paraId="38DCBA19" w14:textId="72B8E040" w:rsidR="00D8620B" w:rsidRPr="00C14646" w:rsidRDefault="00C14646" w:rsidP="00C14646">
      <w:pPr>
        <w:pStyle w:val="CETHeading1"/>
        <w:rPr>
          <w:lang w:val="en-GB"/>
        </w:rPr>
      </w:pPr>
      <w:r>
        <w:rPr>
          <w:lang w:val="en-GB"/>
        </w:rPr>
        <w:lastRenderedPageBreak/>
        <w:t xml:space="preserve">3. </w:t>
      </w:r>
      <w:r w:rsidR="00AF6923">
        <w:rPr>
          <w:lang w:val="en-GB"/>
        </w:rPr>
        <w:t>Results</w:t>
      </w:r>
    </w:p>
    <w:p w14:paraId="335AD439" w14:textId="6E81C119" w:rsidR="00D8620B" w:rsidRPr="00511A7A" w:rsidRDefault="00C14646" w:rsidP="00C14646">
      <w:pPr>
        <w:pStyle w:val="CETheadingx"/>
        <w:rPr>
          <w:b w:val="0"/>
        </w:rPr>
      </w:pPr>
      <w:r w:rsidRPr="00C14646">
        <w:rPr>
          <w:iCs/>
          <w:lang w:val="en-GB"/>
        </w:rPr>
        <w:t>3.1</w:t>
      </w:r>
      <w:r w:rsidR="00D8620B" w:rsidRPr="00C14646">
        <w:rPr>
          <w:iCs/>
          <w:lang w:val="en-GB"/>
        </w:rPr>
        <w:t xml:space="preserve"> </w:t>
      </w:r>
      <w:r w:rsidR="00756CB9" w:rsidRPr="00756CB9">
        <w:rPr>
          <w:iCs/>
          <w:lang w:val="en-GB"/>
        </w:rPr>
        <w:t>Characteristics of macrophyte plants</w:t>
      </w:r>
    </w:p>
    <w:p w14:paraId="3E8C6939" w14:textId="5E7E08B9" w:rsidR="00D8620B" w:rsidRDefault="00756CB9" w:rsidP="00D8620B">
      <w:pPr>
        <w:pStyle w:val="CETBodytext"/>
      </w:pPr>
      <w:r w:rsidRPr="00756CB9">
        <w:t xml:space="preserve">Figure 2 shows the images of the macrophyte plants used in the study. </w:t>
      </w:r>
      <w:r w:rsidRPr="003F4BA7">
        <w:rPr>
          <w:i/>
        </w:rPr>
        <w:t>Eichhornia crassipes</w:t>
      </w:r>
      <w:r w:rsidRPr="00756CB9">
        <w:t xml:space="preserve"> presented abundant well-developed lateral roots, with sizes ranging from 2 to 3 cm, and its leaves were rounded and green in color. Meanwhile, </w:t>
      </w:r>
      <w:r w:rsidRPr="003F4BA7">
        <w:rPr>
          <w:i/>
        </w:rPr>
        <w:t>Pistia stratiotes</w:t>
      </w:r>
      <w:r w:rsidRPr="00756CB9">
        <w:t xml:space="preserve"> presented roots that varied in size from 1 to 2 cm, and its leaves were trap</w:t>
      </w:r>
      <w:r>
        <w:t>ezoid-shaped and green in color</w:t>
      </w:r>
      <w:r w:rsidR="00D8620B" w:rsidRPr="00511A7A">
        <w:t>.</w:t>
      </w:r>
    </w:p>
    <w:p w14:paraId="1DC4E8F2" w14:textId="558DF30E" w:rsidR="0007746B" w:rsidRDefault="0007746B" w:rsidP="00D8620B">
      <w:pPr>
        <w:pStyle w:val="CETBodytext"/>
      </w:pPr>
    </w:p>
    <w:p w14:paraId="41B2514E" w14:textId="70E5E26B" w:rsidR="00641F51" w:rsidRDefault="00641F51" w:rsidP="00D8620B">
      <w:pPr>
        <w:pStyle w:val="CETBodytext"/>
      </w:pPr>
      <w:r>
        <w:rPr>
          <w:noProof/>
          <w:lang w:val="es-PE" w:eastAsia="es-PE"/>
        </w:rPr>
        <w:drawing>
          <wp:inline distT="0" distB="0" distL="0" distR="0" wp14:anchorId="3E2C0ED8" wp14:editId="7315F071">
            <wp:extent cx="4114800" cy="1775460"/>
            <wp:effectExtent l="0" t="0" r="0" b="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5806" cy="1775894"/>
                    </a:xfrm>
                    <a:prstGeom prst="rect">
                      <a:avLst/>
                    </a:prstGeom>
                    <a:noFill/>
                  </pic:spPr>
                </pic:pic>
              </a:graphicData>
            </a:graphic>
          </wp:inline>
        </w:drawing>
      </w:r>
    </w:p>
    <w:p w14:paraId="44B59072" w14:textId="51616925" w:rsidR="00D8620B" w:rsidRDefault="00756CB9" w:rsidP="00641F51">
      <w:pPr>
        <w:pStyle w:val="CETCaption"/>
        <w:spacing w:before="0"/>
        <w:rPr>
          <w:rStyle w:val="CETCaptionCarattere"/>
          <w:i/>
        </w:rPr>
      </w:pPr>
      <w:r>
        <w:rPr>
          <w:rStyle w:val="CETCaptionCarattere"/>
          <w:i/>
        </w:rPr>
        <w:t>Figure 2</w:t>
      </w:r>
      <w:r w:rsidR="00D8620B" w:rsidRPr="00A14554">
        <w:rPr>
          <w:rStyle w:val="CETCaptionCarattere"/>
          <w:i/>
        </w:rPr>
        <w:t xml:space="preserve">: </w:t>
      </w:r>
      <w:r w:rsidRPr="00756CB9">
        <w:rPr>
          <w:rStyle w:val="CETCaptionCarattere"/>
          <w:i/>
        </w:rPr>
        <w:t>Macrophyte plants: a) Eichhornia crassipes and b) Pistia stratiotes</w:t>
      </w:r>
    </w:p>
    <w:p w14:paraId="7D318B31" w14:textId="0ABF87E6" w:rsidR="0025375A" w:rsidRPr="00C14646" w:rsidRDefault="00C14646" w:rsidP="00C14646">
      <w:pPr>
        <w:pStyle w:val="CETheadingx"/>
        <w:rPr>
          <w:iCs/>
          <w:lang w:val="en-GB"/>
        </w:rPr>
      </w:pPr>
      <w:r>
        <w:rPr>
          <w:iCs/>
          <w:lang w:val="en-GB"/>
        </w:rPr>
        <w:t xml:space="preserve">3.2 </w:t>
      </w:r>
      <w:r w:rsidR="003F4BA7" w:rsidRPr="003F4BA7">
        <w:rPr>
          <w:iCs/>
          <w:lang w:val="en-GB"/>
        </w:rPr>
        <w:t>Determination of physical and chemical parameters</w:t>
      </w:r>
    </w:p>
    <w:p w14:paraId="7E5EED15" w14:textId="6CEE6797" w:rsidR="0000090B" w:rsidRPr="0000026C" w:rsidRDefault="003F4BA7" w:rsidP="0000090B">
      <w:pPr>
        <w:pStyle w:val="CETTabletitle"/>
        <w:spacing w:before="0" w:after="0"/>
        <w:jc w:val="both"/>
        <w:rPr>
          <w:i w:val="0"/>
          <w:lang w:val="en-US"/>
        </w:rPr>
      </w:pPr>
      <w:r w:rsidRPr="003F4BA7">
        <w:rPr>
          <w:i w:val="0"/>
          <w:lang w:val="en-US"/>
        </w:rPr>
        <w:t xml:space="preserve">Table 1 shows the results of the physicochemical parameters of the water before treatment with </w:t>
      </w:r>
      <w:r w:rsidRPr="003F4BA7">
        <w:rPr>
          <w:lang w:val="en-US"/>
        </w:rPr>
        <w:t>Eichhornia crassipes</w:t>
      </w:r>
      <w:r>
        <w:rPr>
          <w:i w:val="0"/>
          <w:lang w:val="en-US"/>
        </w:rPr>
        <w:t xml:space="preserve"> and </w:t>
      </w:r>
      <w:r w:rsidRPr="003F4BA7">
        <w:rPr>
          <w:lang w:val="en-US"/>
        </w:rPr>
        <w:t>Pistia stratiotes</w:t>
      </w:r>
      <w:r w:rsidR="0000090B" w:rsidRPr="0000026C">
        <w:rPr>
          <w:i w:val="0"/>
          <w:lang w:val="en-US"/>
        </w:rPr>
        <w:t>.</w:t>
      </w:r>
    </w:p>
    <w:p w14:paraId="71310C3C" w14:textId="5C7C166C" w:rsidR="008B156C" w:rsidRDefault="003F4BA7" w:rsidP="00C14646">
      <w:pPr>
        <w:pStyle w:val="CETTabletitle"/>
        <w:rPr>
          <w:lang w:val="en-US"/>
        </w:rPr>
      </w:pPr>
      <w:r>
        <w:rPr>
          <w:lang w:val="en-US"/>
        </w:rPr>
        <w:t>Table 1</w:t>
      </w:r>
      <w:r w:rsidR="008B156C" w:rsidRPr="009D1AC8">
        <w:rPr>
          <w:lang w:val="en-US"/>
        </w:rPr>
        <w:t xml:space="preserve">: </w:t>
      </w:r>
      <w:r w:rsidRPr="003F4BA7">
        <w:rPr>
          <w:lang w:val="en-US"/>
        </w:rPr>
        <w:t>Results of physicochemical parameters and heavy metals before treatment</w:t>
      </w:r>
    </w:p>
    <w:tbl>
      <w:tblPr>
        <w:tblW w:w="8794" w:type="dxa"/>
        <w:jc w:val="center"/>
        <w:tblBorders>
          <w:top w:val="single" w:sz="12" w:space="0" w:color="538135"/>
          <w:bottom w:val="single" w:sz="12" w:space="0" w:color="538135"/>
        </w:tblBorders>
        <w:tblLook w:val="04A0" w:firstRow="1" w:lastRow="0" w:firstColumn="1" w:lastColumn="0" w:noHBand="0" w:noVBand="1"/>
      </w:tblPr>
      <w:tblGrid>
        <w:gridCol w:w="2902"/>
        <w:gridCol w:w="1082"/>
        <w:gridCol w:w="1163"/>
        <w:gridCol w:w="1116"/>
        <w:gridCol w:w="1392"/>
        <w:gridCol w:w="1139"/>
      </w:tblGrid>
      <w:tr w:rsidR="000856EC" w:rsidRPr="00CB68E4" w14:paraId="58BA088B" w14:textId="77777777" w:rsidTr="000856EC">
        <w:trPr>
          <w:trHeight w:val="342"/>
          <w:jc w:val="center"/>
        </w:trPr>
        <w:tc>
          <w:tcPr>
            <w:tcW w:w="2902" w:type="dxa"/>
            <w:vMerge w:val="restart"/>
            <w:tcBorders>
              <w:top w:val="single" w:sz="12" w:space="0" w:color="538135"/>
              <w:bottom w:val="nil"/>
            </w:tcBorders>
            <w:shd w:val="clear" w:color="auto" w:fill="auto"/>
            <w:vAlign w:val="center"/>
          </w:tcPr>
          <w:p w14:paraId="7FB08319" w14:textId="77777777" w:rsidR="000856EC" w:rsidRPr="00002ACA" w:rsidRDefault="000856EC" w:rsidP="00551CE8">
            <w:pPr>
              <w:spacing w:line="240" w:lineRule="auto"/>
              <w:jc w:val="center"/>
              <w:rPr>
                <w:rFonts w:cs="Arial"/>
                <w:szCs w:val="18"/>
                <w:lang w:val="en-US"/>
              </w:rPr>
            </w:pPr>
            <w:r w:rsidRPr="00002ACA">
              <w:rPr>
                <w:rFonts w:cs="Arial"/>
                <w:szCs w:val="18"/>
                <w:lang w:val="en-US"/>
              </w:rPr>
              <w:t>Parameters</w:t>
            </w:r>
          </w:p>
        </w:tc>
        <w:tc>
          <w:tcPr>
            <w:tcW w:w="1082" w:type="dxa"/>
            <w:vMerge w:val="restart"/>
            <w:tcBorders>
              <w:top w:val="single" w:sz="12" w:space="0" w:color="538135"/>
              <w:bottom w:val="nil"/>
            </w:tcBorders>
            <w:shd w:val="clear" w:color="auto" w:fill="auto"/>
            <w:vAlign w:val="center"/>
          </w:tcPr>
          <w:p w14:paraId="31A246B3" w14:textId="77777777" w:rsidR="000856EC" w:rsidRPr="00787AD6" w:rsidRDefault="000856EC" w:rsidP="00551CE8">
            <w:pPr>
              <w:jc w:val="center"/>
              <w:rPr>
                <w:rFonts w:eastAsia="Arial" w:cs="Arial"/>
                <w:szCs w:val="18"/>
                <w:lang w:val="en-US"/>
              </w:rPr>
            </w:pPr>
            <w:r>
              <w:rPr>
                <w:rFonts w:eastAsia="Arial" w:cs="Arial"/>
                <w:szCs w:val="18"/>
                <w:lang w:val="en-US"/>
              </w:rPr>
              <w:t>C1 and C4</w:t>
            </w:r>
          </w:p>
          <w:p w14:paraId="397F1B2B" w14:textId="77777777" w:rsidR="000856EC" w:rsidRPr="00CB68E4" w:rsidRDefault="000856EC" w:rsidP="00551CE8">
            <w:pPr>
              <w:spacing w:line="240" w:lineRule="auto"/>
              <w:jc w:val="center"/>
              <w:rPr>
                <w:rFonts w:cs="Arial"/>
                <w:szCs w:val="18"/>
                <w:lang w:val="en-US"/>
              </w:rPr>
            </w:pPr>
            <w:r w:rsidRPr="00787AD6">
              <w:rPr>
                <w:rFonts w:eastAsia="Arial" w:cs="Arial"/>
                <w:szCs w:val="18"/>
                <w:lang w:val="en-US"/>
              </w:rPr>
              <w:t>(Cu)</w:t>
            </w:r>
          </w:p>
        </w:tc>
        <w:tc>
          <w:tcPr>
            <w:tcW w:w="1163" w:type="dxa"/>
            <w:vMerge w:val="restart"/>
            <w:tcBorders>
              <w:top w:val="single" w:sz="12" w:space="0" w:color="538135"/>
              <w:bottom w:val="nil"/>
            </w:tcBorders>
            <w:shd w:val="clear" w:color="auto" w:fill="auto"/>
            <w:vAlign w:val="center"/>
          </w:tcPr>
          <w:p w14:paraId="5C4207CD" w14:textId="77777777" w:rsidR="000856EC" w:rsidRPr="00787AD6" w:rsidRDefault="000856EC" w:rsidP="00551CE8">
            <w:pPr>
              <w:jc w:val="center"/>
              <w:rPr>
                <w:rFonts w:eastAsia="Arial" w:cs="Arial"/>
                <w:szCs w:val="18"/>
                <w:lang w:val="en-US"/>
              </w:rPr>
            </w:pPr>
            <w:r w:rsidRPr="00787AD6">
              <w:rPr>
                <w:rFonts w:eastAsia="Arial" w:cs="Arial"/>
                <w:szCs w:val="18"/>
                <w:lang w:val="en-US"/>
              </w:rPr>
              <w:t>C2 and C5</w:t>
            </w:r>
          </w:p>
          <w:p w14:paraId="6C3232BD" w14:textId="77777777" w:rsidR="000856EC" w:rsidRPr="00CB68E4" w:rsidRDefault="000856EC" w:rsidP="00551CE8">
            <w:pPr>
              <w:spacing w:line="240" w:lineRule="auto"/>
              <w:jc w:val="center"/>
              <w:rPr>
                <w:rFonts w:cs="Arial"/>
                <w:szCs w:val="18"/>
                <w:lang w:val="en-US"/>
              </w:rPr>
            </w:pPr>
            <w:r>
              <w:rPr>
                <w:rFonts w:eastAsia="Arial" w:cs="Arial"/>
                <w:szCs w:val="18"/>
                <w:lang w:val="en-US"/>
              </w:rPr>
              <w:t>(Pb</w:t>
            </w:r>
            <w:r w:rsidRPr="00787AD6">
              <w:rPr>
                <w:rFonts w:eastAsia="Arial" w:cs="Arial"/>
                <w:szCs w:val="18"/>
                <w:lang w:val="en-US"/>
              </w:rPr>
              <w:t>)</w:t>
            </w:r>
          </w:p>
        </w:tc>
        <w:tc>
          <w:tcPr>
            <w:tcW w:w="1116" w:type="dxa"/>
            <w:vMerge w:val="restart"/>
            <w:tcBorders>
              <w:top w:val="single" w:sz="12" w:space="0" w:color="538135"/>
              <w:bottom w:val="nil"/>
            </w:tcBorders>
            <w:shd w:val="clear" w:color="auto" w:fill="auto"/>
            <w:vAlign w:val="center"/>
          </w:tcPr>
          <w:p w14:paraId="5CD172BF" w14:textId="77777777" w:rsidR="000856EC" w:rsidRPr="00787AD6" w:rsidRDefault="000856EC" w:rsidP="00551CE8">
            <w:pPr>
              <w:jc w:val="center"/>
              <w:rPr>
                <w:rFonts w:eastAsia="Arial" w:cs="Arial"/>
                <w:szCs w:val="18"/>
                <w:lang w:val="en-US"/>
              </w:rPr>
            </w:pPr>
            <w:r>
              <w:rPr>
                <w:rFonts w:eastAsia="Arial" w:cs="Arial"/>
                <w:szCs w:val="18"/>
                <w:lang w:val="en-US"/>
              </w:rPr>
              <w:t>C3 and C6</w:t>
            </w:r>
          </w:p>
          <w:p w14:paraId="6A2BED6A" w14:textId="77777777" w:rsidR="000856EC" w:rsidRPr="00CB68E4" w:rsidRDefault="000856EC" w:rsidP="00551CE8">
            <w:pPr>
              <w:spacing w:line="240" w:lineRule="auto"/>
              <w:jc w:val="center"/>
              <w:rPr>
                <w:rFonts w:cs="Arial"/>
                <w:szCs w:val="18"/>
                <w:lang w:val="en-US"/>
              </w:rPr>
            </w:pPr>
            <w:r>
              <w:rPr>
                <w:rFonts w:eastAsia="Arial" w:cs="Arial"/>
                <w:szCs w:val="18"/>
                <w:lang w:val="en-US"/>
              </w:rPr>
              <w:t>(Zn</w:t>
            </w:r>
            <w:r w:rsidRPr="00787AD6">
              <w:rPr>
                <w:rFonts w:eastAsia="Arial" w:cs="Arial"/>
                <w:szCs w:val="18"/>
                <w:lang w:val="en-US"/>
              </w:rPr>
              <w:t>)</w:t>
            </w:r>
          </w:p>
        </w:tc>
        <w:tc>
          <w:tcPr>
            <w:tcW w:w="2531" w:type="dxa"/>
            <w:gridSpan w:val="2"/>
            <w:tcBorders>
              <w:top w:val="single" w:sz="12" w:space="0" w:color="538135"/>
              <w:bottom w:val="single" w:sz="4" w:space="0" w:color="538135"/>
            </w:tcBorders>
            <w:shd w:val="clear" w:color="auto" w:fill="auto"/>
            <w:vAlign w:val="center"/>
          </w:tcPr>
          <w:p w14:paraId="323FE828" w14:textId="77777777" w:rsidR="000856EC" w:rsidRPr="00CB68E4" w:rsidRDefault="000856EC" w:rsidP="00551CE8">
            <w:pPr>
              <w:jc w:val="center"/>
              <w:rPr>
                <w:rFonts w:eastAsia="Arial" w:cs="Arial"/>
                <w:szCs w:val="18"/>
                <w:lang w:val="en-US"/>
              </w:rPr>
            </w:pPr>
            <w:r w:rsidRPr="00CB68E4">
              <w:rPr>
                <w:rFonts w:eastAsia="Arial" w:cs="Arial"/>
                <w:szCs w:val="18"/>
                <w:lang w:val="en-US"/>
              </w:rPr>
              <w:t>ECA-water/category 3</w:t>
            </w:r>
          </w:p>
        </w:tc>
      </w:tr>
      <w:tr w:rsidR="000856EC" w:rsidRPr="00CB68E4" w14:paraId="1411EEBD" w14:textId="77777777" w:rsidTr="000856EC">
        <w:trPr>
          <w:trHeight w:val="465"/>
          <w:jc w:val="center"/>
        </w:trPr>
        <w:tc>
          <w:tcPr>
            <w:tcW w:w="2902" w:type="dxa"/>
            <w:vMerge/>
            <w:tcBorders>
              <w:top w:val="nil"/>
              <w:bottom w:val="single" w:sz="4" w:space="0" w:color="538135"/>
            </w:tcBorders>
            <w:shd w:val="clear" w:color="auto" w:fill="auto"/>
            <w:vAlign w:val="center"/>
          </w:tcPr>
          <w:p w14:paraId="73E6974E" w14:textId="77777777" w:rsidR="000856EC" w:rsidRPr="00CB68E4" w:rsidRDefault="000856EC" w:rsidP="00551CE8">
            <w:pPr>
              <w:spacing w:line="240" w:lineRule="auto"/>
              <w:jc w:val="center"/>
              <w:rPr>
                <w:rFonts w:cs="Arial"/>
                <w:b/>
                <w:szCs w:val="18"/>
                <w:lang w:val="en-US"/>
              </w:rPr>
            </w:pPr>
          </w:p>
        </w:tc>
        <w:tc>
          <w:tcPr>
            <w:tcW w:w="1082" w:type="dxa"/>
            <w:vMerge/>
            <w:tcBorders>
              <w:top w:val="nil"/>
              <w:bottom w:val="single" w:sz="4" w:space="0" w:color="538135"/>
            </w:tcBorders>
            <w:shd w:val="clear" w:color="auto" w:fill="auto"/>
            <w:vAlign w:val="center"/>
          </w:tcPr>
          <w:p w14:paraId="7047913B" w14:textId="77777777" w:rsidR="000856EC" w:rsidRPr="00CB68E4" w:rsidRDefault="000856EC" w:rsidP="00551CE8">
            <w:pPr>
              <w:spacing w:line="240" w:lineRule="auto"/>
              <w:jc w:val="center"/>
              <w:rPr>
                <w:rFonts w:cs="Arial"/>
                <w:szCs w:val="18"/>
                <w:lang w:val="en-US"/>
              </w:rPr>
            </w:pPr>
          </w:p>
        </w:tc>
        <w:tc>
          <w:tcPr>
            <w:tcW w:w="1163" w:type="dxa"/>
            <w:vMerge/>
            <w:tcBorders>
              <w:top w:val="nil"/>
              <w:bottom w:val="single" w:sz="4" w:space="0" w:color="538135"/>
            </w:tcBorders>
            <w:shd w:val="clear" w:color="auto" w:fill="auto"/>
            <w:vAlign w:val="center"/>
          </w:tcPr>
          <w:p w14:paraId="049B750E" w14:textId="77777777" w:rsidR="000856EC" w:rsidRPr="00CB68E4" w:rsidRDefault="000856EC" w:rsidP="00551CE8">
            <w:pPr>
              <w:spacing w:line="240" w:lineRule="auto"/>
              <w:jc w:val="center"/>
              <w:rPr>
                <w:rFonts w:cs="Arial"/>
                <w:szCs w:val="18"/>
                <w:lang w:val="en-US"/>
              </w:rPr>
            </w:pPr>
          </w:p>
        </w:tc>
        <w:tc>
          <w:tcPr>
            <w:tcW w:w="1116" w:type="dxa"/>
            <w:vMerge/>
            <w:tcBorders>
              <w:top w:val="nil"/>
              <w:bottom w:val="single" w:sz="4" w:space="0" w:color="538135"/>
            </w:tcBorders>
            <w:shd w:val="clear" w:color="auto" w:fill="auto"/>
            <w:vAlign w:val="center"/>
          </w:tcPr>
          <w:p w14:paraId="5AE64DDC" w14:textId="77777777" w:rsidR="000856EC" w:rsidRPr="00CB68E4" w:rsidRDefault="000856EC" w:rsidP="00551CE8">
            <w:pPr>
              <w:spacing w:line="240" w:lineRule="auto"/>
              <w:jc w:val="center"/>
              <w:rPr>
                <w:rFonts w:cs="Arial"/>
                <w:szCs w:val="18"/>
                <w:lang w:val="en-US"/>
              </w:rPr>
            </w:pPr>
          </w:p>
        </w:tc>
        <w:tc>
          <w:tcPr>
            <w:tcW w:w="1392" w:type="dxa"/>
            <w:tcBorders>
              <w:top w:val="single" w:sz="4" w:space="0" w:color="538135"/>
              <w:bottom w:val="single" w:sz="4" w:space="0" w:color="538135"/>
            </w:tcBorders>
            <w:shd w:val="clear" w:color="auto" w:fill="auto"/>
            <w:vAlign w:val="center"/>
          </w:tcPr>
          <w:p w14:paraId="5045DE77" w14:textId="77777777" w:rsidR="000856EC" w:rsidRPr="00CB68E4" w:rsidRDefault="000856EC" w:rsidP="00551CE8">
            <w:pPr>
              <w:jc w:val="center"/>
              <w:rPr>
                <w:rFonts w:eastAsia="Arial" w:cs="Arial"/>
                <w:szCs w:val="18"/>
                <w:lang w:val="en-US"/>
              </w:rPr>
            </w:pPr>
            <w:r w:rsidRPr="00CB68E4">
              <w:rPr>
                <w:rFonts w:eastAsia="Arial" w:cs="Arial"/>
                <w:szCs w:val="18"/>
                <w:lang w:val="en-US"/>
              </w:rPr>
              <w:t>Irrigation</w:t>
            </w:r>
          </w:p>
          <w:p w14:paraId="23746A80" w14:textId="77777777" w:rsidR="000856EC" w:rsidRPr="00CB68E4" w:rsidRDefault="000856EC" w:rsidP="00551CE8">
            <w:pPr>
              <w:tabs>
                <w:tab w:val="left" w:pos="2676"/>
              </w:tabs>
              <w:jc w:val="center"/>
              <w:rPr>
                <w:rFonts w:cs="Arial"/>
                <w:szCs w:val="18"/>
                <w:lang w:val="en-US"/>
              </w:rPr>
            </w:pPr>
            <w:r w:rsidRPr="00CB68E4">
              <w:rPr>
                <w:rFonts w:eastAsia="Arial" w:cs="Arial"/>
                <w:szCs w:val="18"/>
                <w:lang w:val="en-US"/>
              </w:rPr>
              <w:t>of vegetables</w:t>
            </w:r>
          </w:p>
        </w:tc>
        <w:tc>
          <w:tcPr>
            <w:tcW w:w="1139" w:type="dxa"/>
            <w:tcBorders>
              <w:top w:val="single" w:sz="4" w:space="0" w:color="538135"/>
              <w:bottom w:val="single" w:sz="4" w:space="0" w:color="538135"/>
            </w:tcBorders>
            <w:shd w:val="clear" w:color="auto" w:fill="auto"/>
            <w:vAlign w:val="center"/>
          </w:tcPr>
          <w:p w14:paraId="44268039" w14:textId="77777777" w:rsidR="000856EC" w:rsidRPr="00CB68E4" w:rsidRDefault="000856EC" w:rsidP="00551CE8">
            <w:pPr>
              <w:tabs>
                <w:tab w:val="left" w:pos="2676"/>
              </w:tabs>
              <w:jc w:val="center"/>
              <w:rPr>
                <w:rFonts w:cs="Arial"/>
                <w:szCs w:val="18"/>
                <w:lang w:val="en-US"/>
              </w:rPr>
            </w:pPr>
            <w:r w:rsidRPr="00787AD6">
              <w:rPr>
                <w:rFonts w:eastAsia="Arial" w:cs="Arial"/>
                <w:szCs w:val="18"/>
                <w:lang w:val="en-US"/>
              </w:rPr>
              <w:t>Drinking of animals</w:t>
            </w:r>
          </w:p>
        </w:tc>
      </w:tr>
      <w:tr w:rsidR="000856EC" w:rsidRPr="00CB68E4" w14:paraId="1742FE83" w14:textId="77777777" w:rsidTr="000856EC">
        <w:trPr>
          <w:trHeight w:val="342"/>
          <w:jc w:val="center"/>
        </w:trPr>
        <w:tc>
          <w:tcPr>
            <w:tcW w:w="2902" w:type="dxa"/>
            <w:tcBorders>
              <w:top w:val="single" w:sz="4" w:space="0" w:color="538135"/>
            </w:tcBorders>
            <w:shd w:val="clear" w:color="auto" w:fill="auto"/>
            <w:vAlign w:val="center"/>
          </w:tcPr>
          <w:p w14:paraId="0F008EF2" w14:textId="77777777" w:rsidR="000856EC" w:rsidRPr="00CB68E4" w:rsidRDefault="000856EC" w:rsidP="00551CE8">
            <w:pPr>
              <w:jc w:val="center"/>
              <w:rPr>
                <w:rFonts w:eastAsia="Arial" w:cs="Arial"/>
                <w:szCs w:val="18"/>
                <w:lang w:val="en-US"/>
              </w:rPr>
            </w:pPr>
            <w:r w:rsidRPr="00CB68E4">
              <w:rPr>
                <w:rFonts w:eastAsia="Arial" w:cs="Arial"/>
                <w:szCs w:val="18"/>
                <w:lang w:val="en-US"/>
              </w:rPr>
              <w:t>pH</w:t>
            </w:r>
          </w:p>
        </w:tc>
        <w:tc>
          <w:tcPr>
            <w:tcW w:w="1082" w:type="dxa"/>
            <w:tcBorders>
              <w:top w:val="single" w:sz="4" w:space="0" w:color="538135"/>
            </w:tcBorders>
            <w:shd w:val="clear" w:color="auto" w:fill="auto"/>
            <w:vAlign w:val="center"/>
          </w:tcPr>
          <w:p w14:paraId="23789BEE" w14:textId="77777777" w:rsidR="000856EC" w:rsidRPr="00CB68E4" w:rsidRDefault="000856EC" w:rsidP="00551CE8">
            <w:pPr>
              <w:spacing w:line="240" w:lineRule="auto"/>
              <w:jc w:val="center"/>
              <w:rPr>
                <w:rFonts w:cs="Arial"/>
                <w:szCs w:val="18"/>
                <w:lang w:val="en-US"/>
              </w:rPr>
            </w:pPr>
            <w:r w:rsidRPr="00CB68E4">
              <w:rPr>
                <w:rFonts w:cs="Arial"/>
                <w:szCs w:val="18"/>
                <w:lang w:val="en-US"/>
              </w:rPr>
              <w:t>7.03</w:t>
            </w:r>
          </w:p>
        </w:tc>
        <w:tc>
          <w:tcPr>
            <w:tcW w:w="1163" w:type="dxa"/>
            <w:tcBorders>
              <w:top w:val="single" w:sz="4" w:space="0" w:color="538135"/>
            </w:tcBorders>
            <w:shd w:val="clear" w:color="auto" w:fill="auto"/>
            <w:vAlign w:val="center"/>
          </w:tcPr>
          <w:p w14:paraId="6502ADE9" w14:textId="77777777" w:rsidR="000856EC" w:rsidRPr="00CB68E4" w:rsidRDefault="000856EC" w:rsidP="00551CE8">
            <w:pPr>
              <w:spacing w:line="240" w:lineRule="auto"/>
              <w:jc w:val="center"/>
              <w:rPr>
                <w:rFonts w:cs="Arial"/>
                <w:szCs w:val="18"/>
                <w:lang w:val="en-US"/>
              </w:rPr>
            </w:pPr>
            <w:r w:rsidRPr="00CB68E4">
              <w:rPr>
                <w:rFonts w:cs="Arial"/>
                <w:szCs w:val="18"/>
                <w:lang w:val="en-US"/>
              </w:rPr>
              <w:t>5.90</w:t>
            </w:r>
          </w:p>
        </w:tc>
        <w:tc>
          <w:tcPr>
            <w:tcW w:w="1116" w:type="dxa"/>
            <w:tcBorders>
              <w:top w:val="single" w:sz="4" w:space="0" w:color="538135"/>
            </w:tcBorders>
            <w:shd w:val="clear" w:color="auto" w:fill="auto"/>
            <w:vAlign w:val="center"/>
          </w:tcPr>
          <w:p w14:paraId="32D6A32E" w14:textId="77777777" w:rsidR="000856EC" w:rsidRPr="00CB68E4" w:rsidRDefault="000856EC" w:rsidP="00551CE8">
            <w:pPr>
              <w:spacing w:line="240" w:lineRule="auto"/>
              <w:jc w:val="center"/>
              <w:rPr>
                <w:rFonts w:cs="Arial"/>
                <w:szCs w:val="18"/>
                <w:lang w:val="en-US"/>
              </w:rPr>
            </w:pPr>
            <w:r w:rsidRPr="00CB68E4">
              <w:rPr>
                <w:rFonts w:cs="Arial"/>
                <w:szCs w:val="18"/>
                <w:lang w:val="en-US"/>
              </w:rPr>
              <w:t>6.12</w:t>
            </w:r>
          </w:p>
        </w:tc>
        <w:tc>
          <w:tcPr>
            <w:tcW w:w="1392" w:type="dxa"/>
            <w:tcBorders>
              <w:top w:val="single" w:sz="4" w:space="0" w:color="538135"/>
            </w:tcBorders>
            <w:shd w:val="clear" w:color="auto" w:fill="auto"/>
            <w:vAlign w:val="center"/>
          </w:tcPr>
          <w:p w14:paraId="6F3EE5E3" w14:textId="77777777" w:rsidR="000856EC" w:rsidRPr="00CB68E4" w:rsidRDefault="000856EC" w:rsidP="00551CE8">
            <w:pPr>
              <w:spacing w:line="240" w:lineRule="auto"/>
              <w:jc w:val="center"/>
              <w:rPr>
                <w:rFonts w:cs="Arial"/>
                <w:szCs w:val="18"/>
                <w:lang w:val="en-US"/>
              </w:rPr>
            </w:pPr>
            <w:r w:rsidRPr="00CB68E4">
              <w:rPr>
                <w:rFonts w:cs="Arial"/>
                <w:color w:val="000000"/>
                <w:szCs w:val="18"/>
                <w:lang w:val="en-US"/>
              </w:rPr>
              <w:t>6.5-8.5</w:t>
            </w:r>
          </w:p>
        </w:tc>
        <w:tc>
          <w:tcPr>
            <w:tcW w:w="1139" w:type="dxa"/>
            <w:tcBorders>
              <w:top w:val="single" w:sz="4" w:space="0" w:color="538135"/>
            </w:tcBorders>
            <w:shd w:val="clear" w:color="auto" w:fill="auto"/>
            <w:vAlign w:val="center"/>
          </w:tcPr>
          <w:p w14:paraId="5B062EEC" w14:textId="77777777" w:rsidR="000856EC" w:rsidRPr="00CB68E4" w:rsidRDefault="000856EC" w:rsidP="00551CE8">
            <w:pPr>
              <w:spacing w:line="240" w:lineRule="auto"/>
              <w:jc w:val="center"/>
              <w:rPr>
                <w:rFonts w:cs="Arial"/>
                <w:szCs w:val="18"/>
                <w:lang w:val="en-US"/>
              </w:rPr>
            </w:pPr>
            <w:r w:rsidRPr="00CB68E4">
              <w:rPr>
                <w:rFonts w:cs="Arial"/>
                <w:color w:val="000000"/>
                <w:szCs w:val="18"/>
                <w:lang w:val="en-US"/>
              </w:rPr>
              <w:t>6.5-8.4</w:t>
            </w:r>
          </w:p>
        </w:tc>
      </w:tr>
      <w:tr w:rsidR="000856EC" w:rsidRPr="00CB68E4" w14:paraId="7B50D703" w14:textId="77777777" w:rsidTr="000856EC">
        <w:trPr>
          <w:trHeight w:val="342"/>
          <w:jc w:val="center"/>
        </w:trPr>
        <w:tc>
          <w:tcPr>
            <w:tcW w:w="2902" w:type="dxa"/>
            <w:shd w:val="clear" w:color="auto" w:fill="auto"/>
            <w:vAlign w:val="center"/>
          </w:tcPr>
          <w:p w14:paraId="002A94DA" w14:textId="77777777" w:rsidR="000856EC" w:rsidRPr="00CB68E4" w:rsidRDefault="000856EC" w:rsidP="00551CE8">
            <w:pPr>
              <w:jc w:val="center"/>
              <w:rPr>
                <w:rFonts w:eastAsia="Arial" w:cs="Arial"/>
                <w:szCs w:val="18"/>
                <w:lang w:val="en-US"/>
              </w:rPr>
            </w:pPr>
            <w:r w:rsidRPr="00CB68E4">
              <w:rPr>
                <w:rFonts w:eastAsia="Arial" w:cs="Arial"/>
                <w:szCs w:val="18"/>
                <w:lang w:val="en-US"/>
              </w:rPr>
              <w:t>Temperature (°C)</w:t>
            </w:r>
          </w:p>
        </w:tc>
        <w:tc>
          <w:tcPr>
            <w:tcW w:w="1082" w:type="dxa"/>
            <w:shd w:val="clear" w:color="auto" w:fill="auto"/>
            <w:vAlign w:val="center"/>
          </w:tcPr>
          <w:p w14:paraId="7C9D1794" w14:textId="77777777" w:rsidR="000856EC" w:rsidRPr="00CB68E4" w:rsidRDefault="000856EC" w:rsidP="00551CE8">
            <w:pPr>
              <w:spacing w:line="240" w:lineRule="auto"/>
              <w:jc w:val="center"/>
              <w:rPr>
                <w:rFonts w:cs="Arial"/>
                <w:szCs w:val="18"/>
                <w:lang w:val="en-US"/>
              </w:rPr>
            </w:pPr>
            <w:r w:rsidRPr="00CB68E4">
              <w:rPr>
                <w:rFonts w:cs="Arial"/>
                <w:szCs w:val="18"/>
                <w:lang w:val="en-US"/>
              </w:rPr>
              <w:t>14</w:t>
            </w:r>
          </w:p>
        </w:tc>
        <w:tc>
          <w:tcPr>
            <w:tcW w:w="1163" w:type="dxa"/>
            <w:shd w:val="clear" w:color="auto" w:fill="auto"/>
            <w:vAlign w:val="center"/>
          </w:tcPr>
          <w:p w14:paraId="319E854D" w14:textId="77777777" w:rsidR="000856EC" w:rsidRPr="00CB68E4" w:rsidRDefault="000856EC" w:rsidP="00551CE8">
            <w:pPr>
              <w:spacing w:line="240" w:lineRule="auto"/>
              <w:jc w:val="center"/>
              <w:rPr>
                <w:rFonts w:cs="Arial"/>
                <w:szCs w:val="18"/>
                <w:lang w:val="en-US"/>
              </w:rPr>
            </w:pPr>
            <w:r w:rsidRPr="00CB68E4">
              <w:rPr>
                <w:rFonts w:cs="Arial"/>
                <w:szCs w:val="18"/>
                <w:lang w:val="en-US"/>
              </w:rPr>
              <w:t>14</w:t>
            </w:r>
          </w:p>
        </w:tc>
        <w:tc>
          <w:tcPr>
            <w:tcW w:w="1116" w:type="dxa"/>
            <w:shd w:val="clear" w:color="auto" w:fill="auto"/>
            <w:vAlign w:val="center"/>
          </w:tcPr>
          <w:p w14:paraId="296C987E" w14:textId="77777777" w:rsidR="000856EC" w:rsidRPr="00CB68E4" w:rsidRDefault="000856EC" w:rsidP="00551CE8">
            <w:pPr>
              <w:spacing w:line="240" w:lineRule="auto"/>
              <w:jc w:val="center"/>
              <w:rPr>
                <w:rFonts w:cs="Arial"/>
                <w:szCs w:val="18"/>
                <w:lang w:val="en-US"/>
              </w:rPr>
            </w:pPr>
            <w:r w:rsidRPr="00CB68E4">
              <w:rPr>
                <w:rFonts w:cs="Arial"/>
                <w:szCs w:val="18"/>
                <w:lang w:val="en-US"/>
              </w:rPr>
              <w:t>14</w:t>
            </w:r>
          </w:p>
        </w:tc>
        <w:tc>
          <w:tcPr>
            <w:tcW w:w="1392" w:type="dxa"/>
            <w:shd w:val="clear" w:color="auto" w:fill="auto"/>
            <w:vAlign w:val="center"/>
          </w:tcPr>
          <w:p w14:paraId="4622D21F" w14:textId="77777777" w:rsidR="000856EC" w:rsidRPr="00CB68E4" w:rsidRDefault="000856EC" w:rsidP="00551CE8">
            <w:pPr>
              <w:jc w:val="center"/>
              <w:rPr>
                <w:rFonts w:eastAsia="Arial" w:cs="Arial"/>
                <w:szCs w:val="18"/>
                <w:lang w:val="en-US"/>
              </w:rPr>
            </w:pPr>
            <w:r w:rsidRPr="00CB68E4">
              <w:rPr>
                <w:rFonts w:eastAsia="Arial" w:cs="Arial"/>
                <w:szCs w:val="18"/>
                <w:lang w:val="en-US"/>
              </w:rPr>
              <w:t>14±</w:t>
            </w:r>
            <w:r w:rsidRPr="00CB68E4">
              <w:rPr>
                <w:rFonts w:eastAsia="Arial" w:cs="Arial"/>
                <w:color w:val="000000"/>
                <w:szCs w:val="18"/>
                <w:lang w:val="en-US"/>
              </w:rPr>
              <w:t>3</w:t>
            </w:r>
          </w:p>
        </w:tc>
        <w:tc>
          <w:tcPr>
            <w:tcW w:w="1139" w:type="dxa"/>
            <w:shd w:val="clear" w:color="auto" w:fill="auto"/>
            <w:vAlign w:val="center"/>
          </w:tcPr>
          <w:p w14:paraId="40E3B984" w14:textId="77777777" w:rsidR="000856EC" w:rsidRPr="00CB68E4" w:rsidRDefault="000856EC" w:rsidP="00551CE8">
            <w:pPr>
              <w:jc w:val="center"/>
              <w:rPr>
                <w:rFonts w:eastAsia="Arial" w:cs="Arial"/>
                <w:szCs w:val="18"/>
                <w:lang w:val="en-US"/>
              </w:rPr>
            </w:pPr>
            <w:r w:rsidRPr="00CB68E4">
              <w:rPr>
                <w:rFonts w:eastAsia="Arial" w:cs="Arial"/>
                <w:szCs w:val="18"/>
                <w:lang w:val="en-US"/>
              </w:rPr>
              <w:t>14±3</w:t>
            </w:r>
          </w:p>
        </w:tc>
      </w:tr>
      <w:tr w:rsidR="000856EC" w:rsidRPr="00CB68E4" w14:paraId="6A36249F" w14:textId="77777777" w:rsidTr="000856EC">
        <w:trPr>
          <w:trHeight w:val="352"/>
          <w:jc w:val="center"/>
        </w:trPr>
        <w:tc>
          <w:tcPr>
            <w:tcW w:w="2902" w:type="dxa"/>
            <w:shd w:val="clear" w:color="auto" w:fill="auto"/>
            <w:vAlign w:val="center"/>
          </w:tcPr>
          <w:p w14:paraId="67559B07" w14:textId="77777777" w:rsidR="000856EC" w:rsidRPr="00CB68E4" w:rsidRDefault="000856EC" w:rsidP="00551CE8">
            <w:pPr>
              <w:jc w:val="center"/>
              <w:rPr>
                <w:rFonts w:eastAsia="Arial" w:cs="Arial"/>
                <w:szCs w:val="18"/>
                <w:lang w:val="en-US"/>
              </w:rPr>
            </w:pPr>
            <w:r w:rsidRPr="00CB68E4">
              <w:rPr>
                <w:rFonts w:eastAsia="Arial" w:cs="Arial"/>
                <w:szCs w:val="18"/>
                <w:lang w:val="en-US"/>
              </w:rPr>
              <w:t>Dissolved oxygen (mg/L)</w:t>
            </w:r>
          </w:p>
        </w:tc>
        <w:tc>
          <w:tcPr>
            <w:tcW w:w="1082" w:type="dxa"/>
            <w:shd w:val="clear" w:color="auto" w:fill="auto"/>
            <w:vAlign w:val="center"/>
          </w:tcPr>
          <w:p w14:paraId="5A294F02" w14:textId="77777777" w:rsidR="000856EC" w:rsidRPr="00CB68E4" w:rsidRDefault="000856EC" w:rsidP="00551CE8">
            <w:pPr>
              <w:spacing w:line="240" w:lineRule="auto"/>
              <w:jc w:val="center"/>
              <w:rPr>
                <w:rFonts w:cs="Arial"/>
                <w:szCs w:val="18"/>
                <w:lang w:val="en-US"/>
              </w:rPr>
            </w:pPr>
            <w:r w:rsidRPr="00CB68E4">
              <w:rPr>
                <w:rFonts w:cs="Arial"/>
                <w:color w:val="000000"/>
                <w:szCs w:val="18"/>
                <w:lang w:val="en-US"/>
              </w:rPr>
              <w:t>4.72</w:t>
            </w:r>
          </w:p>
        </w:tc>
        <w:tc>
          <w:tcPr>
            <w:tcW w:w="1163" w:type="dxa"/>
            <w:shd w:val="clear" w:color="auto" w:fill="auto"/>
            <w:vAlign w:val="center"/>
          </w:tcPr>
          <w:p w14:paraId="7DC8D60A" w14:textId="77777777" w:rsidR="000856EC" w:rsidRPr="00CB68E4" w:rsidRDefault="000856EC" w:rsidP="00551CE8">
            <w:pPr>
              <w:spacing w:line="240" w:lineRule="auto"/>
              <w:jc w:val="center"/>
              <w:rPr>
                <w:rFonts w:cs="Arial"/>
                <w:szCs w:val="18"/>
                <w:lang w:val="en-US"/>
              </w:rPr>
            </w:pPr>
            <w:r w:rsidRPr="00CB68E4">
              <w:rPr>
                <w:rFonts w:cs="Arial"/>
                <w:color w:val="000000"/>
                <w:szCs w:val="18"/>
                <w:lang w:val="en-US"/>
              </w:rPr>
              <w:t>5.18</w:t>
            </w:r>
          </w:p>
        </w:tc>
        <w:tc>
          <w:tcPr>
            <w:tcW w:w="1116" w:type="dxa"/>
            <w:shd w:val="clear" w:color="auto" w:fill="auto"/>
            <w:vAlign w:val="center"/>
          </w:tcPr>
          <w:p w14:paraId="1CC8476E" w14:textId="77777777" w:rsidR="000856EC" w:rsidRPr="00CB68E4" w:rsidRDefault="000856EC" w:rsidP="00551CE8">
            <w:pPr>
              <w:spacing w:line="240" w:lineRule="auto"/>
              <w:jc w:val="center"/>
              <w:rPr>
                <w:rFonts w:cs="Arial"/>
                <w:szCs w:val="18"/>
                <w:lang w:val="en-US"/>
              </w:rPr>
            </w:pPr>
            <w:r w:rsidRPr="00CB68E4">
              <w:rPr>
                <w:rFonts w:cs="Arial"/>
                <w:color w:val="000000"/>
                <w:szCs w:val="18"/>
                <w:lang w:val="en-US"/>
              </w:rPr>
              <w:t>4.50</w:t>
            </w:r>
          </w:p>
        </w:tc>
        <w:tc>
          <w:tcPr>
            <w:tcW w:w="1392" w:type="dxa"/>
            <w:shd w:val="clear" w:color="auto" w:fill="auto"/>
            <w:vAlign w:val="center"/>
          </w:tcPr>
          <w:p w14:paraId="4A68FBEF" w14:textId="77777777" w:rsidR="000856EC" w:rsidRPr="00CB68E4" w:rsidRDefault="000856EC" w:rsidP="00551CE8">
            <w:pPr>
              <w:spacing w:line="240" w:lineRule="auto"/>
              <w:jc w:val="center"/>
              <w:rPr>
                <w:rFonts w:cs="Arial"/>
                <w:szCs w:val="18"/>
                <w:lang w:val="en-US"/>
              </w:rPr>
            </w:pPr>
            <w:r w:rsidRPr="00CB68E4">
              <w:rPr>
                <w:rFonts w:cs="Arial"/>
                <w:color w:val="000000"/>
                <w:szCs w:val="18"/>
                <w:lang w:val="en-US"/>
              </w:rPr>
              <w:t>≥4</w:t>
            </w:r>
          </w:p>
        </w:tc>
        <w:tc>
          <w:tcPr>
            <w:tcW w:w="1139" w:type="dxa"/>
            <w:shd w:val="clear" w:color="auto" w:fill="auto"/>
            <w:vAlign w:val="center"/>
          </w:tcPr>
          <w:p w14:paraId="3895E9C6" w14:textId="77777777" w:rsidR="000856EC" w:rsidRPr="00CB68E4" w:rsidRDefault="000856EC" w:rsidP="00551CE8">
            <w:pPr>
              <w:spacing w:line="240" w:lineRule="auto"/>
              <w:jc w:val="center"/>
              <w:rPr>
                <w:rFonts w:cs="Arial"/>
                <w:szCs w:val="18"/>
                <w:lang w:val="en-US"/>
              </w:rPr>
            </w:pPr>
            <w:r w:rsidRPr="00CB68E4">
              <w:rPr>
                <w:rFonts w:cs="Arial"/>
                <w:color w:val="000000"/>
                <w:szCs w:val="18"/>
                <w:lang w:val="en-US"/>
              </w:rPr>
              <w:t>≥5</w:t>
            </w:r>
          </w:p>
        </w:tc>
      </w:tr>
      <w:tr w:rsidR="000856EC" w:rsidRPr="00CB68E4" w14:paraId="2C0F16E0" w14:textId="77777777" w:rsidTr="000856EC">
        <w:trPr>
          <w:trHeight w:val="342"/>
          <w:jc w:val="center"/>
        </w:trPr>
        <w:tc>
          <w:tcPr>
            <w:tcW w:w="2902" w:type="dxa"/>
            <w:shd w:val="clear" w:color="auto" w:fill="auto"/>
            <w:vAlign w:val="center"/>
          </w:tcPr>
          <w:p w14:paraId="3A27E3D8" w14:textId="77777777" w:rsidR="000856EC" w:rsidRPr="00CB68E4" w:rsidRDefault="000856EC" w:rsidP="00551CE8">
            <w:pPr>
              <w:jc w:val="center"/>
              <w:rPr>
                <w:rFonts w:eastAsia="Arial" w:cs="Arial"/>
                <w:szCs w:val="18"/>
                <w:lang w:val="en-US"/>
              </w:rPr>
            </w:pPr>
            <w:r w:rsidRPr="00CB68E4">
              <w:rPr>
                <w:rFonts w:eastAsia="Arial" w:cs="Arial"/>
                <w:szCs w:val="18"/>
                <w:lang w:val="en-US"/>
              </w:rPr>
              <w:t>Electrical conductivity (</w:t>
            </w:r>
            <w:r w:rsidRPr="00CB68E4">
              <w:rPr>
                <w:rFonts w:eastAsia="Arial" w:cs="Arial"/>
                <w:color w:val="000000"/>
                <w:szCs w:val="18"/>
                <w:lang w:val="en-US"/>
              </w:rPr>
              <w:t>µS/cm)</w:t>
            </w:r>
          </w:p>
        </w:tc>
        <w:tc>
          <w:tcPr>
            <w:tcW w:w="1082" w:type="dxa"/>
            <w:shd w:val="clear" w:color="auto" w:fill="auto"/>
            <w:vAlign w:val="center"/>
          </w:tcPr>
          <w:p w14:paraId="275CA784" w14:textId="77777777" w:rsidR="000856EC" w:rsidRPr="00CB68E4" w:rsidRDefault="000856EC" w:rsidP="00551CE8">
            <w:pPr>
              <w:spacing w:line="240" w:lineRule="auto"/>
              <w:jc w:val="center"/>
              <w:rPr>
                <w:rFonts w:cs="Arial"/>
                <w:szCs w:val="18"/>
                <w:lang w:val="en-US"/>
              </w:rPr>
            </w:pPr>
            <w:r w:rsidRPr="00CB68E4">
              <w:rPr>
                <w:rFonts w:cs="Arial"/>
                <w:szCs w:val="18"/>
                <w:lang w:val="en-US"/>
              </w:rPr>
              <w:t>890</w:t>
            </w:r>
          </w:p>
        </w:tc>
        <w:tc>
          <w:tcPr>
            <w:tcW w:w="1163" w:type="dxa"/>
            <w:shd w:val="clear" w:color="auto" w:fill="auto"/>
            <w:vAlign w:val="center"/>
          </w:tcPr>
          <w:p w14:paraId="289348D3" w14:textId="77777777" w:rsidR="000856EC" w:rsidRPr="00CB68E4" w:rsidRDefault="000856EC" w:rsidP="00551CE8">
            <w:pPr>
              <w:spacing w:line="240" w:lineRule="auto"/>
              <w:jc w:val="center"/>
              <w:rPr>
                <w:rFonts w:cs="Arial"/>
                <w:szCs w:val="18"/>
                <w:lang w:val="en-US"/>
              </w:rPr>
            </w:pPr>
            <w:r w:rsidRPr="00CB68E4">
              <w:rPr>
                <w:rFonts w:cs="Arial"/>
                <w:szCs w:val="18"/>
                <w:lang w:val="en-US"/>
              </w:rPr>
              <w:t>888</w:t>
            </w:r>
          </w:p>
        </w:tc>
        <w:tc>
          <w:tcPr>
            <w:tcW w:w="1116" w:type="dxa"/>
            <w:shd w:val="clear" w:color="auto" w:fill="auto"/>
            <w:vAlign w:val="center"/>
          </w:tcPr>
          <w:p w14:paraId="355D8046" w14:textId="77777777" w:rsidR="000856EC" w:rsidRPr="00CB68E4" w:rsidRDefault="000856EC" w:rsidP="00551CE8">
            <w:pPr>
              <w:spacing w:line="240" w:lineRule="auto"/>
              <w:jc w:val="center"/>
              <w:rPr>
                <w:rFonts w:cs="Arial"/>
                <w:szCs w:val="18"/>
                <w:lang w:val="en-US"/>
              </w:rPr>
            </w:pPr>
            <w:r w:rsidRPr="00CB68E4">
              <w:rPr>
                <w:rFonts w:cs="Arial"/>
                <w:szCs w:val="18"/>
                <w:lang w:val="en-US"/>
              </w:rPr>
              <w:t>895</w:t>
            </w:r>
          </w:p>
        </w:tc>
        <w:tc>
          <w:tcPr>
            <w:tcW w:w="1392" w:type="dxa"/>
            <w:shd w:val="clear" w:color="auto" w:fill="auto"/>
            <w:vAlign w:val="center"/>
          </w:tcPr>
          <w:p w14:paraId="5F0ECB0E" w14:textId="77777777" w:rsidR="000856EC" w:rsidRPr="00CB68E4" w:rsidRDefault="000856EC" w:rsidP="00551CE8">
            <w:pPr>
              <w:spacing w:line="240" w:lineRule="auto"/>
              <w:jc w:val="center"/>
              <w:rPr>
                <w:rFonts w:cs="Arial"/>
                <w:szCs w:val="18"/>
                <w:lang w:val="en-US"/>
              </w:rPr>
            </w:pPr>
            <w:r w:rsidRPr="00CB68E4">
              <w:rPr>
                <w:rFonts w:cs="Arial"/>
                <w:color w:val="000000"/>
                <w:szCs w:val="18"/>
                <w:lang w:val="en-US"/>
              </w:rPr>
              <w:t>2500</w:t>
            </w:r>
          </w:p>
        </w:tc>
        <w:tc>
          <w:tcPr>
            <w:tcW w:w="1139" w:type="dxa"/>
            <w:shd w:val="clear" w:color="auto" w:fill="auto"/>
            <w:vAlign w:val="center"/>
          </w:tcPr>
          <w:p w14:paraId="5590B8D1" w14:textId="77777777" w:rsidR="000856EC" w:rsidRPr="00CB68E4" w:rsidRDefault="000856EC" w:rsidP="00551CE8">
            <w:pPr>
              <w:spacing w:line="240" w:lineRule="auto"/>
              <w:jc w:val="center"/>
              <w:rPr>
                <w:rFonts w:cs="Arial"/>
                <w:szCs w:val="18"/>
                <w:lang w:val="en-US"/>
              </w:rPr>
            </w:pPr>
            <w:r w:rsidRPr="00CB68E4">
              <w:rPr>
                <w:rFonts w:cs="Arial"/>
                <w:color w:val="000000"/>
                <w:szCs w:val="18"/>
                <w:lang w:val="en-US"/>
              </w:rPr>
              <w:t>5000</w:t>
            </w:r>
          </w:p>
        </w:tc>
      </w:tr>
      <w:tr w:rsidR="000856EC" w:rsidRPr="00CB68E4" w14:paraId="28F9342A" w14:textId="77777777" w:rsidTr="000856EC">
        <w:trPr>
          <w:trHeight w:val="352"/>
          <w:jc w:val="center"/>
        </w:trPr>
        <w:tc>
          <w:tcPr>
            <w:tcW w:w="2902" w:type="dxa"/>
            <w:shd w:val="clear" w:color="auto" w:fill="auto"/>
            <w:vAlign w:val="center"/>
          </w:tcPr>
          <w:p w14:paraId="59ED46E5" w14:textId="77777777" w:rsidR="000856EC" w:rsidRPr="00CB68E4" w:rsidRDefault="000856EC" w:rsidP="00551CE8">
            <w:pPr>
              <w:jc w:val="center"/>
              <w:rPr>
                <w:rFonts w:eastAsia="Arial" w:cs="Arial"/>
                <w:szCs w:val="18"/>
                <w:lang w:val="en-US"/>
              </w:rPr>
            </w:pPr>
            <w:r w:rsidRPr="00CB68E4">
              <w:rPr>
                <w:rFonts w:eastAsia="Arial" w:cs="Arial"/>
                <w:szCs w:val="18"/>
                <w:lang w:val="en-US"/>
              </w:rPr>
              <w:t>Copper (mg/L)</w:t>
            </w:r>
          </w:p>
        </w:tc>
        <w:tc>
          <w:tcPr>
            <w:tcW w:w="1082" w:type="dxa"/>
            <w:shd w:val="clear" w:color="auto" w:fill="auto"/>
            <w:vAlign w:val="center"/>
          </w:tcPr>
          <w:p w14:paraId="7EC5AFE1" w14:textId="77777777" w:rsidR="000856EC" w:rsidRPr="00CB68E4" w:rsidRDefault="000856EC" w:rsidP="00551CE8">
            <w:pPr>
              <w:spacing w:line="240" w:lineRule="auto"/>
              <w:jc w:val="center"/>
              <w:rPr>
                <w:rFonts w:cs="Arial"/>
                <w:szCs w:val="18"/>
                <w:lang w:val="en-US"/>
              </w:rPr>
            </w:pPr>
            <w:r w:rsidRPr="00CB68E4">
              <w:rPr>
                <w:rFonts w:cs="Arial"/>
                <w:szCs w:val="18"/>
                <w:lang w:val="en-US"/>
              </w:rPr>
              <w:t>0.2150</w:t>
            </w:r>
          </w:p>
        </w:tc>
        <w:tc>
          <w:tcPr>
            <w:tcW w:w="1163" w:type="dxa"/>
            <w:shd w:val="clear" w:color="auto" w:fill="auto"/>
            <w:vAlign w:val="center"/>
          </w:tcPr>
          <w:p w14:paraId="00F95223" w14:textId="77777777" w:rsidR="000856EC" w:rsidRPr="00CB68E4" w:rsidRDefault="000856EC" w:rsidP="00551CE8">
            <w:pPr>
              <w:spacing w:line="240" w:lineRule="auto"/>
              <w:jc w:val="center"/>
              <w:rPr>
                <w:rFonts w:cs="Arial"/>
                <w:szCs w:val="18"/>
                <w:lang w:val="en-US"/>
              </w:rPr>
            </w:pPr>
            <w:r w:rsidRPr="00CB68E4">
              <w:rPr>
                <w:rFonts w:cs="Arial"/>
                <w:szCs w:val="18"/>
                <w:lang w:val="en-US"/>
              </w:rPr>
              <w:t>-</w:t>
            </w:r>
          </w:p>
        </w:tc>
        <w:tc>
          <w:tcPr>
            <w:tcW w:w="1116" w:type="dxa"/>
            <w:shd w:val="clear" w:color="auto" w:fill="auto"/>
            <w:vAlign w:val="center"/>
          </w:tcPr>
          <w:p w14:paraId="77D0C4E1" w14:textId="77777777" w:rsidR="000856EC" w:rsidRPr="00CB68E4" w:rsidRDefault="000856EC" w:rsidP="00551CE8">
            <w:pPr>
              <w:spacing w:line="240" w:lineRule="auto"/>
              <w:jc w:val="center"/>
              <w:rPr>
                <w:rFonts w:cs="Arial"/>
                <w:szCs w:val="18"/>
                <w:lang w:val="en-US"/>
              </w:rPr>
            </w:pPr>
            <w:r w:rsidRPr="00CB68E4">
              <w:rPr>
                <w:rFonts w:cs="Arial"/>
                <w:szCs w:val="18"/>
                <w:lang w:val="en-US"/>
              </w:rPr>
              <w:t>-</w:t>
            </w:r>
          </w:p>
        </w:tc>
        <w:tc>
          <w:tcPr>
            <w:tcW w:w="1392" w:type="dxa"/>
            <w:shd w:val="clear" w:color="auto" w:fill="auto"/>
            <w:vAlign w:val="center"/>
          </w:tcPr>
          <w:p w14:paraId="1F1DE679" w14:textId="77777777" w:rsidR="000856EC" w:rsidRPr="00CB68E4" w:rsidRDefault="000856EC" w:rsidP="00551CE8">
            <w:pPr>
              <w:spacing w:line="240" w:lineRule="auto"/>
              <w:jc w:val="center"/>
              <w:rPr>
                <w:rFonts w:cs="Arial"/>
                <w:szCs w:val="18"/>
                <w:lang w:val="en-US"/>
              </w:rPr>
            </w:pPr>
            <w:r w:rsidRPr="00CB68E4">
              <w:rPr>
                <w:rFonts w:cs="Arial"/>
                <w:szCs w:val="18"/>
                <w:lang w:val="en-US"/>
              </w:rPr>
              <w:t>0.2</w:t>
            </w:r>
          </w:p>
        </w:tc>
        <w:tc>
          <w:tcPr>
            <w:tcW w:w="1139" w:type="dxa"/>
            <w:shd w:val="clear" w:color="auto" w:fill="auto"/>
            <w:vAlign w:val="center"/>
          </w:tcPr>
          <w:p w14:paraId="591F8333" w14:textId="77777777" w:rsidR="000856EC" w:rsidRPr="00CB68E4" w:rsidRDefault="000856EC" w:rsidP="00551CE8">
            <w:pPr>
              <w:spacing w:line="240" w:lineRule="auto"/>
              <w:jc w:val="center"/>
              <w:rPr>
                <w:rFonts w:cs="Arial"/>
                <w:szCs w:val="18"/>
                <w:lang w:val="en-US"/>
              </w:rPr>
            </w:pPr>
            <w:r w:rsidRPr="00CB68E4">
              <w:rPr>
                <w:rFonts w:cs="Arial"/>
                <w:szCs w:val="18"/>
                <w:lang w:val="en-US"/>
              </w:rPr>
              <w:t>0.5</w:t>
            </w:r>
          </w:p>
        </w:tc>
      </w:tr>
      <w:tr w:rsidR="000856EC" w:rsidRPr="00CB68E4" w14:paraId="53218F83" w14:textId="77777777" w:rsidTr="000856EC">
        <w:trPr>
          <w:trHeight w:val="342"/>
          <w:jc w:val="center"/>
        </w:trPr>
        <w:tc>
          <w:tcPr>
            <w:tcW w:w="2902" w:type="dxa"/>
            <w:shd w:val="clear" w:color="auto" w:fill="auto"/>
            <w:vAlign w:val="center"/>
          </w:tcPr>
          <w:p w14:paraId="7B52F3AA" w14:textId="77777777" w:rsidR="000856EC" w:rsidRPr="00CB68E4" w:rsidRDefault="000856EC" w:rsidP="00551CE8">
            <w:pPr>
              <w:jc w:val="center"/>
              <w:rPr>
                <w:rFonts w:eastAsia="Arial" w:cs="Arial"/>
                <w:szCs w:val="18"/>
                <w:lang w:val="en-US"/>
              </w:rPr>
            </w:pPr>
            <w:r w:rsidRPr="00CB68E4">
              <w:rPr>
                <w:rFonts w:eastAsia="Arial" w:cs="Arial"/>
                <w:szCs w:val="18"/>
                <w:lang w:val="en-US"/>
              </w:rPr>
              <w:t>Lead (mg/L)</w:t>
            </w:r>
          </w:p>
        </w:tc>
        <w:tc>
          <w:tcPr>
            <w:tcW w:w="1082" w:type="dxa"/>
            <w:shd w:val="clear" w:color="auto" w:fill="auto"/>
            <w:vAlign w:val="center"/>
          </w:tcPr>
          <w:p w14:paraId="385ABABE" w14:textId="77777777" w:rsidR="000856EC" w:rsidRPr="00CB68E4" w:rsidRDefault="000856EC" w:rsidP="00551CE8">
            <w:pPr>
              <w:spacing w:line="240" w:lineRule="auto"/>
              <w:jc w:val="center"/>
              <w:rPr>
                <w:rFonts w:cs="Arial"/>
                <w:szCs w:val="18"/>
                <w:lang w:val="en-US"/>
              </w:rPr>
            </w:pPr>
            <w:r w:rsidRPr="00CB68E4">
              <w:rPr>
                <w:rFonts w:cs="Arial"/>
                <w:szCs w:val="18"/>
                <w:lang w:val="en-US"/>
              </w:rPr>
              <w:t>-</w:t>
            </w:r>
          </w:p>
        </w:tc>
        <w:tc>
          <w:tcPr>
            <w:tcW w:w="1163" w:type="dxa"/>
            <w:shd w:val="clear" w:color="auto" w:fill="auto"/>
            <w:vAlign w:val="center"/>
          </w:tcPr>
          <w:p w14:paraId="0BBAD9C7" w14:textId="77777777" w:rsidR="000856EC" w:rsidRPr="00CB68E4" w:rsidRDefault="000856EC" w:rsidP="00551CE8">
            <w:pPr>
              <w:spacing w:line="240" w:lineRule="auto"/>
              <w:jc w:val="center"/>
              <w:rPr>
                <w:rFonts w:cs="Arial"/>
                <w:szCs w:val="18"/>
                <w:lang w:val="en-US"/>
              </w:rPr>
            </w:pPr>
            <w:r w:rsidRPr="00CB68E4">
              <w:rPr>
                <w:rFonts w:cs="Arial"/>
                <w:szCs w:val="18"/>
                <w:lang w:val="en-US"/>
              </w:rPr>
              <w:t>1.831</w:t>
            </w:r>
          </w:p>
        </w:tc>
        <w:tc>
          <w:tcPr>
            <w:tcW w:w="1116" w:type="dxa"/>
            <w:shd w:val="clear" w:color="auto" w:fill="auto"/>
            <w:vAlign w:val="center"/>
          </w:tcPr>
          <w:p w14:paraId="1A41571A" w14:textId="77777777" w:rsidR="000856EC" w:rsidRPr="00CB68E4" w:rsidRDefault="000856EC" w:rsidP="00551CE8">
            <w:pPr>
              <w:spacing w:line="240" w:lineRule="auto"/>
              <w:jc w:val="center"/>
              <w:rPr>
                <w:rFonts w:cs="Arial"/>
                <w:szCs w:val="18"/>
                <w:lang w:val="en-US"/>
              </w:rPr>
            </w:pPr>
            <w:r w:rsidRPr="00CB68E4">
              <w:rPr>
                <w:rFonts w:cs="Arial"/>
                <w:szCs w:val="18"/>
                <w:lang w:val="en-US"/>
              </w:rPr>
              <w:t>-</w:t>
            </w:r>
          </w:p>
        </w:tc>
        <w:tc>
          <w:tcPr>
            <w:tcW w:w="1392" w:type="dxa"/>
            <w:shd w:val="clear" w:color="auto" w:fill="auto"/>
            <w:vAlign w:val="center"/>
          </w:tcPr>
          <w:p w14:paraId="57B72F93" w14:textId="77777777" w:rsidR="000856EC" w:rsidRPr="00CB68E4" w:rsidRDefault="000856EC" w:rsidP="00551CE8">
            <w:pPr>
              <w:spacing w:line="240" w:lineRule="auto"/>
              <w:jc w:val="center"/>
              <w:rPr>
                <w:rFonts w:cs="Arial"/>
                <w:szCs w:val="18"/>
                <w:lang w:val="en-US"/>
              </w:rPr>
            </w:pPr>
            <w:r w:rsidRPr="00CB68E4">
              <w:rPr>
                <w:rFonts w:cs="Arial"/>
                <w:szCs w:val="18"/>
                <w:lang w:val="en-US"/>
              </w:rPr>
              <w:t>0.05</w:t>
            </w:r>
          </w:p>
        </w:tc>
        <w:tc>
          <w:tcPr>
            <w:tcW w:w="1139" w:type="dxa"/>
            <w:shd w:val="clear" w:color="auto" w:fill="auto"/>
            <w:vAlign w:val="center"/>
          </w:tcPr>
          <w:p w14:paraId="29A8FDE9" w14:textId="77777777" w:rsidR="000856EC" w:rsidRPr="00CB68E4" w:rsidRDefault="000856EC" w:rsidP="00551CE8">
            <w:pPr>
              <w:spacing w:line="240" w:lineRule="auto"/>
              <w:jc w:val="center"/>
              <w:rPr>
                <w:rFonts w:cs="Arial"/>
                <w:szCs w:val="18"/>
                <w:lang w:val="en-US"/>
              </w:rPr>
            </w:pPr>
            <w:r w:rsidRPr="00CB68E4">
              <w:rPr>
                <w:rFonts w:cs="Arial"/>
                <w:szCs w:val="18"/>
                <w:lang w:val="en-US"/>
              </w:rPr>
              <w:t>0.05</w:t>
            </w:r>
          </w:p>
        </w:tc>
      </w:tr>
      <w:tr w:rsidR="000856EC" w:rsidRPr="00CB68E4" w14:paraId="5004E53A" w14:textId="77777777" w:rsidTr="000856EC">
        <w:trPr>
          <w:trHeight w:val="352"/>
          <w:jc w:val="center"/>
        </w:trPr>
        <w:tc>
          <w:tcPr>
            <w:tcW w:w="2902" w:type="dxa"/>
            <w:shd w:val="clear" w:color="auto" w:fill="auto"/>
            <w:vAlign w:val="center"/>
          </w:tcPr>
          <w:p w14:paraId="498B7373" w14:textId="77777777" w:rsidR="000856EC" w:rsidRPr="00CB68E4" w:rsidRDefault="000856EC" w:rsidP="00551CE8">
            <w:pPr>
              <w:jc w:val="center"/>
              <w:rPr>
                <w:rFonts w:eastAsia="Arial" w:cs="Arial"/>
                <w:szCs w:val="18"/>
                <w:lang w:val="en-US"/>
              </w:rPr>
            </w:pPr>
            <w:r w:rsidRPr="00CB68E4">
              <w:rPr>
                <w:rFonts w:eastAsia="Arial" w:cs="Arial"/>
                <w:szCs w:val="18"/>
                <w:lang w:val="en-US"/>
              </w:rPr>
              <w:t>Zinc (mg/L)</w:t>
            </w:r>
          </w:p>
        </w:tc>
        <w:tc>
          <w:tcPr>
            <w:tcW w:w="1082" w:type="dxa"/>
            <w:shd w:val="clear" w:color="auto" w:fill="auto"/>
            <w:vAlign w:val="center"/>
          </w:tcPr>
          <w:p w14:paraId="05D8DAF9" w14:textId="77777777" w:rsidR="000856EC" w:rsidRPr="00CB68E4" w:rsidRDefault="000856EC" w:rsidP="00551CE8">
            <w:pPr>
              <w:spacing w:line="240" w:lineRule="auto"/>
              <w:jc w:val="center"/>
              <w:rPr>
                <w:rFonts w:cs="Arial"/>
                <w:szCs w:val="18"/>
                <w:lang w:val="en-US"/>
              </w:rPr>
            </w:pPr>
            <w:r w:rsidRPr="00CB68E4">
              <w:rPr>
                <w:rFonts w:cs="Arial"/>
                <w:szCs w:val="18"/>
                <w:lang w:val="en-US"/>
              </w:rPr>
              <w:t>-</w:t>
            </w:r>
          </w:p>
        </w:tc>
        <w:tc>
          <w:tcPr>
            <w:tcW w:w="1163" w:type="dxa"/>
            <w:shd w:val="clear" w:color="auto" w:fill="auto"/>
            <w:vAlign w:val="center"/>
          </w:tcPr>
          <w:p w14:paraId="6B552DEA" w14:textId="77777777" w:rsidR="000856EC" w:rsidRPr="00CB68E4" w:rsidRDefault="000856EC" w:rsidP="00551CE8">
            <w:pPr>
              <w:spacing w:line="240" w:lineRule="auto"/>
              <w:jc w:val="center"/>
              <w:rPr>
                <w:rFonts w:cs="Arial"/>
                <w:szCs w:val="18"/>
                <w:lang w:val="en-US"/>
              </w:rPr>
            </w:pPr>
            <w:r w:rsidRPr="00CB68E4">
              <w:rPr>
                <w:rFonts w:cs="Arial"/>
                <w:szCs w:val="18"/>
                <w:lang w:val="en-US"/>
              </w:rPr>
              <w:t>-</w:t>
            </w:r>
          </w:p>
        </w:tc>
        <w:tc>
          <w:tcPr>
            <w:tcW w:w="1116" w:type="dxa"/>
            <w:shd w:val="clear" w:color="auto" w:fill="auto"/>
            <w:vAlign w:val="center"/>
          </w:tcPr>
          <w:p w14:paraId="3DCF5156" w14:textId="77777777" w:rsidR="000856EC" w:rsidRPr="00CB68E4" w:rsidRDefault="000856EC" w:rsidP="00551CE8">
            <w:pPr>
              <w:spacing w:line="240" w:lineRule="auto"/>
              <w:jc w:val="center"/>
              <w:rPr>
                <w:rFonts w:cs="Arial"/>
                <w:szCs w:val="18"/>
                <w:lang w:val="en-US"/>
              </w:rPr>
            </w:pPr>
            <w:r w:rsidRPr="00CB68E4">
              <w:rPr>
                <w:rFonts w:cs="Arial"/>
                <w:szCs w:val="18"/>
                <w:lang w:val="en-US"/>
              </w:rPr>
              <w:t>6.3049</w:t>
            </w:r>
          </w:p>
        </w:tc>
        <w:tc>
          <w:tcPr>
            <w:tcW w:w="1392" w:type="dxa"/>
            <w:shd w:val="clear" w:color="auto" w:fill="auto"/>
            <w:vAlign w:val="center"/>
          </w:tcPr>
          <w:p w14:paraId="5570164D" w14:textId="77777777" w:rsidR="000856EC" w:rsidRPr="00CB68E4" w:rsidRDefault="000856EC" w:rsidP="00551CE8">
            <w:pPr>
              <w:spacing w:line="240" w:lineRule="auto"/>
              <w:jc w:val="center"/>
              <w:rPr>
                <w:rFonts w:cs="Arial"/>
                <w:szCs w:val="18"/>
                <w:lang w:val="en-US"/>
              </w:rPr>
            </w:pPr>
            <w:r w:rsidRPr="00CB68E4">
              <w:rPr>
                <w:rFonts w:cs="Arial"/>
                <w:szCs w:val="18"/>
                <w:lang w:val="en-US"/>
              </w:rPr>
              <w:t>2</w:t>
            </w:r>
          </w:p>
        </w:tc>
        <w:tc>
          <w:tcPr>
            <w:tcW w:w="1139" w:type="dxa"/>
            <w:shd w:val="clear" w:color="auto" w:fill="auto"/>
            <w:vAlign w:val="center"/>
          </w:tcPr>
          <w:p w14:paraId="48145B71" w14:textId="77777777" w:rsidR="000856EC" w:rsidRPr="00CB68E4" w:rsidRDefault="000856EC" w:rsidP="00551CE8">
            <w:pPr>
              <w:spacing w:line="240" w:lineRule="auto"/>
              <w:jc w:val="center"/>
              <w:rPr>
                <w:rFonts w:cs="Arial"/>
                <w:szCs w:val="18"/>
                <w:lang w:val="en-US"/>
              </w:rPr>
            </w:pPr>
            <w:r w:rsidRPr="00CB68E4">
              <w:rPr>
                <w:rFonts w:cs="Arial"/>
                <w:szCs w:val="18"/>
                <w:lang w:val="en-US"/>
              </w:rPr>
              <w:t>2.4</w:t>
            </w:r>
          </w:p>
        </w:tc>
      </w:tr>
    </w:tbl>
    <w:p w14:paraId="1F75208D" w14:textId="3D6CF8F1" w:rsidR="000856EC" w:rsidRDefault="000856EC" w:rsidP="000856EC">
      <w:pPr>
        <w:pStyle w:val="CETTabletitle"/>
        <w:spacing w:before="0"/>
        <w:rPr>
          <w:lang w:val="en-US"/>
        </w:rPr>
      </w:pPr>
      <w:r w:rsidRPr="000856EC">
        <w:rPr>
          <w:lang w:val="en-US"/>
        </w:rPr>
        <w:t>Where: C1, cuvette 1; C2, cuvette 2; C3, cuvette 3; C4, cuvette 4; C5, cuvette 5; C6, cuvette 6; and ECA, environmental quality standards</w:t>
      </w:r>
    </w:p>
    <w:p w14:paraId="2A06E714" w14:textId="2932062D" w:rsidR="008A68AE" w:rsidRPr="008A68AE" w:rsidRDefault="008A68AE" w:rsidP="008A68AE">
      <w:pPr>
        <w:pStyle w:val="CETheadingx"/>
        <w:spacing w:after="0"/>
        <w:jc w:val="both"/>
        <w:rPr>
          <w:rFonts w:cs="Arial"/>
          <w:b w:val="0"/>
          <w:iCs/>
          <w:lang w:val="en-GB"/>
        </w:rPr>
      </w:pPr>
      <w:r w:rsidRPr="008A68AE">
        <w:rPr>
          <w:rFonts w:cs="Arial"/>
          <w:b w:val="0"/>
          <w:iCs/>
          <w:lang w:val="en-GB"/>
        </w:rPr>
        <w:t>From Table 1, it was observed that the water t</w:t>
      </w:r>
      <w:r w:rsidR="00000C53">
        <w:rPr>
          <w:rFonts w:cs="Arial"/>
          <w:b w:val="0"/>
          <w:iCs/>
          <w:lang w:val="en-GB"/>
        </w:rPr>
        <w:t xml:space="preserve">emperature </w:t>
      </w:r>
      <w:r w:rsidRPr="008A68AE">
        <w:rPr>
          <w:rFonts w:cs="Arial"/>
          <w:b w:val="0"/>
          <w:iCs/>
          <w:lang w:val="en-GB"/>
        </w:rPr>
        <w:t>was 14 °C, which did not vary during the experimental period. Parameters such as pH, dissolved oxygen and electrical conductivity comply with the values established by Ministry of the Environment (MINAM) in the environmental quality standards (ECA) for water, both for the vegetable irrigation category and the animal d</w:t>
      </w:r>
      <w:r w:rsidR="00F1502A">
        <w:rPr>
          <w:rFonts w:cs="Arial"/>
          <w:b w:val="0"/>
          <w:iCs/>
          <w:lang w:val="en-GB"/>
        </w:rPr>
        <w:t>rinking category (MINAM, 2017).</w:t>
      </w:r>
    </w:p>
    <w:p w14:paraId="65DBBDE2" w14:textId="6A97E227" w:rsidR="008A68AE" w:rsidRPr="008A68AE" w:rsidRDefault="008A68AE" w:rsidP="008A68AE">
      <w:pPr>
        <w:pStyle w:val="CETheadingx"/>
        <w:spacing w:before="0" w:after="0"/>
        <w:jc w:val="both"/>
        <w:rPr>
          <w:rFonts w:cs="Arial"/>
          <w:b w:val="0"/>
          <w:iCs/>
          <w:lang w:val="en-GB"/>
        </w:rPr>
      </w:pPr>
      <w:r w:rsidRPr="008A68AE">
        <w:rPr>
          <w:rFonts w:cs="Arial"/>
          <w:b w:val="0"/>
          <w:iCs/>
          <w:lang w:val="en-GB"/>
        </w:rPr>
        <w:t>The initial concentration of co</w:t>
      </w:r>
      <w:r w:rsidR="007B5EC2">
        <w:rPr>
          <w:rFonts w:cs="Arial"/>
          <w:b w:val="0"/>
          <w:iCs/>
          <w:lang w:val="en-GB"/>
        </w:rPr>
        <w:t>pper (Cu), belonging to cuvette 1 and cuvette 4</w:t>
      </w:r>
      <w:r w:rsidRPr="008A68AE">
        <w:rPr>
          <w:rFonts w:cs="Arial"/>
          <w:b w:val="0"/>
          <w:iCs/>
          <w:lang w:val="en-GB"/>
        </w:rPr>
        <w:t xml:space="preserve"> is 0.21 mg/L, a value that is above the ECA category 3 for vegetable irrigation which is 0.2 mg/L. However, it does meet the ECA category 3 for animal drinking, which is 0.5 mg/L. </w:t>
      </w:r>
    </w:p>
    <w:p w14:paraId="3A107C37" w14:textId="1E32BB70" w:rsidR="008A68AE" w:rsidRDefault="008A68AE" w:rsidP="008A68AE">
      <w:pPr>
        <w:pStyle w:val="CETheadingx"/>
        <w:spacing w:before="0" w:after="0"/>
        <w:jc w:val="both"/>
        <w:rPr>
          <w:rFonts w:cs="Arial"/>
          <w:b w:val="0"/>
          <w:iCs/>
          <w:lang w:val="en-GB"/>
        </w:rPr>
      </w:pPr>
      <w:r w:rsidRPr="008A68AE">
        <w:rPr>
          <w:rFonts w:cs="Arial"/>
          <w:b w:val="0"/>
          <w:iCs/>
          <w:lang w:val="en-GB"/>
        </w:rPr>
        <w:t xml:space="preserve">The initial concentration of </w:t>
      </w:r>
      <w:r w:rsidR="007B5EC2">
        <w:rPr>
          <w:rFonts w:cs="Arial"/>
          <w:b w:val="0"/>
          <w:iCs/>
          <w:lang w:val="en-GB"/>
        </w:rPr>
        <w:t>lead (Pb), belonging to cuvette 2 and cuvette 5</w:t>
      </w:r>
      <w:r w:rsidRPr="008A68AE">
        <w:rPr>
          <w:rFonts w:cs="Arial"/>
          <w:b w:val="0"/>
          <w:iCs/>
          <w:lang w:val="en-GB"/>
        </w:rPr>
        <w:t xml:space="preserve"> is 1.83 mg/L, which is well above the ECA category 3 for both vegetable irrigation and animal drinking.</w:t>
      </w:r>
    </w:p>
    <w:p w14:paraId="4641B575" w14:textId="3967D528" w:rsidR="008A68AE" w:rsidRDefault="008A68AE" w:rsidP="008A68AE">
      <w:pPr>
        <w:pStyle w:val="CETBodytext"/>
        <w:rPr>
          <w:lang w:val="en-GB"/>
        </w:rPr>
      </w:pPr>
      <w:r w:rsidRPr="008A68AE">
        <w:rPr>
          <w:lang w:val="en-GB"/>
        </w:rPr>
        <w:t>The initial z</w:t>
      </w:r>
      <w:r w:rsidR="007B5EC2">
        <w:rPr>
          <w:lang w:val="en-GB"/>
        </w:rPr>
        <w:t>inc (Zn) concentration in cuvette 3 and cuvette 6</w:t>
      </w:r>
      <w:r w:rsidRPr="008A68AE">
        <w:rPr>
          <w:lang w:val="en-GB"/>
        </w:rPr>
        <w:t xml:space="preserve"> is 6.30 mg/L, which is above the </w:t>
      </w:r>
      <w:r>
        <w:rPr>
          <w:lang w:val="en-GB"/>
        </w:rPr>
        <w:t xml:space="preserve">ECA </w:t>
      </w:r>
      <w:r w:rsidRPr="008A68AE">
        <w:rPr>
          <w:lang w:val="en-GB"/>
        </w:rPr>
        <w:t>categor</w:t>
      </w:r>
      <w:r>
        <w:rPr>
          <w:lang w:val="en-GB"/>
        </w:rPr>
        <w:t>y 3</w:t>
      </w:r>
      <w:r w:rsidRPr="008A68AE">
        <w:rPr>
          <w:lang w:val="en-GB"/>
        </w:rPr>
        <w:t xml:space="preserve"> for vegetable irrigation (2 mg/L</w:t>
      </w:r>
      <w:r w:rsidR="00F1502A" w:rsidRPr="008A68AE">
        <w:rPr>
          <w:lang w:val="en-GB"/>
        </w:rPr>
        <w:t>). However</w:t>
      </w:r>
      <w:r w:rsidRPr="008A68AE">
        <w:rPr>
          <w:lang w:val="en-GB"/>
        </w:rPr>
        <w:t>, it does meet the ECA category 3 for animal drinking, which is 24 mg/L.</w:t>
      </w:r>
    </w:p>
    <w:p w14:paraId="567E6F52" w14:textId="73245642" w:rsidR="003F08BB" w:rsidRDefault="00F1502A" w:rsidP="008A68AE">
      <w:pPr>
        <w:pStyle w:val="CETBodytext"/>
        <w:rPr>
          <w:lang w:val="en-GB"/>
        </w:rPr>
      </w:pPr>
      <w:r w:rsidRPr="00F1502A">
        <w:rPr>
          <w:lang w:val="en-GB"/>
        </w:rPr>
        <w:t>Table 2 shows the results of the physicochemical parameters of the water after treatment with the macrophyte plants.</w:t>
      </w:r>
    </w:p>
    <w:p w14:paraId="40E76DB4" w14:textId="5853313A" w:rsidR="003F08BB" w:rsidRDefault="00AF6923" w:rsidP="00AF6923">
      <w:pPr>
        <w:pStyle w:val="CETTabletitle"/>
        <w:rPr>
          <w:lang w:val="en-US"/>
        </w:rPr>
      </w:pPr>
      <w:r>
        <w:rPr>
          <w:lang w:val="en-US"/>
        </w:rPr>
        <w:lastRenderedPageBreak/>
        <w:t>Table 2</w:t>
      </w:r>
      <w:r w:rsidR="003F08BB" w:rsidRPr="009D1AC8">
        <w:rPr>
          <w:lang w:val="en-US"/>
        </w:rPr>
        <w:t xml:space="preserve">: </w:t>
      </w:r>
      <w:r w:rsidRPr="00AF6923">
        <w:rPr>
          <w:lang w:val="en-US"/>
        </w:rPr>
        <w:t>Results of physicochemical parameters after treatment</w:t>
      </w:r>
    </w:p>
    <w:tbl>
      <w:tblPr>
        <w:tblW w:w="0" w:type="auto"/>
        <w:tblBorders>
          <w:top w:val="single" w:sz="12" w:space="0" w:color="538135"/>
          <w:bottom w:val="single" w:sz="12" w:space="0" w:color="538135"/>
        </w:tblBorders>
        <w:tblCellMar>
          <w:top w:w="15" w:type="dxa"/>
          <w:left w:w="15" w:type="dxa"/>
          <w:bottom w:w="15" w:type="dxa"/>
          <w:right w:w="15" w:type="dxa"/>
        </w:tblCellMar>
        <w:tblLook w:val="04A0" w:firstRow="1" w:lastRow="0" w:firstColumn="1" w:lastColumn="0" w:noHBand="0" w:noVBand="1"/>
      </w:tblPr>
      <w:tblGrid>
        <w:gridCol w:w="2079"/>
        <w:gridCol w:w="978"/>
        <w:gridCol w:w="1261"/>
        <w:gridCol w:w="791"/>
        <w:gridCol w:w="1728"/>
        <w:gridCol w:w="1950"/>
      </w:tblGrid>
      <w:tr w:rsidR="00605B88" w:rsidRPr="009A3A09" w14:paraId="305D800F" w14:textId="77777777" w:rsidTr="00605B88">
        <w:tc>
          <w:tcPr>
            <w:tcW w:w="2122" w:type="dxa"/>
            <w:tcBorders>
              <w:top w:val="single" w:sz="12" w:space="0" w:color="538135"/>
              <w:bottom w:val="single" w:sz="4" w:space="0" w:color="538135"/>
            </w:tcBorders>
            <w:shd w:val="clear" w:color="auto" w:fill="auto"/>
            <w:vAlign w:val="center"/>
          </w:tcPr>
          <w:p w14:paraId="7808D6CC" w14:textId="77777777" w:rsidR="00605B88" w:rsidRPr="00A101F9" w:rsidRDefault="00605B88" w:rsidP="00551CE8">
            <w:pPr>
              <w:spacing w:line="240" w:lineRule="auto"/>
              <w:jc w:val="center"/>
              <w:rPr>
                <w:rFonts w:cs="Arial"/>
                <w:szCs w:val="18"/>
                <w:lang w:val="en-US" w:eastAsia="es-PE"/>
              </w:rPr>
            </w:pPr>
            <w:r w:rsidRPr="009A3A09">
              <w:rPr>
                <w:rFonts w:cs="Arial"/>
                <w:szCs w:val="18"/>
                <w:lang w:val="en-US" w:eastAsia="es-PE"/>
              </w:rPr>
              <w:t>Floating macrophytes</w:t>
            </w:r>
          </w:p>
        </w:tc>
        <w:tc>
          <w:tcPr>
            <w:tcW w:w="992" w:type="dxa"/>
            <w:tcBorders>
              <w:top w:val="single" w:sz="12" w:space="0" w:color="538135"/>
              <w:bottom w:val="single" w:sz="4" w:space="0" w:color="538135"/>
            </w:tcBorders>
            <w:shd w:val="clear" w:color="auto" w:fill="auto"/>
            <w:tcMar>
              <w:top w:w="0" w:type="dxa"/>
              <w:left w:w="115" w:type="dxa"/>
              <w:bottom w:w="0" w:type="dxa"/>
              <w:right w:w="115" w:type="dxa"/>
            </w:tcMar>
            <w:vAlign w:val="center"/>
            <w:hideMark/>
          </w:tcPr>
          <w:p w14:paraId="06253F62" w14:textId="77777777" w:rsidR="00605B88" w:rsidRPr="00A101F9" w:rsidRDefault="00605B88" w:rsidP="00551CE8">
            <w:pPr>
              <w:spacing w:line="240" w:lineRule="auto"/>
              <w:jc w:val="center"/>
              <w:rPr>
                <w:rFonts w:cs="Arial"/>
                <w:szCs w:val="18"/>
                <w:lang w:val="en-US" w:eastAsia="es-PE"/>
              </w:rPr>
            </w:pPr>
            <w:r w:rsidRPr="00A101F9">
              <w:rPr>
                <w:rFonts w:cs="Arial"/>
                <w:bCs/>
                <w:color w:val="000000"/>
                <w:szCs w:val="18"/>
                <w:lang w:val="en-US" w:eastAsia="es-PE"/>
              </w:rPr>
              <w:t>Metal</w:t>
            </w:r>
          </w:p>
        </w:tc>
        <w:tc>
          <w:tcPr>
            <w:tcW w:w="1261" w:type="dxa"/>
            <w:tcBorders>
              <w:top w:val="single" w:sz="12" w:space="0" w:color="538135"/>
              <w:bottom w:val="single" w:sz="4" w:space="0" w:color="538135"/>
            </w:tcBorders>
            <w:shd w:val="clear" w:color="auto" w:fill="auto"/>
            <w:tcMar>
              <w:top w:w="0" w:type="dxa"/>
              <w:left w:w="115" w:type="dxa"/>
              <w:bottom w:w="0" w:type="dxa"/>
              <w:right w:w="115" w:type="dxa"/>
            </w:tcMar>
            <w:vAlign w:val="center"/>
            <w:hideMark/>
          </w:tcPr>
          <w:p w14:paraId="5DFD3C09" w14:textId="77777777" w:rsidR="00605B88" w:rsidRPr="00A101F9" w:rsidRDefault="00605B88" w:rsidP="00551CE8">
            <w:pPr>
              <w:spacing w:line="240" w:lineRule="auto"/>
              <w:jc w:val="center"/>
              <w:rPr>
                <w:rFonts w:cs="Arial"/>
                <w:szCs w:val="18"/>
                <w:lang w:val="en-US" w:eastAsia="es-PE"/>
              </w:rPr>
            </w:pPr>
            <w:r w:rsidRPr="009A3A09">
              <w:rPr>
                <w:rFonts w:cs="Arial"/>
                <w:bCs/>
                <w:color w:val="000000"/>
                <w:szCs w:val="18"/>
                <w:lang w:val="en-US" w:eastAsia="es-PE"/>
              </w:rPr>
              <w:t>Temperature</w:t>
            </w:r>
          </w:p>
          <w:p w14:paraId="56F51044" w14:textId="77777777" w:rsidR="00605B88" w:rsidRPr="00A101F9" w:rsidRDefault="00605B88" w:rsidP="00551CE8">
            <w:pPr>
              <w:spacing w:line="240" w:lineRule="auto"/>
              <w:jc w:val="center"/>
              <w:rPr>
                <w:rFonts w:cs="Arial"/>
                <w:szCs w:val="18"/>
                <w:lang w:val="en-US" w:eastAsia="es-PE"/>
              </w:rPr>
            </w:pPr>
            <w:r w:rsidRPr="00A101F9">
              <w:rPr>
                <w:rFonts w:cs="Arial"/>
                <w:bCs/>
                <w:color w:val="000000"/>
                <w:szCs w:val="18"/>
                <w:lang w:val="en-US" w:eastAsia="es-PE"/>
              </w:rPr>
              <w:t>(°C)</w:t>
            </w:r>
          </w:p>
        </w:tc>
        <w:tc>
          <w:tcPr>
            <w:tcW w:w="805" w:type="dxa"/>
            <w:tcBorders>
              <w:top w:val="single" w:sz="12" w:space="0" w:color="538135"/>
              <w:bottom w:val="single" w:sz="4" w:space="0" w:color="538135"/>
            </w:tcBorders>
            <w:shd w:val="clear" w:color="auto" w:fill="auto"/>
            <w:tcMar>
              <w:top w:w="0" w:type="dxa"/>
              <w:left w:w="115" w:type="dxa"/>
              <w:bottom w:w="0" w:type="dxa"/>
              <w:right w:w="115" w:type="dxa"/>
            </w:tcMar>
            <w:vAlign w:val="center"/>
            <w:hideMark/>
          </w:tcPr>
          <w:p w14:paraId="127DE93B" w14:textId="77777777" w:rsidR="00605B88" w:rsidRPr="00A101F9" w:rsidRDefault="00605B88" w:rsidP="00551CE8">
            <w:pPr>
              <w:spacing w:line="240" w:lineRule="auto"/>
              <w:jc w:val="center"/>
              <w:rPr>
                <w:rFonts w:cs="Arial"/>
                <w:szCs w:val="18"/>
                <w:lang w:val="en-US" w:eastAsia="es-PE"/>
              </w:rPr>
            </w:pPr>
            <w:r w:rsidRPr="00A101F9">
              <w:rPr>
                <w:rFonts w:cs="Arial"/>
                <w:bCs/>
                <w:color w:val="000000"/>
                <w:szCs w:val="18"/>
                <w:lang w:val="en-US" w:eastAsia="es-PE"/>
              </w:rPr>
              <w:t>pH</w:t>
            </w:r>
          </w:p>
        </w:tc>
        <w:tc>
          <w:tcPr>
            <w:tcW w:w="1761" w:type="dxa"/>
            <w:tcBorders>
              <w:top w:val="single" w:sz="12" w:space="0" w:color="538135"/>
              <w:bottom w:val="single" w:sz="4" w:space="0" w:color="538135"/>
            </w:tcBorders>
            <w:shd w:val="clear" w:color="auto" w:fill="auto"/>
            <w:tcMar>
              <w:top w:w="0" w:type="dxa"/>
              <w:left w:w="115" w:type="dxa"/>
              <w:bottom w:w="0" w:type="dxa"/>
              <w:right w:w="115" w:type="dxa"/>
            </w:tcMar>
            <w:vAlign w:val="center"/>
            <w:hideMark/>
          </w:tcPr>
          <w:p w14:paraId="03693ED3" w14:textId="77777777" w:rsidR="00605B88" w:rsidRPr="00A101F9" w:rsidRDefault="00605B88" w:rsidP="00551CE8">
            <w:pPr>
              <w:spacing w:line="240" w:lineRule="auto"/>
              <w:jc w:val="center"/>
              <w:rPr>
                <w:rFonts w:cs="Arial"/>
                <w:szCs w:val="18"/>
                <w:lang w:val="en-US" w:eastAsia="es-PE"/>
              </w:rPr>
            </w:pPr>
            <w:r w:rsidRPr="009A3A09">
              <w:rPr>
                <w:rFonts w:eastAsia="Arial" w:cs="Arial"/>
                <w:szCs w:val="18"/>
                <w:lang w:val="en-US"/>
              </w:rPr>
              <w:t>Dissolved oxygen</w:t>
            </w:r>
            <w:r w:rsidRPr="009A3A09">
              <w:rPr>
                <w:rFonts w:cs="Arial"/>
                <w:bCs/>
                <w:color w:val="000000"/>
                <w:szCs w:val="18"/>
                <w:lang w:val="en-US" w:eastAsia="es-PE"/>
              </w:rPr>
              <w:t xml:space="preserve"> </w:t>
            </w:r>
            <w:r w:rsidRPr="00A101F9">
              <w:rPr>
                <w:rFonts w:cs="Arial"/>
                <w:bCs/>
                <w:color w:val="000000"/>
                <w:szCs w:val="18"/>
                <w:lang w:val="en-US" w:eastAsia="es-PE"/>
              </w:rPr>
              <w:t>(mg/L)</w:t>
            </w:r>
          </w:p>
        </w:tc>
        <w:tc>
          <w:tcPr>
            <w:tcW w:w="1985" w:type="dxa"/>
            <w:tcBorders>
              <w:top w:val="single" w:sz="12" w:space="0" w:color="538135"/>
              <w:bottom w:val="single" w:sz="4" w:space="0" w:color="538135"/>
            </w:tcBorders>
            <w:shd w:val="clear" w:color="auto" w:fill="auto"/>
            <w:tcMar>
              <w:top w:w="0" w:type="dxa"/>
              <w:left w:w="115" w:type="dxa"/>
              <w:bottom w:w="0" w:type="dxa"/>
              <w:right w:w="115" w:type="dxa"/>
            </w:tcMar>
            <w:vAlign w:val="center"/>
            <w:hideMark/>
          </w:tcPr>
          <w:p w14:paraId="779BD594" w14:textId="77777777" w:rsidR="00605B88" w:rsidRPr="00A101F9" w:rsidRDefault="00605B88" w:rsidP="00551CE8">
            <w:pPr>
              <w:spacing w:line="240" w:lineRule="auto"/>
              <w:jc w:val="center"/>
              <w:rPr>
                <w:rFonts w:cs="Arial"/>
                <w:szCs w:val="18"/>
                <w:lang w:val="en-US" w:eastAsia="es-PE"/>
              </w:rPr>
            </w:pPr>
            <w:r w:rsidRPr="009A3A09">
              <w:rPr>
                <w:rFonts w:eastAsia="Arial" w:cs="Arial"/>
                <w:szCs w:val="18"/>
                <w:lang w:val="en-US"/>
              </w:rPr>
              <w:t>Electrical conductivity (</w:t>
            </w:r>
            <w:r w:rsidRPr="009A3A09">
              <w:rPr>
                <w:rFonts w:eastAsia="Arial" w:cs="Arial"/>
                <w:color w:val="000000"/>
                <w:szCs w:val="18"/>
                <w:lang w:val="en-US"/>
              </w:rPr>
              <w:t>µS/cm)</w:t>
            </w:r>
          </w:p>
        </w:tc>
      </w:tr>
      <w:tr w:rsidR="00605B88" w:rsidRPr="009A3A09" w14:paraId="0B8C040E" w14:textId="77777777" w:rsidTr="00605B88">
        <w:trPr>
          <w:trHeight w:val="435"/>
        </w:trPr>
        <w:tc>
          <w:tcPr>
            <w:tcW w:w="2122" w:type="dxa"/>
            <w:vMerge w:val="restart"/>
            <w:tcBorders>
              <w:top w:val="single" w:sz="4" w:space="0" w:color="538135"/>
              <w:bottom w:val="nil"/>
            </w:tcBorders>
            <w:shd w:val="clear" w:color="auto" w:fill="auto"/>
            <w:tcMar>
              <w:top w:w="0" w:type="dxa"/>
              <w:left w:w="115" w:type="dxa"/>
              <w:bottom w:w="0" w:type="dxa"/>
              <w:right w:w="115" w:type="dxa"/>
            </w:tcMar>
            <w:vAlign w:val="center"/>
            <w:hideMark/>
          </w:tcPr>
          <w:p w14:paraId="0E068B81" w14:textId="77777777" w:rsidR="00605B88" w:rsidRPr="00A101F9" w:rsidRDefault="00605B88" w:rsidP="00551CE8">
            <w:pPr>
              <w:spacing w:line="240" w:lineRule="auto"/>
              <w:jc w:val="center"/>
              <w:rPr>
                <w:rFonts w:cs="Arial"/>
                <w:szCs w:val="18"/>
                <w:lang w:val="en-US" w:eastAsia="es-PE"/>
              </w:rPr>
            </w:pPr>
            <w:r w:rsidRPr="009A3A09">
              <w:rPr>
                <w:rFonts w:cs="Arial"/>
                <w:bCs/>
                <w:color w:val="000000"/>
                <w:szCs w:val="18"/>
                <w:lang w:val="en-US" w:eastAsia="es-PE"/>
              </w:rPr>
              <w:t xml:space="preserve">Water hyacinth </w:t>
            </w:r>
            <w:r w:rsidRPr="00A101F9">
              <w:rPr>
                <w:rFonts w:cs="Arial"/>
                <w:color w:val="000000"/>
                <w:szCs w:val="18"/>
                <w:lang w:val="en-US" w:eastAsia="es-PE"/>
              </w:rPr>
              <w:t>(</w:t>
            </w:r>
            <w:r w:rsidRPr="00A101F9">
              <w:rPr>
                <w:rFonts w:cs="Arial"/>
                <w:i/>
                <w:iCs/>
                <w:color w:val="000000"/>
                <w:szCs w:val="18"/>
                <w:lang w:val="en-US" w:eastAsia="es-PE"/>
              </w:rPr>
              <w:t>Eichhornia crassipes</w:t>
            </w:r>
            <w:r w:rsidRPr="009A3A09">
              <w:rPr>
                <w:rFonts w:cs="Arial"/>
                <w:iCs/>
                <w:color w:val="000000"/>
                <w:szCs w:val="18"/>
                <w:lang w:val="en-US" w:eastAsia="es-PE"/>
              </w:rPr>
              <w:t>)</w:t>
            </w:r>
          </w:p>
        </w:tc>
        <w:tc>
          <w:tcPr>
            <w:tcW w:w="992" w:type="dxa"/>
            <w:tcBorders>
              <w:top w:val="single" w:sz="4" w:space="0" w:color="538135"/>
              <w:bottom w:val="nil"/>
            </w:tcBorders>
            <w:shd w:val="clear" w:color="auto" w:fill="auto"/>
            <w:tcMar>
              <w:top w:w="0" w:type="dxa"/>
              <w:left w:w="115" w:type="dxa"/>
              <w:bottom w:w="0" w:type="dxa"/>
              <w:right w:w="115" w:type="dxa"/>
            </w:tcMar>
            <w:vAlign w:val="center"/>
            <w:hideMark/>
          </w:tcPr>
          <w:p w14:paraId="2C22955A" w14:textId="77777777" w:rsidR="00605B88" w:rsidRPr="00A101F9" w:rsidRDefault="00605B88" w:rsidP="00551CE8">
            <w:pPr>
              <w:spacing w:line="240" w:lineRule="auto"/>
              <w:jc w:val="center"/>
              <w:rPr>
                <w:rFonts w:cs="Arial"/>
                <w:szCs w:val="18"/>
                <w:lang w:val="en-US" w:eastAsia="es-PE"/>
              </w:rPr>
            </w:pPr>
            <w:r>
              <w:rPr>
                <w:rFonts w:cs="Arial"/>
                <w:color w:val="000000"/>
                <w:szCs w:val="18"/>
                <w:lang w:val="en-US" w:eastAsia="es-PE"/>
              </w:rPr>
              <w:t>Cu (C1</w:t>
            </w:r>
            <w:r w:rsidRPr="00A101F9">
              <w:rPr>
                <w:rFonts w:cs="Arial"/>
                <w:color w:val="000000"/>
                <w:szCs w:val="18"/>
                <w:lang w:val="en-US" w:eastAsia="es-PE"/>
              </w:rPr>
              <w:t>)</w:t>
            </w:r>
          </w:p>
        </w:tc>
        <w:tc>
          <w:tcPr>
            <w:tcW w:w="1261" w:type="dxa"/>
            <w:tcBorders>
              <w:top w:val="single" w:sz="4" w:space="0" w:color="538135"/>
              <w:bottom w:val="nil"/>
            </w:tcBorders>
            <w:shd w:val="clear" w:color="auto" w:fill="auto"/>
            <w:tcMar>
              <w:top w:w="0" w:type="dxa"/>
              <w:left w:w="115" w:type="dxa"/>
              <w:bottom w:w="0" w:type="dxa"/>
              <w:right w:w="115" w:type="dxa"/>
            </w:tcMar>
            <w:vAlign w:val="center"/>
            <w:hideMark/>
          </w:tcPr>
          <w:p w14:paraId="45C86E18" w14:textId="77777777" w:rsidR="00605B88" w:rsidRPr="00A101F9" w:rsidRDefault="00605B88" w:rsidP="00551CE8">
            <w:pPr>
              <w:spacing w:line="240" w:lineRule="auto"/>
              <w:jc w:val="center"/>
              <w:rPr>
                <w:rFonts w:cs="Arial"/>
                <w:szCs w:val="18"/>
                <w:lang w:val="en-US" w:eastAsia="es-PE"/>
              </w:rPr>
            </w:pPr>
            <w:r>
              <w:rPr>
                <w:rFonts w:cs="Arial"/>
                <w:color w:val="000000"/>
                <w:szCs w:val="18"/>
                <w:lang w:val="en-US" w:eastAsia="es-PE"/>
              </w:rPr>
              <w:t>15</w:t>
            </w:r>
          </w:p>
        </w:tc>
        <w:tc>
          <w:tcPr>
            <w:tcW w:w="805" w:type="dxa"/>
            <w:tcBorders>
              <w:top w:val="single" w:sz="4" w:space="0" w:color="538135"/>
              <w:bottom w:val="nil"/>
            </w:tcBorders>
            <w:shd w:val="clear" w:color="auto" w:fill="auto"/>
            <w:tcMar>
              <w:top w:w="0" w:type="dxa"/>
              <w:left w:w="115" w:type="dxa"/>
              <w:bottom w:w="0" w:type="dxa"/>
              <w:right w:w="115" w:type="dxa"/>
            </w:tcMar>
            <w:vAlign w:val="center"/>
            <w:hideMark/>
          </w:tcPr>
          <w:p w14:paraId="353464BD" w14:textId="77777777" w:rsidR="00605B88" w:rsidRPr="00A101F9" w:rsidRDefault="00605B88" w:rsidP="00551CE8">
            <w:pPr>
              <w:spacing w:line="240" w:lineRule="auto"/>
              <w:jc w:val="center"/>
              <w:rPr>
                <w:rFonts w:cs="Arial"/>
                <w:szCs w:val="18"/>
                <w:lang w:val="en-US" w:eastAsia="es-PE"/>
              </w:rPr>
            </w:pPr>
            <w:r w:rsidRPr="00A101F9">
              <w:rPr>
                <w:rFonts w:cs="Arial"/>
                <w:color w:val="000000"/>
                <w:szCs w:val="18"/>
                <w:lang w:val="en-US" w:eastAsia="es-PE"/>
              </w:rPr>
              <w:t>7.8</w:t>
            </w:r>
          </w:p>
        </w:tc>
        <w:tc>
          <w:tcPr>
            <w:tcW w:w="1761" w:type="dxa"/>
            <w:tcBorders>
              <w:top w:val="single" w:sz="4" w:space="0" w:color="538135"/>
              <w:bottom w:val="nil"/>
            </w:tcBorders>
            <w:shd w:val="clear" w:color="auto" w:fill="auto"/>
            <w:tcMar>
              <w:top w:w="0" w:type="dxa"/>
              <w:left w:w="115" w:type="dxa"/>
              <w:bottom w:w="0" w:type="dxa"/>
              <w:right w:w="115" w:type="dxa"/>
            </w:tcMar>
            <w:vAlign w:val="center"/>
            <w:hideMark/>
          </w:tcPr>
          <w:p w14:paraId="36096E38" w14:textId="77777777" w:rsidR="00605B88" w:rsidRPr="00A101F9" w:rsidRDefault="00605B88" w:rsidP="00551CE8">
            <w:pPr>
              <w:spacing w:line="240" w:lineRule="auto"/>
              <w:jc w:val="center"/>
              <w:rPr>
                <w:rFonts w:cs="Arial"/>
                <w:szCs w:val="18"/>
                <w:lang w:val="en-US" w:eastAsia="es-PE"/>
              </w:rPr>
            </w:pPr>
            <w:r w:rsidRPr="00A101F9">
              <w:rPr>
                <w:rFonts w:cs="Arial"/>
                <w:color w:val="000000"/>
                <w:szCs w:val="18"/>
                <w:lang w:val="en-US" w:eastAsia="es-PE"/>
              </w:rPr>
              <w:t>6.87</w:t>
            </w:r>
          </w:p>
        </w:tc>
        <w:tc>
          <w:tcPr>
            <w:tcW w:w="1985" w:type="dxa"/>
            <w:tcBorders>
              <w:top w:val="single" w:sz="4" w:space="0" w:color="538135"/>
              <w:bottom w:val="nil"/>
            </w:tcBorders>
            <w:shd w:val="clear" w:color="auto" w:fill="auto"/>
            <w:tcMar>
              <w:top w:w="0" w:type="dxa"/>
              <w:left w:w="115" w:type="dxa"/>
              <w:bottom w:w="0" w:type="dxa"/>
              <w:right w:w="115" w:type="dxa"/>
            </w:tcMar>
            <w:vAlign w:val="center"/>
            <w:hideMark/>
          </w:tcPr>
          <w:p w14:paraId="22D61FBB" w14:textId="77777777" w:rsidR="00605B88" w:rsidRPr="00A101F9" w:rsidRDefault="00605B88" w:rsidP="00551CE8">
            <w:pPr>
              <w:spacing w:line="240" w:lineRule="auto"/>
              <w:jc w:val="center"/>
              <w:rPr>
                <w:rFonts w:cs="Arial"/>
                <w:szCs w:val="18"/>
                <w:lang w:val="en-US" w:eastAsia="es-PE"/>
              </w:rPr>
            </w:pPr>
            <w:r w:rsidRPr="00A101F9">
              <w:rPr>
                <w:rFonts w:cs="Arial"/>
                <w:color w:val="000000"/>
                <w:szCs w:val="18"/>
                <w:lang w:val="en-US" w:eastAsia="es-PE"/>
              </w:rPr>
              <w:t>78.7</w:t>
            </w:r>
          </w:p>
        </w:tc>
      </w:tr>
      <w:tr w:rsidR="00605B88" w:rsidRPr="009A3A09" w14:paraId="6D0F2F40" w14:textId="77777777" w:rsidTr="00605B88">
        <w:trPr>
          <w:trHeight w:val="400"/>
        </w:trPr>
        <w:tc>
          <w:tcPr>
            <w:tcW w:w="2122" w:type="dxa"/>
            <w:vMerge/>
            <w:tcBorders>
              <w:top w:val="nil"/>
              <w:bottom w:val="nil"/>
            </w:tcBorders>
            <w:shd w:val="clear" w:color="auto" w:fill="auto"/>
            <w:vAlign w:val="center"/>
            <w:hideMark/>
          </w:tcPr>
          <w:p w14:paraId="15844CA1" w14:textId="77777777" w:rsidR="00605B88" w:rsidRPr="00A101F9" w:rsidRDefault="00605B88" w:rsidP="00551CE8">
            <w:pPr>
              <w:spacing w:line="240" w:lineRule="auto"/>
              <w:jc w:val="center"/>
              <w:rPr>
                <w:rFonts w:cs="Arial"/>
                <w:szCs w:val="18"/>
                <w:lang w:val="en-US" w:eastAsia="es-PE"/>
              </w:rPr>
            </w:pPr>
          </w:p>
        </w:tc>
        <w:tc>
          <w:tcPr>
            <w:tcW w:w="992" w:type="dxa"/>
            <w:tcBorders>
              <w:top w:val="nil"/>
              <w:bottom w:val="nil"/>
            </w:tcBorders>
            <w:shd w:val="clear" w:color="auto" w:fill="auto"/>
            <w:tcMar>
              <w:top w:w="0" w:type="dxa"/>
              <w:left w:w="115" w:type="dxa"/>
              <w:bottom w:w="0" w:type="dxa"/>
              <w:right w:w="115" w:type="dxa"/>
            </w:tcMar>
            <w:vAlign w:val="center"/>
            <w:hideMark/>
          </w:tcPr>
          <w:p w14:paraId="0F7C712B" w14:textId="77777777" w:rsidR="00605B88" w:rsidRPr="00A101F9" w:rsidRDefault="00605B88" w:rsidP="00551CE8">
            <w:pPr>
              <w:spacing w:line="240" w:lineRule="auto"/>
              <w:jc w:val="center"/>
              <w:rPr>
                <w:rFonts w:cs="Arial"/>
                <w:szCs w:val="18"/>
                <w:lang w:val="en-US" w:eastAsia="es-PE"/>
              </w:rPr>
            </w:pPr>
            <w:r>
              <w:rPr>
                <w:rFonts w:cs="Arial"/>
                <w:color w:val="000000"/>
                <w:szCs w:val="18"/>
                <w:lang w:val="en-US" w:eastAsia="es-PE"/>
              </w:rPr>
              <w:t>Pb (C2</w:t>
            </w:r>
            <w:r w:rsidRPr="00A101F9">
              <w:rPr>
                <w:rFonts w:cs="Arial"/>
                <w:color w:val="000000"/>
                <w:szCs w:val="18"/>
                <w:lang w:val="en-US" w:eastAsia="es-PE"/>
              </w:rPr>
              <w:t>)</w:t>
            </w:r>
          </w:p>
        </w:tc>
        <w:tc>
          <w:tcPr>
            <w:tcW w:w="1261" w:type="dxa"/>
            <w:tcBorders>
              <w:top w:val="nil"/>
              <w:bottom w:val="nil"/>
            </w:tcBorders>
            <w:shd w:val="clear" w:color="auto" w:fill="auto"/>
            <w:tcMar>
              <w:top w:w="0" w:type="dxa"/>
              <w:left w:w="115" w:type="dxa"/>
              <w:bottom w:w="0" w:type="dxa"/>
              <w:right w:w="115" w:type="dxa"/>
            </w:tcMar>
            <w:vAlign w:val="center"/>
            <w:hideMark/>
          </w:tcPr>
          <w:p w14:paraId="340E2656" w14:textId="77777777" w:rsidR="00605B88" w:rsidRPr="00A101F9" w:rsidRDefault="00605B88" w:rsidP="00551CE8">
            <w:pPr>
              <w:spacing w:line="240" w:lineRule="auto"/>
              <w:jc w:val="center"/>
              <w:rPr>
                <w:rFonts w:cs="Arial"/>
                <w:szCs w:val="18"/>
                <w:lang w:val="en-US" w:eastAsia="es-PE"/>
              </w:rPr>
            </w:pPr>
            <w:r>
              <w:rPr>
                <w:rFonts w:cs="Arial"/>
                <w:color w:val="000000"/>
                <w:szCs w:val="18"/>
                <w:lang w:val="en-US" w:eastAsia="es-PE"/>
              </w:rPr>
              <w:t>15</w:t>
            </w:r>
          </w:p>
        </w:tc>
        <w:tc>
          <w:tcPr>
            <w:tcW w:w="805" w:type="dxa"/>
            <w:tcBorders>
              <w:top w:val="nil"/>
              <w:bottom w:val="nil"/>
            </w:tcBorders>
            <w:shd w:val="clear" w:color="auto" w:fill="auto"/>
            <w:tcMar>
              <w:top w:w="0" w:type="dxa"/>
              <w:left w:w="115" w:type="dxa"/>
              <w:bottom w:w="0" w:type="dxa"/>
              <w:right w:w="115" w:type="dxa"/>
            </w:tcMar>
            <w:vAlign w:val="center"/>
            <w:hideMark/>
          </w:tcPr>
          <w:p w14:paraId="1DE16F0F" w14:textId="77777777" w:rsidR="00605B88" w:rsidRPr="00A101F9" w:rsidRDefault="00605B88" w:rsidP="00551CE8">
            <w:pPr>
              <w:spacing w:line="240" w:lineRule="auto"/>
              <w:jc w:val="center"/>
              <w:rPr>
                <w:rFonts w:cs="Arial"/>
                <w:szCs w:val="18"/>
                <w:lang w:val="en-US" w:eastAsia="es-PE"/>
              </w:rPr>
            </w:pPr>
            <w:r w:rsidRPr="00A101F9">
              <w:rPr>
                <w:rFonts w:cs="Arial"/>
                <w:color w:val="000000"/>
                <w:szCs w:val="18"/>
                <w:lang w:val="en-US" w:eastAsia="es-PE"/>
              </w:rPr>
              <w:t>8.5</w:t>
            </w:r>
          </w:p>
        </w:tc>
        <w:tc>
          <w:tcPr>
            <w:tcW w:w="1761" w:type="dxa"/>
            <w:tcBorders>
              <w:top w:val="nil"/>
              <w:bottom w:val="nil"/>
            </w:tcBorders>
            <w:shd w:val="clear" w:color="auto" w:fill="auto"/>
            <w:tcMar>
              <w:top w:w="0" w:type="dxa"/>
              <w:left w:w="115" w:type="dxa"/>
              <w:bottom w:w="0" w:type="dxa"/>
              <w:right w:w="115" w:type="dxa"/>
            </w:tcMar>
            <w:vAlign w:val="center"/>
            <w:hideMark/>
          </w:tcPr>
          <w:p w14:paraId="6C6E66AB" w14:textId="77777777" w:rsidR="00605B88" w:rsidRPr="00A101F9" w:rsidRDefault="00605B88" w:rsidP="00551CE8">
            <w:pPr>
              <w:spacing w:line="240" w:lineRule="auto"/>
              <w:jc w:val="center"/>
              <w:rPr>
                <w:rFonts w:cs="Arial"/>
                <w:szCs w:val="18"/>
                <w:lang w:val="en-US" w:eastAsia="es-PE"/>
              </w:rPr>
            </w:pPr>
            <w:r w:rsidRPr="00A101F9">
              <w:rPr>
                <w:rFonts w:cs="Arial"/>
                <w:color w:val="000000"/>
                <w:szCs w:val="18"/>
                <w:lang w:val="en-US" w:eastAsia="es-PE"/>
              </w:rPr>
              <w:t>7.32</w:t>
            </w:r>
          </w:p>
        </w:tc>
        <w:tc>
          <w:tcPr>
            <w:tcW w:w="1985" w:type="dxa"/>
            <w:tcBorders>
              <w:top w:val="nil"/>
              <w:bottom w:val="nil"/>
            </w:tcBorders>
            <w:shd w:val="clear" w:color="auto" w:fill="auto"/>
            <w:tcMar>
              <w:top w:w="0" w:type="dxa"/>
              <w:left w:w="115" w:type="dxa"/>
              <w:bottom w:w="0" w:type="dxa"/>
              <w:right w:w="115" w:type="dxa"/>
            </w:tcMar>
            <w:vAlign w:val="center"/>
            <w:hideMark/>
          </w:tcPr>
          <w:p w14:paraId="62658E41" w14:textId="77777777" w:rsidR="00605B88" w:rsidRPr="00A101F9" w:rsidRDefault="00605B88" w:rsidP="00551CE8">
            <w:pPr>
              <w:spacing w:line="240" w:lineRule="auto"/>
              <w:jc w:val="center"/>
              <w:rPr>
                <w:rFonts w:cs="Arial"/>
                <w:szCs w:val="18"/>
                <w:lang w:val="en-US" w:eastAsia="es-PE"/>
              </w:rPr>
            </w:pPr>
            <w:r w:rsidRPr="00A101F9">
              <w:rPr>
                <w:rFonts w:cs="Arial"/>
                <w:color w:val="000000"/>
                <w:szCs w:val="18"/>
                <w:lang w:val="en-US" w:eastAsia="es-PE"/>
              </w:rPr>
              <w:t>38.3</w:t>
            </w:r>
          </w:p>
        </w:tc>
      </w:tr>
      <w:tr w:rsidR="00605B88" w:rsidRPr="009A3A09" w14:paraId="6A1B4741" w14:textId="77777777" w:rsidTr="00605B88">
        <w:trPr>
          <w:trHeight w:val="406"/>
        </w:trPr>
        <w:tc>
          <w:tcPr>
            <w:tcW w:w="2122" w:type="dxa"/>
            <w:vMerge/>
            <w:tcBorders>
              <w:top w:val="nil"/>
              <w:bottom w:val="single" w:sz="4" w:space="0" w:color="538135"/>
            </w:tcBorders>
            <w:shd w:val="clear" w:color="auto" w:fill="auto"/>
            <w:vAlign w:val="center"/>
            <w:hideMark/>
          </w:tcPr>
          <w:p w14:paraId="7A9489B5" w14:textId="77777777" w:rsidR="00605B88" w:rsidRPr="00A101F9" w:rsidRDefault="00605B88" w:rsidP="00551CE8">
            <w:pPr>
              <w:spacing w:line="240" w:lineRule="auto"/>
              <w:jc w:val="center"/>
              <w:rPr>
                <w:rFonts w:cs="Arial"/>
                <w:szCs w:val="18"/>
                <w:lang w:val="en-US" w:eastAsia="es-PE"/>
              </w:rPr>
            </w:pPr>
          </w:p>
        </w:tc>
        <w:tc>
          <w:tcPr>
            <w:tcW w:w="992" w:type="dxa"/>
            <w:tcBorders>
              <w:top w:val="nil"/>
              <w:bottom w:val="single" w:sz="4" w:space="0" w:color="538135"/>
            </w:tcBorders>
            <w:shd w:val="clear" w:color="auto" w:fill="auto"/>
            <w:tcMar>
              <w:top w:w="0" w:type="dxa"/>
              <w:left w:w="115" w:type="dxa"/>
              <w:bottom w:w="0" w:type="dxa"/>
              <w:right w:w="115" w:type="dxa"/>
            </w:tcMar>
            <w:vAlign w:val="center"/>
            <w:hideMark/>
          </w:tcPr>
          <w:p w14:paraId="2F73CE7B" w14:textId="77777777" w:rsidR="00605B88" w:rsidRPr="00A101F9" w:rsidRDefault="00605B88" w:rsidP="00551CE8">
            <w:pPr>
              <w:spacing w:line="240" w:lineRule="auto"/>
              <w:jc w:val="center"/>
              <w:rPr>
                <w:rFonts w:cs="Arial"/>
                <w:szCs w:val="18"/>
                <w:lang w:val="en-US" w:eastAsia="es-PE"/>
              </w:rPr>
            </w:pPr>
            <w:r>
              <w:rPr>
                <w:rFonts w:cs="Arial"/>
                <w:color w:val="000000"/>
                <w:szCs w:val="18"/>
                <w:lang w:val="en-US" w:eastAsia="es-PE"/>
              </w:rPr>
              <w:t>Zn (C3</w:t>
            </w:r>
            <w:r w:rsidRPr="00A101F9">
              <w:rPr>
                <w:rFonts w:cs="Arial"/>
                <w:color w:val="000000"/>
                <w:szCs w:val="18"/>
                <w:lang w:val="en-US" w:eastAsia="es-PE"/>
              </w:rPr>
              <w:t>)</w:t>
            </w:r>
          </w:p>
        </w:tc>
        <w:tc>
          <w:tcPr>
            <w:tcW w:w="1261" w:type="dxa"/>
            <w:tcBorders>
              <w:top w:val="nil"/>
              <w:bottom w:val="single" w:sz="4" w:space="0" w:color="538135"/>
            </w:tcBorders>
            <w:shd w:val="clear" w:color="auto" w:fill="auto"/>
            <w:tcMar>
              <w:top w:w="0" w:type="dxa"/>
              <w:left w:w="115" w:type="dxa"/>
              <w:bottom w:w="0" w:type="dxa"/>
              <w:right w:w="115" w:type="dxa"/>
            </w:tcMar>
            <w:vAlign w:val="center"/>
            <w:hideMark/>
          </w:tcPr>
          <w:p w14:paraId="08C5038D" w14:textId="77777777" w:rsidR="00605B88" w:rsidRPr="00A101F9" w:rsidRDefault="00605B88" w:rsidP="00551CE8">
            <w:pPr>
              <w:spacing w:line="240" w:lineRule="auto"/>
              <w:jc w:val="center"/>
              <w:rPr>
                <w:rFonts w:cs="Arial"/>
                <w:szCs w:val="18"/>
                <w:lang w:val="en-US" w:eastAsia="es-PE"/>
              </w:rPr>
            </w:pPr>
            <w:r>
              <w:rPr>
                <w:rFonts w:cs="Arial"/>
                <w:color w:val="000000"/>
                <w:szCs w:val="18"/>
                <w:lang w:val="en-US" w:eastAsia="es-PE"/>
              </w:rPr>
              <w:t>15</w:t>
            </w:r>
          </w:p>
        </w:tc>
        <w:tc>
          <w:tcPr>
            <w:tcW w:w="805" w:type="dxa"/>
            <w:tcBorders>
              <w:top w:val="nil"/>
              <w:bottom w:val="single" w:sz="4" w:space="0" w:color="538135"/>
            </w:tcBorders>
            <w:shd w:val="clear" w:color="auto" w:fill="auto"/>
            <w:tcMar>
              <w:top w:w="0" w:type="dxa"/>
              <w:left w:w="115" w:type="dxa"/>
              <w:bottom w:w="0" w:type="dxa"/>
              <w:right w:w="115" w:type="dxa"/>
            </w:tcMar>
            <w:vAlign w:val="center"/>
            <w:hideMark/>
          </w:tcPr>
          <w:p w14:paraId="0925FAEA" w14:textId="77777777" w:rsidR="00605B88" w:rsidRPr="00A101F9" w:rsidRDefault="00605B88" w:rsidP="00551CE8">
            <w:pPr>
              <w:spacing w:line="240" w:lineRule="auto"/>
              <w:jc w:val="center"/>
              <w:rPr>
                <w:rFonts w:cs="Arial"/>
                <w:szCs w:val="18"/>
                <w:lang w:val="en-US" w:eastAsia="es-PE"/>
              </w:rPr>
            </w:pPr>
            <w:r w:rsidRPr="00A101F9">
              <w:rPr>
                <w:rFonts w:cs="Arial"/>
                <w:color w:val="000000"/>
                <w:szCs w:val="18"/>
                <w:lang w:val="en-US" w:eastAsia="es-PE"/>
              </w:rPr>
              <w:t>7.6</w:t>
            </w:r>
          </w:p>
        </w:tc>
        <w:tc>
          <w:tcPr>
            <w:tcW w:w="1761" w:type="dxa"/>
            <w:tcBorders>
              <w:top w:val="nil"/>
              <w:bottom w:val="single" w:sz="4" w:space="0" w:color="538135"/>
            </w:tcBorders>
            <w:shd w:val="clear" w:color="auto" w:fill="auto"/>
            <w:tcMar>
              <w:top w:w="0" w:type="dxa"/>
              <w:left w:w="115" w:type="dxa"/>
              <w:bottom w:w="0" w:type="dxa"/>
              <w:right w:w="115" w:type="dxa"/>
            </w:tcMar>
            <w:vAlign w:val="center"/>
            <w:hideMark/>
          </w:tcPr>
          <w:p w14:paraId="11178973" w14:textId="77777777" w:rsidR="00605B88" w:rsidRPr="00A101F9" w:rsidRDefault="00605B88" w:rsidP="00551CE8">
            <w:pPr>
              <w:spacing w:line="240" w:lineRule="auto"/>
              <w:jc w:val="center"/>
              <w:rPr>
                <w:rFonts w:cs="Arial"/>
                <w:szCs w:val="18"/>
                <w:lang w:val="en-US" w:eastAsia="es-PE"/>
              </w:rPr>
            </w:pPr>
            <w:r w:rsidRPr="00A101F9">
              <w:rPr>
                <w:rFonts w:cs="Arial"/>
                <w:color w:val="000000"/>
                <w:szCs w:val="18"/>
                <w:lang w:val="en-US" w:eastAsia="es-PE"/>
              </w:rPr>
              <w:t>6.24</w:t>
            </w:r>
          </w:p>
        </w:tc>
        <w:tc>
          <w:tcPr>
            <w:tcW w:w="1985" w:type="dxa"/>
            <w:tcBorders>
              <w:top w:val="nil"/>
              <w:bottom w:val="single" w:sz="4" w:space="0" w:color="538135"/>
            </w:tcBorders>
            <w:shd w:val="clear" w:color="auto" w:fill="auto"/>
            <w:tcMar>
              <w:top w:w="0" w:type="dxa"/>
              <w:left w:w="115" w:type="dxa"/>
              <w:bottom w:w="0" w:type="dxa"/>
              <w:right w:w="115" w:type="dxa"/>
            </w:tcMar>
            <w:vAlign w:val="center"/>
            <w:hideMark/>
          </w:tcPr>
          <w:p w14:paraId="4F00BB39" w14:textId="77777777" w:rsidR="00605B88" w:rsidRPr="00A101F9" w:rsidRDefault="00605B88" w:rsidP="00551CE8">
            <w:pPr>
              <w:spacing w:line="240" w:lineRule="auto"/>
              <w:jc w:val="center"/>
              <w:rPr>
                <w:rFonts w:cs="Arial"/>
                <w:szCs w:val="18"/>
                <w:lang w:val="en-US" w:eastAsia="es-PE"/>
              </w:rPr>
            </w:pPr>
            <w:r w:rsidRPr="00A101F9">
              <w:rPr>
                <w:rFonts w:cs="Arial"/>
                <w:color w:val="000000"/>
                <w:szCs w:val="18"/>
                <w:lang w:val="en-US" w:eastAsia="es-PE"/>
              </w:rPr>
              <w:t>350</w:t>
            </w:r>
          </w:p>
        </w:tc>
      </w:tr>
      <w:tr w:rsidR="00605B88" w:rsidRPr="009A3A09" w14:paraId="1BE138A1" w14:textId="77777777" w:rsidTr="00605B88">
        <w:trPr>
          <w:trHeight w:val="398"/>
        </w:trPr>
        <w:tc>
          <w:tcPr>
            <w:tcW w:w="2122" w:type="dxa"/>
            <w:vMerge w:val="restart"/>
            <w:tcBorders>
              <w:top w:val="single" w:sz="4" w:space="0" w:color="538135"/>
            </w:tcBorders>
            <w:shd w:val="clear" w:color="auto" w:fill="auto"/>
            <w:tcMar>
              <w:top w:w="0" w:type="dxa"/>
              <w:left w:w="115" w:type="dxa"/>
              <w:bottom w:w="0" w:type="dxa"/>
              <w:right w:w="115" w:type="dxa"/>
            </w:tcMar>
            <w:vAlign w:val="center"/>
            <w:hideMark/>
          </w:tcPr>
          <w:p w14:paraId="338988BE" w14:textId="77777777" w:rsidR="00605B88" w:rsidRPr="00A101F9" w:rsidRDefault="00605B88" w:rsidP="00551CE8">
            <w:pPr>
              <w:spacing w:line="240" w:lineRule="auto"/>
              <w:jc w:val="center"/>
              <w:rPr>
                <w:rFonts w:cs="Arial"/>
                <w:szCs w:val="18"/>
                <w:lang w:val="en-US" w:eastAsia="es-PE"/>
              </w:rPr>
            </w:pPr>
            <w:r w:rsidRPr="009A3A09">
              <w:rPr>
                <w:rFonts w:cs="Arial"/>
                <w:bCs/>
                <w:color w:val="000000"/>
                <w:szCs w:val="18"/>
                <w:lang w:val="en-US" w:eastAsia="es-PE"/>
              </w:rPr>
              <w:t>Water lettuce</w:t>
            </w:r>
            <w:r>
              <w:rPr>
                <w:rFonts w:cs="Arial"/>
                <w:bCs/>
                <w:color w:val="000000"/>
                <w:szCs w:val="18"/>
                <w:lang w:val="en-US" w:eastAsia="es-PE"/>
              </w:rPr>
              <w:t xml:space="preserve">        </w:t>
            </w:r>
            <w:r w:rsidRPr="00A101F9">
              <w:rPr>
                <w:rFonts w:cs="Arial"/>
                <w:color w:val="000000"/>
                <w:szCs w:val="18"/>
                <w:lang w:val="en-US" w:eastAsia="es-PE"/>
              </w:rPr>
              <w:t>(</w:t>
            </w:r>
            <w:r w:rsidRPr="00A101F9">
              <w:rPr>
                <w:rFonts w:cs="Arial"/>
                <w:i/>
                <w:iCs/>
                <w:color w:val="000000"/>
                <w:szCs w:val="18"/>
                <w:lang w:val="en-US" w:eastAsia="es-PE"/>
              </w:rPr>
              <w:t>Pistia Stratiotes</w:t>
            </w:r>
            <w:r w:rsidRPr="00A101F9">
              <w:rPr>
                <w:rFonts w:cs="Arial"/>
                <w:color w:val="000000"/>
                <w:szCs w:val="18"/>
                <w:lang w:val="en-US" w:eastAsia="es-PE"/>
              </w:rPr>
              <w:t>)</w:t>
            </w:r>
          </w:p>
          <w:p w14:paraId="3E4FABBA" w14:textId="77777777" w:rsidR="00605B88" w:rsidRPr="00A101F9" w:rsidRDefault="00605B88" w:rsidP="00551CE8">
            <w:pPr>
              <w:spacing w:line="240" w:lineRule="auto"/>
              <w:jc w:val="center"/>
              <w:rPr>
                <w:rFonts w:cs="Arial"/>
                <w:szCs w:val="18"/>
                <w:lang w:val="en-US" w:eastAsia="es-PE"/>
              </w:rPr>
            </w:pPr>
          </w:p>
        </w:tc>
        <w:tc>
          <w:tcPr>
            <w:tcW w:w="992" w:type="dxa"/>
            <w:tcBorders>
              <w:top w:val="single" w:sz="4" w:space="0" w:color="538135"/>
            </w:tcBorders>
            <w:shd w:val="clear" w:color="auto" w:fill="auto"/>
            <w:tcMar>
              <w:top w:w="0" w:type="dxa"/>
              <w:left w:w="115" w:type="dxa"/>
              <w:bottom w:w="0" w:type="dxa"/>
              <w:right w:w="115" w:type="dxa"/>
            </w:tcMar>
            <w:vAlign w:val="center"/>
            <w:hideMark/>
          </w:tcPr>
          <w:p w14:paraId="117BDC16" w14:textId="77777777" w:rsidR="00605B88" w:rsidRPr="00A101F9" w:rsidRDefault="00605B88" w:rsidP="00551CE8">
            <w:pPr>
              <w:spacing w:line="240" w:lineRule="auto"/>
              <w:jc w:val="center"/>
              <w:rPr>
                <w:rFonts w:cs="Arial"/>
                <w:szCs w:val="18"/>
                <w:lang w:val="en-US" w:eastAsia="es-PE"/>
              </w:rPr>
            </w:pPr>
            <w:r>
              <w:rPr>
                <w:rFonts w:cs="Arial"/>
                <w:color w:val="000000"/>
                <w:szCs w:val="18"/>
                <w:lang w:val="en-US" w:eastAsia="es-PE"/>
              </w:rPr>
              <w:t>Cu (C4</w:t>
            </w:r>
            <w:r w:rsidRPr="00A101F9">
              <w:rPr>
                <w:rFonts w:cs="Arial"/>
                <w:color w:val="000000"/>
                <w:szCs w:val="18"/>
                <w:lang w:val="en-US" w:eastAsia="es-PE"/>
              </w:rPr>
              <w:t>)</w:t>
            </w:r>
          </w:p>
        </w:tc>
        <w:tc>
          <w:tcPr>
            <w:tcW w:w="1261" w:type="dxa"/>
            <w:tcBorders>
              <w:top w:val="single" w:sz="4" w:space="0" w:color="538135"/>
            </w:tcBorders>
            <w:shd w:val="clear" w:color="auto" w:fill="auto"/>
            <w:tcMar>
              <w:top w:w="0" w:type="dxa"/>
              <w:left w:w="115" w:type="dxa"/>
              <w:bottom w:w="0" w:type="dxa"/>
              <w:right w:w="115" w:type="dxa"/>
            </w:tcMar>
            <w:vAlign w:val="center"/>
            <w:hideMark/>
          </w:tcPr>
          <w:p w14:paraId="57B6DF7A" w14:textId="77777777" w:rsidR="00605B88" w:rsidRPr="00A101F9" w:rsidRDefault="00605B88" w:rsidP="00551CE8">
            <w:pPr>
              <w:spacing w:line="240" w:lineRule="auto"/>
              <w:jc w:val="center"/>
              <w:rPr>
                <w:rFonts w:cs="Arial"/>
                <w:szCs w:val="18"/>
                <w:lang w:val="en-US" w:eastAsia="es-PE"/>
              </w:rPr>
            </w:pPr>
            <w:r>
              <w:rPr>
                <w:rFonts w:cs="Arial"/>
                <w:color w:val="000000"/>
                <w:szCs w:val="18"/>
                <w:lang w:val="en-US" w:eastAsia="es-PE"/>
              </w:rPr>
              <w:t>15</w:t>
            </w:r>
          </w:p>
        </w:tc>
        <w:tc>
          <w:tcPr>
            <w:tcW w:w="805" w:type="dxa"/>
            <w:tcBorders>
              <w:top w:val="single" w:sz="4" w:space="0" w:color="538135"/>
            </w:tcBorders>
            <w:shd w:val="clear" w:color="auto" w:fill="auto"/>
            <w:tcMar>
              <w:top w:w="0" w:type="dxa"/>
              <w:left w:w="115" w:type="dxa"/>
              <w:bottom w:w="0" w:type="dxa"/>
              <w:right w:w="115" w:type="dxa"/>
            </w:tcMar>
            <w:vAlign w:val="center"/>
            <w:hideMark/>
          </w:tcPr>
          <w:p w14:paraId="1DA840F6" w14:textId="77777777" w:rsidR="00605B88" w:rsidRPr="00A101F9" w:rsidRDefault="00605B88" w:rsidP="00551CE8">
            <w:pPr>
              <w:spacing w:line="240" w:lineRule="auto"/>
              <w:jc w:val="center"/>
              <w:rPr>
                <w:rFonts w:cs="Arial"/>
                <w:szCs w:val="18"/>
                <w:lang w:val="en-US" w:eastAsia="es-PE"/>
              </w:rPr>
            </w:pPr>
            <w:r w:rsidRPr="00A101F9">
              <w:rPr>
                <w:rFonts w:cs="Arial"/>
                <w:color w:val="000000"/>
                <w:szCs w:val="18"/>
                <w:lang w:val="en-US" w:eastAsia="es-PE"/>
              </w:rPr>
              <w:t>8.4</w:t>
            </w:r>
          </w:p>
        </w:tc>
        <w:tc>
          <w:tcPr>
            <w:tcW w:w="1761" w:type="dxa"/>
            <w:tcBorders>
              <w:top w:val="single" w:sz="4" w:space="0" w:color="538135"/>
            </w:tcBorders>
            <w:shd w:val="clear" w:color="auto" w:fill="auto"/>
            <w:tcMar>
              <w:top w:w="0" w:type="dxa"/>
              <w:left w:w="115" w:type="dxa"/>
              <w:bottom w:w="0" w:type="dxa"/>
              <w:right w:w="115" w:type="dxa"/>
            </w:tcMar>
            <w:vAlign w:val="center"/>
            <w:hideMark/>
          </w:tcPr>
          <w:p w14:paraId="5AD0D796" w14:textId="77777777" w:rsidR="00605B88" w:rsidRPr="00A101F9" w:rsidRDefault="00605B88" w:rsidP="00551CE8">
            <w:pPr>
              <w:spacing w:line="240" w:lineRule="auto"/>
              <w:jc w:val="center"/>
              <w:rPr>
                <w:rFonts w:cs="Arial"/>
                <w:szCs w:val="18"/>
                <w:lang w:val="en-US" w:eastAsia="es-PE"/>
              </w:rPr>
            </w:pPr>
            <w:r w:rsidRPr="00A101F9">
              <w:rPr>
                <w:rFonts w:cs="Arial"/>
                <w:color w:val="000000"/>
                <w:szCs w:val="18"/>
                <w:lang w:val="en-US" w:eastAsia="es-PE"/>
              </w:rPr>
              <w:t>7.10</w:t>
            </w:r>
          </w:p>
        </w:tc>
        <w:tc>
          <w:tcPr>
            <w:tcW w:w="1985" w:type="dxa"/>
            <w:tcBorders>
              <w:top w:val="single" w:sz="4" w:space="0" w:color="538135"/>
            </w:tcBorders>
            <w:shd w:val="clear" w:color="auto" w:fill="auto"/>
            <w:tcMar>
              <w:top w:w="0" w:type="dxa"/>
              <w:left w:w="115" w:type="dxa"/>
              <w:bottom w:w="0" w:type="dxa"/>
              <w:right w:w="115" w:type="dxa"/>
            </w:tcMar>
            <w:vAlign w:val="center"/>
            <w:hideMark/>
          </w:tcPr>
          <w:p w14:paraId="18EB7481" w14:textId="77777777" w:rsidR="00605B88" w:rsidRPr="00A101F9" w:rsidRDefault="00605B88" w:rsidP="00551CE8">
            <w:pPr>
              <w:spacing w:line="240" w:lineRule="auto"/>
              <w:jc w:val="center"/>
              <w:rPr>
                <w:rFonts w:cs="Arial"/>
                <w:szCs w:val="18"/>
                <w:lang w:val="en-US" w:eastAsia="es-PE"/>
              </w:rPr>
            </w:pPr>
            <w:r w:rsidRPr="00A101F9">
              <w:rPr>
                <w:rFonts w:cs="Arial"/>
                <w:color w:val="000000"/>
                <w:szCs w:val="18"/>
                <w:lang w:val="en-US" w:eastAsia="es-PE"/>
              </w:rPr>
              <w:t>185.5</w:t>
            </w:r>
          </w:p>
        </w:tc>
      </w:tr>
      <w:tr w:rsidR="00605B88" w:rsidRPr="009A3A09" w14:paraId="50A270EE" w14:textId="77777777" w:rsidTr="00605B88">
        <w:trPr>
          <w:trHeight w:val="404"/>
        </w:trPr>
        <w:tc>
          <w:tcPr>
            <w:tcW w:w="2122" w:type="dxa"/>
            <w:vMerge/>
            <w:shd w:val="clear" w:color="auto" w:fill="auto"/>
            <w:vAlign w:val="center"/>
            <w:hideMark/>
          </w:tcPr>
          <w:p w14:paraId="2A464212" w14:textId="77777777" w:rsidR="00605B88" w:rsidRPr="00A101F9" w:rsidRDefault="00605B88" w:rsidP="00551CE8">
            <w:pPr>
              <w:spacing w:line="240" w:lineRule="auto"/>
              <w:jc w:val="center"/>
              <w:rPr>
                <w:rFonts w:cs="Arial"/>
                <w:szCs w:val="18"/>
                <w:lang w:val="en-US" w:eastAsia="es-PE"/>
              </w:rPr>
            </w:pPr>
          </w:p>
        </w:tc>
        <w:tc>
          <w:tcPr>
            <w:tcW w:w="992" w:type="dxa"/>
            <w:shd w:val="clear" w:color="auto" w:fill="auto"/>
            <w:tcMar>
              <w:top w:w="0" w:type="dxa"/>
              <w:left w:w="115" w:type="dxa"/>
              <w:bottom w:w="0" w:type="dxa"/>
              <w:right w:w="115" w:type="dxa"/>
            </w:tcMar>
            <w:vAlign w:val="center"/>
            <w:hideMark/>
          </w:tcPr>
          <w:p w14:paraId="64616E40" w14:textId="77777777" w:rsidR="00605B88" w:rsidRPr="00A101F9" w:rsidRDefault="00605B88" w:rsidP="00551CE8">
            <w:pPr>
              <w:spacing w:line="240" w:lineRule="auto"/>
              <w:jc w:val="center"/>
              <w:rPr>
                <w:rFonts w:cs="Arial"/>
                <w:szCs w:val="18"/>
                <w:lang w:val="en-US" w:eastAsia="es-PE"/>
              </w:rPr>
            </w:pPr>
            <w:r>
              <w:rPr>
                <w:rFonts w:cs="Arial"/>
                <w:color w:val="000000"/>
                <w:szCs w:val="18"/>
                <w:lang w:val="en-US" w:eastAsia="es-PE"/>
              </w:rPr>
              <w:t>Pb (C5</w:t>
            </w:r>
            <w:r w:rsidRPr="00A101F9">
              <w:rPr>
                <w:rFonts w:cs="Arial"/>
                <w:color w:val="000000"/>
                <w:szCs w:val="18"/>
                <w:lang w:val="en-US" w:eastAsia="es-PE"/>
              </w:rPr>
              <w:t>)</w:t>
            </w:r>
          </w:p>
        </w:tc>
        <w:tc>
          <w:tcPr>
            <w:tcW w:w="1261" w:type="dxa"/>
            <w:shd w:val="clear" w:color="auto" w:fill="auto"/>
            <w:tcMar>
              <w:top w:w="0" w:type="dxa"/>
              <w:left w:w="115" w:type="dxa"/>
              <w:bottom w:w="0" w:type="dxa"/>
              <w:right w:w="115" w:type="dxa"/>
            </w:tcMar>
            <w:vAlign w:val="center"/>
            <w:hideMark/>
          </w:tcPr>
          <w:p w14:paraId="08CF728F" w14:textId="77777777" w:rsidR="00605B88" w:rsidRPr="00A101F9" w:rsidRDefault="00605B88" w:rsidP="00551CE8">
            <w:pPr>
              <w:spacing w:line="240" w:lineRule="auto"/>
              <w:jc w:val="center"/>
              <w:rPr>
                <w:rFonts w:cs="Arial"/>
                <w:szCs w:val="18"/>
                <w:lang w:val="en-US" w:eastAsia="es-PE"/>
              </w:rPr>
            </w:pPr>
            <w:r>
              <w:rPr>
                <w:rFonts w:cs="Arial"/>
                <w:color w:val="000000"/>
                <w:szCs w:val="18"/>
                <w:lang w:val="en-US" w:eastAsia="es-PE"/>
              </w:rPr>
              <w:t>15</w:t>
            </w:r>
          </w:p>
        </w:tc>
        <w:tc>
          <w:tcPr>
            <w:tcW w:w="805" w:type="dxa"/>
            <w:shd w:val="clear" w:color="auto" w:fill="auto"/>
            <w:tcMar>
              <w:top w:w="0" w:type="dxa"/>
              <w:left w:w="115" w:type="dxa"/>
              <w:bottom w:w="0" w:type="dxa"/>
              <w:right w:w="115" w:type="dxa"/>
            </w:tcMar>
            <w:vAlign w:val="center"/>
            <w:hideMark/>
          </w:tcPr>
          <w:p w14:paraId="196A7B3E" w14:textId="77777777" w:rsidR="00605B88" w:rsidRPr="00A101F9" w:rsidRDefault="00605B88" w:rsidP="00551CE8">
            <w:pPr>
              <w:spacing w:line="240" w:lineRule="auto"/>
              <w:jc w:val="center"/>
              <w:rPr>
                <w:rFonts w:cs="Arial"/>
                <w:szCs w:val="18"/>
                <w:lang w:val="en-US" w:eastAsia="es-PE"/>
              </w:rPr>
            </w:pPr>
            <w:r w:rsidRPr="00A101F9">
              <w:rPr>
                <w:rFonts w:cs="Arial"/>
                <w:color w:val="000000"/>
                <w:szCs w:val="18"/>
                <w:lang w:val="en-US" w:eastAsia="es-PE"/>
              </w:rPr>
              <w:t>7.2</w:t>
            </w:r>
          </w:p>
        </w:tc>
        <w:tc>
          <w:tcPr>
            <w:tcW w:w="1761" w:type="dxa"/>
            <w:shd w:val="clear" w:color="auto" w:fill="auto"/>
            <w:tcMar>
              <w:top w:w="0" w:type="dxa"/>
              <w:left w:w="115" w:type="dxa"/>
              <w:bottom w:w="0" w:type="dxa"/>
              <w:right w:w="115" w:type="dxa"/>
            </w:tcMar>
            <w:vAlign w:val="center"/>
            <w:hideMark/>
          </w:tcPr>
          <w:p w14:paraId="2506C235" w14:textId="77777777" w:rsidR="00605B88" w:rsidRPr="00A101F9" w:rsidRDefault="00605B88" w:rsidP="00551CE8">
            <w:pPr>
              <w:spacing w:line="240" w:lineRule="auto"/>
              <w:jc w:val="center"/>
              <w:rPr>
                <w:rFonts w:cs="Arial"/>
                <w:szCs w:val="18"/>
                <w:lang w:val="en-US" w:eastAsia="es-PE"/>
              </w:rPr>
            </w:pPr>
            <w:r w:rsidRPr="00A101F9">
              <w:rPr>
                <w:rFonts w:cs="Arial"/>
                <w:color w:val="000000"/>
                <w:szCs w:val="18"/>
                <w:lang w:val="en-US" w:eastAsia="es-PE"/>
              </w:rPr>
              <w:t>8.69</w:t>
            </w:r>
          </w:p>
        </w:tc>
        <w:tc>
          <w:tcPr>
            <w:tcW w:w="1985" w:type="dxa"/>
            <w:shd w:val="clear" w:color="auto" w:fill="auto"/>
            <w:tcMar>
              <w:top w:w="0" w:type="dxa"/>
              <w:left w:w="115" w:type="dxa"/>
              <w:bottom w:w="0" w:type="dxa"/>
              <w:right w:w="115" w:type="dxa"/>
            </w:tcMar>
            <w:vAlign w:val="center"/>
            <w:hideMark/>
          </w:tcPr>
          <w:p w14:paraId="0F552613" w14:textId="77777777" w:rsidR="00605B88" w:rsidRPr="00A101F9" w:rsidRDefault="00605B88" w:rsidP="00551CE8">
            <w:pPr>
              <w:spacing w:line="240" w:lineRule="auto"/>
              <w:jc w:val="center"/>
              <w:rPr>
                <w:rFonts w:cs="Arial"/>
                <w:szCs w:val="18"/>
                <w:lang w:val="en-US" w:eastAsia="es-PE"/>
              </w:rPr>
            </w:pPr>
            <w:r w:rsidRPr="00A101F9">
              <w:rPr>
                <w:rFonts w:cs="Arial"/>
                <w:color w:val="000000"/>
                <w:szCs w:val="18"/>
                <w:lang w:val="en-US" w:eastAsia="es-PE"/>
              </w:rPr>
              <w:t>96.3</w:t>
            </w:r>
          </w:p>
        </w:tc>
      </w:tr>
      <w:tr w:rsidR="00605B88" w:rsidRPr="009A3A09" w14:paraId="0098068C" w14:textId="77777777" w:rsidTr="00605B88">
        <w:trPr>
          <w:trHeight w:val="382"/>
        </w:trPr>
        <w:tc>
          <w:tcPr>
            <w:tcW w:w="2122" w:type="dxa"/>
            <w:vMerge/>
            <w:shd w:val="clear" w:color="auto" w:fill="auto"/>
            <w:vAlign w:val="center"/>
            <w:hideMark/>
          </w:tcPr>
          <w:p w14:paraId="02D345FD" w14:textId="77777777" w:rsidR="00605B88" w:rsidRPr="00A101F9" w:rsidRDefault="00605B88" w:rsidP="00551CE8">
            <w:pPr>
              <w:spacing w:line="240" w:lineRule="auto"/>
              <w:jc w:val="center"/>
              <w:rPr>
                <w:rFonts w:cs="Arial"/>
                <w:szCs w:val="18"/>
                <w:lang w:val="en-US" w:eastAsia="es-PE"/>
              </w:rPr>
            </w:pPr>
          </w:p>
        </w:tc>
        <w:tc>
          <w:tcPr>
            <w:tcW w:w="992" w:type="dxa"/>
            <w:shd w:val="clear" w:color="auto" w:fill="auto"/>
            <w:tcMar>
              <w:top w:w="0" w:type="dxa"/>
              <w:left w:w="115" w:type="dxa"/>
              <w:bottom w:w="0" w:type="dxa"/>
              <w:right w:w="115" w:type="dxa"/>
            </w:tcMar>
            <w:vAlign w:val="center"/>
            <w:hideMark/>
          </w:tcPr>
          <w:p w14:paraId="7E30A11F" w14:textId="77777777" w:rsidR="00605B88" w:rsidRPr="00A101F9" w:rsidRDefault="00605B88" w:rsidP="00551CE8">
            <w:pPr>
              <w:spacing w:line="240" w:lineRule="auto"/>
              <w:jc w:val="center"/>
              <w:rPr>
                <w:rFonts w:cs="Arial"/>
                <w:szCs w:val="18"/>
                <w:lang w:val="en-US" w:eastAsia="es-PE"/>
              </w:rPr>
            </w:pPr>
            <w:r>
              <w:rPr>
                <w:rFonts w:cs="Arial"/>
                <w:color w:val="000000"/>
                <w:szCs w:val="18"/>
                <w:lang w:val="en-US" w:eastAsia="es-PE"/>
              </w:rPr>
              <w:t>Zn (C6</w:t>
            </w:r>
            <w:r w:rsidRPr="00A101F9">
              <w:rPr>
                <w:rFonts w:cs="Arial"/>
                <w:color w:val="000000"/>
                <w:szCs w:val="18"/>
                <w:lang w:val="en-US" w:eastAsia="es-PE"/>
              </w:rPr>
              <w:t>)</w:t>
            </w:r>
          </w:p>
        </w:tc>
        <w:tc>
          <w:tcPr>
            <w:tcW w:w="1261" w:type="dxa"/>
            <w:shd w:val="clear" w:color="auto" w:fill="auto"/>
            <w:tcMar>
              <w:top w:w="0" w:type="dxa"/>
              <w:left w:w="115" w:type="dxa"/>
              <w:bottom w:w="0" w:type="dxa"/>
              <w:right w:w="115" w:type="dxa"/>
            </w:tcMar>
            <w:vAlign w:val="center"/>
            <w:hideMark/>
          </w:tcPr>
          <w:p w14:paraId="2AA21488" w14:textId="77777777" w:rsidR="00605B88" w:rsidRPr="00A101F9" w:rsidRDefault="00605B88" w:rsidP="00551CE8">
            <w:pPr>
              <w:spacing w:line="240" w:lineRule="auto"/>
              <w:jc w:val="center"/>
              <w:rPr>
                <w:rFonts w:cs="Arial"/>
                <w:szCs w:val="18"/>
                <w:lang w:val="en-US" w:eastAsia="es-PE"/>
              </w:rPr>
            </w:pPr>
            <w:r>
              <w:rPr>
                <w:rFonts w:cs="Arial"/>
                <w:color w:val="000000"/>
                <w:szCs w:val="18"/>
                <w:lang w:val="en-US" w:eastAsia="es-PE"/>
              </w:rPr>
              <w:t>15</w:t>
            </w:r>
          </w:p>
        </w:tc>
        <w:tc>
          <w:tcPr>
            <w:tcW w:w="805" w:type="dxa"/>
            <w:shd w:val="clear" w:color="auto" w:fill="auto"/>
            <w:tcMar>
              <w:top w:w="0" w:type="dxa"/>
              <w:left w:w="115" w:type="dxa"/>
              <w:bottom w:w="0" w:type="dxa"/>
              <w:right w:w="115" w:type="dxa"/>
            </w:tcMar>
            <w:vAlign w:val="center"/>
            <w:hideMark/>
          </w:tcPr>
          <w:p w14:paraId="26FA6FF6" w14:textId="77777777" w:rsidR="00605B88" w:rsidRPr="00A101F9" w:rsidRDefault="00605B88" w:rsidP="00551CE8">
            <w:pPr>
              <w:spacing w:line="240" w:lineRule="auto"/>
              <w:jc w:val="center"/>
              <w:rPr>
                <w:rFonts w:cs="Arial"/>
                <w:szCs w:val="18"/>
                <w:lang w:val="en-US" w:eastAsia="es-PE"/>
              </w:rPr>
            </w:pPr>
            <w:r w:rsidRPr="00A101F9">
              <w:rPr>
                <w:rFonts w:cs="Arial"/>
                <w:color w:val="000000"/>
                <w:szCs w:val="18"/>
                <w:lang w:val="en-US" w:eastAsia="es-PE"/>
              </w:rPr>
              <w:t>7.3</w:t>
            </w:r>
          </w:p>
        </w:tc>
        <w:tc>
          <w:tcPr>
            <w:tcW w:w="1761" w:type="dxa"/>
            <w:shd w:val="clear" w:color="auto" w:fill="auto"/>
            <w:tcMar>
              <w:top w:w="0" w:type="dxa"/>
              <w:left w:w="115" w:type="dxa"/>
              <w:bottom w:w="0" w:type="dxa"/>
              <w:right w:w="115" w:type="dxa"/>
            </w:tcMar>
            <w:vAlign w:val="center"/>
            <w:hideMark/>
          </w:tcPr>
          <w:p w14:paraId="70A5FFF0" w14:textId="77777777" w:rsidR="00605B88" w:rsidRPr="00A101F9" w:rsidRDefault="00605B88" w:rsidP="00551CE8">
            <w:pPr>
              <w:spacing w:line="240" w:lineRule="auto"/>
              <w:jc w:val="center"/>
              <w:rPr>
                <w:rFonts w:cs="Arial"/>
                <w:szCs w:val="18"/>
                <w:lang w:val="en-US" w:eastAsia="es-PE"/>
              </w:rPr>
            </w:pPr>
            <w:r w:rsidRPr="00A101F9">
              <w:rPr>
                <w:rFonts w:cs="Arial"/>
                <w:color w:val="000000"/>
                <w:szCs w:val="18"/>
                <w:lang w:val="en-US" w:eastAsia="es-PE"/>
              </w:rPr>
              <w:t>5.42</w:t>
            </w:r>
          </w:p>
        </w:tc>
        <w:tc>
          <w:tcPr>
            <w:tcW w:w="1985" w:type="dxa"/>
            <w:shd w:val="clear" w:color="auto" w:fill="auto"/>
            <w:tcMar>
              <w:top w:w="0" w:type="dxa"/>
              <w:left w:w="115" w:type="dxa"/>
              <w:bottom w:w="0" w:type="dxa"/>
              <w:right w:w="115" w:type="dxa"/>
            </w:tcMar>
            <w:vAlign w:val="center"/>
            <w:hideMark/>
          </w:tcPr>
          <w:p w14:paraId="2B5896A5" w14:textId="77777777" w:rsidR="00605B88" w:rsidRPr="00A101F9" w:rsidRDefault="00605B88" w:rsidP="00551CE8">
            <w:pPr>
              <w:spacing w:line="240" w:lineRule="auto"/>
              <w:jc w:val="center"/>
              <w:rPr>
                <w:rFonts w:cs="Arial"/>
                <w:szCs w:val="18"/>
                <w:lang w:val="en-US" w:eastAsia="es-PE"/>
              </w:rPr>
            </w:pPr>
            <w:r w:rsidRPr="00A101F9">
              <w:rPr>
                <w:rFonts w:cs="Arial"/>
                <w:color w:val="000000"/>
                <w:szCs w:val="18"/>
                <w:lang w:val="en-US" w:eastAsia="es-PE"/>
              </w:rPr>
              <w:t>130.0</w:t>
            </w:r>
          </w:p>
        </w:tc>
      </w:tr>
    </w:tbl>
    <w:p w14:paraId="45688C72" w14:textId="56E0C70E" w:rsidR="003F08BB" w:rsidRDefault="003F08BB" w:rsidP="008A68AE">
      <w:pPr>
        <w:pStyle w:val="CETBodytext"/>
        <w:rPr>
          <w:lang w:val="en-GB"/>
        </w:rPr>
      </w:pPr>
    </w:p>
    <w:p w14:paraId="78E55130" w14:textId="2BB8BEE6" w:rsidR="003F08BB" w:rsidRPr="003F08BB" w:rsidRDefault="003F08BB" w:rsidP="003F08BB">
      <w:pPr>
        <w:pStyle w:val="CETBodytext"/>
        <w:rPr>
          <w:lang w:val="en-GB"/>
        </w:rPr>
      </w:pPr>
      <w:r w:rsidRPr="003F08BB">
        <w:rPr>
          <w:lang w:val="en-GB"/>
        </w:rPr>
        <w:t xml:space="preserve">From Table 2 it was observed that the temperature remained almost constant with respect to the initial value of 14ºC. With respect to electrical conductivity, the concentration of salts presents in the wastewater sample treated with the floating macrophytes was reduced between 60.89 and 89.06% with respect to the initial values. As for pH, the values measured in the 6 cuvettes </w:t>
      </w:r>
      <w:r>
        <w:rPr>
          <w:lang w:val="en-GB"/>
        </w:rPr>
        <w:t>were found to be within the ECAs</w:t>
      </w:r>
      <w:r w:rsidRPr="003F08BB">
        <w:rPr>
          <w:lang w:val="en-GB"/>
        </w:rPr>
        <w:t xml:space="preserve">. The presence of dissolved oxygen increased between 1 and 2 mg/L with respect to the initial values, improving water quality. </w:t>
      </w:r>
    </w:p>
    <w:p w14:paraId="1068A9CF" w14:textId="419C5259" w:rsidR="003F08BB" w:rsidRPr="003F08BB" w:rsidRDefault="003F08BB" w:rsidP="003F08BB">
      <w:pPr>
        <w:pStyle w:val="CETBodytext"/>
        <w:rPr>
          <w:lang w:val="en-GB"/>
        </w:rPr>
      </w:pPr>
      <w:r w:rsidRPr="003F08BB">
        <w:rPr>
          <w:lang w:val="en-GB"/>
        </w:rPr>
        <w:t xml:space="preserve">Table 3 shows the concentrations of heavy metals in the water and their percent removal in the water after treatment with </w:t>
      </w:r>
      <w:r w:rsidRPr="003F08BB">
        <w:rPr>
          <w:i/>
          <w:lang w:val="en-GB"/>
        </w:rPr>
        <w:t>Eichhornia crassipes</w:t>
      </w:r>
      <w:r w:rsidRPr="003F08BB">
        <w:rPr>
          <w:lang w:val="en-GB"/>
        </w:rPr>
        <w:t xml:space="preserve"> and </w:t>
      </w:r>
      <w:r w:rsidRPr="003F08BB">
        <w:rPr>
          <w:i/>
          <w:lang w:val="en-GB"/>
        </w:rPr>
        <w:t>Pistia Stratiotes</w:t>
      </w:r>
      <w:r w:rsidRPr="003F08BB">
        <w:rPr>
          <w:lang w:val="en-GB"/>
        </w:rPr>
        <w:t>.</w:t>
      </w:r>
    </w:p>
    <w:p w14:paraId="3B1B71FE" w14:textId="555C14D1" w:rsidR="00AF6923" w:rsidRDefault="00AF6923" w:rsidP="00AF6923">
      <w:pPr>
        <w:pStyle w:val="CETTabletitle"/>
        <w:rPr>
          <w:lang w:val="en-US"/>
        </w:rPr>
      </w:pPr>
      <w:r>
        <w:rPr>
          <w:lang w:val="en-US"/>
        </w:rPr>
        <w:t>Table 3</w:t>
      </w:r>
      <w:r w:rsidRPr="009D1AC8">
        <w:rPr>
          <w:lang w:val="en-US"/>
        </w:rPr>
        <w:t xml:space="preserve">: </w:t>
      </w:r>
      <w:r w:rsidRPr="00AF6923">
        <w:rPr>
          <w:lang w:val="en-US"/>
        </w:rPr>
        <w:t>Concentration of heavy metals in water and percent removal after treatment with floating macrophytes</w:t>
      </w:r>
    </w:p>
    <w:tbl>
      <w:tblPr>
        <w:tblW w:w="0" w:type="auto"/>
        <w:tblBorders>
          <w:top w:val="single" w:sz="12" w:space="0" w:color="538135"/>
          <w:bottom w:val="single" w:sz="12" w:space="0" w:color="538135"/>
        </w:tblBorders>
        <w:tblCellMar>
          <w:top w:w="15" w:type="dxa"/>
          <w:left w:w="15" w:type="dxa"/>
          <w:bottom w:w="15" w:type="dxa"/>
          <w:right w:w="15" w:type="dxa"/>
        </w:tblCellMar>
        <w:tblLook w:val="04A0" w:firstRow="1" w:lastRow="0" w:firstColumn="1" w:lastColumn="0" w:noHBand="0" w:noVBand="1"/>
      </w:tblPr>
      <w:tblGrid>
        <w:gridCol w:w="2122"/>
        <w:gridCol w:w="992"/>
        <w:gridCol w:w="1261"/>
        <w:gridCol w:w="1295"/>
      </w:tblGrid>
      <w:tr w:rsidR="00597401" w:rsidRPr="00597401" w14:paraId="42A95198" w14:textId="77777777" w:rsidTr="00597401">
        <w:tc>
          <w:tcPr>
            <w:tcW w:w="2122" w:type="dxa"/>
            <w:tcBorders>
              <w:top w:val="single" w:sz="12" w:space="0" w:color="538135"/>
              <w:bottom w:val="single" w:sz="4" w:space="0" w:color="538135"/>
            </w:tcBorders>
            <w:shd w:val="clear" w:color="auto" w:fill="auto"/>
            <w:vAlign w:val="center"/>
          </w:tcPr>
          <w:p w14:paraId="733A744C" w14:textId="77777777" w:rsidR="00597401" w:rsidRPr="00A101F9" w:rsidRDefault="00597401" w:rsidP="00551CE8">
            <w:pPr>
              <w:spacing w:line="240" w:lineRule="auto"/>
              <w:jc w:val="center"/>
              <w:rPr>
                <w:rFonts w:cs="Arial"/>
                <w:szCs w:val="18"/>
                <w:lang w:val="en-US" w:eastAsia="es-PE"/>
              </w:rPr>
            </w:pPr>
            <w:r w:rsidRPr="00597401">
              <w:rPr>
                <w:rFonts w:cs="Arial"/>
                <w:szCs w:val="18"/>
                <w:lang w:val="en-US" w:eastAsia="es-PE"/>
              </w:rPr>
              <w:t>Floating macrophytes</w:t>
            </w:r>
          </w:p>
        </w:tc>
        <w:tc>
          <w:tcPr>
            <w:tcW w:w="2253" w:type="dxa"/>
            <w:gridSpan w:val="2"/>
            <w:tcBorders>
              <w:top w:val="single" w:sz="12" w:space="0" w:color="538135"/>
              <w:bottom w:val="single" w:sz="4" w:space="0" w:color="538135"/>
            </w:tcBorders>
            <w:shd w:val="clear" w:color="auto" w:fill="auto"/>
            <w:tcMar>
              <w:top w:w="0" w:type="dxa"/>
              <w:left w:w="115" w:type="dxa"/>
              <w:bottom w:w="0" w:type="dxa"/>
              <w:right w:w="115" w:type="dxa"/>
            </w:tcMar>
            <w:vAlign w:val="center"/>
            <w:hideMark/>
          </w:tcPr>
          <w:p w14:paraId="248C79A7" w14:textId="77777777" w:rsidR="00597401" w:rsidRPr="00A101F9" w:rsidRDefault="00597401" w:rsidP="00551CE8">
            <w:pPr>
              <w:spacing w:line="240" w:lineRule="auto"/>
              <w:jc w:val="center"/>
              <w:rPr>
                <w:rFonts w:cs="Arial"/>
                <w:szCs w:val="18"/>
                <w:lang w:val="en-US" w:eastAsia="es-PE"/>
              </w:rPr>
            </w:pPr>
            <w:r w:rsidRPr="00A101F9">
              <w:rPr>
                <w:rFonts w:cs="Arial"/>
                <w:bCs/>
                <w:color w:val="000000"/>
                <w:szCs w:val="18"/>
                <w:lang w:val="en-US" w:eastAsia="es-PE"/>
              </w:rPr>
              <w:t>Metal</w:t>
            </w:r>
          </w:p>
        </w:tc>
        <w:tc>
          <w:tcPr>
            <w:tcW w:w="1295" w:type="dxa"/>
            <w:tcBorders>
              <w:top w:val="single" w:sz="12" w:space="0" w:color="538135"/>
              <w:bottom w:val="single" w:sz="4" w:space="0" w:color="538135"/>
            </w:tcBorders>
            <w:shd w:val="clear" w:color="auto" w:fill="auto"/>
            <w:tcMar>
              <w:top w:w="0" w:type="dxa"/>
              <w:left w:w="115" w:type="dxa"/>
              <w:bottom w:w="0" w:type="dxa"/>
              <w:right w:w="115" w:type="dxa"/>
            </w:tcMar>
            <w:vAlign w:val="center"/>
            <w:hideMark/>
          </w:tcPr>
          <w:p w14:paraId="3C23C0D4" w14:textId="77777777" w:rsidR="00597401" w:rsidRPr="00A101F9" w:rsidRDefault="00597401" w:rsidP="00551CE8">
            <w:pPr>
              <w:spacing w:line="240" w:lineRule="auto"/>
              <w:jc w:val="center"/>
              <w:rPr>
                <w:rFonts w:cs="Arial"/>
                <w:szCs w:val="18"/>
                <w:lang w:val="en-US" w:eastAsia="es-PE"/>
              </w:rPr>
            </w:pPr>
            <w:r w:rsidRPr="00597401">
              <w:rPr>
                <w:rFonts w:cs="Arial"/>
                <w:bCs/>
                <w:color w:val="000000"/>
                <w:szCs w:val="18"/>
                <w:lang w:val="en-US" w:eastAsia="es-PE"/>
              </w:rPr>
              <w:t>Removal (%)</w:t>
            </w:r>
          </w:p>
        </w:tc>
      </w:tr>
      <w:tr w:rsidR="00597401" w:rsidRPr="00597401" w14:paraId="7AF7574F" w14:textId="77777777" w:rsidTr="00597401">
        <w:trPr>
          <w:trHeight w:val="435"/>
        </w:trPr>
        <w:tc>
          <w:tcPr>
            <w:tcW w:w="2122" w:type="dxa"/>
            <w:vMerge w:val="restart"/>
            <w:tcBorders>
              <w:top w:val="single" w:sz="4" w:space="0" w:color="538135"/>
              <w:bottom w:val="nil"/>
            </w:tcBorders>
            <w:shd w:val="clear" w:color="auto" w:fill="auto"/>
            <w:tcMar>
              <w:top w:w="0" w:type="dxa"/>
              <w:left w:w="115" w:type="dxa"/>
              <w:bottom w:w="0" w:type="dxa"/>
              <w:right w:w="115" w:type="dxa"/>
            </w:tcMar>
            <w:vAlign w:val="center"/>
            <w:hideMark/>
          </w:tcPr>
          <w:p w14:paraId="74AC001E" w14:textId="77777777" w:rsidR="00597401" w:rsidRPr="00A101F9" w:rsidRDefault="00597401" w:rsidP="00551CE8">
            <w:pPr>
              <w:spacing w:line="240" w:lineRule="auto"/>
              <w:jc w:val="center"/>
              <w:rPr>
                <w:rFonts w:cs="Arial"/>
                <w:szCs w:val="18"/>
                <w:lang w:val="en-US" w:eastAsia="es-PE"/>
              </w:rPr>
            </w:pPr>
            <w:r w:rsidRPr="00597401">
              <w:rPr>
                <w:rFonts w:cs="Arial"/>
                <w:bCs/>
                <w:color w:val="000000"/>
                <w:szCs w:val="18"/>
                <w:lang w:val="en-US" w:eastAsia="es-PE"/>
              </w:rPr>
              <w:t xml:space="preserve">Water hyacinth </w:t>
            </w:r>
            <w:r w:rsidRPr="00A101F9">
              <w:rPr>
                <w:rFonts w:cs="Arial"/>
                <w:color w:val="000000"/>
                <w:szCs w:val="18"/>
                <w:lang w:val="en-US" w:eastAsia="es-PE"/>
              </w:rPr>
              <w:t>(</w:t>
            </w:r>
            <w:r w:rsidRPr="00A101F9">
              <w:rPr>
                <w:rFonts w:cs="Arial"/>
                <w:i/>
                <w:iCs/>
                <w:color w:val="000000"/>
                <w:szCs w:val="18"/>
                <w:lang w:val="en-US" w:eastAsia="es-PE"/>
              </w:rPr>
              <w:t>Eichhornia crassipes</w:t>
            </w:r>
            <w:r w:rsidRPr="00597401">
              <w:rPr>
                <w:rFonts w:cs="Arial"/>
                <w:iCs/>
                <w:color w:val="000000"/>
                <w:szCs w:val="18"/>
                <w:lang w:val="en-US" w:eastAsia="es-PE"/>
              </w:rPr>
              <w:t>)</w:t>
            </w:r>
          </w:p>
        </w:tc>
        <w:tc>
          <w:tcPr>
            <w:tcW w:w="992" w:type="dxa"/>
            <w:tcBorders>
              <w:top w:val="single" w:sz="4" w:space="0" w:color="538135"/>
              <w:bottom w:val="nil"/>
            </w:tcBorders>
            <w:shd w:val="clear" w:color="auto" w:fill="auto"/>
            <w:tcMar>
              <w:top w:w="0" w:type="dxa"/>
              <w:left w:w="115" w:type="dxa"/>
              <w:bottom w:w="0" w:type="dxa"/>
              <w:right w:w="115" w:type="dxa"/>
            </w:tcMar>
            <w:vAlign w:val="center"/>
            <w:hideMark/>
          </w:tcPr>
          <w:p w14:paraId="058D7F2E" w14:textId="77777777" w:rsidR="00597401" w:rsidRPr="00A101F9" w:rsidRDefault="00597401" w:rsidP="00551CE8">
            <w:pPr>
              <w:spacing w:line="240" w:lineRule="auto"/>
              <w:jc w:val="center"/>
              <w:rPr>
                <w:rFonts w:cs="Arial"/>
                <w:szCs w:val="18"/>
                <w:lang w:val="en-US" w:eastAsia="es-PE"/>
              </w:rPr>
            </w:pPr>
            <w:r w:rsidRPr="00597401">
              <w:rPr>
                <w:rFonts w:cs="Arial"/>
                <w:color w:val="000000"/>
                <w:szCs w:val="18"/>
                <w:lang w:val="en-US" w:eastAsia="es-PE"/>
              </w:rPr>
              <w:t>Cu (C1</w:t>
            </w:r>
            <w:r w:rsidRPr="00A101F9">
              <w:rPr>
                <w:rFonts w:cs="Arial"/>
                <w:color w:val="000000"/>
                <w:szCs w:val="18"/>
                <w:lang w:val="en-US" w:eastAsia="es-PE"/>
              </w:rPr>
              <w:t>)</w:t>
            </w:r>
          </w:p>
        </w:tc>
        <w:tc>
          <w:tcPr>
            <w:tcW w:w="1261" w:type="dxa"/>
            <w:tcBorders>
              <w:top w:val="single" w:sz="4" w:space="0" w:color="538135"/>
              <w:bottom w:val="nil"/>
            </w:tcBorders>
            <w:shd w:val="clear" w:color="auto" w:fill="auto"/>
            <w:tcMar>
              <w:top w:w="0" w:type="dxa"/>
              <w:left w:w="115" w:type="dxa"/>
              <w:bottom w:w="0" w:type="dxa"/>
              <w:right w:w="115" w:type="dxa"/>
            </w:tcMar>
            <w:vAlign w:val="center"/>
            <w:hideMark/>
          </w:tcPr>
          <w:p w14:paraId="2054B9FD" w14:textId="77777777" w:rsidR="00597401" w:rsidRPr="009A3A09" w:rsidRDefault="00597401" w:rsidP="00551CE8">
            <w:pPr>
              <w:spacing w:line="240" w:lineRule="auto"/>
              <w:jc w:val="center"/>
              <w:rPr>
                <w:rFonts w:ascii="Times New Roman" w:hAnsi="Times New Roman"/>
                <w:szCs w:val="18"/>
                <w:lang w:val="es-PE" w:eastAsia="es-PE"/>
              </w:rPr>
            </w:pPr>
            <w:r w:rsidRPr="009A3A09">
              <w:rPr>
                <w:rFonts w:cs="Arial"/>
                <w:color w:val="000000"/>
                <w:szCs w:val="18"/>
                <w:lang w:val="es-PE" w:eastAsia="es-PE"/>
              </w:rPr>
              <w:t>&lt;0.0003</w:t>
            </w:r>
          </w:p>
        </w:tc>
        <w:tc>
          <w:tcPr>
            <w:tcW w:w="1295" w:type="dxa"/>
            <w:tcBorders>
              <w:top w:val="single" w:sz="4" w:space="0" w:color="538135"/>
              <w:bottom w:val="nil"/>
            </w:tcBorders>
            <w:shd w:val="clear" w:color="auto" w:fill="auto"/>
            <w:tcMar>
              <w:top w:w="0" w:type="dxa"/>
              <w:left w:w="115" w:type="dxa"/>
              <w:bottom w:w="0" w:type="dxa"/>
              <w:right w:w="115" w:type="dxa"/>
            </w:tcMar>
            <w:vAlign w:val="center"/>
            <w:hideMark/>
          </w:tcPr>
          <w:p w14:paraId="6D6FF42D" w14:textId="77777777" w:rsidR="00597401" w:rsidRPr="00A101F9" w:rsidRDefault="00597401" w:rsidP="00551CE8">
            <w:pPr>
              <w:spacing w:line="240" w:lineRule="auto"/>
              <w:jc w:val="center"/>
              <w:rPr>
                <w:rFonts w:cs="Arial"/>
                <w:szCs w:val="18"/>
                <w:lang w:val="en-US" w:eastAsia="es-PE"/>
              </w:rPr>
            </w:pPr>
            <w:r w:rsidRPr="00597401">
              <w:rPr>
                <w:rFonts w:cs="Arial"/>
                <w:color w:val="000000"/>
                <w:szCs w:val="18"/>
                <w:lang w:val="en-US" w:eastAsia="es-PE"/>
              </w:rPr>
              <w:t>99.86</w:t>
            </w:r>
          </w:p>
        </w:tc>
      </w:tr>
      <w:tr w:rsidR="00597401" w:rsidRPr="00597401" w14:paraId="35E01B09" w14:textId="77777777" w:rsidTr="00597401">
        <w:trPr>
          <w:trHeight w:val="400"/>
        </w:trPr>
        <w:tc>
          <w:tcPr>
            <w:tcW w:w="2122" w:type="dxa"/>
            <w:vMerge/>
            <w:tcBorders>
              <w:top w:val="nil"/>
              <w:bottom w:val="nil"/>
            </w:tcBorders>
            <w:shd w:val="clear" w:color="auto" w:fill="auto"/>
            <w:vAlign w:val="center"/>
            <w:hideMark/>
          </w:tcPr>
          <w:p w14:paraId="7DDD605D" w14:textId="77777777" w:rsidR="00597401" w:rsidRPr="00A101F9" w:rsidRDefault="00597401" w:rsidP="00551CE8">
            <w:pPr>
              <w:spacing w:line="240" w:lineRule="auto"/>
              <w:jc w:val="center"/>
              <w:rPr>
                <w:rFonts w:cs="Arial"/>
                <w:szCs w:val="18"/>
                <w:lang w:val="en-US" w:eastAsia="es-PE"/>
              </w:rPr>
            </w:pPr>
          </w:p>
        </w:tc>
        <w:tc>
          <w:tcPr>
            <w:tcW w:w="992" w:type="dxa"/>
            <w:tcBorders>
              <w:top w:val="nil"/>
              <w:bottom w:val="nil"/>
            </w:tcBorders>
            <w:shd w:val="clear" w:color="auto" w:fill="auto"/>
            <w:tcMar>
              <w:top w:w="0" w:type="dxa"/>
              <w:left w:w="115" w:type="dxa"/>
              <w:bottom w:w="0" w:type="dxa"/>
              <w:right w:w="115" w:type="dxa"/>
            </w:tcMar>
            <w:vAlign w:val="center"/>
            <w:hideMark/>
          </w:tcPr>
          <w:p w14:paraId="30C6DAEE" w14:textId="77777777" w:rsidR="00597401" w:rsidRPr="00A101F9" w:rsidRDefault="00597401" w:rsidP="00551CE8">
            <w:pPr>
              <w:spacing w:line="240" w:lineRule="auto"/>
              <w:jc w:val="center"/>
              <w:rPr>
                <w:rFonts w:cs="Arial"/>
                <w:szCs w:val="18"/>
                <w:lang w:val="en-US" w:eastAsia="es-PE"/>
              </w:rPr>
            </w:pPr>
            <w:r w:rsidRPr="00597401">
              <w:rPr>
                <w:rFonts w:cs="Arial"/>
                <w:color w:val="000000"/>
                <w:szCs w:val="18"/>
                <w:lang w:val="en-US" w:eastAsia="es-PE"/>
              </w:rPr>
              <w:t>Pb (C2</w:t>
            </w:r>
            <w:r w:rsidRPr="00A101F9">
              <w:rPr>
                <w:rFonts w:cs="Arial"/>
                <w:color w:val="000000"/>
                <w:szCs w:val="18"/>
                <w:lang w:val="en-US" w:eastAsia="es-PE"/>
              </w:rPr>
              <w:t>)</w:t>
            </w:r>
          </w:p>
        </w:tc>
        <w:tc>
          <w:tcPr>
            <w:tcW w:w="1261" w:type="dxa"/>
            <w:tcBorders>
              <w:top w:val="nil"/>
              <w:bottom w:val="nil"/>
            </w:tcBorders>
            <w:shd w:val="clear" w:color="auto" w:fill="auto"/>
            <w:tcMar>
              <w:top w:w="0" w:type="dxa"/>
              <w:left w:w="115" w:type="dxa"/>
              <w:bottom w:w="0" w:type="dxa"/>
              <w:right w:w="115" w:type="dxa"/>
            </w:tcMar>
            <w:vAlign w:val="center"/>
            <w:hideMark/>
          </w:tcPr>
          <w:p w14:paraId="57C99BC6" w14:textId="77777777" w:rsidR="00597401" w:rsidRPr="009A3A09" w:rsidRDefault="00597401" w:rsidP="00551CE8">
            <w:pPr>
              <w:spacing w:line="240" w:lineRule="auto"/>
              <w:jc w:val="center"/>
              <w:rPr>
                <w:rFonts w:ascii="Times New Roman" w:hAnsi="Times New Roman"/>
                <w:szCs w:val="18"/>
                <w:lang w:val="es-PE" w:eastAsia="es-PE"/>
              </w:rPr>
            </w:pPr>
            <w:r w:rsidRPr="009A3A09">
              <w:rPr>
                <w:rFonts w:cs="Arial"/>
                <w:color w:val="000000"/>
                <w:szCs w:val="18"/>
                <w:lang w:val="es-PE" w:eastAsia="es-PE"/>
              </w:rPr>
              <w:t>&lt;0.002</w:t>
            </w:r>
          </w:p>
        </w:tc>
        <w:tc>
          <w:tcPr>
            <w:tcW w:w="1295" w:type="dxa"/>
            <w:tcBorders>
              <w:top w:val="nil"/>
              <w:bottom w:val="nil"/>
            </w:tcBorders>
            <w:shd w:val="clear" w:color="auto" w:fill="auto"/>
            <w:tcMar>
              <w:top w:w="0" w:type="dxa"/>
              <w:left w:w="115" w:type="dxa"/>
              <w:bottom w:w="0" w:type="dxa"/>
              <w:right w:w="115" w:type="dxa"/>
            </w:tcMar>
            <w:vAlign w:val="center"/>
            <w:hideMark/>
          </w:tcPr>
          <w:p w14:paraId="6C69E76C" w14:textId="77777777" w:rsidR="00597401" w:rsidRPr="00A101F9" w:rsidRDefault="00597401" w:rsidP="00551CE8">
            <w:pPr>
              <w:spacing w:line="240" w:lineRule="auto"/>
              <w:jc w:val="center"/>
              <w:rPr>
                <w:rFonts w:cs="Arial"/>
                <w:szCs w:val="18"/>
                <w:lang w:val="en-US" w:eastAsia="es-PE"/>
              </w:rPr>
            </w:pPr>
            <w:r w:rsidRPr="00597401">
              <w:rPr>
                <w:rFonts w:cs="Arial"/>
                <w:color w:val="000000"/>
                <w:szCs w:val="18"/>
                <w:lang w:val="en-US" w:eastAsia="es-PE"/>
              </w:rPr>
              <w:t>99.89</w:t>
            </w:r>
          </w:p>
        </w:tc>
      </w:tr>
      <w:tr w:rsidR="00597401" w:rsidRPr="00597401" w14:paraId="5FC150F7" w14:textId="77777777" w:rsidTr="00597401">
        <w:trPr>
          <w:trHeight w:val="406"/>
        </w:trPr>
        <w:tc>
          <w:tcPr>
            <w:tcW w:w="2122" w:type="dxa"/>
            <w:vMerge/>
            <w:tcBorders>
              <w:top w:val="nil"/>
              <w:bottom w:val="single" w:sz="4" w:space="0" w:color="538135"/>
            </w:tcBorders>
            <w:shd w:val="clear" w:color="auto" w:fill="auto"/>
            <w:vAlign w:val="center"/>
            <w:hideMark/>
          </w:tcPr>
          <w:p w14:paraId="717A0B66" w14:textId="77777777" w:rsidR="00597401" w:rsidRPr="00A101F9" w:rsidRDefault="00597401" w:rsidP="00551CE8">
            <w:pPr>
              <w:spacing w:line="240" w:lineRule="auto"/>
              <w:jc w:val="center"/>
              <w:rPr>
                <w:rFonts w:cs="Arial"/>
                <w:szCs w:val="18"/>
                <w:lang w:val="en-US" w:eastAsia="es-PE"/>
              </w:rPr>
            </w:pPr>
          </w:p>
        </w:tc>
        <w:tc>
          <w:tcPr>
            <w:tcW w:w="992" w:type="dxa"/>
            <w:tcBorders>
              <w:top w:val="nil"/>
              <w:bottom w:val="single" w:sz="4" w:space="0" w:color="538135"/>
            </w:tcBorders>
            <w:shd w:val="clear" w:color="auto" w:fill="auto"/>
            <w:tcMar>
              <w:top w:w="0" w:type="dxa"/>
              <w:left w:w="115" w:type="dxa"/>
              <w:bottom w:w="0" w:type="dxa"/>
              <w:right w:w="115" w:type="dxa"/>
            </w:tcMar>
            <w:vAlign w:val="center"/>
            <w:hideMark/>
          </w:tcPr>
          <w:p w14:paraId="72142DCE" w14:textId="77777777" w:rsidR="00597401" w:rsidRPr="00A101F9" w:rsidRDefault="00597401" w:rsidP="00551CE8">
            <w:pPr>
              <w:spacing w:line="240" w:lineRule="auto"/>
              <w:jc w:val="center"/>
              <w:rPr>
                <w:rFonts w:cs="Arial"/>
                <w:szCs w:val="18"/>
                <w:lang w:val="en-US" w:eastAsia="es-PE"/>
              </w:rPr>
            </w:pPr>
            <w:r w:rsidRPr="00597401">
              <w:rPr>
                <w:rFonts w:cs="Arial"/>
                <w:color w:val="000000"/>
                <w:szCs w:val="18"/>
                <w:lang w:val="en-US" w:eastAsia="es-PE"/>
              </w:rPr>
              <w:t>Zn (C3</w:t>
            </w:r>
            <w:r w:rsidRPr="00A101F9">
              <w:rPr>
                <w:rFonts w:cs="Arial"/>
                <w:color w:val="000000"/>
                <w:szCs w:val="18"/>
                <w:lang w:val="en-US" w:eastAsia="es-PE"/>
              </w:rPr>
              <w:t>)</w:t>
            </w:r>
          </w:p>
        </w:tc>
        <w:tc>
          <w:tcPr>
            <w:tcW w:w="1261" w:type="dxa"/>
            <w:tcBorders>
              <w:top w:val="nil"/>
              <w:bottom w:val="single" w:sz="4" w:space="0" w:color="538135"/>
            </w:tcBorders>
            <w:shd w:val="clear" w:color="auto" w:fill="auto"/>
            <w:tcMar>
              <w:top w:w="0" w:type="dxa"/>
              <w:left w:w="115" w:type="dxa"/>
              <w:bottom w:w="0" w:type="dxa"/>
              <w:right w:w="115" w:type="dxa"/>
            </w:tcMar>
            <w:vAlign w:val="center"/>
            <w:hideMark/>
          </w:tcPr>
          <w:p w14:paraId="0B2E2B74" w14:textId="77777777" w:rsidR="00597401" w:rsidRPr="009A3A09" w:rsidRDefault="00597401" w:rsidP="00551CE8">
            <w:pPr>
              <w:spacing w:line="240" w:lineRule="auto"/>
              <w:jc w:val="center"/>
              <w:rPr>
                <w:rFonts w:ascii="Times New Roman" w:hAnsi="Times New Roman"/>
                <w:szCs w:val="18"/>
                <w:lang w:val="es-PE" w:eastAsia="es-PE"/>
              </w:rPr>
            </w:pPr>
            <w:r w:rsidRPr="009A3A09">
              <w:rPr>
                <w:rFonts w:cs="Arial"/>
                <w:color w:val="000000"/>
                <w:szCs w:val="18"/>
                <w:lang w:val="es-PE" w:eastAsia="es-PE"/>
              </w:rPr>
              <w:t>4.448</w:t>
            </w:r>
          </w:p>
        </w:tc>
        <w:tc>
          <w:tcPr>
            <w:tcW w:w="1295" w:type="dxa"/>
            <w:tcBorders>
              <w:top w:val="nil"/>
              <w:bottom w:val="single" w:sz="4" w:space="0" w:color="538135"/>
            </w:tcBorders>
            <w:shd w:val="clear" w:color="auto" w:fill="auto"/>
            <w:tcMar>
              <w:top w:w="0" w:type="dxa"/>
              <w:left w:w="115" w:type="dxa"/>
              <w:bottom w:w="0" w:type="dxa"/>
              <w:right w:w="115" w:type="dxa"/>
            </w:tcMar>
            <w:vAlign w:val="center"/>
            <w:hideMark/>
          </w:tcPr>
          <w:p w14:paraId="0545BF1C" w14:textId="77777777" w:rsidR="00597401" w:rsidRPr="00A101F9" w:rsidRDefault="00597401" w:rsidP="00551CE8">
            <w:pPr>
              <w:spacing w:line="240" w:lineRule="auto"/>
              <w:jc w:val="center"/>
              <w:rPr>
                <w:rFonts w:cs="Arial"/>
                <w:szCs w:val="18"/>
                <w:lang w:val="en-US" w:eastAsia="es-PE"/>
              </w:rPr>
            </w:pPr>
            <w:r w:rsidRPr="00597401">
              <w:rPr>
                <w:rFonts w:cs="Arial"/>
                <w:color w:val="000000"/>
                <w:szCs w:val="18"/>
                <w:lang w:val="en-US" w:eastAsia="es-PE"/>
              </w:rPr>
              <w:t>29.45</w:t>
            </w:r>
          </w:p>
        </w:tc>
      </w:tr>
      <w:tr w:rsidR="00597401" w:rsidRPr="00597401" w14:paraId="633DBB7D" w14:textId="77777777" w:rsidTr="00597401">
        <w:trPr>
          <w:trHeight w:val="398"/>
        </w:trPr>
        <w:tc>
          <w:tcPr>
            <w:tcW w:w="2122" w:type="dxa"/>
            <w:vMerge w:val="restart"/>
            <w:tcBorders>
              <w:top w:val="single" w:sz="4" w:space="0" w:color="538135"/>
            </w:tcBorders>
            <w:shd w:val="clear" w:color="auto" w:fill="auto"/>
            <w:tcMar>
              <w:top w:w="0" w:type="dxa"/>
              <w:left w:w="115" w:type="dxa"/>
              <w:bottom w:w="0" w:type="dxa"/>
              <w:right w:w="115" w:type="dxa"/>
            </w:tcMar>
            <w:vAlign w:val="center"/>
            <w:hideMark/>
          </w:tcPr>
          <w:p w14:paraId="164BEBA0" w14:textId="77777777" w:rsidR="00597401" w:rsidRPr="00A101F9" w:rsidRDefault="00597401" w:rsidP="00551CE8">
            <w:pPr>
              <w:spacing w:line="240" w:lineRule="auto"/>
              <w:jc w:val="center"/>
              <w:rPr>
                <w:rFonts w:cs="Arial"/>
                <w:szCs w:val="18"/>
                <w:lang w:val="en-US" w:eastAsia="es-PE"/>
              </w:rPr>
            </w:pPr>
            <w:r w:rsidRPr="00597401">
              <w:rPr>
                <w:rFonts w:cs="Arial"/>
                <w:bCs/>
                <w:color w:val="000000"/>
                <w:szCs w:val="18"/>
                <w:lang w:val="en-US" w:eastAsia="es-PE"/>
              </w:rPr>
              <w:t xml:space="preserve">Water lettuce        </w:t>
            </w:r>
            <w:r w:rsidRPr="00A101F9">
              <w:rPr>
                <w:rFonts w:cs="Arial"/>
                <w:color w:val="000000"/>
                <w:szCs w:val="18"/>
                <w:lang w:val="en-US" w:eastAsia="es-PE"/>
              </w:rPr>
              <w:t>(</w:t>
            </w:r>
            <w:r w:rsidRPr="00A101F9">
              <w:rPr>
                <w:rFonts w:cs="Arial"/>
                <w:i/>
                <w:iCs/>
                <w:color w:val="000000"/>
                <w:szCs w:val="18"/>
                <w:lang w:val="en-US" w:eastAsia="es-PE"/>
              </w:rPr>
              <w:t>Pistia Stratiotes</w:t>
            </w:r>
            <w:r w:rsidRPr="00A101F9">
              <w:rPr>
                <w:rFonts w:cs="Arial"/>
                <w:color w:val="000000"/>
                <w:szCs w:val="18"/>
                <w:lang w:val="en-US" w:eastAsia="es-PE"/>
              </w:rPr>
              <w:t>)</w:t>
            </w:r>
          </w:p>
          <w:p w14:paraId="799B0F12" w14:textId="77777777" w:rsidR="00597401" w:rsidRPr="00A101F9" w:rsidRDefault="00597401" w:rsidP="00551CE8">
            <w:pPr>
              <w:spacing w:line="240" w:lineRule="auto"/>
              <w:jc w:val="center"/>
              <w:rPr>
                <w:rFonts w:cs="Arial"/>
                <w:szCs w:val="18"/>
                <w:lang w:val="en-US" w:eastAsia="es-PE"/>
              </w:rPr>
            </w:pPr>
          </w:p>
        </w:tc>
        <w:tc>
          <w:tcPr>
            <w:tcW w:w="992" w:type="dxa"/>
            <w:tcBorders>
              <w:top w:val="single" w:sz="4" w:space="0" w:color="538135"/>
            </w:tcBorders>
            <w:shd w:val="clear" w:color="auto" w:fill="auto"/>
            <w:tcMar>
              <w:top w:w="0" w:type="dxa"/>
              <w:left w:w="115" w:type="dxa"/>
              <w:bottom w:w="0" w:type="dxa"/>
              <w:right w:w="115" w:type="dxa"/>
            </w:tcMar>
            <w:vAlign w:val="center"/>
            <w:hideMark/>
          </w:tcPr>
          <w:p w14:paraId="4C9E1D59" w14:textId="77777777" w:rsidR="00597401" w:rsidRPr="00A101F9" w:rsidRDefault="00597401" w:rsidP="00551CE8">
            <w:pPr>
              <w:spacing w:line="240" w:lineRule="auto"/>
              <w:jc w:val="center"/>
              <w:rPr>
                <w:rFonts w:cs="Arial"/>
                <w:szCs w:val="18"/>
                <w:lang w:val="en-US" w:eastAsia="es-PE"/>
              </w:rPr>
            </w:pPr>
            <w:r w:rsidRPr="00597401">
              <w:rPr>
                <w:rFonts w:cs="Arial"/>
                <w:color w:val="000000"/>
                <w:szCs w:val="18"/>
                <w:lang w:val="en-US" w:eastAsia="es-PE"/>
              </w:rPr>
              <w:t>Cu (C4</w:t>
            </w:r>
            <w:r w:rsidRPr="00A101F9">
              <w:rPr>
                <w:rFonts w:cs="Arial"/>
                <w:color w:val="000000"/>
                <w:szCs w:val="18"/>
                <w:lang w:val="en-US" w:eastAsia="es-PE"/>
              </w:rPr>
              <w:t>)</w:t>
            </w:r>
          </w:p>
        </w:tc>
        <w:tc>
          <w:tcPr>
            <w:tcW w:w="1261" w:type="dxa"/>
            <w:tcBorders>
              <w:top w:val="single" w:sz="4" w:space="0" w:color="538135"/>
            </w:tcBorders>
            <w:shd w:val="clear" w:color="auto" w:fill="auto"/>
            <w:tcMar>
              <w:top w:w="0" w:type="dxa"/>
              <w:left w:w="115" w:type="dxa"/>
              <w:bottom w:w="0" w:type="dxa"/>
              <w:right w:w="115" w:type="dxa"/>
            </w:tcMar>
            <w:vAlign w:val="center"/>
            <w:hideMark/>
          </w:tcPr>
          <w:p w14:paraId="68D8CA41" w14:textId="77777777" w:rsidR="00597401" w:rsidRPr="009A3A09" w:rsidRDefault="00597401" w:rsidP="00551CE8">
            <w:pPr>
              <w:spacing w:line="240" w:lineRule="auto"/>
              <w:jc w:val="center"/>
              <w:rPr>
                <w:rFonts w:ascii="Times New Roman" w:hAnsi="Times New Roman"/>
                <w:szCs w:val="18"/>
                <w:lang w:val="es-PE" w:eastAsia="es-PE"/>
              </w:rPr>
            </w:pPr>
            <w:r w:rsidRPr="009A3A09">
              <w:rPr>
                <w:rFonts w:cs="Arial"/>
                <w:color w:val="000000"/>
                <w:szCs w:val="18"/>
                <w:lang w:val="es-PE" w:eastAsia="es-PE"/>
              </w:rPr>
              <w:t>&lt;0.0003</w:t>
            </w:r>
          </w:p>
        </w:tc>
        <w:tc>
          <w:tcPr>
            <w:tcW w:w="1295" w:type="dxa"/>
            <w:tcBorders>
              <w:top w:val="single" w:sz="4" w:space="0" w:color="538135"/>
            </w:tcBorders>
            <w:shd w:val="clear" w:color="auto" w:fill="auto"/>
            <w:tcMar>
              <w:top w:w="0" w:type="dxa"/>
              <w:left w:w="115" w:type="dxa"/>
              <w:bottom w:w="0" w:type="dxa"/>
              <w:right w:w="115" w:type="dxa"/>
            </w:tcMar>
            <w:vAlign w:val="center"/>
            <w:hideMark/>
          </w:tcPr>
          <w:p w14:paraId="5FD4012B" w14:textId="77777777" w:rsidR="00597401" w:rsidRPr="00A101F9" w:rsidRDefault="00597401" w:rsidP="00551CE8">
            <w:pPr>
              <w:spacing w:line="240" w:lineRule="auto"/>
              <w:jc w:val="center"/>
              <w:rPr>
                <w:rFonts w:cs="Arial"/>
                <w:szCs w:val="18"/>
                <w:lang w:val="en-US" w:eastAsia="es-PE"/>
              </w:rPr>
            </w:pPr>
            <w:r w:rsidRPr="00597401">
              <w:rPr>
                <w:rFonts w:cs="Arial"/>
                <w:color w:val="000000"/>
                <w:szCs w:val="18"/>
                <w:lang w:val="en-US" w:eastAsia="es-PE"/>
              </w:rPr>
              <w:t>99.86</w:t>
            </w:r>
          </w:p>
        </w:tc>
      </w:tr>
      <w:tr w:rsidR="00597401" w:rsidRPr="00597401" w14:paraId="50D1F47B" w14:textId="77777777" w:rsidTr="00597401">
        <w:trPr>
          <w:trHeight w:val="404"/>
        </w:trPr>
        <w:tc>
          <w:tcPr>
            <w:tcW w:w="2122" w:type="dxa"/>
            <w:vMerge/>
            <w:shd w:val="clear" w:color="auto" w:fill="auto"/>
            <w:vAlign w:val="center"/>
            <w:hideMark/>
          </w:tcPr>
          <w:p w14:paraId="524EA7B1" w14:textId="77777777" w:rsidR="00597401" w:rsidRPr="00A101F9" w:rsidRDefault="00597401" w:rsidP="00551CE8">
            <w:pPr>
              <w:spacing w:line="240" w:lineRule="auto"/>
              <w:jc w:val="center"/>
              <w:rPr>
                <w:rFonts w:cs="Arial"/>
                <w:szCs w:val="18"/>
                <w:lang w:val="en-US" w:eastAsia="es-PE"/>
              </w:rPr>
            </w:pPr>
          </w:p>
        </w:tc>
        <w:tc>
          <w:tcPr>
            <w:tcW w:w="992" w:type="dxa"/>
            <w:shd w:val="clear" w:color="auto" w:fill="auto"/>
            <w:tcMar>
              <w:top w:w="0" w:type="dxa"/>
              <w:left w:w="115" w:type="dxa"/>
              <w:bottom w:w="0" w:type="dxa"/>
              <w:right w:w="115" w:type="dxa"/>
            </w:tcMar>
            <w:vAlign w:val="center"/>
            <w:hideMark/>
          </w:tcPr>
          <w:p w14:paraId="2E83FFC1" w14:textId="77777777" w:rsidR="00597401" w:rsidRPr="00A101F9" w:rsidRDefault="00597401" w:rsidP="00551CE8">
            <w:pPr>
              <w:spacing w:line="240" w:lineRule="auto"/>
              <w:jc w:val="center"/>
              <w:rPr>
                <w:rFonts w:cs="Arial"/>
                <w:szCs w:val="18"/>
                <w:lang w:val="en-US" w:eastAsia="es-PE"/>
              </w:rPr>
            </w:pPr>
            <w:r w:rsidRPr="00597401">
              <w:rPr>
                <w:rFonts w:cs="Arial"/>
                <w:color w:val="000000"/>
                <w:szCs w:val="18"/>
                <w:lang w:val="en-US" w:eastAsia="es-PE"/>
              </w:rPr>
              <w:t>Pb (C5</w:t>
            </w:r>
            <w:r w:rsidRPr="00A101F9">
              <w:rPr>
                <w:rFonts w:cs="Arial"/>
                <w:color w:val="000000"/>
                <w:szCs w:val="18"/>
                <w:lang w:val="en-US" w:eastAsia="es-PE"/>
              </w:rPr>
              <w:t>)</w:t>
            </w:r>
          </w:p>
        </w:tc>
        <w:tc>
          <w:tcPr>
            <w:tcW w:w="1261" w:type="dxa"/>
            <w:shd w:val="clear" w:color="auto" w:fill="auto"/>
            <w:tcMar>
              <w:top w:w="0" w:type="dxa"/>
              <w:left w:w="115" w:type="dxa"/>
              <w:bottom w:w="0" w:type="dxa"/>
              <w:right w:w="115" w:type="dxa"/>
            </w:tcMar>
            <w:vAlign w:val="center"/>
            <w:hideMark/>
          </w:tcPr>
          <w:p w14:paraId="18F74969" w14:textId="77777777" w:rsidR="00597401" w:rsidRPr="009A3A09" w:rsidRDefault="00597401" w:rsidP="00551CE8">
            <w:pPr>
              <w:spacing w:line="240" w:lineRule="auto"/>
              <w:jc w:val="center"/>
              <w:rPr>
                <w:rFonts w:ascii="Times New Roman" w:hAnsi="Times New Roman"/>
                <w:szCs w:val="18"/>
                <w:lang w:val="es-PE" w:eastAsia="es-PE"/>
              </w:rPr>
            </w:pPr>
            <w:r w:rsidRPr="009A3A09">
              <w:rPr>
                <w:rFonts w:cs="Arial"/>
                <w:color w:val="000000"/>
                <w:szCs w:val="18"/>
                <w:lang w:val="es-PE" w:eastAsia="es-PE"/>
              </w:rPr>
              <w:t>&lt;0.002</w:t>
            </w:r>
          </w:p>
        </w:tc>
        <w:tc>
          <w:tcPr>
            <w:tcW w:w="1295" w:type="dxa"/>
            <w:shd w:val="clear" w:color="auto" w:fill="auto"/>
            <w:tcMar>
              <w:top w:w="0" w:type="dxa"/>
              <w:left w:w="115" w:type="dxa"/>
              <w:bottom w:w="0" w:type="dxa"/>
              <w:right w:w="115" w:type="dxa"/>
            </w:tcMar>
            <w:vAlign w:val="center"/>
            <w:hideMark/>
          </w:tcPr>
          <w:p w14:paraId="61C800C2" w14:textId="77777777" w:rsidR="00597401" w:rsidRPr="00A101F9" w:rsidRDefault="00597401" w:rsidP="00551CE8">
            <w:pPr>
              <w:spacing w:line="240" w:lineRule="auto"/>
              <w:jc w:val="center"/>
              <w:rPr>
                <w:rFonts w:cs="Arial"/>
                <w:szCs w:val="18"/>
                <w:lang w:val="en-US" w:eastAsia="es-PE"/>
              </w:rPr>
            </w:pPr>
            <w:r w:rsidRPr="00597401">
              <w:rPr>
                <w:rFonts w:cs="Arial"/>
                <w:color w:val="000000"/>
                <w:szCs w:val="18"/>
                <w:lang w:val="en-US" w:eastAsia="es-PE"/>
              </w:rPr>
              <w:t>99.89</w:t>
            </w:r>
          </w:p>
        </w:tc>
      </w:tr>
      <w:tr w:rsidR="00597401" w:rsidRPr="00597401" w14:paraId="5CD7B4CB" w14:textId="77777777" w:rsidTr="00597401">
        <w:trPr>
          <w:trHeight w:val="382"/>
        </w:trPr>
        <w:tc>
          <w:tcPr>
            <w:tcW w:w="2122" w:type="dxa"/>
            <w:vMerge/>
            <w:shd w:val="clear" w:color="auto" w:fill="auto"/>
            <w:vAlign w:val="center"/>
            <w:hideMark/>
          </w:tcPr>
          <w:p w14:paraId="219D0301" w14:textId="77777777" w:rsidR="00597401" w:rsidRPr="00A101F9" w:rsidRDefault="00597401" w:rsidP="00551CE8">
            <w:pPr>
              <w:spacing w:line="240" w:lineRule="auto"/>
              <w:jc w:val="center"/>
              <w:rPr>
                <w:rFonts w:cs="Arial"/>
                <w:szCs w:val="18"/>
                <w:lang w:val="en-US" w:eastAsia="es-PE"/>
              </w:rPr>
            </w:pPr>
          </w:p>
        </w:tc>
        <w:tc>
          <w:tcPr>
            <w:tcW w:w="992" w:type="dxa"/>
            <w:shd w:val="clear" w:color="auto" w:fill="auto"/>
            <w:tcMar>
              <w:top w:w="0" w:type="dxa"/>
              <w:left w:w="115" w:type="dxa"/>
              <w:bottom w:w="0" w:type="dxa"/>
              <w:right w:w="115" w:type="dxa"/>
            </w:tcMar>
            <w:vAlign w:val="center"/>
            <w:hideMark/>
          </w:tcPr>
          <w:p w14:paraId="1F88FB8E" w14:textId="77777777" w:rsidR="00597401" w:rsidRPr="00A101F9" w:rsidRDefault="00597401" w:rsidP="00551CE8">
            <w:pPr>
              <w:spacing w:line="240" w:lineRule="auto"/>
              <w:jc w:val="center"/>
              <w:rPr>
                <w:rFonts w:cs="Arial"/>
                <w:szCs w:val="18"/>
                <w:lang w:val="en-US" w:eastAsia="es-PE"/>
              </w:rPr>
            </w:pPr>
            <w:r w:rsidRPr="00597401">
              <w:rPr>
                <w:rFonts w:cs="Arial"/>
                <w:color w:val="000000"/>
                <w:szCs w:val="18"/>
                <w:lang w:val="en-US" w:eastAsia="es-PE"/>
              </w:rPr>
              <w:t>Zn (C6</w:t>
            </w:r>
            <w:r w:rsidRPr="00A101F9">
              <w:rPr>
                <w:rFonts w:cs="Arial"/>
                <w:color w:val="000000"/>
                <w:szCs w:val="18"/>
                <w:lang w:val="en-US" w:eastAsia="es-PE"/>
              </w:rPr>
              <w:t>)</w:t>
            </w:r>
          </w:p>
        </w:tc>
        <w:tc>
          <w:tcPr>
            <w:tcW w:w="1261" w:type="dxa"/>
            <w:shd w:val="clear" w:color="auto" w:fill="auto"/>
            <w:tcMar>
              <w:top w:w="0" w:type="dxa"/>
              <w:left w:w="115" w:type="dxa"/>
              <w:bottom w:w="0" w:type="dxa"/>
              <w:right w:w="115" w:type="dxa"/>
            </w:tcMar>
            <w:vAlign w:val="center"/>
            <w:hideMark/>
          </w:tcPr>
          <w:p w14:paraId="65274748" w14:textId="77777777" w:rsidR="00597401" w:rsidRPr="009A3A09" w:rsidRDefault="00597401" w:rsidP="00551CE8">
            <w:pPr>
              <w:spacing w:line="240" w:lineRule="auto"/>
              <w:jc w:val="center"/>
              <w:rPr>
                <w:rFonts w:ascii="Times New Roman" w:hAnsi="Times New Roman"/>
                <w:szCs w:val="18"/>
                <w:lang w:val="es-PE" w:eastAsia="es-PE"/>
              </w:rPr>
            </w:pPr>
            <w:r w:rsidRPr="009A3A09">
              <w:rPr>
                <w:rFonts w:cs="Arial"/>
                <w:color w:val="000000"/>
                <w:szCs w:val="18"/>
                <w:lang w:val="es-PE" w:eastAsia="es-PE"/>
              </w:rPr>
              <w:t>5.751</w:t>
            </w:r>
          </w:p>
        </w:tc>
        <w:tc>
          <w:tcPr>
            <w:tcW w:w="1295" w:type="dxa"/>
            <w:shd w:val="clear" w:color="auto" w:fill="auto"/>
            <w:tcMar>
              <w:top w:w="0" w:type="dxa"/>
              <w:left w:w="115" w:type="dxa"/>
              <w:bottom w:w="0" w:type="dxa"/>
              <w:right w:w="115" w:type="dxa"/>
            </w:tcMar>
            <w:vAlign w:val="center"/>
            <w:hideMark/>
          </w:tcPr>
          <w:p w14:paraId="2EE6870C" w14:textId="77777777" w:rsidR="00597401" w:rsidRPr="00A101F9" w:rsidRDefault="00597401" w:rsidP="00551CE8">
            <w:pPr>
              <w:spacing w:line="240" w:lineRule="auto"/>
              <w:jc w:val="center"/>
              <w:rPr>
                <w:rFonts w:cs="Arial"/>
                <w:szCs w:val="18"/>
                <w:lang w:val="en-US" w:eastAsia="es-PE"/>
              </w:rPr>
            </w:pPr>
            <w:r w:rsidRPr="00597401">
              <w:rPr>
                <w:rFonts w:cs="Arial"/>
                <w:color w:val="000000"/>
                <w:szCs w:val="18"/>
                <w:lang w:val="en-US" w:eastAsia="es-PE"/>
              </w:rPr>
              <w:t>14.63</w:t>
            </w:r>
          </w:p>
        </w:tc>
      </w:tr>
    </w:tbl>
    <w:p w14:paraId="741C7359" w14:textId="373EAC4E" w:rsidR="00AF6923" w:rsidRDefault="00AF6923" w:rsidP="00AF6923">
      <w:pPr>
        <w:pStyle w:val="CETTabletitle"/>
        <w:jc w:val="both"/>
        <w:rPr>
          <w:i w:val="0"/>
          <w:lang w:val="en-US"/>
        </w:rPr>
      </w:pPr>
      <w:r w:rsidRPr="00AF6923">
        <w:rPr>
          <w:i w:val="0"/>
          <w:lang w:val="en-US"/>
        </w:rPr>
        <w:t>From Table 3, it was observed that the metals are within the environmental quality standards established by MINAM. The concentration of copper in both treatments with water hyacinth and water lettuce was less than 0.0003mg/L. The concentration of lead for both treatments was less than 0.002 mg/L, and the concentration of zinc was 4.448 mg/L with water hyacinth and 5.751 mg/L using water lettuce. These results indicated that the metals copper and lead had reductions of 99% in both treatments; while the metal zinc achieved reductions of 29.45% and 14.63% for the water hyacinth and water lettuce treatments, respectively. This last metal did not comply with t</w:t>
      </w:r>
      <w:r>
        <w:rPr>
          <w:i w:val="0"/>
          <w:lang w:val="en-US"/>
        </w:rPr>
        <w:t>he values established in the ECA</w:t>
      </w:r>
      <w:r w:rsidRPr="00AF6923">
        <w:rPr>
          <w:i w:val="0"/>
          <w:lang w:val="en-US"/>
        </w:rPr>
        <w:t>s, both for vegetable irrigation and animal drinking, showing low efficiency of the floating macrophytes.</w:t>
      </w:r>
    </w:p>
    <w:p w14:paraId="101264E1" w14:textId="13D2A81B" w:rsidR="00AF6923" w:rsidRPr="00C14646" w:rsidRDefault="00AF6923" w:rsidP="00AF6923">
      <w:pPr>
        <w:pStyle w:val="CETHeading1"/>
        <w:rPr>
          <w:lang w:val="en-GB"/>
        </w:rPr>
      </w:pPr>
      <w:r>
        <w:rPr>
          <w:lang w:val="en-GB"/>
        </w:rPr>
        <w:t>4. D</w:t>
      </w:r>
      <w:r w:rsidRPr="00C14646">
        <w:rPr>
          <w:lang w:val="en-GB"/>
        </w:rPr>
        <w:t>iscussion</w:t>
      </w:r>
    </w:p>
    <w:p w14:paraId="7A650233" w14:textId="6C1AB3CF" w:rsidR="00AF6923" w:rsidRDefault="00720622" w:rsidP="00720622">
      <w:pPr>
        <w:pStyle w:val="CETTabletitle"/>
        <w:spacing w:before="0" w:after="0"/>
        <w:jc w:val="both"/>
        <w:rPr>
          <w:i w:val="0"/>
          <w:lang w:val="en-US"/>
        </w:rPr>
      </w:pPr>
      <w:r w:rsidRPr="00720622">
        <w:rPr>
          <w:i w:val="0"/>
          <w:lang w:val="en-US"/>
        </w:rPr>
        <w:t xml:space="preserve">In the present investigation, </w:t>
      </w:r>
      <w:r w:rsidRPr="00720622">
        <w:rPr>
          <w:lang w:val="en-US"/>
        </w:rPr>
        <w:t>Eichhornia crassipes</w:t>
      </w:r>
      <w:r w:rsidRPr="00720622">
        <w:rPr>
          <w:i w:val="0"/>
          <w:lang w:val="en-US"/>
        </w:rPr>
        <w:t xml:space="preserve"> achieved copper and zinc removals of 99.86 and 29.45%, respectively. These results agree with the study conducted by Li et al. (2016), who used </w:t>
      </w:r>
      <w:r w:rsidRPr="00720622">
        <w:rPr>
          <w:lang w:val="en-US"/>
        </w:rPr>
        <w:t>Eichhornia crassipes</w:t>
      </w:r>
      <w:r w:rsidRPr="00720622">
        <w:rPr>
          <w:i w:val="0"/>
          <w:lang w:val="en-US"/>
        </w:rPr>
        <w:t xml:space="preserve"> root powder for adsorption of heavy metals in aqueous solutions, achieving removals of 87, 70.23 and 35.62% for lead, zinc and copper, respectively. On the other hand, Mwaniki et al. (2019) used water hyacinth powder for adsorption of Pb and Zn in wastewater, obtaining an efficiency of 81.1% for lead and 78.7% for zinc. While, </w:t>
      </w:r>
      <w:r w:rsidRPr="00720622">
        <w:rPr>
          <w:i w:val="0"/>
          <w:lang w:val="en-US"/>
        </w:rPr>
        <w:lastRenderedPageBreak/>
        <w:t xml:space="preserve">Sarkar et al. (2017) demonstrated that </w:t>
      </w:r>
      <w:r w:rsidRPr="00720622">
        <w:rPr>
          <w:lang w:val="en-US"/>
        </w:rPr>
        <w:t>Eichhornia crassipes</w:t>
      </w:r>
      <w:r w:rsidRPr="00720622">
        <w:rPr>
          <w:i w:val="0"/>
          <w:lang w:val="en-US"/>
        </w:rPr>
        <w:t xml:space="preserve"> powder is a locally available and economically viable adsorbent that can remove 98.83% Cr and 99, 59% Cu in tannery effluents.</w:t>
      </w:r>
    </w:p>
    <w:p w14:paraId="5770FEB0" w14:textId="114759A4" w:rsidR="00720622" w:rsidRDefault="00720622" w:rsidP="003C3541">
      <w:pPr>
        <w:pStyle w:val="CETTabletitle"/>
        <w:spacing w:before="0" w:after="0"/>
        <w:jc w:val="both"/>
        <w:rPr>
          <w:i w:val="0"/>
          <w:lang w:val="en-US"/>
        </w:rPr>
      </w:pPr>
      <w:r w:rsidRPr="00720622">
        <w:rPr>
          <w:i w:val="0"/>
          <w:lang w:val="en-US"/>
        </w:rPr>
        <w:t xml:space="preserve">The results showed that floating macrophytes decreased the electrical conductivity (EC) values from 895 to 350 µS/cm. Similarly, in </w:t>
      </w:r>
      <w:r w:rsidR="00705384">
        <w:rPr>
          <w:i w:val="0"/>
          <w:lang w:val="en-US"/>
        </w:rPr>
        <w:t>the research of Leon and Lucero</w:t>
      </w:r>
      <w:r w:rsidRPr="00720622">
        <w:rPr>
          <w:i w:val="0"/>
          <w:lang w:val="en-US"/>
        </w:rPr>
        <w:t xml:space="preserve"> (2009), macrophytes decreased the electrical conductivity from 800 to 500 µS/cm. </w:t>
      </w:r>
      <w:r w:rsidR="00705384" w:rsidRPr="00705384">
        <w:rPr>
          <w:i w:val="0"/>
          <w:lang w:val="en-US"/>
        </w:rPr>
        <w:t>Maisa’a</w:t>
      </w:r>
      <w:r w:rsidRPr="00720622">
        <w:rPr>
          <w:i w:val="0"/>
          <w:lang w:val="en-US"/>
        </w:rPr>
        <w:t xml:space="preserve"> and Zakaria (2015) state that the reduction in EC is due to nutrient absorbance by floating macrophytes. The removal of physicochemical parameters shows that </w:t>
      </w:r>
      <w:r w:rsidRPr="00720622">
        <w:rPr>
          <w:lang w:val="en-US"/>
        </w:rPr>
        <w:t>Eichhornia crassipes</w:t>
      </w:r>
      <w:r w:rsidRPr="00720622">
        <w:rPr>
          <w:i w:val="0"/>
          <w:lang w:val="en-US"/>
        </w:rPr>
        <w:t xml:space="preserve"> and </w:t>
      </w:r>
      <w:r w:rsidRPr="00720622">
        <w:rPr>
          <w:lang w:val="en-US"/>
        </w:rPr>
        <w:t>Pistia stratiotes</w:t>
      </w:r>
      <w:r w:rsidRPr="00720622">
        <w:rPr>
          <w:i w:val="0"/>
          <w:lang w:val="en-US"/>
        </w:rPr>
        <w:t xml:space="preserve"> increased the pH of the wastewater to values between 7.2 and 8.5. To this, Qin et al. (2016) </w:t>
      </w:r>
      <w:r w:rsidRPr="00136715">
        <w:rPr>
          <w:i w:val="0"/>
          <w:lang w:val="en-US"/>
        </w:rPr>
        <w:t xml:space="preserve">and </w:t>
      </w:r>
      <w:r w:rsidR="00136715" w:rsidRPr="00136715">
        <w:rPr>
          <w:i w:val="0"/>
          <w:lang w:val="en-US"/>
        </w:rPr>
        <w:t>Sekarjannah et al. (2019</w:t>
      </w:r>
      <w:r w:rsidRPr="00136715">
        <w:rPr>
          <w:i w:val="0"/>
          <w:lang w:val="en-US"/>
        </w:rPr>
        <w:t>) mention</w:t>
      </w:r>
      <w:r w:rsidRPr="00720622">
        <w:rPr>
          <w:i w:val="0"/>
          <w:lang w:val="en-US"/>
        </w:rPr>
        <w:t xml:space="preserve"> that </w:t>
      </w:r>
      <w:r w:rsidRPr="00720622">
        <w:rPr>
          <w:lang w:val="en-US"/>
        </w:rPr>
        <w:t>Eichhornia crassipes</w:t>
      </w:r>
      <w:r w:rsidRPr="00720622">
        <w:rPr>
          <w:i w:val="0"/>
          <w:lang w:val="en-US"/>
        </w:rPr>
        <w:t xml:space="preserve"> is good pH stabilizer and contributes to produce values close to water neutrality.</w:t>
      </w:r>
    </w:p>
    <w:p w14:paraId="0191FA3B" w14:textId="63FDE8EB" w:rsidR="003C3541" w:rsidRPr="00D604BC" w:rsidRDefault="003C3541" w:rsidP="00D604BC">
      <w:pPr>
        <w:pStyle w:val="CETTabletitle"/>
        <w:spacing w:before="0" w:after="0"/>
        <w:jc w:val="both"/>
        <w:rPr>
          <w:i w:val="0"/>
          <w:lang w:val="en-US"/>
        </w:rPr>
      </w:pPr>
      <w:r w:rsidRPr="003C3541">
        <w:rPr>
          <w:i w:val="0"/>
          <w:lang w:val="en-US"/>
        </w:rPr>
        <w:t xml:space="preserve">For lead and copper, removal efficiencies averaged 99% with </w:t>
      </w:r>
      <w:r w:rsidRPr="003C3541">
        <w:rPr>
          <w:lang w:val="en-US"/>
        </w:rPr>
        <w:t>Eichhornia crassipes</w:t>
      </w:r>
      <w:r w:rsidRPr="003C3541">
        <w:rPr>
          <w:i w:val="0"/>
          <w:lang w:val="en-US"/>
        </w:rPr>
        <w:t xml:space="preserve"> and </w:t>
      </w:r>
      <w:r w:rsidRPr="003C3541">
        <w:rPr>
          <w:lang w:val="en-US"/>
        </w:rPr>
        <w:t>Pistia stratiotes</w:t>
      </w:r>
      <w:r w:rsidRPr="003C3541">
        <w:rPr>
          <w:i w:val="0"/>
          <w:lang w:val="en-US"/>
        </w:rPr>
        <w:t xml:space="preserve">. This result is corroborated by </w:t>
      </w:r>
      <w:r w:rsidR="00771543" w:rsidRPr="00771543">
        <w:rPr>
          <w:i w:val="0"/>
          <w:lang w:val="en-US"/>
        </w:rPr>
        <w:t xml:space="preserve">Baldeón et al. (2017) who removed Pb by 87 % </w:t>
      </w:r>
      <w:r w:rsidRPr="003C3541">
        <w:rPr>
          <w:i w:val="0"/>
          <w:lang w:val="en-US"/>
        </w:rPr>
        <w:t xml:space="preserve">using </w:t>
      </w:r>
      <w:r w:rsidRPr="003C3541">
        <w:rPr>
          <w:lang w:val="en-US"/>
        </w:rPr>
        <w:t>Eichhornia crassipes</w:t>
      </w:r>
      <w:r w:rsidRPr="003C3541">
        <w:rPr>
          <w:i w:val="0"/>
          <w:lang w:val="en-US"/>
        </w:rPr>
        <w:t xml:space="preserve">. On the other hand, zinc removal was low (29.45%), which could be influenced by the site temperature (14ºC). </w:t>
      </w:r>
      <w:r w:rsidR="0088118F" w:rsidRPr="0088118F">
        <w:rPr>
          <w:i w:val="0"/>
          <w:lang w:val="en-US"/>
        </w:rPr>
        <w:t xml:space="preserve">Other authors such as Najila and Anila (2022) indicated that the macrophytes </w:t>
      </w:r>
      <w:r w:rsidR="0088118F" w:rsidRPr="0088118F">
        <w:rPr>
          <w:lang w:val="en-US"/>
        </w:rPr>
        <w:t>Salvinia minima</w:t>
      </w:r>
      <w:r w:rsidR="0088118F" w:rsidRPr="0088118F">
        <w:rPr>
          <w:i w:val="0"/>
          <w:lang w:val="en-US"/>
        </w:rPr>
        <w:t xml:space="preserve">, </w:t>
      </w:r>
      <w:r w:rsidR="0088118F" w:rsidRPr="0088118F">
        <w:rPr>
          <w:lang w:val="en-US"/>
        </w:rPr>
        <w:t>Hydrilla verticillata</w:t>
      </w:r>
      <w:r w:rsidR="0088118F" w:rsidRPr="0088118F">
        <w:rPr>
          <w:i w:val="0"/>
          <w:lang w:val="en-US"/>
        </w:rPr>
        <w:t xml:space="preserve"> and </w:t>
      </w:r>
      <w:r w:rsidR="0088118F" w:rsidRPr="0088118F">
        <w:rPr>
          <w:lang w:val="en-US"/>
        </w:rPr>
        <w:t>Eichhornia crassipes</w:t>
      </w:r>
      <w:r w:rsidR="0088118F" w:rsidRPr="0088118F">
        <w:rPr>
          <w:i w:val="0"/>
          <w:lang w:val="en-US"/>
        </w:rPr>
        <w:t xml:space="preserve"> could be used for phytoremediation of metals such as zinc, copper, l</w:t>
      </w:r>
      <w:r w:rsidR="0088118F">
        <w:rPr>
          <w:i w:val="0"/>
          <w:lang w:val="en-US"/>
        </w:rPr>
        <w:t>ead, iron, cadmium and chromium</w:t>
      </w:r>
      <w:r w:rsidRPr="0088118F">
        <w:rPr>
          <w:i w:val="0"/>
          <w:lang w:val="en-US"/>
        </w:rPr>
        <w:t>.</w:t>
      </w:r>
      <w:r w:rsidR="0071175B">
        <w:rPr>
          <w:i w:val="0"/>
          <w:lang w:val="en-US"/>
        </w:rPr>
        <w:t xml:space="preserve"> </w:t>
      </w:r>
      <w:r w:rsidR="0071175B" w:rsidRPr="0071175B">
        <w:rPr>
          <w:i w:val="0"/>
          <w:lang w:val="en-US"/>
        </w:rPr>
        <w:t xml:space="preserve">The macrophyte </w:t>
      </w:r>
      <w:r w:rsidR="0071175B" w:rsidRPr="0071175B">
        <w:rPr>
          <w:lang w:val="en-US"/>
        </w:rPr>
        <w:t>Salvinia minima</w:t>
      </w:r>
      <w:r w:rsidR="0071175B" w:rsidRPr="0071175B">
        <w:rPr>
          <w:i w:val="0"/>
          <w:lang w:val="en-US"/>
        </w:rPr>
        <w:t xml:space="preserve"> had a higher affinity to zinc compared to the other plants, with a cumulative concentration of 129.5 mg/kg.</w:t>
      </w:r>
      <w:r w:rsidR="00D604BC">
        <w:rPr>
          <w:i w:val="0"/>
          <w:lang w:val="en-US"/>
        </w:rPr>
        <w:t xml:space="preserve"> </w:t>
      </w:r>
      <w:r w:rsidR="00D604BC" w:rsidRPr="00D604BC">
        <w:rPr>
          <w:i w:val="0"/>
          <w:lang w:val="en-US"/>
        </w:rPr>
        <w:t xml:space="preserve">In the research of Rena et al. (2022) used </w:t>
      </w:r>
      <w:r w:rsidR="00D604BC" w:rsidRPr="00E15577">
        <w:rPr>
          <w:lang w:val="en-US"/>
        </w:rPr>
        <w:t>Brassica juncea</w:t>
      </w:r>
      <w:r w:rsidR="00D604BC" w:rsidRPr="00D604BC">
        <w:rPr>
          <w:i w:val="0"/>
          <w:lang w:val="en-US"/>
        </w:rPr>
        <w:t xml:space="preserve">, </w:t>
      </w:r>
      <w:r w:rsidR="00D604BC" w:rsidRPr="00E15577">
        <w:rPr>
          <w:lang w:val="en-US"/>
        </w:rPr>
        <w:t>Chrysopogon zizanioides</w:t>
      </w:r>
      <w:r w:rsidR="00D604BC" w:rsidRPr="00D604BC">
        <w:rPr>
          <w:i w:val="0"/>
          <w:lang w:val="en-US"/>
        </w:rPr>
        <w:t xml:space="preserve"> and </w:t>
      </w:r>
      <w:r w:rsidR="00D604BC" w:rsidRPr="00E15577">
        <w:rPr>
          <w:lang w:val="en-US"/>
        </w:rPr>
        <w:t>Pistia stratiotes</w:t>
      </w:r>
      <w:r w:rsidR="00D604BC" w:rsidRPr="00D604BC">
        <w:rPr>
          <w:i w:val="0"/>
          <w:lang w:val="en-US"/>
        </w:rPr>
        <w:t xml:space="preserve"> to remediate the toxicity of potentially toxic elements</w:t>
      </w:r>
      <w:r w:rsidR="00E15577">
        <w:rPr>
          <w:i w:val="0"/>
          <w:lang w:val="en-US"/>
        </w:rPr>
        <w:t xml:space="preserve"> (PTEs)</w:t>
      </w:r>
      <w:r w:rsidR="00D604BC" w:rsidRPr="00D604BC">
        <w:rPr>
          <w:i w:val="0"/>
          <w:lang w:val="en-US"/>
        </w:rPr>
        <w:t xml:space="preserve"> such as Cd, Al, Pb, Cu, Mn, Co and Zn in bio-medical wastes.</w:t>
      </w:r>
    </w:p>
    <w:p w14:paraId="483577CA" w14:textId="5D86F26F" w:rsidR="00E50734" w:rsidRPr="003C3541" w:rsidRDefault="00E15577" w:rsidP="003C3541">
      <w:pPr>
        <w:pStyle w:val="CETTabletitle"/>
        <w:spacing w:before="0"/>
        <w:jc w:val="both"/>
        <w:rPr>
          <w:i w:val="0"/>
          <w:lang w:val="en-US"/>
        </w:rPr>
      </w:pPr>
      <w:r w:rsidRPr="00E15577">
        <w:rPr>
          <w:i w:val="0"/>
          <w:lang w:val="en-US"/>
        </w:rPr>
        <w:t>The use of floating macrophytes has proven to be efficient in the remediation of waters containing nutrients, organic matter and toxic substances such as arsenic, zinc, cadmium, copper, lead, chromium and merc</w:t>
      </w:r>
      <w:r>
        <w:rPr>
          <w:i w:val="0"/>
          <w:lang w:val="en-US"/>
        </w:rPr>
        <w:t>ury (Martelo and Borrero, 2012)</w:t>
      </w:r>
      <w:r w:rsidR="001C4DA6" w:rsidRPr="001C4DA6">
        <w:rPr>
          <w:i w:val="0"/>
          <w:lang w:val="en-US"/>
        </w:rPr>
        <w:t xml:space="preserve">. To this, Li et al. (2016) indicated that </w:t>
      </w:r>
      <w:r w:rsidR="001C4DA6" w:rsidRPr="00E15577">
        <w:rPr>
          <w:lang w:val="en-US"/>
        </w:rPr>
        <w:t>Eichhornia crassipes</w:t>
      </w:r>
      <w:r w:rsidR="001C4DA6" w:rsidRPr="001C4DA6">
        <w:rPr>
          <w:i w:val="0"/>
          <w:lang w:val="en-US"/>
        </w:rPr>
        <w:t xml:space="preserve"> powder can be taken to industry for wastewater treatment.</w:t>
      </w:r>
    </w:p>
    <w:p w14:paraId="7DCF67F9" w14:textId="1AC90816" w:rsidR="00D82616" w:rsidRPr="00C14646" w:rsidRDefault="00AF6923" w:rsidP="00C14646">
      <w:pPr>
        <w:pStyle w:val="CETHeading1"/>
        <w:tabs>
          <w:tab w:val="right" w:pos="7100"/>
        </w:tabs>
        <w:jc w:val="both"/>
      </w:pPr>
      <w:r>
        <w:t>5</w:t>
      </w:r>
      <w:r w:rsidR="00C14646" w:rsidRPr="00C14646">
        <w:t xml:space="preserve">. </w:t>
      </w:r>
      <w:r w:rsidR="00B911EE" w:rsidRPr="00C14646">
        <w:t>Conclusions</w:t>
      </w:r>
    </w:p>
    <w:p w14:paraId="774F58ED" w14:textId="2130F9DE" w:rsidR="00F956B6" w:rsidRPr="00D82616" w:rsidRDefault="003C3541" w:rsidP="00B911EE">
      <w:pPr>
        <w:pStyle w:val="CETBodytext"/>
      </w:pPr>
      <w:r w:rsidRPr="003C3541">
        <w:t xml:space="preserve">The study showed that </w:t>
      </w:r>
      <w:r w:rsidRPr="003C3541">
        <w:rPr>
          <w:i/>
        </w:rPr>
        <w:t>Eichhornia crassipes</w:t>
      </w:r>
      <w:r w:rsidRPr="003C3541">
        <w:t xml:space="preserve"> and </w:t>
      </w:r>
      <w:r w:rsidRPr="003C3541">
        <w:rPr>
          <w:i/>
        </w:rPr>
        <w:t>Pistia stratiotes</w:t>
      </w:r>
      <w:r w:rsidRPr="003C3541">
        <w:t xml:space="preserve"> species improved the physicochemical parameters of the wastewater and are good adsorbents of Pb, Cu and Zn in locations at 3600 masl. </w:t>
      </w:r>
      <w:r w:rsidRPr="00000C53">
        <w:rPr>
          <w:i/>
        </w:rPr>
        <w:t>Eichhornia crassipes</w:t>
      </w:r>
      <w:r w:rsidRPr="003C3541">
        <w:t xml:space="preserve"> obtained a removal of 99.86, 99.89 and 29.45% for copper, lead and zinc, respectively. While, </w:t>
      </w:r>
      <w:r w:rsidRPr="00000C53">
        <w:rPr>
          <w:i/>
        </w:rPr>
        <w:t>Pistia stratiotes</w:t>
      </w:r>
      <w:r w:rsidRPr="003C3541">
        <w:t xml:space="preserve"> obtained removals of 99.86, 99.89 and 14.63% for copper, lead and zinc, respectively. All these indicated that the floating macrophytes had higher removal efficiency for copper and lead metal than zinc metal. In addition, the treated water could be used for agricultural irrigation in the Cashaucro population of </w:t>
      </w:r>
      <w:r>
        <w:t>the Oyón district in Lima, Peru</w:t>
      </w:r>
      <w:r w:rsidR="00D82616" w:rsidRPr="00AA0D1E">
        <w:t>.</w:t>
      </w:r>
    </w:p>
    <w:p w14:paraId="459D05E6" w14:textId="77777777" w:rsidR="00600535" w:rsidRPr="00C14646" w:rsidRDefault="00600535" w:rsidP="00600535">
      <w:pPr>
        <w:pStyle w:val="CETAcknowledgementstitle"/>
        <w:rPr>
          <w:lang w:val="en-US"/>
        </w:rPr>
      </w:pPr>
      <w:r w:rsidRPr="00C14646">
        <w:rPr>
          <w:lang w:val="en-US"/>
        </w:rPr>
        <w:t>Acknowledgments</w:t>
      </w:r>
    </w:p>
    <w:p w14:paraId="4F1F7825" w14:textId="4AB9E228" w:rsidR="00D82616" w:rsidRPr="00D82616" w:rsidRDefault="00DB4CDE" w:rsidP="00600535">
      <w:pPr>
        <w:pStyle w:val="CETBodytext"/>
      </w:pPr>
      <w:r w:rsidRPr="0048329B">
        <w:t>The authors would like to thank "Investiga UCV" of the Universidad César Vallejo for financial support for t</w:t>
      </w:r>
      <w:r>
        <w:t>he publication of this research</w:t>
      </w:r>
      <w:r w:rsidR="00D82616">
        <w:t>.</w:t>
      </w:r>
    </w:p>
    <w:p w14:paraId="4F1327F8" w14:textId="77777777" w:rsidR="00600535" w:rsidRPr="006C094C" w:rsidRDefault="00600535" w:rsidP="00600535">
      <w:pPr>
        <w:pStyle w:val="CETReference"/>
        <w:rPr>
          <w:lang w:val="es-PE"/>
        </w:rPr>
      </w:pPr>
      <w:r w:rsidRPr="006C094C">
        <w:rPr>
          <w:lang w:val="es-PE"/>
        </w:rPr>
        <w:t>References</w:t>
      </w:r>
    </w:p>
    <w:p w14:paraId="7640B358" w14:textId="04CD299C" w:rsidR="001C4DA6" w:rsidRPr="001C4DA6" w:rsidRDefault="00B911EE" w:rsidP="001C4DA6">
      <w:pPr>
        <w:pStyle w:val="NormalWeb"/>
        <w:ind w:left="284" w:hanging="284"/>
        <w:rPr>
          <w:rFonts w:cs="Arial"/>
          <w:color w:val="000000"/>
          <w:sz w:val="18"/>
          <w:szCs w:val="18"/>
          <w:lang w:val="es-PE"/>
        </w:rPr>
      </w:pPr>
      <w:r w:rsidRPr="00B911EE">
        <w:rPr>
          <w:lang w:val="pt-BR"/>
        </w:rPr>
        <w:fldChar w:fldCharType="begin" w:fldLock="1"/>
      </w:r>
      <w:r w:rsidRPr="00A02E63">
        <w:rPr>
          <w:lang w:val="es-PE"/>
        </w:rPr>
        <w:instrText xml:space="preserve">ADDIN Mendeley Bibliography CSL_BIBLIOGRAPHY </w:instrText>
      </w:r>
      <w:r w:rsidRPr="00B911EE">
        <w:rPr>
          <w:lang w:val="pt-BR"/>
        </w:rPr>
        <w:fldChar w:fldCharType="separate"/>
      </w:r>
      <w:r w:rsidR="001C4DA6" w:rsidRPr="0088118F">
        <w:rPr>
          <w:lang w:val="es-PE"/>
        </w:rPr>
        <w:t xml:space="preserve"> </w:t>
      </w:r>
    </w:p>
    <w:p w14:paraId="2B2D27D0" w14:textId="77777777" w:rsidR="001C4DA6" w:rsidRPr="001C4DA6" w:rsidRDefault="001C4DA6" w:rsidP="001C4DA6">
      <w:pPr>
        <w:pStyle w:val="NormalWeb"/>
        <w:ind w:left="284" w:hanging="284"/>
        <w:rPr>
          <w:rFonts w:cs="Arial"/>
          <w:color w:val="000000"/>
          <w:sz w:val="18"/>
          <w:szCs w:val="18"/>
          <w:lang w:val="es-PE"/>
        </w:rPr>
      </w:pPr>
      <w:r w:rsidRPr="001C4DA6">
        <w:rPr>
          <w:rFonts w:cs="Arial"/>
          <w:color w:val="000000"/>
          <w:sz w:val="18"/>
          <w:szCs w:val="18"/>
          <w:lang w:val="es-PE"/>
        </w:rPr>
        <w:t>Baldeón, L. Q., Chavez, J. B. A., Suarez, C. F. M., Huaranga, M. C. 2017, Eficiencia de la especie macrófita Eichhornia crassipes (Jacinto de agua) para la remoción de parámetros fisicoquímicos, metal pesado (Pb) y la evaluación de su crecimiento en función al tiempo y adopción al medio en una laguna experimental, Revista de Investigación Ciencia, Tecnología y Desarrollo, 1(1).</w:t>
      </w:r>
    </w:p>
    <w:p w14:paraId="7E5D1F50" w14:textId="77777777" w:rsidR="001C4DA6" w:rsidRPr="001C4DA6" w:rsidRDefault="001C4DA6" w:rsidP="001C4DA6">
      <w:pPr>
        <w:pStyle w:val="NormalWeb"/>
        <w:ind w:left="284" w:hanging="284"/>
        <w:rPr>
          <w:rFonts w:cs="Arial"/>
          <w:color w:val="000000"/>
          <w:sz w:val="18"/>
          <w:szCs w:val="18"/>
          <w:lang w:val="es-PE"/>
        </w:rPr>
      </w:pPr>
      <w:r w:rsidRPr="001C4DA6">
        <w:rPr>
          <w:rFonts w:cs="Arial"/>
          <w:color w:val="000000"/>
          <w:sz w:val="18"/>
          <w:szCs w:val="18"/>
          <w:lang w:val="es-PE"/>
        </w:rPr>
        <w:t>Canaza Choque, F.A., 2018, Justicia Ambiental vs Capitalismo Global Experiencias, Debates y Conflictos en el Perú, Revista de Investigaciones Altoandinas, 20(3), 369-379.</w:t>
      </w:r>
    </w:p>
    <w:p w14:paraId="55874E93" w14:textId="77777777" w:rsidR="001C4DA6" w:rsidRPr="001C4DA6" w:rsidRDefault="001C4DA6" w:rsidP="001C4DA6">
      <w:pPr>
        <w:pStyle w:val="NormalWeb"/>
        <w:ind w:left="284" w:hanging="284"/>
        <w:rPr>
          <w:rFonts w:cs="Arial"/>
          <w:color w:val="000000"/>
          <w:sz w:val="18"/>
          <w:szCs w:val="18"/>
          <w:lang w:val="es-PE"/>
        </w:rPr>
      </w:pPr>
      <w:r w:rsidRPr="001C4DA6">
        <w:rPr>
          <w:rFonts w:cs="Arial"/>
          <w:color w:val="000000"/>
          <w:sz w:val="18"/>
          <w:szCs w:val="18"/>
          <w:lang w:val="es-PE"/>
        </w:rPr>
        <w:t>Caviedes Rubio, D.I., Delgado, D.R. and Olaya Amaya, A., 2016, Remoción de metales pesados comúnmente generados por la actividad industrial, empleando macrófitas neotropicales, Producción+ Limpia, 11(2), 126-149.</w:t>
      </w:r>
    </w:p>
    <w:p w14:paraId="42DE49D3" w14:textId="77777777" w:rsidR="001C4DA6" w:rsidRPr="001C4DA6" w:rsidRDefault="001C4DA6" w:rsidP="001C4DA6">
      <w:pPr>
        <w:pStyle w:val="NormalWeb"/>
        <w:ind w:left="284" w:hanging="284"/>
        <w:rPr>
          <w:rFonts w:cs="Arial"/>
          <w:color w:val="000000"/>
          <w:sz w:val="18"/>
          <w:szCs w:val="18"/>
          <w:lang w:val="es-PE"/>
        </w:rPr>
      </w:pPr>
      <w:r w:rsidRPr="001C4DA6">
        <w:rPr>
          <w:rFonts w:cs="Arial"/>
          <w:color w:val="000000"/>
          <w:sz w:val="18"/>
          <w:szCs w:val="18"/>
          <w:lang w:val="es-PE"/>
        </w:rPr>
        <w:t>Franco, L. F. L., Muñoz, P. T. L., and Garcia, F. G. M., 2016, Los riesgos de los metales pesados en la salud humana y animal, Biotecnología en el sector Agropecuario y Agroindustrial, 14(2), 145-153.</w:t>
      </w:r>
    </w:p>
    <w:p w14:paraId="64C2F71F" w14:textId="77777777" w:rsidR="001C4DA6" w:rsidRPr="001C4DA6" w:rsidRDefault="001C4DA6" w:rsidP="001C4DA6">
      <w:pPr>
        <w:pStyle w:val="NormalWeb"/>
        <w:ind w:left="284" w:hanging="284"/>
        <w:rPr>
          <w:rFonts w:cs="Arial"/>
          <w:color w:val="000000"/>
          <w:sz w:val="18"/>
          <w:szCs w:val="18"/>
          <w:lang w:val="es-PE"/>
        </w:rPr>
      </w:pPr>
      <w:r w:rsidRPr="0088118F">
        <w:rPr>
          <w:rFonts w:cs="Arial"/>
          <w:color w:val="000000"/>
          <w:sz w:val="18"/>
          <w:szCs w:val="18"/>
          <w:lang w:val="en-US"/>
        </w:rPr>
        <w:t xml:space="preserve">Goswami, S. and Das, S., 2018, Eichhornia crassipes mediated copper phytoremediation and its success using catfish bioassay. </w:t>
      </w:r>
      <w:r w:rsidRPr="001C4DA6">
        <w:rPr>
          <w:rFonts w:cs="Arial"/>
          <w:color w:val="000000"/>
          <w:sz w:val="18"/>
          <w:szCs w:val="18"/>
          <w:lang w:val="es-PE"/>
        </w:rPr>
        <w:t>Chemosphere, 210, 440-448.</w:t>
      </w:r>
    </w:p>
    <w:p w14:paraId="268F4771" w14:textId="77777777" w:rsidR="001C4DA6" w:rsidRPr="001C4DA6" w:rsidRDefault="001C4DA6" w:rsidP="001C4DA6">
      <w:pPr>
        <w:pStyle w:val="NormalWeb"/>
        <w:ind w:left="284" w:hanging="284"/>
        <w:rPr>
          <w:rFonts w:cs="Arial"/>
          <w:color w:val="000000"/>
          <w:sz w:val="18"/>
          <w:szCs w:val="18"/>
          <w:lang w:val="es-PE"/>
        </w:rPr>
      </w:pPr>
      <w:r w:rsidRPr="001C4DA6">
        <w:rPr>
          <w:rFonts w:cs="Arial"/>
          <w:color w:val="000000"/>
          <w:sz w:val="18"/>
          <w:szCs w:val="18"/>
          <w:lang w:val="es-PE"/>
        </w:rPr>
        <w:t>Jaramillo Jumbo, M.D.C. and Flores Campoverde, E.D., 2012, Fitorremediación mediante el uso de dos especies vegetales Lemna minor (Lenteja de agua) y Eichornia crassipes (Jacinto de agua) en aguas residuales producto de la actividad minera (Bachelor's thesis).</w:t>
      </w:r>
    </w:p>
    <w:p w14:paraId="61B47218" w14:textId="77777777" w:rsidR="001C4DA6" w:rsidRPr="001C4DA6" w:rsidRDefault="001C4DA6" w:rsidP="001C4DA6">
      <w:pPr>
        <w:pStyle w:val="NormalWeb"/>
        <w:ind w:left="284" w:hanging="284"/>
        <w:rPr>
          <w:rFonts w:cs="Arial"/>
          <w:color w:val="000000"/>
          <w:sz w:val="18"/>
          <w:szCs w:val="18"/>
          <w:lang w:val="es-PE"/>
        </w:rPr>
      </w:pPr>
      <w:r w:rsidRPr="001C4DA6">
        <w:rPr>
          <w:rFonts w:cs="Arial"/>
          <w:color w:val="000000"/>
          <w:sz w:val="18"/>
          <w:szCs w:val="18"/>
          <w:lang w:val="es-PE"/>
        </w:rPr>
        <w:t>Latorre, Á.M.L.R. and Tovar, M.H.T., 2017, Explotación minera y sus impactos ambientales y en salud, El caso de Potosí en Bogotá, Saúde em Debate, 41, 77-91.</w:t>
      </w:r>
    </w:p>
    <w:p w14:paraId="6289FDD3" w14:textId="77777777" w:rsidR="001C4DA6" w:rsidRPr="001C4DA6" w:rsidRDefault="001C4DA6" w:rsidP="001C4DA6">
      <w:pPr>
        <w:pStyle w:val="NormalWeb"/>
        <w:ind w:left="284" w:hanging="284"/>
        <w:rPr>
          <w:rFonts w:cs="Arial"/>
          <w:color w:val="000000"/>
          <w:sz w:val="18"/>
          <w:szCs w:val="18"/>
          <w:lang w:val="es-PE"/>
        </w:rPr>
      </w:pPr>
      <w:r w:rsidRPr="001C4DA6">
        <w:rPr>
          <w:rFonts w:cs="Arial"/>
          <w:color w:val="000000"/>
          <w:sz w:val="18"/>
          <w:szCs w:val="18"/>
          <w:lang w:val="es-PE"/>
        </w:rPr>
        <w:lastRenderedPageBreak/>
        <w:t>León Espinoza, M. and Lucero Peralta, A.M., 2009, Estudio de Eichhornia crassipes, Lemna gibba y Azolla filiculoides en el tratamiento biológico de aguas residuales domésticas en sistemas comunitario y unifamiliares del cantón Cotacachi (Bachelor's thesis).</w:t>
      </w:r>
    </w:p>
    <w:p w14:paraId="62DB7233" w14:textId="77777777" w:rsidR="001C4DA6" w:rsidRPr="0088118F" w:rsidRDefault="001C4DA6" w:rsidP="001C4DA6">
      <w:pPr>
        <w:pStyle w:val="NormalWeb"/>
        <w:ind w:left="284" w:hanging="284"/>
        <w:rPr>
          <w:rFonts w:cs="Arial"/>
          <w:color w:val="000000"/>
          <w:sz w:val="18"/>
          <w:szCs w:val="18"/>
          <w:lang w:val="en-US"/>
        </w:rPr>
      </w:pPr>
      <w:r w:rsidRPr="0088118F">
        <w:rPr>
          <w:rFonts w:cs="Arial"/>
          <w:color w:val="000000"/>
          <w:sz w:val="18"/>
          <w:szCs w:val="18"/>
          <w:lang w:val="en-US"/>
        </w:rPr>
        <w:t>Li, Q., Chen, B., Lin, P., Zhou, J., Zhan, J., Shen, Q. and Pan, X., 2016, Adsorption of heavy metal from aqueous solution by dehydrated root powder of long-root Eichhornia crassipes, International journal of phytoremediation, 18(2), 103-109.</w:t>
      </w:r>
    </w:p>
    <w:p w14:paraId="17B8F39C" w14:textId="597576D3" w:rsidR="001C4DA6" w:rsidRDefault="001C4DA6" w:rsidP="001C4DA6">
      <w:pPr>
        <w:pStyle w:val="NormalWeb"/>
        <w:ind w:left="284" w:hanging="284"/>
        <w:rPr>
          <w:rFonts w:cs="Arial"/>
          <w:color w:val="000000"/>
          <w:sz w:val="18"/>
          <w:szCs w:val="18"/>
          <w:lang w:val="en-US"/>
        </w:rPr>
      </w:pPr>
      <w:r w:rsidRPr="0088118F">
        <w:rPr>
          <w:rFonts w:cs="Arial"/>
          <w:color w:val="000000"/>
          <w:sz w:val="18"/>
          <w:szCs w:val="18"/>
          <w:lang w:val="en-US"/>
        </w:rPr>
        <w:t>Maisa’a, W.S. and Zakaria, H., 2015, Water lentils (duckweed) in Jordan irrigation ponds as a natural water bioremediation agent and protein source for broilers, Ecological Engineering, 83, 71-77.</w:t>
      </w:r>
    </w:p>
    <w:p w14:paraId="0A5C5B5E" w14:textId="32B4F933" w:rsidR="00E15577" w:rsidRPr="00E15577" w:rsidRDefault="00E15577" w:rsidP="001C4DA6">
      <w:pPr>
        <w:pStyle w:val="NormalWeb"/>
        <w:ind w:left="284" w:hanging="284"/>
        <w:rPr>
          <w:rFonts w:cs="Arial"/>
          <w:color w:val="000000"/>
          <w:sz w:val="18"/>
          <w:szCs w:val="18"/>
          <w:lang w:val="es-PE"/>
        </w:rPr>
      </w:pPr>
      <w:r w:rsidRPr="00E15577">
        <w:rPr>
          <w:rFonts w:cs="Arial"/>
          <w:color w:val="000000"/>
          <w:sz w:val="18"/>
          <w:szCs w:val="18"/>
          <w:lang w:val="es-PE"/>
        </w:rPr>
        <w:t>Martelo J., Borrero J. A. L., 2008, Macrófitas flotantes en el tratamiento de aguas residuales: una revisi´on del estado del arte, Ingeniería y Ciencia, 8 (15), 221-243.</w:t>
      </w:r>
      <w:bookmarkStart w:id="0" w:name="_GoBack"/>
      <w:bookmarkEnd w:id="0"/>
    </w:p>
    <w:p w14:paraId="2D665C6C" w14:textId="77777777" w:rsidR="001C4DA6" w:rsidRPr="0088118F" w:rsidRDefault="001C4DA6" w:rsidP="001C4DA6">
      <w:pPr>
        <w:pStyle w:val="NormalWeb"/>
        <w:ind w:left="284" w:hanging="284"/>
        <w:rPr>
          <w:rFonts w:cs="Arial"/>
          <w:color w:val="000000"/>
          <w:sz w:val="18"/>
          <w:szCs w:val="18"/>
          <w:lang w:val="en-US"/>
        </w:rPr>
      </w:pPr>
      <w:r w:rsidRPr="0088118F">
        <w:rPr>
          <w:rFonts w:cs="Arial"/>
          <w:color w:val="000000"/>
          <w:sz w:val="18"/>
          <w:szCs w:val="18"/>
          <w:lang w:val="en-US"/>
        </w:rPr>
        <w:t>Ministerio del ambiente - MINAM, 2017, Decreto Supremo N° 004-2017-MINAM, Estándares de Calidad Ambiental (ECA) para Agua, &lt;https://www.minam.gob.pe/wp-content/uploads/2017/06/DS-004-2017-MINAM.pdf&gt;.</w:t>
      </w:r>
    </w:p>
    <w:p w14:paraId="4AF47047" w14:textId="2AE87502" w:rsidR="001C4DA6" w:rsidRDefault="001C4DA6" w:rsidP="001C4DA6">
      <w:pPr>
        <w:pStyle w:val="NormalWeb"/>
        <w:ind w:left="284" w:hanging="284"/>
        <w:rPr>
          <w:rFonts w:cs="Arial"/>
          <w:color w:val="000000"/>
          <w:sz w:val="18"/>
          <w:szCs w:val="18"/>
          <w:lang w:val="es-PE"/>
        </w:rPr>
      </w:pPr>
      <w:r w:rsidRPr="0088118F">
        <w:rPr>
          <w:rFonts w:cs="Arial"/>
          <w:color w:val="000000"/>
          <w:sz w:val="18"/>
          <w:szCs w:val="18"/>
          <w:lang w:val="en-US"/>
        </w:rPr>
        <w:t xml:space="preserve">Mwaniki, J. M., Onyatta, J. O., and Yusuf, A. O., 2019, Adsorption of Heavy Metal Ions from Aqueous Solutions and Wastewater using Water Hyacinth Powder. </w:t>
      </w:r>
      <w:r w:rsidRPr="001C4DA6">
        <w:rPr>
          <w:rFonts w:cs="Arial"/>
          <w:color w:val="000000"/>
          <w:sz w:val="18"/>
          <w:szCs w:val="18"/>
          <w:lang w:val="es-PE"/>
        </w:rPr>
        <w:t>Adsorption, 4(1).</w:t>
      </w:r>
    </w:p>
    <w:p w14:paraId="32DDA2FF" w14:textId="7E31EB77" w:rsidR="0071175B" w:rsidRPr="0071175B" w:rsidRDefault="0071175B" w:rsidP="001C4DA6">
      <w:pPr>
        <w:pStyle w:val="NormalWeb"/>
        <w:ind w:left="284" w:hanging="284"/>
        <w:rPr>
          <w:rFonts w:cs="Arial"/>
          <w:color w:val="000000"/>
          <w:sz w:val="18"/>
          <w:szCs w:val="18"/>
          <w:lang w:val="en-US"/>
        </w:rPr>
      </w:pPr>
      <w:r>
        <w:rPr>
          <w:rFonts w:cs="Arial"/>
          <w:color w:val="000000"/>
          <w:sz w:val="18"/>
          <w:szCs w:val="18"/>
          <w:lang w:val="en-US"/>
        </w:rPr>
        <w:t xml:space="preserve">Najila, N., Anila, G., </w:t>
      </w:r>
      <w:r w:rsidRPr="0071175B">
        <w:rPr>
          <w:rFonts w:cs="Arial"/>
          <w:color w:val="000000"/>
          <w:sz w:val="18"/>
          <w:szCs w:val="18"/>
          <w:lang w:val="en-US"/>
        </w:rPr>
        <w:t>2</w:t>
      </w:r>
      <w:r>
        <w:rPr>
          <w:rFonts w:cs="Arial"/>
          <w:color w:val="000000"/>
          <w:sz w:val="18"/>
          <w:szCs w:val="18"/>
          <w:lang w:val="en-US"/>
        </w:rPr>
        <w:t>022,</w:t>
      </w:r>
      <w:r w:rsidRPr="0071175B">
        <w:rPr>
          <w:rFonts w:cs="Arial"/>
          <w:color w:val="000000"/>
          <w:sz w:val="18"/>
          <w:szCs w:val="18"/>
          <w:lang w:val="en-US"/>
        </w:rPr>
        <w:t xml:space="preserve"> Heavy Metal Absorption and Phytoremediation Capacity of Macrophytes of Polachira Wetland of</w:t>
      </w:r>
      <w:r>
        <w:rPr>
          <w:rFonts w:cs="Arial"/>
          <w:color w:val="000000"/>
          <w:sz w:val="18"/>
          <w:szCs w:val="18"/>
          <w:lang w:val="en-US"/>
        </w:rPr>
        <w:t xml:space="preserve"> Kollam District, Kerala, India,</w:t>
      </w:r>
      <w:r w:rsidRPr="0071175B">
        <w:rPr>
          <w:rFonts w:cs="Arial"/>
          <w:color w:val="000000"/>
          <w:sz w:val="18"/>
          <w:szCs w:val="18"/>
          <w:lang w:val="en-US"/>
        </w:rPr>
        <w:t xml:space="preserve"> Research Journal of Ch</w:t>
      </w:r>
      <w:r>
        <w:rPr>
          <w:rFonts w:cs="Arial"/>
          <w:color w:val="000000"/>
          <w:sz w:val="18"/>
          <w:szCs w:val="18"/>
          <w:lang w:val="en-US"/>
        </w:rPr>
        <w:t>emistry and Environment, 26</w:t>
      </w:r>
      <w:r w:rsidRPr="0071175B">
        <w:rPr>
          <w:rFonts w:cs="Arial"/>
          <w:color w:val="000000"/>
          <w:sz w:val="18"/>
          <w:szCs w:val="18"/>
          <w:lang w:val="en-US"/>
        </w:rPr>
        <w:t xml:space="preserve"> </w:t>
      </w:r>
      <w:r>
        <w:rPr>
          <w:rFonts w:cs="Arial"/>
          <w:color w:val="000000"/>
          <w:sz w:val="18"/>
          <w:szCs w:val="18"/>
          <w:lang w:val="en-US"/>
        </w:rPr>
        <w:t>(</w:t>
      </w:r>
      <w:r w:rsidRPr="0071175B">
        <w:rPr>
          <w:rFonts w:cs="Arial"/>
          <w:color w:val="000000"/>
          <w:sz w:val="18"/>
          <w:szCs w:val="18"/>
          <w:lang w:val="en-US"/>
        </w:rPr>
        <w:t>1</w:t>
      </w:r>
      <w:r>
        <w:rPr>
          <w:rFonts w:cs="Arial"/>
          <w:color w:val="000000"/>
          <w:sz w:val="18"/>
          <w:szCs w:val="18"/>
          <w:lang w:val="en-US"/>
        </w:rPr>
        <w:t>), 90-96</w:t>
      </w:r>
      <w:r w:rsidRPr="0071175B">
        <w:rPr>
          <w:rFonts w:cs="Arial"/>
          <w:color w:val="000000"/>
          <w:sz w:val="18"/>
          <w:szCs w:val="18"/>
          <w:lang w:val="en-US"/>
        </w:rPr>
        <w:t>.</w:t>
      </w:r>
    </w:p>
    <w:p w14:paraId="1E8433DA" w14:textId="77777777" w:rsidR="001C4DA6" w:rsidRPr="001C4DA6" w:rsidRDefault="001C4DA6" w:rsidP="001C4DA6">
      <w:pPr>
        <w:pStyle w:val="NormalWeb"/>
        <w:ind w:left="284" w:hanging="284"/>
        <w:rPr>
          <w:rFonts w:cs="Arial"/>
          <w:color w:val="000000"/>
          <w:sz w:val="18"/>
          <w:szCs w:val="18"/>
          <w:lang w:val="es-PE"/>
        </w:rPr>
      </w:pPr>
      <w:r w:rsidRPr="001C4DA6">
        <w:rPr>
          <w:rFonts w:cs="Arial"/>
          <w:color w:val="000000"/>
          <w:sz w:val="18"/>
          <w:szCs w:val="18"/>
          <w:lang w:val="es-PE"/>
        </w:rPr>
        <w:t>Osores Plenge, F., 2016, Metales pesados tóxicos y salud pública: el caso de Espinar, &lt; https://cooperaccion.org.pe/wp-content/uploads/2017/11/ESPINAR-Informe-sobre-salud-4-1.pdf&gt;.</w:t>
      </w:r>
    </w:p>
    <w:p w14:paraId="50C606CA" w14:textId="4176C11D" w:rsidR="001C4DA6" w:rsidRDefault="001C4DA6" w:rsidP="001C4DA6">
      <w:pPr>
        <w:pStyle w:val="NormalWeb"/>
        <w:ind w:left="284" w:hanging="284"/>
        <w:rPr>
          <w:rFonts w:cs="Arial"/>
          <w:color w:val="000000"/>
          <w:sz w:val="18"/>
          <w:szCs w:val="18"/>
          <w:lang w:val="en-US"/>
        </w:rPr>
      </w:pPr>
      <w:r w:rsidRPr="0088118F">
        <w:rPr>
          <w:rFonts w:cs="Arial"/>
          <w:color w:val="000000"/>
          <w:sz w:val="18"/>
          <w:szCs w:val="18"/>
          <w:lang w:val="en-US"/>
        </w:rPr>
        <w:t>Qin, H., Zhang, Z., Liu, M., Liu, H., Wang, Y., Wen, X., Zhang, Y. and Yan, S., 2016, Site test of phytoremediation of an open pond contaminated with domestic sewage using water hyacinth and water lettuce, Ecological Engineering, 95, 753-762.</w:t>
      </w:r>
    </w:p>
    <w:p w14:paraId="03DB49AF" w14:textId="7F14482F" w:rsidR="00E15577" w:rsidRPr="0088118F" w:rsidRDefault="00E15577" w:rsidP="001C4DA6">
      <w:pPr>
        <w:pStyle w:val="NormalWeb"/>
        <w:ind w:left="284" w:hanging="284"/>
        <w:rPr>
          <w:rFonts w:cs="Arial"/>
          <w:color w:val="000000"/>
          <w:sz w:val="18"/>
          <w:szCs w:val="18"/>
          <w:lang w:val="en-US"/>
        </w:rPr>
      </w:pPr>
      <w:r>
        <w:rPr>
          <w:rFonts w:cs="Arial"/>
          <w:color w:val="000000"/>
          <w:sz w:val="18"/>
          <w:szCs w:val="18"/>
          <w:lang w:val="en-US"/>
        </w:rPr>
        <w:t xml:space="preserve">Rena, </w:t>
      </w:r>
      <w:r w:rsidRPr="00E15577">
        <w:rPr>
          <w:rFonts w:cs="Arial"/>
          <w:color w:val="000000"/>
          <w:sz w:val="18"/>
          <w:szCs w:val="18"/>
          <w:lang w:val="en-US"/>
        </w:rPr>
        <w:t>Machhirake, N. P., Yadav, S., Krishna, V., &amp; Kumar, S.,</w:t>
      </w:r>
      <w:r>
        <w:rPr>
          <w:rFonts w:cs="Arial"/>
          <w:color w:val="000000"/>
          <w:sz w:val="18"/>
          <w:szCs w:val="18"/>
          <w:lang w:val="en-US"/>
        </w:rPr>
        <w:t xml:space="preserve"> </w:t>
      </w:r>
      <w:r w:rsidRPr="00E15577">
        <w:rPr>
          <w:rFonts w:cs="Arial"/>
          <w:color w:val="000000"/>
          <w:sz w:val="18"/>
          <w:szCs w:val="18"/>
          <w:lang w:val="en-US"/>
        </w:rPr>
        <w:t>2022. Toxicity-removal efficiency of Brassica juncea, Chrysopogon zizanioides and Pistia stratiotes to decontaminate biomedical ash under non-chelating and chelating conditions: A pilot-scale phytoextraction study, Chemosphere, 287, 132416.</w:t>
      </w:r>
    </w:p>
    <w:p w14:paraId="57FF4FFE" w14:textId="77777777" w:rsidR="001C4DA6" w:rsidRPr="001C4DA6" w:rsidRDefault="001C4DA6" w:rsidP="001C4DA6">
      <w:pPr>
        <w:pStyle w:val="NormalWeb"/>
        <w:ind w:left="284" w:hanging="284"/>
        <w:rPr>
          <w:rFonts w:cs="Arial"/>
          <w:color w:val="000000"/>
          <w:sz w:val="18"/>
          <w:szCs w:val="18"/>
          <w:lang w:val="es-PE"/>
        </w:rPr>
      </w:pPr>
      <w:r w:rsidRPr="001C4DA6">
        <w:rPr>
          <w:rFonts w:cs="Arial"/>
          <w:color w:val="000000"/>
          <w:sz w:val="18"/>
          <w:szCs w:val="18"/>
          <w:lang w:val="es-PE"/>
        </w:rPr>
        <w:t>Rubio, C., González Weller, D., Martín-Izquierdo, R. E., Revert, C., Rodríguez, I., and Hardisson, A., 2007, El zinc: oligoelemento esencial, Nutrición Hospitalaria, 22(1), 101-107.</w:t>
      </w:r>
    </w:p>
    <w:p w14:paraId="78ACB097" w14:textId="77777777" w:rsidR="001C4DA6" w:rsidRPr="001C4DA6" w:rsidRDefault="001C4DA6" w:rsidP="001C4DA6">
      <w:pPr>
        <w:pStyle w:val="NormalWeb"/>
        <w:ind w:left="284" w:hanging="284"/>
        <w:rPr>
          <w:rFonts w:cs="Arial"/>
          <w:color w:val="000000"/>
          <w:sz w:val="18"/>
          <w:szCs w:val="18"/>
          <w:lang w:val="es-PE"/>
        </w:rPr>
      </w:pPr>
      <w:r w:rsidRPr="001C4DA6">
        <w:rPr>
          <w:rFonts w:cs="Arial"/>
          <w:color w:val="000000"/>
          <w:sz w:val="18"/>
          <w:szCs w:val="18"/>
          <w:lang w:val="es-PE"/>
        </w:rPr>
        <w:t>Sanz Elorza M., Dana Sánchez E.D. and Sobrino Vesperinas E., 2004, Atlas de las Plantas Alóctonas Invasoras en España, Dirección General para la Biodiversidad, Madrid, 384.</w:t>
      </w:r>
    </w:p>
    <w:p w14:paraId="13FF9196" w14:textId="77777777" w:rsidR="001C4DA6" w:rsidRPr="0088118F" w:rsidRDefault="001C4DA6" w:rsidP="001C4DA6">
      <w:pPr>
        <w:pStyle w:val="NormalWeb"/>
        <w:ind w:left="284" w:hanging="284"/>
        <w:rPr>
          <w:rFonts w:cs="Arial"/>
          <w:color w:val="000000"/>
          <w:sz w:val="18"/>
          <w:szCs w:val="18"/>
          <w:lang w:val="en-US"/>
        </w:rPr>
      </w:pPr>
      <w:r w:rsidRPr="0088118F">
        <w:rPr>
          <w:rFonts w:cs="Arial"/>
          <w:color w:val="000000"/>
          <w:sz w:val="18"/>
          <w:szCs w:val="18"/>
          <w:lang w:val="en-US"/>
        </w:rPr>
        <w:t>Sarkar, M., Rahman, A. K. M. L., and Bhoumik, N. C., 2017, Remediation of chromium and copper on water hyacinth (E. crassipes) shoot powder, Water resources and industry, 17, 1-6.</w:t>
      </w:r>
    </w:p>
    <w:p w14:paraId="40B929A1" w14:textId="77777777" w:rsidR="001C4DA6" w:rsidRPr="0088118F" w:rsidRDefault="001C4DA6" w:rsidP="001C4DA6">
      <w:pPr>
        <w:pStyle w:val="NormalWeb"/>
        <w:ind w:left="284" w:hanging="284"/>
        <w:rPr>
          <w:rFonts w:cs="Arial"/>
          <w:color w:val="000000"/>
          <w:sz w:val="18"/>
          <w:szCs w:val="18"/>
          <w:lang w:val="en-US"/>
        </w:rPr>
      </w:pPr>
      <w:r w:rsidRPr="0088118F">
        <w:rPr>
          <w:rFonts w:cs="Arial"/>
          <w:color w:val="000000"/>
          <w:sz w:val="18"/>
          <w:szCs w:val="18"/>
          <w:lang w:val="en-US"/>
        </w:rPr>
        <w:t>Sekarjannah, F.A., Wardoyo, S.S. and Ratih, Y.W., 2019, Management of mine acid drainage in a constructed wetland using hyacinth plant and addition of organic materials, Journal of Degraded and Mining Lands Management, 6(4), 1847.</w:t>
      </w:r>
    </w:p>
    <w:p w14:paraId="1A7ECE19" w14:textId="77777777" w:rsidR="001C4DA6" w:rsidRPr="0088118F" w:rsidRDefault="001C4DA6" w:rsidP="001C4DA6">
      <w:pPr>
        <w:pStyle w:val="NormalWeb"/>
        <w:ind w:left="284" w:hanging="284"/>
        <w:rPr>
          <w:rFonts w:cs="Arial"/>
          <w:color w:val="000000"/>
          <w:sz w:val="18"/>
          <w:szCs w:val="18"/>
          <w:lang w:val="en-US"/>
        </w:rPr>
      </w:pPr>
      <w:r w:rsidRPr="0088118F">
        <w:rPr>
          <w:rFonts w:cs="Arial"/>
          <w:color w:val="000000"/>
          <w:sz w:val="18"/>
          <w:szCs w:val="18"/>
          <w:lang w:val="en-US"/>
        </w:rPr>
        <w:t>Selva Filho, A. A., de Medeirosa, A. O., Fariasb, C. B., Roquea, B. A., Facciolia, Y. E. D. S., Rita de Cássia, F, 2020, Application of Biosurfactant Obtained from Eichhornia Crassipes in the Removal of Petroderivate in Sand and Water from the Sea, Chemical Engineering Transactions, 79, 349-354.</w:t>
      </w:r>
    </w:p>
    <w:p w14:paraId="3657C47F" w14:textId="7EBBC6F9" w:rsidR="00B911EE" w:rsidRPr="00A02E63" w:rsidRDefault="001C4DA6" w:rsidP="001C4DA6">
      <w:pPr>
        <w:pStyle w:val="NormalWeb"/>
        <w:ind w:left="284" w:hanging="284"/>
        <w:rPr>
          <w:lang w:val="es-PE"/>
        </w:rPr>
      </w:pPr>
      <w:r w:rsidRPr="001C4DA6">
        <w:rPr>
          <w:rFonts w:cs="Arial"/>
          <w:color w:val="000000"/>
          <w:sz w:val="18"/>
          <w:szCs w:val="18"/>
          <w:lang w:val="es-PE"/>
        </w:rPr>
        <w:t>WWAP (Programa Mundial de Evaluación de los Recursos Hídricos de las Naciones Unidas), 2017, Informe Mundial de las Naciones Unidas sobre el Desarrollo de los Recursos Hídricos 2017, Aguas residuales: El recurso desaprovechado, París, UNESCO</w:t>
      </w:r>
      <w:r w:rsidR="00A02E63" w:rsidRPr="00A02E63">
        <w:rPr>
          <w:rFonts w:cs="Arial"/>
          <w:color w:val="000000"/>
          <w:sz w:val="18"/>
          <w:szCs w:val="18"/>
          <w:lang w:val="es-PE"/>
        </w:rPr>
        <w:t>.</w:t>
      </w:r>
      <w:r w:rsidR="0005578F" w:rsidRPr="00A02E63">
        <w:rPr>
          <w:lang w:val="es-PE"/>
        </w:rPr>
        <w:t xml:space="preserve"> </w:t>
      </w:r>
      <w:r w:rsidR="00B911EE" w:rsidRPr="00B911EE">
        <w:fldChar w:fldCharType="end"/>
      </w:r>
    </w:p>
    <w:p w14:paraId="35D5B018" w14:textId="77777777" w:rsidR="00B911EE" w:rsidRPr="00A02E63" w:rsidRDefault="00B911EE" w:rsidP="00E65B91">
      <w:pPr>
        <w:pStyle w:val="CETReferencetext"/>
        <w:rPr>
          <w:lang w:val="es-PE"/>
        </w:rPr>
      </w:pPr>
    </w:p>
    <w:p w14:paraId="5E3140FA" w14:textId="77777777" w:rsidR="004628D2" w:rsidRPr="00A02E63" w:rsidRDefault="004628D2" w:rsidP="005D64B3">
      <w:pPr>
        <w:pStyle w:val="CETBodytext"/>
        <w:jc w:val="center"/>
        <w:rPr>
          <w:lang w:val="es-PE"/>
        </w:rPr>
      </w:pPr>
    </w:p>
    <w:sectPr w:rsidR="004628D2" w:rsidRPr="00A02E63"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AF604" w14:textId="77777777" w:rsidR="001916CE" w:rsidRDefault="001916CE" w:rsidP="004F5E36">
      <w:r>
        <w:separator/>
      </w:r>
    </w:p>
  </w:endnote>
  <w:endnote w:type="continuationSeparator" w:id="0">
    <w:p w14:paraId="04E016D2" w14:textId="77777777" w:rsidR="001916CE" w:rsidRDefault="001916C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A73E6" w14:textId="77777777" w:rsidR="001916CE" w:rsidRDefault="001916CE" w:rsidP="004F5E36">
      <w:r>
        <w:separator/>
      </w:r>
    </w:p>
  </w:footnote>
  <w:footnote w:type="continuationSeparator" w:id="0">
    <w:p w14:paraId="65A09889" w14:textId="77777777" w:rsidR="001916CE" w:rsidRDefault="001916C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B03097FC"/>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284"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1471EEE"/>
    <w:multiLevelType w:val="multilevel"/>
    <w:tmpl w:val="A31CDDA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26C"/>
    <w:rsid w:val="0000090B"/>
    <w:rsid w:val="00000C53"/>
    <w:rsid w:val="000027C0"/>
    <w:rsid w:val="00005040"/>
    <w:rsid w:val="000052FB"/>
    <w:rsid w:val="000117CB"/>
    <w:rsid w:val="0003148D"/>
    <w:rsid w:val="00051566"/>
    <w:rsid w:val="0005487D"/>
    <w:rsid w:val="0005578F"/>
    <w:rsid w:val="00062A9A"/>
    <w:rsid w:val="00065058"/>
    <w:rsid w:val="0007746B"/>
    <w:rsid w:val="00077999"/>
    <w:rsid w:val="000856EC"/>
    <w:rsid w:val="00086C39"/>
    <w:rsid w:val="00086E6C"/>
    <w:rsid w:val="000A03B2"/>
    <w:rsid w:val="000A53A2"/>
    <w:rsid w:val="000D0268"/>
    <w:rsid w:val="000D34BE"/>
    <w:rsid w:val="000E102F"/>
    <w:rsid w:val="000E36F1"/>
    <w:rsid w:val="000E3A73"/>
    <w:rsid w:val="000E414A"/>
    <w:rsid w:val="000E4600"/>
    <w:rsid w:val="000F093C"/>
    <w:rsid w:val="000F787B"/>
    <w:rsid w:val="0011455D"/>
    <w:rsid w:val="0012091F"/>
    <w:rsid w:val="00126BC2"/>
    <w:rsid w:val="001308B6"/>
    <w:rsid w:val="0013121F"/>
    <w:rsid w:val="00131C44"/>
    <w:rsid w:val="00131FE6"/>
    <w:rsid w:val="0013263F"/>
    <w:rsid w:val="00134095"/>
    <w:rsid w:val="00134DE4"/>
    <w:rsid w:val="00136715"/>
    <w:rsid w:val="0014034D"/>
    <w:rsid w:val="00150E59"/>
    <w:rsid w:val="00152DE3"/>
    <w:rsid w:val="00156B3F"/>
    <w:rsid w:val="00161E59"/>
    <w:rsid w:val="00164CF9"/>
    <w:rsid w:val="001667A6"/>
    <w:rsid w:val="00184AD6"/>
    <w:rsid w:val="001916CE"/>
    <w:rsid w:val="001A4AF7"/>
    <w:rsid w:val="001B0349"/>
    <w:rsid w:val="001B2860"/>
    <w:rsid w:val="001B65C1"/>
    <w:rsid w:val="001C4DA6"/>
    <w:rsid w:val="001C684B"/>
    <w:rsid w:val="001C74E4"/>
    <w:rsid w:val="001D53FC"/>
    <w:rsid w:val="001E5B19"/>
    <w:rsid w:val="001F2E24"/>
    <w:rsid w:val="001F30CD"/>
    <w:rsid w:val="001F42A5"/>
    <w:rsid w:val="001F54FE"/>
    <w:rsid w:val="001F67BF"/>
    <w:rsid w:val="001F7B9D"/>
    <w:rsid w:val="002057BA"/>
    <w:rsid w:val="00210A1D"/>
    <w:rsid w:val="00212627"/>
    <w:rsid w:val="002224B4"/>
    <w:rsid w:val="002447EF"/>
    <w:rsid w:val="00251550"/>
    <w:rsid w:val="0025375A"/>
    <w:rsid w:val="00263B05"/>
    <w:rsid w:val="00266A4B"/>
    <w:rsid w:val="0027221A"/>
    <w:rsid w:val="00275B61"/>
    <w:rsid w:val="00281F5F"/>
    <w:rsid w:val="00282656"/>
    <w:rsid w:val="00296B83"/>
    <w:rsid w:val="002A36D4"/>
    <w:rsid w:val="002B2956"/>
    <w:rsid w:val="002B78CE"/>
    <w:rsid w:val="002C2FB6"/>
    <w:rsid w:val="002F3309"/>
    <w:rsid w:val="003009B7"/>
    <w:rsid w:val="00300E56"/>
    <w:rsid w:val="0030469C"/>
    <w:rsid w:val="00305BB2"/>
    <w:rsid w:val="00321CA6"/>
    <w:rsid w:val="00323763"/>
    <w:rsid w:val="003253BA"/>
    <w:rsid w:val="00334C09"/>
    <w:rsid w:val="003723D4"/>
    <w:rsid w:val="00381905"/>
    <w:rsid w:val="0038301E"/>
    <w:rsid w:val="00384CC8"/>
    <w:rsid w:val="003871FD"/>
    <w:rsid w:val="003A1E30"/>
    <w:rsid w:val="003A4A45"/>
    <w:rsid w:val="003A6561"/>
    <w:rsid w:val="003A7D1C"/>
    <w:rsid w:val="003B304B"/>
    <w:rsid w:val="003B3146"/>
    <w:rsid w:val="003C3541"/>
    <w:rsid w:val="003F015E"/>
    <w:rsid w:val="003F08BB"/>
    <w:rsid w:val="003F1137"/>
    <w:rsid w:val="003F4BA7"/>
    <w:rsid w:val="003F5544"/>
    <w:rsid w:val="00400414"/>
    <w:rsid w:val="00403780"/>
    <w:rsid w:val="00412957"/>
    <w:rsid w:val="0041446B"/>
    <w:rsid w:val="004268B5"/>
    <w:rsid w:val="0044329C"/>
    <w:rsid w:val="00457780"/>
    <w:rsid w:val="004577FE"/>
    <w:rsid w:val="00457B9C"/>
    <w:rsid w:val="0046164A"/>
    <w:rsid w:val="004628D2"/>
    <w:rsid w:val="00462DCD"/>
    <w:rsid w:val="004648AD"/>
    <w:rsid w:val="004703A9"/>
    <w:rsid w:val="00475927"/>
    <w:rsid w:val="004760DE"/>
    <w:rsid w:val="004763D7"/>
    <w:rsid w:val="004A004E"/>
    <w:rsid w:val="004A24CF"/>
    <w:rsid w:val="004B38F8"/>
    <w:rsid w:val="004C0883"/>
    <w:rsid w:val="004C3D1D"/>
    <w:rsid w:val="004C7913"/>
    <w:rsid w:val="004E4DD6"/>
    <w:rsid w:val="004F558C"/>
    <w:rsid w:val="004F5E36"/>
    <w:rsid w:val="00500A1A"/>
    <w:rsid w:val="00507A22"/>
    <w:rsid w:val="00507B47"/>
    <w:rsid w:val="00507BEF"/>
    <w:rsid w:val="00507CC9"/>
    <w:rsid w:val="005119A5"/>
    <w:rsid w:val="00525ADF"/>
    <w:rsid w:val="005278B7"/>
    <w:rsid w:val="00532016"/>
    <w:rsid w:val="005346C8"/>
    <w:rsid w:val="00543E7D"/>
    <w:rsid w:val="00547A68"/>
    <w:rsid w:val="005531C9"/>
    <w:rsid w:val="00570C43"/>
    <w:rsid w:val="00582C63"/>
    <w:rsid w:val="0059481B"/>
    <w:rsid w:val="00597401"/>
    <w:rsid w:val="005B1AF4"/>
    <w:rsid w:val="005B2110"/>
    <w:rsid w:val="005B61E6"/>
    <w:rsid w:val="005C77E1"/>
    <w:rsid w:val="005D64B3"/>
    <w:rsid w:val="005D668A"/>
    <w:rsid w:val="005D6A2F"/>
    <w:rsid w:val="005E05C3"/>
    <w:rsid w:val="005E1A82"/>
    <w:rsid w:val="005E794C"/>
    <w:rsid w:val="005F0A28"/>
    <w:rsid w:val="005F0E5E"/>
    <w:rsid w:val="00600535"/>
    <w:rsid w:val="00605B88"/>
    <w:rsid w:val="00610CD6"/>
    <w:rsid w:val="00620DEE"/>
    <w:rsid w:val="00621F92"/>
    <w:rsid w:val="0062280A"/>
    <w:rsid w:val="00625639"/>
    <w:rsid w:val="00631B33"/>
    <w:rsid w:val="0064184D"/>
    <w:rsid w:val="00641F51"/>
    <w:rsid w:val="006422CC"/>
    <w:rsid w:val="00645369"/>
    <w:rsid w:val="00660E3E"/>
    <w:rsid w:val="006610AF"/>
    <w:rsid w:val="00662E74"/>
    <w:rsid w:val="006644D6"/>
    <w:rsid w:val="00674B35"/>
    <w:rsid w:val="00680C23"/>
    <w:rsid w:val="00693766"/>
    <w:rsid w:val="006A3281"/>
    <w:rsid w:val="006B4888"/>
    <w:rsid w:val="006C094C"/>
    <w:rsid w:val="006C2E45"/>
    <w:rsid w:val="006C359C"/>
    <w:rsid w:val="006C5579"/>
    <w:rsid w:val="006D108B"/>
    <w:rsid w:val="006D6E8B"/>
    <w:rsid w:val="006E737D"/>
    <w:rsid w:val="00701C6C"/>
    <w:rsid w:val="00705384"/>
    <w:rsid w:val="0071175B"/>
    <w:rsid w:val="00720622"/>
    <w:rsid w:val="00720A24"/>
    <w:rsid w:val="00732386"/>
    <w:rsid w:val="0073514D"/>
    <w:rsid w:val="00740462"/>
    <w:rsid w:val="007447F3"/>
    <w:rsid w:val="0075499F"/>
    <w:rsid w:val="00756CB9"/>
    <w:rsid w:val="007661C8"/>
    <w:rsid w:val="007705EF"/>
    <w:rsid w:val="0077098D"/>
    <w:rsid w:val="00771543"/>
    <w:rsid w:val="00775A55"/>
    <w:rsid w:val="007931FA"/>
    <w:rsid w:val="007A4861"/>
    <w:rsid w:val="007A7BBA"/>
    <w:rsid w:val="007B0C50"/>
    <w:rsid w:val="007B265D"/>
    <w:rsid w:val="007B34D1"/>
    <w:rsid w:val="007B5EC2"/>
    <w:rsid w:val="007C1A43"/>
    <w:rsid w:val="007D4C19"/>
    <w:rsid w:val="007D598F"/>
    <w:rsid w:val="007E5687"/>
    <w:rsid w:val="007F4033"/>
    <w:rsid w:val="0080013E"/>
    <w:rsid w:val="00812658"/>
    <w:rsid w:val="00813288"/>
    <w:rsid w:val="00815A19"/>
    <w:rsid w:val="008168FC"/>
    <w:rsid w:val="00830996"/>
    <w:rsid w:val="008345F1"/>
    <w:rsid w:val="00865B07"/>
    <w:rsid w:val="008667EA"/>
    <w:rsid w:val="0087637F"/>
    <w:rsid w:val="0088118F"/>
    <w:rsid w:val="00881CEC"/>
    <w:rsid w:val="00892AD5"/>
    <w:rsid w:val="008A1512"/>
    <w:rsid w:val="008A46E5"/>
    <w:rsid w:val="008A68AE"/>
    <w:rsid w:val="008B156C"/>
    <w:rsid w:val="008C7076"/>
    <w:rsid w:val="008D32B9"/>
    <w:rsid w:val="008D433B"/>
    <w:rsid w:val="008E566E"/>
    <w:rsid w:val="0090161A"/>
    <w:rsid w:val="00901EB6"/>
    <w:rsid w:val="00904C62"/>
    <w:rsid w:val="00922BA8"/>
    <w:rsid w:val="00924DAC"/>
    <w:rsid w:val="00927058"/>
    <w:rsid w:val="00942127"/>
    <w:rsid w:val="00942750"/>
    <w:rsid w:val="009450CE"/>
    <w:rsid w:val="009454CD"/>
    <w:rsid w:val="00947179"/>
    <w:rsid w:val="00947A53"/>
    <w:rsid w:val="0095164B"/>
    <w:rsid w:val="00954090"/>
    <w:rsid w:val="009573E7"/>
    <w:rsid w:val="00963E05"/>
    <w:rsid w:val="00964AE6"/>
    <w:rsid w:val="00967843"/>
    <w:rsid w:val="00967D54"/>
    <w:rsid w:val="00970A4E"/>
    <w:rsid w:val="00971028"/>
    <w:rsid w:val="0099418D"/>
    <w:rsid w:val="00996483"/>
    <w:rsid w:val="00996F5A"/>
    <w:rsid w:val="009B041A"/>
    <w:rsid w:val="009C37C3"/>
    <w:rsid w:val="009C7C86"/>
    <w:rsid w:val="009D1AC8"/>
    <w:rsid w:val="009D2FF7"/>
    <w:rsid w:val="009E7884"/>
    <w:rsid w:val="009E788A"/>
    <w:rsid w:val="009F0E08"/>
    <w:rsid w:val="009F1258"/>
    <w:rsid w:val="009F4ABF"/>
    <w:rsid w:val="00A02346"/>
    <w:rsid w:val="00A02E63"/>
    <w:rsid w:val="00A11CC8"/>
    <w:rsid w:val="00A14554"/>
    <w:rsid w:val="00A1763D"/>
    <w:rsid w:val="00A17CEC"/>
    <w:rsid w:val="00A278E9"/>
    <w:rsid w:val="00A27EF0"/>
    <w:rsid w:val="00A42361"/>
    <w:rsid w:val="00A42589"/>
    <w:rsid w:val="00A50B20"/>
    <w:rsid w:val="00A51390"/>
    <w:rsid w:val="00A5292A"/>
    <w:rsid w:val="00A60D13"/>
    <w:rsid w:val="00A72745"/>
    <w:rsid w:val="00A76EFC"/>
    <w:rsid w:val="00A91010"/>
    <w:rsid w:val="00A91531"/>
    <w:rsid w:val="00A956F0"/>
    <w:rsid w:val="00A9741F"/>
    <w:rsid w:val="00A97F29"/>
    <w:rsid w:val="00AA0D1E"/>
    <w:rsid w:val="00AA47BE"/>
    <w:rsid w:val="00AA702E"/>
    <w:rsid w:val="00AA716D"/>
    <w:rsid w:val="00AB0964"/>
    <w:rsid w:val="00AB5011"/>
    <w:rsid w:val="00AB6233"/>
    <w:rsid w:val="00AB6B3C"/>
    <w:rsid w:val="00AC290F"/>
    <w:rsid w:val="00AC726E"/>
    <w:rsid w:val="00AC7368"/>
    <w:rsid w:val="00AC756E"/>
    <w:rsid w:val="00AD16B9"/>
    <w:rsid w:val="00AE377D"/>
    <w:rsid w:val="00AF0EBA"/>
    <w:rsid w:val="00AF6923"/>
    <w:rsid w:val="00B02C8A"/>
    <w:rsid w:val="00B07A08"/>
    <w:rsid w:val="00B17FBD"/>
    <w:rsid w:val="00B24754"/>
    <w:rsid w:val="00B27AB1"/>
    <w:rsid w:val="00B315A6"/>
    <w:rsid w:val="00B31813"/>
    <w:rsid w:val="00B33365"/>
    <w:rsid w:val="00B5767D"/>
    <w:rsid w:val="00B57B36"/>
    <w:rsid w:val="00B671E5"/>
    <w:rsid w:val="00B70DD8"/>
    <w:rsid w:val="00B8686D"/>
    <w:rsid w:val="00B911EE"/>
    <w:rsid w:val="00B949DA"/>
    <w:rsid w:val="00BB1DDC"/>
    <w:rsid w:val="00BC30C9"/>
    <w:rsid w:val="00BD645F"/>
    <w:rsid w:val="00BE3E58"/>
    <w:rsid w:val="00C01616"/>
    <w:rsid w:val="00C0162B"/>
    <w:rsid w:val="00C068ED"/>
    <w:rsid w:val="00C14646"/>
    <w:rsid w:val="00C345B1"/>
    <w:rsid w:val="00C40142"/>
    <w:rsid w:val="00C564EA"/>
    <w:rsid w:val="00C57182"/>
    <w:rsid w:val="00C57863"/>
    <w:rsid w:val="00C655FD"/>
    <w:rsid w:val="00C75407"/>
    <w:rsid w:val="00C81B13"/>
    <w:rsid w:val="00C870A8"/>
    <w:rsid w:val="00C94434"/>
    <w:rsid w:val="00CA0D75"/>
    <w:rsid w:val="00CA1C95"/>
    <w:rsid w:val="00CA5A9C"/>
    <w:rsid w:val="00CC4C20"/>
    <w:rsid w:val="00CD13C5"/>
    <w:rsid w:val="00CD3517"/>
    <w:rsid w:val="00CD3E46"/>
    <w:rsid w:val="00CD5FE2"/>
    <w:rsid w:val="00CE7C68"/>
    <w:rsid w:val="00D02B4C"/>
    <w:rsid w:val="00D040C4"/>
    <w:rsid w:val="00D3452A"/>
    <w:rsid w:val="00D37CF9"/>
    <w:rsid w:val="00D57C84"/>
    <w:rsid w:val="00D604BC"/>
    <w:rsid w:val="00D6057D"/>
    <w:rsid w:val="00D82616"/>
    <w:rsid w:val="00D836C5"/>
    <w:rsid w:val="00D84576"/>
    <w:rsid w:val="00D8620B"/>
    <w:rsid w:val="00D95FA1"/>
    <w:rsid w:val="00DA1399"/>
    <w:rsid w:val="00DA24C6"/>
    <w:rsid w:val="00DA4D7B"/>
    <w:rsid w:val="00DB4CDE"/>
    <w:rsid w:val="00DB580B"/>
    <w:rsid w:val="00DE264A"/>
    <w:rsid w:val="00DF5072"/>
    <w:rsid w:val="00E02D18"/>
    <w:rsid w:val="00E041E7"/>
    <w:rsid w:val="00E15577"/>
    <w:rsid w:val="00E23CA1"/>
    <w:rsid w:val="00E409A8"/>
    <w:rsid w:val="00E46B51"/>
    <w:rsid w:val="00E50734"/>
    <w:rsid w:val="00E50C12"/>
    <w:rsid w:val="00E6398F"/>
    <w:rsid w:val="00E65B91"/>
    <w:rsid w:val="00E7209D"/>
    <w:rsid w:val="00E77223"/>
    <w:rsid w:val="00E8528B"/>
    <w:rsid w:val="00E85B94"/>
    <w:rsid w:val="00E86F4A"/>
    <w:rsid w:val="00E978D0"/>
    <w:rsid w:val="00EA4613"/>
    <w:rsid w:val="00EA7F91"/>
    <w:rsid w:val="00EB04A8"/>
    <w:rsid w:val="00EB1523"/>
    <w:rsid w:val="00EC0E49"/>
    <w:rsid w:val="00EC101F"/>
    <w:rsid w:val="00EC1D9F"/>
    <w:rsid w:val="00EC541B"/>
    <w:rsid w:val="00EE0131"/>
    <w:rsid w:val="00EE033E"/>
    <w:rsid w:val="00EE17B0"/>
    <w:rsid w:val="00EF06D9"/>
    <w:rsid w:val="00F06111"/>
    <w:rsid w:val="00F06B76"/>
    <w:rsid w:val="00F1502A"/>
    <w:rsid w:val="00F20E8E"/>
    <w:rsid w:val="00F27845"/>
    <w:rsid w:val="00F30C64"/>
    <w:rsid w:val="00F31BC5"/>
    <w:rsid w:val="00F32CDB"/>
    <w:rsid w:val="00F404BE"/>
    <w:rsid w:val="00F404DE"/>
    <w:rsid w:val="00F4385D"/>
    <w:rsid w:val="00F47338"/>
    <w:rsid w:val="00F55D7E"/>
    <w:rsid w:val="00F565FE"/>
    <w:rsid w:val="00F63A70"/>
    <w:rsid w:val="00F84164"/>
    <w:rsid w:val="00F93DBB"/>
    <w:rsid w:val="00F956B6"/>
    <w:rsid w:val="00FA21D0"/>
    <w:rsid w:val="00FA5F5F"/>
    <w:rsid w:val="00FB730C"/>
    <w:rsid w:val="00FC2695"/>
    <w:rsid w:val="00FC34E1"/>
    <w:rsid w:val="00FC3E03"/>
    <w:rsid w:val="00FC3FC1"/>
    <w:rsid w:val="00FD387D"/>
    <w:rsid w:val="00FD3E8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FFC97833-9DB3-470D-A2B9-C8196727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25375A"/>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25375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apple-tab-span">
    <w:name w:val="apple-tab-span"/>
    <w:basedOn w:val="Fontepargpadro"/>
    <w:rsid w:val="00055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9190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4639">
      <w:bodyDiv w:val="1"/>
      <w:marLeft w:val="0"/>
      <w:marRight w:val="0"/>
      <w:marTop w:val="0"/>
      <w:marBottom w:val="0"/>
      <w:divBdr>
        <w:top w:val="none" w:sz="0" w:space="0" w:color="auto"/>
        <w:left w:val="none" w:sz="0" w:space="0" w:color="auto"/>
        <w:bottom w:val="none" w:sz="0" w:space="0" w:color="auto"/>
        <w:right w:val="none" w:sz="0" w:space="0" w:color="auto"/>
      </w:divBdr>
    </w:div>
    <w:div w:id="212083027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C5770-DB5C-44DF-BFE8-31B11902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6</Pages>
  <Words>3169</Words>
  <Characters>17430</Characters>
  <Application>Microsoft Office Word</Application>
  <DocSecurity>0</DocSecurity>
  <Lines>145</Lines>
  <Paragraphs>41</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HP</cp:lastModifiedBy>
  <cp:revision>29</cp:revision>
  <cp:lastPrinted>2015-05-12T18:31:00Z</cp:lastPrinted>
  <dcterms:created xsi:type="dcterms:W3CDTF">2022-01-25T23:54:00Z</dcterms:created>
  <dcterms:modified xsi:type="dcterms:W3CDTF">2022-03-31T04:59:00Z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