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312CB9" w14:paraId="2A131A54" w14:textId="77777777" w:rsidTr="00DE264A">
        <w:trPr>
          <w:trHeight w:val="852"/>
          <w:jc w:val="center"/>
        </w:trPr>
        <w:tc>
          <w:tcPr>
            <w:tcW w:w="6946" w:type="dxa"/>
            <w:vMerge w:val="restart"/>
            <w:tcBorders>
              <w:right w:val="single" w:sz="4" w:space="0" w:color="auto"/>
            </w:tcBorders>
          </w:tcPr>
          <w:p w14:paraId="38C3D2BA" w14:textId="77777777" w:rsidR="000A03B2" w:rsidRPr="00312CB9" w:rsidRDefault="000A03B2" w:rsidP="00DE264A">
            <w:pPr>
              <w:tabs>
                <w:tab w:val="left" w:pos="-108"/>
              </w:tabs>
              <w:ind w:left="-108"/>
              <w:jc w:val="left"/>
              <w:rPr>
                <w:rFonts w:cs="Arial"/>
                <w:b/>
                <w:bCs/>
                <w:i/>
                <w:iCs/>
                <w:color w:val="000066"/>
                <w:sz w:val="12"/>
                <w:szCs w:val="12"/>
                <w:lang w:eastAsia="it-IT"/>
              </w:rPr>
            </w:pPr>
            <w:r w:rsidRPr="00312CB9">
              <w:rPr>
                <w:rFonts w:ascii="AdvP6960" w:hAnsi="AdvP6960" w:cs="AdvP6960"/>
                <w:noProof/>
                <w:color w:val="241F20"/>
                <w:szCs w:val="18"/>
                <w:lang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312CB9">
              <w:rPr>
                <w:rFonts w:ascii="AdvP6960" w:hAnsi="AdvP6960" w:cs="AdvP6960"/>
                <w:color w:val="241F20"/>
                <w:szCs w:val="18"/>
                <w:lang w:eastAsia="it-IT"/>
              </w:rPr>
              <w:t xml:space="preserve"> </w:t>
            </w:r>
            <w:r w:rsidRPr="00312CB9">
              <w:rPr>
                <w:rFonts w:cs="Arial"/>
                <w:b/>
                <w:bCs/>
                <w:i/>
                <w:iCs/>
                <w:color w:val="000066"/>
                <w:sz w:val="24"/>
                <w:szCs w:val="24"/>
                <w:lang w:eastAsia="it-IT"/>
              </w:rPr>
              <w:t>CHEMICAL ENGINEERING</w:t>
            </w:r>
            <w:r w:rsidRPr="00312CB9">
              <w:rPr>
                <w:rFonts w:cs="Arial"/>
                <w:b/>
                <w:bCs/>
                <w:i/>
                <w:iCs/>
                <w:color w:val="0033FF"/>
                <w:sz w:val="24"/>
                <w:szCs w:val="24"/>
                <w:lang w:eastAsia="it-IT"/>
              </w:rPr>
              <w:t xml:space="preserve"> </w:t>
            </w:r>
            <w:r w:rsidRPr="00312CB9">
              <w:rPr>
                <w:rFonts w:cs="Arial"/>
                <w:b/>
                <w:bCs/>
                <w:i/>
                <w:iCs/>
                <w:color w:val="666666"/>
                <w:sz w:val="24"/>
                <w:szCs w:val="24"/>
                <w:lang w:eastAsia="it-IT"/>
              </w:rPr>
              <w:t>TRANSACTIONS</w:t>
            </w:r>
            <w:r w:rsidRPr="00312CB9">
              <w:rPr>
                <w:color w:val="333333"/>
                <w:sz w:val="24"/>
                <w:szCs w:val="24"/>
                <w:lang w:eastAsia="it-IT"/>
              </w:rPr>
              <w:t xml:space="preserve"> </w:t>
            </w:r>
            <w:r w:rsidRPr="00312CB9">
              <w:rPr>
                <w:rFonts w:cs="Arial"/>
                <w:b/>
                <w:bCs/>
                <w:i/>
                <w:iCs/>
                <w:color w:val="000066"/>
                <w:sz w:val="27"/>
                <w:szCs w:val="27"/>
                <w:lang w:eastAsia="it-IT"/>
              </w:rPr>
              <w:br/>
            </w:r>
          </w:p>
          <w:p w14:paraId="4B780582" w14:textId="1EEF6F50" w:rsidR="000A03B2" w:rsidRPr="00312CB9" w:rsidRDefault="00A76EFC" w:rsidP="004C3D1D">
            <w:pPr>
              <w:tabs>
                <w:tab w:val="left" w:pos="-108"/>
              </w:tabs>
              <w:ind w:left="-108"/>
              <w:rPr>
                <w:rFonts w:cs="Arial"/>
                <w:b/>
                <w:bCs/>
                <w:i/>
                <w:iCs/>
                <w:color w:val="000066"/>
                <w:sz w:val="22"/>
                <w:szCs w:val="22"/>
                <w:lang w:eastAsia="it-IT"/>
              </w:rPr>
            </w:pPr>
            <w:r w:rsidRPr="00312CB9">
              <w:rPr>
                <w:rFonts w:cs="Arial"/>
                <w:b/>
                <w:bCs/>
                <w:i/>
                <w:iCs/>
                <w:color w:val="000066"/>
                <w:sz w:val="22"/>
                <w:szCs w:val="22"/>
                <w:lang w:eastAsia="it-IT"/>
              </w:rPr>
              <w:t xml:space="preserve">VOL. </w:t>
            </w:r>
          </w:p>
        </w:tc>
        <w:tc>
          <w:tcPr>
            <w:tcW w:w="1843" w:type="dxa"/>
            <w:tcBorders>
              <w:left w:val="single" w:sz="4" w:space="0" w:color="auto"/>
              <w:bottom w:val="nil"/>
              <w:right w:val="single" w:sz="4" w:space="0" w:color="auto"/>
            </w:tcBorders>
          </w:tcPr>
          <w:p w14:paraId="56782132" w14:textId="77777777" w:rsidR="000A03B2" w:rsidRPr="00312CB9" w:rsidRDefault="000A03B2" w:rsidP="00CD5FE2">
            <w:pPr>
              <w:spacing w:line="140" w:lineRule="atLeast"/>
              <w:jc w:val="right"/>
              <w:rPr>
                <w:rFonts w:cs="Arial"/>
                <w:sz w:val="14"/>
                <w:szCs w:val="14"/>
              </w:rPr>
            </w:pPr>
            <w:r w:rsidRPr="00312CB9">
              <w:rPr>
                <w:rFonts w:cs="Arial"/>
                <w:sz w:val="14"/>
                <w:szCs w:val="14"/>
              </w:rPr>
              <w:t>A publication of</w:t>
            </w:r>
          </w:p>
          <w:p w14:paraId="599E5441" w14:textId="77777777" w:rsidR="000A03B2" w:rsidRPr="00312CB9" w:rsidRDefault="000A03B2" w:rsidP="00CD5FE2">
            <w:pPr>
              <w:jc w:val="right"/>
            </w:pPr>
            <w:r w:rsidRPr="00312CB9">
              <w:rPr>
                <w:noProof/>
                <w:lang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312CB9" w14:paraId="380FA3CD" w14:textId="77777777" w:rsidTr="00DE264A">
        <w:trPr>
          <w:trHeight w:val="567"/>
          <w:jc w:val="center"/>
        </w:trPr>
        <w:tc>
          <w:tcPr>
            <w:tcW w:w="6946" w:type="dxa"/>
            <w:vMerge/>
            <w:tcBorders>
              <w:right w:val="single" w:sz="4" w:space="0" w:color="auto"/>
            </w:tcBorders>
          </w:tcPr>
          <w:p w14:paraId="39E5E4C1" w14:textId="77777777" w:rsidR="000A03B2" w:rsidRPr="00312CB9" w:rsidRDefault="000A03B2" w:rsidP="00CD5FE2">
            <w:pPr>
              <w:tabs>
                <w:tab w:val="left" w:pos="-108"/>
              </w:tabs>
            </w:pPr>
          </w:p>
        </w:tc>
        <w:tc>
          <w:tcPr>
            <w:tcW w:w="1843" w:type="dxa"/>
            <w:tcBorders>
              <w:left w:val="single" w:sz="4" w:space="0" w:color="auto"/>
              <w:bottom w:val="nil"/>
              <w:right w:val="single" w:sz="4" w:space="0" w:color="auto"/>
            </w:tcBorders>
          </w:tcPr>
          <w:p w14:paraId="43858A98" w14:textId="77777777" w:rsidR="000A03B2" w:rsidRPr="00312CB9" w:rsidRDefault="000A03B2" w:rsidP="00CD5FE2">
            <w:pPr>
              <w:spacing w:line="140" w:lineRule="atLeast"/>
              <w:jc w:val="right"/>
              <w:rPr>
                <w:rFonts w:cs="Arial"/>
                <w:sz w:val="14"/>
                <w:szCs w:val="14"/>
              </w:rPr>
            </w:pPr>
            <w:r w:rsidRPr="00312CB9">
              <w:rPr>
                <w:rFonts w:cs="Arial"/>
                <w:sz w:val="14"/>
                <w:szCs w:val="14"/>
              </w:rPr>
              <w:t>The Italian Association</w:t>
            </w:r>
          </w:p>
          <w:p w14:paraId="7522B1D2" w14:textId="77777777" w:rsidR="000A03B2" w:rsidRPr="00312CB9" w:rsidRDefault="000A03B2" w:rsidP="00CD5FE2">
            <w:pPr>
              <w:spacing w:line="140" w:lineRule="atLeast"/>
              <w:jc w:val="right"/>
              <w:rPr>
                <w:rFonts w:cs="Arial"/>
                <w:sz w:val="14"/>
                <w:szCs w:val="14"/>
              </w:rPr>
            </w:pPr>
            <w:r w:rsidRPr="00312CB9">
              <w:rPr>
                <w:rFonts w:cs="Arial"/>
                <w:sz w:val="14"/>
                <w:szCs w:val="14"/>
              </w:rPr>
              <w:t>of Chemical Engineering</w:t>
            </w:r>
          </w:p>
          <w:p w14:paraId="4F0CC5DE" w14:textId="35204533" w:rsidR="000A03B2" w:rsidRPr="00312CB9" w:rsidRDefault="005A3E9C" w:rsidP="00CD5FE2">
            <w:pPr>
              <w:spacing w:line="140" w:lineRule="atLeast"/>
              <w:jc w:val="right"/>
              <w:rPr>
                <w:rFonts w:cs="Arial"/>
                <w:sz w:val="14"/>
                <w:szCs w:val="14"/>
              </w:rPr>
            </w:pPr>
            <w:r w:rsidRPr="00312CB9">
              <w:rPr>
                <w:rFonts w:cs="Arial"/>
                <w:sz w:val="13"/>
                <w:szCs w:val="13"/>
              </w:rPr>
              <w:t>Online at www.cetjournal.it</w:t>
            </w:r>
          </w:p>
        </w:tc>
      </w:tr>
      <w:tr w:rsidR="000A03B2" w:rsidRPr="00312CB9" w14:paraId="2D1B7169" w14:textId="77777777" w:rsidTr="00DE264A">
        <w:trPr>
          <w:trHeight w:val="68"/>
          <w:jc w:val="center"/>
        </w:trPr>
        <w:tc>
          <w:tcPr>
            <w:tcW w:w="8789" w:type="dxa"/>
            <w:gridSpan w:val="2"/>
          </w:tcPr>
          <w:p w14:paraId="4B0BB442" w14:textId="7D24D70F" w:rsidR="00300E56" w:rsidRPr="00312CB9" w:rsidRDefault="00300E56" w:rsidP="00EC0E49">
            <w:pPr>
              <w:tabs>
                <w:tab w:val="left" w:pos="-108"/>
              </w:tabs>
              <w:spacing w:line="140" w:lineRule="atLeast"/>
              <w:ind w:left="-108"/>
              <w:jc w:val="left"/>
              <w:rPr>
                <w:rFonts w:ascii="Tahoma" w:hAnsi="Tahoma" w:cs="Tahoma"/>
                <w:iCs/>
                <w:color w:val="333333"/>
                <w:sz w:val="14"/>
                <w:szCs w:val="14"/>
                <w:lang w:eastAsia="it-IT"/>
              </w:rPr>
            </w:pPr>
            <w:r w:rsidRPr="00312CB9">
              <w:rPr>
                <w:rFonts w:ascii="Tahoma" w:hAnsi="Tahoma" w:cs="Tahoma"/>
                <w:iCs/>
                <w:color w:val="333333"/>
                <w:sz w:val="14"/>
                <w:szCs w:val="14"/>
                <w:lang w:eastAsia="it-IT"/>
              </w:rPr>
              <w:t>Guest Editors:</w:t>
            </w:r>
            <w:r w:rsidR="00904C62" w:rsidRPr="00312CB9">
              <w:rPr>
                <w:rFonts w:ascii="Tahoma" w:hAnsi="Tahoma" w:cs="Tahoma"/>
                <w:iCs/>
                <w:color w:val="333333"/>
                <w:sz w:val="14"/>
                <w:szCs w:val="14"/>
                <w:lang w:eastAsia="it-IT"/>
              </w:rPr>
              <w:t xml:space="preserve"> </w:t>
            </w:r>
          </w:p>
          <w:p w14:paraId="1B0F1814" w14:textId="6CE52C7C" w:rsidR="000A03B2" w:rsidRPr="00312CB9" w:rsidRDefault="0014464F" w:rsidP="00180860">
            <w:pPr>
              <w:tabs>
                <w:tab w:val="left" w:pos="-108"/>
              </w:tabs>
              <w:spacing w:line="140" w:lineRule="atLeast"/>
              <w:ind w:left="-108"/>
              <w:jc w:val="left"/>
            </w:pPr>
            <w:r w:rsidRPr="00312CB9">
              <w:rPr>
                <w:rFonts w:ascii="Tahoma" w:hAnsi="Tahoma" w:cs="Tahoma"/>
                <w:iCs/>
                <w:color w:val="333333"/>
                <w:sz w:val="14"/>
                <w:szCs w:val="14"/>
                <w:lang w:eastAsia="it-IT"/>
              </w:rPr>
              <w:t xml:space="preserve">Copyright © </w:t>
            </w:r>
            <w:r w:rsidR="00904C62" w:rsidRPr="00312CB9">
              <w:rPr>
                <w:rFonts w:ascii="Tahoma" w:hAnsi="Tahoma" w:cs="Tahoma"/>
                <w:iCs/>
                <w:color w:val="333333"/>
                <w:sz w:val="14"/>
                <w:szCs w:val="14"/>
                <w:lang w:eastAsia="it-IT"/>
              </w:rPr>
              <w:t xml:space="preserve"> AIDIC Servizi S.r.l.</w:t>
            </w:r>
            <w:r w:rsidR="00300E56" w:rsidRPr="00312CB9">
              <w:rPr>
                <w:rFonts w:ascii="Tahoma" w:hAnsi="Tahoma" w:cs="Tahoma"/>
                <w:iCs/>
                <w:color w:val="333333"/>
                <w:sz w:val="14"/>
                <w:szCs w:val="14"/>
                <w:lang w:eastAsia="it-IT"/>
              </w:rPr>
              <w:br/>
            </w:r>
            <w:r w:rsidR="00180860" w:rsidRPr="00312CB9">
              <w:rPr>
                <w:rFonts w:ascii="Tahoma" w:hAnsi="Tahoma" w:cs="Tahoma"/>
                <w:b/>
                <w:iCs/>
                <w:color w:val="333333"/>
                <w:sz w:val="14"/>
                <w:szCs w:val="14"/>
                <w:lang w:eastAsia="it-IT"/>
              </w:rPr>
              <w:t xml:space="preserve">ISBN </w:t>
            </w:r>
            <w:r w:rsidR="00180860" w:rsidRPr="00312CB9">
              <w:rPr>
                <w:rFonts w:ascii="Tahoma" w:hAnsi="Tahoma" w:cs="Tahoma"/>
                <w:sz w:val="14"/>
                <w:szCs w:val="14"/>
              </w:rPr>
              <w:t xml:space="preserve">978-88-95608-xx-x </w:t>
            </w:r>
            <w:r w:rsidR="00300E56" w:rsidRPr="00312CB9">
              <w:rPr>
                <w:rFonts w:ascii="Tahoma" w:hAnsi="Tahoma" w:cs="Tahoma"/>
                <w:b/>
                <w:iCs/>
                <w:color w:val="333333"/>
                <w:sz w:val="14"/>
                <w:szCs w:val="14"/>
                <w:lang w:eastAsia="it-IT"/>
              </w:rPr>
              <w:t>ISSN</w:t>
            </w:r>
            <w:r w:rsidR="00300E56" w:rsidRPr="00312CB9">
              <w:rPr>
                <w:rFonts w:ascii="Tahoma" w:hAnsi="Tahoma" w:cs="Tahoma"/>
                <w:iCs/>
                <w:color w:val="333333"/>
                <w:sz w:val="14"/>
                <w:szCs w:val="14"/>
                <w:lang w:eastAsia="it-IT"/>
              </w:rPr>
              <w:t xml:space="preserve"> 2283-9216</w:t>
            </w:r>
          </w:p>
        </w:tc>
      </w:tr>
    </w:tbl>
    <w:p w14:paraId="10DAA130" w14:textId="77777777" w:rsidR="000A03B2" w:rsidRPr="00312CB9" w:rsidRDefault="000A03B2" w:rsidP="000A03B2">
      <w:pPr>
        <w:pStyle w:val="CETAuthors"/>
        <w:sectPr w:rsidR="000A03B2" w:rsidRPr="00312CB9" w:rsidSect="00CD5FE2">
          <w:type w:val="continuous"/>
          <w:pgSz w:w="11906" w:h="16838" w:code="9"/>
          <w:pgMar w:top="1701" w:right="1418" w:bottom="1701" w:left="1701" w:header="1701" w:footer="0" w:gutter="0"/>
          <w:cols w:space="708"/>
          <w:titlePg/>
          <w:docGrid w:linePitch="360"/>
        </w:sectPr>
      </w:pPr>
    </w:p>
    <w:p w14:paraId="2E667253" w14:textId="5CDEEBE3" w:rsidR="00E978D0" w:rsidRPr="00312CB9" w:rsidRDefault="009B6AC7" w:rsidP="00E978D0">
      <w:pPr>
        <w:pStyle w:val="CETTitle"/>
      </w:pPr>
      <w:r w:rsidRPr="00312CB9">
        <w:t xml:space="preserve">Microbial </w:t>
      </w:r>
      <w:r w:rsidR="00046AE8" w:rsidRPr="00312CB9">
        <w:t>B</w:t>
      </w:r>
      <w:r w:rsidRPr="00312CB9">
        <w:t xml:space="preserve">iofilm as a </w:t>
      </w:r>
      <w:r w:rsidR="00046AE8" w:rsidRPr="00312CB9">
        <w:t>M</w:t>
      </w:r>
      <w:r w:rsidRPr="00312CB9">
        <w:t xml:space="preserve">ethodology for </w:t>
      </w:r>
      <w:r w:rsidR="00046AE8" w:rsidRPr="00312CB9">
        <w:t>T</w:t>
      </w:r>
      <w:r w:rsidRPr="00312CB9">
        <w:t xml:space="preserve">reatment of </w:t>
      </w:r>
      <w:r w:rsidR="00046AE8" w:rsidRPr="00312CB9">
        <w:t>C</w:t>
      </w:r>
      <w:r w:rsidRPr="00312CB9">
        <w:t>yanide-contaminated water</w:t>
      </w:r>
    </w:p>
    <w:p w14:paraId="2B3CA35C" w14:textId="37C4C796" w:rsidR="00E978D0" w:rsidRPr="00312CB9" w:rsidRDefault="001826A5" w:rsidP="00AB5011">
      <w:pPr>
        <w:pStyle w:val="CETAuthors"/>
      </w:pPr>
      <w:r w:rsidRPr="00312CB9">
        <w:t>Sadit Mayorca Clemente, Carlos Castañeda Olivera, Elmer Benites-Alfaro</w:t>
      </w:r>
    </w:p>
    <w:p w14:paraId="5053C5A8" w14:textId="091F82EE" w:rsidR="00E978D0" w:rsidRPr="00DD46CF" w:rsidRDefault="00063543" w:rsidP="00E978D0">
      <w:pPr>
        <w:pStyle w:val="CETAddress"/>
        <w:rPr>
          <w:lang w:val="es-PE"/>
        </w:rPr>
      </w:pPr>
      <w:r w:rsidRPr="00DD46CF">
        <w:rPr>
          <w:lang w:val="es-PE"/>
        </w:rPr>
        <w:t xml:space="preserve">Universidad César Vallejo, </w:t>
      </w:r>
      <w:r w:rsidR="001A3CEC" w:rsidRPr="00DD46CF">
        <w:rPr>
          <w:lang w:val="es-PE"/>
        </w:rPr>
        <w:t xml:space="preserve">Campus LN, </w:t>
      </w:r>
      <w:r w:rsidR="008F6504" w:rsidRPr="00DD46CF">
        <w:rPr>
          <w:lang w:val="es-PE"/>
        </w:rPr>
        <w:t>Alfredo Mendiola</w:t>
      </w:r>
      <w:r w:rsidR="00DD46CF" w:rsidRPr="00DD46CF">
        <w:rPr>
          <w:lang w:val="es-PE"/>
        </w:rPr>
        <w:t xml:space="preserve"> </w:t>
      </w:r>
      <w:r w:rsidR="00DD46CF">
        <w:rPr>
          <w:lang w:val="es-PE"/>
        </w:rPr>
        <w:t>6232</w:t>
      </w:r>
      <w:r w:rsidR="008F6504" w:rsidRPr="00DD46CF">
        <w:rPr>
          <w:lang w:val="es-PE"/>
        </w:rPr>
        <w:t xml:space="preserve"> </w:t>
      </w:r>
      <w:r w:rsidRPr="00DD46CF">
        <w:rPr>
          <w:lang w:val="es-PE"/>
        </w:rPr>
        <w:t>Lima</w:t>
      </w:r>
      <w:r w:rsidR="008F6504" w:rsidRPr="00DD46CF">
        <w:rPr>
          <w:lang w:val="es-PE"/>
        </w:rPr>
        <w:t xml:space="preserve"> 15314</w:t>
      </w:r>
      <w:r w:rsidR="001A3CEC" w:rsidRPr="00DD46CF">
        <w:rPr>
          <w:lang w:val="es-PE"/>
        </w:rPr>
        <w:t>, Perú</w:t>
      </w:r>
      <w:r w:rsidR="00E978D0" w:rsidRPr="00DD46CF">
        <w:rPr>
          <w:lang w:val="es-PE"/>
        </w:rPr>
        <w:t xml:space="preserve"> </w:t>
      </w:r>
    </w:p>
    <w:p w14:paraId="0127A28D" w14:textId="2F7D1768" w:rsidR="00E978D0" w:rsidRPr="00312CB9" w:rsidRDefault="00600535" w:rsidP="00E978D0">
      <w:pPr>
        <w:pStyle w:val="CETemail"/>
      </w:pPr>
      <w:r w:rsidRPr="00312CB9">
        <w:t>corresponding.autho</w:t>
      </w:r>
      <w:r w:rsidR="001A3CEC" w:rsidRPr="00312CB9">
        <w:t>r: ebenitesa@ucv.edu.pe</w:t>
      </w:r>
    </w:p>
    <w:p w14:paraId="6FE6116D" w14:textId="3CED29B7" w:rsidR="009B6AC7" w:rsidRPr="00312CB9" w:rsidRDefault="009B6AC7" w:rsidP="009B6AC7">
      <w:pPr>
        <w:pStyle w:val="CETBodytext"/>
        <w:rPr>
          <w:lang w:val="en-GB"/>
        </w:rPr>
      </w:pPr>
      <w:r w:rsidRPr="00312CB9">
        <w:rPr>
          <w:lang w:val="en-GB"/>
        </w:rPr>
        <w:t xml:space="preserve">Cyanide-contaminated wastewater is a very important problem of negative environmental impact. The objective of the research was the reduction of cyanide in the contaminated water emitted in a gold recovery process in the district of Chala-Arequipa after being used in mining processes, the method used was the formation of a microbial biofilm on suitable supports for its growth. The presence of cyanide in two water samples before treatment was 1,352 mg/L respectively. The treatment was performed in bioreactors with biofilms of </w:t>
      </w:r>
      <w:r w:rsidRPr="00312CB9">
        <w:rPr>
          <w:i/>
          <w:iCs/>
          <w:lang w:val="en-GB"/>
        </w:rPr>
        <w:t>Pseudomona aeruginosa and Escherichia coli</w:t>
      </w:r>
      <w:r w:rsidRPr="00312CB9">
        <w:rPr>
          <w:lang w:val="en-GB"/>
        </w:rPr>
        <w:t xml:space="preserve"> supported on polypropylene and polyurethane for biofilm formation and growth. The tests were conducted over a period of 5, 6 and 7 days, obtaining the following results: in test 1, with </w:t>
      </w:r>
      <w:r w:rsidRPr="00312CB9">
        <w:rPr>
          <w:i/>
          <w:iCs/>
          <w:lang w:val="en-GB"/>
        </w:rPr>
        <w:t>Pseudomona aeruginosa</w:t>
      </w:r>
      <w:r w:rsidRPr="00312CB9">
        <w:rPr>
          <w:lang w:val="en-GB"/>
        </w:rPr>
        <w:t xml:space="preserve"> biofilms, the cyanide concentration was reduced to 38.98 mg/L (97.11 %), with a pH of 10.77, total suspended solids at 10.79 mg/L, electrical conductivity at 10. 63 mg/L and turbidity at 7.46 NTU; test 2, in bioreactors with </w:t>
      </w:r>
      <w:r w:rsidRPr="00312CB9">
        <w:rPr>
          <w:i/>
          <w:iCs/>
          <w:lang w:val="en-GB"/>
        </w:rPr>
        <w:t>Escherichia coli</w:t>
      </w:r>
      <w:r w:rsidRPr="00312CB9">
        <w:rPr>
          <w:lang w:val="en-GB"/>
        </w:rPr>
        <w:t xml:space="preserve"> biofilms was also </w:t>
      </w:r>
      <w:r w:rsidR="0029507C" w:rsidRPr="00312CB9">
        <w:rPr>
          <w:lang w:val="en-GB"/>
        </w:rPr>
        <w:t>favourable</w:t>
      </w:r>
      <w:r w:rsidRPr="00312CB9">
        <w:rPr>
          <w:lang w:val="en-GB"/>
        </w:rPr>
        <w:t xml:space="preserve">, decreasing cyanide to 325.1 mg/L (75.95 %), with a pH of 8.7, total suspended solids at 1.43 mg/L, dissolved oxygen at 6.70 mg/L, electrical conductivity at 51.13 µS/cm and turbidity at 7.13 NTU. Thus, it was established that the biofilms of </w:t>
      </w:r>
      <w:r w:rsidRPr="00312CB9">
        <w:rPr>
          <w:i/>
          <w:iCs/>
          <w:lang w:val="en-GB"/>
        </w:rPr>
        <w:t>Pseudomona aeruginosa and Escherichia coli</w:t>
      </w:r>
      <w:r w:rsidRPr="00312CB9">
        <w:rPr>
          <w:lang w:val="en-GB"/>
        </w:rPr>
        <w:t xml:space="preserve"> constitute an environmentally sustainable methodology for the reduction of cyanide in water, which can be complemented with other technology to culminate with the elimination or removal of cyanide to levels below the maximum permissible limits of the environmental quality standards, avoiding the negative impacts that these discharges produce to ecosystems and human beings.</w:t>
      </w:r>
    </w:p>
    <w:p w14:paraId="476B2F2E" w14:textId="734BC2E2" w:rsidR="00600535" w:rsidRPr="00312CB9" w:rsidRDefault="000D70A7" w:rsidP="0033064B">
      <w:pPr>
        <w:pStyle w:val="CETHeading1"/>
        <w:ind w:left="0"/>
        <w:rPr>
          <w:lang w:val="en-GB"/>
        </w:rPr>
      </w:pPr>
      <w:r w:rsidRPr="00312CB9">
        <w:rPr>
          <w:lang w:val="en-GB"/>
        </w:rPr>
        <w:t>I</w:t>
      </w:r>
      <w:r w:rsidR="00600535" w:rsidRPr="00312CB9">
        <w:rPr>
          <w:lang w:val="en-GB"/>
        </w:rPr>
        <w:t>ntroduction</w:t>
      </w:r>
    </w:p>
    <w:p w14:paraId="534CF8BD" w14:textId="058960DC" w:rsidR="0040683F" w:rsidRPr="00312CB9" w:rsidRDefault="0040683F" w:rsidP="0040683F">
      <w:pPr>
        <w:pStyle w:val="CETBodytext"/>
        <w:rPr>
          <w:lang w:val="en-GB"/>
        </w:rPr>
      </w:pPr>
      <w:r w:rsidRPr="00312CB9">
        <w:rPr>
          <w:lang w:val="en-GB"/>
        </w:rPr>
        <w:t>Presence of cyanide in wastewater has become a crucial problem to solve in the world, as is the case of the population of Chala - Arequipa (Peru) where the Organismo de Evaluación y Fiscalización-OEFA found cyanide concentrations above the environmental quality standards; Therefore, the need to remediate the water resource has made it possible to seek new technologies in the detoxification and destruction of contaminants such as cyanide, lead, chromium, etc., replacing the traditional approach of disposal and confinement (Garzón et al., 2017), methods such as electrochemical precipitation (Li et al., 2022), photoelectrocatalytic oxidation (Wei et al., 2022), using quaternary polyethylenimine</w:t>
      </w:r>
      <w:r w:rsidR="0029507C" w:rsidRPr="00312CB9">
        <w:rPr>
          <w:lang w:val="en-GB"/>
        </w:rPr>
        <w:t xml:space="preserve"> </w:t>
      </w:r>
      <w:r w:rsidRPr="00312CB9">
        <w:rPr>
          <w:lang w:val="en-GB"/>
        </w:rPr>
        <w:t>-</w:t>
      </w:r>
      <w:r w:rsidR="0029507C" w:rsidRPr="00312CB9">
        <w:rPr>
          <w:lang w:val="en-GB"/>
        </w:rPr>
        <w:t xml:space="preserve"> </w:t>
      </w:r>
      <w:r w:rsidRPr="00312CB9">
        <w:rPr>
          <w:lang w:val="en-GB"/>
        </w:rPr>
        <w:t xml:space="preserve">cellulose fibers (Lin et al., 2022), combined methods of electrocoagulation, adsorption and wetlands (Pratiwi et al., 2021) and natural adsorbents (up to 89 %) (Sain et al., 2021). </w:t>
      </w:r>
    </w:p>
    <w:p w14:paraId="580135B9" w14:textId="33AF26B7" w:rsidR="0040683F" w:rsidRPr="00312CB9" w:rsidRDefault="0040683F" w:rsidP="0040683F">
      <w:pPr>
        <w:pStyle w:val="CETBodytext"/>
        <w:rPr>
          <w:lang w:val="en-GB"/>
        </w:rPr>
      </w:pPr>
      <w:r w:rsidRPr="00312CB9">
        <w:rPr>
          <w:lang w:val="en-GB"/>
        </w:rPr>
        <w:t xml:space="preserve">The forms of environmentally friendly technologies </w:t>
      </w:r>
      <w:r w:rsidR="00663842" w:rsidRPr="00312CB9">
        <w:rPr>
          <w:lang w:val="en-GB"/>
        </w:rPr>
        <w:t>are</w:t>
      </w:r>
      <w:r w:rsidRPr="00312CB9">
        <w:rPr>
          <w:lang w:val="en-GB"/>
        </w:rPr>
        <w:t xml:space="preserve"> bioremediation using microorganisms, fungi, plants enzymes produced by them (Muñoz and Guillén, 2015). Bioremediation of water using microorganisms is a method that is being investigated more frequently in order to find the best efficiency of their metabolization to degrade pollutants such as cyanide. This biological process carried out by certain microorganisms with the capacity to use cyanide to obtain carbon or nitrogen results in a less toxic by-product (Restrepo et al., 2006). For cyanide-contaminated wastewater contaminated with cyanide have used as bioremediation medium </w:t>
      </w:r>
      <w:r w:rsidRPr="00312CB9">
        <w:rPr>
          <w:i/>
          <w:iCs/>
          <w:lang w:val="en-GB"/>
        </w:rPr>
        <w:t>Pseudomonas pseudoalcaligenes</w:t>
      </w:r>
      <w:r w:rsidRPr="00312CB9">
        <w:rPr>
          <w:lang w:val="en-GB"/>
        </w:rPr>
        <w:t xml:space="preserve"> which is able to grow in cyanide medium as the only source of nitrogen, they synthesize by metabolism the enzymes nitrilases and oxidases that provide the carbon to transform cyanide, at alkaline pH, it was possible to biodegrade up to 90 % in 8 days (Carmona, 2016); something similar was done with the biological detoxification of water from a reactor, with the same bacterial strain </w:t>
      </w:r>
      <w:r w:rsidRPr="00312CB9">
        <w:rPr>
          <w:i/>
          <w:iCs/>
          <w:lang w:val="en-GB"/>
        </w:rPr>
        <w:t xml:space="preserve">Pseudomonas </w:t>
      </w:r>
      <w:r w:rsidRPr="00312CB9">
        <w:rPr>
          <w:i/>
          <w:iCs/>
          <w:lang w:val="en-GB"/>
        </w:rPr>
        <w:lastRenderedPageBreak/>
        <w:t>pseudoalcaligenes</w:t>
      </w:r>
      <w:r w:rsidRPr="00312CB9">
        <w:rPr>
          <w:lang w:val="en-GB"/>
        </w:rPr>
        <w:t xml:space="preserve"> in alkaline medium, controlling the pH (at 10) to avoid volatilizing hydrogen cyanide (HCN) and dissolved oxygen (10%) decreasing cyanide by 2. 8 mg CN/L (Huertas et al., 2010). In gold mining waste with in vitro assays and using the bacteria </w:t>
      </w:r>
      <w:r w:rsidRPr="00312CB9">
        <w:rPr>
          <w:i/>
          <w:iCs/>
          <w:lang w:val="en-GB"/>
        </w:rPr>
        <w:t>pseudomonas fluorescens, pseudomonas alcaligenes, acinetobacter, enterobacter and Bacillus</w:t>
      </w:r>
      <w:r w:rsidRPr="00312CB9">
        <w:rPr>
          <w:lang w:val="en-GB"/>
        </w:rPr>
        <w:t xml:space="preserve">, reduced cyanide up to 2.8 mg CN/L (Huertas et al., 2010). </w:t>
      </w:r>
      <w:r w:rsidRPr="00312CB9">
        <w:rPr>
          <w:i/>
          <w:iCs/>
          <w:lang w:val="en-GB"/>
        </w:rPr>
        <w:t>Bacillus</w:t>
      </w:r>
      <w:r w:rsidRPr="00312CB9">
        <w:rPr>
          <w:lang w:val="en-GB"/>
        </w:rPr>
        <w:t xml:space="preserve">, reduced up to 96 % of cyanide in 9 days (Cardona, 2015). Another bacterium used was </w:t>
      </w:r>
      <w:r w:rsidRPr="00312CB9">
        <w:rPr>
          <w:i/>
          <w:iCs/>
          <w:lang w:val="en-GB"/>
        </w:rPr>
        <w:t>Chromobacterium violaceum</w:t>
      </w:r>
      <w:r w:rsidRPr="00312CB9">
        <w:rPr>
          <w:lang w:val="en-GB"/>
        </w:rPr>
        <w:t xml:space="preserve"> together with activated sludge that reduced from 50 mg/L cyanide to the amount of 7.5 mg/L (Shin et al., 2019); in a study using a biofilm-forming bacterium to act a degrading bacterium </w:t>
      </w:r>
      <w:r w:rsidRPr="00312CB9">
        <w:rPr>
          <w:i/>
          <w:iCs/>
          <w:lang w:val="en-GB"/>
        </w:rPr>
        <w:t>Rhodococcus rhodochrous BX2</w:t>
      </w:r>
      <w:r w:rsidRPr="00312CB9">
        <w:rPr>
          <w:lang w:val="en-GB"/>
        </w:rPr>
        <w:t xml:space="preserve"> reduced organic cyanide from groundwater (An et al., 2018). In other cases, microorganisms in the form of cells reduce pollution and can also be a source of energy (Sawasdee V. and Pisutpaisal N., 2018). In another research Pb was reduced with a consortium of </w:t>
      </w:r>
      <w:r w:rsidR="004B7AE3" w:rsidRPr="00312CB9">
        <w:rPr>
          <w:lang w:val="en-GB"/>
        </w:rPr>
        <w:t>microbial</w:t>
      </w:r>
      <w:r w:rsidRPr="00312CB9">
        <w:rPr>
          <w:lang w:val="en-GB"/>
        </w:rPr>
        <w:t xml:space="preserve"> (Peens J. et al., 2018).</w:t>
      </w:r>
    </w:p>
    <w:p w14:paraId="7C34021C" w14:textId="56954314" w:rsidR="0040683F" w:rsidRPr="00312CB9" w:rsidRDefault="0040683F" w:rsidP="0040683F">
      <w:pPr>
        <w:pStyle w:val="CETBodytext"/>
        <w:rPr>
          <w:lang w:val="en-GB"/>
        </w:rPr>
      </w:pPr>
      <w:r w:rsidRPr="00312CB9">
        <w:rPr>
          <w:lang w:val="en-GB"/>
        </w:rPr>
        <w:t>Bioremediation provides a solution to the problem of contamination by chemical compounds in water and soil, being a viable and promising alternative (Garzón et al., 2017); therefore, this study provides new basic knowledge about this biotechnological treatment using a microbial biofilm with microorganisms for remediation of cyanide contaminated wastewater, verifying the feasibility and efficiency of the method to recover cyanide wastewater, avoiding negative impacts on the environment.</w:t>
      </w:r>
    </w:p>
    <w:p w14:paraId="6C1EE185" w14:textId="5A2B40BF" w:rsidR="00CF7599" w:rsidRPr="00312CB9" w:rsidRDefault="004B5A61" w:rsidP="00E23704">
      <w:pPr>
        <w:pStyle w:val="CETHeading1"/>
        <w:ind w:left="0"/>
        <w:rPr>
          <w:lang w:val="en-GB"/>
        </w:rPr>
      </w:pPr>
      <w:r w:rsidRPr="00312CB9">
        <w:rPr>
          <w:lang w:val="en-GB"/>
        </w:rPr>
        <w:t>Methodology</w:t>
      </w:r>
    </w:p>
    <w:p w14:paraId="6D43D215" w14:textId="77777777" w:rsidR="0040683F" w:rsidRPr="00312CB9" w:rsidRDefault="0040683F" w:rsidP="0040683F">
      <w:pPr>
        <w:pStyle w:val="CETBodytext"/>
        <w:spacing w:line="240" w:lineRule="auto"/>
        <w:rPr>
          <w:lang w:val="en-GB"/>
        </w:rPr>
      </w:pPr>
      <w:r w:rsidRPr="00312CB9">
        <w:rPr>
          <w:lang w:val="en-GB"/>
        </w:rPr>
        <w:t>The experimental process of the research followed the following phases:</w:t>
      </w:r>
    </w:p>
    <w:p w14:paraId="2891007C" w14:textId="77777777" w:rsidR="004B5A61" w:rsidRPr="00312CB9" w:rsidRDefault="004B5A61" w:rsidP="004B5A61">
      <w:pPr>
        <w:pStyle w:val="CETBodytext"/>
        <w:numPr>
          <w:ilvl w:val="0"/>
          <w:numId w:val="26"/>
        </w:numPr>
        <w:rPr>
          <w:lang w:val="en-GB"/>
        </w:rPr>
      </w:pPr>
      <w:r w:rsidRPr="00312CB9">
        <w:rPr>
          <w:lang w:val="en-GB"/>
        </w:rPr>
        <w:t>Obtaining 60 liters of contaminated water sample from a gold processing plant in the town of Chala-Arequipa, following the normative protocol RS 004-94-EM-DGAA and subsequent evaluation to determine the level of cyanide compared with the Maximum Permissible Limits stipulated in the DS. 010-2010-MINAN.</w:t>
      </w:r>
    </w:p>
    <w:p w14:paraId="5DCC4FDD" w14:textId="77777777" w:rsidR="004B5A61" w:rsidRPr="00312CB9" w:rsidRDefault="004B5A61" w:rsidP="004B5A61">
      <w:pPr>
        <w:pStyle w:val="CETBodytext"/>
        <w:numPr>
          <w:ilvl w:val="0"/>
          <w:numId w:val="26"/>
        </w:numPr>
        <w:rPr>
          <w:lang w:val="en-GB"/>
        </w:rPr>
      </w:pPr>
      <w:r w:rsidRPr="00312CB9">
        <w:rPr>
          <w:lang w:val="en-GB"/>
        </w:rPr>
        <w:t>Isolation of microorganisms from the water sample in the laboratory, which were subjected to adaptation and purification in high cyanide medium.</w:t>
      </w:r>
    </w:p>
    <w:p w14:paraId="3F172E5B" w14:textId="77777777" w:rsidR="004B5A61" w:rsidRPr="00312CB9" w:rsidRDefault="004B5A61" w:rsidP="004B5A61">
      <w:pPr>
        <w:pStyle w:val="CETBodytext"/>
        <w:numPr>
          <w:ilvl w:val="0"/>
          <w:numId w:val="26"/>
        </w:numPr>
        <w:rPr>
          <w:lang w:val="en-GB"/>
        </w:rPr>
      </w:pPr>
      <w:r w:rsidRPr="00312CB9">
        <w:rPr>
          <w:lang w:val="en-GB"/>
        </w:rPr>
        <w:t xml:space="preserve">Identification of </w:t>
      </w:r>
      <w:r w:rsidRPr="00312CB9">
        <w:rPr>
          <w:i/>
          <w:iCs/>
          <w:lang w:val="en-GB"/>
        </w:rPr>
        <w:t>Pseudomona aeruginosa</w:t>
      </w:r>
      <w:r w:rsidRPr="00312CB9">
        <w:rPr>
          <w:lang w:val="en-GB"/>
        </w:rPr>
        <w:t xml:space="preserve"> and </w:t>
      </w:r>
      <w:r w:rsidRPr="00312CB9">
        <w:rPr>
          <w:i/>
          <w:iCs/>
          <w:lang w:val="en-GB"/>
        </w:rPr>
        <w:t>Escherichia coli</w:t>
      </w:r>
      <w:r w:rsidRPr="00312CB9">
        <w:rPr>
          <w:lang w:val="en-GB"/>
        </w:rPr>
        <w:t xml:space="preserve"> microorganisms by biochemical Gram stain test.</w:t>
      </w:r>
    </w:p>
    <w:p w14:paraId="5CC0CB2D" w14:textId="26FC7B69" w:rsidR="00530FAB" w:rsidRPr="00312CB9" w:rsidRDefault="00530FAB" w:rsidP="004B5A61">
      <w:pPr>
        <w:pStyle w:val="CETBodytext"/>
        <w:ind w:left="720"/>
        <w:rPr>
          <w:lang w:val="en-GB"/>
        </w:rPr>
      </w:pPr>
      <w:r w:rsidRPr="00312CB9">
        <w:rPr>
          <w:lang w:val="en-GB"/>
        </w:rPr>
        <w:tab/>
      </w:r>
    </w:p>
    <w:tbl>
      <w:tblPr>
        <w:tblStyle w:val="Tablaconcuadrcula"/>
        <w:tblW w:w="8383" w:type="dxa"/>
        <w:tblInd w:w="4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2"/>
        <w:gridCol w:w="3571"/>
      </w:tblGrid>
      <w:tr w:rsidR="002D710F" w:rsidRPr="00312CB9" w14:paraId="0FF0B17D" w14:textId="77777777" w:rsidTr="004B5A61">
        <w:trPr>
          <w:trHeight w:val="283"/>
        </w:trPr>
        <w:tc>
          <w:tcPr>
            <w:tcW w:w="4812" w:type="dxa"/>
          </w:tcPr>
          <w:p w14:paraId="0580C2FA" w14:textId="0722830E" w:rsidR="00530FAB" w:rsidRPr="00312CB9" w:rsidRDefault="00530FAB" w:rsidP="00530FAB">
            <w:pPr>
              <w:pStyle w:val="CETBodytext"/>
              <w:rPr>
                <w:lang w:val="en-GB"/>
              </w:rPr>
            </w:pPr>
            <w:r w:rsidRPr="00312CB9">
              <w:rPr>
                <w:noProof/>
                <w:lang w:val="en-GB"/>
              </w:rPr>
              <w:drawing>
                <wp:inline distT="0" distB="0" distL="0" distR="0" wp14:anchorId="5012A296" wp14:editId="7FA4FF53">
                  <wp:extent cx="2924175" cy="1195070"/>
                  <wp:effectExtent l="0" t="0" r="9525" b="508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40129" cy="1201590"/>
                          </a:xfrm>
                          <a:prstGeom prst="rect">
                            <a:avLst/>
                          </a:prstGeom>
                          <a:noFill/>
                        </pic:spPr>
                      </pic:pic>
                    </a:graphicData>
                  </a:graphic>
                </wp:inline>
              </w:drawing>
            </w:r>
          </w:p>
        </w:tc>
        <w:tc>
          <w:tcPr>
            <w:tcW w:w="3571" w:type="dxa"/>
          </w:tcPr>
          <w:p w14:paraId="37C4B215" w14:textId="0D11FAE3" w:rsidR="00530FAB" w:rsidRPr="00312CB9" w:rsidRDefault="002D710F" w:rsidP="00530FAB">
            <w:pPr>
              <w:pStyle w:val="CETBodytext"/>
              <w:rPr>
                <w:lang w:val="en-GB"/>
              </w:rPr>
            </w:pPr>
            <w:r w:rsidRPr="00312CB9">
              <w:rPr>
                <w:noProof/>
                <w:lang w:val="en-GB"/>
              </w:rPr>
              <w:drawing>
                <wp:inline distT="0" distB="0" distL="0" distR="0" wp14:anchorId="6F271267" wp14:editId="39E2A3F6">
                  <wp:extent cx="2142181" cy="115252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65027" cy="1164817"/>
                          </a:xfrm>
                          <a:prstGeom prst="rect">
                            <a:avLst/>
                          </a:prstGeom>
                          <a:noFill/>
                        </pic:spPr>
                      </pic:pic>
                    </a:graphicData>
                  </a:graphic>
                </wp:inline>
              </w:drawing>
            </w:r>
          </w:p>
        </w:tc>
      </w:tr>
      <w:tr w:rsidR="002D710F" w:rsidRPr="00312CB9" w14:paraId="5913D0A4" w14:textId="77777777" w:rsidTr="004B5A61">
        <w:trPr>
          <w:trHeight w:val="264"/>
        </w:trPr>
        <w:tc>
          <w:tcPr>
            <w:tcW w:w="4812" w:type="dxa"/>
          </w:tcPr>
          <w:p w14:paraId="1FD5C46E" w14:textId="1D0DE59C" w:rsidR="00530FAB" w:rsidRPr="00312CB9" w:rsidRDefault="004B5A61" w:rsidP="002D710F">
            <w:pPr>
              <w:pStyle w:val="CETCaption"/>
              <w:jc w:val="left"/>
            </w:pPr>
            <w:r w:rsidRPr="00312CB9">
              <w:t>Figure</w:t>
            </w:r>
            <w:r w:rsidR="002D710F" w:rsidRPr="00312CB9">
              <w:t xml:space="preserve"> 1: </w:t>
            </w:r>
            <w:r w:rsidRPr="00312CB9">
              <w:t>Microorganisms identified</w:t>
            </w:r>
            <w:r w:rsidR="002D710F" w:rsidRPr="00312CB9">
              <w:t>, Pseudomona aeruginosa y Escherichia coli</w:t>
            </w:r>
          </w:p>
        </w:tc>
        <w:tc>
          <w:tcPr>
            <w:tcW w:w="3571" w:type="dxa"/>
          </w:tcPr>
          <w:p w14:paraId="66DD7664" w14:textId="1F840690" w:rsidR="00530FAB" w:rsidRPr="00312CB9" w:rsidRDefault="004B5A61" w:rsidP="002D710F">
            <w:pPr>
              <w:pStyle w:val="CETCaption"/>
            </w:pPr>
            <w:r w:rsidRPr="00312CB9">
              <w:t>Figure</w:t>
            </w:r>
            <w:r w:rsidR="002D710F" w:rsidRPr="00312CB9">
              <w:t xml:space="preserve"> 2: </w:t>
            </w:r>
            <w:r w:rsidRPr="00312CB9">
              <w:t>Biofilm supports</w:t>
            </w:r>
          </w:p>
        </w:tc>
      </w:tr>
    </w:tbl>
    <w:p w14:paraId="0C12C3FF" w14:textId="07A75874" w:rsidR="00A3704E" w:rsidRPr="00312CB9" w:rsidRDefault="004B5A61" w:rsidP="004B5A61">
      <w:pPr>
        <w:pStyle w:val="CETBodytext"/>
        <w:numPr>
          <w:ilvl w:val="0"/>
          <w:numId w:val="28"/>
        </w:numPr>
        <w:tabs>
          <w:tab w:val="left" w:pos="567"/>
        </w:tabs>
        <w:ind w:left="709" w:hanging="425"/>
        <w:rPr>
          <w:i/>
          <w:iCs/>
          <w:lang w:val="en-GB"/>
        </w:rPr>
      </w:pPr>
      <w:r w:rsidRPr="00312CB9">
        <w:rPr>
          <w:lang w:val="en-GB"/>
        </w:rPr>
        <w:t>Design and construction of 0.30 m long, 0.25 m wide and 0.35 m deep bioreactor cells (Figure 3).</w:t>
      </w:r>
    </w:p>
    <w:p w14:paraId="39F912A3" w14:textId="77777777" w:rsidR="008F5718" w:rsidRPr="00312CB9" w:rsidRDefault="008F5718" w:rsidP="008F5718">
      <w:pPr>
        <w:pStyle w:val="CETBodytext"/>
        <w:tabs>
          <w:tab w:val="left" w:pos="567"/>
        </w:tabs>
        <w:ind w:left="709"/>
        <w:rPr>
          <w:i/>
          <w:iCs/>
          <w:lang w:val="en-GB"/>
        </w:rPr>
      </w:pPr>
    </w:p>
    <w:tbl>
      <w:tblPr>
        <w:tblStyle w:val="Tablaconcuadrcula"/>
        <w:tblW w:w="0" w:type="auto"/>
        <w:tblInd w:w="8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1"/>
      </w:tblGrid>
      <w:tr w:rsidR="00A3704E" w:rsidRPr="00312CB9" w14:paraId="2954EDC4" w14:textId="77777777" w:rsidTr="006D5957">
        <w:trPr>
          <w:trHeight w:val="1675"/>
        </w:trPr>
        <w:tc>
          <w:tcPr>
            <w:tcW w:w="3081" w:type="dxa"/>
          </w:tcPr>
          <w:p w14:paraId="1E65254E" w14:textId="77777777" w:rsidR="00A3704E" w:rsidRPr="00312CB9" w:rsidRDefault="00A3704E" w:rsidP="00942447">
            <w:pPr>
              <w:pStyle w:val="CETBodytext"/>
              <w:rPr>
                <w:lang w:val="en-GB"/>
              </w:rPr>
            </w:pPr>
            <w:r w:rsidRPr="00312CB9">
              <w:rPr>
                <w:noProof/>
                <w:lang w:val="en-GB"/>
              </w:rPr>
              <w:drawing>
                <wp:inline distT="0" distB="0" distL="0" distR="0" wp14:anchorId="5CCC372F" wp14:editId="61F27AF7">
                  <wp:extent cx="1647825" cy="1099185"/>
                  <wp:effectExtent l="0" t="0" r="9525" b="571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l="51400" r="1911" b="19786"/>
                          <a:stretch/>
                        </pic:blipFill>
                        <pic:spPr bwMode="auto">
                          <a:xfrm>
                            <a:off x="0" y="0"/>
                            <a:ext cx="1647825" cy="109918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3704E" w:rsidRPr="00312CB9" w14:paraId="3354F1C7" w14:textId="77777777" w:rsidTr="006D5957">
        <w:trPr>
          <w:trHeight w:val="487"/>
        </w:trPr>
        <w:tc>
          <w:tcPr>
            <w:tcW w:w="3081" w:type="dxa"/>
          </w:tcPr>
          <w:p w14:paraId="3A32362B" w14:textId="3DB5656B" w:rsidR="00A3704E" w:rsidRPr="00312CB9" w:rsidRDefault="004B5A61" w:rsidP="00942447">
            <w:pPr>
              <w:pStyle w:val="CETCaption"/>
            </w:pPr>
            <w:r w:rsidRPr="00312CB9">
              <w:t>Figure</w:t>
            </w:r>
            <w:r w:rsidR="00A3704E" w:rsidRPr="00312CB9">
              <w:t xml:space="preserve"> 3: </w:t>
            </w:r>
            <w:r w:rsidRPr="00312CB9">
              <w:t>Bioreactor in operation</w:t>
            </w:r>
          </w:p>
        </w:tc>
      </w:tr>
    </w:tbl>
    <w:p w14:paraId="3C0515F1" w14:textId="77777777" w:rsidR="0077209B" w:rsidRPr="00312CB9" w:rsidRDefault="0077209B" w:rsidP="0077209B">
      <w:pPr>
        <w:pStyle w:val="CETBodytext"/>
        <w:numPr>
          <w:ilvl w:val="0"/>
          <w:numId w:val="24"/>
        </w:numPr>
        <w:rPr>
          <w:lang w:val="en-GB"/>
        </w:rPr>
      </w:pPr>
      <w:r w:rsidRPr="00312CB9">
        <w:rPr>
          <w:lang w:val="en-GB"/>
        </w:rPr>
        <w:t>Preparation of supports for the microbial biofilm of polypropylene and polyurethane material in cubic form of 1 cm side (Figure 2).</w:t>
      </w:r>
    </w:p>
    <w:p w14:paraId="2A2784D6" w14:textId="7C97FFAD" w:rsidR="0077209B" w:rsidRPr="00312CB9" w:rsidRDefault="0077209B" w:rsidP="0077209B">
      <w:pPr>
        <w:pStyle w:val="CETBodytext"/>
        <w:numPr>
          <w:ilvl w:val="0"/>
          <w:numId w:val="24"/>
        </w:numPr>
        <w:rPr>
          <w:lang w:val="en-GB"/>
        </w:rPr>
      </w:pPr>
      <w:r w:rsidRPr="00312CB9">
        <w:rPr>
          <w:lang w:val="en-GB"/>
        </w:rPr>
        <w:t xml:space="preserve">Treatment of the cyanide contaminated water samples in the bioreactor cells coded and numbered as indicated in the matrix presented in Table 1. </w:t>
      </w:r>
    </w:p>
    <w:p w14:paraId="60BDBBAB" w14:textId="2E644081" w:rsidR="009A110D" w:rsidRPr="00312CB9" w:rsidRDefault="0077209B" w:rsidP="0077209B">
      <w:pPr>
        <w:pStyle w:val="CETBodytext"/>
        <w:numPr>
          <w:ilvl w:val="0"/>
          <w:numId w:val="24"/>
        </w:numPr>
        <w:rPr>
          <w:lang w:val="en-GB"/>
        </w:rPr>
      </w:pPr>
      <w:r w:rsidRPr="00312CB9">
        <w:rPr>
          <w:lang w:val="en-GB"/>
        </w:rPr>
        <w:t>Finally, the characterization of the treated water samples was carried out.</w:t>
      </w:r>
    </w:p>
    <w:p w14:paraId="57090D14" w14:textId="5F4BFE14" w:rsidR="00A3704E" w:rsidRPr="00312CB9" w:rsidRDefault="00A3704E" w:rsidP="00A3704E">
      <w:pPr>
        <w:pStyle w:val="CETTabletitle"/>
      </w:pPr>
      <w:r w:rsidRPr="00312CB9">
        <w:lastRenderedPageBreak/>
        <w:t xml:space="preserve">Table 1: </w:t>
      </w:r>
      <w:r w:rsidR="0077209B" w:rsidRPr="00312CB9">
        <w:t>Treatment factor matrix</w:t>
      </w:r>
    </w:p>
    <w:tbl>
      <w:tblPr>
        <w:tblW w:w="8049" w:type="dxa"/>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2225"/>
        <w:gridCol w:w="1218"/>
        <w:gridCol w:w="1062"/>
        <w:gridCol w:w="1024"/>
        <w:gridCol w:w="2520"/>
      </w:tblGrid>
      <w:tr w:rsidR="00A3704E" w:rsidRPr="00312CB9" w14:paraId="500B7BAF" w14:textId="77777777" w:rsidTr="005B7B5F">
        <w:trPr>
          <w:trHeight w:val="234"/>
        </w:trPr>
        <w:tc>
          <w:tcPr>
            <w:tcW w:w="2225" w:type="dxa"/>
            <w:tcBorders>
              <w:top w:val="single" w:sz="12" w:space="0" w:color="008000"/>
              <w:bottom w:val="single" w:sz="6" w:space="0" w:color="008000"/>
            </w:tcBorders>
            <w:shd w:val="clear" w:color="auto" w:fill="FFFFFF"/>
            <w:vAlign w:val="center"/>
          </w:tcPr>
          <w:p w14:paraId="1147AC7C" w14:textId="7CF97C48" w:rsidR="00A3704E" w:rsidRPr="00312CB9" w:rsidRDefault="0077209B" w:rsidP="00942447">
            <w:pPr>
              <w:pStyle w:val="CETBodytext"/>
              <w:jc w:val="left"/>
              <w:rPr>
                <w:lang w:val="en-GB"/>
              </w:rPr>
            </w:pPr>
            <w:r w:rsidRPr="00312CB9">
              <w:rPr>
                <w:lang w:val="en-GB"/>
              </w:rPr>
              <w:t>Type of microorganism for the biofilm</w:t>
            </w:r>
          </w:p>
        </w:tc>
        <w:tc>
          <w:tcPr>
            <w:tcW w:w="1218" w:type="dxa"/>
            <w:tcBorders>
              <w:top w:val="single" w:sz="12" w:space="0" w:color="008000"/>
              <w:bottom w:val="single" w:sz="6" w:space="0" w:color="008000"/>
            </w:tcBorders>
            <w:shd w:val="clear" w:color="auto" w:fill="FFFFFF"/>
            <w:vAlign w:val="center"/>
          </w:tcPr>
          <w:p w14:paraId="2DA9BC2F" w14:textId="77777777" w:rsidR="0077209B" w:rsidRPr="00312CB9" w:rsidRDefault="0077209B" w:rsidP="006E137A">
            <w:pPr>
              <w:pStyle w:val="CETBodytext"/>
              <w:jc w:val="center"/>
              <w:rPr>
                <w:lang w:val="en-GB"/>
              </w:rPr>
            </w:pPr>
            <w:r w:rsidRPr="00312CB9">
              <w:rPr>
                <w:lang w:val="en-GB"/>
              </w:rPr>
              <w:t>Amount of</w:t>
            </w:r>
          </w:p>
          <w:p w14:paraId="4FE77580" w14:textId="711E5FAC" w:rsidR="00A3704E" w:rsidRPr="00312CB9" w:rsidRDefault="0077209B" w:rsidP="006E137A">
            <w:pPr>
              <w:pStyle w:val="CETBodytext"/>
              <w:jc w:val="center"/>
              <w:rPr>
                <w:lang w:val="en-GB"/>
              </w:rPr>
            </w:pPr>
            <w:r w:rsidRPr="00312CB9">
              <w:rPr>
                <w:lang w:val="en-GB"/>
              </w:rPr>
              <w:t xml:space="preserve">inoculum </w:t>
            </w:r>
            <w:r w:rsidR="00A3704E" w:rsidRPr="00312CB9">
              <w:rPr>
                <w:lang w:val="en-GB"/>
              </w:rPr>
              <w:t>(mg/L)</w:t>
            </w:r>
          </w:p>
        </w:tc>
        <w:tc>
          <w:tcPr>
            <w:tcW w:w="1062" w:type="dxa"/>
            <w:tcBorders>
              <w:top w:val="single" w:sz="12" w:space="0" w:color="008000"/>
              <w:bottom w:val="single" w:sz="6" w:space="0" w:color="008000"/>
            </w:tcBorders>
            <w:shd w:val="clear" w:color="auto" w:fill="FFFFFF"/>
            <w:vAlign w:val="center"/>
          </w:tcPr>
          <w:p w14:paraId="1B3A349F" w14:textId="77777777" w:rsidR="0077209B" w:rsidRPr="00312CB9" w:rsidRDefault="0077209B" w:rsidP="006E137A">
            <w:pPr>
              <w:pStyle w:val="CETBodytext"/>
              <w:jc w:val="center"/>
              <w:rPr>
                <w:lang w:val="en-GB"/>
              </w:rPr>
            </w:pPr>
            <w:r w:rsidRPr="00312CB9">
              <w:rPr>
                <w:lang w:val="en-GB"/>
              </w:rPr>
              <w:t>Treatment time</w:t>
            </w:r>
          </w:p>
          <w:p w14:paraId="21E00B12" w14:textId="083C97AE" w:rsidR="00A3704E" w:rsidRPr="00312CB9" w:rsidRDefault="0077209B" w:rsidP="006E137A">
            <w:pPr>
              <w:pStyle w:val="CETBodytext"/>
              <w:jc w:val="center"/>
              <w:rPr>
                <w:lang w:val="en-GB"/>
              </w:rPr>
            </w:pPr>
            <w:r w:rsidRPr="00312CB9">
              <w:rPr>
                <w:lang w:val="en-GB"/>
              </w:rPr>
              <w:t>(days)</w:t>
            </w:r>
          </w:p>
        </w:tc>
        <w:tc>
          <w:tcPr>
            <w:tcW w:w="1024" w:type="dxa"/>
            <w:tcBorders>
              <w:top w:val="single" w:sz="12" w:space="0" w:color="008000"/>
              <w:bottom w:val="single" w:sz="6" w:space="0" w:color="008000"/>
            </w:tcBorders>
            <w:shd w:val="clear" w:color="auto" w:fill="FFFFFF"/>
            <w:vAlign w:val="center"/>
          </w:tcPr>
          <w:p w14:paraId="23694B3A" w14:textId="77777777" w:rsidR="0077209B" w:rsidRPr="00312CB9" w:rsidRDefault="0077209B" w:rsidP="006E137A">
            <w:pPr>
              <w:pStyle w:val="CETBodytext"/>
              <w:ind w:left="150" w:right="-1" w:hanging="150"/>
              <w:jc w:val="center"/>
              <w:rPr>
                <w:rFonts w:cs="Arial"/>
                <w:szCs w:val="18"/>
                <w:lang w:val="en-GB"/>
              </w:rPr>
            </w:pPr>
            <w:r w:rsidRPr="00312CB9">
              <w:rPr>
                <w:rFonts w:cs="Arial"/>
                <w:szCs w:val="18"/>
                <w:lang w:val="en-GB"/>
              </w:rPr>
              <w:t>Amount of carriers</w:t>
            </w:r>
          </w:p>
          <w:p w14:paraId="70F9034B" w14:textId="1977A978" w:rsidR="00A3704E" w:rsidRPr="00312CB9" w:rsidRDefault="0077209B" w:rsidP="006E137A">
            <w:pPr>
              <w:pStyle w:val="CETBodytext"/>
              <w:ind w:left="150" w:right="-1" w:hanging="150"/>
              <w:jc w:val="center"/>
              <w:rPr>
                <w:rFonts w:cs="Arial"/>
                <w:szCs w:val="18"/>
                <w:lang w:val="en-GB"/>
              </w:rPr>
            </w:pPr>
            <w:r w:rsidRPr="00312CB9">
              <w:rPr>
                <w:rFonts w:cs="Arial"/>
                <w:szCs w:val="18"/>
                <w:lang w:val="en-GB"/>
              </w:rPr>
              <w:t>(units)</w:t>
            </w:r>
          </w:p>
        </w:tc>
        <w:tc>
          <w:tcPr>
            <w:tcW w:w="2520" w:type="dxa"/>
            <w:tcBorders>
              <w:top w:val="single" w:sz="12" w:space="0" w:color="008000"/>
              <w:bottom w:val="single" w:sz="6" w:space="0" w:color="008000"/>
            </w:tcBorders>
            <w:shd w:val="clear" w:color="auto" w:fill="FFFFFF"/>
            <w:vAlign w:val="center"/>
          </w:tcPr>
          <w:p w14:paraId="1C003C06" w14:textId="35493203" w:rsidR="00A3704E" w:rsidRPr="00312CB9" w:rsidRDefault="0077209B" w:rsidP="006E137A">
            <w:pPr>
              <w:pStyle w:val="CETBodytext"/>
              <w:ind w:right="-1"/>
              <w:jc w:val="center"/>
              <w:rPr>
                <w:rFonts w:cs="Arial"/>
                <w:szCs w:val="18"/>
                <w:lang w:val="en-GB"/>
              </w:rPr>
            </w:pPr>
            <w:r w:rsidRPr="00312CB9">
              <w:rPr>
                <w:rFonts w:cs="Arial"/>
                <w:szCs w:val="18"/>
                <w:lang w:val="en-GB"/>
              </w:rPr>
              <w:t>Repeat code</w:t>
            </w:r>
          </w:p>
        </w:tc>
      </w:tr>
      <w:tr w:rsidR="00A3704E" w:rsidRPr="00312CB9" w14:paraId="5F3EF394" w14:textId="77777777" w:rsidTr="005B7B5F">
        <w:trPr>
          <w:trHeight w:val="234"/>
        </w:trPr>
        <w:tc>
          <w:tcPr>
            <w:tcW w:w="2225" w:type="dxa"/>
            <w:vMerge w:val="restart"/>
            <w:shd w:val="clear" w:color="auto" w:fill="FFFFFF"/>
            <w:vAlign w:val="center"/>
          </w:tcPr>
          <w:p w14:paraId="6394C9AE" w14:textId="77777777" w:rsidR="00A3704E" w:rsidRPr="00312CB9" w:rsidRDefault="00A3704E" w:rsidP="00942447">
            <w:pPr>
              <w:pStyle w:val="CETBodytext"/>
              <w:rPr>
                <w:i/>
                <w:iCs/>
                <w:lang w:val="en-GB"/>
              </w:rPr>
            </w:pPr>
            <w:r w:rsidRPr="00312CB9">
              <w:rPr>
                <w:i/>
                <w:iCs/>
                <w:lang w:val="en-GB"/>
              </w:rPr>
              <w:t>Pseudomona</w:t>
            </w:r>
          </w:p>
          <w:p w14:paraId="5E0A01A2" w14:textId="77777777" w:rsidR="00A3704E" w:rsidRPr="00312CB9" w:rsidRDefault="00A3704E" w:rsidP="00942447">
            <w:pPr>
              <w:pStyle w:val="CETBodytext"/>
              <w:rPr>
                <w:lang w:val="en-GB"/>
              </w:rPr>
            </w:pPr>
            <w:r w:rsidRPr="00312CB9">
              <w:rPr>
                <w:i/>
                <w:iCs/>
                <w:lang w:val="en-GB"/>
              </w:rPr>
              <w:t xml:space="preserve"> aeruginosa</w:t>
            </w:r>
          </w:p>
        </w:tc>
        <w:tc>
          <w:tcPr>
            <w:tcW w:w="1218" w:type="dxa"/>
            <w:vMerge w:val="restart"/>
            <w:shd w:val="clear" w:color="auto" w:fill="FFFFFF"/>
            <w:vAlign w:val="center"/>
          </w:tcPr>
          <w:p w14:paraId="40ED937F" w14:textId="77777777" w:rsidR="00A3704E" w:rsidRPr="00312CB9" w:rsidRDefault="00A3704E" w:rsidP="006E137A">
            <w:pPr>
              <w:pStyle w:val="CETBodytext"/>
              <w:jc w:val="center"/>
              <w:rPr>
                <w:lang w:val="en-GB"/>
              </w:rPr>
            </w:pPr>
            <w:r w:rsidRPr="00312CB9">
              <w:rPr>
                <w:lang w:val="en-GB"/>
              </w:rPr>
              <w:t>1500</w:t>
            </w:r>
          </w:p>
        </w:tc>
        <w:tc>
          <w:tcPr>
            <w:tcW w:w="1062" w:type="dxa"/>
            <w:shd w:val="clear" w:color="auto" w:fill="FFFFFF"/>
            <w:vAlign w:val="center"/>
          </w:tcPr>
          <w:p w14:paraId="75403B56" w14:textId="21D6982A" w:rsidR="00A3704E" w:rsidRPr="00312CB9" w:rsidRDefault="006239B9" w:rsidP="006E137A">
            <w:pPr>
              <w:pStyle w:val="CETBodytext"/>
              <w:jc w:val="center"/>
              <w:rPr>
                <w:lang w:val="en-GB"/>
              </w:rPr>
            </w:pPr>
            <w:r w:rsidRPr="00312CB9">
              <w:rPr>
                <w:lang w:val="en-GB"/>
              </w:rPr>
              <w:t>5</w:t>
            </w:r>
          </w:p>
        </w:tc>
        <w:tc>
          <w:tcPr>
            <w:tcW w:w="1024" w:type="dxa"/>
            <w:shd w:val="clear" w:color="auto" w:fill="FFFFFF"/>
            <w:vAlign w:val="center"/>
          </w:tcPr>
          <w:p w14:paraId="3C314808" w14:textId="77777777" w:rsidR="00A3704E" w:rsidRPr="00312CB9" w:rsidRDefault="00A3704E" w:rsidP="006E137A">
            <w:pPr>
              <w:pStyle w:val="CETBodytext"/>
              <w:ind w:right="-1"/>
              <w:jc w:val="center"/>
              <w:rPr>
                <w:rFonts w:cs="Arial"/>
                <w:szCs w:val="18"/>
                <w:lang w:val="en-GB"/>
              </w:rPr>
            </w:pPr>
            <w:r w:rsidRPr="00312CB9">
              <w:rPr>
                <w:rFonts w:cs="Arial"/>
                <w:szCs w:val="18"/>
                <w:lang w:val="en-GB"/>
              </w:rPr>
              <w:t>100</w:t>
            </w:r>
          </w:p>
        </w:tc>
        <w:tc>
          <w:tcPr>
            <w:tcW w:w="2520" w:type="dxa"/>
            <w:shd w:val="clear" w:color="auto" w:fill="FFFFFF"/>
            <w:vAlign w:val="center"/>
          </w:tcPr>
          <w:p w14:paraId="49A52310" w14:textId="4BD34E07" w:rsidR="00A3704E" w:rsidRPr="00312CB9" w:rsidRDefault="005B7B5F" w:rsidP="006E137A">
            <w:pPr>
              <w:pStyle w:val="CETBodytext"/>
              <w:ind w:right="-1"/>
              <w:jc w:val="center"/>
              <w:rPr>
                <w:rFonts w:cs="Arial"/>
                <w:szCs w:val="18"/>
                <w:lang w:val="en-GB"/>
              </w:rPr>
            </w:pPr>
            <w:r w:rsidRPr="00312CB9">
              <w:rPr>
                <w:rFonts w:cs="Arial"/>
                <w:szCs w:val="18"/>
                <w:lang w:val="en-GB"/>
              </w:rPr>
              <w:t>R1</w:t>
            </w:r>
            <w:r w:rsidR="00A3704E" w:rsidRPr="00312CB9">
              <w:rPr>
                <w:rFonts w:cs="Arial"/>
                <w:szCs w:val="18"/>
                <w:lang w:val="en-GB"/>
              </w:rPr>
              <w:t xml:space="preserve"> (3 </w:t>
            </w:r>
            <w:r w:rsidRPr="00312CB9">
              <w:rPr>
                <w:rFonts w:cs="Arial"/>
                <w:szCs w:val="18"/>
                <w:lang w:val="en-GB"/>
              </w:rPr>
              <w:t>repetitions</w:t>
            </w:r>
            <w:r w:rsidR="006E137A" w:rsidRPr="00312CB9">
              <w:rPr>
                <w:rFonts w:cs="Arial"/>
                <w:szCs w:val="18"/>
                <w:lang w:val="en-GB"/>
              </w:rPr>
              <w:t xml:space="preserve"> in reactor </w:t>
            </w:r>
            <w:r w:rsidR="006239B9" w:rsidRPr="00312CB9">
              <w:rPr>
                <w:rFonts w:cs="Arial"/>
                <w:szCs w:val="18"/>
                <w:lang w:val="en-GB"/>
              </w:rPr>
              <w:t>1</w:t>
            </w:r>
            <w:r w:rsidR="00A3704E" w:rsidRPr="00312CB9">
              <w:rPr>
                <w:rFonts w:cs="Arial"/>
                <w:szCs w:val="18"/>
                <w:lang w:val="en-GB"/>
              </w:rPr>
              <w:t>)</w:t>
            </w:r>
          </w:p>
        </w:tc>
      </w:tr>
      <w:tr w:rsidR="00A3704E" w:rsidRPr="00312CB9" w14:paraId="23D6C80A" w14:textId="77777777" w:rsidTr="005B7B5F">
        <w:trPr>
          <w:trHeight w:val="234"/>
        </w:trPr>
        <w:tc>
          <w:tcPr>
            <w:tcW w:w="2225" w:type="dxa"/>
            <w:vMerge/>
            <w:shd w:val="clear" w:color="auto" w:fill="FFFFFF"/>
            <w:vAlign w:val="center"/>
          </w:tcPr>
          <w:p w14:paraId="0D135BA5" w14:textId="77777777" w:rsidR="00A3704E" w:rsidRPr="00312CB9" w:rsidRDefault="00A3704E" w:rsidP="00942447">
            <w:pPr>
              <w:pStyle w:val="CETBodytext"/>
              <w:rPr>
                <w:lang w:val="en-GB"/>
              </w:rPr>
            </w:pPr>
          </w:p>
        </w:tc>
        <w:tc>
          <w:tcPr>
            <w:tcW w:w="1218" w:type="dxa"/>
            <w:vMerge/>
            <w:shd w:val="clear" w:color="auto" w:fill="FFFFFF"/>
            <w:vAlign w:val="center"/>
          </w:tcPr>
          <w:p w14:paraId="3AAF8B7A" w14:textId="77777777" w:rsidR="00A3704E" w:rsidRPr="00312CB9" w:rsidRDefault="00A3704E" w:rsidP="006E137A">
            <w:pPr>
              <w:pStyle w:val="CETBodytext"/>
              <w:jc w:val="center"/>
              <w:rPr>
                <w:lang w:val="en-GB"/>
              </w:rPr>
            </w:pPr>
          </w:p>
        </w:tc>
        <w:tc>
          <w:tcPr>
            <w:tcW w:w="1062" w:type="dxa"/>
            <w:tcBorders>
              <w:bottom w:val="nil"/>
            </w:tcBorders>
            <w:shd w:val="clear" w:color="auto" w:fill="FFFFFF"/>
            <w:vAlign w:val="center"/>
          </w:tcPr>
          <w:p w14:paraId="7B86AC8C" w14:textId="2F668332" w:rsidR="00A3704E" w:rsidRPr="00312CB9" w:rsidRDefault="006239B9" w:rsidP="006E137A">
            <w:pPr>
              <w:pStyle w:val="CETBodytext"/>
              <w:jc w:val="center"/>
              <w:rPr>
                <w:lang w:val="en-GB"/>
              </w:rPr>
            </w:pPr>
            <w:r w:rsidRPr="00312CB9">
              <w:rPr>
                <w:lang w:val="en-GB"/>
              </w:rPr>
              <w:t>6</w:t>
            </w:r>
          </w:p>
        </w:tc>
        <w:tc>
          <w:tcPr>
            <w:tcW w:w="1024" w:type="dxa"/>
            <w:tcBorders>
              <w:bottom w:val="nil"/>
            </w:tcBorders>
            <w:shd w:val="clear" w:color="auto" w:fill="FFFFFF"/>
            <w:vAlign w:val="center"/>
          </w:tcPr>
          <w:p w14:paraId="78965FE8" w14:textId="77777777" w:rsidR="00A3704E" w:rsidRPr="00312CB9" w:rsidRDefault="00A3704E" w:rsidP="006E137A">
            <w:pPr>
              <w:pStyle w:val="CETBodytext"/>
              <w:ind w:right="-1"/>
              <w:jc w:val="center"/>
              <w:rPr>
                <w:rFonts w:cs="Arial"/>
                <w:szCs w:val="18"/>
                <w:lang w:val="en-GB"/>
              </w:rPr>
            </w:pPr>
            <w:r w:rsidRPr="00312CB9">
              <w:rPr>
                <w:rFonts w:cs="Arial"/>
                <w:szCs w:val="18"/>
                <w:lang w:val="en-GB"/>
              </w:rPr>
              <w:t>100</w:t>
            </w:r>
          </w:p>
        </w:tc>
        <w:tc>
          <w:tcPr>
            <w:tcW w:w="2520" w:type="dxa"/>
            <w:tcBorders>
              <w:bottom w:val="nil"/>
            </w:tcBorders>
            <w:shd w:val="clear" w:color="auto" w:fill="FFFFFF"/>
            <w:vAlign w:val="center"/>
          </w:tcPr>
          <w:p w14:paraId="3BEA3A99" w14:textId="3BC46206" w:rsidR="00A3704E" w:rsidRPr="00312CB9" w:rsidRDefault="005B7B5F" w:rsidP="006E137A">
            <w:pPr>
              <w:pStyle w:val="CETBodytext"/>
              <w:ind w:right="-1"/>
              <w:jc w:val="center"/>
              <w:rPr>
                <w:rFonts w:cs="Arial"/>
                <w:szCs w:val="18"/>
                <w:lang w:val="en-GB"/>
              </w:rPr>
            </w:pPr>
            <w:r w:rsidRPr="00312CB9">
              <w:rPr>
                <w:rFonts w:cs="Arial"/>
                <w:szCs w:val="18"/>
                <w:lang w:val="en-GB"/>
              </w:rPr>
              <w:t>R2</w:t>
            </w:r>
            <w:r w:rsidR="00A3704E" w:rsidRPr="00312CB9">
              <w:rPr>
                <w:rFonts w:cs="Arial"/>
                <w:szCs w:val="18"/>
                <w:lang w:val="en-GB"/>
              </w:rPr>
              <w:t xml:space="preserve"> (3 </w:t>
            </w:r>
            <w:r w:rsidRPr="00312CB9">
              <w:rPr>
                <w:rFonts w:cs="Arial"/>
                <w:szCs w:val="18"/>
                <w:lang w:val="en-GB"/>
              </w:rPr>
              <w:t>repetitions</w:t>
            </w:r>
            <w:r w:rsidR="006E137A" w:rsidRPr="00312CB9">
              <w:rPr>
                <w:rFonts w:cs="Arial"/>
                <w:szCs w:val="18"/>
                <w:lang w:val="en-GB"/>
              </w:rPr>
              <w:t xml:space="preserve"> </w:t>
            </w:r>
            <w:r w:rsidR="006E137A" w:rsidRPr="00312CB9">
              <w:rPr>
                <w:rFonts w:cs="Arial"/>
                <w:szCs w:val="18"/>
                <w:lang w:val="en-GB"/>
              </w:rPr>
              <w:t xml:space="preserve">in reactor </w:t>
            </w:r>
            <w:r w:rsidR="006239B9" w:rsidRPr="00312CB9">
              <w:rPr>
                <w:rFonts w:cs="Arial"/>
                <w:szCs w:val="18"/>
                <w:lang w:val="en-GB"/>
              </w:rPr>
              <w:t>2</w:t>
            </w:r>
            <w:r w:rsidR="00A3704E" w:rsidRPr="00312CB9">
              <w:rPr>
                <w:rFonts w:cs="Arial"/>
                <w:szCs w:val="18"/>
                <w:lang w:val="en-GB"/>
              </w:rPr>
              <w:t>)</w:t>
            </w:r>
          </w:p>
        </w:tc>
      </w:tr>
      <w:tr w:rsidR="00A3704E" w:rsidRPr="00312CB9" w14:paraId="637B4648" w14:textId="77777777" w:rsidTr="005B7B5F">
        <w:trPr>
          <w:trHeight w:val="234"/>
        </w:trPr>
        <w:tc>
          <w:tcPr>
            <w:tcW w:w="2225" w:type="dxa"/>
            <w:vMerge/>
            <w:shd w:val="clear" w:color="auto" w:fill="FFFFFF"/>
            <w:vAlign w:val="center"/>
          </w:tcPr>
          <w:p w14:paraId="01C4F3EA" w14:textId="77777777" w:rsidR="00A3704E" w:rsidRPr="00312CB9" w:rsidRDefault="00A3704E" w:rsidP="00942447">
            <w:pPr>
              <w:pStyle w:val="CETBodytext"/>
              <w:rPr>
                <w:lang w:val="en-GB"/>
              </w:rPr>
            </w:pPr>
          </w:p>
        </w:tc>
        <w:tc>
          <w:tcPr>
            <w:tcW w:w="1218" w:type="dxa"/>
            <w:vMerge/>
            <w:shd w:val="clear" w:color="auto" w:fill="FFFFFF"/>
            <w:vAlign w:val="center"/>
          </w:tcPr>
          <w:p w14:paraId="7BCE0809" w14:textId="77777777" w:rsidR="00A3704E" w:rsidRPr="00312CB9" w:rsidRDefault="00A3704E" w:rsidP="006E137A">
            <w:pPr>
              <w:pStyle w:val="CETBodytext"/>
              <w:jc w:val="center"/>
              <w:rPr>
                <w:lang w:val="en-GB"/>
              </w:rPr>
            </w:pPr>
          </w:p>
        </w:tc>
        <w:tc>
          <w:tcPr>
            <w:tcW w:w="1062" w:type="dxa"/>
            <w:tcBorders>
              <w:top w:val="nil"/>
              <w:bottom w:val="single" w:sz="8" w:space="0" w:color="008000"/>
            </w:tcBorders>
            <w:shd w:val="clear" w:color="auto" w:fill="FFFFFF"/>
            <w:vAlign w:val="center"/>
          </w:tcPr>
          <w:p w14:paraId="2A172BAC" w14:textId="77777777" w:rsidR="00A3704E" w:rsidRPr="00312CB9" w:rsidRDefault="00A3704E" w:rsidP="006E137A">
            <w:pPr>
              <w:pStyle w:val="CETBodytext"/>
              <w:jc w:val="center"/>
              <w:rPr>
                <w:lang w:val="en-GB"/>
              </w:rPr>
            </w:pPr>
            <w:r w:rsidRPr="00312CB9">
              <w:rPr>
                <w:lang w:val="en-GB"/>
              </w:rPr>
              <w:t>7</w:t>
            </w:r>
          </w:p>
        </w:tc>
        <w:tc>
          <w:tcPr>
            <w:tcW w:w="1024" w:type="dxa"/>
            <w:tcBorders>
              <w:top w:val="nil"/>
              <w:bottom w:val="single" w:sz="8" w:space="0" w:color="008000"/>
            </w:tcBorders>
            <w:shd w:val="clear" w:color="auto" w:fill="FFFFFF"/>
            <w:vAlign w:val="center"/>
          </w:tcPr>
          <w:p w14:paraId="55F32D57" w14:textId="77777777" w:rsidR="00A3704E" w:rsidRPr="00312CB9" w:rsidRDefault="00A3704E" w:rsidP="006E137A">
            <w:pPr>
              <w:pStyle w:val="CETBodytext"/>
              <w:ind w:right="-1"/>
              <w:jc w:val="center"/>
              <w:rPr>
                <w:rFonts w:cs="Arial"/>
                <w:szCs w:val="18"/>
                <w:lang w:val="en-GB"/>
              </w:rPr>
            </w:pPr>
            <w:r w:rsidRPr="00312CB9">
              <w:rPr>
                <w:rFonts w:cs="Arial"/>
                <w:szCs w:val="18"/>
                <w:lang w:val="en-GB"/>
              </w:rPr>
              <w:t>100</w:t>
            </w:r>
          </w:p>
        </w:tc>
        <w:tc>
          <w:tcPr>
            <w:tcW w:w="2520" w:type="dxa"/>
            <w:tcBorders>
              <w:top w:val="nil"/>
              <w:bottom w:val="single" w:sz="8" w:space="0" w:color="008000"/>
            </w:tcBorders>
            <w:shd w:val="clear" w:color="auto" w:fill="FFFFFF"/>
            <w:vAlign w:val="center"/>
          </w:tcPr>
          <w:p w14:paraId="6D1F43DC" w14:textId="65EFF736" w:rsidR="00A3704E" w:rsidRPr="00312CB9" w:rsidRDefault="005B7B5F" w:rsidP="006E137A">
            <w:pPr>
              <w:pStyle w:val="CETBodytext"/>
              <w:ind w:right="-1"/>
              <w:jc w:val="center"/>
              <w:rPr>
                <w:rFonts w:cs="Arial"/>
                <w:szCs w:val="18"/>
                <w:lang w:val="en-GB"/>
              </w:rPr>
            </w:pPr>
            <w:r w:rsidRPr="00312CB9">
              <w:rPr>
                <w:rFonts w:cs="Arial"/>
                <w:szCs w:val="18"/>
                <w:lang w:val="en-GB"/>
              </w:rPr>
              <w:t>R3</w:t>
            </w:r>
            <w:r w:rsidR="00A3704E" w:rsidRPr="00312CB9">
              <w:rPr>
                <w:rFonts w:cs="Arial"/>
                <w:szCs w:val="18"/>
                <w:lang w:val="en-GB"/>
              </w:rPr>
              <w:t xml:space="preserve"> (3 </w:t>
            </w:r>
            <w:r w:rsidRPr="00312CB9">
              <w:rPr>
                <w:rFonts w:cs="Arial"/>
                <w:szCs w:val="18"/>
                <w:lang w:val="en-GB"/>
              </w:rPr>
              <w:t>repetitions</w:t>
            </w:r>
            <w:r w:rsidR="006E137A" w:rsidRPr="00312CB9">
              <w:rPr>
                <w:rFonts w:cs="Arial"/>
                <w:szCs w:val="18"/>
                <w:lang w:val="en-GB"/>
              </w:rPr>
              <w:t xml:space="preserve"> </w:t>
            </w:r>
            <w:r w:rsidR="006E137A" w:rsidRPr="00312CB9">
              <w:rPr>
                <w:rFonts w:cs="Arial"/>
                <w:szCs w:val="18"/>
                <w:lang w:val="en-GB"/>
              </w:rPr>
              <w:t xml:space="preserve">in reactor </w:t>
            </w:r>
            <w:r w:rsidR="006E137A" w:rsidRPr="00312CB9">
              <w:rPr>
                <w:rFonts w:cs="Arial"/>
                <w:szCs w:val="18"/>
                <w:lang w:val="en-GB"/>
              </w:rPr>
              <w:t>3</w:t>
            </w:r>
            <w:r w:rsidR="00A3704E" w:rsidRPr="00312CB9">
              <w:rPr>
                <w:rFonts w:cs="Arial"/>
                <w:szCs w:val="18"/>
                <w:lang w:val="en-GB"/>
              </w:rPr>
              <w:t>)</w:t>
            </w:r>
          </w:p>
        </w:tc>
      </w:tr>
      <w:tr w:rsidR="00A3704E" w:rsidRPr="00312CB9" w14:paraId="3B9D730D" w14:textId="77777777" w:rsidTr="005B7B5F">
        <w:trPr>
          <w:trHeight w:val="251"/>
        </w:trPr>
        <w:tc>
          <w:tcPr>
            <w:tcW w:w="2225" w:type="dxa"/>
            <w:vMerge w:val="restart"/>
            <w:shd w:val="clear" w:color="auto" w:fill="FFFFFF"/>
            <w:vAlign w:val="center"/>
          </w:tcPr>
          <w:p w14:paraId="0B441FA3" w14:textId="77777777" w:rsidR="00A3704E" w:rsidRPr="00312CB9" w:rsidRDefault="00A3704E" w:rsidP="00942447">
            <w:pPr>
              <w:pStyle w:val="CETBodytext"/>
              <w:ind w:right="-1"/>
              <w:rPr>
                <w:rFonts w:cs="Arial"/>
                <w:i/>
                <w:iCs/>
                <w:szCs w:val="18"/>
                <w:lang w:val="en-GB"/>
              </w:rPr>
            </w:pPr>
            <w:r w:rsidRPr="00312CB9">
              <w:rPr>
                <w:rFonts w:cs="Arial"/>
                <w:i/>
                <w:iCs/>
                <w:szCs w:val="18"/>
                <w:lang w:val="en-GB"/>
              </w:rPr>
              <w:t>Escherichia coli</w:t>
            </w:r>
          </w:p>
        </w:tc>
        <w:tc>
          <w:tcPr>
            <w:tcW w:w="1218" w:type="dxa"/>
            <w:vMerge w:val="restart"/>
            <w:shd w:val="clear" w:color="auto" w:fill="FFFFFF"/>
            <w:vAlign w:val="center"/>
          </w:tcPr>
          <w:p w14:paraId="4F7E5DC5" w14:textId="77777777" w:rsidR="00A3704E" w:rsidRPr="00312CB9" w:rsidRDefault="00A3704E" w:rsidP="006E137A">
            <w:pPr>
              <w:pStyle w:val="CETBodytext"/>
              <w:ind w:right="-1"/>
              <w:jc w:val="center"/>
              <w:rPr>
                <w:rFonts w:cs="Arial"/>
                <w:szCs w:val="18"/>
                <w:lang w:val="en-GB"/>
              </w:rPr>
            </w:pPr>
            <w:r w:rsidRPr="00312CB9">
              <w:rPr>
                <w:rFonts w:cs="Arial"/>
                <w:szCs w:val="18"/>
                <w:lang w:val="en-GB"/>
              </w:rPr>
              <w:t>1500</w:t>
            </w:r>
          </w:p>
        </w:tc>
        <w:tc>
          <w:tcPr>
            <w:tcW w:w="1062" w:type="dxa"/>
            <w:tcBorders>
              <w:top w:val="single" w:sz="8" w:space="0" w:color="008000"/>
            </w:tcBorders>
            <w:shd w:val="clear" w:color="auto" w:fill="FFFFFF"/>
            <w:vAlign w:val="center"/>
          </w:tcPr>
          <w:p w14:paraId="3DE03931" w14:textId="77777777" w:rsidR="00A3704E" w:rsidRPr="00312CB9" w:rsidRDefault="00A3704E" w:rsidP="006E137A">
            <w:pPr>
              <w:pStyle w:val="CETBodytext"/>
              <w:ind w:right="-1"/>
              <w:jc w:val="center"/>
              <w:rPr>
                <w:rFonts w:cs="Arial"/>
                <w:szCs w:val="18"/>
                <w:lang w:val="en-GB"/>
              </w:rPr>
            </w:pPr>
            <w:r w:rsidRPr="00312CB9">
              <w:rPr>
                <w:rFonts w:cs="Arial"/>
                <w:szCs w:val="18"/>
                <w:lang w:val="en-GB"/>
              </w:rPr>
              <w:t>5</w:t>
            </w:r>
          </w:p>
        </w:tc>
        <w:tc>
          <w:tcPr>
            <w:tcW w:w="1024" w:type="dxa"/>
            <w:tcBorders>
              <w:top w:val="single" w:sz="8" w:space="0" w:color="008000"/>
            </w:tcBorders>
            <w:shd w:val="clear" w:color="auto" w:fill="FFFFFF"/>
            <w:vAlign w:val="center"/>
          </w:tcPr>
          <w:p w14:paraId="5DFED27C" w14:textId="77777777" w:rsidR="00A3704E" w:rsidRPr="00312CB9" w:rsidRDefault="00A3704E" w:rsidP="006E137A">
            <w:pPr>
              <w:pStyle w:val="CETBodytext"/>
              <w:ind w:right="-1"/>
              <w:jc w:val="center"/>
              <w:rPr>
                <w:rFonts w:cs="Arial"/>
                <w:szCs w:val="18"/>
                <w:lang w:val="en-GB"/>
              </w:rPr>
            </w:pPr>
            <w:r w:rsidRPr="00312CB9">
              <w:rPr>
                <w:rFonts w:cs="Arial"/>
                <w:szCs w:val="18"/>
                <w:lang w:val="en-GB"/>
              </w:rPr>
              <w:t>100</w:t>
            </w:r>
          </w:p>
        </w:tc>
        <w:tc>
          <w:tcPr>
            <w:tcW w:w="2520" w:type="dxa"/>
            <w:tcBorders>
              <w:top w:val="single" w:sz="8" w:space="0" w:color="008000"/>
            </w:tcBorders>
            <w:shd w:val="clear" w:color="auto" w:fill="FFFFFF"/>
            <w:vAlign w:val="center"/>
          </w:tcPr>
          <w:p w14:paraId="13DDB60B" w14:textId="46843EB1" w:rsidR="00A3704E" w:rsidRPr="00312CB9" w:rsidRDefault="005B7B5F" w:rsidP="006E137A">
            <w:pPr>
              <w:pStyle w:val="CETBodytext"/>
              <w:ind w:right="-1"/>
              <w:jc w:val="center"/>
              <w:rPr>
                <w:rFonts w:cs="Arial"/>
                <w:szCs w:val="18"/>
                <w:lang w:val="en-GB"/>
              </w:rPr>
            </w:pPr>
            <w:r w:rsidRPr="00312CB9">
              <w:rPr>
                <w:rFonts w:cs="Arial"/>
                <w:szCs w:val="18"/>
                <w:lang w:val="en-GB"/>
              </w:rPr>
              <w:t>R1</w:t>
            </w:r>
            <w:r w:rsidR="00A3704E" w:rsidRPr="00312CB9">
              <w:rPr>
                <w:rFonts w:cs="Arial"/>
                <w:szCs w:val="18"/>
                <w:lang w:val="en-GB"/>
              </w:rPr>
              <w:t xml:space="preserve"> (3 </w:t>
            </w:r>
            <w:r w:rsidRPr="00312CB9">
              <w:rPr>
                <w:rFonts w:cs="Arial"/>
                <w:szCs w:val="18"/>
                <w:lang w:val="en-GB"/>
              </w:rPr>
              <w:t>repetitions</w:t>
            </w:r>
            <w:r w:rsidR="006E137A" w:rsidRPr="00312CB9">
              <w:rPr>
                <w:rFonts w:cs="Arial"/>
                <w:szCs w:val="18"/>
                <w:lang w:val="en-GB"/>
              </w:rPr>
              <w:t xml:space="preserve"> </w:t>
            </w:r>
            <w:r w:rsidR="006E137A" w:rsidRPr="00312CB9">
              <w:rPr>
                <w:rFonts w:cs="Arial"/>
                <w:szCs w:val="18"/>
                <w:lang w:val="en-GB"/>
              </w:rPr>
              <w:t>in reactor 1</w:t>
            </w:r>
            <w:r w:rsidR="00A3704E" w:rsidRPr="00312CB9">
              <w:rPr>
                <w:rFonts w:cs="Arial"/>
                <w:szCs w:val="18"/>
                <w:lang w:val="en-GB"/>
              </w:rPr>
              <w:t>)</w:t>
            </w:r>
          </w:p>
        </w:tc>
      </w:tr>
      <w:tr w:rsidR="00A3704E" w:rsidRPr="00312CB9" w14:paraId="7DA123D6" w14:textId="77777777" w:rsidTr="005B7B5F">
        <w:trPr>
          <w:trHeight w:val="251"/>
        </w:trPr>
        <w:tc>
          <w:tcPr>
            <w:tcW w:w="2225" w:type="dxa"/>
            <w:vMerge/>
            <w:shd w:val="clear" w:color="auto" w:fill="FFFFFF"/>
            <w:vAlign w:val="center"/>
          </w:tcPr>
          <w:p w14:paraId="22539643" w14:textId="77777777" w:rsidR="00A3704E" w:rsidRPr="00312CB9" w:rsidRDefault="00A3704E" w:rsidP="00942447">
            <w:pPr>
              <w:pStyle w:val="CETBodytext"/>
              <w:ind w:right="-1"/>
              <w:rPr>
                <w:rFonts w:cs="Arial"/>
                <w:szCs w:val="18"/>
                <w:lang w:val="en-GB"/>
              </w:rPr>
            </w:pPr>
          </w:p>
        </w:tc>
        <w:tc>
          <w:tcPr>
            <w:tcW w:w="1218" w:type="dxa"/>
            <w:vMerge/>
            <w:shd w:val="clear" w:color="auto" w:fill="FFFFFF"/>
            <w:vAlign w:val="center"/>
          </w:tcPr>
          <w:p w14:paraId="7BB84853" w14:textId="77777777" w:rsidR="00A3704E" w:rsidRPr="00312CB9" w:rsidRDefault="00A3704E" w:rsidP="006E137A">
            <w:pPr>
              <w:pStyle w:val="CETBodytext"/>
              <w:ind w:right="-1"/>
              <w:jc w:val="center"/>
              <w:rPr>
                <w:rFonts w:cs="Arial"/>
                <w:szCs w:val="18"/>
                <w:lang w:val="en-GB"/>
              </w:rPr>
            </w:pPr>
          </w:p>
        </w:tc>
        <w:tc>
          <w:tcPr>
            <w:tcW w:w="1062" w:type="dxa"/>
            <w:shd w:val="clear" w:color="auto" w:fill="FFFFFF"/>
            <w:vAlign w:val="center"/>
          </w:tcPr>
          <w:p w14:paraId="67BB9D00" w14:textId="7F093B27" w:rsidR="00A3704E" w:rsidRPr="00312CB9" w:rsidRDefault="006239B9" w:rsidP="006E137A">
            <w:pPr>
              <w:pStyle w:val="CETBodytext"/>
              <w:ind w:right="-1"/>
              <w:jc w:val="center"/>
              <w:rPr>
                <w:rFonts w:cs="Arial"/>
                <w:szCs w:val="18"/>
                <w:lang w:val="en-GB"/>
              </w:rPr>
            </w:pPr>
            <w:r w:rsidRPr="00312CB9">
              <w:rPr>
                <w:rFonts w:cs="Arial"/>
                <w:szCs w:val="18"/>
                <w:lang w:val="en-GB"/>
              </w:rPr>
              <w:t>6</w:t>
            </w:r>
          </w:p>
        </w:tc>
        <w:tc>
          <w:tcPr>
            <w:tcW w:w="1024" w:type="dxa"/>
            <w:shd w:val="clear" w:color="auto" w:fill="FFFFFF"/>
            <w:vAlign w:val="center"/>
          </w:tcPr>
          <w:p w14:paraId="2382E4CA" w14:textId="77777777" w:rsidR="00A3704E" w:rsidRPr="00312CB9" w:rsidRDefault="00A3704E" w:rsidP="006E137A">
            <w:pPr>
              <w:pStyle w:val="CETBodytext"/>
              <w:ind w:right="-1"/>
              <w:jc w:val="center"/>
              <w:rPr>
                <w:rFonts w:cs="Arial"/>
                <w:szCs w:val="18"/>
                <w:lang w:val="en-GB"/>
              </w:rPr>
            </w:pPr>
            <w:r w:rsidRPr="00312CB9">
              <w:rPr>
                <w:rFonts w:cs="Arial"/>
                <w:szCs w:val="18"/>
                <w:lang w:val="en-GB"/>
              </w:rPr>
              <w:t>100</w:t>
            </w:r>
          </w:p>
        </w:tc>
        <w:tc>
          <w:tcPr>
            <w:tcW w:w="2520" w:type="dxa"/>
            <w:shd w:val="clear" w:color="auto" w:fill="FFFFFF"/>
            <w:vAlign w:val="center"/>
          </w:tcPr>
          <w:p w14:paraId="6F8FE06A" w14:textId="1EB01554" w:rsidR="00A3704E" w:rsidRPr="00312CB9" w:rsidRDefault="005B7B5F" w:rsidP="006E137A">
            <w:pPr>
              <w:pStyle w:val="CETBodytext"/>
              <w:ind w:right="-1"/>
              <w:jc w:val="center"/>
              <w:rPr>
                <w:rFonts w:cs="Arial"/>
                <w:szCs w:val="18"/>
                <w:lang w:val="en-GB"/>
              </w:rPr>
            </w:pPr>
            <w:r w:rsidRPr="00312CB9">
              <w:rPr>
                <w:rFonts w:cs="Arial"/>
                <w:szCs w:val="18"/>
                <w:lang w:val="en-GB"/>
              </w:rPr>
              <w:t xml:space="preserve">R2 </w:t>
            </w:r>
            <w:r w:rsidR="00A3704E" w:rsidRPr="00312CB9">
              <w:rPr>
                <w:rFonts w:cs="Arial"/>
                <w:szCs w:val="18"/>
                <w:lang w:val="en-GB"/>
              </w:rPr>
              <w:t xml:space="preserve">(3 </w:t>
            </w:r>
            <w:r w:rsidRPr="00312CB9">
              <w:rPr>
                <w:rFonts w:cs="Arial"/>
                <w:szCs w:val="18"/>
                <w:lang w:val="en-GB"/>
              </w:rPr>
              <w:t>repetitions</w:t>
            </w:r>
            <w:r w:rsidR="006E137A" w:rsidRPr="00312CB9">
              <w:rPr>
                <w:rFonts w:cs="Arial"/>
                <w:szCs w:val="18"/>
                <w:lang w:val="en-GB"/>
              </w:rPr>
              <w:t xml:space="preserve"> </w:t>
            </w:r>
            <w:r w:rsidR="006E137A" w:rsidRPr="00312CB9">
              <w:rPr>
                <w:rFonts w:cs="Arial"/>
                <w:szCs w:val="18"/>
                <w:lang w:val="en-GB"/>
              </w:rPr>
              <w:t xml:space="preserve">in reactor </w:t>
            </w:r>
            <w:r w:rsidR="006239B9" w:rsidRPr="00312CB9">
              <w:rPr>
                <w:rFonts w:cs="Arial"/>
                <w:szCs w:val="18"/>
                <w:lang w:val="en-GB"/>
              </w:rPr>
              <w:t>2</w:t>
            </w:r>
            <w:r w:rsidR="00A3704E" w:rsidRPr="00312CB9">
              <w:rPr>
                <w:rFonts w:cs="Arial"/>
                <w:szCs w:val="18"/>
                <w:lang w:val="en-GB"/>
              </w:rPr>
              <w:t>)</w:t>
            </w:r>
          </w:p>
        </w:tc>
      </w:tr>
      <w:tr w:rsidR="00A3704E" w:rsidRPr="00312CB9" w14:paraId="60F646A8" w14:textId="77777777" w:rsidTr="005B7B5F">
        <w:trPr>
          <w:trHeight w:val="251"/>
        </w:trPr>
        <w:tc>
          <w:tcPr>
            <w:tcW w:w="2225" w:type="dxa"/>
            <w:vMerge/>
            <w:shd w:val="clear" w:color="auto" w:fill="FFFFFF"/>
            <w:vAlign w:val="center"/>
          </w:tcPr>
          <w:p w14:paraId="29E8C726" w14:textId="77777777" w:rsidR="00A3704E" w:rsidRPr="00312CB9" w:rsidRDefault="00A3704E" w:rsidP="00942447">
            <w:pPr>
              <w:pStyle w:val="CETBodytext"/>
              <w:ind w:right="-1"/>
              <w:rPr>
                <w:rFonts w:cs="Arial"/>
                <w:szCs w:val="18"/>
                <w:lang w:val="en-GB"/>
              </w:rPr>
            </w:pPr>
          </w:p>
        </w:tc>
        <w:tc>
          <w:tcPr>
            <w:tcW w:w="1218" w:type="dxa"/>
            <w:vMerge/>
            <w:shd w:val="clear" w:color="auto" w:fill="FFFFFF"/>
            <w:vAlign w:val="center"/>
          </w:tcPr>
          <w:p w14:paraId="622CC0C3" w14:textId="77777777" w:rsidR="00A3704E" w:rsidRPr="00312CB9" w:rsidRDefault="00A3704E" w:rsidP="006E137A">
            <w:pPr>
              <w:pStyle w:val="CETBodytext"/>
              <w:ind w:right="-1"/>
              <w:jc w:val="center"/>
              <w:rPr>
                <w:rFonts w:cs="Arial"/>
                <w:szCs w:val="18"/>
                <w:lang w:val="en-GB"/>
              </w:rPr>
            </w:pPr>
          </w:p>
        </w:tc>
        <w:tc>
          <w:tcPr>
            <w:tcW w:w="1062" w:type="dxa"/>
            <w:shd w:val="clear" w:color="auto" w:fill="FFFFFF"/>
            <w:vAlign w:val="center"/>
          </w:tcPr>
          <w:p w14:paraId="69EBEF60" w14:textId="4AC6DDD9" w:rsidR="00A3704E" w:rsidRPr="00312CB9" w:rsidRDefault="006239B9" w:rsidP="006E137A">
            <w:pPr>
              <w:pStyle w:val="CETBodytext"/>
              <w:ind w:right="-1"/>
              <w:jc w:val="center"/>
              <w:rPr>
                <w:rFonts w:cs="Arial"/>
                <w:szCs w:val="18"/>
                <w:lang w:val="en-GB"/>
              </w:rPr>
            </w:pPr>
            <w:r w:rsidRPr="00312CB9">
              <w:rPr>
                <w:rFonts w:cs="Arial"/>
                <w:szCs w:val="18"/>
                <w:lang w:val="en-GB"/>
              </w:rPr>
              <w:t>7</w:t>
            </w:r>
          </w:p>
        </w:tc>
        <w:tc>
          <w:tcPr>
            <w:tcW w:w="1024" w:type="dxa"/>
            <w:shd w:val="clear" w:color="auto" w:fill="FFFFFF"/>
            <w:vAlign w:val="center"/>
          </w:tcPr>
          <w:p w14:paraId="1B4B1D5B" w14:textId="77777777" w:rsidR="00A3704E" w:rsidRPr="00312CB9" w:rsidRDefault="00A3704E" w:rsidP="006E137A">
            <w:pPr>
              <w:pStyle w:val="CETBodytext"/>
              <w:ind w:right="-1"/>
              <w:jc w:val="center"/>
              <w:rPr>
                <w:rFonts w:cs="Arial"/>
                <w:szCs w:val="18"/>
                <w:lang w:val="en-GB"/>
              </w:rPr>
            </w:pPr>
            <w:r w:rsidRPr="00312CB9">
              <w:rPr>
                <w:rFonts w:cs="Arial"/>
                <w:szCs w:val="18"/>
                <w:lang w:val="en-GB"/>
              </w:rPr>
              <w:t>100</w:t>
            </w:r>
          </w:p>
        </w:tc>
        <w:tc>
          <w:tcPr>
            <w:tcW w:w="2520" w:type="dxa"/>
            <w:shd w:val="clear" w:color="auto" w:fill="FFFFFF"/>
            <w:vAlign w:val="center"/>
          </w:tcPr>
          <w:p w14:paraId="2BB1D99E" w14:textId="79610844" w:rsidR="00A3704E" w:rsidRPr="00312CB9" w:rsidRDefault="005B7B5F" w:rsidP="006E137A">
            <w:pPr>
              <w:pStyle w:val="CETBodytext"/>
              <w:ind w:right="-1"/>
              <w:jc w:val="center"/>
              <w:rPr>
                <w:rFonts w:cs="Arial"/>
                <w:szCs w:val="18"/>
                <w:lang w:val="en-GB"/>
              </w:rPr>
            </w:pPr>
            <w:r w:rsidRPr="00312CB9">
              <w:rPr>
                <w:rFonts w:cs="Arial"/>
                <w:szCs w:val="18"/>
                <w:lang w:val="en-GB"/>
              </w:rPr>
              <w:t>R3</w:t>
            </w:r>
            <w:r w:rsidR="00A3704E" w:rsidRPr="00312CB9">
              <w:rPr>
                <w:rFonts w:cs="Arial"/>
                <w:szCs w:val="18"/>
                <w:lang w:val="en-GB"/>
              </w:rPr>
              <w:t xml:space="preserve"> (3 </w:t>
            </w:r>
            <w:r w:rsidRPr="00312CB9">
              <w:rPr>
                <w:rFonts w:cs="Arial"/>
                <w:szCs w:val="18"/>
                <w:lang w:val="en-GB"/>
              </w:rPr>
              <w:t>repetitions</w:t>
            </w:r>
            <w:r w:rsidR="006E137A" w:rsidRPr="00312CB9">
              <w:rPr>
                <w:rFonts w:cs="Arial"/>
                <w:szCs w:val="18"/>
                <w:lang w:val="en-GB"/>
              </w:rPr>
              <w:t xml:space="preserve"> </w:t>
            </w:r>
            <w:r w:rsidR="006E137A" w:rsidRPr="00312CB9">
              <w:rPr>
                <w:rFonts w:cs="Arial"/>
                <w:szCs w:val="18"/>
                <w:lang w:val="en-GB"/>
              </w:rPr>
              <w:t xml:space="preserve">in reactor </w:t>
            </w:r>
            <w:r w:rsidR="006239B9" w:rsidRPr="00312CB9">
              <w:rPr>
                <w:rFonts w:cs="Arial"/>
                <w:szCs w:val="18"/>
                <w:lang w:val="en-GB"/>
              </w:rPr>
              <w:t>3</w:t>
            </w:r>
            <w:r w:rsidR="00A3704E" w:rsidRPr="00312CB9">
              <w:rPr>
                <w:rFonts w:cs="Arial"/>
                <w:szCs w:val="18"/>
                <w:lang w:val="en-GB"/>
              </w:rPr>
              <w:t>)</w:t>
            </w:r>
          </w:p>
        </w:tc>
      </w:tr>
    </w:tbl>
    <w:p w14:paraId="2A2B6A81" w14:textId="60283960" w:rsidR="006C5195" w:rsidRPr="00312CB9" w:rsidRDefault="005B7B5F" w:rsidP="001751C4">
      <w:pPr>
        <w:pStyle w:val="CETHeading1"/>
        <w:tabs>
          <w:tab w:val="clear" w:pos="360"/>
          <w:tab w:val="num" w:pos="0"/>
        </w:tabs>
        <w:ind w:left="0"/>
        <w:rPr>
          <w:lang w:val="en-GB"/>
        </w:rPr>
      </w:pPr>
      <w:r w:rsidRPr="00312CB9">
        <w:rPr>
          <w:lang w:val="en-GB"/>
        </w:rPr>
        <w:t>Resulted</w:t>
      </w:r>
      <w:r w:rsidR="001751C4" w:rsidRPr="00312CB9">
        <w:rPr>
          <w:lang w:val="en-GB"/>
        </w:rPr>
        <w:t xml:space="preserve"> </w:t>
      </w:r>
      <w:r w:rsidRPr="00312CB9">
        <w:rPr>
          <w:lang w:val="en-GB"/>
        </w:rPr>
        <w:t>and</w:t>
      </w:r>
      <w:r w:rsidR="001751C4" w:rsidRPr="00312CB9">
        <w:rPr>
          <w:lang w:val="en-GB"/>
        </w:rPr>
        <w:t xml:space="preserve"> </w:t>
      </w:r>
      <w:r w:rsidRPr="00312CB9">
        <w:rPr>
          <w:lang w:val="en-GB"/>
        </w:rPr>
        <w:t>discussion</w:t>
      </w:r>
    </w:p>
    <w:p w14:paraId="33EDEC2F" w14:textId="6B72D448" w:rsidR="001751C4" w:rsidRPr="00312CB9" w:rsidRDefault="005B7B5F" w:rsidP="008B2029">
      <w:pPr>
        <w:pStyle w:val="CETheadingx"/>
        <w:rPr>
          <w:lang w:val="en-GB"/>
        </w:rPr>
      </w:pPr>
      <w:r w:rsidRPr="00312CB9">
        <w:rPr>
          <w:lang w:val="en-GB"/>
        </w:rPr>
        <w:t>Initial characteristics of the water sample for treatment</w:t>
      </w:r>
      <w:r w:rsidR="008B2029" w:rsidRPr="00312CB9">
        <w:rPr>
          <w:lang w:val="en-GB"/>
        </w:rPr>
        <w:t xml:space="preserve"> </w:t>
      </w:r>
    </w:p>
    <w:p w14:paraId="2234D31F" w14:textId="58FF8373" w:rsidR="008B2029" w:rsidRPr="00312CB9" w:rsidRDefault="005B7B5F" w:rsidP="001751C4">
      <w:pPr>
        <w:pStyle w:val="CETBodytext"/>
        <w:rPr>
          <w:lang w:val="en-GB"/>
        </w:rPr>
      </w:pPr>
      <w:r w:rsidRPr="00312CB9">
        <w:rPr>
          <w:lang w:val="en-GB"/>
        </w:rPr>
        <w:t>Table 2 shows that the industrial wastewater sample contained 1,352 mg/L of cyanide; this value exceeds the maximum permissible limit (MPL) for discharges of liquid effluents from mining-metallurgical activities, established by Peruvian regulations (MINAM, 2010), whose values are 1 mg/L at any time and 0.8 mg/L for the annual average. Likewise, the pH exceeds the MPL, which establishes that it must be between 6 and 9, as well as total suspended solids, which is set at 50 mg/L (limit at any given time).</w:t>
      </w:r>
    </w:p>
    <w:p w14:paraId="3B2EC54C" w14:textId="0498196D" w:rsidR="008B2029" w:rsidRPr="00312CB9" w:rsidRDefault="008B2029" w:rsidP="008B2029">
      <w:pPr>
        <w:pStyle w:val="CETTabletitle"/>
      </w:pPr>
      <w:bookmarkStart w:id="0" w:name="_Hlk94459388"/>
      <w:r w:rsidRPr="00312CB9">
        <w:t xml:space="preserve">Table 2: </w:t>
      </w:r>
      <w:r w:rsidR="005B7B5F" w:rsidRPr="00312CB9">
        <w:t>Initial characteristics of contaminated water</w:t>
      </w:r>
    </w:p>
    <w:tbl>
      <w:tblPr>
        <w:tblW w:w="5319" w:type="dxa"/>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2677"/>
        <w:gridCol w:w="1102"/>
        <w:gridCol w:w="1540"/>
      </w:tblGrid>
      <w:tr w:rsidR="00425B0E" w:rsidRPr="00312CB9" w14:paraId="6BDED0A9" w14:textId="32EFE8B4" w:rsidTr="00184E58">
        <w:trPr>
          <w:trHeight w:val="273"/>
        </w:trPr>
        <w:tc>
          <w:tcPr>
            <w:tcW w:w="2677" w:type="dxa"/>
            <w:tcBorders>
              <w:top w:val="single" w:sz="12" w:space="0" w:color="008000"/>
              <w:bottom w:val="single" w:sz="6" w:space="0" w:color="008000"/>
            </w:tcBorders>
            <w:shd w:val="clear" w:color="auto" w:fill="FFFFFF"/>
            <w:vAlign w:val="center"/>
          </w:tcPr>
          <w:p w14:paraId="3967C411" w14:textId="6F7A5B44" w:rsidR="00425B0E" w:rsidRPr="00312CB9" w:rsidRDefault="00B24860" w:rsidP="00942447">
            <w:pPr>
              <w:pStyle w:val="CETBodytext"/>
              <w:rPr>
                <w:lang w:val="en-GB"/>
              </w:rPr>
            </w:pPr>
            <w:r w:rsidRPr="00312CB9">
              <w:rPr>
                <w:lang w:val="en-GB"/>
              </w:rPr>
              <w:t>Parameters</w:t>
            </w:r>
          </w:p>
        </w:tc>
        <w:tc>
          <w:tcPr>
            <w:tcW w:w="1102" w:type="dxa"/>
            <w:tcBorders>
              <w:top w:val="single" w:sz="12" w:space="0" w:color="008000"/>
              <w:bottom w:val="single" w:sz="6" w:space="0" w:color="008000"/>
            </w:tcBorders>
            <w:shd w:val="clear" w:color="auto" w:fill="FFFFFF"/>
            <w:vAlign w:val="center"/>
          </w:tcPr>
          <w:p w14:paraId="207839D6" w14:textId="2A542C66" w:rsidR="00425B0E" w:rsidRPr="00312CB9" w:rsidRDefault="00B24860" w:rsidP="00942447">
            <w:pPr>
              <w:pStyle w:val="CETBodytext"/>
              <w:ind w:left="150" w:right="-1" w:hanging="150"/>
              <w:jc w:val="left"/>
              <w:rPr>
                <w:rFonts w:cs="Arial"/>
                <w:szCs w:val="18"/>
                <w:lang w:val="en-GB"/>
              </w:rPr>
            </w:pPr>
            <w:r w:rsidRPr="00312CB9">
              <w:rPr>
                <w:rFonts w:cs="Arial"/>
                <w:szCs w:val="18"/>
                <w:lang w:val="en-GB"/>
              </w:rPr>
              <w:t>Valour</w:t>
            </w:r>
          </w:p>
        </w:tc>
        <w:tc>
          <w:tcPr>
            <w:tcW w:w="1540" w:type="dxa"/>
            <w:tcBorders>
              <w:top w:val="single" w:sz="12" w:space="0" w:color="008000"/>
              <w:bottom w:val="single" w:sz="6" w:space="0" w:color="008000"/>
            </w:tcBorders>
            <w:shd w:val="clear" w:color="auto" w:fill="FFFFFF"/>
            <w:vAlign w:val="center"/>
          </w:tcPr>
          <w:p w14:paraId="3F4F9A4A" w14:textId="7433AF20" w:rsidR="00425B0E" w:rsidRPr="00312CB9" w:rsidRDefault="00B24860" w:rsidP="00942447">
            <w:pPr>
              <w:pStyle w:val="CETBodytext"/>
              <w:ind w:right="-1"/>
              <w:jc w:val="left"/>
              <w:rPr>
                <w:rFonts w:cs="Arial"/>
                <w:szCs w:val="18"/>
                <w:lang w:val="en-GB"/>
              </w:rPr>
            </w:pPr>
            <w:r w:rsidRPr="00312CB9">
              <w:rPr>
                <w:rFonts w:cs="Arial"/>
                <w:szCs w:val="18"/>
                <w:lang w:val="en-GB"/>
              </w:rPr>
              <w:t>units</w:t>
            </w:r>
          </w:p>
        </w:tc>
      </w:tr>
      <w:tr w:rsidR="00425B0E" w:rsidRPr="00312CB9" w14:paraId="1AC6CE52" w14:textId="12B32414" w:rsidTr="00184E58">
        <w:trPr>
          <w:trHeight w:val="273"/>
        </w:trPr>
        <w:tc>
          <w:tcPr>
            <w:tcW w:w="2677" w:type="dxa"/>
            <w:shd w:val="clear" w:color="auto" w:fill="FFFFFF"/>
          </w:tcPr>
          <w:p w14:paraId="1AFF80B3" w14:textId="5442DD29" w:rsidR="00425B0E" w:rsidRPr="00312CB9" w:rsidRDefault="00B24860" w:rsidP="00184E58">
            <w:pPr>
              <w:pStyle w:val="CETBodytext"/>
              <w:spacing w:line="240" w:lineRule="auto"/>
              <w:jc w:val="left"/>
              <w:rPr>
                <w:lang w:val="en-GB"/>
              </w:rPr>
            </w:pPr>
            <w:r w:rsidRPr="00312CB9">
              <w:rPr>
                <w:lang w:val="en-GB"/>
              </w:rPr>
              <w:t>Total cyanide</w:t>
            </w:r>
          </w:p>
        </w:tc>
        <w:tc>
          <w:tcPr>
            <w:tcW w:w="1102" w:type="dxa"/>
            <w:shd w:val="clear" w:color="auto" w:fill="FFFFFF"/>
          </w:tcPr>
          <w:p w14:paraId="56F90A07" w14:textId="4F53F2EB" w:rsidR="00425B0E" w:rsidRPr="00312CB9" w:rsidRDefault="00425B0E" w:rsidP="00184E58">
            <w:pPr>
              <w:pStyle w:val="CETBodytext"/>
              <w:spacing w:line="240" w:lineRule="auto"/>
              <w:ind w:right="-1"/>
              <w:rPr>
                <w:rFonts w:cs="Arial"/>
                <w:szCs w:val="18"/>
                <w:lang w:val="en-GB"/>
              </w:rPr>
            </w:pPr>
            <w:r w:rsidRPr="00312CB9">
              <w:rPr>
                <w:lang w:val="en-GB"/>
              </w:rPr>
              <w:t>1,352</w:t>
            </w:r>
          </w:p>
        </w:tc>
        <w:tc>
          <w:tcPr>
            <w:tcW w:w="1540" w:type="dxa"/>
            <w:shd w:val="clear" w:color="auto" w:fill="FFFFFF"/>
          </w:tcPr>
          <w:p w14:paraId="2B028576" w14:textId="0536CAD4" w:rsidR="00425B0E" w:rsidRPr="00312CB9" w:rsidRDefault="00425B0E" w:rsidP="00184E58">
            <w:pPr>
              <w:pStyle w:val="CETBodytext"/>
              <w:spacing w:line="240" w:lineRule="auto"/>
              <w:ind w:right="-1"/>
              <w:rPr>
                <w:rFonts w:cs="Arial"/>
                <w:szCs w:val="18"/>
                <w:lang w:val="en-GB"/>
              </w:rPr>
            </w:pPr>
            <w:r w:rsidRPr="00312CB9">
              <w:rPr>
                <w:lang w:val="en-GB"/>
              </w:rPr>
              <w:t>mg/L</w:t>
            </w:r>
          </w:p>
        </w:tc>
      </w:tr>
      <w:tr w:rsidR="00425B0E" w:rsidRPr="00312CB9" w14:paraId="1CD84372" w14:textId="137556D1" w:rsidTr="00184E58">
        <w:trPr>
          <w:trHeight w:val="273"/>
        </w:trPr>
        <w:tc>
          <w:tcPr>
            <w:tcW w:w="2677" w:type="dxa"/>
            <w:tcBorders>
              <w:bottom w:val="nil"/>
            </w:tcBorders>
            <w:shd w:val="clear" w:color="auto" w:fill="FFFFFF"/>
          </w:tcPr>
          <w:p w14:paraId="2D044551" w14:textId="3BB14FA9" w:rsidR="00425B0E" w:rsidRPr="00312CB9" w:rsidRDefault="00425B0E" w:rsidP="00184E58">
            <w:pPr>
              <w:pStyle w:val="CETBodytext"/>
              <w:spacing w:line="240" w:lineRule="auto"/>
              <w:jc w:val="left"/>
              <w:rPr>
                <w:lang w:val="en-GB"/>
              </w:rPr>
            </w:pPr>
            <w:r w:rsidRPr="00312CB9">
              <w:rPr>
                <w:lang w:val="en-GB"/>
              </w:rPr>
              <w:t>pH</w:t>
            </w:r>
          </w:p>
        </w:tc>
        <w:tc>
          <w:tcPr>
            <w:tcW w:w="1102" w:type="dxa"/>
            <w:tcBorders>
              <w:bottom w:val="nil"/>
            </w:tcBorders>
            <w:shd w:val="clear" w:color="auto" w:fill="FFFFFF"/>
          </w:tcPr>
          <w:p w14:paraId="17E3FE62" w14:textId="5383395C" w:rsidR="00425B0E" w:rsidRPr="00312CB9" w:rsidRDefault="00425B0E" w:rsidP="00184E58">
            <w:pPr>
              <w:pStyle w:val="CETBodytext"/>
              <w:spacing w:line="240" w:lineRule="auto"/>
              <w:ind w:right="-1"/>
              <w:rPr>
                <w:rFonts w:cs="Arial"/>
                <w:szCs w:val="18"/>
                <w:lang w:val="en-GB"/>
              </w:rPr>
            </w:pPr>
            <w:r w:rsidRPr="00312CB9">
              <w:rPr>
                <w:lang w:val="en-GB"/>
              </w:rPr>
              <w:t>13.4</w:t>
            </w:r>
          </w:p>
        </w:tc>
        <w:tc>
          <w:tcPr>
            <w:tcW w:w="1540" w:type="dxa"/>
            <w:tcBorders>
              <w:bottom w:val="nil"/>
            </w:tcBorders>
            <w:shd w:val="clear" w:color="auto" w:fill="FFFFFF"/>
          </w:tcPr>
          <w:p w14:paraId="20A2B3CB" w14:textId="26EC8867" w:rsidR="00425B0E" w:rsidRPr="00312CB9" w:rsidRDefault="00B24860" w:rsidP="00184E58">
            <w:pPr>
              <w:pStyle w:val="CETBodytext"/>
              <w:spacing w:line="240" w:lineRule="auto"/>
              <w:ind w:right="-1"/>
              <w:rPr>
                <w:rFonts w:cs="Arial"/>
                <w:szCs w:val="18"/>
                <w:lang w:val="en-GB"/>
              </w:rPr>
            </w:pPr>
            <w:r w:rsidRPr="00312CB9">
              <w:rPr>
                <w:lang w:val="en-GB"/>
              </w:rPr>
              <w:t>pH units</w:t>
            </w:r>
          </w:p>
        </w:tc>
      </w:tr>
      <w:tr w:rsidR="00425B0E" w:rsidRPr="00312CB9" w14:paraId="01CB0F6E" w14:textId="1390A270" w:rsidTr="00184E58">
        <w:trPr>
          <w:trHeight w:val="292"/>
        </w:trPr>
        <w:tc>
          <w:tcPr>
            <w:tcW w:w="2677" w:type="dxa"/>
            <w:tcBorders>
              <w:top w:val="nil"/>
              <w:bottom w:val="nil"/>
            </w:tcBorders>
            <w:shd w:val="clear" w:color="auto" w:fill="FFFFFF"/>
          </w:tcPr>
          <w:p w14:paraId="45547F91" w14:textId="7745DD9B" w:rsidR="00425B0E" w:rsidRPr="00312CB9" w:rsidRDefault="00B24860" w:rsidP="00184E58">
            <w:pPr>
              <w:pStyle w:val="CETBodytext"/>
              <w:spacing w:line="240" w:lineRule="auto"/>
              <w:ind w:right="-1"/>
              <w:jc w:val="left"/>
              <w:rPr>
                <w:rFonts w:cs="Arial"/>
                <w:szCs w:val="18"/>
                <w:lang w:val="en-GB"/>
              </w:rPr>
            </w:pPr>
            <w:r w:rsidRPr="00312CB9">
              <w:rPr>
                <w:lang w:val="en-GB"/>
              </w:rPr>
              <w:t>Temperature</w:t>
            </w:r>
          </w:p>
        </w:tc>
        <w:tc>
          <w:tcPr>
            <w:tcW w:w="1102" w:type="dxa"/>
            <w:tcBorders>
              <w:top w:val="nil"/>
              <w:bottom w:val="nil"/>
            </w:tcBorders>
            <w:shd w:val="clear" w:color="auto" w:fill="FFFFFF"/>
          </w:tcPr>
          <w:p w14:paraId="55AEA5C1" w14:textId="7CA343CD" w:rsidR="00425B0E" w:rsidRPr="00312CB9" w:rsidRDefault="00425B0E" w:rsidP="00184E58">
            <w:pPr>
              <w:pStyle w:val="CETBodytext"/>
              <w:spacing w:line="240" w:lineRule="auto"/>
              <w:ind w:right="-1"/>
              <w:rPr>
                <w:rFonts w:cs="Arial"/>
                <w:szCs w:val="18"/>
                <w:lang w:val="en-GB"/>
              </w:rPr>
            </w:pPr>
            <w:r w:rsidRPr="00312CB9">
              <w:rPr>
                <w:lang w:val="en-GB"/>
              </w:rPr>
              <w:t>24.5</w:t>
            </w:r>
          </w:p>
        </w:tc>
        <w:tc>
          <w:tcPr>
            <w:tcW w:w="1540" w:type="dxa"/>
            <w:tcBorders>
              <w:top w:val="nil"/>
              <w:bottom w:val="nil"/>
            </w:tcBorders>
            <w:shd w:val="clear" w:color="auto" w:fill="FFFFFF"/>
          </w:tcPr>
          <w:p w14:paraId="2819D347" w14:textId="55D49610" w:rsidR="00425B0E" w:rsidRPr="00312CB9" w:rsidRDefault="00425B0E" w:rsidP="00184E58">
            <w:pPr>
              <w:pStyle w:val="CETBodytext"/>
              <w:spacing w:line="240" w:lineRule="auto"/>
              <w:ind w:right="-1"/>
              <w:rPr>
                <w:rFonts w:cs="Arial"/>
                <w:szCs w:val="18"/>
                <w:lang w:val="en-GB"/>
              </w:rPr>
            </w:pPr>
            <w:r w:rsidRPr="00312CB9">
              <w:rPr>
                <w:lang w:val="en-GB"/>
              </w:rPr>
              <w:t>°C</w:t>
            </w:r>
          </w:p>
        </w:tc>
      </w:tr>
      <w:tr w:rsidR="00425B0E" w:rsidRPr="00312CB9" w14:paraId="6B2AFE9A" w14:textId="5AB2F464" w:rsidTr="00184E58">
        <w:trPr>
          <w:trHeight w:val="292"/>
        </w:trPr>
        <w:tc>
          <w:tcPr>
            <w:tcW w:w="2677" w:type="dxa"/>
            <w:tcBorders>
              <w:top w:val="nil"/>
            </w:tcBorders>
            <w:shd w:val="clear" w:color="auto" w:fill="FFFFFF"/>
          </w:tcPr>
          <w:p w14:paraId="37ECF063" w14:textId="6D453091" w:rsidR="00425B0E" w:rsidRPr="00312CB9" w:rsidRDefault="00425B0E" w:rsidP="00184E58">
            <w:pPr>
              <w:pStyle w:val="CETBodytext"/>
              <w:spacing w:line="240" w:lineRule="auto"/>
              <w:ind w:right="-1"/>
              <w:jc w:val="left"/>
              <w:rPr>
                <w:rFonts w:cs="Arial"/>
                <w:szCs w:val="18"/>
                <w:lang w:val="en-GB"/>
              </w:rPr>
            </w:pPr>
            <w:r w:rsidRPr="00312CB9">
              <w:rPr>
                <w:lang w:val="en-GB"/>
              </w:rPr>
              <w:t>DBO</w:t>
            </w:r>
          </w:p>
        </w:tc>
        <w:tc>
          <w:tcPr>
            <w:tcW w:w="1102" w:type="dxa"/>
            <w:tcBorders>
              <w:top w:val="nil"/>
            </w:tcBorders>
            <w:shd w:val="clear" w:color="auto" w:fill="FFFFFF"/>
          </w:tcPr>
          <w:p w14:paraId="17CEC7D4" w14:textId="765AC2B0" w:rsidR="00425B0E" w:rsidRPr="00312CB9" w:rsidRDefault="00425B0E" w:rsidP="00184E58">
            <w:pPr>
              <w:pStyle w:val="CETBodytext"/>
              <w:spacing w:line="240" w:lineRule="auto"/>
              <w:ind w:right="-1"/>
              <w:rPr>
                <w:rFonts w:cs="Arial"/>
                <w:szCs w:val="18"/>
                <w:lang w:val="en-GB"/>
              </w:rPr>
            </w:pPr>
            <w:r w:rsidRPr="00312CB9">
              <w:rPr>
                <w:lang w:val="en-GB"/>
              </w:rPr>
              <w:t>70</w:t>
            </w:r>
          </w:p>
        </w:tc>
        <w:tc>
          <w:tcPr>
            <w:tcW w:w="1540" w:type="dxa"/>
            <w:tcBorders>
              <w:top w:val="nil"/>
            </w:tcBorders>
            <w:shd w:val="clear" w:color="auto" w:fill="FFFFFF"/>
          </w:tcPr>
          <w:p w14:paraId="72D4DCE4" w14:textId="7A67A810" w:rsidR="00425B0E" w:rsidRPr="00312CB9" w:rsidRDefault="00425B0E" w:rsidP="00184E58">
            <w:pPr>
              <w:pStyle w:val="CETBodytext"/>
              <w:spacing w:line="240" w:lineRule="auto"/>
              <w:ind w:right="-1"/>
              <w:rPr>
                <w:rFonts w:cs="Arial"/>
                <w:szCs w:val="18"/>
                <w:lang w:val="en-GB"/>
              </w:rPr>
            </w:pPr>
            <w:r w:rsidRPr="00312CB9">
              <w:rPr>
                <w:lang w:val="en-GB"/>
              </w:rPr>
              <w:t>mg/L</w:t>
            </w:r>
          </w:p>
        </w:tc>
      </w:tr>
      <w:tr w:rsidR="00425B0E" w:rsidRPr="00312CB9" w14:paraId="12CD8028" w14:textId="767716D8" w:rsidTr="00184E58">
        <w:trPr>
          <w:trHeight w:val="292"/>
        </w:trPr>
        <w:tc>
          <w:tcPr>
            <w:tcW w:w="2677" w:type="dxa"/>
            <w:shd w:val="clear" w:color="auto" w:fill="FFFFFF"/>
          </w:tcPr>
          <w:p w14:paraId="2EB6167E" w14:textId="44ADCCEB" w:rsidR="00425B0E" w:rsidRPr="00312CB9" w:rsidRDefault="00B24860" w:rsidP="00184E58">
            <w:pPr>
              <w:pStyle w:val="CETBodytext"/>
              <w:spacing w:line="240" w:lineRule="auto"/>
              <w:ind w:right="-1"/>
              <w:jc w:val="left"/>
              <w:rPr>
                <w:rFonts w:cs="Arial"/>
                <w:szCs w:val="18"/>
                <w:lang w:val="en-GB"/>
              </w:rPr>
            </w:pPr>
            <w:r w:rsidRPr="00312CB9">
              <w:rPr>
                <w:lang w:val="en-GB"/>
              </w:rPr>
              <w:t>Dissolved Oxygen</w:t>
            </w:r>
          </w:p>
        </w:tc>
        <w:tc>
          <w:tcPr>
            <w:tcW w:w="1102" w:type="dxa"/>
            <w:shd w:val="clear" w:color="auto" w:fill="FFFFFF"/>
          </w:tcPr>
          <w:p w14:paraId="1A89ABE7" w14:textId="3495F15E" w:rsidR="00425B0E" w:rsidRPr="00312CB9" w:rsidRDefault="00425B0E" w:rsidP="00184E58">
            <w:pPr>
              <w:pStyle w:val="CETBodytext"/>
              <w:spacing w:line="240" w:lineRule="auto"/>
              <w:ind w:right="-1"/>
              <w:rPr>
                <w:rFonts w:cs="Arial"/>
                <w:szCs w:val="18"/>
                <w:lang w:val="en-GB"/>
              </w:rPr>
            </w:pPr>
            <w:r w:rsidRPr="00312CB9">
              <w:rPr>
                <w:lang w:val="en-GB"/>
              </w:rPr>
              <w:t>1</w:t>
            </w:r>
          </w:p>
        </w:tc>
        <w:tc>
          <w:tcPr>
            <w:tcW w:w="1540" w:type="dxa"/>
            <w:shd w:val="clear" w:color="auto" w:fill="FFFFFF"/>
          </w:tcPr>
          <w:p w14:paraId="2E948560" w14:textId="3FEBBE45" w:rsidR="00425B0E" w:rsidRPr="00312CB9" w:rsidRDefault="00425B0E" w:rsidP="00184E58">
            <w:pPr>
              <w:pStyle w:val="CETBodytext"/>
              <w:spacing w:line="240" w:lineRule="auto"/>
              <w:ind w:right="-1"/>
              <w:rPr>
                <w:rFonts w:cs="Arial"/>
                <w:szCs w:val="18"/>
                <w:lang w:val="en-GB"/>
              </w:rPr>
            </w:pPr>
            <w:r w:rsidRPr="00312CB9">
              <w:rPr>
                <w:lang w:val="en-GB"/>
              </w:rPr>
              <w:t>mg/L</w:t>
            </w:r>
          </w:p>
        </w:tc>
      </w:tr>
      <w:tr w:rsidR="00B24860" w:rsidRPr="00312CB9" w14:paraId="49A59894" w14:textId="0B2C7416" w:rsidTr="00184E58">
        <w:trPr>
          <w:trHeight w:val="292"/>
        </w:trPr>
        <w:tc>
          <w:tcPr>
            <w:tcW w:w="2677" w:type="dxa"/>
            <w:shd w:val="clear" w:color="auto" w:fill="FFFFFF"/>
          </w:tcPr>
          <w:p w14:paraId="17ED7060" w14:textId="3A116F30" w:rsidR="00B24860" w:rsidRPr="00312CB9" w:rsidRDefault="00B24860" w:rsidP="00B24860">
            <w:pPr>
              <w:pStyle w:val="CETBodytext"/>
              <w:spacing w:line="240" w:lineRule="auto"/>
              <w:ind w:right="-1"/>
              <w:jc w:val="left"/>
              <w:rPr>
                <w:rFonts w:cs="Arial"/>
                <w:szCs w:val="18"/>
                <w:lang w:val="en-GB"/>
              </w:rPr>
            </w:pPr>
            <w:r w:rsidRPr="00312CB9">
              <w:rPr>
                <w:lang w:val="en-GB"/>
              </w:rPr>
              <w:t>Electrical conductivity</w:t>
            </w:r>
          </w:p>
        </w:tc>
        <w:tc>
          <w:tcPr>
            <w:tcW w:w="1102" w:type="dxa"/>
            <w:shd w:val="clear" w:color="auto" w:fill="FFFFFF"/>
          </w:tcPr>
          <w:p w14:paraId="0AFCD617" w14:textId="51EF40CC" w:rsidR="00B24860" w:rsidRPr="00312CB9" w:rsidRDefault="00B24860" w:rsidP="00B24860">
            <w:pPr>
              <w:pStyle w:val="CETBodytext"/>
              <w:spacing w:line="240" w:lineRule="auto"/>
              <w:ind w:right="-1"/>
              <w:rPr>
                <w:rFonts w:cs="Arial"/>
                <w:szCs w:val="18"/>
                <w:lang w:val="en-GB"/>
              </w:rPr>
            </w:pPr>
            <w:r w:rsidRPr="00312CB9">
              <w:rPr>
                <w:lang w:val="en-GB"/>
              </w:rPr>
              <w:t>60</w:t>
            </w:r>
          </w:p>
        </w:tc>
        <w:tc>
          <w:tcPr>
            <w:tcW w:w="1540" w:type="dxa"/>
            <w:shd w:val="clear" w:color="auto" w:fill="FFFFFF"/>
          </w:tcPr>
          <w:p w14:paraId="20ADE136" w14:textId="6295A2E1" w:rsidR="00B24860" w:rsidRPr="00312CB9" w:rsidRDefault="00B24860" w:rsidP="00B24860">
            <w:pPr>
              <w:pStyle w:val="CETBodytext"/>
              <w:spacing w:line="240" w:lineRule="auto"/>
              <w:ind w:right="-1"/>
              <w:rPr>
                <w:rFonts w:cs="Arial"/>
                <w:szCs w:val="18"/>
                <w:lang w:val="en-GB"/>
              </w:rPr>
            </w:pPr>
            <w:r w:rsidRPr="00312CB9">
              <w:rPr>
                <w:lang w:val="en-GB"/>
              </w:rPr>
              <w:t>µS/cm</w:t>
            </w:r>
          </w:p>
        </w:tc>
      </w:tr>
      <w:tr w:rsidR="00B24860" w:rsidRPr="00312CB9" w14:paraId="659D31D3" w14:textId="72D7E9D3" w:rsidTr="00184E58">
        <w:trPr>
          <w:trHeight w:val="292"/>
        </w:trPr>
        <w:tc>
          <w:tcPr>
            <w:tcW w:w="2677" w:type="dxa"/>
            <w:shd w:val="clear" w:color="auto" w:fill="FFFFFF"/>
          </w:tcPr>
          <w:p w14:paraId="5B760757" w14:textId="31F2637C" w:rsidR="00B24860" w:rsidRPr="00312CB9" w:rsidRDefault="00B24860" w:rsidP="00B24860">
            <w:pPr>
              <w:pStyle w:val="CETBodytext"/>
              <w:spacing w:line="240" w:lineRule="auto"/>
              <w:ind w:right="-1"/>
              <w:jc w:val="left"/>
              <w:rPr>
                <w:rFonts w:cs="Arial"/>
                <w:szCs w:val="18"/>
                <w:lang w:val="en-GB"/>
              </w:rPr>
            </w:pPr>
            <w:r w:rsidRPr="00312CB9">
              <w:rPr>
                <w:lang w:val="en-GB"/>
              </w:rPr>
              <w:t xml:space="preserve">Total suspended solids </w:t>
            </w:r>
          </w:p>
        </w:tc>
        <w:tc>
          <w:tcPr>
            <w:tcW w:w="1102" w:type="dxa"/>
            <w:shd w:val="clear" w:color="auto" w:fill="FFFFFF"/>
          </w:tcPr>
          <w:p w14:paraId="5A047C88" w14:textId="21968A9A" w:rsidR="00B24860" w:rsidRPr="00312CB9" w:rsidRDefault="00B24860" w:rsidP="00B24860">
            <w:pPr>
              <w:pStyle w:val="CETBodytext"/>
              <w:spacing w:line="240" w:lineRule="auto"/>
              <w:ind w:right="-1"/>
              <w:rPr>
                <w:rFonts w:cs="Arial"/>
                <w:szCs w:val="18"/>
                <w:lang w:val="en-GB"/>
              </w:rPr>
            </w:pPr>
            <w:r w:rsidRPr="00312CB9">
              <w:rPr>
                <w:lang w:val="en-GB"/>
              </w:rPr>
              <w:t>70</w:t>
            </w:r>
          </w:p>
        </w:tc>
        <w:tc>
          <w:tcPr>
            <w:tcW w:w="1540" w:type="dxa"/>
            <w:shd w:val="clear" w:color="auto" w:fill="FFFFFF"/>
          </w:tcPr>
          <w:p w14:paraId="792A44C5" w14:textId="274FE8E6" w:rsidR="00B24860" w:rsidRPr="00312CB9" w:rsidRDefault="00B24860" w:rsidP="00B24860">
            <w:pPr>
              <w:pStyle w:val="CETBodytext"/>
              <w:spacing w:line="240" w:lineRule="auto"/>
              <w:ind w:right="-1"/>
              <w:rPr>
                <w:rFonts w:cs="Arial"/>
                <w:szCs w:val="18"/>
                <w:lang w:val="en-GB"/>
              </w:rPr>
            </w:pPr>
            <w:r w:rsidRPr="00312CB9">
              <w:rPr>
                <w:lang w:val="en-GB"/>
              </w:rPr>
              <w:t>mg/L</w:t>
            </w:r>
          </w:p>
        </w:tc>
      </w:tr>
      <w:tr w:rsidR="00B24860" w:rsidRPr="00312CB9" w14:paraId="0E0D2C14" w14:textId="01203461" w:rsidTr="00184E58">
        <w:trPr>
          <w:trHeight w:val="158"/>
        </w:trPr>
        <w:tc>
          <w:tcPr>
            <w:tcW w:w="2677" w:type="dxa"/>
            <w:shd w:val="clear" w:color="auto" w:fill="FFFFFF"/>
          </w:tcPr>
          <w:p w14:paraId="2FC1DEB2" w14:textId="254F1E6B" w:rsidR="00B24860" w:rsidRPr="00312CB9" w:rsidRDefault="00B24860" w:rsidP="00B24860">
            <w:pPr>
              <w:pStyle w:val="CETBodytext"/>
              <w:spacing w:line="240" w:lineRule="auto"/>
              <w:ind w:right="-1"/>
              <w:jc w:val="left"/>
              <w:rPr>
                <w:rFonts w:cs="Arial"/>
                <w:szCs w:val="18"/>
                <w:lang w:val="en-GB"/>
              </w:rPr>
            </w:pPr>
            <w:r w:rsidRPr="00312CB9">
              <w:rPr>
                <w:lang w:val="en-GB"/>
              </w:rPr>
              <w:t>Turbidity</w:t>
            </w:r>
          </w:p>
        </w:tc>
        <w:tc>
          <w:tcPr>
            <w:tcW w:w="1102" w:type="dxa"/>
            <w:shd w:val="clear" w:color="auto" w:fill="FFFFFF"/>
          </w:tcPr>
          <w:p w14:paraId="3B891F8B" w14:textId="3FA686D0" w:rsidR="00B24860" w:rsidRPr="00312CB9" w:rsidRDefault="00B24860" w:rsidP="00B24860">
            <w:pPr>
              <w:pStyle w:val="CETBodytext"/>
              <w:spacing w:line="240" w:lineRule="auto"/>
              <w:ind w:right="-1"/>
              <w:rPr>
                <w:rFonts w:cs="Arial"/>
                <w:szCs w:val="18"/>
                <w:lang w:val="en-GB"/>
              </w:rPr>
            </w:pPr>
            <w:r w:rsidRPr="00312CB9">
              <w:rPr>
                <w:lang w:val="en-GB"/>
              </w:rPr>
              <w:t>90</w:t>
            </w:r>
          </w:p>
        </w:tc>
        <w:tc>
          <w:tcPr>
            <w:tcW w:w="1540" w:type="dxa"/>
            <w:shd w:val="clear" w:color="auto" w:fill="FFFFFF"/>
          </w:tcPr>
          <w:p w14:paraId="168BD8E9" w14:textId="728EA96F" w:rsidR="00B24860" w:rsidRPr="00312CB9" w:rsidRDefault="00B24860" w:rsidP="00B24860">
            <w:pPr>
              <w:pStyle w:val="CETBodytext"/>
              <w:spacing w:line="240" w:lineRule="auto"/>
              <w:ind w:right="-1"/>
              <w:rPr>
                <w:rFonts w:cs="Arial"/>
                <w:szCs w:val="18"/>
                <w:lang w:val="en-GB"/>
              </w:rPr>
            </w:pPr>
            <w:r w:rsidRPr="00312CB9">
              <w:rPr>
                <w:lang w:val="en-GB"/>
              </w:rPr>
              <w:t>NTU</w:t>
            </w:r>
          </w:p>
        </w:tc>
      </w:tr>
      <w:bookmarkEnd w:id="0"/>
    </w:tbl>
    <w:p w14:paraId="7AE547FE" w14:textId="4907D123" w:rsidR="006C5195" w:rsidRPr="00312CB9" w:rsidRDefault="006C5195" w:rsidP="006C5195">
      <w:pPr>
        <w:pStyle w:val="CETBodytext"/>
        <w:rPr>
          <w:lang w:val="en-GB"/>
        </w:rPr>
      </w:pPr>
    </w:p>
    <w:p w14:paraId="653C833A" w14:textId="398D8E7C" w:rsidR="006C5195" w:rsidRPr="00312CB9" w:rsidRDefault="00B24860" w:rsidP="003D6FA4">
      <w:pPr>
        <w:pStyle w:val="CETheadingx"/>
        <w:rPr>
          <w:lang w:val="en-GB"/>
        </w:rPr>
      </w:pPr>
      <w:r w:rsidRPr="00312CB9">
        <w:rPr>
          <w:lang w:val="en-GB"/>
        </w:rPr>
        <w:t xml:space="preserve">Kinetics of biofilm inoculum growth with Pseudomonas </w:t>
      </w:r>
      <w:r w:rsidR="00D03B8C" w:rsidRPr="00312CB9">
        <w:rPr>
          <w:lang w:val="en-GB"/>
        </w:rPr>
        <w:t>a</w:t>
      </w:r>
      <w:r w:rsidRPr="00312CB9">
        <w:rPr>
          <w:lang w:val="en-GB"/>
        </w:rPr>
        <w:t>eruginosa and Escherichia coli</w:t>
      </w:r>
    </w:p>
    <w:p w14:paraId="154BECD4" w14:textId="62AF32C0" w:rsidR="009D65F7" w:rsidRPr="00312CB9" w:rsidRDefault="009D65F7" w:rsidP="009D65F7">
      <w:pPr>
        <w:pStyle w:val="CETTabletitle"/>
        <w:jc w:val="both"/>
        <w:rPr>
          <w:i w:val="0"/>
        </w:rPr>
      </w:pPr>
      <w:r w:rsidRPr="00312CB9">
        <w:rPr>
          <w:i w:val="0"/>
        </w:rPr>
        <w:t xml:space="preserve">The growth of the biofilm of the bacteria </w:t>
      </w:r>
      <w:r w:rsidRPr="00312CB9">
        <w:rPr>
          <w:iCs/>
        </w:rPr>
        <w:t xml:space="preserve">Pseudomonas aeruginosa </w:t>
      </w:r>
      <w:r w:rsidRPr="00312CB9">
        <w:rPr>
          <w:i w:val="0"/>
        </w:rPr>
        <w:t>and</w:t>
      </w:r>
      <w:r w:rsidRPr="00312CB9">
        <w:rPr>
          <w:iCs/>
        </w:rPr>
        <w:t xml:space="preserve"> Escherichia</w:t>
      </w:r>
      <w:r w:rsidRPr="00312CB9">
        <w:rPr>
          <w:i w:val="0"/>
        </w:rPr>
        <w:t xml:space="preserve"> coli was verified as shown in Table 3, observing an increase in the volume of the inoculum due to the kinetics of growth over time due to the generation or reproduction of the bacteria. bacteria, having favourable temperature and pH for it (Ramírez et al., 2006)</w:t>
      </w:r>
    </w:p>
    <w:p w14:paraId="0269A6A2" w14:textId="706BC87F" w:rsidR="009771D4" w:rsidRPr="00312CB9" w:rsidRDefault="009771D4" w:rsidP="009D65F7">
      <w:pPr>
        <w:pStyle w:val="CETTabletitle"/>
        <w:jc w:val="both"/>
      </w:pPr>
      <w:r w:rsidRPr="00312CB9">
        <w:t xml:space="preserve"> Table </w:t>
      </w:r>
      <w:r w:rsidR="00385057" w:rsidRPr="00312CB9">
        <w:t>3</w:t>
      </w:r>
      <w:r w:rsidRPr="00312CB9">
        <w:t xml:space="preserve">: </w:t>
      </w:r>
      <w:r w:rsidR="009A4308" w:rsidRPr="009A4308">
        <w:t>Initial characteristic of contaminated water</w:t>
      </w:r>
    </w:p>
    <w:tbl>
      <w:tblPr>
        <w:tblW w:w="8678" w:type="dxa"/>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991"/>
        <w:gridCol w:w="568"/>
        <w:gridCol w:w="711"/>
        <w:gridCol w:w="568"/>
        <w:gridCol w:w="568"/>
        <w:gridCol w:w="711"/>
        <w:gridCol w:w="711"/>
        <w:gridCol w:w="711"/>
        <w:gridCol w:w="711"/>
        <w:gridCol w:w="711"/>
        <w:gridCol w:w="711"/>
        <w:gridCol w:w="6"/>
      </w:tblGrid>
      <w:tr w:rsidR="00E92B46" w:rsidRPr="00312CB9" w14:paraId="653FE16E" w14:textId="3A4D0CA1" w:rsidTr="00385057">
        <w:trPr>
          <w:trHeight w:val="278"/>
        </w:trPr>
        <w:tc>
          <w:tcPr>
            <w:tcW w:w="1991" w:type="dxa"/>
            <w:vMerge w:val="restart"/>
            <w:tcBorders>
              <w:top w:val="single" w:sz="12" w:space="0" w:color="008000"/>
            </w:tcBorders>
            <w:shd w:val="clear" w:color="auto" w:fill="FFFFFF"/>
            <w:vAlign w:val="center"/>
          </w:tcPr>
          <w:p w14:paraId="7187E7CC" w14:textId="71F16354" w:rsidR="00E92B46" w:rsidRPr="00312CB9" w:rsidRDefault="00D03B8C" w:rsidP="00942447">
            <w:pPr>
              <w:pStyle w:val="CETBodytext"/>
              <w:rPr>
                <w:lang w:val="en-GB"/>
              </w:rPr>
            </w:pPr>
            <w:r w:rsidRPr="00312CB9">
              <w:rPr>
                <w:lang w:val="en-GB"/>
              </w:rPr>
              <w:t>Biofilm</w:t>
            </w:r>
          </w:p>
        </w:tc>
        <w:tc>
          <w:tcPr>
            <w:tcW w:w="6687" w:type="dxa"/>
            <w:gridSpan w:val="11"/>
            <w:tcBorders>
              <w:top w:val="single" w:sz="12" w:space="0" w:color="008000"/>
              <w:bottom w:val="single" w:sz="6" w:space="0" w:color="008000"/>
            </w:tcBorders>
            <w:shd w:val="clear" w:color="auto" w:fill="FFFFFF"/>
            <w:vAlign w:val="center"/>
          </w:tcPr>
          <w:p w14:paraId="4A6253F8" w14:textId="44C836BC" w:rsidR="00E92B46" w:rsidRPr="00312CB9" w:rsidRDefault="00E92B46" w:rsidP="00E92B46">
            <w:pPr>
              <w:pStyle w:val="CETBodytext"/>
              <w:ind w:right="-1"/>
              <w:jc w:val="center"/>
              <w:rPr>
                <w:rFonts w:cs="Arial"/>
                <w:szCs w:val="18"/>
                <w:lang w:val="en-GB"/>
              </w:rPr>
            </w:pPr>
            <w:r w:rsidRPr="00312CB9">
              <w:rPr>
                <w:rFonts w:cs="Arial"/>
                <w:szCs w:val="18"/>
                <w:lang w:val="en-GB"/>
              </w:rPr>
              <w:t>Ti</w:t>
            </w:r>
            <w:r w:rsidR="00D03B8C" w:rsidRPr="00312CB9">
              <w:rPr>
                <w:rFonts w:cs="Arial"/>
                <w:szCs w:val="18"/>
                <w:lang w:val="en-GB"/>
              </w:rPr>
              <w:t>me</w:t>
            </w:r>
            <w:r w:rsidRPr="00312CB9">
              <w:rPr>
                <w:rFonts w:cs="Arial"/>
                <w:szCs w:val="18"/>
                <w:lang w:val="en-GB"/>
              </w:rPr>
              <w:t xml:space="preserve"> (h)</w:t>
            </w:r>
          </w:p>
        </w:tc>
      </w:tr>
      <w:tr w:rsidR="00E92B46" w:rsidRPr="00312CB9" w14:paraId="313E2D48" w14:textId="393C39B2" w:rsidTr="00385057">
        <w:trPr>
          <w:gridAfter w:val="1"/>
          <w:wAfter w:w="6" w:type="dxa"/>
          <w:trHeight w:val="278"/>
        </w:trPr>
        <w:tc>
          <w:tcPr>
            <w:tcW w:w="1991" w:type="dxa"/>
            <w:vMerge/>
            <w:tcBorders>
              <w:bottom w:val="single" w:sz="6" w:space="0" w:color="008000"/>
            </w:tcBorders>
            <w:shd w:val="clear" w:color="auto" w:fill="FFFFFF"/>
            <w:vAlign w:val="center"/>
          </w:tcPr>
          <w:p w14:paraId="2A2A367F" w14:textId="5B3FB60A" w:rsidR="00E92B46" w:rsidRPr="00312CB9" w:rsidRDefault="00E92B46" w:rsidP="00942447">
            <w:pPr>
              <w:pStyle w:val="CETBodytext"/>
              <w:rPr>
                <w:lang w:val="en-GB"/>
              </w:rPr>
            </w:pPr>
          </w:p>
        </w:tc>
        <w:tc>
          <w:tcPr>
            <w:tcW w:w="568" w:type="dxa"/>
            <w:tcBorders>
              <w:top w:val="single" w:sz="12" w:space="0" w:color="008000"/>
              <w:bottom w:val="single" w:sz="6" w:space="0" w:color="008000"/>
            </w:tcBorders>
            <w:shd w:val="clear" w:color="auto" w:fill="FFFFFF"/>
            <w:vAlign w:val="center"/>
          </w:tcPr>
          <w:p w14:paraId="30796EF8" w14:textId="17038250" w:rsidR="00E92B46" w:rsidRPr="00312CB9" w:rsidRDefault="00E92B46" w:rsidP="00385057">
            <w:pPr>
              <w:pStyle w:val="CETBodytext"/>
              <w:ind w:left="150" w:right="-1" w:hanging="150"/>
              <w:jc w:val="center"/>
              <w:rPr>
                <w:rFonts w:cs="Arial"/>
                <w:szCs w:val="18"/>
                <w:lang w:val="en-GB"/>
              </w:rPr>
            </w:pPr>
            <w:r w:rsidRPr="00312CB9">
              <w:rPr>
                <w:rFonts w:cs="Arial"/>
                <w:szCs w:val="18"/>
                <w:lang w:val="en-GB"/>
              </w:rPr>
              <w:t>0</w:t>
            </w:r>
          </w:p>
        </w:tc>
        <w:tc>
          <w:tcPr>
            <w:tcW w:w="711" w:type="dxa"/>
            <w:tcBorders>
              <w:top w:val="single" w:sz="12" w:space="0" w:color="008000"/>
              <w:bottom w:val="single" w:sz="6" w:space="0" w:color="008000"/>
            </w:tcBorders>
            <w:shd w:val="clear" w:color="auto" w:fill="FFFFFF"/>
            <w:vAlign w:val="center"/>
          </w:tcPr>
          <w:p w14:paraId="3DA2FFDA" w14:textId="7CAAECB5" w:rsidR="00E92B46" w:rsidRPr="00312CB9" w:rsidRDefault="00E92B46" w:rsidP="00385057">
            <w:pPr>
              <w:pStyle w:val="CETBodytext"/>
              <w:ind w:right="-1"/>
              <w:jc w:val="center"/>
              <w:rPr>
                <w:rFonts w:cs="Arial"/>
                <w:szCs w:val="18"/>
                <w:lang w:val="en-GB"/>
              </w:rPr>
            </w:pPr>
            <w:r w:rsidRPr="00312CB9">
              <w:rPr>
                <w:rFonts w:cs="Arial"/>
                <w:szCs w:val="18"/>
                <w:lang w:val="en-GB"/>
              </w:rPr>
              <w:t>1</w:t>
            </w:r>
          </w:p>
        </w:tc>
        <w:tc>
          <w:tcPr>
            <w:tcW w:w="568" w:type="dxa"/>
            <w:tcBorders>
              <w:top w:val="single" w:sz="12" w:space="0" w:color="008000"/>
              <w:bottom w:val="single" w:sz="6" w:space="0" w:color="008000"/>
            </w:tcBorders>
            <w:shd w:val="clear" w:color="auto" w:fill="FFFFFF"/>
            <w:vAlign w:val="center"/>
          </w:tcPr>
          <w:p w14:paraId="2ACE3233" w14:textId="4447E98E" w:rsidR="00E92B46" w:rsidRPr="00312CB9" w:rsidRDefault="00E92B46" w:rsidP="00385057">
            <w:pPr>
              <w:pStyle w:val="CETBodytext"/>
              <w:ind w:right="-1"/>
              <w:jc w:val="center"/>
              <w:rPr>
                <w:rFonts w:cs="Arial"/>
                <w:szCs w:val="18"/>
                <w:lang w:val="en-GB"/>
              </w:rPr>
            </w:pPr>
            <w:r w:rsidRPr="00312CB9">
              <w:rPr>
                <w:rFonts w:cs="Arial"/>
                <w:szCs w:val="18"/>
                <w:lang w:val="en-GB"/>
              </w:rPr>
              <w:t>2</w:t>
            </w:r>
          </w:p>
        </w:tc>
        <w:tc>
          <w:tcPr>
            <w:tcW w:w="568" w:type="dxa"/>
            <w:tcBorders>
              <w:top w:val="single" w:sz="12" w:space="0" w:color="008000"/>
              <w:bottom w:val="single" w:sz="6" w:space="0" w:color="008000"/>
            </w:tcBorders>
            <w:shd w:val="clear" w:color="auto" w:fill="FFFFFF"/>
            <w:vAlign w:val="center"/>
          </w:tcPr>
          <w:p w14:paraId="4368854D" w14:textId="15D7D052" w:rsidR="00E92B46" w:rsidRPr="00312CB9" w:rsidRDefault="00E92B46" w:rsidP="00385057">
            <w:pPr>
              <w:pStyle w:val="CETBodytext"/>
              <w:ind w:right="-1"/>
              <w:jc w:val="center"/>
              <w:rPr>
                <w:rFonts w:cs="Arial"/>
                <w:szCs w:val="18"/>
                <w:lang w:val="en-GB"/>
              </w:rPr>
            </w:pPr>
            <w:r w:rsidRPr="00312CB9">
              <w:rPr>
                <w:rFonts w:cs="Arial"/>
                <w:szCs w:val="18"/>
                <w:lang w:val="en-GB"/>
              </w:rPr>
              <w:t>3</w:t>
            </w:r>
          </w:p>
        </w:tc>
        <w:tc>
          <w:tcPr>
            <w:tcW w:w="711" w:type="dxa"/>
            <w:tcBorders>
              <w:top w:val="single" w:sz="12" w:space="0" w:color="008000"/>
              <w:bottom w:val="single" w:sz="6" w:space="0" w:color="008000"/>
            </w:tcBorders>
            <w:shd w:val="clear" w:color="auto" w:fill="FFFFFF"/>
            <w:vAlign w:val="center"/>
          </w:tcPr>
          <w:p w14:paraId="1BCEAC59" w14:textId="135F8434" w:rsidR="00E92B46" w:rsidRPr="00312CB9" w:rsidRDefault="00E92B46" w:rsidP="00385057">
            <w:pPr>
              <w:pStyle w:val="CETBodytext"/>
              <w:ind w:right="-1"/>
              <w:jc w:val="center"/>
              <w:rPr>
                <w:rFonts w:cs="Arial"/>
                <w:szCs w:val="18"/>
                <w:lang w:val="en-GB"/>
              </w:rPr>
            </w:pPr>
            <w:r w:rsidRPr="00312CB9">
              <w:rPr>
                <w:rFonts w:cs="Arial"/>
                <w:szCs w:val="18"/>
                <w:lang w:val="en-GB"/>
              </w:rPr>
              <w:t>4</w:t>
            </w:r>
          </w:p>
        </w:tc>
        <w:tc>
          <w:tcPr>
            <w:tcW w:w="711" w:type="dxa"/>
            <w:tcBorders>
              <w:top w:val="single" w:sz="12" w:space="0" w:color="008000"/>
              <w:bottom w:val="single" w:sz="6" w:space="0" w:color="008000"/>
            </w:tcBorders>
            <w:shd w:val="clear" w:color="auto" w:fill="FFFFFF"/>
            <w:vAlign w:val="center"/>
          </w:tcPr>
          <w:p w14:paraId="567E2B05" w14:textId="66526BD4" w:rsidR="00E92B46" w:rsidRPr="00312CB9" w:rsidRDefault="00E92B46" w:rsidP="00385057">
            <w:pPr>
              <w:pStyle w:val="CETBodytext"/>
              <w:ind w:right="-1"/>
              <w:jc w:val="center"/>
              <w:rPr>
                <w:rFonts w:cs="Arial"/>
                <w:szCs w:val="18"/>
                <w:lang w:val="en-GB"/>
              </w:rPr>
            </w:pPr>
            <w:r w:rsidRPr="00312CB9">
              <w:rPr>
                <w:rFonts w:cs="Arial"/>
                <w:szCs w:val="18"/>
                <w:lang w:val="en-GB"/>
              </w:rPr>
              <w:t>5</w:t>
            </w:r>
          </w:p>
        </w:tc>
        <w:tc>
          <w:tcPr>
            <w:tcW w:w="711" w:type="dxa"/>
            <w:tcBorders>
              <w:top w:val="single" w:sz="12" w:space="0" w:color="008000"/>
              <w:bottom w:val="single" w:sz="6" w:space="0" w:color="008000"/>
            </w:tcBorders>
            <w:shd w:val="clear" w:color="auto" w:fill="FFFFFF"/>
            <w:vAlign w:val="center"/>
          </w:tcPr>
          <w:p w14:paraId="414531FD" w14:textId="743C3E55" w:rsidR="00E92B46" w:rsidRPr="00312CB9" w:rsidRDefault="00E92B46" w:rsidP="00385057">
            <w:pPr>
              <w:pStyle w:val="CETBodytext"/>
              <w:ind w:right="-1"/>
              <w:jc w:val="center"/>
              <w:rPr>
                <w:rFonts w:cs="Arial"/>
                <w:szCs w:val="18"/>
                <w:lang w:val="en-GB"/>
              </w:rPr>
            </w:pPr>
            <w:r w:rsidRPr="00312CB9">
              <w:rPr>
                <w:rFonts w:cs="Arial"/>
                <w:szCs w:val="18"/>
                <w:lang w:val="en-GB"/>
              </w:rPr>
              <w:t>6</w:t>
            </w:r>
          </w:p>
        </w:tc>
        <w:tc>
          <w:tcPr>
            <w:tcW w:w="711" w:type="dxa"/>
            <w:tcBorders>
              <w:top w:val="single" w:sz="12" w:space="0" w:color="008000"/>
              <w:bottom w:val="single" w:sz="6" w:space="0" w:color="008000"/>
            </w:tcBorders>
            <w:shd w:val="clear" w:color="auto" w:fill="FFFFFF"/>
            <w:vAlign w:val="center"/>
          </w:tcPr>
          <w:p w14:paraId="169B8237" w14:textId="5C3632E8" w:rsidR="00E92B46" w:rsidRPr="00312CB9" w:rsidRDefault="00E92B46" w:rsidP="00385057">
            <w:pPr>
              <w:pStyle w:val="CETBodytext"/>
              <w:ind w:right="-1"/>
              <w:jc w:val="center"/>
              <w:rPr>
                <w:rFonts w:cs="Arial"/>
                <w:szCs w:val="18"/>
                <w:lang w:val="en-GB"/>
              </w:rPr>
            </w:pPr>
            <w:r w:rsidRPr="00312CB9">
              <w:rPr>
                <w:rFonts w:cs="Arial"/>
                <w:szCs w:val="18"/>
                <w:lang w:val="en-GB"/>
              </w:rPr>
              <w:t>7</w:t>
            </w:r>
          </w:p>
        </w:tc>
        <w:tc>
          <w:tcPr>
            <w:tcW w:w="711" w:type="dxa"/>
            <w:tcBorders>
              <w:top w:val="single" w:sz="12" w:space="0" w:color="008000"/>
              <w:bottom w:val="single" w:sz="6" w:space="0" w:color="008000"/>
            </w:tcBorders>
            <w:shd w:val="clear" w:color="auto" w:fill="FFFFFF"/>
            <w:vAlign w:val="center"/>
          </w:tcPr>
          <w:p w14:paraId="66DF4082" w14:textId="264BDE73" w:rsidR="00E92B46" w:rsidRPr="00312CB9" w:rsidRDefault="00E92B46" w:rsidP="00385057">
            <w:pPr>
              <w:pStyle w:val="CETBodytext"/>
              <w:ind w:right="-1"/>
              <w:jc w:val="center"/>
              <w:rPr>
                <w:rFonts w:cs="Arial"/>
                <w:szCs w:val="18"/>
                <w:lang w:val="en-GB"/>
              </w:rPr>
            </w:pPr>
            <w:r w:rsidRPr="00312CB9">
              <w:rPr>
                <w:rFonts w:cs="Arial"/>
                <w:szCs w:val="18"/>
                <w:lang w:val="en-GB"/>
              </w:rPr>
              <w:t>8</w:t>
            </w:r>
          </w:p>
        </w:tc>
        <w:tc>
          <w:tcPr>
            <w:tcW w:w="711" w:type="dxa"/>
            <w:tcBorders>
              <w:top w:val="single" w:sz="12" w:space="0" w:color="008000"/>
              <w:bottom w:val="single" w:sz="6" w:space="0" w:color="008000"/>
            </w:tcBorders>
            <w:shd w:val="clear" w:color="auto" w:fill="FFFFFF"/>
            <w:vAlign w:val="center"/>
          </w:tcPr>
          <w:p w14:paraId="1DBAB4D6" w14:textId="47A1B865" w:rsidR="00E92B46" w:rsidRPr="00312CB9" w:rsidRDefault="00E92B46" w:rsidP="00385057">
            <w:pPr>
              <w:pStyle w:val="CETBodytext"/>
              <w:ind w:right="-1"/>
              <w:jc w:val="center"/>
              <w:rPr>
                <w:rFonts w:cs="Arial"/>
                <w:szCs w:val="18"/>
                <w:lang w:val="en-GB"/>
              </w:rPr>
            </w:pPr>
            <w:r w:rsidRPr="00312CB9">
              <w:rPr>
                <w:rFonts w:cs="Arial"/>
                <w:szCs w:val="18"/>
                <w:lang w:val="en-GB"/>
              </w:rPr>
              <w:t>9</w:t>
            </w:r>
          </w:p>
        </w:tc>
      </w:tr>
      <w:tr w:rsidR="00E92B46" w:rsidRPr="00312CB9" w14:paraId="03C980E1" w14:textId="1EB84804" w:rsidTr="00385057">
        <w:trPr>
          <w:gridAfter w:val="1"/>
          <w:wAfter w:w="6" w:type="dxa"/>
          <w:trHeight w:val="278"/>
        </w:trPr>
        <w:tc>
          <w:tcPr>
            <w:tcW w:w="1991" w:type="dxa"/>
            <w:shd w:val="clear" w:color="auto" w:fill="FFFFFF"/>
            <w:vAlign w:val="center"/>
          </w:tcPr>
          <w:p w14:paraId="395BE9E4" w14:textId="352D47AC" w:rsidR="00E92B46" w:rsidRPr="00312CB9" w:rsidRDefault="00E92B46" w:rsidP="00385057">
            <w:pPr>
              <w:pStyle w:val="CETBodytext"/>
              <w:jc w:val="left"/>
              <w:rPr>
                <w:lang w:val="en-GB"/>
              </w:rPr>
            </w:pPr>
            <w:r w:rsidRPr="00312CB9">
              <w:rPr>
                <w:lang w:val="en-GB"/>
              </w:rPr>
              <w:t xml:space="preserve">N° </w:t>
            </w:r>
            <w:r w:rsidR="00D03B8C" w:rsidRPr="00312CB9">
              <w:rPr>
                <w:lang w:val="en-GB"/>
              </w:rPr>
              <w:t>of</w:t>
            </w:r>
            <w:r w:rsidRPr="00312CB9">
              <w:rPr>
                <w:lang w:val="en-GB"/>
              </w:rPr>
              <w:t xml:space="preserve"> </w:t>
            </w:r>
            <w:r w:rsidRPr="00312CB9">
              <w:rPr>
                <w:i/>
                <w:iCs/>
                <w:lang w:val="en-GB"/>
              </w:rPr>
              <w:t xml:space="preserve">Pseudomonas </w:t>
            </w:r>
            <w:r w:rsidR="00D03B8C" w:rsidRPr="00312CB9">
              <w:rPr>
                <w:i/>
                <w:iCs/>
                <w:lang w:val="en-GB"/>
              </w:rPr>
              <w:t>a</w:t>
            </w:r>
            <w:r w:rsidRPr="00312CB9">
              <w:rPr>
                <w:i/>
                <w:iCs/>
                <w:lang w:val="en-GB"/>
              </w:rPr>
              <w:t>eruginosa</w:t>
            </w:r>
            <w:r w:rsidR="00385057" w:rsidRPr="00312CB9">
              <w:rPr>
                <w:lang w:val="en-GB"/>
              </w:rPr>
              <w:t xml:space="preserve"> (</w:t>
            </w:r>
            <w:r w:rsidR="00CA099A" w:rsidRPr="00312CB9">
              <w:rPr>
                <w:lang w:val="en-GB"/>
              </w:rPr>
              <w:t>C</w:t>
            </w:r>
            <w:r w:rsidRPr="00312CB9">
              <w:rPr>
                <w:lang w:val="en-GB"/>
              </w:rPr>
              <w:t>F</w:t>
            </w:r>
            <w:r w:rsidR="00CA099A" w:rsidRPr="00312CB9">
              <w:rPr>
                <w:lang w:val="en-GB"/>
              </w:rPr>
              <w:t>U</w:t>
            </w:r>
            <w:r w:rsidRPr="00312CB9">
              <w:rPr>
                <w:lang w:val="en-GB"/>
              </w:rPr>
              <w:t>/mg/L</w:t>
            </w:r>
            <w:r w:rsidR="00385057" w:rsidRPr="00312CB9">
              <w:rPr>
                <w:lang w:val="en-GB"/>
              </w:rPr>
              <w:t>)</w:t>
            </w:r>
          </w:p>
        </w:tc>
        <w:tc>
          <w:tcPr>
            <w:tcW w:w="568" w:type="dxa"/>
            <w:shd w:val="clear" w:color="auto" w:fill="FFFFFF"/>
            <w:vAlign w:val="center"/>
          </w:tcPr>
          <w:p w14:paraId="1628954A" w14:textId="4A9647E9" w:rsidR="00E92B46" w:rsidRPr="00312CB9" w:rsidRDefault="00E92B46" w:rsidP="00385057">
            <w:pPr>
              <w:pStyle w:val="CETBodytext"/>
              <w:ind w:right="-1"/>
              <w:jc w:val="center"/>
              <w:rPr>
                <w:rFonts w:cs="Arial"/>
                <w:szCs w:val="18"/>
                <w:lang w:val="en-GB"/>
              </w:rPr>
            </w:pPr>
            <w:r w:rsidRPr="00312CB9">
              <w:rPr>
                <w:lang w:val="en-GB"/>
              </w:rPr>
              <w:t>0.001</w:t>
            </w:r>
          </w:p>
        </w:tc>
        <w:tc>
          <w:tcPr>
            <w:tcW w:w="711" w:type="dxa"/>
            <w:shd w:val="clear" w:color="auto" w:fill="FFFFFF"/>
            <w:vAlign w:val="center"/>
          </w:tcPr>
          <w:p w14:paraId="2DF3F9F9" w14:textId="0251A42B" w:rsidR="00E92B46" w:rsidRPr="00312CB9" w:rsidRDefault="00E92B46" w:rsidP="00385057">
            <w:pPr>
              <w:pStyle w:val="CETBodytext"/>
              <w:ind w:right="-1"/>
              <w:jc w:val="center"/>
              <w:rPr>
                <w:rFonts w:cs="Arial"/>
                <w:szCs w:val="18"/>
                <w:lang w:val="en-GB"/>
              </w:rPr>
            </w:pPr>
            <w:r w:rsidRPr="00312CB9">
              <w:rPr>
                <w:lang w:val="en-GB"/>
              </w:rPr>
              <w:t>0.016</w:t>
            </w:r>
          </w:p>
        </w:tc>
        <w:tc>
          <w:tcPr>
            <w:tcW w:w="568" w:type="dxa"/>
            <w:shd w:val="clear" w:color="auto" w:fill="FFFFFF"/>
            <w:vAlign w:val="center"/>
          </w:tcPr>
          <w:p w14:paraId="10B9568B" w14:textId="1113B607" w:rsidR="00E92B46" w:rsidRPr="00312CB9" w:rsidRDefault="00E92B46" w:rsidP="00385057">
            <w:pPr>
              <w:pStyle w:val="CETBodytext"/>
              <w:ind w:right="-1"/>
              <w:jc w:val="center"/>
              <w:rPr>
                <w:rFonts w:cs="Arial"/>
                <w:szCs w:val="18"/>
                <w:lang w:val="en-GB"/>
              </w:rPr>
            </w:pPr>
            <w:r w:rsidRPr="00312CB9">
              <w:rPr>
                <w:lang w:val="en-GB"/>
              </w:rPr>
              <w:t>0.024</w:t>
            </w:r>
          </w:p>
        </w:tc>
        <w:tc>
          <w:tcPr>
            <w:tcW w:w="568" w:type="dxa"/>
            <w:shd w:val="clear" w:color="auto" w:fill="FFFFFF"/>
            <w:vAlign w:val="center"/>
          </w:tcPr>
          <w:p w14:paraId="3139DCC0" w14:textId="3C3AEB0F" w:rsidR="00E92B46" w:rsidRPr="00312CB9" w:rsidRDefault="00E92B46" w:rsidP="00385057">
            <w:pPr>
              <w:pStyle w:val="CETBodytext"/>
              <w:ind w:right="-1"/>
              <w:jc w:val="center"/>
              <w:rPr>
                <w:rFonts w:cs="Arial"/>
                <w:szCs w:val="18"/>
                <w:lang w:val="en-GB"/>
              </w:rPr>
            </w:pPr>
            <w:r w:rsidRPr="00312CB9">
              <w:rPr>
                <w:lang w:val="en-GB"/>
              </w:rPr>
              <w:t>0.033</w:t>
            </w:r>
          </w:p>
        </w:tc>
        <w:tc>
          <w:tcPr>
            <w:tcW w:w="711" w:type="dxa"/>
            <w:shd w:val="clear" w:color="auto" w:fill="FFFFFF"/>
            <w:vAlign w:val="center"/>
          </w:tcPr>
          <w:p w14:paraId="13D68BD1" w14:textId="3B5877FD" w:rsidR="00E92B46" w:rsidRPr="00312CB9" w:rsidRDefault="00E92B46" w:rsidP="00385057">
            <w:pPr>
              <w:pStyle w:val="CETBodytext"/>
              <w:ind w:right="-1"/>
              <w:jc w:val="center"/>
              <w:rPr>
                <w:rFonts w:cs="Arial"/>
                <w:szCs w:val="18"/>
                <w:lang w:val="en-GB"/>
              </w:rPr>
            </w:pPr>
            <w:r w:rsidRPr="00312CB9">
              <w:rPr>
                <w:lang w:val="en-GB"/>
              </w:rPr>
              <w:t>0.039</w:t>
            </w:r>
          </w:p>
        </w:tc>
        <w:tc>
          <w:tcPr>
            <w:tcW w:w="711" w:type="dxa"/>
            <w:shd w:val="clear" w:color="auto" w:fill="FFFFFF"/>
            <w:vAlign w:val="center"/>
          </w:tcPr>
          <w:p w14:paraId="1EAF85DD" w14:textId="4C000112" w:rsidR="00E92B46" w:rsidRPr="00312CB9" w:rsidRDefault="00E92B46" w:rsidP="00385057">
            <w:pPr>
              <w:pStyle w:val="CETBodytext"/>
              <w:ind w:right="-1"/>
              <w:jc w:val="center"/>
              <w:rPr>
                <w:rFonts w:cs="Arial"/>
                <w:szCs w:val="18"/>
                <w:lang w:val="en-GB"/>
              </w:rPr>
            </w:pPr>
            <w:r w:rsidRPr="00312CB9">
              <w:rPr>
                <w:lang w:val="en-GB"/>
              </w:rPr>
              <w:t>0.043</w:t>
            </w:r>
          </w:p>
        </w:tc>
        <w:tc>
          <w:tcPr>
            <w:tcW w:w="711" w:type="dxa"/>
            <w:shd w:val="clear" w:color="auto" w:fill="FFFFFF"/>
            <w:vAlign w:val="center"/>
          </w:tcPr>
          <w:p w14:paraId="4EAF42E8" w14:textId="3735F96A" w:rsidR="00E92B46" w:rsidRPr="00312CB9" w:rsidRDefault="00E92B46" w:rsidP="00385057">
            <w:pPr>
              <w:pStyle w:val="CETBodytext"/>
              <w:ind w:right="-1"/>
              <w:jc w:val="center"/>
              <w:rPr>
                <w:rFonts w:cs="Arial"/>
                <w:szCs w:val="18"/>
                <w:lang w:val="en-GB"/>
              </w:rPr>
            </w:pPr>
            <w:r w:rsidRPr="00312CB9">
              <w:rPr>
                <w:lang w:val="en-GB"/>
              </w:rPr>
              <w:t>0.048</w:t>
            </w:r>
          </w:p>
        </w:tc>
        <w:tc>
          <w:tcPr>
            <w:tcW w:w="711" w:type="dxa"/>
            <w:shd w:val="clear" w:color="auto" w:fill="FFFFFF"/>
            <w:vAlign w:val="center"/>
          </w:tcPr>
          <w:p w14:paraId="34A68D08" w14:textId="2CAE243C" w:rsidR="00E92B46" w:rsidRPr="00312CB9" w:rsidRDefault="00E92B46" w:rsidP="00385057">
            <w:pPr>
              <w:pStyle w:val="CETBodytext"/>
              <w:ind w:right="-1"/>
              <w:jc w:val="center"/>
              <w:rPr>
                <w:rFonts w:cs="Arial"/>
                <w:szCs w:val="18"/>
                <w:lang w:val="en-GB"/>
              </w:rPr>
            </w:pPr>
            <w:r w:rsidRPr="00312CB9">
              <w:rPr>
                <w:lang w:val="en-GB"/>
              </w:rPr>
              <w:t>0.039</w:t>
            </w:r>
          </w:p>
        </w:tc>
        <w:tc>
          <w:tcPr>
            <w:tcW w:w="711" w:type="dxa"/>
            <w:shd w:val="clear" w:color="auto" w:fill="FFFFFF"/>
            <w:vAlign w:val="center"/>
          </w:tcPr>
          <w:p w14:paraId="747D4212" w14:textId="2FB0EBA3" w:rsidR="00E92B46" w:rsidRPr="00312CB9" w:rsidRDefault="00E92B46" w:rsidP="00385057">
            <w:pPr>
              <w:pStyle w:val="CETBodytext"/>
              <w:ind w:right="-1"/>
              <w:jc w:val="center"/>
              <w:rPr>
                <w:rFonts w:cs="Arial"/>
                <w:szCs w:val="18"/>
                <w:lang w:val="en-GB"/>
              </w:rPr>
            </w:pPr>
            <w:r w:rsidRPr="00312CB9">
              <w:rPr>
                <w:lang w:val="en-GB"/>
              </w:rPr>
              <w:t>0.055</w:t>
            </w:r>
          </w:p>
        </w:tc>
        <w:tc>
          <w:tcPr>
            <w:tcW w:w="711" w:type="dxa"/>
            <w:shd w:val="clear" w:color="auto" w:fill="FFFFFF"/>
            <w:vAlign w:val="center"/>
          </w:tcPr>
          <w:p w14:paraId="045CA866" w14:textId="314C9DE3" w:rsidR="00E92B46" w:rsidRPr="00312CB9" w:rsidRDefault="00E92B46" w:rsidP="00385057">
            <w:pPr>
              <w:pStyle w:val="CETBodytext"/>
              <w:ind w:right="-1"/>
              <w:jc w:val="center"/>
              <w:rPr>
                <w:rFonts w:cs="Arial"/>
                <w:szCs w:val="18"/>
                <w:lang w:val="en-GB"/>
              </w:rPr>
            </w:pPr>
            <w:r w:rsidRPr="00312CB9">
              <w:rPr>
                <w:lang w:val="en-GB"/>
              </w:rPr>
              <w:t>0.059</w:t>
            </w:r>
          </w:p>
        </w:tc>
      </w:tr>
      <w:tr w:rsidR="00E92B46" w:rsidRPr="00312CB9" w14:paraId="41C50BA2" w14:textId="71B50E45" w:rsidTr="00385057">
        <w:trPr>
          <w:gridAfter w:val="1"/>
          <w:wAfter w:w="6" w:type="dxa"/>
          <w:trHeight w:val="298"/>
        </w:trPr>
        <w:tc>
          <w:tcPr>
            <w:tcW w:w="1991" w:type="dxa"/>
            <w:shd w:val="clear" w:color="auto" w:fill="FFFFFF"/>
            <w:vAlign w:val="center"/>
          </w:tcPr>
          <w:p w14:paraId="111D9FCC" w14:textId="0D1005DE" w:rsidR="00E92B46" w:rsidRPr="00312CB9" w:rsidRDefault="00E92B46" w:rsidP="00E92B46">
            <w:pPr>
              <w:pStyle w:val="CETBodytext"/>
              <w:ind w:right="-1"/>
              <w:jc w:val="left"/>
              <w:rPr>
                <w:rFonts w:cs="Arial"/>
                <w:szCs w:val="18"/>
                <w:lang w:val="en-GB"/>
              </w:rPr>
            </w:pPr>
            <w:r w:rsidRPr="00312CB9">
              <w:rPr>
                <w:rFonts w:cs="Arial"/>
                <w:szCs w:val="18"/>
                <w:lang w:val="en-GB"/>
              </w:rPr>
              <w:t xml:space="preserve">N° </w:t>
            </w:r>
            <w:r w:rsidR="00D03B8C" w:rsidRPr="00312CB9">
              <w:rPr>
                <w:rFonts w:cs="Arial"/>
                <w:szCs w:val="18"/>
                <w:lang w:val="en-GB"/>
              </w:rPr>
              <w:t>of</w:t>
            </w:r>
            <w:r w:rsidRPr="00312CB9">
              <w:rPr>
                <w:rFonts w:cs="Arial"/>
                <w:szCs w:val="18"/>
                <w:lang w:val="en-GB"/>
              </w:rPr>
              <w:t xml:space="preserve"> </w:t>
            </w:r>
            <w:r w:rsidRPr="00312CB9">
              <w:rPr>
                <w:rFonts w:cs="Arial"/>
                <w:i/>
                <w:iCs/>
                <w:szCs w:val="18"/>
                <w:lang w:val="en-GB"/>
              </w:rPr>
              <w:t>Escherichia col</w:t>
            </w:r>
            <w:r w:rsidR="00385057" w:rsidRPr="00312CB9">
              <w:rPr>
                <w:rFonts w:cs="Arial"/>
                <w:i/>
                <w:iCs/>
                <w:szCs w:val="18"/>
                <w:lang w:val="en-GB"/>
              </w:rPr>
              <w:t>i</w:t>
            </w:r>
          </w:p>
          <w:p w14:paraId="6F05988B" w14:textId="29407EC4" w:rsidR="00E92B46" w:rsidRPr="00312CB9" w:rsidRDefault="00E92B46" w:rsidP="00E92B46">
            <w:pPr>
              <w:pStyle w:val="CETBodytext"/>
              <w:ind w:right="-1"/>
              <w:jc w:val="left"/>
              <w:rPr>
                <w:rFonts w:cs="Arial"/>
                <w:szCs w:val="18"/>
                <w:lang w:val="en-GB"/>
              </w:rPr>
            </w:pPr>
            <w:r w:rsidRPr="00312CB9">
              <w:rPr>
                <w:rFonts w:cs="Arial"/>
                <w:szCs w:val="18"/>
                <w:lang w:val="en-GB"/>
              </w:rPr>
              <w:t xml:space="preserve"> </w:t>
            </w:r>
            <w:r w:rsidR="00385057" w:rsidRPr="00312CB9">
              <w:rPr>
                <w:rFonts w:cs="Arial"/>
                <w:szCs w:val="18"/>
                <w:lang w:val="en-GB"/>
              </w:rPr>
              <w:t>(</w:t>
            </w:r>
            <w:r w:rsidR="00CA099A" w:rsidRPr="00312CB9">
              <w:rPr>
                <w:rFonts w:cs="Arial"/>
                <w:szCs w:val="18"/>
                <w:lang w:val="en-GB"/>
              </w:rPr>
              <w:t>C</w:t>
            </w:r>
            <w:r w:rsidRPr="00312CB9">
              <w:rPr>
                <w:rFonts w:cs="Arial"/>
                <w:szCs w:val="18"/>
                <w:lang w:val="en-GB"/>
              </w:rPr>
              <w:t>F</w:t>
            </w:r>
            <w:r w:rsidR="00CA099A" w:rsidRPr="00312CB9">
              <w:rPr>
                <w:rFonts w:cs="Arial"/>
                <w:szCs w:val="18"/>
                <w:lang w:val="en-GB"/>
              </w:rPr>
              <w:t>U</w:t>
            </w:r>
            <w:r w:rsidRPr="00312CB9">
              <w:rPr>
                <w:rFonts w:cs="Arial"/>
                <w:szCs w:val="18"/>
                <w:lang w:val="en-GB"/>
              </w:rPr>
              <w:t>/mg/L</w:t>
            </w:r>
            <w:r w:rsidR="00385057" w:rsidRPr="00312CB9">
              <w:rPr>
                <w:rFonts w:cs="Arial"/>
                <w:szCs w:val="18"/>
                <w:lang w:val="en-GB"/>
              </w:rPr>
              <w:t>)</w:t>
            </w:r>
          </w:p>
        </w:tc>
        <w:tc>
          <w:tcPr>
            <w:tcW w:w="568" w:type="dxa"/>
            <w:shd w:val="clear" w:color="auto" w:fill="FFFFFF"/>
            <w:vAlign w:val="center"/>
          </w:tcPr>
          <w:p w14:paraId="44B9FB3D" w14:textId="0A787EFE" w:rsidR="00E92B46" w:rsidRPr="00312CB9" w:rsidRDefault="00E92B46" w:rsidP="00385057">
            <w:pPr>
              <w:pStyle w:val="CETBodytext"/>
              <w:ind w:right="-1"/>
              <w:jc w:val="center"/>
              <w:rPr>
                <w:rFonts w:cs="Arial"/>
                <w:szCs w:val="18"/>
                <w:lang w:val="en-GB"/>
              </w:rPr>
            </w:pPr>
            <w:r w:rsidRPr="00312CB9">
              <w:rPr>
                <w:lang w:val="en-GB"/>
              </w:rPr>
              <w:t>0.001</w:t>
            </w:r>
          </w:p>
        </w:tc>
        <w:tc>
          <w:tcPr>
            <w:tcW w:w="711" w:type="dxa"/>
            <w:shd w:val="clear" w:color="auto" w:fill="FFFFFF"/>
            <w:vAlign w:val="center"/>
          </w:tcPr>
          <w:p w14:paraId="2DE83EFC" w14:textId="4BAC8434" w:rsidR="00E92B46" w:rsidRPr="00312CB9" w:rsidRDefault="00E92B46" w:rsidP="00385057">
            <w:pPr>
              <w:pStyle w:val="CETBodytext"/>
              <w:ind w:right="-1"/>
              <w:jc w:val="center"/>
              <w:rPr>
                <w:rFonts w:cs="Arial"/>
                <w:szCs w:val="18"/>
                <w:lang w:val="en-GB"/>
              </w:rPr>
            </w:pPr>
            <w:r w:rsidRPr="00312CB9">
              <w:rPr>
                <w:lang w:val="en-GB"/>
              </w:rPr>
              <w:t>0.019</w:t>
            </w:r>
          </w:p>
        </w:tc>
        <w:tc>
          <w:tcPr>
            <w:tcW w:w="568" w:type="dxa"/>
            <w:shd w:val="clear" w:color="auto" w:fill="FFFFFF"/>
            <w:vAlign w:val="center"/>
          </w:tcPr>
          <w:p w14:paraId="38DC685D" w14:textId="3458A5FE" w:rsidR="00E92B46" w:rsidRPr="00312CB9" w:rsidRDefault="00E92B46" w:rsidP="00385057">
            <w:pPr>
              <w:pStyle w:val="CETBodytext"/>
              <w:ind w:right="-1"/>
              <w:jc w:val="center"/>
              <w:rPr>
                <w:rFonts w:cs="Arial"/>
                <w:szCs w:val="18"/>
                <w:lang w:val="en-GB"/>
              </w:rPr>
            </w:pPr>
            <w:r w:rsidRPr="00312CB9">
              <w:rPr>
                <w:lang w:val="en-GB"/>
              </w:rPr>
              <w:t>0.03</w:t>
            </w:r>
          </w:p>
        </w:tc>
        <w:tc>
          <w:tcPr>
            <w:tcW w:w="568" w:type="dxa"/>
            <w:shd w:val="clear" w:color="auto" w:fill="FFFFFF"/>
            <w:vAlign w:val="center"/>
          </w:tcPr>
          <w:p w14:paraId="7A9C84EA" w14:textId="47E4D8B7" w:rsidR="00E92B46" w:rsidRPr="00312CB9" w:rsidRDefault="00E92B46" w:rsidP="00385057">
            <w:pPr>
              <w:pStyle w:val="CETBodytext"/>
              <w:ind w:right="-1"/>
              <w:jc w:val="center"/>
              <w:rPr>
                <w:rFonts w:cs="Arial"/>
                <w:szCs w:val="18"/>
                <w:lang w:val="en-GB"/>
              </w:rPr>
            </w:pPr>
            <w:r w:rsidRPr="00312CB9">
              <w:rPr>
                <w:lang w:val="en-GB"/>
              </w:rPr>
              <w:t>0.038</w:t>
            </w:r>
          </w:p>
        </w:tc>
        <w:tc>
          <w:tcPr>
            <w:tcW w:w="711" w:type="dxa"/>
            <w:shd w:val="clear" w:color="auto" w:fill="FFFFFF"/>
            <w:vAlign w:val="center"/>
          </w:tcPr>
          <w:p w14:paraId="61A410BF" w14:textId="315ABD59" w:rsidR="00E92B46" w:rsidRPr="00312CB9" w:rsidRDefault="00E92B46" w:rsidP="00385057">
            <w:pPr>
              <w:pStyle w:val="CETBodytext"/>
              <w:ind w:right="-1"/>
              <w:jc w:val="center"/>
              <w:rPr>
                <w:rFonts w:cs="Arial"/>
                <w:szCs w:val="18"/>
                <w:lang w:val="en-GB"/>
              </w:rPr>
            </w:pPr>
            <w:r w:rsidRPr="00312CB9">
              <w:rPr>
                <w:lang w:val="en-GB"/>
              </w:rPr>
              <w:t>0.043</w:t>
            </w:r>
          </w:p>
        </w:tc>
        <w:tc>
          <w:tcPr>
            <w:tcW w:w="711" w:type="dxa"/>
            <w:shd w:val="clear" w:color="auto" w:fill="FFFFFF"/>
            <w:vAlign w:val="center"/>
          </w:tcPr>
          <w:p w14:paraId="49F15644" w14:textId="011EC325" w:rsidR="00E92B46" w:rsidRPr="00312CB9" w:rsidRDefault="00E92B46" w:rsidP="00385057">
            <w:pPr>
              <w:pStyle w:val="CETBodytext"/>
              <w:ind w:right="-1"/>
              <w:jc w:val="center"/>
              <w:rPr>
                <w:rFonts w:cs="Arial"/>
                <w:szCs w:val="18"/>
                <w:lang w:val="en-GB"/>
              </w:rPr>
            </w:pPr>
            <w:r w:rsidRPr="00312CB9">
              <w:rPr>
                <w:lang w:val="en-GB"/>
              </w:rPr>
              <w:t>0.048</w:t>
            </w:r>
          </w:p>
        </w:tc>
        <w:tc>
          <w:tcPr>
            <w:tcW w:w="711" w:type="dxa"/>
            <w:shd w:val="clear" w:color="auto" w:fill="FFFFFF"/>
            <w:vAlign w:val="center"/>
          </w:tcPr>
          <w:p w14:paraId="4A874971" w14:textId="143124AE" w:rsidR="00E92B46" w:rsidRPr="00312CB9" w:rsidRDefault="00E92B46" w:rsidP="00385057">
            <w:pPr>
              <w:pStyle w:val="CETBodytext"/>
              <w:ind w:right="-1"/>
              <w:jc w:val="center"/>
              <w:rPr>
                <w:rFonts w:cs="Arial"/>
                <w:szCs w:val="18"/>
                <w:lang w:val="en-GB"/>
              </w:rPr>
            </w:pPr>
            <w:r w:rsidRPr="00312CB9">
              <w:rPr>
                <w:lang w:val="en-GB"/>
              </w:rPr>
              <w:t>0.038</w:t>
            </w:r>
          </w:p>
        </w:tc>
        <w:tc>
          <w:tcPr>
            <w:tcW w:w="711" w:type="dxa"/>
            <w:shd w:val="clear" w:color="auto" w:fill="FFFFFF"/>
            <w:vAlign w:val="center"/>
          </w:tcPr>
          <w:p w14:paraId="43194C9E" w14:textId="3C58F091" w:rsidR="00E92B46" w:rsidRPr="00312CB9" w:rsidRDefault="00E92B46" w:rsidP="00385057">
            <w:pPr>
              <w:pStyle w:val="CETBodytext"/>
              <w:ind w:right="-1"/>
              <w:jc w:val="center"/>
              <w:rPr>
                <w:rFonts w:cs="Arial"/>
                <w:szCs w:val="18"/>
                <w:lang w:val="en-GB"/>
              </w:rPr>
            </w:pPr>
            <w:r w:rsidRPr="00312CB9">
              <w:rPr>
                <w:lang w:val="en-GB"/>
              </w:rPr>
              <w:t>0.039</w:t>
            </w:r>
          </w:p>
        </w:tc>
        <w:tc>
          <w:tcPr>
            <w:tcW w:w="711" w:type="dxa"/>
            <w:shd w:val="clear" w:color="auto" w:fill="FFFFFF"/>
            <w:vAlign w:val="center"/>
          </w:tcPr>
          <w:p w14:paraId="3C9D17B3" w14:textId="3B11C959" w:rsidR="00E92B46" w:rsidRPr="00312CB9" w:rsidRDefault="00E92B46" w:rsidP="00385057">
            <w:pPr>
              <w:pStyle w:val="CETBodytext"/>
              <w:ind w:right="-1"/>
              <w:jc w:val="center"/>
              <w:rPr>
                <w:rFonts w:cs="Arial"/>
                <w:szCs w:val="18"/>
                <w:lang w:val="en-GB"/>
              </w:rPr>
            </w:pPr>
            <w:r w:rsidRPr="00312CB9">
              <w:rPr>
                <w:lang w:val="en-GB"/>
              </w:rPr>
              <w:t>0.048</w:t>
            </w:r>
          </w:p>
        </w:tc>
        <w:tc>
          <w:tcPr>
            <w:tcW w:w="711" w:type="dxa"/>
            <w:shd w:val="clear" w:color="auto" w:fill="FFFFFF"/>
            <w:vAlign w:val="center"/>
          </w:tcPr>
          <w:p w14:paraId="71A300BF" w14:textId="3466353F" w:rsidR="00E92B46" w:rsidRPr="00312CB9" w:rsidRDefault="00E92B46" w:rsidP="00385057">
            <w:pPr>
              <w:pStyle w:val="CETBodytext"/>
              <w:ind w:right="-1"/>
              <w:jc w:val="center"/>
              <w:rPr>
                <w:rFonts w:cs="Arial"/>
                <w:szCs w:val="18"/>
                <w:lang w:val="en-GB"/>
              </w:rPr>
            </w:pPr>
            <w:r w:rsidRPr="00312CB9">
              <w:rPr>
                <w:lang w:val="en-GB"/>
              </w:rPr>
              <w:t>0.069</w:t>
            </w:r>
          </w:p>
        </w:tc>
      </w:tr>
    </w:tbl>
    <w:p w14:paraId="1854B483" w14:textId="10839252" w:rsidR="009771D4" w:rsidRPr="00312CB9" w:rsidRDefault="009771D4" w:rsidP="006C5195">
      <w:pPr>
        <w:pStyle w:val="CETBodytext"/>
        <w:rPr>
          <w:lang w:val="en-GB"/>
        </w:rPr>
      </w:pPr>
    </w:p>
    <w:p w14:paraId="7C2FEBA3" w14:textId="56CA29BD" w:rsidR="006C5195" w:rsidRPr="00312CB9" w:rsidRDefault="00D03B8C" w:rsidP="00BD5A94">
      <w:pPr>
        <w:pStyle w:val="CETheadingx"/>
        <w:rPr>
          <w:lang w:val="en-GB"/>
        </w:rPr>
      </w:pPr>
      <w:r w:rsidRPr="00312CB9">
        <w:rPr>
          <w:lang w:val="en-GB"/>
        </w:rPr>
        <w:t>Results of growth kinetics in the treatments</w:t>
      </w:r>
    </w:p>
    <w:p w14:paraId="54E9D1DC" w14:textId="0942F726" w:rsidR="00051114" w:rsidRPr="00312CB9" w:rsidRDefault="00051114" w:rsidP="002E7298">
      <w:pPr>
        <w:pStyle w:val="CETCaption"/>
        <w:rPr>
          <w:i w:val="0"/>
        </w:rPr>
      </w:pPr>
      <w:r w:rsidRPr="00312CB9">
        <w:rPr>
          <w:i w:val="0"/>
        </w:rPr>
        <w:t xml:space="preserve">With the result of the verification of bacterial growth, the contaminated water samples were treated. Figure 4 shows the growth kinetics of the </w:t>
      </w:r>
      <w:r w:rsidRPr="00312CB9">
        <w:rPr>
          <w:iCs/>
        </w:rPr>
        <w:t>Pseudomonas aeruginosa</w:t>
      </w:r>
      <w:r w:rsidRPr="00312CB9">
        <w:rPr>
          <w:i w:val="0"/>
        </w:rPr>
        <w:t xml:space="preserve"> biofilm in three bioreactors, it is observed that there is an increase in the bacterial population due to the favourable conditions presented such as alkaline pH </w:t>
      </w:r>
      <w:r w:rsidRPr="00312CB9">
        <w:rPr>
          <w:i w:val="0"/>
        </w:rPr>
        <w:lastRenderedPageBreak/>
        <w:t>(Carmona, 2016), the temperature also favoured bacterial growth although the most optimal is around 35 °C (PAHO/WHO, 2015).</w:t>
      </w:r>
    </w:p>
    <w:p w14:paraId="3C2D4030" w14:textId="79BF0954" w:rsidR="006C5195" w:rsidRPr="00312CB9" w:rsidRDefault="00B838A4" w:rsidP="002E7298">
      <w:pPr>
        <w:pStyle w:val="CETCaption"/>
      </w:pPr>
      <w:r w:rsidRPr="00312CB9">
        <w:rPr>
          <w:noProof/>
        </w:rPr>
        <w:drawing>
          <wp:inline distT="0" distB="0" distL="0" distR="0" wp14:anchorId="30D5C564" wp14:editId="5D25761A">
            <wp:extent cx="4435433" cy="1769423"/>
            <wp:effectExtent l="0" t="0" r="3810" b="2540"/>
            <wp:docPr id="10" name="Gráfico 10">
              <a:extLst xmlns:a="http://schemas.openxmlformats.org/drawingml/2006/main">
                <a:ext uri="{FF2B5EF4-FFF2-40B4-BE49-F238E27FC236}">
                  <a16:creationId xmlns:a16="http://schemas.microsoft.com/office/drawing/2014/main" id="{4252947B-2EF0-4997-97CE-47BA77E9773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45EC6E6" w14:textId="4B9E9E5A" w:rsidR="002E7298" w:rsidRPr="00312CB9" w:rsidRDefault="003A6E40" w:rsidP="002E7298">
      <w:pPr>
        <w:pStyle w:val="CETCaption"/>
      </w:pPr>
      <w:r w:rsidRPr="00312CB9">
        <w:t>Figure</w:t>
      </w:r>
      <w:r w:rsidR="002E7298" w:rsidRPr="00312CB9">
        <w:t xml:space="preserve"> 4: </w:t>
      </w:r>
      <w:r w:rsidRPr="00312CB9">
        <w:t>Growth kinetics of Pseudomas aeruginosa biofilm.</w:t>
      </w:r>
    </w:p>
    <w:p w14:paraId="44C6485B" w14:textId="6661E89D" w:rsidR="006C5195" w:rsidRPr="00312CB9" w:rsidRDefault="003A6E40" w:rsidP="006C5195">
      <w:pPr>
        <w:pStyle w:val="CETBodytext"/>
        <w:rPr>
          <w:lang w:val="en-GB"/>
        </w:rPr>
      </w:pPr>
      <w:r w:rsidRPr="00312CB9">
        <w:rPr>
          <w:lang w:val="en-GB"/>
        </w:rPr>
        <w:t xml:space="preserve">Figure 5 shows the growth kinetics for the </w:t>
      </w:r>
      <w:r w:rsidRPr="00312CB9">
        <w:rPr>
          <w:i/>
          <w:iCs/>
          <w:lang w:val="en-GB"/>
        </w:rPr>
        <w:t>Escherichia coli</w:t>
      </w:r>
      <w:r w:rsidRPr="00312CB9">
        <w:rPr>
          <w:lang w:val="en-GB"/>
        </w:rPr>
        <w:t xml:space="preserve"> biofilm, tested in three bioreactors, also verifying the adaptability and growth of the bacteria.</w:t>
      </w:r>
    </w:p>
    <w:p w14:paraId="1B816ADE" w14:textId="4EED8118" w:rsidR="00FA25DE" w:rsidRPr="00312CB9" w:rsidRDefault="00FA25DE" w:rsidP="006C5195">
      <w:pPr>
        <w:pStyle w:val="CETBodytext"/>
        <w:rPr>
          <w:lang w:val="en-GB"/>
        </w:rPr>
      </w:pPr>
    </w:p>
    <w:p w14:paraId="087E4346" w14:textId="5C240E0E" w:rsidR="00FA25DE" w:rsidRPr="00312CB9" w:rsidRDefault="008C6A84" w:rsidP="006C5195">
      <w:pPr>
        <w:pStyle w:val="CETBodytext"/>
        <w:rPr>
          <w:lang w:val="en-GB"/>
        </w:rPr>
      </w:pPr>
      <w:r w:rsidRPr="00312CB9">
        <w:rPr>
          <w:noProof/>
          <w:lang w:val="en-GB"/>
        </w:rPr>
        <w:drawing>
          <wp:inline distT="0" distB="0" distL="0" distR="0" wp14:anchorId="6E3C131D" wp14:editId="5E84381B">
            <wp:extent cx="4524498" cy="1739735"/>
            <wp:effectExtent l="0" t="0" r="9525" b="13335"/>
            <wp:docPr id="11" name="Gráfico 11">
              <a:extLst xmlns:a="http://schemas.openxmlformats.org/drawingml/2006/main">
                <a:ext uri="{FF2B5EF4-FFF2-40B4-BE49-F238E27FC236}">
                  <a16:creationId xmlns:a16="http://schemas.microsoft.com/office/drawing/2014/main" id="{3E898F45-9A93-4365-9522-2F7B76153DC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FD93A0E" w14:textId="4F8C97A1" w:rsidR="002E7298" w:rsidRPr="00312CB9" w:rsidRDefault="003A6E40" w:rsidP="002E7298">
      <w:pPr>
        <w:pStyle w:val="CETCaption"/>
      </w:pPr>
      <w:r w:rsidRPr="00312CB9">
        <w:t>Figure</w:t>
      </w:r>
      <w:r w:rsidR="002E7298" w:rsidRPr="00312CB9">
        <w:t xml:space="preserve"> 4: </w:t>
      </w:r>
      <w:r w:rsidRPr="00312CB9">
        <w:t>Kinetics of Escherichia coli biofilm growth</w:t>
      </w:r>
    </w:p>
    <w:p w14:paraId="03F3AC7D" w14:textId="1C9C8A96" w:rsidR="006C5195" w:rsidRPr="00312CB9" w:rsidRDefault="003A6E40" w:rsidP="00D91330">
      <w:pPr>
        <w:pStyle w:val="CETBodytext"/>
        <w:rPr>
          <w:lang w:val="en-GB"/>
        </w:rPr>
      </w:pPr>
      <w:r w:rsidRPr="00312CB9">
        <w:rPr>
          <w:lang w:val="en-GB"/>
        </w:rPr>
        <w:t xml:space="preserve">Table 4 shows the quantification of the biofilm population of </w:t>
      </w:r>
      <w:r w:rsidRPr="00312CB9">
        <w:rPr>
          <w:i/>
          <w:iCs/>
          <w:lang w:val="en-GB"/>
        </w:rPr>
        <w:t>Pseudomona aeruginosa</w:t>
      </w:r>
      <w:r w:rsidRPr="00312CB9">
        <w:rPr>
          <w:lang w:val="en-GB"/>
        </w:rPr>
        <w:t xml:space="preserve"> and </w:t>
      </w:r>
      <w:r w:rsidRPr="00312CB9">
        <w:rPr>
          <w:i/>
          <w:iCs/>
          <w:lang w:val="en-GB"/>
        </w:rPr>
        <w:t>Escherichia coli</w:t>
      </w:r>
      <w:r w:rsidRPr="00312CB9">
        <w:rPr>
          <w:lang w:val="en-GB"/>
        </w:rPr>
        <w:t xml:space="preserve"> at the beginning and end of the treatment of the cyanide-contaminated water samples. Similarly, Table 5 shows the quantification for </w:t>
      </w:r>
      <w:r w:rsidRPr="00312CB9">
        <w:rPr>
          <w:i/>
          <w:iCs/>
          <w:lang w:val="en-GB"/>
        </w:rPr>
        <w:t>Escherichia coli</w:t>
      </w:r>
      <w:r w:rsidRPr="00312CB9">
        <w:rPr>
          <w:lang w:val="en-GB"/>
        </w:rPr>
        <w:t>. In both cases, the increase in the microbial population was determined, which will intervene in the reduction of the cyanide present in the water samples.</w:t>
      </w:r>
    </w:p>
    <w:p w14:paraId="6371A15A" w14:textId="0F67D35F" w:rsidR="00D91330" w:rsidRPr="00312CB9" w:rsidRDefault="00D91330" w:rsidP="00D91330">
      <w:pPr>
        <w:pStyle w:val="CETTabletitle"/>
      </w:pPr>
      <w:r w:rsidRPr="00312CB9">
        <w:t xml:space="preserve">Table 4: </w:t>
      </w:r>
      <w:r w:rsidR="003A6E40" w:rsidRPr="00312CB9">
        <w:t>Initial and final population of Pseudomona aeruginosa in bioreactors during treatment</w:t>
      </w:r>
    </w:p>
    <w:tbl>
      <w:tblPr>
        <w:tblW w:w="7664" w:type="dxa"/>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2372"/>
        <w:gridCol w:w="1972"/>
        <w:gridCol w:w="3320"/>
      </w:tblGrid>
      <w:tr w:rsidR="0043577D" w:rsidRPr="00312CB9" w14:paraId="5779652D" w14:textId="77777777" w:rsidTr="0073451A">
        <w:trPr>
          <w:trHeight w:val="256"/>
        </w:trPr>
        <w:tc>
          <w:tcPr>
            <w:tcW w:w="2372" w:type="dxa"/>
            <w:tcBorders>
              <w:top w:val="single" w:sz="12" w:space="0" w:color="008000"/>
              <w:bottom w:val="single" w:sz="6" w:space="0" w:color="008000"/>
            </w:tcBorders>
            <w:shd w:val="clear" w:color="auto" w:fill="FFFFFF"/>
            <w:vAlign w:val="center"/>
          </w:tcPr>
          <w:p w14:paraId="34788F3E" w14:textId="751ADEED" w:rsidR="0043577D" w:rsidRPr="00312CB9" w:rsidRDefault="0043577D" w:rsidP="005C5EA6">
            <w:pPr>
              <w:pStyle w:val="CETBodytext"/>
              <w:ind w:left="150" w:right="-1" w:hanging="150"/>
              <w:jc w:val="center"/>
              <w:rPr>
                <w:rFonts w:cs="Arial"/>
                <w:szCs w:val="18"/>
                <w:lang w:val="en-GB"/>
              </w:rPr>
            </w:pPr>
            <w:r w:rsidRPr="00312CB9">
              <w:rPr>
                <w:rFonts w:cs="Arial"/>
                <w:szCs w:val="18"/>
                <w:lang w:val="en-GB"/>
              </w:rPr>
              <w:t>Reactor</w:t>
            </w:r>
          </w:p>
        </w:tc>
        <w:tc>
          <w:tcPr>
            <w:tcW w:w="1972" w:type="dxa"/>
            <w:tcBorders>
              <w:top w:val="single" w:sz="12" w:space="0" w:color="008000"/>
              <w:bottom w:val="single" w:sz="6" w:space="0" w:color="008000"/>
            </w:tcBorders>
            <w:shd w:val="clear" w:color="auto" w:fill="FFFFFF"/>
            <w:vAlign w:val="center"/>
          </w:tcPr>
          <w:p w14:paraId="7AAAAC2B" w14:textId="4587030E" w:rsidR="0043577D" w:rsidRPr="00312CB9" w:rsidRDefault="0043577D" w:rsidP="005C5EA6">
            <w:pPr>
              <w:pStyle w:val="CETBodytext"/>
              <w:ind w:right="-1"/>
              <w:jc w:val="center"/>
              <w:rPr>
                <w:rFonts w:cs="Arial"/>
                <w:szCs w:val="18"/>
                <w:lang w:val="en-GB"/>
              </w:rPr>
            </w:pPr>
            <w:r w:rsidRPr="00312CB9">
              <w:rPr>
                <w:rFonts w:cs="Arial"/>
                <w:szCs w:val="18"/>
                <w:lang w:val="en-GB"/>
              </w:rPr>
              <w:t>Initial Population</w:t>
            </w:r>
            <w:r w:rsidRPr="00312CB9">
              <w:rPr>
                <w:rFonts w:cs="Arial"/>
                <w:szCs w:val="18"/>
                <w:lang w:val="en-GB"/>
              </w:rPr>
              <w:t xml:space="preserve"> (CFU/mL)</w:t>
            </w:r>
          </w:p>
        </w:tc>
        <w:tc>
          <w:tcPr>
            <w:tcW w:w="3320" w:type="dxa"/>
            <w:tcBorders>
              <w:top w:val="single" w:sz="12" w:space="0" w:color="008000"/>
              <w:bottom w:val="single" w:sz="6" w:space="0" w:color="008000"/>
            </w:tcBorders>
            <w:shd w:val="clear" w:color="auto" w:fill="FFFFFF"/>
            <w:vAlign w:val="center"/>
          </w:tcPr>
          <w:p w14:paraId="31670F37" w14:textId="7A2CDBA6" w:rsidR="0043577D" w:rsidRPr="00312CB9" w:rsidRDefault="0043577D" w:rsidP="00D9485F">
            <w:pPr>
              <w:pStyle w:val="CETBodytext"/>
              <w:ind w:right="-1"/>
              <w:jc w:val="center"/>
              <w:rPr>
                <w:rFonts w:cs="Arial"/>
                <w:szCs w:val="18"/>
                <w:lang w:val="en-GB"/>
              </w:rPr>
            </w:pPr>
            <w:r w:rsidRPr="00312CB9">
              <w:rPr>
                <w:rFonts w:cs="Arial"/>
                <w:szCs w:val="18"/>
                <w:lang w:val="en-GB"/>
              </w:rPr>
              <w:t>Final Population</w:t>
            </w:r>
          </w:p>
          <w:p w14:paraId="7BCC3120" w14:textId="28996B14" w:rsidR="0043577D" w:rsidRPr="00312CB9" w:rsidRDefault="0043577D" w:rsidP="005C5EA6">
            <w:pPr>
              <w:pStyle w:val="CETBodytext"/>
              <w:ind w:right="-1"/>
              <w:jc w:val="center"/>
              <w:rPr>
                <w:rFonts w:cs="Arial"/>
                <w:szCs w:val="18"/>
                <w:lang w:val="en-GB"/>
              </w:rPr>
            </w:pPr>
            <w:r w:rsidRPr="00312CB9">
              <w:rPr>
                <w:rFonts w:cs="Arial"/>
                <w:szCs w:val="18"/>
                <w:lang w:val="en-GB"/>
              </w:rPr>
              <w:t>(CFU/mL)</w:t>
            </w:r>
          </w:p>
        </w:tc>
      </w:tr>
      <w:tr w:rsidR="0043577D" w:rsidRPr="00312CB9" w14:paraId="376B5611" w14:textId="77777777" w:rsidTr="0073451A">
        <w:trPr>
          <w:trHeight w:val="256"/>
        </w:trPr>
        <w:tc>
          <w:tcPr>
            <w:tcW w:w="2372" w:type="dxa"/>
            <w:shd w:val="clear" w:color="auto" w:fill="FFFFFF"/>
            <w:vAlign w:val="center"/>
          </w:tcPr>
          <w:p w14:paraId="055B28D1" w14:textId="49EADB78" w:rsidR="0043577D" w:rsidRPr="00312CB9" w:rsidRDefault="0043577D" w:rsidP="005C5EA6">
            <w:pPr>
              <w:pStyle w:val="CETBodytext"/>
              <w:ind w:right="-1"/>
              <w:jc w:val="center"/>
              <w:rPr>
                <w:rFonts w:cs="Arial"/>
                <w:szCs w:val="18"/>
                <w:lang w:val="en-GB"/>
              </w:rPr>
            </w:pPr>
            <w:r w:rsidRPr="00312CB9">
              <w:rPr>
                <w:rFonts w:cs="Arial"/>
                <w:szCs w:val="18"/>
                <w:lang w:val="en-GB"/>
              </w:rPr>
              <w:t>R1</w:t>
            </w:r>
          </w:p>
        </w:tc>
        <w:tc>
          <w:tcPr>
            <w:tcW w:w="1972" w:type="dxa"/>
            <w:shd w:val="clear" w:color="auto" w:fill="FFFFFF"/>
            <w:vAlign w:val="center"/>
          </w:tcPr>
          <w:p w14:paraId="4728F62F" w14:textId="51EA02C4" w:rsidR="0043577D" w:rsidRPr="00312CB9" w:rsidRDefault="0043577D" w:rsidP="005C5EA6">
            <w:pPr>
              <w:pStyle w:val="CETBodytext"/>
              <w:ind w:right="-1"/>
              <w:jc w:val="center"/>
              <w:rPr>
                <w:rFonts w:cs="Arial"/>
                <w:szCs w:val="18"/>
                <w:lang w:val="en-GB"/>
              </w:rPr>
            </w:pPr>
            <w:r w:rsidRPr="00312CB9">
              <w:rPr>
                <w:lang w:val="en-GB"/>
              </w:rPr>
              <w:t>550 x 10</w:t>
            </w:r>
            <w:r w:rsidRPr="00312CB9">
              <w:rPr>
                <w:vertAlign w:val="superscript"/>
                <w:lang w:val="en-GB"/>
              </w:rPr>
              <w:t>6</w:t>
            </w:r>
          </w:p>
        </w:tc>
        <w:tc>
          <w:tcPr>
            <w:tcW w:w="3320" w:type="dxa"/>
            <w:shd w:val="clear" w:color="auto" w:fill="FFFFFF"/>
            <w:vAlign w:val="center"/>
          </w:tcPr>
          <w:p w14:paraId="1F8586B0" w14:textId="0B66D85B" w:rsidR="0043577D" w:rsidRPr="00312CB9" w:rsidRDefault="0043577D" w:rsidP="005C5EA6">
            <w:pPr>
              <w:pStyle w:val="CETBodytext"/>
              <w:ind w:right="-1"/>
              <w:jc w:val="center"/>
              <w:rPr>
                <w:rFonts w:cs="Arial"/>
                <w:szCs w:val="18"/>
                <w:lang w:val="en-GB"/>
              </w:rPr>
            </w:pPr>
            <w:r w:rsidRPr="00312CB9">
              <w:rPr>
                <w:rFonts w:cs="Arial"/>
                <w:szCs w:val="18"/>
                <w:lang w:val="en-GB"/>
              </w:rPr>
              <w:t>1.48 x 10</w:t>
            </w:r>
            <w:r w:rsidRPr="00312CB9">
              <w:rPr>
                <w:rFonts w:cs="Arial"/>
                <w:szCs w:val="18"/>
                <w:vertAlign w:val="superscript"/>
                <w:lang w:val="en-GB"/>
              </w:rPr>
              <w:t>12</w:t>
            </w:r>
          </w:p>
        </w:tc>
      </w:tr>
      <w:tr w:rsidR="0043577D" w:rsidRPr="00312CB9" w14:paraId="1AD89519" w14:textId="77777777" w:rsidTr="0073451A">
        <w:trPr>
          <w:trHeight w:val="275"/>
        </w:trPr>
        <w:tc>
          <w:tcPr>
            <w:tcW w:w="2372" w:type="dxa"/>
            <w:shd w:val="clear" w:color="auto" w:fill="FFFFFF"/>
            <w:vAlign w:val="center"/>
          </w:tcPr>
          <w:p w14:paraId="745C29BC" w14:textId="5A34D14E" w:rsidR="0043577D" w:rsidRPr="00312CB9" w:rsidRDefault="0043577D" w:rsidP="005C5EA6">
            <w:pPr>
              <w:pStyle w:val="CETBodytext"/>
              <w:ind w:right="-1"/>
              <w:jc w:val="center"/>
              <w:rPr>
                <w:rFonts w:cs="Arial"/>
                <w:szCs w:val="18"/>
                <w:lang w:val="en-GB"/>
              </w:rPr>
            </w:pPr>
            <w:r w:rsidRPr="00312CB9">
              <w:rPr>
                <w:lang w:val="en-GB"/>
              </w:rPr>
              <w:t>R2</w:t>
            </w:r>
          </w:p>
        </w:tc>
        <w:tc>
          <w:tcPr>
            <w:tcW w:w="1972" w:type="dxa"/>
            <w:shd w:val="clear" w:color="auto" w:fill="FFFFFF"/>
            <w:vAlign w:val="center"/>
          </w:tcPr>
          <w:p w14:paraId="772E0DA7" w14:textId="266F14EC" w:rsidR="0043577D" w:rsidRPr="00312CB9" w:rsidRDefault="0043577D" w:rsidP="005C5EA6">
            <w:pPr>
              <w:pStyle w:val="CETBodytext"/>
              <w:ind w:right="-1"/>
              <w:jc w:val="center"/>
              <w:rPr>
                <w:rFonts w:cs="Arial"/>
                <w:szCs w:val="18"/>
                <w:lang w:val="en-GB"/>
              </w:rPr>
            </w:pPr>
            <w:r w:rsidRPr="00312CB9">
              <w:rPr>
                <w:lang w:val="en-GB"/>
              </w:rPr>
              <w:t>385 x 10</w:t>
            </w:r>
            <w:r w:rsidRPr="00312CB9">
              <w:rPr>
                <w:vertAlign w:val="superscript"/>
                <w:lang w:val="en-GB"/>
              </w:rPr>
              <w:t>6</w:t>
            </w:r>
          </w:p>
        </w:tc>
        <w:tc>
          <w:tcPr>
            <w:tcW w:w="3320" w:type="dxa"/>
            <w:shd w:val="clear" w:color="auto" w:fill="FFFFFF"/>
          </w:tcPr>
          <w:p w14:paraId="29D1CF06" w14:textId="6461AB9D" w:rsidR="0043577D" w:rsidRPr="00312CB9" w:rsidRDefault="0043577D" w:rsidP="005C5EA6">
            <w:pPr>
              <w:pStyle w:val="CETBodytext"/>
              <w:ind w:right="-1"/>
              <w:jc w:val="center"/>
              <w:rPr>
                <w:rFonts w:cs="Arial"/>
                <w:szCs w:val="18"/>
                <w:lang w:val="en-GB"/>
              </w:rPr>
            </w:pPr>
            <w:r w:rsidRPr="00312CB9">
              <w:rPr>
                <w:lang w:val="en-GB"/>
              </w:rPr>
              <w:t>1.44 x 10</w:t>
            </w:r>
            <w:r w:rsidRPr="00312CB9">
              <w:rPr>
                <w:vertAlign w:val="superscript"/>
                <w:lang w:val="en-GB"/>
              </w:rPr>
              <w:t>12</w:t>
            </w:r>
          </w:p>
        </w:tc>
      </w:tr>
      <w:tr w:rsidR="0043577D" w:rsidRPr="00312CB9" w14:paraId="24F25022" w14:textId="77777777" w:rsidTr="0073451A">
        <w:trPr>
          <w:trHeight w:val="275"/>
        </w:trPr>
        <w:tc>
          <w:tcPr>
            <w:tcW w:w="2372" w:type="dxa"/>
            <w:shd w:val="clear" w:color="auto" w:fill="FFFFFF"/>
            <w:vAlign w:val="center"/>
          </w:tcPr>
          <w:p w14:paraId="4BB267FD" w14:textId="5C665B2B" w:rsidR="0043577D" w:rsidRPr="00312CB9" w:rsidRDefault="0043577D" w:rsidP="005C5EA6">
            <w:pPr>
              <w:pStyle w:val="CETBodytext"/>
              <w:ind w:right="-1"/>
              <w:jc w:val="center"/>
              <w:rPr>
                <w:lang w:val="en-GB"/>
              </w:rPr>
            </w:pPr>
            <w:r w:rsidRPr="00312CB9">
              <w:rPr>
                <w:lang w:val="en-GB"/>
              </w:rPr>
              <w:t>R3</w:t>
            </w:r>
          </w:p>
        </w:tc>
        <w:tc>
          <w:tcPr>
            <w:tcW w:w="1972" w:type="dxa"/>
            <w:shd w:val="clear" w:color="auto" w:fill="FFFFFF"/>
            <w:vAlign w:val="center"/>
          </w:tcPr>
          <w:p w14:paraId="0FCAB5F6" w14:textId="635CBD1E" w:rsidR="0043577D" w:rsidRPr="00312CB9" w:rsidRDefault="0043577D" w:rsidP="005C5EA6">
            <w:pPr>
              <w:pStyle w:val="CETBodytext"/>
              <w:ind w:right="-1"/>
              <w:jc w:val="center"/>
              <w:rPr>
                <w:rFonts w:cs="Arial"/>
                <w:szCs w:val="18"/>
                <w:lang w:val="en-GB"/>
              </w:rPr>
            </w:pPr>
            <w:r w:rsidRPr="00312CB9">
              <w:rPr>
                <w:lang w:val="en-GB"/>
              </w:rPr>
              <w:t>522.5 x10</w:t>
            </w:r>
            <w:r w:rsidRPr="00312CB9">
              <w:rPr>
                <w:vertAlign w:val="superscript"/>
                <w:lang w:val="en-GB"/>
              </w:rPr>
              <w:t>6</w:t>
            </w:r>
          </w:p>
        </w:tc>
        <w:tc>
          <w:tcPr>
            <w:tcW w:w="3320" w:type="dxa"/>
            <w:shd w:val="clear" w:color="auto" w:fill="FFFFFF"/>
          </w:tcPr>
          <w:p w14:paraId="22216C61" w14:textId="4A72A1EC" w:rsidR="0043577D" w:rsidRPr="00312CB9" w:rsidRDefault="0043577D" w:rsidP="005C5EA6">
            <w:pPr>
              <w:pStyle w:val="CETBodytext"/>
              <w:ind w:right="-1"/>
              <w:jc w:val="center"/>
              <w:rPr>
                <w:rFonts w:cs="Arial"/>
                <w:szCs w:val="18"/>
                <w:lang w:val="en-GB"/>
              </w:rPr>
            </w:pPr>
            <w:r w:rsidRPr="00312CB9">
              <w:rPr>
                <w:lang w:val="en-GB"/>
              </w:rPr>
              <w:t>1.5 x 10</w:t>
            </w:r>
            <w:r w:rsidRPr="00312CB9">
              <w:rPr>
                <w:vertAlign w:val="superscript"/>
                <w:lang w:val="en-GB"/>
              </w:rPr>
              <w:t>12</w:t>
            </w:r>
          </w:p>
        </w:tc>
      </w:tr>
    </w:tbl>
    <w:p w14:paraId="06E60D8E" w14:textId="59E74FAF" w:rsidR="005C5EA6" w:rsidRPr="00312CB9" w:rsidRDefault="005C5EA6" w:rsidP="005C5EA6">
      <w:pPr>
        <w:pStyle w:val="CETTabletitle"/>
      </w:pPr>
      <w:r w:rsidRPr="00312CB9">
        <w:t xml:space="preserve">Table 5: </w:t>
      </w:r>
      <w:r w:rsidR="0073451A" w:rsidRPr="00312CB9">
        <w:t>Initial and final population of Escherichia coli microorganisms in the bioreactors during treatment</w:t>
      </w:r>
    </w:p>
    <w:tbl>
      <w:tblPr>
        <w:tblW w:w="7803" w:type="dxa"/>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2366"/>
        <w:gridCol w:w="2343"/>
        <w:gridCol w:w="3094"/>
      </w:tblGrid>
      <w:tr w:rsidR="0043577D" w:rsidRPr="00312CB9" w14:paraId="1252B391" w14:textId="77777777" w:rsidTr="0073451A">
        <w:trPr>
          <w:trHeight w:val="549"/>
        </w:trPr>
        <w:tc>
          <w:tcPr>
            <w:tcW w:w="2366" w:type="dxa"/>
            <w:tcBorders>
              <w:top w:val="single" w:sz="12" w:space="0" w:color="008000"/>
              <w:bottom w:val="single" w:sz="6" w:space="0" w:color="008000"/>
            </w:tcBorders>
            <w:shd w:val="clear" w:color="auto" w:fill="FFFFFF"/>
            <w:vAlign w:val="center"/>
          </w:tcPr>
          <w:p w14:paraId="0EAD6289" w14:textId="2B2053F3" w:rsidR="0043577D" w:rsidRPr="00312CB9" w:rsidRDefault="0043577D" w:rsidP="00572E67">
            <w:pPr>
              <w:pStyle w:val="CETBodytext"/>
              <w:ind w:left="150" w:right="-1" w:hanging="150"/>
              <w:jc w:val="center"/>
              <w:rPr>
                <w:rFonts w:cs="Arial"/>
                <w:szCs w:val="18"/>
                <w:lang w:val="en-GB"/>
              </w:rPr>
            </w:pPr>
            <w:r w:rsidRPr="00312CB9">
              <w:rPr>
                <w:rFonts w:cs="Arial"/>
                <w:szCs w:val="18"/>
                <w:lang w:val="en-GB"/>
              </w:rPr>
              <w:t>Reactor</w:t>
            </w:r>
          </w:p>
        </w:tc>
        <w:tc>
          <w:tcPr>
            <w:tcW w:w="2343" w:type="dxa"/>
            <w:tcBorders>
              <w:top w:val="single" w:sz="12" w:space="0" w:color="008000"/>
              <w:bottom w:val="single" w:sz="6" w:space="0" w:color="008000"/>
            </w:tcBorders>
            <w:shd w:val="clear" w:color="auto" w:fill="FFFFFF"/>
            <w:vAlign w:val="center"/>
          </w:tcPr>
          <w:p w14:paraId="4544788F" w14:textId="3C4A1025" w:rsidR="0043577D" w:rsidRPr="00312CB9" w:rsidRDefault="0043577D" w:rsidP="00572E67">
            <w:pPr>
              <w:pStyle w:val="CETBodytext"/>
              <w:ind w:right="-1"/>
              <w:jc w:val="center"/>
              <w:rPr>
                <w:rFonts w:cs="Arial"/>
                <w:szCs w:val="18"/>
                <w:lang w:val="en-GB"/>
              </w:rPr>
            </w:pPr>
            <w:r w:rsidRPr="00312CB9">
              <w:rPr>
                <w:lang w:val="en-GB"/>
              </w:rPr>
              <w:t>Initial Population</w:t>
            </w:r>
            <w:r w:rsidRPr="00312CB9">
              <w:rPr>
                <w:rFonts w:cs="Arial"/>
                <w:szCs w:val="18"/>
                <w:lang w:val="en-GB"/>
              </w:rPr>
              <w:t xml:space="preserve"> </w:t>
            </w:r>
            <w:r w:rsidRPr="00312CB9">
              <w:rPr>
                <w:rFonts w:cs="Arial"/>
                <w:szCs w:val="18"/>
                <w:lang w:val="en-GB"/>
              </w:rPr>
              <w:t>(CFU/mL)</w:t>
            </w:r>
          </w:p>
        </w:tc>
        <w:tc>
          <w:tcPr>
            <w:tcW w:w="3094" w:type="dxa"/>
            <w:tcBorders>
              <w:top w:val="single" w:sz="12" w:space="0" w:color="008000"/>
              <w:bottom w:val="single" w:sz="6" w:space="0" w:color="008000"/>
            </w:tcBorders>
            <w:shd w:val="clear" w:color="auto" w:fill="FFFFFF"/>
            <w:vAlign w:val="center"/>
          </w:tcPr>
          <w:p w14:paraId="66B03E4B" w14:textId="460D8459" w:rsidR="0043577D" w:rsidRPr="00312CB9" w:rsidRDefault="0043577D" w:rsidP="00572E67">
            <w:pPr>
              <w:pStyle w:val="CETBodytext"/>
              <w:ind w:right="-1"/>
              <w:jc w:val="center"/>
              <w:rPr>
                <w:rFonts w:cs="Arial"/>
                <w:szCs w:val="18"/>
                <w:lang w:val="en-GB"/>
              </w:rPr>
            </w:pPr>
            <w:r w:rsidRPr="00312CB9">
              <w:rPr>
                <w:lang w:val="en-GB"/>
              </w:rPr>
              <w:t>Final</w:t>
            </w:r>
            <w:r w:rsidRPr="00312CB9">
              <w:rPr>
                <w:rFonts w:cs="Arial"/>
                <w:szCs w:val="18"/>
                <w:lang w:val="en-GB"/>
              </w:rPr>
              <w:t xml:space="preserve"> </w:t>
            </w:r>
            <w:r w:rsidRPr="00312CB9">
              <w:rPr>
                <w:rFonts w:cs="Arial"/>
                <w:szCs w:val="18"/>
                <w:lang w:val="en-GB"/>
              </w:rPr>
              <w:t>(CFU/mL)</w:t>
            </w:r>
          </w:p>
        </w:tc>
      </w:tr>
      <w:tr w:rsidR="0043577D" w:rsidRPr="00312CB9" w14:paraId="608F7F24" w14:textId="77777777" w:rsidTr="0073451A">
        <w:trPr>
          <w:trHeight w:val="256"/>
        </w:trPr>
        <w:tc>
          <w:tcPr>
            <w:tcW w:w="2366" w:type="dxa"/>
            <w:shd w:val="clear" w:color="auto" w:fill="FFFFFF"/>
            <w:vAlign w:val="center"/>
          </w:tcPr>
          <w:p w14:paraId="09BF7FDF" w14:textId="77777777" w:rsidR="0043577D" w:rsidRPr="00312CB9" w:rsidRDefault="0043577D" w:rsidP="00142F62">
            <w:pPr>
              <w:pStyle w:val="CETBodytext"/>
              <w:ind w:right="-1"/>
              <w:jc w:val="center"/>
              <w:rPr>
                <w:rFonts w:cs="Arial"/>
                <w:szCs w:val="18"/>
                <w:lang w:val="en-GB"/>
              </w:rPr>
            </w:pPr>
            <w:r w:rsidRPr="00312CB9">
              <w:rPr>
                <w:rFonts w:cs="Arial"/>
                <w:szCs w:val="18"/>
                <w:lang w:val="en-GB"/>
              </w:rPr>
              <w:t>R1</w:t>
            </w:r>
          </w:p>
        </w:tc>
        <w:tc>
          <w:tcPr>
            <w:tcW w:w="2343" w:type="dxa"/>
            <w:shd w:val="clear" w:color="auto" w:fill="FFFFFF"/>
            <w:vAlign w:val="center"/>
          </w:tcPr>
          <w:p w14:paraId="1B1379DD" w14:textId="60E73FEF" w:rsidR="0043577D" w:rsidRPr="00312CB9" w:rsidRDefault="0043577D" w:rsidP="00142F62">
            <w:pPr>
              <w:pStyle w:val="CETBodytext"/>
              <w:ind w:right="-1"/>
              <w:jc w:val="center"/>
              <w:rPr>
                <w:rFonts w:cs="Arial"/>
                <w:szCs w:val="18"/>
                <w:lang w:val="en-GB"/>
              </w:rPr>
            </w:pPr>
            <w:r w:rsidRPr="00312CB9">
              <w:rPr>
                <w:lang w:val="en-GB"/>
              </w:rPr>
              <w:t>6.05 x 10</w:t>
            </w:r>
            <w:r w:rsidRPr="00312CB9">
              <w:rPr>
                <w:vertAlign w:val="superscript"/>
                <w:lang w:val="en-GB"/>
              </w:rPr>
              <w:t>10</w:t>
            </w:r>
          </w:p>
        </w:tc>
        <w:tc>
          <w:tcPr>
            <w:tcW w:w="3094" w:type="dxa"/>
            <w:shd w:val="clear" w:color="auto" w:fill="FFFFFF"/>
            <w:vAlign w:val="center"/>
          </w:tcPr>
          <w:p w14:paraId="76456DBA" w14:textId="256D378D" w:rsidR="0043577D" w:rsidRPr="00312CB9" w:rsidRDefault="0043577D" w:rsidP="00142F62">
            <w:pPr>
              <w:pStyle w:val="CETBodytext"/>
              <w:ind w:right="-1"/>
              <w:jc w:val="center"/>
              <w:rPr>
                <w:rFonts w:cs="Arial"/>
                <w:szCs w:val="18"/>
                <w:lang w:val="en-GB"/>
              </w:rPr>
            </w:pPr>
            <w:r w:rsidRPr="00312CB9">
              <w:rPr>
                <w:rFonts w:cs="Arial"/>
                <w:szCs w:val="18"/>
                <w:lang w:val="en-GB"/>
              </w:rPr>
              <w:t>1.65 x 10</w:t>
            </w:r>
            <w:r w:rsidRPr="00312CB9">
              <w:rPr>
                <w:rFonts w:cs="Arial"/>
                <w:szCs w:val="18"/>
                <w:vertAlign w:val="superscript"/>
                <w:lang w:val="en-GB"/>
              </w:rPr>
              <w:t>13</w:t>
            </w:r>
          </w:p>
        </w:tc>
      </w:tr>
      <w:tr w:rsidR="0043577D" w:rsidRPr="00312CB9" w14:paraId="1E7328B9" w14:textId="77777777" w:rsidTr="0073451A">
        <w:trPr>
          <w:trHeight w:val="274"/>
        </w:trPr>
        <w:tc>
          <w:tcPr>
            <w:tcW w:w="2366" w:type="dxa"/>
            <w:shd w:val="clear" w:color="auto" w:fill="FFFFFF"/>
            <w:vAlign w:val="center"/>
          </w:tcPr>
          <w:p w14:paraId="7C0D6A9B" w14:textId="77777777" w:rsidR="0043577D" w:rsidRPr="00312CB9" w:rsidRDefault="0043577D" w:rsidP="00142F62">
            <w:pPr>
              <w:pStyle w:val="CETBodytext"/>
              <w:ind w:right="-1"/>
              <w:jc w:val="center"/>
              <w:rPr>
                <w:rFonts w:cs="Arial"/>
                <w:szCs w:val="18"/>
                <w:lang w:val="en-GB"/>
              </w:rPr>
            </w:pPr>
            <w:r w:rsidRPr="00312CB9">
              <w:rPr>
                <w:lang w:val="en-GB"/>
              </w:rPr>
              <w:t>R2</w:t>
            </w:r>
          </w:p>
        </w:tc>
        <w:tc>
          <w:tcPr>
            <w:tcW w:w="2343" w:type="dxa"/>
            <w:shd w:val="clear" w:color="auto" w:fill="FFFFFF"/>
            <w:vAlign w:val="center"/>
          </w:tcPr>
          <w:p w14:paraId="3ADDE8DA" w14:textId="69884EE8" w:rsidR="0043577D" w:rsidRPr="00312CB9" w:rsidRDefault="0043577D" w:rsidP="00142F62">
            <w:pPr>
              <w:pStyle w:val="CETBodytext"/>
              <w:ind w:right="-1"/>
              <w:jc w:val="center"/>
              <w:rPr>
                <w:rFonts w:cs="Arial"/>
                <w:szCs w:val="18"/>
                <w:lang w:val="en-GB"/>
              </w:rPr>
            </w:pPr>
            <w:r w:rsidRPr="00312CB9">
              <w:rPr>
                <w:lang w:val="en-GB"/>
              </w:rPr>
              <w:t>4.29 x 10</w:t>
            </w:r>
            <w:r w:rsidRPr="00312CB9">
              <w:rPr>
                <w:vertAlign w:val="superscript"/>
                <w:lang w:val="en-GB"/>
              </w:rPr>
              <w:t>10</w:t>
            </w:r>
          </w:p>
        </w:tc>
        <w:tc>
          <w:tcPr>
            <w:tcW w:w="3094" w:type="dxa"/>
            <w:shd w:val="clear" w:color="auto" w:fill="FFFFFF"/>
            <w:vAlign w:val="center"/>
          </w:tcPr>
          <w:p w14:paraId="17512132" w14:textId="114747ED" w:rsidR="0043577D" w:rsidRPr="00312CB9" w:rsidRDefault="0043577D" w:rsidP="00142F62">
            <w:pPr>
              <w:pStyle w:val="CETBodytext"/>
              <w:ind w:right="-1"/>
              <w:jc w:val="center"/>
              <w:rPr>
                <w:rFonts w:cs="Arial"/>
                <w:szCs w:val="18"/>
                <w:lang w:val="en-GB"/>
              </w:rPr>
            </w:pPr>
            <w:r w:rsidRPr="00312CB9">
              <w:rPr>
                <w:lang w:val="en-GB"/>
              </w:rPr>
              <w:t>1.83 x 10</w:t>
            </w:r>
            <w:r w:rsidRPr="00312CB9">
              <w:rPr>
                <w:vertAlign w:val="superscript"/>
                <w:lang w:val="en-GB"/>
              </w:rPr>
              <w:t>13</w:t>
            </w:r>
          </w:p>
        </w:tc>
      </w:tr>
      <w:tr w:rsidR="0043577D" w:rsidRPr="00312CB9" w14:paraId="50F13FEF" w14:textId="77777777" w:rsidTr="0073451A">
        <w:trPr>
          <w:trHeight w:val="274"/>
        </w:trPr>
        <w:tc>
          <w:tcPr>
            <w:tcW w:w="2366" w:type="dxa"/>
            <w:shd w:val="clear" w:color="auto" w:fill="FFFFFF"/>
            <w:vAlign w:val="center"/>
          </w:tcPr>
          <w:p w14:paraId="42EE0578" w14:textId="77777777" w:rsidR="0043577D" w:rsidRPr="00312CB9" w:rsidRDefault="0043577D" w:rsidP="00142F62">
            <w:pPr>
              <w:pStyle w:val="CETBodytext"/>
              <w:ind w:right="-1"/>
              <w:jc w:val="center"/>
              <w:rPr>
                <w:lang w:val="en-GB"/>
              </w:rPr>
            </w:pPr>
            <w:r w:rsidRPr="00312CB9">
              <w:rPr>
                <w:lang w:val="en-GB"/>
              </w:rPr>
              <w:t>R3</w:t>
            </w:r>
          </w:p>
        </w:tc>
        <w:tc>
          <w:tcPr>
            <w:tcW w:w="2343" w:type="dxa"/>
            <w:shd w:val="clear" w:color="auto" w:fill="FFFFFF"/>
            <w:vAlign w:val="center"/>
          </w:tcPr>
          <w:p w14:paraId="077C84CA" w14:textId="5D860D20" w:rsidR="0043577D" w:rsidRPr="00312CB9" w:rsidRDefault="0043577D" w:rsidP="00142F62">
            <w:pPr>
              <w:pStyle w:val="CETBodytext"/>
              <w:ind w:right="-1"/>
              <w:jc w:val="center"/>
              <w:rPr>
                <w:rFonts w:cs="Arial"/>
                <w:szCs w:val="18"/>
                <w:lang w:val="en-GB"/>
              </w:rPr>
            </w:pPr>
            <w:r w:rsidRPr="00312CB9">
              <w:rPr>
                <w:lang w:val="en-GB"/>
              </w:rPr>
              <w:t>3.465 x10</w:t>
            </w:r>
            <w:r w:rsidRPr="00312CB9">
              <w:rPr>
                <w:vertAlign w:val="superscript"/>
                <w:lang w:val="en-GB"/>
              </w:rPr>
              <w:t>10</w:t>
            </w:r>
          </w:p>
        </w:tc>
        <w:tc>
          <w:tcPr>
            <w:tcW w:w="3094" w:type="dxa"/>
            <w:shd w:val="clear" w:color="auto" w:fill="FFFFFF"/>
            <w:vAlign w:val="center"/>
          </w:tcPr>
          <w:p w14:paraId="2AC48A10" w14:textId="2527DABD" w:rsidR="0043577D" w:rsidRPr="00312CB9" w:rsidRDefault="0043577D" w:rsidP="00142F62">
            <w:pPr>
              <w:pStyle w:val="CETBodytext"/>
              <w:ind w:right="-1"/>
              <w:jc w:val="center"/>
              <w:rPr>
                <w:rFonts w:cs="Arial"/>
                <w:szCs w:val="18"/>
                <w:lang w:val="en-GB"/>
              </w:rPr>
            </w:pPr>
            <w:r w:rsidRPr="00312CB9">
              <w:rPr>
                <w:lang w:val="en-GB"/>
              </w:rPr>
              <w:t>1.72 x 10</w:t>
            </w:r>
            <w:r w:rsidRPr="00312CB9">
              <w:rPr>
                <w:vertAlign w:val="superscript"/>
                <w:lang w:val="en-GB"/>
              </w:rPr>
              <w:t>13</w:t>
            </w:r>
          </w:p>
        </w:tc>
      </w:tr>
    </w:tbl>
    <w:p w14:paraId="6C614D0A" w14:textId="6BD56414" w:rsidR="006C5195" w:rsidRPr="00312CB9" w:rsidRDefault="006C5195" w:rsidP="006C5195">
      <w:pPr>
        <w:pStyle w:val="CETBodytext"/>
        <w:rPr>
          <w:lang w:val="en-GB"/>
        </w:rPr>
      </w:pPr>
    </w:p>
    <w:p w14:paraId="4D5E09E7" w14:textId="03759BB4" w:rsidR="00D135A5" w:rsidRPr="00312CB9" w:rsidRDefault="00572E67" w:rsidP="0090261C">
      <w:pPr>
        <w:pStyle w:val="CETheadingx"/>
        <w:rPr>
          <w:lang w:val="en-GB"/>
        </w:rPr>
      </w:pPr>
      <w:bookmarkStart w:id="1" w:name="_Hlk94538061"/>
      <w:r w:rsidRPr="00312CB9">
        <w:rPr>
          <w:lang w:val="en-GB"/>
        </w:rPr>
        <w:lastRenderedPageBreak/>
        <w:t>Characteristics of contaminated water samples after treatment</w:t>
      </w:r>
    </w:p>
    <w:p w14:paraId="0CB176EE" w14:textId="77777777" w:rsidR="003324AD" w:rsidRPr="00312CB9" w:rsidRDefault="003324AD" w:rsidP="003324AD">
      <w:pPr>
        <w:pStyle w:val="CETBodytext"/>
        <w:rPr>
          <w:lang w:val="en-GB"/>
        </w:rPr>
      </w:pPr>
      <w:r w:rsidRPr="00312CB9">
        <w:rPr>
          <w:lang w:val="en-GB"/>
        </w:rPr>
        <w:t xml:space="preserve">Figure 6 shows the reduction of cyanide in water after treatment with a biofilm of </w:t>
      </w:r>
      <w:r w:rsidRPr="00312CB9">
        <w:rPr>
          <w:i/>
          <w:iCs/>
          <w:lang w:val="en-GB"/>
        </w:rPr>
        <w:t>Pseudomonas aeruginosa</w:t>
      </w:r>
      <w:r w:rsidRPr="00312CB9">
        <w:rPr>
          <w:lang w:val="en-GB"/>
        </w:rPr>
        <w:t xml:space="preserve"> microorganisms. It is observed that after 5 days cyanide was reduced from 1,352 mg/L to 38.98 mg/L (97.11%) in reactor R1, while in the other reactors R2 and R3 the reduction percentage was lower.</w:t>
      </w:r>
    </w:p>
    <w:p w14:paraId="2679B9B0" w14:textId="45013E57" w:rsidR="003324AD" w:rsidRPr="00312CB9" w:rsidRDefault="003324AD" w:rsidP="003324AD">
      <w:pPr>
        <w:pStyle w:val="CETBodytext"/>
        <w:rPr>
          <w:lang w:val="en-GB"/>
        </w:rPr>
      </w:pPr>
      <w:r w:rsidRPr="00312CB9">
        <w:rPr>
          <w:lang w:val="en-GB"/>
        </w:rPr>
        <w:t>This possibly happens due to the operating conditions, mainly due to the activity of the microbial population as established by the scientific literature, which indicates that it can reach between 90% and 96% (Carmona, 2016) and Cardona, 2015).</w:t>
      </w:r>
      <w:r w:rsidR="00467092" w:rsidRPr="00312CB9">
        <w:rPr>
          <w:lang w:val="en-GB"/>
        </w:rPr>
        <w:t xml:space="preserve"> </w:t>
      </w:r>
      <w:r w:rsidR="00467092" w:rsidRPr="00312CB9">
        <w:rPr>
          <w:lang w:val="en-GB"/>
        </w:rPr>
        <w:t>Using immobilized Psudomona fluorescens, cyanide was reduced by 99.12% in 48 hours with a degradation of 1.0445 mg/L-h (Naranjo and Manuel, 2006).</w:t>
      </w:r>
    </w:p>
    <w:p w14:paraId="588A2D8E" w14:textId="20C45282" w:rsidR="00612465" w:rsidRPr="00312CB9" w:rsidRDefault="002B18BC" w:rsidP="00572E67">
      <w:pPr>
        <w:pStyle w:val="CETBodytext"/>
        <w:rPr>
          <w:lang w:val="en-GB"/>
        </w:rPr>
      </w:pPr>
      <w:r w:rsidRPr="00312CB9">
        <w:rPr>
          <w:lang w:val="en-GB"/>
        </w:rPr>
        <w:t xml:space="preserve">Figure 7 shows the reduction of cyanide in water after biofilm treatment of </w:t>
      </w:r>
      <w:r w:rsidRPr="00312CB9">
        <w:rPr>
          <w:i/>
          <w:iCs/>
          <w:lang w:val="en-GB"/>
        </w:rPr>
        <w:t>Escherichia coli</w:t>
      </w:r>
      <w:r w:rsidRPr="00312CB9">
        <w:rPr>
          <w:lang w:val="en-GB"/>
        </w:rPr>
        <w:t xml:space="preserve"> microorganisms. It is established that after 6 days the cyanide was reduced from 1,352 mg/L to 325.1 mg/L (75.95%) in the R2 reactor, while in the other R1 and R3 reactors the reduction percentage was lower. This biofilm was less efficient than the Pseudomonas aeruginosa biofilm in reducing cyanide</w:t>
      </w:r>
      <w:r w:rsidR="00467092" w:rsidRPr="00312CB9">
        <w:rPr>
          <w:lang w:val="en-GB"/>
        </w:rPr>
        <w:t xml:space="preserve">; </w:t>
      </w:r>
      <w:r w:rsidR="00467092" w:rsidRPr="00312CB9">
        <w:rPr>
          <w:lang w:val="en-GB"/>
        </w:rPr>
        <w:t>however, these reductions do not reach the level of the maximum permissible limits of the Peruvian standard, which is 1 mg/L (MINAM, 2010), taking into account that cyanide is lethal with an intake of 2-5 mg/kg of body weight (Agudelo C. et al., 2010)</w:t>
      </w:r>
    </w:p>
    <w:p w14:paraId="60296634" w14:textId="2F42CCF5" w:rsidR="000253D2" w:rsidRPr="00312CB9" w:rsidRDefault="000253D2" w:rsidP="00E23704">
      <w:pPr>
        <w:pStyle w:val="CETBodytext"/>
        <w:rPr>
          <w:lang w:val="en-GB"/>
        </w:rPr>
      </w:pPr>
    </w:p>
    <w:tbl>
      <w:tblPr>
        <w:tblStyle w:val="Tablaconcuadrcula"/>
        <w:tblW w:w="8620" w:type="dxa"/>
        <w:tblBorders>
          <w:top w:val="single" w:sz="8" w:space="0" w:color="008000"/>
          <w:left w:val="single" w:sz="8" w:space="0" w:color="008000"/>
          <w:bottom w:val="single" w:sz="8" w:space="0" w:color="008000"/>
          <w:right w:val="single" w:sz="8" w:space="0" w:color="008000"/>
          <w:insideH w:val="single" w:sz="8" w:space="0" w:color="008000"/>
          <w:insideV w:val="single" w:sz="8" w:space="0" w:color="008000"/>
        </w:tblBorders>
        <w:tblCellMar>
          <w:left w:w="70" w:type="dxa"/>
          <w:right w:w="70" w:type="dxa"/>
        </w:tblCellMar>
        <w:tblLook w:val="04A0" w:firstRow="1" w:lastRow="0" w:firstColumn="1" w:lastColumn="0" w:noHBand="0" w:noVBand="1"/>
      </w:tblPr>
      <w:tblGrid>
        <w:gridCol w:w="4580"/>
        <w:gridCol w:w="4040"/>
      </w:tblGrid>
      <w:tr w:rsidR="009E537F" w:rsidRPr="00312CB9" w14:paraId="58574D00" w14:textId="77777777" w:rsidTr="00312CB9">
        <w:trPr>
          <w:trHeight w:val="2668"/>
        </w:trPr>
        <w:tc>
          <w:tcPr>
            <w:tcW w:w="4580" w:type="dxa"/>
          </w:tcPr>
          <w:p w14:paraId="1A1A9337" w14:textId="141014A7" w:rsidR="000253D2" w:rsidRPr="00312CB9" w:rsidRDefault="003324AD" w:rsidP="00E23704">
            <w:pPr>
              <w:pStyle w:val="CETBodytext"/>
              <w:rPr>
                <w:lang w:val="en-GB"/>
              </w:rPr>
            </w:pPr>
            <w:r w:rsidRPr="00312CB9">
              <w:rPr>
                <w:noProof/>
                <w:lang w:val="en-GB"/>
              </w:rPr>
              <w:drawing>
                <wp:inline distT="0" distB="0" distL="0" distR="0" wp14:anchorId="47F4FBBF" wp14:editId="3DB58DC9">
                  <wp:extent cx="2801721" cy="1748332"/>
                  <wp:effectExtent l="0" t="0" r="17780" b="4445"/>
                  <wp:docPr id="1" name="Gráfico 1">
                    <a:extLst xmlns:a="http://schemas.openxmlformats.org/drawingml/2006/main">
                      <a:ext uri="{FF2B5EF4-FFF2-40B4-BE49-F238E27FC236}">
                        <a16:creationId xmlns:a16="http://schemas.microsoft.com/office/drawing/2014/main" id="{56753657-EA03-4A4D-8122-C1B08D4AFFB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c>
          <w:tcPr>
            <w:tcW w:w="4040" w:type="dxa"/>
          </w:tcPr>
          <w:p w14:paraId="088E5B75" w14:textId="52F58356" w:rsidR="000253D2" w:rsidRPr="00312CB9" w:rsidRDefault="00E62095" w:rsidP="00E23704">
            <w:pPr>
              <w:pStyle w:val="CETBodytext"/>
              <w:rPr>
                <w:lang w:val="en-GB"/>
              </w:rPr>
            </w:pPr>
            <w:r w:rsidRPr="00312CB9">
              <w:rPr>
                <w:noProof/>
                <w:lang w:val="en-GB"/>
              </w:rPr>
              <w:drawing>
                <wp:inline distT="0" distB="0" distL="0" distR="0" wp14:anchorId="2FBC5163" wp14:editId="5101ABE3">
                  <wp:extent cx="2465223" cy="1791970"/>
                  <wp:effectExtent l="0" t="0" r="11430" b="17780"/>
                  <wp:docPr id="2" name="Gráfico 2">
                    <a:extLst xmlns:a="http://schemas.openxmlformats.org/drawingml/2006/main">
                      <a:ext uri="{FF2B5EF4-FFF2-40B4-BE49-F238E27FC236}">
                        <a16:creationId xmlns:a16="http://schemas.microsoft.com/office/drawing/2014/main" id="{8251313F-B5B9-43E7-82A1-8187FB4F585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r>
      <w:tr w:rsidR="009E537F" w:rsidRPr="00312CB9" w14:paraId="2C633FFB" w14:textId="77777777" w:rsidTr="00312CB9">
        <w:tblPrEx>
          <w:tblCellMar>
            <w:left w:w="108" w:type="dxa"/>
            <w:right w:w="108" w:type="dxa"/>
          </w:tblCellMar>
        </w:tblPrEx>
        <w:trPr>
          <w:trHeight w:val="823"/>
        </w:trPr>
        <w:tc>
          <w:tcPr>
            <w:tcW w:w="4580" w:type="dxa"/>
          </w:tcPr>
          <w:p w14:paraId="2831ED5E" w14:textId="0086709D" w:rsidR="000253D2" w:rsidRPr="00312CB9" w:rsidRDefault="00572E67" w:rsidP="000253D2">
            <w:pPr>
              <w:pStyle w:val="CETCaption"/>
            </w:pPr>
            <w:r w:rsidRPr="00312CB9">
              <w:t>Figure</w:t>
            </w:r>
            <w:r w:rsidR="000253D2" w:rsidRPr="00312CB9">
              <w:t xml:space="preserve"> 6: </w:t>
            </w:r>
            <w:r w:rsidRPr="00312CB9">
              <w:t xml:space="preserve">Reduction of cyanide with </w:t>
            </w:r>
            <w:r w:rsidR="00312CB9" w:rsidRPr="00312CB9">
              <w:t>Pseudomona</w:t>
            </w:r>
            <w:r w:rsidRPr="00312CB9">
              <w:t xml:space="preserve"> aeruginosa biofilm</w:t>
            </w:r>
          </w:p>
        </w:tc>
        <w:tc>
          <w:tcPr>
            <w:tcW w:w="4040" w:type="dxa"/>
          </w:tcPr>
          <w:p w14:paraId="1E6BE600" w14:textId="6CEBA5A1" w:rsidR="000253D2" w:rsidRPr="00312CB9" w:rsidRDefault="00572E67" w:rsidP="000253D2">
            <w:pPr>
              <w:pStyle w:val="CETCaption"/>
            </w:pPr>
            <w:r w:rsidRPr="00312CB9">
              <w:t>Figure</w:t>
            </w:r>
            <w:r w:rsidR="000253D2" w:rsidRPr="00312CB9">
              <w:t xml:space="preserve"> 7: </w:t>
            </w:r>
            <w:r w:rsidRPr="00312CB9">
              <w:t>Cyanide reduction with Escherichia coli biofilm</w:t>
            </w:r>
          </w:p>
        </w:tc>
      </w:tr>
    </w:tbl>
    <w:p w14:paraId="65EE9648" w14:textId="605214D8" w:rsidR="006A371A" w:rsidRPr="00312CB9" w:rsidRDefault="0068699A" w:rsidP="009E537F">
      <w:pPr>
        <w:pStyle w:val="CETTabletitle"/>
        <w:jc w:val="both"/>
        <w:rPr>
          <w:i w:val="0"/>
        </w:rPr>
      </w:pPr>
      <w:r w:rsidRPr="00312CB9">
        <w:rPr>
          <w:i w:val="0"/>
        </w:rPr>
        <w:t>The physicochemical properties of the wastewater after being treated with the biofilms are presented in Table 6, the pH decreased due to the acids generated by the bacteria but remains in the optimal range for bacterial population growth. It was found that the pH and total suspended solids in the wastewater were within the maximum permissible limits to be disposed of in the receiving body, in accordance with Peruvian environmental regulations (MINAM, 2010).</w:t>
      </w:r>
      <w:r w:rsidR="006A371A" w:rsidRPr="00312CB9">
        <w:rPr>
          <w:i w:val="0"/>
        </w:rPr>
        <w:t xml:space="preserve"> </w:t>
      </w:r>
      <w:r w:rsidR="00DE34BF" w:rsidRPr="00312CB9">
        <w:rPr>
          <w:i w:val="0"/>
        </w:rPr>
        <w:t xml:space="preserve">The pH is very important in the recovery of aqueous cyanide compounds since at pH greater than 10.2 more than 90% of the total cyanide is as CN- ion and its recovery is more feasible, when the pH is less than 8.4 it is as HCN with a high volatility due to its high vapor pressure (100 kPa at 26°C), causing a decrease in the concentration of cyanide in the solution (Pérez and Higuera, 2008); consequently, this could have been reflected in the result of the investigation, since in the reactor with </w:t>
      </w:r>
      <w:r w:rsidR="00DE34BF" w:rsidRPr="00312CB9">
        <w:rPr>
          <w:iCs/>
        </w:rPr>
        <w:t xml:space="preserve">Psudomona </w:t>
      </w:r>
      <w:r w:rsidR="00312CB9" w:rsidRPr="00312CB9">
        <w:rPr>
          <w:iCs/>
        </w:rPr>
        <w:t>aeruginosa</w:t>
      </w:r>
      <w:r w:rsidR="00DE34BF" w:rsidRPr="00312CB9">
        <w:rPr>
          <w:i w:val="0"/>
        </w:rPr>
        <w:t xml:space="preserve"> the pH was 10.77</w:t>
      </w:r>
      <w:r w:rsidR="00312CB9" w:rsidRPr="00312CB9">
        <w:rPr>
          <w:i w:val="0"/>
        </w:rPr>
        <w:t>.</w:t>
      </w:r>
    </w:p>
    <w:p w14:paraId="3D6042A6" w14:textId="214B9806" w:rsidR="005A67CB" w:rsidRPr="00312CB9" w:rsidRDefault="006A371A" w:rsidP="005A67CB">
      <w:pPr>
        <w:pStyle w:val="CETTabletitle"/>
      </w:pPr>
      <w:r w:rsidRPr="00312CB9">
        <w:t>Table</w:t>
      </w:r>
      <w:r w:rsidR="005A67CB" w:rsidRPr="00312CB9">
        <w:t xml:space="preserve"> 6: </w:t>
      </w:r>
      <w:r w:rsidRPr="00312CB9">
        <w:t>physicochemical characteristics of treated water</w:t>
      </w:r>
    </w:p>
    <w:tbl>
      <w:tblPr>
        <w:tblW w:w="8643" w:type="dxa"/>
        <w:tblInd w:w="70" w:type="dxa"/>
        <w:tblBorders>
          <w:top w:val="single" w:sz="12" w:space="0" w:color="008000"/>
          <w:bottom w:val="single" w:sz="12" w:space="0" w:color="008000"/>
        </w:tblBorders>
        <w:tblCellMar>
          <w:left w:w="70" w:type="dxa"/>
          <w:right w:w="70" w:type="dxa"/>
        </w:tblCellMar>
        <w:tblLook w:val="04A0" w:firstRow="1" w:lastRow="0" w:firstColumn="1" w:lastColumn="0" w:noHBand="0" w:noVBand="1"/>
      </w:tblPr>
      <w:tblGrid>
        <w:gridCol w:w="1773"/>
        <w:gridCol w:w="567"/>
        <w:gridCol w:w="1093"/>
        <w:gridCol w:w="1040"/>
        <w:gridCol w:w="851"/>
        <w:gridCol w:w="1276"/>
        <w:gridCol w:w="820"/>
        <w:gridCol w:w="1223"/>
      </w:tblGrid>
      <w:tr w:rsidR="00292FD2" w:rsidRPr="00312CB9" w14:paraId="7F81F342" w14:textId="77777777" w:rsidTr="0068699A">
        <w:trPr>
          <w:trHeight w:val="364"/>
        </w:trPr>
        <w:tc>
          <w:tcPr>
            <w:tcW w:w="1773" w:type="dxa"/>
            <w:tcBorders>
              <w:top w:val="single" w:sz="12" w:space="0" w:color="008000"/>
              <w:bottom w:val="single" w:sz="8" w:space="0" w:color="008000"/>
            </w:tcBorders>
            <w:vAlign w:val="center"/>
          </w:tcPr>
          <w:p w14:paraId="0283D2D5" w14:textId="52334B1D" w:rsidR="005A67CB" w:rsidRPr="00312CB9" w:rsidRDefault="006A371A" w:rsidP="004461B7">
            <w:pPr>
              <w:tabs>
                <w:tab w:val="clear" w:pos="7100"/>
              </w:tabs>
              <w:spacing w:line="240" w:lineRule="auto"/>
              <w:jc w:val="center"/>
              <w:rPr>
                <w:rFonts w:ascii="Times New Roman" w:hAnsi="Times New Roman"/>
                <w:color w:val="000000"/>
                <w:szCs w:val="18"/>
                <w:lang w:eastAsia="es-PE"/>
              </w:rPr>
            </w:pPr>
            <w:r w:rsidRPr="00312CB9">
              <w:rPr>
                <w:rFonts w:ascii="Times New Roman" w:hAnsi="Times New Roman"/>
                <w:color w:val="000000"/>
                <w:szCs w:val="18"/>
                <w:lang w:eastAsia="es-PE"/>
              </w:rPr>
              <w:t>Treatment</w:t>
            </w:r>
          </w:p>
        </w:tc>
        <w:tc>
          <w:tcPr>
            <w:tcW w:w="567" w:type="dxa"/>
            <w:tcBorders>
              <w:top w:val="single" w:sz="12" w:space="0" w:color="008000"/>
              <w:bottom w:val="single" w:sz="8" w:space="0" w:color="008000"/>
            </w:tcBorders>
            <w:shd w:val="clear" w:color="auto" w:fill="auto"/>
            <w:vAlign w:val="center"/>
            <w:hideMark/>
          </w:tcPr>
          <w:p w14:paraId="10F3655A" w14:textId="76CF1C76" w:rsidR="005A67CB" w:rsidRPr="00312CB9" w:rsidRDefault="005A67CB" w:rsidP="004461B7">
            <w:pPr>
              <w:tabs>
                <w:tab w:val="clear" w:pos="7100"/>
              </w:tabs>
              <w:spacing w:line="240" w:lineRule="auto"/>
              <w:jc w:val="center"/>
              <w:rPr>
                <w:rFonts w:ascii="Times New Roman" w:hAnsi="Times New Roman"/>
                <w:color w:val="000000"/>
                <w:szCs w:val="18"/>
                <w:lang w:eastAsia="es-PE"/>
              </w:rPr>
            </w:pPr>
            <w:r w:rsidRPr="00312CB9">
              <w:rPr>
                <w:rFonts w:ascii="Times New Roman" w:hAnsi="Times New Roman"/>
                <w:color w:val="000000"/>
                <w:szCs w:val="18"/>
                <w:lang w:eastAsia="es-PE"/>
              </w:rPr>
              <w:t>pH</w:t>
            </w:r>
          </w:p>
        </w:tc>
        <w:tc>
          <w:tcPr>
            <w:tcW w:w="1093" w:type="dxa"/>
            <w:tcBorders>
              <w:top w:val="single" w:sz="12" w:space="0" w:color="008000"/>
              <w:bottom w:val="single" w:sz="8" w:space="0" w:color="008000"/>
            </w:tcBorders>
            <w:shd w:val="clear" w:color="auto" w:fill="auto"/>
            <w:vAlign w:val="center"/>
            <w:hideMark/>
          </w:tcPr>
          <w:p w14:paraId="6483F759" w14:textId="5AF846B8" w:rsidR="005A67CB" w:rsidRPr="00312CB9" w:rsidRDefault="006A371A" w:rsidP="005A67CB">
            <w:pPr>
              <w:tabs>
                <w:tab w:val="clear" w:pos="7100"/>
              </w:tabs>
              <w:spacing w:line="240" w:lineRule="auto"/>
              <w:ind w:left="76" w:hanging="76"/>
              <w:jc w:val="center"/>
              <w:rPr>
                <w:rFonts w:ascii="Times New Roman" w:hAnsi="Times New Roman"/>
                <w:color w:val="000000"/>
                <w:szCs w:val="18"/>
                <w:lang w:eastAsia="es-PE"/>
              </w:rPr>
            </w:pPr>
            <w:r w:rsidRPr="00312CB9">
              <w:rPr>
                <w:rFonts w:ascii="Times New Roman" w:hAnsi="Times New Roman"/>
                <w:color w:val="000000"/>
                <w:szCs w:val="18"/>
                <w:lang w:eastAsia="es-PE"/>
              </w:rPr>
              <w:t>Temperature</w:t>
            </w:r>
            <w:r w:rsidR="005A67CB" w:rsidRPr="00312CB9">
              <w:rPr>
                <w:rFonts w:ascii="Times New Roman" w:hAnsi="Times New Roman"/>
                <w:color w:val="000000"/>
                <w:szCs w:val="18"/>
                <w:lang w:eastAsia="es-PE"/>
              </w:rPr>
              <w:t xml:space="preserve"> </w:t>
            </w:r>
            <w:r w:rsidR="00CB01A9" w:rsidRPr="00312CB9">
              <w:rPr>
                <w:rFonts w:ascii="Times New Roman" w:hAnsi="Times New Roman"/>
                <w:color w:val="000000"/>
                <w:szCs w:val="18"/>
                <w:lang w:eastAsia="es-PE"/>
              </w:rPr>
              <w:t>(</w:t>
            </w:r>
            <w:r w:rsidR="005A67CB" w:rsidRPr="00312CB9">
              <w:rPr>
                <w:rFonts w:ascii="Times New Roman" w:hAnsi="Times New Roman"/>
                <w:color w:val="000000"/>
                <w:szCs w:val="18"/>
                <w:lang w:eastAsia="es-PE"/>
              </w:rPr>
              <w:t>°C</w:t>
            </w:r>
            <w:r w:rsidR="00CB01A9" w:rsidRPr="00312CB9">
              <w:rPr>
                <w:rFonts w:ascii="Times New Roman" w:hAnsi="Times New Roman"/>
                <w:color w:val="000000"/>
                <w:szCs w:val="18"/>
                <w:lang w:eastAsia="es-PE"/>
              </w:rPr>
              <w:t>)</w:t>
            </w:r>
          </w:p>
        </w:tc>
        <w:tc>
          <w:tcPr>
            <w:tcW w:w="1040" w:type="dxa"/>
            <w:tcBorders>
              <w:top w:val="single" w:sz="12" w:space="0" w:color="008000"/>
              <w:bottom w:val="single" w:sz="8" w:space="0" w:color="008000"/>
            </w:tcBorders>
            <w:shd w:val="clear" w:color="auto" w:fill="auto"/>
            <w:vAlign w:val="center"/>
            <w:hideMark/>
          </w:tcPr>
          <w:p w14:paraId="35B50060" w14:textId="0B25A361" w:rsidR="005A67CB" w:rsidRPr="00312CB9" w:rsidRDefault="006A371A" w:rsidP="004461B7">
            <w:pPr>
              <w:tabs>
                <w:tab w:val="clear" w:pos="7100"/>
              </w:tabs>
              <w:spacing w:line="240" w:lineRule="auto"/>
              <w:jc w:val="left"/>
              <w:rPr>
                <w:rFonts w:ascii="Times New Roman" w:hAnsi="Times New Roman"/>
                <w:color w:val="000000"/>
                <w:szCs w:val="18"/>
                <w:lang w:eastAsia="es-PE"/>
              </w:rPr>
            </w:pPr>
            <w:r w:rsidRPr="00312CB9">
              <w:rPr>
                <w:rFonts w:ascii="Times New Roman" w:hAnsi="Times New Roman"/>
                <w:color w:val="000000"/>
                <w:szCs w:val="18"/>
                <w:lang w:eastAsia="es-PE"/>
              </w:rPr>
              <w:t xml:space="preserve">Electrical conductivity </w:t>
            </w:r>
            <w:r w:rsidR="005A67CB" w:rsidRPr="00312CB9">
              <w:rPr>
                <w:rFonts w:ascii="Times New Roman" w:hAnsi="Times New Roman"/>
                <w:color w:val="000000"/>
                <w:szCs w:val="18"/>
                <w:lang w:eastAsia="es-PE"/>
              </w:rPr>
              <w:t>(µS/cm)</w:t>
            </w:r>
          </w:p>
        </w:tc>
        <w:tc>
          <w:tcPr>
            <w:tcW w:w="851" w:type="dxa"/>
            <w:tcBorders>
              <w:top w:val="single" w:sz="12" w:space="0" w:color="008000"/>
              <w:bottom w:val="single" w:sz="8" w:space="0" w:color="008000"/>
            </w:tcBorders>
            <w:shd w:val="clear" w:color="auto" w:fill="auto"/>
            <w:vAlign w:val="center"/>
            <w:hideMark/>
          </w:tcPr>
          <w:p w14:paraId="1F76331B" w14:textId="77777777" w:rsidR="005A67CB" w:rsidRPr="00312CB9" w:rsidRDefault="005A67CB" w:rsidP="004461B7">
            <w:pPr>
              <w:tabs>
                <w:tab w:val="clear" w:pos="7100"/>
              </w:tabs>
              <w:spacing w:line="240" w:lineRule="auto"/>
              <w:jc w:val="center"/>
              <w:rPr>
                <w:rFonts w:ascii="Times New Roman" w:hAnsi="Times New Roman"/>
                <w:color w:val="000000"/>
                <w:szCs w:val="18"/>
                <w:lang w:eastAsia="es-PE"/>
              </w:rPr>
            </w:pPr>
            <w:r w:rsidRPr="00312CB9">
              <w:rPr>
                <w:rFonts w:ascii="Times New Roman" w:hAnsi="Times New Roman"/>
                <w:color w:val="000000"/>
                <w:szCs w:val="18"/>
                <w:lang w:eastAsia="es-PE"/>
              </w:rPr>
              <w:t>DBO</w:t>
            </w:r>
            <w:r w:rsidRPr="00312CB9">
              <w:rPr>
                <w:rFonts w:ascii="Times New Roman" w:hAnsi="Times New Roman"/>
                <w:color w:val="000000"/>
                <w:szCs w:val="18"/>
                <w:vertAlign w:val="subscript"/>
                <w:lang w:eastAsia="es-PE"/>
              </w:rPr>
              <w:t>5</w:t>
            </w:r>
            <w:r w:rsidRPr="00312CB9">
              <w:rPr>
                <w:rFonts w:ascii="Times New Roman" w:hAnsi="Times New Roman"/>
                <w:color w:val="000000"/>
                <w:szCs w:val="18"/>
                <w:lang w:eastAsia="es-PE"/>
              </w:rPr>
              <w:t xml:space="preserve"> </w:t>
            </w:r>
          </w:p>
          <w:p w14:paraId="7BDC440E" w14:textId="563A8E69" w:rsidR="005A67CB" w:rsidRPr="00312CB9" w:rsidRDefault="005A67CB" w:rsidP="004461B7">
            <w:pPr>
              <w:tabs>
                <w:tab w:val="clear" w:pos="7100"/>
              </w:tabs>
              <w:spacing w:line="240" w:lineRule="auto"/>
              <w:jc w:val="center"/>
              <w:rPr>
                <w:rFonts w:ascii="Times New Roman" w:hAnsi="Times New Roman"/>
                <w:color w:val="000000"/>
                <w:szCs w:val="18"/>
                <w:lang w:eastAsia="es-PE"/>
              </w:rPr>
            </w:pPr>
            <w:r w:rsidRPr="00312CB9">
              <w:rPr>
                <w:rFonts w:ascii="Times New Roman" w:hAnsi="Times New Roman"/>
                <w:color w:val="000000"/>
                <w:szCs w:val="18"/>
                <w:lang w:eastAsia="es-PE"/>
              </w:rPr>
              <w:t>(mg/L)</w:t>
            </w:r>
          </w:p>
        </w:tc>
        <w:tc>
          <w:tcPr>
            <w:tcW w:w="1276" w:type="dxa"/>
            <w:tcBorders>
              <w:top w:val="single" w:sz="12" w:space="0" w:color="008000"/>
              <w:bottom w:val="single" w:sz="8" w:space="0" w:color="008000"/>
            </w:tcBorders>
            <w:shd w:val="clear" w:color="auto" w:fill="auto"/>
            <w:vAlign w:val="center"/>
            <w:hideMark/>
          </w:tcPr>
          <w:p w14:paraId="4C2BBD7A" w14:textId="33BD5A38" w:rsidR="005A67CB" w:rsidRPr="00312CB9" w:rsidRDefault="006A371A" w:rsidP="004461B7">
            <w:pPr>
              <w:tabs>
                <w:tab w:val="clear" w:pos="7100"/>
              </w:tabs>
              <w:spacing w:line="240" w:lineRule="auto"/>
              <w:jc w:val="center"/>
              <w:rPr>
                <w:rFonts w:ascii="Times New Roman" w:hAnsi="Times New Roman"/>
                <w:color w:val="000000"/>
                <w:szCs w:val="18"/>
                <w:lang w:eastAsia="es-PE"/>
              </w:rPr>
            </w:pPr>
            <w:r w:rsidRPr="00312CB9">
              <w:rPr>
                <w:rFonts w:ascii="Times New Roman" w:hAnsi="Times New Roman"/>
                <w:color w:val="000000"/>
                <w:szCs w:val="18"/>
                <w:lang w:eastAsia="es-PE"/>
              </w:rPr>
              <w:t xml:space="preserve">Dissolved Oxygen </w:t>
            </w:r>
            <w:r w:rsidR="005A67CB" w:rsidRPr="00312CB9">
              <w:rPr>
                <w:rFonts w:ascii="Times New Roman" w:hAnsi="Times New Roman"/>
                <w:color w:val="000000"/>
                <w:szCs w:val="18"/>
                <w:lang w:eastAsia="es-PE"/>
              </w:rPr>
              <w:t>(mg/L)</w:t>
            </w:r>
          </w:p>
        </w:tc>
        <w:tc>
          <w:tcPr>
            <w:tcW w:w="820" w:type="dxa"/>
            <w:tcBorders>
              <w:top w:val="single" w:sz="12" w:space="0" w:color="008000"/>
              <w:bottom w:val="single" w:sz="8" w:space="0" w:color="008000"/>
            </w:tcBorders>
            <w:shd w:val="clear" w:color="auto" w:fill="auto"/>
            <w:vAlign w:val="center"/>
            <w:hideMark/>
          </w:tcPr>
          <w:p w14:paraId="4510DCD8" w14:textId="0989188F" w:rsidR="005A67CB" w:rsidRPr="00312CB9" w:rsidRDefault="006A371A" w:rsidP="004461B7">
            <w:pPr>
              <w:tabs>
                <w:tab w:val="clear" w:pos="7100"/>
              </w:tabs>
              <w:spacing w:line="240" w:lineRule="auto"/>
              <w:jc w:val="center"/>
              <w:rPr>
                <w:rFonts w:ascii="Times New Roman" w:hAnsi="Times New Roman"/>
                <w:color w:val="000000"/>
                <w:szCs w:val="18"/>
                <w:lang w:eastAsia="es-PE"/>
              </w:rPr>
            </w:pPr>
            <w:r w:rsidRPr="00312CB9">
              <w:rPr>
                <w:rFonts w:ascii="Times New Roman" w:hAnsi="Times New Roman"/>
                <w:color w:val="000000"/>
                <w:szCs w:val="18"/>
                <w:lang w:eastAsia="es-PE"/>
              </w:rPr>
              <w:t>Turbidity</w:t>
            </w:r>
            <w:r w:rsidR="005A67CB" w:rsidRPr="00312CB9">
              <w:rPr>
                <w:rFonts w:ascii="Times New Roman" w:hAnsi="Times New Roman"/>
                <w:color w:val="000000"/>
                <w:szCs w:val="18"/>
                <w:lang w:eastAsia="es-PE"/>
              </w:rPr>
              <w:t xml:space="preserve"> (NTU)</w:t>
            </w:r>
          </w:p>
        </w:tc>
        <w:tc>
          <w:tcPr>
            <w:tcW w:w="1223" w:type="dxa"/>
            <w:tcBorders>
              <w:top w:val="single" w:sz="12" w:space="0" w:color="008000"/>
              <w:bottom w:val="single" w:sz="8" w:space="0" w:color="008000"/>
            </w:tcBorders>
            <w:shd w:val="clear" w:color="auto" w:fill="auto"/>
            <w:vAlign w:val="center"/>
            <w:hideMark/>
          </w:tcPr>
          <w:p w14:paraId="32F5170C" w14:textId="2526478D" w:rsidR="005A67CB" w:rsidRPr="00312CB9" w:rsidRDefault="006A371A" w:rsidP="00CB01A9">
            <w:pPr>
              <w:tabs>
                <w:tab w:val="clear" w:pos="7100"/>
              </w:tabs>
              <w:spacing w:line="240" w:lineRule="auto"/>
              <w:jc w:val="center"/>
              <w:rPr>
                <w:rFonts w:ascii="Times New Roman" w:hAnsi="Times New Roman"/>
                <w:color w:val="000000"/>
                <w:szCs w:val="18"/>
                <w:lang w:eastAsia="es-PE"/>
              </w:rPr>
            </w:pPr>
            <w:r w:rsidRPr="00312CB9">
              <w:rPr>
                <w:rFonts w:ascii="Times New Roman" w:hAnsi="Times New Roman"/>
                <w:color w:val="000000"/>
                <w:szCs w:val="18"/>
                <w:lang w:eastAsia="es-PE"/>
              </w:rPr>
              <w:t xml:space="preserve">Total Suspended Solids </w:t>
            </w:r>
            <w:r w:rsidR="005A67CB" w:rsidRPr="00312CB9">
              <w:rPr>
                <w:rFonts w:ascii="Times New Roman" w:hAnsi="Times New Roman"/>
                <w:color w:val="000000"/>
                <w:szCs w:val="18"/>
                <w:lang w:eastAsia="es-PE"/>
              </w:rPr>
              <w:t>(mg/L)</w:t>
            </w:r>
          </w:p>
        </w:tc>
      </w:tr>
      <w:tr w:rsidR="00292FD2" w:rsidRPr="00312CB9" w14:paraId="7FDB9B94" w14:textId="77777777" w:rsidTr="0068699A">
        <w:trPr>
          <w:trHeight w:val="286"/>
        </w:trPr>
        <w:tc>
          <w:tcPr>
            <w:tcW w:w="1773" w:type="dxa"/>
            <w:tcBorders>
              <w:top w:val="single" w:sz="8" w:space="0" w:color="008000"/>
            </w:tcBorders>
            <w:vAlign w:val="center"/>
          </w:tcPr>
          <w:p w14:paraId="6BDC2E06" w14:textId="4318FF79" w:rsidR="00292FD2" w:rsidRPr="00312CB9" w:rsidRDefault="006A371A" w:rsidP="00292FD2">
            <w:pPr>
              <w:tabs>
                <w:tab w:val="clear" w:pos="7100"/>
              </w:tabs>
              <w:spacing w:line="240" w:lineRule="auto"/>
              <w:jc w:val="left"/>
              <w:rPr>
                <w:i/>
                <w:iCs/>
              </w:rPr>
            </w:pPr>
            <w:r w:rsidRPr="00312CB9">
              <w:rPr>
                <w:i/>
                <w:iCs/>
              </w:rPr>
              <w:t>No treatment</w:t>
            </w:r>
          </w:p>
        </w:tc>
        <w:tc>
          <w:tcPr>
            <w:tcW w:w="567" w:type="dxa"/>
            <w:tcBorders>
              <w:top w:val="single" w:sz="8" w:space="0" w:color="008000"/>
            </w:tcBorders>
            <w:shd w:val="clear" w:color="auto" w:fill="auto"/>
            <w:noWrap/>
          </w:tcPr>
          <w:p w14:paraId="78DEA00D" w14:textId="16A53A5A" w:rsidR="00292FD2" w:rsidRPr="00312CB9" w:rsidRDefault="00292FD2" w:rsidP="00B30FC2">
            <w:pPr>
              <w:pStyle w:val="CETBodytext"/>
              <w:jc w:val="center"/>
              <w:rPr>
                <w:sz w:val="16"/>
                <w:szCs w:val="18"/>
                <w:lang w:val="en-GB"/>
              </w:rPr>
            </w:pPr>
            <w:r w:rsidRPr="00312CB9">
              <w:rPr>
                <w:sz w:val="16"/>
                <w:szCs w:val="18"/>
                <w:lang w:val="en-GB"/>
              </w:rPr>
              <w:t>13.4</w:t>
            </w:r>
          </w:p>
        </w:tc>
        <w:tc>
          <w:tcPr>
            <w:tcW w:w="1093" w:type="dxa"/>
            <w:tcBorders>
              <w:top w:val="single" w:sz="8" w:space="0" w:color="008000"/>
            </w:tcBorders>
            <w:shd w:val="clear" w:color="auto" w:fill="auto"/>
            <w:noWrap/>
          </w:tcPr>
          <w:p w14:paraId="0FAF06F1" w14:textId="5BBC4218" w:rsidR="00292FD2" w:rsidRPr="00312CB9" w:rsidRDefault="00292FD2" w:rsidP="00B30FC2">
            <w:pPr>
              <w:pStyle w:val="CETBodytext"/>
              <w:jc w:val="center"/>
              <w:rPr>
                <w:sz w:val="16"/>
                <w:szCs w:val="18"/>
                <w:lang w:val="en-GB"/>
              </w:rPr>
            </w:pPr>
            <w:r w:rsidRPr="00312CB9">
              <w:rPr>
                <w:sz w:val="16"/>
                <w:szCs w:val="18"/>
                <w:lang w:val="en-GB"/>
              </w:rPr>
              <w:t>24.5</w:t>
            </w:r>
          </w:p>
        </w:tc>
        <w:tc>
          <w:tcPr>
            <w:tcW w:w="1040" w:type="dxa"/>
            <w:tcBorders>
              <w:top w:val="single" w:sz="8" w:space="0" w:color="008000"/>
            </w:tcBorders>
            <w:shd w:val="clear" w:color="auto" w:fill="auto"/>
            <w:noWrap/>
          </w:tcPr>
          <w:p w14:paraId="48A9F489" w14:textId="604083C9" w:rsidR="00292FD2" w:rsidRPr="00312CB9" w:rsidRDefault="00292FD2" w:rsidP="00B30FC2">
            <w:pPr>
              <w:pStyle w:val="CETBodytext"/>
              <w:jc w:val="center"/>
              <w:rPr>
                <w:sz w:val="16"/>
                <w:szCs w:val="18"/>
                <w:lang w:val="en-GB"/>
              </w:rPr>
            </w:pPr>
            <w:r w:rsidRPr="00312CB9">
              <w:rPr>
                <w:sz w:val="16"/>
                <w:szCs w:val="18"/>
                <w:lang w:val="en-GB"/>
              </w:rPr>
              <w:t>60</w:t>
            </w:r>
          </w:p>
        </w:tc>
        <w:tc>
          <w:tcPr>
            <w:tcW w:w="851" w:type="dxa"/>
            <w:tcBorders>
              <w:top w:val="single" w:sz="8" w:space="0" w:color="008000"/>
            </w:tcBorders>
            <w:shd w:val="clear" w:color="auto" w:fill="auto"/>
            <w:noWrap/>
          </w:tcPr>
          <w:p w14:paraId="3B171352" w14:textId="260C9388" w:rsidR="00292FD2" w:rsidRPr="00312CB9" w:rsidRDefault="00292FD2" w:rsidP="00B30FC2">
            <w:pPr>
              <w:pStyle w:val="CETBodytext"/>
              <w:jc w:val="center"/>
              <w:rPr>
                <w:sz w:val="16"/>
                <w:szCs w:val="18"/>
                <w:lang w:val="en-GB"/>
              </w:rPr>
            </w:pPr>
            <w:r w:rsidRPr="00312CB9">
              <w:rPr>
                <w:sz w:val="16"/>
                <w:szCs w:val="18"/>
                <w:lang w:val="en-GB"/>
              </w:rPr>
              <w:t>70</w:t>
            </w:r>
          </w:p>
        </w:tc>
        <w:tc>
          <w:tcPr>
            <w:tcW w:w="1276" w:type="dxa"/>
            <w:tcBorders>
              <w:top w:val="single" w:sz="8" w:space="0" w:color="008000"/>
            </w:tcBorders>
            <w:shd w:val="clear" w:color="auto" w:fill="auto"/>
            <w:noWrap/>
          </w:tcPr>
          <w:p w14:paraId="7F4D0BAC" w14:textId="4B849642" w:rsidR="00292FD2" w:rsidRPr="00312CB9" w:rsidRDefault="00292FD2" w:rsidP="00B30FC2">
            <w:pPr>
              <w:pStyle w:val="CETBodytext"/>
              <w:jc w:val="center"/>
              <w:rPr>
                <w:sz w:val="16"/>
                <w:szCs w:val="18"/>
                <w:lang w:val="en-GB"/>
              </w:rPr>
            </w:pPr>
            <w:r w:rsidRPr="00312CB9">
              <w:rPr>
                <w:sz w:val="16"/>
                <w:szCs w:val="18"/>
                <w:lang w:val="en-GB"/>
              </w:rPr>
              <w:t>1</w:t>
            </w:r>
          </w:p>
        </w:tc>
        <w:tc>
          <w:tcPr>
            <w:tcW w:w="820" w:type="dxa"/>
            <w:tcBorders>
              <w:top w:val="single" w:sz="8" w:space="0" w:color="008000"/>
            </w:tcBorders>
            <w:shd w:val="clear" w:color="auto" w:fill="auto"/>
            <w:noWrap/>
          </w:tcPr>
          <w:p w14:paraId="49C5D259" w14:textId="38853140" w:rsidR="00292FD2" w:rsidRPr="00312CB9" w:rsidRDefault="00292FD2" w:rsidP="00B30FC2">
            <w:pPr>
              <w:pStyle w:val="CETBodytext"/>
              <w:jc w:val="center"/>
              <w:rPr>
                <w:sz w:val="16"/>
                <w:szCs w:val="18"/>
                <w:lang w:val="en-GB"/>
              </w:rPr>
            </w:pPr>
            <w:r w:rsidRPr="00312CB9">
              <w:rPr>
                <w:sz w:val="16"/>
                <w:szCs w:val="18"/>
                <w:lang w:val="en-GB"/>
              </w:rPr>
              <w:t>90</w:t>
            </w:r>
          </w:p>
        </w:tc>
        <w:tc>
          <w:tcPr>
            <w:tcW w:w="1223" w:type="dxa"/>
            <w:tcBorders>
              <w:top w:val="single" w:sz="8" w:space="0" w:color="008000"/>
            </w:tcBorders>
            <w:shd w:val="clear" w:color="auto" w:fill="auto"/>
            <w:noWrap/>
          </w:tcPr>
          <w:p w14:paraId="45238CC1" w14:textId="68BF44D5" w:rsidR="00292FD2" w:rsidRPr="00312CB9" w:rsidRDefault="00292FD2" w:rsidP="00B30FC2">
            <w:pPr>
              <w:pStyle w:val="CETBodytext"/>
              <w:jc w:val="center"/>
              <w:rPr>
                <w:sz w:val="16"/>
                <w:szCs w:val="18"/>
                <w:lang w:val="en-GB"/>
              </w:rPr>
            </w:pPr>
            <w:r w:rsidRPr="00312CB9">
              <w:rPr>
                <w:sz w:val="16"/>
                <w:szCs w:val="18"/>
                <w:lang w:val="en-GB"/>
              </w:rPr>
              <w:t>70</w:t>
            </w:r>
          </w:p>
        </w:tc>
      </w:tr>
      <w:tr w:rsidR="00292FD2" w:rsidRPr="00312CB9" w14:paraId="340C971A" w14:textId="77777777" w:rsidTr="0068699A">
        <w:trPr>
          <w:trHeight w:val="286"/>
        </w:trPr>
        <w:tc>
          <w:tcPr>
            <w:tcW w:w="1773" w:type="dxa"/>
            <w:vAlign w:val="center"/>
          </w:tcPr>
          <w:p w14:paraId="212B3F48" w14:textId="70A6AC16" w:rsidR="00B30FC2" w:rsidRPr="00312CB9" w:rsidRDefault="0068699A" w:rsidP="005A67CB">
            <w:pPr>
              <w:tabs>
                <w:tab w:val="clear" w:pos="7100"/>
              </w:tabs>
              <w:spacing w:line="240" w:lineRule="auto"/>
              <w:jc w:val="left"/>
              <w:rPr>
                <w:i/>
                <w:iCs/>
              </w:rPr>
            </w:pPr>
            <w:r w:rsidRPr="00312CB9">
              <w:rPr>
                <w:i/>
                <w:iCs/>
              </w:rPr>
              <w:t xml:space="preserve">With </w:t>
            </w:r>
            <w:r w:rsidR="005A67CB" w:rsidRPr="00312CB9">
              <w:rPr>
                <w:i/>
                <w:iCs/>
              </w:rPr>
              <w:t>Pseudomona</w:t>
            </w:r>
            <w:r w:rsidR="00B30FC2" w:rsidRPr="00312CB9">
              <w:rPr>
                <w:i/>
                <w:iCs/>
              </w:rPr>
              <w:t>s</w:t>
            </w:r>
          </w:p>
          <w:p w14:paraId="124737E9" w14:textId="302F49B4" w:rsidR="005A67CB" w:rsidRPr="00312CB9" w:rsidRDefault="005A67CB" w:rsidP="005A67CB">
            <w:pPr>
              <w:tabs>
                <w:tab w:val="clear" w:pos="7100"/>
              </w:tabs>
              <w:spacing w:line="240" w:lineRule="auto"/>
              <w:jc w:val="left"/>
              <w:rPr>
                <w:rFonts w:ascii="Calibri" w:hAnsi="Calibri" w:cs="Calibri"/>
                <w:color w:val="000000"/>
                <w:szCs w:val="18"/>
                <w:lang w:eastAsia="es-PE"/>
              </w:rPr>
            </w:pPr>
            <w:r w:rsidRPr="00312CB9">
              <w:rPr>
                <w:i/>
                <w:iCs/>
              </w:rPr>
              <w:t>aeruginosa</w:t>
            </w:r>
          </w:p>
        </w:tc>
        <w:tc>
          <w:tcPr>
            <w:tcW w:w="567" w:type="dxa"/>
            <w:shd w:val="clear" w:color="auto" w:fill="auto"/>
            <w:noWrap/>
            <w:vAlign w:val="center"/>
            <w:hideMark/>
          </w:tcPr>
          <w:p w14:paraId="375E2B41" w14:textId="163BE184" w:rsidR="005A67CB" w:rsidRPr="00312CB9" w:rsidRDefault="005A67CB" w:rsidP="00B30FC2">
            <w:pPr>
              <w:pStyle w:val="CETBodytext"/>
              <w:jc w:val="center"/>
              <w:rPr>
                <w:sz w:val="16"/>
                <w:szCs w:val="18"/>
                <w:lang w:val="en-GB"/>
              </w:rPr>
            </w:pPr>
            <w:r w:rsidRPr="00312CB9">
              <w:rPr>
                <w:sz w:val="16"/>
                <w:szCs w:val="18"/>
                <w:lang w:val="en-GB"/>
              </w:rPr>
              <w:t>10.77</w:t>
            </w:r>
          </w:p>
        </w:tc>
        <w:tc>
          <w:tcPr>
            <w:tcW w:w="1093" w:type="dxa"/>
            <w:shd w:val="clear" w:color="auto" w:fill="auto"/>
            <w:noWrap/>
            <w:vAlign w:val="center"/>
            <w:hideMark/>
          </w:tcPr>
          <w:p w14:paraId="32AE3541" w14:textId="77777777" w:rsidR="005A67CB" w:rsidRPr="00312CB9" w:rsidRDefault="005A67CB" w:rsidP="00B30FC2">
            <w:pPr>
              <w:pStyle w:val="CETBodytext"/>
              <w:jc w:val="center"/>
              <w:rPr>
                <w:sz w:val="16"/>
                <w:szCs w:val="18"/>
                <w:lang w:val="en-GB"/>
              </w:rPr>
            </w:pPr>
            <w:r w:rsidRPr="00312CB9">
              <w:rPr>
                <w:sz w:val="16"/>
                <w:szCs w:val="18"/>
                <w:lang w:val="en-GB"/>
              </w:rPr>
              <w:t>25.97</w:t>
            </w:r>
          </w:p>
        </w:tc>
        <w:tc>
          <w:tcPr>
            <w:tcW w:w="1040" w:type="dxa"/>
            <w:shd w:val="clear" w:color="auto" w:fill="auto"/>
            <w:noWrap/>
            <w:vAlign w:val="center"/>
            <w:hideMark/>
          </w:tcPr>
          <w:p w14:paraId="603DD3E1" w14:textId="77777777" w:rsidR="005A67CB" w:rsidRPr="00312CB9" w:rsidRDefault="005A67CB" w:rsidP="00B30FC2">
            <w:pPr>
              <w:pStyle w:val="CETBodytext"/>
              <w:jc w:val="center"/>
              <w:rPr>
                <w:sz w:val="16"/>
                <w:szCs w:val="18"/>
                <w:lang w:val="en-GB"/>
              </w:rPr>
            </w:pPr>
            <w:r w:rsidRPr="00312CB9">
              <w:rPr>
                <w:sz w:val="16"/>
                <w:szCs w:val="18"/>
                <w:lang w:val="en-GB"/>
              </w:rPr>
              <w:t>10.63</w:t>
            </w:r>
          </w:p>
        </w:tc>
        <w:tc>
          <w:tcPr>
            <w:tcW w:w="851" w:type="dxa"/>
            <w:shd w:val="clear" w:color="auto" w:fill="auto"/>
            <w:noWrap/>
            <w:vAlign w:val="center"/>
            <w:hideMark/>
          </w:tcPr>
          <w:p w14:paraId="3EF653B4" w14:textId="77777777" w:rsidR="005A67CB" w:rsidRPr="00312CB9" w:rsidRDefault="005A67CB" w:rsidP="00B30FC2">
            <w:pPr>
              <w:pStyle w:val="CETBodytext"/>
              <w:jc w:val="center"/>
              <w:rPr>
                <w:sz w:val="16"/>
                <w:szCs w:val="18"/>
                <w:lang w:val="en-GB"/>
              </w:rPr>
            </w:pPr>
            <w:r w:rsidRPr="00312CB9">
              <w:rPr>
                <w:sz w:val="16"/>
                <w:szCs w:val="18"/>
                <w:lang w:val="en-GB"/>
              </w:rPr>
              <w:t>10.10</w:t>
            </w:r>
          </w:p>
        </w:tc>
        <w:tc>
          <w:tcPr>
            <w:tcW w:w="1276" w:type="dxa"/>
            <w:shd w:val="clear" w:color="auto" w:fill="auto"/>
            <w:noWrap/>
            <w:vAlign w:val="center"/>
            <w:hideMark/>
          </w:tcPr>
          <w:p w14:paraId="0AF5E8A0" w14:textId="77777777" w:rsidR="005A67CB" w:rsidRPr="00312CB9" w:rsidRDefault="005A67CB" w:rsidP="00B30FC2">
            <w:pPr>
              <w:pStyle w:val="CETBodytext"/>
              <w:jc w:val="center"/>
              <w:rPr>
                <w:sz w:val="16"/>
                <w:szCs w:val="18"/>
                <w:lang w:val="en-GB"/>
              </w:rPr>
            </w:pPr>
            <w:r w:rsidRPr="00312CB9">
              <w:rPr>
                <w:sz w:val="16"/>
                <w:szCs w:val="18"/>
                <w:lang w:val="en-GB"/>
              </w:rPr>
              <w:t>5.76</w:t>
            </w:r>
          </w:p>
        </w:tc>
        <w:tc>
          <w:tcPr>
            <w:tcW w:w="820" w:type="dxa"/>
            <w:shd w:val="clear" w:color="auto" w:fill="auto"/>
            <w:noWrap/>
            <w:vAlign w:val="center"/>
            <w:hideMark/>
          </w:tcPr>
          <w:p w14:paraId="16E9F980" w14:textId="77777777" w:rsidR="005A67CB" w:rsidRPr="00312CB9" w:rsidRDefault="005A67CB" w:rsidP="00B30FC2">
            <w:pPr>
              <w:pStyle w:val="CETBodytext"/>
              <w:jc w:val="center"/>
              <w:rPr>
                <w:sz w:val="16"/>
                <w:szCs w:val="18"/>
                <w:lang w:val="en-GB"/>
              </w:rPr>
            </w:pPr>
            <w:r w:rsidRPr="00312CB9">
              <w:rPr>
                <w:sz w:val="16"/>
                <w:szCs w:val="18"/>
                <w:lang w:val="en-GB"/>
              </w:rPr>
              <w:t>7.46</w:t>
            </w:r>
          </w:p>
        </w:tc>
        <w:tc>
          <w:tcPr>
            <w:tcW w:w="1223" w:type="dxa"/>
            <w:shd w:val="clear" w:color="auto" w:fill="auto"/>
            <w:noWrap/>
            <w:vAlign w:val="center"/>
            <w:hideMark/>
          </w:tcPr>
          <w:p w14:paraId="29155FE5" w14:textId="77777777" w:rsidR="005A67CB" w:rsidRPr="00312CB9" w:rsidRDefault="005A67CB" w:rsidP="00B30FC2">
            <w:pPr>
              <w:pStyle w:val="CETBodytext"/>
              <w:jc w:val="center"/>
              <w:rPr>
                <w:sz w:val="16"/>
                <w:szCs w:val="18"/>
                <w:lang w:val="en-GB"/>
              </w:rPr>
            </w:pPr>
            <w:r w:rsidRPr="00312CB9">
              <w:rPr>
                <w:sz w:val="16"/>
                <w:szCs w:val="18"/>
                <w:lang w:val="en-GB"/>
              </w:rPr>
              <w:t>10.79</w:t>
            </w:r>
          </w:p>
        </w:tc>
      </w:tr>
      <w:tr w:rsidR="00292FD2" w:rsidRPr="00312CB9" w14:paraId="36984952" w14:textId="77777777" w:rsidTr="0068699A">
        <w:trPr>
          <w:trHeight w:val="286"/>
        </w:trPr>
        <w:tc>
          <w:tcPr>
            <w:tcW w:w="1773" w:type="dxa"/>
            <w:vAlign w:val="center"/>
          </w:tcPr>
          <w:p w14:paraId="0400A44F" w14:textId="6E4ABA5B" w:rsidR="005A67CB" w:rsidRPr="00312CB9" w:rsidRDefault="0068699A" w:rsidP="005A67CB">
            <w:pPr>
              <w:tabs>
                <w:tab w:val="clear" w:pos="7100"/>
              </w:tabs>
              <w:spacing w:line="240" w:lineRule="auto"/>
              <w:jc w:val="left"/>
              <w:rPr>
                <w:rFonts w:ascii="Calibri" w:hAnsi="Calibri" w:cs="Calibri"/>
                <w:color w:val="000000"/>
                <w:szCs w:val="18"/>
                <w:lang w:eastAsia="es-PE"/>
              </w:rPr>
            </w:pPr>
            <w:r w:rsidRPr="00312CB9">
              <w:rPr>
                <w:i/>
                <w:iCs/>
              </w:rPr>
              <w:t xml:space="preserve">With </w:t>
            </w:r>
            <w:r w:rsidR="005A67CB" w:rsidRPr="00312CB9">
              <w:rPr>
                <w:i/>
                <w:iCs/>
              </w:rPr>
              <w:t>Escherichia coli</w:t>
            </w:r>
          </w:p>
        </w:tc>
        <w:tc>
          <w:tcPr>
            <w:tcW w:w="567" w:type="dxa"/>
            <w:shd w:val="clear" w:color="auto" w:fill="auto"/>
            <w:noWrap/>
            <w:vAlign w:val="center"/>
            <w:hideMark/>
          </w:tcPr>
          <w:p w14:paraId="620DA226" w14:textId="51389D8A" w:rsidR="005A67CB" w:rsidRPr="00312CB9" w:rsidRDefault="005A67CB" w:rsidP="00B30FC2">
            <w:pPr>
              <w:pStyle w:val="CETBodytext"/>
              <w:jc w:val="center"/>
              <w:rPr>
                <w:sz w:val="16"/>
                <w:szCs w:val="18"/>
                <w:lang w:val="en-GB"/>
              </w:rPr>
            </w:pPr>
            <w:r w:rsidRPr="00312CB9">
              <w:rPr>
                <w:sz w:val="16"/>
                <w:szCs w:val="18"/>
                <w:lang w:val="en-GB"/>
              </w:rPr>
              <w:t>8.70</w:t>
            </w:r>
          </w:p>
        </w:tc>
        <w:tc>
          <w:tcPr>
            <w:tcW w:w="1093" w:type="dxa"/>
            <w:shd w:val="clear" w:color="auto" w:fill="auto"/>
            <w:noWrap/>
            <w:vAlign w:val="center"/>
            <w:hideMark/>
          </w:tcPr>
          <w:p w14:paraId="4012869D" w14:textId="77777777" w:rsidR="005A67CB" w:rsidRPr="00312CB9" w:rsidRDefault="005A67CB" w:rsidP="00B30FC2">
            <w:pPr>
              <w:pStyle w:val="CETBodytext"/>
              <w:jc w:val="center"/>
              <w:rPr>
                <w:sz w:val="16"/>
                <w:szCs w:val="18"/>
                <w:lang w:val="en-GB"/>
              </w:rPr>
            </w:pPr>
            <w:r w:rsidRPr="00312CB9">
              <w:rPr>
                <w:sz w:val="16"/>
                <w:szCs w:val="18"/>
                <w:lang w:val="en-GB"/>
              </w:rPr>
              <w:t>23.10</w:t>
            </w:r>
          </w:p>
        </w:tc>
        <w:tc>
          <w:tcPr>
            <w:tcW w:w="1040" w:type="dxa"/>
            <w:shd w:val="clear" w:color="auto" w:fill="auto"/>
            <w:noWrap/>
            <w:vAlign w:val="center"/>
            <w:hideMark/>
          </w:tcPr>
          <w:p w14:paraId="21C303B6" w14:textId="77777777" w:rsidR="005A67CB" w:rsidRPr="00312CB9" w:rsidRDefault="005A67CB" w:rsidP="00B30FC2">
            <w:pPr>
              <w:pStyle w:val="CETBodytext"/>
              <w:jc w:val="center"/>
              <w:rPr>
                <w:sz w:val="16"/>
                <w:szCs w:val="18"/>
                <w:lang w:val="en-GB"/>
              </w:rPr>
            </w:pPr>
            <w:r w:rsidRPr="00312CB9">
              <w:rPr>
                <w:sz w:val="16"/>
                <w:szCs w:val="18"/>
                <w:lang w:val="en-GB"/>
              </w:rPr>
              <w:t>51.13</w:t>
            </w:r>
          </w:p>
        </w:tc>
        <w:tc>
          <w:tcPr>
            <w:tcW w:w="851" w:type="dxa"/>
            <w:shd w:val="clear" w:color="auto" w:fill="auto"/>
            <w:noWrap/>
            <w:vAlign w:val="center"/>
            <w:hideMark/>
          </w:tcPr>
          <w:p w14:paraId="51722C51" w14:textId="77777777" w:rsidR="005A67CB" w:rsidRPr="00312CB9" w:rsidRDefault="005A67CB" w:rsidP="00B30FC2">
            <w:pPr>
              <w:pStyle w:val="CETBodytext"/>
              <w:jc w:val="center"/>
              <w:rPr>
                <w:sz w:val="16"/>
                <w:szCs w:val="18"/>
                <w:lang w:val="en-GB"/>
              </w:rPr>
            </w:pPr>
            <w:r w:rsidRPr="00312CB9">
              <w:rPr>
                <w:sz w:val="16"/>
                <w:szCs w:val="18"/>
                <w:lang w:val="en-GB"/>
              </w:rPr>
              <w:t>38.20</w:t>
            </w:r>
          </w:p>
        </w:tc>
        <w:tc>
          <w:tcPr>
            <w:tcW w:w="1276" w:type="dxa"/>
            <w:shd w:val="clear" w:color="auto" w:fill="auto"/>
            <w:noWrap/>
            <w:vAlign w:val="center"/>
            <w:hideMark/>
          </w:tcPr>
          <w:p w14:paraId="241AF90B" w14:textId="77777777" w:rsidR="005A67CB" w:rsidRPr="00312CB9" w:rsidRDefault="005A67CB" w:rsidP="00B30FC2">
            <w:pPr>
              <w:pStyle w:val="CETBodytext"/>
              <w:jc w:val="center"/>
              <w:rPr>
                <w:sz w:val="16"/>
                <w:szCs w:val="18"/>
                <w:lang w:val="en-GB"/>
              </w:rPr>
            </w:pPr>
            <w:r w:rsidRPr="00312CB9">
              <w:rPr>
                <w:sz w:val="16"/>
                <w:szCs w:val="18"/>
                <w:lang w:val="en-GB"/>
              </w:rPr>
              <w:t>6.70</w:t>
            </w:r>
          </w:p>
        </w:tc>
        <w:tc>
          <w:tcPr>
            <w:tcW w:w="820" w:type="dxa"/>
            <w:shd w:val="clear" w:color="auto" w:fill="auto"/>
            <w:noWrap/>
            <w:vAlign w:val="center"/>
            <w:hideMark/>
          </w:tcPr>
          <w:p w14:paraId="39D0D7C3" w14:textId="77777777" w:rsidR="005A67CB" w:rsidRPr="00312CB9" w:rsidRDefault="005A67CB" w:rsidP="00B30FC2">
            <w:pPr>
              <w:pStyle w:val="CETBodytext"/>
              <w:jc w:val="center"/>
              <w:rPr>
                <w:sz w:val="16"/>
                <w:szCs w:val="18"/>
                <w:lang w:val="en-GB"/>
              </w:rPr>
            </w:pPr>
            <w:r w:rsidRPr="00312CB9">
              <w:rPr>
                <w:sz w:val="16"/>
                <w:szCs w:val="18"/>
                <w:lang w:val="en-GB"/>
              </w:rPr>
              <w:t>7.13</w:t>
            </w:r>
          </w:p>
        </w:tc>
        <w:tc>
          <w:tcPr>
            <w:tcW w:w="1223" w:type="dxa"/>
            <w:shd w:val="clear" w:color="auto" w:fill="auto"/>
            <w:noWrap/>
            <w:vAlign w:val="center"/>
            <w:hideMark/>
          </w:tcPr>
          <w:p w14:paraId="1BF23998" w14:textId="77777777" w:rsidR="005A67CB" w:rsidRPr="00312CB9" w:rsidRDefault="005A67CB" w:rsidP="00B30FC2">
            <w:pPr>
              <w:pStyle w:val="CETBodytext"/>
              <w:jc w:val="center"/>
              <w:rPr>
                <w:sz w:val="16"/>
                <w:szCs w:val="18"/>
                <w:lang w:val="en-GB"/>
              </w:rPr>
            </w:pPr>
            <w:r w:rsidRPr="00312CB9">
              <w:rPr>
                <w:sz w:val="16"/>
                <w:szCs w:val="18"/>
                <w:lang w:val="en-GB"/>
              </w:rPr>
              <w:t>13.43</w:t>
            </w:r>
          </w:p>
        </w:tc>
      </w:tr>
    </w:tbl>
    <w:bookmarkEnd w:id="1"/>
    <w:p w14:paraId="42D282E7" w14:textId="6410A318" w:rsidR="00BF7D97" w:rsidRPr="00312CB9" w:rsidRDefault="00B30FC2" w:rsidP="00902B5B">
      <w:pPr>
        <w:pStyle w:val="CETHeading1"/>
        <w:tabs>
          <w:tab w:val="clear" w:pos="360"/>
          <w:tab w:val="num" w:pos="0"/>
        </w:tabs>
        <w:ind w:left="0"/>
        <w:rPr>
          <w:lang w:val="en-GB"/>
        </w:rPr>
      </w:pPr>
      <w:r w:rsidRPr="00312CB9">
        <w:rPr>
          <w:lang w:val="en-GB"/>
        </w:rPr>
        <w:t>Conclusion</w:t>
      </w:r>
    </w:p>
    <w:p w14:paraId="6B736956" w14:textId="4F694E94" w:rsidR="00600535" w:rsidRPr="00312CB9" w:rsidRDefault="00795AE8" w:rsidP="00600535">
      <w:pPr>
        <w:pStyle w:val="CETBodytext"/>
        <w:rPr>
          <w:lang w:val="en-GB"/>
        </w:rPr>
      </w:pPr>
      <w:r w:rsidRPr="00312CB9">
        <w:rPr>
          <w:lang w:val="en-GB"/>
        </w:rPr>
        <w:t xml:space="preserve">With microbial biofilms of </w:t>
      </w:r>
      <w:r w:rsidRPr="00312CB9">
        <w:rPr>
          <w:i/>
          <w:iCs/>
          <w:lang w:val="en-GB"/>
        </w:rPr>
        <w:t>Pseudomonas aeruginosa</w:t>
      </w:r>
      <w:r w:rsidRPr="00312CB9">
        <w:rPr>
          <w:lang w:val="en-GB"/>
        </w:rPr>
        <w:t xml:space="preserve"> and </w:t>
      </w:r>
      <w:r w:rsidRPr="00312CB9">
        <w:rPr>
          <w:i/>
          <w:iCs/>
          <w:lang w:val="en-GB"/>
        </w:rPr>
        <w:t>Escherichia coli</w:t>
      </w:r>
      <w:r w:rsidRPr="00312CB9">
        <w:rPr>
          <w:lang w:val="en-GB"/>
        </w:rPr>
        <w:t xml:space="preserve">, supported on polypropylene and polyurethane material, the concentration of cyanide in contaminated industrial wastewater was reduced by </w:t>
      </w:r>
      <w:r w:rsidRPr="00312CB9">
        <w:rPr>
          <w:lang w:val="en-GB"/>
        </w:rPr>
        <w:lastRenderedPageBreak/>
        <w:t xml:space="preserve">97.11% and 75.95% for each biofilm in 5 and 7 days of treatment ; </w:t>
      </w:r>
      <w:r w:rsidR="00600E42" w:rsidRPr="00312CB9">
        <w:rPr>
          <w:lang w:val="en-GB"/>
        </w:rPr>
        <w:t>Therefore, biotechnology with microorganisms is an environmentally advantageous alternative to other methods that use chemicals and more research is needed to scale the methodology to larger volumes of effluents of this type of pollutant, which is very dangerous, lethal to life and the environment.</w:t>
      </w:r>
      <w:r w:rsidR="00C368B4" w:rsidRPr="00312CB9">
        <w:rPr>
          <w:lang w:val="en-GB"/>
        </w:rPr>
        <w:t xml:space="preserve"> </w:t>
      </w:r>
    </w:p>
    <w:p w14:paraId="459D05E6" w14:textId="77777777" w:rsidR="00600535" w:rsidRPr="00312CB9" w:rsidRDefault="00600535" w:rsidP="00600535">
      <w:pPr>
        <w:pStyle w:val="CETAcknowledgementstitle"/>
      </w:pPr>
      <w:r w:rsidRPr="00312CB9">
        <w:t>Acknowledgments</w:t>
      </w:r>
    </w:p>
    <w:p w14:paraId="33F8138F" w14:textId="08BFB72A" w:rsidR="00600535" w:rsidRPr="00312CB9" w:rsidRDefault="00B30FC2" w:rsidP="00600535">
      <w:pPr>
        <w:pStyle w:val="CETBodytext"/>
        <w:rPr>
          <w:lang w:val="en-GB"/>
        </w:rPr>
      </w:pPr>
      <w:r w:rsidRPr="00312CB9">
        <w:rPr>
          <w:lang w:val="en-GB"/>
        </w:rPr>
        <w:t xml:space="preserve">To Universidad César Vallejo, </w:t>
      </w:r>
      <w:r w:rsidR="00F01517" w:rsidRPr="00312CB9">
        <w:rPr>
          <w:lang w:val="en-GB"/>
        </w:rPr>
        <w:t xml:space="preserve">program “Research UCV”, </w:t>
      </w:r>
      <w:r w:rsidRPr="00312CB9">
        <w:rPr>
          <w:lang w:val="en-GB"/>
        </w:rPr>
        <w:t>for the academic and financial support for the dissemination of this research.</w:t>
      </w:r>
    </w:p>
    <w:p w14:paraId="4F1327F8" w14:textId="4D019564" w:rsidR="00600535" w:rsidRPr="00312CB9" w:rsidRDefault="00600535" w:rsidP="00600535">
      <w:pPr>
        <w:pStyle w:val="CETReference"/>
      </w:pPr>
      <w:r w:rsidRPr="00312CB9">
        <w:t>References</w:t>
      </w:r>
    </w:p>
    <w:p w14:paraId="3D5A0F85" w14:textId="43122726" w:rsidR="00DE34BF" w:rsidRPr="00312CB9" w:rsidRDefault="00DE34BF" w:rsidP="008D58C9">
      <w:pPr>
        <w:pStyle w:val="Bibliografa"/>
      </w:pPr>
      <w:r w:rsidRPr="00312CB9">
        <w:rPr>
          <w:rFonts w:cs="Arial"/>
        </w:rPr>
        <w:t>Agudelo C, R.M., Betancur U, J., Jaramillo C, C.L., 2010. Biotratamiento de residuos cianurados y su relación con la salud pública. Revista Facultad Nacional de Salud Pública 28, 7–20.</w:t>
      </w:r>
    </w:p>
    <w:p w14:paraId="12DDCDBF" w14:textId="5F46E207" w:rsidR="008D58C9" w:rsidRPr="00312CB9" w:rsidRDefault="00B75ED2" w:rsidP="008D58C9">
      <w:pPr>
        <w:pStyle w:val="Bibliografa"/>
        <w:rPr>
          <w:rFonts w:cs="Arial"/>
        </w:rPr>
      </w:pPr>
      <w:r w:rsidRPr="00312CB9">
        <w:fldChar w:fldCharType="begin"/>
      </w:r>
      <w:r w:rsidRPr="00312CB9">
        <w:instrText xml:space="preserve"> ADDIN ZOTERO_BIBL {"uncited":[],"omitted":[],"custom":[]} CSL_BIBLIOGRAPHY </w:instrText>
      </w:r>
      <w:r w:rsidRPr="00312CB9">
        <w:fldChar w:fldCharType="separate"/>
      </w:r>
      <w:r w:rsidR="008D58C9" w:rsidRPr="00312CB9">
        <w:rPr>
          <w:rFonts w:cs="Arial"/>
        </w:rPr>
        <w:t>An X., Cheng Y., Huang M., Sun Y., Wang H., Chen X., Wang J., Li D., Li C., 2018. Treating organic cyanide-containing groundwater by immobilization of a nitrile-degrading bacterium with a biofilm-forming bacterium using fluidized bed reactors. Environmental Pollution 237, 908–916. https://doi.org/10.1016/j.envpol.2018.01.087</w:t>
      </w:r>
    </w:p>
    <w:p w14:paraId="622AD6CD" w14:textId="35860924" w:rsidR="008D58C9" w:rsidRPr="00312CB9" w:rsidRDefault="008D58C9" w:rsidP="008D58C9">
      <w:pPr>
        <w:pStyle w:val="Bibliografa"/>
        <w:rPr>
          <w:rFonts w:cs="Arial"/>
        </w:rPr>
      </w:pPr>
      <w:r w:rsidRPr="00312CB9">
        <w:rPr>
          <w:rFonts w:cs="Arial"/>
        </w:rPr>
        <w:t>Cardona E., 2015. Microorganismos Potenciales degradadores de Cianuro en residuos de minería de oro (Tesis de Título). Universidad de Colombia, Medellin.</w:t>
      </w:r>
    </w:p>
    <w:p w14:paraId="207F5C14" w14:textId="7219687E" w:rsidR="008D58C9" w:rsidRPr="00312CB9" w:rsidRDefault="008D58C9" w:rsidP="008D58C9">
      <w:pPr>
        <w:pStyle w:val="Bibliografa"/>
        <w:rPr>
          <w:rFonts w:cs="Arial"/>
        </w:rPr>
      </w:pPr>
      <w:r w:rsidRPr="00312CB9">
        <w:rPr>
          <w:rFonts w:cs="Arial"/>
        </w:rPr>
        <w:t>Carmona M.I., 2016. Estudio del papel de los genes cio en la resistencia al cianuro de “Pseudomonas pseudoalcaligenes” CECT5344. Universidad de Extremadura, Extremadura, España.</w:t>
      </w:r>
    </w:p>
    <w:p w14:paraId="50FC2A6E" w14:textId="0752BCFB" w:rsidR="008D58C9" w:rsidRPr="00312CB9" w:rsidRDefault="008D58C9" w:rsidP="008D58C9">
      <w:pPr>
        <w:pStyle w:val="Bibliografa"/>
        <w:rPr>
          <w:rFonts w:cs="Arial"/>
        </w:rPr>
      </w:pPr>
      <w:r w:rsidRPr="00312CB9">
        <w:rPr>
          <w:rFonts w:cs="Arial"/>
        </w:rPr>
        <w:t>Garzón J.M., Rodríguez Miranda J.P., Hernández Gómez C., 2017. Aporte de la biorremediación para solucionar problemas de contaminación y su relación con el desarrollo sostenible. Rev. Univ. salud 19, 309. https://doi.org/10.22267/rus.171902.93</w:t>
      </w:r>
    </w:p>
    <w:p w14:paraId="74F49C84" w14:textId="30102C2C" w:rsidR="008D58C9" w:rsidRPr="00312CB9" w:rsidRDefault="008D58C9" w:rsidP="008D58C9">
      <w:pPr>
        <w:pStyle w:val="Bibliografa"/>
        <w:rPr>
          <w:rFonts w:cs="Arial"/>
        </w:rPr>
      </w:pPr>
      <w:r w:rsidRPr="00312CB9">
        <w:rPr>
          <w:rFonts w:cs="Arial"/>
        </w:rPr>
        <w:t>Huertas M.J., Sáe</w:t>
      </w:r>
      <w:r w:rsidR="00046AE8" w:rsidRPr="00312CB9">
        <w:rPr>
          <w:rFonts w:cs="Arial"/>
        </w:rPr>
        <w:t>z</w:t>
      </w:r>
      <w:r w:rsidRPr="00312CB9">
        <w:rPr>
          <w:rFonts w:cs="Arial"/>
        </w:rPr>
        <w:t xml:space="preserve"> L.P., Roldán M.D., Luque-Almagro V.M., Martínez-Luque M., Blasco R., Castillo F., Moreno-Vivián C., García-García I., 2010. Alkaline cyanide degradation by Pseudomonas pseudoalcaligenes CECT5344 in a batch reactor. Influence of pH. Journal of Hazardous Materials 179, 72–78. https://doi.org/10.1016/j.jhazmat.2010.02.059</w:t>
      </w:r>
    </w:p>
    <w:p w14:paraId="67257CFF" w14:textId="18B10BF8" w:rsidR="008D58C9" w:rsidRPr="00312CB9" w:rsidRDefault="008D58C9" w:rsidP="008D58C9">
      <w:pPr>
        <w:pStyle w:val="Bibliografa"/>
        <w:rPr>
          <w:rFonts w:cs="Arial"/>
        </w:rPr>
      </w:pPr>
      <w:r w:rsidRPr="00312CB9">
        <w:rPr>
          <w:rFonts w:cs="Arial"/>
        </w:rPr>
        <w:t>Li M., Li B., Chen J., Cui S., Yang Y., Shen X., Liu K., Han Q., 2022. Purifying cyanide-bearing wastewaters by electrochemical precipitate process using sacrificial Zn anode. Separation and Purification Technology 284. https://doi.org/10.1016/j.seppur.2021.120250</w:t>
      </w:r>
    </w:p>
    <w:p w14:paraId="24392505" w14:textId="1655BFE9" w:rsidR="008D58C9" w:rsidRPr="00312CB9" w:rsidRDefault="008D58C9" w:rsidP="008D58C9">
      <w:pPr>
        <w:pStyle w:val="Bibliografa"/>
        <w:rPr>
          <w:rFonts w:cs="Arial"/>
        </w:rPr>
      </w:pPr>
      <w:r w:rsidRPr="00312CB9">
        <w:rPr>
          <w:rFonts w:cs="Arial"/>
        </w:rPr>
        <w:t>Lin X., Tran D.T., Song M.-H., Yun Y.S., 2022. Development of quaternized polyethylenimine-cellulose fibers for fast recovery of Au(CN)2- in alkaline wastewater: Kinetics, isotherm, and thermodynamic study. Journal of Hazardous Materials 422. https://doi.org/10.1016/j.jhazmat.2021.126940</w:t>
      </w:r>
    </w:p>
    <w:p w14:paraId="3F4DF740" w14:textId="33365104" w:rsidR="008D58C9" w:rsidRPr="00312CB9" w:rsidRDefault="008D58C9" w:rsidP="008D58C9">
      <w:pPr>
        <w:pStyle w:val="Bibliografa"/>
        <w:rPr>
          <w:rFonts w:cs="Arial"/>
        </w:rPr>
      </w:pPr>
      <w:r w:rsidRPr="00312CB9">
        <w:rPr>
          <w:rFonts w:cs="Arial"/>
        </w:rPr>
        <w:t>MINAM, 2010. D.S. 010-2010-Minam: Apreuban Límites Máximos Permisibles para la descarga de efluentes líquidos de actividad Minero - Metalúrgicas.</w:t>
      </w:r>
    </w:p>
    <w:p w14:paraId="45CEE5E9" w14:textId="7AB5C010" w:rsidR="00DE34BF" w:rsidRPr="00312CB9" w:rsidRDefault="00DE34BF" w:rsidP="008D58C9">
      <w:pPr>
        <w:pStyle w:val="Bibliografa"/>
        <w:rPr>
          <w:rFonts w:cs="Arial"/>
        </w:rPr>
      </w:pPr>
      <w:r w:rsidRPr="00312CB9">
        <w:rPr>
          <w:rFonts w:cs="Arial"/>
        </w:rPr>
        <w:t xml:space="preserve">Naranjo F.J., </w:t>
      </w:r>
      <w:r w:rsidRPr="00312CB9">
        <w:rPr>
          <w:rFonts w:cs="Arial"/>
        </w:rPr>
        <w:t xml:space="preserve">Samta-María </w:t>
      </w:r>
      <w:r w:rsidRPr="00312CB9">
        <w:rPr>
          <w:rFonts w:cs="Arial"/>
        </w:rPr>
        <w:t>M</w:t>
      </w:r>
      <w:r w:rsidRPr="00312CB9">
        <w:rPr>
          <w:rFonts w:cs="Arial"/>
        </w:rPr>
        <w:t>.</w:t>
      </w:r>
      <w:r w:rsidRPr="00312CB9">
        <w:rPr>
          <w:rFonts w:cs="Arial"/>
        </w:rPr>
        <w:t>, 2006. Evaluación de la inmovilización de Pseudomonas fluorescens para la biodegradación de cianuro en solución acuosa 109</w:t>
      </w:r>
      <w:r w:rsidRPr="00312CB9">
        <w:rPr>
          <w:rFonts w:cs="Arial"/>
        </w:rPr>
        <w:t>.</w:t>
      </w:r>
    </w:p>
    <w:p w14:paraId="2D132233" w14:textId="68582F34" w:rsidR="008D58C9" w:rsidRPr="00312CB9" w:rsidRDefault="008D58C9" w:rsidP="008D58C9">
      <w:pPr>
        <w:pStyle w:val="Bibliografa"/>
        <w:rPr>
          <w:rFonts w:cs="Arial"/>
        </w:rPr>
      </w:pPr>
      <w:r w:rsidRPr="00312CB9">
        <w:rPr>
          <w:rFonts w:cs="Arial"/>
        </w:rPr>
        <w:t>Muñoz A., Guillén G., 2015. Sistema de Biorremediación Para La Regeneración De Suelos Hidromórficos Del Estero Chicharrón Y Río Cucaracha De La Comuna De Montañita, Provincia De Santa Elena. (Tesis de Título). Politécnica del Litoral, Guayaquil.</w:t>
      </w:r>
    </w:p>
    <w:p w14:paraId="5213D119" w14:textId="24BE9BDD" w:rsidR="008D58C9" w:rsidRPr="00312CB9" w:rsidRDefault="008D58C9" w:rsidP="008D58C9">
      <w:pPr>
        <w:pStyle w:val="Bibliografa"/>
        <w:rPr>
          <w:rFonts w:cs="Arial"/>
        </w:rPr>
      </w:pPr>
      <w:r w:rsidRPr="00312CB9">
        <w:rPr>
          <w:rFonts w:cs="Arial"/>
        </w:rPr>
        <w:t xml:space="preserve">OPS/OMS, 2015. Peligros biológicos [WWW Document]. Pan American Health Organization / World Health Organization. </w:t>
      </w:r>
    </w:p>
    <w:p w14:paraId="5D498C5D" w14:textId="4D24CFC1" w:rsidR="008D58C9" w:rsidRPr="00312CB9" w:rsidRDefault="008D58C9" w:rsidP="008D58C9">
      <w:pPr>
        <w:pStyle w:val="Bibliografa"/>
        <w:rPr>
          <w:rFonts w:cs="Arial"/>
        </w:rPr>
      </w:pPr>
      <w:r w:rsidRPr="00312CB9">
        <w:rPr>
          <w:rFonts w:cs="Arial"/>
        </w:rPr>
        <w:t>Peens J., Wu Y., Brink H., 2018. Microbial pb(ii) precipitation: the influence of elevated pb(ii) concentrations. Chemical Engineering Transactions 64, 583–588. https://doi.org/10.3303/CET1864098</w:t>
      </w:r>
    </w:p>
    <w:p w14:paraId="1842EB18" w14:textId="1E47FFDE" w:rsidR="00DE34BF" w:rsidRPr="00312CB9" w:rsidRDefault="00DE34BF" w:rsidP="008D58C9">
      <w:pPr>
        <w:pStyle w:val="Bibliografa"/>
        <w:rPr>
          <w:rFonts w:cs="Arial"/>
        </w:rPr>
      </w:pPr>
      <w:r w:rsidRPr="00312CB9">
        <w:rPr>
          <w:rFonts w:cs="Arial"/>
        </w:rPr>
        <w:t xml:space="preserve">Pérez, J., Higuera, O., 2008. Comportamiento electroquímico del cianuro. Ingeniería y Desarrollo </w:t>
      </w:r>
      <w:r w:rsidRPr="00312CB9">
        <w:rPr>
          <w:rFonts w:cs="Arial"/>
        </w:rPr>
        <w:t>24 (</w:t>
      </w:r>
      <w:r w:rsidRPr="00312CB9">
        <w:rPr>
          <w:rFonts w:cs="Arial"/>
        </w:rPr>
        <w:t>14</w:t>
      </w:r>
      <w:r w:rsidRPr="00312CB9">
        <w:rPr>
          <w:rFonts w:cs="Arial"/>
        </w:rPr>
        <w:t>).</w:t>
      </w:r>
      <w:r w:rsidRPr="00312CB9">
        <w:rPr>
          <w:rFonts w:cs="Arial"/>
        </w:rPr>
        <w:t>.</w:t>
      </w:r>
    </w:p>
    <w:p w14:paraId="699AB548" w14:textId="453C9C8A" w:rsidR="008D58C9" w:rsidRPr="00312CB9" w:rsidRDefault="008D58C9" w:rsidP="008D58C9">
      <w:pPr>
        <w:pStyle w:val="Bibliografa"/>
        <w:rPr>
          <w:rFonts w:cs="Arial"/>
        </w:rPr>
      </w:pPr>
      <w:r w:rsidRPr="00312CB9">
        <w:rPr>
          <w:rFonts w:cs="Arial"/>
        </w:rPr>
        <w:t>Pratiwi I., Mukimin A., Zen N., Septarina I., 2021. Integration of electrocoagulation, adsorption and wetland technology for jewelry industry wastewater treatment. Separation and Purification Technology 279. https://doi.org/10.1016/j.seppur.2021.119690</w:t>
      </w:r>
    </w:p>
    <w:p w14:paraId="6F2981C4" w14:textId="31AD0FD0" w:rsidR="008D58C9" w:rsidRPr="00312CB9" w:rsidRDefault="008D58C9" w:rsidP="008D58C9">
      <w:pPr>
        <w:pStyle w:val="Bibliografa"/>
        <w:rPr>
          <w:rFonts w:cs="Arial"/>
        </w:rPr>
      </w:pPr>
      <w:r w:rsidRPr="00312CB9">
        <w:rPr>
          <w:rFonts w:cs="Arial"/>
        </w:rPr>
        <w:t>Ramírez N., Serrano J., Sandoval H., 2006. Microorganismos extremófilos. Actinomicetos halófilos en México. Revista Mexicana de las ciencias farmacéuticas 37, 17.</w:t>
      </w:r>
    </w:p>
    <w:p w14:paraId="26642AA6" w14:textId="004792C8" w:rsidR="008D58C9" w:rsidRPr="00312CB9" w:rsidRDefault="008D58C9" w:rsidP="008D58C9">
      <w:pPr>
        <w:pStyle w:val="Bibliografa"/>
        <w:rPr>
          <w:rFonts w:cs="Arial"/>
        </w:rPr>
      </w:pPr>
      <w:r w:rsidRPr="00312CB9">
        <w:rPr>
          <w:rFonts w:cs="Arial"/>
        </w:rPr>
        <w:t>Restrepo O.J., Montoya C.A., Muñoz N.A., 2006. Degradación microbiana de cianuro procedente de plantas de beneficio de oro mediante una cepa nativa de p. flurrecens. DYNA 73, 45–51.</w:t>
      </w:r>
    </w:p>
    <w:p w14:paraId="6BC4F240" w14:textId="21C33475" w:rsidR="008D58C9" w:rsidRPr="00312CB9" w:rsidRDefault="008D58C9" w:rsidP="008D58C9">
      <w:pPr>
        <w:pStyle w:val="Bibliografa"/>
        <w:rPr>
          <w:rFonts w:cs="Arial"/>
        </w:rPr>
      </w:pPr>
      <w:r w:rsidRPr="00312CB9">
        <w:rPr>
          <w:rFonts w:cs="Arial"/>
        </w:rPr>
        <w:t>Sain M., Pramanik S., Baltrenaite-Gediene E., Chandra Ghanta K., Dutta, S., 2021. Abatement of cyanide and ammoniacal-N from coke-oven wastewater using natural adsorbents: A comparative study. Journal of the Indian Chemical Society 98. https://doi.org/10.1016/j.jics.2021.100230</w:t>
      </w:r>
    </w:p>
    <w:p w14:paraId="7D8E7A2E" w14:textId="77777777" w:rsidR="008D58C9" w:rsidRPr="00312CB9" w:rsidRDefault="008D58C9" w:rsidP="008D58C9">
      <w:pPr>
        <w:pStyle w:val="Bibliografa"/>
        <w:rPr>
          <w:rFonts w:cs="Arial"/>
        </w:rPr>
      </w:pPr>
      <w:r w:rsidRPr="00312CB9">
        <w:rPr>
          <w:rFonts w:cs="Arial"/>
        </w:rPr>
        <w:t>Sawasdee V., Pisutpaisal N., 2018. Microbial community from tannery wastewater in microbial fuel cell. Chemical Engineering Transactions 64, 397–402. https://doi.org/10.3303/CET1864067</w:t>
      </w:r>
    </w:p>
    <w:p w14:paraId="5DF23D81" w14:textId="6ADE0616" w:rsidR="008D58C9" w:rsidRPr="00312CB9" w:rsidRDefault="008D58C9" w:rsidP="008D58C9">
      <w:pPr>
        <w:pStyle w:val="Bibliografa"/>
        <w:rPr>
          <w:rFonts w:cs="Arial"/>
        </w:rPr>
      </w:pPr>
      <w:r w:rsidRPr="00312CB9">
        <w:rPr>
          <w:rFonts w:cs="Arial"/>
        </w:rPr>
        <w:t>Shin D., Park H., Lee J.C., Kim M., Lee J., 2019. Microbial community responses to cyanide in a biological treatment reactor for cyanide containing wastewater from gold processing plant. Presented at the IMPC 2018 - 29th International Mineral Processing Congress, pp. 3222–3230.</w:t>
      </w:r>
    </w:p>
    <w:p w14:paraId="19C4FC68" w14:textId="4FFACE67" w:rsidR="004628D2" w:rsidRPr="00312CB9" w:rsidRDefault="008D58C9" w:rsidP="008D58C9">
      <w:pPr>
        <w:pStyle w:val="Bibliografa"/>
      </w:pPr>
      <w:r w:rsidRPr="00312CB9">
        <w:rPr>
          <w:rFonts w:cs="Arial"/>
        </w:rPr>
        <w:t>Wei P., Zhang Y., Huang Y., Jia Y., Chen L., Wang M., 2022. Effect and mechanism of cyanide degradation and Cu/Zn recovery by photoelectro-catalytic oxidation. Separation and Purification Technology 282. https://doi.org/10.1016/j.seppur.2021.120050</w:t>
      </w:r>
      <w:r w:rsidR="00B75ED2" w:rsidRPr="00312CB9">
        <w:fldChar w:fldCharType="end"/>
      </w:r>
    </w:p>
    <w:sectPr w:rsidR="004628D2" w:rsidRPr="00312CB9" w:rsidSect="0077098D">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F2235D" w14:textId="77777777" w:rsidR="00A65E09" w:rsidRDefault="00A65E09" w:rsidP="004F5E36">
      <w:r>
        <w:separator/>
      </w:r>
    </w:p>
  </w:endnote>
  <w:endnote w:type="continuationSeparator" w:id="0">
    <w:p w14:paraId="70EFF6BB" w14:textId="77777777" w:rsidR="00A65E09" w:rsidRDefault="00A65E09"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4F7D44" w14:textId="77777777" w:rsidR="00A65E09" w:rsidRDefault="00A65E09" w:rsidP="004F5E36">
      <w:r>
        <w:separator/>
      </w:r>
    </w:p>
  </w:footnote>
  <w:footnote w:type="continuationSeparator" w:id="0">
    <w:p w14:paraId="26948E55" w14:textId="77777777" w:rsidR="00A65E09" w:rsidRDefault="00A65E09"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58AF15E"/>
    <w:lvl w:ilvl="0">
      <w:start w:val="1"/>
      <w:numFmt w:val="decimal"/>
      <w:pStyle w:val="Listaconnmeros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Listaconnmeros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Listaconnmeros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Listaconnmeros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Listaconvieta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Listaconvieta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Listaconvieta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Listaconvieta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Listaconnmeros"/>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Listaconvietas"/>
      <w:lvlText w:val=""/>
      <w:lvlJc w:val="left"/>
      <w:pPr>
        <w:tabs>
          <w:tab w:val="num" w:pos="360"/>
        </w:tabs>
        <w:ind w:left="360" w:hanging="360"/>
      </w:pPr>
      <w:rPr>
        <w:rFonts w:ascii="Symbol" w:hAnsi="Symbol" w:hint="default"/>
      </w:rPr>
    </w:lvl>
  </w:abstractNum>
  <w:abstractNum w:abstractNumId="10" w15:restartNumberingAfterBreak="0">
    <w:nsid w:val="079D4629"/>
    <w:multiLevelType w:val="hybridMultilevel"/>
    <w:tmpl w:val="9AB22440"/>
    <w:lvl w:ilvl="0" w:tplc="280A0001">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11" w15:restartNumberingAfterBreak="0">
    <w:nsid w:val="0A075FA5"/>
    <w:multiLevelType w:val="hybridMultilevel"/>
    <w:tmpl w:val="BC10444C"/>
    <w:lvl w:ilvl="0" w:tplc="60DC6EF2">
      <w:numFmt w:val="bullet"/>
      <w:lvlText w:val="-"/>
      <w:lvlJc w:val="left"/>
      <w:pPr>
        <w:ind w:left="720" w:hanging="360"/>
      </w:pPr>
      <w:rPr>
        <w:rFonts w:ascii="Arial" w:eastAsia="Times New Roman" w:hAnsi="Aria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2" w15:restartNumberingAfterBreak="0">
    <w:nsid w:val="19E92DE0"/>
    <w:multiLevelType w:val="hybridMultilevel"/>
    <w:tmpl w:val="394A197A"/>
    <w:lvl w:ilvl="0" w:tplc="280A0001">
      <w:start w:val="1"/>
      <w:numFmt w:val="bullet"/>
      <w:lvlText w:val=""/>
      <w:lvlJc w:val="left"/>
      <w:pPr>
        <w:ind w:left="1429" w:hanging="360"/>
      </w:pPr>
      <w:rPr>
        <w:rFonts w:ascii="Symbol" w:hAnsi="Symbol"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13"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1418"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labsica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4" w15:restartNumberingAfterBreak="0">
    <w:nsid w:val="32B32D29"/>
    <w:multiLevelType w:val="hybridMultilevel"/>
    <w:tmpl w:val="698C88E8"/>
    <w:lvl w:ilvl="0" w:tplc="280A0001">
      <w:start w:val="1"/>
      <w:numFmt w:val="bullet"/>
      <w:lvlText w:val=""/>
      <w:lvlJc w:val="left"/>
      <w:pPr>
        <w:spacing w:line="240" w:lineRule="auto"/>
      </w:pPr>
      <w:rPr>
        <w:rFonts w:ascii="Symbol" w:hAnsi="Symbol" w:hint="default"/>
      </w:rPr>
    </w:lvl>
    <w:lvl w:ilvl="1" w:tplc="FFFFFFFF" w:tentative="1">
      <w:start w:val="1"/>
      <w:numFmt w:val="bullet"/>
      <w:lvlText w:val="o"/>
      <w:lvlJc w:val="left"/>
      <w:pPr>
        <w:ind w:left="0" w:hanging="360"/>
      </w:pPr>
      <w:rPr>
        <w:rFonts w:ascii="Courier New" w:hAnsi="Courier New" w:cs="Courier New" w:hint="default"/>
      </w:rPr>
    </w:lvl>
    <w:lvl w:ilvl="2" w:tplc="FFFFFFFF" w:tentative="1">
      <w:start w:val="1"/>
      <w:numFmt w:val="bullet"/>
      <w:lvlText w:val=""/>
      <w:lvlJc w:val="left"/>
      <w:pPr>
        <w:ind w:left="720" w:hanging="360"/>
      </w:pPr>
      <w:rPr>
        <w:rFonts w:ascii="Wingdings" w:hAnsi="Wingdings" w:hint="default"/>
      </w:rPr>
    </w:lvl>
    <w:lvl w:ilvl="3" w:tplc="FFFFFFFF" w:tentative="1">
      <w:start w:val="1"/>
      <w:numFmt w:val="bullet"/>
      <w:lvlText w:val=""/>
      <w:lvlJc w:val="left"/>
      <w:pPr>
        <w:ind w:left="1440" w:hanging="360"/>
      </w:pPr>
      <w:rPr>
        <w:rFonts w:ascii="Symbol" w:hAnsi="Symbol" w:hint="default"/>
      </w:rPr>
    </w:lvl>
    <w:lvl w:ilvl="4" w:tplc="FFFFFFFF" w:tentative="1">
      <w:start w:val="1"/>
      <w:numFmt w:val="bullet"/>
      <w:lvlText w:val="o"/>
      <w:lvlJc w:val="left"/>
      <w:pPr>
        <w:ind w:left="2160" w:hanging="360"/>
      </w:pPr>
      <w:rPr>
        <w:rFonts w:ascii="Courier New" w:hAnsi="Courier New" w:cs="Courier New" w:hint="default"/>
      </w:rPr>
    </w:lvl>
    <w:lvl w:ilvl="5" w:tplc="FFFFFFFF" w:tentative="1">
      <w:start w:val="1"/>
      <w:numFmt w:val="bullet"/>
      <w:lvlText w:val=""/>
      <w:lvlJc w:val="left"/>
      <w:pPr>
        <w:ind w:left="2880" w:hanging="360"/>
      </w:pPr>
      <w:rPr>
        <w:rFonts w:ascii="Wingdings" w:hAnsi="Wingdings" w:hint="default"/>
      </w:rPr>
    </w:lvl>
    <w:lvl w:ilvl="6" w:tplc="FFFFFFFF" w:tentative="1">
      <w:start w:val="1"/>
      <w:numFmt w:val="bullet"/>
      <w:lvlText w:val=""/>
      <w:lvlJc w:val="left"/>
      <w:pPr>
        <w:ind w:left="3600" w:hanging="360"/>
      </w:pPr>
      <w:rPr>
        <w:rFonts w:ascii="Symbol" w:hAnsi="Symbol" w:hint="default"/>
      </w:rPr>
    </w:lvl>
    <w:lvl w:ilvl="7" w:tplc="FFFFFFFF" w:tentative="1">
      <w:start w:val="1"/>
      <w:numFmt w:val="bullet"/>
      <w:lvlText w:val="o"/>
      <w:lvlJc w:val="left"/>
      <w:pPr>
        <w:ind w:left="4320" w:hanging="360"/>
      </w:pPr>
      <w:rPr>
        <w:rFonts w:ascii="Courier New" w:hAnsi="Courier New" w:cs="Courier New" w:hint="default"/>
      </w:rPr>
    </w:lvl>
    <w:lvl w:ilvl="8" w:tplc="FFFFFFFF" w:tentative="1">
      <w:start w:val="1"/>
      <w:numFmt w:val="bullet"/>
      <w:lvlText w:val=""/>
      <w:lvlJc w:val="left"/>
      <w:pPr>
        <w:ind w:left="5040" w:hanging="360"/>
      </w:pPr>
      <w:rPr>
        <w:rFonts w:ascii="Wingdings" w:hAnsi="Wingdings" w:hint="default"/>
      </w:rPr>
    </w:lvl>
  </w:abstractNum>
  <w:abstractNum w:abstractNumId="15"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351E0394"/>
    <w:multiLevelType w:val="hybridMultilevel"/>
    <w:tmpl w:val="806658E2"/>
    <w:lvl w:ilvl="0" w:tplc="14B0F7A8">
      <w:start w:val="1"/>
      <w:numFmt w:val="bullet"/>
      <w:pStyle w:val="CETnumberingbullets"/>
      <w:lvlText w:val=""/>
      <w:lvlJc w:val="left"/>
      <w:pPr>
        <w:ind w:left="227"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8" w15:restartNumberingAfterBreak="0">
    <w:nsid w:val="3DB2157B"/>
    <w:multiLevelType w:val="hybridMultilevel"/>
    <w:tmpl w:val="A53688D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9"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22"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704022CE"/>
    <w:multiLevelType w:val="hybridMultilevel"/>
    <w:tmpl w:val="BCF2190C"/>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26" w15:restartNumberingAfterBreak="0">
    <w:nsid w:val="7855363D"/>
    <w:multiLevelType w:val="hybridMultilevel"/>
    <w:tmpl w:val="13CCD87E"/>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num w:numId="1">
    <w:abstractNumId w:val="13"/>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21"/>
  </w:num>
  <w:num w:numId="13">
    <w:abstractNumId w:val="16"/>
  </w:num>
  <w:num w:numId="14">
    <w:abstractNumId w:val="22"/>
  </w:num>
  <w:num w:numId="15">
    <w:abstractNumId w:val="24"/>
  </w:num>
  <w:num w:numId="16">
    <w:abstractNumId w:val="23"/>
  </w:num>
  <w:num w:numId="17">
    <w:abstractNumId w:val="15"/>
  </w:num>
  <w:num w:numId="18">
    <w:abstractNumId w:val="16"/>
    <w:lvlOverride w:ilvl="0">
      <w:startOverride w:val="1"/>
    </w:lvlOverride>
  </w:num>
  <w:num w:numId="19">
    <w:abstractNumId w:val="20"/>
  </w:num>
  <w:num w:numId="20">
    <w:abstractNumId w:val="19"/>
  </w:num>
  <w:num w:numId="21">
    <w:abstractNumId w:val="17"/>
  </w:num>
  <w:num w:numId="22">
    <w:abstractNumId w:val="11"/>
  </w:num>
  <w:num w:numId="23">
    <w:abstractNumId w:val="14"/>
  </w:num>
  <w:num w:numId="24">
    <w:abstractNumId w:val="26"/>
  </w:num>
  <w:num w:numId="25">
    <w:abstractNumId w:val="25"/>
  </w:num>
  <w:num w:numId="26">
    <w:abstractNumId w:val="18"/>
  </w:num>
  <w:num w:numId="27">
    <w:abstractNumId w:val="10"/>
  </w:num>
  <w:num w:numId="2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0955"/>
    <w:rsid w:val="000027C0"/>
    <w:rsid w:val="000052FB"/>
    <w:rsid w:val="0001133E"/>
    <w:rsid w:val="000117CB"/>
    <w:rsid w:val="000253D2"/>
    <w:rsid w:val="0003148D"/>
    <w:rsid w:val="00046AE8"/>
    <w:rsid w:val="00051114"/>
    <w:rsid w:val="00051566"/>
    <w:rsid w:val="00062A9A"/>
    <w:rsid w:val="00063543"/>
    <w:rsid w:val="00065058"/>
    <w:rsid w:val="00081A48"/>
    <w:rsid w:val="00083B29"/>
    <w:rsid w:val="00086C39"/>
    <w:rsid w:val="000960D6"/>
    <w:rsid w:val="000A03B2"/>
    <w:rsid w:val="000B59EF"/>
    <w:rsid w:val="000D34BE"/>
    <w:rsid w:val="000D70A7"/>
    <w:rsid w:val="000E102F"/>
    <w:rsid w:val="000E36F1"/>
    <w:rsid w:val="000E3A73"/>
    <w:rsid w:val="000E414A"/>
    <w:rsid w:val="000F093C"/>
    <w:rsid w:val="000F787B"/>
    <w:rsid w:val="001036AD"/>
    <w:rsid w:val="001114D8"/>
    <w:rsid w:val="0012091F"/>
    <w:rsid w:val="00126BC2"/>
    <w:rsid w:val="001308B6"/>
    <w:rsid w:val="0013121F"/>
    <w:rsid w:val="00131FE6"/>
    <w:rsid w:val="0013263F"/>
    <w:rsid w:val="00134DE4"/>
    <w:rsid w:val="0014034D"/>
    <w:rsid w:val="00142F62"/>
    <w:rsid w:val="0014464F"/>
    <w:rsid w:val="00150E59"/>
    <w:rsid w:val="00152DE3"/>
    <w:rsid w:val="00164CF9"/>
    <w:rsid w:val="00171D41"/>
    <w:rsid w:val="001724B6"/>
    <w:rsid w:val="001751C4"/>
    <w:rsid w:val="00180860"/>
    <w:rsid w:val="001826A5"/>
    <w:rsid w:val="00184AD6"/>
    <w:rsid w:val="00184E58"/>
    <w:rsid w:val="001A3CEC"/>
    <w:rsid w:val="001A525C"/>
    <w:rsid w:val="001A5B78"/>
    <w:rsid w:val="001B0349"/>
    <w:rsid w:val="001B65C1"/>
    <w:rsid w:val="001C684B"/>
    <w:rsid w:val="001D53FC"/>
    <w:rsid w:val="001F42A5"/>
    <w:rsid w:val="001F4650"/>
    <w:rsid w:val="001F7B9D"/>
    <w:rsid w:val="00204F3C"/>
    <w:rsid w:val="00206470"/>
    <w:rsid w:val="00214BF2"/>
    <w:rsid w:val="002224B4"/>
    <w:rsid w:val="00241ADF"/>
    <w:rsid w:val="002447EF"/>
    <w:rsid w:val="00251550"/>
    <w:rsid w:val="00263B05"/>
    <w:rsid w:val="0027221A"/>
    <w:rsid w:val="00275B61"/>
    <w:rsid w:val="00282656"/>
    <w:rsid w:val="00292FD2"/>
    <w:rsid w:val="0029507C"/>
    <w:rsid w:val="00296B83"/>
    <w:rsid w:val="002A5A8E"/>
    <w:rsid w:val="002B18BC"/>
    <w:rsid w:val="002B78CE"/>
    <w:rsid w:val="002C2FB6"/>
    <w:rsid w:val="002D710F"/>
    <w:rsid w:val="002E7298"/>
    <w:rsid w:val="003009B7"/>
    <w:rsid w:val="00300E56"/>
    <w:rsid w:val="0030469C"/>
    <w:rsid w:val="00312CB9"/>
    <w:rsid w:val="00321CA6"/>
    <w:rsid w:val="0033064B"/>
    <w:rsid w:val="003324AD"/>
    <w:rsid w:val="00334C09"/>
    <w:rsid w:val="00352F2D"/>
    <w:rsid w:val="00353D0C"/>
    <w:rsid w:val="003723D4"/>
    <w:rsid w:val="00383F4B"/>
    <w:rsid w:val="00384CC8"/>
    <w:rsid w:val="00385057"/>
    <w:rsid w:val="003871FD"/>
    <w:rsid w:val="003955E5"/>
    <w:rsid w:val="003A1E30"/>
    <w:rsid w:val="003A4161"/>
    <w:rsid w:val="003A6CC1"/>
    <w:rsid w:val="003A6E40"/>
    <w:rsid w:val="003A7D1C"/>
    <w:rsid w:val="003B304B"/>
    <w:rsid w:val="003B3146"/>
    <w:rsid w:val="003D6FA4"/>
    <w:rsid w:val="003E0A4F"/>
    <w:rsid w:val="003F015E"/>
    <w:rsid w:val="003F7670"/>
    <w:rsid w:val="00400414"/>
    <w:rsid w:val="0040683F"/>
    <w:rsid w:val="0041446B"/>
    <w:rsid w:val="00425B0E"/>
    <w:rsid w:val="00425DC1"/>
    <w:rsid w:val="00432E9C"/>
    <w:rsid w:val="0043577D"/>
    <w:rsid w:val="00435FFC"/>
    <w:rsid w:val="0044329C"/>
    <w:rsid w:val="004461B7"/>
    <w:rsid w:val="004466AF"/>
    <w:rsid w:val="004577FE"/>
    <w:rsid w:val="00457B9C"/>
    <w:rsid w:val="00460A2B"/>
    <w:rsid w:val="0046164A"/>
    <w:rsid w:val="004628D2"/>
    <w:rsid w:val="00462DCD"/>
    <w:rsid w:val="004648AD"/>
    <w:rsid w:val="00467092"/>
    <w:rsid w:val="004703A9"/>
    <w:rsid w:val="004760DE"/>
    <w:rsid w:val="004A004E"/>
    <w:rsid w:val="004A24CF"/>
    <w:rsid w:val="004B1A6D"/>
    <w:rsid w:val="004B523C"/>
    <w:rsid w:val="004B5A61"/>
    <w:rsid w:val="004B7AE3"/>
    <w:rsid w:val="004C3D1D"/>
    <w:rsid w:val="004C7913"/>
    <w:rsid w:val="004E4DD6"/>
    <w:rsid w:val="004F3D4A"/>
    <w:rsid w:val="004F5E36"/>
    <w:rsid w:val="00500490"/>
    <w:rsid w:val="00504698"/>
    <w:rsid w:val="00507B47"/>
    <w:rsid w:val="00507CC9"/>
    <w:rsid w:val="005119A5"/>
    <w:rsid w:val="00516D93"/>
    <w:rsid w:val="00520DF9"/>
    <w:rsid w:val="005278B7"/>
    <w:rsid w:val="00530FAB"/>
    <w:rsid w:val="00532016"/>
    <w:rsid w:val="005346C8"/>
    <w:rsid w:val="00534796"/>
    <w:rsid w:val="00543E7D"/>
    <w:rsid w:val="00547A68"/>
    <w:rsid w:val="005531C9"/>
    <w:rsid w:val="00564A4E"/>
    <w:rsid w:val="00572E67"/>
    <w:rsid w:val="0057543D"/>
    <w:rsid w:val="005835CF"/>
    <w:rsid w:val="00584CD8"/>
    <w:rsid w:val="00594AB9"/>
    <w:rsid w:val="00595EEF"/>
    <w:rsid w:val="005A3E9C"/>
    <w:rsid w:val="005A4359"/>
    <w:rsid w:val="005A67CB"/>
    <w:rsid w:val="005B2110"/>
    <w:rsid w:val="005B61E6"/>
    <w:rsid w:val="005B7B5F"/>
    <w:rsid w:val="005C5EA6"/>
    <w:rsid w:val="005C77E1"/>
    <w:rsid w:val="005D6A2F"/>
    <w:rsid w:val="005E1A82"/>
    <w:rsid w:val="005E794C"/>
    <w:rsid w:val="005F0A28"/>
    <w:rsid w:val="005F0E5E"/>
    <w:rsid w:val="00600535"/>
    <w:rsid w:val="00600E42"/>
    <w:rsid w:val="00610CD6"/>
    <w:rsid w:val="00612465"/>
    <w:rsid w:val="00620C11"/>
    <w:rsid w:val="00620DEE"/>
    <w:rsid w:val="00621094"/>
    <w:rsid w:val="00621F92"/>
    <w:rsid w:val="006239B9"/>
    <w:rsid w:val="00625639"/>
    <w:rsid w:val="00631B33"/>
    <w:rsid w:val="0064184D"/>
    <w:rsid w:val="0065132F"/>
    <w:rsid w:val="00660E3E"/>
    <w:rsid w:val="00662E74"/>
    <w:rsid w:val="00663842"/>
    <w:rsid w:val="00680C23"/>
    <w:rsid w:val="0068699A"/>
    <w:rsid w:val="006869F6"/>
    <w:rsid w:val="00693766"/>
    <w:rsid w:val="006A3281"/>
    <w:rsid w:val="006A371A"/>
    <w:rsid w:val="006B4888"/>
    <w:rsid w:val="006B6BB1"/>
    <w:rsid w:val="006C2E45"/>
    <w:rsid w:val="006C359C"/>
    <w:rsid w:val="006C437D"/>
    <w:rsid w:val="006C5195"/>
    <w:rsid w:val="006C5579"/>
    <w:rsid w:val="006C5DBA"/>
    <w:rsid w:val="006D5957"/>
    <w:rsid w:val="006E137A"/>
    <w:rsid w:val="006E737D"/>
    <w:rsid w:val="00720A24"/>
    <w:rsid w:val="00721ED1"/>
    <w:rsid w:val="00732386"/>
    <w:rsid w:val="0073451A"/>
    <w:rsid w:val="007348DE"/>
    <w:rsid w:val="00741BF7"/>
    <w:rsid w:val="007447F3"/>
    <w:rsid w:val="0075499F"/>
    <w:rsid w:val="007661C8"/>
    <w:rsid w:val="0077098D"/>
    <w:rsid w:val="0077209B"/>
    <w:rsid w:val="007744AA"/>
    <w:rsid w:val="00795AE8"/>
    <w:rsid w:val="007A7BBA"/>
    <w:rsid w:val="007B0C50"/>
    <w:rsid w:val="007B7326"/>
    <w:rsid w:val="007C1A43"/>
    <w:rsid w:val="008018DC"/>
    <w:rsid w:val="00805FC8"/>
    <w:rsid w:val="00813288"/>
    <w:rsid w:val="00815F44"/>
    <w:rsid w:val="008168FC"/>
    <w:rsid w:val="00830996"/>
    <w:rsid w:val="008345F1"/>
    <w:rsid w:val="00841028"/>
    <w:rsid w:val="008532F3"/>
    <w:rsid w:val="00865B07"/>
    <w:rsid w:val="008667EA"/>
    <w:rsid w:val="0086726A"/>
    <w:rsid w:val="00873D70"/>
    <w:rsid w:val="0087637F"/>
    <w:rsid w:val="00892AD5"/>
    <w:rsid w:val="008A0506"/>
    <w:rsid w:val="008A1512"/>
    <w:rsid w:val="008B2029"/>
    <w:rsid w:val="008B2DD2"/>
    <w:rsid w:val="008C3BD0"/>
    <w:rsid w:val="008C6A84"/>
    <w:rsid w:val="008D1BD5"/>
    <w:rsid w:val="008D4220"/>
    <w:rsid w:val="008D433B"/>
    <w:rsid w:val="008D58C9"/>
    <w:rsid w:val="008E566E"/>
    <w:rsid w:val="008F5718"/>
    <w:rsid w:val="008F6504"/>
    <w:rsid w:val="008F66C2"/>
    <w:rsid w:val="0090161A"/>
    <w:rsid w:val="00901EB6"/>
    <w:rsid w:val="0090261C"/>
    <w:rsid w:val="00902B5B"/>
    <w:rsid w:val="00904C62"/>
    <w:rsid w:val="0092130E"/>
    <w:rsid w:val="00924DAC"/>
    <w:rsid w:val="00927058"/>
    <w:rsid w:val="0093458A"/>
    <w:rsid w:val="009450CE"/>
    <w:rsid w:val="00947179"/>
    <w:rsid w:val="0095164B"/>
    <w:rsid w:val="00954090"/>
    <w:rsid w:val="009573E7"/>
    <w:rsid w:val="00963E05"/>
    <w:rsid w:val="00967D54"/>
    <w:rsid w:val="00971CAF"/>
    <w:rsid w:val="009771D4"/>
    <w:rsid w:val="00996483"/>
    <w:rsid w:val="00996F5A"/>
    <w:rsid w:val="00997011"/>
    <w:rsid w:val="009A110D"/>
    <w:rsid w:val="009A4308"/>
    <w:rsid w:val="009B041A"/>
    <w:rsid w:val="009B0EC6"/>
    <w:rsid w:val="009B6AC7"/>
    <w:rsid w:val="009C4552"/>
    <w:rsid w:val="009C4C9A"/>
    <w:rsid w:val="009C7C86"/>
    <w:rsid w:val="009D2FF7"/>
    <w:rsid w:val="009D65F7"/>
    <w:rsid w:val="009E537F"/>
    <w:rsid w:val="009E7884"/>
    <w:rsid w:val="009E788A"/>
    <w:rsid w:val="009F0E08"/>
    <w:rsid w:val="009F156C"/>
    <w:rsid w:val="009F7F64"/>
    <w:rsid w:val="00A011AC"/>
    <w:rsid w:val="00A11613"/>
    <w:rsid w:val="00A1763D"/>
    <w:rsid w:val="00A17CEC"/>
    <w:rsid w:val="00A20FA8"/>
    <w:rsid w:val="00A27179"/>
    <w:rsid w:val="00A27EF0"/>
    <w:rsid w:val="00A3704E"/>
    <w:rsid w:val="00A41615"/>
    <w:rsid w:val="00A50B20"/>
    <w:rsid w:val="00A51390"/>
    <w:rsid w:val="00A60D13"/>
    <w:rsid w:val="00A65E09"/>
    <w:rsid w:val="00A7136E"/>
    <w:rsid w:val="00A72745"/>
    <w:rsid w:val="00A73835"/>
    <w:rsid w:val="00A76EFC"/>
    <w:rsid w:val="00A91010"/>
    <w:rsid w:val="00A97F29"/>
    <w:rsid w:val="00AA17CC"/>
    <w:rsid w:val="00AA672E"/>
    <w:rsid w:val="00AA702E"/>
    <w:rsid w:val="00AA70B7"/>
    <w:rsid w:val="00AB0964"/>
    <w:rsid w:val="00AB5011"/>
    <w:rsid w:val="00AC7368"/>
    <w:rsid w:val="00AD16B9"/>
    <w:rsid w:val="00AD4B39"/>
    <w:rsid w:val="00AE377D"/>
    <w:rsid w:val="00AF45C2"/>
    <w:rsid w:val="00B074BD"/>
    <w:rsid w:val="00B10243"/>
    <w:rsid w:val="00B118CA"/>
    <w:rsid w:val="00B14800"/>
    <w:rsid w:val="00B17FBD"/>
    <w:rsid w:val="00B24860"/>
    <w:rsid w:val="00B30FC2"/>
    <w:rsid w:val="00B315A6"/>
    <w:rsid w:val="00B31813"/>
    <w:rsid w:val="00B33365"/>
    <w:rsid w:val="00B50A3C"/>
    <w:rsid w:val="00B57B36"/>
    <w:rsid w:val="00B74901"/>
    <w:rsid w:val="00B75ED2"/>
    <w:rsid w:val="00B838A4"/>
    <w:rsid w:val="00B8686D"/>
    <w:rsid w:val="00B86DCD"/>
    <w:rsid w:val="00BA7BB5"/>
    <w:rsid w:val="00BB053A"/>
    <w:rsid w:val="00BC30C9"/>
    <w:rsid w:val="00BC679F"/>
    <w:rsid w:val="00BD5A94"/>
    <w:rsid w:val="00BD5FBF"/>
    <w:rsid w:val="00BE3E58"/>
    <w:rsid w:val="00BF2E07"/>
    <w:rsid w:val="00BF7D97"/>
    <w:rsid w:val="00C01616"/>
    <w:rsid w:val="00C0162B"/>
    <w:rsid w:val="00C05D35"/>
    <w:rsid w:val="00C2003C"/>
    <w:rsid w:val="00C237A5"/>
    <w:rsid w:val="00C345B1"/>
    <w:rsid w:val="00C368B4"/>
    <w:rsid w:val="00C40142"/>
    <w:rsid w:val="00C5316C"/>
    <w:rsid w:val="00C57182"/>
    <w:rsid w:val="00C57863"/>
    <w:rsid w:val="00C655FD"/>
    <w:rsid w:val="00C71FB5"/>
    <w:rsid w:val="00C725DF"/>
    <w:rsid w:val="00C73E28"/>
    <w:rsid w:val="00C870A8"/>
    <w:rsid w:val="00C94434"/>
    <w:rsid w:val="00CA099A"/>
    <w:rsid w:val="00CA0D75"/>
    <w:rsid w:val="00CA1C95"/>
    <w:rsid w:val="00CA5A9C"/>
    <w:rsid w:val="00CA7011"/>
    <w:rsid w:val="00CB01A9"/>
    <w:rsid w:val="00CB1360"/>
    <w:rsid w:val="00CD322F"/>
    <w:rsid w:val="00CD4F48"/>
    <w:rsid w:val="00CD5FE2"/>
    <w:rsid w:val="00CE7C68"/>
    <w:rsid w:val="00CF7599"/>
    <w:rsid w:val="00D0189E"/>
    <w:rsid w:val="00D029D8"/>
    <w:rsid w:val="00D02B4C"/>
    <w:rsid w:val="00D03B8C"/>
    <w:rsid w:val="00D040C4"/>
    <w:rsid w:val="00D135A5"/>
    <w:rsid w:val="00D13B47"/>
    <w:rsid w:val="00D14228"/>
    <w:rsid w:val="00D27D4D"/>
    <w:rsid w:val="00D57C84"/>
    <w:rsid w:val="00D6057D"/>
    <w:rsid w:val="00D704DE"/>
    <w:rsid w:val="00D75DC8"/>
    <w:rsid w:val="00D80072"/>
    <w:rsid w:val="00D84576"/>
    <w:rsid w:val="00D91330"/>
    <w:rsid w:val="00D93CD3"/>
    <w:rsid w:val="00D9485F"/>
    <w:rsid w:val="00DA1399"/>
    <w:rsid w:val="00DA24C6"/>
    <w:rsid w:val="00DA4D7B"/>
    <w:rsid w:val="00DA65A9"/>
    <w:rsid w:val="00DD2B26"/>
    <w:rsid w:val="00DD46CF"/>
    <w:rsid w:val="00DE264A"/>
    <w:rsid w:val="00DE34BF"/>
    <w:rsid w:val="00E02D18"/>
    <w:rsid w:val="00E041E7"/>
    <w:rsid w:val="00E23704"/>
    <w:rsid w:val="00E23CA1"/>
    <w:rsid w:val="00E25473"/>
    <w:rsid w:val="00E409A8"/>
    <w:rsid w:val="00E50C12"/>
    <w:rsid w:val="00E62095"/>
    <w:rsid w:val="00E65B91"/>
    <w:rsid w:val="00E7209D"/>
    <w:rsid w:val="00E77223"/>
    <w:rsid w:val="00E846FC"/>
    <w:rsid w:val="00E8528B"/>
    <w:rsid w:val="00E85B94"/>
    <w:rsid w:val="00E92B46"/>
    <w:rsid w:val="00E978D0"/>
    <w:rsid w:val="00EA4613"/>
    <w:rsid w:val="00EA7F91"/>
    <w:rsid w:val="00EB1523"/>
    <w:rsid w:val="00EB1C0D"/>
    <w:rsid w:val="00EC0E49"/>
    <w:rsid w:val="00EC6199"/>
    <w:rsid w:val="00EE0131"/>
    <w:rsid w:val="00EF2394"/>
    <w:rsid w:val="00F01517"/>
    <w:rsid w:val="00F0501A"/>
    <w:rsid w:val="00F1336D"/>
    <w:rsid w:val="00F161F9"/>
    <w:rsid w:val="00F30C64"/>
    <w:rsid w:val="00F31DDB"/>
    <w:rsid w:val="00F32CDB"/>
    <w:rsid w:val="00F63A70"/>
    <w:rsid w:val="00FA0C4E"/>
    <w:rsid w:val="00FA21D0"/>
    <w:rsid w:val="00FA25DE"/>
    <w:rsid w:val="00FA5942"/>
    <w:rsid w:val="00FA5F5F"/>
    <w:rsid w:val="00FB60F8"/>
    <w:rsid w:val="00FB730C"/>
    <w:rsid w:val="00FC2695"/>
    <w:rsid w:val="00FC3E03"/>
    <w:rsid w:val="00FC3FC1"/>
    <w:rsid w:val="00FD0A2A"/>
    <w:rsid w:val="00FE480D"/>
    <w:rsid w:val="00FF293B"/>
    <w:rsid w:val="00FF6506"/>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C988BF61-A0BF-40E4-B45C-59E468D029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ET Top_page"/>
    <w:rsid w:val="009771D4"/>
    <w:pPr>
      <w:tabs>
        <w:tab w:val="right" w:pos="7100"/>
      </w:tabs>
      <w:spacing w:after="0" w:line="264" w:lineRule="auto"/>
      <w:jc w:val="both"/>
    </w:pPr>
    <w:rPr>
      <w:rFonts w:ascii="Arial" w:eastAsia="Times New Roman" w:hAnsi="Arial" w:cs="Times New Roman"/>
      <w:sz w:val="18"/>
      <w:szCs w:val="20"/>
      <w:lang w:val="en-GB"/>
    </w:rPr>
  </w:style>
  <w:style w:type="paragraph" w:styleId="Ttulo1">
    <w:name w:val="heading 1"/>
    <w:basedOn w:val="CETHeading1"/>
    <w:next w:val="Normal"/>
    <w:link w:val="Ttulo1Car"/>
    <w:uiPriority w:val="9"/>
    <w:rsid w:val="004F5E36"/>
    <w:pPr>
      <w:tabs>
        <w:tab w:val="clear" w:pos="360"/>
        <w:tab w:val="right" w:pos="7100"/>
      </w:tabs>
      <w:jc w:val="both"/>
      <w:outlineLvl w:val="0"/>
    </w:pPr>
    <w:rPr>
      <w:lang w:val="en-GB"/>
    </w:rPr>
  </w:style>
  <w:style w:type="paragraph" w:styleId="Ttulo2">
    <w:name w:val="heading 2"/>
    <w:basedOn w:val="Normal"/>
    <w:next w:val="Normal"/>
    <w:link w:val="Ttulo2C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tulo9">
    <w:name w:val="heading 9"/>
    <w:basedOn w:val="Normal"/>
    <w:next w:val="Normal"/>
    <w:link w:val="Ttulo9C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labsica1">
    <w:name w:val="Table Simple 1"/>
    <w:basedOn w:val="Tabla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9E788A"/>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9E788A"/>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efdecomentario">
    <w:name w:val="annotation reference"/>
    <w:basedOn w:val="Fuentedeprrafopredeter"/>
    <w:uiPriority w:val="99"/>
    <w:semiHidden/>
    <w:unhideWhenUsed/>
    <w:rsid w:val="004577FE"/>
    <w:rPr>
      <w:sz w:val="16"/>
      <w:szCs w:val="16"/>
    </w:rPr>
  </w:style>
  <w:style w:type="paragraph" w:styleId="Textodeglobo">
    <w:name w:val="Balloon Text"/>
    <w:basedOn w:val="Normal"/>
    <w:link w:val="TextodegloboCar"/>
    <w:uiPriority w:val="99"/>
    <w:semiHidden/>
    <w:unhideWhenUsed/>
    <w:rsid w:val="000D34BE"/>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D34BE"/>
    <w:rPr>
      <w:rFonts w:ascii="Tahoma" w:hAnsi="Tahoma" w:cs="Tahoma"/>
      <w:sz w:val="16"/>
      <w:szCs w:val="16"/>
    </w:rPr>
  </w:style>
  <w:style w:type="paragraph" w:styleId="Bibliografa">
    <w:name w:val="Bibliography"/>
    <w:basedOn w:val="CETReferencetext"/>
    <w:uiPriority w:val="37"/>
    <w:unhideWhenUsed/>
    <w:rsid w:val="00631B33"/>
    <w:pPr>
      <w:spacing w:line="240" w:lineRule="auto"/>
      <w:ind w:left="720" w:hanging="720"/>
    </w:pPr>
  </w:style>
  <w:style w:type="paragraph" w:styleId="Textoindependiente2">
    <w:name w:val="Body Text 2"/>
    <w:basedOn w:val="Normal"/>
    <w:link w:val="Textoindependiente2Car"/>
    <w:uiPriority w:val="99"/>
    <w:semiHidden/>
    <w:unhideWhenUsed/>
    <w:rsid w:val="0003148D"/>
    <w:pPr>
      <w:spacing w:after="120" w:line="480" w:lineRule="auto"/>
    </w:pPr>
  </w:style>
  <w:style w:type="character" w:customStyle="1" w:styleId="Textoindependiente2Car">
    <w:name w:val="Texto independiente 2 Car"/>
    <w:basedOn w:val="Fuentedeprrafopredeter"/>
    <w:link w:val="Textoindependiente2"/>
    <w:uiPriority w:val="99"/>
    <w:semiHidden/>
    <w:rsid w:val="0003148D"/>
  </w:style>
  <w:style w:type="paragraph" w:styleId="Textoindependiente3">
    <w:name w:val="Body Text 3"/>
    <w:basedOn w:val="Normal"/>
    <w:link w:val="Textoindependiente3Car"/>
    <w:uiPriority w:val="99"/>
    <w:semiHidden/>
    <w:unhideWhenUsed/>
    <w:rsid w:val="0003148D"/>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03148D"/>
    <w:rPr>
      <w:sz w:val="16"/>
      <w:szCs w:val="16"/>
    </w:rPr>
  </w:style>
  <w:style w:type="paragraph" w:styleId="Textoindependiente">
    <w:name w:val="Body Text"/>
    <w:basedOn w:val="Normal"/>
    <w:link w:val="TextoindependienteCar"/>
    <w:uiPriority w:val="99"/>
    <w:semiHidden/>
    <w:unhideWhenUsed/>
    <w:rsid w:val="0003148D"/>
    <w:pPr>
      <w:spacing w:after="120"/>
    </w:pPr>
  </w:style>
  <w:style w:type="character" w:customStyle="1" w:styleId="TextoindependienteCar">
    <w:name w:val="Texto independiente Car"/>
    <w:basedOn w:val="Fuentedeprrafopredeter"/>
    <w:link w:val="Textoindependiente"/>
    <w:uiPriority w:val="99"/>
    <w:semiHidden/>
    <w:rsid w:val="0003148D"/>
  </w:style>
  <w:style w:type="paragraph" w:styleId="Fecha">
    <w:name w:val="Date"/>
    <w:basedOn w:val="Normal"/>
    <w:next w:val="Normal"/>
    <w:link w:val="FechaCar"/>
    <w:uiPriority w:val="99"/>
    <w:semiHidden/>
    <w:unhideWhenUsed/>
    <w:rsid w:val="0003148D"/>
  </w:style>
  <w:style w:type="character" w:customStyle="1" w:styleId="FechaCar">
    <w:name w:val="Fecha Car"/>
    <w:basedOn w:val="Fuentedeprrafopredeter"/>
    <w:link w:val="Fecha"/>
    <w:uiPriority w:val="99"/>
    <w:semiHidden/>
    <w:rsid w:val="0003148D"/>
  </w:style>
  <w:style w:type="paragraph" w:styleId="Descripcin">
    <w:name w:val="caption"/>
    <w:basedOn w:val="Normal"/>
    <w:next w:val="Normal"/>
    <w:uiPriority w:val="35"/>
    <w:semiHidden/>
    <w:unhideWhenUsed/>
    <w:qFormat/>
    <w:rsid w:val="0003148D"/>
    <w:pPr>
      <w:spacing w:line="240" w:lineRule="auto"/>
    </w:pPr>
    <w:rPr>
      <w:b/>
      <w:bCs/>
      <w:color w:val="4F81BD" w:themeColor="accent1"/>
      <w:szCs w:val="18"/>
    </w:rPr>
  </w:style>
  <w:style w:type="paragraph" w:styleId="Lista">
    <w:name w:val="List"/>
    <w:basedOn w:val="Normal"/>
    <w:uiPriority w:val="99"/>
    <w:semiHidden/>
    <w:unhideWhenUsed/>
    <w:rsid w:val="0003148D"/>
    <w:pPr>
      <w:ind w:left="283" w:hanging="283"/>
      <w:contextualSpacing/>
    </w:pPr>
  </w:style>
  <w:style w:type="paragraph" w:styleId="Lista2">
    <w:name w:val="List 2"/>
    <w:basedOn w:val="Normal"/>
    <w:uiPriority w:val="99"/>
    <w:semiHidden/>
    <w:unhideWhenUsed/>
    <w:rsid w:val="0003148D"/>
    <w:pPr>
      <w:ind w:left="566" w:hanging="283"/>
      <w:contextualSpacing/>
    </w:pPr>
  </w:style>
  <w:style w:type="paragraph" w:styleId="Lista3">
    <w:name w:val="List 3"/>
    <w:basedOn w:val="Normal"/>
    <w:uiPriority w:val="99"/>
    <w:semiHidden/>
    <w:unhideWhenUsed/>
    <w:rsid w:val="0003148D"/>
    <w:pPr>
      <w:ind w:left="849" w:hanging="283"/>
      <w:contextualSpacing/>
    </w:pPr>
  </w:style>
  <w:style w:type="paragraph" w:styleId="Lista4">
    <w:name w:val="List 4"/>
    <w:basedOn w:val="Normal"/>
    <w:uiPriority w:val="99"/>
    <w:semiHidden/>
    <w:unhideWhenUsed/>
    <w:rsid w:val="0003148D"/>
    <w:pPr>
      <w:ind w:left="1132" w:hanging="283"/>
      <w:contextualSpacing/>
    </w:pPr>
  </w:style>
  <w:style w:type="paragraph" w:styleId="Lista5">
    <w:name w:val="List 5"/>
    <w:basedOn w:val="Normal"/>
    <w:uiPriority w:val="99"/>
    <w:semiHidden/>
    <w:unhideWhenUsed/>
    <w:rsid w:val="0003148D"/>
    <w:pPr>
      <w:ind w:left="1415" w:hanging="283"/>
      <w:contextualSpacing/>
    </w:pPr>
  </w:style>
  <w:style w:type="paragraph" w:styleId="Continuarlista">
    <w:name w:val="List Continue"/>
    <w:basedOn w:val="Normal"/>
    <w:uiPriority w:val="99"/>
    <w:semiHidden/>
    <w:unhideWhenUsed/>
    <w:rsid w:val="0003148D"/>
    <w:pPr>
      <w:spacing w:after="120"/>
      <w:ind w:left="283"/>
      <w:contextualSpacing/>
    </w:pPr>
  </w:style>
  <w:style w:type="paragraph" w:styleId="Continuarlista2">
    <w:name w:val="List Continue 2"/>
    <w:basedOn w:val="Normal"/>
    <w:uiPriority w:val="99"/>
    <w:semiHidden/>
    <w:unhideWhenUsed/>
    <w:rsid w:val="0003148D"/>
    <w:pPr>
      <w:spacing w:after="120"/>
      <w:ind w:left="566"/>
      <w:contextualSpacing/>
    </w:pPr>
  </w:style>
  <w:style w:type="paragraph" w:styleId="Continuarlista3">
    <w:name w:val="List Continue 3"/>
    <w:basedOn w:val="Normal"/>
    <w:uiPriority w:val="99"/>
    <w:semiHidden/>
    <w:unhideWhenUsed/>
    <w:rsid w:val="0003148D"/>
    <w:pPr>
      <w:spacing w:after="120"/>
      <w:ind w:left="849"/>
      <w:contextualSpacing/>
    </w:pPr>
  </w:style>
  <w:style w:type="paragraph" w:styleId="Continuarlista4">
    <w:name w:val="List Continue 4"/>
    <w:basedOn w:val="Normal"/>
    <w:uiPriority w:val="99"/>
    <w:semiHidden/>
    <w:unhideWhenUsed/>
    <w:rsid w:val="0003148D"/>
    <w:pPr>
      <w:spacing w:after="120"/>
      <w:ind w:left="1132"/>
      <w:contextualSpacing/>
    </w:pPr>
  </w:style>
  <w:style w:type="paragraph" w:styleId="Continuarlista5">
    <w:name w:val="List Continue 5"/>
    <w:basedOn w:val="Normal"/>
    <w:uiPriority w:val="99"/>
    <w:semiHidden/>
    <w:unhideWhenUsed/>
    <w:rsid w:val="0003148D"/>
    <w:pPr>
      <w:spacing w:after="120"/>
      <w:ind w:left="1415"/>
      <w:contextualSpacing/>
    </w:pPr>
  </w:style>
  <w:style w:type="paragraph" w:styleId="Firma">
    <w:name w:val="Signature"/>
    <w:basedOn w:val="Normal"/>
    <w:link w:val="FirmaCar"/>
    <w:uiPriority w:val="99"/>
    <w:semiHidden/>
    <w:unhideWhenUsed/>
    <w:rsid w:val="0003148D"/>
    <w:pPr>
      <w:spacing w:line="240" w:lineRule="auto"/>
      <w:ind w:left="4252"/>
    </w:pPr>
  </w:style>
  <w:style w:type="character" w:customStyle="1" w:styleId="FirmaCar">
    <w:name w:val="Firma Car"/>
    <w:basedOn w:val="Fuentedeprrafopredeter"/>
    <w:link w:val="Firma"/>
    <w:uiPriority w:val="99"/>
    <w:semiHidden/>
    <w:rsid w:val="0003148D"/>
  </w:style>
  <w:style w:type="paragraph" w:styleId="Firmadecorreoelectrnico">
    <w:name w:val="E-mail Signature"/>
    <w:basedOn w:val="Normal"/>
    <w:link w:val="FirmadecorreoelectrnicoCar"/>
    <w:uiPriority w:val="99"/>
    <w:semiHidden/>
    <w:unhideWhenUsed/>
    <w:rsid w:val="0003148D"/>
    <w:pPr>
      <w:spacing w:line="240" w:lineRule="auto"/>
    </w:pPr>
  </w:style>
  <w:style w:type="character" w:customStyle="1" w:styleId="FirmadecorreoelectrnicoCar">
    <w:name w:val="Firma de correo electrónico Car"/>
    <w:basedOn w:val="Fuentedeprrafopredeter"/>
    <w:link w:val="Firmadecorreoelectrnico"/>
    <w:uiPriority w:val="99"/>
    <w:semiHidden/>
    <w:rsid w:val="0003148D"/>
  </w:style>
  <w:style w:type="paragraph" w:styleId="Saludo">
    <w:name w:val="Salutation"/>
    <w:basedOn w:val="Normal"/>
    <w:next w:val="Normal"/>
    <w:link w:val="SaludoCar"/>
    <w:uiPriority w:val="99"/>
    <w:semiHidden/>
    <w:unhideWhenUsed/>
    <w:rsid w:val="0003148D"/>
  </w:style>
  <w:style w:type="character" w:customStyle="1" w:styleId="SaludoCar">
    <w:name w:val="Saludo Car"/>
    <w:basedOn w:val="Fuentedeprrafopredeter"/>
    <w:link w:val="Saludo"/>
    <w:uiPriority w:val="99"/>
    <w:semiHidden/>
    <w:rsid w:val="0003148D"/>
  </w:style>
  <w:style w:type="paragraph" w:styleId="Cierre">
    <w:name w:val="Closing"/>
    <w:basedOn w:val="Normal"/>
    <w:link w:val="CierreCar"/>
    <w:uiPriority w:val="99"/>
    <w:semiHidden/>
    <w:unhideWhenUsed/>
    <w:rsid w:val="0003148D"/>
    <w:pPr>
      <w:spacing w:line="240" w:lineRule="auto"/>
      <w:ind w:left="4252"/>
    </w:pPr>
  </w:style>
  <w:style w:type="character" w:customStyle="1" w:styleId="CierreCar">
    <w:name w:val="Cierre Car"/>
    <w:basedOn w:val="Fuentedeprrafopredeter"/>
    <w:link w:val="Cierre"/>
    <w:uiPriority w:val="99"/>
    <w:semiHidden/>
    <w:rsid w:val="0003148D"/>
  </w:style>
  <w:style w:type="paragraph" w:styleId="ndice1">
    <w:name w:val="index 1"/>
    <w:basedOn w:val="Normal"/>
    <w:next w:val="Normal"/>
    <w:autoRedefine/>
    <w:uiPriority w:val="99"/>
    <w:semiHidden/>
    <w:unhideWhenUsed/>
    <w:rsid w:val="0003148D"/>
    <w:pPr>
      <w:spacing w:line="240" w:lineRule="auto"/>
      <w:ind w:left="220" w:hanging="220"/>
    </w:pPr>
  </w:style>
  <w:style w:type="paragraph" w:styleId="ndice2">
    <w:name w:val="index 2"/>
    <w:basedOn w:val="Normal"/>
    <w:next w:val="Normal"/>
    <w:autoRedefine/>
    <w:uiPriority w:val="99"/>
    <w:semiHidden/>
    <w:unhideWhenUsed/>
    <w:rsid w:val="0003148D"/>
    <w:pPr>
      <w:spacing w:line="240" w:lineRule="auto"/>
      <w:ind w:left="440" w:hanging="220"/>
    </w:pPr>
  </w:style>
  <w:style w:type="paragraph" w:styleId="ndice3">
    <w:name w:val="index 3"/>
    <w:basedOn w:val="Normal"/>
    <w:next w:val="Normal"/>
    <w:autoRedefine/>
    <w:uiPriority w:val="99"/>
    <w:semiHidden/>
    <w:unhideWhenUsed/>
    <w:rsid w:val="0003148D"/>
    <w:pPr>
      <w:spacing w:line="240" w:lineRule="auto"/>
      <w:ind w:left="660" w:hanging="220"/>
    </w:pPr>
  </w:style>
  <w:style w:type="paragraph" w:styleId="ndice4">
    <w:name w:val="index 4"/>
    <w:basedOn w:val="Normal"/>
    <w:next w:val="Normal"/>
    <w:autoRedefine/>
    <w:uiPriority w:val="99"/>
    <w:semiHidden/>
    <w:unhideWhenUsed/>
    <w:rsid w:val="0003148D"/>
    <w:pPr>
      <w:spacing w:line="240" w:lineRule="auto"/>
      <w:ind w:left="880" w:hanging="220"/>
    </w:pPr>
  </w:style>
  <w:style w:type="paragraph" w:styleId="ndice5">
    <w:name w:val="index 5"/>
    <w:basedOn w:val="Normal"/>
    <w:next w:val="Normal"/>
    <w:autoRedefine/>
    <w:uiPriority w:val="99"/>
    <w:semiHidden/>
    <w:unhideWhenUsed/>
    <w:rsid w:val="0003148D"/>
    <w:pPr>
      <w:spacing w:line="240" w:lineRule="auto"/>
      <w:ind w:left="1100" w:hanging="220"/>
    </w:pPr>
  </w:style>
  <w:style w:type="paragraph" w:styleId="ndice6">
    <w:name w:val="index 6"/>
    <w:basedOn w:val="Normal"/>
    <w:next w:val="Normal"/>
    <w:autoRedefine/>
    <w:uiPriority w:val="99"/>
    <w:semiHidden/>
    <w:unhideWhenUsed/>
    <w:rsid w:val="0003148D"/>
    <w:pPr>
      <w:spacing w:line="240" w:lineRule="auto"/>
      <w:ind w:left="1320" w:hanging="220"/>
    </w:pPr>
  </w:style>
  <w:style w:type="paragraph" w:styleId="ndice7">
    <w:name w:val="index 7"/>
    <w:basedOn w:val="Normal"/>
    <w:next w:val="Normal"/>
    <w:autoRedefine/>
    <w:uiPriority w:val="99"/>
    <w:semiHidden/>
    <w:unhideWhenUsed/>
    <w:rsid w:val="0003148D"/>
    <w:pPr>
      <w:spacing w:line="240" w:lineRule="auto"/>
      <w:ind w:left="1540" w:hanging="220"/>
    </w:pPr>
  </w:style>
  <w:style w:type="paragraph" w:styleId="ndice8">
    <w:name w:val="index 8"/>
    <w:basedOn w:val="Normal"/>
    <w:next w:val="Normal"/>
    <w:autoRedefine/>
    <w:uiPriority w:val="99"/>
    <w:semiHidden/>
    <w:unhideWhenUsed/>
    <w:rsid w:val="0003148D"/>
    <w:pPr>
      <w:spacing w:line="240" w:lineRule="auto"/>
      <w:ind w:left="1760" w:hanging="220"/>
    </w:pPr>
  </w:style>
  <w:style w:type="paragraph" w:styleId="ndice9">
    <w:name w:val="index 9"/>
    <w:basedOn w:val="Normal"/>
    <w:next w:val="Normal"/>
    <w:autoRedefine/>
    <w:uiPriority w:val="99"/>
    <w:semiHidden/>
    <w:unhideWhenUsed/>
    <w:rsid w:val="0003148D"/>
    <w:pPr>
      <w:spacing w:line="240" w:lineRule="auto"/>
      <w:ind w:left="1980" w:hanging="220"/>
    </w:pPr>
  </w:style>
  <w:style w:type="paragraph" w:styleId="Tabladeilustraciones">
    <w:name w:val="table of figures"/>
    <w:basedOn w:val="Normal"/>
    <w:next w:val="Normal"/>
    <w:uiPriority w:val="99"/>
    <w:semiHidden/>
    <w:unhideWhenUsed/>
    <w:rsid w:val="0003148D"/>
  </w:style>
  <w:style w:type="paragraph" w:styleId="Textoconsangra">
    <w:name w:val="table of authorities"/>
    <w:basedOn w:val="Normal"/>
    <w:next w:val="Normal"/>
    <w:uiPriority w:val="99"/>
    <w:semiHidden/>
    <w:unhideWhenUsed/>
    <w:rsid w:val="0003148D"/>
    <w:pPr>
      <w:ind w:left="220" w:hanging="220"/>
    </w:pPr>
  </w:style>
  <w:style w:type="paragraph" w:styleId="Direccinsobre">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DireccinHTML">
    <w:name w:val="HTML Address"/>
    <w:basedOn w:val="Normal"/>
    <w:link w:val="DireccinHTMLCar"/>
    <w:uiPriority w:val="99"/>
    <w:semiHidden/>
    <w:unhideWhenUsed/>
    <w:rsid w:val="0003148D"/>
    <w:pPr>
      <w:spacing w:line="240" w:lineRule="auto"/>
    </w:pPr>
    <w:rPr>
      <w:i/>
      <w:iCs/>
    </w:rPr>
  </w:style>
  <w:style w:type="character" w:customStyle="1" w:styleId="DireccinHTMLCar">
    <w:name w:val="Dirección HTML Car"/>
    <w:basedOn w:val="Fuentedeprrafopredeter"/>
    <w:link w:val="DireccinHTML"/>
    <w:uiPriority w:val="99"/>
    <w:semiHidden/>
    <w:rsid w:val="0003148D"/>
    <w:rPr>
      <w:i/>
      <w:iCs/>
    </w:rPr>
  </w:style>
  <w:style w:type="paragraph" w:styleId="Remitedesobre">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Encabezadodemensaje">
    <w:name w:val="Message Header"/>
    <w:basedOn w:val="Normal"/>
    <w:link w:val="EncabezadodemensajeC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EncabezadodemensajeCar">
    <w:name w:val="Encabezado de mensaje Car"/>
    <w:basedOn w:val="Fuentedeprrafopredeter"/>
    <w:link w:val="Encabezadodemensaje"/>
    <w:uiPriority w:val="99"/>
    <w:semiHidden/>
    <w:rsid w:val="0003148D"/>
    <w:rPr>
      <w:rFonts w:asciiTheme="majorHAnsi" w:eastAsiaTheme="majorEastAsia" w:hAnsiTheme="majorHAnsi" w:cstheme="majorBidi"/>
      <w:sz w:val="24"/>
      <w:szCs w:val="24"/>
      <w:shd w:val="pct20" w:color="auto" w:fill="auto"/>
    </w:rPr>
  </w:style>
  <w:style w:type="paragraph" w:styleId="Encabezadodenota">
    <w:name w:val="Note Heading"/>
    <w:basedOn w:val="Normal"/>
    <w:next w:val="Normal"/>
    <w:link w:val="EncabezadodenotaCar"/>
    <w:uiPriority w:val="99"/>
    <w:semiHidden/>
    <w:unhideWhenUsed/>
    <w:rsid w:val="0003148D"/>
    <w:pPr>
      <w:spacing w:line="240" w:lineRule="auto"/>
    </w:pPr>
  </w:style>
  <w:style w:type="character" w:customStyle="1" w:styleId="EncabezadodenotaCar">
    <w:name w:val="Encabezado de nota Car"/>
    <w:basedOn w:val="Fuentedeprrafopredeter"/>
    <w:link w:val="Encabezadodenota"/>
    <w:uiPriority w:val="99"/>
    <w:semiHidden/>
    <w:rsid w:val="0003148D"/>
  </w:style>
  <w:style w:type="paragraph" w:styleId="Mapadeldocumento">
    <w:name w:val="Document Map"/>
    <w:basedOn w:val="Normal"/>
    <w:link w:val="MapadeldocumentoCar"/>
    <w:uiPriority w:val="99"/>
    <w:semiHidden/>
    <w:unhideWhenUsed/>
    <w:rsid w:val="0003148D"/>
    <w:pPr>
      <w:spacing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Listaconnmeros">
    <w:name w:val="List Number"/>
    <w:basedOn w:val="Normal"/>
    <w:uiPriority w:val="99"/>
    <w:semiHidden/>
    <w:unhideWhenUsed/>
    <w:rsid w:val="0003148D"/>
    <w:pPr>
      <w:numPr>
        <w:numId w:val="2"/>
      </w:numPr>
      <w:contextualSpacing/>
    </w:pPr>
  </w:style>
  <w:style w:type="paragraph" w:styleId="Listaconnmeros2">
    <w:name w:val="List Number 2"/>
    <w:basedOn w:val="Normal"/>
    <w:uiPriority w:val="99"/>
    <w:semiHidden/>
    <w:unhideWhenUsed/>
    <w:rsid w:val="0003148D"/>
    <w:pPr>
      <w:numPr>
        <w:numId w:val="3"/>
      </w:numPr>
      <w:contextualSpacing/>
    </w:pPr>
  </w:style>
  <w:style w:type="paragraph" w:styleId="Listaconnmeros3">
    <w:name w:val="List Number 3"/>
    <w:basedOn w:val="Normal"/>
    <w:uiPriority w:val="99"/>
    <w:semiHidden/>
    <w:unhideWhenUsed/>
    <w:rsid w:val="0003148D"/>
    <w:pPr>
      <w:numPr>
        <w:numId w:val="4"/>
      </w:numPr>
      <w:contextualSpacing/>
    </w:pPr>
  </w:style>
  <w:style w:type="paragraph" w:styleId="Listaconnmeros4">
    <w:name w:val="List Number 4"/>
    <w:basedOn w:val="Normal"/>
    <w:uiPriority w:val="99"/>
    <w:semiHidden/>
    <w:unhideWhenUsed/>
    <w:rsid w:val="0003148D"/>
    <w:pPr>
      <w:numPr>
        <w:numId w:val="5"/>
      </w:numPr>
      <w:contextualSpacing/>
    </w:pPr>
  </w:style>
  <w:style w:type="paragraph" w:styleId="Listaconnmeros5">
    <w:name w:val="List Number 5"/>
    <w:basedOn w:val="Normal"/>
    <w:uiPriority w:val="99"/>
    <w:semiHidden/>
    <w:unhideWhenUsed/>
    <w:rsid w:val="0003148D"/>
    <w:pPr>
      <w:numPr>
        <w:numId w:val="6"/>
      </w:numPr>
      <w:contextualSpacing/>
    </w:pPr>
  </w:style>
  <w:style w:type="paragraph" w:styleId="HTMLconformatoprevio">
    <w:name w:val="HTML Preformatted"/>
    <w:basedOn w:val="Normal"/>
    <w:link w:val="HTMLconformatoprevioCar"/>
    <w:uiPriority w:val="99"/>
    <w:semiHidden/>
    <w:unhideWhenUsed/>
    <w:rsid w:val="0003148D"/>
    <w:pPr>
      <w:spacing w:line="240" w:lineRule="auto"/>
    </w:pPr>
    <w:rPr>
      <w:rFonts w:ascii="Consolas" w:hAnsi="Consolas" w:cs="Consolas"/>
    </w:rPr>
  </w:style>
  <w:style w:type="character" w:customStyle="1" w:styleId="HTMLconformatoprevioCar">
    <w:name w:val="HTML con formato previo Car"/>
    <w:basedOn w:val="Fuentedeprrafopredeter"/>
    <w:link w:val="HTMLconformatoprevio"/>
    <w:uiPriority w:val="99"/>
    <w:semiHidden/>
    <w:rsid w:val="0003148D"/>
    <w:rPr>
      <w:rFonts w:ascii="Consolas" w:hAnsi="Consolas" w:cs="Consolas"/>
      <w:sz w:val="20"/>
      <w:szCs w:val="20"/>
    </w:rPr>
  </w:style>
  <w:style w:type="paragraph" w:styleId="Textoindependienteprimerasangra">
    <w:name w:val="Body Text First Indent"/>
    <w:basedOn w:val="Textoindependiente"/>
    <w:link w:val="TextoindependienteprimerasangraCar"/>
    <w:uiPriority w:val="99"/>
    <w:semiHidden/>
    <w:unhideWhenUsed/>
    <w:rsid w:val="0003148D"/>
    <w:pPr>
      <w:spacing w:after="200"/>
      <w:ind w:firstLine="360"/>
    </w:pPr>
  </w:style>
  <w:style w:type="character" w:customStyle="1" w:styleId="TextoindependienteprimerasangraCar">
    <w:name w:val="Texto independiente primera sangría Car"/>
    <w:basedOn w:val="TextoindependienteCar"/>
    <w:link w:val="Textoindependienteprimerasangra"/>
    <w:uiPriority w:val="99"/>
    <w:semiHidden/>
    <w:rsid w:val="0003148D"/>
  </w:style>
  <w:style w:type="paragraph" w:styleId="Sangradetextonormal">
    <w:name w:val="Body Text Indent"/>
    <w:basedOn w:val="Normal"/>
    <w:link w:val="SangradetextonormalCar"/>
    <w:uiPriority w:val="99"/>
    <w:semiHidden/>
    <w:unhideWhenUsed/>
    <w:rsid w:val="0003148D"/>
    <w:pPr>
      <w:spacing w:after="120"/>
      <w:ind w:left="283"/>
    </w:pPr>
  </w:style>
  <w:style w:type="character" w:customStyle="1" w:styleId="SangradetextonormalCar">
    <w:name w:val="Sangría de texto normal Car"/>
    <w:basedOn w:val="Fuentedeprrafopredeter"/>
    <w:link w:val="Sangradetextonormal"/>
    <w:uiPriority w:val="99"/>
    <w:semiHidden/>
    <w:rsid w:val="0003148D"/>
  </w:style>
  <w:style w:type="paragraph" w:styleId="Textoindependienteprimerasangra2">
    <w:name w:val="Body Text First Indent 2"/>
    <w:basedOn w:val="Sangradetextonormal"/>
    <w:link w:val="Textoindependienteprimerasangra2Car"/>
    <w:uiPriority w:val="99"/>
    <w:semiHidden/>
    <w:unhideWhenUsed/>
    <w:rsid w:val="0003148D"/>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03148D"/>
  </w:style>
  <w:style w:type="paragraph" w:styleId="Listaconvietas">
    <w:name w:val="List Bullet"/>
    <w:basedOn w:val="Normal"/>
    <w:uiPriority w:val="99"/>
    <w:semiHidden/>
    <w:unhideWhenUsed/>
    <w:rsid w:val="0003148D"/>
    <w:pPr>
      <w:numPr>
        <w:numId w:val="7"/>
      </w:numPr>
      <w:contextualSpacing/>
    </w:pPr>
  </w:style>
  <w:style w:type="paragraph" w:styleId="Listaconvietas2">
    <w:name w:val="List Bullet 2"/>
    <w:basedOn w:val="Normal"/>
    <w:uiPriority w:val="99"/>
    <w:semiHidden/>
    <w:unhideWhenUsed/>
    <w:rsid w:val="0003148D"/>
    <w:pPr>
      <w:numPr>
        <w:numId w:val="8"/>
      </w:numPr>
      <w:contextualSpacing/>
    </w:pPr>
  </w:style>
  <w:style w:type="paragraph" w:styleId="Listaconvietas3">
    <w:name w:val="List Bullet 3"/>
    <w:basedOn w:val="Normal"/>
    <w:uiPriority w:val="99"/>
    <w:semiHidden/>
    <w:unhideWhenUsed/>
    <w:rsid w:val="0003148D"/>
    <w:pPr>
      <w:numPr>
        <w:numId w:val="9"/>
      </w:numPr>
      <w:contextualSpacing/>
    </w:pPr>
  </w:style>
  <w:style w:type="paragraph" w:styleId="Listaconvietas4">
    <w:name w:val="List Bullet 4"/>
    <w:basedOn w:val="Normal"/>
    <w:uiPriority w:val="99"/>
    <w:semiHidden/>
    <w:unhideWhenUsed/>
    <w:rsid w:val="0003148D"/>
    <w:pPr>
      <w:numPr>
        <w:numId w:val="10"/>
      </w:numPr>
      <w:contextualSpacing/>
    </w:pPr>
  </w:style>
  <w:style w:type="paragraph" w:styleId="Listaconvietas5">
    <w:name w:val="List Bullet 5"/>
    <w:basedOn w:val="Normal"/>
    <w:uiPriority w:val="99"/>
    <w:semiHidden/>
    <w:unhideWhenUsed/>
    <w:rsid w:val="0003148D"/>
    <w:pPr>
      <w:numPr>
        <w:numId w:val="11"/>
      </w:numPr>
      <w:contextualSpacing/>
    </w:pPr>
  </w:style>
  <w:style w:type="paragraph" w:styleId="Sangra2detindependiente">
    <w:name w:val="Body Text Indent 2"/>
    <w:basedOn w:val="Normal"/>
    <w:link w:val="Sangra2detindependienteCar"/>
    <w:uiPriority w:val="99"/>
    <w:semiHidden/>
    <w:unhideWhenUsed/>
    <w:rsid w:val="0003148D"/>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03148D"/>
  </w:style>
  <w:style w:type="paragraph" w:styleId="Sangra3detindependiente">
    <w:name w:val="Body Text Indent 3"/>
    <w:basedOn w:val="Normal"/>
    <w:link w:val="Sangra3detindependienteCar"/>
    <w:uiPriority w:val="99"/>
    <w:semiHidden/>
    <w:unhideWhenUsed/>
    <w:rsid w:val="0003148D"/>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03148D"/>
    <w:rPr>
      <w:sz w:val="16"/>
      <w:szCs w:val="16"/>
    </w:rPr>
  </w:style>
  <w:style w:type="paragraph" w:styleId="Sangranormal">
    <w:name w:val="Normal Indent"/>
    <w:basedOn w:val="Normal"/>
    <w:uiPriority w:val="99"/>
    <w:semiHidden/>
    <w:unhideWhenUsed/>
    <w:rsid w:val="0003148D"/>
    <w:pPr>
      <w:ind w:left="720"/>
    </w:pPr>
  </w:style>
  <w:style w:type="paragraph" w:styleId="Textocomentario">
    <w:name w:val="annotation text"/>
    <w:basedOn w:val="Normal"/>
    <w:link w:val="TextocomentarioCar"/>
    <w:uiPriority w:val="99"/>
    <w:unhideWhenUsed/>
    <w:rsid w:val="0003148D"/>
    <w:pPr>
      <w:spacing w:line="240" w:lineRule="auto"/>
    </w:pPr>
  </w:style>
  <w:style w:type="character" w:customStyle="1" w:styleId="TextocomentarioCar">
    <w:name w:val="Texto comentario Car"/>
    <w:basedOn w:val="Fuentedeprrafopredeter"/>
    <w:link w:val="Textocomentario"/>
    <w:uiPriority w:val="99"/>
    <w:rsid w:val="0003148D"/>
    <w:rPr>
      <w:sz w:val="20"/>
      <w:szCs w:val="20"/>
    </w:rPr>
  </w:style>
  <w:style w:type="paragraph" w:styleId="Asuntodelcomentario">
    <w:name w:val="annotation subject"/>
    <w:basedOn w:val="Textocomentario"/>
    <w:next w:val="Textocomentario"/>
    <w:link w:val="AsuntodelcomentarioCar"/>
    <w:uiPriority w:val="99"/>
    <w:semiHidden/>
    <w:unhideWhenUsed/>
    <w:rsid w:val="0003148D"/>
    <w:rPr>
      <w:b/>
      <w:bCs/>
    </w:rPr>
  </w:style>
  <w:style w:type="character" w:customStyle="1" w:styleId="AsuntodelcomentarioCar">
    <w:name w:val="Asunto del comentario Car"/>
    <w:basedOn w:val="TextocomentarioCar"/>
    <w:link w:val="Asuntodelcomentario"/>
    <w:uiPriority w:val="99"/>
    <w:semiHidden/>
    <w:rsid w:val="0003148D"/>
    <w:rPr>
      <w:b/>
      <w:bCs/>
      <w:sz w:val="20"/>
      <w:szCs w:val="20"/>
    </w:rPr>
  </w:style>
  <w:style w:type="paragraph" w:styleId="TDC1">
    <w:name w:val="toc 1"/>
    <w:basedOn w:val="Normal"/>
    <w:next w:val="Normal"/>
    <w:autoRedefine/>
    <w:uiPriority w:val="39"/>
    <w:semiHidden/>
    <w:unhideWhenUsed/>
    <w:rsid w:val="0003148D"/>
    <w:pPr>
      <w:spacing w:after="100"/>
    </w:pPr>
  </w:style>
  <w:style w:type="paragraph" w:styleId="TDC2">
    <w:name w:val="toc 2"/>
    <w:basedOn w:val="Normal"/>
    <w:next w:val="Normal"/>
    <w:autoRedefine/>
    <w:uiPriority w:val="39"/>
    <w:semiHidden/>
    <w:unhideWhenUsed/>
    <w:rsid w:val="0003148D"/>
    <w:pPr>
      <w:spacing w:after="100"/>
      <w:ind w:left="220"/>
    </w:pPr>
  </w:style>
  <w:style w:type="paragraph" w:styleId="TDC3">
    <w:name w:val="toc 3"/>
    <w:basedOn w:val="Normal"/>
    <w:next w:val="Normal"/>
    <w:autoRedefine/>
    <w:uiPriority w:val="39"/>
    <w:semiHidden/>
    <w:unhideWhenUsed/>
    <w:rsid w:val="0003148D"/>
    <w:pPr>
      <w:spacing w:after="100"/>
      <w:ind w:left="440"/>
    </w:pPr>
  </w:style>
  <w:style w:type="paragraph" w:styleId="TDC4">
    <w:name w:val="toc 4"/>
    <w:basedOn w:val="Normal"/>
    <w:next w:val="Normal"/>
    <w:autoRedefine/>
    <w:uiPriority w:val="39"/>
    <w:semiHidden/>
    <w:unhideWhenUsed/>
    <w:rsid w:val="0003148D"/>
    <w:pPr>
      <w:spacing w:after="100"/>
      <w:ind w:left="660"/>
    </w:pPr>
  </w:style>
  <w:style w:type="paragraph" w:styleId="TDC5">
    <w:name w:val="toc 5"/>
    <w:basedOn w:val="Normal"/>
    <w:next w:val="Normal"/>
    <w:autoRedefine/>
    <w:uiPriority w:val="39"/>
    <w:semiHidden/>
    <w:unhideWhenUsed/>
    <w:rsid w:val="0003148D"/>
    <w:pPr>
      <w:spacing w:after="100"/>
      <w:ind w:left="880"/>
    </w:pPr>
  </w:style>
  <w:style w:type="paragraph" w:styleId="TDC6">
    <w:name w:val="toc 6"/>
    <w:basedOn w:val="Normal"/>
    <w:next w:val="Normal"/>
    <w:autoRedefine/>
    <w:uiPriority w:val="39"/>
    <w:semiHidden/>
    <w:unhideWhenUsed/>
    <w:rsid w:val="0003148D"/>
    <w:pPr>
      <w:spacing w:after="100"/>
      <w:ind w:left="1100"/>
    </w:pPr>
  </w:style>
  <w:style w:type="paragraph" w:styleId="TDC7">
    <w:name w:val="toc 7"/>
    <w:basedOn w:val="Normal"/>
    <w:next w:val="Normal"/>
    <w:autoRedefine/>
    <w:uiPriority w:val="39"/>
    <w:semiHidden/>
    <w:unhideWhenUsed/>
    <w:rsid w:val="0003148D"/>
    <w:pPr>
      <w:spacing w:after="100"/>
      <w:ind w:left="1320"/>
    </w:pPr>
  </w:style>
  <w:style w:type="paragraph" w:styleId="TDC8">
    <w:name w:val="toc 8"/>
    <w:basedOn w:val="Normal"/>
    <w:next w:val="Normal"/>
    <w:autoRedefine/>
    <w:uiPriority w:val="39"/>
    <w:semiHidden/>
    <w:unhideWhenUsed/>
    <w:rsid w:val="0003148D"/>
    <w:pPr>
      <w:spacing w:after="100"/>
      <w:ind w:left="1540"/>
    </w:pPr>
  </w:style>
  <w:style w:type="paragraph" w:styleId="TDC9">
    <w:name w:val="toc 9"/>
    <w:basedOn w:val="Normal"/>
    <w:next w:val="Normal"/>
    <w:autoRedefine/>
    <w:uiPriority w:val="39"/>
    <w:semiHidden/>
    <w:unhideWhenUsed/>
    <w:rsid w:val="0003148D"/>
    <w:pPr>
      <w:spacing w:after="100"/>
      <w:ind w:left="1760"/>
    </w:pPr>
  </w:style>
  <w:style w:type="paragraph" w:styleId="Textodebloque">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xtomacro">
    <w:name w:val="macro"/>
    <w:link w:val="TextomacroC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xtomacroCar">
    <w:name w:val="Texto macro Car"/>
    <w:basedOn w:val="Fuentedeprrafopredeter"/>
    <w:link w:val="Textomacro"/>
    <w:uiPriority w:val="99"/>
    <w:semiHidden/>
    <w:rsid w:val="0003148D"/>
    <w:rPr>
      <w:rFonts w:ascii="Consolas" w:hAnsi="Consolas" w:cs="Consolas"/>
      <w:sz w:val="20"/>
      <w:szCs w:val="20"/>
    </w:rPr>
  </w:style>
  <w:style w:type="paragraph" w:styleId="Textosinformato">
    <w:name w:val="Plain Text"/>
    <w:basedOn w:val="Normal"/>
    <w:link w:val="TextosinformatoCar"/>
    <w:uiPriority w:val="99"/>
    <w:semiHidden/>
    <w:unhideWhenUsed/>
    <w:rsid w:val="0003148D"/>
    <w:pPr>
      <w:spacing w:line="240" w:lineRule="auto"/>
    </w:pPr>
    <w:rPr>
      <w:rFonts w:ascii="Consolas" w:hAnsi="Consolas" w:cs="Consolas"/>
      <w:sz w:val="21"/>
      <w:szCs w:val="21"/>
    </w:rPr>
  </w:style>
  <w:style w:type="character" w:customStyle="1" w:styleId="TextosinformatoCar">
    <w:name w:val="Texto sin formato Car"/>
    <w:basedOn w:val="Fuentedeprrafopredeter"/>
    <w:link w:val="Textosinformato"/>
    <w:uiPriority w:val="99"/>
    <w:semiHidden/>
    <w:rsid w:val="0003148D"/>
    <w:rPr>
      <w:rFonts w:ascii="Consolas" w:hAnsi="Consolas" w:cs="Consolas"/>
      <w:sz w:val="21"/>
      <w:szCs w:val="21"/>
    </w:rPr>
  </w:style>
  <w:style w:type="paragraph" w:styleId="Textonotapie">
    <w:name w:val="footnote text"/>
    <w:basedOn w:val="Normal"/>
    <w:link w:val="TextonotapieCar"/>
    <w:uiPriority w:val="99"/>
    <w:semiHidden/>
    <w:unhideWhenUsed/>
    <w:rsid w:val="0003148D"/>
    <w:pPr>
      <w:spacing w:line="240" w:lineRule="auto"/>
    </w:pPr>
  </w:style>
  <w:style w:type="character" w:customStyle="1" w:styleId="TextonotapieCar">
    <w:name w:val="Texto nota pie Car"/>
    <w:basedOn w:val="Fuentedeprrafopredeter"/>
    <w:link w:val="Textonotapie"/>
    <w:uiPriority w:val="99"/>
    <w:semiHidden/>
    <w:rsid w:val="0003148D"/>
    <w:rPr>
      <w:sz w:val="20"/>
      <w:szCs w:val="20"/>
    </w:rPr>
  </w:style>
  <w:style w:type="paragraph" w:styleId="Textonotaalfinal">
    <w:name w:val="endnote text"/>
    <w:basedOn w:val="Normal"/>
    <w:link w:val="TextonotaalfinalCar"/>
    <w:uiPriority w:val="99"/>
    <w:semiHidden/>
    <w:unhideWhenUsed/>
    <w:rsid w:val="0003148D"/>
    <w:pPr>
      <w:spacing w:line="240" w:lineRule="auto"/>
    </w:pPr>
  </w:style>
  <w:style w:type="character" w:customStyle="1" w:styleId="TextonotaalfinalCar">
    <w:name w:val="Texto nota al final Car"/>
    <w:basedOn w:val="Fuentedeprrafopredeter"/>
    <w:link w:val="Textonotaalfinal"/>
    <w:uiPriority w:val="99"/>
    <w:semiHidden/>
    <w:rsid w:val="0003148D"/>
    <w:rPr>
      <w:sz w:val="20"/>
      <w:szCs w:val="20"/>
    </w:rPr>
  </w:style>
  <w:style w:type="character" w:customStyle="1" w:styleId="Ttulo1Car">
    <w:name w:val="Título 1 Car"/>
    <w:basedOn w:val="Fuentedeprrafopredeter"/>
    <w:link w:val="Ttulo1"/>
    <w:uiPriority w:val="9"/>
    <w:rsid w:val="004F5E36"/>
    <w:rPr>
      <w:rFonts w:ascii="Arial" w:eastAsia="Times New Roman" w:hAnsi="Arial" w:cs="Times New Roman"/>
      <w:b/>
      <w:sz w:val="20"/>
      <w:szCs w:val="20"/>
      <w:lang w:val="en-GB"/>
    </w:rPr>
  </w:style>
  <w:style w:type="character" w:customStyle="1" w:styleId="Ttulo2Car">
    <w:name w:val="Título 2 Car"/>
    <w:basedOn w:val="Fuentedeprrafopredeter"/>
    <w:link w:val="Ttu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semiHidden/>
    <w:rsid w:val="0003148D"/>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semiHidden/>
    <w:rsid w:val="0003148D"/>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semiHidden/>
    <w:rsid w:val="0003148D"/>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semiHidden/>
    <w:rsid w:val="0003148D"/>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semiHidden/>
    <w:rsid w:val="0003148D"/>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03148D"/>
    <w:rPr>
      <w:rFonts w:asciiTheme="majorHAnsi" w:eastAsiaTheme="majorEastAsia" w:hAnsiTheme="majorHAnsi" w:cstheme="majorBidi"/>
      <w:i/>
      <w:iCs/>
      <w:color w:val="404040" w:themeColor="text1" w:themeTint="BF"/>
      <w:sz w:val="20"/>
      <w:szCs w:val="20"/>
    </w:rPr>
  </w:style>
  <w:style w:type="paragraph" w:styleId="Ttulodendice">
    <w:name w:val="index heading"/>
    <w:basedOn w:val="Normal"/>
    <w:next w:val="ndice1"/>
    <w:uiPriority w:val="99"/>
    <w:semiHidden/>
    <w:unhideWhenUsed/>
    <w:rsid w:val="0003148D"/>
    <w:rPr>
      <w:rFonts w:asciiTheme="majorHAnsi" w:eastAsiaTheme="majorEastAsia" w:hAnsiTheme="majorHAnsi" w:cstheme="majorBidi"/>
      <w:b/>
      <w:bCs/>
    </w:rPr>
  </w:style>
  <w:style w:type="paragraph" w:styleId="Encabezadodelista">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TtuloTDC">
    <w:name w:val="TOC Heading"/>
    <w:basedOn w:val="Ttulo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Fuentedeprrafopredeter"/>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Encabezado">
    <w:name w:val="header"/>
    <w:basedOn w:val="Normal"/>
    <w:link w:val="EncabezadoCar"/>
    <w:uiPriority w:val="99"/>
    <w:unhideWhenUsed/>
    <w:rsid w:val="005278B7"/>
    <w:pPr>
      <w:tabs>
        <w:tab w:val="clear" w:pos="7100"/>
        <w:tab w:val="center" w:pos="4819"/>
        <w:tab w:val="right" w:pos="9638"/>
      </w:tabs>
      <w:spacing w:line="240" w:lineRule="auto"/>
    </w:pPr>
  </w:style>
  <w:style w:type="character" w:customStyle="1" w:styleId="EncabezadoCar">
    <w:name w:val="Encabezado Car"/>
    <w:basedOn w:val="Fuentedeprrafopredeter"/>
    <w:link w:val="Encabezado"/>
    <w:uiPriority w:val="99"/>
    <w:rsid w:val="005278B7"/>
    <w:rPr>
      <w:rFonts w:ascii="Arial" w:eastAsia="Times New Roman" w:hAnsi="Arial" w:cs="Times New Roman"/>
      <w:sz w:val="18"/>
      <w:szCs w:val="20"/>
      <w:lang w:val="en-GB"/>
    </w:rPr>
  </w:style>
  <w:style w:type="paragraph" w:styleId="Piedepgina">
    <w:name w:val="footer"/>
    <w:basedOn w:val="Normal"/>
    <w:link w:val="PiedepginaCar"/>
    <w:uiPriority w:val="99"/>
    <w:unhideWhenUsed/>
    <w:rsid w:val="005278B7"/>
    <w:pPr>
      <w:tabs>
        <w:tab w:val="clear" w:pos="7100"/>
        <w:tab w:val="center" w:pos="4819"/>
        <w:tab w:val="right" w:pos="9638"/>
      </w:tabs>
      <w:spacing w:line="240" w:lineRule="auto"/>
    </w:pPr>
  </w:style>
  <w:style w:type="character" w:customStyle="1" w:styleId="PiedepginaCar">
    <w:name w:val="Pie de página Car"/>
    <w:basedOn w:val="Fuentedeprrafopredeter"/>
    <w:link w:val="Piedepgina"/>
    <w:uiPriority w:val="99"/>
    <w:rsid w:val="005278B7"/>
    <w:rPr>
      <w:rFonts w:ascii="Arial" w:eastAsia="Times New Roman" w:hAnsi="Arial" w:cs="Times New Roman"/>
      <w:sz w:val="18"/>
      <w:szCs w:val="20"/>
      <w:lang w:val="en-GB"/>
    </w:rPr>
  </w:style>
  <w:style w:type="table" w:styleId="Tablaconcuadrcula">
    <w:name w:val="Table Grid"/>
    <w:basedOn w:val="Tablanormal"/>
    <w:uiPriority w:val="3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904C62"/>
    <w:rPr>
      <w:color w:val="0000FF" w:themeColor="hyperlink"/>
      <w:u w:val="single"/>
    </w:rPr>
  </w:style>
  <w:style w:type="character" w:customStyle="1" w:styleId="eudoraheader">
    <w:name w:val="eudoraheader"/>
    <w:basedOn w:val="Fuentedeprrafopredeter"/>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8257589">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chart" Target="charts/chart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2.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Elmer\Desktop\IBIC%202021\2.%20Mayorca\grafico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Elmer\Desktop\IBIC%202021\2.%20Mayorca\grafico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Elmer\Desktop\IBIC%2020212\2.%20Mayorca\grafico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Elmer\Desktop\IBIC%2020212\2.%20Mayorca\graficos.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48492889557994"/>
          <c:y val="6.6265060240963861E-2"/>
          <c:w val="0.80320614324860007"/>
          <c:h val="0.68332080264160544"/>
        </c:manualLayout>
      </c:layout>
      <c:scatterChart>
        <c:scatterStyle val="smoothMarker"/>
        <c:varyColors val="0"/>
        <c:ser>
          <c:idx val="0"/>
          <c:order val="0"/>
          <c:tx>
            <c:strRef>
              <c:f>Hoja4!$D$10</c:f>
              <c:strCache>
                <c:ptCount val="1"/>
                <c:pt idx="0">
                  <c:v>Bioreactor - 1 </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mn-lt"/>
                    <a:ea typeface="+mn-ea"/>
                    <a:cs typeface="+mn-cs"/>
                  </a:defRPr>
                </a:pPr>
                <a:endParaRPr lang="es-PE"/>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Hoja4!$C$11:$C$18</c:f>
              <c:numCache>
                <c:formatCode>General</c:formatCode>
                <c:ptCount val="8"/>
                <c:pt idx="0">
                  <c:v>1</c:v>
                </c:pt>
                <c:pt idx="1">
                  <c:v>24</c:v>
                </c:pt>
                <c:pt idx="2">
                  <c:v>48</c:v>
                </c:pt>
                <c:pt idx="3">
                  <c:v>72</c:v>
                </c:pt>
                <c:pt idx="4">
                  <c:v>96</c:v>
                </c:pt>
                <c:pt idx="5">
                  <c:v>120</c:v>
                </c:pt>
                <c:pt idx="6">
                  <c:v>144</c:v>
                </c:pt>
                <c:pt idx="7">
                  <c:v>168</c:v>
                </c:pt>
              </c:numCache>
            </c:numRef>
          </c:xVal>
          <c:yVal>
            <c:numRef>
              <c:f>Hoja4!$D$11:$D$18</c:f>
              <c:numCache>
                <c:formatCode>General</c:formatCode>
                <c:ptCount val="8"/>
                <c:pt idx="0">
                  <c:v>5.0000000000000001E-3</c:v>
                </c:pt>
                <c:pt idx="1">
                  <c:v>4.4999999999999998E-2</c:v>
                </c:pt>
                <c:pt idx="2">
                  <c:v>4.8000000000000001E-2</c:v>
                </c:pt>
                <c:pt idx="3">
                  <c:v>6.2E-2</c:v>
                </c:pt>
                <c:pt idx="4">
                  <c:v>7.1999999999999995E-2</c:v>
                </c:pt>
                <c:pt idx="5">
                  <c:v>0.109</c:v>
                </c:pt>
              </c:numCache>
            </c:numRef>
          </c:yVal>
          <c:smooth val="1"/>
          <c:extLst>
            <c:ext xmlns:c16="http://schemas.microsoft.com/office/drawing/2014/chart" uri="{C3380CC4-5D6E-409C-BE32-E72D297353CC}">
              <c16:uniqueId val="{00000000-82F0-4491-AA23-0DE02E0907FE}"/>
            </c:ext>
          </c:extLst>
        </c:ser>
        <c:ser>
          <c:idx val="1"/>
          <c:order val="1"/>
          <c:tx>
            <c:strRef>
              <c:f>Hoja4!$E$10</c:f>
              <c:strCache>
                <c:ptCount val="1"/>
                <c:pt idx="0">
                  <c:v>Bioreactor- 2 </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mn-lt"/>
                    <a:ea typeface="+mn-ea"/>
                    <a:cs typeface="+mn-cs"/>
                  </a:defRPr>
                </a:pPr>
                <a:endParaRPr lang="es-PE"/>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Hoja4!$C$11:$C$18</c:f>
              <c:numCache>
                <c:formatCode>General</c:formatCode>
                <c:ptCount val="8"/>
                <c:pt idx="0">
                  <c:v>1</c:v>
                </c:pt>
                <c:pt idx="1">
                  <c:v>24</c:v>
                </c:pt>
                <c:pt idx="2">
                  <c:v>48</c:v>
                </c:pt>
                <c:pt idx="3">
                  <c:v>72</c:v>
                </c:pt>
                <c:pt idx="4">
                  <c:v>96</c:v>
                </c:pt>
                <c:pt idx="5">
                  <c:v>120</c:v>
                </c:pt>
                <c:pt idx="6">
                  <c:v>144</c:v>
                </c:pt>
                <c:pt idx="7">
                  <c:v>168</c:v>
                </c:pt>
              </c:numCache>
            </c:numRef>
          </c:xVal>
          <c:yVal>
            <c:numRef>
              <c:f>Hoja4!$E$11:$E$18</c:f>
              <c:numCache>
                <c:formatCode>General</c:formatCode>
                <c:ptCount val="8"/>
                <c:pt idx="0">
                  <c:v>1.0999999999999999E-2</c:v>
                </c:pt>
                <c:pt idx="1">
                  <c:v>3.5000000000000003E-2</c:v>
                </c:pt>
                <c:pt idx="2">
                  <c:v>6.6000000000000003E-2</c:v>
                </c:pt>
                <c:pt idx="3">
                  <c:v>7.4999999999999997E-2</c:v>
                </c:pt>
                <c:pt idx="4">
                  <c:v>0.08</c:v>
                </c:pt>
                <c:pt idx="5">
                  <c:v>9.6000000000000002E-2</c:v>
                </c:pt>
                <c:pt idx="6">
                  <c:v>0.11700000000000001</c:v>
                </c:pt>
              </c:numCache>
            </c:numRef>
          </c:yVal>
          <c:smooth val="1"/>
          <c:extLst>
            <c:ext xmlns:c16="http://schemas.microsoft.com/office/drawing/2014/chart" uri="{C3380CC4-5D6E-409C-BE32-E72D297353CC}">
              <c16:uniqueId val="{00000001-82F0-4491-AA23-0DE02E0907FE}"/>
            </c:ext>
          </c:extLst>
        </c:ser>
        <c:ser>
          <c:idx val="2"/>
          <c:order val="2"/>
          <c:tx>
            <c:strRef>
              <c:f>Hoja4!$F$10</c:f>
              <c:strCache>
                <c:ptCount val="1"/>
                <c:pt idx="0">
                  <c:v>Bioreactor - 3 </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dLbls>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mn-lt"/>
                    <a:ea typeface="+mn-ea"/>
                    <a:cs typeface="+mn-cs"/>
                  </a:defRPr>
                </a:pPr>
                <a:endParaRPr lang="es-PE"/>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Hoja4!$C$11:$C$18</c:f>
              <c:numCache>
                <c:formatCode>General</c:formatCode>
                <c:ptCount val="8"/>
                <c:pt idx="0">
                  <c:v>1</c:v>
                </c:pt>
                <c:pt idx="1">
                  <c:v>24</c:v>
                </c:pt>
                <c:pt idx="2">
                  <c:v>48</c:v>
                </c:pt>
                <c:pt idx="3">
                  <c:v>72</c:v>
                </c:pt>
                <c:pt idx="4">
                  <c:v>96</c:v>
                </c:pt>
                <c:pt idx="5">
                  <c:v>120</c:v>
                </c:pt>
                <c:pt idx="6">
                  <c:v>144</c:v>
                </c:pt>
                <c:pt idx="7">
                  <c:v>168</c:v>
                </c:pt>
              </c:numCache>
            </c:numRef>
          </c:xVal>
          <c:yVal>
            <c:numRef>
              <c:f>Hoja4!$F$11:$F$18</c:f>
              <c:numCache>
                <c:formatCode>General</c:formatCode>
                <c:ptCount val="8"/>
                <c:pt idx="0">
                  <c:v>1.4999999999999999E-2</c:v>
                </c:pt>
                <c:pt idx="1">
                  <c:v>0.04</c:v>
                </c:pt>
                <c:pt idx="2">
                  <c:v>5.8999999999999997E-2</c:v>
                </c:pt>
                <c:pt idx="3">
                  <c:v>5.8000000000000003E-2</c:v>
                </c:pt>
                <c:pt idx="4">
                  <c:v>6.5000000000000002E-2</c:v>
                </c:pt>
                <c:pt idx="5">
                  <c:v>6.6000000000000003E-2</c:v>
                </c:pt>
                <c:pt idx="6">
                  <c:v>7.0000000000000007E-2</c:v>
                </c:pt>
                <c:pt idx="7">
                  <c:v>0.11</c:v>
                </c:pt>
              </c:numCache>
            </c:numRef>
          </c:yVal>
          <c:smooth val="1"/>
          <c:extLst>
            <c:ext xmlns:c16="http://schemas.microsoft.com/office/drawing/2014/chart" uri="{C3380CC4-5D6E-409C-BE32-E72D297353CC}">
              <c16:uniqueId val="{00000002-82F0-4491-AA23-0DE02E0907FE}"/>
            </c:ext>
          </c:extLst>
        </c:ser>
        <c:dLbls>
          <c:dLblPos val="t"/>
          <c:showLegendKey val="0"/>
          <c:showVal val="1"/>
          <c:showCatName val="0"/>
          <c:showSerName val="0"/>
          <c:showPercent val="0"/>
          <c:showBubbleSize val="0"/>
        </c:dLbls>
        <c:axId val="1793278336"/>
        <c:axId val="1793287488"/>
      </c:scatterChart>
      <c:valAx>
        <c:axId val="179327833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s-PE"/>
                  <a:t>Time (h)</a:t>
                </a:r>
              </a:p>
            </c:rich>
          </c:tx>
          <c:layout>
            <c:manualLayout>
              <c:xMode val="edge"/>
              <c:yMode val="edge"/>
              <c:x val="0.4938526356832631"/>
              <c:y val="0.83015595631191264"/>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P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PE"/>
          </a:p>
        </c:txPr>
        <c:crossAx val="1793287488"/>
        <c:crosses val="autoZero"/>
        <c:crossBetween val="midCat"/>
      </c:valAx>
      <c:valAx>
        <c:axId val="17932874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s-PE"/>
                  <a:t>CFU/ (mg/L)</a:t>
                </a:r>
              </a:p>
            </c:rich>
          </c:tx>
          <c:layout>
            <c:manualLayout>
              <c:xMode val="edge"/>
              <c:yMode val="edge"/>
              <c:x val="4.5869445136414347E-2"/>
              <c:y val="0.30950622301244601"/>
            </c:manualLayout>
          </c:layout>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P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PE"/>
          </a:p>
        </c:txPr>
        <c:crossAx val="1793278336"/>
        <c:crosses val="autoZero"/>
        <c:crossBetween val="midCat"/>
      </c:valAx>
      <c:spPr>
        <a:noFill/>
        <a:ln>
          <a:noFill/>
        </a:ln>
        <a:effectLst/>
      </c:spPr>
    </c:plotArea>
    <c:legend>
      <c:legendPos val="b"/>
      <c:layout>
        <c:manualLayout>
          <c:xMode val="edge"/>
          <c:yMode val="edge"/>
          <c:x val="0.15628285804026901"/>
          <c:y val="0.89246888493776999"/>
          <c:w val="0.68743428391946193"/>
          <c:h val="0.10107950215900431"/>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P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700"/>
      </a:pPr>
      <a:endParaRPr lang="es-P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531342810336627"/>
          <c:y val="6.4705882352941183E-2"/>
          <c:w val="0.84086117423241558"/>
          <c:h val="0.66768920796665121"/>
        </c:manualLayout>
      </c:layout>
      <c:scatterChart>
        <c:scatterStyle val="smoothMarker"/>
        <c:varyColors val="0"/>
        <c:ser>
          <c:idx val="0"/>
          <c:order val="0"/>
          <c:tx>
            <c:strRef>
              <c:f>Hoja4!$E$36</c:f>
              <c:strCache>
                <c:ptCount val="1"/>
                <c:pt idx="0">
                  <c:v>Bioreator - 1 </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mn-lt"/>
                    <a:ea typeface="+mn-ea"/>
                    <a:cs typeface="+mn-cs"/>
                  </a:defRPr>
                </a:pPr>
                <a:endParaRPr lang="es-PE"/>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Hoja4!$D$37:$D$44</c:f>
              <c:numCache>
                <c:formatCode>General</c:formatCode>
                <c:ptCount val="8"/>
                <c:pt idx="0">
                  <c:v>1</c:v>
                </c:pt>
                <c:pt idx="1">
                  <c:v>24</c:v>
                </c:pt>
                <c:pt idx="2">
                  <c:v>48</c:v>
                </c:pt>
                <c:pt idx="3">
                  <c:v>72</c:v>
                </c:pt>
                <c:pt idx="4">
                  <c:v>96</c:v>
                </c:pt>
                <c:pt idx="5">
                  <c:v>120</c:v>
                </c:pt>
                <c:pt idx="6">
                  <c:v>144</c:v>
                </c:pt>
                <c:pt idx="7">
                  <c:v>168</c:v>
                </c:pt>
              </c:numCache>
            </c:numRef>
          </c:xVal>
          <c:yVal>
            <c:numRef>
              <c:f>Hoja4!$E$37:$E$44</c:f>
              <c:numCache>
                <c:formatCode>General</c:formatCode>
                <c:ptCount val="8"/>
                <c:pt idx="0">
                  <c:v>8.9999999999999993E-3</c:v>
                </c:pt>
                <c:pt idx="1">
                  <c:v>3.5000000000000003E-2</c:v>
                </c:pt>
                <c:pt idx="2">
                  <c:v>4.5999999999999999E-2</c:v>
                </c:pt>
                <c:pt idx="3">
                  <c:v>0.06</c:v>
                </c:pt>
                <c:pt idx="4">
                  <c:v>7.2999999999999995E-2</c:v>
                </c:pt>
                <c:pt idx="5">
                  <c:v>0.125</c:v>
                </c:pt>
              </c:numCache>
            </c:numRef>
          </c:yVal>
          <c:smooth val="1"/>
          <c:extLst>
            <c:ext xmlns:c16="http://schemas.microsoft.com/office/drawing/2014/chart" uri="{C3380CC4-5D6E-409C-BE32-E72D297353CC}">
              <c16:uniqueId val="{00000000-DA95-4071-88AE-6CB9B8B46FED}"/>
            </c:ext>
          </c:extLst>
        </c:ser>
        <c:ser>
          <c:idx val="1"/>
          <c:order val="1"/>
          <c:tx>
            <c:strRef>
              <c:f>Hoja4!$F$36</c:f>
              <c:strCache>
                <c:ptCount val="1"/>
                <c:pt idx="0">
                  <c:v>Bioreator - 2 </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mn-lt"/>
                    <a:ea typeface="+mn-ea"/>
                    <a:cs typeface="+mn-cs"/>
                  </a:defRPr>
                </a:pPr>
                <a:endParaRPr lang="es-PE"/>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Hoja4!$D$37:$D$44</c:f>
              <c:numCache>
                <c:formatCode>General</c:formatCode>
                <c:ptCount val="8"/>
                <c:pt idx="0">
                  <c:v>1</c:v>
                </c:pt>
                <c:pt idx="1">
                  <c:v>24</c:v>
                </c:pt>
                <c:pt idx="2">
                  <c:v>48</c:v>
                </c:pt>
                <c:pt idx="3">
                  <c:v>72</c:v>
                </c:pt>
                <c:pt idx="4">
                  <c:v>96</c:v>
                </c:pt>
                <c:pt idx="5">
                  <c:v>120</c:v>
                </c:pt>
                <c:pt idx="6">
                  <c:v>144</c:v>
                </c:pt>
                <c:pt idx="7">
                  <c:v>168</c:v>
                </c:pt>
              </c:numCache>
            </c:numRef>
          </c:xVal>
          <c:yVal>
            <c:numRef>
              <c:f>Hoja4!$F$37:$F$44</c:f>
              <c:numCache>
                <c:formatCode>General</c:formatCode>
                <c:ptCount val="8"/>
                <c:pt idx="0">
                  <c:v>3.1E-2</c:v>
                </c:pt>
                <c:pt idx="1">
                  <c:v>4.9000000000000002E-2</c:v>
                </c:pt>
                <c:pt idx="2">
                  <c:v>0.05</c:v>
                </c:pt>
                <c:pt idx="3">
                  <c:v>5.3999999999999999E-2</c:v>
                </c:pt>
                <c:pt idx="4">
                  <c:v>6.7000000000000004E-2</c:v>
                </c:pt>
                <c:pt idx="5">
                  <c:v>7.8E-2</c:v>
                </c:pt>
                <c:pt idx="6">
                  <c:v>0.109</c:v>
                </c:pt>
              </c:numCache>
            </c:numRef>
          </c:yVal>
          <c:smooth val="1"/>
          <c:extLst>
            <c:ext xmlns:c16="http://schemas.microsoft.com/office/drawing/2014/chart" uri="{C3380CC4-5D6E-409C-BE32-E72D297353CC}">
              <c16:uniqueId val="{00000001-DA95-4071-88AE-6CB9B8B46FED}"/>
            </c:ext>
          </c:extLst>
        </c:ser>
        <c:ser>
          <c:idx val="2"/>
          <c:order val="2"/>
          <c:tx>
            <c:strRef>
              <c:f>Hoja4!$G$36</c:f>
              <c:strCache>
                <c:ptCount val="1"/>
                <c:pt idx="0">
                  <c:v>Bioreator - 3 </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dLbls>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mn-lt"/>
                    <a:ea typeface="+mn-ea"/>
                    <a:cs typeface="+mn-cs"/>
                  </a:defRPr>
                </a:pPr>
                <a:endParaRPr lang="es-PE"/>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Hoja4!$D$37:$D$44</c:f>
              <c:numCache>
                <c:formatCode>General</c:formatCode>
                <c:ptCount val="8"/>
                <c:pt idx="0">
                  <c:v>1</c:v>
                </c:pt>
                <c:pt idx="1">
                  <c:v>24</c:v>
                </c:pt>
                <c:pt idx="2">
                  <c:v>48</c:v>
                </c:pt>
                <c:pt idx="3">
                  <c:v>72</c:v>
                </c:pt>
                <c:pt idx="4">
                  <c:v>96</c:v>
                </c:pt>
                <c:pt idx="5">
                  <c:v>120</c:v>
                </c:pt>
                <c:pt idx="6">
                  <c:v>144</c:v>
                </c:pt>
                <c:pt idx="7">
                  <c:v>168</c:v>
                </c:pt>
              </c:numCache>
            </c:numRef>
          </c:xVal>
          <c:yVal>
            <c:numRef>
              <c:f>Hoja4!$G$37:$G$44</c:f>
              <c:numCache>
                <c:formatCode>General</c:formatCode>
                <c:ptCount val="8"/>
                <c:pt idx="0">
                  <c:v>7.0000000000000001E-3</c:v>
                </c:pt>
                <c:pt idx="1">
                  <c:v>3.9E-2</c:v>
                </c:pt>
                <c:pt idx="2">
                  <c:v>4.4999999999999998E-2</c:v>
                </c:pt>
                <c:pt idx="3">
                  <c:v>7.0000000000000007E-2</c:v>
                </c:pt>
                <c:pt idx="4">
                  <c:v>6.4000000000000001E-2</c:v>
                </c:pt>
                <c:pt idx="5">
                  <c:v>7.0999999999999994E-2</c:v>
                </c:pt>
                <c:pt idx="6">
                  <c:v>8.3000000000000004E-2</c:v>
                </c:pt>
                <c:pt idx="7">
                  <c:v>0.13400000000000001</c:v>
                </c:pt>
              </c:numCache>
            </c:numRef>
          </c:yVal>
          <c:smooth val="1"/>
          <c:extLst>
            <c:ext xmlns:c16="http://schemas.microsoft.com/office/drawing/2014/chart" uri="{C3380CC4-5D6E-409C-BE32-E72D297353CC}">
              <c16:uniqueId val="{00000002-DA95-4071-88AE-6CB9B8B46FED}"/>
            </c:ext>
          </c:extLst>
        </c:ser>
        <c:dLbls>
          <c:dLblPos val="t"/>
          <c:showLegendKey val="0"/>
          <c:showVal val="1"/>
          <c:showCatName val="0"/>
          <c:showSerName val="0"/>
          <c:showPercent val="0"/>
          <c:showBubbleSize val="0"/>
        </c:dLbls>
        <c:axId val="1793279168"/>
        <c:axId val="1793286656"/>
      </c:scatterChart>
      <c:valAx>
        <c:axId val="179327916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s-PE"/>
                  <a:t>Time (days)</a:t>
                </a:r>
              </a:p>
            </c:rich>
          </c:tx>
          <c:layout>
            <c:manualLayout>
              <c:xMode val="edge"/>
              <c:yMode val="edge"/>
              <c:x val="0.47551572160862443"/>
              <c:y val="0.79997359888837427"/>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P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PE"/>
          </a:p>
        </c:txPr>
        <c:crossAx val="1793286656"/>
        <c:crosses val="autoZero"/>
        <c:crossBetween val="midCat"/>
      </c:valAx>
      <c:valAx>
        <c:axId val="17932866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s-PE"/>
                  <a:t>CFU/mg/L</a:t>
                </a:r>
              </a:p>
            </c:rich>
          </c:tx>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P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PE"/>
          </a:p>
        </c:txPr>
        <c:crossAx val="1793279168"/>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P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700"/>
      </a:pPr>
      <a:endParaRPr lang="es-P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183060376777949"/>
          <c:y val="7.7958894401133946E-2"/>
          <c:w val="0.73932392553950299"/>
          <c:h val="0.70376736217682212"/>
        </c:manualLayout>
      </c:layout>
      <c:barChart>
        <c:barDir val="col"/>
        <c:grouping val="clustered"/>
        <c:varyColors val="0"/>
        <c:ser>
          <c:idx val="0"/>
          <c:order val="0"/>
          <c:tx>
            <c:strRef>
              <c:f>Hoja1!$I$24</c:f>
              <c:strCache>
                <c:ptCount val="1"/>
                <c:pt idx="0">
                  <c:v>Cyanide (mg/L)</c:v>
                </c:pt>
              </c:strCache>
            </c:strRef>
          </c:tx>
          <c:spPr>
            <a:solidFill>
              <a:schemeClr val="accent5">
                <a:lumMod val="40000"/>
                <a:lumOff val="60000"/>
              </a:schemeClr>
            </a:solidFill>
            <a:ln>
              <a:noFill/>
            </a:ln>
            <a:effectLst/>
          </c:spPr>
          <c:invertIfNegative val="0"/>
          <c:dLbls>
            <c:dLbl>
              <c:idx val="1"/>
              <c:spPr>
                <a:noFill/>
                <a:ln>
                  <a:noFill/>
                </a:ln>
                <a:effectLst/>
              </c:spPr>
              <c:txPr>
                <a:bodyPr rot="0" spcFirstLastPara="1" vertOverflow="ellipsis" vert="horz" wrap="square" anchor="ctr" anchorCtr="1"/>
                <a:lstStyle/>
                <a:p>
                  <a:pPr>
                    <a:defRPr sz="700" b="1" i="0" u="none" strike="noStrike" kern="1200" baseline="0">
                      <a:solidFill>
                        <a:schemeClr val="tx1">
                          <a:lumMod val="75000"/>
                          <a:lumOff val="25000"/>
                        </a:schemeClr>
                      </a:solidFill>
                      <a:latin typeface="+mn-lt"/>
                      <a:ea typeface="+mn-ea"/>
                      <a:cs typeface="+mn-cs"/>
                    </a:defRPr>
                  </a:pPr>
                  <a:endParaRPr lang="es-PE"/>
                </a:p>
              </c:txPr>
              <c:dLblPos val="outEnd"/>
              <c:showLegendKey val="0"/>
              <c:showVal val="1"/>
              <c:showCatName val="0"/>
              <c:showSerName val="0"/>
              <c:showPercent val="0"/>
              <c:showBubbleSize val="0"/>
              <c:extLst>
                <c:ext xmlns:c16="http://schemas.microsoft.com/office/drawing/2014/chart" uri="{C3380CC4-5D6E-409C-BE32-E72D297353CC}">
                  <c16:uniqueId val="{00000002-6BD0-4606-ABA6-398428B5F27F}"/>
                </c:ext>
              </c:extLst>
            </c:dLbl>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mn-lt"/>
                    <a:ea typeface="+mn-ea"/>
                    <a:cs typeface="+mn-cs"/>
                  </a:defRPr>
                </a:pPr>
                <a:endParaRPr lang="es-P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Hoja1!$H$25:$H$28</c:f>
              <c:strCache>
                <c:ptCount val="4"/>
                <c:pt idx="0">
                  <c:v>Initial 
(0 days)</c:v>
                </c:pt>
                <c:pt idx="1">
                  <c:v>R1 
5 days</c:v>
                </c:pt>
                <c:pt idx="2">
                  <c:v>R2
6 days</c:v>
                </c:pt>
                <c:pt idx="3">
                  <c:v>R3
(7 days)</c:v>
                </c:pt>
              </c:strCache>
            </c:strRef>
          </c:cat>
          <c:val>
            <c:numRef>
              <c:f>Hoja1!$I$25:$I$28</c:f>
              <c:numCache>
                <c:formatCode>0.00</c:formatCode>
                <c:ptCount val="4"/>
                <c:pt idx="0" formatCode="#,##0">
                  <c:v>1352</c:v>
                </c:pt>
                <c:pt idx="1">
                  <c:v>38.976666666666667</c:v>
                </c:pt>
                <c:pt idx="2">
                  <c:v>316.00000000000006</c:v>
                </c:pt>
                <c:pt idx="3">
                  <c:v>320.00000000000006</c:v>
                </c:pt>
              </c:numCache>
            </c:numRef>
          </c:val>
          <c:extLst>
            <c:ext xmlns:c16="http://schemas.microsoft.com/office/drawing/2014/chart" uri="{C3380CC4-5D6E-409C-BE32-E72D297353CC}">
              <c16:uniqueId val="{00000000-6BD0-4606-ABA6-398428B5F27F}"/>
            </c:ext>
          </c:extLst>
        </c:ser>
        <c:dLbls>
          <c:dLblPos val="outEnd"/>
          <c:showLegendKey val="0"/>
          <c:showVal val="1"/>
          <c:showCatName val="0"/>
          <c:showSerName val="0"/>
          <c:showPercent val="0"/>
          <c:showBubbleSize val="0"/>
        </c:dLbls>
        <c:gapWidth val="219"/>
        <c:overlap val="-27"/>
        <c:axId val="1715711696"/>
        <c:axId val="1715688816"/>
      </c:barChart>
      <c:catAx>
        <c:axId val="1715711696"/>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s-PE"/>
                  <a:t>Tests</a:t>
                </a: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PE"/>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PE"/>
          </a:p>
        </c:txPr>
        <c:crossAx val="1715688816"/>
        <c:crosses val="autoZero"/>
        <c:auto val="1"/>
        <c:lblAlgn val="ctr"/>
        <c:lblOffset val="100"/>
        <c:noMultiLvlLbl val="0"/>
      </c:catAx>
      <c:valAx>
        <c:axId val="17156888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s-PE"/>
                  <a:t>Cyanide (mg/L)</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PE"/>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PE"/>
          </a:p>
        </c:txPr>
        <c:crossAx val="171571169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es-PE"/>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486396642053982"/>
          <c:y val="8.6075585015844905E-2"/>
          <c:w val="0.77971674990042583"/>
          <c:h val="0.69264654418197724"/>
        </c:manualLayout>
      </c:layout>
      <c:barChart>
        <c:barDir val="col"/>
        <c:grouping val="clustered"/>
        <c:varyColors val="0"/>
        <c:ser>
          <c:idx val="0"/>
          <c:order val="0"/>
          <c:spPr>
            <a:solidFill>
              <a:schemeClr val="accent1"/>
            </a:solidFill>
            <a:ln>
              <a:noFill/>
            </a:ln>
            <a:effectLst/>
          </c:spPr>
          <c:invertIfNegative val="0"/>
          <c:dPt>
            <c:idx val="0"/>
            <c:invertIfNegative val="0"/>
            <c:bubble3D val="0"/>
            <c:spPr>
              <a:solidFill>
                <a:schemeClr val="accent6">
                  <a:lumMod val="40000"/>
                  <a:lumOff val="60000"/>
                </a:schemeClr>
              </a:solidFill>
              <a:ln>
                <a:noFill/>
              </a:ln>
              <a:effectLst/>
            </c:spPr>
            <c:extLst>
              <c:ext xmlns:c16="http://schemas.microsoft.com/office/drawing/2014/chart" uri="{C3380CC4-5D6E-409C-BE32-E72D297353CC}">
                <c16:uniqueId val="{00000001-FA2B-4B22-9245-4E4090D9799E}"/>
              </c:ext>
            </c:extLst>
          </c:dPt>
          <c:dLbls>
            <c:dLbl>
              <c:idx val="3"/>
              <c:tx>
                <c:rich>
                  <a:bodyPr/>
                  <a:lstStyle/>
                  <a:p>
                    <a:fld id="{55C10903-4049-4FA6-A4B8-0B40B79C7D1A}" type="VALUE">
                      <a:rPr lang="en-US" b="1"/>
                      <a:pPr/>
                      <a:t>[VALOR]</a:t>
                    </a:fld>
                    <a:endParaRPr lang="es-PE"/>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FA2B-4B22-9245-4E4090D9799E}"/>
                </c:ext>
              </c:extLst>
            </c:dLbl>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mn-lt"/>
                    <a:ea typeface="+mn-ea"/>
                    <a:cs typeface="+mn-cs"/>
                  </a:defRPr>
                </a:pPr>
                <a:endParaRPr lang="es-P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Hoja2!$G$17:$G$20</c:f>
              <c:strCache>
                <c:ptCount val="4"/>
                <c:pt idx="0">
                  <c:v>Initial 
(0 days)</c:v>
                </c:pt>
                <c:pt idx="1">
                  <c:v>R1 
5 days</c:v>
                </c:pt>
                <c:pt idx="2">
                  <c:v>R2
6 days</c:v>
                </c:pt>
                <c:pt idx="3">
                  <c:v>R3
(7 days)</c:v>
                </c:pt>
              </c:strCache>
            </c:strRef>
          </c:cat>
          <c:val>
            <c:numRef>
              <c:f>Hoja2!$H$17:$H$20</c:f>
              <c:numCache>
                <c:formatCode>General</c:formatCode>
                <c:ptCount val="4"/>
                <c:pt idx="0" formatCode="#,##0">
                  <c:v>1352</c:v>
                </c:pt>
                <c:pt idx="1">
                  <c:v>418.8</c:v>
                </c:pt>
                <c:pt idx="2">
                  <c:v>325.10000000000002</c:v>
                </c:pt>
                <c:pt idx="3">
                  <c:v>285</c:v>
                </c:pt>
              </c:numCache>
            </c:numRef>
          </c:val>
          <c:extLst>
            <c:ext xmlns:c16="http://schemas.microsoft.com/office/drawing/2014/chart" uri="{C3380CC4-5D6E-409C-BE32-E72D297353CC}">
              <c16:uniqueId val="{00000002-FA2B-4B22-9245-4E4090D9799E}"/>
            </c:ext>
          </c:extLst>
        </c:ser>
        <c:dLbls>
          <c:dLblPos val="outEnd"/>
          <c:showLegendKey val="0"/>
          <c:showVal val="1"/>
          <c:showCatName val="0"/>
          <c:showSerName val="0"/>
          <c:showPercent val="0"/>
          <c:showBubbleSize val="0"/>
        </c:dLbls>
        <c:gapWidth val="219"/>
        <c:overlap val="-27"/>
        <c:axId val="1664317424"/>
        <c:axId val="1664309936"/>
      </c:barChart>
      <c:catAx>
        <c:axId val="1664317424"/>
        <c:scaling>
          <c:orientation val="minMax"/>
        </c:scaling>
        <c:delete val="0"/>
        <c:axPos val="b"/>
        <c:title>
          <c:tx>
            <c:rich>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s-PE"/>
                  <a:t>Tests</a:t>
                </a:r>
              </a:p>
            </c:rich>
          </c:tx>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PE"/>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PE"/>
          </a:p>
        </c:txPr>
        <c:crossAx val="1664309936"/>
        <c:crosses val="autoZero"/>
        <c:auto val="1"/>
        <c:lblAlgn val="ctr"/>
        <c:lblOffset val="100"/>
        <c:noMultiLvlLbl val="0"/>
      </c:catAx>
      <c:valAx>
        <c:axId val="16643099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s-PE"/>
                  <a:t>Cyanide (mg/L)</a:t>
                </a:r>
              </a:p>
            </c:rich>
          </c:tx>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PE"/>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PE"/>
          </a:p>
        </c:txPr>
        <c:crossAx val="166431742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700"/>
      </a:pPr>
      <a:endParaRPr lang="es-P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369C77-0CF0-4981-A253-EEAF600C32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389</TotalTime>
  <Pages>6</Pages>
  <Words>2911</Words>
  <Characters>16011</Characters>
  <Application>Microsoft Office Word</Application>
  <DocSecurity>0</DocSecurity>
  <Lines>133</Lines>
  <Paragraphs>37</Paragraphs>
  <ScaleCrop>false</ScaleCrop>
  <HeadingPairs>
    <vt:vector size="6" baseType="variant">
      <vt:variant>
        <vt:lpstr>Título</vt:lpstr>
      </vt:variant>
      <vt:variant>
        <vt:i4>1</vt:i4>
      </vt:variant>
      <vt:variant>
        <vt:lpstr>Titolo</vt:lpstr>
      </vt:variant>
      <vt:variant>
        <vt:i4>1</vt:i4>
      </vt:variant>
      <vt:variant>
        <vt:lpstr>Title</vt:lpstr>
      </vt:variant>
      <vt:variant>
        <vt:i4>1</vt:i4>
      </vt:variant>
    </vt:vector>
  </HeadingPairs>
  <TitlesOfParts>
    <vt:vector size="3" baseType="lpstr">
      <vt:lpstr/>
      <vt:lpstr/>
      <vt:lpstr/>
    </vt:vector>
  </TitlesOfParts>
  <Company>Dipartimento CMIC - Politecnico di Milano</Company>
  <LinksUpToDate>false</LinksUpToDate>
  <CharactersWithSpaces>18885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raffaella</dc:creator>
  <cp:lastModifiedBy>Elmer</cp:lastModifiedBy>
  <cp:revision>15</cp:revision>
  <cp:lastPrinted>2015-05-12T18:31:00Z</cp:lastPrinted>
  <dcterms:created xsi:type="dcterms:W3CDTF">2022-02-02T01:23:00Z</dcterms:created>
  <dcterms:modified xsi:type="dcterms:W3CDTF">2022-04-01T23:54:00Z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zotero-version="5.0.96.3"&gt;&lt;session id="lt1NdiZR"/&gt;&lt;style id="http://www.zotero.org/styles/elsevier-harvard" hasBibliography="1" bibliographyStyleHasBeenSet="1"/&gt;&lt;prefs&gt;&lt;pref name="fieldType" value="Field"/&gt;&lt;pref name="storeReference</vt:lpwstr>
  </property>
  <property fmtid="{D5CDD505-2E9C-101B-9397-08002B2CF9AE}" pid="3" name="ZOTERO_PREF_2">
    <vt:lpwstr>s" value="true"/&gt;&lt;/prefs&gt;&lt;/data&gt;</vt:lpwstr>
  </property>
</Properties>
</file>