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1EEF6F50" w:rsidR="000A03B2" w:rsidRPr="00B57B36" w:rsidRDefault="00A76EFC" w:rsidP="004C3D1D">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35204533" w:rsidR="000A03B2" w:rsidRPr="00B57B36" w:rsidRDefault="005A3E9C" w:rsidP="00CD5FE2">
            <w:pPr>
              <w:spacing w:line="140" w:lineRule="atLeast"/>
              <w:jc w:val="right"/>
              <w:rPr>
                <w:rFonts w:cs="Arial"/>
                <w:sz w:val="14"/>
                <w:szCs w:val="14"/>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7D24D70F" w:rsidR="00300E56" w:rsidRPr="0014464F" w:rsidRDefault="00300E56" w:rsidP="00EC0E49">
            <w:pPr>
              <w:tabs>
                <w:tab w:val="left" w:pos="-108"/>
              </w:tabs>
              <w:spacing w:line="140" w:lineRule="atLeast"/>
              <w:ind w:left="-108"/>
              <w:jc w:val="left"/>
              <w:rPr>
                <w:rFonts w:ascii="Tahoma" w:hAnsi="Tahoma" w:cs="Tahoma"/>
                <w:iCs/>
                <w:color w:val="333333"/>
                <w:sz w:val="14"/>
                <w:szCs w:val="14"/>
                <w:lang w:val="en-US" w:eastAsia="it-IT"/>
              </w:rPr>
            </w:pPr>
            <w:r w:rsidRPr="0014464F">
              <w:rPr>
                <w:rFonts w:ascii="Tahoma" w:hAnsi="Tahoma" w:cs="Tahoma"/>
                <w:iCs/>
                <w:color w:val="333333"/>
                <w:sz w:val="14"/>
                <w:szCs w:val="14"/>
                <w:lang w:val="en-US" w:eastAsia="it-IT"/>
              </w:rPr>
              <w:t>Guest Editors:</w:t>
            </w:r>
            <w:r w:rsidR="00904C62" w:rsidRPr="0014464F">
              <w:rPr>
                <w:rFonts w:ascii="Tahoma" w:hAnsi="Tahoma" w:cs="Tahoma"/>
                <w:iCs/>
                <w:color w:val="333333"/>
                <w:sz w:val="14"/>
                <w:szCs w:val="14"/>
                <w:lang w:val="en-US" w:eastAsia="it-IT"/>
              </w:rPr>
              <w:t xml:space="preserve"> </w:t>
            </w:r>
          </w:p>
          <w:p w14:paraId="1B0F1814" w14:textId="6CE52C7C" w:rsidR="000A03B2" w:rsidRPr="00B57B36" w:rsidRDefault="0014464F" w:rsidP="00180860">
            <w:pPr>
              <w:tabs>
                <w:tab w:val="left" w:pos="-108"/>
              </w:tabs>
              <w:spacing w:line="140" w:lineRule="atLeast"/>
              <w:ind w:left="-108"/>
              <w:jc w:val="left"/>
            </w:pPr>
            <w:r>
              <w:rPr>
                <w:rFonts w:ascii="Tahoma" w:hAnsi="Tahoma" w:cs="Tahoma"/>
                <w:iCs/>
                <w:color w:val="333333"/>
                <w:sz w:val="14"/>
                <w:szCs w:val="14"/>
                <w:lang w:eastAsia="it-IT"/>
              </w:rPr>
              <w:t xml:space="preserve">Copyright </w:t>
            </w:r>
            <w:proofErr w:type="gramStart"/>
            <w:r>
              <w:rPr>
                <w:rFonts w:ascii="Tahoma" w:hAnsi="Tahoma" w:cs="Tahoma"/>
                <w:iCs/>
                <w:color w:val="333333"/>
                <w:sz w:val="14"/>
                <w:szCs w:val="14"/>
                <w:lang w:eastAsia="it-IT"/>
              </w:rPr>
              <w:t xml:space="preserve">© </w:t>
            </w:r>
            <w:r w:rsidR="00904C62" w:rsidRPr="00B57B36">
              <w:rPr>
                <w:rFonts w:ascii="Tahoma" w:hAnsi="Tahoma" w:cs="Tahoma"/>
                <w:iCs/>
                <w:color w:val="333333"/>
                <w:sz w:val="14"/>
                <w:szCs w:val="14"/>
                <w:lang w:eastAsia="it-IT"/>
              </w:rPr>
              <w:t xml:space="preserve"> AIDIC</w:t>
            </w:r>
            <w:proofErr w:type="gram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180860" w:rsidRPr="00B57B36">
              <w:rPr>
                <w:rFonts w:ascii="Tahoma" w:hAnsi="Tahoma" w:cs="Tahoma"/>
                <w:b/>
                <w:iCs/>
                <w:color w:val="333333"/>
                <w:sz w:val="14"/>
                <w:szCs w:val="14"/>
                <w:lang w:eastAsia="it-IT"/>
              </w:rPr>
              <w:t>IS</w:t>
            </w:r>
            <w:r w:rsidR="00180860">
              <w:rPr>
                <w:rFonts w:ascii="Tahoma" w:hAnsi="Tahoma" w:cs="Tahoma"/>
                <w:b/>
                <w:iCs/>
                <w:color w:val="333333"/>
                <w:sz w:val="14"/>
                <w:szCs w:val="14"/>
                <w:lang w:eastAsia="it-IT"/>
              </w:rPr>
              <w:t xml:space="preserve">BN </w:t>
            </w:r>
            <w:r w:rsidR="00180860" w:rsidRPr="00D642A9">
              <w:rPr>
                <w:rFonts w:ascii="Tahoma" w:hAnsi="Tahoma" w:cs="Tahoma"/>
                <w:sz w:val="14"/>
                <w:szCs w:val="14"/>
                <w:lang w:val="en-US"/>
              </w:rPr>
              <w:t>978-88-95608</w:t>
            </w:r>
            <w:r w:rsidR="00180860">
              <w:rPr>
                <w:rFonts w:ascii="Tahoma" w:hAnsi="Tahoma" w:cs="Tahoma"/>
                <w:sz w:val="14"/>
                <w:szCs w:val="14"/>
                <w:lang w:val="en-US"/>
              </w:rPr>
              <w:t xml:space="preserve">-xx-x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36515405" w:rsidR="00E978D0" w:rsidRPr="003C1B86" w:rsidRDefault="003C1B86" w:rsidP="00E978D0">
      <w:pPr>
        <w:pStyle w:val="CETTitle"/>
      </w:pPr>
      <w:r w:rsidRPr="003C1B86">
        <w:t xml:space="preserve">Alternative energy by bioelectrogenesis from the bacteria </w:t>
      </w:r>
      <w:r w:rsidRPr="008475EF">
        <w:rPr>
          <w:i/>
          <w:iCs/>
        </w:rPr>
        <w:t>Pseudomonas aeruginosa</w:t>
      </w:r>
      <w:r w:rsidRPr="003C1B86">
        <w:t xml:space="preserve"> and </w:t>
      </w:r>
      <w:r w:rsidRPr="008475EF">
        <w:rPr>
          <w:i/>
          <w:iCs/>
        </w:rPr>
        <w:t xml:space="preserve">Aeromonas </w:t>
      </w:r>
      <w:proofErr w:type="spellStart"/>
      <w:r w:rsidRPr="008475EF">
        <w:rPr>
          <w:i/>
          <w:iCs/>
        </w:rPr>
        <w:t>hydrophila</w:t>
      </w:r>
      <w:proofErr w:type="spellEnd"/>
    </w:p>
    <w:p w14:paraId="3B2CFA80" w14:textId="77777777" w:rsidR="00D53CC9" w:rsidRPr="003C1B86" w:rsidRDefault="00D53CC9" w:rsidP="00D53CC9">
      <w:pPr>
        <w:pStyle w:val="CETAuthors"/>
      </w:pPr>
    </w:p>
    <w:p w14:paraId="2B3CA35C" w14:textId="6F741D3D" w:rsidR="00E978D0" w:rsidRPr="00D53CC9" w:rsidRDefault="00D53CC9" w:rsidP="00D53CC9">
      <w:pPr>
        <w:pStyle w:val="CETAuthors"/>
        <w:jc w:val="left"/>
        <w:rPr>
          <w:lang w:val="es-PE"/>
        </w:rPr>
      </w:pPr>
      <w:r w:rsidRPr="00D53CC9">
        <w:rPr>
          <w:lang w:val="es-PE"/>
        </w:rPr>
        <w:t xml:space="preserve">Mariela Medina Mori, Haydeé Suarez Alvites, </w:t>
      </w:r>
      <w:r w:rsidR="009E6F5C" w:rsidRPr="009E6F5C">
        <w:rPr>
          <w:lang w:val="es-PE"/>
        </w:rPr>
        <w:t>Rosario del Pilar López Padilla</w:t>
      </w:r>
      <w:r w:rsidR="009E6F5C">
        <w:rPr>
          <w:lang w:val="es-PE"/>
        </w:rPr>
        <w:t xml:space="preserve">, </w:t>
      </w:r>
      <w:r w:rsidRPr="00D53CC9">
        <w:rPr>
          <w:lang w:val="es-PE"/>
        </w:rPr>
        <w:t>Carlos Castañeda Olivera, Elmer Benites-Alfaro</w:t>
      </w:r>
      <w:r w:rsidR="00B7067B">
        <w:rPr>
          <w:lang w:val="es-PE"/>
        </w:rPr>
        <w:t>*</w:t>
      </w:r>
    </w:p>
    <w:p w14:paraId="49F36DD4" w14:textId="77777777" w:rsidR="009E6F5C" w:rsidRPr="009E6F5C" w:rsidRDefault="009E6F5C" w:rsidP="009E6F5C">
      <w:pPr>
        <w:pStyle w:val="CETBodytext"/>
        <w:rPr>
          <w:noProof/>
          <w:sz w:val="16"/>
          <w:lang w:val="es-PE"/>
        </w:rPr>
      </w:pPr>
      <w:r w:rsidRPr="009E6F5C">
        <w:rPr>
          <w:noProof/>
          <w:sz w:val="16"/>
          <w:lang w:val="es-PE"/>
        </w:rPr>
        <w:t xml:space="preserve">Universidad César Vallejo, Av. Alfredo Mendiola 6232 Los Olivos Lima Perú </w:t>
      </w:r>
    </w:p>
    <w:p w14:paraId="046593D1" w14:textId="10874815" w:rsidR="009E6F5C" w:rsidRPr="00946CFF" w:rsidRDefault="009E6F5C" w:rsidP="009E6F5C">
      <w:pPr>
        <w:pStyle w:val="CETBodytext"/>
        <w:rPr>
          <w:noProof/>
          <w:sz w:val="16"/>
          <w:lang w:val="en-GB"/>
        </w:rPr>
      </w:pPr>
      <w:r w:rsidRPr="00946CFF">
        <w:rPr>
          <w:noProof/>
          <w:sz w:val="16"/>
          <w:lang w:val="en-GB"/>
        </w:rPr>
        <w:t xml:space="preserve">*corresponding: </w:t>
      </w:r>
      <w:r w:rsidR="00B7067B" w:rsidRPr="00946CFF">
        <w:rPr>
          <w:noProof/>
          <w:sz w:val="16"/>
          <w:lang w:val="en-GB"/>
        </w:rPr>
        <w:t>ebenitesa@ucv.edu.pe</w:t>
      </w:r>
    </w:p>
    <w:p w14:paraId="4FB2DDC8" w14:textId="025E872D" w:rsidR="003C1B86" w:rsidRPr="003C1B86" w:rsidRDefault="003C1B86" w:rsidP="000837D6">
      <w:pPr>
        <w:pStyle w:val="CETHeading1"/>
        <w:numPr>
          <w:ilvl w:val="0"/>
          <w:numId w:val="0"/>
        </w:numPr>
        <w:jc w:val="both"/>
        <w:rPr>
          <w:b w:val="0"/>
          <w:sz w:val="18"/>
          <w:lang w:val="en-GB"/>
        </w:rPr>
      </w:pPr>
      <w:r w:rsidRPr="003C1B86">
        <w:rPr>
          <w:b w:val="0"/>
          <w:sz w:val="18"/>
          <w:lang w:val="en-GB"/>
        </w:rPr>
        <w:t xml:space="preserve">Bioelectrogenesis allows the transformation of chemical energy into electrical energy by means of microbial fuel cells. The research aimed to determine the amount of energy generated by bioelectrogenesis using </w:t>
      </w:r>
      <w:r w:rsidRPr="008475EF">
        <w:rPr>
          <w:b w:val="0"/>
          <w:i/>
          <w:iCs/>
          <w:sz w:val="18"/>
          <w:lang w:val="en-GB"/>
        </w:rPr>
        <w:t>Pseudomonas aeruginosa</w:t>
      </w:r>
      <w:r w:rsidRPr="003C1B86">
        <w:rPr>
          <w:b w:val="0"/>
          <w:sz w:val="18"/>
          <w:lang w:val="en-GB"/>
        </w:rPr>
        <w:t xml:space="preserve"> and </w:t>
      </w:r>
      <w:r w:rsidRPr="008475EF">
        <w:rPr>
          <w:b w:val="0"/>
          <w:i/>
          <w:iCs/>
          <w:sz w:val="18"/>
          <w:lang w:val="en-GB"/>
        </w:rPr>
        <w:t xml:space="preserve">Aeromonas </w:t>
      </w:r>
      <w:proofErr w:type="spellStart"/>
      <w:r w:rsidRPr="008475EF">
        <w:rPr>
          <w:b w:val="0"/>
          <w:i/>
          <w:iCs/>
          <w:sz w:val="18"/>
          <w:lang w:val="en-GB"/>
        </w:rPr>
        <w:t>hydrophila</w:t>
      </w:r>
      <w:proofErr w:type="spellEnd"/>
      <w:r w:rsidRPr="008475EF">
        <w:rPr>
          <w:b w:val="0"/>
          <w:i/>
          <w:iCs/>
          <w:sz w:val="18"/>
          <w:lang w:val="en-GB"/>
        </w:rPr>
        <w:t xml:space="preserve"> bacteria</w:t>
      </w:r>
      <w:r w:rsidRPr="003C1B86">
        <w:rPr>
          <w:b w:val="0"/>
          <w:sz w:val="18"/>
          <w:lang w:val="en-GB"/>
        </w:rPr>
        <w:t xml:space="preserve">. Four double chamber H-type glass microbial fuel cells with a capacity of 500 mL and 2 control cells were constructed, using graphite or </w:t>
      </w:r>
      <w:r w:rsidR="008475EF" w:rsidRPr="003C1B86">
        <w:rPr>
          <w:b w:val="0"/>
          <w:sz w:val="18"/>
          <w:lang w:val="en-GB"/>
        </w:rPr>
        <w:t>aluminium</w:t>
      </w:r>
      <w:r w:rsidRPr="003C1B86">
        <w:rPr>
          <w:b w:val="0"/>
          <w:sz w:val="18"/>
          <w:lang w:val="en-GB"/>
        </w:rPr>
        <w:t xml:space="preserve"> rod electrodes at the anode and graphite rod at the cathode for all the cells. 325 mL of anaerobic sludge and 75 mL of wastewater from a wastewater treatment plant were inoculated as substrate for the bacteria in the anode, where 50 mL of the aforementioned bacteria strain were inoculated, respectively. The experimental part was carried out in 20 days; the conditions of the cells were evaluated in terms of temperature and pH, characteristics of the bacteria and the </w:t>
      </w:r>
      <w:r w:rsidR="002B3A15" w:rsidRPr="003C1B86">
        <w:rPr>
          <w:b w:val="0"/>
          <w:sz w:val="18"/>
          <w:lang w:val="en-GB"/>
        </w:rPr>
        <w:t>behaviour</w:t>
      </w:r>
      <w:r w:rsidRPr="003C1B86">
        <w:rPr>
          <w:b w:val="0"/>
          <w:sz w:val="18"/>
          <w:lang w:val="en-GB"/>
        </w:rPr>
        <w:t xml:space="preserve"> of the voltage generated. It was established that the bacteria that generated the highest voltage was </w:t>
      </w:r>
      <w:r w:rsidRPr="00042064">
        <w:rPr>
          <w:b w:val="0"/>
          <w:i/>
          <w:iCs/>
          <w:sz w:val="18"/>
          <w:lang w:val="en-GB"/>
        </w:rPr>
        <w:t>Pseudomonas aeruginosa</w:t>
      </w:r>
      <w:r w:rsidRPr="003C1B86">
        <w:rPr>
          <w:b w:val="0"/>
          <w:sz w:val="18"/>
          <w:lang w:val="en-GB"/>
        </w:rPr>
        <w:t xml:space="preserve"> with 0.</w:t>
      </w:r>
      <w:r w:rsidR="002B3A15">
        <w:rPr>
          <w:b w:val="0"/>
          <w:sz w:val="18"/>
          <w:lang w:val="en-GB"/>
        </w:rPr>
        <w:t>89</w:t>
      </w:r>
      <w:r w:rsidRPr="003C1B86">
        <w:rPr>
          <w:b w:val="0"/>
          <w:sz w:val="18"/>
          <w:lang w:val="en-GB"/>
        </w:rPr>
        <w:t xml:space="preserve">60V, using an </w:t>
      </w:r>
      <w:proofErr w:type="spellStart"/>
      <w:r w:rsidRPr="003C1B86">
        <w:rPr>
          <w:b w:val="0"/>
          <w:sz w:val="18"/>
          <w:lang w:val="en-GB"/>
        </w:rPr>
        <w:t>aluminum</w:t>
      </w:r>
      <w:proofErr w:type="spellEnd"/>
      <w:r w:rsidRPr="003C1B86">
        <w:rPr>
          <w:b w:val="0"/>
          <w:sz w:val="18"/>
          <w:lang w:val="en-GB"/>
        </w:rPr>
        <w:t xml:space="preserve"> electrode in the anode chamber. The results indicate that bioelectrogenesis using bacteria in anaerobic sludge and wastewater is a promising technology for obtaining clean and low-cost energy.</w:t>
      </w:r>
    </w:p>
    <w:p w14:paraId="476B2F2E" w14:textId="53245C68" w:rsidR="00600535" w:rsidRDefault="00600535" w:rsidP="00600535">
      <w:pPr>
        <w:pStyle w:val="CETHeading1"/>
        <w:rPr>
          <w:lang w:val="en-GB"/>
        </w:rPr>
      </w:pPr>
      <w:r w:rsidRPr="00B57B36">
        <w:rPr>
          <w:lang w:val="en-GB"/>
        </w:rPr>
        <w:t>Introduction</w:t>
      </w:r>
    </w:p>
    <w:p w14:paraId="4EAC419C" w14:textId="77777777" w:rsidR="00FD04B2" w:rsidRPr="00FD04B2" w:rsidRDefault="00FD04B2" w:rsidP="00FD04B2">
      <w:pPr>
        <w:pStyle w:val="CETBodytext"/>
      </w:pPr>
      <w:r w:rsidRPr="00FD04B2">
        <w:t>Fossil energy sources in the world are becoming increasingly scarce, so there is a need to replace them with sustainable and renewable energy, one of the alternatives is bioenergy, which according to data only represents 10% of primary energy worldwide (IEA, 2022). An emerging biotechnology application is the generation of energy using microbial fuel cells where microorganisms are used to convert the chemical energy in a substrate into electrical energy through metabolic activity by transferring electrons to an anode electrode which, when placed in circuit with a cathode chamber separated by a proton membrane, produces electrical energy (</w:t>
      </w:r>
      <w:proofErr w:type="spellStart"/>
      <w:r w:rsidRPr="00FD04B2">
        <w:t>Revelo</w:t>
      </w:r>
      <w:proofErr w:type="spellEnd"/>
      <w:r w:rsidRPr="00FD04B2">
        <w:t xml:space="preserve"> et al., 2013).</w:t>
      </w:r>
    </w:p>
    <w:p w14:paraId="7A038703" w14:textId="4F5306C1" w:rsidR="001A4CB2" w:rsidRDefault="005B33A6" w:rsidP="00FD04B2">
      <w:pPr>
        <w:pStyle w:val="CETBodytext"/>
      </w:pPr>
      <w:r w:rsidRPr="005B33A6">
        <w:t xml:space="preserve">Research has been carried out on the use of bioelectrogenesis, it is indicated that the substrate has a relevant role in the anodic behavior of the microbiological fuel cell, it has been tested with acetate as a substrate in the cells, giving a significant generation of electricity; In the same way, the characterization of the microorganisms in suspension and the biofilm by means of the Illumina technique, showed that </w:t>
      </w:r>
      <w:proofErr w:type="spellStart"/>
      <w:r w:rsidRPr="005B33A6">
        <w:rPr>
          <w:i/>
          <w:iCs/>
        </w:rPr>
        <w:t>Desulfuromonas</w:t>
      </w:r>
      <w:proofErr w:type="spellEnd"/>
      <w:r w:rsidRPr="005B33A6">
        <w:rPr>
          <w:i/>
          <w:iCs/>
        </w:rPr>
        <w:t xml:space="preserve">, </w:t>
      </w:r>
      <w:proofErr w:type="spellStart"/>
      <w:r w:rsidRPr="005B33A6">
        <w:rPr>
          <w:i/>
          <w:iCs/>
        </w:rPr>
        <w:t>Solitalea</w:t>
      </w:r>
      <w:proofErr w:type="spellEnd"/>
      <w:r w:rsidRPr="005B33A6">
        <w:rPr>
          <w:i/>
          <w:iCs/>
        </w:rPr>
        <w:t xml:space="preserve">, </w:t>
      </w:r>
      <w:proofErr w:type="spellStart"/>
      <w:r w:rsidRPr="005B33A6">
        <w:rPr>
          <w:i/>
          <w:iCs/>
        </w:rPr>
        <w:t>Acholeplasma</w:t>
      </w:r>
      <w:proofErr w:type="spellEnd"/>
      <w:r w:rsidRPr="005B33A6">
        <w:rPr>
          <w:i/>
          <w:iCs/>
        </w:rPr>
        <w:t xml:space="preserve">, </w:t>
      </w:r>
      <w:proofErr w:type="spellStart"/>
      <w:r w:rsidRPr="005B33A6">
        <w:rPr>
          <w:i/>
          <w:iCs/>
        </w:rPr>
        <w:t>Desulfobacula</w:t>
      </w:r>
      <w:proofErr w:type="spellEnd"/>
      <w:r w:rsidRPr="005B33A6">
        <w:rPr>
          <w:i/>
          <w:iCs/>
        </w:rPr>
        <w:t xml:space="preserve"> </w:t>
      </w:r>
      <w:r w:rsidRPr="005B33A6">
        <w:t>and</w:t>
      </w:r>
      <w:r w:rsidRPr="005B33A6">
        <w:rPr>
          <w:i/>
          <w:iCs/>
        </w:rPr>
        <w:t xml:space="preserve"> </w:t>
      </w:r>
      <w:proofErr w:type="spellStart"/>
      <w:r w:rsidRPr="005B33A6">
        <w:rPr>
          <w:i/>
          <w:iCs/>
        </w:rPr>
        <w:t>Sphaerochaeta</w:t>
      </w:r>
      <w:proofErr w:type="spellEnd"/>
      <w:r w:rsidRPr="005B33A6">
        <w:t xml:space="preserve"> are the main responsible for the generation of energy</w:t>
      </w:r>
      <w:r>
        <w:t xml:space="preserve"> (Ma</w:t>
      </w:r>
      <w:r w:rsidR="001A4CB2" w:rsidRPr="001A4CB2">
        <w:t>t</w:t>
      </w:r>
      <w:r w:rsidR="001A4CB2">
        <w:t>eo S.</w:t>
      </w:r>
      <w:r w:rsidR="001A4CB2" w:rsidRPr="001A4CB2">
        <w:t>, 2018).</w:t>
      </w:r>
    </w:p>
    <w:p w14:paraId="49DC3A58" w14:textId="745F79A5" w:rsidR="00FD04B2" w:rsidRPr="00FD04B2" w:rsidRDefault="00FD04B2" w:rsidP="00FD04B2">
      <w:pPr>
        <w:pStyle w:val="CETBodytext"/>
      </w:pPr>
      <w:r w:rsidRPr="00FD04B2">
        <w:t xml:space="preserve">Electrical energy has been obtained from wastewater from the Rio Seco industrial park, with the syntrophic association of the microalgae </w:t>
      </w:r>
      <w:r w:rsidRPr="005B33A6">
        <w:rPr>
          <w:i/>
          <w:iCs/>
        </w:rPr>
        <w:t xml:space="preserve">Chlorella vulgaris </w:t>
      </w:r>
      <w:r w:rsidRPr="005B33A6">
        <w:t>and</w:t>
      </w:r>
      <w:r w:rsidRPr="005B33A6">
        <w:rPr>
          <w:i/>
          <w:iCs/>
        </w:rPr>
        <w:t xml:space="preserve"> Scenedesmus obliquus</w:t>
      </w:r>
      <w:r w:rsidRPr="00FD04B2">
        <w:t xml:space="preserve"> and a consortium of anaerobic bacteria native to the wastewater, this </w:t>
      </w:r>
      <w:proofErr w:type="spellStart"/>
      <w:r w:rsidRPr="00FD04B2">
        <w:t>bioelectrochemical</w:t>
      </w:r>
      <w:proofErr w:type="spellEnd"/>
      <w:r w:rsidRPr="00FD04B2">
        <w:t xml:space="preserve"> system generated an average voltage of 66. 50 ± 1.70 mV, an average current density of 0.02 ± 0.00 mA/mm</w:t>
      </w:r>
      <w:r w:rsidRPr="008475EF">
        <w:rPr>
          <w:vertAlign w:val="superscript"/>
        </w:rPr>
        <w:t xml:space="preserve">2 </w:t>
      </w:r>
      <w:r w:rsidRPr="00FD04B2">
        <w:t xml:space="preserve">and an average power density of 2.43 ± 0.33 </w:t>
      </w:r>
      <w:proofErr w:type="spellStart"/>
      <w:r w:rsidRPr="00FD04B2">
        <w:t>mW</w:t>
      </w:r>
      <w:proofErr w:type="spellEnd"/>
      <w:r w:rsidRPr="00FD04B2">
        <w:t>/mm</w:t>
      </w:r>
      <w:r w:rsidRPr="008475EF">
        <w:rPr>
          <w:vertAlign w:val="superscript"/>
        </w:rPr>
        <w:t>2</w:t>
      </w:r>
      <w:r w:rsidRPr="00FD04B2">
        <w:t>, up to 14 days of evaluation (</w:t>
      </w:r>
      <w:proofErr w:type="spellStart"/>
      <w:r w:rsidRPr="00FD04B2">
        <w:t>Terán</w:t>
      </w:r>
      <w:proofErr w:type="spellEnd"/>
      <w:r w:rsidRPr="00FD04B2">
        <w:t>, 2017).</w:t>
      </w:r>
    </w:p>
    <w:p w14:paraId="20B72CE5" w14:textId="77777777" w:rsidR="00FD04B2" w:rsidRPr="00FD04B2" w:rsidRDefault="00FD04B2" w:rsidP="00FD04B2">
      <w:pPr>
        <w:pStyle w:val="CETBodytext"/>
      </w:pPr>
      <w:r w:rsidRPr="00FD04B2">
        <w:t xml:space="preserve">The design of a microbial fuel cell with electrodes such as copper and zinc, allowed the generation of bioelectricity whose average circuit voltage was 0.507 V, current of 476.7 </w:t>
      </w:r>
      <w:r w:rsidRPr="00FD04B2">
        <w:rPr>
          <w:lang w:val="es-PE"/>
        </w:rPr>
        <w:t>μ</w:t>
      </w:r>
      <w:r w:rsidRPr="00FD04B2">
        <w:t xml:space="preserve">A and maximum power density of </w:t>
      </w:r>
      <w:r w:rsidRPr="00FD04B2">
        <w:lastRenderedPageBreak/>
        <w:t xml:space="preserve">0.24 </w:t>
      </w:r>
      <w:proofErr w:type="spellStart"/>
      <w:r w:rsidRPr="00FD04B2">
        <w:t>mW</w:t>
      </w:r>
      <w:proofErr w:type="spellEnd"/>
      <w:r w:rsidRPr="00FD04B2">
        <w:t>/cm</w:t>
      </w:r>
      <w:r w:rsidRPr="008475EF">
        <w:rPr>
          <w:vertAlign w:val="superscript"/>
        </w:rPr>
        <w:t>2</w:t>
      </w:r>
      <w:r w:rsidRPr="00FD04B2">
        <w:t xml:space="preserve">; Also, the conductivity in the anode chamber was around 14.5 to 7.75 </w:t>
      </w:r>
      <w:r w:rsidRPr="00FD04B2">
        <w:rPr>
          <w:lang w:val="es-PE"/>
        </w:rPr>
        <w:t>μ</w:t>
      </w:r>
      <w:r w:rsidRPr="00FD04B2">
        <w:t>S/cm with an average pH of 8.0. (Rojas, S. et al., 2019).</w:t>
      </w:r>
    </w:p>
    <w:p w14:paraId="2E420863" w14:textId="044F4369" w:rsidR="00FD04B2" w:rsidRPr="00FD04B2" w:rsidRDefault="00FD04B2" w:rsidP="00FD04B2">
      <w:pPr>
        <w:pStyle w:val="CETBodytext"/>
      </w:pPr>
      <w:r w:rsidRPr="00FD04B2">
        <w:t xml:space="preserve">The selection of materials, measurements and components of a fuel cell have a positive impact on energy generation; in a microbial fuel cell process with temperatures ranging from 45 °C to 28 °C for 30 hours of evaluation, the optimum temperature was 38.31 °C using </w:t>
      </w:r>
      <w:r w:rsidRPr="001C4BF0">
        <w:rPr>
          <w:i/>
          <w:iCs/>
        </w:rPr>
        <w:t>Pseudomonas aer</w:t>
      </w:r>
      <w:r w:rsidR="00042064">
        <w:rPr>
          <w:i/>
          <w:iCs/>
        </w:rPr>
        <w:t>u</w:t>
      </w:r>
      <w:r w:rsidRPr="001C4BF0">
        <w:rPr>
          <w:i/>
          <w:iCs/>
        </w:rPr>
        <w:t>gin</w:t>
      </w:r>
      <w:r w:rsidR="00573BFA">
        <w:rPr>
          <w:i/>
          <w:iCs/>
        </w:rPr>
        <w:t>o</w:t>
      </w:r>
      <w:r w:rsidRPr="001C4BF0">
        <w:rPr>
          <w:i/>
          <w:iCs/>
        </w:rPr>
        <w:t>sa</w:t>
      </w:r>
      <w:r w:rsidRPr="00FD04B2">
        <w:t xml:space="preserve"> bacteria and 37.9 7°C for </w:t>
      </w:r>
      <w:r w:rsidRPr="00042064">
        <w:rPr>
          <w:i/>
          <w:iCs/>
        </w:rPr>
        <w:t>Escherichia coli</w:t>
      </w:r>
      <w:r w:rsidRPr="00FD04B2">
        <w:t xml:space="preserve">; In addition, pH values of 6. 3 and 6.5 with </w:t>
      </w:r>
      <w:r w:rsidR="00042064" w:rsidRPr="00573BFA">
        <w:rPr>
          <w:i/>
          <w:iCs/>
        </w:rPr>
        <w:t>Escherichia</w:t>
      </w:r>
      <w:r w:rsidRPr="00573BFA">
        <w:rPr>
          <w:i/>
          <w:iCs/>
        </w:rPr>
        <w:t xml:space="preserve"> coli</w:t>
      </w:r>
      <w:r w:rsidRPr="00FD04B2">
        <w:t xml:space="preserve"> bacteria generate higher energy, while using </w:t>
      </w:r>
      <w:r w:rsidRPr="00042064">
        <w:rPr>
          <w:i/>
          <w:iCs/>
        </w:rPr>
        <w:t>Pseudomonas aer</w:t>
      </w:r>
      <w:r w:rsidR="00042064" w:rsidRPr="00042064">
        <w:rPr>
          <w:i/>
          <w:iCs/>
        </w:rPr>
        <w:t>u</w:t>
      </w:r>
      <w:r w:rsidRPr="00042064">
        <w:rPr>
          <w:i/>
          <w:iCs/>
        </w:rPr>
        <w:t>gin</w:t>
      </w:r>
      <w:r w:rsidR="00573BFA">
        <w:rPr>
          <w:i/>
          <w:iCs/>
        </w:rPr>
        <w:t>o</w:t>
      </w:r>
      <w:r w:rsidRPr="00042064">
        <w:rPr>
          <w:i/>
          <w:iCs/>
        </w:rPr>
        <w:t>sa</w:t>
      </w:r>
      <w:r w:rsidRPr="00FD04B2">
        <w:t xml:space="preserve"> the values should be close to 7. The average voltage generated by </w:t>
      </w:r>
      <w:r w:rsidRPr="001C4BF0">
        <w:rPr>
          <w:i/>
          <w:iCs/>
        </w:rPr>
        <w:t>Pseudomonas aer</w:t>
      </w:r>
      <w:r w:rsidR="00042064">
        <w:rPr>
          <w:i/>
          <w:iCs/>
        </w:rPr>
        <w:t>u</w:t>
      </w:r>
      <w:r w:rsidRPr="001C4BF0">
        <w:rPr>
          <w:i/>
          <w:iCs/>
        </w:rPr>
        <w:t>gin</w:t>
      </w:r>
      <w:r w:rsidR="00573BFA">
        <w:rPr>
          <w:i/>
          <w:iCs/>
        </w:rPr>
        <w:t>o</w:t>
      </w:r>
      <w:r w:rsidRPr="001C4BF0">
        <w:rPr>
          <w:i/>
          <w:iCs/>
        </w:rPr>
        <w:t xml:space="preserve">sa </w:t>
      </w:r>
      <w:r w:rsidRPr="00FD04B2">
        <w:t xml:space="preserve">was 294.17 mV, while for </w:t>
      </w:r>
      <w:r w:rsidRPr="003024BE">
        <w:rPr>
          <w:i/>
          <w:iCs/>
        </w:rPr>
        <w:t>E</w:t>
      </w:r>
      <w:r w:rsidR="003024BE" w:rsidRPr="003024BE">
        <w:rPr>
          <w:i/>
          <w:iCs/>
        </w:rPr>
        <w:t>scherichia</w:t>
      </w:r>
      <w:r w:rsidRPr="003024BE">
        <w:rPr>
          <w:i/>
          <w:iCs/>
        </w:rPr>
        <w:t xml:space="preserve"> coli</w:t>
      </w:r>
      <w:r w:rsidRPr="00FD04B2">
        <w:t xml:space="preserve"> produced an average voltage of 186.44 mV (</w:t>
      </w:r>
      <w:proofErr w:type="spellStart"/>
      <w:r w:rsidRPr="00FD04B2">
        <w:t>Berm</w:t>
      </w:r>
      <w:r w:rsidR="0024795C">
        <w:t>ú</w:t>
      </w:r>
      <w:r w:rsidRPr="00FD04B2">
        <w:t>dez</w:t>
      </w:r>
      <w:proofErr w:type="spellEnd"/>
      <w:r w:rsidRPr="00FD04B2">
        <w:t xml:space="preserve"> and Bernal, 2018).</w:t>
      </w:r>
    </w:p>
    <w:p w14:paraId="2E562C00" w14:textId="684F9D28" w:rsidR="004577FE" w:rsidRDefault="00FD04B2" w:rsidP="000837D6">
      <w:pPr>
        <w:pStyle w:val="CETHeading1"/>
      </w:pPr>
      <w:r>
        <w:t>Methodology</w:t>
      </w:r>
    </w:p>
    <w:p w14:paraId="14F75255" w14:textId="77777777" w:rsidR="00FD04B2" w:rsidRPr="00FD04B2" w:rsidRDefault="00FD04B2" w:rsidP="00FD04B2">
      <w:pPr>
        <w:pStyle w:val="CETTabletitle"/>
        <w:jc w:val="both"/>
        <w:rPr>
          <w:i w:val="0"/>
        </w:rPr>
      </w:pPr>
      <w:r w:rsidRPr="00FD04B2">
        <w:rPr>
          <w:i w:val="0"/>
        </w:rPr>
        <w:t>The research was experimental in nature and was carried out according to the following steps:</w:t>
      </w:r>
    </w:p>
    <w:p w14:paraId="6F1E4FEE" w14:textId="71C2A78D" w:rsidR="00FD04B2" w:rsidRPr="00FD04B2" w:rsidRDefault="000837D6" w:rsidP="00FD04B2">
      <w:pPr>
        <w:pStyle w:val="CETTabletitle"/>
        <w:jc w:val="both"/>
        <w:rPr>
          <w:i w:val="0"/>
        </w:rPr>
      </w:pPr>
      <w:r>
        <w:rPr>
          <w:i w:val="0"/>
        </w:rPr>
        <w:t xml:space="preserve">2.1 </w:t>
      </w:r>
      <w:r w:rsidR="00FD04B2" w:rsidRPr="00FD04B2">
        <w:rPr>
          <w:i w:val="0"/>
        </w:rPr>
        <w:t>Obtaining the bacteria and adaptation.</w:t>
      </w:r>
    </w:p>
    <w:p w14:paraId="78ED617B" w14:textId="77777777" w:rsidR="00FD04B2" w:rsidRPr="00FD04B2" w:rsidRDefault="00FD04B2" w:rsidP="00FD04B2">
      <w:pPr>
        <w:pStyle w:val="CETTabletitle"/>
        <w:jc w:val="both"/>
        <w:rPr>
          <w:i w:val="0"/>
        </w:rPr>
      </w:pPr>
      <w:r w:rsidRPr="00FD04B2">
        <w:rPr>
          <w:i w:val="0"/>
        </w:rPr>
        <w:t xml:space="preserve">Bacterial strains of Pseudomonas aeruginosa and </w:t>
      </w:r>
      <w:r w:rsidRPr="00042064">
        <w:rPr>
          <w:iCs/>
        </w:rPr>
        <w:t xml:space="preserve">Aeromonas </w:t>
      </w:r>
      <w:proofErr w:type="spellStart"/>
      <w:r w:rsidRPr="00042064">
        <w:rPr>
          <w:iCs/>
        </w:rPr>
        <w:t>hydrophila</w:t>
      </w:r>
      <w:proofErr w:type="spellEnd"/>
      <w:r w:rsidRPr="00FD04B2">
        <w:rPr>
          <w:i w:val="0"/>
        </w:rPr>
        <w:t xml:space="preserve"> species were seeded to verify their adaptability and reproduction using Mc </w:t>
      </w:r>
      <w:proofErr w:type="spellStart"/>
      <w:r w:rsidRPr="00FD04B2">
        <w:rPr>
          <w:i w:val="0"/>
        </w:rPr>
        <w:t>Hillton</w:t>
      </w:r>
      <w:proofErr w:type="spellEnd"/>
      <w:r w:rsidRPr="00FD04B2">
        <w:rPr>
          <w:i w:val="0"/>
        </w:rPr>
        <w:t xml:space="preserve"> and Mac </w:t>
      </w:r>
      <w:proofErr w:type="spellStart"/>
      <w:r w:rsidRPr="00FD04B2">
        <w:rPr>
          <w:i w:val="0"/>
        </w:rPr>
        <w:t>Conkey</w:t>
      </w:r>
      <w:proofErr w:type="spellEnd"/>
      <w:r w:rsidRPr="00FD04B2">
        <w:rPr>
          <w:i w:val="0"/>
        </w:rPr>
        <w:t xml:space="preserve"> agar culture media, respectively. </w:t>
      </w:r>
    </w:p>
    <w:p w14:paraId="45C1ADFC" w14:textId="02A0019A" w:rsidR="00FD04B2" w:rsidRPr="00FD04B2" w:rsidRDefault="000837D6" w:rsidP="00FD04B2">
      <w:pPr>
        <w:pStyle w:val="CETTabletitle"/>
        <w:jc w:val="both"/>
        <w:rPr>
          <w:i w:val="0"/>
        </w:rPr>
      </w:pPr>
      <w:r>
        <w:rPr>
          <w:i w:val="0"/>
        </w:rPr>
        <w:t xml:space="preserve">2.2 </w:t>
      </w:r>
      <w:r w:rsidR="00FD04B2" w:rsidRPr="000837D6">
        <w:rPr>
          <w:rStyle w:val="CETheadingxCarattere"/>
          <w:i w:val="0"/>
          <w:iCs/>
        </w:rPr>
        <w:t>Obtaining and characterization of the substrate</w:t>
      </w:r>
    </w:p>
    <w:p w14:paraId="323C7197" w14:textId="77777777" w:rsidR="00FD04B2" w:rsidRPr="00FD04B2" w:rsidRDefault="00FD04B2" w:rsidP="00FD04B2">
      <w:pPr>
        <w:pStyle w:val="CETTabletitle"/>
        <w:jc w:val="both"/>
        <w:rPr>
          <w:i w:val="0"/>
        </w:rPr>
      </w:pPr>
      <w:r w:rsidRPr="00FD04B2">
        <w:rPr>
          <w:i w:val="0"/>
        </w:rPr>
        <w:t>The substrate was obtained consisting of anaerobic sludge with water from the CITRAR-UNI domestic wastewater treatment plant. These sludge and water were characterized for their physicochemical properties at the César Vallejo University Laboratory before and after being used as substrate in the microbial fuel cell process, see Table 1.</w:t>
      </w:r>
    </w:p>
    <w:p w14:paraId="2157439F" w14:textId="63336842" w:rsidR="004C48E7" w:rsidRPr="00DC0E41" w:rsidRDefault="004C48E7" w:rsidP="00FD04B2">
      <w:pPr>
        <w:pStyle w:val="CETTabletitle"/>
        <w:rPr>
          <w:lang w:val="en-US"/>
        </w:rPr>
      </w:pPr>
      <w:r w:rsidRPr="00DC0E41">
        <w:rPr>
          <w:lang w:val="en-US"/>
        </w:rPr>
        <w:t xml:space="preserve">Table </w:t>
      </w:r>
      <w:r w:rsidR="00360BBA" w:rsidRPr="00DC0E41">
        <w:rPr>
          <w:lang w:val="en-US"/>
        </w:rPr>
        <w:t>1</w:t>
      </w:r>
      <w:r w:rsidRPr="00DC0E41">
        <w:rPr>
          <w:lang w:val="en-US"/>
        </w:rPr>
        <w:t xml:space="preserve">: </w:t>
      </w:r>
      <w:r w:rsidR="00972031" w:rsidRPr="00972031">
        <w:rPr>
          <w:lang w:val="en-US"/>
        </w:rPr>
        <w:t>Characteristics of the sludge, initial and in the treatment cells</w:t>
      </w:r>
    </w:p>
    <w:tbl>
      <w:tblPr>
        <w:tblW w:w="8370" w:type="dxa"/>
        <w:tblInd w:w="75"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910"/>
        <w:gridCol w:w="665"/>
        <w:gridCol w:w="1191"/>
        <w:gridCol w:w="1312"/>
        <w:gridCol w:w="1084"/>
        <w:gridCol w:w="1379"/>
        <w:gridCol w:w="829"/>
      </w:tblGrid>
      <w:tr w:rsidR="00FE7834" w:rsidRPr="00FD04B2" w14:paraId="49DB0DBF" w14:textId="1F5D506A" w:rsidTr="000413AB">
        <w:trPr>
          <w:trHeight w:val="902"/>
        </w:trPr>
        <w:tc>
          <w:tcPr>
            <w:tcW w:w="1910" w:type="dxa"/>
            <w:tcBorders>
              <w:top w:val="single" w:sz="12" w:space="0" w:color="008000"/>
              <w:bottom w:val="single" w:sz="8" w:space="0" w:color="008000"/>
            </w:tcBorders>
            <w:shd w:val="clear" w:color="auto" w:fill="auto"/>
            <w:vAlign w:val="center"/>
            <w:hideMark/>
          </w:tcPr>
          <w:p w14:paraId="2BC9F877" w14:textId="25C9EC8D" w:rsidR="00FE7834" w:rsidRPr="00FD04B2" w:rsidRDefault="00FE7834"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 xml:space="preserve">Parameter </w:t>
            </w:r>
          </w:p>
        </w:tc>
        <w:tc>
          <w:tcPr>
            <w:tcW w:w="665" w:type="dxa"/>
            <w:tcBorders>
              <w:top w:val="single" w:sz="12" w:space="0" w:color="008000"/>
              <w:bottom w:val="single" w:sz="8" w:space="0" w:color="008000"/>
            </w:tcBorders>
          </w:tcPr>
          <w:p w14:paraId="4DDE9BAF" w14:textId="74A64A7E"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Initial</w:t>
            </w:r>
          </w:p>
        </w:tc>
        <w:tc>
          <w:tcPr>
            <w:tcW w:w="1191" w:type="dxa"/>
            <w:tcBorders>
              <w:top w:val="single" w:sz="12" w:space="0" w:color="008000"/>
              <w:bottom w:val="single" w:sz="8" w:space="0" w:color="008000"/>
            </w:tcBorders>
            <w:shd w:val="clear" w:color="auto" w:fill="auto"/>
            <w:vAlign w:val="bottom"/>
            <w:hideMark/>
          </w:tcPr>
          <w:p w14:paraId="7E4DAE91" w14:textId="58499F56"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Cell 1:</w:t>
            </w:r>
          </w:p>
          <w:p w14:paraId="052ED981" w14:textId="05119B57"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1C4BF0">
              <w:rPr>
                <w:rFonts w:ascii="Calibri" w:hAnsi="Calibri" w:cs="Calibri"/>
                <w:i/>
                <w:iCs/>
                <w:color w:val="000000"/>
                <w:szCs w:val="18"/>
                <w:lang w:eastAsia="es-PE"/>
              </w:rPr>
              <w:t xml:space="preserve">Aeromonas </w:t>
            </w:r>
            <w:proofErr w:type="spellStart"/>
            <w:r w:rsidRPr="001C4BF0">
              <w:rPr>
                <w:rFonts w:ascii="Calibri" w:hAnsi="Calibri" w:cs="Calibri"/>
                <w:i/>
                <w:iCs/>
                <w:color w:val="000000"/>
                <w:szCs w:val="18"/>
                <w:lang w:eastAsia="es-PE"/>
              </w:rPr>
              <w:t>hydrophila</w:t>
            </w:r>
            <w:proofErr w:type="spellEnd"/>
            <w:r w:rsidRPr="00FD04B2">
              <w:rPr>
                <w:rFonts w:ascii="Calibri" w:hAnsi="Calibri" w:cs="Calibri"/>
                <w:color w:val="000000"/>
                <w:szCs w:val="18"/>
                <w:lang w:eastAsia="es-PE"/>
              </w:rPr>
              <w:t xml:space="preserve"> bacteria</w:t>
            </w:r>
          </w:p>
        </w:tc>
        <w:tc>
          <w:tcPr>
            <w:tcW w:w="1312" w:type="dxa"/>
            <w:tcBorders>
              <w:top w:val="single" w:sz="12" w:space="0" w:color="008000"/>
              <w:bottom w:val="single" w:sz="8" w:space="0" w:color="008000"/>
            </w:tcBorders>
            <w:vAlign w:val="center"/>
          </w:tcPr>
          <w:p w14:paraId="4A77BD81" w14:textId="77777777"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Cell 2:</w:t>
            </w:r>
          </w:p>
          <w:p w14:paraId="0FDA3E0C" w14:textId="75691772" w:rsidR="00FE7834" w:rsidRPr="00FD04B2" w:rsidRDefault="009E7811" w:rsidP="00FE7834">
            <w:pPr>
              <w:tabs>
                <w:tab w:val="clear" w:pos="7100"/>
              </w:tabs>
              <w:spacing w:line="240" w:lineRule="auto"/>
              <w:jc w:val="center"/>
              <w:rPr>
                <w:rFonts w:ascii="Calibri" w:hAnsi="Calibri" w:cs="Calibri"/>
                <w:color w:val="000000"/>
                <w:szCs w:val="18"/>
                <w:lang w:eastAsia="es-PE"/>
              </w:rPr>
            </w:pPr>
            <w:r w:rsidRPr="001C4BF0">
              <w:rPr>
                <w:rFonts w:ascii="Calibri" w:hAnsi="Calibri" w:cs="Calibri"/>
                <w:i/>
                <w:iCs/>
                <w:color w:val="000000"/>
                <w:szCs w:val="18"/>
                <w:lang w:eastAsia="es-PE"/>
              </w:rPr>
              <w:t>Pseudomonas</w:t>
            </w:r>
            <w:r w:rsidR="00FE7834" w:rsidRPr="001C4BF0">
              <w:rPr>
                <w:rFonts w:ascii="Calibri" w:hAnsi="Calibri" w:cs="Calibri"/>
                <w:i/>
                <w:iCs/>
                <w:color w:val="000000"/>
                <w:szCs w:val="18"/>
                <w:lang w:eastAsia="es-PE"/>
              </w:rPr>
              <w:t xml:space="preserve"> aeruginosa</w:t>
            </w:r>
            <w:r w:rsidR="00FE7834" w:rsidRPr="00FD04B2">
              <w:rPr>
                <w:rFonts w:ascii="Calibri" w:hAnsi="Calibri" w:cs="Calibri"/>
                <w:color w:val="000000"/>
                <w:szCs w:val="18"/>
                <w:lang w:eastAsia="es-PE"/>
              </w:rPr>
              <w:t xml:space="preserve"> bacteria</w:t>
            </w:r>
          </w:p>
        </w:tc>
        <w:tc>
          <w:tcPr>
            <w:tcW w:w="1084" w:type="dxa"/>
            <w:tcBorders>
              <w:top w:val="single" w:sz="12" w:space="0" w:color="008000"/>
              <w:bottom w:val="single" w:sz="8" w:space="0" w:color="008000"/>
            </w:tcBorders>
            <w:shd w:val="clear" w:color="auto" w:fill="auto"/>
            <w:vAlign w:val="bottom"/>
            <w:hideMark/>
          </w:tcPr>
          <w:p w14:paraId="715AE1D5" w14:textId="343C7ED3"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Cell 3:</w:t>
            </w:r>
          </w:p>
          <w:p w14:paraId="46969C85" w14:textId="62BF6A0F"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1C4BF0">
              <w:rPr>
                <w:rFonts w:ascii="Calibri" w:hAnsi="Calibri" w:cs="Calibri"/>
                <w:i/>
                <w:iCs/>
                <w:color w:val="000000"/>
                <w:szCs w:val="18"/>
                <w:lang w:eastAsia="es-PE"/>
              </w:rPr>
              <w:t xml:space="preserve">Aeromonas </w:t>
            </w:r>
            <w:proofErr w:type="spellStart"/>
            <w:r w:rsidRPr="001C4BF0">
              <w:rPr>
                <w:rFonts w:ascii="Calibri" w:hAnsi="Calibri" w:cs="Calibri"/>
                <w:i/>
                <w:iCs/>
                <w:color w:val="000000"/>
                <w:szCs w:val="18"/>
                <w:lang w:eastAsia="es-PE"/>
              </w:rPr>
              <w:t>hydrophila</w:t>
            </w:r>
            <w:proofErr w:type="spellEnd"/>
            <w:r w:rsidRPr="00FD04B2">
              <w:rPr>
                <w:rFonts w:ascii="Calibri" w:hAnsi="Calibri" w:cs="Calibri"/>
                <w:color w:val="000000"/>
                <w:szCs w:val="18"/>
                <w:lang w:eastAsia="es-PE"/>
              </w:rPr>
              <w:t xml:space="preserve"> bacteria</w:t>
            </w:r>
          </w:p>
        </w:tc>
        <w:tc>
          <w:tcPr>
            <w:tcW w:w="1379" w:type="dxa"/>
            <w:tcBorders>
              <w:top w:val="single" w:sz="12" w:space="0" w:color="008000"/>
              <w:bottom w:val="single" w:sz="8" w:space="0" w:color="008000"/>
            </w:tcBorders>
            <w:vAlign w:val="center"/>
          </w:tcPr>
          <w:p w14:paraId="6DDE0E31" w14:textId="77777777"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Cell 4:</w:t>
            </w:r>
          </w:p>
          <w:p w14:paraId="179268AE" w14:textId="01A46DE5" w:rsidR="00FE7834" w:rsidRPr="00FD04B2" w:rsidRDefault="009E7811" w:rsidP="00FE7834">
            <w:pPr>
              <w:tabs>
                <w:tab w:val="clear" w:pos="7100"/>
              </w:tabs>
              <w:spacing w:line="240" w:lineRule="auto"/>
              <w:jc w:val="center"/>
              <w:rPr>
                <w:rFonts w:ascii="Calibri" w:hAnsi="Calibri" w:cs="Calibri"/>
                <w:color w:val="000000"/>
                <w:szCs w:val="18"/>
                <w:lang w:eastAsia="es-PE"/>
              </w:rPr>
            </w:pPr>
            <w:r w:rsidRPr="001C4BF0">
              <w:rPr>
                <w:rFonts w:ascii="Calibri" w:hAnsi="Calibri" w:cs="Calibri"/>
                <w:i/>
                <w:iCs/>
                <w:color w:val="000000"/>
                <w:szCs w:val="18"/>
                <w:lang w:eastAsia="es-PE"/>
              </w:rPr>
              <w:t>Pseudomonas</w:t>
            </w:r>
            <w:r w:rsidR="00FE7834" w:rsidRPr="001C4BF0">
              <w:rPr>
                <w:rFonts w:ascii="Calibri" w:hAnsi="Calibri" w:cs="Calibri"/>
                <w:i/>
                <w:iCs/>
                <w:color w:val="000000"/>
                <w:szCs w:val="18"/>
                <w:lang w:eastAsia="es-PE"/>
              </w:rPr>
              <w:t xml:space="preserve"> aeruginosa</w:t>
            </w:r>
            <w:r w:rsidR="00FE7834" w:rsidRPr="00FD04B2">
              <w:rPr>
                <w:rFonts w:ascii="Calibri" w:hAnsi="Calibri" w:cs="Calibri"/>
                <w:color w:val="000000"/>
                <w:szCs w:val="18"/>
                <w:lang w:eastAsia="es-PE"/>
              </w:rPr>
              <w:t xml:space="preserve"> bacteria</w:t>
            </w:r>
          </w:p>
        </w:tc>
        <w:tc>
          <w:tcPr>
            <w:tcW w:w="829" w:type="dxa"/>
            <w:tcBorders>
              <w:top w:val="single" w:sz="12" w:space="0" w:color="008000"/>
              <w:bottom w:val="single" w:sz="8" w:space="0" w:color="008000"/>
            </w:tcBorders>
            <w:shd w:val="clear" w:color="auto" w:fill="auto"/>
            <w:vAlign w:val="center"/>
          </w:tcPr>
          <w:p w14:paraId="527D1235" w14:textId="3FD9C706" w:rsidR="00FE7834" w:rsidRPr="00FD04B2" w:rsidRDefault="00FE7834"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Standard deviation</w:t>
            </w:r>
          </w:p>
        </w:tc>
      </w:tr>
      <w:tr w:rsidR="00FE7834" w:rsidRPr="00FD04B2" w14:paraId="772F8E05" w14:textId="680C1A73" w:rsidTr="000413AB">
        <w:trPr>
          <w:trHeight w:val="210"/>
        </w:trPr>
        <w:tc>
          <w:tcPr>
            <w:tcW w:w="1910" w:type="dxa"/>
            <w:tcBorders>
              <w:top w:val="single" w:sz="8" w:space="0" w:color="008000"/>
            </w:tcBorders>
            <w:shd w:val="clear" w:color="auto" w:fill="auto"/>
            <w:vAlign w:val="bottom"/>
            <w:hideMark/>
          </w:tcPr>
          <w:p w14:paraId="73AB3BBD" w14:textId="175DDE48" w:rsidR="00FE7834" w:rsidRPr="00FD04B2" w:rsidRDefault="00FE7834"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pH</w:t>
            </w:r>
          </w:p>
        </w:tc>
        <w:tc>
          <w:tcPr>
            <w:tcW w:w="665" w:type="dxa"/>
            <w:tcBorders>
              <w:top w:val="single" w:sz="8" w:space="0" w:color="008000"/>
            </w:tcBorders>
          </w:tcPr>
          <w:p w14:paraId="644C25B7" w14:textId="646E00C2"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8.0</w:t>
            </w:r>
          </w:p>
        </w:tc>
        <w:tc>
          <w:tcPr>
            <w:tcW w:w="1191" w:type="dxa"/>
            <w:tcBorders>
              <w:top w:val="single" w:sz="8" w:space="0" w:color="008000"/>
            </w:tcBorders>
            <w:shd w:val="clear" w:color="auto" w:fill="auto"/>
            <w:vAlign w:val="bottom"/>
          </w:tcPr>
          <w:p w14:paraId="0B1FBC52" w14:textId="3EBFC4E8"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8.05</w:t>
            </w:r>
          </w:p>
        </w:tc>
        <w:tc>
          <w:tcPr>
            <w:tcW w:w="1312" w:type="dxa"/>
            <w:tcBorders>
              <w:top w:val="single" w:sz="8" w:space="0" w:color="008000"/>
            </w:tcBorders>
            <w:vAlign w:val="bottom"/>
          </w:tcPr>
          <w:p w14:paraId="68AE2875" w14:textId="1F07DCC1"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7.90</w:t>
            </w:r>
          </w:p>
        </w:tc>
        <w:tc>
          <w:tcPr>
            <w:tcW w:w="1084" w:type="dxa"/>
            <w:tcBorders>
              <w:top w:val="single" w:sz="8" w:space="0" w:color="008000"/>
            </w:tcBorders>
            <w:shd w:val="clear" w:color="auto" w:fill="auto"/>
            <w:vAlign w:val="bottom"/>
          </w:tcPr>
          <w:p w14:paraId="5B88569A" w14:textId="428AFA39"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8.04</w:t>
            </w:r>
          </w:p>
        </w:tc>
        <w:tc>
          <w:tcPr>
            <w:tcW w:w="1379" w:type="dxa"/>
            <w:tcBorders>
              <w:top w:val="single" w:sz="8" w:space="0" w:color="008000"/>
            </w:tcBorders>
            <w:vAlign w:val="bottom"/>
          </w:tcPr>
          <w:p w14:paraId="6D7623EA" w14:textId="17648543"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8.15</w:t>
            </w:r>
          </w:p>
        </w:tc>
        <w:tc>
          <w:tcPr>
            <w:tcW w:w="829" w:type="dxa"/>
            <w:tcBorders>
              <w:top w:val="single" w:sz="8" w:space="0" w:color="008000"/>
            </w:tcBorders>
            <w:shd w:val="clear" w:color="auto" w:fill="auto"/>
            <w:vAlign w:val="bottom"/>
          </w:tcPr>
          <w:p w14:paraId="186F305C" w14:textId="2D23BD67" w:rsidR="00FE7834" w:rsidRPr="00FD04B2" w:rsidRDefault="00972031"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0.10</w:t>
            </w:r>
          </w:p>
        </w:tc>
      </w:tr>
      <w:tr w:rsidR="00FE7834" w:rsidRPr="00FD04B2" w14:paraId="11A454E4" w14:textId="741BDBF9" w:rsidTr="000413AB">
        <w:trPr>
          <w:trHeight w:val="210"/>
        </w:trPr>
        <w:tc>
          <w:tcPr>
            <w:tcW w:w="1910" w:type="dxa"/>
            <w:shd w:val="clear" w:color="auto" w:fill="auto"/>
            <w:vAlign w:val="bottom"/>
            <w:hideMark/>
          </w:tcPr>
          <w:p w14:paraId="76683B0B" w14:textId="1AFDC05F" w:rsidR="00FE7834" w:rsidRPr="00FD04B2" w:rsidRDefault="00FE7834"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Temperature (°C)</w:t>
            </w:r>
          </w:p>
        </w:tc>
        <w:tc>
          <w:tcPr>
            <w:tcW w:w="665" w:type="dxa"/>
          </w:tcPr>
          <w:p w14:paraId="0851F2C5" w14:textId="146AF912"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22.3</w:t>
            </w:r>
          </w:p>
        </w:tc>
        <w:tc>
          <w:tcPr>
            <w:tcW w:w="1191" w:type="dxa"/>
            <w:shd w:val="clear" w:color="auto" w:fill="auto"/>
            <w:vAlign w:val="bottom"/>
          </w:tcPr>
          <w:p w14:paraId="17ADFE20" w14:textId="4514FE46"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22.4</w:t>
            </w:r>
          </w:p>
        </w:tc>
        <w:tc>
          <w:tcPr>
            <w:tcW w:w="1312" w:type="dxa"/>
            <w:vAlign w:val="bottom"/>
          </w:tcPr>
          <w:p w14:paraId="17A0F95B" w14:textId="0BAC957C"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22.5</w:t>
            </w:r>
          </w:p>
        </w:tc>
        <w:tc>
          <w:tcPr>
            <w:tcW w:w="1084" w:type="dxa"/>
            <w:shd w:val="clear" w:color="auto" w:fill="auto"/>
            <w:vAlign w:val="bottom"/>
          </w:tcPr>
          <w:p w14:paraId="08FABF1C" w14:textId="7C5302D7"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22.7</w:t>
            </w:r>
          </w:p>
        </w:tc>
        <w:tc>
          <w:tcPr>
            <w:tcW w:w="1379" w:type="dxa"/>
            <w:vAlign w:val="bottom"/>
          </w:tcPr>
          <w:p w14:paraId="60DDFD13" w14:textId="0659096D"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22.7</w:t>
            </w:r>
          </w:p>
        </w:tc>
        <w:tc>
          <w:tcPr>
            <w:tcW w:w="829" w:type="dxa"/>
            <w:shd w:val="clear" w:color="auto" w:fill="auto"/>
            <w:vAlign w:val="bottom"/>
          </w:tcPr>
          <w:p w14:paraId="16825277" w14:textId="6F66F9F3" w:rsidR="00FE7834" w:rsidRPr="00FD04B2" w:rsidRDefault="00972031"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0.15</w:t>
            </w:r>
          </w:p>
        </w:tc>
      </w:tr>
      <w:tr w:rsidR="00FE7834" w:rsidRPr="00FD04B2" w14:paraId="56861C56" w14:textId="0FB677F1" w:rsidTr="000413AB">
        <w:trPr>
          <w:trHeight w:val="210"/>
        </w:trPr>
        <w:tc>
          <w:tcPr>
            <w:tcW w:w="1910" w:type="dxa"/>
            <w:shd w:val="clear" w:color="auto" w:fill="auto"/>
            <w:vAlign w:val="bottom"/>
            <w:hideMark/>
          </w:tcPr>
          <w:p w14:paraId="68596167" w14:textId="034195C5" w:rsidR="00FE7834" w:rsidRPr="00FD04B2" w:rsidRDefault="00FE7834"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Conductivity ((</w:t>
            </w:r>
            <w:proofErr w:type="spellStart"/>
            <w:r w:rsidRPr="00FD04B2">
              <w:rPr>
                <w:rFonts w:ascii="Calibri" w:hAnsi="Calibri" w:cs="Calibri"/>
                <w:color w:val="000000"/>
                <w:szCs w:val="18"/>
                <w:lang w:eastAsia="es-PE"/>
              </w:rPr>
              <w:t>μS</w:t>
            </w:r>
            <w:proofErr w:type="spellEnd"/>
            <w:r w:rsidRPr="00FD04B2">
              <w:rPr>
                <w:rFonts w:ascii="Calibri" w:hAnsi="Calibri" w:cs="Calibri"/>
                <w:color w:val="000000"/>
                <w:szCs w:val="18"/>
                <w:lang w:eastAsia="es-PE"/>
              </w:rPr>
              <w:t>/cm)</w:t>
            </w:r>
          </w:p>
        </w:tc>
        <w:tc>
          <w:tcPr>
            <w:tcW w:w="665" w:type="dxa"/>
          </w:tcPr>
          <w:p w14:paraId="55D0582A" w14:textId="79D81F41"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3.</w:t>
            </w:r>
            <w:r w:rsidR="009E7811">
              <w:rPr>
                <w:rFonts w:ascii="Calibri" w:hAnsi="Calibri" w:cs="Calibri"/>
                <w:color w:val="000000"/>
                <w:szCs w:val="18"/>
                <w:lang w:eastAsia="es-PE"/>
              </w:rPr>
              <w:t>1</w:t>
            </w:r>
            <w:r w:rsidRPr="00FD04B2">
              <w:rPr>
                <w:rFonts w:ascii="Calibri" w:hAnsi="Calibri" w:cs="Calibri"/>
                <w:color w:val="000000"/>
                <w:szCs w:val="18"/>
                <w:lang w:eastAsia="es-PE"/>
              </w:rPr>
              <w:t>0</w:t>
            </w:r>
          </w:p>
        </w:tc>
        <w:tc>
          <w:tcPr>
            <w:tcW w:w="1191" w:type="dxa"/>
            <w:shd w:val="clear" w:color="auto" w:fill="auto"/>
            <w:vAlign w:val="bottom"/>
          </w:tcPr>
          <w:p w14:paraId="47FA9D8F" w14:textId="71438A34"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13.80</w:t>
            </w:r>
          </w:p>
        </w:tc>
        <w:tc>
          <w:tcPr>
            <w:tcW w:w="1312" w:type="dxa"/>
            <w:vAlign w:val="bottom"/>
          </w:tcPr>
          <w:p w14:paraId="07E5E17F" w14:textId="76EF6074"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8.40</w:t>
            </w:r>
          </w:p>
        </w:tc>
        <w:tc>
          <w:tcPr>
            <w:tcW w:w="1084" w:type="dxa"/>
            <w:shd w:val="clear" w:color="auto" w:fill="auto"/>
            <w:vAlign w:val="bottom"/>
          </w:tcPr>
          <w:p w14:paraId="747B5B6D" w14:textId="158AC64B"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7.8</w:t>
            </w:r>
          </w:p>
        </w:tc>
        <w:tc>
          <w:tcPr>
            <w:tcW w:w="1379" w:type="dxa"/>
            <w:vAlign w:val="bottom"/>
          </w:tcPr>
          <w:p w14:paraId="7C1DDA02" w14:textId="20CB42E9"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3.70</w:t>
            </w:r>
          </w:p>
        </w:tc>
        <w:tc>
          <w:tcPr>
            <w:tcW w:w="829" w:type="dxa"/>
            <w:shd w:val="clear" w:color="auto" w:fill="auto"/>
            <w:vAlign w:val="bottom"/>
          </w:tcPr>
          <w:p w14:paraId="3B6F54B1" w14:textId="0C65210B" w:rsidR="00FE7834" w:rsidRPr="00FD04B2" w:rsidRDefault="00972031"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4.14</w:t>
            </w:r>
          </w:p>
        </w:tc>
      </w:tr>
      <w:tr w:rsidR="00FE7834" w:rsidRPr="00FD04B2" w14:paraId="346BE28F" w14:textId="0FE2BABC" w:rsidTr="000413AB">
        <w:trPr>
          <w:trHeight w:val="210"/>
        </w:trPr>
        <w:tc>
          <w:tcPr>
            <w:tcW w:w="1910" w:type="dxa"/>
            <w:shd w:val="clear" w:color="auto" w:fill="auto"/>
            <w:vAlign w:val="bottom"/>
            <w:hideMark/>
          </w:tcPr>
          <w:p w14:paraId="71FA0002" w14:textId="3EF9C3AA" w:rsidR="00FE7834" w:rsidRPr="00FD04B2" w:rsidRDefault="009E7811"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Turbidity</w:t>
            </w:r>
            <w:r w:rsidR="00FE7834" w:rsidRPr="00FD04B2">
              <w:rPr>
                <w:rFonts w:ascii="Calibri" w:hAnsi="Calibri" w:cs="Calibri"/>
                <w:color w:val="000000"/>
                <w:szCs w:val="18"/>
                <w:lang w:eastAsia="es-PE"/>
              </w:rPr>
              <w:t xml:space="preserve"> (NTU)</w:t>
            </w:r>
          </w:p>
        </w:tc>
        <w:tc>
          <w:tcPr>
            <w:tcW w:w="665" w:type="dxa"/>
          </w:tcPr>
          <w:p w14:paraId="23C50619" w14:textId="7023BE12"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77.0</w:t>
            </w:r>
          </w:p>
        </w:tc>
        <w:tc>
          <w:tcPr>
            <w:tcW w:w="1191" w:type="dxa"/>
            <w:shd w:val="clear" w:color="auto" w:fill="auto"/>
            <w:vAlign w:val="bottom"/>
          </w:tcPr>
          <w:p w14:paraId="1EDF34BB" w14:textId="67B0564D"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50.0</w:t>
            </w:r>
          </w:p>
        </w:tc>
        <w:tc>
          <w:tcPr>
            <w:tcW w:w="1312" w:type="dxa"/>
            <w:vAlign w:val="bottom"/>
          </w:tcPr>
          <w:p w14:paraId="77F34F14" w14:textId="58543B00"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61.0</w:t>
            </w:r>
          </w:p>
        </w:tc>
        <w:tc>
          <w:tcPr>
            <w:tcW w:w="1084" w:type="dxa"/>
            <w:shd w:val="clear" w:color="auto" w:fill="auto"/>
            <w:vAlign w:val="bottom"/>
          </w:tcPr>
          <w:p w14:paraId="73F6A1E7" w14:textId="19088C19"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33.6</w:t>
            </w:r>
          </w:p>
        </w:tc>
        <w:tc>
          <w:tcPr>
            <w:tcW w:w="1379" w:type="dxa"/>
            <w:vAlign w:val="bottom"/>
          </w:tcPr>
          <w:p w14:paraId="09C97824" w14:textId="30D2B3D8"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35.1</w:t>
            </w:r>
          </w:p>
        </w:tc>
        <w:tc>
          <w:tcPr>
            <w:tcW w:w="829" w:type="dxa"/>
            <w:shd w:val="clear" w:color="auto" w:fill="auto"/>
            <w:vAlign w:val="bottom"/>
          </w:tcPr>
          <w:p w14:paraId="57AE0F0E" w14:textId="2E263F48" w:rsidR="00FE7834" w:rsidRPr="00FD04B2" w:rsidRDefault="000413AB"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13.02</w:t>
            </w:r>
          </w:p>
        </w:tc>
      </w:tr>
      <w:tr w:rsidR="00FE7834" w:rsidRPr="00FD04B2" w14:paraId="403EC32A" w14:textId="2EDAAEED" w:rsidTr="000413AB">
        <w:trPr>
          <w:trHeight w:val="87"/>
        </w:trPr>
        <w:tc>
          <w:tcPr>
            <w:tcW w:w="1910" w:type="dxa"/>
            <w:shd w:val="clear" w:color="auto" w:fill="auto"/>
            <w:vAlign w:val="bottom"/>
          </w:tcPr>
          <w:p w14:paraId="4465BA1C" w14:textId="3FF689C0" w:rsidR="00FE7834" w:rsidRPr="00FD04B2" w:rsidRDefault="00FE7834" w:rsidP="00FE7834">
            <w:pPr>
              <w:tabs>
                <w:tab w:val="clear" w:pos="7100"/>
              </w:tabs>
              <w:spacing w:line="240" w:lineRule="auto"/>
              <w:jc w:val="left"/>
              <w:rPr>
                <w:rFonts w:ascii="Calibri" w:hAnsi="Calibri" w:cs="Calibri"/>
                <w:color w:val="000000"/>
                <w:szCs w:val="18"/>
                <w:lang w:eastAsia="es-PE"/>
              </w:rPr>
            </w:pPr>
            <w:r w:rsidRPr="00FD04B2">
              <w:rPr>
                <w:rFonts w:ascii="Calibri" w:hAnsi="Calibri" w:cs="Calibri"/>
                <w:color w:val="000000"/>
                <w:szCs w:val="18"/>
                <w:lang w:eastAsia="es-PE"/>
              </w:rPr>
              <w:t>Dissolved oxygen (ppm)</w:t>
            </w:r>
          </w:p>
        </w:tc>
        <w:tc>
          <w:tcPr>
            <w:tcW w:w="665" w:type="dxa"/>
          </w:tcPr>
          <w:p w14:paraId="0DA1A01D" w14:textId="67567806"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5.19</w:t>
            </w:r>
          </w:p>
        </w:tc>
        <w:tc>
          <w:tcPr>
            <w:tcW w:w="1191" w:type="dxa"/>
            <w:shd w:val="clear" w:color="auto" w:fill="auto"/>
            <w:vAlign w:val="bottom"/>
          </w:tcPr>
          <w:p w14:paraId="0C882725" w14:textId="7384C634"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0.60</w:t>
            </w:r>
          </w:p>
        </w:tc>
        <w:tc>
          <w:tcPr>
            <w:tcW w:w="1312" w:type="dxa"/>
            <w:vAlign w:val="bottom"/>
          </w:tcPr>
          <w:p w14:paraId="107AB377" w14:textId="32684864"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8.34</w:t>
            </w:r>
          </w:p>
        </w:tc>
        <w:tc>
          <w:tcPr>
            <w:tcW w:w="1084" w:type="dxa"/>
            <w:shd w:val="clear" w:color="auto" w:fill="auto"/>
            <w:vAlign w:val="bottom"/>
          </w:tcPr>
          <w:p w14:paraId="5E52692B" w14:textId="4C2DB4B7"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5.59</w:t>
            </w:r>
          </w:p>
        </w:tc>
        <w:tc>
          <w:tcPr>
            <w:tcW w:w="1379" w:type="dxa"/>
            <w:vAlign w:val="bottom"/>
          </w:tcPr>
          <w:p w14:paraId="17F487C4" w14:textId="1E4A3F16" w:rsidR="00FE7834" w:rsidRPr="00FD04B2" w:rsidRDefault="00FE7834" w:rsidP="00FE7834">
            <w:pPr>
              <w:tabs>
                <w:tab w:val="clear" w:pos="7100"/>
              </w:tabs>
              <w:spacing w:line="240" w:lineRule="auto"/>
              <w:jc w:val="center"/>
              <w:rPr>
                <w:rFonts w:ascii="Calibri" w:hAnsi="Calibri" w:cs="Calibri"/>
                <w:color w:val="000000"/>
                <w:szCs w:val="18"/>
                <w:lang w:eastAsia="es-PE"/>
              </w:rPr>
            </w:pPr>
            <w:r w:rsidRPr="00FD04B2">
              <w:rPr>
                <w:rFonts w:ascii="Calibri" w:hAnsi="Calibri" w:cs="Calibri"/>
                <w:color w:val="000000"/>
                <w:szCs w:val="18"/>
                <w:lang w:eastAsia="es-PE"/>
              </w:rPr>
              <w:t>5.56</w:t>
            </w:r>
          </w:p>
        </w:tc>
        <w:tc>
          <w:tcPr>
            <w:tcW w:w="829" w:type="dxa"/>
            <w:shd w:val="clear" w:color="auto" w:fill="auto"/>
            <w:vAlign w:val="bottom"/>
          </w:tcPr>
          <w:p w14:paraId="1A996F57" w14:textId="34A99B86" w:rsidR="00FE7834" w:rsidRPr="00FD04B2" w:rsidRDefault="000413AB" w:rsidP="00FE7834">
            <w:pPr>
              <w:tabs>
                <w:tab w:val="clear" w:pos="7100"/>
              </w:tabs>
              <w:spacing w:line="240" w:lineRule="auto"/>
              <w:jc w:val="center"/>
              <w:rPr>
                <w:rFonts w:ascii="Calibri" w:hAnsi="Calibri" w:cs="Calibri"/>
                <w:color w:val="000000"/>
                <w:szCs w:val="18"/>
                <w:lang w:eastAsia="es-PE"/>
              </w:rPr>
            </w:pPr>
            <w:r>
              <w:rPr>
                <w:rFonts w:ascii="Calibri" w:hAnsi="Calibri" w:cs="Calibri"/>
                <w:color w:val="000000"/>
                <w:szCs w:val="18"/>
                <w:lang w:eastAsia="es-PE"/>
              </w:rPr>
              <w:t>3.22</w:t>
            </w:r>
          </w:p>
        </w:tc>
      </w:tr>
    </w:tbl>
    <w:p w14:paraId="4BA202EE" w14:textId="77777777" w:rsidR="004C48E7" w:rsidRDefault="004C48E7" w:rsidP="00661B74">
      <w:pPr>
        <w:pStyle w:val="CETBodytext"/>
        <w:rPr>
          <w:lang w:val="es-PE"/>
        </w:rPr>
      </w:pPr>
    </w:p>
    <w:p w14:paraId="571A363E" w14:textId="48CA4588" w:rsidR="00FD3CDB" w:rsidRPr="000837D6" w:rsidRDefault="00FD04B2" w:rsidP="000837D6">
      <w:pPr>
        <w:pStyle w:val="CETheadingx"/>
        <w:numPr>
          <w:ilvl w:val="2"/>
          <w:numId w:val="22"/>
        </w:numPr>
        <w:rPr>
          <w:lang w:val="en-GB"/>
        </w:rPr>
      </w:pPr>
      <w:r w:rsidRPr="000837D6">
        <w:rPr>
          <w:lang w:val="en-GB"/>
        </w:rPr>
        <w:t>Microbial Cell Design and Construction</w:t>
      </w:r>
    </w:p>
    <w:p w14:paraId="316A163D" w14:textId="3AD9D27B" w:rsidR="00FD3CDB" w:rsidRPr="00A35893" w:rsidRDefault="00335B25" w:rsidP="00661B74">
      <w:pPr>
        <w:pStyle w:val="CETBodytext"/>
        <w:rPr>
          <w:lang w:val="en-GB"/>
        </w:rPr>
      </w:pPr>
      <w:r w:rsidRPr="00335B25">
        <w:rPr>
          <w:lang w:val="en-GB"/>
        </w:rPr>
        <w:t xml:space="preserve">Six 500-mL double-chamber H-type glass microbial cells joined by a 10-cm glass bridge were designed and constructed, as shown in Figure 1. A graphite electrode was used as cathode, a graphite electrode or </w:t>
      </w:r>
      <w:proofErr w:type="spellStart"/>
      <w:r w:rsidRPr="00335B25">
        <w:rPr>
          <w:lang w:val="en-GB"/>
        </w:rPr>
        <w:t>aluminum</w:t>
      </w:r>
      <w:proofErr w:type="spellEnd"/>
      <w:r w:rsidRPr="00335B25">
        <w:rPr>
          <w:lang w:val="en-GB"/>
        </w:rPr>
        <w:t xml:space="preserve"> as anode (depending on the assay) and proton exchange membrane bridge with agar-agar solution (a 100 mL syringe was used). The experimental design and the description of the cells for the investigation is presented in Table 2.</w:t>
      </w:r>
    </w:p>
    <w:p w14:paraId="7C603966" w14:textId="77777777" w:rsidR="00D408D4" w:rsidRPr="00A35893" w:rsidRDefault="00D408D4" w:rsidP="00360B74">
      <w:pPr>
        <w:pStyle w:val="CETBodytext"/>
        <w:jc w:val="left"/>
        <w:rPr>
          <w:lang w:val="en-GB"/>
        </w:rPr>
      </w:pPr>
    </w:p>
    <w:p w14:paraId="3281724A" w14:textId="59DD30EC" w:rsidR="00C76127" w:rsidRDefault="00FD3CDB" w:rsidP="00C76127">
      <w:pPr>
        <w:pStyle w:val="CETBodytext"/>
        <w:rPr>
          <w:lang w:val="es-PE"/>
        </w:rPr>
      </w:pPr>
      <w:r w:rsidRPr="00FD3CDB">
        <w:rPr>
          <w:noProof/>
          <w:lang w:val="es-PE"/>
        </w:rPr>
        <w:drawing>
          <wp:inline distT="0" distB="0" distL="0" distR="0" wp14:anchorId="4E1C98F5" wp14:editId="680A505D">
            <wp:extent cx="1940791" cy="1364982"/>
            <wp:effectExtent l="0" t="0" r="2540" b="698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92443" cy="1401310"/>
                    </a:xfrm>
                    <a:prstGeom prst="rect">
                      <a:avLst/>
                    </a:prstGeom>
                    <a:noFill/>
                    <a:ln>
                      <a:noFill/>
                    </a:ln>
                  </pic:spPr>
                </pic:pic>
              </a:graphicData>
            </a:graphic>
          </wp:inline>
        </w:drawing>
      </w:r>
    </w:p>
    <w:p w14:paraId="15AAA88D" w14:textId="4F378214" w:rsidR="00FD3CDB" w:rsidRPr="000837D6" w:rsidRDefault="00FD3CDB" w:rsidP="00C02120">
      <w:pPr>
        <w:pStyle w:val="CETCaption"/>
      </w:pPr>
      <w:proofErr w:type="spellStart"/>
      <w:r w:rsidRPr="000837D6">
        <w:t>Figura</w:t>
      </w:r>
      <w:proofErr w:type="spellEnd"/>
      <w:r w:rsidRPr="000837D6">
        <w:t xml:space="preserve"> 1: </w:t>
      </w:r>
      <w:r w:rsidR="00760877" w:rsidRPr="000837D6">
        <w:t>Microbial cell</w:t>
      </w:r>
      <w:r w:rsidRPr="000837D6">
        <w:t xml:space="preserve"> </w:t>
      </w:r>
    </w:p>
    <w:p w14:paraId="5917C8A2" w14:textId="2ABDCBED" w:rsidR="003E0F76" w:rsidRPr="00A35893" w:rsidRDefault="003E0F76" w:rsidP="003E0F76">
      <w:pPr>
        <w:pStyle w:val="CETTabletitle"/>
      </w:pPr>
      <w:r w:rsidRPr="00A35893">
        <w:lastRenderedPageBreak/>
        <w:t xml:space="preserve">Table </w:t>
      </w:r>
      <w:r w:rsidR="00760877" w:rsidRPr="00A35893">
        <w:t>2</w:t>
      </w:r>
      <w:r w:rsidRPr="00A35893">
        <w:t xml:space="preserve">: </w:t>
      </w:r>
      <w:r w:rsidR="00A35893" w:rsidRPr="00A35893">
        <w:t>Description of the anodic and cathodic cells for each design</w:t>
      </w:r>
    </w:p>
    <w:tbl>
      <w:tblPr>
        <w:tblW w:w="8516"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67"/>
        <w:gridCol w:w="781"/>
        <w:gridCol w:w="1167"/>
        <w:gridCol w:w="1193"/>
        <w:gridCol w:w="1147"/>
        <w:gridCol w:w="1196"/>
        <w:gridCol w:w="1120"/>
        <w:gridCol w:w="1145"/>
      </w:tblGrid>
      <w:tr w:rsidR="00A0790B" w:rsidRPr="00BA2907" w14:paraId="0D011112" w14:textId="4A4B8626" w:rsidTr="005D4ABA">
        <w:trPr>
          <w:trHeight w:val="166"/>
        </w:trPr>
        <w:tc>
          <w:tcPr>
            <w:tcW w:w="767" w:type="dxa"/>
            <w:tcBorders>
              <w:top w:val="single" w:sz="12" w:space="0" w:color="008000"/>
              <w:bottom w:val="single" w:sz="6" w:space="0" w:color="008000"/>
            </w:tcBorders>
            <w:shd w:val="clear" w:color="auto" w:fill="FFFFFF"/>
            <w:vAlign w:val="center"/>
          </w:tcPr>
          <w:p w14:paraId="0078DCC7" w14:textId="258AAEB5" w:rsidR="00A0790B" w:rsidRPr="00A35893" w:rsidRDefault="00A0790B" w:rsidP="00A0790B">
            <w:pPr>
              <w:pStyle w:val="CETBodytext"/>
              <w:rPr>
                <w:sz w:val="16"/>
                <w:szCs w:val="18"/>
                <w:lang w:val="en-GB"/>
              </w:rPr>
            </w:pPr>
          </w:p>
        </w:tc>
        <w:tc>
          <w:tcPr>
            <w:tcW w:w="781" w:type="dxa"/>
            <w:tcBorders>
              <w:top w:val="single" w:sz="12" w:space="0" w:color="008000"/>
              <w:bottom w:val="single" w:sz="6" w:space="0" w:color="008000"/>
            </w:tcBorders>
            <w:shd w:val="clear" w:color="auto" w:fill="FFFFFF"/>
            <w:vAlign w:val="center"/>
          </w:tcPr>
          <w:p w14:paraId="5F4F0AD5" w14:textId="77777777" w:rsidR="00A0790B" w:rsidRPr="00A35893" w:rsidRDefault="00A0790B" w:rsidP="00A0790B">
            <w:pPr>
              <w:pStyle w:val="CETBodytext"/>
              <w:rPr>
                <w:sz w:val="16"/>
                <w:szCs w:val="18"/>
                <w:lang w:val="en-GB"/>
              </w:rPr>
            </w:pPr>
          </w:p>
        </w:tc>
        <w:tc>
          <w:tcPr>
            <w:tcW w:w="1167" w:type="dxa"/>
            <w:tcBorders>
              <w:top w:val="single" w:sz="12" w:space="0" w:color="008000"/>
              <w:bottom w:val="single" w:sz="6" w:space="0" w:color="008000"/>
            </w:tcBorders>
            <w:shd w:val="clear" w:color="auto" w:fill="FFFFFF"/>
            <w:vAlign w:val="center"/>
          </w:tcPr>
          <w:p w14:paraId="37BA5D50" w14:textId="455EC267" w:rsidR="00A0790B" w:rsidRPr="00BA2907" w:rsidRDefault="00A0790B" w:rsidP="00A0790B">
            <w:pPr>
              <w:pStyle w:val="CETBodytext"/>
              <w:rPr>
                <w:sz w:val="16"/>
                <w:szCs w:val="18"/>
                <w:lang w:val="en-GB"/>
              </w:rPr>
            </w:pPr>
            <w:r w:rsidRPr="00A35893">
              <w:rPr>
                <w:sz w:val="16"/>
                <w:szCs w:val="18"/>
                <w:lang w:val="en-GB"/>
              </w:rPr>
              <w:t xml:space="preserve">Cell 1 design </w:t>
            </w:r>
          </w:p>
        </w:tc>
        <w:tc>
          <w:tcPr>
            <w:tcW w:w="1193" w:type="dxa"/>
            <w:tcBorders>
              <w:top w:val="single" w:sz="12" w:space="0" w:color="008000"/>
              <w:bottom w:val="single" w:sz="6" w:space="0" w:color="008000"/>
            </w:tcBorders>
            <w:shd w:val="clear" w:color="auto" w:fill="FFFFFF"/>
          </w:tcPr>
          <w:p w14:paraId="043AD5CB" w14:textId="77777777" w:rsidR="00A0790B" w:rsidRDefault="00A0790B" w:rsidP="00A0790B">
            <w:pPr>
              <w:pStyle w:val="CETBodytext"/>
              <w:ind w:right="-1"/>
            </w:pPr>
            <w:r w:rsidRPr="002545D5">
              <w:t xml:space="preserve">Cell </w:t>
            </w:r>
            <w:r>
              <w:t>2</w:t>
            </w:r>
          </w:p>
          <w:p w14:paraId="039AA78D" w14:textId="60287A3A" w:rsidR="00A0790B" w:rsidRPr="00BA2907" w:rsidRDefault="00A0790B" w:rsidP="00A0790B">
            <w:pPr>
              <w:pStyle w:val="CETBodytext"/>
              <w:rPr>
                <w:sz w:val="16"/>
                <w:szCs w:val="18"/>
                <w:lang w:val="en-GB"/>
              </w:rPr>
            </w:pPr>
            <w:r w:rsidRPr="002545D5">
              <w:t xml:space="preserve"> design</w:t>
            </w:r>
          </w:p>
        </w:tc>
        <w:tc>
          <w:tcPr>
            <w:tcW w:w="1147" w:type="dxa"/>
            <w:tcBorders>
              <w:top w:val="single" w:sz="12" w:space="0" w:color="008000"/>
              <w:bottom w:val="single" w:sz="6" w:space="0" w:color="008000"/>
            </w:tcBorders>
            <w:shd w:val="clear" w:color="auto" w:fill="FFFFFF"/>
          </w:tcPr>
          <w:p w14:paraId="2DD3EBE8" w14:textId="77777777" w:rsidR="00A0790B" w:rsidRDefault="00A0790B" w:rsidP="00A0790B">
            <w:pPr>
              <w:pStyle w:val="CETBodytext"/>
            </w:pPr>
            <w:r w:rsidRPr="002545D5">
              <w:t xml:space="preserve">Cell </w:t>
            </w:r>
            <w:r>
              <w:t>3</w:t>
            </w:r>
            <w:r w:rsidRPr="002545D5">
              <w:t xml:space="preserve"> </w:t>
            </w:r>
          </w:p>
          <w:p w14:paraId="5F1A70DC" w14:textId="360DFA0D" w:rsidR="00A0790B" w:rsidRPr="00BA2907" w:rsidRDefault="00A0790B" w:rsidP="00A0790B">
            <w:pPr>
              <w:pStyle w:val="CETBodytext"/>
              <w:ind w:right="-1"/>
              <w:rPr>
                <w:rFonts w:cs="Arial"/>
                <w:sz w:val="16"/>
                <w:szCs w:val="18"/>
                <w:lang w:val="en-GB"/>
              </w:rPr>
            </w:pPr>
            <w:r w:rsidRPr="002545D5">
              <w:t>design</w:t>
            </w:r>
          </w:p>
        </w:tc>
        <w:tc>
          <w:tcPr>
            <w:tcW w:w="1196" w:type="dxa"/>
            <w:tcBorders>
              <w:top w:val="single" w:sz="12" w:space="0" w:color="008000"/>
              <w:bottom w:val="single" w:sz="6" w:space="0" w:color="008000"/>
            </w:tcBorders>
            <w:shd w:val="clear" w:color="auto" w:fill="FFFFFF"/>
          </w:tcPr>
          <w:p w14:paraId="29631C66" w14:textId="77777777" w:rsidR="00A0790B" w:rsidRDefault="00A0790B" w:rsidP="00A0790B">
            <w:pPr>
              <w:pStyle w:val="CETBodytext"/>
              <w:ind w:right="-1"/>
            </w:pPr>
            <w:r w:rsidRPr="002545D5">
              <w:t xml:space="preserve">Cell </w:t>
            </w:r>
            <w:r>
              <w:t>4</w:t>
            </w:r>
          </w:p>
          <w:p w14:paraId="1468A14F" w14:textId="28B7AC8B" w:rsidR="00A0790B" w:rsidRPr="00BA2907" w:rsidRDefault="00A0790B" w:rsidP="00A0790B">
            <w:pPr>
              <w:pStyle w:val="CETBodytext"/>
              <w:ind w:right="-1"/>
              <w:rPr>
                <w:rFonts w:cs="Arial"/>
                <w:sz w:val="16"/>
                <w:szCs w:val="18"/>
                <w:lang w:val="en-GB"/>
              </w:rPr>
            </w:pPr>
            <w:r w:rsidRPr="002545D5">
              <w:t xml:space="preserve"> design</w:t>
            </w:r>
          </w:p>
        </w:tc>
        <w:tc>
          <w:tcPr>
            <w:tcW w:w="1120" w:type="dxa"/>
            <w:tcBorders>
              <w:top w:val="single" w:sz="12" w:space="0" w:color="008000"/>
              <w:bottom w:val="single" w:sz="6" w:space="0" w:color="008000"/>
            </w:tcBorders>
            <w:shd w:val="clear" w:color="auto" w:fill="FFFFFF"/>
            <w:vAlign w:val="center"/>
          </w:tcPr>
          <w:p w14:paraId="586BA742" w14:textId="77777777" w:rsidR="00A0790B" w:rsidRDefault="00A0790B" w:rsidP="00A0790B">
            <w:pPr>
              <w:pStyle w:val="CETBodytext"/>
              <w:ind w:right="-1"/>
              <w:rPr>
                <w:sz w:val="16"/>
                <w:szCs w:val="18"/>
                <w:lang w:val="en-GB"/>
              </w:rPr>
            </w:pPr>
            <w:r w:rsidRPr="00A35893">
              <w:rPr>
                <w:sz w:val="16"/>
                <w:szCs w:val="18"/>
                <w:lang w:val="en-GB"/>
              </w:rPr>
              <w:t xml:space="preserve">Cell </w:t>
            </w:r>
            <w:r>
              <w:rPr>
                <w:sz w:val="16"/>
                <w:szCs w:val="18"/>
                <w:lang w:val="en-GB"/>
              </w:rPr>
              <w:t>5</w:t>
            </w:r>
          </w:p>
          <w:p w14:paraId="0F887A4E" w14:textId="09FF94BE" w:rsidR="00A0790B" w:rsidRDefault="00A0790B" w:rsidP="00A0790B">
            <w:pPr>
              <w:pStyle w:val="CETBodytext"/>
              <w:ind w:right="-1"/>
              <w:rPr>
                <w:sz w:val="16"/>
                <w:szCs w:val="18"/>
                <w:lang w:val="en-GB"/>
              </w:rPr>
            </w:pPr>
            <w:r w:rsidRPr="00A35893">
              <w:rPr>
                <w:sz w:val="16"/>
                <w:szCs w:val="18"/>
                <w:lang w:val="en-GB"/>
              </w:rPr>
              <w:t xml:space="preserve"> Design</w:t>
            </w:r>
          </w:p>
          <w:p w14:paraId="337A5319" w14:textId="2CF9E437" w:rsidR="00A0790B" w:rsidRPr="00BA2907" w:rsidRDefault="00A0790B" w:rsidP="00A0790B">
            <w:pPr>
              <w:pStyle w:val="CETBodytext"/>
              <w:ind w:right="-1"/>
              <w:rPr>
                <w:sz w:val="16"/>
                <w:szCs w:val="18"/>
                <w:lang w:val="en-GB"/>
              </w:rPr>
            </w:pPr>
            <w:r>
              <w:rPr>
                <w:sz w:val="16"/>
                <w:szCs w:val="18"/>
                <w:lang w:val="en-GB"/>
              </w:rPr>
              <w:t>(Control)</w:t>
            </w:r>
          </w:p>
        </w:tc>
        <w:tc>
          <w:tcPr>
            <w:tcW w:w="1145" w:type="dxa"/>
            <w:tcBorders>
              <w:top w:val="single" w:sz="12" w:space="0" w:color="008000"/>
              <w:bottom w:val="single" w:sz="6" w:space="0" w:color="008000"/>
            </w:tcBorders>
            <w:shd w:val="clear" w:color="auto" w:fill="FFFFFF"/>
            <w:vAlign w:val="center"/>
          </w:tcPr>
          <w:p w14:paraId="32A4A665" w14:textId="77777777" w:rsidR="00A0790B" w:rsidRDefault="00A0790B" w:rsidP="00A0790B">
            <w:pPr>
              <w:pStyle w:val="CETBodytext"/>
              <w:ind w:right="-1"/>
              <w:rPr>
                <w:sz w:val="16"/>
                <w:szCs w:val="18"/>
                <w:lang w:val="en-GB"/>
              </w:rPr>
            </w:pPr>
            <w:r w:rsidRPr="00A35893">
              <w:rPr>
                <w:sz w:val="16"/>
                <w:szCs w:val="18"/>
                <w:lang w:val="en-GB"/>
              </w:rPr>
              <w:t xml:space="preserve">Cell </w:t>
            </w:r>
            <w:r>
              <w:rPr>
                <w:sz w:val="16"/>
                <w:szCs w:val="18"/>
                <w:lang w:val="en-GB"/>
              </w:rPr>
              <w:t>6</w:t>
            </w:r>
          </w:p>
          <w:p w14:paraId="48381807" w14:textId="0553E42C" w:rsidR="00A0790B" w:rsidRDefault="00A0790B" w:rsidP="00A0790B">
            <w:pPr>
              <w:pStyle w:val="CETBodytext"/>
              <w:ind w:right="-1"/>
              <w:rPr>
                <w:sz w:val="16"/>
                <w:szCs w:val="18"/>
                <w:lang w:val="en-GB"/>
              </w:rPr>
            </w:pPr>
            <w:r w:rsidRPr="00A35893">
              <w:rPr>
                <w:sz w:val="16"/>
                <w:szCs w:val="18"/>
                <w:lang w:val="en-GB"/>
              </w:rPr>
              <w:t xml:space="preserve"> Design</w:t>
            </w:r>
          </w:p>
          <w:p w14:paraId="0F02D832" w14:textId="7A7727A0" w:rsidR="00A0790B" w:rsidRPr="00BA2907" w:rsidRDefault="00A0790B" w:rsidP="00A0790B">
            <w:pPr>
              <w:pStyle w:val="CETBodytext"/>
              <w:ind w:right="-1"/>
              <w:rPr>
                <w:sz w:val="16"/>
                <w:szCs w:val="18"/>
                <w:lang w:val="en-GB"/>
              </w:rPr>
            </w:pPr>
            <w:r>
              <w:rPr>
                <w:sz w:val="16"/>
                <w:szCs w:val="18"/>
                <w:lang w:val="en-GB"/>
              </w:rPr>
              <w:t>(Control)</w:t>
            </w:r>
          </w:p>
        </w:tc>
      </w:tr>
      <w:tr w:rsidR="00A0790B" w:rsidRPr="00BA2907" w14:paraId="5721B03B" w14:textId="447EAC70" w:rsidTr="005D4ABA">
        <w:trPr>
          <w:trHeight w:val="592"/>
        </w:trPr>
        <w:tc>
          <w:tcPr>
            <w:tcW w:w="767" w:type="dxa"/>
            <w:vMerge w:val="restart"/>
            <w:tcBorders>
              <w:top w:val="single" w:sz="6" w:space="0" w:color="008000"/>
              <w:bottom w:val="single" w:sz="8" w:space="0" w:color="008000"/>
            </w:tcBorders>
            <w:shd w:val="clear" w:color="auto" w:fill="FFFFFF"/>
            <w:vAlign w:val="center"/>
          </w:tcPr>
          <w:p w14:paraId="7CF889F2" w14:textId="7E9A99E6" w:rsidR="00A0790B" w:rsidRPr="00BA2907" w:rsidRDefault="00A0790B" w:rsidP="00A0790B">
            <w:pPr>
              <w:pStyle w:val="CETBodytext"/>
              <w:rPr>
                <w:sz w:val="16"/>
                <w:szCs w:val="18"/>
                <w:lang w:val="en-GB"/>
              </w:rPr>
            </w:pPr>
            <w:r w:rsidRPr="00882DB1">
              <w:rPr>
                <w:sz w:val="16"/>
                <w:szCs w:val="18"/>
                <w:lang w:val="en-GB"/>
              </w:rPr>
              <w:t>Anodic Cell</w:t>
            </w:r>
          </w:p>
        </w:tc>
        <w:tc>
          <w:tcPr>
            <w:tcW w:w="781" w:type="dxa"/>
            <w:shd w:val="clear" w:color="auto" w:fill="FFFFFF"/>
            <w:vAlign w:val="center"/>
          </w:tcPr>
          <w:p w14:paraId="49B92AF5" w14:textId="667D0CAB" w:rsidR="00A0790B" w:rsidRPr="00BA2907" w:rsidRDefault="00A0790B" w:rsidP="00A0790B">
            <w:pPr>
              <w:pStyle w:val="CETBodytext"/>
              <w:jc w:val="left"/>
              <w:rPr>
                <w:sz w:val="16"/>
                <w:szCs w:val="18"/>
                <w:lang w:val="en-GB"/>
              </w:rPr>
            </w:pPr>
            <w:r w:rsidRPr="00BA2907">
              <w:rPr>
                <w:sz w:val="16"/>
                <w:szCs w:val="18"/>
                <w:lang w:val="en-GB"/>
              </w:rPr>
              <w:t>Bacteria:</w:t>
            </w:r>
          </w:p>
        </w:tc>
        <w:tc>
          <w:tcPr>
            <w:tcW w:w="1167" w:type="dxa"/>
            <w:shd w:val="clear" w:color="auto" w:fill="FFFFFF"/>
            <w:vAlign w:val="center"/>
          </w:tcPr>
          <w:p w14:paraId="5B38704B" w14:textId="16781009" w:rsidR="00A0790B" w:rsidRPr="000837D6" w:rsidRDefault="00A0790B" w:rsidP="00A0790B">
            <w:pPr>
              <w:tabs>
                <w:tab w:val="clear" w:pos="7100"/>
              </w:tabs>
              <w:autoSpaceDE w:val="0"/>
              <w:autoSpaceDN w:val="0"/>
              <w:adjustRightInd w:val="0"/>
              <w:spacing w:line="240" w:lineRule="auto"/>
              <w:jc w:val="left"/>
              <w:rPr>
                <w:rFonts w:ascii="Times New Roman" w:eastAsiaTheme="minorHAnsi" w:hAnsi="Times New Roman"/>
                <w:i/>
                <w:iCs/>
                <w:sz w:val="16"/>
                <w:szCs w:val="18"/>
              </w:rPr>
            </w:pPr>
            <w:r w:rsidRPr="000837D6">
              <w:rPr>
                <w:sz w:val="16"/>
                <w:szCs w:val="18"/>
              </w:rPr>
              <w:t xml:space="preserve">50 mL of inoculum of </w:t>
            </w:r>
            <w:bookmarkStart w:id="0" w:name="_Hlk94966667"/>
            <w:r w:rsidRPr="000837D6">
              <w:rPr>
                <w:rFonts w:ascii="Times New Roman" w:eastAsiaTheme="minorHAnsi" w:hAnsi="Times New Roman"/>
                <w:i/>
                <w:iCs/>
                <w:sz w:val="16"/>
                <w:szCs w:val="18"/>
              </w:rPr>
              <w:t>Aeromonas</w:t>
            </w:r>
          </w:p>
          <w:p w14:paraId="65D101C5" w14:textId="1F38CFB4" w:rsidR="00A0790B" w:rsidRPr="000837D6" w:rsidRDefault="00A0790B" w:rsidP="00A0790B">
            <w:pPr>
              <w:pStyle w:val="CETBodytext"/>
              <w:jc w:val="left"/>
              <w:rPr>
                <w:sz w:val="16"/>
                <w:szCs w:val="18"/>
                <w:lang w:val="en-GB"/>
              </w:rPr>
            </w:pPr>
            <w:proofErr w:type="spellStart"/>
            <w:r w:rsidRPr="000837D6">
              <w:rPr>
                <w:rFonts w:ascii="Times New Roman" w:eastAsiaTheme="minorHAnsi" w:hAnsi="Times New Roman"/>
                <w:i/>
                <w:iCs/>
                <w:sz w:val="16"/>
                <w:szCs w:val="18"/>
                <w:lang w:val="en-GB"/>
              </w:rPr>
              <w:t>hydrophila</w:t>
            </w:r>
            <w:bookmarkEnd w:id="0"/>
            <w:proofErr w:type="spellEnd"/>
          </w:p>
        </w:tc>
        <w:tc>
          <w:tcPr>
            <w:tcW w:w="1193" w:type="dxa"/>
            <w:shd w:val="clear" w:color="auto" w:fill="FFFFFF"/>
            <w:vAlign w:val="center"/>
          </w:tcPr>
          <w:p w14:paraId="0BE5E6BA" w14:textId="77777777" w:rsidR="00A0790B" w:rsidRPr="000837D6" w:rsidRDefault="00A0790B" w:rsidP="00A0790B">
            <w:pPr>
              <w:tabs>
                <w:tab w:val="clear" w:pos="7100"/>
              </w:tabs>
              <w:autoSpaceDE w:val="0"/>
              <w:autoSpaceDN w:val="0"/>
              <w:adjustRightInd w:val="0"/>
              <w:spacing w:line="240" w:lineRule="auto"/>
              <w:jc w:val="left"/>
              <w:rPr>
                <w:rFonts w:ascii="Times New Roman" w:eastAsiaTheme="minorHAnsi" w:hAnsi="Times New Roman"/>
                <w:i/>
                <w:iCs/>
                <w:sz w:val="16"/>
                <w:szCs w:val="18"/>
              </w:rPr>
            </w:pPr>
            <w:r w:rsidRPr="000837D6">
              <w:rPr>
                <w:sz w:val="16"/>
                <w:szCs w:val="18"/>
              </w:rPr>
              <w:t xml:space="preserve">50 mL of inoculum of </w:t>
            </w:r>
            <w:r w:rsidRPr="000837D6">
              <w:rPr>
                <w:rFonts w:ascii="Times New Roman" w:eastAsiaTheme="minorHAnsi" w:hAnsi="Times New Roman"/>
                <w:i/>
                <w:iCs/>
                <w:sz w:val="16"/>
                <w:szCs w:val="18"/>
              </w:rPr>
              <w:t>Aeromonas</w:t>
            </w:r>
          </w:p>
          <w:p w14:paraId="1E3DE252" w14:textId="0DD13761" w:rsidR="00A0790B" w:rsidRPr="000837D6" w:rsidRDefault="00A0790B" w:rsidP="00A0790B">
            <w:pPr>
              <w:pStyle w:val="CETBodytext"/>
              <w:rPr>
                <w:sz w:val="16"/>
                <w:szCs w:val="18"/>
                <w:lang w:val="en-GB"/>
              </w:rPr>
            </w:pPr>
            <w:proofErr w:type="spellStart"/>
            <w:r w:rsidRPr="000837D6">
              <w:rPr>
                <w:rFonts w:ascii="Times New Roman" w:eastAsiaTheme="minorHAnsi" w:hAnsi="Times New Roman"/>
                <w:i/>
                <w:iCs/>
                <w:sz w:val="16"/>
                <w:szCs w:val="18"/>
                <w:lang w:val="en-GB"/>
              </w:rPr>
              <w:t>hydrophila</w:t>
            </w:r>
            <w:proofErr w:type="spellEnd"/>
          </w:p>
        </w:tc>
        <w:tc>
          <w:tcPr>
            <w:tcW w:w="1147" w:type="dxa"/>
            <w:shd w:val="clear" w:color="auto" w:fill="FFFFFF"/>
            <w:vAlign w:val="center"/>
          </w:tcPr>
          <w:p w14:paraId="513E853C" w14:textId="77777777" w:rsidR="00A0790B" w:rsidRPr="000837D6" w:rsidRDefault="00A0790B" w:rsidP="00A0790B">
            <w:pPr>
              <w:tabs>
                <w:tab w:val="clear" w:pos="7100"/>
              </w:tabs>
              <w:autoSpaceDE w:val="0"/>
              <w:autoSpaceDN w:val="0"/>
              <w:adjustRightInd w:val="0"/>
              <w:spacing w:line="240" w:lineRule="auto"/>
              <w:jc w:val="left"/>
              <w:rPr>
                <w:rFonts w:ascii="Times New Roman" w:eastAsiaTheme="minorHAnsi" w:hAnsi="Times New Roman"/>
                <w:i/>
                <w:iCs/>
                <w:sz w:val="16"/>
                <w:szCs w:val="18"/>
              </w:rPr>
            </w:pPr>
            <w:r w:rsidRPr="000837D6">
              <w:rPr>
                <w:sz w:val="16"/>
                <w:szCs w:val="18"/>
              </w:rPr>
              <w:t xml:space="preserve">50 mL of inoculum of </w:t>
            </w:r>
            <w:r w:rsidRPr="000837D6">
              <w:rPr>
                <w:rFonts w:ascii="Times New Roman" w:eastAsiaTheme="minorHAnsi" w:hAnsi="Times New Roman"/>
                <w:i/>
                <w:iCs/>
                <w:sz w:val="16"/>
                <w:szCs w:val="18"/>
              </w:rPr>
              <w:t>Pseudomonas</w:t>
            </w:r>
          </w:p>
          <w:p w14:paraId="47203204" w14:textId="668A37B2" w:rsidR="00A0790B" w:rsidRPr="000837D6" w:rsidRDefault="00A0790B" w:rsidP="00A0790B">
            <w:pPr>
              <w:pStyle w:val="CETBodytext"/>
              <w:ind w:right="-1"/>
              <w:rPr>
                <w:rFonts w:cs="Arial"/>
                <w:sz w:val="16"/>
                <w:szCs w:val="18"/>
                <w:lang w:val="en-GB"/>
              </w:rPr>
            </w:pPr>
            <w:r w:rsidRPr="000837D6">
              <w:rPr>
                <w:rFonts w:ascii="Times New Roman" w:eastAsiaTheme="minorHAnsi" w:hAnsi="Times New Roman"/>
                <w:i/>
                <w:iCs/>
                <w:sz w:val="16"/>
                <w:szCs w:val="18"/>
                <w:lang w:val="en-GB"/>
              </w:rPr>
              <w:t>aeruginosa</w:t>
            </w:r>
          </w:p>
        </w:tc>
        <w:tc>
          <w:tcPr>
            <w:tcW w:w="1196" w:type="dxa"/>
            <w:shd w:val="clear" w:color="auto" w:fill="FFFFFF"/>
            <w:vAlign w:val="center"/>
          </w:tcPr>
          <w:p w14:paraId="2B60F182" w14:textId="3FDAD852" w:rsidR="00A0790B" w:rsidRPr="000837D6" w:rsidRDefault="00A0790B" w:rsidP="00A0790B">
            <w:pPr>
              <w:tabs>
                <w:tab w:val="clear" w:pos="7100"/>
              </w:tabs>
              <w:autoSpaceDE w:val="0"/>
              <w:autoSpaceDN w:val="0"/>
              <w:adjustRightInd w:val="0"/>
              <w:spacing w:line="240" w:lineRule="auto"/>
              <w:jc w:val="left"/>
              <w:rPr>
                <w:rFonts w:ascii="Times New Roman" w:eastAsiaTheme="minorHAnsi" w:hAnsi="Times New Roman"/>
                <w:i/>
                <w:iCs/>
                <w:sz w:val="16"/>
                <w:szCs w:val="18"/>
              </w:rPr>
            </w:pPr>
            <w:r w:rsidRPr="000837D6">
              <w:rPr>
                <w:sz w:val="16"/>
                <w:szCs w:val="18"/>
              </w:rPr>
              <w:t xml:space="preserve">50 mL of inoculum of </w:t>
            </w:r>
            <w:r w:rsidRPr="000837D6">
              <w:rPr>
                <w:rFonts w:ascii="Times New Roman" w:eastAsiaTheme="minorHAnsi" w:hAnsi="Times New Roman"/>
                <w:i/>
                <w:iCs/>
                <w:sz w:val="16"/>
                <w:szCs w:val="18"/>
              </w:rPr>
              <w:t>Pseudomonas</w:t>
            </w:r>
          </w:p>
          <w:p w14:paraId="392B8F35" w14:textId="411DE1B1" w:rsidR="00A0790B" w:rsidRPr="000837D6" w:rsidRDefault="00A0790B" w:rsidP="00A0790B">
            <w:pPr>
              <w:pStyle w:val="CETBodytext"/>
              <w:ind w:right="-1"/>
              <w:rPr>
                <w:rFonts w:cs="Arial"/>
                <w:sz w:val="16"/>
                <w:szCs w:val="18"/>
                <w:lang w:val="en-GB"/>
              </w:rPr>
            </w:pPr>
            <w:r w:rsidRPr="000837D6">
              <w:rPr>
                <w:rFonts w:ascii="Times New Roman" w:eastAsiaTheme="minorHAnsi" w:hAnsi="Times New Roman"/>
                <w:i/>
                <w:iCs/>
                <w:sz w:val="16"/>
                <w:szCs w:val="18"/>
                <w:lang w:val="en-GB"/>
              </w:rPr>
              <w:t>aeruginosa</w:t>
            </w:r>
          </w:p>
        </w:tc>
        <w:tc>
          <w:tcPr>
            <w:tcW w:w="1120" w:type="dxa"/>
            <w:shd w:val="clear" w:color="auto" w:fill="FFFFFF"/>
            <w:vAlign w:val="center"/>
          </w:tcPr>
          <w:p w14:paraId="0E029372" w14:textId="12AF3C0C" w:rsidR="00A0790B" w:rsidRPr="00BA2907" w:rsidRDefault="00A0790B" w:rsidP="00A0790B">
            <w:pPr>
              <w:pStyle w:val="CETBodytext"/>
              <w:ind w:right="-1"/>
              <w:rPr>
                <w:rFonts w:cs="Arial"/>
                <w:sz w:val="16"/>
                <w:szCs w:val="18"/>
                <w:lang w:val="es-PE"/>
              </w:rPr>
            </w:pPr>
            <w:r>
              <w:rPr>
                <w:rFonts w:cs="Arial"/>
                <w:sz w:val="16"/>
                <w:szCs w:val="18"/>
                <w:lang w:val="es-PE"/>
              </w:rPr>
              <w:t>-</w:t>
            </w:r>
          </w:p>
        </w:tc>
        <w:tc>
          <w:tcPr>
            <w:tcW w:w="1145" w:type="dxa"/>
            <w:shd w:val="clear" w:color="auto" w:fill="FFFFFF"/>
            <w:vAlign w:val="center"/>
          </w:tcPr>
          <w:p w14:paraId="7D7A32F8" w14:textId="672CCB64" w:rsidR="00A0790B" w:rsidRPr="00BA2907" w:rsidRDefault="00A0790B" w:rsidP="00A0790B">
            <w:pPr>
              <w:pStyle w:val="CETBodytext"/>
              <w:ind w:right="-1"/>
              <w:rPr>
                <w:rFonts w:cs="Arial"/>
                <w:sz w:val="16"/>
                <w:szCs w:val="18"/>
                <w:lang w:val="es-PE"/>
              </w:rPr>
            </w:pPr>
            <w:r>
              <w:rPr>
                <w:rFonts w:cs="Arial"/>
                <w:sz w:val="16"/>
                <w:szCs w:val="18"/>
                <w:lang w:val="es-PE"/>
              </w:rPr>
              <w:t>-</w:t>
            </w:r>
          </w:p>
        </w:tc>
      </w:tr>
      <w:tr w:rsidR="00A0790B" w:rsidRPr="00BA2907" w14:paraId="1339783B" w14:textId="7CB52373" w:rsidTr="005D4ABA">
        <w:trPr>
          <w:trHeight w:val="316"/>
        </w:trPr>
        <w:tc>
          <w:tcPr>
            <w:tcW w:w="767" w:type="dxa"/>
            <w:vMerge/>
            <w:tcBorders>
              <w:top w:val="nil"/>
              <w:bottom w:val="single" w:sz="8" w:space="0" w:color="008000"/>
            </w:tcBorders>
            <w:shd w:val="clear" w:color="auto" w:fill="FFFFFF"/>
            <w:vAlign w:val="center"/>
          </w:tcPr>
          <w:p w14:paraId="52B16D92" w14:textId="77777777" w:rsidR="00A0790B" w:rsidRPr="00A0790B" w:rsidRDefault="00A0790B" w:rsidP="00A0790B">
            <w:pPr>
              <w:pStyle w:val="CETBodytext"/>
              <w:rPr>
                <w:sz w:val="16"/>
                <w:szCs w:val="18"/>
              </w:rPr>
            </w:pPr>
          </w:p>
        </w:tc>
        <w:tc>
          <w:tcPr>
            <w:tcW w:w="781" w:type="dxa"/>
            <w:tcBorders>
              <w:bottom w:val="nil"/>
            </w:tcBorders>
            <w:shd w:val="clear" w:color="auto" w:fill="FFFFFF"/>
            <w:vAlign w:val="center"/>
          </w:tcPr>
          <w:p w14:paraId="4470F473" w14:textId="65EFC600" w:rsidR="00A0790B" w:rsidRPr="00BA2907" w:rsidRDefault="00A0790B" w:rsidP="00A0790B">
            <w:pPr>
              <w:pStyle w:val="CETBodytext"/>
              <w:jc w:val="left"/>
              <w:rPr>
                <w:sz w:val="16"/>
                <w:szCs w:val="18"/>
                <w:lang w:val="en-GB"/>
              </w:rPr>
            </w:pPr>
            <w:r w:rsidRPr="00C7230B">
              <w:rPr>
                <w:sz w:val="16"/>
                <w:szCs w:val="18"/>
                <w:lang w:val="en-GB"/>
              </w:rPr>
              <w:t>Electrode type</w:t>
            </w:r>
            <w:r w:rsidRPr="00BA2907">
              <w:rPr>
                <w:sz w:val="16"/>
                <w:szCs w:val="18"/>
                <w:lang w:val="en-GB"/>
              </w:rPr>
              <w:t>:</w:t>
            </w:r>
          </w:p>
        </w:tc>
        <w:tc>
          <w:tcPr>
            <w:tcW w:w="1167" w:type="dxa"/>
            <w:tcBorders>
              <w:bottom w:val="nil"/>
            </w:tcBorders>
            <w:shd w:val="clear" w:color="auto" w:fill="FFFFFF"/>
            <w:vAlign w:val="center"/>
          </w:tcPr>
          <w:p w14:paraId="5186172F" w14:textId="77777777" w:rsidR="00A0790B" w:rsidRDefault="00A0790B" w:rsidP="00A0790B">
            <w:pPr>
              <w:pStyle w:val="CETBodytext"/>
              <w:jc w:val="left"/>
              <w:rPr>
                <w:sz w:val="16"/>
                <w:szCs w:val="18"/>
                <w:lang w:val="en-GB"/>
              </w:rPr>
            </w:pPr>
            <w:r w:rsidRPr="008A2D99">
              <w:rPr>
                <w:sz w:val="16"/>
                <w:szCs w:val="18"/>
                <w:lang w:val="en-GB"/>
              </w:rPr>
              <w:t xml:space="preserve">Graphite </w:t>
            </w:r>
          </w:p>
          <w:p w14:paraId="7BC54BA2" w14:textId="16A4F635" w:rsidR="00A0790B" w:rsidRPr="00BA2907" w:rsidRDefault="00A0790B" w:rsidP="00A0790B">
            <w:pPr>
              <w:pStyle w:val="CETBodytext"/>
              <w:jc w:val="left"/>
              <w:rPr>
                <w:sz w:val="16"/>
                <w:szCs w:val="18"/>
                <w:lang w:val="en-GB"/>
              </w:rPr>
            </w:pPr>
            <w:r w:rsidRPr="00BA2907">
              <w:rPr>
                <w:sz w:val="16"/>
                <w:szCs w:val="18"/>
                <w:lang w:val="en-GB"/>
              </w:rPr>
              <w:t>(44.37 cm</w:t>
            </w:r>
            <w:r w:rsidRPr="00BA2907">
              <w:rPr>
                <w:sz w:val="16"/>
                <w:szCs w:val="18"/>
                <w:vertAlign w:val="superscript"/>
                <w:lang w:val="en-GB"/>
              </w:rPr>
              <w:t>2</w:t>
            </w:r>
            <w:r w:rsidRPr="00BA2907">
              <w:rPr>
                <w:sz w:val="16"/>
                <w:szCs w:val="18"/>
                <w:lang w:val="en-GB"/>
              </w:rPr>
              <w:t>)</w:t>
            </w:r>
          </w:p>
        </w:tc>
        <w:tc>
          <w:tcPr>
            <w:tcW w:w="1193" w:type="dxa"/>
            <w:tcBorders>
              <w:bottom w:val="nil"/>
            </w:tcBorders>
            <w:shd w:val="clear" w:color="auto" w:fill="FFFFFF"/>
            <w:vAlign w:val="center"/>
          </w:tcPr>
          <w:p w14:paraId="2E46347E" w14:textId="77777777" w:rsidR="00A0790B" w:rsidRDefault="00A0790B" w:rsidP="00A0790B">
            <w:pPr>
              <w:pStyle w:val="CETBodytext"/>
              <w:ind w:right="-1"/>
              <w:rPr>
                <w:sz w:val="16"/>
                <w:szCs w:val="18"/>
                <w:lang w:val="en-GB"/>
              </w:rPr>
            </w:pPr>
            <w:proofErr w:type="spellStart"/>
            <w:r w:rsidRPr="00C7230B">
              <w:rPr>
                <w:sz w:val="16"/>
                <w:szCs w:val="18"/>
                <w:lang w:val="en-GB"/>
              </w:rPr>
              <w:t>Aluminum</w:t>
            </w:r>
            <w:proofErr w:type="spellEnd"/>
          </w:p>
          <w:p w14:paraId="5AF37EA2" w14:textId="56589EB6" w:rsidR="00A0790B" w:rsidRPr="00BA2907" w:rsidRDefault="00A0790B" w:rsidP="00A0790B">
            <w:pPr>
              <w:pStyle w:val="CETBodytext"/>
              <w:rPr>
                <w:sz w:val="16"/>
                <w:szCs w:val="18"/>
                <w:lang w:val="en-GB"/>
              </w:rPr>
            </w:pPr>
            <w:r w:rsidRPr="00BA2907">
              <w:rPr>
                <w:sz w:val="16"/>
                <w:szCs w:val="18"/>
                <w:lang w:val="en-GB"/>
              </w:rPr>
              <w:t>(</w:t>
            </w:r>
            <w:r>
              <w:rPr>
                <w:sz w:val="16"/>
                <w:szCs w:val="18"/>
                <w:lang w:val="en-GB"/>
              </w:rPr>
              <w:t>36</w:t>
            </w:r>
            <w:r w:rsidRPr="00BA2907">
              <w:rPr>
                <w:sz w:val="16"/>
                <w:szCs w:val="18"/>
                <w:lang w:val="en-GB"/>
              </w:rPr>
              <w:t xml:space="preserve"> cm</w:t>
            </w:r>
            <w:r w:rsidRPr="00BA2907">
              <w:rPr>
                <w:sz w:val="16"/>
                <w:szCs w:val="18"/>
                <w:vertAlign w:val="superscript"/>
                <w:lang w:val="en-GB"/>
              </w:rPr>
              <w:t>2</w:t>
            </w:r>
            <w:r w:rsidRPr="00BA2907">
              <w:rPr>
                <w:sz w:val="16"/>
                <w:szCs w:val="18"/>
                <w:lang w:val="en-GB"/>
              </w:rPr>
              <w:t>)</w:t>
            </w:r>
          </w:p>
        </w:tc>
        <w:tc>
          <w:tcPr>
            <w:tcW w:w="1147" w:type="dxa"/>
            <w:tcBorders>
              <w:bottom w:val="nil"/>
            </w:tcBorders>
            <w:shd w:val="clear" w:color="auto" w:fill="FFFFFF"/>
            <w:vAlign w:val="center"/>
          </w:tcPr>
          <w:p w14:paraId="5F878CE4" w14:textId="77777777" w:rsidR="00A0790B" w:rsidRDefault="00A0790B" w:rsidP="00A0790B">
            <w:pPr>
              <w:pStyle w:val="CETBodytext"/>
              <w:rPr>
                <w:sz w:val="16"/>
                <w:szCs w:val="18"/>
                <w:lang w:val="en-GB"/>
              </w:rPr>
            </w:pPr>
            <w:r w:rsidRPr="008A2D99">
              <w:rPr>
                <w:sz w:val="16"/>
                <w:szCs w:val="18"/>
                <w:lang w:val="en-GB"/>
              </w:rPr>
              <w:t xml:space="preserve">Graphite </w:t>
            </w:r>
          </w:p>
          <w:p w14:paraId="4A4E0590" w14:textId="6E34EFE0" w:rsidR="00A0790B" w:rsidRPr="00BA2907" w:rsidRDefault="00A0790B" w:rsidP="00A0790B">
            <w:pPr>
              <w:pStyle w:val="CETBodytext"/>
              <w:ind w:right="-1"/>
              <w:rPr>
                <w:rFonts w:cs="Arial"/>
                <w:sz w:val="16"/>
                <w:szCs w:val="18"/>
                <w:lang w:val="en-GB"/>
              </w:rPr>
            </w:pPr>
            <w:r w:rsidRPr="00BA2907">
              <w:rPr>
                <w:sz w:val="16"/>
                <w:szCs w:val="18"/>
                <w:lang w:val="en-GB"/>
              </w:rPr>
              <w:t>(44.37 cm</w:t>
            </w:r>
            <w:r w:rsidRPr="00BA2907">
              <w:rPr>
                <w:sz w:val="16"/>
                <w:szCs w:val="18"/>
                <w:vertAlign w:val="superscript"/>
                <w:lang w:val="en-GB"/>
              </w:rPr>
              <w:t>2</w:t>
            </w:r>
            <w:r w:rsidRPr="00BA2907">
              <w:rPr>
                <w:sz w:val="16"/>
                <w:szCs w:val="18"/>
                <w:lang w:val="en-GB"/>
              </w:rPr>
              <w:t>)</w:t>
            </w:r>
          </w:p>
        </w:tc>
        <w:tc>
          <w:tcPr>
            <w:tcW w:w="1196" w:type="dxa"/>
            <w:tcBorders>
              <w:bottom w:val="nil"/>
            </w:tcBorders>
            <w:shd w:val="clear" w:color="auto" w:fill="FFFFFF"/>
            <w:vAlign w:val="center"/>
          </w:tcPr>
          <w:p w14:paraId="78AD6AF3" w14:textId="77777777" w:rsidR="00A0790B" w:rsidRDefault="00A0790B" w:rsidP="00A0790B">
            <w:pPr>
              <w:pStyle w:val="CETBodytext"/>
              <w:ind w:right="-1"/>
              <w:rPr>
                <w:sz w:val="16"/>
                <w:szCs w:val="18"/>
                <w:lang w:val="en-GB"/>
              </w:rPr>
            </w:pPr>
            <w:proofErr w:type="spellStart"/>
            <w:r w:rsidRPr="00C7230B">
              <w:rPr>
                <w:sz w:val="16"/>
                <w:szCs w:val="18"/>
                <w:lang w:val="en-GB"/>
              </w:rPr>
              <w:t>Aluminum</w:t>
            </w:r>
            <w:proofErr w:type="spellEnd"/>
            <w:r w:rsidRPr="00C7230B">
              <w:rPr>
                <w:sz w:val="16"/>
                <w:szCs w:val="18"/>
                <w:lang w:val="en-GB"/>
              </w:rPr>
              <w:t xml:space="preserve"> </w:t>
            </w:r>
          </w:p>
          <w:p w14:paraId="2E3830B1" w14:textId="1F7C253D" w:rsidR="00A0790B" w:rsidRPr="00BA2907" w:rsidRDefault="00A0790B" w:rsidP="00A0790B">
            <w:pPr>
              <w:pStyle w:val="CETBodytext"/>
              <w:ind w:right="-1"/>
              <w:rPr>
                <w:rFonts w:cs="Arial"/>
                <w:sz w:val="16"/>
                <w:szCs w:val="18"/>
                <w:lang w:val="en-GB"/>
              </w:rPr>
            </w:pPr>
            <w:r w:rsidRPr="00BA2907">
              <w:rPr>
                <w:sz w:val="16"/>
                <w:szCs w:val="18"/>
                <w:lang w:val="en-GB"/>
              </w:rPr>
              <w:t>(</w:t>
            </w:r>
            <w:r>
              <w:rPr>
                <w:sz w:val="16"/>
                <w:szCs w:val="18"/>
                <w:lang w:val="en-GB"/>
              </w:rPr>
              <w:t>36</w:t>
            </w:r>
            <w:r w:rsidRPr="00BA2907">
              <w:rPr>
                <w:sz w:val="16"/>
                <w:szCs w:val="18"/>
                <w:lang w:val="en-GB"/>
              </w:rPr>
              <w:t xml:space="preserve"> cm</w:t>
            </w:r>
            <w:r w:rsidRPr="00BA2907">
              <w:rPr>
                <w:sz w:val="16"/>
                <w:szCs w:val="18"/>
                <w:vertAlign w:val="superscript"/>
                <w:lang w:val="en-GB"/>
              </w:rPr>
              <w:t>2</w:t>
            </w:r>
            <w:r w:rsidRPr="00BA2907">
              <w:rPr>
                <w:sz w:val="16"/>
                <w:szCs w:val="18"/>
                <w:lang w:val="en-GB"/>
              </w:rPr>
              <w:t>)</w:t>
            </w:r>
          </w:p>
        </w:tc>
        <w:tc>
          <w:tcPr>
            <w:tcW w:w="1120" w:type="dxa"/>
            <w:tcBorders>
              <w:bottom w:val="nil"/>
            </w:tcBorders>
            <w:shd w:val="clear" w:color="auto" w:fill="FFFFFF"/>
            <w:vAlign w:val="center"/>
          </w:tcPr>
          <w:p w14:paraId="2E8FE409" w14:textId="02DC9D24" w:rsidR="00A0790B" w:rsidRPr="00BA2907" w:rsidRDefault="00A0790B" w:rsidP="00A0790B">
            <w:pPr>
              <w:pStyle w:val="CETBodytext"/>
              <w:jc w:val="left"/>
              <w:rPr>
                <w:sz w:val="16"/>
                <w:szCs w:val="18"/>
                <w:lang w:val="en-GB"/>
              </w:rPr>
            </w:pPr>
            <w:r w:rsidRPr="00BA2907">
              <w:rPr>
                <w:sz w:val="16"/>
                <w:szCs w:val="18"/>
                <w:lang w:val="en-GB"/>
              </w:rPr>
              <w:t>Gra</w:t>
            </w:r>
            <w:r w:rsidR="00573BFA">
              <w:rPr>
                <w:sz w:val="16"/>
                <w:szCs w:val="18"/>
                <w:lang w:val="en-GB"/>
              </w:rPr>
              <w:t>phite</w:t>
            </w:r>
          </w:p>
          <w:p w14:paraId="3CB0C5CD" w14:textId="612BF7F9" w:rsidR="00A0790B" w:rsidRPr="00BA2907" w:rsidRDefault="00A0790B" w:rsidP="00A0790B">
            <w:pPr>
              <w:pStyle w:val="CETBodytext"/>
              <w:ind w:right="-1"/>
              <w:rPr>
                <w:rFonts w:cs="Arial"/>
                <w:sz w:val="16"/>
                <w:szCs w:val="18"/>
                <w:lang w:val="en-GB"/>
              </w:rPr>
            </w:pPr>
            <w:r w:rsidRPr="00BA2907">
              <w:rPr>
                <w:sz w:val="16"/>
                <w:szCs w:val="18"/>
                <w:lang w:val="en-GB"/>
              </w:rPr>
              <w:t>(44.37 cm</w:t>
            </w:r>
            <w:r w:rsidRPr="00BA2907">
              <w:rPr>
                <w:sz w:val="16"/>
                <w:szCs w:val="18"/>
                <w:vertAlign w:val="superscript"/>
                <w:lang w:val="en-GB"/>
              </w:rPr>
              <w:t>2</w:t>
            </w:r>
            <w:r w:rsidRPr="00BA2907">
              <w:rPr>
                <w:sz w:val="16"/>
                <w:szCs w:val="18"/>
                <w:lang w:val="en-GB"/>
              </w:rPr>
              <w:t>)</w:t>
            </w:r>
          </w:p>
        </w:tc>
        <w:tc>
          <w:tcPr>
            <w:tcW w:w="1145" w:type="dxa"/>
            <w:tcBorders>
              <w:bottom w:val="nil"/>
            </w:tcBorders>
            <w:shd w:val="clear" w:color="auto" w:fill="FFFFFF"/>
            <w:vAlign w:val="center"/>
          </w:tcPr>
          <w:p w14:paraId="5E633873" w14:textId="77777777" w:rsidR="00A0790B" w:rsidRDefault="00A0790B" w:rsidP="00A0790B">
            <w:pPr>
              <w:pStyle w:val="CETBodytext"/>
              <w:ind w:right="-1"/>
              <w:rPr>
                <w:sz w:val="16"/>
                <w:szCs w:val="18"/>
                <w:lang w:val="en-GB"/>
              </w:rPr>
            </w:pPr>
            <w:proofErr w:type="spellStart"/>
            <w:r w:rsidRPr="00C7230B">
              <w:rPr>
                <w:sz w:val="16"/>
                <w:szCs w:val="18"/>
                <w:lang w:val="en-GB"/>
              </w:rPr>
              <w:t>Aluminum</w:t>
            </w:r>
            <w:proofErr w:type="spellEnd"/>
          </w:p>
          <w:p w14:paraId="64A11898" w14:textId="139536C7" w:rsidR="00A0790B" w:rsidRPr="00BA2907" w:rsidRDefault="00A0790B" w:rsidP="00A0790B">
            <w:pPr>
              <w:pStyle w:val="CETBodytext"/>
              <w:ind w:right="-1"/>
              <w:rPr>
                <w:rFonts w:cs="Arial"/>
                <w:sz w:val="16"/>
                <w:szCs w:val="18"/>
                <w:lang w:val="en-GB"/>
              </w:rPr>
            </w:pPr>
            <w:r w:rsidRPr="00BA2907">
              <w:rPr>
                <w:sz w:val="16"/>
                <w:szCs w:val="18"/>
                <w:lang w:val="en-GB"/>
              </w:rPr>
              <w:t>(</w:t>
            </w:r>
            <w:r>
              <w:rPr>
                <w:sz w:val="16"/>
                <w:szCs w:val="18"/>
                <w:lang w:val="en-GB"/>
              </w:rPr>
              <w:t>36</w:t>
            </w:r>
            <w:r w:rsidRPr="00BA2907">
              <w:rPr>
                <w:sz w:val="16"/>
                <w:szCs w:val="18"/>
                <w:lang w:val="en-GB"/>
              </w:rPr>
              <w:t xml:space="preserve"> cm</w:t>
            </w:r>
            <w:r w:rsidRPr="00BA2907">
              <w:rPr>
                <w:sz w:val="16"/>
                <w:szCs w:val="18"/>
                <w:vertAlign w:val="superscript"/>
                <w:lang w:val="en-GB"/>
              </w:rPr>
              <w:t>2</w:t>
            </w:r>
            <w:r w:rsidRPr="00BA2907">
              <w:rPr>
                <w:sz w:val="16"/>
                <w:szCs w:val="18"/>
                <w:lang w:val="en-GB"/>
              </w:rPr>
              <w:t>)</w:t>
            </w:r>
          </w:p>
        </w:tc>
      </w:tr>
      <w:tr w:rsidR="00A0790B" w:rsidRPr="00C7230B" w14:paraId="163FFFFB" w14:textId="35CB443D" w:rsidTr="005D4ABA">
        <w:trPr>
          <w:trHeight w:val="594"/>
        </w:trPr>
        <w:tc>
          <w:tcPr>
            <w:tcW w:w="767" w:type="dxa"/>
            <w:vMerge/>
            <w:tcBorders>
              <w:top w:val="nil"/>
              <w:bottom w:val="single" w:sz="8" w:space="0" w:color="008000"/>
            </w:tcBorders>
            <w:shd w:val="clear" w:color="auto" w:fill="FFFFFF"/>
            <w:vAlign w:val="center"/>
          </w:tcPr>
          <w:p w14:paraId="32B091BD" w14:textId="77777777" w:rsidR="00A0790B" w:rsidRPr="00BA2907" w:rsidRDefault="00A0790B" w:rsidP="00A0790B">
            <w:pPr>
              <w:pStyle w:val="CETBodytext"/>
              <w:rPr>
                <w:sz w:val="16"/>
                <w:szCs w:val="18"/>
                <w:lang w:val="es-PE"/>
              </w:rPr>
            </w:pPr>
          </w:p>
        </w:tc>
        <w:tc>
          <w:tcPr>
            <w:tcW w:w="781" w:type="dxa"/>
            <w:tcBorders>
              <w:top w:val="nil"/>
              <w:bottom w:val="single" w:sz="8" w:space="0" w:color="008000"/>
            </w:tcBorders>
            <w:shd w:val="clear" w:color="auto" w:fill="FFFFFF"/>
            <w:vAlign w:val="center"/>
          </w:tcPr>
          <w:p w14:paraId="3AD3C6EB" w14:textId="5F75F6CF" w:rsidR="00A0790B" w:rsidRPr="00BA2907" w:rsidRDefault="00A0790B" w:rsidP="00A0790B">
            <w:pPr>
              <w:pStyle w:val="CETBodytext"/>
              <w:jc w:val="left"/>
              <w:rPr>
                <w:sz w:val="16"/>
                <w:szCs w:val="18"/>
                <w:lang w:val="en-GB"/>
              </w:rPr>
            </w:pPr>
            <w:proofErr w:type="spellStart"/>
            <w:r w:rsidRPr="00BA2907">
              <w:rPr>
                <w:sz w:val="16"/>
                <w:szCs w:val="18"/>
                <w:lang w:val="en-GB"/>
              </w:rPr>
              <w:t>Sustrato</w:t>
            </w:r>
            <w:proofErr w:type="spellEnd"/>
            <w:r w:rsidRPr="00BA2907">
              <w:rPr>
                <w:sz w:val="16"/>
                <w:szCs w:val="18"/>
                <w:lang w:val="en-GB"/>
              </w:rPr>
              <w:t>:</w:t>
            </w:r>
          </w:p>
        </w:tc>
        <w:tc>
          <w:tcPr>
            <w:tcW w:w="1167" w:type="dxa"/>
            <w:tcBorders>
              <w:top w:val="nil"/>
              <w:bottom w:val="single" w:sz="8" w:space="0" w:color="008000"/>
            </w:tcBorders>
            <w:shd w:val="clear" w:color="auto" w:fill="FFFFFF"/>
            <w:vAlign w:val="center"/>
          </w:tcPr>
          <w:p w14:paraId="40DD27ED" w14:textId="77777777" w:rsidR="00A0790B" w:rsidRPr="008A2D99" w:rsidRDefault="00A0790B" w:rsidP="00A0790B">
            <w:pPr>
              <w:pStyle w:val="CETBodytext"/>
              <w:jc w:val="left"/>
              <w:rPr>
                <w:sz w:val="16"/>
                <w:szCs w:val="18"/>
                <w:lang w:val="en-GB"/>
              </w:rPr>
            </w:pPr>
            <w:r w:rsidRPr="008A2D99">
              <w:rPr>
                <w:sz w:val="16"/>
                <w:szCs w:val="18"/>
                <w:lang w:val="en-GB"/>
              </w:rPr>
              <w:t>Sludge: 235 mL</w:t>
            </w:r>
          </w:p>
          <w:p w14:paraId="6982F53E" w14:textId="7F517514" w:rsidR="00A0790B" w:rsidRPr="008A2D99" w:rsidRDefault="00A0790B" w:rsidP="00A0790B">
            <w:pPr>
              <w:pStyle w:val="CETBodytext"/>
              <w:jc w:val="left"/>
              <w:rPr>
                <w:sz w:val="16"/>
                <w:szCs w:val="18"/>
                <w:lang w:val="en-GB"/>
              </w:rPr>
            </w:pPr>
            <w:r w:rsidRPr="008A2D99">
              <w:rPr>
                <w:sz w:val="16"/>
                <w:szCs w:val="18"/>
                <w:lang w:val="en-GB"/>
              </w:rPr>
              <w:t>Residual water: 75 mL</w:t>
            </w:r>
          </w:p>
        </w:tc>
        <w:tc>
          <w:tcPr>
            <w:tcW w:w="1193" w:type="dxa"/>
            <w:tcBorders>
              <w:top w:val="nil"/>
              <w:bottom w:val="single" w:sz="8" w:space="0" w:color="008000"/>
            </w:tcBorders>
            <w:shd w:val="clear" w:color="auto" w:fill="FFFFFF"/>
            <w:vAlign w:val="center"/>
          </w:tcPr>
          <w:p w14:paraId="20CD9D43" w14:textId="77777777" w:rsidR="00A0790B" w:rsidRPr="008A2D99" w:rsidRDefault="00A0790B" w:rsidP="00A0790B">
            <w:pPr>
              <w:pStyle w:val="CETBodytext"/>
              <w:ind w:right="-1"/>
              <w:jc w:val="left"/>
              <w:rPr>
                <w:sz w:val="16"/>
                <w:szCs w:val="18"/>
                <w:lang w:val="en-GB"/>
              </w:rPr>
            </w:pPr>
            <w:r w:rsidRPr="008A2D99">
              <w:rPr>
                <w:sz w:val="16"/>
                <w:szCs w:val="18"/>
                <w:lang w:val="en-GB"/>
              </w:rPr>
              <w:t>Sludge: 235 mL</w:t>
            </w:r>
          </w:p>
          <w:p w14:paraId="60073D7D" w14:textId="0B16D175" w:rsidR="00A0790B" w:rsidRPr="008A2D99" w:rsidRDefault="00A0790B" w:rsidP="00A0790B">
            <w:pPr>
              <w:pStyle w:val="CETBodytext"/>
              <w:jc w:val="left"/>
              <w:rPr>
                <w:sz w:val="16"/>
                <w:szCs w:val="18"/>
                <w:lang w:val="en-GB"/>
              </w:rPr>
            </w:pPr>
            <w:r w:rsidRPr="008A2D99">
              <w:rPr>
                <w:sz w:val="16"/>
                <w:szCs w:val="18"/>
                <w:lang w:val="en-GB"/>
              </w:rPr>
              <w:t>Residual water: 75 mL</w:t>
            </w:r>
          </w:p>
        </w:tc>
        <w:tc>
          <w:tcPr>
            <w:tcW w:w="1147" w:type="dxa"/>
            <w:tcBorders>
              <w:top w:val="nil"/>
              <w:bottom w:val="single" w:sz="8" w:space="0" w:color="008000"/>
            </w:tcBorders>
            <w:shd w:val="clear" w:color="auto" w:fill="FFFFFF"/>
            <w:vAlign w:val="center"/>
          </w:tcPr>
          <w:p w14:paraId="7FE35789" w14:textId="77777777" w:rsidR="00A0790B" w:rsidRPr="008A2D99" w:rsidRDefault="00A0790B" w:rsidP="00A0790B">
            <w:pPr>
              <w:pStyle w:val="CETBodytext"/>
              <w:jc w:val="left"/>
              <w:rPr>
                <w:sz w:val="16"/>
                <w:szCs w:val="18"/>
                <w:lang w:val="en-GB"/>
              </w:rPr>
            </w:pPr>
            <w:r w:rsidRPr="008A2D99">
              <w:rPr>
                <w:sz w:val="16"/>
                <w:szCs w:val="18"/>
                <w:lang w:val="en-GB"/>
              </w:rPr>
              <w:t>Sludge: 235 mL</w:t>
            </w:r>
          </w:p>
          <w:p w14:paraId="10CEC8D1" w14:textId="4FA22A04" w:rsidR="00A0790B" w:rsidRPr="008A2D99" w:rsidRDefault="00A0790B" w:rsidP="00A0790B">
            <w:pPr>
              <w:pStyle w:val="CETBodytext"/>
              <w:ind w:right="-1"/>
              <w:jc w:val="left"/>
              <w:rPr>
                <w:rFonts w:cs="Arial"/>
                <w:sz w:val="16"/>
                <w:szCs w:val="18"/>
                <w:lang w:val="en-GB"/>
              </w:rPr>
            </w:pPr>
            <w:r w:rsidRPr="008A2D99">
              <w:rPr>
                <w:sz w:val="16"/>
                <w:szCs w:val="18"/>
                <w:lang w:val="en-GB"/>
              </w:rPr>
              <w:t>Residual water: 75 mL</w:t>
            </w:r>
          </w:p>
        </w:tc>
        <w:tc>
          <w:tcPr>
            <w:tcW w:w="1196" w:type="dxa"/>
            <w:tcBorders>
              <w:top w:val="nil"/>
              <w:bottom w:val="single" w:sz="8" w:space="0" w:color="008000"/>
            </w:tcBorders>
            <w:shd w:val="clear" w:color="auto" w:fill="FFFFFF"/>
            <w:vAlign w:val="center"/>
          </w:tcPr>
          <w:p w14:paraId="07257741" w14:textId="77777777" w:rsidR="00A0790B" w:rsidRPr="008A2D99" w:rsidRDefault="00A0790B" w:rsidP="00A0790B">
            <w:pPr>
              <w:pStyle w:val="CETBodytext"/>
              <w:ind w:right="-1"/>
              <w:jc w:val="left"/>
              <w:rPr>
                <w:sz w:val="16"/>
                <w:szCs w:val="18"/>
                <w:lang w:val="en-GB"/>
              </w:rPr>
            </w:pPr>
            <w:r w:rsidRPr="008A2D99">
              <w:rPr>
                <w:sz w:val="16"/>
                <w:szCs w:val="18"/>
                <w:lang w:val="en-GB"/>
              </w:rPr>
              <w:t>Sludge: 235 mL</w:t>
            </w:r>
          </w:p>
          <w:p w14:paraId="67FABCAF" w14:textId="435CBB60" w:rsidR="00A0790B" w:rsidRPr="008A2D99" w:rsidRDefault="00A0790B" w:rsidP="00A0790B">
            <w:pPr>
              <w:pStyle w:val="CETBodytext"/>
              <w:ind w:right="-1"/>
              <w:jc w:val="left"/>
              <w:rPr>
                <w:rFonts w:cs="Arial"/>
                <w:sz w:val="16"/>
                <w:szCs w:val="18"/>
                <w:lang w:val="en-GB"/>
              </w:rPr>
            </w:pPr>
            <w:r w:rsidRPr="008A2D99">
              <w:rPr>
                <w:sz w:val="16"/>
                <w:szCs w:val="18"/>
                <w:lang w:val="en-GB"/>
              </w:rPr>
              <w:t>Residual water: 75 mL</w:t>
            </w:r>
          </w:p>
        </w:tc>
        <w:tc>
          <w:tcPr>
            <w:tcW w:w="1120" w:type="dxa"/>
            <w:tcBorders>
              <w:top w:val="nil"/>
              <w:bottom w:val="single" w:sz="8" w:space="0" w:color="008000"/>
            </w:tcBorders>
            <w:shd w:val="clear" w:color="auto" w:fill="FFFFFF"/>
            <w:vAlign w:val="center"/>
          </w:tcPr>
          <w:p w14:paraId="48A77B36" w14:textId="77777777" w:rsidR="00A0790B" w:rsidRPr="008A2D99" w:rsidRDefault="00A0790B" w:rsidP="00A0790B">
            <w:pPr>
              <w:pStyle w:val="CETBodytext"/>
              <w:ind w:right="-1"/>
              <w:jc w:val="left"/>
              <w:rPr>
                <w:sz w:val="16"/>
                <w:szCs w:val="18"/>
                <w:lang w:val="en-GB"/>
              </w:rPr>
            </w:pPr>
            <w:r w:rsidRPr="008A2D99">
              <w:rPr>
                <w:sz w:val="16"/>
                <w:szCs w:val="18"/>
                <w:lang w:val="en-GB"/>
              </w:rPr>
              <w:t>Sludge: 235 mL</w:t>
            </w:r>
          </w:p>
          <w:p w14:paraId="19257FB6" w14:textId="5C2EA600" w:rsidR="00A0790B" w:rsidRPr="008A2D99" w:rsidRDefault="00A0790B" w:rsidP="00A0790B">
            <w:pPr>
              <w:pStyle w:val="CETBodytext"/>
              <w:ind w:right="-1"/>
              <w:jc w:val="left"/>
              <w:rPr>
                <w:rFonts w:cs="Arial"/>
                <w:sz w:val="16"/>
                <w:szCs w:val="18"/>
                <w:lang w:val="en-GB"/>
              </w:rPr>
            </w:pPr>
            <w:r w:rsidRPr="008A2D99">
              <w:rPr>
                <w:sz w:val="16"/>
                <w:szCs w:val="18"/>
                <w:lang w:val="en-GB"/>
              </w:rPr>
              <w:t>Residual water: 75 mL</w:t>
            </w:r>
          </w:p>
        </w:tc>
        <w:tc>
          <w:tcPr>
            <w:tcW w:w="1145" w:type="dxa"/>
            <w:tcBorders>
              <w:top w:val="nil"/>
              <w:bottom w:val="single" w:sz="8" w:space="0" w:color="008000"/>
            </w:tcBorders>
            <w:shd w:val="clear" w:color="auto" w:fill="FFFFFF"/>
            <w:vAlign w:val="center"/>
          </w:tcPr>
          <w:p w14:paraId="201AE899" w14:textId="77777777" w:rsidR="00A0790B" w:rsidRPr="00C7230B" w:rsidRDefault="00A0790B" w:rsidP="00A0790B">
            <w:pPr>
              <w:pStyle w:val="CETBodytext"/>
              <w:ind w:right="-1"/>
              <w:jc w:val="left"/>
              <w:rPr>
                <w:sz w:val="16"/>
                <w:szCs w:val="18"/>
                <w:lang w:val="en-GB"/>
              </w:rPr>
            </w:pPr>
            <w:r w:rsidRPr="00C7230B">
              <w:rPr>
                <w:sz w:val="16"/>
                <w:szCs w:val="18"/>
                <w:lang w:val="en-GB"/>
              </w:rPr>
              <w:t>Sludge: 235 mL</w:t>
            </w:r>
          </w:p>
          <w:p w14:paraId="4EA11F71" w14:textId="4359FCC4" w:rsidR="00A0790B" w:rsidRPr="00C7230B" w:rsidRDefault="00A0790B" w:rsidP="00A0790B">
            <w:pPr>
              <w:pStyle w:val="CETBodytext"/>
              <w:ind w:right="-1"/>
              <w:jc w:val="left"/>
              <w:rPr>
                <w:rFonts w:cs="Arial"/>
                <w:sz w:val="16"/>
                <w:szCs w:val="18"/>
                <w:lang w:val="en-GB"/>
              </w:rPr>
            </w:pPr>
            <w:r w:rsidRPr="00C7230B">
              <w:rPr>
                <w:sz w:val="16"/>
                <w:szCs w:val="18"/>
                <w:lang w:val="en-GB"/>
              </w:rPr>
              <w:t>Residual water: 75 mL</w:t>
            </w:r>
          </w:p>
        </w:tc>
      </w:tr>
      <w:tr w:rsidR="00A0790B" w:rsidRPr="00BA2907" w14:paraId="411F907F" w14:textId="3F709CD6" w:rsidTr="005D4ABA">
        <w:trPr>
          <w:trHeight w:val="316"/>
        </w:trPr>
        <w:tc>
          <w:tcPr>
            <w:tcW w:w="767" w:type="dxa"/>
            <w:vMerge w:val="restart"/>
            <w:tcBorders>
              <w:top w:val="single" w:sz="8" w:space="0" w:color="008000"/>
            </w:tcBorders>
            <w:shd w:val="clear" w:color="auto" w:fill="FFFFFF"/>
            <w:vAlign w:val="center"/>
          </w:tcPr>
          <w:p w14:paraId="6B0EF7A2" w14:textId="517A50FC" w:rsidR="00A0790B" w:rsidRPr="00BA2907" w:rsidRDefault="00A0790B" w:rsidP="00A0790B">
            <w:pPr>
              <w:pStyle w:val="CETBodytext"/>
              <w:rPr>
                <w:sz w:val="16"/>
                <w:szCs w:val="18"/>
                <w:lang w:val="en-GB"/>
              </w:rPr>
            </w:pPr>
            <w:r w:rsidRPr="00882DB1">
              <w:rPr>
                <w:sz w:val="16"/>
                <w:szCs w:val="18"/>
                <w:lang w:val="en-GB"/>
              </w:rPr>
              <w:t>Cathodic Cell</w:t>
            </w:r>
          </w:p>
        </w:tc>
        <w:tc>
          <w:tcPr>
            <w:tcW w:w="781" w:type="dxa"/>
            <w:tcBorders>
              <w:top w:val="single" w:sz="8" w:space="0" w:color="008000"/>
            </w:tcBorders>
            <w:shd w:val="clear" w:color="auto" w:fill="FFFFFF"/>
            <w:vAlign w:val="center"/>
          </w:tcPr>
          <w:p w14:paraId="1A84E2BE" w14:textId="3914BC3F" w:rsidR="00A0790B" w:rsidRPr="00BA2907" w:rsidRDefault="00A0790B" w:rsidP="00A0790B">
            <w:pPr>
              <w:pStyle w:val="CETBodytext"/>
              <w:jc w:val="left"/>
              <w:rPr>
                <w:sz w:val="16"/>
                <w:szCs w:val="18"/>
                <w:lang w:val="en-GB"/>
              </w:rPr>
            </w:pPr>
            <w:r w:rsidRPr="00C7230B">
              <w:rPr>
                <w:sz w:val="16"/>
                <w:szCs w:val="18"/>
                <w:lang w:val="en-GB"/>
              </w:rPr>
              <w:t>Electrode type</w:t>
            </w:r>
            <w:r w:rsidRPr="00BA2907">
              <w:rPr>
                <w:sz w:val="16"/>
                <w:szCs w:val="18"/>
                <w:lang w:val="en-GB"/>
              </w:rPr>
              <w:t>:</w:t>
            </w:r>
          </w:p>
        </w:tc>
        <w:tc>
          <w:tcPr>
            <w:tcW w:w="1167" w:type="dxa"/>
            <w:tcBorders>
              <w:top w:val="single" w:sz="8" w:space="0" w:color="008000"/>
            </w:tcBorders>
            <w:shd w:val="clear" w:color="auto" w:fill="FFFFFF"/>
            <w:vAlign w:val="center"/>
          </w:tcPr>
          <w:p w14:paraId="7F9090C9" w14:textId="77777777" w:rsidR="00A0790B" w:rsidRDefault="00A0790B" w:rsidP="00A0790B">
            <w:pPr>
              <w:pStyle w:val="CETBodytext"/>
              <w:jc w:val="left"/>
              <w:rPr>
                <w:sz w:val="16"/>
                <w:szCs w:val="18"/>
                <w:lang w:val="en-GB"/>
              </w:rPr>
            </w:pPr>
            <w:r w:rsidRPr="008A2D99">
              <w:rPr>
                <w:sz w:val="16"/>
                <w:szCs w:val="18"/>
                <w:lang w:val="en-GB"/>
              </w:rPr>
              <w:t>Graphite</w:t>
            </w:r>
            <w:r>
              <w:rPr>
                <w:sz w:val="16"/>
                <w:szCs w:val="18"/>
                <w:lang w:val="en-GB"/>
              </w:rPr>
              <w:t xml:space="preserve"> </w:t>
            </w:r>
          </w:p>
          <w:p w14:paraId="383EF684" w14:textId="3AD7B03B" w:rsidR="00A0790B" w:rsidRPr="00BA2907" w:rsidRDefault="00A0790B" w:rsidP="00A0790B">
            <w:pPr>
              <w:pStyle w:val="CETBodytext"/>
              <w:jc w:val="left"/>
              <w:rPr>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c>
          <w:tcPr>
            <w:tcW w:w="1193" w:type="dxa"/>
            <w:tcBorders>
              <w:top w:val="single" w:sz="8" w:space="0" w:color="008000"/>
            </w:tcBorders>
            <w:shd w:val="clear" w:color="auto" w:fill="FFFFFF"/>
            <w:vAlign w:val="center"/>
          </w:tcPr>
          <w:p w14:paraId="056E3F3D" w14:textId="77777777" w:rsidR="00A0790B" w:rsidRDefault="00A0790B" w:rsidP="00A0790B">
            <w:pPr>
              <w:pStyle w:val="CETBodytext"/>
              <w:ind w:right="-1"/>
              <w:jc w:val="left"/>
              <w:rPr>
                <w:sz w:val="16"/>
                <w:szCs w:val="18"/>
                <w:lang w:val="en-GB"/>
              </w:rPr>
            </w:pPr>
            <w:r w:rsidRPr="008A2D99">
              <w:rPr>
                <w:sz w:val="16"/>
                <w:szCs w:val="18"/>
                <w:lang w:val="en-GB"/>
              </w:rPr>
              <w:t>Graphite</w:t>
            </w:r>
          </w:p>
          <w:p w14:paraId="6283F8BF" w14:textId="717CB071" w:rsidR="00A0790B" w:rsidRPr="00BA2907" w:rsidRDefault="00A0790B" w:rsidP="00A0790B">
            <w:pPr>
              <w:pStyle w:val="CETBodytext"/>
              <w:jc w:val="left"/>
              <w:rPr>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c>
          <w:tcPr>
            <w:tcW w:w="1147" w:type="dxa"/>
            <w:tcBorders>
              <w:top w:val="single" w:sz="8" w:space="0" w:color="008000"/>
            </w:tcBorders>
            <w:shd w:val="clear" w:color="auto" w:fill="FFFFFF"/>
            <w:vAlign w:val="center"/>
          </w:tcPr>
          <w:p w14:paraId="1B32B00D" w14:textId="77777777" w:rsidR="00A0790B" w:rsidRDefault="00A0790B" w:rsidP="00A0790B">
            <w:pPr>
              <w:pStyle w:val="CETBodytext"/>
              <w:jc w:val="left"/>
              <w:rPr>
                <w:sz w:val="16"/>
                <w:szCs w:val="18"/>
                <w:lang w:val="en-GB"/>
              </w:rPr>
            </w:pPr>
            <w:r w:rsidRPr="008A2D99">
              <w:rPr>
                <w:sz w:val="16"/>
                <w:szCs w:val="18"/>
                <w:lang w:val="en-GB"/>
              </w:rPr>
              <w:t>Graphite</w:t>
            </w:r>
            <w:r>
              <w:rPr>
                <w:sz w:val="16"/>
                <w:szCs w:val="18"/>
                <w:lang w:val="en-GB"/>
              </w:rPr>
              <w:t xml:space="preserve"> </w:t>
            </w:r>
          </w:p>
          <w:p w14:paraId="7BEAAC92" w14:textId="029898FA" w:rsidR="00A0790B" w:rsidRPr="00BA2907" w:rsidRDefault="00A0790B" w:rsidP="00A0790B">
            <w:pPr>
              <w:pStyle w:val="CETBodytext"/>
              <w:ind w:right="-1"/>
              <w:jc w:val="left"/>
              <w:rPr>
                <w:rFonts w:cs="Arial"/>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c>
          <w:tcPr>
            <w:tcW w:w="1196" w:type="dxa"/>
            <w:tcBorders>
              <w:top w:val="single" w:sz="8" w:space="0" w:color="008000"/>
            </w:tcBorders>
            <w:shd w:val="clear" w:color="auto" w:fill="FFFFFF"/>
            <w:vAlign w:val="center"/>
          </w:tcPr>
          <w:p w14:paraId="41BD4662" w14:textId="77777777" w:rsidR="00A0790B" w:rsidRDefault="00A0790B" w:rsidP="00A0790B">
            <w:pPr>
              <w:pStyle w:val="CETBodytext"/>
              <w:ind w:right="-1"/>
              <w:jc w:val="left"/>
              <w:rPr>
                <w:sz w:val="16"/>
                <w:szCs w:val="18"/>
                <w:lang w:val="en-GB"/>
              </w:rPr>
            </w:pPr>
            <w:r w:rsidRPr="008A2D99">
              <w:rPr>
                <w:sz w:val="16"/>
                <w:szCs w:val="18"/>
                <w:lang w:val="en-GB"/>
              </w:rPr>
              <w:t>Graphite</w:t>
            </w:r>
          </w:p>
          <w:p w14:paraId="74EB6089" w14:textId="5AE5ECE0" w:rsidR="00A0790B" w:rsidRPr="00BA2907" w:rsidRDefault="00A0790B" w:rsidP="00A0790B">
            <w:pPr>
              <w:pStyle w:val="CETBodytext"/>
              <w:ind w:right="-1"/>
              <w:jc w:val="left"/>
              <w:rPr>
                <w:rFonts w:cs="Arial"/>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c>
          <w:tcPr>
            <w:tcW w:w="1120" w:type="dxa"/>
            <w:tcBorders>
              <w:top w:val="single" w:sz="8" w:space="0" w:color="008000"/>
            </w:tcBorders>
            <w:shd w:val="clear" w:color="auto" w:fill="FFFFFF"/>
            <w:vAlign w:val="center"/>
          </w:tcPr>
          <w:p w14:paraId="27D94C07" w14:textId="77777777" w:rsidR="00A0790B" w:rsidRDefault="00A0790B" w:rsidP="00A0790B">
            <w:pPr>
              <w:pStyle w:val="CETBodytext"/>
              <w:ind w:right="-1"/>
              <w:jc w:val="left"/>
              <w:rPr>
                <w:sz w:val="16"/>
                <w:szCs w:val="18"/>
                <w:lang w:val="en-GB"/>
              </w:rPr>
            </w:pPr>
            <w:r w:rsidRPr="008A2D99">
              <w:rPr>
                <w:sz w:val="16"/>
                <w:szCs w:val="18"/>
                <w:lang w:val="en-GB"/>
              </w:rPr>
              <w:t>Graphite</w:t>
            </w:r>
          </w:p>
          <w:p w14:paraId="04E35F95" w14:textId="20C10493" w:rsidR="00A0790B" w:rsidRPr="00BA2907" w:rsidRDefault="00A0790B" w:rsidP="00A0790B">
            <w:pPr>
              <w:pStyle w:val="CETBodytext"/>
              <w:ind w:right="-1"/>
              <w:jc w:val="left"/>
              <w:rPr>
                <w:rFonts w:cs="Arial"/>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c>
          <w:tcPr>
            <w:tcW w:w="1145" w:type="dxa"/>
            <w:tcBorders>
              <w:top w:val="single" w:sz="8" w:space="0" w:color="008000"/>
            </w:tcBorders>
            <w:shd w:val="clear" w:color="auto" w:fill="FFFFFF"/>
            <w:vAlign w:val="center"/>
          </w:tcPr>
          <w:p w14:paraId="7C73CCDE" w14:textId="77777777" w:rsidR="00A0790B" w:rsidRDefault="00A0790B" w:rsidP="00A0790B">
            <w:pPr>
              <w:pStyle w:val="CETBodytext"/>
              <w:ind w:right="-1"/>
              <w:jc w:val="left"/>
              <w:rPr>
                <w:sz w:val="16"/>
                <w:szCs w:val="18"/>
                <w:lang w:val="en-GB"/>
              </w:rPr>
            </w:pPr>
            <w:r w:rsidRPr="008A2D99">
              <w:rPr>
                <w:sz w:val="16"/>
                <w:szCs w:val="18"/>
                <w:lang w:val="en-GB"/>
              </w:rPr>
              <w:t>Graphite</w:t>
            </w:r>
          </w:p>
          <w:p w14:paraId="21D69BB1" w14:textId="66D46000" w:rsidR="00A0790B" w:rsidRPr="00BA2907" w:rsidRDefault="00A0790B" w:rsidP="00A0790B">
            <w:pPr>
              <w:pStyle w:val="CETBodytext"/>
              <w:ind w:right="-1"/>
              <w:jc w:val="left"/>
              <w:rPr>
                <w:rFonts w:cs="Arial"/>
                <w:sz w:val="16"/>
                <w:szCs w:val="18"/>
                <w:lang w:val="en-GB"/>
              </w:rPr>
            </w:pPr>
            <w:r>
              <w:rPr>
                <w:sz w:val="16"/>
                <w:szCs w:val="18"/>
                <w:lang w:val="en-GB"/>
              </w:rPr>
              <w:t>(22 cm</w:t>
            </w:r>
            <w:r w:rsidRPr="004B7590">
              <w:rPr>
                <w:sz w:val="16"/>
                <w:szCs w:val="18"/>
                <w:vertAlign w:val="superscript"/>
                <w:lang w:val="en-GB"/>
              </w:rPr>
              <w:t>2</w:t>
            </w:r>
            <w:r>
              <w:rPr>
                <w:sz w:val="16"/>
                <w:szCs w:val="18"/>
                <w:lang w:val="en-GB"/>
              </w:rPr>
              <w:t>)</w:t>
            </w:r>
          </w:p>
        </w:tc>
      </w:tr>
      <w:tr w:rsidR="00A0790B" w:rsidRPr="00BA2907" w14:paraId="4B698A0F" w14:textId="7BAAE3C6" w:rsidTr="005D4ABA">
        <w:trPr>
          <w:trHeight w:val="484"/>
        </w:trPr>
        <w:tc>
          <w:tcPr>
            <w:tcW w:w="767" w:type="dxa"/>
            <w:vMerge/>
            <w:shd w:val="clear" w:color="auto" w:fill="FFFFFF"/>
            <w:vAlign w:val="center"/>
          </w:tcPr>
          <w:p w14:paraId="202CB518" w14:textId="77777777" w:rsidR="00A0790B" w:rsidRPr="00BA2907" w:rsidRDefault="00A0790B" w:rsidP="00A0790B">
            <w:pPr>
              <w:pStyle w:val="CETBodytext"/>
              <w:rPr>
                <w:sz w:val="16"/>
                <w:szCs w:val="18"/>
                <w:lang w:val="en-GB"/>
              </w:rPr>
            </w:pPr>
          </w:p>
        </w:tc>
        <w:tc>
          <w:tcPr>
            <w:tcW w:w="781" w:type="dxa"/>
            <w:shd w:val="clear" w:color="auto" w:fill="FFFFFF"/>
            <w:vAlign w:val="center"/>
          </w:tcPr>
          <w:p w14:paraId="6E2C0F4A" w14:textId="3B15AF07" w:rsidR="00A0790B" w:rsidRPr="00BA2907" w:rsidRDefault="00A0790B" w:rsidP="00A0790B">
            <w:pPr>
              <w:pStyle w:val="CETBodytext"/>
              <w:jc w:val="left"/>
              <w:rPr>
                <w:sz w:val="16"/>
                <w:szCs w:val="18"/>
                <w:lang w:val="en-GB"/>
              </w:rPr>
            </w:pPr>
            <w:r w:rsidRPr="00BA2907">
              <w:rPr>
                <w:sz w:val="16"/>
                <w:szCs w:val="18"/>
                <w:lang w:val="en-GB"/>
              </w:rPr>
              <w:t>Medio:</w:t>
            </w:r>
          </w:p>
        </w:tc>
        <w:tc>
          <w:tcPr>
            <w:tcW w:w="1167" w:type="dxa"/>
            <w:shd w:val="clear" w:color="auto" w:fill="FFFFFF"/>
            <w:vAlign w:val="center"/>
          </w:tcPr>
          <w:p w14:paraId="2B538537" w14:textId="3449C11D" w:rsidR="00A0790B" w:rsidRPr="00C7230B" w:rsidRDefault="00A0790B" w:rsidP="00A0790B">
            <w:pPr>
              <w:pStyle w:val="CETBodytext"/>
              <w:jc w:val="left"/>
              <w:rPr>
                <w:sz w:val="16"/>
                <w:szCs w:val="18"/>
                <w:lang w:val="en-GB"/>
              </w:rPr>
            </w:pPr>
            <w:r w:rsidRPr="00C7230B">
              <w:rPr>
                <w:sz w:val="16"/>
                <w:szCs w:val="18"/>
                <w:lang w:val="en-GB"/>
              </w:rPr>
              <w:t xml:space="preserve">Copper </w:t>
            </w:r>
            <w:proofErr w:type="spellStart"/>
            <w:r w:rsidRPr="00C7230B">
              <w:rPr>
                <w:sz w:val="16"/>
                <w:szCs w:val="18"/>
                <w:lang w:val="en-GB"/>
              </w:rPr>
              <w:t>sulfate</w:t>
            </w:r>
            <w:proofErr w:type="spellEnd"/>
            <w:r w:rsidRPr="00C7230B">
              <w:rPr>
                <w:sz w:val="16"/>
                <w:szCs w:val="18"/>
                <w:lang w:val="en-GB"/>
              </w:rPr>
              <w:t xml:space="preserve"> solution (1 M): 400 mL</w:t>
            </w:r>
          </w:p>
        </w:tc>
        <w:tc>
          <w:tcPr>
            <w:tcW w:w="1193" w:type="dxa"/>
            <w:shd w:val="clear" w:color="auto" w:fill="FFFFFF"/>
            <w:vAlign w:val="center"/>
          </w:tcPr>
          <w:p w14:paraId="3E2A6838" w14:textId="5789E279" w:rsidR="00A0790B" w:rsidRPr="00C7230B" w:rsidRDefault="00A0790B" w:rsidP="00A0790B">
            <w:pPr>
              <w:pStyle w:val="CETBodytext"/>
              <w:jc w:val="left"/>
              <w:rPr>
                <w:sz w:val="16"/>
                <w:szCs w:val="18"/>
                <w:lang w:val="en-GB"/>
              </w:rPr>
            </w:pPr>
            <w:r w:rsidRPr="00C7230B">
              <w:rPr>
                <w:sz w:val="16"/>
                <w:szCs w:val="18"/>
                <w:lang w:val="en-GB"/>
              </w:rPr>
              <w:t xml:space="preserve">Copper </w:t>
            </w:r>
            <w:proofErr w:type="spellStart"/>
            <w:r w:rsidRPr="00C7230B">
              <w:rPr>
                <w:sz w:val="16"/>
                <w:szCs w:val="18"/>
                <w:lang w:val="en-GB"/>
              </w:rPr>
              <w:t>sulfate</w:t>
            </w:r>
            <w:proofErr w:type="spellEnd"/>
            <w:r w:rsidRPr="00C7230B">
              <w:rPr>
                <w:sz w:val="16"/>
                <w:szCs w:val="18"/>
                <w:lang w:val="en-GB"/>
              </w:rPr>
              <w:t xml:space="preserve"> solution (1 M): 400 mL</w:t>
            </w:r>
          </w:p>
        </w:tc>
        <w:tc>
          <w:tcPr>
            <w:tcW w:w="1147" w:type="dxa"/>
            <w:shd w:val="clear" w:color="auto" w:fill="FFFFFF"/>
            <w:vAlign w:val="center"/>
          </w:tcPr>
          <w:p w14:paraId="7BED12FE" w14:textId="33314F6A" w:rsidR="00A0790B" w:rsidRPr="00C7230B" w:rsidRDefault="00A0790B" w:rsidP="00A0790B">
            <w:pPr>
              <w:pStyle w:val="CETBodytext"/>
              <w:ind w:right="-1"/>
              <w:jc w:val="left"/>
              <w:rPr>
                <w:rFonts w:cs="Arial"/>
                <w:sz w:val="16"/>
                <w:szCs w:val="18"/>
                <w:lang w:val="en-GB"/>
              </w:rPr>
            </w:pPr>
            <w:r w:rsidRPr="00C7230B">
              <w:rPr>
                <w:sz w:val="16"/>
                <w:szCs w:val="18"/>
                <w:lang w:val="en-GB"/>
              </w:rPr>
              <w:t xml:space="preserve">Copper </w:t>
            </w:r>
            <w:proofErr w:type="spellStart"/>
            <w:r w:rsidRPr="00C7230B">
              <w:rPr>
                <w:sz w:val="16"/>
                <w:szCs w:val="18"/>
                <w:lang w:val="en-GB"/>
              </w:rPr>
              <w:t>sulfate</w:t>
            </w:r>
            <w:proofErr w:type="spellEnd"/>
            <w:r w:rsidRPr="00C7230B">
              <w:rPr>
                <w:sz w:val="16"/>
                <w:szCs w:val="18"/>
                <w:lang w:val="en-GB"/>
              </w:rPr>
              <w:t xml:space="preserve"> solution (1 M): 400 mL</w:t>
            </w:r>
          </w:p>
        </w:tc>
        <w:tc>
          <w:tcPr>
            <w:tcW w:w="1196" w:type="dxa"/>
            <w:shd w:val="clear" w:color="auto" w:fill="FFFFFF"/>
            <w:vAlign w:val="center"/>
          </w:tcPr>
          <w:p w14:paraId="50FE94A1" w14:textId="49673223" w:rsidR="00A0790B" w:rsidRPr="00C7230B" w:rsidRDefault="00A0790B" w:rsidP="00A0790B">
            <w:pPr>
              <w:pStyle w:val="CETBodytext"/>
              <w:ind w:right="-1"/>
              <w:jc w:val="left"/>
              <w:rPr>
                <w:rFonts w:cs="Arial"/>
                <w:sz w:val="16"/>
                <w:szCs w:val="18"/>
                <w:lang w:val="en-GB"/>
              </w:rPr>
            </w:pPr>
            <w:r w:rsidRPr="00C7230B">
              <w:rPr>
                <w:sz w:val="16"/>
                <w:szCs w:val="18"/>
                <w:lang w:val="en-GB"/>
              </w:rPr>
              <w:t xml:space="preserve">Copper </w:t>
            </w:r>
            <w:proofErr w:type="spellStart"/>
            <w:r w:rsidRPr="00C7230B">
              <w:rPr>
                <w:sz w:val="16"/>
                <w:szCs w:val="18"/>
                <w:lang w:val="en-GB"/>
              </w:rPr>
              <w:t>sulfate</w:t>
            </w:r>
            <w:proofErr w:type="spellEnd"/>
            <w:r w:rsidRPr="00C7230B">
              <w:rPr>
                <w:sz w:val="16"/>
                <w:szCs w:val="18"/>
                <w:lang w:val="en-GB"/>
              </w:rPr>
              <w:t xml:space="preserve"> solution (1 M): 400 mL</w:t>
            </w:r>
          </w:p>
        </w:tc>
        <w:tc>
          <w:tcPr>
            <w:tcW w:w="1120" w:type="dxa"/>
            <w:shd w:val="clear" w:color="auto" w:fill="FFFFFF"/>
            <w:vAlign w:val="center"/>
          </w:tcPr>
          <w:p w14:paraId="46478B9E" w14:textId="77777777" w:rsidR="00A0790B" w:rsidRPr="00C7230B" w:rsidRDefault="00A0790B" w:rsidP="00A0790B">
            <w:pPr>
              <w:pStyle w:val="CETBodytext"/>
              <w:ind w:right="-1"/>
              <w:jc w:val="left"/>
              <w:rPr>
                <w:sz w:val="16"/>
                <w:szCs w:val="18"/>
                <w:lang w:val="es-PE"/>
              </w:rPr>
            </w:pPr>
            <w:r w:rsidRPr="00C7230B">
              <w:rPr>
                <w:sz w:val="16"/>
                <w:szCs w:val="18"/>
                <w:lang w:val="es-PE"/>
              </w:rPr>
              <w:t xml:space="preserve">400 </w:t>
            </w:r>
            <w:proofErr w:type="spellStart"/>
            <w:r w:rsidRPr="00C7230B">
              <w:rPr>
                <w:sz w:val="16"/>
                <w:szCs w:val="18"/>
                <w:lang w:val="es-PE"/>
              </w:rPr>
              <w:t>mL</w:t>
            </w:r>
            <w:proofErr w:type="spellEnd"/>
            <w:r w:rsidRPr="00C7230B">
              <w:rPr>
                <w:sz w:val="16"/>
                <w:szCs w:val="18"/>
                <w:lang w:val="es-PE"/>
              </w:rPr>
              <w:t xml:space="preserve"> </w:t>
            </w:r>
            <w:proofErr w:type="spellStart"/>
            <w:r w:rsidRPr="00C7230B">
              <w:rPr>
                <w:sz w:val="16"/>
                <w:szCs w:val="18"/>
                <w:lang w:val="es-PE"/>
              </w:rPr>
              <w:t>of</w:t>
            </w:r>
            <w:proofErr w:type="spellEnd"/>
          </w:p>
          <w:p w14:paraId="5198D627" w14:textId="41C4021E" w:rsidR="00A0790B" w:rsidRPr="00BA2907" w:rsidRDefault="00A0790B" w:rsidP="00A0790B">
            <w:pPr>
              <w:pStyle w:val="CETBodytext"/>
              <w:ind w:right="-1"/>
              <w:jc w:val="left"/>
              <w:rPr>
                <w:rFonts w:cs="Arial"/>
                <w:sz w:val="16"/>
                <w:szCs w:val="18"/>
                <w:lang w:val="es-PE"/>
              </w:rPr>
            </w:pPr>
            <w:r w:rsidRPr="00C7230B">
              <w:rPr>
                <w:sz w:val="16"/>
                <w:szCs w:val="18"/>
                <w:lang w:val="es-PE"/>
              </w:rPr>
              <w:t xml:space="preserve"> </w:t>
            </w:r>
            <w:proofErr w:type="spellStart"/>
            <w:r w:rsidRPr="00C7230B">
              <w:rPr>
                <w:sz w:val="16"/>
                <w:szCs w:val="18"/>
                <w:lang w:val="es-PE"/>
              </w:rPr>
              <w:t>distilled</w:t>
            </w:r>
            <w:proofErr w:type="spellEnd"/>
            <w:r w:rsidRPr="00C7230B">
              <w:rPr>
                <w:sz w:val="16"/>
                <w:szCs w:val="18"/>
                <w:lang w:val="es-PE"/>
              </w:rPr>
              <w:t xml:space="preserve"> </w:t>
            </w:r>
            <w:proofErr w:type="spellStart"/>
            <w:r w:rsidRPr="00C7230B">
              <w:rPr>
                <w:sz w:val="16"/>
                <w:szCs w:val="18"/>
                <w:lang w:val="es-PE"/>
              </w:rPr>
              <w:t>water</w:t>
            </w:r>
            <w:proofErr w:type="spellEnd"/>
          </w:p>
        </w:tc>
        <w:tc>
          <w:tcPr>
            <w:tcW w:w="1145" w:type="dxa"/>
            <w:shd w:val="clear" w:color="auto" w:fill="FFFFFF"/>
            <w:vAlign w:val="center"/>
          </w:tcPr>
          <w:p w14:paraId="4B25AF2C" w14:textId="77777777" w:rsidR="00A0790B" w:rsidRPr="00C7230B" w:rsidRDefault="00A0790B" w:rsidP="00A0790B">
            <w:pPr>
              <w:pStyle w:val="CETBodytext"/>
              <w:ind w:right="-1"/>
              <w:jc w:val="left"/>
              <w:rPr>
                <w:sz w:val="16"/>
                <w:szCs w:val="18"/>
                <w:lang w:val="es-PE"/>
              </w:rPr>
            </w:pPr>
            <w:r w:rsidRPr="00C7230B">
              <w:rPr>
                <w:sz w:val="16"/>
                <w:szCs w:val="18"/>
                <w:lang w:val="es-PE"/>
              </w:rPr>
              <w:t xml:space="preserve">400 </w:t>
            </w:r>
            <w:proofErr w:type="spellStart"/>
            <w:r w:rsidRPr="00C7230B">
              <w:rPr>
                <w:sz w:val="16"/>
                <w:szCs w:val="18"/>
                <w:lang w:val="es-PE"/>
              </w:rPr>
              <w:t>mL</w:t>
            </w:r>
            <w:proofErr w:type="spellEnd"/>
            <w:r w:rsidRPr="00C7230B">
              <w:rPr>
                <w:sz w:val="16"/>
                <w:szCs w:val="18"/>
                <w:lang w:val="es-PE"/>
              </w:rPr>
              <w:t xml:space="preserve"> </w:t>
            </w:r>
            <w:proofErr w:type="spellStart"/>
            <w:r w:rsidRPr="00C7230B">
              <w:rPr>
                <w:sz w:val="16"/>
                <w:szCs w:val="18"/>
                <w:lang w:val="es-PE"/>
              </w:rPr>
              <w:t>of</w:t>
            </w:r>
            <w:proofErr w:type="spellEnd"/>
          </w:p>
          <w:p w14:paraId="6F5C850F" w14:textId="7FBE1925" w:rsidR="00A0790B" w:rsidRPr="00BA2907" w:rsidRDefault="00A0790B" w:rsidP="00A0790B">
            <w:pPr>
              <w:pStyle w:val="CETBodytext"/>
              <w:ind w:right="-1"/>
              <w:jc w:val="left"/>
              <w:rPr>
                <w:rFonts w:cs="Arial"/>
                <w:sz w:val="16"/>
                <w:szCs w:val="18"/>
                <w:lang w:val="es-PE"/>
              </w:rPr>
            </w:pPr>
            <w:r w:rsidRPr="00C7230B">
              <w:rPr>
                <w:sz w:val="16"/>
                <w:szCs w:val="18"/>
                <w:lang w:val="es-PE"/>
              </w:rPr>
              <w:t xml:space="preserve"> </w:t>
            </w:r>
            <w:proofErr w:type="spellStart"/>
            <w:r w:rsidRPr="00C7230B">
              <w:rPr>
                <w:sz w:val="16"/>
                <w:szCs w:val="18"/>
                <w:lang w:val="es-PE"/>
              </w:rPr>
              <w:t>distilled</w:t>
            </w:r>
            <w:proofErr w:type="spellEnd"/>
            <w:r w:rsidRPr="00C7230B">
              <w:rPr>
                <w:sz w:val="16"/>
                <w:szCs w:val="18"/>
                <w:lang w:val="es-PE"/>
              </w:rPr>
              <w:t xml:space="preserve"> </w:t>
            </w:r>
            <w:proofErr w:type="spellStart"/>
            <w:r w:rsidRPr="00C7230B">
              <w:rPr>
                <w:sz w:val="16"/>
                <w:szCs w:val="18"/>
                <w:lang w:val="es-PE"/>
              </w:rPr>
              <w:t>water</w:t>
            </w:r>
            <w:proofErr w:type="spellEnd"/>
          </w:p>
        </w:tc>
      </w:tr>
    </w:tbl>
    <w:p w14:paraId="37D531EC" w14:textId="77777777" w:rsidR="005D4ABA" w:rsidRDefault="005D4ABA" w:rsidP="00481095">
      <w:pPr>
        <w:tabs>
          <w:tab w:val="clear" w:pos="7100"/>
        </w:tabs>
        <w:spacing w:after="200" w:line="276" w:lineRule="auto"/>
        <w:jc w:val="left"/>
        <w:rPr>
          <w:b/>
          <w:bCs/>
          <w:lang w:val="en-US"/>
        </w:rPr>
      </w:pPr>
    </w:p>
    <w:p w14:paraId="31DC7BAF" w14:textId="74428AD6" w:rsidR="00882DB1" w:rsidRPr="00107608" w:rsidRDefault="00107608" w:rsidP="00481095">
      <w:pPr>
        <w:tabs>
          <w:tab w:val="clear" w:pos="7100"/>
        </w:tabs>
        <w:spacing w:after="200" w:line="276" w:lineRule="auto"/>
        <w:jc w:val="left"/>
        <w:rPr>
          <w:b/>
          <w:bCs/>
        </w:rPr>
      </w:pPr>
      <w:r w:rsidRPr="00107608">
        <w:rPr>
          <w:b/>
          <w:bCs/>
          <w:lang w:val="en-US"/>
        </w:rPr>
        <w:t xml:space="preserve">2.4 </w:t>
      </w:r>
      <w:r w:rsidR="00882DB1" w:rsidRPr="00107608">
        <w:rPr>
          <w:b/>
          <w:bCs/>
        </w:rPr>
        <w:t>Power generation process</w:t>
      </w:r>
    </w:p>
    <w:p w14:paraId="47075F4F" w14:textId="36C05EB9" w:rsidR="00B9029C" w:rsidRPr="00882DB1" w:rsidRDefault="00882DB1">
      <w:pPr>
        <w:tabs>
          <w:tab w:val="clear" w:pos="7100"/>
        </w:tabs>
        <w:spacing w:after="200" w:line="276" w:lineRule="auto"/>
        <w:jc w:val="left"/>
      </w:pPr>
      <w:r w:rsidRPr="00882DB1">
        <w:t>In the process of energy generation with the cells with the different designs, it was monitored for 20 days, 64 measurements of the voltage generated were made</w:t>
      </w:r>
      <w:r w:rsidR="00DE1C18">
        <w:t xml:space="preserve">; </w:t>
      </w:r>
      <w:r w:rsidR="00DE1C18" w:rsidRPr="00DE1C18">
        <w:t>in the first 8 days it was measured twice a day every 12 hours and in the following days, 4 times a day every 6 hours</w:t>
      </w:r>
      <w:r w:rsidRPr="00882DB1">
        <w:t>. The pH, temperature and bacterial population of the anodes of the experimental cells were also recorded.</w:t>
      </w:r>
    </w:p>
    <w:p w14:paraId="6D20E9EA" w14:textId="4766730E" w:rsidR="004916B3" w:rsidRDefault="00882DB1" w:rsidP="004916B3">
      <w:pPr>
        <w:pStyle w:val="CETHeading1"/>
      </w:pPr>
      <w:r w:rsidRPr="001333E2">
        <w:t>Resul</w:t>
      </w:r>
      <w:r w:rsidR="00DE1C18">
        <w:t>ts</w:t>
      </w:r>
      <w:r>
        <w:t xml:space="preserve"> and</w:t>
      </w:r>
      <w:r w:rsidR="004916B3" w:rsidRPr="001333E2">
        <w:t xml:space="preserve"> </w:t>
      </w:r>
      <w:r w:rsidRPr="001333E2">
        <w:t>discussion</w:t>
      </w:r>
    </w:p>
    <w:p w14:paraId="7B03FFF3" w14:textId="0C26D301" w:rsidR="00882DB1" w:rsidRDefault="00882DB1" w:rsidP="00882DB1">
      <w:pPr>
        <w:pStyle w:val="CETheadingx"/>
      </w:pPr>
      <w:r>
        <w:t>C</w:t>
      </w:r>
      <w:r w:rsidRPr="00882DB1">
        <w:t xml:space="preserve">ell temperature during the </w:t>
      </w:r>
      <w:r w:rsidR="0064680F" w:rsidRPr="00882DB1">
        <w:t>process</w:t>
      </w:r>
    </w:p>
    <w:p w14:paraId="0E1B6257" w14:textId="36979B49" w:rsidR="007C0FB0" w:rsidRPr="00DE1C18" w:rsidRDefault="00882DB1" w:rsidP="007B2CBA">
      <w:pPr>
        <w:pStyle w:val="CETBodytext"/>
      </w:pPr>
      <w:r w:rsidRPr="00882DB1">
        <w:rPr>
          <w:lang w:val="en-GB"/>
        </w:rPr>
        <w:t xml:space="preserve">The cells maintained a temperature between 20.8 °C and 21.8 °C, those in the anode were inoculated with </w:t>
      </w:r>
      <w:r w:rsidRPr="00DE1C18">
        <w:rPr>
          <w:i/>
          <w:iCs/>
        </w:rPr>
        <w:t xml:space="preserve">Aeromonas </w:t>
      </w:r>
      <w:proofErr w:type="spellStart"/>
      <w:r w:rsidRPr="00DE1C18">
        <w:rPr>
          <w:i/>
          <w:iCs/>
        </w:rPr>
        <w:t>hydrophila</w:t>
      </w:r>
      <w:proofErr w:type="spellEnd"/>
      <w:r w:rsidRPr="00DE1C18">
        <w:t xml:space="preserve"> and </w:t>
      </w:r>
      <w:r w:rsidRPr="00DE1C18">
        <w:rPr>
          <w:i/>
          <w:iCs/>
        </w:rPr>
        <w:t>Pseudomonas aeruginosa</w:t>
      </w:r>
      <w:r w:rsidRPr="00DE1C18">
        <w:t xml:space="preserve"> bacteria, as well as in the control cells. (Figure 2); these temperatures were relatively low and could affect the optimal generation of energy because scientific literature indicates that taking into account that the presence of substrates and their concentration requires more time to obtain a constant voltage of electric current in a microbial cell, the appropriate temperature for the generation of electric energy and removal of organic matter in the wastewater is 25°C reaching high columbic efficiencies between 28. 4% and 70.69%, for chemical demands of 1980 mg/L and 3200 mg/L; </w:t>
      </w:r>
      <w:r w:rsidR="001C4BF0" w:rsidRPr="00DE1C18">
        <w:t>therefore,</w:t>
      </w:r>
      <w:r w:rsidRPr="00DE1C18">
        <w:t xml:space="preserve"> the oxidation process in the anode substrate, is directly related to the temperature, in the generation of electric power (Valencia, 2018).</w:t>
      </w:r>
    </w:p>
    <w:p w14:paraId="64CCA13B" w14:textId="4889B92F" w:rsidR="003C743B" w:rsidRDefault="003C743B" w:rsidP="004916B3">
      <w:pPr>
        <w:pStyle w:val="CETBodytext"/>
      </w:pPr>
    </w:p>
    <w:p w14:paraId="66922EAB" w14:textId="1A5B214B" w:rsidR="00481095" w:rsidRPr="00DE1C18" w:rsidRDefault="00481095" w:rsidP="004916B3">
      <w:pPr>
        <w:pStyle w:val="CETBodytext"/>
      </w:pPr>
      <w:r>
        <w:rPr>
          <w:noProof/>
        </w:rPr>
        <w:drawing>
          <wp:inline distT="0" distB="0" distL="0" distR="0" wp14:anchorId="3518FC42" wp14:editId="245D03BC">
            <wp:extent cx="5579745" cy="2481943"/>
            <wp:effectExtent l="0" t="0" r="1905" b="13970"/>
            <wp:docPr id="2" name="Gráfico 2">
              <a:extLst xmlns:a="http://schemas.openxmlformats.org/drawingml/2006/main">
                <a:ext uri="{FF2B5EF4-FFF2-40B4-BE49-F238E27FC236}">
                  <a16:creationId xmlns:a16="http://schemas.microsoft.com/office/drawing/2014/main" id="{CC7EAE63-3B49-4CAE-934C-7D2561EB25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99757E5" w14:textId="242409DF" w:rsidR="004916B3" w:rsidRPr="00DE1C18" w:rsidRDefault="00422297" w:rsidP="001E5AA9">
      <w:pPr>
        <w:pStyle w:val="CETCaption"/>
        <w:rPr>
          <w:lang w:val="en-US"/>
        </w:rPr>
      </w:pPr>
      <w:r w:rsidRPr="00DE1C18">
        <w:rPr>
          <w:lang w:val="en-US"/>
        </w:rPr>
        <w:t xml:space="preserve">Figure </w:t>
      </w:r>
      <w:r w:rsidR="00F52F94" w:rsidRPr="00DE1C18">
        <w:rPr>
          <w:lang w:val="en-US"/>
        </w:rPr>
        <w:t>2</w:t>
      </w:r>
      <w:r w:rsidRPr="00DE1C18">
        <w:rPr>
          <w:lang w:val="en-US"/>
        </w:rPr>
        <w:t xml:space="preserve">: </w:t>
      </w:r>
      <w:r w:rsidR="00882DB1" w:rsidRPr="00DE1C18">
        <w:rPr>
          <w:lang w:val="en-US"/>
        </w:rPr>
        <w:t>Cell temperatures</w:t>
      </w:r>
    </w:p>
    <w:p w14:paraId="534B7F7D" w14:textId="3E5C1480" w:rsidR="00422297" w:rsidRPr="00882DB1" w:rsidRDefault="00882DB1" w:rsidP="00422297">
      <w:pPr>
        <w:pStyle w:val="CETheadingx"/>
        <w:rPr>
          <w:lang w:val="en-GB"/>
        </w:rPr>
      </w:pPr>
      <w:r w:rsidRPr="00882DB1">
        <w:rPr>
          <w:lang w:val="en-GB"/>
        </w:rPr>
        <w:lastRenderedPageBreak/>
        <w:t>Energy generated in Microbial Cell 1 (C1)</w:t>
      </w:r>
    </w:p>
    <w:p w14:paraId="0CC3625A" w14:textId="0982A078" w:rsidR="00300FB2" w:rsidRPr="0012145B" w:rsidRDefault="0012145B" w:rsidP="005131BA">
      <w:pPr>
        <w:pStyle w:val="CETBodytext"/>
        <w:rPr>
          <w:lang w:val="en-GB"/>
        </w:rPr>
      </w:pPr>
      <w:r w:rsidRPr="0012145B">
        <w:rPr>
          <w:lang w:val="en-GB"/>
        </w:rPr>
        <w:t xml:space="preserve">This cell consisted of an anode cell where </w:t>
      </w:r>
      <w:r w:rsidRPr="001C4BF0">
        <w:rPr>
          <w:i/>
          <w:iCs/>
          <w:lang w:val="en-GB"/>
        </w:rPr>
        <w:t xml:space="preserve">Aeromonas </w:t>
      </w:r>
      <w:proofErr w:type="spellStart"/>
      <w:r w:rsidRPr="001C4BF0">
        <w:rPr>
          <w:i/>
          <w:iCs/>
          <w:lang w:val="en-GB"/>
        </w:rPr>
        <w:t>hydrophila</w:t>
      </w:r>
      <w:proofErr w:type="spellEnd"/>
      <w:r w:rsidRPr="0012145B">
        <w:rPr>
          <w:lang w:val="en-GB"/>
        </w:rPr>
        <w:t xml:space="preserve"> bacteria were inoculated in a sludge medium with wastewater and a graphite electrode was placed, according to the Cell 1 design mentioned in Table 2. As shown in Figure </w:t>
      </w:r>
      <w:r w:rsidR="006A41D9">
        <w:rPr>
          <w:lang w:val="en-GB"/>
        </w:rPr>
        <w:t>3</w:t>
      </w:r>
      <w:r w:rsidRPr="0012145B">
        <w:rPr>
          <w:lang w:val="en-GB"/>
        </w:rPr>
        <w:t>, in this cell the energy generation was increasing with a logarithmic trend as time progressed, possibly due to the growth of the bacterial population and was higher than the energy generated in the control cell where no bacteria were inoculated (Cell 5), by 6.31 % on day 20.</w:t>
      </w:r>
    </w:p>
    <w:p w14:paraId="5033CDFC" w14:textId="53A4590A" w:rsidR="007D32F1" w:rsidRPr="00422297" w:rsidRDefault="007D32F1" w:rsidP="005131BA">
      <w:pPr>
        <w:pStyle w:val="CETBodytext"/>
        <w:rPr>
          <w:lang w:val="es-PE"/>
        </w:rPr>
      </w:pPr>
      <w:r>
        <w:rPr>
          <w:noProof/>
        </w:rPr>
        <w:drawing>
          <wp:inline distT="0" distB="0" distL="0" distR="0" wp14:anchorId="62F8C82C" wp14:editId="3DF201AD">
            <wp:extent cx="4531806" cy="2138680"/>
            <wp:effectExtent l="0" t="0" r="2540" b="13970"/>
            <wp:docPr id="9" name="Gráfico 9">
              <a:extLst xmlns:a="http://schemas.openxmlformats.org/drawingml/2006/main">
                <a:ext uri="{FF2B5EF4-FFF2-40B4-BE49-F238E27FC236}">
                  <a16:creationId xmlns:a16="http://schemas.microsoft.com/office/drawing/2014/main" id="{A2925494-A4A1-414F-B8E2-4A223A8356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67C1A8A" w14:textId="0BC7C2A7" w:rsidR="001E5AA9" w:rsidRPr="0012145B" w:rsidRDefault="001E5AA9" w:rsidP="0012145B">
      <w:pPr>
        <w:pStyle w:val="CETCaption"/>
      </w:pPr>
      <w:r w:rsidRPr="0012145B">
        <w:t xml:space="preserve">Figure </w:t>
      </w:r>
      <w:r w:rsidR="006A41D9">
        <w:t>3</w:t>
      </w:r>
      <w:r w:rsidRPr="0012145B">
        <w:t xml:space="preserve">: </w:t>
      </w:r>
      <w:r w:rsidR="0012145B" w:rsidRPr="0012145B">
        <w:t>Energy generated in microbial cell 1</w:t>
      </w:r>
    </w:p>
    <w:p w14:paraId="5EBBAA37" w14:textId="1FA9DCD5" w:rsidR="001E5AA9" w:rsidRPr="0012145B" w:rsidRDefault="0012145B" w:rsidP="0012145B">
      <w:pPr>
        <w:pStyle w:val="CETheadingx"/>
        <w:rPr>
          <w:lang w:val="en-GB"/>
        </w:rPr>
      </w:pPr>
      <w:r w:rsidRPr="00882DB1">
        <w:rPr>
          <w:lang w:val="en-GB"/>
        </w:rPr>
        <w:t xml:space="preserve">Energy generated in Microbial Cell </w:t>
      </w:r>
      <w:r>
        <w:rPr>
          <w:lang w:val="en-GB"/>
        </w:rPr>
        <w:t>2</w:t>
      </w:r>
      <w:r w:rsidRPr="00882DB1">
        <w:rPr>
          <w:lang w:val="en-GB"/>
        </w:rPr>
        <w:t xml:space="preserve"> (C</w:t>
      </w:r>
      <w:r>
        <w:rPr>
          <w:lang w:val="en-GB"/>
        </w:rPr>
        <w:t>2</w:t>
      </w:r>
      <w:r w:rsidRPr="00882DB1">
        <w:rPr>
          <w:lang w:val="en-GB"/>
        </w:rPr>
        <w:t>)</w:t>
      </w:r>
    </w:p>
    <w:p w14:paraId="28E8FA47" w14:textId="77777777" w:rsidR="0012145B" w:rsidRPr="0012145B" w:rsidRDefault="0012145B" w:rsidP="0012145B">
      <w:pPr>
        <w:pStyle w:val="CETBodytext"/>
      </w:pPr>
      <w:r w:rsidRPr="0012145B">
        <w:t xml:space="preserve">This cell corresponded to cell design 2 (see Table 2), it consisted of an anodic cell where </w:t>
      </w:r>
      <w:r w:rsidRPr="001C4BF0">
        <w:rPr>
          <w:i/>
          <w:iCs/>
        </w:rPr>
        <w:t>Pseudomonas aeruginosa</w:t>
      </w:r>
      <w:r w:rsidRPr="0012145B">
        <w:t xml:space="preserve"> bacteria were inoculated in a sludge medium with wastewater and an aluminum electrode was placed. </w:t>
      </w:r>
    </w:p>
    <w:p w14:paraId="45BF038E" w14:textId="70420238" w:rsidR="00C34045" w:rsidRPr="0012145B" w:rsidRDefault="0012145B" w:rsidP="0012145B">
      <w:pPr>
        <w:pStyle w:val="CETBodytext"/>
      </w:pPr>
      <w:r w:rsidRPr="0012145B">
        <w:t xml:space="preserve">The energy generated in this cell on day 5 was 0.4484 V, higher than the energy generated by the control cell 5 (control), from day 6 the energy generated had a very slow growth so that the energy generated in the control cell (without bacteria) was higher (Figure </w:t>
      </w:r>
      <w:r w:rsidR="006A41D9">
        <w:t>4</w:t>
      </w:r>
      <w:r w:rsidRPr="0012145B">
        <w:t xml:space="preserve">). </w:t>
      </w:r>
      <w:r w:rsidR="001C4BF0" w:rsidRPr="0012145B">
        <w:t>So,</w:t>
      </w:r>
      <w:r w:rsidRPr="0012145B">
        <w:t xml:space="preserve"> in this cell the inoculated bacteria did not improve the generation of energy in the way that, if it happened with the other microbial cells, it is very likely that this result was influenced by the temperature that in some cases inhibits the generation of energy (Valencia, 2018).</w:t>
      </w:r>
    </w:p>
    <w:p w14:paraId="6ABD3FF0" w14:textId="77777777" w:rsidR="001537BF" w:rsidRPr="0012145B" w:rsidRDefault="001537BF" w:rsidP="001537BF">
      <w:pPr>
        <w:tabs>
          <w:tab w:val="clear" w:pos="7100"/>
        </w:tabs>
        <w:spacing w:line="276" w:lineRule="auto"/>
      </w:pPr>
    </w:p>
    <w:p w14:paraId="6AF72C02" w14:textId="4B0C8A9B" w:rsidR="007D32F1" w:rsidRDefault="007D32F1" w:rsidP="00F92284">
      <w:pPr>
        <w:tabs>
          <w:tab w:val="clear" w:pos="7100"/>
        </w:tabs>
        <w:spacing w:after="200" w:line="276" w:lineRule="auto"/>
        <w:rPr>
          <w:lang w:val="es-PE"/>
        </w:rPr>
      </w:pPr>
      <w:r>
        <w:rPr>
          <w:noProof/>
        </w:rPr>
        <w:drawing>
          <wp:inline distT="0" distB="0" distL="0" distR="0" wp14:anchorId="3B2E3DDE" wp14:editId="4EF9F5BD">
            <wp:extent cx="4592096" cy="2039815"/>
            <wp:effectExtent l="0" t="0" r="18415" b="17780"/>
            <wp:docPr id="10" name="Gráfico 10">
              <a:extLst xmlns:a="http://schemas.openxmlformats.org/drawingml/2006/main">
                <a:ext uri="{FF2B5EF4-FFF2-40B4-BE49-F238E27FC236}">
                  <a16:creationId xmlns:a16="http://schemas.microsoft.com/office/drawing/2014/main" id="{3ADA688E-165E-43F3-8D77-01B4775C99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B39550" w14:textId="6FD8B57A" w:rsidR="00C34045" w:rsidRPr="0012145B" w:rsidRDefault="006A41D9" w:rsidP="0012145B">
      <w:pPr>
        <w:pStyle w:val="CETCaption"/>
      </w:pPr>
      <w:r w:rsidRPr="0012145B">
        <w:t>Figure</w:t>
      </w:r>
      <w:r w:rsidR="00C34045" w:rsidRPr="0012145B">
        <w:t xml:space="preserve"> </w:t>
      </w:r>
      <w:r>
        <w:t>4</w:t>
      </w:r>
      <w:r w:rsidR="00C34045" w:rsidRPr="0012145B">
        <w:t xml:space="preserve">: </w:t>
      </w:r>
      <w:r w:rsidR="0012145B" w:rsidRPr="0012145B">
        <w:t>Energy generated in Microbial Cell 2</w:t>
      </w:r>
    </w:p>
    <w:p w14:paraId="045C98EB" w14:textId="003AC352" w:rsidR="0012145B" w:rsidRPr="0012145B" w:rsidRDefault="0012145B" w:rsidP="0012145B">
      <w:pPr>
        <w:pStyle w:val="CETBodytext"/>
        <w:rPr>
          <w:b/>
        </w:rPr>
      </w:pPr>
      <w:r w:rsidRPr="0012145B">
        <w:t xml:space="preserve">Comparing Cell 1 with </w:t>
      </w:r>
      <w:r w:rsidRPr="001C4BF0">
        <w:rPr>
          <w:i/>
          <w:iCs/>
        </w:rPr>
        <w:t xml:space="preserve">Aeromonas </w:t>
      </w:r>
      <w:proofErr w:type="spellStart"/>
      <w:r w:rsidRPr="001C4BF0">
        <w:rPr>
          <w:i/>
          <w:iCs/>
        </w:rPr>
        <w:t>hydrophila</w:t>
      </w:r>
      <w:proofErr w:type="spellEnd"/>
      <w:r w:rsidR="00587855">
        <w:rPr>
          <w:i/>
          <w:iCs/>
        </w:rPr>
        <w:t xml:space="preserve"> </w:t>
      </w:r>
      <w:r w:rsidRPr="0012145B">
        <w:t xml:space="preserve">bacteria and Cell 2 with </w:t>
      </w:r>
      <w:r w:rsidRPr="001C4BF0">
        <w:rPr>
          <w:i/>
          <w:iCs/>
        </w:rPr>
        <w:t>Pseudomonas aeruginosa</w:t>
      </w:r>
      <w:r w:rsidRPr="0012145B">
        <w:t xml:space="preserve"> bacteria, where in both anode chambers graphite electrode was used, it was in cell 2 that the energy generated was lower. In cell 2 the pH was in the range of 7.2 to 7.9 and presented optimal conditions for population growth of the bacteria that was higher than cell 1 and the others; it is important to keep in mind this parameter because it can affect the solubilization of organic compounds (such as phosphates) for the performance of microorganisms (Acosta-Suárez et al., 2019).</w:t>
      </w:r>
    </w:p>
    <w:p w14:paraId="725CD682" w14:textId="1EBB299C" w:rsidR="00422297" w:rsidRPr="00DA7402" w:rsidRDefault="00DA7402" w:rsidP="00865629">
      <w:pPr>
        <w:pStyle w:val="CETheadingx"/>
        <w:rPr>
          <w:lang w:val="en-GB"/>
        </w:rPr>
      </w:pPr>
      <w:r w:rsidRPr="00DA7402">
        <w:rPr>
          <w:lang w:val="en-GB"/>
        </w:rPr>
        <w:lastRenderedPageBreak/>
        <w:t xml:space="preserve">Energy generated in Microbial Cell 3 </w:t>
      </w:r>
      <w:r w:rsidR="00865629" w:rsidRPr="00DA7402">
        <w:rPr>
          <w:lang w:val="en-GB"/>
        </w:rPr>
        <w:t>(C3)</w:t>
      </w:r>
    </w:p>
    <w:p w14:paraId="0BAABB3E" w14:textId="34C859A1" w:rsidR="00DA7402" w:rsidRDefault="00DA7402">
      <w:pPr>
        <w:tabs>
          <w:tab w:val="clear" w:pos="7100"/>
        </w:tabs>
        <w:spacing w:after="200" w:line="276" w:lineRule="auto"/>
        <w:jc w:val="left"/>
        <w:rPr>
          <w:lang w:val="en-US"/>
        </w:rPr>
      </w:pPr>
      <w:r w:rsidRPr="00DA7402">
        <w:rPr>
          <w:rStyle w:val="CETBodytextCarattere"/>
        </w:rPr>
        <w:t xml:space="preserve">Cell 3 with an anode chamber where </w:t>
      </w:r>
      <w:r w:rsidRPr="001C4BF0">
        <w:rPr>
          <w:rStyle w:val="CETBodytextCarattere"/>
          <w:i/>
          <w:iCs/>
        </w:rPr>
        <w:t xml:space="preserve">Aeromonas </w:t>
      </w:r>
      <w:proofErr w:type="spellStart"/>
      <w:r w:rsidRPr="001C4BF0">
        <w:rPr>
          <w:rStyle w:val="CETBodytextCarattere"/>
          <w:i/>
          <w:iCs/>
        </w:rPr>
        <w:t>hydrophila</w:t>
      </w:r>
      <w:proofErr w:type="spellEnd"/>
      <w:r w:rsidRPr="00DA7402">
        <w:rPr>
          <w:rStyle w:val="CETBodytextCarattere"/>
        </w:rPr>
        <w:t xml:space="preserve"> bacteria were inoculated in a sludge medium with wastewater and an aluminum electrode was placed. The energy generated from day 7 when it reached 0.8366 V was almost similar until day 19 when it was 0.8410 V, see Figure </w:t>
      </w:r>
      <w:r w:rsidR="00587855">
        <w:rPr>
          <w:rStyle w:val="CETBodytextCarattere"/>
        </w:rPr>
        <w:t>5</w:t>
      </w:r>
      <w:r w:rsidRPr="00DA7402">
        <w:rPr>
          <w:rStyle w:val="CETBodytextCarattere"/>
        </w:rPr>
        <w:t>. The energy generated by this cell, in the same time interval, was higher than that generated in the control cell by approximately 10 %</w:t>
      </w:r>
      <w:r w:rsidRPr="00DA7402">
        <w:rPr>
          <w:lang w:val="en-US"/>
        </w:rPr>
        <w:t>.</w:t>
      </w:r>
    </w:p>
    <w:p w14:paraId="0544C2A4" w14:textId="37E94938" w:rsidR="002E2627" w:rsidRPr="00DA7402" w:rsidRDefault="00865629">
      <w:pPr>
        <w:tabs>
          <w:tab w:val="clear" w:pos="7100"/>
        </w:tabs>
        <w:spacing w:after="200" w:line="276" w:lineRule="auto"/>
        <w:jc w:val="left"/>
      </w:pPr>
      <w:r>
        <w:rPr>
          <w:noProof/>
        </w:rPr>
        <w:drawing>
          <wp:inline distT="0" distB="0" distL="0" distR="0" wp14:anchorId="1B5B1583" wp14:editId="47642D2A">
            <wp:extent cx="4572000" cy="2094230"/>
            <wp:effectExtent l="0" t="0" r="0" b="1270"/>
            <wp:docPr id="11" name="Gráfico 11">
              <a:extLst xmlns:a="http://schemas.openxmlformats.org/drawingml/2006/main">
                <a:ext uri="{FF2B5EF4-FFF2-40B4-BE49-F238E27FC236}">
                  <a16:creationId xmlns:a16="http://schemas.microsoft.com/office/drawing/2014/main" id="{3FDA53FB-D711-4640-8FCD-0C854CA22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DA7402">
        <w:t xml:space="preserve"> </w:t>
      </w:r>
    </w:p>
    <w:p w14:paraId="5E696D1B" w14:textId="5BB455A9" w:rsidR="001537BF" w:rsidRPr="00DA7402" w:rsidRDefault="002E2627" w:rsidP="002E2627">
      <w:pPr>
        <w:pStyle w:val="CETCaption"/>
      </w:pPr>
      <w:r w:rsidRPr="00DA7402">
        <w:t xml:space="preserve">Figure </w:t>
      </w:r>
      <w:r w:rsidR="00587855">
        <w:t>5</w:t>
      </w:r>
      <w:r w:rsidRPr="00DA7402">
        <w:t>: E</w:t>
      </w:r>
      <w:r w:rsidR="00DA7402" w:rsidRPr="00DA7402">
        <w:t>nergy generated in Microbial Cell 3</w:t>
      </w:r>
    </w:p>
    <w:p w14:paraId="4D985FF6" w14:textId="22BA05F6" w:rsidR="002E2627" w:rsidRPr="00DA7402" w:rsidRDefault="002E2627" w:rsidP="009D0272">
      <w:pPr>
        <w:pStyle w:val="CETheadingx"/>
        <w:rPr>
          <w:lang w:val="en-GB"/>
        </w:rPr>
      </w:pPr>
      <w:r w:rsidRPr="00DA7402">
        <w:rPr>
          <w:lang w:val="en-GB"/>
        </w:rPr>
        <w:t>E</w:t>
      </w:r>
      <w:r w:rsidR="00DA7402" w:rsidRPr="00DA7402">
        <w:rPr>
          <w:lang w:val="en-GB"/>
        </w:rPr>
        <w:t xml:space="preserve">nergy generated in Microbial Cell </w:t>
      </w:r>
      <w:r w:rsidR="009D0272" w:rsidRPr="00DA7402">
        <w:rPr>
          <w:lang w:val="en-GB"/>
        </w:rPr>
        <w:t>4 (C4)</w:t>
      </w:r>
    </w:p>
    <w:p w14:paraId="7DBD3847" w14:textId="61C763FD" w:rsidR="009D0272" w:rsidRPr="00DA7402" w:rsidRDefault="00DA7402" w:rsidP="00D035FE">
      <w:pPr>
        <w:tabs>
          <w:tab w:val="clear" w:pos="7100"/>
        </w:tabs>
        <w:spacing w:after="200" w:line="276" w:lineRule="auto"/>
      </w:pPr>
      <w:r w:rsidRPr="00DA7402">
        <w:rPr>
          <w:rStyle w:val="CETBodytextCarattere"/>
        </w:rPr>
        <w:t xml:space="preserve">In Cell 4 with an anode cell inoculated with </w:t>
      </w:r>
      <w:r w:rsidR="009F6CB6" w:rsidRPr="001C4BF0">
        <w:rPr>
          <w:rStyle w:val="CETBodytextCarattere"/>
          <w:i/>
          <w:iCs/>
        </w:rPr>
        <w:t>Pseudomonas</w:t>
      </w:r>
      <w:r w:rsidRPr="001C4BF0">
        <w:rPr>
          <w:rStyle w:val="CETBodytextCarattere"/>
          <w:i/>
          <w:iCs/>
        </w:rPr>
        <w:t xml:space="preserve"> aeruginosa</w:t>
      </w:r>
      <w:r w:rsidRPr="00DA7402">
        <w:rPr>
          <w:rStyle w:val="CETBodytextCarattere"/>
        </w:rPr>
        <w:t xml:space="preserve"> bacteria in a sludge medium with wastewater and an aluminum electrode was placed. The energy obtained in cell 4 from day 2 was higher than the energy generated in the control cell until day 20 of monitoring, reaching the highest level on day 18 with the value of 0.8960 V while in the control cell it was 0.7530 V, i.e., with a margin of 15.95 % higher, see Figure </w:t>
      </w:r>
      <w:r w:rsidR="002E6231">
        <w:rPr>
          <w:rStyle w:val="CETBodytextCarattere"/>
        </w:rPr>
        <w:t>6</w:t>
      </w:r>
      <w:r w:rsidRPr="00DA7402">
        <w:rPr>
          <w:rStyle w:val="CETBodytextCarattere"/>
        </w:rPr>
        <w:t>. The pH was progressively increasing in the interval from 7.3 to 8.44</w:t>
      </w:r>
      <w:r w:rsidR="00FA0F8D" w:rsidRPr="00DA7402">
        <w:t>.</w:t>
      </w:r>
    </w:p>
    <w:p w14:paraId="659A1C51" w14:textId="3876D665" w:rsidR="009E53A2" w:rsidRDefault="009E53A2" w:rsidP="009D0272">
      <w:pPr>
        <w:tabs>
          <w:tab w:val="clear" w:pos="7100"/>
        </w:tabs>
        <w:spacing w:after="200" w:line="276" w:lineRule="auto"/>
        <w:jc w:val="left"/>
        <w:rPr>
          <w:lang w:val="es-PE"/>
        </w:rPr>
      </w:pPr>
      <w:r>
        <w:rPr>
          <w:noProof/>
        </w:rPr>
        <w:drawing>
          <wp:inline distT="0" distB="0" distL="0" distR="0" wp14:anchorId="420BACE5" wp14:editId="3376C308">
            <wp:extent cx="4572000" cy="2040890"/>
            <wp:effectExtent l="0" t="0" r="0" b="16510"/>
            <wp:docPr id="1" name="Gráfico 1">
              <a:extLst xmlns:a="http://schemas.openxmlformats.org/drawingml/2006/main">
                <a:ext uri="{FF2B5EF4-FFF2-40B4-BE49-F238E27FC236}">
                  <a16:creationId xmlns:a16="http://schemas.microsoft.com/office/drawing/2014/main" id="{126FA24F-6A68-460A-B65B-405A00D29A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768FC0" w14:textId="632466E8" w:rsidR="009E53A2" w:rsidRPr="00EC0108" w:rsidRDefault="002E6231" w:rsidP="009E53A2">
      <w:pPr>
        <w:pStyle w:val="CETCaption"/>
      </w:pPr>
      <w:r w:rsidRPr="00EC0108">
        <w:t>Figure</w:t>
      </w:r>
      <w:r w:rsidR="009E53A2" w:rsidRPr="00EC0108">
        <w:t xml:space="preserve"> </w:t>
      </w:r>
      <w:r>
        <w:t>6</w:t>
      </w:r>
      <w:r w:rsidR="009E53A2" w:rsidRPr="00EC0108">
        <w:t>: E</w:t>
      </w:r>
      <w:r w:rsidR="00DA7402" w:rsidRPr="00EC0108">
        <w:t>nergy generated in Microbial Cell 4</w:t>
      </w:r>
    </w:p>
    <w:p w14:paraId="1FEE5CD7" w14:textId="77777777" w:rsidR="00107608" w:rsidRDefault="00107608" w:rsidP="00EC0108">
      <w:pPr>
        <w:pStyle w:val="CETBodytext"/>
        <w:rPr>
          <w:lang w:val="en-GB"/>
        </w:rPr>
      </w:pPr>
      <w:r w:rsidRPr="00107608">
        <w:rPr>
          <w:lang w:val="en-GB"/>
        </w:rPr>
        <w:t xml:space="preserve">It was determined that using the same </w:t>
      </w:r>
      <w:proofErr w:type="spellStart"/>
      <w:r w:rsidRPr="00107608">
        <w:rPr>
          <w:lang w:val="en-GB"/>
        </w:rPr>
        <w:t>aluminum</w:t>
      </w:r>
      <w:proofErr w:type="spellEnd"/>
      <w:r w:rsidRPr="00107608">
        <w:rPr>
          <w:lang w:val="en-GB"/>
        </w:rPr>
        <w:t xml:space="preserve"> electrode in the anodic cell and the cathodic cell with graphite electrode, when </w:t>
      </w:r>
      <w:r w:rsidRPr="003B0816">
        <w:rPr>
          <w:i/>
          <w:iCs/>
          <w:lang w:val="en-GB"/>
        </w:rPr>
        <w:t>Pseudomonas aeruginosa</w:t>
      </w:r>
      <w:r w:rsidRPr="00107608">
        <w:rPr>
          <w:lang w:val="en-GB"/>
        </w:rPr>
        <w:t xml:space="preserve"> was inoculated, the microbial cell produced more energy than when </w:t>
      </w:r>
      <w:r w:rsidRPr="003B0816">
        <w:rPr>
          <w:i/>
          <w:iCs/>
          <w:lang w:val="en-GB"/>
        </w:rPr>
        <w:t xml:space="preserve">Aeromonas </w:t>
      </w:r>
      <w:proofErr w:type="spellStart"/>
      <w:r w:rsidRPr="003B0816">
        <w:rPr>
          <w:i/>
          <w:iCs/>
          <w:lang w:val="en-GB"/>
        </w:rPr>
        <w:t>hydrophila</w:t>
      </w:r>
      <w:proofErr w:type="spellEnd"/>
      <w:r w:rsidRPr="00107608">
        <w:rPr>
          <w:lang w:val="en-GB"/>
        </w:rPr>
        <w:t xml:space="preserve"> bacteria were inoculated.</w:t>
      </w:r>
    </w:p>
    <w:p w14:paraId="009C75EC" w14:textId="166C71E2" w:rsidR="008D7C54" w:rsidRPr="00EC0108" w:rsidRDefault="00EC0108" w:rsidP="00EC0108">
      <w:pPr>
        <w:pStyle w:val="CETBodytext"/>
        <w:rPr>
          <w:lang w:val="en-GB"/>
        </w:rPr>
      </w:pPr>
      <w:r w:rsidRPr="00EC0108">
        <w:rPr>
          <w:lang w:val="en-GB"/>
        </w:rPr>
        <w:t xml:space="preserve">Of the 4 microbial cells, it resulted that cell 4 generated more energy with 0.8960 V, then cell 3 with 0.8410 V, cell C1 with 0.8240 V and finally cell C2 with 0. 4920 V; that is when using in the anionic cell </w:t>
      </w:r>
      <w:r w:rsidRPr="001C4BF0">
        <w:rPr>
          <w:i/>
          <w:iCs/>
          <w:lang w:val="en-GB"/>
        </w:rPr>
        <w:t>Pseudomona</w:t>
      </w:r>
      <w:r w:rsidR="00107608">
        <w:rPr>
          <w:i/>
          <w:iCs/>
          <w:lang w:val="en-GB"/>
        </w:rPr>
        <w:t>s</w:t>
      </w:r>
      <w:r w:rsidRPr="001C4BF0">
        <w:rPr>
          <w:i/>
          <w:iCs/>
          <w:lang w:val="en-GB"/>
        </w:rPr>
        <w:t xml:space="preserve"> aeruginosa </w:t>
      </w:r>
      <w:r w:rsidRPr="00EC0108">
        <w:rPr>
          <w:lang w:val="en-GB"/>
        </w:rPr>
        <w:t xml:space="preserve">bacteria in sludge substrate with wastewater, with </w:t>
      </w:r>
      <w:proofErr w:type="spellStart"/>
      <w:r w:rsidRPr="00EC0108">
        <w:rPr>
          <w:lang w:val="en-GB"/>
        </w:rPr>
        <w:t>aluminum</w:t>
      </w:r>
      <w:proofErr w:type="spellEnd"/>
      <w:r w:rsidRPr="00EC0108">
        <w:rPr>
          <w:lang w:val="en-GB"/>
        </w:rPr>
        <w:t xml:space="preserve"> electrode and in the cathodic cell a graphene electrode in copper </w:t>
      </w:r>
      <w:r w:rsidR="001C4BF0" w:rsidRPr="00EC0108">
        <w:rPr>
          <w:lang w:val="en-GB"/>
        </w:rPr>
        <w:t>sulphate</w:t>
      </w:r>
      <w:r w:rsidRPr="00EC0108">
        <w:rPr>
          <w:lang w:val="en-GB"/>
        </w:rPr>
        <w:t xml:space="preserve"> solution, proved to be the most optimal in obtaining energy; therefore, microbial fuel cells allows obtaining bioelectricity while in this process decreases organic pollutants with the presence of carbon and nitrogen (Sawasdee V. and </w:t>
      </w:r>
      <w:proofErr w:type="spellStart"/>
      <w:r w:rsidRPr="00EC0108">
        <w:rPr>
          <w:lang w:val="en-GB"/>
        </w:rPr>
        <w:t>Pisutpaisal</w:t>
      </w:r>
      <w:proofErr w:type="spellEnd"/>
      <w:r w:rsidRPr="00EC0108">
        <w:rPr>
          <w:lang w:val="en-GB"/>
        </w:rPr>
        <w:t xml:space="preserve"> N., 2018) that in high levels are found in sewage </w:t>
      </w:r>
      <w:r w:rsidRPr="00EC0108">
        <w:rPr>
          <w:lang w:val="en-GB"/>
        </w:rPr>
        <w:lastRenderedPageBreak/>
        <w:t>sludge or wastewater treatment plants and require convenient handling such as also use of fixed bed gasifiers to produce hydrogen (</w:t>
      </w:r>
      <w:proofErr w:type="spellStart"/>
      <w:r w:rsidRPr="00EC0108">
        <w:rPr>
          <w:lang w:val="en-GB"/>
        </w:rPr>
        <w:t>Zaccariello</w:t>
      </w:r>
      <w:proofErr w:type="spellEnd"/>
      <w:r w:rsidRPr="00EC0108">
        <w:rPr>
          <w:lang w:val="en-GB"/>
        </w:rPr>
        <w:t xml:space="preserve"> and </w:t>
      </w:r>
      <w:proofErr w:type="spellStart"/>
      <w:r w:rsidRPr="00EC0108">
        <w:rPr>
          <w:lang w:val="en-GB"/>
        </w:rPr>
        <w:t>Mastellone</w:t>
      </w:r>
      <w:proofErr w:type="spellEnd"/>
      <w:r w:rsidRPr="00EC0108">
        <w:rPr>
          <w:lang w:val="en-GB"/>
        </w:rPr>
        <w:t>, 2020).</w:t>
      </w:r>
      <w:r w:rsidR="001A4339" w:rsidRPr="00EC0108">
        <w:rPr>
          <w:lang w:val="en-GB"/>
        </w:rPr>
        <w:t xml:space="preserve"> </w:t>
      </w:r>
    </w:p>
    <w:p w14:paraId="1AEABB12" w14:textId="6CAAA789" w:rsidR="002F7047" w:rsidRPr="00EC0108" w:rsidRDefault="00EC0108" w:rsidP="00213C4C">
      <w:pPr>
        <w:pStyle w:val="CETheadingx"/>
        <w:rPr>
          <w:lang w:val="en-GB"/>
        </w:rPr>
      </w:pPr>
      <w:r w:rsidRPr="00EC0108">
        <w:rPr>
          <w:lang w:val="en-GB"/>
        </w:rPr>
        <w:t>Bacterial growth in anionic cells</w:t>
      </w:r>
    </w:p>
    <w:p w14:paraId="0EF49C77" w14:textId="334DF9E5" w:rsidR="00213C4C" w:rsidRPr="00EC0108" w:rsidRDefault="00EC0108" w:rsidP="002256DD">
      <w:pPr>
        <w:pStyle w:val="CETBodytext"/>
        <w:rPr>
          <w:lang w:val="en-GB"/>
        </w:rPr>
      </w:pPr>
      <w:r w:rsidRPr="00EC0108">
        <w:rPr>
          <w:lang w:val="en-GB"/>
        </w:rPr>
        <w:t>The bacteria inoculated in the anionic chambers of the microbial cells had the population growth shown in Table 3, where it was found that bacteria cell C2 reached day 20 with a higher population than the other cells.</w:t>
      </w:r>
      <w:r w:rsidR="005D4ABA" w:rsidRPr="005D4ABA">
        <w:t xml:space="preserve"> </w:t>
      </w:r>
      <w:r w:rsidR="005D4ABA" w:rsidRPr="005D4ABA">
        <w:rPr>
          <w:lang w:val="en-GB"/>
        </w:rPr>
        <w:t>This bacterium, due to its great capacity for adaptability and metabolizing various types of substrates, allows its growth, as graphite does not interfere with the transfer of protons through the selective membrane, favouring microbial activity.</w:t>
      </w:r>
    </w:p>
    <w:p w14:paraId="6CC7CC52" w14:textId="1A22A0DE" w:rsidR="0070603A" w:rsidRPr="00EC0108" w:rsidRDefault="00A72F07" w:rsidP="000C057D">
      <w:pPr>
        <w:pStyle w:val="CETTabletitle"/>
      </w:pPr>
      <w:r w:rsidRPr="00EC0108">
        <w:t xml:space="preserve">Table </w:t>
      </w:r>
      <w:r w:rsidR="00C62D8A" w:rsidRPr="00EC0108">
        <w:t>3</w:t>
      </w:r>
      <w:r w:rsidRPr="00EC0108">
        <w:t xml:space="preserve">: </w:t>
      </w:r>
      <w:r w:rsidR="00EC0108" w:rsidRPr="00EC0108">
        <w:t>Bacterial growth in the cells</w:t>
      </w:r>
    </w:p>
    <w:tbl>
      <w:tblPr>
        <w:tblW w:w="8049" w:type="dxa"/>
        <w:tblInd w:w="75" w:type="dxa"/>
        <w:tblBorders>
          <w:top w:val="single" w:sz="12" w:space="0" w:color="008000"/>
          <w:bottom w:val="single" w:sz="12" w:space="0" w:color="008000"/>
        </w:tblBorders>
        <w:tblCellMar>
          <w:left w:w="70" w:type="dxa"/>
          <w:right w:w="70" w:type="dxa"/>
        </w:tblCellMar>
        <w:tblLook w:val="04A0" w:firstRow="1" w:lastRow="0" w:firstColumn="1" w:lastColumn="0" w:noHBand="0" w:noVBand="1"/>
      </w:tblPr>
      <w:tblGrid>
        <w:gridCol w:w="1593"/>
        <w:gridCol w:w="1652"/>
        <w:gridCol w:w="1601"/>
        <w:gridCol w:w="1601"/>
        <w:gridCol w:w="1602"/>
      </w:tblGrid>
      <w:tr w:rsidR="005D01CC" w:rsidRPr="00EC0108" w14:paraId="7ACDC5C7" w14:textId="3CA89512" w:rsidTr="005D01CC">
        <w:trPr>
          <w:trHeight w:val="677"/>
        </w:trPr>
        <w:tc>
          <w:tcPr>
            <w:tcW w:w="1593" w:type="dxa"/>
            <w:tcBorders>
              <w:top w:val="single" w:sz="12" w:space="0" w:color="008000"/>
              <w:bottom w:val="single" w:sz="8" w:space="0" w:color="008000"/>
            </w:tcBorders>
            <w:shd w:val="clear" w:color="auto" w:fill="auto"/>
            <w:vAlign w:val="center"/>
            <w:hideMark/>
          </w:tcPr>
          <w:p w14:paraId="22AF7AE9" w14:textId="77777777" w:rsidR="005D01CC" w:rsidRPr="00EC0108" w:rsidRDefault="005D01CC" w:rsidP="005D01CC">
            <w:pPr>
              <w:tabs>
                <w:tab w:val="clear" w:pos="7100"/>
              </w:tabs>
              <w:spacing w:line="240" w:lineRule="auto"/>
              <w:jc w:val="left"/>
              <w:rPr>
                <w:rFonts w:ascii="Calibri" w:hAnsi="Calibri" w:cs="Calibri"/>
                <w:color w:val="000000"/>
                <w:szCs w:val="18"/>
                <w:lang w:eastAsia="es-PE"/>
              </w:rPr>
            </w:pPr>
            <w:r w:rsidRPr="00EC0108">
              <w:rPr>
                <w:rFonts w:ascii="Calibri" w:hAnsi="Calibri" w:cs="Calibri"/>
                <w:color w:val="000000"/>
                <w:szCs w:val="18"/>
                <w:lang w:eastAsia="es-PE"/>
              </w:rPr>
              <w:t>Time (Days)</w:t>
            </w:r>
          </w:p>
        </w:tc>
        <w:tc>
          <w:tcPr>
            <w:tcW w:w="1652" w:type="dxa"/>
            <w:tcBorders>
              <w:top w:val="single" w:sz="12" w:space="0" w:color="008000"/>
              <w:bottom w:val="single" w:sz="8" w:space="0" w:color="008000"/>
            </w:tcBorders>
            <w:shd w:val="clear" w:color="auto" w:fill="auto"/>
            <w:vAlign w:val="bottom"/>
            <w:hideMark/>
          </w:tcPr>
          <w:p w14:paraId="139A48E5" w14:textId="23430B60"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Cel</w:t>
            </w:r>
            <w:r>
              <w:rPr>
                <w:rFonts w:ascii="Calibri" w:hAnsi="Calibri" w:cs="Calibri"/>
                <w:color w:val="000000"/>
                <w:szCs w:val="18"/>
                <w:lang w:eastAsia="es-PE"/>
              </w:rPr>
              <w:t>l</w:t>
            </w:r>
            <w:r w:rsidRPr="00EC0108">
              <w:rPr>
                <w:rFonts w:ascii="Calibri" w:hAnsi="Calibri" w:cs="Calibri"/>
                <w:color w:val="000000"/>
                <w:szCs w:val="18"/>
                <w:lang w:eastAsia="es-PE"/>
              </w:rPr>
              <w:t xml:space="preserve"> 1:</w:t>
            </w:r>
          </w:p>
          <w:p w14:paraId="410B028E" w14:textId="4EA23BA2"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 xml:space="preserve">Number of </w:t>
            </w:r>
            <w:r w:rsidRPr="001C4BF0">
              <w:rPr>
                <w:rFonts w:ascii="Calibri" w:hAnsi="Calibri" w:cs="Calibri"/>
                <w:i/>
                <w:iCs/>
                <w:color w:val="000000"/>
                <w:szCs w:val="18"/>
                <w:lang w:eastAsia="es-PE"/>
              </w:rPr>
              <w:t xml:space="preserve">Aeromonas </w:t>
            </w:r>
            <w:proofErr w:type="spellStart"/>
            <w:r w:rsidRPr="001C4BF0">
              <w:rPr>
                <w:rFonts w:ascii="Calibri" w:hAnsi="Calibri" w:cs="Calibri"/>
                <w:i/>
                <w:iCs/>
                <w:color w:val="000000"/>
                <w:szCs w:val="18"/>
                <w:lang w:eastAsia="es-PE"/>
              </w:rPr>
              <w:t>hydrophila</w:t>
            </w:r>
            <w:proofErr w:type="spellEnd"/>
            <w:r w:rsidRPr="00EC0108">
              <w:rPr>
                <w:rFonts w:ascii="Calibri" w:hAnsi="Calibri" w:cs="Calibri"/>
                <w:color w:val="000000"/>
                <w:szCs w:val="18"/>
                <w:lang w:eastAsia="es-PE"/>
              </w:rPr>
              <w:t xml:space="preserve"> bacteria</w:t>
            </w:r>
          </w:p>
        </w:tc>
        <w:tc>
          <w:tcPr>
            <w:tcW w:w="1601" w:type="dxa"/>
            <w:tcBorders>
              <w:top w:val="single" w:sz="12" w:space="0" w:color="008000"/>
              <w:bottom w:val="single" w:sz="8" w:space="0" w:color="008000"/>
            </w:tcBorders>
            <w:vAlign w:val="center"/>
          </w:tcPr>
          <w:p w14:paraId="374483AA"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Cel</w:t>
            </w:r>
            <w:r>
              <w:rPr>
                <w:rFonts w:ascii="Calibri" w:hAnsi="Calibri" w:cs="Calibri"/>
                <w:color w:val="000000"/>
                <w:szCs w:val="18"/>
                <w:lang w:eastAsia="es-PE"/>
              </w:rPr>
              <w:t>l</w:t>
            </w:r>
            <w:r w:rsidRPr="00EC0108">
              <w:rPr>
                <w:rFonts w:ascii="Calibri" w:hAnsi="Calibri" w:cs="Calibri"/>
                <w:color w:val="000000"/>
                <w:szCs w:val="18"/>
                <w:lang w:eastAsia="es-PE"/>
              </w:rPr>
              <w:t xml:space="preserve"> 2:</w:t>
            </w:r>
          </w:p>
          <w:p w14:paraId="28E94631" w14:textId="11554C80"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 xml:space="preserve">Number of </w:t>
            </w:r>
            <w:r w:rsidRPr="001C4BF0">
              <w:rPr>
                <w:rFonts w:ascii="Calibri" w:hAnsi="Calibri" w:cs="Calibri"/>
                <w:i/>
                <w:iCs/>
                <w:color w:val="000000"/>
                <w:szCs w:val="18"/>
                <w:lang w:eastAsia="es-PE"/>
              </w:rPr>
              <w:t>Pseudomona</w:t>
            </w:r>
            <w:r w:rsidR="00FC0694">
              <w:rPr>
                <w:rFonts w:ascii="Calibri" w:hAnsi="Calibri" w:cs="Calibri"/>
                <w:i/>
                <w:iCs/>
                <w:color w:val="000000"/>
                <w:szCs w:val="18"/>
                <w:lang w:eastAsia="es-PE"/>
              </w:rPr>
              <w:t>s</w:t>
            </w:r>
            <w:r w:rsidRPr="001C4BF0">
              <w:rPr>
                <w:rFonts w:ascii="Calibri" w:hAnsi="Calibri" w:cs="Calibri"/>
                <w:i/>
                <w:iCs/>
                <w:color w:val="000000"/>
                <w:szCs w:val="18"/>
                <w:lang w:eastAsia="es-PE"/>
              </w:rPr>
              <w:t xml:space="preserve"> aeruginosa</w:t>
            </w:r>
            <w:r w:rsidRPr="00EC0108">
              <w:rPr>
                <w:rFonts w:ascii="Calibri" w:hAnsi="Calibri" w:cs="Calibri"/>
                <w:color w:val="000000"/>
                <w:szCs w:val="18"/>
                <w:lang w:eastAsia="es-PE"/>
              </w:rPr>
              <w:t xml:space="preserve"> bacteria</w:t>
            </w:r>
          </w:p>
        </w:tc>
        <w:tc>
          <w:tcPr>
            <w:tcW w:w="1601" w:type="dxa"/>
            <w:tcBorders>
              <w:top w:val="single" w:sz="12" w:space="0" w:color="008000"/>
              <w:bottom w:val="single" w:sz="8" w:space="0" w:color="008000"/>
            </w:tcBorders>
            <w:shd w:val="clear" w:color="auto" w:fill="auto"/>
            <w:vAlign w:val="bottom"/>
            <w:hideMark/>
          </w:tcPr>
          <w:p w14:paraId="264E7B1C" w14:textId="20E5BF51"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Cel</w:t>
            </w:r>
            <w:r>
              <w:rPr>
                <w:rFonts w:ascii="Calibri" w:hAnsi="Calibri" w:cs="Calibri"/>
                <w:color w:val="000000"/>
                <w:szCs w:val="18"/>
                <w:lang w:eastAsia="es-PE"/>
              </w:rPr>
              <w:t>l</w:t>
            </w:r>
            <w:r w:rsidRPr="00EC0108">
              <w:rPr>
                <w:rFonts w:ascii="Calibri" w:hAnsi="Calibri" w:cs="Calibri"/>
                <w:color w:val="000000"/>
                <w:szCs w:val="18"/>
                <w:lang w:eastAsia="es-PE"/>
              </w:rPr>
              <w:t xml:space="preserve"> 3:</w:t>
            </w:r>
          </w:p>
          <w:p w14:paraId="5E6DC71E" w14:textId="0468FA5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 xml:space="preserve">Number of </w:t>
            </w:r>
            <w:r w:rsidRPr="001C4BF0">
              <w:rPr>
                <w:rFonts w:ascii="Calibri" w:hAnsi="Calibri" w:cs="Calibri"/>
                <w:i/>
                <w:iCs/>
                <w:color w:val="000000"/>
                <w:szCs w:val="18"/>
                <w:lang w:eastAsia="es-PE"/>
              </w:rPr>
              <w:t xml:space="preserve">Aeromonas </w:t>
            </w:r>
            <w:proofErr w:type="spellStart"/>
            <w:r w:rsidRPr="001C4BF0">
              <w:rPr>
                <w:rFonts w:ascii="Calibri" w:hAnsi="Calibri" w:cs="Calibri"/>
                <w:i/>
                <w:iCs/>
                <w:color w:val="000000"/>
                <w:szCs w:val="18"/>
                <w:lang w:eastAsia="es-PE"/>
              </w:rPr>
              <w:t>hydrophila</w:t>
            </w:r>
            <w:proofErr w:type="spellEnd"/>
            <w:r w:rsidRPr="00EC0108">
              <w:rPr>
                <w:rFonts w:ascii="Calibri" w:hAnsi="Calibri" w:cs="Calibri"/>
                <w:color w:val="000000"/>
                <w:szCs w:val="18"/>
                <w:lang w:eastAsia="es-PE"/>
              </w:rPr>
              <w:t xml:space="preserve"> bacteria</w:t>
            </w:r>
          </w:p>
        </w:tc>
        <w:tc>
          <w:tcPr>
            <w:tcW w:w="1602" w:type="dxa"/>
            <w:tcBorders>
              <w:top w:val="single" w:sz="12" w:space="0" w:color="008000"/>
              <w:bottom w:val="single" w:sz="8" w:space="0" w:color="008000"/>
            </w:tcBorders>
            <w:shd w:val="clear" w:color="auto" w:fill="auto"/>
            <w:vAlign w:val="center"/>
            <w:hideMark/>
          </w:tcPr>
          <w:p w14:paraId="70743E84" w14:textId="249C0F55" w:rsidR="005D01CC" w:rsidRPr="00EC0108" w:rsidRDefault="005D01CC" w:rsidP="005D01CC">
            <w:pPr>
              <w:tabs>
                <w:tab w:val="clear" w:pos="7100"/>
              </w:tabs>
              <w:spacing w:line="240" w:lineRule="auto"/>
              <w:jc w:val="left"/>
              <w:rPr>
                <w:rFonts w:ascii="Calibri" w:hAnsi="Calibri" w:cs="Calibri"/>
                <w:color w:val="000000"/>
                <w:szCs w:val="18"/>
                <w:lang w:eastAsia="es-PE"/>
              </w:rPr>
            </w:pPr>
            <w:r w:rsidRPr="00EC0108">
              <w:rPr>
                <w:rFonts w:ascii="Calibri" w:hAnsi="Calibri" w:cs="Calibri"/>
                <w:color w:val="000000"/>
                <w:szCs w:val="18"/>
                <w:lang w:eastAsia="es-PE"/>
              </w:rPr>
              <w:t>Cel</w:t>
            </w:r>
            <w:r>
              <w:rPr>
                <w:rFonts w:ascii="Calibri" w:hAnsi="Calibri" w:cs="Calibri"/>
                <w:color w:val="000000"/>
                <w:szCs w:val="18"/>
                <w:lang w:eastAsia="es-PE"/>
              </w:rPr>
              <w:t>l</w:t>
            </w:r>
            <w:r w:rsidRPr="00EC0108">
              <w:rPr>
                <w:rFonts w:ascii="Calibri" w:hAnsi="Calibri" w:cs="Calibri"/>
                <w:color w:val="000000"/>
                <w:szCs w:val="18"/>
                <w:lang w:eastAsia="es-PE"/>
              </w:rPr>
              <w:t xml:space="preserve"> 4:</w:t>
            </w:r>
          </w:p>
          <w:p w14:paraId="42354999" w14:textId="77777777" w:rsidR="00FC0694" w:rsidRDefault="005D01CC" w:rsidP="005D01CC">
            <w:pPr>
              <w:tabs>
                <w:tab w:val="clear" w:pos="7100"/>
              </w:tabs>
              <w:spacing w:line="240" w:lineRule="auto"/>
              <w:jc w:val="left"/>
              <w:rPr>
                <w:rFonts w:ascii="Calibri" w:hAnsi="Calibri" w:cs="Calibri"/>
                <w:i/>
                <w:iCs/>
                <w:color w:val="000000"/>
                <w:szCs w:val="18"/>
                <w:lang w:eastAsia="es-PE"/>
              </w:rPr>
            </w:pPr>
            <w:r w:rsidRPr="00EC0108">
              <w:rPr>
                <w:rFonts w:ascii="Calibri" w:hAnsi="Calibri" w:cs="Calibri"/>
                <w:color w:val="000000"/>
                <w:szCs w:val="18"/>
                <w:lang w:eastAsia="es-PE"/>
              </w:rPr>
              <w:t xml:space="preserve">Number of </w:t>
            </w:r>
            <w:r w:rsidRPr="001C4BF0">
              <w:rPr>
                <w:rFonts w:ascii="Calibri" w:hAnsi="Calibri" w:cs="Calibri"/>
                <w:i/>
                <w:iCs/>
                <w:color w:val="000000"/>
                <w:szCs w:val="18"/>
                <w:lang w:eastAsia="es-PE"/>
              </w:rPr>
              <w:t>Pseudomona</w:t>
            </w:r>
            <w:r w:rsidR="00FC0694">
              <w:rPr>
                <w:rFonts w:ascii="Calibri" w:hAnsi="Calibri" w:cs="Calibri"/>
                <w:i/>
                <w:iCs/>
                <w:color w:val="000000"/>
                <w:szCs w:val="18"/>
                <w:lang w:eastAsia="es-PE"/>
              </w:rPr>
              <w:t>s</w:t>
            </w:r>
          </w:p>
          <w:p w14:paraId="2FDE3616" w14:textId="1DB4F55A" w:rsidR="005D01CC" w:rsidRPr="00EC0108" w:rsidRDefault="005D01CC" w:rsidP="005D01CC">
            <w:pPr>
              <w:tabs>
                <w:tab w:val="clear" w:pos="7100"/>
              </w:tabs>
              <w:spacing w:line="240" w:lineRule="auto"/>
              <w:jc w:val="left"/>
              <w:rPr>
                <w:rFonts w:ascii="Calibri" w:hAnsi="Calibri" w:cs="Calibri"/>
                <w:color w:val="000000"/>
                <w:szCs w:val="18"/>
                <w:lang w:eastAsia="es-PE"/>
              </w:rPr>
            </w:pPr>
            <w:r w:rsidRPr="001C4BF0">
              <w:rPr>
                <w:rFonts w:ascii="Calibri" w:hAnsi="Calibri" w:cs="Calibri"/>
                <w:i/>
                <w:iCs/>
                <w:color w:val="000000"/>
                <w:szCs w:val="18"/>
                <w:lang w:eastAsia="es-PE"/>
              </w:rPr>
              <w:t>aeruginosa</w:t>
            </w:r>
            <w:r w:rsidRPr="00EC0108">
              <w:rPr>
                <w:rFonts w:ascii="Calibri" w:hAnsi="Calibri" w:cs="Calibri"/>
                <w:color w:val="000000"/>
                <w:szCs w:val="18"/>
                <w:lang w:eastAsia="es-PE"/>
              </w:rPr>
              <w:t xml:space="preserve"> bacteria</w:t>
            </w:r>
          </w:p>
        </w:tc>
      </w:tr>
      <w:tr w:rsidR="005D01CC" w:rsidRPr="00EC0108" w14:paraId="52CCBC10" w14:textId="7FBEF5B8" w:rsidTr="005D01CC">
        <w:trPr>
          <w:trHeight w:val="195"/>
        </w:trPr>
        <w:tc>
          <w:tcPr>
            <w:tcW w:w="1593" w:type="dxa"/>
            <w:tcBorders>
              <w:top w:val="single" w:sz="8" w:space="0" w:color="008000"/>
            </w:tcBorders>
            <w:shd w:val="clear" w:color="auto" w:fill="auto"/>
            <w:vAlign w:val="bottom"/>
            <w:hideMark/>
          </w:tcPr>
          <w:p w14:paraId="432950B0"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0</w:t>
            </w:r>
          </w:p>
        </w:tc>
        <w:tc>
          <w:tcPr>
            <w:tcW w:w="1652" w:type="dxa"/>
            <w:tcBorders>
              <w:top w:val="single" w:sz="8" w:space="0" w:color="008000"/>
            </w:tcBorders>
            <w:shd w:val="clear" w:color="auto" w:fill="auto"/>
            <w:vAlign w:val="bottom"/>
            <w:hideMark/>
          </w:tcPr>
          <w:p w14:paraId="23095145"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0.019</w:t>
            </w:r>
          </w:p>
        </w:tc>
        <w:tc>
          <w:tcPr>
            <w:tcW w:w="1601" w:type="dxa"/>
            <w:tcBorders>
              <w:top w:val="single" w:sz="8" w:space="0" w:color="008000"/>
            </w:tcBorders>
            <w:vAlign w:val="bottom"/>
          </w:tcPr>
          <w:p w14:paraId="00276451" w14:textId="601A3349"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0.019</w:t>
            </w:r>
          </w:p>
        </w:tc>
        <w:tc>
          <w:tcPr>
            <w:tcW w:w="1601" w:type="dxa"/>
            <w:tcBorders>
              <w:top w:val="single" w:sz="8" w:space="0" w:color="008000"/>
            </w:tcBorders>
            <w:shd w:val="clear" w:color="auto" w:fill="auto"/>
            <w:vAlign w:val="bottom"/>
            <w:hideMark/>
          </w:tcPr>
          <w:p w14:paraId="377F9C08" w14:textId="18368F62"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0.019</w:t>
            </w:r>
          </w:p>
        </w:tc>
        <w:tc>
          <w:tcPr>
            <w:tcW w:w="1602" w:type="dxa"/>
            <w:tcBorders>
              <w:top w:val="single" w:sz="8" w:space="0" w:color="008000"/>
            </w:tcBorders>
            <w:shd w:val="clear" w:color="auto" w:fill="auto"/>
            <w:vAlign w:val="bottom"/>
            <w:hideMark/>
          </w:tcPr>
          <w:p w14:paraId="33D378C4"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0.019</w:t>
            </w:r>
          </w:p>
        </w:tc>
      </w:tr>
      <w:tr w:rsidR="005D01CC" w:rsidRPr="00EC0108" w14:paraId="6BB13712" w14:textId="0E8203BC" w:rsidTr="005D01CC">
        <w:trPr>
          <w:trHeight w:val="195"/>
        </w:trPr>
        <w:tc>
          <w:tcPr>
            <w:tcW w:w="1593" w:type="dxa"/>
            <w:shd w:val="clear" w:color="auto" w:fill="auto"/>
            <w:vAlign w:val="bottom"/>
            <w:hideMark/>
          </w:tcPr>
          <w:p w14:paraId="135788E2"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4</w:t>
            </w:r>
          </w:p>
        </w:tc>
        <w:tc>
          <w:tcPr>
            <w:tcW w:w="1652" w:type="dxa"/>
            <w:shd w:val="clear" w:color="auto" w:fill="auto"/>
            <w:vAlign w:val="bottom"/>
            <w:hideMark/>
          </w:tcPr>
          <w:p w14:paraId="202AFC21"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1.44E+10</w:t>
            </w:r>
          </w:p>
        </w:tc>
        <w:tc>
          <w:tcPr>
            <w:tcW w:w="1601" w:type="dxa"/>
            <w:vAlign w:val="bottom"/>
          </w:tcPr>
          <w:p w14:paraId="74727DCD" w14:textId="682E6031"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3.42E+10</w:t>
            </w:r>
          </w:p>
        </w:tc>
        <w:tc>
          <w:tcPr>
            <w:tcW w:w="1601" w:type="dxa"/>
            <w:shd w:val="clear" w:color="auto" w:fill="auto"/>
            <w:vAlign w:val="bottom"/>
            <w:hideMark/>
          </w:tcPr>
          <w:p w14:paraId="2C17300B" w14:textId="0240365F"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1.52E+10</w:t>
            </w:r>
          </w:p>
        </w:tc>
        <w:tc>
          <w:tcPr>
            <w:tcW w:w="1602" w:type="dxa"/>
            <w:shd w:val="clear" w:color="auto" w:fill="auto"/>
            <w:vAlign w:val="bottom"/>
            <w:hideMark/>
          </w:tcPr>
          <w:p w14:paraId="1F1E6263"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8.55E+09</w:t>
            </w:r>
          </w:p>
        </w:tc>
      </w:tr>
      <w:tr w:rsidR="005D01CC" w:rsidRPr="00EC0108" w14:paraId="09DCF6C1" w14:textId="27FB7502" w:rsidTr="005D01CC">
        <w:trPr>
          <w:trHeight w:val="195"/>
        </w:trPr>
        <w:tc>
          <w:tcPr>
            <w:tcW w:w="1593" w:type="dxa"/>
            <w:shd w:val="clear" w:color="auto" w:fill="auto"/>
            <w:vAlign w:val="bottom"/>
            <w:hideMark/>
          </w:tcPr>
          <w:p w14:paraId="089A95D8"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8</w:t>
            </w:r>
          </w:p>
        </w:tc>
        <w:tc>
          <w:tcPr>
            <w:tcW w:w="1652" w:type="dxa"/>
            <w:shd w:val="clear" w:color="auto" w:fill="auto"/>
            <w:vAlign w:val="bottom"/>
            <w:hideMark/>
          </w:tcPr>
          <w:p w14:paraId="2D732CF4"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8.59E+10</w:t>
            </w:r>
          </w:p>
        </w:tc>
        <w:tc>
          <w:tcPr>
            <w:tcW w:w="1601" w:type="dxa"/>
            <w:vAlign w:val="bottom"/>
          </w:tcPr>
          <w:p w14:paraId="2E1AED5E" w14:textId="562D2E7C"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1.216E+11</w:t>
            </w:r>
          </w:p>
        </w:tc>
        <w:tc>
          <w:tcPr>
            <w:tcW w:w="1601" w:type="dxa"/>
            <w:shd w:val="clear" w:color="auto" w:fill="auto"/>
            <w:vAlign w:val="bottom"/>
            <w:hideMark/>
          </w:tcPr>
          <w:p w14:paraId="369049EF" w14:textId="67511EE4"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4.8336E+11</w:t>
            </w:r>
          </w:p>
        </w:tc>
        <w:tc>
          <w:tcPr>
            <w:tcW w:w="1602" w:type="dxa"/>
            <w:shd w:val="clear" w:color="auto" w:fill="auto"/>
            <w:vAlign w:val="bottom"/>
            <w:hideMark/>
          </w:tcPr>
          <w:p w14:paraId="06D73A1C"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1.52E+11</w:t>
            </w:r>
          </w:p>
        </w:tc>
      </w:tr>
      <w:tr w:rsidR="005D01CC" w:rsidRPr="00EC0108" w14:paraId="5B2F65CE" w14:textId="348BB7CF" w:rsidTr="005D01CC">
        <w:trPr>
          <w:trHeight w:val="195"/>
        </w:trPr>
        <w:tc>
          <w:tcPr>
            <w:tcW w:w="1593" w:type="dxa"/>
            <w:shd w:val="clear" w:color="auto" w:fill="auto"/>
            <w:vAlign w:val="bottom"/>
            <w:hideMark/>
          </w:tcPr>
          <w:p w14:paraId="7CF2EE86"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20</w:t>
            </w:r>
          </w:p>
        </w:tc>
        <w:tc>
          <w:tcPr>
            <w:tcW w:w="1652" w:type="dxa"/>
            <w:shd w:val="clear" w:color="auto" w:fill="auto"/>
            <w:vAlign w:val="bottom"/>
            <w:hideMark/>
          </w:tcPr>
          <w:p w14:paraId="0EB59586"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5.244E+11</w:t>
            </w:r>
          </w:p>
        </w:tc>
        <w:tc>
          <w:tcPr>
            <w:tcW w:w="1601" w:type="dxa"/>
            <w:vAlign w:val="bottom"/>
          </w:tcPr>
          <w:p w14:paraId="56B2F033" w14:textId="1E5D4076"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6.3232E+11</w:t>
            </w:r>
          </w:p>
        </w:tc>
        <w:tc>
          <w:tcPr>
            <w:tcW w:w="1601" w:type="dxa"/>
            <w:shd w:val="clear" w:color="auto" w:fill="auto"/>
            <w:vAlign w:val="bottom"/>
            <w:hideMark/>
          </w:tcPr>
          <w:p w14:paraId="6735FF7B" w14:textId="5A10EF23"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3.61E+09</w:t>
            </w:r>
          </w:p>
        </w:tc>
        <w:tc>
          <w:tcPr>
            <w:tcW w:w="1602" w:type="dxa"/>
            <w:shd w:val="clear" w:color="auto" w:fill="auto"/>
            <w:vAlign w:val="bottom"/>
            <w:hideMark/>
          </w:tcPr>
          <w:p w14:paraId="471A68B3" w14:textId="77777777" w:rsidR="005D01CC" w:rsidRPr="00EC0108" w:rsidRDefault="005D01CC" w:rsidP="005D01CC">
            <w:pPr>
              <w:tabs>
                <w:tab w:val="clear" w:pos="7100"/>
              </w:tabs>
              <w:spacing w:line="240" w:lineRule="auto"/>
              <w:jc w:val="center"/>
              <w:rPr>
                <w:rFonts w:ascii="Calibri" w:hAnsi="Calibri" w:cs="Calibri"/>
                <w:color w:val="000000"/>
                <w:szCs w:val="18"/>
                <w:lang w:eastAsia="es-PE"/>
              </w:rPr>
            </w:pPr>
            <w:r w:rsidRPr="00EC0108">
              <w:rPr>
                <w:rFonts w:ascii="Calibri" w:hAnsi="Calibri" w:cs="Calibri"/>
                <w:color w:val="000000"/>
                <w:szCs w:val="18"/>
                <w:lang w:eastAsia="es-PE"/>
              </w:rPr>
              <w:t>9.12E+10</w:t>
            </w:r>
          </w:p>
        </w:tc>
      </w:tr>
    </w:tbl>
    <w:p w14:paraId="68D26B83" w14:textId="12050454" w:rsidR="00600535" w:rsidRPr="005D01CC" w:rsidRDefault="00600535" w:rsidP="00600535">
      <w:pPr>
        <w:pStyle w:val="CETHeading1"/>
      </w:pPr>
      <w:r w:rsidRPr="005D01CC">
        <w:t>Conclusion</w:t>
      </w:r>
    </w:p>
    <w:p w14:paraId="6B736956" w14:textId="1368D75A" w:rsidR="00600535" w:rsidRPr="005D01CC" w:rsidRDefault="00EC0108" w:rsidP="005A41FD">
      <w:pPr>
        <w:pStyle w:val="CETBodytext"/>
      </w:pPr>
      <w:r w:rsidRPr="005D01CC">
        <w:t xml:space="preserve">The generation of energy in microbial fuel cells is a feasible alternative to be used and perfected to generate sustainable renewable energy, so it requires further research into the conditions conducive to making this method of bioelectrogenesis efficient; this research verifies this possibility, finding that </w:t>
      </w:r>
      <w:r w:rsidR="005D01CC" w:rsidRPr="005D01CC">
        <w:rPr>
          <w:i/>
          <w:iCs/>
        </w:rPr>
        <w:t>Pseudomonas</w:t>
      </w:r>
      <w:r w:rsidRPr="005D01CC">
        <w:rPr>
          <w:i/>
          <w:iCs/>
        </w:rPr>
        <w:t xml:space="preserve"> aeruginosa</w:t>
      </w:r>
      <w:r w:rsidRPr="005D01CC">
        <w:t xml:space="preserve"> bacteria with sludge support with wastewater and aluminum electrode in the anode chamber generated 0.8</w:t>
      </w:r>
      <w:r w:rsidR="005D01CC">
        <w:t>9</w:t>
      </w:r>
      <w:r w:rsidRPr="005D01CC">
        <w:t xml:space="preserve">60 V, higher than in cells where </w:t>
      </w:r>
      <w:r w:rsidRPr="005D01CC">
        <w:rPr>
          <w:i/>
          <w:iCs/>
        </w:rPr>
        <w:t xml:space="preserve">Aeromonas </w:t>
      </w:r>
      <w:proofErr w:type="spellStart"/>
      <w:r w:rsidRPr="005D01CC">
        <w:rPr>
          <w:i/>
          <w:iCs/>
        </w:rPr>
        <w:t>hydrophila</w:t>
      </w:r>
      <w:proofErr w:type="spellEnd"/>
      <w:r w:rsidRPr="005D01CC">
        <w:t xml:space="preserve"> and graphite electrodes were used.</w:t>
      </w:r>
    </w:p>
    <w:p w14:paraId="459D05E6" w14:textId="77777777" w:rsidR="00600535" w:rsidRPr="005D01CC" w:rsidRDefault="00600535" w:rsidP="00600535">
      <w:pPr>
        <w:pStyle w:val="CETAcknowledgementstitle"/>
        <w:rPr>
          <w:lang w:val="en-US"/>
        </w:rPr>
      </w:pPr>
      <w:r w:rsidRPr="005D01CC">
        <w:rPr>
          <w:lang w:val="en-US"/>
        </w:rPr>
        <w:t>Acknowledgments</w:t>
      </w:r>
    </w:p>
    <w:p w14:paraId="39BDD3EC" w14:textId="77777777" w:rsidR="008475EF" w:rsidRPr="005D01CC" w:rsidRDefault="008475EF" w:rsidP="00600535">
      <w:pPr>
        <w:pStyle w:val="CETReference"/>
        <w:rPr>
          <w:b w:val="0"/>
          <w:lang w:val="en-US"/>
        </w:rPr>
      </w:pPr>
      <w:r w:rsidRPr="005D01CC">
        <w:rPr>
          <w:b w:val="0"/>
          <w:lang w:val="en-US"/>
        </w:rPr>
        <w:t>To Universidad César Vallejo for their support in the dissemination of this research.</w:t>
      </w:r>
    </w:p>
    <w:p w14:paraId="4F1327F8" w14:textId="6CA96613" w:rsidR="00600535" w:rsidRPr="005D01CC" w:rsidRDefault="00600535" w:rsidP="00600535">
      <w:pPr>
        <w:pStyle w:val="CETReference"/>
        <w:rPr>
          <w:lang w:val="en-US"/>
        </w:rPr>
      </w:pPr>
      <w:r w:rsidRPr="005D01CC">
        <w:rPr>
          <w:lang w:val="en-US"/>
        </w:rPr>
        <w:t>References</w:t>
      </w:r>
    </w:p>
    <w:p w14:paraId="709816B2" w14:textId="77777777" w:rsidR="0096380D" w:rsidRPr="008475EF" w:rsidRDefault="0096380D" w:rsidP="00947EF1">
      <w:pPr>
        <w:pStyle w:val="Bibliografa"/>
        <w:rPr>
          <w:lang w:val="es-PE"/>
        </w:rPr>
      </w:pPr>
    </w:p>
    <w:p w14:paraId="4E44EA86" w14:textId="65B5F6CE" w:rsidR="00544B29" w:rsidRPr="008475EF" w:rsidRDefault="00544B29" w:rsidP="008475EF">
      <w:pPr>
        <w:pStyle w:val="CETReferencetext"/>
      </w:pPr>
      <w:r w:rsidRPr="008475EF">
        <w:rPr>
          <w:lang w:val="es-PE"/>
        </w:rPr>
        <w:t xml:space="preserve">Acosta-Suárez M., Cruz-Martín M., Pichardo T., Rodríguez, E., Barbón R., Capote A., Pérez, A., Alvarado-Capó Y., 2019. </w:t>
      </w:r>
      <w:r w:rsidRPr="000837D6">
        <w:rPr>
          <w:lang w:val="es-PE"/>
        </w:rPr>
        <w:t xml:space="preserve">Solubilización de fosfatos in vitro por cepas de Aspergillus y </w:t>
      </w:r>
      <w:proofErr w:type="spellStart"/>
      <w:r w:rsidRPr="000837D6">
        <w:rPr>
          <w:lang w:val="es-PE"/>
        </w:rPr>
        <w:t>Penicillium</w:t>
      </w:r>
      <w:proofErr w:type="spellEnd"/>
      <w:r w:rsidRPr="000837D6">
        <w:rPr>
          <w:lang w:val="es-PE"/>
        </w:rPr>
        <w:t xml:space="preserve"> y promoción del crecimiento de plantas de cafeto. </w:t>
      </w:r>
      <w:proofErr w:type="spellStart"/>
      <w:r w:rsidRPr="008475EF">
        <w:t>Biotecnología</w:t>
      </w:r>
      <w:proofErr w:type="spellEnd"/>
      <w:r w:rsidRPr="008475EF">
        <w:t xml:space="preserve"> Vegetal 19, 65–72.</w:t>
      </w:r>
    </w:p>
    <w:p w14:paraId="4B004CFD" w14:textId="0E0D9150" w:rsidR="00544B29" w:rsidRPr="000837D6" w:rsidRDefault="0024795C" w:rsidP="008475EF">
      <w:pPr>
        <w:pStyle w:val="CETReferencetext"/>
        <w:rPr>
          <w:lang w:val="es-PE"/>
        </w:rPr>
      </w:pPr>
      <w:r w:rsidRPr="0024795C">
        <w:rPr>
          <w:lang w:val="es-PE"/>
        </w:rPr>
        <w:t>Bermúdez</w:t>
      </w:r>
      <w:r w:rsidR="00946CFF">
        <w:rPr>
          <w:lang w:val="es-PE"/>
        </w:rPr>
        <w:t xml:space="preserve"> M. y </w:t>
      </w:r>
      <w:r w:rsidR="0096380D" w:rsidRPr="000837D6">
        <w:rPr>
          <w:lang w:val="es-PE"/>
        </w:rPr>
        <w:t>Bernal E., 2018. Implementación de una celda de combustible microbiana a escala laboratorio para generación de energía eléctrica 146.</w:t>
      </w:r>
      <w:r w:rsidR="003E69C1" w:rsidRPr="008475EF">
        <w:fldChar w:fldCharType="begin"/>
      </w:r>
      <w:r w:rsidR="003E69C1" w:rsidRPr="000837D6">
        <w:rPr>
          <w:lang w:val="es-PE"/>
        </w:rPr>
        <w:instrText xml:space="preserve"> ADDIN ZOTERO_BIBL {"uncited":[],"omitted":[],"custom":[]} CSL_BIBLIOGRAPHY </w:instrText>
      </w:r>
      <w:r w:rsidR="003E69C1" w:rsidRPr="008475EF">
        <w:fldChar w:fldCharType="separate"/>
      </w:r>
    </w:p>
    <w:p w14:paraId="659666DE" w14:textId="02D49F48" w:rsidR="00544B29" w:rsidRPr="008475EF" w:rsidRDefault="00544B29" w:rsidP="008475EF">
      <w:pPr>
        <w:pStyle w:val="CETReferencetext"/>
      </w:pPr>
      <w:r w:rsidRPr="008475EF">
        <w:t>IEA</w:t>
      </w:r>
      <w:r w:rsidR="005D01CC">
        <w:t>,</w:t>
      </w:r>
      <w:r w:rsidRPr="008475EF">
        <w:t xml:space="preserve"> 2022. World Energy Outlook 2021 – Analysis [WWW Document]. IEA. URL https://www.iea.org/reports/world-energy-outlook-2021 (accessed 2.2.22).</w:t>
      </w:r>
    </w:p>
    <w:p w14:paraId="49B76B9A" w14:textId="04B9060F" w:rsidR="003A0FAB" w:rsidRPr="000837D6" w:rsidRDefault="003A0FAB" w:rsidP="008475EF">
      <w:pPr>
        <w:pStyle w:val="CETReferencetext"/>
        <w:rPr>
          <w:lang w:val="es-PE"/>
        </w:rPr>
      </w:pPr>
      <w:r w:rsidRPr="000837D6">
        <w:rPr>
          <w:lang w:val="es-PE"/>
        </w:rPr>
        <w:t>Mateo S., 2018. Hacia el desarrollo de celdas de combustible microbiológicas altamente eficientes (Tesis). Universidad de Castilla-La Mancha, España.</w:t>
      </w:r>
    </w:p>
    <w:p w14:paraId="55F52E23" w14:textId="6D69965B" w:rsidR="00544B29" w:rsidRPr="000837D6" w:rsidRDefault="00544B29" w:rsidP="008475EF">
      <w:pPr>
        <w:pStyle w:val="CETReferencetext"/>
        <w:rPr>
          <w:lang w:val="es-PE"/>
        </w:rPr>
      </w:pPr>
      <w:r w:rsidRPr="000837D6">
        <w:rPr>
          <w:lang w:val="es-PE"/>
        </w:rPr>
        <w:t>Revelo D.M., Hurtado, N.H., Ruiz J.O., 2013. Celdas de combustible microbianas (CCMS): un reto para la remoción de materia orgánica y la generación de energía eléctrica. Información tecnológica 24, 17–28. https://doi.org/10.4067/S0718-07642013000600004</w:t>
      </w:r>
    </w:p>
    <w:p w14:paraId="7C051AA9" w14:textId="5DE8CC0A" w:rsidR="003A0FAB" w:rsidRPr="000837D6" w:rsidRDefault="003A0FAB" w:rsidP="008475EF">
      <w:pPr>
        <w:pStyle w:val="CETReferencetext"/>
        <w:rPr>
          <w:lang w:val="es-PE"/>
        </w:rPr>
      </w:pPr>
      <w:r w:rsidRPr="000837D6">
        <w:rPr>
          <w:lang w:val="es-PE"/>
        </w:rPr>
        <w:t>Rojas S.</w:t>
      </w:r>
      <w:r w:rsidR="00835964">
        <w:rPr>
          <w:lang w:val="es-PE"/>
        </w:rPr>
        <w:t xml:space="preserve">, Angelats L., De la Cruz M., León M., Gonzales R., Joo L. </w:t>
      </w:r>
      <w:r w:rsidRPr="000837D6">
        <w:rPr>
          <w:lang w:val="es-PE"/>
        </w:rPr>
        <w:t xml:space="preserve">y </w:t>
      </w:r>
      <w:r w:rsidR="00835964">
        <w:rPr>
          <w:lang w:val="es-PE"/>
        </w:rPr>
        <w:t>Rodriguez M</w:t>
      </w:r>
      <w:r w:rsidRPr="000837D6">
        <w:rPr>
          <w:lang w:val="es-PE"/>
        </w:rPr>
        <w:t>., 2019. Influencia de la disminución de Iodo para la obtención de voltaje a partir de Celdas de Combustible Microbianas de bajo costo</w:t>
      </w:r>
      <w:r w:rsidR="00835964">
        <w:rPr>
          <w:lang w:val="es-PE"/>
        </w:rPr>
        <w:t xml:space="preserve">, Revista ECIPerú, 15(2), </w:t>
      </w:r>
      <w:r w:rsidR="00835964" w:rsidRPr="00835964">
        <w:rPr>
          <w:lang w:val="es-PE"/>
        </w:rPr>
        <w:t>https://revistaeciperu.com/wp-content/uploads/2018/12/20180014-1.pdf</w:t>
      </w:r>
      <w:r w:rsidR="00835964">
        <w:rPr>
          <w:lang w:val="es-PE"/>
        </w:rPr>
        <w:t>.</w:t>
      </w:r>
    </w:p>
    <w:p w14:paraId="39F7C63D" w14:textId="6BB54E7D" w:rsidR="00544B29" w:rsidRPr="000837D6" w:rsidRDefault="00544B29" w:rsidP="008475EF">
      <w:pPr>
        <w:pStyle w:val="CETReferencetext"/>
        <w:rPr>
          <w:lang w:val="es-PE"/>
        </w:rPr>
      </w:pPr>
      <w:r w:rsidRPr="008475EF">
        <w:t xml:space="preserve">Sawasdee V., Pisutpaisal N., 2018. Microbial community from tannery wastewater in microbial fuel cell. </w:t>
      </w:r>
      <w:r w:rsidRPr="000837D6">
        <w:rPr>
          <w:lang w:val="es-PE"/>
        </w:rPr>
        <w:t>Chemical Engineering Transactions 64, 397–402. https://doi.org/10.3303/CET1864067</w:t>
      </w:r>
    </w:p>
    <w:p w14:paraId="486C10A5" w14:textId="17D12545" w:rsidR="003A0FAB" w:rsidRPr="000837D6" w:rsidRDefault="003A0FAB" w:rsidP="008475EF">
      <w:pPr>
        <w:pStyle w:val="CETReferencetext"/>
        <w:rPr>
          <w:lang w:val="es-PE"/>
        </w:rPr>
      </w:pPr>
      <w:r w:rsidRPr="000837D6">
        <w:rPr>
          <w:lang w:val="es-PE"/>
        </w:rPr>
        <w:t xml:space="preserve">Terán C., 2017. </w:t>
      </w:r>
      <w:proofErr w:type="spellStart"/>
      <w:r w:rsidRPr="000837D6">
        <w:rPr>
          <w:lang w:val="es-PE"/>
        </w:rPr>
        <w:t>Bioelectrog</w:t>
      </w:r>
      <w:r w:rsidR="003B0816">
        <w:rPr>
          <w:lang w:val="es-PE"/>
        </w:rPr>
        <w:t>é</w:t>
      </w:r>
      <w:r w:rsidRPr="000837D6">
        <w:rPr>
          <w:lang w:val="es-PE"/>
        </w:rPr>
        <w:t>n</w:t>
      </w:r>
      <w:r w:rsidR="003B0816">
        <w:rPr>
          <w:lang w:val="es-PE"/>
        </w:rPr>
        <w:t>e</w:t>
      </w:r>
      <w:r w:rsidRPr="000837D6">
        <w:rPr>
          <w:lang w:val="es-PE"/>
        </w:rPr>
        <w:t>sis</w:t>
      </w:r>
      <w:proofErr w:type="spellEnd"/>
      <w:r w:rsidRPr="000837D6">
        <w:rPr>
          <w:lang w:val="es-PE"/>
        </w:rPr>
        <w:t xml:space="preserve"> a Partir de Aguas Residuales del Parque Industrial de Río Seco Utilizando Asociación Sintrófica de Microalgas y Bacterias Nativas [WWW Document].</w:t>
      </w:r>
    </w:p>
    <w:p w14:paraId="25910B52" w14:textId="43EB28E1" w:rsidR="003A0FAB" w:rsidRPr="008475EF" w:rsidRDefault="003A0FAB" w:rsidP="008475EF">
      <w:pPr>
        <w:pStyle w:val="CETReferencetext"/>
        <w:rPr>
          <w:lang w:val="es-PE"/>
        </w:rPr>
      </w:pPr>
      <w:r w:rsidRPr="000837D6">
        <w:rPr>
          <w:lang w:val="es-PE"/>
        </w:rPr>
        <w:t xml:space="preserve">Valencia M., 2018. </w:t>
      </w:r>
      <w:r w:rsidRPr="008475EF">
        <w:rPr>
          <w:lang w:val="es-PE"/>
        </w:rPr>
        <w:t>Evaluación de Generación de Electricidad y remoción de materia orgánica en celdas de combustible microbiana en aguas residuales de camal. (Tesis). Universidad Nacional del Atiplano, Perú</w:t>
      </w:r>
    </w:p>
    <w:p w14:paraId="1656B391" w14:textId="63CE20AD" w:rsidR="00C54003" w:rsidRPr="008475EF" w:rsidRDefault="00544B29" w:rsidP="008475EF">
      <w:pPr>
        <w:pStyle w:val="CETReferencetext"/>
        <w:tabs>
          <w:tab w:val="left" w:pos="3119"/>
        </w:tabs>
      </w:pPr>
      <w:r w:rsidRPr="000837D6">
        <w:rPr>
          <w:lang w:val="es-PE"/>
        </w:rPr>
        <w:t xml:space="preserve">Zaccariello L., Mastellone, M.L., 2020. </w:t>
      </w:r>
      <w:r w:rsidRPr="008475EF">
        <w:t>Gasification of Sewage Sludge in a Bench-scale Reactor. Chemical Engineering Transactions 80, 175–180. https://doi.org/10.3303/CET2080030</w:t>
      </w:r>
      <w:r w:rsidR="003E69C1" w:rsidRPr="008475EF">
        <w:fldChar w:fldCharType="end"/>
      </w:r>
    </w:p>
    <w:sectPr w:rsidR="00C54003" w:rsidRPr="008475E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511B" w14:textId="77777777" w:rsidR="00A01CC9" w:rsidRDefault="00A01CC9" w:rsidP="004F5E36">
      <w:r>
        <w:separator/>
      </w:r>
    </w:p>
  </w:endnote>
  <w:endnote w:type="continuationSeparator" w:id="0">
    <w:p w14:paraId="161B8559" w14:textId="77777777" w:rsidR="00A01CC9" w:rsidRDefault="00A01CC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CC20F" w14:textId="77777777" w:rsidR="00A01CC9" w:rsidRDefault="00A01CC9" w:rsidP="004F5E36">
      <w:r>
        <w:separator/>
      </w:r>
    </w:p>
  </w:footnote>
  <w:footnote w:type="continuationSeparator" w:id="0">
    <w:p w14:paraId="61E97E4C" w14:textId="77777777" w:rsidR="00A01CC9" w:rsidRDefault="00A01CC9"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3"/>
    </w:lvlOverride>
    <w:lvlOverride w:ilvl="2">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1C2C"/>
    <w:rsid w:val="0003148D"/>
    <w:rsid w:val="000413AB"/>
    <w:rsid w:val="00042064"/>
    <w:rsid w:val="0004206B"/>
    <w:rsid w:val="00050C39"/>
    <w:rsid w:val="00051566"/>
    <w:rsid w:val="00062A9A"/>
    <w:rsid w:val="00065058"/>
    <w:rsid w:val="000837D6"/>
    <w:rsid w:val="00086C39"/>
    <w:rsid w:val="0009165A"/>
    <w:rsid w:val="00093C0C"/>
    <w:rsid w:val="0009562E"/>
    <w:rsid w:val="000A03B2"/>
    <w:rsid w:val="000A1EDE"/>
    <w:rsid w:val="000C057D"/>
    <w:rsid w:val="000C1407"/>
    <w:rsid w:val="000C385F"/>
    <w:rsid w:val="000D34BE"/>
    <w:rsid w:val="000E102F"/>
    <w:rsid w:val="000E36F1"/>
    <w:rsid w:val="000E3A73"/>
    <w:rsid w:val="000E414A"/>
    <w:rsid w:val="000F093C"/>
    <w:rsid w:val="000F787B"/>
    <w:rsid w:val="00107608"/>
    <w:rsid w:val="0012091F"/>
    <w:rsid w:val="0012145B"/>
    <w:rsid w:val="00126BC2"/>
    <w:rsid w:val="001308B6"/>
    <w:rsid w:val="0013121F"/>
    <w:rsid w:val="00131FE6"/>
    <w:rsid w:val="0013263F"/>
    <w:rsid w:val="001333E2"/>
    <w:rsid w:val="001348F1"/>
    <w:rsid w:val="00134DE4"/>
    <w:rsid w:val="0014034D"/>
    <w:rsid w:val="0014464F"/>
    <w:rsid w:val="00150E59"/>
    <w:rsid w:val="00152DE3"/>
    <w:rsid w:val="001537BF"/>
    <w:rsid w:val="00164CF9"/>
    <w:rsid w:val="0017244D"/>
    <w:rsid w:val="00177426"/>
    <w:rsid w:val="00180860"/>
    <w:rsid w:val="00184AD6"/>
    <w:rsid w:val="001A4339"/>
    <w:rsid w:val="001A4556"/>
    <w:rsid w:val="001A4CB2"/>
    <w:rsid w:val="001A5B78"/>
    <w:rsid w:val="001B0349"/>
    <w:rsid w:val="001B65C1"/>
    <w:rsid w:val="001C4BF0"/>
    <w:rsid w:val="001C684B"/>
    <w:rsid w:val="001D321D"/>
    <w:rsid w:val="001D53FC"/>
    <w:rsid w:val="001E07DF"/>
    <w:rsid w:val="001E5AA9"/>
    <w:rsid w:val="001F0E40"/>
    <w:rsid w:val="001F42A5"/>
    <w:rsid w:val="001F7B9D"/>
    <w:rsid w:val="00213C4C"/>
    <w:rsid w:val="002224B4"/>
    <w:rsid w:val="002256DD"/>
    <w:rsid w:val="002447EF"/>
    <w:rsid w:val="0024795C"/>
    <w:rsid w:val="00251550"/>
    <w:rsid w:val="00252CB1"/>
    <w:rsid w:val="00263B05"/>
    <w:rsid w:val="00267EF7"/>
    <w:rsid w:val="0027221A"/>
    <w:rsid w:val="00275B61"/>
    <w:rsid w:val="00282656"/>
    <w:rsid w:val="002941C6"/>
    <w:rsid w:val="00296B83"/>
    <w:rsid w:val="002B3A15"/>
    <w:rsid w:val="002B78CE"/>
    <w:rsid w:val="002C2FB6"/>
    <w:rsid w:val="002C6ABD"/>
    <w:rsid w:val="002E2627"/>
    <w:rsid w:val="002E6231"/>
    <w:rsid w:val="002F7047"/>
    <w:rsid w:val="003009B7"/>
    <w:rsid w:val="00300E56"/>
    <w:rsid w:val="00300FB2"/>
    <w:rsid w:val="003024BE"/>
    <w:rsid w:val="0030469C"/>
    <w:rsid w:val="00321CA6"/>
    <w:rsid w:val="00323F11"/>
    <w:rsid w:val="00330DAC"/>
    <w:rsid w:val="00334C09"/>
    <w:rsid w:val="00335B25"/>
    <w:rsid w:val="00360B74"/>
    <w:rsid w:val="00360BBA"/>
    <w:rsid w:val="003723D4"/>
    <w:rsid w:val="00383F4B"/>
    <w:rsid w:val="00384CC8"/>
    <w:rsid w:val="003871FD"/>
    <w:rsid w:val="003A0FAB"/>
    <w:rsid w:val="003A1E30"/>
    <w:rsid w:val="003A7D1C"/>
    <w:rsid w:val="003B0816"/>
    <w:rsid w:val="003B304B"/>
    <w:rsid w:val="003B3146"/>
    <w:rsid w:val="003C1B86"/>
    <w:rsid w:val="003C743B"/>
    <w:rsid w:val="003D7A78"/>
    <w:rsid w:val="003E0F76"/>
    <w:rsid w:val="003E69C1"/>
    <w:rsid w:val="003F015E"/>
    <w:rsid w:val="00400414"/>
    <w:rsid w:val="0041446B"/>
    <w:rsid w:val="00422297"/>
    <w:rsid w:val="00426FE3"/>
    <w:rsid w:val="004358B5"/>
    <w:rsid w:val="004378D4"/>
    <w:rsid w:val="0044329C"/>
    <w:rsid w:val="004577FE"/>
    <w:rsid w:val="00457B9C"/>
    <w:rsid w:val="0046164A"/>
    <w:rsid w:val="004628D2"/>
    <w:rsid w:val="00462DCD"/>
    <w:rsid w:val="004648AD"/>
    <w:rsid w:val="004703A9"/>
    <w:rsid w:val="004760DE"/>
    <w:rsid w:val="00481095"/>
    <w:rsid w:val="0048153C"/>
    <w:rsid w:val="004872C8"/>
    <w:rsid w:val="0049135B"/>
    <w:rsid w:val="004916B3"/>
    <w:rsid w:val="004A004E"/>
    <w:rsid w:val="004A24CF"/>
    <w:rsid w:val="004B7590"/>
    <w:rsid w:val="004C3D1D"/>
    <w:rsid w:val="004C48E7"/>
    <w:rsid w:val="004C7913"/>
    <w:rsid w:val="004D7D7B"/>
    <w:rsid w:val="004E4DD6"/>
    <w:rsid w:val="004F5E36"/>
    <w:rsid w:val="00502E5C"/>
    <w:rsid w:val="00507B47"/>
    <w:rsid w:val="00507CC9"/>
    <w:rsid w:val="005119A5"/>
    <w:rsid w:val="005131BA"/>
    <w:rsid w:val="00516D93"/>
    <w:rsid w:val="005278B7"/>
    <w:rsid w:val="005302EB"/>
    <w:rsid w:val="00532016"/>
    <w:rsid w:val="005346C8"/>
    <w:rsid w:val="00543E7D"/>
    <w:rsid w:val="00544B29"/>
    <w:rsid w:val="00547A68"/>
    <w:rsid w:val="005531C9"/>
    <w:rsid w:val="00573BFA"/>
    <w:rsid w:val="0057597E"/>
    <w:rsid w:val="00584CD8"/>
    <w:rsid w:val="00587855"/>
    <w:rsid w:val="00591138"/>
    <w:rsid w:val="005A3E9C"/>
    <w:rsid w:val="005A41FD"/>
    <w:rsid w:val="005B2110"/>
    <w:rsid w:val="005B33A6"/>
    <w:rsid w:val="005B61E6"/>
    <w:rsid w:val="005C77E1"/>
    <w:rsid w:val="005D01CC"/>
    <w:rsid w:val="005D25A2"/>
    <w:rsid w:val="005D46BC"/>
    <w:rsid w:val="005D4ABA"/>
    <w:rsid w:val="005D6A2F"/>
    <w:rsid w:val="005E1A82"/>
    <w:rsid w:val="005E30B9"/>
    <w:rsid w:val="005E794C"/>
    <w:rsid w:val="005F0A28"/>
    <w:rsid w:val="005F0E5E"/>
    <w:rsid w:val="00600535"/>
    <w:rsid w:val="00610CD6"/>
    <w:rsid w:val="00620C11"/>
    <w:rsid w:val="00620DEE"/>
    <w:rsid w:val="00621F92"/>
    <w:rsid w:val="00625639"/>
    <w:rsid w:val="00631B33"/>
    <w:rsid w:val="00634A3A"/>
    <w:rsid w:val="00636B67"/>
    <w:rsid w:val="0064184D"/>
    <w:rsid w:val="0064680F"/>
    <w:rsid w:val="00660E3E"/>
    <w:rsid w:val="00661B74"/>
    <w:rsid w:val="00662E74"/>
    <w:rsid w:val="00680C23"/>
    <w:rsid w:val="00693766"/>
    <w:rsid w:val="00697C32"/>
    <w:rsid w:val="006A3281"/>
    <w:rsid w:val="006A41D9"/>
    <w:rsid w:val="006B4888"/>
    <w:rsid w:val="006C2E45"/>
    <w:rsid w:val="006C359C"/>
    <w:rsid w:val="006C5579"/>
    <w:rsid w:val="006D5CA3"/>
    <w:rsid w:val="006E737D"/>
    <w:rsid w:val="006F4299"/>
    <w:rsid w:val="0070603A"/>
    <w:rsid w:val="00720A24"/>
    <w:rsid w:val="00722812"/>
    <w:rsid w:val="007258D9"/>
    <w:rsid w:val="00732386"/>
    <w:rsid w:val="00736962"/>
    <w:rsid w:val="007447F3"/>
    <w:rsid w:val="0075499F"/>
    <w:rsid w:val="00760877"/>
    <w:rsid w:val="007661C8"/>
    <w:rsid w:val="00767C15"/>
    <w:rsid w:val="0077098D"/>
    <w:rsid w:val="00795D0F"/>
    <w:rsid w:val="007A7BBA"/>
    <w:rsid w:val="007B0C50"/>
    <w:rsid w:val="007B2CBA"/>
    <w:rsid w:val="007C0FB0"/>
    <w:rsid w:val="007C1A43"/>
    <w:rsid w:val="007D32F1"/>
    <w:rsid w:val="007E7162"/>
    <w:rsid w:val="00813288"/>
    <w:rsid w:val="008136F4"/>
    <w:rsid w:val="008168FC"/>
    <w:rsid w:val="00830996"/>
    <w:rsid w:val="008345F1"/>
    <w:rsid w:val="00835964"/>
    <w:rsid w:val="008475EF"/>
    <w:rsid w:val="00863872"/>
    <w:rsid w:val="00865629"/>
    <w:rsid w:val="00865B07"/>
    <w:rsid w:val="008667EA"/>
    <w:rsid w:val="0087173B"/>
    <w:rsid w:val="00873D70"/>
    <w:rsid w:val="008744BF"/>
    <w:rsid w:val="0087637F"/>
    <w:rsid w:val="00882DB1"/>
    <w:rsid w:val="00892AD5"/>
    <w:rsid w:val="008A1512"/>
    <w:rsid w:val="008A2D99"/>
    <w:rsid w:val="008B5CFD"/>
    <w:rsid w:val="008D433B"/>
    <w:rsid w:val="008D7C54"/>
    <w:rsid w:val="008E566E"/>
    <w:rsid w:val="009014A0"/>
    <w:rsid w:val="0090161A"/>
    <w:rsid w:val="00901EB6"/>
    <w:rsid w:val="00904C62"/>
    <w:rsid w:val="00924DAC"/>
    <w:rsid w:val="00927058"/>
    <w:rsid w:val="009447FB"/>
    <w:rsid w:val="009450CE"/>
    <w:rsid w:val="00946CFF"/>
    <w:rsid w:val="00947179"/>
    <w:rsid w:val="00947EF1"/>
    <w:rsid w:val="0095164B"/>
    <w:rsid w:val="00954067"/>
    <w:rsid w:val="00954090"/>
    <w:rsid w:val="009573E7"/>
    <w:rsid w:val="0096380D"/>
    <w:rsid w:val="00963E05"/>
    <w:rsid w:val="00967D54"/>
    <w:rsid w:val="00972031"/>
    <w:rsid w:val="00996483"/>
    <w:rsid w:val="00996F5A"/>
    <w:rsid w:val="009B041A"/>
    <w:rsid w:val="009C7C86"/>
    <w:rsid w:val="009D0272"/>
    <w:rsid w:val="009D06C7"/>
    <w:rsid w:val="009D2FF7"/>
    <w:rsid w:val="009D715E"/>
    <w:rsid w:val="009E53A2"/>
    <w:rsid w:val="009E6F5C"/>
    <w:rsid w:val="009E7811"/>
    <w:rsid w:val="009E7884"/>
    <w:rsid w:val="009E788A"/>
    <w:rsid w:val="009F0E08"/>
    <w:rsid w:val="009F6CB6"/>
    <w:rsid w:val="009F7F64"/>
    <w:rsid w:val="00A01CC9"/>
    <w:rsid w:val="00A0790B"/>
    <w:rsid w:val="00A1763D"/>
    <w:rsid w:val="00A17CEC"/>
    <w:rsid w:val="00A27EF0"/>
    <w:rsid w:val="00A35893"/>
    <w:rsid w:val="00A36B44"/>
    <w:rsid w:val="00A50B20"/>
    <w:rsid w:val="00A51390"/>
    <w:rsid w:val="00A539CA"/>
    <w:rsid w:val="00A56B32"/>
    <w:rsid w:val="00A60D13"/>
    <w:rsid w:val="00A658B6"/>
    <w:rsid w:val="00A72745"/>
    <w:rsid w:val="00A72F07"/>
    <w:rsid w:val="00A756D5"/>
    <w:rsid w:val="00A76EFC"/>
    <w:rsid w:val="00A8370E"/>
    <w:rsid w:val="00A91010"/>
    <w:rsid w:val="00A97F29"/>
    <w:rsid w:val="00AA602C"/>
    <w:rsid w:val="00AA702E"/>
    <w:rsid w:val="00AB0964"/>
    <w:rsid w:val="00AB5011"/>
    <w:rsid w:val="00AC2B9F"/>
    <w:rsid w:val="00AC4976"/>
    <w:rsid w:val="00AC7368"/>
    <w:rsid w:val="00AD16B9"/>
    <w:rsid w:val="00AD5D33"/>
    <w:rsid w:val="00AE377D"/>
    <w:rsid w:val="00AE4B51"/>
    <w:rsid w:val="00B0693F"/>
    <w:rsid w:val="00B17FBD"/>
    <w:rsid w:val="00B21AB2"/>
    <w:rsid w:val="00B30713"/>
    <w:rsid w:val="00B315A6"/>
    <w:rsid w:val="00B31813"/>
    <w:rsid w:val="00B33365"/>
    <w:rsid w:val="00B57B36"/>
    <w:rsid w:val="00B67E69"/>
    <w:rsid w:val="00B70065"/>
    <w:rsid w:val="00B7067B"/>
    <w:rsid w:val="00B8686D"/>
    <w:rsid w:val="00B86DCD"/>
    <w:rsid w:val="00B9029C"/>
    <w:rsid w:val="00BA2907"/>
    <w:rsid w:val="00BA6CE4"/>
    <w:rsid w:val="00BB2C52"/>
    <w:rsid w:val="00BB600A"/>
    <w:rsid w:val="00BC30C9"/>
    <w:rsid w:val="00BE3E58"/>
    <w:rsid w:val="00BF2E07"/>
    <w:rsid w:val="00C01616"/>
    <w:rsid w:val="00C0162B"/>
    <w:rsid w:val="00C02120"/>
    <w:rsid w:val="00C11B98"/>
    <w:rsid w:val="00C34045"/>
    <w:rsid w:val="00C345B1"/>
    <w:rsid w:val="00C40142"/>
    <w:rsid w:val="00C40545"/>
    <w:rsid w:val="00C54003"/>
    <w:rsid w:val="00C54301"/>
    <w:rsid w:val="00C57182"/>
    <w:rsid w:val="00C57863"/>
    <w:rsid w:val="00C62D8A"/>
    <w:rsid w:val="00C655FD"/>
    <w:rsid w:val="00C71FB5"/>
    <w:rsid w:val="00C7230B"/>
    <w:rsid w:val="00C76127"/>
    <w:rsid w:val="00C870A8"/>
    <w:rsid w:val="00C94434"/>
    <w:rsid w:val="00CA0D75"/>
    <w:rsid w:val="00CA1C95"/>
    <w:rsid w:val="00CA5A9C"/>
    <w:rsid w:val="00CB0BF8"/>
    <w:rsid w:val="00CB3155"/>
    <w:rsid w:val="00CC0193"/>
    <w:rsid w:val="00CD5FE2"/>
    <w:rsid w:val="00CE7C68"/>
    <w:rsid w:val="00CF0F0E"/>
    <w:rsid w:val="00D011B8"/>
    <w:rsid w:val="00D02B4C"/>
    <w:rsid w:val="00D035FE"/>
    <w:rsid w:val="00D040C4"/>
    <w:rsid w:val="00D234D6"/>
    <w:rsid w:val="00D408D4"/>
    <w:rsid w:val="00D53CC9"/>
    <w:rsid w:val="00D555EE"/>
    <w:rsid w:val="00D57C84"/>
    <w:rsid w:val="00D6057D"/>
    <w:rsid w:val="00D7537B"/>
    <w:rsid w:val="00D826D5"/>
    <w:rsid w:val="00D84576"/>
    <w:rsid w:val="00D85392"/>
    <w:rsid w:val="00DA1399"/>
    <w:rsid w:val="00DA24C6"/>
    <w:rsid w:val="00DA4D7B"/>
    <w:rsid w:val="00DA65A9"/>
    <w:rsid w:val="00DA7402"/>
    <w:rsid w:val="00DC0E41"/>
    <w:rsid w:val="00DC62A9"/>
    <w:rsid w:val="00DD36C2"/>
    <w:rsid w:val="00DE1C18"/>
    <w:rsid w:val="00DE264A"/>
    <w:rsid w:val="00DF4E49"/>
    <w:rsid w:val="00E02D18"/>
    <w:rsid w:val="00E041E7"/>
    <w:rsid w:val="00E11403"/>
    <w:rsid w:val="00E23CA1"/>
    <w:rsid w:val="00E356FE"/>
    <w:rsid w:val="00E409A8"/>
    <w:rsid w:val="00E50C12"/>
    <w:rsid w:val="00E65B91"/>
    <w:rsid w:val="00E7209D"/>
    <w:rsid w:val="00E77223"/>
    <w:rsid w:val="00E8528B"/>
    <w:rsid w:val="00E85B94"/>
    <w:rsid w:val="00E978D0"/>
    <w:rsid w:val="00EA3FD4"/>
    <w:rsid w:val="00EA4613"/>
    <w:rsid w:val="00EA7F91"/>
    <w:rsid w:val="00EB1523"/>
    <w:rsid w:val="00EC0108"/>
    <w:rsid w:val="00EC0E49"/>
    <w:rsid w:val="00EC6199"/>
    <w:rsid w:val="00ED7B74"/>
    <w:rsid w:val="00EE0131"/>
    <w:rsid w:val="00EF2394"/>
    <w:rsid w:val="00F124BF"/>
    <w:rsid w:val="00F30C64"/>
    <w:rsid w:val="00F32CDB"/>
    <w:rsid w:val="00F406F8"/>
    <w:rsid w:val="00F44BCA"/>
    <w:rsid w:val="00F52F94"/>
    <w:rsid w:val="00F63A70"/>
    <w:rsid w:val="00F92284"/>
    <w:rsid w:val="00F94629"/>
    <w:rsid w:val="00FA0F8D"/>
    <w:rsid w:val="00FA10C2"/>
    <w:rsid w:val="00FA1A90"/>
    <w:rsid w:val="00FA1ECC"/>
    <w:rsid w:val="00FA21D0"/>
    <w:rsid w:val="00FA5F5F"/>
    <w:rsid w:val="00FA6D67"/>
    <w:rsid w:val="00FB730C"/>
    <w:rsid w:val="00FC04EC"/>
    <w:rsid w:val="00FC0694"/>
    <w:rsid w:val="00FC2695"/>
    <w:rsid w:val="00FC2932"/>
    <w:rsid w:val="00FC3E03"/>
    <w:rsid w:val="00FC3FC1"/>
    <w:rsid w:val="00FD04B2"/>
    <w:rsid w:val="00FD3CDB"/>
    <w:rsid w:val="00FE480D"/>
    <w:rsid w:val="00FE783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E91C1E27-6E99-4F3C-845D-A8554E272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Mencinsinresolver">
    <w:name w:val="Unresolved Mention"/>
    <w:basedOn w:val="Fuentedeprrafopredeter"/>
    <w:uiPriority w:val="99"/>
    <w:semiHidden/>
    <w:unhideWhenUsed/>
    <w:rsid w:val="009E6F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75133">
      <w:bodyDiv w:val="1"/>
      <w:marLeft w:val="0"/>
      <w:marRight w:val="0"/>
      <w:marTop w:val="0"/>
      <w:marBottom w:val="0"/>
      <w:divBdr>
        <w:top w:val="none" w:sz="0" w:space="0" w:color="auto"/>
        <w:left w:val="none" w:sz="0" w:space="0" w:color="auto"/>
        <w:bottom w:val="none" w:sz="0" w:space="0" w:color="auto"/>
        <w:right w:val="none" w:sz="0" w:space="0" w:color="auto"/>
      </w:divBdr>
    </w:div>
    <w:div w:id="661274010">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Elmer\Desktop\IBIC%2020212\1.%20mariella%20medina%20mori\MEDINA%20MORI,%20MARIELA-TESIS%20SPSS%20EXCEL\DATOS%20Y%20TABLAS%20PROCES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Elmer\Desktop\IBIC%202021\1.%20mariella%20medina%20mori\MEDINA%20MORI,%20MARIELA-TESIS%20SPSS%20EXCEL\DATOS%20Y%20TABLAS%20PROCES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Elmer\Desktop\IBIC%202021\1.%20mariella%20medina%20mori\MEDINA%20MORI,%20MARIELA-TESIS%20SPSS%20EXCEL\DATOS%20Y%20TABLAS%20PROCES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Elmer\Desktop\IBIC%202021\1.%20mariella%20medina%20mori\MEDINA%20MORI,%20MARIELA-TESIS%20SPSS%20EXCEL\DATOS%20Y%20TABLAS%20PROCES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Elmer\Desktop\IBIC%202021\1.%20mariella%20medina%20mori\MEDINA%20MORI,%20MARIELA-TESIS%20SPSS%20EXCEL\DATOS%20Y%20TABLAS%20PROCES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Hoja2!$C$87</c:f>
              <c:strCache>
                <c:ptCount val="1"/>
                <c:pt idx="0">
                  <c:v>Temperature (c1)</c:v>
                </c:pt>
              </c:strCache>
            </c:strRef>
          </c:tx>
          <c:spPr>
            <a:solidFill>
              <a:schemeClr val="accent1"/>
            </a:solidFill>
            <a:ln>
              <a:noFill/>
            </a:ln>
            <a:effectLst/>
          </c:spPr>
          <c:invertIfNegative val="0"/>
          <c:val>
            <c:numRef>
              <c:f>Hoja2!$C$88:$C$107</c:f>
              <c:numCache>
                <c:formatCode>General</c:formatCode>
                <c:ptCount val="20"/>
                <c:pt idx="0">
                  <c:v>21.8</c:v>
                </c:pt>
                <c:pt idx="1">
                  <c:v>21.2</c:v>
                </c:pt>
                <c:pt idx="2" formatCode="0.0">
                  <c:v>21.6</c:v>
                </c:pt>
                <c:pt idx="3">
                  <c:v>21.5</c:v>
                </c:pt>
                <c:pt idx="4">
                  <c:v>21.6</c:v>
                </c:pt>
                <c:pt idx="5">
                  <c:v>21.7</c:v>
                </c:pt>
                <c:pt idx="6" formatCode="0.0">
                  <c:v>21.5</c:v>
                </c:pt>
                <c:pt idx="7">
                  <c:v>21.6</c:v>
                </c:pt>
                <c:pt idx="8" formatCode="0.0">
                  <c:v>21.8</c:v>
                </c:pt>
                <c:pt idx="9">
                  <c:v>21.7</c:v>
                </c:pt>
                <c:pt idx="10">
                  <c:v>21.6</c:v>
                </c:pt>
                <c:pt idx="11" formatCode="0.0">
                  <c:v>21.5</c:v>
                </c:pt>
                <c:pt idx="12">
                  <c:v>21.3</c:v>
                </c:pt>
                <c:pt idx="13">
                  <c:v>21.4</c:v>
                </c:pt>
                <c:pt idx="14">
                  <c:v>21.2</c:v>
                </c:pt>
                <c:pt idx="15">
                  <c:v>20.9</c:v>
                </c:pt>
                <c:pt idx="16">
                  <c:v>21.6</c:v>
                </c:pt>
                <c:pt idx="17">
                  <c:v>21.2</c:v>
                </c:pt>
                <c:pt idx="18">
                  <c:v>21.2</c:v>
                </c:pt>
                <c:pt idx="19" formatCode="0.0">
                  <c:v>21.3</c:v>
                </c:pt>
              </c:numCache>
            </c:numRef>
          </c:val>
          <c:extLst>
            <c:ext xmlns:c16="http://schemas.microsoft.com/office/drawing/2014/chart" uri="{C3380CC4-5D6E-409C-BE32-E72D297353CC}">
              <c16:uniqueId val="{00000000-78DE-49B2-A743-410C3B215E68}"/>
            </c:ext>
          </c:extLst>
        </c:ser>
        <c:ser>
          <c:idx val="1"/>
          <c:order val="1"/>
          <c:tx>
            <c:strRef>
              <c:f>Hoja2!$D$87</c:f>
              <c:strCache>
                <c:ptCount val="1"/>
                <c:pt idx="0">
                  <c:v>Temperature (C2)</c:v>
                </c:pt>
              </c:strCache>
            </c:strRef>
          </c:tx>
          <c:spPr>
            <a:solidFill>
              <a:schemeClr val="accent2"/>
            </a:solidFill>
            <a:ln>
              <a:noFill/>
            </a:ln>
            <a:effectLst/>
          </c:spPr>
          <c:invertIfNegative val="0"/>
          <c:val>
            <c:numRef>
              <c:f>Hoja2!$D$88:$D$107</c:f>
              <c:numCache>
                <c:formatCode>General</c:formatCode>
                <c:ptCount val="20"/>
                <c:pt idx="0">
                  <c:v>21.6</c:v>
                </c:pt>
                <c:pt idx="1">
                  <c:v>20.8</c:v>
                </c:pt>
                <c:pt idx="2">
                  <c:v>21.6</c:v>
                </c:pt>
                <c:pt idx="3">
                  <c:v>21.5</c:v>
                </c:pt>
                <c:pt idx="4">
                  <c:v>21.5</c:v>
                </c:pt>
                <c:pt idx="5">
                  <c:v>21.6</c:v>
                </c:pt>
                <c:pt idx="6" formatCode="0.0">
                  <c:v>21.5</c:v>
                </c:pt>
                <c:pt idx="7">
                  <c:v>21.6</c:v>
                </c:pt>
                <c:pt idx="8">
                  <c:v>21.7</c:v>
                </c:pt>
                <c:pt idx="9">
                  <c:v>21.7</c:v>
                </c:pt>
                <c:pt idx="10">
                  <c:v>21.6</c:v>
                </c:pt>
                <c:pt idx="11">
                  <c:v>21.6</c:v>
                </c:pt>
                <c:pt idx="12">
                  <c:v>21.3</c:v>
                </c:pt>
                <c:pt idx="13">
                  <c:v>21.4</c:v>
                </c:pt>
                <c:pt idx="14">
                  <c:v>21.2</c:v>
                </c:pt>
                <c:pt idx="15">
                  <c:v>20.9</c:v>
                </c:pt>
                <c:pt idx="16">
                  <c:v>21.4</c:v>
                </c:pt>
                <c:pt idx="17">
                  <c:v>21.2</c:v>
                </c:pt>
                <c:pt idx="18">
                  <c:v>21.3</c:v>
                </c:pt>
                <c:pt idx="19">
                  <c:v>21.4</c:v>
                </c:pt>
              </c:numCache>
            </c:numRef>
          </c:val>
          <c:extLst>
            <c:ext xmlns:c16="http://schemas.microsoft.com/office/drawing/2014/chart" uri="{C3380CC4-5D6E-409C-BE32-E72D297353CC}">
              <c16:uniqueId val="{00000001-78DE-49B2-A743-410C3B215E68}"/>
            </c:ext>
          </c:extLst>
        </c:ser>
        <c:ser>
          <c:idx val="2"/>
          <c:order val="2"/>
          <c:tx>
            <c:strRef>
              <c:f>Hoja2!$E$87</c:f>
              <c:strCache>
                <c:ptCount val="1"/>
                <c:pt idx="0">
                  <c:v>Temperature (C3)</c:v>
                </c:pt>
              </c:strCache>
            </c:strRef>
          </c:tx>
          <c:spPr>
            <a:solidFill>
              <a:schemeClr val="accent3"/>
            </a:solidFill>
            <a:ln>
              <a:noFill/>
            </a:ln>
            <a:effectLst/>
          </c:spPr>
          <c:invertIfNegative val="0"/>
          <c:val>
            <c:numRef>
              <c:f>Hoja2!$E$88:$E$107</c:f>
              <c:numCache>
                <c:formatCode>General</c:formatCode>
                <c:ptCount val="20"/>
                <c:pt idx="0" formatCode="0.0">
                  <c:v>21.8</c:v>
                </c:pt>
                <c:pt idx="1">
                  <c:v>20.8</c:v>
                </c:pt>
                <c:pt idx="2" formatCode="0.0">
                  <c:v>21.4</c:v>
                </c:pt>
                <c:pt idx="3">
                  <c:v>21.6</c:v>
                </c:pt>
                <c:pt idx="4">
                  <c:v>21.7</c:v>
                </c:pt>
                <c:pt idx="5">
                  <c:v>21.7</c:v>
                </c:pt>
                <c:pt idx="6">
                  <c:v>21.5</c:v>
                </c:pt>
                <c:pt idx="7">
                  <c:v>21.6</c:v>
                </c:pt>
                <c:pt idx="8">
                  <c:v>21.8</c:v>
                </c:pt>
                <c:pt idx="9">
                  <c:v>21.7</c:v>
                </c:pt>
                <c:pt idx="10">
                  <c:v>21.6</c:v>
                </c:pt>
                <c:pt idx="11">
                  <c:v>21.7</c:v>
                </c:pt>
                <c:pt idx="12">
                  <c:v>21.3</c:v>
                </c:pt>
                <c:pt idx="13">
                  <c:v>21.4</c:v>
                </c:pt>
                <c:pt idx="14">
                  <c:v>21.2</c:v>
                </c:pt>
                <c:pt idx="15">
                  <c:v>20.9</c:v>
                </c:pt>
                <c:pt idx="16">
                  <c:v>21.4</c:v>
                </c:pt>
                <c:pt idx="17">
                  <c:v>21.3</c:v>
                </c:pt>
                <c:pt idx="18">
                  <c:v>21.3</c:v>
                </c:pt>
                <c:pt idx="19" formatCode="0.0">
                  <c:v>21.4</c:v>
                </c:pt>
              </c:numCache>
            </c:numRef>
          </c:val>
          <c:extLst>
            <c:ext xmlns:c16="http://schemas.microsoft.com/office/drawing/2014/chart" uri="{C3380CC4-5D6E-409C-BE32-E72D297353CC}">
              <c16:uniqueId val="{00000002-78DE-49B2-A743-410C3B215E68}"/>
            </c:ext>
          </c:extLst>
        </c:ser>
        <c:ser>
          <c:idx val="3"/>
          <c:order val="3"/>
          <c:tx>
            <c:strRef>
              <c:f>Hoja2!$F$87</c:f>
              <c:strCache>
                <c:ptCount val="1"/>
                <c:pt idx="0">
                  <c:v>Temperature (C4)</c:v>
                </c:pt>
              </c:strCache>
            </c:strRef>
          </c:tx>
          <c:spPr>
            <a:solidFill>
              <a:schemeClr val="accent4"/>
            </a:solidFill>
            <a:ln>
              <a:noFill/>
            </a:ln>
            <a:effectLst/>
          </c:spPr>
          <c:invertIfNegative val="0"/>
          <c:val>
            <c:numRef>
              <c:f>Hoja2!$F$88:$F$107</c:f>
              <c:numCache>
                <c:formatCode>General</c:formatCode>
                <c:ptCount val="20"/>
                <c:pt idx="0">
                  <c:v>21.6</c:v>
                </c:pt>
                <c:pt idx="1">
                  <c:v>21.3</c:v>
                </c:pt>
                <c:pt idx="2">
                  <c:v>21.5</c:v>
                </c:pt>
                <c:pt idx="3" formatCode="0.0">
                  <c:v>21.5</c:v>
                </c:pt>
                <c:pt idx="4" formatCode="0.0">
                  <c:v>21.6</c:v>
                </c:pt>
                <c:pt idx="5">
                  <c:v>21.6</c:v>
                </c:pt>
                <c:pt idx="6">
                  <c:v>21.5</c:v>
                </c:pt>
                <c:pt idx="7">
                  <c:v>21.6</c:v>
                </c:pt>
                <c:pt idx="8">
                  <c:v>21.8</c:v>
                </c:pt>
                <c:pt idx="9">
                  <c:v>21.7</c:v>
                </c:pt>
                <c:pt idx="10">
                  <c:v>21.6</c:v>
                </c:pt>
                <c:pt idx="11">
                  <c:v>21.7</c:v>
                </c:pt>
                <c:pt idx="12">
                  <c:v>21.3</c:v>
                </c:pt>
                <c:pt idx="13">
                  <c:v>21.3</c:v>
                </c:pt>
                <c:pt idx="14">
                  <c:v>21.1</c:v>
                </c:pt>
                <c:pt idx="15" formatCode="0.0">
                  <c:v>21</c:v>
                </c:pt>
                <c:pt idx="16">
                  <c:v>21.3</c:v>
                </c:pt>
                <c:pt idx="17">
                  <c:v>21.2</c:v>
                </c:pt>
                <c:pt idx="18">
                  <c:v>21.3</c:v>
                </c:pt>
                <c:pt idx="19">
                  <c:v>21.3</c:v>
                </c:pt>
              </c:numCache>
            </c:numRef>
          </c:val>
          <c:extLst>
            <c:ext xmlns:c16="http://schemas.microsoft.com/office/drawing/2014/chart" uri="{C3380CC4-5D6E-409C-BE32-E72D297353CC}">
              <c16:uniqueId val="{00000003-78DE-49B2-A743-410C3B215E68}"/>
            </c:ext>
          </c:extLst>
        </c:ser>
        <c:ser>
          <c:idx val="4"/>
          <c:order val="4"/>
          <c:tx>
            <c:strRef>
              <c:f>Hoja2!$G$87</c:f>
              <c:strCache>
                <c:ptCount val="1"/>
                <c:pt idx="0">
                  <c:v>Temperature (C5)</c:v>
                </c:pt>
              </c:strCache>
            </c:strRef>
          </c:tx>
          <c:spPr>
            <a:solidFill>
              <a:schemeClr val="accent5"/>
            </a:solidFill>
            <a:ln>
              <a:noFill/>
            </a:ln>
            <a:effectLst/>
          </c:spPr>
          <c:invertIfNegative val="0"/>
          <c:val>
            <c:numRef>
              <c:f>Hoja2!$G$88:$G$107</c:f>
              <c:numCache>
                <c:formatCode>General</c:formatCode>
                <c:ptCount val="20"/>
                <c:pt idx="0">
                  <c:v>21.7</c:v>
                </c:pt>
                <c:pt idx="1">
                  <c:v>21.2</c:v>
                </c:pt>
                <c:pt idx="2">
                  <c:v>21.4</c:v>
                </c:pt>
                <c:pt idx="3" formatCode="0.0">
                  <c:v>21.5</c:v>
                </c:pt>
                <c:pt idx="4">
                  <c:v>21.6</c:v>
                </c:pt>
                <c:pt idx="5">
                  <c:v>21.3</c:v>
                </c:pt>
                <c:pt idx="6">
                  <c:v>21.4</c:v>
                </c:pt>
                <c:pt idx="7">
                  <c:v>20.8</c:v>
                </c:pt>
                <c:pt idx="8">
                  <c:v>21.8</c:v>
                </c:pt>
                <c:pt idx="9">
                  <c:v>21.7</c:v>
                </c:pt>
                <c:pt idx="10">
                  <c:v>21.6</c:v>
                </c:pt>
                <c:pt idx="11" formatCode="0.0">
                  <c:v>21.7</c:v>
                </c:pt>
                <c:pt idx="12">
                  <c:v>21.3</c:v>
                </c:pt>
                <c:pt idx="13">
                  <c:v>21.3</c:v>
                </c:pt>
                <c:pt idx="14">
                  <c:v>21.1</c:v>
                </c:pt>
                <c:pt idx="15" formatCode="0.0">
                  <c:v>21</c:v>
                </c:pt>
                <c:pt idx="16">
                  <c:v>21.4</c:v>
                </c:pt>
                <c:pt idx="17">
                  <c:v>21.2</c:v>
                </c:pt>
                <c:pt idx="18">
                  <c:v>21.3</c:v>
                </c:pt>
                <c:pt idx="19">
                  <c:v>21.3</c:v>
                </c:pt>
              </c:numCache>
            </c:numRef>
          </c:val>
          <c:extLst>
            <c:ext xmlns:c16="http://schemas.microsoft.com/office/drawing/2014/chart" uri="{C3380CC4-5D6E-409C-BE32-E72D297353CC}">
              <c16:uniqueId val="{00000004-78DE-49B2-A743-410C3B215E68}"/>
            </c:ext>
          </c:extLst>
        </c:ser>
        <c:ser>
          <c:idx val="5"/>
          <c:order val="5"/>
          <c:tx>
            <c:strRef>
              <c:f>Hoja2!$H$87</c:f>
              <c:strCache>
                <c:ptCount val="1"/>
                <c:pt idx="0">
                  <c:v>Temperature (C6)</c:v>
                </c:pt>
              </c:strCache>
            </c:strRef>
          </c:tx>
          <c:spPr>
            <a:solidFill>
              <a:schemeClr val="accent6"/>
            </a:solidFill>
            <a:ln>
              <a:noFill/>
            </a:ln>
            <a:effectLst/>
          </c:spPr>
          <c:invertIfNegative val="0"/>
          <c:val>
            <c:numRef>
              <c:f>Hoja2!$H$88:$H$107</c:f>
              <c:numCache>
                <c:formatCode>0.0</c:formatCode>
                <c:ptCount val="20"/>
                <c:pt idx="0">
                  <c:v>21.3</c:v>
                </c:pt>
                <c:pt idx="1">
                  <c:v>21</c:v>
                </c:pt>
                <c:pt idx="2">
                  <c:v>20.8</c:v>
                </c:pt>
                <c:pt idx="3">
                  <c:v>21.1</c:v>
                </c:pt>
                <c:pt idx="4">
                  <c:v>21.2</c:v>
                </c:pt>
                <c:pt idx="5">
                  <c:v>21.1</c:v>
                </c:pt>
                <c:pt idx="6">
                  <c:v>21</c:v>
                </c:pt>
                <c:pt idx="7">
                  <c:v>21.2</c:v>
                </c:pt>
                <c:pt idx="8">
                  <c:v>21.3</c:v>
                </c:pt>
                <c:pt idx="9">
                  <c:v>21.4</c:v>
                </c:pt>
                <c:pt idx="10">
                  <c:v>21.2</c:v>
                </c:pt>
                <c:pt idx="11">
                  <c:v>21.3</c:v>
                </c:pt>
                <c:pt idx="12">
                  <c:v>21</c:v>
                </c:pt>
                <c:pt idx="13">
                  <c:v>20.8</c:v>
                </c:pt>
                <c:pt idx="14">
                  <c:v>20.8</c:v>
                </c:pt>
                <c:pt idx="15">
                  <c:v>20.399999999999999</c:v>
                </c:pt>
                <c:pt idx="16">
                  <c:v>21.1</c:v>
                </c:pt>
                <c:pt idx="17">
                  <c:v>20.8</c:v>
                </c:pt>
                <c:pt idx="18">
                  <c:v>21.1</c:v>
                </c:pt>
                <c:pt idx="19">
                  <c:v>21.1</c:v>
                </c:pt>
              </c:numCache>
            </c:numRef>
          </c:val>
          <c:extLst>
            <c:ext xmlns:c16="http://schemas.microsoft.com/office/drawing/2014/chart" uri="{C3380CC4-5D6E-409C-BE32-E72D297353CC}">
              <c16:uniqueId val="{00000005-78DE-49B2-A743-410C3B215E68}"/>
            </c:ext>
          </c:extLst>
        </c:ser>
        <c:dLbls>
          <c:showLegendKey val="0"/>
          <c:showVal val="0"/>
          <c:showCatName val="0"/>
          <c:showSerName val="0"/>
          <c:showPercent val="0"/>
          <c:showBubbleSize val="0"/>
        </c:dLbls>
        <c:gapWidth val="219"/>
        <c:overlap val="-27"/>
        <c:axId val="1571104352"/>
        <c:axId val="1571108512"/>
      </c:barChart>
      <c:catAx>
        <c:axId val="15711043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solidFill>
                      <a:sysClr val="windowText" lastClr="000000"/>
                    </a:solidFill>
                  </a:rPr>
                  <a:t>Time (Days</a:t>
                </a:r>
                <a:r>
                  <a:rPr lang="es-PE"/>
                  <a: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crossAx val="1571108512"/>
        <c:crosses val="autoZero"/>
        <c:auto val="1"/>
        <c:lblAlgn val="ctr"/>
        <c:lblOffset val="100"/>
        <c:noMultiLvlLbl val="0"/>
      </c:catAx>
      <c:valAx>
        <c:axId val="15711085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s-PE" b="1">
                    <a:solidFill>
                      <a:sysClr val="windowText" lastClr="000000"/>
                    </a:solidFill>
                  </a:rPr>
                  <a:t>Tempereatura (°C</a:t>
                </a:r>
                <a:r>
                  <a:rPr lang="es-PE" b="1"/>
                  <a:t>)</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PE"/>
          </a:p>
        </c:txPr>
        <c:crossAx val="15711043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12270341207349"/>
          <c:y val="0.21238480606590843"/>
          <c:w val="0.71231014873140852"/>
          <c:h val="0.61063820262944679"/>
        </c:manualLayout>
      </c:layout>
      <c:lineChart>
        <c:grouping val="standard"/>
        <c:varyColors val="0"/>
        <c:ser>
          <c:idx val="1"/>
          <c:order val="0"/>
          <c:tx>
            <c:strRef>
              <c:f>Hoja1!$D$6</c:f>
              <c:strCache>
                <c:ptCount val="1"/>
                <c:pt idx="0">
                  <c:v>pH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9"/>
              <c:layout>
                <c:manualLayout>
                  <c:x val="-4.1666666666666664E-2"/>
                  <c:y val="-5.092592592592594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DEE-477E-B143-B1AE8DBFE65D}"/>
                </c:ext>
              </c:extLst>
            </c:dLbl>
            <c:dLbl>
              <c:idx val="19"/>
              <c:layout>
                <c:manualLayout>
                  <c:x val="-8.109733158355216E-2"/>
                  <c:y val="0.150497594050743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DEE-477E-B143-B1AE8DBFE6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Hoja1!$A$7:$A$26</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Hoja1!$D$7:$D$26</c:f>
              <c:numCache>
                <c:formatCode>General</c:formatCode>
                <c:ptCount val="20"/>
                <c:pt idx="0">
                  <c:v>7.3</c:v>
                </c:pt>
                <c:pt idx="1">
                  <c:v>7.3</c:v>
                </c:pt>
                <c:pt idx="2" formatCode="0.0">
                  <c:v>7.5</c:v>
                </c:pt>
                <c:pt idx="3">
                  <c:v>7.6</c:v>
                </c:pt>
                <c:pt idx="4">
                  <c:v>7.7</c:v>
                </c:pt>
                <c:pt idx="5">
                  <c:v>7.6</c:v>
                </c:pt>
                <c:pt idx="6" formatCode="0.0">
                  <c:v>8</c:v>
                </c:pt>
                <c:pt idx="7">
                  <c:v>7.9</c:v>
                </c:pt>
                <c:pt idx="8" formatCode="0.0">
                  <c:v>8</c:v>
                </c:pt>
                <c:pt idx="9">
                  <c:v>8.1</c:v>
                </c:pt>
                <c:pt idx="10">
                  <c:v>7.8</c:v>
                </c:pt>
                <c:pt idx="11" formatCode="0.0">
                  <c:v>8</c:v>
                </c:pt>
                <c:pt idx="12">
                  <c:v>7.8</c:v>
                </c:pt>
                <c:pt idx="13">
                  <c:v>7.9</c:v>
                </c:pt>
                <c:pt idx="14">
                  <c:v>7.7</c:v>
                </c:pt>
                <c:pt idx="15">
                  <c:v>7.8</c:v>
                </c:pt>
                <c:pt idx="16">
                  <c:v>7.8</c:v>
                </c:pt>
                <c:pt idx="17">
                  <c:v>8.1</c:v>
                </c:pt>
                <c:pt idx="18">
                  <c:v>7.9</c:v>
                </c:pt>
                <c:pt idx="19" formatCode="0.0">
                  <c:v>8</c:v>
                </c:pt>
              </c:numCache>
            </c:numRef>
          </c:val>
          <c:smooth val="0"/>
          <c:extLst>
            <c:ext xmlns:c16="http://schemas.microsoft.com/office/drawing/2014/chart" uri="{C3380CC4-5D6E-409C-BE32-E72D297353CC}">
              <c16:uniqueId val="{00000002-1DEE-477E-B143-B1AE8DBFE65D}"/>
            </c:ext>
          </c:extLst>
        </c:ser>
        <c:dLbls>
          <c:showLegendKey val="0"/>
          <c:showVal val="0"/>
          <c:showCatName val="0"/>
          <c:showSerName val="0"/>
          <c:showPercent val="0"/>
          <c:showBubbleSize val="0"/>
        </c:dLbls>
        <c:marker val="1"/>
        <c:smooth val="0"/>
        <c:axId val="916087376"/>
        <c:axId val="916087792"/>
      </c:lineChart>
      <c:lineChart>
        <c:grouping val="standard"/>
        <c:varyColors val="0"/>
        <c:ser>
          <c:idx val="0"/>
          <c:order val="1"/>
          <c:tx>
            <c:strRef>
              <c:f>Hoja2!$C$6</c:f>
              <c:strCache>
                <c:ptCount val="1"/>
                <c:pt idx="0">
                  <c:v>Energy (C1)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9"/>
              <c:layout>
                <c:manualLayout>
                  <c:x val="-7.2007193915562304E-2"/>
                  <c:y val="-0.1183053557154276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DEE-477E-B143-B1AE8DBFE6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Hoja2!$C$7:$C$26</c:f>
              <c:numCache>
                <c:formatCode>0.0000</c:formatCode>
                <c:ptCount val="20"/>
                <c:pt idx="0">
                  <c:v>0.35659999999999997</c:v>
                </c:pt>
                <c:pt idx="1">
                  <c:v>0.43200000000000005</c:v>
                </c:pt>
                <c:pt idx="2">
                  <c:v>0.46539999999999998</c:v>
                </c:pt>
                <c:pt idx="3">
                  <c:v>0.51839999999999997</c:v>
                </c:pt>
                <c:pt idx="4">
                  <c:v>0.58219999999999994</c:v>
                </c:pt>
                <c:pt idx="5">
                  <c:v>0.66139999999999999</c:v>
                </c:pt>
                <c:pt idx="6">
                  <c:v>0.69299999999999995</c:v>
                </c:pt>
                <c:pt idx="7">
                  <c:v>0.72919999999999996</c:v>
                </c:pt>
                <c:pt idx="8">
                  <c:v>0.753</c:v>
                </c:pt>
                <c:pt idx="9">
                  <c:v>0.77200000000000002</c:v>
                </c:pt>
                <c:pt idx="10">
                  <c:v>0.79100000000000004</c:v>
                </c:pt>
                <c:pt idx="11">
                  <c:v>0.79500000000000004</c:v>
                </c:pt>
                <c:pt idx="12">
                  <c:v>0.80400000000000005</c:v>
                </c:pt>
                <c:pt idx="13">
                  <c:v>0.80500000000000005</c:v>
                </c:pt>
                <c:pt idx="14">
                  <c:v>0.81100000000000005</c:v>
                </c:pt>
                <c:pt idx="15">
                  <c:v>0.81499999999999995</c:v>
                </c:pt>
                <c:pt idx="16">
                  <c:v>0.80700000000000005</c:v>
                </c:pt>
                <c:pt idx="17">
                  <c:v>0.81299999999999994</c:v>
                </c:pt>
                <c:pt idx="18">
                  <c:v>0.82199999999999995</c:v>
                </c:pt>
                <c:pt idx="19">
                  <c:v>0.82399999999999995</c:v>
                </c:pt>
              </c:numCache>
            </c:numRef>
          </c:val>
          <c:smooth val="0"/>
          <c:extLst>
            <c:ext xmlns:c16="http://schemas.microsoft.com/office/drawing/2014/chart" uri="{C3380CC4-5D6E-409C-BE32-E72D297353CC}">
              <c16:uniqueId val="{00000004-1DEE-477E-B143-B1AE8DBFE65D}"/>
            </c:ext>
          </c:extLst>
        </c:ser>
        <c:ser>
          <c:idx val="2"/>
          <c:order val="2"/>
          <c:tx>
            <c:strRef>
              <c:f>Hoja2!$C$63</c:f>
              <c:strCache>
                <c:ptCount val="1"/>
                <c:pt idx="0">
                  <c:v>Energy (C. control 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19"/>
              <c:layout>
                <c:manualLayout>
                  <c:x val="-0.13849519173011896"/>
                  <c:y val="-0.1151079136690647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DEE-477E-B143-B1AE8DBFE6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Hoja2!$C$64:$C$83</c:f>
              <c:numCache>
                <c:formatCode>_-* #,##0.0000_-;\-* #,##0.0000_-;_-* "-"??_-;_-@_-</c:formatCode>
                <c:ptCount val="20"/>
                <c:pt idx="0">
                  <c:v>0.17979999999999996</c:v>
                </c:pt>
                <c:pt idx="1">
                  <c:v>0.28979999999999995</c:v>
                </c:pt>
                <c:pt idx="2">
                  <c:v>0.39240000000000003</c:v>
                </c:pt>
                <c:pt idx="3">
                  <c:v>0.41479999999999995</c:v>
                </c:pt>
                <c:pt idx="4">
                  <c:v>0.436</c:v>
                </c:pt>
                <c:pt idx="5">
                  <c:v>0.45900000000000002</c:v>
                </c:pt>
                <c:pt idx="6">
                  <c:v>0.56879999999999986</c:v>
                </c:pt>
                <c:pt idx="7">
                  <c:v>0.63300000000000001</c:v>
                </c:pt>
                <c:pt idx="8">
                  <c:v>0.65100000000000002</c:v>
                </c:pt>
                <c:pt idx="9">
                  <c:v>0.67100000000000004</c:v>
                </c:pt>
                <c:pt idx="10">
                  <c:v>0.69899999999999995</c:v>
                </c:pt>
                <c:pt idx="11">
                  <c:v>0.70599999999999996</c:v>
                </c:pt>
                <c:pt idx="12">
                  <c:v>0.71799999999999997</c:v>
                </c:pt>
                <c:pt idx="13">
                  <c:v>0.72099999999999997</c:v>
                </c:pt>
                <c:pt idx="14">
                  <c:v>0.71099999999999997</c:v>
                </c:pt>
                <c:pt idx="15">
                  <c:v>0.74299999999999999</c:v>
                </c:pt>
                <c:pt idx="16">
                  <c:v>0.745</c:v>
                </c:pt>
                <c:pt idx="17">
                  <c:v>0.748</c:v>
                </c:pt>
                <c:pt idx="18">
                  <c:v>0.79900000000000004</c:v>
                </c:pt>
                <c:pt idx="19">
                  <c:v>0.77200000000000002</c:v>
                </c:pt>
              </c:numCache>
            </c:numRef>
          </c:val>
          <c:smooth val="0"/>
          <c:extLst>
            <c:ext xmlns:c16="http://schemas.microsoft.com/office/drawing/2014/chart" uri="{C3380CC4-5D6E-409C-BE32-E72D297353CC}">
              <c16:uniqueId val="{00000006-1DEE-477E-B143-B1AE8DBFE65D}"/>
            </c:ext>
          </c:extLst>
        </c:ser>
        <c:dLbls>
          <c:showLegendKey val="0"/>
          <c:showVal val="0"/>
          <c:showCatName val="0"/>
          <c:showSerName val="0"/>
          <c:showPercent val="0"/>
          <c:showBubbleSize val="0"/>
        </c:dLbls>
        <c:marker val="1"/>
        <c:smooth val="0"/>
        <c:axId val="828281984"/>
        <c:axId val="916099856"/>
      </c:lineChart>
      <c:catAx>
        <c:axId val="916087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Time</a:t>
                </a:r>
                <a:r>
                  <a:rPr lang="es-PE" baseline="0"/>
                  <a:t> ( days)</a:t>
                </a:r>
                <a:endParaRPr lang="es-PE"/>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916087792"/>
        <c:crosses val="autoZero"/>
        <c:auto val="1"/>
        <c:lblAlgn val="ctr"/>
        <c:lblOffset val="100"/>
        <c:noMultiLvlLbl val="0"/>
      </c:catAx>
      <c:valAx>
        <c:axId val="916087792"/>
        <c:scaling>
          <c:orientation val="minMax"/>
          <c:max val="8.5"/>
          <c:min val="7.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916087376"/>
        <c:crosses val="autoZero"/>
        <c:crossBetween val="between"/>
      </c:valAx>
      <c:valAx>
        <c:axId val="9160998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Voltage</a:t>
                </a:r>
                <a:r>
                  <a:rPr lang="es-PE" baseline="0"/>
                  <a:t> (V)</a:t>
                </a:r>
                <a:endParaRPr lang="es-PE"/>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828281984"/>
        <c:crosses val="max"/>
        <c:crossBetween val="between"/>
      </c:valAx>
      <c:catAx>
        <c:axId val="828281984"/>
        <c:scaling>
          <c:orientation val="minMax"/>
        </c:scaling>
        <c:delete val="1"/>
        <c:axPos val="b"/>
        <c:numFmt formatCode="General" sourceLinked="1"/>
        <c:majorTickMark val="out"/>
        <c:minorTickMark val="none"/>
        <c:tickLblPos val="nextTo"/>
        <c:crossAx val="91609985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743165531274883"/>
          <c:y val="0.19192269401338094"/>
          <c:w val="0.71329118246836232"/>
          <c:h val="0.60182729148246383"/>
        </c:manualLayout>
      </c:layout>
      <c:lineChart>
        <c:grouping val="standard"/>
        <c:varyColors val="0"/>
        <c:ser>
          <c:idx val="1"/>
          <c:order val="1"/>
          <c:tx>
            <c:strRef>
              <c:f>Hoja1!$D$34</c:f>
              <c:strCache>
                <c:ptCount val="1"/>
                <c:pt idx="0">
                  <c:v>pH</c:v>
                </c:pt>
              </c:strCache>
            </c:strRef>
          </c:tx>
          <c:spPr>
            <a:ln w="28575" cap="rnd">
              <a:solidFill>
                <a:schemeClr val="tx2"/>
              </a:solidFill>
              <a:round/>
            </a:ln>
            <a:effectLst/>
          </c:spPr>
          <c:marker>
            <c:symbol val="circle"/>
            <c:size val="5"/>
            <c:spPr>
              <a:solidFill>
                <a:schemeClr val="accent1">
                  <a:lumMod val="75000"/>
                </a:schemeClr>
              </a:solidFill>
              <a:ln w="9525">
                <a:solidFill>
                  <a:schemeClr val="tx2"/>
                </a:solidFill>
              </a:ln>
              <a:effectLst/>
            </c:spPr>
          </c:marker>
          <c:dLbls>
            <c:dLbl>
              <c:idx val="5"/>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8A-4B35-8D4E-9B7541525748}"/>
                </c:ext>
              </c:extLst>
            </c:dLbl>
            <c:dLbl>
              <c:idx val="18"/>
              <c:dLblPos val="l"/>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8A-4B35-8D4E-9B75415257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dLblPos val="l"/>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Hoja1!$A$35:$A$54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Hoja1!$D$35:$D$54</c:f>
              <c:numCache>
                <c:formatCode>General</c:formatCode>
                <c:ptCount val="20"/>
                <c:pt idx="0">
                  <c:v>7.2</c:v>
                </c:pt>
                <c:pt idx="1">
                  <c:v>7.3</c:v>
                </c:pt>
                <c:pt idx="2">
                  <c:v>7.5</c:v>
                </c:pt>
                <c:pt idx="3">
                  <c:v>7.6</c:v>
                </c:pt>
                <c:pt idx="4">
                  <c:v>7.7</c:v>
                </c:pt>
                <c:pt idx="5">
                  <c:v>7.9</c:v>
                </c:pt>
                <c:pt idx="6" formatCode="0.0">
                  <c:v>7.9</c:v>
                </c:pt>
                <c:pt idx="7">
                  <c:v>7.8</c:v>
                </c:pt>
                <c:pt idx="8">
                  <c:v>7.9</c:v>
                </c:pt>
                <c:pt idx="9">
                  <c:v>7.7</c:v>
                </c:pt>
                <c:pt idx="10">
                  <c:v>7.8</c:v>
                </c:pt>
                <c:pt idx="11">
                  <c:v>7.9</c:v>
                </c:pt>
                <c:pt idx="12">
                  <c:v>7.9</c:v>
                </c:pt>
                <c:pt idx="13">
                  <c:v>7.6</c:v>
                </c:pt>
                <c:pt idx="14">
                  <c:v>7.8</c:v>
                </c:pt>
                <c:pt idx="15">
                  <c:v>7.9</c:v>
                </c:pt>
                <c:pt idx="16">
                  <c:v>7.7</c:v>
                </c:pt>
                <c:pt idx="17">
                  <c:v>7.9</c:v>
                </c:pt>
                <c:pt idx="18">
                  <c:v>7.7</c:v>
                </c:pt>
                <c:pt idx="19">
                  <c:v>7.7</c:v>
                </c:pt>
              </c:numCache>
            </c:numRef>
          </c:val>
          <c:smooth val="0"/>
          <c:extLst>
            <c:ext xmlns:c16="http://schemas.microsoft.com/office/drawing/2014/chart" uri="{C3380CC4-5D6E-409C-BE32-E72D297353CC}">
              <c16:uniqueId val="{00000002-988A-4B35-8D4E-9B7541525748}"/>
            </c:ext>
          </c:extLst>
        </c:ser>
        <c:dLbls>
          <c:showLegendKey val="0"/>
          <c:showVal val="0"/>
          <c:showCatName val="0"/>
          <c:showSerName val="0"/>
          <c:showPercent val="0"/>
          <c:showBubbleSize val="0"/>
        </c:dLbls>
        <c:marker val="1"/>
        <c:smooth val="0"/>
        <c:axId val="916935984"/>
        <c:axId val="916960112"/>
      </c:lineChart>
      <c:lineChart>
        <c:grouping val="standard"/>
        <c:varyColors val="0"/>
        <c:ser>
          <c:idx val="0"/>
          <c:order val="0"/>
          <c:tx>
            <c:strRef>
              <c:f>Hoja2!$C$34</c:f>
              <c:strCache>
                <c:ptCount val="1"/>
                <c:pt idx="0">
                  <c:v>Energy (C2)</c:v>
                </c:pt>
              </c:strCache>
            </c:strRef>
          </c:tx>
          <c:spPr>
            <a:ln w="28575" cap="rnd">
              <a:solidFill>
                <a:srgbClr val="C00000"/>
              </a:solidFill>
              <a:round/>
            </a:ln>
            <a:effectLst/>
          </c:spPr>
          <c:marker>
            <c:symbol val="circle"/>
            <c:size val="5"/>
            <c:spPr>
              <a:solidFill>
                <a:schemeClr val="accent2">
                  <a:lumMod val="75000"/>
                </a:schemeClr>
              </a:solidFill>
              <a:ln w="9525">
                <a:solidFill>
                  <a:srgbClr val="C00000"/>
                </a:solidFill>
              </a:ln>
              <a:effectLst/>
            </c:spPr>
          </c:marker>
          <c:dLbls>
            <c:dLbl>
              <c:idx val="18"/>
              <c:layout>
                <c:manualLayout>
                  <c:x val="-5.7855844942459114E-2"/>
                  <c:y val="-0.103231525767501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8A-4B35-8D4E-9B75415257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Hoja1!$A$35:$A$54</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Hoja1!$C$35:$C$54</c:f>
              <c:numCache>
                <c:formatCode>0.0000</c:formatCode>
                <c:ptCount val="20"/>
                <c:pt idx="0">
                  <c:v>0.43859999999999999</c:v>
                </c:pt>
                <c:pt idx="1">
                  <c:v>0.43159999999999998</c:v>
                </c:pt>
                <c:pt idx="2">
                  <c:v>0.45680000000000004</c:v>
                </c:pt>
                <c:pt idx="3">
                  <c:v>0.4612</c:v>
                </c:pt>
                <c:pt idx="4">
                  <c:v>0.44840000000000002</c:v>
                </c:pt>
                <c:pt idx="5">
                  <c:v>0.45300000000000001</c:v>
                </c:pt>
                <c:pt idx="6">
                  <c:v>0.44319999999999993</c:v>
                </c:pt>
                <c:pt idx="7">
                  <c:v>0.4506</c:v>
                </c:pt>
                <c:pt idx="8">
                  <c:v>0.44400000000000001</c:v>
                </c:pt>
                <c:pt idx="9">
                  <c:v>0.45400000000000001</c:v>
                </c:pt>
                <c:pt idx="10">
                  <c:v>0.46200000000000002</c:v>
                </c:pt>
                <c:pt idx="11">
                  <c:v>0.47699999999999998</c:v>
                </c:pt>
                <c:pt idx="12">
                  <c:v>0.47199999999999998</c:v>
                </c:pt>
                <c:pt idx="13">
                  <c:v>0.46300000000000002</c:v>
                </c:pt>
                <c:pt idx="14">
                  <c:v>0.46200000000000002</c:v>
                </c:pt>
                <c:pt idx="15">
                  <c:v>0.46100000000000002</c:v>
                </c:pt>
                <c:pt idx="16">
                  <c:v>0.47299999999999998</c:v>
                </c:pt>
                <c:pt idx="17">
                  <c:v>0.49199999999999999</c:v>
                </c:pt>
                <c:pt idx="18">
                  <c:v>0.499</c:v>
                </c:pt>
                <c:pt idx="19">
                  <c:v>0.44500000000000001</c:v>
                </c:pt>
              </c:numCache>
            </c:numRef>
          </c:val>
          <c:smooth val="0"/>
          <c:extLst>
            <c:ext xmlns:c16="http://schemas.microsoft.com/office/drawing/2014/chart" uri="{C3380CC4-5D6E-409C-BE32-E72D297353CC}">
              <c16:uniqueId val="{00000004-988A-4B35-8D4E-9B7541525748}"/>
            </c:ext>
          </c:extLst>
        </c:ser>
        <c:ser>
          <c:idx val="2"/>
          <c:order val="2"/>
          <c:tx>
            <c:strRef>
              <c:f>Hoja2!$C$63</c:f>
              <c:strCache>
                <c:ptCount val="1"/>
                <c:pt idx="0">
                  <c:v>Energy (C. control 5)</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dLbls>
            <c:dLbl>
              <c:idx val="18"/>
              <c:layout>
                <c:manualLayout>
                  <c:x val="-7.7224154240875462E-2"/>
                  <c:y val="-5.87183896442653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8A-4B35-8D4E-9B754152574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Hoja1!$C$64:$C$83</c:f>
              <c:numCache>
                <c:formatCode>_-* #,##0.0000_-;\-* #,##0.0000_-;_-* "-"??_-;_-@_-</c:formatCode>
                <c:ptCount val="20"/>
                <c:pt idx="0">
                  <c:v>0.17979999999999996</c:v>
                </c:pt>
                <c:pt idx="1">
                  <c:v>0.28979999999999995</c:v>
                </c:pt>
                <c:pt idx="2">
                  <c:v>0.39240000000000003</c:v>
                </c:pt>
                <c:pt idx="3">
                  <c:v>0.41479999999999995</c:v>
                </c:pt>
                <c:pt idx="4">
                  <c:v>0.436</c:v>
                </c:pt>
                <c:pt idx="5">
                  <c:v>0.45900000000000002</c:v>
                </c:pt>
                <c:pt idx="6">
                  <c:v>0.56879999999999986</c:v>
                </c:pt>
                <c:pt idx="7">
                  <c:v>0.63300000000000001</c:v>
                </c:pt>
                <c:pt idx="8">
                  <c:v>0.65100000000000002</c:v>
                </c:pt>
                <c:pt idx="9">
                  <c:v>0.67100000000000004</c:v>
                </c:pt>
                <c:pt idx="10">
                  <c:v>0.69899999999999995</c:v>
                </c:pt>
                <c:pt idx="11">
                  <c:v>0.70599999999999996</c:v>
                </c:pt>
                <c:pt idx="12">
                  <c:v>0.71799999999999997</c:v>
                </c:pt>
                <c:pt idx="13">
                  <c:v>0.72099999999999997</c:v>
                </c:pt>
                <c:pt idx="14">
                  <c:v>0.71099999999999997</c:v>
                </c:pt>
                <c:pt idx="15">
                  <c:v>0.74299999999999999</c:v>
                </c:pt>
                <c:pt idx="16">
                  <c:v>0.86099999999999999</c:v>
                </c:pt>
                <c:pt idx="17">
                  <c:v>0.748</c:v>
                </c:pt>
                <c:pt idx="18">
                  <c:v>0.79900000000000004</c:v>
                </c:pt>
                <c:pt idx="19">
                  <c:v>0.77200000000000002</c:v>
                </c:pt>
              </c:numCache>
            </c:numRef>
          </c:val>
          <c:smooth val="0"/>
          <c:extLst>
            <c:ext xmlns:c16="http://schemas.microsoft.com/office/drawing/2014/chart" uri="{C3380CC4-5D6E-409C-BE32-E72D297353CC}">
              <c16:uniqueId val="{00000006-988A-4B35-8D4E-9B7541525748}"/>
            </c:ext>
          </c:extLst>
        </c:ser>
        <c:dLbls>
          <c:showLegendKey val="0"/>
          <c:showVal val="0"/>
          <c:showCatName val="0"/>
          <c:showSerName val="0"/>
          <c:showPercent val="0"/>
          <c:showBubbleSize val="0"/>
        </c:dLbls>
        <c:marker val="1"/>
        <c:smooth val="0"/>
        <c:axId val="890539920"/>
        <c:axId val="890539088"/>
      </c:lineChart>
      <c:catAx>
        <c:axId val="9169359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Time (days)</a:t>
                </a:r>
              </a:p>
            </c:rich>
          </c:tx>
          <c:layout>
            <c:manualLayout>
              <c:xMode val="edge"/>
              <c:yMode val="edge"/>
              <c:x val="0.39109011373578301"/>
              <c:y val="0.8971988918051909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916960112"/>
        <c:crosses val="autoZero"/>
        <c:auto val="1"/>
        <c:lblAlgn val="ctr"/>
        <c:lblOffset val="100"/>
        <c:noMultiLvlLbl val="0"/>
      </c:catAx>
      <c:valAx>
        <c:axId val="916960112"/>
        <c:scaling>
          <c:orientation val="minMax"/>
          <c:max val="8.4"/>
          <c:min val="7.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916935984"/>
        <c:crosses val="autoZero"/>
        <c:crossBetween val="between"/>
      </c:valAx>
      <c:valAx>
        <c:axId val="890539088"/>
        <c:scaling>
          <c:orientation val="minMax"/>
          <c:max val="0.9"/>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Voltage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890539920"/>
        <c:crosses val="max"/>
        <c:crossBetween val="between"/>
      </c:valAx>
      <c:catAx>
        <c:axId val="890539920"/>
        <c:scaling>
          <c:orientation val="minMax"/>
        </c:scaling>
        <c:delete val="1"/>
        <c:axPos val="b"/>
        <c:numFmt formatCode="General" sourceLinked="1"/>
        <c:majorTickMark val="out"/>
        <c:minorTickMark val="none"/>
        <c:tickLblPos val="nextTo"/>
        <c:crossAx val="890539088"/>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089950333248592"/>
          <c:y val="0.21906084384742489"/>
          <c:w val="0.72334096536851178"/>
          <c:h val="0.58534797378784564"/>
        </c:manualLayout>
      </c:layout>
      <c:lineChart>
        <c:grouping val="standard"/>
        <c:varyColors val="0"/>
        <c:ser>
          <c:idx val="2"/>
          <c:order val="0"/>
          <c:tx>
            <c:strRef>
              <c:f>Hoja2!$S$6</c:f>
              <c:strCache>
                <c:ptCount val="1"/>
                <c:pt idx="0">
                  <c:v>pH</c:v>
                </c:pt>
              </c:strCache>
            </c:strRef>
          </c:tx>
          <c:spPr>
            <a:ln w="28575" cap="rnd">
              <a:solidFill>
                <a:schemeClr val="accent2">
                  <a:lumMod val="60000"/>
                  <a:lumOff val="40000"/>
                </a:schemeClr>
              </a:solidFill>
              <a:round/>
            </a:ln>
            <a:effectLst/>
          </c:spPr>
          <c:marker>
            <c:symbol val="circle"/>
            <c:size val="5"/>
            <c:spPr>
              <a:solidFill>
                <a:schemeClr val="accent3"/>
              </a:solidFill>
              <a:ln w="9525">
                <a:solidFill>
                  <a:schemeClr val="accent3"/>
                </a:solidFill>
              </a:ln>
              <a:effectLst/>
            </c:spPr>
          </c:marker>
          <c:val>
            <c:numRef>
              <c:f>Hoja2!$S$7:$S$26</c:f>
              <c:numCache>
                <c:formatCode>0.0</c:formatCode>
                <c:ptCount val="20"/>
                <c:pt idx="0">
                  <c:v>7</c:v>
                </c:pt>
                <c:pt idx="1">
                  <c:v>7.3</c:v>
                </c:pt>
                <c:pt idx="2">
                  <c:v>7.4</c:v>
                </c:pt>
                <c:pt idx="3">
                  <c:v>7.4</c:v>
                </c:pt>
                <c:pt idx="4">
                  <c:v>7.7</c:v>
                </c:pt>
                <c:pt idx="5">
                  <c:v>7.6</c:v>
                </c:pt>
                <c:pt idx="6">
                  <c:v>7.7</c:v>
                </c:pt>
                <c:pt idx="7">
                  <c:v>7.7</c:v>
                </c:pt>
                <c:pt idx="8">
                  <c:v>7.7</c:v>
                </c:pt>
                <c:pt idx="9">
                  <c:v>7.7</c:v>
                </c:pt>
                <c:pt idx="10">
                  <c:v>7.8</c:v>
                </c:pt>
                <c:pt idx="11">
                  <c:v>8</c:v>
                </c:pt>
                <c:pt idx="12">
                  <c:v>7.8</c:v>
                </c:pt>
                <c:pt idx="13">
                  <c:v>7.6</c:v>
                </c:pt>
                <c:pt idx="14">
                  <c:v>7.8</c:v>
                </c:pt>
                <c:pt idx="15">
                  <c:v>7.7</c:v>
                </c:pt>
                <c:pt idx="16">
                  <c:v>7.7</c:v>
                </c:pt>
                <c:pt idx="17">
                  <c:v>8.1</c:v>
                </c:pt>
                <c:pt idx="18">
                  <c:v>7.8</c:v>
                </c:pt>
                <c:pt idx="19">
                  <c:v>8</c:v>
                </c:pt>
              </c:numCache>
            </c:numRef>
          </c:val>
          <c:smooth val="0"/>
          <c:extLst>
            <c:ext xmlns:c16="http://schemas.microsoft.com/office/drawing/2014/chart" uri="{C3380CC4-5D6E-409C-BE32-E72D297353CC}">
              <c16:uniqueId val="{00000000-8AFF-4BEE-978D-08BC6739FEDA}"/>
            </c:ext>
          </c:extLst>
        </c:ser>
        <c:dLbls>
          <c:showLegendKey val="0"/>
          <c:showVal val="0"/>
          <c:showCatName val="0"/>
          <c:showSerName val="0"/>
          <c:showPercent val="0"/>
          <c:showBubbleSize val="0"/>
        </c:dLbls>
        <c:marker val="1"/>
        <c:smooth val="0"/>
        <c:axId val="1381286656"/>
        <c:axId val="1324982864"/>
      </c:lineChart>
      <c:lineChart>
        <c:grouping val="standard"/>
        <c:varyColors val="0"/>
        <c:ser>
          <c:idx val="0"/>
          <c:order val="1"/>
          <c:tx>
            <c:strRef>
              <c:f>Hoja2!$R$6</c:f>
              <c:strCache>
                <c:ptCount val="1"/>
                <c:pt idx="0">
                  <c:v>Energy (C3)</c:v>
                </c:pt>
              </c:strCache>
            </c:strRef>
          </c:tx>
          <c:spPr>
            <a:ln w="28575" cap="rnd">
              <a:solidFill>
                <a:srgbClr val="008000"/>
              </a:solidFill>
              <a:round/>
            </a:ln>
            <a:effectLst/>
          </c:spPr>
          <c:marker>
            <c:symbol val="circle"/>
            <c:size val="5"/>
            <c:spPr>
              <a:solidFill>
                <a:srgbClr val="008000"/>
              </a:solidFill>
              <a:ln w="9525">
                <a:solidFill>
                  <a:schemeClr val="accent1"/>
                </a:solidFill>
              </a:ln>
              <a:effectLst/>
            </c:spPr>
          </c:marker>
          <c:dLbls>
            <c:dLbl>
              <c:idx val="18"/>
              <c:layout>
                <c:manualLayout>
                  <c:x val="-0.14525011652715186"/>
                  <c:y val="-8.59621950941861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FF-4BEE-978D-08BC6739FE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Hoja2!$R$7:$R$26</c:f>
              <c:numCache>
                <c:formatCode>0.0000</c:formatCode>
                <c:ptCount val="20"/>
                <c:pt idx="0">
                  <c:v>0.43859999999999999</c:v>
                </c:pt>
                <c:pt idx="1">
                  <c:v>0.43159999999999998</c:v>
                </c:pt>
                <c:pt idx="2">
                  <c:v>0.45680000000000004</c:v>
                </c:pt>
                <c:pt idx="3">
                  <c:v>0.4612</c:v>
                </c:pt>
                <c:pt idx="4">
                  <c:v>0.44840000000000002</c:v>
                </c:pt>
                <c:pt idx="5">
                  <c:v>0.45300000000000001</c:v>
                </c:pt>
                <c:pt idx="6">
                  <c:v>0.83660000000000001</c:v>
                </c:pt>
                <c:pt idx="7">
                  <c:v>0.83689999999999998</c:v>
                </c:pt>
                <c:pt idx="8">
                  <c:v>0.84099999999999997</c:v>
                </c:pt>
                <c:pt idx="9">
                  <c:v>0.83499999999999996</c:v>
                </c:pt>
                <c:pt idx="10">
                  <c:v>0.84099999999999997</c:v>
                </c:pt>
                <c:pt idx="11">
                  <c:v>0.84299999999999997</c:v>
                </c:pt>
                <c:pt idx="12">
                  <c:v>0.83899999999999997</c:v>
                </c:pt>
                <c:pt idx="13">
                  <c:v>0.84199999999999997</c:v>
                </c:pt>
                <c:pt idx="14">
                  <c:v>0.83899999999999997</c:v>
                </c:pt>
                <c:pt idx="15">
                  <c:v>0.83699999999999997</c:v>
                </c:pt>
                <c:pt idx="16">
                  <c:v>0.83699999999999997</c:v>
                </c:pt>
                <c:pt idx="17">
                  <c:v>0.84599999999999997</c:v>
                </c:pt>
                <c:pt idx="18">
                  <c:v>0.84099999999999997</c:v>
                </c:pt>
                <c:pt idx="19">
                  <c:v>0.83399999999999996</c:v>
                </c:pt>
              </c:numCache>
            </c:numRef>
          </c:val>
          <c:smooth val="0"/>
          <c:extLst>
            <c:ext xmlns:c16="http://schemas.microsoft.com/office/drawing/2014/chart" uri="{C3380CC4-5D6E-409C-BE32-E72D297353CC}">
              <c16:uniqueId val="{00000002-8AFF-4BEE-978D-08BC6739FEDA}"/>
            </c:ext>
          </c:extLst>
        </c:ser>
        <c:ser>
          <c:idx val="1"/>
          <c:order val="2"/>
          <c:tx>
            <c:strRef>
              <c:f>Hoja2!$R$63</c:f>
              <c:strCache>
                <c:ptCount val="1"/>
                <c:pt idx="0">
                  <c:v>Energy (C. control 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8"/>
              <c:layout>
                <c:manualLayout>
                  <c:x val="-3.8223714875566354E-2"/>
                  <c:y val="0.1836465077012158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AFF-4BEE-978D-08BC6739FED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Hoja2!$R$64:$R$83</c:f>
              <c:numCache>
                <c:formatCode>0.0000</c:formatCode>
                <c:ptCount val="20"/>
                <c:pt idx="0">
                  <c:v>0.65960000000000008</c:v>
                </c:pt>
                <c:pt idx="1">
                  <c:v>0.52900000000000003</c:v>
                </c:pt>
                <c:pt idx="2">
                  <c:v>0.66380000000000006</c:v>
                </c:pt>
                <c:pt idx="3">
                  <c:v>0.57459999999999989</c:v>
                </c:pt>
                <c:pt idx="4">
                  <c:v>0.63740000000000008</c:v>
                </c:pt>
                <c:pt idx="5">
                  <c:v>0.68</c:v>
                </c:pt>
                <c:pt idx="6">
                  <c:v>0.74760000000000004</c:v>
                </c:pt>
                <c:pt idx="7">
                  <c:v>0.72939999999999994</c:v>
                </c:pt>
                <c:pt idx="8">
                  <c:v>0.73599999999999999</c:v>
                </c:pt>
                <c:pt idx="9">
                  <c:v>0.71299999999999997</c:v>
                </c:pt>
                <c:pt idx="10">
                  <c:v>0.73499999999999999</c:v>
                </c:pt>
                <c:pt idx="11">
                  <c:v>0.71</c:v>
                </c:pt>
                <c:pt idx="12">
                  <c:v>0.80400000000000005</c:v>
                </c:pt>
                <c:pt idx="13">
                  <c:v>0.745</c:v>
                </c:pt>
                <c:pt idx="14">
                  <c:v>0.74</c:v>
                </c:pt>
                <c:pt idx="15">
                  <c:v>0.75</c:v>
                </c:pt>
                <c:pt idx="16">
                  <c:v>0.75700000000000001</c:v>
                </c:pt>
                <c:pt idx="17">
                  <c:v>0.753</c:v>
                </c:pt>
                <c:pt idx="18">
                  <c:v>0.751</c:v>
                </c:pt>
                <c:pt idx="19">
                  <c:v>0.71699999999999997</c:v>
                </c:pt>
              </c:numCache>
            </c:numRef>
          </c:val>
          <c:smooth val="0"/>
          <c:extLst>
            <c:ext xmlns:c16="http://schemas.microsoft.com/office/drawing/2014/chart" uri="{C3380CC4-5D6E-409C-BE32-E72D297353CC}">
              <c16:uniqueId val="{00000004-8AFF-4BEE-978D-08BC6739FEDA}"/>
            </c:ext>
          </c:extLst>
        </c:ser>
        <c:dLbls>
          <c:showLegendKey val="0"/>
          <c:showVal val="0"/>
          <c:showCatName val="0"/>
          <c:showSerName val="0"/>
          <c:showPercent val="0"/>
          <c:showBubbleSize val="0"/>
        </c:dLbls>
        <c:marker val="1"/>
        <c:smooth val="0"/>
        <c:axId val="1323705872"/>
        <c:axId val="1323726256"/>
      </c:lineChart>
      <c:catAx>
        <c:axId val="1381286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24982864"/>
        <c:crosses val="autoZero"/>
        <c:auto val="1"/>
        <c:lblAlgn val="ctr"/>
        <c:lblOffset val="100"/>
        <c:noMultiLvlLbl val="0"/>
      </c:catAx>
      <c:valAx>
        <c:axId val="1324982864"/>
        <c:scaling>
          <c:orientation val="minMax"/>
          <c:min val="6.9"/>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pH</a:t>
                </a:r>
              </a:p>
            </c:rich>
          </c:tx>
          <c:layout>
            <c:manualLayout>
              <c:xMode val="edge"/>
              <c:yMode val="edge"/>
              <c:x val="1.4949776989350344E-2"/>
              <c:y val="0.309756401706279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81286656"/>
        <c:crosses val="autoZero"/>
        <c:crossBetween val="between"/>
      </c:valAx>
      <c:valAx>
        <c:axId val="132372625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Voltage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323705872"/>
        <c:crosses val="max"/>
        <c:crossBetween val="between"/>
      </c:valAx>
      <c:catAx>
        <c:axId val="1323705872"/>
        <c:scaling>
          <c:orientation val="minMax"/>
        </c:scaling>
        <c:delete val="1"/>
        <c:axPos val="b"/>
        <c:numFmt formatCode="General" sourceLinked="1"/>
        <c:majorTickMark val="out"/>
        <c:minorTickMark val="none"/>
        <c:tickLblPos val="nextTo"/>
        <c:crossAx val="1323726256"/>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20435500574992"/>
          <c:y val="0.19090670695340803"/>
          <c:w val="0.69842125984251968"/>
          <c:h val="0.6199164096530374"/>
        </c:manualLayout>
      </c:layout>
      <c:lineChart>
        <c:grouping val="standard"/>
        <c:varyColors val="0"/>
        <c:ser>
          <c:idx val="2"/>
          <c:order val="1"/>
          <c:tx>
            <c:strRef>
              <c:f>Hoja2!$S$34</c:f>
              <c:strCache>
                <c:ptCount val="1"/>
                <c:pt idx="0">
                  <c:v>pH</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Hoja2!$S$35:$S$54</c:f>
              <c:numCache>
                <c:formatCode>General</c:formatCode>
                <c:ptCount val="20"/>
                <c:pt idx="0">
                  <c:v>7.3</c:v>
                </c:pt>
                <c:pt idx="1">
                  <c:v>7.4</c:v>
                </c:pt>
                <c:pt idx="2">
                  <c:v>7.5</c:v>
                </c:pt>
                <c:pt idx="3" formatCode="0.0">
                  <c:v>7.4</c:v>
                </c:pt>
                <c:pt idx="4" formatCode="0.0">
                  <c:v>7.7</c:v>
                </c:pt>
                <c:pt idx="5">
                  <c:v>7.6</c:v>
                </c:pt>
                <c:pt idx="6">
                  <c:v>7.8</c:v>
                </c:pt>
                <c:pt idx="7">
                  <c:v>7.7</c:v>
                </c:pt>
                <c:pt idx="8">
                  <c:v>7.6</c:v>
                </c:pt>
                <c:pt idx="9">
                  <c:v>7.7</c:v>
                </c:pt>
                <c:pt idx="10">
                  <c:v>7.8</c:v>
                </c:pt>
                <c:pt idx="11">
                  <c:v>7.7</c:v>
                </c:pt>
                <c:pt idx="12">
                  <c:v>7.8</c:v>
                </c:pt>
                <c:pt idx="13">
                  <c:v>7.8</c:v>
                </c:pt>
                <c:pt idx="14">
                  <c:v>7.9</c:v>
                </c:pt>
                <c:pt idx="15">
                  <c:v>7.8</c:v>
                </c:pt>
                <c:pt idx="16">
                  <c:v>7.9</c:v>
                </c:pt>
                <c:pt idx="17">
                  <c:v>7.8</c:v>
                </c:pt>
                <c:pt idx="18">
                  <c:v>7.9</c:v>
                </c:pt>
                <c:pt idx="19">
                  <c:v>7.9</c:v>
                </c:pt>
              </c:numCache>
            </c:numRef>
          </c:val>
          <c:smooth val="0"/>
          <c:extLst>
            <c:ext xmlns:c16="http://schemas.microsoft.com/office/drawing/2014/chart" uri="{C3380CC4-5D6E-409C-BE32-E72D297353CC}">
              <c16:uniqueId val="{00000000-6DC4-4FBE-95CB-0CF348607B5D}"/>
            </c:ext>
          </c:extLst>
        </c:ser>
        <c:dLbls>
          <c:showLegendKey val="0"/>
          <c:showVal val="0"/>
          <c:showCatName val="0"/>
          <c:showSerName val="0"/>
          <c:showPercent val="0"/>
          <c:showBubbleSize val="0"/>
        </c:dLbls>
        <c:marker val="1"/>
        <c:smooth val="0"/>
        <c:axId val="1489273072"/>
        <c:axId val="1489277232"/>
      </c:lineChart>
      <c:lineChart>
        <c:grouping val="standard"/>
        <c:varyColors val="0"/>
        <c:ser>
          <c:idx val="0"/>
          <c:order val="0"/>
          <c:tx>
            <c:strRef>
              <c:f>Hoja2!$R$34</c:f>
              <c:strCache>
                <c:ptCount val="1"/>
                <c:pt idx="0">
                  <c:v>Energy (C4)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17"/>
              <c:layout>
                <c:manualLayout>
                  <c:x val="-0.14166666666666655"/>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DC4-4FBE-95CB-0CF348607B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Hoja2!$P$64:$P$83</c:f>
              <c:numCache>
                <c:formatCode>General</c:formatCode>
                <c:ptCount val="20"/>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numCache>
            </c:numRef>
          </c:cat>
          <c:val>
            <c:numRef>
              <c:f>Hoja2!$R$35:$R$54</c:f>
              <c:numCache>
                <c:formatCode>0.0000</c:formatCode>
                <c:ptCount val="20"/>
                <c:pt idx="0">
                  <c:v>0.6077999999999999</c:v>
                </c:pt>
                <c:pt idx="1">
                  <c:v>0.75</c:v>
                </c:pt>
                <c:pt idx="2">
                  <c:v>0.89060000000000006</c:v>
                </c:pt>
                <c:pt idx="3">
                  <c:v>0.83539999999999992</c:v>
                </c:pt>
                <c:pt idx="4">
                  <c:v>0.83539999999999992</c:v>
                </c:pt>
                <c:pt idx="5">
                  <c:v>0.85619999999999996</c:v>
                </c:pt>
                <c:pt idx="6">
                  <c:v>0.89260000000000006</c:v>
                </c:pt>
                <c:pt idx="7">
                  <c:v>0.88719999999999999</c:v>
                </c:pt>
                <c:pt idx="8">
                  <c:v>0.90300000000000002</c:v>
                </c:pt>
                <c:pt idx="9">
                  <c:v>0.89800000000000002</c:v>
                </c:pt>
                <c:pt idx="10">
                  <c:v>0.89500000000000002</c:v>
                </c:pt>
                <c:pt idx="11">
                  <c:v>0.89600000000000002</c:v>
                </c:pt>
                <c:pt idx="12">
                  <c:v>0.89300000000000002</c:v>
                </c:pt>
                <c:pt idx="13">
                  <c:v>0.89600000000000002</c:v>
                </c:pt>
                <c:pt idx="14">
                  <c:v>0.83</c:v>
                </c:pt>
                <c:pt idx="15">
                  <c:v>0.82699999999999996</c:v>
                </c:pt>
                <c:pt idx="16">
                  <c:v>0.82799999999999996</c:v>
                </c:pt>
                <c:pt idx="17">
                  <c:v>0.89600000000000002</c:v>
                </c:pt>
                <c:pt idx="18">
                  <c:v>0.83199999999999996</c:v>
                </c:pt>
                <c:pt idx="19">
                  <c:v>0.84399999999999997</c:v>
                </c:pt>
              </c:numCache>
            </c:numRef>
          </c:val>
          <c:smooth val="0"/>
          <c:extLst>
            <c:ext xmlns:c16="http://schemas.microsoft.com/office/drawing/2014/chart" uri="{C3380CC4-5D6E-409C-BE32-E72D297353CC}">
              <c16:uniqueId val="{00000002-6DC4-4FBE-95CB-0CF348607B5D}"/>
            </c:ext>
          </c:extLst>
        </c:ser>
        <c:ser>
          <c:idx val="1"/>
          <c:order val="2"/>
          <c:tx>
            <c:strRef>
              <c:f>Hoja2!$R$63</c:f>
              <c:strCache>
                <c:ptCount val="1"/>
                <c:pt idx="0">
                  <c:v>Energy (C. control 6)</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16"/>
              <c:layout>
                <c:manualLayout>
                  <c:x val="-0.14722222222222223"/>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DC4-4FBE-95CB-0CF348607B5D}"/>
                </c:ext>
              </c:extLst>
            </c:dLbl>
            <c:dLbl>
              <c:idx val="17"/>
              <c:layout>
                <c:manualLayout>
                  <c:x val="-1.3888888888888788E-2"/>
                  <c:y val="-0.19444444444444445"/>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DC4-4FBE-95CB-0CF348607B5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PE"/>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Hoja2!$R$64:$R$83</c:f>
              <c:numCache>
                <c:formatCode>0.0000</c:formatCode>
                <c:ptCount val="20"/>
                <c:pt idx="0">
                  <c:v>0.65960000000000008</c:v>
                </c:pt>
                <c:pt idx="1">
                  <c:v>0.52900000000000003</c:v>
                </c:pt>
                <c:pt idx="2">
                  <c:v>0.66380000000000006</c:v>
                </c:pt>
                <c:pt idx="3">
                  <c:v>0.57459999999999989</c:v>
                </c:pt>
                <c:pt idx="4">
                  <c:v>0.63740000000000008</c:v>
                </c:pt>
                <c:pt idx="5">
                  <c:v>0.68</c:v>
                </c:pt>
                <c:pt idx="6">
                  <c:v>0.74760000000000004</c:v>
                </c:pt>
                <c:pt idx="7">
                  <c:v>0.72939999999999994</c:v>
                </c:pt>
                <c:pt idx="8">
                  <c:v>0.73599999999999999</c:v>
                </c:pt>
                <c:pt idx="9">
                  <c:v>0.71299999999999997</c:v>
                </c:pt>
                <c:pt idx="10">
                  <c:v>0.73499999999999999</c:v>
                </c:pt>
                <c:pt idx="11">
                  <c:v>0.71</c:v>
                </c:pt>
                <c:pt idx="12">
                  <c:v>0.80400000000000005</c:v>
                </c:pt>
                <c:pt idx="13">
                  <c:v>0.745</c:v>
                </c:pt>
                <c:pt idx="14">
                  <c:v>0.74</c:v>
                </c:pt>
                <c:pt idx="15">
                  <c:v>0.75</c:v>
                </c:pt>
                <c:pt idx="16">
                  <c:v>0.75700000000000001</c:v>
                </c:pt>
                <c:pt idx="17">
                  <c:v>0.753</c:v>
                </c:pt>
                <c:pt idx="18">
                  <c:v>0.751</c:v>
                </c:pt>
                <c:pt idx="19">
                  <c:v>0.71699999999999997</c:v>
                </c:pt>
              </c:numCache>
            </c:numRef>
          </c:val>
          <c:smooth val="0"/>
          <c:extLst>
            <c:ext xmlns:c16="http://schemas.microsoft.com/office/drawing/2014/chart" uri="{C3380CC4-5D6E-409C-BE32-E72D297353CC}">
              <c16:uniqueId val="{00000005-6DC4-4FBE-95CB-0CF348607B5D}"/>
            </c:ext>
          </c:extLst>
        </c:ser>
        <c:dLbls>
          <c:showLegendKey val="0"/>
          <c:showVal val="0"/>
          <c:showCatName val="0"/>
          <c:showSerName val="0"/>
          <c:showPercent val="0"/>
          <c:showBubbleSize val="0"/>
        </c:dLbls>
        <c:marker val="1"/>
        <c:smooth val="0"/>
        <c:axId val="1481391136"/>
        <c:axId val="1481393632"/>
      </c:lineChart>
      <c:catAx>
        <c:axId val="14892730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Time (Days)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89277232"/>
        <c:crosses val="autoZero"/>
        <c:auto val="1"/>
        <c:lblAlgn val="ctr"/>
        <c:lblOffset val="100"/>
        <c:noMultiLvlLbl val="0"/>
      </c:catAx>
      <c:valAx>
        <c:axId val="1489277232"/>
        <c:scaling>
          <c:orientation val="minMax"/>
          <c:min val="7.2"/>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pH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89273072"/>
        <c:crosses val="autoZero"/>
        <c:crossBetween val="between"/>
      </c:valAx>
      <c:valAx>
        <c:axId val="1481393632"/>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PE"/>
                  <a:t>Voltage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PE"/>
            </a:p>
          </c:txPr>
        </c:title>
        <c:numFmt formatCode="0.0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crossAx val="1481391136"/>
        <c:crosses val="max"/>
        <c:crossBetween val="between"/>
      </c:valAx>
      <c:catAx>
        <c:axId val="1481391136"/>
        <c:scaling>
          <c:orientation val="minMax"/>
        </c:scaling>
        <c:delete val="1"/>
        <c:axPos val="b"/>
        <c:numFmt formatCode="General" sourceLinked="1"/>
        <c:majorTickMark val="out"/>
        <c:minorTickMark val="none"/>
        <c:tickLblPos val="nextTo"/>
        <c:crossAx val="1481393632"/>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PE"/>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P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69C77-0CF0-4981-A253-EEAF600C3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1</Pages>
  <Words>2571</Words>
  <Characters>14143</Characters>
  <Application>Microsoft Office Word</Application>
  <DocSecurity>0</DocSecurity>
  <Lines>117</Lines>
  <Paragraphs>33</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user</cp:lastModifiedBy>
  <cp:revision>18</cp:revision>
  <cp:lastPrinted>2015-05-12T18:31:00Z</cp:lastPrinted>
  <dcterms:created xsi:type="dcterms:W3CDTF">2022-02-06T17:57:00Z</dcterms:created>
  <dcterms:modified xsi:type="dcterms:W3CDTF">2022-03-31T15:04:00Z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id="OeYesGRQ"/&gt;&lt;style id="http://www.zotero.org/styles/elsevier-harvard" hasBibliography="1" bibliographyStyleHasBeenSet="1"/&gt;&lt;prefs&gt;&lt;pref name="fieldType" value="Field"/&gt;&lt;pref name="storeReference</vt:lpwstr>
  </property>
  <property fmtid="{D5CDD505-2E9C-101B-9397-08002B2CF9AE}" pid="3" name="ZOTERO_PREF_2">
    <vt:lpwstr>s" value="true"/&gt;&lt;/prefs&gt;&lt;/data&gt;</vt:lpwstr>
  </property>
</Properties>
</file>