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0103D4B4" w14:textId="3C0005EC" w:rsidR="007174F7" w:rsidRPr="00C9653B" w:rsidRDefault="007174F7" w:rsidP="0058478B">
      <w:pPr>
        <w:pStyle w:val="CETTitle"/>
      </w:pPr>
      <w:r w:rsidRPr="0058478B">
        <w:t xml:space="preserve">Optimization of Volatile Fatty Acids </w:t>
      </w:r>
      <w:r w:rsidR="008152F4">
        <w:t>P</w:t>
      </w:r>
      <w:r w:rsidRPr="0058478B">
        <w:t xml:space="preserve">roduction for </w:t>
      </w:r>
      <w:r w:rsidR="005E66A1">
        <w:t>PHAs</w:t>
      </w:r>
      <w:r w:rsidRPr="0058478B">
        <w:t xml:space="preserve"> </w:t>
      </w:r>
      <w:r w:rsidR="008152F4">
        <w:t>S</w:t>
      </w:r>
      <w:r w:rsidRPr="00C9653B">
        <w:t xml:space="preserve">ynthesis from </w:t>
      </w:r>
      <w:r w:rsidR="00610497">
        <w:t>F</w:t>
      </w:r>
      <w:r w:rsidRPr="00C9653B">
        <w:t xml:space="preserve">ood </w:t>
      </w:r>
      <w:r w:rsidR="00610497">
        <w:t>W</w:t>
      </w:r>
      <w:r w:rsidRPr="00C9653B">
        <w:t>astes</w:t>
      </w:r>
    </w:p>
    <w:p w14:paraId="0488FED2" w14:textId="39075C90" w:rsidR="00B57E6F" w:rsidRPr="005102D4" w:rsidRDefault="00AE01EA" w:rsidP="007174F7">
      <w:pPr>
        <w:pStyle w:val="CETAuthors"/>
        <w:rPr>
          <w:lang w:val="it-IT"/>
        </w:rPr>
      </w:pPr>
      <w:r w:rsidRPr="005102D4">
        <w:rPr>
          <w:lang w:val="it-IT"/>
        </w:rPr>
        <w:t>Fabio Rizzioli</w:t>
      </w:r>
      <w:r w:rsidR="00F45123">
        <w:rPr>
          <w:lang w:val="it-IT"/>
        </w:rPr>
        <w:t>*</w:t>
      </w:r>
      <w:r w:rsidR="00F53322" w:rsidRPr="005102D4">
        <w:rPr>
          <w:lang w:val="it-IT"/>
        </w:rPr>
        <w:t>, Nicola Frison, David Bolzonella, Federico Battista</w:t>
      </w:r>
    </w:p>
    <w:p w14:paraId="6B2D21B3" w14:textId="49985F80" w:rsidR="00B57E6F" w:rsidRPr="00500774" w:rsidRDefault="00C10B39" w:rsidP="00B57E6F">
      <w:pPr>
        <w:pStyle w:val="CETAddress"/>
        <w:rPr>
          <w:lang w:val="en-US"/>
        </w:rPr>
      </w:pPr>
      <w:r w:rsidRPr="00500774">
        <w:rPr>
          <w:lang w:val="en-US"/>
        </w:rPr>
        <w:t xml:space="preserve">Department of </w:t>
      </w:r>
      <w:r w:rsidR="00AC0E96">
        <w:rPr>
          <w:lang w:val="en-US"/>
        </w:rPr>
        <w:t>B</w:t>
      </w:r>
      <w:r w:rsidRPr="00500774">
        <w:rPr>
          <w:lang w:val="en-US"/>
        </w:rPr>
        <w:t>iotechnology, University of Verona, Via Strada le Grazie 15, 37134 Verona (Italy)</w:t>
      </w:r>
    </w:p>
    <w:p w14:paraId="73F1267A" w14:textId="6A76DC52" w:rsidR="00B57E6F" w:rsidRPr="006B32A5" w:rsidRDefault="00F45123" w:rsidP="00B57E6F">
      <w:pPr>
        <w:pStyle w:val="CETemail"/>
        <w:rPr>
          <w:lang w:val="fr-FR"/>
        </w:rPr>
      </w:pPr>
      <w:r>
        <w:rPr>
          <w:lang w:val="fr-FR"/>
        </w:rPr>
        <w:t>fabio.rizzioli</w:t>
      </w:r>
      <w:r w:rsidR="008C73CD">
        <w:rPr>
          <w:lang w:val="fr-FR"/>
        </w:rPr>
        <w:t>@univr.it</w:t>
      </w:r>
    </w:p>
    <w:p w14:paraId="37A61FCE" w14:textId="7F323950" w:rsidR="00DA24C6" w:rsidRPr="00080E47" w:rsidRDefault="00080E47" w:rsidP="00D173B9">
      <w:pPr>
        <w:pStyle w:val="CETBodytext"/>
      </w:pPr>
      <w:r w:rsidRPr="00080E47">
        <w:t>Food wastage is an ethical and environmental wrong practice. Considering a circular economy optic, food waste is a carbon rich substrate, suited for anaerobic fermentation to produce not only biogas, but also high-value chemical compounds, such as Volatile Fatty Acids (</w:t>
      </w:r>
      <w:r w:rsidR="00136E57">
        <w:t>VFAs</w:t>
      </w:r>
      <w:r w:rsidRPr="00080E47">
        <w:t xml:space="preserve">), that can be recovered </w:t>
      </w:r>
      <w:proofErr w:type="gramStart"/>
      <w:r w:rsidRPr="00080E47">
        <w:t>in order to</w:t>
      </w:r>
      <w:proofErr w:type="gramEnd"/>
      <w:r w:rsidRPr="00080E47">
        <w:t xml:space="preserve"> synthetize </w:t>
      </w:r>
      <w:proofErr w:type="spellStart"/>
      <w:r w:rsidRPr="00080E47">
        <w:t>polyhydroxyalkanoates</w:t>
      </w:r>
      <w:proofErr w:type="spellEnd"/>
      <w:r w:rsidRPr="00080E47">
        <w:t xml:space="preserve"> (</w:t>
      </w:r>
      <w:r w:rsidR="005E66A1">
        <w:t>PHAs</w:t>
      </w:r>
      <w:r w:rsidRPr="00080E47">
        <w:t xml:space="preserve">). This work represented a step in a larger biorefinery process for food waste treatment, having the aim to explore the production and the profile of </w:t>
      </w:r>
      <w:r w:rsidR="00B80902">
        <w:t>VFAs</w:t>
      </w:r>
      <w:r w:rsidRPr="00080E47">
        <w:t xml:space="preserve"> from of three different food waste substrates: Stillage, Condensate and Spent Coffee Ground. The substrates were considered at three different pH conditions (uncontrolled, 7, 12), anaerobically digested in batch reactors for </w:t>
      </w:r>
      <w:r w:rsidR="00136E57">
        <w:t>VFAs</w:t>
      </w:r>
      <w:r w:rsidRPr="00080E47">
        <w:t xml:space="preserve"> accumulation. The best </w:t>
      </w:r>
      <w:r w:rsidR="00B80902">
        <w:t>VFAs</w:t>
      </w:r>
      <w:r w:rsidRPr="00080E47">
        <w:t xml:space="preserve"> yields belonged to pH 7 tests for all the substrates. The best one on terms of </w:t>
      </w:r>
      <w:r w:rsidR="00B80902">
        <w:t>VFAs</w:t>
      </w:r>
      <w:r w:rsidRPr="00080E47">
        <w:t xml:space="preserve"> productivity was Food Stillage with 36.17 </w:t>
      </w:r>
      <w:proofErr w:type="spellStart"/>
      <w:r w:rsidRPr="00080E47">
        <w:t>g</w:t>
      </w:r>
      <w:r w:rsidR="00BA3470">
        <w:t>COD</w:t>
      </w:r>
      <w:proofErr w:type="spellEnd"/>
      <w:r w:rsidRPr="00080E47">
        <w:t xml:space="preserve">/L of </w:t>
      </w:r>
      <w:r w:rsidR="00B80902">
        <w:t>VFAs</w:t>
      </w:r>
      <w:r w:rsidRPr="00080E47">
        <w:t xml:space="preserve"> concentration, corresponding to a </w:t>
      </w:r>
      <w:r w:rsidR="00B80902">
        <w:t>VFAs</w:t>
      </w:r>
      <w:r w:rsidRPr="00080E47">
        <w:t xml:space="preserve"> yield of 49.48 % w/w.</w:t>
      </w:r>
    </w:p>
    <w:p w14:paraId="476B2F2E" w14:textId="28803796" w:rsidR="00600535" w:rsidRPr="005E1883" w:rsidRDefault="00600535" w:rsidP="005E1883">
      <w:pPr>
        <w:pStyle w:val="CETHeading1"/>
      </w:pPr>
      <w:r w:rsidRPr="005E1883">
        <w:t>Introduction</w:t>
      </w:r>
    </w:p>
    <w:p w14:paraId="7C452C03" w14:textId="7E216092" w:rsidR="001C0EFA" w:rsidRDefault="001C0EFA" w:rsidP="00D173B9">
      <w:pPr>
        <w:pStyle w:val="CETBodytext"/>
      </w:pPr>
      <w:r w:rsidRPr="005B1A2F">
        <w:t>A recent report from Food and Agriculture Organization (FAO) estimate</w:t>
      </w:r>
      <w:r>
        <w:t>s</w:t>
      </w:r>
      <w:r w:rsidRPr="005B1A2F">
        <w:t xml:space="preserve"> a global food wastage at around 1.3 billion tons per year</w:t>
      </w:r>
      <w:r w:rsidR="001D1E8F">
        <w:t xml:space="preserve"> </w:t>
      </w:r>
      <w:r>
        <w:fldChar w:fldCharType="begin" w:fldLock="1"/>
      </w:r>
      <w:r w:rsidR="00D173B9">
        <w:instrText>ADDIN CSL_CITATION {"citationItems":[{"id":"ITEM-1","itemData":{"author":[{"dropping-particle":"","family":"FAO","given":"","non-dropping-particle":"","parse-names":false,"suffix":""}],"id":"ITEM-1","issued":{"date-parts":[["2019"]]},"publisher-place":"Rome","title":"The State of Food and Agriculture 2019. Moving forward on food loss and waste reduction.","type":"report"},"uris":["http://www.mendeley.com/documents/?uuid=11970b28-4c52-491c-824b-5feeb6f6590c"]}],"mendeley":{"formattedCitation":"(FAO, 2019)","plainTextFormattedCitation":"(FAO, 2019)","previouslyFormattedCitation":"(FAO, 2019)"},"properties":{"noteIndex":0},"schema":"https://github.com/citation-style-language/schema/raw/master/csl-citation.json"}</w:instrText>
      </w:r>
      <w:r>
        <w:fldChar w:fldCharType="separate"/>
      </w:r>
      <w:r w:rsidR="00E13CD5" w:rsidRPr="00E13CD5">
        <w:rPr>
          <w:noProof/>
        </w:rPr>
        <w:t>(FAO, 2019)</w:t>
      </w:r>
      <w:r>
        <w:fldChar w:fldCharType="end"/>
      </w:r>
      <w:r w:rsidRPr="005B1A2F">
        <w:t>. In the European Union, 88 million tons of food waste</w:t>
      </w:r>
      <w:r>
        <w:t xml:space="preserve"> </w:t>
      </w:r>
      <w:r w:rsidRPr="005B1A2F">
        <w:t xml:space="preserve">are generated annually; more than half of them (47 million tons) derives from household, food service and retail. </w:t>
      </w:r>
      <w:r>
        <w:t>Considering 3 billion people cannot afford a healthy diet, f</w:t>
      </w:r>
      <w:r w:rsidRPr="005B1A2F">
        <w:t xml:space="preserve">ood wastage is </w:t>
      </w:r>
      <w:r>
        <w:t xml:space="preserve">an </w:t>
      </w:r>
      <w:r w:rsidRPr="005B1A2F">
        <w:t>ethically wrong practice</w:t>
      </w:r>
      <w:r>
        <w:t xml:space="preserve">. It </w:t>
      </w:r>
      <w:r w:rsidRPr="005B1A2F">
        <w:t>is also correlated to the depl</w:t>
      </w:r>
      <w:r>
        <w:t>etion</w:t>
      </w:r>
      <w:r w:rsidRPr="005B1A2F">
        <w:t xml:space="preserve"> of resources</w:t>
      </w:r>
      <w:r>
        <w:t xml:space="preserve"> and is responsible of 8-10 % of greenhouse gas emissions worldwide </w:t>
      </w:r>
      <w:r>
        <w:fldChar w:fldCharType="begin" w:fldLock="1"/>
      </w:r>
      <w:r w:rsidR="00D173B9">
        <w:instrText>ADDIN CSL_CITATION {"citationItems":[{"id":"ITEM-1","itemData":{"ISBN":"9789280738513","abstract":"Food waste reduction offers multi-faceted wins for people and planet, improving food security, addressing climate change, saving money and reducing pressures on land, water, biodiversity and waste management systems. Yet this potential has until now been woefully under-exploited. This potential may have been overlooked because the true scale of food waste and its impacts have not been well understood. Global estimates of food waste have relied on extrapolation of data from a small number of countries, often using old data. Few governments have robust data on food waste to make the case to act and prioritize their efforts. Sustainable Development Goal 12.3 (SDG 12.3) captures a commitment to halve food waste at the retail and consumer level and to reduce food loss across supply chains. This Food Waste Index Report aims to advance progress on SDG 12.3 in two ways: • Firstly, it presents the most comprehensive food waste data collection, analysis and modelling to date, generating a new estimate of global food waste. Country-level food waste estimates have been calculated, and while confidence intervals for estimates vary by region and by sector, they offer new insight into the scale of the problem and into the substantial prevention potential in low-, middle- and high-income countries. • Secondly, this report publishes a methodology for countries to measure food waste, at household, food service and retail level, in order to track national progress towards 2030 and to report on SDG 12.3. Countries using this methodology will generate strong evidence to guide a national strategy on food waste prevention, food waste estimates that are sufficiently sensitive to pick up changes in food waste over two- or four-year intervals, and that enables meaningful comparisons among countries globally. In complement to the Food Loss Index, developed by the Food and Agriculture Organization of the United Nations (FAO), the Food Waste Index covers the later stages of food’s journey – food waste – occurring at household, food service and retail level.","author":[{"dropping-particle":"","family":"FAO","given":"","non-dropping-particle":"","parse-names":false,"suffix":""}],"container-title":"Unep","id":"ITEM-1","issued":{"date-parts":[["2021"]]},"number-of-pages":"3-99","title":"Food Waste Index Report 2021","type":"book"},"uris":["http://www.mendeley.com/documents/?uuid=9770391b-93ac-45da-97f3-bbc48c4724db"]}],"mendeley":{"formattedCitation":"(FAO, 2021)","plainTextFormattedCitation":"(FAO, 2021)","previouslyFormattedCitation":"(FAO, 2021)"},"properties":{"noteIndex":0},"schema":"https://github.com/citation-style-language/schema/raw/master/csl-citation.json"}</w:instrText>
      </w:r>
      <w:r>
        <w:fldChar w:fldCharType="separate"/>
      </w:r>
      <w:r w:rsidR="00E13CD5" w:rsidRPr="00E13CD5">
        <w:rPr>
          <w:noProof/>
        </w:rPr>
        <w:t>(FAO, 2021)</w:t>
      </w:r>
      <w:r>
        <w:fldChar w:fldCharType="end"/>
      </w:r>
      <w:r w:rsidRPr="005B1A2F">
        <w:t xml:space="preserve">. </w:t>
      </w:r>
      <w:r>
        <w:t>For these reasons</w:t>
      </w:r>
      <w:r w:rsidRPr="005B1A2F">
        <w:t xml:space="preserve">, the </w:t>
      </w:r>
      <w:r>
        <w:t>valorization</w:t>
      </w:r>
      <w:r w:rsidRPr="005B1A2F">
        <w:t xml:space="preserve"> of food waste</w:t>
      </w:r>
      <w:r>
        <w:t xml:space="preserve"> </w:t>
      </w:r>
      <w:r w:rsidRPr="005B1A2F">
        <w:t>into</w:t>
      </w:r>
      <w:r>
        <w:t xml:space="preserve"> </w:t>
      </w:r>
      <w:r w:rsidRPr="005B1A2F">
        <w:t>biomaterials</w:t>
      </w:r>
      <w:r>
        <w:t xml:space="preserve"> and biofuels </w:t>
      </w:r>
      <w:r w:rsidRPr="005B1A2F">
        <w:t xml:space="preserve">is becoming one of the main priorities of the new environmental policies promoted by the European Commission </w:t>
      </w:r>
      <w:r>
        <w:fldChar w:fldCharType="begin" w:fldLock="1"/>
      </w:r>
      <w:r w:rsidR="00E22620">
        <w:instrText>ADDIN CSL_CITATION {"citationItems":[{"id":"ITEM-1","itemData":{"DOI":"10.1016/j.renene.2020.05.113","ISSN":"18790682","abstract":"Six million tons of Coffee Spent Grounds (SCG) are produced every year all around the world. Their physical and chemical characterization, rich in high value molecules and organic compounds, make SCG ideal for the recovery of bioactive molecules and bioenergy production according to the “cascade biorefinery approach”. This work investigates the effects of the implementation of sequential processes for the recovery of the coffee oil, rich in valuable molecules, and the productions of bioethanol and biogas from SCG. The use of a 50:50 (v/v) ethanol-iso-propanol mixture allowed a coffee oil recovery of about 16% w/w. In particular, the extracted coffee oil was rich in tocopherols (about 15 mg/100 g SCG). On the other hand, n-hexane showed a lower performance in terms of coffee oil extraction (10% w/w) but allowed for the extraction of different molecules: linoleic and palmitic acids (38% and 34% w/w of the coffee oil, respectively) and of Cafestol (383 mg/100g SCG) and Kahweol (194 mg/100g SCG). The extracted SCG underwent to an acid-enzymatic hydrolysis process followed by a solid/liquid separation. The liquid fraction was then used for the bioethanol production which reached the final concentration of 50 g/L, while the solid fraction was used for biogas production by Anaerobic Digestion. The final methane yield resulted in a production of about 250 NLCH4/kgVS. A complete train of operations, composing a biorefinery approach, can be therefore adopted to fully valorise this particular organic waste.","author":[{"dropping-particle":"","family":"Battista","given":"Federico","non-dropping-particle":"","parse-names":false,"suffix":""},{"dropping-particle":"","family":"Zanzoni","given":"Serena","non-dropping-particle":"","parse-names":false,"suffix":""},{"dropping-particle":"","family":"Strazzera","given":"Giuseppe","non-dropping-particle":"","parse-names":false,"suffix":""},{"dropping-particle":"","family":"Andreolli","given":"Marco","non-dropping-particle":"","parse-names":false,"suffix":""},{"dropping-particle":"","family":"Bolzonella","given":"David","non-dropping-particle":"","parse-names":false,"suffix":""}],"container-title":"Renewable Energy","id":"ITEM-1","issued":{"date-parts":[["2020"]]},"page":"1203-1211","publisher":"Elsevier Ltd","title":"The cascade biorefinery approach for the valorization of the spent coffee grounds","type":"article-journal","volume":"157"},"uris":["http://www.mendeley.com/documents/?uuid=a8f811fd-0a54-45d3-85a5-fce741a7515b"]}],"mendeley":{"formattedCitation":"(Battista et al., 2020b)","plainTextFormattedCitation":"(Battista et al., 2020b)","previouslyFormattedCitation":"(Battista et al., 2020b)"},"properties":{"noteIndex":0},"schema":"https://github.com/citation-style-language/schema/raw/master/csl-citation.json"}</w:instrText>
      </w:r>
      <w:r>
        <w:fldChar w:fldCharType="separate"/>
      </w:r>
      <w:r w:rsidR="00FF1680" w:rsidRPr="00FF1680">
        <w:rPr>
          <w:noProof/>
        </w:rPr>
        <w:t>(Battista et al., 2020b)</w:t>
      </w:r>
      <w:r>
        <w:fldChar w:fldCharType="end"/>
      </w:r>
      <w:r w:rsidRPr="005B1A2F">
        <w:t xml:space="preserve">. </w:t>
      </w:r>
      <w:r>
        <w:t xml:space="preserve">Food waste represents a good substrate for anaerobic fermentation, due to the high content of simple carbon compounds, which can be easily converted into biofuels </w:t>
      </w:r>
      <w:r>
        <w:fldChar w:fldCharType="begin" w:fldLock="1"/>
      </w:r>
      <w:r w:rsidR="00E22620">
        <w:instrText>ADDIN CSL_CITATION {"citationItems":[{"id":"ITEM-1","itemData":{"DOI":"10.1016/j.biortech.2006.02.039","ISSN":"09608524","PMID":"16635571","abstract":"Food waste collected in the City of San Francisco, California, was characterized for its potential for use as a feedstock for anaerobic digestion processes. The daily and weekly variations of food waste composition over a two-month period were measured. The anaerobic digestibility and biogas and methane yields of the food waste were evaluated using batch anaerobic digestion tests performed at 50 °C. The daily average moisture content (MC) and the ratio of volatile solids to total solids (VS/TS) determined from a week-long sampling were 70% and 83%, respectively, while the weekly average MC and VS/TS were 74% and 87%, respectively. The nutrient content analysis showed that the food waste contained well balanced nutrients for anaerobic microorganisms. The methane yield was determined to be 348 and 435 mL/g VS, respectively, after 10 and 28 days of digestion. The average methane content of biogas was 73%. The average VS destruction was 81% at the end of the 28-day digestion test. The results of this study indicate that the food waste is a highly desirable substrate for anaerobic digesters with regards to its high biodegradability and methane yield. © 2006 Elsevier Ltd. All rights reserved.","author":[{"dropping-particle":"","family":"Zhang","given":"Ruihong","non-dropping-particle":"","parse-names":false,"suffix":""},{"dropping-particle":"","family":"El-Mashad","given":"Hamed M.","non-dropping-particle":"","parse-names":false,"suffix":""},{"dropping-particle":"","family":"Hartman","given":"Karl","non-dropping-particle":"","parse-names":false,"suffix":""},{"dropping-particle":"","family":"Wang","given":"Fengyu","non-dropping-particle":"","parse-names":false,"suffix":""},{"dropping-particle":"","family":"Liu","given":"Guangqing","non-dropping-particle":"","parse-names":false,"suffix":""},{"dropping-particle":"","family":"Choate","given":"Chris","non-dropping-particle":"","parse-names":false,"suffix":""},{"dropping-particle":"","family":"Gamble","given":"Paul","non-dropping-particle":"","parse-names":false,"suffix":""}],"container-title":"Bioresource Technology","id":"ITEM-1","issue":"4","issued":{"date-parts":[["2007"]]},"page":"929-935","title":"Characterization of food waste as feedstock for anaerobic digestion","type":"article-journal","volume":"98"},"uris":["http://www.mendeley.com/documents/?uuid=dde6a2dc-abb5-4290-85b8-a54372bb44f3"]}],"mendeley":{"formattedCitation":"(Zhang et al., 2007)","plainTextFormattedCitation":"(Zhang et al., 2007)","previouslyFormattedCitation":"(Zhang et al., 2007)"},"properties":{"noteIndex":0},"schema":"https://github.com/citation-style-language/schema/raw/master/csl-citation.json"}</w:instrText>
      </w:r>
      <w:r>
        <w:fldChar w:fldCharType="separate"/>
      </w:r>
      <w:r w:rsidR="00014750" w:rsidRPr="00FF1680">
        <w:rPr>
          <w:noProof/>
        </w:rPr>
        <w:t>(Zhang et al., 2007)</w:t>
      </w:r>
      <w:r>
        <w:fldChar w:fldCharType="end"/>
      </w:r>
      <w:r>
        <w:t xml:space="preserve">. In particular, in the last decades food waste was mainly adopted for biogas production by anaerobic digestion (AD) </w:t>
      </w:r>
      <w:r>
        <w:fldChar w:fldCharType="begin" w:fldLock="1"/>
      </w:r>
      <w:r w:rsidR="00E22620">
        <w:instrText>ADDIN CSL_CITATION {"citationItems":[{"id":"ITEM-1","itemData":{"DOI":"10.1016/j.biortech.2021.125915","ISSN":"18732976","PMID":"34523582","abstract":"Anaerobic digestion (AD) is a widely used technology to valorise food waste for biogas production yet a considerable amount of digestate remains under-utilised. Sustainable management and recycling of the nutrient-rich food waste anaerobic digestate (FWD) is highly desirable for closing resource loop and actualising circular economy. This work reviews the distinct properties of FWD and the existing treatment technologies. FWD shows great prospects as a nutrient source for microalgal cultivation and biofuel production. Emerging technologies such as thermal conversion (e.g., pyrolysis and hydrothermal treatment) of FWD into value-added products such as functionalised biochar/hydrochar with diverse applications would be attractive and warrant further research investigation. Integrated AD with subsequent valorisation facilities is highly encouraged to achieve complete utilisation of resources and reduce carbon emissions.","author":[{"dropping-particle":"","family":"Dutta","given":"Shanta","non-dropping-particle":"","parse-names":false,"suffix":""},{"dropping-particle":"","family":"He","given":"Mingjing","non-dropping-particle":"","parse-names":false,"suffix":""},{"dropping-particle":"","family":"Xiong","given":"Xinni","non-dropping-particle":"","parse-names":false,"suffix":""},{"dropping-particle":"","family":"Tsang","given":"Daniel C.W.","non-dropping-particle":"","parse-names":false,"suffix":""}],"container-title":"Bioresource Technology","id":"ITEM-1","issue":"September","issued":{"date-parts":[["2021"]]},"page":"125915","publisher":"Elsevier Ltd","title":"Sustainable management and recycling of food waste anaerobic digestate: A review","type":"article-journal","volume":"341"},"uris":["http://www.mendeley.com/documents/?uuid=16c0d84d-d249-4786-9c64-e7413fed8bd8"]}],"mendeley":{"formattedCitation":"(Dutta et al., 2021)","plainTextFormattedCitation":"(Dutta et al., 2021)","previouslyFormattedCitation":"(Dutta et al., 2021)"},"properties":{"noteIndex":0},"schema":"https://github.com/citation-style-language/schema/raw/master/csl-citation.json"}</w:instrText>
      </w:r>
      <w:r>
        <w:fldChar w:fldCharType="separate"/>
      </w:r>
      <w:r w:rsidR="00014750" w:rsidRPr="00FF1680">
        <w:rPr>
          <w:noProof/>
        </w:rPr>
        <w:t>(Dutta et al., 2021)</w:t>
      </w:r>
      <w:r>
        <w:fldChar w:fldCharType="end"/>
      </w:r>
      <w:r>
        <w:t xml:space="preserve">, leading to an under-exploitation of his potential, that is represented by the production of high-value chemical compounds, i.e., essential oils </w:t>
      </w:r>
      <w:r>
        <w:fldChar w:fldCharType="begin" w:fldLock="1"/>
      </w:r>
      <w:r w:rsidR="00E22620">
        <w:instrText>ADDIN CSL_CITATION {"citationItems":[{"id":"ITEM-1","itemData":{"DOI":"10.1016/j.renene.2020.05.113","ISSN":"18790682","abstract":"Six million tons of Coffee Spent Grounds (SCG) are produced every year all around the world. Their physical and chemical characterization, rich in high value molecules and organic compounds, make SCG ideal for the recovery of bioactive molecules and bioenergy production according to the “cascade biorefinery approach”. This work investigates the effects of the implementation of sequential processes for the recovery of the coffee oil, rich in valuable molecules, and the productions of bioethanol and biogas from SCG. The use of a 50:50 (v/v) ethanol-iso-propanol mixture allowed a coffee oil recovery of about 16% w/w. In particular, the extracted coffee oil was rich in tocopherols (about 15 mg/100 g SCG). On the other hand, n-hexane showed a lower performance in terms of coffee oil extraction (10% w/w) but allowed for the extraction of different molecules: linoleic and palmitic acids (38% and 34% w/w of the coffee oil, respectively) and of Cafestol (383 mg/100g SCG) and Kahweol (194 mg/100g SCG). The extracted SCG underwent to an acid-enzymatic hydrolysis process followed by a solid/liquid separation. The liquid fraction was then used for the bioethanol production which reached the final concentration of 50 g/L, while the solid fraction was used for biogas production by Anaerobic Digestion. The final methane yield resulted in a production of about 250 NLCH4/kgVS. A complete train of operations, composing a biorefinery approach, can be therefore adopted to fully valorise this particular organic waste.","author":[{"dropping-particle":"","family":"Battista","given":"Federico","non-dropping-particle":"","parse-names":false,"suffix":""},{"dropping-particle":"","family":"Zanzoni","given":"Serena","non-dropping-particle":"","parse-names":false,"suffix":""},{"dropping-particle":"","family":"Strazzera","given":"Giuseppe","non-dropping-particle":"","parse-names":false,"suffix":""},{"dropping-particle":"","family":"Andreolli","given":"Marco","non-dropping-particle":"","parse-names":false,"suffix":""},{"dropping-particle":"","family":"Bolzonella","given":"David","non-dropping-particle":"","parse-names":false,"suffix":""}],"container-title":"Renewable Energy","id":"ITEM-1","issued":{"date-parts":[["2020"]]},"page":"1203-1211","publisher":"Elsevier Ltd","title":"The cascade biorefinery approach for the valorization of the spent coffee grounds","type":"article-journal","volume":"157"},"uris":["http://www.mendeley.com/documents/?uuid=a8f811fd-0a54-45d3-85a5-fce741a7515b"]}],"mendeley":{"formattedCitation":"(Battista et al., 2020b)","plainTextFormattedCitation":"(Battista et al., 2020b)","previouslyFormattedCitation":"(Battista et al., 2020b)"},"properties":{"noteIndex":0},"schema":"https://github.com/citation-style-language/schema/raw/master/csl-citation.json"}</w:instrText>
      </w:r>
      <w:r>
        <w:fldChar w:fldCharType="separate"/>
      </w:r>
      <w:r w:rsidR="00FF1680" w:rsidRPr="00FF1680">
        <w:rPr>
          <w:noProof/>
        </w:rPr>
        <w:t>(Battista et al., 2020b)</w:t>
      </w:r>
      <w:r>
        <w:fldChar w:fldCharType="end"/>
      </w:r>
      <w:r w:rsidRPr="00FF1680">
        <w:t xml:space="preserve"> and Volatile Fatty Acids (</w:t>
      </w:r>
      <w:r w:rsidR="00136E57" w:rsidRPr="00FF1680">
        <w:t>VFAs</w:t>
      </w:r>
      <w:r w:rsidRPr="00FF1680">
        <w:t xml:space="preserve">) </w:t>
      </w:r>
      <w:r>
        <w:fldChar w:fldCharType="begin" w:fldLock="1"/>
      </w:r>
      <w:r w:rsidR="00E22620">
        <w:instrText>ADDIN CSL_CITATION {"citationItems":[{"id":"ITEM-1","itemData":{"DOI":"10.1016/j.biortech.2021.125289","ISSN":"18732976","PMID":"34015569","abstract":"This research investigated for the first time the influence of the single fractions (proteins, lipids, starch, cellulose, fibers and sugars) composing Household Food Wastes on Volatile Fatty Acids (VFA). A production at different pH (uncontrolled, 5.5 and 7.0): both the amount and profile of VFA were investigated. It was found that fractions rich in proteins and starch led to the greatest VFA productions (12–15 g/L), especially at neutral pH condition. On the contrary, fractions rich in cellulose, fibers, and sugars showed a very low VFA production (&lt;2 g/L). The chemical nature of HFW influenced the speciation of the microbial communities too. Lactobacillaceae family was highly represented in proteins-, starch-, fibers and sugars-rich substrates and Atopobiaceae, Eggerthellaceae, Acidaminococcaceae and Veillonellaceae displayed positive correlation to VFAs production. Instead, Comamonadaceae showed high relative abundance in lipids- and cellulose-rich fraction and was negatively correlated to the VFAs generation.","author":[{"dropping-particle":"","family":"Strazzera","given":"Giuseppe","non-dropping-particle":"","parse-names":false,"suffix":""},{"dropping-particle":"","family":"Battista","given":"Federico","non-dropping-particle":"","parse-names":false,"suffix":""},{"dropping-particle":"","family":"Andreolli","given":"Marco","non-dropping-particle":"","parse-names":false,"suffix":""},{"dropping-particle":"","family":"Menini","given":"Miriam","non-dropping-particle":"","parse-names":false,"suffix":""},{"dropping-particle":"","family":"Bolzonella","given":"David","non-dropping-particle":"","parse-names":false,"suffix":""},{"dropping-particle":"","family":"Lampis","given":"Silvia","non-dropping-particle":"","parse-names":false,"suffix":""}],"container-title":"Bioresource Technology","id":"ITEM-1","issue":"April","issued":{"date-parts":[["2021"]]},"page":"125289","publisher":"Elsevier Ltd","title":"Influence of different household Food Wastes Fractions on Volatile Fatty Acids production by anaerobic fermentation","type":"article-journal","volume":"335"},"uris":["http://www.mendeley.com/documents/?uuid=90d34a39-9408-40e7-bd12-1fd73b3f93fc"]}],"mendeley":{"formattedCitation":"(Strazzera et al., 2021a)","plainTextFormattedCitation":"(Strazzera et al., 2021a)","previouslyFormattedCitation":"(Strazzera et al., 2021a)"},"properties":{"noteIndex":0},"schema":"https://github.com/citation-style-language/schema/raw/master/csl-citation.json"}</w:instrText>
      </w:r>
      <w:r>
        <w:fldChar w:fldCharType="separate"/>
      </w:r>
      <w:r w:rsidR="00FF1680" w:rsidRPr="00FF1680">
        <w:rPr>
          <w:noProof/>
        </w:rPr>
        <w:t>(Strazzera et al., 2021a)</w:t>
      </w:r>
      <w:r>
        <w:fldChar w:fldCharType="end"/>
      </w:r>
      <w:r w:rsidRPr="00FF1680">
        <w:t xml:space="preserve">. </w:t>
      </w:r>
      <w:r>
        <w:t>The</w:t>
      </w:r>
      <w:r w:rsidRPr="005B1A2F">
        <w:t xml:space="preserve"> scientific community started to be interested in the acidogenic fermentation of food waste to produce </w:t>
      </w:r>
      <w:r w:rsidR="00136E57">
        <w:t>VFAs</w:t>
      </w:r>
      <w:r w:rsidRPr="005B1A2F">
        <w:t xml:space="preserve"> </w:t>
      </w:r>
      <w:r>
        <w:fldChar w:fldCharType="begin" w:fldLock="1"/>
      </w:r>
      <w:r w:rsidR="00E22620">
        <w:instrText>ADDIN CSL_CITATION {"citationItems":[{"id":"ITEM-1","itemData":{"DOI":"10.1016/j.jenvman.2018.08.039","ISSN":"10958630","PMID":"30121464","abstract":"Volatile fatty acids (VFAs) are a class of largely used compounds in the chemical industry, serving as starting molecules for bioenergy production and for the synthesis of a variety of products, such as biopolymers, reduced chemicals and derivatives. Because of the huge amounts of food waste generated from household and processing industry, 47 and 17 million tons per year respectively only in the EU-28 Countries, food wastes can be the right candidate for volatile fatty acids production. This review investigates all the major topics involved in the optimization of VFAs production from food wastes. Regarding the best operative conditions for the anaerobic fermenter controlled pH in the neutral range (6.0–7.0), short HRT (lower than 10 days), thermophilic temperatures and an organic loading rate of about 10 kgVS/m3d, allowed for an increase in the VFAs concentration between 10 and 25%. It was also found that additions of mineral acids, from 0.5 to 3.0%, and thermal pretreatment in the range 140–170 °C increase the organic matter solubilisation. Applications of VFAs considered in this study were biofuels and bioplastics production as well as nutrients removal in biological wastewater treatment processes.","author":[{"dropping-particle":"","family":"Strazzera","given":"Giuseppe","non-dropping-particle":"","parse-names":false,"suffix":""},{"dropping-particle":"","family":"Battista","given":"Federico","non-dropping-particle":"","parse-names":false,"suffix":""},{"dropping-particle":"","family":"Garcia","given":"Natalia Herrero","non-dropping-particle":"","parse-names":false,"suffix":""},{"dropping-particle":"","family":"Frison","given":"Nicola","non-dropping-particle":"","parse-names":false,"suffix":""},{"dropping-particle":"","family":"Bolzonella","given":"David","non-dropping-particle":"","parse-names":false,"suffix":""}],"container-title":"Journal of Environmental Management","id":"ITEM-1","issue":"August","issued":{"date-parts":[["2018"]]},"page":"278-288","title":"Volatile fatty acids production from food wastes for biorefinery platforms: A review","type":"article-journal","volume":"226"},"uris":["http://www.mendeley.com/documents/?uuid=e274d4ce-5639-46de-8091-60d72397669c"]}],"mendeley":{"formattedCitation":"(Strazzera et al., 2018)","plainTextFormattedCitation":"(Strazzera et al., 2018)","previouslyFormattedCitation":"(Strazzera et al., 2018)"},"properties":{"noteIndex":0},"schema":"https://github.com/citation-style-language/schema/raw/master/csl-citation.json"}</w:instrText>
      </w:r>
      <w:r>
        <w:fldChar w:fldCharType="separate"/>
      </w:r>
      <w:r w:rsidR="00014750" w:rsidRPr="00FF1680">
        <w:rPr>
          <w:noProof/>
        </w:rPr>
        <w:t>(Strazzera et al., 2018)</w:t>
      </w:r>
      <w:r>
        <w:fldChar w:fldCharType="end"/>
      </w:r>
      <w:r w:rsidRPr="005B1A2F">
        <w:t xml:space="preserve">. </w:t>
      </w:r>
      <w:r w:rsidR="00136E57">
        <w:t>VFAs</w:t>
      </w:r>
      <w:r>
        <w:t xml:space="preserve"> are a highly useful compounds that can be used as precursors for the productions of innovative bio-based products with applications in chemical, pharmaceutical, food and cosmetic industries </w:t>
      </w:r>
      <w:r>
        <w:fldChar w:fldCharType="begin" w:fldLock="1"/>
      </w:r>
      <w:r w:rsidR="00E22620">
        <w:instrText>ADDIN CSL_CITATION {"citationItems":[{"id":"ITEM-1","itemData":{"DOI":"10.1021/acs.iecr.1c03280","ISSN":"15205045","abstract":"The purification and concentration of volatile fatty acids (VFAs) after acidogenic fermentation represent the key steps for their industrial use. In this study, different batch adsorption tests were performed on single VFAs using powdered activated carbon (PAC), Lewatit VP OC 1065, Amberlyst A21, and VFA mixtures using Lewatit and Amberlyst. Adsorption yields of approximately 70% for PAC and 86-96% for Lewatit and Amberlyst were achieved on the single VFA tests at an initial concentration of 5 g/L. The VFA mixture tests at 25 g/L showed lower yields: 40 and 27% for Lewatit and Amberlyst, respectively. Batch desorption tests were performed adopting two desorbents, ethanol, and water at various NaOH concentrations (1, 0.1, and 0.01 M) and at decreasing volumes (5, 3, and 2 mL). The optimization of the adsorption and desorption operations allowed the final VFA concentrations of 85-90 g/L to be reached. The best adsorbent, Lewatit, and the best desorption conditions were applied on a real fermentate with an initial VFA concentration of approximately 18 g/L, obtaining a final VFA content three times higher than in the original solution.","author":[{"dropping-particle":"","family":"Rizzioli","given":"Fabio","non-dropping-particle":"","parse-names":false,"suffix":""},{"dropping-particle":"","family":"Battista","given":"Federico","non-dropping-particle":"","parse-names":false,"suffix":""},{"dropping-particle":"","family":"Bolzonella","given":"David","non-dropping-particle":"","parse-names":false,"suffix":""},{"dropping-particle":"","family":"Frison","given":"Nicola","non-dropping-particle":"","parse-names":false,"suffix":""}],"container-title":"Industrial and Engineering Chemistry Research","id":"ITEM-1","issue":"37","issued":{"date-parts":[["2021"]]},"page":"13701-13709","title":"Volatile Fatty Acid Recovery from Anaerobic Fermentate: Focusing on Adsorption and Desorption Performances","type":"article-journal","volume":"60"},"uris":["http://www.mendeley.com/documents/?uuid=96989ac0-e443-345f-8a49-e22f580e3633"]}],"mendeley":{"formattedCitation":"(Rizzioli et al., 2021)","plainTextFormattedCitation":"(Rizzioli et al., 2021)","previouslyFormattedCitation":"(Rizzioli et al., 2021)"},"properties":{"noteIndex":0},"schema":"https://github.com/citation-style-language/schema/raw/master/csl-citation.json"}</w:instrText>
      </w:r>
      <w:r>
        <w:fldChar w:fldCharType="separate"/>
      </w:r>
      <w:r w:rsidR="00014750" w:rsidRPr="00FF1680">
        <w:rPr>
          <w:noProof/>
        </w:rPr>
        <w:t>(Rizzioli et al., 2021)</w:t>
      </w:r>
      <w:r>
        <w:fldChar w:fldCharType="end"/>
      </w:r>
      <w:r>
        <w:t xml:space="preserve">. </w:t>
      </w:r>
      <w:r w:rsidRPr="005B1A2F">
        <w:t>Previous studies showed that</w:t>
      </w:r>
      <w:r>
        <w:t xml:space="preserve"> high </w:t>
      </w:r>
      <w:r w:rsidR="00B80902">
        <w:t>VFAs</w:t>
      </w:r>
      <w:r>
        <w:t xml:space="preserve"> production (</w:t>
      </w:r>
      <w:r w:rsidRPr="005B1A2F">
        <w:t xml:space="preserve">10 and </w:t>
      </w:r>
      <w:r>
        <w:t>5</w:t>
      </w:r>
      <w:r w:rsidRPr="005B1A2F">
        <w:t xml:space="preserve">0 </w:t>
      </w:r>
      <w:proofErr w:type="spellStart"/>
      <w:r w:rsidRPr="005B1A2F">
        <w:t>gCOD</w:t>
      </w:r>
      <w:proofErr w:type="spellEnd"/>
      <w:r w:rsidRPr="005B1A2F">
        <w:t>/L</w:t>
      </w:r>
      <w:r>
        <w:t>) is favored by acidogenic fermentations</w:t>
      </w:r>
      <w:r w:rsidR="009F321B">
        <w:t xml:space="preserve"> of food wastes</w:t>
      </w:r>
      <w:r>
        <w:t xml:space="preserve"> conducted at </w:t>
      </w:r>
      <w:r w:rsidRPr="005B1A2F">
        <w:t xml:space="preserve">controlled pH in the neutral range (6.0–7.0), short HRT (lower than 10 days), thermophilic temperatures and an organic loading rate of about 10 </w:t>
      </w:r>
      <w:proofErr w:type="spellStart"/>
      <w:r w:rsidRPr="005B1A2F">
        <w:t>kgVS</w:t>
      </w:r>
      <w:proofErr w:type="spellEnd"/>
      <w:r w:rsidRPr="005B1A2F">
        <w:t>/m</w:t>
      </w:r>
      <w:r w:rsidRPr="001C0EFA">
        <w:rPr>
          <w:vertAlign w:val="superscript"/>
        </w:rPr>
        <w:t>3</w:t>
      </w:r>
      <w:r w:rsidRPr="005B1A2F">
        <w:t xml:space="preserve">d </w:t>
      </w:r>
      <w:r>
        <w:fldChar w:fldCharType="begin" w:fldLock="1"/>
      </w:r>
      <w:r w:rsidR="00E22620">
        <w:instrText>ADDIN CSL_CITATION {"citationItems":[{"id":"ITEM-1","itemData":{"DOI":"10.1007/s11157-021-09566-0","ISBN":"0123456789","ISSN":"15729826","abstract":"Volatile fatty acids (VFAs) are key platform chemicals used in a multitude of industries including chemicals, pharmaceuticals, food and agriculture. The current route for VFA production is petrochemical based. VFAs can be biologically produced using organic wastes as substrate, therefore directly contributing to a sustainable economy. This process is commonly known as acidogenic fermentation (AF). This review explores the current research on the development of AF processes optimized for VFA production. Three process steps are considered: feedstock pretreatment, fermentation, and primary product recovery with a focus on in situ recovery. Pretreatment is required for recalcitrant feedstocks, especially lignocellulosic substrates. Different pretreatment techniques for AF application have not been studied in depth. The operational parameters of AF (temperature, pH, hydraulic retention time, substrate concentration, etc.) highly influence microbial activity, VFA yields and product distribution. Optimum conditions are ultimately dependent on substrate composition, however, there is indication that certain operational ranges are beneficial for most feedstocks. VFA recovery and purification are necessary for chemical applications. When recovery is performed in situ, it can help relieve product-induced inhibition and keep alkalinity levels stable enabling further waste degradation. Many techniques have been tested, but none are directly compatible with the fermentation conditions tested. Bio-VFAs have the potential to aid in developing a circular economy, but further development is required. Processes need to be developed with the product market in mind, considering both process integration and systematic process optimization.","author":[{"dropping-particle":"","family":"Ramos-Suarez","given":"Maria","non-dropping-particle":"","parse-names":false,"suffix":""},{"dropping-particle":"","family":"Zhang","given":"Yue","non-dropping-particle":"","parse-names":false,"suffix":""},{"dropping-particle":"","family":"Outram","given":"Victoria","non-dropping-particle":"","parse-names":false,"suffix":""}],"container-title":"Reviews in Environmental Science and Biotechnology","id":"ITEM-1","issue":"2","issued":{"date-parts":[["2021","2","13"]]},"page":"439-478","publisher":"Springer","title":"Current perspectives on acidogenic fermentation to produce volatile fatty acids from waste","type":"article","volume":"20"},"uris":["http://www.mendeley.com/documents/?uuid=7dc6b20a-ed20-3434-a7c3-569cc05af240"]},{"id":"ITEM-2","itemData":{"DOI":"10.1016/j.eti.2021.101562","ISSN":"23521864","abstract":"Household Food Wastes (HFW) are the most abundant organic wastes at urban level with a worldwide annual production of about 2 billion tons. This material can be the right feedstock for a carboxylate biorefinery platform. This work investigated the influence of different operational parameters (pH, temperature, Organic Loading Rate) on the Volatile Fatty Acids production and on their composition. It was demonstrated that, keeping constant the fermentation duration at 6 days, neutral pH, thermophilic temperature (55 °C) and an organic loading rate of 11 gTVS per Liter per day maximized the VFA production with a yield of 0.38 gVFA per gTVS fed. Under these conditions, the main VFAs were butyric and caproic acids with percentages around 60 and 20%, respectively.3. The analysis of the mixed microbial community performed over the reactor operation showed the dominance of members of Firmicutes phylum mainly affiliated to Clostridium and Lactobacillus genera. The process was mostly driven by Clostridium species in mesophilic runs characterized by stable VFAs production and highest yields whereas Lactobacillus was enriched under thermophilic operating conditions.","author":[{"dropping-particle":"","family":"Strazzera","given":"Giuseppe","non-dropping-particle":"","parse-names":false,"suffix":""},{"dropping-particle":"","family":"Battista","given":"Federico","non-dropping-particle":"","parse-names":false,"suffix":""},{"dropping-particle":"","family":"Tonanzi","given":"Barbara","non-dropping-particle":"","parse-names":false,"suffix":""},{"dropping-particle":"","family":"Rossetti","given":"Simona","non-dropping-particle":"","parse-names":false,"suffix":""},{"dropping-particle":"","family":"Bolzonella","given":"David","non-dropping-particle":"","parse-names":false,"suffix":""}],"container-title":"Environmental Technology and Innovation","id":"ITEM-2","issued":{"date-parts":[["2021","8","1"]]},"page":"101562","publisher":"Elsevier","title":"Optimization of short chain volatile fatty acids production from household food waste for biorefinery applications","type":"article-journal","volume":"23"},"uris":["http://www.mendeley.com/documents/?uuid=4b255d59-8c94-3932-9414-cb7cdc5105d4"]}],"mendeley":{"formattedCitation":"(Ramos-Suarez et al., 2021; Strazzera et al., 2021b)","plainTextFormattedCitation":"(Ramos-Suarez et al., 2021; Strazzera et al., 2021b)","previouslyFormattedCitation":"(Ramos-Suarez et al., 2021; Strazzera et al., 2021b)"},"properties":{"noteIndex":0},"schema":"https://github.com/citation-style-language/schema/raw/master/csl-citation.json"}</w:instrText>
      </w:r>
      <w:r>
        <w:fldChar w:fldCharType="separate"/>
      </w:r>
      <w:r w:rsidR="00FF1680" w:rsidRPr="00FF1680">
        <w:rPr>
          <w:noProof/>
        </w:rPr>
        <w:t>(Ramos-Suarez et al., 2021; Strazzera et al., 2021b)</w:t>
      </w:r>
      <w:r>
        <w:fldChar w:fldCharType="end"/>
      </w:r>
      <w:r w:rsidRPr="00FF1680">
        <w:t xml:space="preserve">. </w:t>
      </w:r>
      <w:r>
        <w:t>However, t</w:t>
      </w:r>
      <w:r w:rsidRPr="005B1A2F">
        <w:t xml:space="preserve">he </w:t>
      </w:r>
      <w:r w:rsidR="00B80902">
        <w:t>VFAs</w:t>
      </w:r>
      <w:r w:rsidRPr="005B1A2F">
        <w:t xml:space="preserve"> production and profile strongly depends on the operational conditions of the fermentation and chemical characterization of the substrates</w:t>
      </w:r>
      <w:r>
        <w:t>.</w:t>
      </w:r>
    </w:p>
    <w:p w14:paraId="04B66CAC" w14:textId="58CBF940" w:rsidR="001C0EFA" w:rsidRDefault="001C0EFA" w:rsidP="00D173B9">
      <w:pPr>
        <w:pStyle w:val="CETBodytext"/>
      </w:pPr>
      <w:r>
        <w:t xml:space="preserve">An interesting application of </w:t>
      </w:r>
      <w:r w:rsidR="00136E57">
        <w:t>VFAs</w:t>
      </w:r>
      <w:r>
        <w:t xml:space="preserve"> </w:t>
      </w:r>
      <w:r w:rsidRPr="00CD7432">
        <w:t xml:space="preserve">are the </w:t>
      </w:r>
      <w:proofErr w:type="spellStart"/>
      <w:r w:rsidRPr="00CD7432">
        <w:t>polyhydroxyalkanoates</w:t>
      </w:r>
      <w:proofErr w:type="spellEnd"/>
      <w:r w:rsidRPr="00CD7432">
        <w:t xml:space="preserve"> (</w:t>
      </w:r>
      <w:r w:rsidR="005E66A1">
        <w:t>PHAs</w:t>
      </w:r>
      <w:r w:rsidRPr="00CD7432">
        <w:t xml:space="preserve">) production in pure and Microbial Mixed Cultures (MMC) systems. </w:t>
      </w:r>
      <w:r w:rsidR="005E66A1">
        <w:t>PHAs</w:t>
      </w:r>
      <w:r w:rsidRPr="00CD7432">
        <w:t xml:space="preserve"> are a family of polyesters that are primarily synthetized as intracellular carbon and energy sources by numerous species of Gram-positive and/or Gram-negative microorganisms but also by anaerobic photosynthetic bacteria and archaea. </w:t>
      </w:r>
      <w:r w:rsidR="005E66A1">
        <w:t>PHAs</w:t>
      </w:r>
      <w:r w:rsidRPr="00CD7432">
        <w:t xml:space="preserve"> are completely biodegradable, and, depending on their monomer composition, they can have a large spectrum of properties mostly related to the thermoplastic material. The use of </w:t>
      </w:r>
      <w:r>
        <w:t>MMC</w:t>
      </w:r>
      <w:r w:rsidRPr="00CD7432">
        <w:t xml:space="preserve"> technology for their production is attracting a great deal of attention because it allows to produce </w:t>
      </w:r>
      <w:r w:rsidR="005E66A1">
        <w:t>PHAs</w:t>
      </w:r>
      <w:r w:rsidRPr="00CD7432">
        <w:t xml:space="preserve"> through a low-cost and eco-friendly approach that responds to changing environmental frameworks </w:t>
      </w:r>
      <w:r>
        <w:fldChar w:fldCharType="begin" w:fldLock="1"/>
      </w:r>
      <w:r w:rsidR="00E22620">
        <w:instrText>ADDIN CSL_CITATION {"citationItems":[{"id":"ITEM-1","itemData":{"DOI":"10.1002/jctb.6096","ISSN":"10974660","abstract":"The updated Bioeconomy Strategy document “A sustainable bioeconomy for Europe: strengthening the connection between economy, society and the environment”, which was issued by the European Commission in October 2018, encourages the exploitation of organic wastes according to a pyramidal hierarchy in which the extraction of valuable biomolecules, which will be used as they are or as precursors of high-added-value compounds, is a priority in biofuel production. This review considers a biorefinery platform in which food waste and sewage sludge are adopted to produce volatile fatty acids (VFAs) through a dark fermentation process. VFA fermentation is optimized by slightly acid pH (6–7), short hydraulic retention time (1–7 days) and high organic load rate (more than 10 gTS L−1 d−1). Attention has been focused on VFA exploitation for polyhydroxyalkanoate (PHA) production via a ‘feast and famine’ strategy performed in sequencing batch reactors. The obtained PHA yields are around 0.4–0.5 gPHA gCOD−1. Moreover, VFAs allow for the production of biofuels, such as hydrogen and methane, through single- or double-staged anaerobic digestion. Innovative bioelectrochemical upgrade strategies for biogas helps producers to obtain biomethane for the automotive sector. Moreover, biogas has recently been tested for the production of polyhydroxybutyrate, a biodegradable and biocompatible thermoplastic made by microorganisms from C1 carbon sources (CO2 and CH4). Digestates from anaerobic bioreactors are still rich in nitrogen and phosphorus compounds. These latter compounds have been identified as critical raw materials due to their low availability in the European Union and to increasing demand from the growing global population. Thus, nutrient recovery from digestate allows users to close the loop of the ‘circular economy’ approach. © 2019 Society of Chemical Industry.","author":[{"dropping-particle":"","family":"Battista","given":"Federico","non-dropping-particle":"","parse-names":false,"suffix":""},{"dropping-particle":"","family":"Frison","given":"Nicola","non-dropping-particle":"","parse-names":false,"suffix":""},{"dropping-particle":"","family":"Pavan","given":"Paolo","non-dropping-particle":"","parse-names":false,"suffix":""},{"dropping-particle":"","family":"Cavinato","given":"Cristina","non-dropping-particle":"","parse-names":false,"suffix":""},{"dropping-particle":"","family":"Gottardo","given":"Marco","non-dropping-particle":"","parse-names":false,"suffix":""},{"dropping-particle":"","family":"Fatone","given":"Francesco","non-dropping-particle":"","parse-names":false,"suffix":""},{"dropping-particle":"","family":"Eusebi","given":"Anna L.","non-dropping-particle":"","parse-names":false,"suffix":""},{"dropping-particle":"","family":"Majone","given":"Mauro","non-dropping-particle":"","parse-names":false,"suffix":""},{"dropping-particle":"","family":"Zeppilli","given":"Marco","non-dropping-particle":"","parse-names":false,"suffix":""},{"dropping-particle":"","family":"Valentino","given":"Francesco","non-dropping-particle":"","parse-names":false,"suffix":""},{"dropping-particle":"","family":"Fino","given":"Debora","non-dropping-particle":"","parse-names":false,"suffix":""},{"dropping-particle":"","family":"Tommasi","given":"Tonia","non-dropping-particle":"","parse-names":false,"suffix":""},{"dropping-particle":"","family":"Bolzonella","given":"David","non-dropping-particle":"","parse-names":false,"suffix":""}],"container-title":"Journal of Chemical Technology and Biotechnology","id":"ITEM-1","issue":"2","issued":{"date-parts":[["2020","2","1"]]},"page":"328-338","publisher":"John Wiley &amp; Sons, Ltd","title":"Food wastes and sewage sludge as feedstock for an urban biorefinery producing biofuels and added-value bioproducts","type":"article","volume":"95"},"uris":["http://www.mendeley.com/documents/?uuid=2a30ddaa-aefe-3610-9da4-b1da082cb535"]}],"mendeley":{"formattedCitation":"(Battista et al., 2020a)","plainTextFormattedCitation":"(Battista et al., 2020a)","previouslyFormattedCitation":"(Battista et al., 2020a)"},"properties":{"noteIndex":0},"schema":"https://github.com/citation-style-language/schema/raw/master/csl-citation.json"}</w:instrText>
      </w:r>
      <w:r>
        <w:fldChar w:fldCharType="separate"/>
      </w:r>
      <w:r w:rsidR="00FF1680" w:rsidRPr="00FF1680">
        <w:rPr>
          <w:noProof/>
        </w:rPr>
        <w:t>(Battista et al., 2020a)</w:t>
      </w:r>
      <w:r>
        <w:fldChar w:fldCharType="end"/>
      </w:r>
      <w:r w:rsidRPr="00CD7432">
        <w:t>.</w:t>
      </w:r>
      <w:r>
        <w:t xml:space="preserve"> Previous studies by Colombo et al. </w:t>
      </w:r>
      <w:r>
        <w:fldChar w:fldCharType="begin" w:fldLock="1"/>
      </w:r>
      <w:r w:rsidR="00E22620">
        <w:instrText>ADDIN CSL_CITATION {"citationItems":[{"id":"ITEM-1","itemData":{"DOI":"10.1186/s13068-017-0888-8","ISSN":"17546834","abstract":"Background: In Europe, almost 87.6 million tonnes of food waste are produced. Despite the high biological value of food waste, traditional management solutions do not consider it as a precious resource. Many studies have reported the use of food waste for the production of high added value molecules. Polyhydroxyalkanoates (PHAs) represent a class of interesting bio-polyesters accumulated by different bacterial cells, and has been proposed for production from the organic fraction of municipal solid waste (OFMSW). Nevertheless, until now, no attention has been paid to the entire biological process leading to the transformation of food waste to organic acids (OA) and then to PHA, getting high PHA yield per food waste unit. In particular, the acid-generating process needs to be optimized, maximizing OA production from OFMSW. To do so, a pilot-scale Anaerobic Percolation Biocell Reactor (100 L in volume) was used to produce an OA-rich percolate from OFMSW which was used subsequently to produce PHA. Results: The optimized acidogenic process resulted in an OA production of 151 g kg-1 from fresh OFMSW. The subsequent optimization of PHA production from OA gave a PHA production, on average, of 223 ± 28 g kg-1 total OA fed. Total mass balance indicated, for the best case studied, a PHA production per OFMSW weight unit of 33.22 ± 4.2 g kg-1 from fresh OFMSW, corresponding to 114.4 ± 14.5 g kg-1 of total solids from OFMSW. PHA composition revealed a hydroxybutyrate/hydroxyvalerate (%) ratio of 53/47 and Mw of 8105 kDa with a low polydispersity index, i.e. 1.4. Conclusions: This work showed how by optimizing acidic fermentation it could be possible to get a large amount of OA from OFMSW to be then transformed into PHA. This step is important as it greatly affects the total final PHA yield. Data obtained in this work can be useful as the starting point for considering the economic feasibility of PHA production from OFMSW by using mixed culture.","author":[{"dropping-particle":"","family":"Colombo","given":"Bianca","non-dropping-particle":"","parse-names":false,"suffix":""},{"dropping-particle":"","family":"Favini","given":"Francesca","non-dropping-particle":"","parse-names":false,"suffix":""},{"dropping-particle":"","family":"Scaglia","given":"Barbara","non-dropping-particle":"","parse-names":false,"suffix":""},{"dropping-particle":"","family":"Sciarria","given":"Tommy Pepè","non-dropping-particle":"","parse-names":false,"suffix":""},{"dropping-particle":"","family":"D'Imporzano","given":"Giuliana","non-dropping-particle":"","parse-names":false,"suffix":""},{"dropping-particle":"","family":"Pognani","given":"Michele","non-dropping-particle":"","parse-names":false,"suffix":""},{"dropping-particle":"","family":"Alekseeva","given":"Anna","non-dropping-particle":"","parse-names":false,"suffix":""},{"dropping-particle":"","family":"Eisele","given":"Giorgio","non-dropping-particle":"","parse-names":false,"suffix":""},{"dropping-particle":"","family":"Cosentino","given":"Cesare","non-dropping-particle":"","parse-names":false,"suffix":""},{"dropping-particle":"","family":"Adani","given":"Fabrizio","non-dropping-particle":"","parse-names":false,"suffix":""}],"container-title":"Biotechnology for Biofuels","id":"ITEM-1","issue":"1","issued":{"date-parts":[["2017","8","22"]]},"publisher":"BioMed Central Ltd.","title":"Enhanced polyhydroxyalkanoate (PHA) production from the organic fraction of municipal solid waste by using mixed microbial culture","type":"article-journal","volume":"10"},"uris":["http://www.mendeley.com/documents/?uuid=d741a22a-aa01-37b7-90e2-f8ed6be84f53"]}],"mendeley":{"formattedCitation":"(Colombo et al., 2017)","plainTextFormattedCitation":"(Colombo et al., 2017)","previouslyFormattedCitation":"(Colombo et al., 2017)"},"properties":{"noteIndex":0},"schema":"https://github.com/citation-style-language/schema/raw/master/csl-citation.json"}</w:instrText>
      </w:r>
      <w:r>
        <w:fldChar w:fldCharType="separate"/>
      </w:r>
      <w:r w:rsidR="00014750" w:rsidRPr="00FF1680">
        <w:rPr>
          <w:noProof/>
        </w:rPr>
        <w:t>(Colombo et al., 2017)</w:t>
      </w:r>
      <w:r>
        <w:fldChar w:fldCharType="end"/>
      </w:r>
      <w:r>
        <w:t xml:space="preserve"> </w:t>
      </w:r>
      <w:r>
        <w:lastRenderedPageBreak/>
        <w:t xml:space="preserve">used the Organic Fraction of Municipal Solid Waste (OFMSW) for </w:t>
      </w:r>
      <w:r w:rsidR="00136E57">
        <w:t>VFAs</w:t>
      </w:r>
      <w:r>
        <w:t xml:space="preserve"> production and </w:t>
      </w:r>
      <w:r w:rsidR="005E66A1">
        <w:t>PHAs</w:t>
      </w:r>
      <w:r>
        <w:t xml:space="preserve"> accumulation, obtaining the following yields: 151 g </w:t>
      </w:r>
      <w:r w:rsidR="00B80902">
        <w:t>VFAs</w:t>
      </w:r>
      <w:r>
        <w:t xml:space="preserve">/kg OFMSW and </w:t>
      </w:r>
      <w:r w:rsidRPr="00D84B82">
        <w:t>223 ± 28 g</w:t>
      </w:r>
      <w:r>
        <w:t xml:space="preserve"> </w:t>
      </w:r>
      <w:r w:rsidR="005E66A1">
        <w:t>PHAs</w:t>
      </w:r>
      <w:r w:rsidRPr="00D84B82">
        <w:t xml:space="preserve">/kg </w:t>
      </w:r>
      <w:r w:rsidR="00B80902">
        <w:t>VFAs</w:t>
      </w:r>
      <w:r>
        <w:t>, respectively.</w:t>
      </w:r>
      <w:r w:rsidR="009C7B51">
        <w:t xml:space="preserve"> Another study by Valentino et al.</w:t>
      </w:r>
      <w:r w:rsidR="00D94979">
        <w:t xml:space="preserve"> </w:t>
      </w:r>
      <w:r w:rsidR="00E1540D">
        <w:fldChar w:fldCharType="begin" w:fldLock="1"/>
      </w:r>
      <w:r w:rsidR="00E22620">
        <w:instrText>ADDIN CSL_CITATION {"citationItems":[{"id":"ITEM-1","itemData":{"DOI":"10.1021/acs.iecr.9b01831","ISSN":"15205045","abstract":"Although the organic fraction of municipal solid waste (OFMSW) and sewage sludge (SS) originate from the same urban area and contain similar organic matter, they are collected separately and handled with different technologies. In this work, a combined treatment of OFMSW-SS mixture was investigated at pilot scale, by using a three-step mixed microbial culture (MMC) process in order to produce polyhydroxyalkanoate (PHA) as final high value biobased product. Biomass selection efficiency was quantified by PHA-specific storage rate that was 258 mg CODPHA/g CODXa/h under the optimized process condition. In fed-batch tests, PHA-storing MMC was able to accumulate up to 46 wt % PHA. In the perspective of a full-scale application and taking into account the mass flows in each process step, an overall yield of 65 g PHA/kg TVS was estimated.","author":[{"dropping-particle":"","family":"Valentino","given":"Francesco","non-dropping-particle":"","parse-names":false,"suffix":""},{"dropping-particle":"","family":"Moretto","given":"Giulia","non-dropping-particle":"","parse-names":false,"suffix":""},{"dropping-particle":"","family":"Lorini","given":"Laura","non-dropping-particle":"","parse-names":false,"suffix":""},{"dropping-particle":"","family":"Bolzonella","given":"David","non-dropping-particle":"","parse-names":false,"suffix":""},{"dropping-particle":"","family":"Pavan","given":"Paolo","non-dropping-particle":"","parse-names":false,"suffix":""},{"dropping-particle":"","family":"Majone","given":"Mauro","non-dropping-particle":"","parse-names":false,"suffix":""}],"container-title":"Industrial and Engineering Chemistry Research","id":"ITEM-1","issue":"27","issued":{"date-parts":[["2019","7","10"]]},"page":"12149-12158","publisher":"American Chemical Society","title":"Pilot-Scale Polyhydroxyalkanoate Production from Combined Treatment of Organic Fraction of Municipal Solid Waste and Sewage Sludge","type":"article-journal","volume":"58"},"uris":["http://www.mendeley.com/documents/?uuid=49bf8d6c-85f7-3899-89db-c0804b1ab179"]},{"id":"ITEM-2","itemData":{"DOI":"10.3303/CET1974045","ISBN":"9788895608716","ISSN":"22839216","abstract":"In recent years, the attention to organic wastes as a new feedstock for the production of PHA is increased based on the idea that this is the only way to reduce their high cost and to increase their sustainability. For this reason, a pilot platform has been designed to produce PHA from the source-sorted organic fraction of municipal solid waste (OFMSW). The cost-effective system consists in the three-steps anaerobic-aerobic process: the fermentation step was performed in a 200 L CSTR (OLR 20.0 kgVS/m3.d, HRT 3.3 d) in thermophilic conditions (55°C). The VFA-rich mixture was used for the two following aerobic steps: a first sequencing batch reactor (SBR, 100 L) for the production of functionalized PHA-producing biomass (mixed consortium, MMC), and a second batch reactor (50 L) for production of PHA and its maximization inside cell walls. The SBR was operated at 1.2-2.5 kgCOD/m3.d as OLR, and HRT of 1 d (equal to SRT); dynamic feeding regime (feast-famine) was used for consortium selection. The fermentation conditions allowed obtaining a significant COD conversion into VFA. Acetic, propionic and butyric acids accounted for more than 80% of total VFA and the relative yield was 0.45 ± 0.03 CODVFA/VS. The necessary buffering capacity was provided by anaerobic digestate addition, which increased the system alkalinity (2.8 ± 0.2 gCaCO3/L at pH 5.75). In SBR, a strong selective pressure favouring PHA-accumulating organisms was easily reached, as demonstrated by the short feast-to-cycle length ratio (often below 0.12). In the second aerobic accumulation reactor, the biomass was able to accumulate up to 49% gPHA/gVSS. Both aerobic steps were performed without temperature (T) control, avoiding additional consumption of energy; the applied OLR was chosen based on biomass kinetic in order to have a constantly short feast phase and a stable selection/enrichment of PHA-accumulating consortium.","author":[{"dropping-particle":"","family":"Valentino","given":"Francesco","non-dropping-particle":"","parse-names":false,"suffix":""},{"dropping-particle":"","family":"Lorini","given":"Laura","non-dropping-particle":"","parse-names":false,"suffix":""},{"dropping-particle":"","family":"Pavan","given":"Paolo","non-dropping-particle":"","parse-names":false,"suffix":""},{"dropping-particle":"","family":"Bolzonella","given":"David","non-dropping-particle":"","parse-names":false,"suffix":""},{"dropping-particle":"","family":"Majone","given":"Mauro","non-dropping-particle":"","parse-names":false,"suffix":""}],"container-title":"Chemical Engineering Transactions","id":"ITEM-2","issue":"June 2018","issued":{"date-parts":[["2019"]]},"page":"265-270","title":"Organic fraction of municipal solid waste conversion into polyhydroxyalkanoates (PHA) in a pilot scale anaerobic/aerobic process","type":"article-journal","volume":"74"},"uris":["http://www.mendeley.com/documents/?uuid=edc26104-b5e0-4794-b4ce-8aa41bccd2ae"]}],"mendeley":{"formattedCitation":"(Valentino et al., 2019b, 2019a)","manualFormatting":"( 2019b, 2019a)","plainTextFormattedCitation":"(Valentino et al., 2019b, 2019a)","previouslyFormattedCitation":"(Valentino et al., 2019b, 2019a)"},"properties":{"noteIndex":0},"schema":"https://github.com/citation-style-language/schema/raw/master/csl-citation.json"}</w:instrText>
      </w:r>
      <w:r w:rsidR="00E1540D">
        <w:fldChar w:fldCharType="separate"/>
      </w:r>
      <w:r w:rsidR="00E1540D" w:rsidRPr="00E1540D">
        <w:rPr>
          <w:noProof/>
        </w:rPr>
        <w:t>( 2019b, 2019a)</w:t>
      </w:r>
      <w:r w:rsidR="00E1540D">
        <w:fldChar w:fldCharType="end"/>
      </w:r>
      <w:r w:rsidR="00F7692B">
        <w:t xml:space="preserve"> on OFMSW fermentation and </w:t>
      </w:r>
      <w:r w:rsidR="005E66A1">
        <w:t>PHAs</w:t>
      </w:r>
      <w:r w:rsidR="00F7692B">
        <w:t xml:space="preserve"> accumulation</w:t>
      </w:r>
      <w:r w:rsidR="00281521">
        <w:t xml:space="preserve"> found VFAs production yields </w:t>
      </w:r>
      <w:r w:rsidR="008C2E67">
        <w:t xml:space="preserve">from 0.24 to 0.45 </w:t>
      </w:r>
      <w:proofErr w:type="spellStart"/>
      <w:r w:rsidR="008C2E67">
        <w:t>gCOD</w:t>
      </w:r>
      <w:proofErr w:type="spellEnd"/>
      <w:r w:rsidR="008C2E67">
        <w:t>/</w:t>
      </w:r>
      <w:proofErr w:type="spellStart"/>
      <w:r w:rsidR="008C2E67">
        <w:t>gTVS</w:t>
      </w:r>
      <w:proofErr w:type="spellEnd"/>
      <w:r w:rsidR="00D521A0">
        <w:t xml:space="preserve"> </w:t>
      </w:r>
      <w:r w:rsidR="00E1540D">
        <w:t xml:space="preserve">and </w:t>
      </w:r>
      <w:r w:rsidR="005E66A1">
        <w:t>PHAs</w:t>
      </w:r>
      <w:r w:rsidR="00E1540D">
        <w:t xml:space="preserve"> overall accumulation yield of </w:t>
      </w:r>
      <w:r w:rsidR="00D521A0">
        <w:t>1</w:t>
      </w:r>
      <w:r w:rsidR="006D6A82">
        <w:t xml:space="preserve">62.5 g </w:t>
      </w:r>
      <w:r w:rsidR="005E66A1">
        <w:t>PHAs</w:t>
      </w:r>
      <w:r w:rsidR="00E1540D">
        <w:t>/kg VFAs.</w:t>
      </w:r>
    </w:p>
    <w:p w14:paraId="6573C671" w14:textId="72DCE77A" w:rsidR="001C0EFA" w:rsidRDefault="001C0EFA" w:rsidP="00D173B9">
      <w:pPr>
        <w:pStyle w:val="CETBodytext"/>
      </w:pPr>
      <w:r>
        <w:t xml:space="preserve">This work studied how three different restaurant food wastes (RFW), having different chemical compositions, influenced the </w:t>
      </w:r>
      <w:r w:rsidR="00B80902">
        <w:t>VFAs</w:t>
      </w:r>
      <w:r>
        <w:t xml:space="preserve"> yield and profile through a batch-mode acidogenic fermentation. Results of this work will help to develop and optimize the </w:t>
      </w:r>
      <w:r w:rsidR="005E66A1">
        <w:t>PHAs</w:t>
      </w:r>
      <w:r>
        <w:t xml:space="preserve"> production from </w:t>
      </w:r>
      <w:r w:rsidR="00B80902">
        <w:t>VFAs</w:t>
      </w:r>
      <w:r>
        <w:t xml:space="preserve"> derived by the RFW.</w:t>
      </w:r>
    </w:p>
    <w:p w14:paraId="1D5EFBF4" w14:textId="77777777" w:rsidR="00080E47" w:rsidRPr="00080E47" w:rsidRDefault="00080E47" w:rsidP="001C0EFA">
      <w:pPr>
        <w:pStyle w:val="CETBodytext"/>
        <w:rPr>
          <w:lang w:val="en-GB"/>
        </w:rPr>
      </w:pPr>
    </w:p>
    <w:p w14:paraId="5741900F" w14:textId="47F27389" w:rsidR="00453E24" w:rsidRPr="005E1883" w:rsidRDefault="00441D82" w:rsidP="005E1883">
      <w:pPr>
        <w:pStyle w:val="CETHeading1"/>
      </w:pPr>
      <w:r w:rsidRPr="005E1883">
        <w:t>Materials and Methods</w:t>
      </w:r>
    </w:p>
    <w:p w14:paraId="4504921D" w14:textId="06C776DE" w:rsidR="00BB3392" w:rsidRDefault="00BB3392" w:rsidP="005E1883">
      <w:pPr>
        <w:pStyle w:val="CETheadingx"/>
      </w:pPr>
      <w:r>
        <w:t>Substrates and Inoculum characterization</w:t>
      </w:r>
    </w:p>
    <w:p w14:paraId="638A10C9" w14:textId="791ACB14" w:rsidR="00E80227" w:rsidRPr="00E80227" w:rsidRDefault="00E80227" w:rsidP="00D173B9">
      <w:pPr>
        <w:pStyle w:val="CETBodytext"/>
      </w:pPr>
      <w:r w:rsidRPr="00E80227">
        <w:t xml:space="preserve">The influence of three different typologies of RFW (RFW Stillage, RFW Condensate and Spent Coffee Grounds (SCG)) on the </w:t>
      </w:r>
      <w:r w:rsidR="00B80902">
        <w:t>VFAs</w:t>
      </w:r>
      <w:r w:rsidRPr="00E80227">
        <w:t xml:space="preserve"> productivity and </w:t>
      </w:r>
      <w:r w:rsidR="00B80902">
        <w:t>VFAs</w:t>
      </w:r>
      <w:r w:rsidRPr="00E80227">
        <w:t xml:space="preserve"> profile was investigated. The substrates were originated from RFW collected from restaurants of the central touristic zone of Athens, Greece. The substrates were pre-treated by the School of Chemical Engineering of the National Technical University of Athens and then shipped to the Department of Biotechnology of the University of Verona. In particular, RFW Stillage was the RFW previously pretreated by a commercial amylase formulation for starch hydrolysis for 1 h at 65 °C </w:t>
      </w:r>
      <w:r w:rsidRPr="00E80227">
        <w:fldChar w:fldCharType="begin" w:fldLock="1"/>
      </w:r>
      <w:r w:rsidR="00E22620">
        <w:instrText>ADDIN CSL_CITATION {"citationItems":[{"id":"ITEM-1","itemData":{"DOI":"10.1007/s13399-020-00613-4","ISSN":"21906823","abstract":"This paper explores the challenge to turn restaurant food waste from environmental issue to energy asset. The transformation of the dehydrated restaurant food waste to used oil, ethanol and methane was investigated. Each process unit was studied and optimised. Thermal dehydration was adopted producing a dried feedstock suitable for the downstream processes as well as a condensate rich in volatile fatty acids with a biomethane potential yield of 1.24 L CH4/L. In the oil extraction process, the application of hexane, 20 Soxhlet cycles and solvent to feedstock ratio equal to 2 provided 81.76% oil yield with quality suitable for transesterification. Different loadings of non-commercial amylolytic enzyme were examined so as to enhance the starch bioconversion efficiency. Five microlitres of enzyme per gramme of starch and 90 min of saccharification time were selected as the optimum operating conditions for producing a hydrolysate that could be efficiently fermented to ethanol. The anaerobic biodegradability of the resulting stillage (415 L CH4/kg VS) could further promote the viability of the whole treatment train. The experimental results were integrated in a material flow diagram in order to enlighten the assessment of the biorefinery scheme.","author":[{"dropping-particle":"","family":"Salimi","given":"E.","non-dropping-particle":"","parse-names":false,"suffix":""},{"dropping-particle":"","family":"Taheri","given":"M. E.","non-dropping-particle":"","parse-names":false,"suffix":""},{"dropping-particle":"","family":"Passadis","given":"K.","non-dropping-particle":"","parse-names":false,"suffix":""},{"dropping-particle":"","family":"Novacovic","given":"J.","non-dropping-particle":"","parse-names":false,"suffix":""},{"dropping-particle":"","family":"Barampouti","given":"E. M.","non-dropping-particle":"","parse-names":false,"suffix":""},{"dropping-particle":"","family":"Mai","given":"S.","non-dropping-particle":"","parse-names":false,"suffix":""},{"dropping-particle":"","family":"Moustakas","given":"K.","non-dropping-particle":"","parse-names":false,"suffix":""},{"dropping-particle":"","family":"Malamis","given":"D.","non-dropping-particle":"","parse-names":false,"suffix":""},{"dropping-particle":"","family":"Loizidou","given":"Maria","non-dropping-particle":"","parse-names":false,"suffix":""}],"container-title":"Biomass Conversion and Biorefinery","id":"ITEM-1","issue":"2","issued":{"date-parts":[["2021"]]},"page":"661-671","publisher":"Biomass Conversion and Biorefinery","title":"Valorisation of restaurant food waste under the concept of a biorefinery","type":"article-journal","volume":"11"},"uris":["http://www.mendeley.com/documents/?uuid=fbfe9fb8-231e-405c-8a9a-c0758c7d2625"]}],"mendeley":{"formattedCitation":"(Salimi et al., 2021)","plainTextFormattedCitation":"(Salimi et al., 2021)","previouslyFormattedCitation":"(Salimi et al., 2021)"},"properties":{"noteIndex":0},"schema":"https://github.com/citation-style-language/schema/raw/master/csl-citation.json"}</w:instrText>
      </w:r>
      <w:r w:rsidRPr="00E80227">
        <w:fldChar w:fldCharType="separate"/>
      </w:r>
      <w:r w:rsidR="00014750" w:rsidRPr="00FF1680">
        <w:rPr>
          <w:noProof/>
        </w:rPr>
        <w:t>(Salimi et al., 2021)</w:t>
      </w:r>
      <w:r w:rsidRPr="00E80227">
        <w:fldChar w:fldCharType="end"/>
      </w:r>
      <w:r w:rsidRPr="00E80227">
        <w:t xml:space="preserve">; RFW Condensate was obtained as the by-product of RFW dehydration by a rotary drum dryer for 17 h at 105 °C </w:t>
      </w:r>
      <w:r w:rsidRPr="00E80227">
        <w:fldChar w:fldCharType="begin" w:fldLock="1"/>
      </w:r>
      <w:r w:rsidR="00E22620">
        <w:instrText>ADDIN CSL_CITATION {"citationItems":[{"id":"ITEM-1","itemData":{"DOI":"10.1007/s13399-020-00613-4","ISSN":"21906823","abstract":"This paper explores the challenge to turn restaurant food waste from environmental issue to energy asset. The transformation of the dehydrated restaurant food waste to used oil, ethanol and methane was investigated. Each process unit was studied and optimised. Thermal dehydration was adopted producing a dried feedstock suitable for the downstream processes as well as a condensate rich in volatile fatty acids with a biomethane potential yield of 1.24 L CH4/L. In the oil extraction process, the application of hexane, 20 Soxhlet cycles and solvent to feedstock ratio equal to 2 provided 81.76% oil yield with quality suitable for transesterification. Different loadings of non-commercial amylolytic enzyme were examined so as to enhance the starch bioconversion efficiency. Five microlitres of enzyme per gramme of starch and 90 min of saccharification time were selected as the optimum operating conditions for producing a hydrolysate that could be efficiently fermented to ethanol. The anaerobic biodegradability of the resulting stillage (415 L CH4/kg VS) could further promote the viability of the whole treatment train. The experimental results were integrated in a material flow diagram in order to enlighten the assessment of the biorefinery scheme.","author":[{"dropping-particle":"","family":"Salimi","given":"E.","non-dropping-particle":"","parse-names":false,"suffix":""},{"dropping-particle":"","family":"Taheri","given":"M. E.","non-dropping-particle":"","parse-names":false,"suffix":""},{"dropping-particle":"","family":"Passadis","given":"K.","non-dropping-particle":"","parse-names":false,"suffix":""},{"dropping-particle":"","family":"Novacovic","given":"J.","non-dropping-particle":"","parse-names":false,"suffix":""},{"dropping-particle":"","family":"Barampouti","given":"E. M.","non-dropping-particle":"","parse-names":false,"suffix":""},{"dropping-particle":"","family":"Mai","given":"S.","non-dropping-particle":"","parse-names":false,"suffix":""},{"dropping-particle":"","family":"Moustakas","given":"K.","non-dropping-particle":"","parse-names":false,"suffix":""},{"dropping-particle":"","family":"Malamis","given":"D.","non-dropping-particle":"","parse-names":false,"suffix":""},{"dropping-particle":"","family":"Loizidou","given":"Maria","non-dropping-particle":"","parse-names":false,"suffix":""}],"container-title":"Biomass Conversion and Biorefinery","id":"ITEM-1","issue":"2","issued":{"date-parts":[["2021"]]},"page":"661-671","publisher":"Biomass Conversion and Biorefinery","title":"Valorisation of restaurant food waste under the concept of a biorefinery","type":"article-journal","volume":"11"},"uris":["http://www.mendeley.com/documents/?uuid=fbfe9fb8-231e-405c-8a9a-c0758c7d2625"]}],"mendeley":{"formattedCitation":"(Salimi et al., 2021)","plainTextFormattedCitation":"(Salimi et al., 2021)","previouslyFormattedCitation":"(Salimi et al., 2021)"},"properties":{"noteIndex":0},"schema":"https://github.com/citation-style-language/schema/raw/master/csl-citation.json"}</w:instrText>
      </w:r>
      <w:r w:rsidRPr="00E80227">
        <w:fldChar w:fldCharType="separate"/>
      </w:r>
      <w:r w:rsidR="00014750" w:rsidRPr="00FF1680">
        <w:rPr>
          <w:noProof/>
        </w:rPr>
        <w:t>(Salimi et al., 2021)</w:t>
      </w:r>
      <w:r w:rsidRPr="00E80227">
        <w:fldChar w:fldCharType="end"/>
      </w:r>
      <w:r w:rsidRPr="00E80227">
        <w:t>; SCG derived from a solid/liquid extraction for the coffee oil recovery by a lab-scale Soxhlet apparatus, followed by an alkaline treatment (NaOH 1 N; 16 h)</w:t>
      </w:r>
      <w:r w:rsidR="0002617F">
        <w:t xml:space="preserve"> </w:t>
      </w:r>
      <w:r w:rsidRPr="00E80227">
        <w:t xml:space="preserve">to favor the depolymerization of recalcitrant lignocellulosic materials </w:t>
      </w:r>
      <w:r w:rsidRPr="00E80227">
        <w:fldChar w:fldCharType="begin" w:fldLock="1"/>
      </w:r>
      <w:r w:rsidR="00E22620">
        <w:instrText>ADDIN CSL_CITATION {"citationItems":[{"id":"ITEM-1","itemData":{"DOI":"10.1007/s12649-021-01543-6","ISBN":"0123456789","ISSN":"1877265X","abstract":"Purpose: Given that the depletion of fossil fuels is an important issue that should be tackled urgently, alternative routes are being sought for biofuels production. This paper, under this context, studied the potential synergies of co-treatment of two kinds of agro-waste (brewers’ spent grains, BSG and spent coffee grounds, SCG) towards the direction of biodiesel and bioethanol production, alleviating at the same time their treatment and management issues. Methods: The technical feasibility of oil extraction and ethanol production was studied and optimized in both laboratory and bench scale. A treatment train including alkaline pretreatment of SCG and dilute acid pretreatment of BSG, neutralization of the solutions by mixing them, enzymatic saccharification and ethanolic fermentation led to the production of bioethanol. Results: The co-treatment of BSG and SCG proved beneficial and optimum experimental conditions were defined by setting the bioethanol production cost as optimization parameter. The lowest ethanol production cost (3.9€/kg) was observed for scenario 4 (SCG/BSG mixture, chemical pretreatment (0.5 N, 5 h), enzymatic hydrolysis (400 µL/g cellulose, 16 h)) and scenario 5 (SCG/BSG mixture, chemical pretreatment (0.5 N, 5 h), enzymatic hydrolysis (800 µL/g cellulose, 5 h)). Further upscaling of the process verified the technical feasibility of process units leading to a further increase of ethanol yield and thus a decrease in the production cost. Conclusions: Conclusively, it was demonstrated that the recovery and extraction of the oil content of BSG and SCG and the achievement of high ethanol yields is technically feasible. Within this context, an integrated biorefinery was presented, making evident that these substrates could reverse the eminent energy crisis via biofuels production. Graphic Abstract: [Figure not available: see fulltext.]","author":[{"dropping-particle":"","family":"Barampouti","given":"Elli Maria","non-dropping-particle":"","parse-names":false,"suffix":""},{"dropping-particle":"","family":"Grammatikos","given":"Christos","non-dropping-particle":"","parse-names":false,"suffix":""},{"dropping-particle":"","family":"Stoumpou","given":"Vasileia","non-dropping-particle":"","parse-names":false,"suffix":""},{"dropping-particle":"","family":"Malamis","given":"Dimitris","non-dropping-particle":"","parse-names":false,"suffix":""},{"dropping-particle":"","family":"Mai","given":"Sofia","non-dropping-particle":"","parse-names":false,"suffix":""}],"container-title":"Waste and Biomass Valorization","id":"ITEM-1","issued":{"date-parts":[["2021"]]},"title":"Emerging Synergies on the Co-treatment of Spent Coffee Grounds and Brewer’s Spent Grains for Ethanol Production","type":"article-journal"},"uris":["http://www.mendeley.com/documents/?uuid=613f93dd-1f17-3a2e-b821-2c4f1d45410a"]}],"mendeley":{"formattedCitation":"(Barampouti et al., 2021)","plainTextFormattedCitation":"(Barampouti et al., 2021)","previouslyFormattedCitation":"(Barampouti et al., 2021)"},"properties":{"noteIndex":0},"schema":"https://github.com/citation-style-language/schema/raw/master/csl-citation.json"}</w:instrText>
      </w:r>
      <w:r w:rsidRPr="00E80227">
        <w:fldChar w:fldCharType="separate"/>
      </w:r>
      <w:r w:rsidR="00014750" w:rsidRPr="00FF1680">
        <w:rPr>
          <w:noProof/>
        </w:rPr>
        <w:t>(Barampouti et al., 2021)</w:t>
      </w:r>
      <w:r w:rsidRPr="00E80227">
        <w:fldChar w:fldCharType="end"/>
      </w:r>
      <w:r w:rsidRPr="00E80227">
        <w:t>.</w:t>
      </w:r>
    </w:p>
    <w:p w14:paraId="17C5A78C" w14:textId="18C49AD7" w:rsidR="00BB3392" w:rsidRPr="00E80227" w:rsidRDefault="00E80227" w:rsidP="0080510E">
      <w:pPr>
        <w:pStyle w:val="CETBodytext"/>
        <w:rPr>
          <w:b/>
          <w:bCs/>
        </w:rPr>
      </w:pPr>
      <w:r w:rsidRPr="00E80227">
        <w:t>The inoculum was an agricultural digestate obtained from a full-scale biogas plant near Isola Della Scala, Verona, Italy. The characterization of the substrates and inoculum are listed in Table 1.</w:t>
      </w:r>
    </w:p>
    <w:p w14:paraId="2428DDC7" w14:textId="756FA56C" w:rsidR="00083D8E" w:rsidRDefault="00083D8E" w:rsidP="00083D8E">
      <w:pPr>
        <w:pStyle w:val="CETTabletitle"/>
      </w:pPr>
      <w:r>
        <w:t xml:space="preserve">Table </w:t>
      </w:r>
      <w:r>
        <w:fldChar w:fldCharType="begin"/>
      </w:r>
      <w:r>
        <w:instrText xml:space="preserve"> SEQ Table \* ARABIC </w:instrText>
      </w:r>
      <w:r>
        <w:fldChar w:fldCharType="separate"/>
      </w:r>
      <w:r>
        <w:rPr>
          <w:noProof/>
        </w:rPr>
        <w:t>1</w:t>
      </w:r>
      <w:r>
        <w:fldChar w:fldCharType="end"/>
      </w:r>
      <w:r w:rsidRPr="00E86322">
        <w:t>. Chemical characterization of inoculum and substrates. “</w:t>
      </w:r>
      <w:proofErr w:type="spellStart"/>
      <w:r w:rsidRPr="00E86322">
        <w:t>na</w:t>
      </w:r>
      <w:proofErr w:type="spellEnd"/>
      <w:r w:rsidRPr="00E86322">
        <w:t>” means “not available”</w:t>
      </w:r>
    </w:p>
    <w:tbl>
      <w:tblPr>
        <w:tblW w:w="85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41"/>
        <w:gridCol w:w="1134"/>
        <w:gridCol w:w="1134"/>
        <w:gridCol w:w="1892"/>
        <w:gridCol w:w="1134"/>
      </w:tblGrid>
      <w:tr w:rsidR="00BB3392" w:rsidRPr="00B57B36" w14:paraId="4F662222" w14:textId="77777777" w:rsidTr="00C0733C">
        <w:tc>
          <w:tcPr>
            <w:tcW w:w="3241" w:type="dxa"/>
            <w:tcBorders>
              <w:top w:val="single" w:sz="12" w:space="0" w:color="008000"/>
              <w:bottom w:val="single" w:sz="6" w:space="0" w:color="008000"/>
            </w:tcBorders>
            <w:shd w:val="clear" w:color="auto" w:fill="FFFFFF"/>
          </w:tcPr>
          <w:p w14:paraId="1C21DD16" w14:textId="77777777" w:rsidR="00BB3392" w:rsidRPr="00B57B36" w:rsidRDefault="00BB3392" w:rsidP="00335F65">
            <w:pPr>
              <w:pStyle w:val="CETBodytext"/>
              <w:rPr>
                <w:lang w:val="en-GB"/>
              </w:rPr>
            </w:pPr>
          </w:p>
        </w:tc>
        <w:tc>
          <w:tcPr>
            <w:tcW w:w="1134" w:type="dxa"/>
            <w:tcBorders>
              <w:top w:val="single" w:sz="12" w:space="0" w:color="008000"/>
              <w:bottom w:val="single" w:sz="6" w:space="0" w:color="008000"/>
            </w:tcBorders>
            <w:shd w:val="clear" w:color="auto" w:fill="FFFFFF"/>
          </w:tcPr>
          <w:p w14:paraId="5A2B4758" w14:textId="77777777" w:rsidR="00BB3392" w:rsidRPr="00B57B36" w:rsidRDefault="00BB3392" w:rsidP="00335F65">
            <w:pPr>
              <w:pStyle w:val="CETBodytext"/>
              <w:rPr>
                <w:lang w:val="en-GB"/>
              </w:rPr>
            </w:pPr>
            <w:r w:rsidRPr="00BB3392">
              <w:rPr>
                <w:lang w:val="en-GB"/>
              </w:rPr>
              <w:t>Digestate</w:t>
            </w:r>
          </w:p>
        </w:tc>
        <w:tc>
          <w:tcPr>
            <w:tcW w:w="1134" w:type="dxa"/>
            <w:tcBorders>
              <w:top w:val="single" w:sz="12" w:space="0" w:color="008000"/>
              <w:bottom w:val="single" w:sz="6" w:space="0" w:color="008000"/>
            </w:tcBorders>
            <w:shd w:val="clear" w:color="auto" w:fill="FFFFFF"/>
          </w:tcPr>
          <w:p w14:paraId="495CD735" w14:textId="77777777" w:rsidR="00BB3392" w:rsidRPr="00B57B36" w:rsidRDefault="00BB3392" w:rsidP="00335F65">
            <w:pPr>
              <w:pStyle w:val="CETBodytext"/>
              <w:rPr>
                <w:lang w:val="en-GB"/>
              </w:rPr>
            </w:pPr>
            <w:r w:rsidRPr="00BB3392">
              <w:rPr>
                <w:lang w:val="en-GB"/>
              </w:rPr>
              <w:t>Condensate</w:t>
            </w:r>
          </w:p>
        </w:tc>
        <w:tc>
          <w:tcPr>
            <w:tcW w:w="1892" w:type="dxa"/>
            <w:tcBorders>
              <w:top w:val="single" w:sz="12" w:space="0" w:color="008000"/>
              <w:bottom w:val="single" w:sz="6" w:space="0" w:color="008000"/>
            </w:tcBorders>
            <w:shd w:val="clear" w:color="auto" w:fill="FFFFFF"/>
          </w:tcPr>
          <w:p w14:paraId="09B8D6BC" w14:textId="77777777" w:rsidR="00BB3392" w:rsidRPr="00B57B36" w:rsidRDefault="00BB3392" w:rsidP="00335F65">
            <w:pPr>
              <w:pStyle w:val="CETBodytext"/>
              <w:rPr>
                <w:lang w:val="en-GB"/>
              </w:rPr>
            </w:pPr>
            <w:r w:rsidRPr="00BB3392">
              <w:rPr>
                <w:lang w:val="en-GB"/>
              </w:rPr>
              <w:t>Spent Coffee Grounds</w:t>
            </w:r>
          </w:p>
        </w:tc>
        <w:tc>
          <w:tcPr>
            <w:tcW w:w="1134" w:type="dxa"/>
            <w:tcBorders>
              <w:top w:val="single" w:sz="12" w:space="0" w:color="008000"/>
              <w:bottom w:val="single" w:sz="6" w:space="0" w:color="008000"/>
            </w:tcBorders>
            <w:shd w:val="clear" w:color="auto" w:fill="FFFFFF"/>
          </w:tcPr>
          <w:p w14:paraId="1312B2E8" w14:textId="77777777" w:rsidR="00BB3392" w:rsidRPr="00B57B36" w:rsidRDefault="00BB3392" w:rsidP="00335F65">
            <w:pPr>
              <w:pStyle w:val="CETBodytext"/>
              <w:rPr>
                <w:lang w:val="en-GB"/>
              </w:rPr>
            </w:pPr>
            <w:r w:rsidRPr="00BB3392">
              <w:rPr>
                <w:lang w:val="en-GB"/>
              </w:rPr>
              <w:t>Food Stillage</w:t>
            </w:r>
          </w:p>
        </w:tc>
      </w:tr>
      <w:tr w:rsidR="00BB3392" w:rsidRPr="00B57B36" w14:paraId="716BB509" w14:textId="77777777" w:rsidTr="00C0733C">
        <w:tc>
          <w:tcPr>
            <w:tcW w:w="3241" w:type="dxa"/>
            <w:shd w:val="clear" w:color="auto" w:fill="FFFFFF"/>
          </w:tcPr>
          <w:p w14:paraId="1C384081" w14:textId="34351D59" w:rsidR="00BB3392" w:rsidRPr="00B57B36" w:rsidRDefault="00BB3392" w:rsidP="00335F65">
            <w:pPr>
              <w:pStyle w:val="CETBodytext"/>
              <w:rPr>
                <w:lang w:val="en-GB"/>
              </w:rPr>
            </w:pPr>
            <w:r w:rsidRPr="00BB3392">
              <w:rPr>
                <w:lang w:val="en-GB"/>
              </w:rPr>
              <w:t>T</w:t>
            </w:r>
            <w:r w:rsidR="001E51C5">
              <w:rPr>
                <w:lang w:val="en-GB"/>
              </w:rPr>
              <w:t xml:space="preserve">otal </w:t>
            </w:r>
            <w:r w:rsidRPr="00BB3392">
              <w:rPr>
                <w:lang w:val="en-GB"/>
              </w:rPr>
              <w:t>S</w:t>
            </w:r>
            <w:r w:rsidR="001E51C5">
              <w:rPr>
                <w:lang w:val="en-GB"/>
              </w:rPr>
              <w:t>olids (TS)</w:t>
            </w:r>
            <w:r w:rsidRPr="00BB3392">
              <w:rPr>
                <w:lang w:val="en-GB"/>
              </w:rPr>
              <w:t xml:space="preserve"> (% w/w)</w:t>
            </w:r>
          </w:p>
        </w:tc>
        <w:tc>
          <w:tcPr>
            <w:tcW w:w="1134" w:type="dxa"/>
            <w:shd w:val="clear" w:color="auto" w:fill="FFFFFF"/>
          </w:tcPr>
          <w:p w14:paraId="350F59A6" w14:textId="77777777" w:rsidR="00BB3392" w:rsidRPr="00B57B36" w:rsidRDefault="00BB3392" w:rsidP="00335F65">
            <w:pPr>
              <w:pStyle w:val="CETBodytext"/>
              <w:rPr>
                <w:lang w:val="en-GB"/>
              </w:rPr>
            </w:pPr>
            <w:r w:rsidRPr="00BB3392">
              <w:rPr>
                <w:lang w:val="en-GB"/>
              </w:rPr>
              <w:t>2.25 ± 0.31</w:t>
            </w:r>
          </w:p>
        </w:tc>
        <w:tc>
          <w:tcPr>
            <w:tcW w:w="1134" w:type="dxa"/>
            <w:shd w:val="clear" w:color="auto" w:fill="FFFFFF"/>
          </w:tcPr>
          <w:p w14:paraId="28EF0568" w14:textId="77777777" w:rsidR="00BB3392" w:rsidRPr="00B57B36" w:rsidRDefault="00BB3392" w:rsidP="00335F65">
            <w:pPr>
              <w:pStyle w:val="CETBodytext"/>
              <w:rPr>
                <w:lang w:val="en-GB"/>
              </w:rPr>
            </w:pPr>
            <w:r w:rsidRPr="00BB3392">
              <w:rPr>
                <w:lang w:val="en-GB"/>
              </w:rPr>
              <w:t>0.02 ± 0.01</w:t>
            </w:r>
          </w:p>
        </w:tc>
        <w:tc>
          <w:tcPr>
            <w:tcW w:w="1892" w:type="dxa"/>
            <w:shd w:val="clear" w:color="auto" w:fill="FFFFFF"/>
          </w:tcPr>
          <w:p w14:paraId="74AF20EC" w14:textId="77777777" w:rsidR="00BB3392" w:rsidRPr="00B57B36" w:rsidRDefault="00BB3392" w:rsidP="00335F65">
            <w:pPr>
              <w:pStyle w:val="CETBodytext"/>
              <w:rPr>
                <w:lang w:val="en-GB"/>
              </w:rPr>
            </w:pPr>
            <w:r w:rsidRPr="00BB3392">
              <w:rPr>
                <w:lang w:val="en-GB"/>
              </w:rPr>
              <w:t>5.63 ± 0.50</w:t>
            </w:r>
          </w:p>
        </w:tc>
        <w:tc>
          <w:tcPr>
            <w:tcW w:w="1134" w:type="dxa"/>
            <w:shd w:val="clear" w:color="auto" w:fill="FFFFFF"/>
          </w:tcPr>
          <w:p w14:paraId="7D8EFC23" w14:textId="77777777" w:rsidR="00BB3392" w:rsidRPr="00B57B36" w:rsidRDefault="00BB3392" w:rsidP="00335F65">
            <w:pPr>
              <w:pStyle w:val="CETBodytext"/>
              <w:rPr>
                <w:lang w:val="en-GB"/>
              </w:rPr>
            </w:pPr>
            <w:r w:rsidRPr="00BB3392">
              <w:rPr>
                <w:lang w:val="en-GB"/>
              </w:rPr>
              <w:t>18.56 ± 0.19</w:t>
            </w:r>
          </w:p>
        </w:tc>
      </w:tr>
      <w:tr w:rsidR="00BB3392" w:rsidRPr="00B57B36" w14:paraId="6FABB65E" w14:textId="77777777" w:rsidTr="00C0733C">
        <w:tc>
          <w:tcPr>
            <w:tcW w:w="3241" w:type="dxa"/>
            <w:shd w:val="clear" w:color="auto" w:fill="FFFFFF"/>
          </w:tcPr>
          <w:p w14:paraId="4C0D10E1" w14:textId="3F712551" w:rsidR="00BB3392" w:rsidRPr="00B57B36" w:rsidRDefault="00BB3392" w:rsidP="00335F65">
            <w:pPr>
              <w:pStyle w:val="CETBodytext"/>
              <w:ind w:right="-1"/>
              <w:rPr>
                <w:rFonts w:cs="Arial"/>
                <w:szCs w:val="18"/>
                <w:lang w:val="en-GB"/>
              </w:rPr>
            </w:pPr>
            <w:r w:rsidRPr="00BB3392">
              <w:rPr>
                <w:lang w:val="en-GB"/>
              </w:rPr>
              <w:t>V</w:t>
            </w:r>
            <w:r w:rsidR="00474BD1">
              <w:rPr>
                <w:lang w:val="en-GB"/>
              </w:rPr>
              <w:t xml:space="preserve">olatile </w:t>
            </w:r>
            <w:r w:rsidRPr="00BB3392">
              <w:rPr>
                <w:lang w:val="en-GB"/>
              </w:rPr>
              <w:t>S</w:t>
            </w:r>
            <w:r w:rsidR="00474BD1">
              <w:rPr>
                <w:lang w:val="en-GB"/>
              </w:rPr>
              <w:t>olids</w:t>
            </w:r>
            <w:r w:rsidRPr="00BB3392">
              <w:rPr>
                <w:lang w:val="en-GB"/>
              </w:rPr>
              <w:t>/T</w:t>
            </w:r>
            <w:r w:rsidR="00474BD1">
              <w:rPr>
                <w:lang w:val="en-GB"/>
              </w:rPr>
              <w:t xml:space="preserve">otal </w:t>
            </w:r>
            <w:r w:rsidRPr="00BB3392">
              <w:rPr>
                <w:lang w:val="en-GB"/>
              </w:rPr>
              <w:t>S</w:t>
            </w:r>
            <w:r w:rsidR="00474BD1">
              <w:rPr>
                <w:lang w:val="en-GB"/>
              </w:rPr>
              <w:t>olids (VS/TS)</w:t>
            </w:r>
            <w:r w:rsidRPr="00BB3392">
              <w:rPr>
                <w:lang w:val="en-GB"/>
              </w:rPr>
              <w:t xml:space="preserve"> (%)</w:t>
            </w:r>
          </w:p>
        </w:tc>
        <w:tc>
          <w:tcPr>
            <w:tcW w:w="1134" w:type="dxa"/>
            <w:shd w:val="clear" w:color="auto" w:fill="FFFFFF"/>
          </w:tcPr>
          <w:p w14:paraId="2C4D7642" w14:textId="77777777" w:rsidR="00BB3392" w:rsidRPr="00B57B36" w:rsidRDefault="00BB3392" w:rsidP="00335F65">
            <w:pPr>
              <w:pStyle w:val="CETBodytext"/>
              <w:ind w:right="-1"/>
              <w:rPr>
                <w:rFonts w:cs="Arial"/>
                <w:szCs w:val="18"/>
                <w:lang w:val="en-GB"/>
              </w:rPr>
            </w:pPr>
            <w:r w:rsidRPr="00BB3392">
              <w:rPr>
                <w:lang w:val="en-GB"/>
              </w:rPr>
              <w:t>57.44 ± 1.05</w:t>
            </w:r>
          </w:p>
        </w:tc>
        <w:tc>
          <w:tcPr>
            <w:tcW w:w="1134" w:type="dxa"/>
            <w:shd w:val="clear" w:color="auto" w:fill="FFFFFF"/>
          </w:tcPr>
          <w:p w14:paraId="32BE98BF" w14:textId="77777777" w:rsidR="00BB3392" w:rsidRPr="00B57B36" w:rsidRDefault="00BB3392" w:rsidP="00335F65">
            <w:pPr>
              <w:pStyle w:val="CETBodytext"/>
              <w:ind w:right="-1"/>
              <w:rPr>
                <w:rFonts w:cs="Arial"/>
                <w:szCs w:val="18"/>
                <w:lang w:val="en-GB"/>
              </w:rPr>
            </w:pPr>
            <w:r w:rsidRPr="00BB3392">
              <w:rPr>
                <w:lang w:val="en-GB"/>
              </w:rPr>
              <w:t>99.99 ± 0.01</w:t>
            </w:r>
          </w:p>
        </w:tc>
        <w:tc>
          <w:tcPr>
            <w:tcW w:w="1892" w:type="dxa"/>
            <w:shd w:val="clear" w:color="auto" w:fill="FFFFFF"/>
          </w:tcPr>
          <w:p w14:paraId="54F697E6" w14:textId="77777777" w:rsidR="00BB3392" w:rsidRPr="00B57B36" w:rsidRDefault="00BB3392" w:rsidP="00335F65">
            <w:pPr>
              <w:pStyle w:val="CETBodytext"/>
              <w:ind w:right="-1"/>
              <w:rPr>
                <w:rFonts w:cs="Arial"/>
                <w:szCs w:val="18"/>
                <w:lang w:val="en-GB"/>
              </w:rPr>
            </w:pPr>
            <w:r w:rsidRPr="00BB3392">
              <w:rPr>
                <w:lang w:val="en-GB"/>
              </w:rPr>
              <w:t>62.62 ± 1.52</w:t>
            </w:r>
          </w:p>
        </w:tc>
        <w:tc>
          <w:tcPr>
            <w:tcW w:w="1134" w:type="dxa"/>
            <w:shd w:val="clear" w:color="auto" w:fill="FFFFFF"/>
          </w:tcPr>
          <w:p w14:paraId="132E3B75" w14:textId="77777777" w:rsidR="00BB3392" w:rsidRPr="00B57B36" w:rsidRDefault="00BB3392" w:rsidP="00335F65">
            <w:pPr>
              <w:pStyle w:val="CETBodytext"/>
              <w:ind w:right="-1"/>
              <w:rPr>
                <w:rFonts w:cs="Arial"/>
                <w:szCs w:val="18"/>
                <w:lang w:val="en-GB"/>
              </w:rPr>
            </w:pPr>
            <w:r w:rsidRPr="00BB3392">
              <w:rPr>
                <w:lang w:val="en-GB"/>
              </w:rPr>
              <w:t>86.03 ± 0.53</w:t>
            </w:r>
          </w:p>
        </w:tc>
      </w:tr>
      <w:tr w:rsidR="00BB3392" w:rsidRPr="00B57B36" w14:paraId="087D70FA" w14:textId="77777777" w:rsidTr="00C0733C">
        <w:tc>
          <w:tcPr>
            <w:tcW w:w="3241" w:type="dxa"/>
            <w:shd w:val="clear" w:color="auto" w:fill="FFFFFF"/>
          </w:tcPr>
          <w:p w14:paraId="29801D33" w14:textId="77777777" w:rsidR="00BB3392" w:rsidRPr="00BB3392" w:rsidRDefault="00BB3392" w:rsidP="00335F65">
            <w:pPr>
              <w:pStyle w:val="CETBodytext"/>
              <w:ind w:right="-1"/>
              <w:rPr>
                <w:lang w:val="en-GB"/>
              </w:rPr>
            </w:pPr>
            <w:r w:rsidRPr="00BB3392">
              <w:rPr>
                <w:lang w:val="en-GB"/>
              </w:rPr>
              <w:t>pH</w:t>
            </w:r>
          </w:p>
        </w:tc>
        <w:tc>
          <w:tcPr>
            <w:tcW w:w="1134" w:type="dxa"/>
            <w:shd w:val="clear" w:color="auto" w:fill="FFFFFF"/>
          </w:tcPr>
          <w:p w14:paraId="32ECFA7B" w14:textId="77777777" w:rsidR="00BB3392" w:rsidRPr="00BB3392" w:rsidRDefault="00BB3392" w:rsidP="00335F65">
            <w:pPr>
              <w:pStyle w:val="CETBodytext"/>
              <w:ind w:right="-1"/>
              <w:rPr>
                <w:lang w:val="en-GB"/>
              </w:rPr>
            </w:pPr>
            <w:r w:rsidRPr="00BB3392">
              <w:rPr>
                <w:lang w:val="en-GB"/>
              </w:rPr>
              <w:t>8.83 ± 0.01</w:t>
            </w:r>
          </w:p>
        </w:tc>
        <w:tc>
          <w:tcPr>
            <w:tcW w:w="1134" w:type="dxa"/>
            <w:shd w:val="clear" w:color="auto" w:fill="FFFFFF"/>
          </w:tcPr>
          <w:p w14:paraId="48520910" w14:textId="77777777" w:rsidR="00BB3392" w:rsidRPr="00BB3392" w:rsidRDefault="00BB3392" w:rsidP="00335F65">
            <w:pPr>
              <w:pStyle w:val="CETBodytext"/>
              <w:ind w:right="-1"/>
              <w:rPr>
                <w:lang w:val="en-GB"/>
              </w:rPr>
            </w:pPr>
            <w:r w:rsidRPr="00BB3392">
              <w:rPr>
                <w:lang w:val="en-GB"/>
              </w:rPr>
              <w:t>4.39 ± 0.02</w:t>
            </w:r>
          </w:p>
        </w:tc>
        <w:tc>
          <w:tcPr>
            <w:tcW w:w="1892" w:type="dxa"/>
            <w:shd w:val="clear" w:color="auto" w:fill="FFFFFF"/>
          </w:tcPr>
          <w:p w14:paraId="0E32967D" w14:textId="77777777" w:rsidR="00BB3392" w:rsidRPr="00BB3392" w:rsidRDefault="00BB3392" w:rsidP="00335F65">
            <w:pPr>
              <w:pStyle w:val="CETBodytext"/>
              <w:ind w:right="-1"/>
              <w:rPr>
                <w:lang w:val="en-GB"/>
              </w:rPr>
            </w:pPr>
            <w:r w:rsidRPr="00BB3392">
              <w:rPr>
                <w:lang w:val="en-GB"/>
              </w:rPr>
              <w:t>13.65 ± 0.02</w:t>
            </w:r>
          </w:p>
        </w:tc>
        <w:tc>
          <w:tcPr>
            <w:tcW w:w="1134" w:type="dxa"/>
            <w:shd w:val="clear" w:color="auto" w:fill="FFFFFF"/>
          </w:tcPr>
          <w:p w14:paraId="45C3ED8F" w14:textId="77777777" w:rsidR="00BB3392" w:rsidRPr="00BB3392" w:rsidRDefault="00BB3392" w:rsidP="00335F65">
            <w:pPr>
              <w:pStyle w:val="CETBodytext"/>
              <w:ind w:right="-1"/>
              <w:rPr>
                <w:lang w:val="en-GB"/>
              </w:rPr>
            </w:pPr>
            <w:r w:rsidRPr="00BB3392">
              <w:rPr>
                <w:lang w:val="en-GB"/>
              </w:rPr>
              <w:t>5.85 ± 0.01</w:t>
            </w:r>
          </w:p>
        </w:tc>
      </w:tr>
      <w:tr w:rsidR="00BB3392" w:rsidRPr="00B57B36" w14:paraId="792C9D34" w14:textId="77777777" w:rsidTr="00C0733C">
        <w:tc>
          <w:tcPr>
            <w:tcW w:w="3241" w:type="dxa"/>
            <w:shd w:val="clear" w:color="auto" w:fill="FFFFFF"/>
          </w:tcPr>
          <w:p w14:paraId="4F63DB1F" w14:textId="126BEC96" w:rsidR="00BB3392" w:rsidRPr="00BB3392" w:rsidRDefault="00BB3392" w:rsidP="00335F65">
            <w:pPr>
              <w:pStyle w:val="CETBodytext"/>
              <w:ind w:right="-1"/>
              <w:rPr>
                <w:lang w:val="en-GB"/>
              </w:rPr>
            </w:pPr>
            <w:r w:rsidRPr="00BB3392">
              <w:rPr>
                <w:lang w:val="en-GB"/>
              </w:rPr>
              <w:t>C</w:t>
            </w:r>
            <w:r w:rsidR="00474BD1">
              <w:rPr>
                <w:lang w:val="en-GB"/>
              </w:rPr>
              <w:t xml:space="preserve">hemical </w:t>
            </w:r>
            <w:r w:rsidRPr="00BB3392">
              <w:rPr>
                <w:lang w:val="en-GB"/>
              </w:rPr>
              <w:t>O</w:t>
            </w:r>
            <w:r w:rsidR="00474BD1">
              <w:rPr>
                <w:lang w:val="en-GB"/>
              </w:rPr>
              <w:t xml:space="preserve">xygen </w:t>
            </w:r>
            <w:r w:rsidRPr="00BB3392">
              <w:rPr>
                <w:lang w:val="en-GB"/>
              </w:rPr>
              <w:t>D</w:t>
            </w:r>
            <w:r w:rsidR="00474BD1">
              <w:rPr>
                <w:lang w:val="en-GB"/>
              </w:rPr>
              <w:t>emand (COD)</w:t>
            </w:r>
            <w:r w:rsidRPr="00BB3392">
              <w:rPr>
                <w:lang w:val="en-GB"/>
              </w:rPr>
              <w:t xml:space="preserve"> (g/L)</w:t>
            </w:r>
          </w:p>
        </w:tc>
        <w:tc>
          <w:tcPr>
            <w:tcW w:w="1134" w:type="dxa"/>
            <w:shd w:val="clear" w:color="auto" w:fill="FFFFFF"/>
          </w:tcPr>
          <w:p w14:paraId="44DA05DC" w14:textId="77777777" w:rsidR="00BB3392" w:rsidRPr="00BB3392" w:rsidRDefault="00BB3392" w:rsidP="00335F65">
            <w:pPr>
              <w:pStyle w:val="CETBodytext"/>
              <w:ind w:right="-1"/>
              <w:rPr>
                <w:lang w:val="en-GB"/>
              </w:rPr>
            </w:pPr>
            <w:r w:rsidRPr="00BB3392">
              <w:rPr>
                <w:lang w:val="en-GB"/>
              </w:rPr>
              <w:t>30.21 ± 0.23</w:t>
            </w:r>
          </w:p>
        </w:tc>
        <w:tc>
          <w:tcPr>
            <w:tcW w:w="1134" w:type="dxa"/>
            <w:shd w:val="clear" w:color="auto" w:fill="FFFFFF"/>
          </w:tcPr>
          <w:p w14:paraId="7B1F9B57" w14:textId="77777777" w:rsidR="00BB3392" w:rsidRPr="00BB3392" w:rsidRDefault="00BB3392" w:rsidP="00335F65">
            <w:pPr>
              <w:pStyle w:val="CETBodytext"/>
              <w:ind w:right="-1"/>
              <w:rPr>
                <w:lang w:val="en-GB"/>
              </w:rPr>
            </w:pPr>
            <w:r w:rsidRPr="00BB3392">
              <w:rPr>
                <w:lang w:val="en-GB"/>
              </w:rPr>
              <w:t>23.46 ± 0.41</w:t>
            </w:r>
          </w:p>
        </w:tc>
        <w:tc>
          <w:tcPr>
            <w:tcW w:w="1892" w:type="dxa"/>
            <w:shd w:val="clear" w:color="auto" w:fill="FFFFFF"/>
          </w:tcPr>
          <w:p w14:paraId="06975152" w14:textId="77777777" w:rsidR="00BB3392" w:rsidRPr="00BB3392" w:rsidRDefault="00BB3392" w:rsidP="00335F65">
            <w:pPr>
              <w:pStyle w:val="CETBodytext"/>
              <w:ind w:right="-1"/>
              <w:rPr>
                <w:lang w:val="en-GB"/>
              </w:rPr>
            </w:pPr>
            <w:r w:rsidRPr="00BB3392">
              <w:rPr>
                <w:lang w:val="en-GB"/>
              </w:rPr>
              <w:t>55.20 ± 0.67</w:t>
            </w:r>
          </w:p>
        </w:tc>
        <w:tc>
          <w:tcPr>
            <w:tcW w:w="1134" w:type="dxa"/>
            <w:shd w:val="clear" w:color="auto" w:fill="FFFFFF"/>
          </w:tcPr>
          <w:p w14:paraId="76175BE0" w14:textId="77777777" w:rsidR="00BB3392" w:rsidRPr="00BB3392" w:rsidRDefault="00BB3392" w:rsidP="00335F65">
            <w:pPr>
              <w:pStyle w:val="CETBodytext"/>
              <w:ind w:right="-1"/>
              <w:rPr>
                <w:lang w:val="en-GB"/>
              </w:rPr>
            </w:pPr>
            <w:r w:rsidRPr="00BB3392">
              <w:rPr>
                <w:lang w:val="en-GB"/>
              </w:rPr>
              <w:t>94.81 ± 0.84</w:t>
            </w:r>
          </w:p>
        </w:tc>
      </w:tr>
      <w:tr w:rsidR="00BB3392" w:rsidRPr="00B57B36" w14:paraId="15528CEF" w14:textId="77777777" w:rsidTr="00C0733C">
        <w:tc>
          <w:tcPr>
            <w:tcW w:w="3241" w:type="dxa"/>
            <w:shd w:val="clear" w:color="auto" w:fill="FFFFFF"/>
          </w:tcPr>
          <w:p w14:paraId="3F97C568" w14:textId="04E36AF1" w:rsidR="00BB3392" w:rsidRPr="00BB3392" w:rsidRDefault="0009327F" w:rsidP="00335F65">
            <w:pPr>
              <w:pStyle w:val="CETBodytext"/>
              <w:ind w:right="-1"/>
              <w:rPr>
                <w:lang w:val="en-GB"/>
              </w:rPr>
            </w:pPr>
            <w:r w:rsidRPr="0009327F">
              <w:rPr>
                <w:lang w:val="en-GB"/>
              </w:rPr>
              <w:t xml:space="preserve">Total </w:t>
            </w:r>
            <w:proofErr w:type="spellStart"/>
            <w:r w:rsidRPr="0009327F">
              <w:rPr>
                <w:lang w:val="en-GB"/>
              </w:rPr>
              <w:t>Kjeldahl</w:t>
            </w:r>
            <w:proofErr w:type="spellEnd"/>
            <w:r w:rsidRPr="0009327F">
              <w:rPr>
                <w:lang w:val="en-GB"/>
              </w:rPr>
              <w:t xml:space="preserve"> Nitrogen</w:t>
            </w:r>
            <w:r w:rsidRPr="0009327F" w:rsidDel="0009327F">
              <w:rPr>
                <w:lang w:val="en-GB"/>
              </w:rPr>
              <w:t xml:space="preserve"> </w:t>
            </w:r>
            <w:r>
              <w:rPr>
                <w:lang w:val="en-GB"/>
              </w:rPr>
              <w:t>(</w:t>
            </w:r>
            <w:r w:rsidR="00BB3392" w:rsidRPr="00BB3392">
              <w:rPr>
                <w:lang w:val="en-GB"/>
              </w:rPr>
              <w:t>TKN</w:t>
            </w:r>
            <w:r>
              <w:rPr>
                <w:lang w:val="en-GB"/>
              </w:rPr>
              <w:t>)</w:t>
            </w:r>
            <w:r w:rsidR="00BB3392" w:rsidRPr="00BB3392">
              <w:rPr>
                <w:lang w:val="en-GB"/>
              </w:rPr>
              <w:t>(g/L)</w:t>
            </w:r>
          </w:p>
        </w:tc>
        <w:tc>
          <w:tcPr>
            <w:tcW w:w="1134" w:type="dxa"/>
            <w:shd w:val="clear" w:color="auto" w:fill="FFFFFF"/>
          </w:tcPr>
          <w:p w14:paraId="3C7D07D0" w14:textId="77777777" w:rsidR="00BB3392" w:rsidRPr="00BB3392" w:rsidRDefault="00BB3392" w:rsidP="00335F65">
            <w:pPr>
              <w:pStyle w:val="CETBodytext"/>
              <w:ind w:right="-1"/>
              <w:rPr>
                <w:lang w:val="en-GB"/>
              </w:rPr>
            </w:pPr>
            <w:r w:rsidRPr="00BB3392">
              <w:rPr>
                <w:lang w:val="en-GB"/>
              </w:rPr>
              <w:t>2.65 ± 0.81</w:t>
            </w:r>
          </w:p>
        </w:tc>
        <w:tc>
          <w:tcPr>
            <w:tcW w:w="1134" w:type="dxa"/>
            <w:shd w:val="clear" w:color="auto" w:fill="FFFFFF"/>
          </w:tcPr>
          <w:p w14:paraId="23A19905" w14:textId="77777777" w:rsidR="00BB3392" w:rsidRPr="00BB3392" w:rsidRDefault="00BB3392" w:rsidP="00335F65">
            <w:pPr>
              <w:pStyle w:val="CETBodytext"/>
              <w:ind w:right="-1"/>
              <w:rPr>
                <w:lang w:val="en-GB"/>
              </w:rPr>
            </w:pPr>
            <w:proofErr w:type="spellStart"/>
            <w:r w:rsidRPr="00BB3392">
              <w:rPr>
                <w:lang w:val="en-GB"/>
              </w:rPr>
              <w:t>nd</w:t>
            </w:r>
            <w:proofErr w:type="spellEnd"/>
          </w:p>
        </w:tc>
        <w:tc>
          <w:tcPr>
            <w:tcW w:w="1892" w:type="dxa"/>
            <w:shd w:val="clear" w:color="auto" w:fill="FFFFFF"/>
          </w:tcPr>
          <w:p w14:paraId="09782239" w14:textId="77777777" w:rsidR="00BB3392" w:rsidRPr="00BB3392" w:rsidRDefault="00BB3392" w:rsidP="00335F65">
            <w:pPr>
              <w:pStyle w:val="CETBodytext"/>
              <w:ind w:right="-1"/>
              <w:rPr>
                <w:lang w:val="en-GB"/>
              </w:rPr>
            </w:pPr>
            <w:r w:rsidRPr="00BB3392">
              <w:rPr>
                <w:lang w:val="en-GB"/>
              </w:rPr>
              <w:t>1.16 ± 0.15</w:t>
            </w:r>
          </w:p>
        </w:tc>
        <w:tc>
          <w:tcPr>
            <w:tcW w:w="1134" w:type="dxa"/>
            <w:shd w:val="clear" w:color="auto" w:fill="FFFFFF"/>
          </w:tcPr>
          <w:p w14:paraId="60C58A2B" w14:textId="77777777" w:rsidR="00BB3392" w:rsidRPr="00BB3392" w:rsidRDefault="00BB3392" w:rsidP="00335F65">
            <w:pPr>
              <w:pStyle w:val="CETBodytext"/>
              <w:ind w:right="-1"/>
              <w:rPr>
                <w:lang w:val="en-GB"/>
              </w:rPr>
            </w:pPr>
            <w:proofErr w:type="spellStart"/>
            <w:r w:rsidRPr="00BB3392">
              <w:rPr>
                <w:lang w:val="en-GB"/>
              </w:rPr>
              <w:t>nd</w:t>
            </w:r>
            <w:proofErr w:type="spellEnd"/>
          </w:p>
        </w:tc>
      </w:tr>
    </w:tbl>
    <w:p w14:paraId="62C6B458" w14:textId="48A2EAF0" w:rsidR="00BB3392" w:rsidRDefault="00B80902" w:rsidP="005E1883">
      <w:pPr>
        <w:pStyle w:val="CETheadingx"/>
      </w:pPr>
      <w:r>
        <w:t>VFAs</w:t>
      </w:r>
      <w:r w:rsidR="00BB3392">
        <w:t xml:space="preserve"> production from substrates</w:t>
      </w:r>
    </w:p>
    <w:p w14:paraId="2D68829A" w14:textId="40CE1EA8" w:rsidR="006C7E64" w:rsidRDefault="006C7E64" w:rsidP="00D173B9">
      <w:pPr>
        <w:pStyle w:val="CETBodytext"/>
      </w:pPr>
      <w:proofErr w:type="gramStart"/>
      <w:r>
        <w:t>In order to</w:t>
      </w:r>
      <w:proofErr w:type="gramEnd"/>
      <w:r>
        <w:t xml:space="preserve"> evaluate the </w:t>
      </w:r>
      <w:r w:rsidR="00B80902">
        <w:t>VFAs</w:t>
      </w:r>
      <w:r>
        <w:t xml:space="preserve"> production from the acidogenic fermentation of the substrates, the three substrates were tested in a CSTR reactors having a working volume of about 500 mL in batch-mode. The tests were conducted in mesophilic condition (37 °C), under three different pH conditions: uncontrolled pH, 7 and 12. pH was adjusted at the beginning of the tests by the addition of NaOH or HCl (1 M). The inoculum was added with a fixed substrate-inoculum ratio of 10:1, considering Chemical Oxygen Demand (COD). This substrate-inoculum ratio was chosen following the work from </w:t>
      </w:r>
      <w:proofErr w:type="spellStart"/>
      <w:r>
        <w:t>Strazzera</w:t>
      </w:r>
      <w:proofErr w:type="spellEnd"/>
      <w:r>
        <w:t xml:space="preserve"> et al.</w:t>
      </w:r>
      <w:r w:rsidR="006F7126">
        <w:t xml:space="preserve"> </w:t>
      </w:r>
      <w:r>
        <w:fldChar w:fldCharType="begin" w:fldLock="1"/>
      </w:r>
      <w:r w:rsidR="00E22620">
        <w:instrText>ADDIN CSL_CITATION {"citationItems":[{"id":"ITEM-1","itemData":{"DOI":"10.1016/j.jenvman.2018.08.039","ISSN":"10958630","PMID":"30121464","abstract":"Volatile fatty acids (VFAs) are a class of largely used compounds in the chemical industry, serving as starting molecules for bioenergy production and for the synthesis of a variety of products, such as biopolymers, reduced chemicals and derivatives. Because of the huge amounts of food waste generated from household and processing industry, 47 and 17 million tons per year respectively only in the EU-28 Countries, food wastes can be the right candidate for volatile fatty acids production. This review investigates all the major topics involved in the optimization of VFAs production from food wastes. Regarding the best operative conditions for the anaerobic fermenter controlled pH in the neutral range (6.0–7.0), short HRT (lower than 10 days), thermophilic temperatures and an organic loading rate of about 10 kgVS/m3d, allowed for an increase in the VFAs concentration between 10 and 25%. It was also found that additions of mineral acids, from 0.5 to 3.0%, and thermal pretreatment in the range 140–170 °C increase the organic matter solubilisation. Applications of VFAs considered in this study were biofuels and bioplastics production as well as nutrients removal in biological wastewater treatment processes.","author":[{"dropping-particle":"","family":"Strazzera","given":"Giuseppe","non-dropping-particle":"","parse-names":false,"suffix":""},{"dropping-particle":"","family":"Battista","given":"Federico","non-dropping-particle":"","parse-names":false,"suffix":""},{"dropping-particle":"","family":"Garcia","given":"Natalia Herrero","non-dropping-particle":"","parse-names":false,"suffix":""},{"dropping-particle":"","family":"Frison","given":"Nicola","non-dropping-particle":"","parse-names":false,"suffix":""},{"dropping-particle":"","family":"Bolzonella","given":"David","non-dropping-particle":"","parse-names":false,"suffix":""}],"container-title":"Journal of Environmental Management","id":"ITEM-1","issue":"August","issued":{"date-parts":[["2018"]]},"page":"278-288","title":"Volatile fatty acids production from food wastes for biorefinery platforms: A review","type":"article-journal","volume":"226"},"uris":["http://www.mendeley.com/documents/?uuid=738524d5-b7f0-4b1c-b76a-c9573b4bbec5"]}],"mendeley":{"formattedCitation":"(Strazzera et al., 2018)","manualFormatting":"(2018)","plainTextFormattedCitation":"(Strazzera et al., 2018)","previouslyFormattedCitation":"(Strazzera et al., 2018)"},"properties":{"noteIndex":0},"schema":"https://github.com/citation-style-language/schema/raw/master/csl-citation.json"}</w:instrText>
      </w:r>
      <w:r>
        <w:fldChar w:fldCharType="separate"/>
      </w:r>
      <w:r w:rsidR="00E13CD5" w:rsidRPr="00E13CD5">
        <w:rPr>
          <w:noProof/>
        </w:rPr>
        <w:t>(2018)</w:t>
      </w:r>
      <w:r>
        <w:fldChar w:fldCharType="end"/>
      </w:r>
      <w:r>
        <w:t xml:space="preserve">, in order to guarantee carbon availability to the inoculum and promote </w:t>
      </w:r>
      <w:r w:rsidR="00B80902">
        <w:t>VFAs</w:t>
      </w:r>
      <w:r>
        <w:t xml:space="preserve"> production. Each test was conducted in triplicate </w:t>
      </w:r>
      <w:proofErr w:type="gramStart"/>
      <w:r>
        <w:t>in order to</w:t>
      </w:r>
      <w:proofErr w:type="gramEnd"/>
      <w:r>
        <w:t xml:space="preserve"> assure its repeatability. The end of the tests w</w:t>
      </w:r>
      <w:r w:rsidR="000D1967">
        <w:t>as</w:t>
      </w:r>
      <w:r>
        <w:t xml:space="preserve"> established considering the reaching of a stable </w:t>
      </w:r>
      <w:r w:rsidR="00B80902">
        <w:t>VFAs</w:t>
      </w:r>
      <w:r>
        <w:t xml:space="preserve"> concentration from the different typologies of substrates. 1mL of samples were collected every day for </w:t>
      </w:r>
      <w:r w:rsidR="00B80902">
        <w:t>VFAs</w:t>
      </w:r>
      <w:r>
        <w:t xml:space="preserve"> determination by ion chromatography system (</w:t>
      </w:r>
      <w:proofErr w:type="spellStart"/>
      <w:r w:rsidRPr="00581B20">
        <w:t>Dionex</w:t>
      </w:r>
      <w:proofErr w:type="spellEnd"/>
      <w:r w:rsidRPr="00581B20">
        <w:t xml:space="preserve"> ICS 1100 with </w:t>
      </w:r>
      <w:r>
        <w:t>ICE AS1</w:t>
      </w:r>
      <w:r w:rsidRPr="00581B20">
        <w:t xml:space="preserve"> column</w:t>
      </w:r>
      <w:r>
        <w:t xml:space="preserve">, </w:t>
      </w:r>
      <w:proofErr w:type="spellStart"/>
      <w:r>
        <w:t>Thermo</w:t>
      </w:r>
      <w:proofErr w:type="spellEnd"/>
      <w:r>
        <w:t xml:space="preserve"> Fisher Scientific, USA</w:t>
      </w:r>
      <w:r w:rsidRPr="00581B20">
        <w:t>)</w:t>
      </w:r>
      <w:r>
        <w:t xml:space="preserve">. </w:t>
      </w:r>
    </w:p>
    <w:p w14:paraId="1D671AE6" w14:textId="63EB2611" w:rsidR="006C7E64" w:rsidRDefault="006C7E64" w:rsidP="00D173B9">
      <w:pPr>
        <w:pStyle w:val="CETBodytext"/>
      </w:pPr>
      <w:r>
        <w:t xml:space="preserve">The </w:t>
      </w:r>
      <w:r w:rsidR="00B80902">
        <w:t>VFAs</w:t>
      </w:r>
      <w:r>
        <w:t xml:space="preserve"> production yields were referred to the COD amount added in the reaction medium following the formula:</w:t>
      </w:r>
    </w:p>
    <w:tbl>
      <w:tblPr>
        <w:tblStyle w:val="Tabellagriglia1chiara-colore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815"/>
      </w:tblGrid>
      <w:tr w:rsidR="00FC30B0" w:rsidRPr="00B57B36" w14:paraId="4CF7EC94" w14:textId="77777777" w:rsidTr="00FC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shd w:val="clear" w:color="auto" w:fill="auto"/>
          </w:tcPr>
          <w:p w14:paraId="1F55860B" w14:textId="44722B26" w:rsidR="00FC30B0" w:rsidRPr="006D7BA6" w:rsidRDefault="00FC30B0" w:rsidP="006D7BA6">
            <w:pPr>
              <w:pStyle w:val="CETEquation"/>
            </w:pPr>
            <m:oMathPara>
              <m:oMathParaPr>
                <m:jc m:val="left"/>
              </m:oMathParaPr>
              <m:oMath>
                <m:r>
                  <m:rPr>
                    <m:sty m:val="bi"/>
                  </m:rPr>
                  <w:rPr>
                    <w:rFonts w:ascii="Cambria Math" w:hAnsi="Cambria Math"/>
                  </w:rPr>
                  <m:t>Y</m:t>
                </m:r>
                <m:d>
                  <m:dPr>
                    <m:ctrlPr>
                      <w:rPr>
                        <w:rFonts w:ascii="Cambria Math" w:hAnsi="Cambria Math"/>
                      </w:rPr>
                    </m:ctrlPr>
                  </m:dPr>
                  <m:e>
                    <m:r>
                      <m:rPr>
                        <m:sty m:val="b"/>
                      </m:rPr>
                      <w:rPr>
                        <w:rFonts w:ascii="Cambria Math" w:hAnsi="Cambria Math"/>
                      </w:rPr>
                      <m:t>%</m:t>
                    </m:r>
                  </m:e>
                </m:d>
                <m:r>
                  <m:rPr>
                    <m:sty m:val="b"/>
                  </m:rPr>
                  <w:rPr>
                    <w:rFonts w:ascii="Cambria Math" w:hAnsi="Cambria Math"/>
                  </w:rPr>
                  <m:t xml:space="preserve">=100 </m:t>
                </m:r>
                <m:f>
                  <m:fPr>
                    <m:ctrlPr>
                      <w:rPr>
                        <w:rFonts w:ascii="Cambria Math" w:hAnsi="Cambria Math"/>
                      </w:rPr>
                    </m:ctrlPr>
                  </m:fPr>
                  <m:num>
                    <m:sSub>
                      <m:sSubPr>
                        <m:ctrlPr>
                          <w:rPr>
                            <w:rFonts w:ascii="Cambria Math" w:hAnsi="Cambria Math"/>
                          </w:rPr>
                        </m:ctrlPr>
                      </m:sSubPr>
                      <m:e>
                        <m:r>
                          <m:rPr>
                            <m:sty m:val="bi"/>
                          </m:rPr>
                          <w:rPr>
                            <w:rFonts w:ascii="Cambria Math" w:hAnsi="Cambria Math"/>
                          </w:rPr>
                          <m:t>m</m:t>
                        </m:r>
                      </m:e>
                      <m:sub>
                        <m:r>
                          <m:rPr>
                            <m:sty m:val="bi"/>
                          </m:rPr>
                          <w:rPr>
                            <w:rFonts w:ascii="Cambria Math" w:hAnsi="Cambria Math"/>
                          </w:rPr>
                          <m:t>VFA</m:t>
                        </m:r>
                      </m:sub>
                    </m:sSub>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COD</m:t>
                        </m:r>
                        <m:r>
                          <m:rPr>
                            <m:sty m:val="b"/>
                          </m:rPr>
                          <w:rPr>
                            <w:rFonts w:ascii="Cambria Math" w:hAnsi="Cambria Math"/>
                          </w:rPr>
                          <m:t xml:space="preserve"> </m:t>
                        </m:r>
                        <m:r>
                          <m:rPr>
                            <m:sty m:val="bi"/>
                          </m:rPr>
                          <w:rPr>
                            <w:rFonts w:ascii="Cambria Math" w:hAnsi="Cambria Math"/>
                          </w:rPr>
                          <m:t>added</m:t>
                        </m:r>
                        <m:r>
                          <m:rPr>
                            <m:sty m:val="b"/>
                          </m:rPr>
                          <w:rPr>
                            <w:rFonts w:ascii="Cambria Math" w:hAnsi="Cambria Math"/>
                          </w:rPr>
                          <m:t xml:space="preserve"> </m:t>
                        </m:r>
                      </m:sub>
                    </m:sSub>
                  </m:den>
                </m:f>
              </m:oMath>
            </m:oMathPara>
          </w:p>
        </w:tc>
        <w:tc>
          <w:tcPr>
            <w:tcW w:w="815" w:type="dxa"/>
            <w:tcBorders>
              <w:bottom w:val="none" w:sz="0" w:space="0" w:color="auto"/>
            </w:tcBorders>
            <w:shd w:val="clear" w:color="auto" w:fill="auto"/>
          </w:tcPr>
          <w:p w14:paraId="2F042478" w14:textId="77777777" w:rsidR="00FC30B0" w:rsidRPr="00B57B36" w:rsidRDefault="00FC30B0" w:rsidP="009C73C5">
            <w:pPr>
              <w:pStyle w:val="CETEquation"/>
              <w:jc w:val="right"/>
              <w:cnfStyle w:val="100000000000" w:firstRow="1" w:lastRow="0" w:firstColumn="0" w:lastColumn="0" w:oddVBand="0" w:evenVBand="0" w:oddHBand="0" w:evenHBand="0" w:firstRowFirstColumn="0" w:firstRowLastColumn="0" w:lastRowFirstColumn="0" w:lastRowLastColumn="0"/>
            </w:pPr>
            <w:r w:rsidRPr="00B57B36">
              <w:t>(1)</w:t>
            </w:r>
          </w:p>
        </w:tc>
      </w:tr>
    </w:tbl>
    <w:p w14:paraId="18DA0980" w14:textId="21AAF0F8" w:rsidR="006C7E64" w:rsidRPr="0050748A" w:rsidRDefault="006C7E64" w:rsidP="00D173B9">
      <w:pPr>
        <w:pStyle w:val="CETBodytext"/>
        <w:rPr>
          <w:rFonts w:eastAsiaTheme="minorEastAsia"/>
        </w:rPr>
      </w:pPr>
      <w:r>
        <w:rPr>
          <w:rFonts w:eastAsiaTheme="minorEastAsia"/>
        </w:rPr>
        <w:t xml:space="preserve">Where </w:t>
      </w:r>
      <w:proofErr w:type="spellStart"/>
      <w:r>
        <w:rPr>
          <w:rFonts w:eastAsiaTheme="minorEastAsia"/>
        </w:rPr>
        <w:t>m</w:t>
      </w:r>
      <w:r w:rsidR="00B80902">
        <w:rPr>
          <w:rFonts w:eastAsiaTheme="minorEastAsia"/>
          <w:vertAlign w:val="subscript"/>
        </w:rPr>
        <w:t>VFAs</w:t>
      </w:r>
      <w:proofErr w:type="spellEnd"/>
      <w:r>
        <w:rPr>
          <w:rFonts w:eastAsiaTheme="minorEastAsia"/>
        </w:rPr>
        <w:t xml:space="preserve"> was calculated</w:t>
      </w:r>
      <w:r w:rsidR="00856836">
        <w:rPr>
          <w:rFonts w:eastAsiaTheme="minorEastAsia"/>
        </w:rPr>
        <w:t xml:space="preserve"> </w:t>
      </w:r>
      <w:proofErr w:type="spellStart"/>
      <w:r w:rsidR="00856836">
        <w:rPr>
          <w:rFonts w:eastAsiaTheme="minorEastAsia"/>
        </w:rPr>
        <w:t>from</w:t>
      </w:r>
      <w:r>
        <w:rPr>
          <w:rFonts w:eastAsiaTheme="minorEastAsia"/>
        </w:rPr>
        <w:t>the</w:t>
      </w:r>
      <w:proofErr w:type="spellEnd"/>
      <w:r>
        <w:rPr>
          <w:rFonts w:eastAsiaTheme="minorEastAsia"/>
        </w:rPr>
        <w:t xml:space="preserve"> final concentration of </w:t>
      </w:r>
      <w:r w:rsidR="00B80902">
        <w:rPr>
          <w:rFonts w:eastAsiaTheme="minorEastAsia"/>
        </w:rPr>
        <w:t>VFAs</w:t>
      </w:r>
      <w:r>
        <w:rPr>
          <w:rFonts w:eastAsiaTheme="minorEastAsia"/>
        </w:rPr>
        <w:t xml:space="preserve">, expressed as </w:t>
      </w:r>
      <w:proofErr w:type="spellStart"/>
      <w:r>
        <w:rPr>
          <w:rFonts w:eastAsiaTheme="minorEastAsia"/>
        </w:rPr>
        <w:t>g</w:t>
      </w:r>
      <w:r>
        <w:rPr>
          <w:rFonts w:eastAsiaTheme="minorEastAsia"/>
          <w:vertAlign w:val="subscript"/>
        </w:rPr>
        <w:t>COD</w:t>
      </w:r>
      <w:proofErr w:type="spellEnd"/>
      <w:r w:rsidR="005F0DF6">
        <w:rPr>
          <w:rFonts w:eastAsiaTheme="minorEastAsia"/>
        </w:rPr>
        <w:t>/</w:t>
      </w:r>
      <w:r>
        <w:rPr>
          <w:rFonts w:eastAsiaTheme="minorEastAsia"/>
        </w:rPr>
        <w:t xml:space="preserve">L, </w:t>
      </w:r>
      <w:r w:rsidR="007333C3">
        <w:rPr>
          <w:rFonts w:eastAsiaTheme="minorEastAsia"/>
        </w:rPr>
        <w:t>multiplied by</w:t>
      </w:r>
      <w:r w:rsidR="00856836">
        <w:rPr>
          <w:rFonts w:eastAsiaTheme="minorEastAsia"/>
        </w:rPr>
        <w:t xml:space="preserve"> </w:t>
      </w:r>
      <w:r>
        <w:rPr>
          <w:rFonts w:eastAsiaTheme="minorEastAsia"/>
        </w:rPr>
        <w:t xml:space="preserve">the </w:t>
      </w:r>
      <w:r w:rsidR="002A0774">
        <w:rPr>
          <w:rFonts w:eastAsiaTheme="minorEastAsia"/>
        </w:rPr>
        <w:t xml:space="preserve">reactor’s </w:t>
      </w:r>
      <w:r>
        <w:rPr>
          <w:rFonts w:eastAsiaTheme="minorEastAsia"/>
        </w:rPr>
        <w:t>volume</w:t>
      </w:r>
      <w:r w:rsidR="007333C3">
        <w:rPr>
          <w:rFonts w:eastAsiaTheme="minorEastAsia"/>
        </w:rPr>
        <w:t>.</w:t>
      </w:r>
      <w:r>
        <w:rPr>
          <w:rFonts w:eastAsiaTheme="minorEastAsia"/>
        </w:rPr>
        <w:t xml:space="preserve"> </w:t>
      </w:r>
      <w:proofErr w:type="spellStart"/>
      <w:r>
        <w:rPr>
          <w:rFonts w:eastAsiaTheme="minorEastAsia"/>
        </w:rPr>
        <w:t>m</w:t>
      </w:r>
      <w:r w:rsidRPr="0050748A">
        <w:rPr>
          <w:rFonts w:eastAsiaTheme="minorEastAsia"/>
          <w:vertAlign w:val="subscript"/>
        </w:rPr>
        <w:t>COD</w:t>
      </w:r>
      <w:proofErr w:type="spellEnd"/>
      <w:r w:rsidRPr="0050748A">
        <w:rPr>
          <w:rFonts w:eastAsiaTheme="minorEastAsia"/>
          <w:vertAlign w:val="subscript"/>
        </w:rPr>
        <w:t xml:space="preserve"> </w:t>
      </w:r>
      <w:r>
        <w:rPr>
          <w:rFonts w:eastAsiaTheme="minorEastAsia"/>
        </w:rPr>
        <w:t xml:space="preserve">is the COD amount from substrates at the beginning of the tests. </w:t>
      </w:r>
    </w:p>
    <w:p w14:paraId="5EF58BB4" w14:textId="0F15704D" w:rsidR="005B5791" w:rsidRDefault="005B5791" w:rsidP="005E1883">
      <w:pPr>
        <w:pStyle w:val="CETHeading1"/>
      </w:pPr>
      <w:r>
        <w:t>Results and discussion</w:t>
      </w:r>
    </w:p>
    <w:p w14:paraId="51F5EED3" w14:textId="77777777" w:rsidR="006C7E64" w:rsidRPr="00AB4983" w:rsidRDefault="006C7E64" w:rsidP="006C7E64">
      <w:pPr>
        <w:pStyle w:val="CETBodytext"/>
        <w:rPr>
          <w:lang w:val="en-GB"/>
        </w:rPr>
      </w:pPr>
    </w:p>
    <w:p w14:paraId="113C3AF8" w14:textId="5109E6B8" w:rsidR="00DA1369" w:rsidRDefault="00B80902" w:rsidP="005E1883">
      <w:pPr>
        <w:pStyle w:val="CETheadingx"/>
      </w:pPr>
      <w:r>
        <w:lastRenderedPageBreak/>
        <w:t>VFAs</w:t>
      </w:r>
      <w:r w:rsidR="00DA1369">
        <w:t xml:space="preserve"> production from </w:t>
      </w:r>
      <w:r w:rsidR="002D1927">
        <w:t>SCG</w:t>
      </w:r>
    </w:p>
    <w:p w14:paraId="62D5F401" w14:textId="3B20BEBC" w:rsidR="00E64D42" w:rsidRDefault="00E64D42" w:rsidP="00D173B9">
      <w:pPr>
        <w:pStyle w:val="CETBodytext"/>
      </w:pPr>
      <w:r>
        <w:t xml:space="preserve">As described above, this substrate derived from a combination of a solid/liquid Soxhlet extraction and an alkaline pretreatment. The solid/liquid extraction removed all the coffee oils, composed by lipids and long fatty acids, and thus the compounds easier convertible into </w:t>
      </w:r>
      <w:r w:rsidR="00B80902">
        <w:t>VFAs</w:t>
      </w:r>
      <w:r>
        <w:t xml:space="preserve"> by anaerobic fermentation, leaving only a small percentage of sugars, and the most recalcitrant compounds: cellulose and hemicellulose. These latter were partially hydrolyzed by the alkaline pretreatment. It allowed to explain the different kinetics of </w:t>
      </w:r>
      <w:r w:rsidR="00B80902">
        <w:t>VFAs</w:t>
      </w:r>
      <w:r>
        <w:t xml:space="preserve"> production from SCG. The simplest compounds derived from the alkaline pretreatments were converted into </w:t>
      </w:r>
      <w:r w:rsidR="00B80902">
        <w:t>VFAs</w:t>
      </w:r>
      <w:r>
        <w:t xml:space="preserve"> in the first week (Figure 1), while the remaining recalcitrant lignocellulosic materials required longer time. The phenomenon was more evident for neutral </w:t>
      </w:r>
      <w:proofErr w:type="spellStart"/>
      <w:r>
        <w:t>pH.</w:t>
      </w:r>
      <w:proofErr w:type="spellEnd"/>
      <w:r>
        <w:t xml:space="preserve"> These results are consistent with a previous work by Battista et al. </w:t>
      </w:r>
      <w:r>
        <w:fldChar w:fldCharType="begin" w:fldLock="1"/>
      </w:r>
      <w:r w:rsidR="00E22620">
        <w:instrText>ADDIN CSL_CITATION {"citationItems":[{"id":"ITEM-1","itemData":{"DOI":"10.1016/j.biortech.2021.125952","ISSN":"18732976","PMID":"34563824","abstract":"Spent coffee grounds are rich in high-value compounds, such as saturate and unsaturated fatty acids, and polysaccharides. Therefore, this work investigated a cascade biorefinery to produce: i) biodiesel from coffee oils, ii) cellulose- and hemicellulose-derived fermentable sugars and iii) biomethane from the residual solid fraction after sugars extraction. Transesterification reached the best performances of 86% w/w of fatty acid methyl esters using 1:8 coffee oil/methanol ratio and 2% w/w of KOH as catalyst. The use of glycerol for the pretreatment of spent coffee grounds allowed the internal circulation of a process leftover from transesterification; thus, avoiding the use of clean water. In the best conditions, the total released fermentable sugars were about 40–50% (w/w) on dry weight basis. The low content of easily degradable compounds led to a low methane production of 50 LCH4/kgVS, indicating the need to search for better performing alternatives to close the biorefinery loop.","author":[{"dropping-particle":"","family":"Battista","given":"Federico","non-dropping-particle":"","parse-names":false,"suffix":""},{"dropping-particle":"","family":"Zuliani","given":"Luca","non-dropping-particle":"","parse-names":false,"suffix":""},{"dropping-particle":"","family":"Rizzioli","given":"Fabio","non-dropping-particle":"","parse-names":false,"suffix":""},{"dropping-particle":"","family":"Fusco","given":"Salvatore","non-dropping-particle":"","parse-names":false,"suffix":""},{"dropping-particle":"","family":"Bolzonella","given":"David","non-dropping-particle":"","parse-names":false,"suffix":""}],"container-title":"Bioresource Technology","id":"ITEM-1","issued":{"date-parts":[["2021","12","1"]]},"page":"125952","publisher":"Elsevier","title":"Biodiesel, biogas and fermentable sugars production from Spent coffee Grounds: A cascade biorefinery approach","type":"article-journal","volume":"342"},"uris":["http://www.mendeley.com/documents/?uuid=bcf15f55-439f-3cab-8e08-2746b2990443"]}],"mendeley":{"formattedCitation":"(Battista et al., 2021)","manualFormatting":"(2021)","plainTextFormattedCitation":"(Battista et al., 2021)","previouslyFormattedCitation":"(Battista et al., 2021)"},"properties":{"noteIndex":0},"schema":"https://github.com/citation-style-language/schema/raw/master/csl-citation.json"}</w:instrText>
      </w:r>
      <w:r>
        <w:fldChar w:fldCharType="separate"/>
      </w:r>
      <w:r w:rsidR="00E13CD5" w:rsidRPr="00E13CD5">
        <w:rPr>
          <w:noProof/>
        </w:rPr>
        <w:t>(2021)</w:t>
      </w:r>
      <w:r>
        <w:fldChar w:fldCharType="end"/>
      </w:r>
      <w:r>
        <w:t xml:space="preserve">, which found a low production of biogas from defatted SCGs, as consequence of a low production of </w:t>
      </w:r>
      <w:r w:rsidR="00136E57">
        <w:t>VFAs</w:t>
      </w:r>
      <w:r>
        <w:t xml:space="preserve">. For these reasons, the fermentation of defatted alkaline pretreated SCG gave very poor results in all pH conditions. </w:t>
      </w:r>
      <w:r w:rsidR="00B80902">
        <w:t>VFAs</w:t>
      </w:r>
      <w:r>
        <w:t xml:space="preserve"> production yields for uncontrolled pH, 7 and 12 were 5.55 %, 10.30 % and 1.84 %, with a final concentration of 1.63, 4.48 and 0.86 </w:t>
      </w:r>
      <w:proofErr w:type="spellStart"/>
      <w:r>
        <w:t>g</w:t>
      </w:r>
      <w:r w:rsidR="00F0504C">
        <w:t>COD</w:t>
      </w:r>
      <w:proofErr w:type="spellEnd"/>
      <w:r>
        <w:t xml:space="preserve">/L respectively. Regarding the uncontrolled pH test, the </w:t>
      </w:r>
      <w:r w:rsidR="00B80902">
        <w:t>VFAs</w:t>
      </w:r>
      <w:r>
        <w:t xml:space="preserve"> production was inhibited by the high initial pH (Table 1) which led to slow </w:t>
      </w:r>
      <w:r w:rsidR="00B80902">
        <w:t>VFAs</w:t>
      </w:r>
      <w:r>
        <w:t xml:space="preserve"> production. By the time, a slight increasing of </w:t>
      </w:r>
      <w:r w:rsidR="00136E57">
        <w:t>VFAs</w:t>
      </w:r>
      <w:r>
        <w:t xml:space="preserve"> concentration was </w:t>
      </w:r>
      <w:r w:rsidR="000B6A07">
        <w:t>probably</w:t>
      </w:r>
      <w:r w:rsidR="00AC0A65">
        <w:t xml:space="preserve"> the</w:t>
      </w:r>
      <w:r w:rsidR="000B6A07">
        <w:t xml:space="preserve"> </w:t>
      </w:r>
      <w:r>
        <w:t xml:space="preserve">consequence of the progressive acidification of the reaction medium, which reached the value of 7.36 </w:t>
      </w:r>
      <w:r>
        <w:rPr>
          <w:rFonts w:cstheme="minorHAnsi"/>
        </w:rPr>
        <w:t>±</w:t>
      </w:r>
      <w:r>
        <w:t xml:space="preserve"> 0.04 at the end of the test. The </w:t>
      </w:r>
      <w:r w:rsidR="00B80902">
        <w:t>VFAs</w:t>
      </w:r>
      <w:r>
        <w:t xml:space="preserve"> profile of the pH 7 test showed that 34 %, 27 % and 39 % of the total </w:t>
      </w:r>
      <w:r w:rsidR="00B80902">
        <w:t>VFAs</w:t>
      </w:r>
      <w:r>
        <w:t xml:space="preserve"> production were composed by acetic, propionic and butyric acid respectively, consistent with previous works on acidogenic fermentation of food waste with similar substrate-inoculum ratio </w:t>
      </w:r>
      <w:r>
        <w:fldChar w:fldCharType="begin" w:fldLock="1"/>
      </w:r>
      <w:r w:rsidR="00E22620">
        <w:instrText>ADDIN CSL_CITATION {"citationItems":[{"id":"ITEM-1","itemData":{"DOI":"10.1007/s11157-021-09566-0","ISBN":"0123456789","ISSN":"15729826","abstract":"Volatile fatty acids (VFAs) are key platform chemicals used in a multitude of industries including chemicals, pharmaceuticals, food and agriculture. The current route for VFA production is petrochemical based. VFAs can be biologically produced using organic wastes as substrate, therefore directly contributing to a sustainable economy. This process is commonly known as acidogenic fermentation (AF). This review explores the current research on the development of AF processes optimized for VFA production. Three process steps are considered: feedstock pretreatment, fermentation, and primary product recovery with a focus on in situ recovery. Pretreatment is required for recalcitrant feedstocks, especially lignocellulosic substrates. Different pretreatment techniques for AF application have not been studied in depth. The operational parameters of AF (temperature, pH, hydraulic retention time, substrate concentration, etc.) highly influence microbial activity, VFA yields and product distribution. Optimum conditions are ultimately dependent on substrate composition, however, there is indication that certain operational ranges are beneficial for most feedstocks. VFA recovery and purification are necessary for chemical applications. When recovery is performed in situ, it can help relieve product-induced inhibition and keep alkalinity levels stable enabling further waste degradation. Many techniques have been tested, but none are directly compatible with the fermentation conditions tested. Bio-VFAs have the potential to aid in developing a circular economy, but further development is required. Processes need to be developed with the product market in mind, considering both process integration and systematic process optimization.","author":[{"dropping-particle":"","family":"Ramos-Suarez","given":"Maria","non-dropping-particle":"","parse-names":false,"suffix":""},{"dropping-particle":"","family":"Zhang","given":"Yue","non-dropping-particle":"","parse-names":false,"suffix":""},{"dropping-particle":"","family":"Outram","given":"Victoria","non-dropping-particle":"","parse-names":false,"suffix":""}],"container-title":"Reviews in Environmental Science and Biotechnology","id":"ITEM-1","issue":"2","issued":{"date-parts":[["2021","2","13"]]},"page":"439-478","publisher":"Springer","title":"Current perspectives on acidogenic fermentation to produce volatile fatty acids from waste","type":"article","volume":"20"},"uris":["http://www.mendeley.com/documents/?uuid=7dc6b20a-ed20-3434-a7c3-569cc05af240"]}],"mendeley":{"formattedCitation":"(Ramos-Suarez et al., 2021)","plainTextFormattedCitation":"(Ramos-Suarez et al., 2021)","previouslyFormattedCitation":"(Ramos-Suarez et al., 2021)"},"properties":{"noteIndex":0},"schema":"https://github.com/citation-style-language/schema/raw/master/csl-citation.json"}</w:instrText>
      </w:r>
      <w:r>
        <w:fldChar w:fldCharType="separate"/>
      </w:r>
      <w:r w:rsidR="00FF1680" w:rsidRPr="00FF1680">
        <w:rPr>
          <w:noProof/>
        </w:rPr>
        <w:t>(Ramos-Suarez et al., 2021)</w:t>
      </w:r>
      <w:r>
        <w:fldChar w:fldCharType="end"/>
      </w:r>
      <w:r>
        <w:t>.</w:t>
      </w:r>
      <w:r w:rsidR="004A493F">
        <w:t xml:space="preserve"> </w:t>
      </w:r>
      <w:r w:rsidR="00B97064">
        <w:t xml:space="preserve">Regarding the pH trend along the time, </w:t>
      </w:r>
      <w:r w:rsidR="00243397">
        <w:t xml:space="preserve">any significant variation was </w:t>
      </w:r>
      <w:r w:rsidR="00C93A12">
        <w:t>observed: final pH was of 6.80</w:t>
      </w:r>
      <w:r w:rsidR="00B26CF5">
        <w:t>.</w:t>
      </w:r>
      <w:r w:rsidR="00892D73">
        <w:t xml:space="preserve"> </w:t>
      </w:r>
      <w:r>
        <w:t xml:space="preserve">Due to the poor results of pH 12 and uncontrolled pH tests, the </w:t>
      </w:r>
      <w:r w:rsidR="00B80902">
        <w:t>VFAs</w:t>
      </w:r>
      <w:r>
        <w:t xml:space="preserve"> profile was not determined for these tests.</w:t>
      </w:r>
    </w:p>
    <w:p w14:paraId="4F554F34" w14:textId="77777777" w:rsidR="00A16871" w:rsidRDefault="00A16871" w:rsidP="00A16871">
      <w:pPr>
        <w:pStyle w:val="CETBodytext"/>
        <w:keepNext/>
      </w:pPr>
      <w:r>
        <w:rPr>
          <w:noProof/>
        </w:rPr>
        <w:drawing>
          <wp:inline distT="0" distB="0" distL="0" distR="0" wp14:anchorId="0CC40269" wp14:editId="7A7D40D8">
            <wp:extent cx="3600000" cy="2520000"/>
            <wp:effectExtent l="0" t="0" r="635" b="13970"/>
            <wp:docPr id="3" name="Grafico 3">
              <a:extLst xmlns:a="http://schemas.openxmlformats.org/drawingml/2006/main">
                <a:ext uri="{FF2B5EF4-FFF2-40B4-BE49-F238E27FC236}">
                  <a16:creationId xmlns:a16="http://schemas.microsoft.com/office/drawing/2014/main" id="{02E033DA-EF63-403F-A812-8530CACD4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6BC7DB" w14:textId="7E4BA21A" w:rsidR="002D1927" w:rsidRDefault="00A16871" w:rsidP="00A0021C">
      <w:pPr>
        <w:pStyle w:val="CETCaption"/>
      </w:pPr>
      <w:r>
        <w:t xml:space="preserve">Figure </w:t>
      </w:r>
      <w:r>
        <w:fldChar w:fldCharType="begin"/>
      </w:r>
      <w:r>
        <w:instrText xml:space="preserve"> SEQ Figure \* ARABIC </w:instrText>
      </w:r>
      <w:r>
        <w:fldChar w:fldCharType="separate"/>
      </w:r>
      <w:r>
        <w:rPr>
          <w:noProof/>
        </w:rPr>
        <w:t>1</w:t>
      </w:r>
      <w:r>
        <w:fldChar w:fldCharType="end"/>
      </w:r>
      <w:r w:rsidR="00F72AB2">
        <w:t xml:space="preserve">. </w:t>
      </w:r>
      <w:r w:rsidR="00B80902">
        <w:t>VFAs</w:t>
      </w:r>
      <w:r w:rsidR="00F72AB2">
        <w:t xml:space="preserve"> production for alkaline pre-treated SCGs.</w:t>
      </w:r>
    </w:p>
    <w:p w14:paraId="70B3696C" w14:textId="4ED60566" w:rsidR="00131FFD" w:rsidRDefault="00B80902" w:rsidP="00D82A68">
      <w:pPr>
        <w:pStyle w:val="CETheadingx"/>
      </w:pPr>
      <w:r>
        <w:t>VFAs</w:t>
      </w:r>
      <w:r w:rsidR="00131FFD" w:rsidRPr="00131FFD">
        <w:t xml:space="preserve"> production from RFW Condensate</w:t>
      </w:r>
    </w:p>
    <w:p w14:paraId="0A5A73E5" w14:textId="58CFA5B6" w:rsidR="00131FFD" w:rsidRDefault="00C466B6" w:rsidP="00D173B9">
      <w:pPr>
        <w:pStyle w:val="CETBodytext"/>
      </w:pPr>
      <w:r>
        <w:t xml:space="preserve">The condensate obtained from the dehydration process of RFW was rich in acetic acid, as consequence of its low boiling point, with a starting concentration of 4.83 </w:t>
      </w:r>
      <w:proofErr w:type="spellStart"/>
      <w:r>
        <w:t>g</w:t>
      </w:r>
      <w:r w:rsidR="00F0504C">
        <w:t>COD</w:t>
      </w:r>
      <w:proofErr w:type="spellEnd"/>
      <w:r>
        <w:t>/L. The initial pH was of 4.39</w:t>
      </w:r>
      <w:r w:rsidR="009D608B">
        <w:t>. This</w:t>
      </w:r>
      <w:r w:rsidR="0003300E">
        <w:t xml:space="preserve"> pH</w:t>
      </w:r>
      <w:r w:rsidR="009D608B">
        <w:t xml:space="preserve"> condition</w:t>
      </w:r>
      <w:r w:rsidR="0086094F">
        <w:t xml:space="preserve"> </w:t>
      </w:r>
      <w:r w:rsidR="00CA27E6">
        <w:t>is</w:t>
      </w:r>
      <w:r>
        <w:t xml:space="preserve"> considered inhibitory for acidogenic fermentation,</w:t>
      </w:r>
      <w:r w:rsidR="004F7271">
        <w:t xml:space="preserve"> due to the high </w:t>
      </w:r>
      <w:r w:rsidR="00FB065B">
        <w:t>concentration</w:t>
      </w:r>
      <w:r w:rsidR="004F7271">
        <w:t xml:space="preserve"> of protonated VFA</w:t>
      </w:r>
      <w:r w:rsidR="00FB065B">
        <w:t>s</w:t>
      </w:r>
      <w:r w:rsidR="005D145C">
        <w:t xml:space="preserve">, </w:t>
      </w:r>
      <w:r w:rsidR="0086094F">
        <w:t>that cause</w:t>
      </w:r>
      <w:r w:rsidR="005D145C">
        <w:t xml:space="preserve"> </w:t>
      </w:r>
      <w:r w:rsidR="00FB065B">
        <w:t xml:space="preserve">a toxic effect on </w:t>
      </w:r>
      <w:r w:rsidR="00AA23B0">
        <w:t>the cellular membrane</w:t>
      </w:r>
      <w:r w:rsidR="005D145C">
        <w:t>.</w:t>
      </w:r>
      <w:r>
        <w:t xml:space="preserve"> </w:t>
      </w:r>
      <w:r>
        <w:fldChar w:fldCharType="begin" w:fldLock="1"/>
      </w:r>
      <w:r w:rsidR="00E22620">
        <w:instrText>ADDIN CSL_CITATION {"citationItems":[{"id":"ITEM-1","itemData":{"DOI":"10.1016/j.biortech.2021.125289","ISSN":"18732976","PMID":"34015569","abstract":"This research investigated for the first time the influence of the single fractions (proteins, lipids, starch, cellulose, fibers and sugars) composing Household Food Wastes on Volatile Fatty Acids (VFA). A production at different pH (uncontrolled, 5.5 and 7.0): both the amount and profile of VFA were investigated. It was found that fractions rich in proteins and starch led to the greatest VFA productions (12–15 g/L), especially at neutral pH condition. On the contrary, fractions rich in cellulose, fibers, and sugars showed a very low VFA production (&lt;2 g/L). The chemical nature of HFW influenced the speciation of the microbial communities too. Lactobacillaceae family was highly represented in proteins-, starch-, fibers and sugars-rich substrates and Atopobiaceae, Eggerthellaceae, Acidaminococcaceae and Veillonellaceae displayed positive correlation to VFAs production. Instead, Comamonadaceae showed high relative abundance in lipids- and cellulose-rich fraction and was negatively correlated to the VFAs generation.","author":[{"dropping-particle":"","family":"Strazzera","given":"Giuseppe","non-dropping-particle":"","parse-names":false,"suffix":""},{"dropping-particle":"","family":"Battista","given":"Federico","non-dropping-particle":"","parse-names":false,"suffix":""},{"dropping-particle":"","family":"Andreolli","given":"Marco","non-dropping-particle":"","parse-names":false,"suffix":""},{"dropping-particle":"","family":"Menini","given":"Miriam","non-dropping-particle":"","parse-names":false,"suffix":""},{"dropping-particle":"","family":"Bolzonella","given":"David","non-dropping-particle":"","parse-names":false,"suffix":""},{"dropping-particle":"","family":"Lampis","given":"Silvia","non-dropping-particle":"","parse-names":false,"suffix":""}],"container-title":"Bioresource Technology","id":"ITEM-1","issue":"April","issued":{"date-parts":[["2021"]]},"page":"125289","publisher":"Elsevier Ltd","title":"Influence of different household Food Wastes Fractions on Volatile Fatty Acids production by anaerobic fermentation","type":"article-journal","volume":"335"},"uris":["http://www.mendeley.com/documents/?uuid=90d34a39-9408-40e7-bd12-1fd73b3f93fc"]}],"mendeley":{"formattedCitation":"(Strazzera et al., 2021a)","plainTextFormattedCitation":"(Strazzera et al., 2021a)","previouslyFormattedCitation":"(Strazzera et al., 2021a)"},"properties":{"noteIndex":0},"schema":"https://github.com/citation-style-language/schema/raw/master/csl-citation.json"}</w:instrText>
      </w:r>
      <w:r>
        <w:fldChar w:fldCharType="separate"/>
      </w:r>
      <w:r w:rsidR="00FF1680" w:rsidRPr="00FF1680">
        <w:rPr>
          <w:noProof/>
        </w:rPr>
        <w:t>(Strazzera et al., 2021a)</w:t>
      </w:r>
      <w:r>
        <w:fldChar w:fldCharType="end"/>
      </w:r>
      <w:r>
        <w:t xml:space="preserve">. </w:t>
      </w:r>
      <w:r w:rsidR="00136E57">
        <w:t>VFAs</w:t>
      </w:r>
      <w:r>
        <w:t xml:space="preserve">’ production yields for this substrate were of 16.66, 39.92 and 17.02 for uncontrolled pH, 7 and 12 respectively. The uncontrolled pH and pH 12 tests showed almost no production of </w:t>
      </w:r>
      <w:r w:rsidR="00136E57">
        <w:t>VFAs</w:t>
      </w:r>
      <w:r>
        <w:t xml:space="preserve">, besides the initial concentration of acetic acid. At neutral pH conditions, a final concentration of 8.71 </w:t>
      </w:r>
      <w:proofErr w:type="spellStart"/>
      <w:r>
        <w:t>g</w:t>
      </w:r>
      <w:r w:rsidR="00F0504C">
        <w:t>COD</w:t>
      </w:r>
      <w:proofErr w:type="spellEnd"/>
      <w:r>
        <w:t xml:space="preserve">/L of </w:t>
      </w:r>
      <w:r w:rsidR="00136E57">
        <w:t>VFAs</w:t>
      </w:r>
      <w:r>
        <w:t xml:space="preserve"> was reached. </w:t>
      </w:r>
      <w:r w:rsidRPr="00C466B6">
        <w:t xml:space="preserve">The </w:t>
      </w:r>
      <w:r w:rsidR="00136E57">
        <w:t>VFAs</w:t>
      </w:r>
      <w:r w:rsidRPr="00C466B6">
        <w:t xml:space="preserve"> profile showed a prevalence of acetic acid (52</w:t>
      </w:r>
      <w:r w:rsidR="00762F59">
        <w:t xml:space="preserve"> </w:t>
      </w:r>
      <w:r w:rsidRPr="00C466B6">
        <w:t>%), followed by butyric acid (29</w:t>
      </w:r>
      <w:r w:rsidR="00762F59">
        <w:t xml:space="preserve"> </w:t>
      </w:r>
      <w:r w:rsidRPr="00C466B6">
        <w:t>%) and, interestingly, caproic acid (18</w:t>
      </w:r>
      <w:r w:rsidR="00762F59">
        <w:t xml:space="preserve"> </w:t>
      </w:r>
      <w:r w:rsidRPr="00C466B6">
        <w:t xml:space="preserve">%). A possible explanation </w:t>
      </w:r>
      <w:proofErr w:type="gramStart"/>
      <w:r w:rsidRPr="00C466B6">
        <w:t>for the production of</w:t>
      </w:r>
      <w:proofErr w:type="gramEnd"/>
      <w:r w:rsidRPr="00C466B6">
        <w:t xml:space="preserve"> caproic acid could be </w:t>
      </w:r>
      <w:r w:rsidR="00762F59" w:rsidRPr="00C466B6">
        <w:t>attributed</w:t>
      </w:r>
      <w:r w:rsidRPr="00C466B6">
        <w:t xml:space="preserve"> to the initial substrate’s composition. As mentioned above, this substrate was obtained by a thermal dehydration of RFW, thus leading a separation from the dried RFW of low boiling point compounds, including ethanol and acetic acid </w:t>
      </w:r>
      <w:r w:rsidRPr="00C466B6">
        <w:fldChar w:fldCharType="begin" w:fldLock="1"/>
      </w:r>
      <w:r w:rsidR="00E22620">
        <w:instrText>ADDIN CSL_CITATION {"citationItems":[{"id":"ITEM-1","itemData":{"DOI":"10.1016/j.jece.2020.103947","ISSN":"22133437","author":[{"dropping-particle":"","family":"Lytras","given":"G.","non-dropping-particle":"","parse-names":false,"suffix":""},{"dropping-particle":"","family":"Koutroumanou","given":"E.","non-dropping-particle":"","parse-names":false,"suffix":""},{"dropping-particle":"","family":"Lyberatos","given":"G.","non-dropping-particle":"","parse-names":false,"suffix":""}],"container-title":"Journal of Environmental Chemical Engineering","id":"ITEM-1","issue":"4","issued":{"date-parts":[["2020","8","1"]]},"page":"103947","publisher":"Elsevier","title":"Anaerobic co-digestion of condensate produced from drying of Household Food Waste and Waste Activated Sludge","type":"article-journal","volume":"8"},"uris":["http://www.mendeley.com/documents/?uuid=4e26bd69-1850-3780-b0c0-ae94a23ded55"]}],"mendeley":{"formattedCitation":"(Lytras et al., 2020)","plainTextFormattedCitation":"(Lytras et al., 2020)","previouslyFormattedCitation":"(Lytras et al., 2020)"},"properties":{"noteIndex":0},"schema":"https://github.com/citation-style-language/schema/raw/master/csl-citation.json"}</w:instrText>
      </w:r>
      <w:r w:rsidRPr="00C466B6">
        <w:fldChar w:fldCharType="separate"/>
      </w:r>
      <w:r w:rsidR="00FF1680" w:rsidRPr="00FF1680">
        <w:rPr>
          <w:noProof/>
        </w:rPr>
        <w:t>(Lytras et al., 2020)</w:t>
      </w:r>
      <w:r w:rsidRPr="00C466B6">
        <w:fldChar w:fldCharType="end"/>
      </w:r>
      <w:r w:rsidRPr="00C466B6">
        <w:t xml:space="preserve"> that, under neutral pH and anaerobic conditions, could trigger a chain </w:t>
      </w:r>
      <w:r w:rsidR="00762F59" w:rsidRPr="00C466B6">
        <w:t>elongation</w:t>
      </w:r>
      <w:r w:rsidRPr="00C466B6">
        <w:t xml:space="preserve"> process from acetic (C2) and butyric (C4) acid to caproic acid (C6) </w:t>
      </w:r>
      <w:r w:rsidRPr="00C466B6">
        <w:fldChar w:fldCharType="begin" w:fldLock="1"/>
      </w:r>
      <w:r w:rsidR="00E22620">
        <w:instrText>ADDIN CSL_CITATION {"citationItems":[{"id":"ITEM-1","itemData":{"DOI":"10.3389/fbioe.2018.00050","ISSN":"22964185","abstract":"Introduction: Medium chain fatty acids (MCFAs), such as n-caproate, are potential valuable platform chemicals. MCFAs can be produced from low-grade organic residues by anaerobic reactor microbiomes through two subsequent biological processes: hydrolysis combined with acidogenesis and chain elongation. Continuous chain elongation with organic residues becomes effective when the targeted MCFA(s) are produced at high concentrations and rates, while excessive ethanol oxidation and base consumption are limited. The objective of this study was to develop an effective continuous chain elongation process with hydrolyzed and acidified food waste and additional ethanol. Results: We fed acidified food waste (AFW) and ethanol to an anaerobic reactor while operating the reactor at long (4 d) and at short (1 d) hydraulic retention time (HRT). At long HRT, n-caproate was continuously produced (5.5 g/L/d) at an average concentration of 23.4 g/L. The highest n-caproate concentration was 25.7 g/L which is the highest reported n-caproate concentration in a chain elongation process to date. Compared to short HRT (7.1 g/L n-caproate at 5.6 g/L/d), long HRT resulted in 6.2 times less excessive ethanol oxidation. This led to a two times lower ethanol consumption and a two times lower base consumption per produced MCFA at long HRT compared to short HRT. Conclusions: Chain elongation from AFW and ethanol is more effective at long HRT than at short HRT not only because it results in a higher concentration of MCFAs but also because it leads to a more efficient use of ethanol and base. The HRT did not influence the n-caproate production rate. The obtained n-caproate concentration is more than twice as high as the maximum solubility of n-caproic acid in water which is beneficial for its separation from the fermentation broth. This study does not only set the record on the highest n-caproate concentration observed in a chain elongation process to date, it notably demonstrates that such high concentrations can be obtained from AFW under practical circumstances in a continuous process.","author":[{"dropping-particle":"","family":"Roghair","given":"Mark","non-dropping-particle":"","parse-names":false,"suffix":""},{"dropping-particle":"","family":"Liu","given":"Yuchen","non-dropping-particle":"","parse-names":false,"suffix":""},{"dropping-particle":"","family":"Strik","given":"David P.B.T.B.","non-dropping-particle":"","parse-names":false,"suffix":""},{"dropping-particle":"","family":"Weusthuis","given":"Ruud A.","non-dropping-particle":"","parse-names":false,"suffix":""},{"dropping-particle":"","family":"Bruins","given":"Marieke E.","non-dropping-particle":"","parse-names":false,"suffix":""},{"dropping-particle":"","family":"Buisman","given":"Cees J.N.","non-dropping-particle":"","parse-names":false,"suffix":""}],"container-title":"Frontiers in Bioengineering and Biotechnology","id":"ITEM-1","issue":"APR","issued":{"date-parts":[["2018"]]},"page":"1-11","title":"Development of an effective chain elongation process from acidified food waste and ethanol into n-Caproate","type":"article-journal","volume":"6"},"uris":["http://www.mendeley.com/documents/?uuid=ba695173-c7ce-463d-9b65-82fd91e996e2"]},{"id":"ITEM-2","itemData":{"DOI":"10.1039/c0ee00282h","ISSN":"17545692","abstract":"This research introduces an alternative mixed culture fermentation technology for anaerobic digestion to recover valuable products from low grade biomass. In this mixed culture fermentation, organic waste streams are converted to caproate and caprylate as precursors for biodiesel or chemicals. It was found that acetate, as the main intermediate of anaerobic digestion, can be elongated to medium chain fatty acids with six and eight carbon atoms. Mixed microbial communities were able to produce 8.17 g l-1 caproate and 0.32 g l-1 caprylate under methanogenesis-suppressed conditions in a stable batch reactor run. The highest production rate was 25.6 mM C caproate per day with a product yield of 0.6 mol C per mol C. This elongation process occurred with both ethanol and hydrogen as electron donors, demonstrating the flexibility of the process. Microbial characterization revealed that the microbial populations were stable and dominated by relatives of Clostridium kluyveri. © 2011 The Royal Society of Chemistry.","author":[{"dropping-particle":"","family":"Steinbusch","given":"Kirsten J.J.","non-dropping-particle":"","parse-names":false,"suffix":""},{"dropping-particle":"","family":"Hamelers","given":"Hubertus V.M.","non-dropping-particle":"","parse-names":false,"suffix":""},{"dropping-particle":"","family":"Plugge","given":"Caroline M.","non-dropping-particle":"","parse-names":false,"suffix":""},{"dropping-particle":"","family":"Buisman","given":"Cees J.N.","non-dropping-particle":"","parse-names":false,"suffix":""}],"container-title":"Energy and Environmental Science","id":"ITEM-2","issue":"1","issued":{"date-parts":[["2011"]]},"page":"216-224","title":"Biological formation of caproate and caprylate from acetate: Fuel and chemical production from low grade biomass","type":"article-journal","volume":"4"},"uris":["http://www.mendeley.com/documents/?uuid=bae1b0d0-ae70-4831-beb1-affdda4a0821"]},{"id":"ITEM-3","itemData":{"DOI":"10.1016/J.JENVMAN.2019.04.093","ISSN":"0301-4797","PMID":"31075646","abstract":"Clostridium kluyveri was used for chain elongation of C2[sbnd]C4 fatty acids in stirred tank bioreactors. The influence of different electron acceptors (acetic acid, butyric acid and the mixture of both)on C6 fatty acid production was evaluated in presence of ethanol using similar molar alcohol/acid ratios around 3.5. Bottle batch assays without pH regulation and with only acetic acid as electron acceptor yielded a final C6 fatty acid concentration of 6.8 ± 0.6 g L −1 . Then, pH-regulated bioreactors were operated at constant pH of 6.8. Under such conditions, the maximum growth rate was 0.039 h −1 obtained using acetic acid and butyric acid as electron acceptors, whereas the lowest growth rate was 0.010 h −1 with only butyric acid as electron acceptor. The maximum growth rate with acetic acid only, was similar, though slightly lower, as with the mixture of C2[sbnd]C4 fatty acids. Besides, the maximum productions of hexanoic acid were 11.8 g L −1 , 13.1 g L −1 and 21.2 g L −1 using, respectively, acetic acid, butyric acid and the mixture of both acids as electron acceptors. Thus, the use of a mixture of acetic acid and butyric acid in presence of ethanol for chain elongation, at constant pH, proved to be efficient for hexanoic acid production.","author":[{"dropping-particle":"","family":"San-Valero","given":"P.","non-dropping-particle":"","parse-names":false,"suffix":""},{"dropping-particle":"","family":"Fernández-Naveira","given":"","non-dropping-particle":"","parse-names":false,"suffix":""},{"dropping-particle":"","family":"Veiga","given":"M. C.","non-dropping-particle":"","parse-names":false,"suffix":""},{"dropping-particle":"","family":"Kennes","given":"C.","non-dropping-particle":"","parse-names":false,"suffix":""}],"container-title":"Journal of Environmental Management","id":"ITEM-3","issued":{"date-parts":[["2019","7","15"]]},"page":"515-521","publisher":"Academic Press","title":"Influence of electron acceptors on hexanoic acid production by Clostridium kluyveri","type":"article-journal","volume":"242"},"uris":["http://www.mendeley.com/documents/?uuid=002a6777-b937-37b9-8b8d-6bcb2d0b792c"]}],"mendeley":{"formattedCitation":"(Roghair et al., 2018; San-Valero et al., 2019; Steinbusch et al., 2011)","plainTextFormattedCitation":"(Roghair et al., 2018; San-Valero et al., 2019; Steinbusch et al., 2011)","previouslyFormattedCitation":"(Roghair et al., 2018; San-Valero et al., 2019; Steinbusch et al., 2011)"},"properties":{"noteIndex":0},"schema":"https://github.com/citation-style-language/schema/raw/master/csl-citation.json"}</w:instrText>
      </w:r>
      <w:r w:rsidRPr="00C466B6">
        <w:fldChar w:fldCharType="separate"/>
      </w:r>
      <w:r w:rsidR="00FF1680" w:rsidRPr="00FF1680">
        <w:rPr>
          <w:noProof/>
        </w:rPr>
        <w:t>(Roghair et al., 2018; San-Valero et al., 2019; Steinbusch et al., 2011)</w:t>
      </w:r>
      <w:r w:rsidRPr="00C466B6">
        <w:fldChar w:fldCharType="end"/>
      </w:r>
      <w:r w:rsidRPr="00FF1680">
        <w:t xml:space="preserve">. </w:t>
      </w:r>
      <w:r w:rsidRPr="00C466B6">
        <w:t xml:space="preserve">Due to being Middle-Chain Fatty Acid (MCFA), the caproic acid is a more </w:t>
      </w:r>
      <w:r w:rsidR="009E3CE6" w:rsidRPr="00C466B6">
        <w:t>desirable</w:t>
      </w:r>
      <w:r w:rsidRPr="00C466B6">
        <w:t xml:space="preserve"> product than shorter chain </w:t>
      </w:r>
      <w:r w:rsidR="00B80902">
        <w:t>VFAs</w:t>
      </w:r>
      <w:r w:rsidRPr="00C466B6">
        <w:t xml:space="preserve"> in terms of extraction viability and economic value </w:t>
      </w:r>
      <w:r w:rsidRPr="00C466B6">
        <w:fldChar w:fldCharType="begin" w:fldLock="1"/>
      </w:r>
      <w:r w:rsidR="00E22620">
        <w:instrText>ADDIN CSL_CITATION {"citationItems":[{"id":"ITEM-1","itemData":{"DOI":"10.1016/J.JENVMAN.2019.04.093","ISSN":"0301-4797","PMID":"31075646","abstract":"Clostridium kluyveri was used for chain elongation of C2[sbnd]C4 fatty acids in stirred tank bioreactors. The influence of different electron acceptors (acetic acid, butyric acid and the mixture of both)on C6 fatty acid production was evaluated in presence of ethanol using similar molar alcohol/acid ratios around 3.5. Bottle batch assays without pH regulation and with only acetic acid as electron acceptor yielded a final C6 fatty acid concentration of 6.8 ± 0.6 g L −1 . Then, pH-regulated bioreactors were operated at constant pH of 6.8. Under such conditions, the maximum growth rate was 0.039 h −1 obtained using acetic acid and butyric acid as electron acceptors, whereas the lowest growth rate was 0.010 h −1 with only butyric acid as electron acceptor. The maximum growth rate with acetic acid only, was similar, though slightly lower, as with the mixture of C2[sbnd]C4 fatty acids. Besides, the maximum productions of hexanoic acid were 11.8 g L −1 , 13.1 g L −1 and 21.2 g L −1 using, respectively, acetic acid, butyric acid and the mixture of both acids as electron acceptors. Thus, the use of a mixture of acetic acid and butyric acid in presence of ethanol for chain elongation, at constant pH, proved to be efficient for hexanoic acid production.","author":[{"dropping-particle":"","family":"San-Valero","given":"P.","non-dropping-particle":"","parse-names":false,"suffix":""},{"dropping-particle":"","family":"Fernández-Naveira","given":"","non-dropping-particle":"","parse-names":false,"suffix":""},{"dropping-particle":"","family":"Veiga","given":"M. C.","non-dropping-particle":"","parse-names":false,"suffix":""},{"dropping-particle":"","family":"Kennes","given":"C.","non-dropping-particle":"","parse-names":false,"suffix":""}],"container-title":"Journal of Environmental Management","id":"ITEM-1","issued":{"date-parts":[["2019","7","15"]]},"page":"515-521","publisher":"Academic Press","title":"Influence of electron acceptors on hexanoic acid production by Clostridium kluyveri","type":"article-journal","volume":"242"},"uris":["http://www.mendeley.com/documents/?uuid=002a6777-b937-37b9-8b8d-6bcb2d0b792c"]}],"mendeley":{"formattedCitation":"(San-Valero et al., 2019)","plainTextFormattedCitation":"(San-Valero et al., 2019)","previouslyFormattedCitation":"(San-Valero et al., 2019)"},"properties":{"noteIndex":0},"schema":"https://github.com/citation-style-language/schema/raw/master/csl-citation.json"}</w:instrText>
      </w:r>
      <w:r w:rsidRPr="00C466B6">
        <w:fldChar w:fldCharType="separate"/>
      </w:r>
      <w:r w:rsidR="00014750" w:rsidRPr="00FF1680">
        <w:rPr>
          <w:noProof/>
        </w:rPr>
        <w:t>(San-Valero et al., 2019)</w:t>
      </w:r>
      <w:r w:rsidRPr="00C466B6">
        <w:fldChar w:fldCharType="end"/>
      </w:r>
      <w:r w:rsidRPr="00C466B6">
        <w:t>.</w:t>
      </w:r>
    </w:p>
    <w:p w14:paraId="0A5A2A7B" w14:textId="77777777" w:rsidR="0067068D" w:rsidRDefault="0067068D" w:rsidP="0067068D">
      <w:pPr>
        <w:keepNext/>
        <w:jc w:val="left"/>
      </w:pPr>
      <w:r>
        <w:rPr>
          <w:noProof/>
        </w:rPr>
        <w:lastRenderedPageBreak/>
        <w:drawing>
          <wp:inline distT="0" distB="0" distL="0" distR="0" wp14:anchorId="1D26FFF7" wp14:editId="0EFA5EBB">
            <wp:extent cx="3600000" cy="2520000"/>
            <wp:effectExtent l="0" t="0" r="635" b="0"/>
            <wp:docPr id="4" name="Grafico 4">
              <a:extLst xmlns:a="http://schemas.openxmlformats.org/drawingml/2006/main">
                <a:ext uri="{FF2B5EF4-FFF2-40B4-BE49-F238E27FC236}">
                  <a16:creationId xmlns:a16="http://schemas.microsoft.com/office/drawing/2014/main" id="{652E2853-3B1D-4325-B5ED-9754562F2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B5C850" w14:textId="5356433D" w:rsidR="00460021" w:rsidRDefault="0067068D" w:rsidP="0067068D">
      <w:pPr>
        <w:pStyle w:val="CETCaption"/>
        <w:rPr>
          <w:b/>
          <w:bCs/>
          <w:noProof/>
        </w:rPr>
      </w:pPr>
      <w:r>
        <w:t xml:space="preserve">Figure </w:t>
      </w:r>
      <w:r>
        <w:fldChar w:fldCharType="begin"/>
      </w:r>
      <w:r>
        <w:instrText xml:space="preserve"> SEQ Figure \* ARABIC </w:instrText>
      </w:r>
      <w:r>
        <w:fldChar w:fldCharType="separate"/>
      </w:r>
      <w:r>
        <w:rPr>
          <w:noProof/>
        </w:rPr>
        <w:t>2</w:t>
      </w:r>
      <w:r>
        <w:fldChar w:fldCharType="end"/>
      </w:r>
      <w:r>
        <w:t xml:space="preserve">. </w:t>
      </w:r>
      <w:r w:rsidR="00B80902">
        <w:t>VFAs</w:t>
      </w:r>
      <w:r>
        <w:t xml:space="preserve"> production for Food Waste Condensate.</w:t>
      </w:r>
    </w:p>
    <w:p w14:paraId="335F8291" w14:textId="53C9D1D2" w:rsidR="00C466B6" w:rsidRDefault="00B80902" w:rsidP="00D82A68">
      <w:pPr>
        <w:pStyle w:val="CETheadingx"/>
        <w:rPr>
          <w:noProof/>
        </w:rPr>
      </w:pPr>
      <w:r>
        <w:rPr>
          <w:noProof/>
        </w:rPr>
        <w:t>VFAs</w:t>
      </w:r>
      <w:r w:rsidR="00460021" w:rsidRPr="00D8418B">
        <w:rPr>
          <w:noProof/>
        </w:rPr>
        <w:t xml:space="preserve"> production from </w:t>
      </w:r>
      <w:r w:rsidR="00460021">
        <w:rPr>
          <w:noProof/>
        </w:rPr>
        <w:t>RFW</w:t>
      </w:r>
      <w:r w:rsidR="00460021" w:rsidRPr="00D8418B">
        <w:rPr>
          <w:noProof/>
        </w:rPr>
        <w:t xml:space="preserve"> Stillage</w:t>
      </w:r>
    </w:p>
    <w:p w14:paraId="5E117E03" w14:textId="43FB166F" w:rsidR="00460021" w:rsidRDefault="00B03718" w:rsidP="00D173B9">
      <w:pPr>
        <w:pStyle w:val="CETBodytext"/>
        <w:rPr>
          <w:noProof/>
        </w:rPr>
      </w:pPr>
      <w:r>
        <w:rPr>
          <w:noProof/>
        </w:rPr>
        <w:t>This substrate, obtained from the enzymatic hydrolysis of RFW starch, had a high initial concentration of simple sugars of about 70 g glucose for 100g of substrate</w:t>
      </w:r>
      <w:r w:rsidR="0061396B">
        <w:rPr>
          <w:noProof/>
        </w:rPr>
        <w:t xml:space="preserve"> </w:t>
      </w:r>
      <w:r>
        <w:rPr>
          <w:noProof/>
        </w:rPr>
        <w:fldChar w:fldCharType="begin" w:fldLock="1"/>
      </w:r>
      <w:r w:rsidR="00E22620">
        <w:rPr>
          <w:noProof/>
        </w:rPr>
        <w:instrText>ADDIN CSL_CITATION {"citationItems":[{"id":"ITEM-1","itemData":{"DOI":"10.1007/s13399-020-00613-4","ISSN":"21906823","abstract":"This paper explores the challenge to turn restaurant food waste from environmental issue to energy asset. The transformation of the dehydrated restaurant food waste to used oil, ethanol and methane was investigated. Each process unit was studied and optimised. Thermal dehydration was adopted producing a dried feedstock suitable for the downstream processes as well as a condensate rich in volatile fatty acids with a biomethane potential yield of 1.24 L CH4/L. In the oil extraction process, the application of hexane, 20 Soxhlet cycles and solvent to feedstock ratio equal to 2 provided 81.76% oil yield with quality suitable for transesterification. Different loadings of non-commercial amylolytic enzyme were examined so as to enhance the starch bioconversion efficiency. Five microlitres of enzyme per gramme of starch and 90 min of saccharification time were selected as the optimum operating conditions for producing a hydrolysate that could be efficiently fermented to ethanol. The anaerobic biodegradability of the resulting stillage (415 L CH4/kg VS) could further promote the viability of the whole treatment train. The experimental results were integrated in a material flow diagram in order to enlighten the assessment of the biorefinery scheme.","author":[{"dropping-particle":"","family":"Salimi","given":"E.","non-dropping-particle":"","parse-names":false,"suffix":""},{"dropping-particle":"","family":"Taheri","given":"M. E.","non-dropping-particle":"","parse-names":false,"suffix":""},{"dropping-particle":"","family":"Passadis","given":"K.","non-dropping-particle":"","parse-names":false,"suffix":""},{"dropping-particle":"","family":"Novacovic","given":"J.","non-dropping-particle":"","parse-names":false,"suffix":""},{"dropping-particle":"","family":"Barampouti","given":"E. M.","non-dropping-particle":"","parse-names":false,"suffix":""},{"dropping-particle":"","family":"Mai","given":"S.","non-dropping-particle":"","parse-names":false,"suffix":""},{"dropping-particle":"","family":"Moustakas","given":"K.","non-dropping-particle":"","parse-names":false,"suffix":""},{"dropping-particle":"","family":"Malamis","given":"D.","non-dropping-particle":"","parse-names":false,"suffix":""},{"dropping-particle":"","family":"Loizidou","given":"Maria","non-dropping-particle":"","parse-names":false,"suffix":""}],"container-title":"Biomass Conversion and Biorefinery","id":"ITEM-1","issue":"2","issued":{"date-parts":[["2021"]]},"page":"661-671","publisher":"Biomass Conversion and Biorefinery","title":"Valorisation of restaurant food waste under the concept of a biorefinery","type":"article-journal","volume":"11"},"uris":["http://www.mendeley.com/documents/?uuid=fbfe9fb8-231e-405c-8a9a-c0758c7d2625"]}],"mendeley":{"formattedCitation":"(Salimi et al., 2021)","plainTextFormattedCitation":"(Salimi et al., 2021)","previouslyFormattedCitation":"(Salimi et al., 2021)"},"properties":{"noteIndex":0},"schema":"https://github.com/citation-style-language/schema/raw/master/csl-citation.json"}</w:instrText>
      </w:r>
      <w:r>
        <w:rPr>
          <w:noProof/>
        </w:rPr>
        <w:fldChar w:fldCharType="separate"/>
      </w:r>
      <w:r w:rsidR="00014750" w:rsidRPr="00FF1680">
        <w:rPr>
          <w:noProof/>
        </w:rPr>
        <w:t>(Salimi et al., 2021)</w:t>
      </w:r>
      <w:r>
        <w:rPr>
          <w:noProof/>
        </w:rPr>
        <w:fldChar w:fldCharType="end"/>
      </w:r>
      <w:r>
        <w:rPr>
          <w:noProof/>
        </w:rPr>
        <w:t xml:space="preserve">. The fermentation started immediately reaching the </w:t>
      </w:r>
      <w:r w:rsidR="00B80902">
        <w:rPr>
          <w:noProof/>
        </w:rPr>
        <w:t>VFAs</w:t>
      </w:r>
      <w:r>
        <w:rPr>
          <w:noProof/>
        </w:rPr>
        <w:t xml:space="preserve"> concentration of 10 g</w:t>
      </w:r>
      <w:r w:rsidR="00607DF8">
        <w:rPr>
          <w:noProof/>
        </w:rPr>
        <w:t>COD</w:t>
      </w:r>
      <w:r>
        <w:rPr>
          <w:noProof/>
        </w:rPr>
        <w:t>/L at the end of the first day of fermentation</w:t>
      </w:r>
      <w:r w:rsidR="006F47C1">
        <w:rPr>
          <w:noProof/>
        </w:rPr>
        <w:t xml:space="preserve"> only for </w:t>
      </w:r>
      <w:r w:rsidR="008802ED">
        <w:rPr>
          <w:noProof/>
        </w:rPr>
        <w:t>uncontrolled and pH 7 test</w:t>
      </w:r>
      <w:r>
        <w:rPr>
          <w:noProof/>
        </w:rPr>
        <w:t xml:space="preserve">. Then, the </w:t>
      </w:r>
      <w:r w:rsidR="00B80902">
        <w:rPr>
          <w:noProof/>
        </w:rPr>
        <w:t>VFAs</w:t>
      </w:r>
      <w:r>
        <w:rPr>
          <w:noProof/>
        </w:rPr>
        <w:t xml:space="preserve"> concentrations increased to 36.72, 30.04 and 27.21 g</w:t>
      </w:r>
      <w:r w:rsidR="00607DF8">
        <w:rPr>
          <w:noProof/>
        </w:rPr>
        <w:t>COD</w:t>
      </w:r>
      <w:r>
        <w:rPr>
          <w:noProof/>
        </w:rPr>
        <w:t xml:space="preserve">/L, corresponding to a production yield of 49.98 %, 40.89 % and 37.03 % for the pH 7, uncontrolled and pH 12 tests, respectively. Beside to the high sugars concentration, RFW stillage had good concentration of proteins too. This avoided the decreasing of pH under the inhibiting level. The degradation of proteins led to ammonia formation, known to favour the buffer effect of the system </w:t>
      </w:r>
      <w:r>
        <w:rPr>
          <w:noProof/>
        </w:rPr>
        <w:fldChar w:fldCharType="begin" w:fldLock="1"/>
      </w:r>
      <w:r w:rsidR="00E22620">
        <w:rPr>
          <w:noProof/>
        </w:rPr>
        <w:instrText>ADDIN CSL_CITATION {"citationItems":[{"id":"ITEM-1","itemData":{"DOI":"10.1016/j.biortech.2021.125289","ISSN":"18732976","PMID":"34015569","abstract":"This research investigated for the first time the influence of the single fractions (proteins, lipids, starch, cellulose, fibers and sugars) composing Household Food Wastes on Volatile Fatty Acids (VFA). A production at different pH (uncontrolled, 5.5 and 7.0): both the amount and profile of VFA were investigated. It was found that fractions rich in proteins and starch led to the greatest VFA productions (12–15 g/L), especially at neutral pH condition. On the contrary, fractions rich in cellulose, fibers, and sugars showed a very low VFA production (&lt;2 g/L). The chemical nature of HFW influenced the speciation of the microbial communities too. Lactobacillaceae family was highly represented in proteins-, starch-, fibers and sugars-rich substrates and Atopobiaceae, Eggerthellaceae, Acidaminococcaceae and Veillonellaceae displayed positive correlation to VFAs production. Instead, Comamonadaceae showed high relative abundance in lipids- and cellulose-rich fraction and was negatively correlated to the VFAs generation.","author":[{"dropping-particle":"","family":"Strazzera","given":"Giuseppe","non-dropping-particle":"","parse-names":false,"suffix":""},{"dropping-particle":"","family":"Battista","given":"Federico","non-dropping-particle":"","parse-names":false,"suffix":""},{"dropping-particle":"","family":"Andreolli","given":"Marco","non-dropping-particle":"","parse-names":false,"suffix":""},{"dropping-particle":"","family":"Menini","given":"Miriam","non-dropping-particle":"","parse-names":false,"suffix":""},{"dropping-particle":"","family":"Bolzonella","given":"David","non-dropping-particle":"","parse-names":false,"suffix":""},{"dropping-particle":"","family":"Lampis","given":"Silvia","non-dropping-particle":"","parse-names":false,"suffix":""}],"container-title":"Bioresource Technology","id":"ITEM-1","issue":"April","issued":{"date-parts":[["2021"]]},"page":"125289","publisher":"Elsevier Ltd","title":"Influence of different household Food Wastes Fractions on Volatile Fatty Acids production by anaerobic fermentation","type":"article-journal","volume":"335"},"uris":["http://www.mendeley.com/documents/?uuid=90d34a39-9408-40e7-bd12-1fd73b3f93fc"]}],"mendeley":{"formattedCitation":"(Strazzera et al., 2021a)","plainTextFormattedCitation":"(Strazzera et al., 2021a)","previouslyFormattedCitation":"(Strazzera et al., 2021a)"},"properties":{"noteIndex":0},"schema":"https://github.com/citation-style-language/schema/raw/master/csl-citation.json"}</w:instrText>
      </w:r>
      <w:r>
        <w:rPr>
          <w:noProof/>
        </w:rPr>
        <w:fldChar w:fldCharType="separate"/>
      </w:r>
      <w:r w:rsidR="00FF1680" w:rsidRPr="00FF1680">
        <w:rPr>
          <w:noProof/>
        </w:rPr>
        <w:t>(Strazzera et al., 2021a)</w:t>
      </w:r>
      <w:r>
        <w:rPr>
          <w:noProof/>
        </w:rPr>
        <w:fldChar w:fldCharType="end"/>
      </w:r>
      <w:r>
        <w:rPr>
          <w:noProof/>
        </w:rPr>
        <w:t xml:space="preserve">. The RFW stillage at pH 12 showed lower </w:t>
      </w:r>
      <w:r w:rsidR="00B80902">
        <w:rPr>
          <w:noProof/>
        </w:rPr>
        <w:t>VFAs</w:t>
      </w:r>
      <w:r>
        <w:rPr>
          <w:noProof/>
        </w:rPr>
        <w:t xml:space="preserve"> kinetics due to the initial inihbiting alkaline pH of the substrate. The </w:t>
      </w:r>
      <w:r w:rsidR="00136E57">
        <w:rPr>
          <w:noProof/>
        </w:rPr>
        <w:t>VFAs</w:t>
      </w:r>
      <w:r>
        <w:rPr>
          <w:noProof/>
        </w:rPr>
        <w:t xml:space="preserve"> production started after a 3 day lag-phase, achieving a lower final </w:t>
      </w:r>
      <w:r w:rsidR="00B80902">
        <w:rPr>
          <w:noProof/>
        </w:rPr>
        <w:t>VFAs</w:t>
      </w:r>
      <w:r>
        <w:rPr>
          <w:noProof/>
        </w:rPr>
        <w:t xml:space="preserve"> concentration. Previous studies by He et al. </w:t>
      </w:r>
      <w:r>
        <w:rPr>
          <w:noProof/>
        </w:rPr>
        <w:fldChar w:fldCharType="begin" w:fldLock="1"/>
      </w:r>
      <w:r w:rsidR="00E22620">
        <w:rPr>
          <w:noProof/>
        </w:rPr>
        <w:instrText>ADDIN CSL_CITATION {"citationItems":[{"id":"ITEM-1","itemData":{"DOI":"10.1016/J.PROENV.2012.10.012","ISSN":"1878-0296","abstract":"For two-phase anaerobic digestion process of food waste, degree of hydrolysis and products by acidification during hydrolysis and acidification phase directly affect the performance of methanogenesis phase. Temperature has great impact on hydrolysis and acidification of food waste. This paper monitored the dynamic change of biogas production, biogas composition, pH, soluble chemical oxygen demand (SCOD) and volatile fatty acids (VFAs) during hydrolysis and acidification stage so as to investigate specific influence of temperature on food waste. With the same inoculum and 9 days’ fermentation, three different temperatures (35, 55 and 70°C) were taken into consideration. The results showed that cumulative gas production was 4860mL at 70°C, which was 129.79% and 37.87% higher than that at 35 and 55°C. Besides, hydrogen content at 70°C was 45.34%, which was the highest among the three temperatures. Hydrolysis rate was proportional to the increase of temperature. Meanwhile, total VFAs yield and composition widely differed at three different temperatures. The hydrolysis and acidification products at 35°C were mainly ethanol and acetic acids and the highest concentrations of ethanol at 35°C were 3.28 and 3.65 times of that at 55 and 70°C, but more acetic, isobutyric and butyric acids were generated at 55 and 70°C. Among three temperatures, 70°C had the highest acetic acids concentration while 55°C had the highest isobutyric and butyric acids concentration.","author":[{"dropping-particle":"","family":"He","given":"Manni","non-dropping-particle":"","parse-names":false,"suffix":""},{"dropping-particle":"","family":"Sun","given":"Yanbin","non-dropping-particle":"","parse-names":false,"suffix":""},{"dropping-particle":"","family":"Zou","given":"Dexun","non-dropping-particle":"","parse-names":false,"suffix":""},{"dropping-particle":"","family":"Yuan","given":"Hairong","non-dropping-particle":"","parse-names":false,"suffix":""},{"dropping-particle":"","family":"Zhu","given":"Baoning","non-dropping-particle":"","parse-names":false,"suffix":""},{"dropping-particle":"","family":"Li","given":"Xiujin","non-dropping-particle":"","parse-names":false,"suffix":""},{"dropping-particle":"","family":"Pang","given":"Yunzhi","non-dropping-particle":"","parse-names":false,"suffix":""}],"container-title":"Procedia Environmental Sciences","id":"ITEM-1","issued":{"date-parts":[["2012","1","1"]]},"page":"85-94","publisher":"Elsevier","title":"Influence of Temperature on Hydrolysis Acidification of Food Waste","type":"article-journal","volume":"16"},"uris":["http://www.mendeley.com/documents/?uuid=693fa6cd-c2df-3d19-887b-be219992339a"]}],"mendeley":{"formattedCitation":"(He et al., 2012)","manualFormatting":"(2012)","plainTextFormattedCitation":"(He et al., 2012)","previouslyFormattedCitation":"(He et al., 2012)"},"properties":{"noteIndex":0},"schema":"https://github.com/citation-style-language/schema/raw/master/csl-citation.json"}</w:instrText>
      </w:r>
      <w:r>
        <w:rPr>
          <w:noProof/>
        </w:rPr>
        <w:fldChar w:fldCharType="separate"/>
      </w:r>
      <w:r w:rsidR="00E13CD5" w:rsidRPr="00E13CD5">
        <w:rPr>
          <w:noProof/>
        </w:rPr>
        <w:t>(2012)</w:t>
      </w:r>
      <w:r>
        <w:rPr>
          <w:noProof/>
        </w:rPr>
        <w:fldChar w:fldCharType="end"/>
      </w:r>
      <w:r>
        <w:rPr>
          <w:noProof/>
        </w:rPr>
        <w:t xml:space="preserve"> and Liu et al. </w:t>
      </w:r>
      <w:r>
        <w:rPr>
          <w:noProof/>
        </w:rPr>
        <w:fldChar w:fldCharType="begin" w:fldLock="1"/>
      </w:r>
      <w:r w:rsidR="00E22620">
        <w:rPr>
          <w:noProof/>
        </w:rPr>
        <w:instrText>ADDIN CSL_CITATION {"citationItems":[{"id":"ITEM-1","itemData":{"DOI":"10.1039/c7ra13268a","ISSN":"20462069","abstract":"Anaerobic digestion of food waste (FW) is commonly considered an effective and green technology to convert solid waste into valuable feedstock including volatile fatty acids (VFAs) and hydrogen. Response surface methodology (RSM) was selected to analyze the production of VFAs and hydrogen from food waste in a batch process. The effect of the three variables i.e. total solid content (TS), pH, and reaction time under each variable at three levels on VFAs and hydrogen production was assessed. The optimum conditions determined via RSM were pH = 7.0, TS = 100 g L-1, and reaction time = 3 d. The maximum VFA and hydrogen production was 26.17 g L-1 and 46.03 mL g-1 volatile solids added, respectively. The ratio of observed hydrogen (Ho) to predicted hydrogen (Hp) was x &lt; 1.0 because of inhibition of hydrogen production by VFA accumulation. The subsequent microbial community analysis result was also consistent with the abovementioned results. The evolution of Bacteroidetes, which facilitate VFA production, has been enriched by about 16.1-times at pH 7.0 followed by 10.2-times at pH 6.0 as compared to that in the uncontrolled pH batch.","author":[{"dropping-particle":"","family":"Liu","given":"Nuo","non-dropping-particle":"","parse-names":false,"suffix":""},{"dropping-particle":"","family":"Jiang","given":"Jianguo","non-dropping-particle":"","parse-names":false,"suffix":""},{"dropping-particle":"","family":"Yan","given":"Feng","non-dropping-particle":"","parse-names":false,"suffix":""},{"dropping-particle":"","family":"Xu","given":"Yiwen","non-dropping-particle":"","parse-names":false,"suffix":""},{"dropping-particle":"","family":"Yang","given":"Meng","non-dropping-particle":"","parse-names":false,"suffix":""},{"dropping-particle":"","family":"Gao","given":"Yuchen","non-dropping-particle":"","parse-names":false,"suffix":""},{"dropping-particle":"","family":"Aihemaiti","given":"Aikelaimu","non-dropping-particle":"","parse-names":false,"suffix":""},{"dropping-particle":"","family":"Zou","given":"Quan","non-dropping-particle":"","parse-names":false,"suffix":""}],"container-title":"RSC Advances","id":"ITEM-1","issue":"19","issued":{"date-parts":[["2018","3","14"]]},"page":"10457-10464","publisher":"Royal Society of Chemistry","title":"Optimization of simultaneous production of volatile fatty acids and bio-hydrogen from food waste using response surface methodology","type":"article-journal","volume":"8"},"uris":["http://www.mendeley.com/documents/?uuid=0005deae-8c89-37ce-ab14-f34f5f130c7c"]}],"mendeley":{"formattedCitation":"(Liu et al., 2018)","manualFormatting":"(2018)","plainTextFormattedCitation":"(Liu et al., 2018)","previouslyFormattedCitation":"(Liu et al., 2018)"},"properties":{"noteIndex":0},"schema":"https://github.com/citation-style-language/schema/raw/master/csl-citation.json"}</w:instrText>
      </w:r>
      <w:r>
        <w:rPr>
          <w:noProof/>
        </w:rPr>
        <w:fldChar w:fldCharType="separate"/>
      </w:r>
      <w:r w:rsidR="00E13CD5" w:rsidRPr="00E13CD5">
        <w:rPr>
          <w:noProof/>
        </w:rPr>
        <w:t>(2018)</w:t>
      </w:r>
      <w:r>
        <w:rPr>
          <w:noProof/>
        </w:rPr>
        <w:fldChar w:fldCharType="end"/>
      </w:r>
      <w:r>
        <w:rPr>
          <w:noProof/>
        </w:rPr>
        <w:t xml:space="preserve"> on anaerobic digestion of untreated food waste reached a final concentration of 16 and 26 g</w:t>
      </w:r>
      <w:r w:rsidR="00607DF8">
        <w:rPr>
          <w:noProof/>
        </w:rPr>
        <w:t>COD</w:t>
      </w:r>
      <w:r>
        <w:rPr>
          <w:noProof/>
        </w:rPr>
        <w:t xml:space="preserve">/L respectively, confirming the positive effect of enzymatic starch hydrolysis on </w:t>
      </w:r>
      <w:r w:rsidR="00B80902">
        <w:rPr>
          <w:noProof/>
        </w:rPr>
        <w:t>VFAs</w:t>
      </w:r>
      <w:r>
        <w:rPr>
          <w:noProof/>
        </w:rPr>
        <w:t xml:space="preserve"> production. The </w:t>
      </w:r>
      <w:r w:rsidR="00B80902">
        <w:rPr>
          <w:noProof/>
        </w:rPr>
        <w:t>VFAs</w:t>
      </w:r>
      <w:r>
        <w:rPr>
          <w:noProof/>
        </w:rPr>
        <w:t xml:space="preserve"> profile showed a prevalence of butyric acid followed by acetic and propionic with, respectively, 71, 25 and 4 % of the total </w:t>
      </w:r>
      <w:r w:rsidR="00B80902">
        <w:rPr>
          <w:noProof/>
        </w:rPr>
        <w:t>VFAs</w:t>
      </w:r>
      <w:r>
        <w:rPr>
          <w:noProof/>
        </w:rPr>
        <w:t xml:space="preserve"> production for uncontrolled pH. The same trend has been found in the pH 7 test, with 67, 21 and 12 % of butyric, acetic and propionic acids, respectively. This is consistent with the work of Wang et al. </w:t>
      </w:r>
      <w:r>
        <w:rPr>
          <w:noProof/>
        </w:rPr>
        <w:fldChar w:fldCharType="begin" w:fldLock="1"/>
      </w:r>
      <w:r w:rsidR="00E22620">
        <w:rPr>
          <w:noProof/>
        </w:rPr>
        <w:instrText>ADDIN CSL_CITATION {"citationItems":[{"id":"ITEM-1","itemData":{"DOI":"10.1016/j.biortech.2014.03.088","ISSN":"18732976","PMID":"24727700","abstract":"Food waste anaerobic fermentation was carried out under acidic conditions using inocula based on aerobic activated sludge (Inoculum AE) or anaerobic activated sludge (Inoculum AN) for volatile fatty acids (VFAs) production. The results showed that food waste hydrolysis increased obviously when Inoculum AN was used relative to Inoculum AE at any pH investigated. Hydrolysis at pH 4.0 and uncontrolled pH was higher than that at other pHs when either inoculum was used. Additionally, VFAs production at pH 6.0 was the highest, regardless of the inoculum used. The optimum VFA yields were 0.482g/gVSSremoval with Inoculum AE and 0.918g/gVSSremoval with Inoculum AN, which were observed after 4d and 20d of fermentation, respectively. VFAs composition analysis showed that butyrate acid was the prevalent acid at pH 6.0, followed by acetate acid and propionic acid. © 2014 Elsevier Ltd.","author":[{"dropping-particle":"","family":"Wang","given":"Kun","non-dropping-particle":"","parse-names":false,"suffix":""},{"dropping-particle":"","family":"Yin","given":"Jun","non-dropping-particle":"","parse-names":false,"suffix":""},{"dropping-particle":"","family":"Shen","given":"Dongsheng","non-dropping-particle":"","parse-names":false,"suffix":""},{"dropping-particle":"","family":"Li","given":"Na","non-dropping-particle":"","parse-names":false,"suffix":""}],"container-title":"Bioresource Technology","id":"ITEM-1","issued":{"date-parts":[["2014"]]},"page":"395-401","title":"Anaerobic digestion of food waste for volatile fatty acids (VFAs) production with different types of inoculum: Effect of pH","type":"article-journal","volume":"161"},"uris":["http://www.mendeley.com/documents/?uuid=53cb6275-8102-4658-ac58-0dbf744496f1"]}],"mendeley":{"formattedCitation":"(Wang et al., 2014)","manualFormatting":"(2014)","plainTextFormattedCitation":"(Wang et al., 2014)","previouslyFormattedCitation":"(Wang et al., 2014)"},"properties":{"noteIndex":0},"schema":"https://github.com/citation-style-language/schema/raw/master/csl-citation.json"}</w:instrText>
      </w:r>
      <w:r>
        <w:rPr>
          <w:noProof/>
        </w:rPr>
        <w:fldChar w:fldCharType="separate"/>
      </w:r>
      <w:r w:rsidR="00E13CD5" w:rsidRPr="00E13CD5">
        <w:rPr>
          <w:noProof/>
        </w:rPr>
        <w:t>(2014)</w:t>
      </w:r>
      <w:r>
        <w:rPr>
          <w:noProof/>
        </w:rPr>
        <w:fldChar w:fldCharType="end"/>
      </w:r>
      <w:r>
        <w:rPr>
          <w:noProof/>
        </w:rPr>
        <w:t xml:space="preserve">, which stated that at the pH range between 5.0 and 6.0, the butyric acid fermentation is favoured. For the pH 12 test, the </w:t>
      </w:r>
      <w:r w:rsidR="00B80902">
        <w:rPr>
          <w:noProof/>
        </w:rPr>
        <w:t>VFAs</w:t>
      </w:r>
      <w:r>
        <w:rPr>
          <w:noProof/>
        </w:rPr>
        <w:t xml:space="preserve"> profile was different, with 38, 27 and 35 % of acetic, propionic and butyric acid respectively.</w:t>
      </w:r>
    </w:p>
    <w:p w14:paraId="759380CE" w14:textId="46286BB9" w:rsidR="008D724D" w:rsidRDefault="008D724D" w:rsidP="008D724D">
      <w:pPr>
        <w:keepNext/>
        <w:jc w:val="left"/>
      </w:pPr>
      <w:r>
        <w:rPr>
          <w:noProof/>
        </w:rPr>
        <w:drawing>
          <wp:inline distT="0" distB="0" distL="0" distR="0" wp14:anchorId="32765F3E" wp14:editId="5A9D5C45">
            <wp:extent cx="3466769" cy="2376556"/>
            <wp:effectExtent l="0" t="0" r="635" b="5080"/>
            <wp:docPr id="2" name="Grafico 2">
              <a:extLst xmlns:a="http://schemas.openxmlformats.org/drawingml/2006/main">
                <a:ext uri="{FF2B5EF4-FFF2-40B4-BE49-F238E27FC236}">
                  <a16:creationId xmlns:a16="http://schemas.microsoft.com/office/drawing/2014/main" id="{E5741B1C-BA42-46F2-9218-F65FB041C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C158BF" w14:textId="35D2EF9C" w:rsidR="008D724D" w:rsidRDefault="008D724D" w:rsidP="008D724D">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B80902">
        <w:t>VFAs</w:t>
      </w:r>
      <w:r>
        <w:t xml:space="preserve"> production for Food Waste Stillage.</w:t>
      </w:r>
    </w:p>
    <w:p w14:paraId="45A72769" w14:textId="7833226E" w:rsidR="00B03718" w:rsidRPr="00D82A68" w:rsidRDefault="005B25AF" w:rsidP="00D82A68">
      <w:pPr>
        <w:pStyle w:val="CETHeading1"/>
      </w:pPr>
      <w:r w:rsidRPr="00D82A68">
        <w:lastRenderedPageBreak/>
        <w:t>Conclusions and future perspectives</w:t>
      </w:r>
    </w:p>
    <w:p w14:paraId="4DCBDD27" w14:textId="17B97353" w:rsidR="00324D2B" w:rsidRDefault="00324D2B" w:rsidP="00D173B9">
      <w:pPr>
        <w:pStyle w:val="CETBodytext"/>
        <w:rPr>
          <w:noProof/>
        </w:rPr>
      </w:pPr>
      <w:r>
        <w:rPr>
          <w:noProof/>
        </w:rPr>
        <w:t xml:space="preserve">This article evaluated the </w:t>
      </w:r>
      <w:r w:rsidR="00136E57">
        <w:rPr>
          <w:noProof/>
        </w:rPr>
        <w:t>VFAs</w:t>
      </w:r>
      <w:r>
        <w:rPr>
          <w:noProof/>
        </w:rPr>
        <w:t xml:space="preserve"> production performance of various food waste substrates at different conditions of pH and pretreatments. </w:t>
      </w:r>
      <w:r w:rsidR="00F92073">
        <w:t xml:space="preserve">The pH 7 emerged as the best condition for VFAs production for all the substrates. At pH 12, the VFAs production is greatly inhibited, due to toxic effects of strong basic pH on microbial flora </w:t>
      </w:r>
      <w:r w:rsidR="00F92073">
        <w:fldChar w:fldCharType="begin" w:fldLock="1"/>
      </w:r>
      <w:r w:rsidR="00E22620">
        <w:instrText>ADDIN CSL_CITATION {"citationItems":[{"id":"ITEM-1","itemData":{"DOI":"10.1016/j.biortech.2008.09.014","ISSN":"09608524","PMID":"18945612","abstract":"To reduce the production cost of polyhydroxyalkanoates (PHA) and disposal amount of excess sludge simultaneously, the feasibility of using fermentative volatile fatty acids (VFAs) as carbon sources to synthesize PHA by activated sludge was examined. At pH 11.0, 60 °C and fermentative time of 7 d, the VFAs yield was 258.65 mgTOC/gVSS. To restrain cell growth during PHA production, the released phosphorus and residual ammonium in the fermentative VFAs was recovered by the formation of struvite precipitation. Acetic acid was the predominant composition of the fermentative VFAs. PHA accumulation in excess sludge occurred feeding by fermentative VFAs with aerobic dynamic feeding process. The maximum PHA content accounted for 56.5% of the dry cell. It can be concluded from this study that the VFAs generated from excess sludge fermentation were a suitable carbon source for PHA production by activated sludge. Crown Copyright © 2008.","author":[{"dropping-particle":"","family":"Mengmeng","given":"Cai","non-dropping-particle":"","parse-names":false,"suffix":""},{"dropping-particle":"","family":"Hong","given":"Chua","non-dropping-particle":"","parse-names":false,"suffix":""},{"dropping-particle":"","family":"Qingliang","given":"Zhao","non-dropping-particle":"","parse-names":false,"suffix":""},{"dropping-particle":"","family":"Shirley","given":"Sin Ngai","non-dropping-particle":"","parse-names":false,"suffix":""},{"dropping-particle":"","family":"Jie","given":"Ren","non-dropping-particle":"","parse-names":false,"suffix":""}],"container-title":"Bioresource Technology","id":"ITEM-1","issue":"3","issued":{"date-parts":[["2009","2","1"]]},"page":"1399-1405","publisher":"Elsevier","title":"Optimal production of polyhydroxyalkanoates (PHA) in activated sludge fed by volatile fatty acids (VFAs) generated from alkaline excess sludge fermentation","type":"article-journal","volume":"100"},"uris":["http://www.mendeley.com/documents/?uuid=67f32840-1663-3c2d-b7f0-c088bef06eb8"]}],"mendeley":{"formattedCitation":"(Mengmeng et al., 2009)","plainTextFormattedCitation":"(Mengmeng et al., 2009)","previouslyFormattedCitation":"(Mengmeng et al., 2009)"},"properties":{"noteIndex":0},"schema":"https://github.com/citation-style-language/schema/raw/master/csl-citation.json"}</w:instrText>
      </w:r>
      <w:r w:rsidR="00F92073">
        <w:fldChar w:fldCharType="separate"/>
      </w:r>
      <w:r w:rsidR="00014750" w:rsidRPr="00FF1680">
        <w:rPr>
          <w:noProof/>
        </w:rPr>
        <w:t>(Mengmeng et al., 2009)</w:t>
      </w:r>
      <w:r w:rsidR="00F92073">
        <w:fldChar w:fldCharType="end"/>
      </w:r>
      <w:r w:rsidR="00F92073">
        <w:t>. When the pH was not controlled, the VFAs production varied according to the initial pH conditions of the different substrates.</w:t>
      </w:r>
      <w:r w:rsidR="00FE79D6">
        <w:t xml:space="preserve"> </w:t>
      </w:r>
      <w:r>
        <w:rPr>
          <w:noProof/>
        </w:rPr>
        <w:t xml:space="preserve">The best substrate for </w:t>
      </w:r>
      <w:r w:rsidR="00B80902">
        <w:rPr>
          <w:noProof/>
        </w:rPr>
        <w:t>VFAs</w:t>
      </w:r>
      <w:r>
        <w:rPr>
          <w:noProof/>
        </w:rPr>
        <w:t xml:space="preserve"> production was the enzymatically treated food waste (RFW stillage), due to the high content of sugars which can be immediately converted in </w:t>
      </w:r>
      <w:r w:rsidR="00B80902">
        <w:rPr>
          <w:noProof/>
        </w:rPr>
        <w:t>VFAs</w:t>
      </w:r>
      <w:r>
        <w:rPr>
          <w:noProof/>
        </w:rPr>
        <w:t xml:space="preserve">. This substrate had a </w:t>
      </w:r>
      <w:r w:rsidR="00B80902">
        <w:rPr>
          <w:noProof/>
        </w:rPr>
        <w:t>VFAs</w:t>
      </w:r>
      <w:r>
        <w:rPr>
          <w:noProof/>
        </w:rPr>
        <w:t xml:space="preserve"> yield of 49.98</w:t>
      </w:r>
      <w:r w:rsidR="009263F3">
        <w:rPr>
          <w:noProof/>
        </w:rPr>
        <w:t xml:space="preserve"> </w:t>
      </w:r>
      <w:r>
        <w:rPr>
          <w:noProof/>
        </w:rPr>
        <w:t xml:space="preserve">% corresponding to a </w:t>
      </w:r>
      <w:r w:rsidR="00B80902">
        <w:rPr>
          <w:noProof/>
        </w:rPr>
        <w:t>VFAs</w:t>
      </w:r>
      <w:r>
        <w:rPr>
          <w:noProof/>
        </w:rPr>
        <w:t xml:space="preserve"> final concentration of 36 g</w:t>
      </w:r>
      <w:r w:rsidR="0016152F">
        <w:rPr>
          <w:noProof/>
        </w:rPr>
        <w:t>COD</w:t>
      </w:r>
      <w:r>
        <w:rPr>
          <w:noProof/>
        </w:rPr>
        <w:t xml:space="preserve">/L, making this substrate well suited for </w:t>
      </w:r>
      <w:r w:rsidR="005E66A1">
        <w:rPr>
          <w:noProof/>
        </w:rPr>
        <w:t>PHAs</w:t>
      </w:r>
      <w:r>
        <w:rPr>
          <w:noProof/>
        </w:rPr>
        <w:t xml:space="preserve"> production, that will be investigated in the near future. Another interesting result was the high caproic acid concentration from RFW condensate due to the instauration of </w:t>
      </w:r>
      <w:r w:rsidR="00B80902">
        <w:rPr>
          <w:noProof/>
        </w:rPr>
        <w:t>VFAs</w:t>
      </w:r>
      <w:r>
        <w:rPr>
          <w:noProof/>
        </w:rPr>
        <w:t xml:space="preserve"> chain elongation’s reactions caused by the high the initial presence of ethanol and acetic acid in this substrate. Finally, the defatted and alkaline pretreated SCG substrate was not suited for </w:t>
      </w:r>
      <w:r w:rsidR="00B80902">
        <w:rPr>
          <w:noProof/>
        </w:rPr>
        <w:t>VFAs</w:t>
      </w:r>
      <w:r>
        <w:rPr>
          <w:noProof/>
        </w:rPr>
        <w:t xml:space="preserve"> production, due to the high concentration of recalcitrant compounds, cellulose and hemicellulose. This typology of substrate could probably fit better for pyrolysis and gasification processes.</w:t>
      </w:r>
    </w:p>
    <w:p w14:paraId="583427A5" w14:textId="1EDCC0F7" w:rsidR="009844DD" w:rsidRDefault="0014095F" w:rsidP="00D173B9">
      <w:pPr>
        <w:pStyle w:val="CETBodytext"/>
        <w:rPr>
          <w:noProof/>
        </w:rPr>
      </w:pPr>
      <w:r>
        <w:rPr>
          <w:noProof/>
        </w:rPr>
        <w:t>The batch tests conducted in this research work allowed to individuate the highe</w:t>
      </w:r>
      <w:r w:rsidR="008A5F82">
        <w:rPr>
          <w:noProof/>
        </w:rPr>
        <w:t xml:space="preserve">st VFAs production of the considered substrates at different </w:t>
      </w:r>
      <w:r w:rsidR="008A3493">
        <w:rPr>
          <w:noProof/>
        </w:rPr>
        <w:t xml:space="preserve">pH conditions. Continouos tests will be organized in order to </w:t>
      </w:r>
      <w:r w:rsidR="005D31CD">
        <w:rPr>
          <w:noProof/>
        </w:rPr>
        <w:t xml:space="preserve">find the Organic Load Rate and Hydraulic Retention Time </w:t>
      </w:r>
      <w:r w:rsidR="00667FFE">
        <w:rPr>
          <w:noProof/>
        </w:rPr>
        <w:t>which can optimized the VFAs productivity following the</w:t>
      </w:r>
      <w:r w:rsidR="009A6479">
        <w:rPr>
          <w:noProof/>
        </w:rPr>
        <w:t xml:space="preserve"> procedures </w:t>
      </w:r>
      <w:r w:rsidR="005511E0">
        <w:rPr>
          <w:noProof/>
        </w:rPr>
        <w:t>of some previous works</w:t>
      </w:r>
      <w:r w:rsidR="003A3C48">
        <w:rPr>
          <w:noProof/>
        </w:rPr>
        <w:t xml:space="preserve"> </w:t>
      </w:r>
      <w:r w:rsidR="00E22620">
        <w:rPr>
          <w:noProof/>
        </w:rPr>
        <w:fldChar w:fldCharType="begin" w:fldLock="1"/>
      </w:r>
      <w:r w:rsidR="00E22620">
        <w:rPr>
          <w:noProof/>
        </w:rPr>
        <w:instrText>ADDIN CSL_CITATION {"citationItems":[{"id":"ITEM-1","itemData":{"DOI":"10.1016/j.eti.2021.101562","ISSN":"23521864","abstract":"Household Food Wastes (HFW) are the most abundant organic wastes at urban level with a worldwide annual production of about 2 billion tons. This material can be the right feedstock for a carboxylate biorefinery platform. This work investigated the influence of different operational parameters (pH, temperature, Organic Loading Rate) on the Volatile Fatty Acids production and on their composition. It was demonstrated that, keeping constant the fermentation duration at 6 days, neutral pH, thermophilic temperature (55 °C) and an organic loading rate of 11 gTVS per Liter per day maximized the VFA production with a yield of 0.38 gVFA per gTVS fed. Under these conditions, the main VFAs were butyric and caproic acids with percentages around 60 and 20%, respectively.3. The analysis of the mixed microbial community performed over the reactor operation showed the dominance of members of Firmicutes phylum mainly affiliated to Clostridium and Lactobacillus genera. The process was mostly driven by Clostridium species in mesophilic runs characterized by stable VFAs production and highest yields whereas Lactobacillus was enriched under thermophilic operating conditions.","author":[{"dropping-particle":"","family":"Strazzera","given":"Giuseppe","non-dropping-particle":"","parse-names":false,"suffix":""},{"dropping-particle":"","family":"Battista","given":"Federico","non-dropping-particle":"","parse-names":false,"suffix":""},{"dropping-particle":"","family":"Tonanzi","given":"Barbara","non-dropping-particle":"","parse-names":false,"suffix":""},{"dropping-particle":"","family":"Rossetti","given":"Simona","non-dropping-particle":"","parse-names":false,"suffix":""},{"dropping-particle":"","family":"Bolzonella","given":"David","non-dropping-particle":"","parse-names":false,"suffix":""}],"container-title":"Environmental Technology and Innovation","id":"ITEM-1","issued":{"date-parts":[["2021","8","1"]]},"page":"101562","publisher":"Elsevier","title":"Optimization of short chain volatile fatty acids production from household food waste for biorefinery applications","type":"article-journal","volume":"23"},"uris":["http://www.mendeley.com/documents/?uuid=4b255d59-8c94-3932-9414-cb7cdc5105d4"]},{"id":"ITEM-2","itemData":{"DOI":"10.1016/J.WASMAN.2019.05.010","ISSN":"0956-053X","PMID":"31160023","abstract":"The problem of waste disposal has recently focused on practices for waste recycling and bio-resources valorization. Organic waste produced in urban context together with biological sludge produced in wastewater treatment plants (WWTPs)can be used as renewable feedstock for the production of building blocks of different products, from biopolymers to methyl esters. This paper deals with the optimization of the fermentation process in order to transform urban organic waste (a mixture of pre-treated food waste and biological sludge)into added-value volatile fatty acid (VFA)rich stream, useful for biological processes within a biorefinery technology chain. Different temperatures, pH, hydraulic retention times (HRTs)and organic loading rates (OLRs)were tested both in batch and continuous trials. Batch tests showed the best working conditions at 37 °C and pH 9, using the bio-waste feedstock thermally pre-treated (76 h at 72 °C). These conditions were applied in continuous process, where higher HRT (6.0 d)and lower OLR [7.7 kg VS/(m3 d)]gave the best performances in terms of process yield and maximum VFA level achieved: 0.77 CODVFA/VS(0) and 39 g CODVFA/L. An optimized fermentation process is crucial in a biorefinery perspective since it has to give a final stream of constant composition or tailored products suitable for further applications.","author":[{"dropping-particle":"","family":"Moretto","given":"Giulia","non-dropping-particle":"","parse-names":false,"suffix":""},{"dropping-particle":"","family":"Valentino","given":"Francesco","non-dropping-particle":"","parse-names":false,"suffix":""},{"dropping-particle":"","family":"Pavan","given":"Paolo","non-dropping-particle":"","parse-names":false,"suffix":""},{"dropping-particle":"","family":"Majone","given":"Mauro","non-dropping-particle":"","parse-names":false,"suffix":""},{"dropping-particle":"","family":"Bolzonella","given":"David","non-dropping-particle":"","parse-names":false,"suffix":""}],"container-title":"Waste Management","id":"ITEM-2","issued":{"date-parts":[["2019","6","1"]]},"page":"21-29","publisher":"Pergamon","title":"Optimization of urban waste fermentation for volatile fatty acids production","type":"article-journal","volume":"92"},"uris":["http://www.mendeley.com/documents/?uuid=45773b3a-77c6-397a-894c-21682dbfee02"]}],"mendeley":{"formattedCitation":"(Moretto et al., 2019; Strazzera et al., 2021b)","plainTextFormattedCitation":"(Moretto et al., 2019; Strazzera et al., 2021b)"},"properties":{"noteIndex":0},"schema":"https://github.com/citation-style-language/schema/raw/master/csl-citation.json"}</w:instrText>
      </w:r>
      <w:r w:rsidR="00E22620">
        <w:rPr>
          <w:noProof/>
        </w:rPr>
        <w:fldChar w:fldCharType="separate"/>
      </w:r>
      <w:r w:rsidR="00E22620" w:rsidRPr="00E22620">
        <w:rPr>
          <w:noProof/>
        </w:rPr>
        <w:t>(Moretto et al., 2019; Strazzera et al., 2021b)</w:t>
      </w:r>
      <w:r w:rsidR="00E22620">
        <w:rPr>
          <w:noProof/>
        </w:rPr>
        <w:fldChar w:fldCharType="end"/>
      </w:r>
      <w:r w:rsidR="00E22620">
        <w:rPr>
          <w:noProof/>
        </w:rPr>
        <w:t>.</w:t>
      </w:r>
    </w:p>
    <w:p w14:paraId="0825FBCA" w14:textId="4A029116" w:rsidR="001A6CB3" w:rsidRPr="00D82A68" w:rsidRDefault="008D724D" w:rsidP="00D82A68">
      <w:pPr>
        <w:pStyle w:val="CETHeading1"/>
      </w:pPr>
      <w:r w:rsidRPr="00D82A68">
        <w:t>Acknowledgements</w:t>
      </w:r>
    </w:p>
    <w:p w14:paraId="6DC643A3" w14:textId="0478A67B" w:rsidR="00B46395" w:rsidRDefault="00B46395" w:rsidP="00B46395">
      <w:r w:rsidRPr="00D173B9">
        <w:rPr>
          <w:rStyle w:val="CETBodytextCarattere"/>
        </w:rPr>
        <w:t xml:space="preserve">This work is in the framework of “LIFE </w:t>
      </w:r>
      <w:proofErr w:type="spellStart"/>
      <w:r w:rsidRPr="00D173B9">
        <w:rPr>
          <w:rStyle w:val="CETBodytextCarattere"/>
        </w:rPr>
        <w:t>CIRCforBIO</w:t>
      </w:r>
      <w:proofErr w:type="spellEnd"/>
      <w:r w:rsidRPr="00D173B9">
        <w:rPr>
          <w:rStyle w:val="CETBodytextCarattere"/>
        </w:rPr>
        <w:t xml:space="preserve">” project (LIFE18 CCM/GR/001180). The overall aim of this project is the valorization of the biomass produced from household, catering, industrial </w:t>
      </w:r>
      <w:proofErr w:type="gramStart"/>
      <w:r w:rsidRPr="00D173B9">
        <w:rPr>
          <w:rStyle w:val="CETBodytextCarattere"/>
        </w:rPr>
        <w:t>food</w:t>
      </w:r>
      <w:proofErr w:type="gramEnd"/>
      <w:r w:rsidRPr="00D173B9">
        <w:rPr>
          <w:rStyle w:val="CETBodytextCarattere"/>
        </w:rPr>
        <w:t xml:space="preserve"> and agricultural waste for </w:t>
      </w:r>
      <w:r w:rsidR="00136E57">
        <w:rPr>
          <w:rStyle w:val="CETBodytextCarattere"/>
        </w:rPr>
        <w:t>VFAs</w:t>
      </w:r>
      <w:r w:rsidRPr="00D173B9">
        <w:rPr>
          <w:rStyle w:val="CETBodytextCarattere"/>
        </w:rPr>
        <w:t xml:space="preserve"> production and, subsequently, for bioplastic synthesis, thus implementing a circular economy concept for biomass</w:t>
      </w:r>
      <w:r>
        <w:t>.</w:t>
      </w:r>
    </w:p>
    <w:p w14:paraId="2896D5E9" w14:textId="7FF6D399" w:rsidR="00B46395" w:rsidRPr="00FE3A99" w:rsidRDefault="00B46395" w:rsidP="00B46395">
      <w:pPr>
        <w:pStyle w:val="CETHeading1"/>
        <w:numPr>
          <w:ilvl w:val="0"/>
          <w:numId w:val="0"/>
        </w:numPr>
        <w:rPr>
          <w:lang w:val="it-IT"/>
        </w:rPr>
      </w:pPr>
      <w:proofErr w:type="spellStart"/>
      <w:r w:rsidRPr="00FE3A99">
        <w:rPr>
          <w:lang w:val="it-IT"/>
        </w:rPr>
        <w:t>References</w:t>
      </w:r>
      <w:proofErr w:type="spellEnd"/>
    </w:p>
    <w:p w14:paraId="6C6185F3" w14:textId="62BDCB86" w:rsidR="00E22620" w:rsidRPr="00E22620" w:rsidRDefault="001326D5" w:rsidP="00E22620">
      <w:pPr>
        <w:widowControl w:val="0"/>
        <w:autoSpaceDE w:val="0"/>
        <w:autoSpaceDN w:val="0"/>
        <w:adjustRightInd w:val="0"/>
        <w:spacing w:line="240" w:lineRule="auto"/>
        <w:ind w:left="480" w:hanging="480"/>
        <w:rPr>
          <w:rFonts w:cs="Arial"/>
          <w:noProof/>
          <w:szCs w:val="24"/>
        </w:rPr>
      </w:pPr>
      <w:r>
        <w:fldChar w:fldCharType="begin" w:fldLock="1"/>
      </w:r>
      <w:r w:rsidRPr="00FE3A99">
        <w:rPr>
          <w:lang w:val="it-IT"/>
        </w:rPr>
        <w:instrText xml:space="preserve">ADDIN Mendeley Bibliography CSL_BIBLIOGRAPHY </w:instrText>
      </w:r>
      <w:r>
        <w:fldChar w:fldCharType="separate"/>
      </w:r>
      <w:r w:rsidR="00E22620" w:rsidRPr="00E22620">
        <w:rPr>
          <w:rFonts w:cs="Arial"/>
          <w:noProof/>
          <w:szCs w:val="24"/>
        </w:rPr>
        <w:t>Barampouti E.M., Grammatikos C., Stoumpou V., Malamis D., Mai S., 2021. Emerging Synergies on the Co-treatment of Spent Coffee Grounds and Brewer’s Spent Grains for Ethanol Production. Waste and Biomass Valorization. https://doi.org/10.1007/s12649-021-01543-6</w:t>
      </w:r>
    </w:p>
    <w:p w14:paraId="745CA7B2" w14:textId="7247787B"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Battista F., Frison N., Pavan P., Cavinato C., Gottard</w:t>
      </w:r>
      <w:r w:rsidR="00FE79D6">
        <w:rPr>
          <w:rFonts w:cs="Arial"/>
          <w:noProof/>
          <w:szCs w:val="24"/>
        </w:rPr>
        <w:t>o</w:t>
      </w:r>
      <w:r w:rsidRPr="00E22620">
        <w:rPr>
          <w:rFonts w:cs="Arial"/>
          <w:noProof/>
          <w:szCs w:val="24"/>
        </w:rPr>
        <w:t xml:space="preserve"> M., Fatone F., Eusebi A.L., Majone M., Zeppilli M., Valentino F., Fino D., Tommasi T., Bolzonella D., 2020a. Food wastes and sewage sludge as feedstock for an urban biorefinery producing biofuels and added-value bioproducts. J. Chem. Technol. Biotechnol. https://doi.org/10.1002/jctb.6096</w:t>
      </w:r>
    </w:p>
    <w:p w14:paraId="219A5193" w14:textId="709BA51F"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Battista F., Zanzoni S., Strazzera G., Andreolli M., Bolzonella D., 2020b. The cascade biorefinery approach for the valorization of the spent coffee grounds. Renew. Energy 157, 1203–1211. https://doi.org/10.1016/j.renene.2020.05.113</w:t>
      </w:r>
    </w:p>
    <w:p w14:paraId="38383C42" w14:textId="665CC509"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Battista F., Zuliani L., Rizzioli F., Fusco S., Bolzonella D., 2021. Biodiesel, biogas and fermentable sugars production from Spent coffee Grounds: A cascade biorefinery approach. Bioresour. Technol. 342, 125952. https://doi.org/10.1016/j.biortech.2021.125952</w:t>
      </w:r>
    </w:p>
    <w:p w14:paraId="606C913B" w14:textId="1DDA0769"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Colombo B., Favini F., Scaglia B., Sciarria T.P., D’Imporzano G., Pognani M., Alekseeva A., Eisele G., Cosentino C., Adani F., 2017. Enhanced polyhydroxyalkanoate (PHA) production from the organic fraction of municipal solid waste by using mixed microbial culture. Biotechnol. Biofuels 10. https://doi.org/10.1186/s13068-017-0888-8</w:t>
      </w:r>
    </w:p>
    <w:p w14:paraId="400C7BCB" w14:textId="5A7A0616"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Dutta S., He M., Xiong X., Tsang D.C.W., 2021. Sustainable management and recycling of food waste anaerobic digestate: A review. Bioresour. Technol. 341, 125915. https://doi.org/10.1016/j.biortech.2021.125915</w:t>
      </w:r>
    </w:p>
    <w:p w14:paraId="39F60226" w14:textId="77777777"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FAO, 2021. Food Waste Index Report 2021, Unep.</w:t>
      </w:r>
    </w:p>
    <w:p w14:paraId="2DBD38C2" w14:textId="77777777"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FAO, 2019. The State of Food and Agriculture 2019. Moving forward on food loss and waste reduction. Rome.</w:t>
      </w:r>
    </w:p>
    <w:p w14:paraId="4F3732DB" w14:textId="43CA45A9"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He M., Sun Y., Zou D., Yuan H., Zhu B., Li X., Pang Y., 2012. Influence of Temperature on Hydrolysis Acidification of Food Waste. Procedia Environ. Sci. 16, 85–94. https://doi.org/10.1016/J.PROENV.2012.10.012</w:t>
      </w:r>
    </w:p>
    <w:p w14:paraId="13A6E73C" w14:textId="13CC0742"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Liu N., Jiang J., Yan F., Xu Y., Yang M., Gao Y., Aihemaiti A., Zou Q., 2018. Optimization of simultaneous production of volatile fatty acids and bio-hydrogen from food waste using response surface methodology. RSC Adv. 8, 10457–10464. https://doi.org/10.1039/c7ra13268a</w:t>
      </w:r>
    </w:p>
    <w:p w14:paraId="05019CF3" w14:textId="274E0BEF"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Lytras G., Koutroumanou E., Lyberatos G., 2020. Anaerobic co-digestion of condensate produced from drying of Household Food Waste and Waste Activated Sludge. J. Environ. Chem. Eng. 8, 103947. https://doi.org/10.1016/j.jece.2020.103947</w:t>
      </w:r>
    </w:p>
    <w:p w14:paraId="29EED9F0" w14:textId="56D45151"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Mengmeng C., Hong C., Qingliang Z., Shirley S.N., Jie R., 2009. Optimal production of polyhydroxyalkanoates (PHA) in activated sludge fed by volatile fatty acids (VFAs) generated from alkaline excess sludge fermentation. Bioresour. Technol. 100, 1399–1405. https://doi.org/10.1016/j.biortech.2008.09.014</w:t>
      </w:r>
    </w:p>
    <w:p w14:paraId="4B2BA6DA" w14:textId="3BB912BA"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lastRenderedPageBreak/>
        <w:t>Moretto G., Valentino F., Pavan P., Majone M., Bolzonella D., 2019. Optimization of urban waste fermentation for volatile fatty acids production. Waste Manag. 92, 21–29. https://doi.org/10.1016/J.WASMAN.2019.05.010</w:t>
      </w:r>
    </w:p>
    <w:p w14:paraId="64ACCACA" w14:textId="799B57C0"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Ramos-Suarez M., Zhang Y., Outram V., 2021. Current perspectives on acidogenic fermentation to produce volatile fatty acids from waste. Rev. Environ. Sci. Biotechnol. https://doi.org/10.1007/s11157-021-09566-0</w:t>
      </w:r>
    </w:p>
    <w:p w14:paraId="53ECA02B" w14:textId="70FBA6F9"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Rizzioli F., Battista F., Bolzonella D., Frison N., 2021. Volatile Fatty Acid Recovery from Anaerobic Fermentate: Focusing on Adsorption and Desorption Performances. Ind. Eng. Chem. Res. 60, 13701–13709. https://doi.org/10.1021/acs.iecr.1c03280</w:t>
      </w:r>
    </w:p>
    <w:p w14:paraId="37C963F8" w14:textId="77E8DA70"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Roghair M., Liu Y., Strik D.P.B.T.B., Weusthuis R.A., Bruins M.E., Buisman C.J.N., 2018. Development of an effective chain elongation process from acidified food waste and ethanol into n-Caproate. Front. Bioeng. Biotechnol. 6, 1–11. https://doi.org/10.3389/fbioe.2018.00050</w:t>
      </w:r>
    </w:p>
    <w:p w14:paraId="440CEC79" w14:textId="3F552560"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Salimi E., Taheri M.E., Passadis K., Novacovic J., Barampouti E.M., Mai S., Moustakas K., Malamis D., Loizidou M., 2021. Valorisation of restaurant food waste under the concept of a biorefinery. Biomass Convers. Biorefinery 11, 661–671. https://doi.org/10.1007/s13399-020-00613-4</w:t>
      </w:r>
    </w:p>
    <w:p w14:paraId="3ED8AD75" w14:textId="1AFB02AF"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San-Valero P., Fernández-Naveira Veiga M.C., Kennes C., 2019. Influence of electron acceptors on hexanoic acid production by Clostridium kluyveri. J. Environ. Manage. 242, 515–521. https://doi.org/10.1016/J.JENVMAN.2019.04.093</w:t>
      </w:r>
    </w:p>
    <w:p w14:paraId="198330A1" w14:textId="21EA4817"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Steinbusch K.J.J., Hamelers H.V.M., Plugge C.M., Buisman C.J.N., 2011. Biological formation of caproate and caprylate from acetate: Fuel and chemical production from low grade biomass. Energy Environ. Sci. 4, 216–224. https://doi.org/10.1039/c0ee00282h</w:t>
      </w:r>
    </w:p>
    <w:p w14:paraId="58ED6322" w14:textId="57038DEF"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Strazzera G., Battista F., Andreolli M., Menini M., Bolzonella D., Lampis S., 2021a. Influence of different household Food Wastes Fractions on Volatile Fatty Acids production by anaerobic fermentation. Bioresour. Technol. 335, 125289. https://doi.org/10.1016/j.biortech.2021.125289</w:t>
      </w:r>
    </w:p>
    <w:p w14:paraId="2600F69B" w14:textId="3A38B3A2"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Strazzera G., Battista F., Garcia N.H., Frison N., Bolzonella D., 2018. Volatile fatty acids production from food wastes for biorefinery platforms: A review. J. Environ. Manage. 226, 278–288. https://doi.org/10.1016/j.jenvman.2018.08.039</w:t>
      </w:r>
    </w:p>
    <w:p w14:paraId="0E015754" w14:textId="2543A02D"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Strazzera G., Battista F., Tonanzi B., Rossetti S., Bolzonella D., 2021b. Optimization of short chain volatile fatty acids production from household food waste for biorefinery applications. Environ. Technol. Innov. 23, 101562. https://doi.org/10.1016/j.eti.2021.101562</w:t>
      </w:r>
    </w:p>
    <w:p w14:paraId="647FDBC6" w14:textId="434D6357"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Valentino F., Lorini L., Pavan P., Bolzonella D., Majone M., 2019a. Organic fraction of municipal solid waste conversion into polyhydroxyalkanoates (PHA) in a pilot scale anaerobic/aerobic process. Chem. Eng. Trans. 74, 265–270. https://doi.org/10.3303/CET1974045</w:t>
      </w:r>
    </w:p>
    <w:p w14:paraId="181F25DB" w14:textId="76769450"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Valentino F., Moretto G., Lorini L., Bolzonella D., Pavan P., Majone M., 2019b. Pilot-Scale Polyhydroxyalkanoate Production from Combined Treatment of Organic Fraction of Municipal Solid Waste and Sewage Sludge. Ind. Eng. Chem. Res. 58, 12149–12158. https://doi.org/10.1021/acs.iecr.9b01831</w:t>
      </w:r>
    </w:p>
    <w:p w14:paraId="7DFBFDC0" w14:textId="15ADC5E1" w:rsidR="00E22620" w:rsidRPr="00E22620" w:rsidRDefault="00E22620" w:rsidP="00E22620">
      <w:pPr>
        <w:widowControl w:val="0"/>
        <w:autoSpaceDE w:val="0"/>
        <w:autoSpaceDN w:val="0"/>
        <w:adjustRightInd w:val="0"/>
        <w:spacing w:line="240" w:lineRule="auto"/>
        <w:ind w:left="480" w:hanging="480"/>
        <w:rPr>
          <w:rFonts w:cs="Arial"/>
          <w:noProof/>
          <w:szCs w:val="24"/>
        </w:rPr>
      </w:pPr>
      <w:r w:rsidRPr="00E22620">
        <w:rPr>
          <w:rFonts w:cs="Arial"/>
          <w:noProof/>
          <w:szCs w:val="24"/>
        </w:rPr>
        <w:t>Wang K., Yin J., Shen D., Li N., 2014. Anaerobic digestion of food waste for volatile fatty acids (VFAs) production with different types of inoculum: Effect of pH. Bioresour. Technol. 161, 395–401. https://doi.org/10.1016/j.biortech.2014.03.088</w:t>
      </w:r>
    </w:p>
    <w:p w14:paraId="47429B9F" w14:textId="56C41EB6" w:rsidR="00E22620" w:rsidRPr="00E22620" w:rsidRDefault="00E22620" w:rsidP="00E22620">
      <w:pPr>
        <w:widowControl w:val="0"/>
        <w:autoSpaceDE w:val="0"/>
        <w:autoSpaceDN w:val="0"/>
        <w:adjustRightInd w:val="0"/>
        <w:spacing w:line="240" w:lineRule="auto"/>
        <w:ind w:left="480" w:hanging="480"/>
        <w:rPr>
          <w:rFonts w:cs="Arial"/>
          <w:noProof/>
        </w:rPr>
      </w:pPr>
      <w:r w:rsidRPr="00E22620">
        <w:rPr>
          <w:rFonts w:cs="Arial"/>
          <w:noProof/>
          <w:szCs w:val="24"/>
        </w:rPr>
        <w:t>Zhang R., El-Mashad H.M., Hartman K., Wang F., Liu G., Choate C., Gamble P., 2007. Characterization of food waste as feedstock for anaerobic digestion. Bioresour. Technol. 98, 929–935. https://doi.org/10.1016/j.biortech.2006.02.039</w:t>
      </w:r>
    </w:p>
    <w:p w14:paraId="7ACFA8B2" w14:textId="58301FC7" w:rsidR="00B46395" w:rsidRPr="00B46395" w:rsidRDefault="001326D5" w:rsidP="00B46395">
      <w:pPr>
        <w:pStyle w:val="CETBodytext"/>
      </w:pPr>
      <w:r>
        <w:fldChar w:fldCharType="end"/>
      </w:r>
    </w:p>
    <w:sectPr w:rsidR="00B46395" w:rsidRPr="00B4639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3D96" w14:textId="77777777" w:rsidR="00DF6105" w:rsidRDefault="00DF6105" w:rsidP="004F5E36">
      <w:r>
        <w:separator/>
      </w:r>
    </w:p>
  </w:endnote>
  <w:endnote w:type="continuationSeparator" w:id="0">
    <w:p w14:paraId="74CF687D" w14:textId="77777777" w:rsidR="00DF6105" w:rsidRDefault="00DF61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E603" w14:textId="77777777" w:rsidR="00DF6105" w:rsidRDefault="00DF6105" w:rsidP="004F5E36">
      <w:r>
        <w:separator/>
      </w:r>
    </w:p>
  </w:footnote>
  <w:footnote w:type="continuationSeparator" w:id="0">
    <w:p w14:paraId="4387911B" w14:textId="77777777" w:rsidR="00DF6105" w:rsidRDefault="00DF61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3EAC6B2"/>
    <w:lvl w:ilvl="0">
      <w:start w:val="1"/>
      <w:numFmt w:val="decimal"/>
      <w:lvlText w:val="%1."/>
      <w:lvlJc w:val="left"/>
      <w:pPr>
        <w:ind w:left="0" w:firstLine="0"/>
      </w:pPr>
      <w:rPr>
        <w:rFonts w:hint="default"/>
      </w:rPr>
    </w:lvl>
    <w:lvl w:ilvl="1">
      <w:start w:val="1"/>
      <w:numFmt w:val="decimal"/>
      <w:pStyle w:val="CETHeading1"/>
      <w:suff w:val="space"/>
      <w:lvlText w:val="%2."/>
      <w:lvlJc w:val="left"/>
      <w:pPr>
        <w:ind w:left="1417" w:firstLine="0"/>
      </w:p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E92"/>
    <w:rsid w:val="000117CB"/>
    <w:rsid w:val="00014750"/>
    <w:rsid w:val="0002617F"/>
    <w:rsid w:val="000270AA"/>
    <w:rsid w:val="0003148D"/>
    <w:rsid w:val="00031EEC"/>
    <w:rsid w:val="0003300E"/>
    <w:rsid w:val="00051566"/>
    <w:rsid w:val="00062A9A"/>
    <w:rsid w:val="00065058"/>
    <w:rsid w:val="00080E47"/>
    <w:rsid w:val="00083D8E"/>
    <w:rsid w:val="00086C39"/>
    <w:rsid w:val="0009327F"/>
    <w:rsid w:val="000A03B2"/>
    <w:rsid w:val="000B6A07"/>
    <w:rsid w:val="000D0268"/>
    <w:rsid w:val="000D1967"/>
    <w:rsid w:val="000D34BE"/>
    <w:rsid w:val="000E102F"/>
    <w:rsid w:val="000E36F1"/>
    <w:rsid w:val="000E3A73"/>
    <w:rsid w:val="000E414A"/>
    <w:rsid w:val="000F093C"/>
    <w:rsid w:val="000F787B"/>
    <w:rsid w:val="0011367E"/>
    <w:rsid w:val="0012091F"/>
    <w:rsid w:val="00126BC2"/>
    <w:rsid w:val="001308B6"/>
    <w:rsid w:val="0013121F"/>
    <w:rsid w:val="00131FE6"/>
    <w:rsid w:val="00131FFD"/>
    <w:rsid w:val="0013263F"/>
    <w:rsid w:val="001326D5"/>
    <w:rsid w:val="001331DF"/>
    <w:rsid w:val="00134DE4"/>
    <w:rsid w:val="00136E57"/>
    <w:rsid w:val="0014034D"/>
    <w:rsid w:val="0014095F"/>
    <w:rsid w:val="00144D16"/>
    <w:rsid w:val="00150E59"/>
    <w:rsid w:val="00152DE3"/>
    <w:rsid w:val="0016152F"/>
    <w:rsid w:val="00164CF9"/>
    <w:rsid w:val="001667A6"/>
    <w:rsid w:val="00184AD6"/>
    <w:rsid w:val="001A4AF7"/>
    <w:rsid w:val="001A6CB3"/>
    <w:rsid w:val="001B0349"/>
    <w:rsid w:val="001B1E93"/>
    <w:rsid w:val="001B65C1"/>
    <w:rsid w:val="001C0EFA"/>
    <w:rsid w:val="001C5150"/>
    <w:rsid w:val="001C684B"/>
    <w:rsid w:val="001D0CFB"/>
    <w:rsid w:val="001D1E8F"/>
    <w:rsid w:val="001D21AF"/>
    <w:rsid w:val="001D53FC"/>
    <w:rsid w:val="001E51C5"/>
    <w:rsid w:val="001F42A5"/>
    <w:rsid w:val="001F7B9D"/>
    <w:rsid w:val="00201C93"/>
    <w:rsid w:val="002224B4"/>
    <w:rsid w:val="00243397"/>
    <w:rsid w:val="002447EF"/>
    <w:rsid w:val="00251550"/>
    <w:rsid w:val="00263B05"/>
    <w:rsid w:val="00271AD9"/>
    <w:rsid w:val="0027221A"/>
    <w:rsid w:val="00275B61"/>
    <w:rsid w:val="00276048"/>
    <w:rsid w:val="00280FAF"/>
    <w:rsid w:val="00281521"/>
    <w:rsid w:val="00282656"/>
    <w:rsid w:val="00296B83"/>
    <w:rsid w:val="002A0774"/>
    <w:rsid w:val="002B4015"/>
    <w:rsid w:val="002B78CE"/>
    <w:rsid w:val="002C2FB6"/>
    <w:rsid w:val="002D1927"/>
    <w:rsid w:val="002D4855"/>
    <w:rsid w:val="002E430B"/>
    <w:rsid w:val="002E5FA7"/>
    <w:rsid w:val="002F3309"/>
    <w:rsid w:val="003008CE"/>
    <w:rsid w:val="003009B7"/>
    <w:rsid w:val="00300E56"/>
    <w:rsid w:val="0030469C"/>
    <w:rsid w:val="00321CA6"/>
    <w:rsid w:val="00323763"/>
    <w:rsid w:val="00324D2B"/>
    <w:rsid w:val="00334C09"/>
    <w:rsid w:val="00362C33"/>
    <w:rsid w:val="003723D4"/>
    <w:rsid w:val="00381905"/>
    <w:rsid w:val="00384CC8"/>
    <w:rsid w:val="003871FD"/>
    <w:rsid w:val="003A1E30"/>
    <w:rsid w:val="003A2829"/>
    <w:rsid w:val="003A3C48"/>
    <w:rsid w:val="003A4534"/>
    <w:rsid w:val="003A7D1C"/>
    <w:rsid w:val="003B304B"/>
    <w:rsid w:val="003B3146"/>
    <w:rsid w:val="003D09FB"/>
    <w:rsid w:val="003D23D0"/>
    <w:rsid w:val="003F015E"/>
    <w:rsid w:val="003F050C"/>
    <w:rsid w:val="00400414"/>
    <w:rsid w:val="00404337"/>
    <w:rsid w:val="0041446B"/>
    <w:rsid w:val="0044071E"/>
    <w:rsid w:val="00441D82"/>
    <w:rsid w:val="0044329C"/>
    <w:rsid w:val="00453E24"/>
    <w:rsid w:val="00457456"/>
    <w:rsid w:val="004577FE"/>
    <w:rsid w:val="00457B9C"/>
    <w:rsid w:val="00460021"/>
    <w:rsid w:val="0046164A"/>
    <w:rsid w:val="004628D2"/>
    <w:rsid w:val="00462DCD"/>
    <w:rsid w:val="004648AD"/>
    <w:rsid w:val="004703A9"/>
    <w:rsid w:val="00474BD1"/>
    <w:rsid w:val="004760DE"/>
    <w:rsid w:val="004763D7"/>
    <w:rsid w:val="004A004E"/>
    <w:rsid w:val="004A24CF"/>
    <w:rsid w:val="004A493F"/>
    <w:rsid w:val="004C3D1D"/>
    <w:rsid w:val="004C7913"/>
    <w:rsid w:val="004E4DD6"/>
    <w:rsid w:val="004F5E36"/>
    <w:rsid w:val="004F7271"/>
    <w:rsid w:val="004F7B67"/>
    <w:rsid w:val="00500774"/>
    <w:rsid w:val="00507B47"/>
    <w:rsid w:val="00507BEF"/>
    <w:rsid w:val="00507CC9"/>
    <w:rsid w:val="005102D4"/>
    <w:rsid w:val="005119A5"/>
    <w:rsid w:val="00527705"/>
    <w:rsid w:val="005278B7"/>
    <w:rsid w:val="00532016"/>
    <w:rsid w:val="005346C8"/>
    <w:rsid w:val="00543E7D"/>
    <w:rsid w:val="00547A68"/>
    <w:rsid w:val="005511E0"/>
    <w:rsid w:val="005531C9"/>
    <w:rsid w:val="00570C43"/>
    <w:rsid w:val="0058478B"/>
    <w:rsid w:val="005B2110"/>
    <w:rsid w:val="005B25AF"/>
    <w:rsid w:val="005B279A"/>
    <w:rsid w:val="005B5791"/>
    <w:rsid w:val="005B61E6"/>
    <w:rsid w:val="005C77E1"/>
    <w:rsid w:val="005D145C"/>
    <w:rsid w:val="005D31CD"/>
    <w:rsid w:val="005D668A"/>
    <w:rsid w:val="005D6A2F"/>
    <w:rsid w:val="005E1883"/>
    <w:rsid w:val="005E1A82"/>
    <w:rsid w:val="005E66A1"/>
    <w:rsid w:val="005E794C"/>
    <w:rsid w:val="005F0A28"/>
    <w:rsid w:val="005F0DF6"/>
    <w:rsid w:val="005F0E5E"/>
    <w:rsid w:val="00600535"/>
    <w:rsid w:val="00604911"/>
    <w:rsid w:val="00607DF8"/>
    <w:rsid w:val="00610497"/>
    <w:rsid w:val="00610CD6"/>
    <w:rsid w:val="0061396B"/>
    <w:rsid w:val="00620DEE"/>
    <w:rsid w:val="00621F92"/>
    <w:rsid w:val="0062280A"/>
    <w:rsid w:val="00625639"/>
    <w:rsid w:val="00631B33"/>
    <w:rsid w:val="0064184D"/>
    <w:rsid w:val="006422CC"/>
    <w:rsid w:val="00660E3E"/>
    <w:rsid w:val="00662E74"/>
    <w:rsid w:val="00665B7B"/>
    <w:rsid w:val="00667FFE"/>
    <w:rsid w:val="0067068D"/>
    <w:rsid w:val="00675EFA"/>
    <w:rsid w:val="00680C23"/>
    <w:rsid w:val="00693766"/>
    <w:rsid w:val="006A3281"/>
    <w:rsid w:val="006B32A5"/>
    <w:rsid w:val="006B3497"/>
    <w:rsid w:val="006B4888"/>
    <w:rsid w:val="006C2E45"/>
    <w:rsid w:val="006C359C"/>
    <w:rsid w:val="006C5579"/>
    <w:rsid w:val="006C7E64"/>
    <w:rsid w:val="006D5F14"/>
    <w:rsid w:val="006D6A82"/>
    <w:rsid w:val="006D6E8B"/>
    <w:rsid w:val="006D723A"/>
    <w:rsid w:val="006D7BA6"/>
    <w:rsid w:val="006E737D"/>
    <w:rsid w:val="006F47C1"/>
    <w:rsid w:val="006F7126"/>
    <w:rsid w:val="00702DB8"/>
    <w:rsid w:val="00707FC5"/>
    <w:rsid w:val="00713973"/>
    <w:rsid w:val="007174F7"/>
    <w:rsid w:val="00720A24"/>
    <w:rsid w:val="00732386"/>
    <w:rsid w:val="007333C3"/>
    <w:rsid w:val="0073514D"/>
    <w:rsid w:val="00735889"/>
    <w:rsid w:val="007447F3"/>
    <w:rsid w:val="0075499F"/>
    <w:rsid w:val="00762F59"/>
    <w:rsid w:val="007661C8"/>
    <w:rsid w:val="0077098D"/>
    <w:rsid w:val="007931FA"/>
    <w:rsid w:val="007A4861"/>
    <w:rsid w:val="007A7BBA"/>
    <w:rsid w:val="007B0C50"/>
    <w:rsid w:val="007B48F9"/>
    <w:rsid w:val="007B7542"/>
    <w:rsid w:val="007C1A43"/>
    <w:rsid w:val="007E4287"/>
    <w:rsid w:val="0080013E"/>
    <w:rsid w:val="0080510E"/>
    <w:rsid w:val="00813288"/>
    <w:rsid w:val="008152F4"/>
    <w:rsid w:val="008168FC"/>
    <w:rsid w:val="00830996"/>
    <w:rsid w:val="008345F1"/>
    <w:rsid w:val="0084010C"/>
    <w:rsid w:val="00856836"/>
    <w:rsid w:val="0086094F"/>
    <w:rsid w:val="00865B07"/>
    <w:rsid w:val="008667EA"/>
    <w:rsid w:val="0087637F"/>
    <w:rsid w:val="008802ED"/>
    <w:rsid w:val="008837C5"/>
    <w:rsid w:val="00892AD5"/>
    <w:rsid w:val="00892D73"/>
    <w:rsid w:val="008A1512"/>
    <w:rsid w:val="008A3493"/>
    <w:rsid w:val="008A5F82"/>
    <w:rsid w:val="008C2E67"/>
    <w:rsid w:val="008C73CD"/>
    <w:rsid w:val="008D32B9"/>
    <w:rsid w:val="008D433B"/>
    <w:rsid w:val="008D5EAF"/>
    <w:rsid w:val="008D724D"/>
    <w:rsid w:val="008E566E"/>
    <w:rsid w:val="008F6543"/>
    <w:rsid w:val="0090161A"/>
    <w:rsid w:val="00901EB6"/>
    <w:rsid w:val="00904C62"/>
    <w:rsid w:val="00922BA8"/>
    <w:rsid w:val="00924DAC"/>
    <w:rsid w:val="009263F3"/>
    <w:rsid w:val="00927058"/>
    <w:rsid w:val="00942750"/>
    <w:rsid w:val="009450CE"/>
    <w:rsid w:val="00945AB6"/>
    <w:rsid w:val="00947179"/>
    <w:rsid w:val="0095164B"/>
    <w:rsid w:val="00954090"/>
    <w:rsid w:val="009573E7"/>
    <w:rsid w:val="00963E05"/>
    <w:rsid w:val="00964A45"/>
    <w:rsid w:val="00967843"/>
    <w:rsid w:val="00967D54"/>
    <w:rsid w:val="00971028"/>
    <w:rsid w:val="00981898"/>
    <w:rsid w:val="009844DD"/>
    <w:rsid w:val="00993B84"/>
    <w:rsid w:val="00996483"/>
    <w:rsid w:val="00996F5A"/>
    <w:rsid w:val="009A39BD"/>
    <w:rsid w:val="009A6479"/>
    <w:rsid w:val="009B041A"/>
    <w:rsid w:val="009B13FF"/>
    <w:rsid w:val="009C37C3"/>
    <w:rsid w:val="009C7B51"/>
    <w:rsid w:val="009C7C86"/>
    <w:rsid w:val="009D2FF7"/>
    <w:rsid w:val="009D608B"/>
    <w:rsid w:val="009E3CE6"/>
    <w:rsid w:val="009E7884"/>
    <w:rsid w:val="009E788A"/>
    <w:rsid w:val="009F0E08"/>
    <w:rsid w:val="009F321B"/>
    <w:rsid w:val="00A0021C"/>
    <w:rsid w:val="00A13EC3"/>
    <w:rsid w:val="00A16871"/>
    <w:rsid w:val="00A1763D"/>
    <w:rsid w:val="00A17CEC"/>
    <w:rsid w:val="00A27EF0"/>
    <w:rsid w:val="00A347C8"/>
    <w:rsid w:val="00A42361"/>
    <w:rsid w:val="00A47F79"/>
    <w:rsid w:val="00A50B20"/>
    <w:rsid w:val="00A51390"/>
    <w:rsid w:val="00A60D13"/>
    <w:rsid w:val="00A72745"/>
    <w:rsid w:val="00A75251"/>
    <w:rsid w:val="00A76EFC"/>
    <w:rsid w:val="00A91010"/>
    <w:rsid w:val="00A97F29"/>
    <w:rsid w:val="00AA23B0"/>
    <w:rsid w:val="00AA702E"/>
    <w:rsid w:val="00AB0964"/>
    <w:rsid w:val="00AB4983"/>
    <w:rsid w:val="00AB5011"/>
    <w:rsid w:val="00AC0A65"/>
    <w:rsid w:val="00AC0E96"/>
    <w:rsid w:val="00AC7368"/>
    <w:rsid w:val="00AD16B9"/>
    <w:rsid w:val="00AE01EA"/>
    <w:rsid w:val="00AE377D"/>
    <w:rsid w:val="00AF0EBA"/>
    <w:rsid w:val="00AF6775"/>
    <w:rsid w:val="00B02C8A"/>
    <w:rsid w:val="00B03718"/>
    <w:rsid w:val="00B17FBD"/>
    <w:rsid w:val="00B26CF5"/>
    <w:rsid w:val="00B315A6"/>
    <w:rsid w:val="00B31813"/>
    <w:rsid w:val="00B33365"/>
    <w:rsid w:val="00B45444"/>
    <w:rsid w:val="00B46395"/>
    <w:rsid w:val="00B57B36"/>
    <w:rsid w:val="00B57E6F"/>
    <w:rsid w:val="00B80902"/>
    <w:rsid w:val="00B8686D"/>
    <w:rsid w:val="00B93F69"/>
    <w:rsid w:val="00B97064"/>
    <w:rsid w:val="00BA3470"/>
    <w:rsid w:val="00BB1DDC"/>
    <w:rsid w:val="00BB3392"/>
    <w:rsid w:val="00BC30C9"/>
    <w:rsid w:val="00BD077D"/>
    <w:rsid w:val="00BE3E58"/>
    <w:rsid w:val="00BF4796"/>
    <w:rsid w:val="00C01616"/>
    <w:rsid w:val="00C0162B"/>
    <w:rsid w:val="00C068ED"/>
    <w:rsid w:val="00C0733C"/>
    <w:rsid w:val="00C10B39"/>
    <w:rsid w:val="00C22E0C"/>
    <w:rsid w:val="00C2790F"/>
    <w:rsid w:val="00C345B1"/>
    <w:rsid w:val="00C40142"/>
    <w:rsid w:val="00C466B6"/>
    <w:rsid w:val="00C52C3C"/>
    <w:rsid w:val="00C57182"/>
    <w:rsid w:val="00C57863"/>
    <w:rsid w:val="00C655FD"/>
    <w:rsid w:val="00C7531A"/>
    <w:rsid w:val="00C75407"/>
    <w:rsid w:val="00C870A8"/>
    <w:rsid w:val="00C93A12"/>
    <w:rsid w:val="00C94434"/>
    <w:rsid w:val="00C9653B"/>
    <w:rsid w:val="00C968B9"/>
    <w:rsid w:val="00CA0D75"/>
    <w:rsid w:val="00CA1C95"/>
    <w:rsid w:val="00CA27E6"/>
    <w:rsid w:val="00CA5A9C"/>
    <w:rsid w:val="00CC4C20"/>
    <w:rsid w:val="00CD3517"/>
    <w:rsid w:val="00CD5FE2"/>
    <w:rsid w:val="00CE7C68"/>
    <w:rsid w:val="00D02B4C"/>
    <w:rsid w:val="00D040C4"/>
    <w:rsid w:val="00D11F00"/>
    <w:rsid w:val="00D173B9"/>
    <w:rsid w:val="00D44C4E"/>
    <w:rsid w:val="00D46B7E"/>
    <w:rsid w:val="00D521A0"/>
    <w:rsid w:val="00D57C84"/>
    <w:rsid w:val="00D6057D"/>
    <w:rsid w:val="00D71640"/>
    <w:rsid w:val="00D82A68"/>
    <w:rsid w:val="00D836C5"/>
    <w:rsid w:val="00D84576"/>
    <w:rsid w:val="00D94979"/>
    <w:rsid w:val="00DA1369"/>
    <w:rsid w:val="00DA1399"/>
    <w:rsid w:val="00DA24C6"/>
    <w:rsid w:val="00DA4D7B"/>
    <w:rsid w:val="00DC65BA"/>
    <w:rsid w:val="00DE264A"/>
    <w:rsid w:val="00DF5072"/>
    <w:rsid w:val="00DF6105"/>
    <w:rsid w:val="00E02D18"/>
    <w:rsid w:val="00E041E7"/>
    <w:rsid w:val="00E13CD5"/>
    <w:rsid w:val="00E1540D"/>
    <w:rsid w:val="00E22620"/>
    <w:rsid w:val="00E23CA1"/>
    <w:rsid w:val="00E409A8"/>
    <w:rsid w:val="00E50C12"/>
    <w:rsid w:val="00E5334A"/>
    <w:rsid w:val="00E64D42"/>
    <w:rsid w:val="00E65B91"/>
    <w:rsid w:val="00E7209D"/>
    <w:rsid w:val="00E72EAD"/>
    <w:rsid w:val="00E77223"/>
    <w:rsid w:val="00E80227"/>
    <w:rsid w:val="00E8528B"/>
    <w:rsid w:val="00E85B94"/>
    <w:rsid w:val="00E978D0"/>
    <w:rsid w:val="00EA4613"/>
    <w:rsid w:val="00EA5CC4"/>
    <w:rsid w:val="00EA7F91"/>
    <w:rsid w:val="00EB1523"/>
    <w:rsid w:val="00EC0E49"/>
    <w:rsid w:val="00EC101F"/>
    <w:rsid w:val="00EC1D9F"/>
    <w:rsid w:val="00EE0131"/>
    <w:rsid w:val="00EE17B0"/>
    <w:rsid w:val="00EE69B3"/>
    <w:rsid w:val="00EF06D9"/>
    <w:rsid w:val="00F0504C"/>
    <w:rsid w:val="00F30C64"/>
    <w:rsid w:val="00F32BA2"/>
    <w:rsid w:val="00F32CDB"/>
    <w:rsid w:val="00F45123"/>
    <w:rsid w:val="00F53322"/>
    <w:rsid w:val="00F54105"/>
    <w:rsid w:val="00F565FE"/>
    <w:rsid w:val="00F63A70"/>
    <w:rsid w:val="00F72AB2"/>
    <w:rsid w:val="00F7534E"/>
    <w:rsid w:val="00F7692B"/>
    <w:rsid w:val="00F90777"/>
    <w:rsid w:val="00F92073"/>
    <w:rsid w:val="00FA1802"/>
    <w:rsid w:val="00FA21D0"/>
    <w:rsid w:val="00FA5F5F"/>
    <w:rsid w:val="00FB065B"/>
    <w:rsid w:val="00FB730C"/>
    <w:rsid w:val="00FC2695"/>
    <w:rsid w:val="00FC30B0"/>
    <w:rsid w:val="00FC3E03"/>
    <w:rsid w:val="00FC3FC1"/>
    <w:rsid w:val="00FE3A99"/>
    <w:rsid w:val="00FE79D6"/>
    <w:rsid w:val="00FF16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BB3392"/>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table" w:styleId="Tabellaelenco7acolori-colore3">
    <w:name w:val="List Table 7 Colorful Accent 3"/>
    <w:basedOn w:val="Tabellanormale"/>
    <w:uiPriority w:val="52"/>
    <w:rsid w:val="00BB339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colore4">
    <w:name w:val="Grid Table 1 Light Accent 4"/>
    <w:basedOn w:val="Tabellanormale"/>
    <w:uiPriority w:val="46"/>
    <w:rsid w:val="00FC30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univr-my.sharepoint.com/personal/federico_battista_univr_it/Documents/Circ4Bio%20traduzione/prove/Circ4Bio%20substra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vr-my.sharepoint.com/personal/federico_battista_univr_it/Documents/Circ4Bio%20traduzione/prove/Circ4Bio%20substra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vr-my.sharepoint.com/personal/federico_battista_univr_it/Documents/Circ4Bio%20traduzione/prove/Circ4Bio%20substra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Uncontrolled pH</c:v>
          </c:tx>
          <c:spPr>
            <a:ln w="22225" cap="rnd">
              <a:solidFill>
                <a:schemeClr val="accent1"/>
              </a:solidFill>
              <a:round/>
            </a:ln>
            <a:effectLst/>
          </c:spPr>
          <c:marker>
            <c:symbol val="circle"/>
            <c:size val="4"/>
            <c:spPr>
              <a:solidFill>
                <a:schemeClr val="accent1"/>
              </a:solidFill>
              <a:ln w="1587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'Ferm. SCG'!$B$42:$B$47</c:f>
              <c:numCache>
                <c:formatCode>General</c:formatCode>
                <c:ptCount val="6"/>
                <c:pt idx="0">
                  <c:v>0</c:v>
                </c:pt>
                <c:pt idx="1">
                  <c:v>2</c:v>
                </c:pt>
                <c:pt idx="2">
                  <c:v>7</c:v>
                </c:pt>
                <c:pt idx="3">
                  <c:v>9</c:v>
                </c:pt>
                <c:pt idx="4">
                  <c:v>15</c:v>
                </c:pt>
                <c:pt idx="5">
                  <c:v>18</c:v>
                </c:pt>
              </c:numCache>
            </c:numRef>
          </c:xVal>
          <c:yVal>
            <c:numRef>
              <c:f>'Ferm. SCG'!$I$42:$I$47</c:f>
              <c:numCache>
                <c:formatCode>General</c:formatCode>
                <c:ptCount val="6"/>
                <c:pt idx="0">
                  <c:v>0.61099999999999999</c:v>
                </c:pt>
                <c:pt idx="1">
                  <c:v>0.50049999999999994</c:v>
                </c:pt>
                <c:pt idx="2">
                  <c:v>0.3686666666666667</c:v>
                </c:pt>
                <c:pt idx="3">
                  <c:v>1.0241666666666667</c:v>
                </c:pt>
                <c:pt idx="4">
                  <c:v>1.6376666666666666</c:v>
                </c:pt>
                <c:pt idx="5">
                  <c:v>1.6478333333333333</c:v>
                </c:pt>
              </c:numCache>
            </c:numRef>
          </c:yVal>
          <c:smooth val="0"/>
          <c:extLst>
            <c:ext xmlns:c16="http://schemas.microsoft.com/office/drawing/2014/chart" uri="{C3380CC4-5D6E-409C-BE32-E72D297353CC}">
              <c16:uniqueId val="{00000000-338A-4BE6-B33B-0F651868E82B}"/>
            </c:ext>
          </c:extLst>
        </c:ser>
        <c:ser>
          <c:idx val="1"/>
          <c:order val="1"/>
          <c:tx>
            <c:v>pH 7</c:v>
          </c:tx>
          <c:spPr>
            <a:ln w="22225" cap="rnd">
              <a:solidFill>
                <a:schemeClr val="accent2"/>
              </a:solidFill>
              <a:round/>
            </a:ln>
            <a:effectLst/>
          </c:spPr>
          <c:marker>
            <c:symbol val="circle"/>
            <c:size val="4"/>
            <c:spPr>
              <a:solidFill>
                <a:schemeClr val="accent2"/>
              </a:solidFill>
              <a:ln w="1587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'Ferm. SCG'!$B$42:$B$47</c:f>
              <c:numCache>
                <c:formatCode>General</c:formatCode>
                <c:ptCount val="6"/>
                <c:pt idx="0">
                  <c:v>0</c:v>
                </c:pt>
                <c:pt idx="1">
                  <c:v>2</c:v>
                </c:pt>
                <c:pt idx="2">
                  <c:v>7</c:v>
                </c:pt>
                <c:pt idx="3">
                  <c:v>9</c:v>
                </c:pt>
                <c:pt idx="4">
                  <c:v>15</c:v>
                </c:pt>
                <c:pt idx="5">
                  <c:v>18</c:v>
                </c:pt>
              </c:numCache>
            </c:numRef>
          </c:xVal>
          <c:yVal>
            <c:numRef>
              <c:f>'Ferm. SCG'!$I$16:$I$21</c:f>
              <c:numCache>
                <c:formatCode>General</c:formatCode>
                <c:ptCount val="6"/>
                <c:pt idx="0">
                  <c:v>0.61099999999999999</c:v>
                </c:pt>
                <c:pt idx="1">
                  <c:v>0.7370000000000001</c:v>
                </c:pt>
                <c:pt idx="2">
                  <c:v>1.8503333333333334</c:v>
                </c:pt>
                <c:pt idx="3">
                  <c:v>1.8073333333333332</c:v>
                </c:pt>
                <c:pt idx="4">
                  <c:v>4.84</c:v>
                </c:pt>
                <c:pt idx="5">
                  <c:v>4.84</c:v>
                </c:pt>
              </c:numCache>
            </c:numRef>
          </c:yVal>
          <c:smooth val="0"/>
          <c:extLst>
            <c:ext xmlns:c16="http://schemas.microsoft.com/office/drawing/2014/chart" uri="{C3380CC4-5D6E-409C-BE32-E72D297353CC}">
              <c16:uniqueId val="{00000001-338A-4BE6-B33B-0F651868E82B}"/>
            </c:ext>
          </c:extLst>
        </c:ser>
        <c:ser>
          <c:idx val="2"/>
          <c:order val="2"/>
          <c:tx>
            <c:v>pH 12</c:v>
          </c:tx>
          <c:spPr>
            <a:ln w="22225" cap="rnd">
              <a:solidFill>
                <a:schemeClr val="accent3"/>
              </a:solidFill>
              <a:round/>
            </a:ln>
            <a:effectLst/>
          </c:spPr>
          <c:marker>
            <c:symbol val="circle"/>
            <c:size val="4"/>
            <c:spPr>
              <a:solidFill>
                <a:schemeClr val="accent3"/>
              </a:solidFill>
              <a:ln w="15875">
                <a:solidFill>
                  <a:schemeClr val="accent3"/>
                </a:solidFill>
              </a:ln>
              <a:effectLst/>
            </c:spPr>
          </c:marker>
          <c:errBars>
            <c:errDir val="y"/>
            <c:errBarType val="both"/>
            <c:errValType val="percentage"/>
            <c:noEndCap val="0"/>
            <c:val val="6"/>
            <c:spPr>
              <a:noFill/>
              <a:ln w="9525" cap="flat" cmpd="sng" algn="ctr">
                <a:solidFill>
                  <a:schemeClr val="tx1">
                    <a:lumMod val="65000"/>
                    <a:lumOff val="35000"/>
                  </a:schemeClr>
                </a:solidFill>
                <a:round/>
              </a:ln>
              <a:effectLst/>
            </c:spPr>
          </c:errBars>
          <c:xVal>
            <c:numRef>
              <c:f>'Ferm. SCG'!$N$16:$N$21</c:f>
              <c:numCache>
                <c:formatCode>General</c:formatCode>
                <c:ptCount val="6"/>
                <c:pt idx="0">
                  <c:v>0</c:v>
                </c:pt>
                <c:pt idx="1">
                  <c:v>2</c:v>
                </c:pt>
                <c:pt idx="2">
                  <c:v>7</c:v>
                </c:pt>
                <c:pt idx="3">
                  <c:v>9</c:v>
                </c:pt>
                <c:pt idx="4">
                  <c:v>15</c:v>
                </c:pt>
                <c:pt idx="5">
                  <c:v>18</c:v>
                </c:pt>
              </c:numCache>
            </c:numRef>
          </c:xVal>
          <c:yVal>
            <c:numRef>
              <c:f>'Ferm. SCG'!$U$16:$U$21</c:f>
              <c:numCache>
                <c:formatCode>General</c:formatCode>
                <c:ptCount val="6"/>
                <c:pt idx="0">
                  <c:v>0.61099999999999999</c:v>
                </c:pt>
                <c:pt idx="1">
                  <c:v>0.8773333333333333</c:v>
                </c:pt>
                <c:pt idx="2">
                  <c:v>0.70233333333333337</c:v>
                </c:pt>
                <c:pt idx="3">
                  <c:v>0.8633333333333334</c:v>
                </c:pt>
                <c:pt idx="4">
                  <c:v>0.86299999999999999</c:v>
                </c:pt>
                <c:pt idx="5">
                  <c:v>0.86299999999999999</c:v>
                </c:pt>
              </c:numCache>
            </c:numRef>
          </c:yVal>
          <c:smooth val="0"/>
          <c:extLst>
            <c:ext xmlns:c16="http://schemas.microsoft.com/office/drawing/2014/chart" uri="{C3380CC4-5D6E-409C-BE32-E72D297353CC}">
              <c16:uniqueId val="{00000002-338A-4BE6-B33B-0F651868E82B}"/>
            </c:ext>
          </c:extLst>
        </c:ser>
        <c:dLbls>
          <c:showLegendKey val="0"/>
          <c:showVal val="0"/>
          <c:showCatName val="0"/>
          <c:showSerName val="0"/>
          <c:showPercent val="0"/>
          <c:showBubbleSize val="0"/>
        </c:dLbls>
        <c:axId val="762040960"/>
        <c:axId val="762045952"/>
      </c:scatterChart>
      <c:valAx>
        <c:axId val="762040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762045952"/>
        <c:crosses val="autoZero"/>
        <c:crossBetween val="midCat"/>
      </c:valAx>
      <c:valAx>
        <c:axId val="7620459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VFA (gCOD/L)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7620409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Uncontrolled pH</c:v>
          </c:tx>
          <c:spPr>
            <a:ln w="22225" cap="rnd">
              <a:solidFill>
                <a:schemeClr val="accent1"/>
              </a:solidFill>
              <a:round/>
            </a:ln>
            <a:effectLst/>
          </c:spPr>
          <c:marker>
            <c:symbol val="circle"/>
            <c:size val="3"/>
            <c:spPr>
              <a:solidFill>
                <a:schemeClr val="accent1"/>
              </a:solidFill>
              <a:ln w="15875">
                <a:solidFill>
                  <a:schemeClr val="accent1"/>
                </a:solidFill>
              </a:ln>
              <a:effectLst/>
            </c:spPr>
          </c:marker>
          <c:errBars>
            <c:errDir val="y"/>
            <c:errBarType val="both"/>
            <c:errValType val="percentage"/>
            <c:noEndCap val="0"/>
            <c:val val="5.5"/>
            <c:spPr>
              <a:noFill/>
              <a:ln w="9525" cap="flat" cmpd="sng" algn="ctr">
                <a:solidFill>
                  <a:schemeClr val="tx1">
                    <a:lumMod val="65000"/>
                    <a:lumOff val="35000"/>
                  </a:schemeClr>
                </a:solidFill>
                <a:round/>
              </a:ln>
              <a:effectLst/>
            </c:spPr>
          </c:errBars>
          <c:xVal>
            <c:numRef>
              <c:f>'Ferm. CON'!$AD$16:$AD$21</c:f>
              <c:numCache>
                <c:formatCode>General</c:formatCode>
                <c:ptCount val="6"/>
                <c:pt idx="0">
                  <c:v>0</c:v>
                </c:pt>
                <c:pt idx="1">
                  <c:v>2</c:v>
                </c:pt>
                <c:pt idx="2">
                  <c:v>7</c:v>
                </c:pt>
                <c:pt idx="3">
                  <c:v>9</c:v>
                </c:pt>
                <c:pt idx="4">
                  <c:v>15</c:v>
                </c:pt>
                <c:pt idx="5">
                  <c:v>18</c:v>
                </c:pt>
              </c:numCache>
            </c:numRef>
          </c:xVal>
          <c:yVal>
            <c:numRef>
              <c:f>'Ferm. CON'!$AK$16:$AK$21</c:f>
              <c:numCache>
                <c:formatCode>General</c:formatCode>
                <c:ptCount val="6"/>
                <c:pt idx="0">
                  <c:v>4.8360000000000003</c:v>
                </c:pt>
                <c:pt idx="1">
                  <c:v>3.9819999999999998</c:v>
                </c:pt>
                <c:pt idx="2">
                  <c:v>3.3821666666666657</c:v>
                </c:pt>
                <c:pt idx="3">
                  <c:v>3.9655000000000009</c:v>
                </c:pt>
                <c:pt idx="4">
                  <c:v>4.0143333333333331</c:v>
                </c:pt>
                <c:pt idx="5">
                  <c:v>4.0143333333333331</c:v>
                </c:pt>
              </c:numCache>
            </c:numRef>
          </c:yVal>
          <c:smooth val="0"/>
          <c:extLst>
            <c:ext xmlns:c16="http://schemas.microsoft.com/office/drawing/2014/chart" uri="{C3380CC4-5D6E-409C-BE32-E72D297353CC}">
              <c16:uniqueId val="{00000000-EE5E-4605-9242-478EF3685708}"/>
            </c:ext>
          </c:extLst>
        </c:ser>
        <c:ser>
          <c:idx val="1"/>
          <c:order val="1"/>
          <c:tx>
            <c:v>pH 7</c:v>
          </c:tx>
          <c:spPr>
            <a:ln w="22225" cap="rnd">
              <a:solidFill>
                <a:schemeClr val="accent2"/>
              </a:solidFill>
              <a:round/>
            </a:ln>
            <a:effectLst/>
          </c:spPr>
          <c:marker>
            <c:symbol val="circle"/>
            <c:size val="3"/>
            <c:spPr>
              <a:solidFill>
                <a:schemeClr val="accent2"/>
              </a:solidFill>
              <a:ln w="1587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'Ferm. CON'!$N$16:$N$21</c:f>
              <c:numCache>
                <c:formatCode>General</c:formatCode>
                <c:ptCount val="6"/>
                <c:pt idx="0">
                  <c:v>0</c:v>
                </c:pt>
                <c:pt idx="1">
                  <c:v>2</c:v>
                </c:pt>
                <c:pt idx="2">
                  <c:v>7</c:v>
                </c:pt>
                <c:pt idx="3">
                  <c:v>9</c:v>
                </c:pt>
                <c:pt idx="4">
                  <c:v>15</c:v>
                </c:pt>
                <c:pt idx="5">
                  <c:v>18</c:v>
                </c:pt>
              </c:numCache>
            </c:numRef>
          </c:xVal>
          <c:yVal>
            <c:numRef>
              <c:f>'Ferm. CON'!$I$16:$I$21</c:f>
              <c:numCache>
                <c:formatCode>General</c:formatCode>
                <c:ptCount val="6"/>
                <c:pt idx="0">
                  <c:v>4.8360000000000003</c:v>
                </c:pt>
                <c:pt idx="1">
                  <c:v>4.2160000000000002</c:v>
                </c:pt>
                <c:pt idx="2">
                  <c:v>6.6156666666666677</c:v>
                </c:pt>
                <c:pt idx="3">
                  <c:v>8.0620000000000012</c:v>
                </c:pt>
                <c:pt idx="4">
                  <c:v>8.7119999999999997</c:v>
                </c:pt>
                <c:pt idx="5">
                  <c:v>8.7119999999999997</c:v>
                </c:pt>
              </c:numCache>
            </c:numRef>
          </c:yVal>
          <c:smooth val="0"/>
          <c:extLst>
            <c:ext xmlns:c16="http://schemas.microsoft.com/office/drawing/2014/chart" uri="{C3380CC4-5D6E-409C-BE32-E72D297353CC}">
              <c16:uniqueId val="{00000001-EE5E-4605-9242-478EF3685708}"/>
            </c:ext>
          </c:extLst>
        </c:ser>
        <c:ser>
          <c:idx val="2"/>
          <c:order val="2"/>
          <c:tx>
            <c:v>pH 12</c:v>
          </c:tx>
          <c:spPr>
            <a:ln w="22225" cap="rnd">
              <a:solidFill>
                <a:schemeClr val="accent3"/>
              </a:solidFill>
              <a:round/>
            </a:ln>
            <a:effectLst/>
          </c:spPr>
          <c:marker>
            <c:symbol val="circle"/>
            <c:size val="3"/>
            <c:spPr>
              <a:solidFill>
                <a:schemeClr val="accent3"/>
              </a:solidFill>
              <a:ln w="15875">
                <a:solidFill>
                  <a:schemeClr val="accent3"/>
                </a:solidFill>
              </a:ln>
              <a:effectLst/>
            </c:spPr>
          </c:marker>
          <c:errBars>
            <c:errDir val="y"/>
            <c:errBarType val="both"/>
            <c:errValType val="percentage"/>
            <c:noEndCap val="0"/>
            <c:val val="6"/>
            <c:spPr>
              <a:noFill/>
              <a:ln w="9525" cap="flat" cmpd="sng" algn="ctr">
                <a:solidFill>
                  <a:schemeClr val="tx1">
                    <a:lumMod val="65000"/>
                    <a:lumOff val="35000"/>
                  </a:schemeClr>
                </a:solidFill>
                <a:round/>
              </a:ln>
              <a:effectLst/>
            </c:spPr>
          </c:errBars>
          <c:xVal>
            <c:numRef>
              <c:f>'Ferm. CON'!$N$16:$N$21</c:f>
              <c:numCache>
                <c:formatCode>General</c:formatCode>
                <c:ptCount val="6"/>
                <c:pt idx="0">
                  <c:v>0</c:v>
                </c:pt>
                <c:pt idx="1">
                  <c:v>2</c:v>
                </c:pt>
                <c:pt idx="2">
                  <c:v>7</c:v>
                </c:pt>
                <c:pt idx="3">
                  <c:v>9</c:v>
                </c:pt>
                <c:pt idx="4">
                  <c:v>15</c:v>
                </c:pt>
                <c:pt idx="5">
                  <c:v>18</c:v>
                </c:pt>
              </c:numCache>
            </c:numRef>
          </c:xVal>
          <c:yVal>
            <c:numRef>
              <c:f>'Ferm. CON'!$U$16:$U$21</c:f>
              <c:numCache>
                <c:formatCode>General</c:formatCode>
                <c:ptCount val="6"/>
                <c:pt idx="0">
                  <c:v>4.8360000000000003</c:v>
                </c:pt>
                <c:pt idx="1">
                  <c:v>3.5886666666666671</c:v>
                </c:pt>
                <c:pt idx="2">
                  <c:v>3.4630000000000001</c:v>
                </c:pt>
                <c:pt idx="3">
                  <c:v>3.5136666666666665</c:v>
                </c:pt>
                <c:pt idx="4">
                  <c:v>3.714</c:v>
                </c:pt>
                <c:pt idx="5">
                  <c:v>3.714</c:v>
                </c:pt>
              </c:numCache>
            </c:numRef>
          </c:yVal>
          <c:smooth val="0"/>
          <c:extLst>
            <c:ext xmlns:c16="http://schemas.microsoft.com/office/drawing/2014/chart" uri="{C3380CC4-5D6E-409C-BE32-E72D297353CC}">
              <c16:uniqueId val="{00000002-EE5E-4605-9242-478EF3685708}"/>
            </c:ext>
          </c:extLst>
        </c:ser>
        <c:dLbls>
          <c:showLegendKey val="0"/>
          <c:showVal val="0"/>
          <c:showCatName val="0"/>
          <c:showSerName val="0"/>
          <c:showPercent val="0"/>
          <c:showBubbleSize val="0"/>
        </c:dLbls>
        <c:axId val="685898192"/>
        <c:axId val="685896112"/>
      </c:scatterChart>
      <c:valAx>
        <c:axId val="685898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685896112"/>
        <c:crosses val="autoZero"/>
        <c:crossBetween val="midCat"/>
      </c:valAx>
      <c:valAx>
        <c:axId val="685896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VFA (gCOD/L)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685898192"/>
        <c:crosses val="autoZero"/>
        <c:crossBetween val="midCat"/>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Uncontrolled pH</c:v>
          </c:tx>
          <c:spPr>
            <a:ln w="22225" cap="rnd">
              <a:solidFill>
                <a:schemeClr val="accent1"/>
              </a:solidFill>
              <a:round/>
            </a:ln>
            <a:effectLst/>
          </c:spPr>
          <c:marker>
            <c:symbol val="circle"/>
            <c:size val="3"/>
            <c:spPr>
              <a:solidFill>
                <a:schemeClr val="accent1"/>
              </a:solidFill>
              <a:ln w="15875">
                <a:solidFill>
                  <a:schemeClr val="accent1"/>
                </a:solidFill>
              </a:ln>
              <a:effectLst/>
            </c:spPr>
          </c:marker>
          <c:errBars>
            <c:errDir val="x"/>
            <c:errBarType val="both"/>
            <c:errValType val="percentage"/>
            <c:noEndCap val="0"/>
            <c:val val="5"/>
            <c:spPr>
              <a:noFill/>
              <a:ln w="9525" cap="flat" cmpd="sng" algn="ctr">
                <a:noFill/>
                <a:round/>
              </a:ln>
              <a:effectLst/>
            </c:spPr>
          </c:errBars>
          <c:errBars>
            <c:errDir val="y"/>
            <c:errBarType val="both"/>
            <c:errValType val="percentage"/>
            <c:noEndCap val="0"/>
            <c:val val="3"/>
            <c:spPr>
              <a:noFill/>
              <a:ln w="9525" cap="flat" cmpd="sng" algn="ctr">
                <a:solidFill>
                  <a:schemeClr val="tx1"/>
                </a:solidFill>
                <a:round/>
              </a:ln>
              <a:effectLst/>
            </c:spPr>
          </c:errBars>
          <c:xVal>
            <c:numRef>
              <c:f>'Ferm. Stillage'!$B$17:$B$21</c:f>
              <c:numCache>
                <c:formatCode>General</c:formatCode>
                <c:ptCount val="5"/>
                <c:pt idx="0">
                  <c:v>0</c:v>
                </c:pt>
                <c:pt idx="1">
                  <c:v>1</c:v>
                </c:pt>
                <c:pt idx="2">
                  <c:v>2</c:v>
                </c:pt>
                <c:pt idx="3">
                  <c:v>4</c:v>
                </c:pt>
                <c:pt idx="4">
                  <c:v>7</c:v>
                </c:pt>
              </c:numCache>
            </c:numRef>
          </c:xVal>
          <c:yVal>
            <c:numRef>
              <c:f>'Ferm. Stillage'!$H$17:$H$21</c:f>
              <c:numCache>
                <c:formatCode>General</c:formatCode>
                <c:ptCount val="5"/>
                <c:pt idx="0">
                  <c:v>0</c:v>
                </c:pt>
                <c:pt idx="1">
                  <c:v>10.173</c:v>
                </c:pt>
                <c:pt idx="2">
                  <c:v>18.201499999999999</c:v>
                </c:pt>
                <c:pt idx="3">
                  <c:v>29.657399999999999</c:v>
                </c:pt>
                <c:pt idx="4">
                  <c:v>30.04325</c:v>
                </c:pt>
              </c:numCache>
            </c:numRef>
          </c:yVal>
          <c:smooth val="0"/>
          <c:extLst>
            <c:ext xmlns:c16="http://schemas.microsoft.com/office/drawing/2014/chart" uri="{C3380CC4-5D6E-409C-BE32-E72D297353CC}">
              <c16:uniqueId val="{00000000-B677-4F86-9502-3A6B053FC583}"/>
            </c:ext>
          </c:extLst>
        </c:ser>
        <c:ser>
          <c:idx val="1"/>
          <c:order val="1"/>
          <c:tx>
            <c:v>pH 7</c:v>
          </c:tx>
          <c:spPr>
            <a:ln w="22225" cap="rnd">
              <a:solidFill>
                <a:schemeClr val="accent2"/>
              </a:solidFill>
              <a:round/>
            </a:ln>
            <a:effectLst/>
          </c:spPr>
          <c:marker>
            <c:symbol val="circle"/>
            <c:size val="3"/>
            <c:spPr>
              <a:solidFill>
                <a:schemeClr val="accent2"/>
              </a:solidFill>
              <a:ln w="15875">
                <a:solidFill>
                  <a:schemeClr val="accent2"/>
                </a:solidFill>
              </a:ln>
              <a:effectLst/>
            </c:spPr>
          </c:marker>
          <c:errBars>
            <c:errDir val="x"/>
            <c:errBarType val="both"/>
            <c:errValType val="percentage"/>
            <c:noEndCap val="0"/>
            <c:val val="5"/>
            <c:spPr>
              <a:noFill/>
              <a:ln w="9525" cap="flat" cmpd="sng" algn="ctr">
                <a:noFill/>
                <a:round/>
              </a:ln>
              <a:effectLst/>
            </c:spPr>
          </c:errBars>
          <c:errBars>
            <c:errDir val="y"/>
            <c:errBarType val="both"/>
            <c:errValType val="percentage"/>
            <c:noEndCap val="0"/>
            <c:val val="8"/>
            <c:spPr>
              <a:noFill/>
              <a:ln w="9525" cap="flat" cmpd="sng" algn="ctr">
                <a:solidFill>
                  <a:schemeClr val="tx1">
                    <a:lumMod val="65000"/>
                    <a:lumOff val="35000"/>
                  </a:schemeClr>
                </a:solidFill>
                <a:round/>
              </a:ln>
              <a:effectLst/>
            </c:spPr>
          </c:errBars>
          <c:xVal>
            <c:numRef>
              <c:f>'Ferm. Stillage'!$B$17:$B$21</c:f>
              <c:numCache>
                <c:formatCode>General</c:formatCode>
                <c:ptCount val="5"/>
                <c:pt idx="0">
                  <c:v>0</c:v>
                </c:pt>
                <c:pt idx="1">
                  <c:v>1</c:v>
                </c:pt>
                <c:pt idx="2">
                  <c:v>2</c:v>
                </c:pt>
                <c:pt idx="3">
                  <c:v>4</c:v>
                </c:pt>
                <c:pt idx="4">
                  <c:v>7</c:v>
                </c:pt>
              </c:numCache>
            </c:numRef>
          </c:xVal>
          <c:yVal>
            <c:numRef>
              <c:f>'Ferm. Stillage'!$S$17:$S$21</c:f>
              <c:numCache>
                <c:formatCode>General</c:formatCode>
                <c:ptCount val="5"/>
                <c:pt idx="0">
                  <c:v>0</c:v>
                </c:pt>
                <c:pt idx="1">
                  <c:v>10.173</c:v>
                </c:pt>
                <c:pt idx="2">
                  <c:v>22.941000000000003</c:v>
                </c:pt>
                <c:pt idx="3">
                  <c:v>35.834670000000003</c:v>
                </c:pt>
                <c:pt idx="4">
                  <c:v>36.728000000000002</c:v>
                </c:pt>
              </c:numCache>
            </c:numRef>
          </c:yVal>
          <c:smooth val="0"/>
          <c:extLst>
            <c:ext xmlns:c16="http://schemas.microsoft.com/office/drawing/2014/chart" uri="{C3380CC4-5D6E-409C-BE32-E72D297353CC}">
              <c16:uniqueId val="{00000001-B677-4F86-9502-3A6B053FC583}"/>
            </c:ext>
          </c:extLst>
        </c:ser>
        <c:ser>
          <c:idx val="2"/>
          <c:order val="2"/>
          <c:tx>
            <c:v>pH 12</c:v>
          </c:tx>
          <c:spPr>
            <a:ln w="22225" cap="rnd">
              <a:solidFill>
                <a:schemeClr val="accent3"/>
              </a:solidFill>
              <a:round/>
            </a:ln>
            <a:effectLst/>
          </c:spPr>
          <c:marker>
            <c:symbol val="circle"/>
            <c:size val="3"/>
            <c:spPr>
              <a:solidFill>
                <a:schemeClr val="accent3"/>
              </a:solidFill>
              <a:ln w="15875">
                <a:solidFill>
                  <a:schemeClr val="accent3"/>
                </a:solidFill>
              </a:ln>
              <a:effectLst/>
            </c:spPr>
          </c:marker>
          <c:errBars>
            <c:errDir val="y"/>
            <c:errBarType val="both"/>
            <c:errValType val="percentage"/>
            <c:noEndCap val="0"/>
            <c:val val="9"/>
            <c:spPr>
              <a:noFill/>
              <a:ln w="9525" cap="flat" cmpd="sng" algn="ctr">
                <a:solidFill>
                  <a:schemeClr val="tx1">
                    <a:lumMod val="65000"/>
                    <a:lumOff val="35000"/>
                  </a:schemeClr>
                </a:solidFill>
                <a:round/>
              </a:ln>
              <a:effectLst/>
            </c:spPr>
          </c:errBars>
          <c:xVal>
            <c:numRef>
              <c:f>'Ferm. Stillage'!$B$17:$B$21</c:f>
              <c:numCache>
                <c:formatCode>General</c:formatCode>
                <c:ptCount val="5"/>
                <c:pt idx="0">
                  <c:v>0</c:v>
                </c:pt>
                <c:pt idx="1">
                  <c:v>1</c:v>
                </c:pt>
                <c:pt idx="2">
                  <c:v>2</c:v>
                </c:pt>
                <c:pt idx="3">
                  <c:v>4</c:v>
                </c:pt>
                <c:pt idx="4">
                  <c:v>7</c:v>
                </c:pt>
              </c:numCache>
            </c:numRef>
          </c:xVal>
          <c:yVal>
            <c:numRef>
              <c:f>'Ferm. Stillage'!$AD$17:$AD$21</c:f>
              <c:numCache>
                <c:formatCode>General</c:formatCode>
                <c:ptCount val="5"/>
                <c:pt idx="0">
                  <c:v>0</c:v>
                </c:pt>
                <c:pt idx="1">
                  <c:v>0.69400000000000006</c:v>
                </c:pt>
                <c:pt idx="2">
                  <c:v>10.664999999999999</c:v>
                </c:pt>
                <c:pt idx="3">
                  <c:v>25.819699999999997</c:v>
                </c:pt>
                <c:pt idx="4">
                  <c:v>27.210750000000001</c:v>
                </c:pt>
              </c:numCache>
            </c:numRef>
          </c:yVal>
          <c:smooth val="0"/>
          <c:extLst>
            <c:ext xmlns:c16="http://schemas.microsoft.com/office/drawing/2014/chart" uri="{C3380CC4-5D6E-409C-BE32-E72D297353CC}">
              <c16:uniqueId val="{00000002-B677-4F86-9502-3A6B053FC583}"/>
            </c:ext>
          </c:extLst>
        </c:ser>
        <c:dLbls>
          <c:showLegendKey val="0"/>
          <c:showVal val="0"/>
          <c:showCatName val="0"/>
          <c:showSerName val="0"/>
          <c:showPercent val="0"/>
          <c:showBubbleSize val="0"/>
        </c:dLbls>
        <c:axId val="869815472"/>
        <c:axId val="869817136"/>
      </c:scatterChart>
      <c:valAx>
        <c:axId val="86981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869817136"/>
        <c:crosses val="autoZero"/>
        <c:crossBetween val="midCat"/>
      </c:valAx>
      <c:valAx>
        <c:axId val="869817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VFA gCOD/L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869815472"/>
        <c:crosses val="autoZero"/>
        <c:crossBetween val="midCat"/>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17628</Words>
  <Characters>100480</Characters>
  <Application>Microsoft Office Word</Application>
  <DocSecurity>0</DocSecurity>
  <Lines>837</Lines>
  <Paragraphs>235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Fabio Rizzioli</cp:lastModifiedBy>
  <cp:revision>162</cp:revision>
  <cp:lastPrinted>2015-05-12T18:31:00Z</cp:lastPrinted>
  <dcterms:created xsi:type="dcterms:W3CDTF">2021-09-21T10:42:00Z</dcterms:created>
  <dcterms:modified xsi:type="dcterms:W3CDTF">2022-03-30T10:08:00Z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9f004be4-cc60-3e3b-ba23-d707c48400c8</vt:lpwstr>
  </property>
  <property fmtid="{D5CDD505-2E9C-101B-9397-08002B2CF9AE}" pid="6" name="Mendeley Citation Style_1">
    <vt:lpwstr>http://www.zotero.org/styles/bioresource-technology</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http://www.zotero.org/styles/bioresource-technology</vt:lpwstr>
  </property>
  <property fmtid="{D5CDD505-2E9C-101B-9397-08002B2CF9AE}" pid="12" name="Mendeley Recent Style Name 2_1">
    <vt:lpwstr>Bioresource Technology</vt:lpwstr>
  </property>
  <property fmtid="{D5CDD505-2E9C-101B-9397-08002B2CF9AE}" pid="13" name="Mendeley Recent Style Id 3_1">
    <vt:lpwstr>http://www.zotero.org/styles/chemical-engineering-journal</vt:lpwstr>
  </property>
  <property fmtid="{D5CDD505-2E9C-101B-9397-08002B2CF9AE}" pid="14" name="Mendeley Recent Style Name 3_1">
    <vt:lpwstr>Chemical Engineering Journal</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