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4CE268"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3B2847B"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Marzocchella</w:t>
            </w:r>
          </w:p>
          <w:p w14:paraId="1B0F1814" w14:textId="5B50B5BE" w:rsidR="000A03B2" w:rsidRPr="00B57B36" w:rsidRDefault="00FA5F5F" w:rsidP="0060491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604911">
              <w:rPr>
                <w:rFonts w:ascii="Tahoma" w:hAnsi="Tahoma" w:cs="Tahoma"/>
                <w:sz w:val="14"/>
                <w:szCs w:val="14"/>
              </w:rPr>
              <w:t>1</w:t>
            </w:r>
            <w:r w:rsidR="00D46B7E">
              <w:rPr>
                <w:rFonts w:ascii="Tahoma" w:hAnsi="Tahoma" w:cs="Tahoma"/>
                <w:sz w:val="14"/>
                <w:szCs w:val="14"/>
              </w:rPr>
              <w:t>-</w:t>
            </w:r>
            <w:r w:rsidR="00604911">
              <w:rPr>
                <w:rFonts w:ascii="Tahoma" w:hAnsi="Tahoma" w:cs="Tahoma"/>
                <w:sz w:val="14"/>
                <w:szCs w:val="14"/>
              </w:rPr>
              <w:t>4</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64F0C011" w:rsidR="00E978D0" w:rsidRPr="00B57B36" w:rsidRDefault="00F02842" w:rsidP="00B307FE">
      <w:pPr>
        <w:pStyle w:val="CETTitle"/>
      </w:pPr>
      <w:r w:rsidRPr="00F02842">
        <w:t>Encapsulation of oregano essential oil for innovative feed applications, using electrohydrodynamic processing</w:t>
      </w:r>
    </w:p>
    <w:p w14:paraId="30E39781" w14:textId="27FD8439" w:rsidR="00F02842" w:rsidRDefault="00F02842" w:rsidP="00F02842">
      <w:pPr>
        <w:pStyle w:val="CETAuthors"/>
      </w:pPr>
      <w:r>
        <w:t xml:space="preserve">Konstantina </w:t>
      </w:r>
      <w:r w:rsidR="00585EFE">
        <w:t>M</w:t>
      </w:r>
      <w:r>
        <w:t xml:space="preserve">. Laina*, Panagiota </w:t>
      </w:r>
      <w:r w:rsidR="00585EFE">
        <w:t>N</w:t>
      </w:r>
      <w:r>
        <w:t xml:space="preserve">. Eleni, Magdalini Krokida </w:t>
      </w:r>
    </w:p>
    <w:p w14:paraId="2637EB22" w14:textId="6209C437" w:rsidR="00F02842" w:rsidRDefault="00F02842" w:rsidP="00F02842">
      <w:pPr>
        <w:pStyle w:val="CETAddress"/>
      </w:pPr>
      <w:bookmarkStart w:id="0" w:name="_Hlk94184513"/>
      <w:r>
        <w:t xml:space="preserve">National Technical University of Athens, School of Chemical Engineering, Iroon Polytechneiou 9, Zografou Campus, 15780, Athens, Greece </w:t>
      </w:r>
    </w:p>
    <w:p w14:paraId="0A963964" w14:textId="7B43E9FD" w:rsidR="00F02842" w:rsidRDefault="0033271F" w:rsidP="00F02842">
      <w:pPr>
        <w:pStyle w:val="CETemail"/>
      </w:pPr>
      <w:hyperlink r:id="rId10" w:history="1">
        <w:r w:rsidR="00F02842" w:rsidRPr="00234FB9">
          <w:rPr>
            <w:rStyle w:val="Hyperlink"/>
          </w:rPr>
          <w:t>lainanandia@gmail.com</w:t>
        </w:r>
      </w:hyperlink>
    </w:p>
    <w:bookmarkEnd w:id="0"/>
    <w:p w14:paraId="123CB7DF" w14:textId="07D376C9" w:rsidR="00600535" w:rsidRPr="00843328" w:rsidRDefault="00F14FD1" w:rsidP="00600535">
      <w:pPr>
        <w:pStyle w:val="CETBodytext"/>
      </w:pPr>
      <w:r w:rsidRPr="00F14FD1">
        <w:rPr>
          <w:rStyle w:val="CETBodytextCarattere"/>
        </w:rPr>
        <w:t xml:space="preserve">The present study focuses on the encapsulation process of Oregano essential oil (OEO) in biopolymeric matrices, intended to be used in functional feed applications. OEO is extracted from the Mediterranean medicinal plant Origanum vulgare, and possesses remarkable preservative, antioxidant, antimicrobial and therapeutic properties, attributed to its bioactive compounds. However, most of these substances are considered sensitive and unstable, resulting in nutritional losses and impairment of their commercialization and export. The objective of this study is to investigate an effective strategy to address these challenges, while improving bio-efficacy and stability. For this reason, OEO was </w:t>
      </w:r>
      <w:r w:rsidR="00186730">
        <w:rPr>
          <w:rStyle w:val="CETBodytextCarattere"/>
        </w:rPr>
        <w:t xml:space="preserve">primarily analyzed by GC-MS and HPLC methods in order to </w:t>
      </w:r>
      <w:r w:rsidR="0049002D">
        <w:rPr>
          <w:rStyle w:val="CETBodytextCarattere"/>
        </w:rPr>
        <w:t xml:space="preserve">quantify and </w:t>
      </w:r>
      <w:r w:rsidR="00186730">
        <w:rPr>
          <w:rStyle w:val="CETBodytextCarattere"/>
        </w:rPr>
        <w:t xml:space="preserve">qualify </w:t>
      </w:r>
      <w:r w:rsidR="0049002D">
        <w:rPr>
          <w:rStyle w:val="CETBodytextCarattere"/>
        </w:rPr>
        <w:t>all</w:t>
      </w:r>
      <w:r w:rsidR="00186730">
        <w:rPr>
          <w:rStyle w:val="CETBodytextCarattere"/>
        </w:rPr>
        <w:t xml:space="preserve"> target compounds</w:t>
      </w:r>
      <w:r w:rsidR="0049002D">
        <w:rPr>
          <w:rStyle w:val="CETBodytextCarattere"/>
        </w:rPr>
        <w:t>, and then</w:t>
      </w:r>
      <w:r w:rsidR="00186730">
        <w:rPr>
          <w:rStyle w:val="CETBodytextCarattere"/>
        </w:rPr>
        <w:t xml:space="preserve"> </w:t>
      </w:r>
      <w:r w:rsidRPr="00F14FD1">
        <w:rPr>
          <w:rStyle w:val="CETBodytextCarattere"/>
        </w:rPr>
        <w:t>subjected to encapsulation through the innovative electrohydrodynamic process, using biopolymeric matrices of whey protein isolate (WPI), pullulan (</w:t>
      </w:r>
      <w:proofErr w:type="spellStart"/>
      <w:r w:rsidRPr="00F14FD1">
        <w:rPr>
          <w:rStyle w:val="CETBodytextCarattere"/>
        </w:rPr>
        <w:t>pul</w:t>
      </w:r>
      <w:proofErr w:type="spellEnd"/>
      <w:r w:rsidRPr="00F14FD1">
        <w:rPr>
          <w:rStyle w:val="CETBodytextCarattere"/>
        </w:rPr>
        <w:t xml:space="preserve">), and zein (ZN), composing structures with controlled and targeted release of OEO. Several process parameters (solution </w:t>
      </w:r>
      <w:r w:rsidR="0049002D">
        <w:rPr>
          <w:rStyle w:val="CETBodytextCarattere"/>
        </w:rPr>
        <w:t>flow rate</w:t>
      </w:r>
      <w:r w:rsidRPr="00F14FD1">
        <w:rPr>
          <w:rStyle w:val="CETBodytextCarattere"/>
        </w:rPr>
        <w:t xml:space="preserve">, applied voltage, tip-to-collector distance) were studied for various </w:t>
      </w:r>
      <w:proofErr w:type="spellStart"/>
      <w:r w:rsidRPr="00F14FD1">
        <w:rPr>
          <w:rStyle w:val="CETBodytextCarattere"/>
        </w:rPr>
        <w:t>matrice</w:t>
      </w:r>
      <w:proofErr w:type="spellEnd"/>
      <w:r w:rsidRPr="00F14FD1">
        <w:rPr>
          <w:rStyle w:val="CETBodytextCarattere"/>
        </w:rPr>
        <w:t xml:space="preserve"> solutions, in order to optimize the apparatus’ function and the production of the particles. The results of this investigation showed that most of the solutions were within the recommended ranges to be </w:t>
      </w:r>
      <w:proofErr w:type="spellStart"/>
      <w:r w:rsidRPr="00F14FD1">
        <w:rPr>
          <w:rStyle w:val="CETBodytextCarattere"/>
        </w:rPr>
        <w:t>electrospun</w:t>
      </w:r>
      <w:proofErr w:type="spellEnd"/>
      <w:r w:rsidRPr="00F14FD1">
        <w:rPr>
          <w:rStyle w:val="CETBodytextCarattere"/>
        </w:rPr>
        <w:t xml:space="preserve">, except for some samples that did not exhibit stability when OEO was added. Furthermore, a morphological and structural characterization was carried out. The encapsulation efficiency of the developed structures was evaluated by detecting OEO that was not successfully encapsulated using suitable solvent systems. The indirect quantification of OEO was achieved by Total Phenolic Content (TPC) determination by the </w:t>
      </w:r>
      <w:proofErr w:type="spellStart"/>
      <w:r w:rsidRPr="00F14FD1">
        <w:rPr>
          <w:rStyle w:val="CETBodytextCarattere"/>
        </w:rPr>
        <w:t>Folin</w:t>
      </w:r>
      <w:proofErr w:type="spellEnd"/>
      <w:r w:rsidRPr="00F14FD1">
        <w:rPr>
          <w:rStyle w:val="CETBodytextCarattere"/>
        </w:rPr>
        <w:t>–</w:t>
      </w:r>
      <w:proofErr w:type="spellStart"/>
      <w:r w:rsidRPr="00F14FD1">
        <w:rPr>
          <w:rStyle w:val="CETBodytextCarattere"/>
        </w:rPr>
        <w:t>Ciocalteu</w:t>
      </w:r>
      <w:proofErr w:type="spellEnd"/>
      <w:r w:rsidRPr="00F14FD1">
        <w:rPr>
          <w:rStyle w:val="CETBodytextCarattere"/>
        </w:rPr>
        <w:t xml:space="preserve"> method. The morphology of structures was characterized and then related to the properties of each tested solution. The optimum developed fibers of each </w:t>
      </w:r>
      <w:proofErr w:type="spellStart"/>
      <w:r w:rsidRPr="00F14FD1">
        <w:rPr>
          <w:rStyle w:val="CETBodytextCarattere"/>
        </w:rPr>
        <w:t>matrice</w:t>
      </w:r>
      <w:proofErr w:type="spellEnd"/>
      <w:r w:rsidRPr="00F14FD1">
        <w:rPr>
          <w:rStyle w:val="CETBodytextCarattere"/>
        </w:rPr>
        <w:t xml:space="preserve"> solution were further evaluated and compared. More specifically, </w:t>
      </w:r>
      <w:proofErr w:type="spellStart"/>
      <w:proofErr w:type="gramStart"/>
      <w:r w:rsidRPr="00F14FD1">
        <w:rPr>
          <w:rStyle w:val="CETBodytextCarattere"/>
        </w:rPr>
        <w:t>WPI:pul</w:t>
      </w:r>
      <w:proofErr w:type="spellEnd"/>
      <w:proofErr w:type="gramEnd"/>
      <w:r w:rsidRPr="00F14FD1">
        <w:rPr>
          <w:rStyle w:val="CETBodytextCarattere"/>
        </w:rPr>
        <w:t xml:space="preserve"> (30:70)%w/w fibers, presented homogeneous morphology; smooth and continuous fibers of random orientation, and higher encapsulation efficiency than ZN structures. Microfibers produced using ZN solution 20% w/w in </w:t>
      </w:r>
      <w:proofErr w:type="gramStart"/>
      <w:r w:rsidRPr="00F14FD1">
        <w:rPr>
          <w:rStyle w:val="CETBodytextCarattere"/>
        </w:rPr>
        <w:t>EtOH:H</w:t>
      </w:r>
      <w:r w:rsidRPr="008328CF">
        <w:rPr>
          <w:rStyle w:val="CETBodytextCarattere"/>
          <w:vertAlign w:val="subscript"/>
        </w:rPr>
        <w:t>2</w:t>
      </w:r>
      <w:r w:rsidRPr="00F14FD1">
        <w:rPr>
          <w:rStyle w:val="CETBodytextCarattere"/>
        </w:rPr>
        <w:t>O</w:t>
      </w:r>
      <w:proofErr w:type="gramEnd"/>
      <w:r w:rsidRPr="00F14FD1">
        <w:rPr>
          <w:rStyle w:val="CETBodytextCarattere"/>
        </w:rPr>
        <w:t xml:space="preserve"> (90:10 v/v), were not equally satisfactory, since agglomerates and spherical formations (beads) were observed, making the sample less desirable. The present study, demonstrat</w:t>
      </w:r>
      <w:r w:rsidR="007E1442">
        <w:rPr>
          <w:rStyle w:val="CETBodytextCarattere"/>
        </w:rPr>
        <w:t>es</w:t>
      </w:r>
      <w:r w:rsidRPr="00F14FD1">
        <w:rPr>
          <w:rStyle w:val="CETBodytextCarattere"/>
        </w:rPr>
        <w:t xml:space="preserve"> the feasibility of OEO</w:t>
      </w:r>
      <w:r w:rsidR="007E1442">
        <w:rPr>
          <w:rStyle w:val="CETBodytextCarattere"/>
        </w:rPr>
        <w:t>’s</w:t>
      </w:r>
      <w:r w:rsidRPr="00F14FD1">
        <w:rPr>
          <w:rStyle w:val="CETBodytextCarattere"/>
        </w:rPr>
        <w:t xml:space="preserve"> encapsulation through electrohydrodynamic processing, using biopolymer </w:t>
      </w:r>
      <w:proofErr w:type="spellStart"/>
      <w:r w:rsidRPr="00F14FD1">
        <w:rPr>
          <w:rStyle w:val="CETBodytextCarattere"/>
        </w:rPr>
        <w:t>matrice</w:t>
      </w:r>
      <w:proofErr w:type="spellEnd"/>
      <w:r w:rsidRPr="00F14FD1">
        <w:rPr>
          <w:rStyle w:val="CETBodytextCarattere"/>
        </w:rPr>
        <w:t xml:space="preserve"> solutions, contributing to the effort towards the elimination of synthetic feed additives in animal diets, through a sustainable approach for both environment and industry.</w:t>
      </w:r>
      <w:r w:rsidRPr="00F14FD1">
        <w:rPr>
          <w:lang w:val="en-GB"/>
        </w:rPr>
        <w:t xml:space="preserve"> </w:t>
      </w:r>
    </w:p>
    <w:p w14:paraId="660145EA" w14:textId="3C4D4B57" w:rsidR="00BA4C7A" w:rsidRPr="00BA4C7A" w:rsidRDefault="00BA4C7A" w:rsidP="00BA4C7A">
      <w:pPr>
        <w:pStyle w:val="CETHeading1"/>
      </w:pPr>
      <w:r w:rsidRPr="00BA4C7A">
        <w:t>Introduction</w:t>
      </w:r>
    </w:p>
    <w:p w14:paraId="59E40C1B" w14:textId="24E604EF" w:rsidR="00BA4C7A" w:rsidRPr="00BA4C7A" w:rsidRDefault="00BA4C7A" w:rsidP="00F35D17">
      <w:pPr>
        <w:pStyle w:val="CETBodytext"/>
      </w:pPr>
      <w:r w:rsidRPr="00BA4C7A">
        <w:t>In the past decades, an excessive use of antibiotics as growth promoting agents in animal breeding has been noted, and linked to the increase of antimicrobial-resistant agents, concerning both animal and human health.</w:t>
      </w:r>
      <w:r w:rsidR="00F35D17">
        <w:t xml:space="preserve"> </w:t>
      </w:r>
      <w:r w:rsidRPr="00BA4C7A">
        <w:t>A complete ban of AGPs in Europe in 2006</w:t>
      </w:r>
      <w:r w:rsidR="00554464">
        <w:t xml:space="preserve"> </w:t>
      </w:r>
      <w:r w:rsidR="00554464">
        <w:fldChar w:fldCharType="begin"/>
      </w:r>
      <w:r w:rsidR="00492368">
        <w:instrText xml:space="preserve"> ADDIN EN.CITE &lt;EndNote&gt;&lt;Cite&gt;&lt;Year&gt;2005&lt;/Year&gt;&lt;RecNum&gt;1&lt;/RecNum&gt;&lt;DisplayText&gt;(European Commission, 2005)&lt;/DisplayText&gt;&lt;record&gt;&lt;rec-number&gt;1&lt;/rec-number&gt;&lt;foreign-keys&gt;&lt;key app="EN" db-id="xpffsx9tlx5wzsepvzoxtpf32swzp0922swp" timestamp="1642766624"&gt;1&lt;/key&gt;&lt;/foreign-keys&gt;&lt;ref-type name="Journal Article"&gt;17&lt;/ref-type&gt;&lt;contributors&gt;&lt;authors&gt;&lt;author&gt;European Commission,&lt;/author&gt;&lt;/authors&gt;&lt;/contributors&gt;&lt;titles&gt;&lt;title&gt;European Commission Ban on antibiotics as growth promoters in animal feed enters into effect&lt;/title&gt;&lt;/titles&gt;&lt;number&gt;IP/05/1687&lt;/number&gt;&lt;dates&gt;&lt;year&gt;2005&lt;/year&gt;&lt;pub-dates&gt;&lt;date&gt;22 December 2005&lt;/date&gt;&lt;/pub-dates&gt;&lt;/dates&gt;&lt;urls&gt;&lt;related-urls&gt;&lt;url&gt;https://ec.europa.eu/commission/presscorner/detail/en/IP_05_1687&lt;/url&gt;&lt;/related-urls&gt;&lt;/urls&gt;&lt;/record&gt;&lt;/Cite&gt;&lt;/EndNote&gt;</w:instrText>
      </w:r>
      <w:r w:rsidR="00554464">
        <w:fldChar w:fldCharType="separate"/>
      </w:r>
      <w:r w:rsidR="00492368">
        <w:rPr>
          <w:noProof/>
        </w:rPr>
        <w:t>(European Commission, 2005)</w:t>
      </w:r>
      <w:r w:rsidR="00554464">
        <w:fldChar w:fldCharType="end"/>
      </w:r>
      <w:r w:rsidRPr="00BA4C7A">
        <w:t>,</w:t>
      </w:r>
      <w:r w:rsidR="00F35D17">
        <w:t xml:space="preserve"> </w:t>
      </w:r>
      <w:r w:rsidRPr="00BA4C7A">
        <w:t>generated a global trend on elimination and substitution of all medication used for non-therapeutic purposes in animal agriculture, leading to the investigation of alternative solutions. Therefore, medicinal plants and their derivatives including essential oils, have developed uprising interest as a potential alternative to synthetic preservatives because of their ecofriendly nature and generally recognized as safe (GRAS) status.</w:t>
      </w:r>
    </w:p>
    <w:p w14:paraId="1CB14971" w14:textId="64A66B70" w:rsidR="00BA4C7A" w:rsidRPr="009F7934" w:rsidRDefault="00BA4C7A" w:rsidP="00BA4C7A">
      <w:pPr>
        <w:pStyle w:val="CETBodytext"/>
      </w:pPr>
      <w:r w:rsidRPr="009F7934">
        <w:t>Essential oils (EO) are plant derived complex mixtures of low molecular weight, that have been widely used since ancient times in many cultures for their remarkable therapeutic properties</w:t>
      </w:r>
      <w:r w:rsidR="00554464" w:rsidRPr="009F7934">
        <w:t xml:space="preserve"> </w:t>
      </w:r>
      <w:r w:rsidR="00562E12" w:rsidRPr="009F7934">
        <w:fldChar w:fldCharType="begin"/>
      </w:r>
      <w:r w:rsidR="00492368">
        <w:instrText xml:space="preserve"> ADDIN EN.CITE &lt;EndNote&gt;&lt;Cite&gt;&lt;Author&gt;da Silva&lt;/Author&gt;&lt;Year&gt;2021&lt;/Year&gt;&lt;RecNum&gt;2&lt;/RecNum&gt;&lt;DisplayText&gt;(da Silva et al., 2021)&lt;/DisplayText&gt;&lt;record&gt;&lt;rec-number&gt;2&lt;/rec-number&gt;&lt;foreign-keys&gt;&lt;key app="EN" db-id="xpffsx9tlx5wzsepvzoxtpf32swzp0922swp" timestamp="1642766624"&gt;2&lt;/key&gt;&lt;/foreign-keys&gt;&lt;ref-type name="Journal Article"&gt;17&lt;/ref-type&gt;&lt;contributors&gt;&lt;authors&gt;&lt;author&gt;da Silva, Bruno Dutra&lt;/author&gt;&lt;author&gt;Bernardes, Patrícia Campos&lt;/author&gt;&lt;author&gt;Pinheiro, Patrícia Fontes&lt;/author&gt;&lt;author&gt;Fantuzzi, Elisabete&lt;/author&gt;&lt;author&gt;Roberto, Consuelo Domenici&lt;/author&gt;&lt;/authors&gt;&lt;/contributors&gt;&lt;titles&gt;&lt;title&gt;Chemical composition, extraction sources and action mechanisms of essential oils: Natural preservative and limitations of use in meat products&lt;/title&gt;&lt;secondary-title&gt;Meat Science&lt;/secondary-title&gt;&lt;/titles&gt;&lt;periodical&gt;&lt;full-title&gt;Meat Science&lt;/full-title&gt;&lt;/periodical&gt;&lt;pages&gt;108463&lt;/pages&gt;&lt;volume&gt;176&lt;/volume&gt;&lt;keywords&gt;&lt;keyword&gt;Antimicrobial activity&lt;/keyword&gt;&lt;keyword&gt;Animal protein&lt;/keyword&gt;&lt;keyword&gt;Essential oil&lt;/keyword&gt;&lt;keyword&gt;Natural compounds&lt;/keyword&gt;&lt;keyword&gt;Preservation&lt;/keyword&gt;&lt;keyword&gt;Foodborne pathogens&lt;/keyword&gt;&lt;/keywords&gt;&lt;dates&gt;&lt;year&gt;2021&lt;/year&gt;&lt;pub-dates&gt;&lt;date&gt;2021/06/01/&lt;/date&gt;&lt;/pub-dates&gt;&lt;/dates&gt;&lt;isbn&gt;0309-1740&lt;/isbn&gt;&lt;urls&gt;&lt;related-urls&gt;&lt;url&gt;https://www.sciencedirect.com/science/article/pii/S0309174021000395&lt;/url&gt;&lt;/related-urls&gt;&lt;/urls&gt;&lt;electronic-resource-num&gt;https://doi.org/10.1016/j.meatsci.2021.108463&lt;/electronic-resource-num&gt;&lt;/record&gt;&lt;/Cite&gt;&lt;/EndNote&gt;</w:instrText>
      </w:r>
      <w:r w:rsidR="00562E12" w:rsidRPr="009F7934">
        <w:fldChar w:fldCharType="separate"/>
      </w:r>
      <w:r w:rsidR="00492368">
        <w:rPr>
          <w:noProof/>
        </w:rPr>
        <w:t>(da Silva et al., 2021)</w:t>
      </w:r>
      <w:r w:rsidR="00562E12" w:rsidRPr="009F7934">
        <w:fldChar w:fldCharType="end"/>
      </w:r>
      <w:r w:rsidRPr="009F7934">
        <w:t>.</w:t>
      </w:r>
      <w:r w:rsidR="0050259E" w:rsidRPr="009F7934">
        <w:t xml:space="preserve"> </w:t>
      </w:r>
      <w:r w:rsidRPr="009F7934">
        <w:t xml:space="preserve">Their antibacterial </w:t>
      </w:r>
      <w:r w:rsidR="0050259E" w:rsidRPr="009F7934">
        <w:fldChar w:fldCharType="begin"/>
      </w:r>
      <w:r w:rsidR="00492368">
        <w:instrText xml:space="preserve"> ADDIN EN.CITE &lt;EndNote&gt;&lt;Cite&gt;&lt;Author&gt;Alarcon-Rojo&lt;/Author&gt;&lt;Year&gt;2017&lt;/Year&gt;&lt;RecNum&gt;3&lt;/RecNum&gt;&lt;DisplayText&gt;(Alarcon-Rojo et al., 2017)&lt;/DisplayText&gt;&lt;record&gt;&lt;rec-number&gt;3&lt;/rec-number&gt;&lt;foreign-keys&gt;&lt;key app="EN" db-id="xpffsx9tlx5wzsepvzoxtpf32swzp0922swp" timestamp="1642766624"&gt;3&lt;/key&gt;&lt;/foreign-keys&gt;&lt;ref-type name="Book Section"&gt;5&lt;/ref-type&gt;&lt;contributors&gt;&lt;authors&gt;&lt;author&gt;Alarcon-Rojo, Alma&lt;/author&gt;&lt;author&gt;Janacua-Vidales, Héctor&lt;/author&gt;&lt;author&gt;Renteria, Ana&lt;/author&gt;&lt;/authors&gt;&lt;/contributors&gt;&lt;titles&gt;&lt;title&gt;Oregano Essential Oil in Animal Production&lt;/title&gt;&lt;/titles&gt;&lt;dates&gt;&lt;year&gt;2017&lt;/year&gt;&lt;/dates&gt;&lt;isbn&gt;978-953-51-2975-2&lt;/isbn&gt;&lt;urls&gt;&lt;/urls&gt;&lt;electronic-resource-num&gt;10.5772/66703&lt;/electronic-resource-num&gt;&lt;/record&gt;&lt;/Cite&gt;&lt;/EndNote&gt;</w:instrText>
      </w:r>
      <w:r w:rsidR="0050259E" w:rsidRPr="009F7934">
        <w:fldChar w:fldCharType="separate"/>
      </w:r>
      <w:r w:rsidR="00492368">
        <w:rPr>
          <w:noProof/>
        </w:rPr>
        <w:t>(Alarcon-Rojo et al., 2017)</w:t>
      </w:r>
      <w:r w:rsidR="0050259E" w:rsidRPr="009F7934">
        <w:fldChar w:fldCharType="end"/>
      </w:r>
      <w:r w:rsidRPr="009F7934">
        <w:t xml:space="preserve"> </w:t>
      </w:r>
      <w:r w:rsidR="006D5B0C" w:rsidRPr="009F7934">
        <w:fldChar w:fldCharType="begin"/>
      </w:r>
      <w:r w:rsidR="00492368">
        <w:instrText xml:space="preserve"> ADDIN EN.CITE &lt;EndNote&gt;&lt;Cite&gt;&lt;Author&gt;Semeniuc&lt;/Author&gt;&lt;Year&gt;2017&lt;/Year&gt;&lt;RecNum&gt;4&lt;/RecNum&gt;&lt;DisplayText&gt;(Semeniuc et al., 2017)&lt;/DisplayText&gt;&lt;record&gt;&lt;rec-number&gt;4&lt;/rec-number&gt;&lt;foreign-keys&gt;&lt;key app="EN" db-id="xpffsx9tlx5wzsepvzoxtpf32swzp0922swp" timestamp="1642766624"&gt;4&lt;/key&gt;&lt;/foreign-keys&gt;&lt;ref-type name="Journal Article"&gt;17&lt;/ref-type&gt;&lt;contributors&gt;&lt;authors&gt;&lt;author&gt;Semeniuc, Cristina Anamaria&lt;/author&gt;&lt;author&gt;Pop, Carmen Rodica&lt;/author&gt;&lt;author&gt;Rotar, Ancuţa Mihaela&lt;/author&gt;&lt;/authors&gt;&lt;/contributors&gt;&lt;titles&gt;&lt;title&gt;Antibacterial activity and interactions of plant essential oil combinations against Gram-positive and Gram-negative bacteria&lt;/title&gt;&lt;secondary-title&gt;Journal of Food and Drug Analysis&lt;/secondary-title&gt;&lt;/titles&gt;&lt;periodical&gt;&lt;full-title&gt;Journal of Food and Drug Analysis&lt;/full-title&gt;&lt;/periodical&gt;&lt;pages&gt;403-408&lt;/pages&gt;&lt;volume&gt;25&lt;/volume&gt;&lt;number&gt;2&lt;/number&gt;&lt;keywords&gt;&lt;keyword&gt;antagonistic effect&lt;/keyword&gt;&lt;keyword&gt;antibacterial activity&lt;/keyword&gt;&lt;keyword&gt;essential oils&lt;/keyword&gt;&lt;keyword&gt;food-related bacteria&lt;/keyword&gt;&lt;keyword&gt;herbs&lt;/keyword&gt;&lt;/keywords&gt;&lt;dates&gt;&lt;year&gt;2017&lt;/year&gt;&lt;pub-dates&gt;&lt;date&gt;2017/04/01/&lt;/date&gt;&lt;/pub-dates&gt;&lt;/dates&gt;&lt;isbn&gt;1021-9498&lt;/isbn&gt;&lt;urls&gt;&lt;related-urls&gt;&lt;url&gt;https://www.sciencedirect.com/science/article/pii/S1021949816300801&lt;/url&gt;&lt;/related-urls&gt;&lt;/urls&gt;&lt;electronic-resource-num&gt;https://doi.org/10.1016/j.jfda.2016.06.002&lt;/electronic-resource-num&gt;&lt;/record&gt;&lt;/Cite&gt;&lt;/EndNote&gt;</w:instrText>
      </w:r>
      <w:r w:rsidR="006D5B0C" w:rsidRPr="009F7934">
        <w:fldChar w:fldCharType="separate"/>
      </w:r>
      <w:r w:rsidR="00492368">
        <w:rPr>
          <w:noProof/>
        </w:rPr>
        <w:t>(Semeniuc et al., 2017)</w:t>
      </w:r>
      <w:r w:rsidR="006D5B0C" w:rsidRPr="009F7934">
        <w:fldChar w:fldCharType="end"/>
      </w:r>
      <w:r w:rsidRPr="009F7934">
        <w:t xml:space="preserve">, antifungal </w:t>
      </w:r>
      <w:r w:rsidR="006D5B0C" w:rsidRPr="009F7934">
        <w:fldChar w:fldCharType="begin"/>
      </w:r>
      <w:r w:rsidR="00492368">
        <w:instrText xml:space="preserve"> ADDIN EN.CITE &lt;EndNote&gt;&lt;Cite&gt;&lt;Author&gt;D’agostino&lt;/Author&gt;&lt;Year&gt;2019&lt;/Year&gt;&lt;RecNum&gt;5&lt;/RecNum&gt;&lt;DisplayText&gt;(D’agostino et al., 2019)&lt;/DisplayText&gt;&lt;record&gt;&lt;rec-number&gt;5&lt;/rec-number&gt;&lt;foreign-keys&gt;&lt;key app="EN" db-id="xpffsx9tlx5wzsepvzoxtpf32swzp0922swp" timestamp="1642766624"&gt;5&lt;/key&gt;&lt;/foreign-keys&gt;&lt;ref-type name="Journal Article"&gt;17&lt;/ref-type&gt;&lt;contributors&gt;&lt;authors&gt;&lt;author&gt;D’agostino, Maurine&lt;/author&gt;&lt;author&gt;Tesse, Nicolas&lt;/author&gt;&lt;author&gt;Frippiat, Jean P.&lt;/author&gt;&lt;author&gt;Machouart, Marie&lt;/author&gt;&lt;author&gt;Debourgogne, Anne&lt;/author&gt;&lt;/authors&gt;&lt;/contributors&gt;&lt;titles&gt;&lt;title&gt;Essential Oils and Their Natural Active Compounds Presenting Antifungal Properties&lt;/title&gt;&lt;secondary-title&gt;Molecules&lt;/secondary-title&gt;&lt;/titles&gt;&lt;periodical&gt;&lt;full-title&gt;Molecules&lt;/full-title&gt;&lt;/periodical&gt;&lt;volume&gt;24&lt;/volume&gt;&lt;number&gt;20&lt;/number&gt;&lt;keywords&gt;&lt;keyword&gt;essential oil&lt;/keyword&gt;&lt;keyword&gt;antifungal&lt;/keyword&gt;&lt;keyword&gt;invasive fungal infection&lt;/keyword&gt;&lt;/keywords&gt;&lt;dates&gt;&lt;year&gt;2019&lt;/year&gt;&lt;/dates&gt;&lt;isbn&gt;1420-3049&lt;/isbn&gt;&lt;urls&gt;&lt;/urls&gt;&lt;electronic-resource-num&gt;10.3390/molecules24203713&lt;/electronic-resource-num&gt;&lt;/record&gt;&lt;/Cite&gt;&lt;/EndNote&gt;</w:instrText>
      </w:r>
      <w:r w:rsidR="006D5B0C" w:rsidRPr="009F7934">
        <w:fldChar w:fldCharType="separate"/>
      </w:r>
      <w:r w:rsidR="00492368">
        <w:rPr>
          <w:noProof/>
        </w:rPr>
        <w:t>(D’agostino et al., 2019)</w:t>
      </w:r>
      <w:r w:rsidR="006D5B0C" w:rsidRPr="009F7934">
        <w:fldChar w:fldCharType="end"/>
      </w:r>
      <w:r w:rsidRPr="009F7934">
        <w:t>, anti-</w:t>
      </w:r>
      <w:proofErr w:type="spellStart"/>
      <w:r w:rsidRPr="009F7934">
        <w:lastRenderedPageBreak/>
        <w:t>inflamatory</w:t>
      </w:r>
      <w:proofErr w:type="spellEnd"/>
      <w:r w:rsidRPr="009F7934">
        <w:t xml:space="preserve"> </w:t>
      </w:r>
      <w:r w:rsidR="00874D86" w:rsidRPr="009F7934">
        <w:fldChar w:fldCharType="begin"/>
      </w:r>
      <w:r w:rsidR="00492368">
        <w:instrText xml:space="preserve"> ADDIN EN.CITE &lt;EndNote&gt;&lt;Cite&gt;&lt;Author&gt;Miguel&lt;/Author&gt;&lt;Year&gt;2010&lt;/Year&gt;&lt;RecNum&gt;6&lt;/RecNum&gt;&lt;DisplayText&gt;(Miguel, 2010)&lt;/DisplayText&gt;&lt;record&gt;&lt;rec-number&gt;6&lt;/rec-number&gt;&lt;foreign-keys&gt;&lt;key app="EN" db-id="xpffsx9tlx5wzsepvzoxtpf32swzp0922swp" timestamp="1642766624"&gt;6&lt;/key&gt;&lt;/foreign-keys&gt;&lt;ref-type name="Journal Article"&gt;17&lt;/ref-type&gt;&lt;contributors&gt;&lt;authors&gt;&lt;author&gt;Miguel, Maria Graça&lt;/author&gt;&lt;/authors&gt;&lt;/contributors&gt;&lt;titles&gt;&lt;title&gt;Antioxidant and anti-inflammatory activities of essential oils: a short review&lt;/title&gt;&lt;secondary-title&gt;Molecules (Basel, Switzerland)&lt;/secondary-title&gt;&lt;alt-title&gt;Molecules&lt;/alt-title&gt;&lt;/titles&gt;&lt;alt-periodical&gt;&lt;full-title&gt;Molecules&lt;/full-title&gt;&lt;/alt-periodical&gt;&lt;pages&gt;9252-9287&lt;/pages&gt;&lt;volume&gt;15&lt;/volume&gt;&lt;number&gt;12&lt;/number&gt;&lt;keywords&gt;&lt;keyword&gt;Animals&lt;/keyword&gt;&lt;keyword&gt;*Anti-Inflammatory Agents&lt;/keyword&gt;&lt;keyword&gt;*Antioxidants&lt;/keyword&gt;&lt;keyword&gt;Humans&lt;/keyword&gt;&lt;keyword&gt;*Oils, Volatile&lt;/keyword&gt;&lt;/keywords&gt;&lt;dates&gt;&lt;year&gt;2010&lt;/year&gt;&lt;/dates&gt;&lt;publisher&gt;MDPI&lt;/publisher&gt;&lt;isbn&gt;1420-3049&lt;/isbn&gt;&lt;accession-num&gt;21160452&lt;/accession-num&gt;&lt;urls&gt;&lt;related-urls&gt;&lt;url&gt;https://pubmed.ncbi.nlm.nih.gov/21160452&lt;/url&gt;&lt;url&gt;https://www.ncbi.nlm.nih.gov/pmc/articles/PMC6259136/&lt;/url&gt;&lt;/related-urls&gt;&lt;/urls&gt;&lt;electronic-resource-num&gt;10.3390/molecules15129252&lt;/electronic-resource-num&gt;&lt;remote-database-name&gt;PubMed&lt;/remote-database-name&gt;&lt;language&gt;eng&lt;/language&gt;&lt;/record&gt;&lt;/Cite&gt;&lt;/EndNote&gt;</w:instrText>
      </w:r>
      <w:r w:rsidR="00874D86" w:rsidRPr="009F7934">
        <w:fldChar w:fldCharType="separate"/>
      </w:r>
      <w:r w:rsidR="00492368">
        <w:rPr>
          <w:noProof/>
        </w:rPr>
        <w:t>(Miguel, 2010)</w:t>
      </w:r>
      <w:r w:rsidR="00874D86" w:rsidRPr="009F7934">
        <w:fldChar w:fldCharType="end"/>
      </w:r>
      <w:r w:rsidRPr="009F7934">
        <w:t xml:space="preserve"> </w:t>
      </w:r>
      <w:r w:rsidR="00874D86" w:rsidRPr="009F7934">
        <w:fldChar w:fldCharType="begin"/>
      </w:r>
      <w:r w:rsidR="00492368">
        <w:instrText xml:space="preserve"> ADDIN EN.CITE &lt;EndNote&gt;&lt;Cite&gt;&lt;Author&gt;Castellino&lt;/Author&gt;&lt;Year&gt;2021&lt;/Year&gt;&lt;RecNum&gt;7&lt;/RecNum&gt;&lt;DisplayText&gt;(Castellino et al., 2021)&lt;/DisplayText&gt;&lt;record&gt;&lt;rec-number&gt;7&lt;/rec-number&gt;&lt;foreign-keys&gt;&lt;key app="EN" db-id="xpffsx9tlx5wzsepvzoxtpf32swzp0922swp" timestamp="1642766624"&gt;7&lt;/key&gt;&lt;/foreign-keys&gt;&lt;ref-type name="Journal Article"&gt;17&lt;/ref-type&gt;&lt;contributors&gt;&lt;authors&gt;&lt;author&gt;Castellino, Giuseppa&lt;/author&gt;&lt;author&gt;Mesa, Francisco&lt;/author&gt;&lt;author&gt;Cappello, Francesco&lt;/author&gt;&lt;author&gt;Benavides-Reyes, Cristina&lt;/author&gt;&lt;author&gt;Malfa, Giuseppe A.&lt;/author&gt;&lt;author&gt;Cabello, Inmaculada&lt;/author&gt;&lt;author&gt;Magan-Fernandez, Antonio&lt;/author&gt;&lt;/authors&gt;&lt;/contributors&gt;&lt;titles&gt;&lt;title&gt;Effects of Essential Oils and Selected Compounds from Lamiaceae Family as Adjutants on the Treatment of Subjects with Periodontitis and Cardiovascular Risk&lt;/title&gt;&lt;secondary-title&gt;Applied Sciences&lt;/secondary-title&gt;&lt;/titles&gt;&lt;periodical&gt;&lt;full-title&gt;Applied Sciences&lt;/full-title&gt;&lt;/periodical&gt;&lt;volume&gt;11&lt;/volume&gt;&lt;number&gt;20&lt;/number&gt;&lt;keywords&gt;&lt;keyword&gt;periodontitis&lt;/keyword&gt;&lt;keyword&gt;inflammation&lt;/keyword&gt;&lt;keyword&gt;oils&lt;/keyword&gt;&lt;keyword&gt;volatile&lt;/keyword&gt;&lt;keyword&gt;heart disease risk factors&lt;/keyword&gt;&lt;/keywords&gt;&lt;dates&gt;&lt;year&gt;2021&lt;/year&gt;&lt;/dates&gt;&lt;isbn&gt;2076-3417&lt;/isbn&gt;&lt;urls&gt;&lt;/urls&gt;&lt;electronic-resource-num&gt;10.3390/app11209563&lt;/electronic-resource-num&gt;&lt;/record&gt;&lt;/Cite&gt;&lt;/EndNote&gt;</w:instrText>
      </w:r>
      <w:r w:rsidR="00874D86" w:rsidRPr="009F7934">
        <w:fldChar w:fldCharType="separate"/>
      </w:r>
      <w:r w:rsidR="00492368">
        <w:rPr>
          <w:noProof/>
        </w:rPr>
        <w:t>(Castellino et al., 2021)</w:t>
      </w:r>
      <w:r w:rsidR="00874D86" w:rsidRPr="009F7934">
        <w:fldChar w:fldCharType="end"/>
      </w:r>
      <w:r w:rsidRPr="009F7934">
        <w:t xml:space="preserve">, and antioxidant </w:t>
      </w:r>
      <w:r w:rsidR="00874D86" w:rsidRPr="009F7934">
        <w:fldChar w:fldCharType="begin"/>
      </w:r>
      <w:r w:rsidR="00492368">
        <w:instrText xml:space="preserve"> ADDIN EN.CITE &lt;EndNote&gt;&lt;Cite&gt;&lt;Author&gt;Akdemir Evrendilek&lt;/Author&gt;&lt;Year&gt;2015&lt;/Year&gt;&lt;RecNum&gt;8&lt;/RecNum&gt;&lt;DisplayText&gt;(Akdemir Evrendilek, 2015)&lt;/DisplayText&gt;&lt;record&gt;&lt;rec-number&gt;8&lt;/rec-number&gt;&lt;foreign-keys&gt;&lt;key app="EN" db-id="xpffsx9tlx5wzsepvzoxtpf32swzp0922swp" timestamp="1642766624"&gt;8&lt;/key&gt;&lt;/foreign-keys&gt;&lt;ref-type name="Journal Article"&gt;17&lt;/ref-type&gt;&lt;contributors&gt;&lt;authors&gt;&lt;author&gt;Akdemir Evrendilek, Gulsun&lt;/author&gt;&lt;/authors&gt;&lt;/contributors&gt;&lt;titles&gt;&lt;title&gt;Empirical prediction and validation of antibacterial inhibitory effects of various plant essential oils on common pathogenic bacteria&lt;/title&gt;&lt;secondary-title&gt;International Journal of Food Microbiology&lt;/secondary-title&gt;&lt;/titles&gt;&lt;periodical&gt;&lt;full-title&gt;International Journal of Food Microbiology&lt;/full-title&gt;&lt;/periodical&gt;&lt;pages&gt;35-41&lt;/pages&gt;&lt;volume&gt;202&lt;/volume&gt;&lt;keywords&gt;&lt;keyword&gt;Plant essential oil&lt;/keyword&gt;&lt;keyword&gt;Food safety&lt;/keyword&gt;&lt;keyword&gt;Microbial inhibition&lt;/keyword&gt;&lt;keyword&gt;GC-MS analysis&lt;/keyword&gt;&lt;/keywords&gt;&lt;dates&gt;&lt;year&gt;2015&lt;/year&gt;&lt;pub-dates&gt;&lt;date&gt;2015/06/02/&lt;/date&gt;&lt;/pub-dates&gt;&lt;/dates&gt;&lt;isbn&gt;0168-1605&lt;/isbn&gt;&lt;urls&gt;&lt;related-urls&gt;&lt;url&gt;https://www.sciencedirect.com/science/article/pii/S016816051500121X&lt;/url&gt;&lt;/related-urls&gt;&lt;/urls&gt;&lt;electronic-resource-num&gt;https://doi.org/10.1016/j.ijfoodmicro.2015.02.030&lt;/electronic-resource-num&gt;&lt;/record&gt;&lt;/Cite&gt;&lt;/EndNote&gt;</w:instrText>
      </w:r>
      <w:r w:rsidR="00874D86" w:rsidRPr="009F7934">
        <w:fldChar w:fldCharType="separate"/>
      </w:r>
      <w:r w:rsidR="00492368">
        <w:rPr>
          <w:noProof/>
        </w:rPr>
        <w:t>(Akdemir Evrendilek, 2015)</w:t>
      </w:r>
      <w:r w:rsidR="00874D86" w:rsidRPr="009F7934">
        <w:fldChar w:fldCharType="end"/>
      </w:r>
      <w:r w:rsidR="00874D86" w:rsidRPr="009F7934">
        <w:t xml:space="preserve"> </w:t>
      </w:r>
      <w:r w:rsidRPr="009F7934">
        <w:t>activities, are some of their most reported ones, and are attributed to their biologically active compounds</w:t>
      </w:r>
      <w:r w:rsidR="00874D86" w:rsidRPr="009F7934">
        <w:t xml:space="preserve"> </w:t>
      </w:r>
      <w:r w:rsidR="00874D86" w:rsidRPr="009F7934">
        <w:rPr>
          <w:lang w:val="el-GR"/>
        </w:rPr>
        <w:fldChar w:fldCharType="begin"/>
      </w:r>
      <w:r w:rsidR="00492368" w:rsidRPr="00492368">
        <w:instrText xml:space="preserve"> ADDIN EN.CITE &lt;EndNote&gt;&lt;Cite&gt;&lt;Author&gt;da Silva&lt;/Author&gt;&lt;Year&gt;2021&lt;/Year&gt;&lt;RecNum&gt;2&lt;/RecNum&gt;&lt;DisplayText&gt;(da Silva et al., 2021)&lt;/DisplayText&gt;&lt;record&gt;&lt;rec-number&gt;2&lt;/rec-number&gt;&lt;foreign-keys&gt;&lt;key app="EN" db-id="xpffsx9tlx5wzsepvzoxtpf32swzp0922swp" timestamp="1642766624"&gt;2&lt;/key&gt;&lt;/foreign-keys&gt;&lt;ref-type name="Journal Article"&gt;17&lt;/ref-type&gt;&lt;contributors&gt;&lt;authors&gt;&lt;author&gt;da Silva, Bruno Dutra&lt;/author&gt;&lt;author&gt;Bernardes, Patrícia Campos&lt;/author&gt;&lt;author&gt;Pinheiro, Patrícia Fontes&lt;/author&gt;&lt;author&gt;Fantuzzi, Elisabete&lt;/author&gt;&lt;author&gt;Roberto, Consuelo Domenici&lt;/author&gt;&lt;/authors&gt;&lt;/contributors&gt;&lt;titles&gt;&lt;title&gt;Chemical composition, extraction sources and action mechanisms of essential oils: Natural preservative and limitations of use in meat products&lt;/title&gt;&lt;secondary-title&gt;Meat Science&lt;/secondary-title&gt;&lt;/titles&gt;&lt;periodical&gt;&lt;full-title&gt;Meat Science&lt;/full-title&gt;&lt;/periodical&gt;&lt;pages&gt;108463&lt;/pages&gt;&lt;volume&gt;176&lt;/volume&gt;&lt;keywords&gt;&lt;keyword&gt;Antimicrobial activity&lt;/keyword&gt;&lt;keyword&gt;Animal protein&lt;/keyword&gt;&lt;keyword&gt;Essential oil&lt;/keyword&gt;&lt;keyword&gt;Natural compounds&lt;/keyword&gt;&lt;keyword&gt;Preservation&lt;/keyword&gt;&lt;keyword&gt;Foodborne pathogens&lt;/keyword&gt;&lt;/keywords&gt;&lt;dates&gt;&lt;year&gt;2021&lt;/year&gt;&lt;pub-dates&gt;&lt;date&gt;2021/06/01/&lt;/date&gt;&lt;/pub-dates&gt;&lt;/dates&gt;&lt;isbn&gt;0309-1740&lt;/isbn&gt;&lt;urls&gt;&lt;related-urls&gt;&lt;url&gt;https://www.sciencedirect.com/science/article/pii/S0309174021000395&lt;/url&gt;&lt;/related-urls&gt;&lt;/urls&gt;&lt;electronic-resource-num&gt;https://doi.org/10.1016/j.meatsci.2021.108463&lt;/electronic-resource-num&gt;&lt;/record&gt;&lt;/Cite&gt;&lt;/EndNote&gt;</w:instrText>
      </w:r>
      <w:r w:rsidR="00874D86" w:rsidRPr="009F7934">
        <w:rPr>
          <w:lang w:val="el-GR"/>
        </w:rPr>
        <w:fldChar w:fldCharType="separate"/>
      </w:r>
      <w:r w:rsidR="00492368" w:rsidRPr="00492368">
        <w:rPr>
          <w:noProof/>
        </w:rPr>
        <w:t>(da Silva et al., 2021)</w:t>
      </w:r>
      <w:r w:rsidR="00874D86" w:rsidRPr="009F7934">
        <w:rPr>
          <w:lang w:val="el-GR"/>
        </w:rPr>
        <w:fldChar w:fldCharType="end"/>
      </w:r>
      <w:r w:rsidRPr="009F7934">
        <w:t xml:space="preserve">. Oregano Essential oil (OEO) in particular, is extracted from the Mediterranean medicinal plant Origanum vulgare and is rich in such compounds (monoterpenes). OEO presents excellent biological activity, which is the reason of the emerging interest it has received from the food, cosmetics and biomedical industries for several applications (ex. food preservation, infection treatment, diet supplementation, active packaging, </w:t>
      </w:r>
      <w:proofErr w:type="spellStart"/>
      <w:r w:rsidRPr="009F7934">
        <w:t>etc</w:t>
      </w:r>
      <w:proofErr w:type="spellEnd"/>
      <w:r w:rsidRPr="009F7934">
        <w:t>)</w:t>
      </w:r>
      <w:r w:rsidR="00DC7D62" w:rsidRPr="009F7934">
        <w:t xml:space="preserve"> </w:t>
      </w:r>
      <w:r w:rsidR="00DC7D62" w:rsidRPr="009F7934">
        <w:fldChar w:fldCharType="begin"/>
      </w:r>
      <w:r w:rsidR="00492368">
        <w:instrText xml:space="preserve"> ADDIN EN.CITE &lt;EndNote&gt;&lt;Cite&gt;&lt;Author&gt;Takahashi&lt;/Author&gt;&lt;Year&gt;2017&lt;/Year&gt;&lt;RecNum&gt;9&lt;/RecNum&gt;&lt;DisplayText&gt;(Takahashi et al., 2017)&lt;/DisplayText&gt;&lt;record&gt;&lt;rec-number&gt;9&lt;/rec-number&gt;&lt;foreign-keys&gt;&lt;key app="EN" db-id="xpffsx9tlx5wzsepvzoxtpf32swzp0922swp" timestamp="1642766624"&gt;9&lt;/key&gt;&lt;/foreign-keys&gt;&lt;ref-type name="Journal Article"&gt;17&lt;/ref-type&gt;&lt;contributors&gt;&lt;authors&gt;&lt;author&gt;Takahashi, G.&lt;/author&gt;&lt;author&gt;Barbosa, H.D.&lt;/author&gt;&lt;author&gt;Bergamasco, R.&lt;/author&gt;&lt;author&gt;Madrona, G.&lt;/author&gt;&lt;author&gt;Tonon, L.C.&lt;/author&gt;&lt;author&gt;Yamashita, F.&lt;/author&gt;&lt;author&gt;Scapim, M.&lt;/author&gt;&lt;/authors&gt;&lt;/contributors&gt;&lt;titles&gt;&lt;title&gt;Development and Active Biodegradable Film Evaluation Incorporated with Oregano Essential Oil and Nanoclay&lt;/title&gt;&lt;secondary-title&gt;Chemical Engineering Transactions&lt;/secondary-title&gt;&lt;/titles&gt;&lt;periodical&gt;&lt;full-title&gt;Chemical Engineering Transactions&lt;/full-title&gt;&lt;/periodical&gt;&lt;pages&gt;403-408&lt;/pages&gt;&lt;volume&gt;57&lt;/volume&gt;&lt;dates&gt;&lt;year&gt;2017&lt;/year&gt;&lt;pub-dates&gt;&lt;date&gt;20 March 2017&lt;/date&gt;&lt;/pub-dates&gt;&lt;/dates&gt;&lt;urls&gt;&lt;/urls&gt;&lt;electronic-resource-num&gt;10.3303/CET1757068&lt;/electronic-resource-num&gt;&lt;/record&gt;&lt;/Cite&gt;&lt;/EndNote&gt;</w:instrText>
      </w:r>
      <w:r w:rsidR="00DC7D62" w:rsidRPr="009F7934">
        <w:fldChar w:fldCharType="separate"/>
      </w:r>
      <w:r w:rsidR="00492368">
        <w:rPr>
          <w:noProof/>
        </w:rPr>
        <w:t>(Takahashi et al., 2017)</w:t>
      </w:r>
      <w:r w:rsidR="00DC7D62" w:rsidRPr="009F7934">
        <w:fldChar w:fldCharType="end"/>
      </w:r>
      <w:r w:rsidR="007E438C" w:rsidRPr="009F7934">
        <w:t xml:space="preserve"> </w:t>
      </w:r>
      <w:r w:rsidR="007E438C" w:rsidRPr="009F7934">
        <w:fldChar w:fldCharType="begin"/>
      </w:r>
      <w:r w:rsidR="00492368">
        <w:instrText xml:space="preserve"> ADDIN EN.CITE &lt;EndNote&gt;&lt;Cite&gt;&lt;Author&gt;Pirozzi&lt;/Author&gt;&lt;Year&gt;2021&lt;/Year&gt;&lt;RecNum&gt;10&lt;/RecNum&gt;&lt;DisplayText&gt;(Pirozzi et al., 2021)&lt;/DisplayText&gt;&lt;record&gt;&lt;rec-number&gt;10&lt;/rec-number&gt;&lt;foreign-keys&gt;&lt;key app="EN" db-id="xpffsx9tlx5wzsepvzoxtpf32swzp0922swp" timestamp="1642766624"&gt;10&lt;/key&gt;&lt;/foreign-keys&gt;&lt;ref-type name="Journal Article"&gt;17&lt;/ref-type&gt;&lt;contributors&gt;&lt;authors&gt;&lt;author&gt;Pirozzi, Annachiara&lt;/author&gt;&lt;author&gt;Del Grosso, Vittoria&lt;/author&gt;&lt;author&gt;Ferrari, Giovanna&lt;/author&gt;&lt;author&gt;Pataro, Gianpiero&lt;/author&gt;&lt;author&gt;Donsì, Francesco&lt;/author&gt;&lt;/authors&gt;&lt;/contributors&gt;&lt;titles&gt;&lt;title&gt;Combination of Edible Coatings Containing Oregano Essential Oil Nanoemulsion and Pulsed Light Treatments for Improving the Shelf Life of Tomatoes &lt;/title&gt;&lt;secondary-title&gt;Chemical Engineering Transactions&lt;/secondary-title&gt;&lt;/titles&gt;&lt;periodical&gt;&lt;full-title&gt;Chemical Engineering Transactions&lt;/full-title&gt;&lt;/periodical&gt;&lt;pages&gt;61-66&lt;/pages&gt;&lt;volume&gt;87&lt;/volume&gt;&lt;dates&gt;&lt;year&gt;2021&lt;/year&gt;&lt;pub-dates&gt;&lt;date&gt;1 July 2021&lt;/date&gt;&lt;/pub-dates&gt;&lt;/dates&gt;&lt;urls&gt;&lt;/urls&gt;&lt;electronic-resource-num&gt;doi.org/10.3303/CET2187011&lt;/electronic-resource-num&gt;&lt;/record&gt;&lt;/Cite&gt;&lt;/EndNote&gt;</w:instrText>
      </w:r>
      <w:r w:rsidR="007E438C" w:rsidRPr="009F7934">
        <w:fldChar w:fldCharType="separate"/>
      </w:r>
      <w:r w:rsidR="00492368">
        <w:rPr>
          <w:noProof/>
        </w:rPr>
        <w:t>(Pirozzi et al., 2021)</w:t>
      </w:r>
      <w:r w:rsidR="007E438C" w:rsidRPr="009F7934">
        <w:fldChar w:fldCharType="end"/>
      </w:r>
      <w:r w:rsidRPr="009F7934">
        <w:t xml:space="preserve">. </w:t>
      </w:r>
    </w:p>
    <w:p w14:paraId="585B4187" w14:textId="78AA3C7B" w:rsidR="00BA4C7A" w:rsidRPr="009F7934" w:rsidRDefault="00BA4C7A" w:rsidP="00BA4C7A">
      <w:pPr>
        <w:pStyle w:val="CETBodytext"/>
      </w:pPr>
      <w:r w:rsidRPr="009F7934">
        <w:t xml:space="preserve">OEO’s use as an animal feed additive, presents great potential in the direction of substitution or partial elimination of synthetic feed additives with naturally originated ones. Several studies have reported the safety of its use as a supplement in all animal species diets </w:t>
      </w:r>
      <w:r w:rsidR="0071400B" w:rsidRPr="009F7934">
        <w:fldChar w:fldCharType="begin">
          <w:fldData xml:space="preserve">PEVuZE5vdGU+PENpdGU+PEF1dGhvcj5CYW1waWRpczwvQXV0aG9yPjxZZWFyPjIwMTk8L1llYXI+
PFJlY051bT4xMTwvUmVjTnVtPjxEaXNwbGF5VGV4dD4oQmFtcGlkaXMgZXQgYWwuLCAyMDE5KTwv
RGlzcGxheVRleHQ+PHJlY29yZD48cmVjLW51bWJlcj4xMTwvcmVjLW51bWJlcj48Zm9yZWlnbi1r
ZXlzPjxrZXkgYXBwPSJFTiIgZGItaWQ9InhwZmZzeDl0bHg1d3pzZXB2em94dHBmMzJzd3pwMDky
MnN3cCIgdGltZXN0YW1wPSIxNjQyNzY2NjI0Ij4xMTwva2V5PjwvZm9yZWlnbi1rZXlzPjxyZWYt
dHlwZSBuYW1lPSJKb3VybmFsIEFydGljbGUiPjE3PC9yZWYtdHlwZT48Y29udHJpYnV0b3JzPjxh
dXRob3JzPjxhdXRob3I+QmFtcGlkaXMsIFZhc2lsZWlvczwvYXV0aG9yPjxhdXRob3I+QXppbW9u
dGksIEdpb3Zhbm5hPC9hdXRob3I+PGF1dGhvcj5CYXN0b3MsIE1hcmlhIGRlIExvdXJkZXM8L2F1
dGhvcj48YXV0aG9yPkNocmlzdGVuc2VuLCBIZW5yaWs8L2F1dGhvcj48YXV0aG9yPktvdWJhLCBN
YXJ5bGluZTwvYXV0aG9yPjxhdXRob3I+S29zIER1cmphdmEsIE1vamNhPC9hdXRob3I+PGF1dGhv
cj5Mw7NwZXotQWxvbnNvLCBNYXJ0YTwvYXV0aG9yPjxhdXRob3I+TMOzcGV6IFB1ZW50ZSwgU2Vj
dW5kaW5vPC9hdXRob3I+PGF1dGhvcj5NYXJjb24sIEZyYW5jZXNjYTwvYXV0aG9yPjxhdXRob3I+
TWF5bywgQmFsdGFzYXI8L2F1dGhvcj48YXV0aG9yPlBlY2hvdsOhLCBBbGVuYTwvYXV0aG9yPjxh
dXRob3I+UGV0a292YSwgTWFyaWFuYTwvYXV0aG9yPjxhdXRob3I+UmFtb3MsIEZlcm5hbmRvPC9h
dXRob3I+PGF1dGhvcj5TYW56LCBZb2xhbmRhPC9hdXRob3I+PGF1dGhvcj5WaWxsYSwgUm9iZXJ0
byBFZG9hcmRvPC9hdXRob3I+PGF1dGhvcj5Xb3V0ZXJzZW4sIFJ1dWQ8L2F1dGhvcj48YXV0aG9y
PkJyYW50b20sIFBhdWw8L2F1dGhvcj48YXV0aG9yPkNoZXNzb24sIEFuZHJldzwvYXV0aG9yPjxh
dXRob3I+V2VzdGVuZG9yZiwgSm9oYW5uZXM8L2F1dGhvcj48YXV0aG9yPkdyZWdvcmV0dGksIEx1
Y2lsbGE8L2F1dGhvcj48YXV0aG9yPk1hbmluaSwgUGFvbGE8L2F1dGhvcj48YXV0aG9yPkR1c2Vt
dW5kLCBCaXJnaXQ8L2F1dGhvcj48L2F1dGhvcnM+PC9jb250cmlidXRvcnM+PHRpdGxlcz48dGl0
bGU+U2FmZXR5IGFuZCBlZmZpY2FjeSBvZiBhbiBlc3NlbnRpYWwgb2lsIGZyb20gT3JpZ2FudW0g
dnVsZ2FyZSBzc3AuIGhpcnR1bSAoTGluaykgSWV0c3cuIGZvciBhbGwgYW5pbWFsIHNwZWNpZXM8
L3RpdGxlPjxzZWNvbmRhcnktdGl0bGU+RUZTQSBKb3VybmFsPC9zZWNvbmRhcnktdGl0bGU+PC90
aXRsZXM+PHBlcmlvZGljYWw+PGZ1bGwtdGl0bGU+RUZTQSBKb3VybmFsPC9mdWxsLXRpdGxlPjwv
cGVyaW9kaWNhbD48cGFnZXM+ZTA1OTA5PC9wYWdlcz48dm9sdW1lPjE3PC92b2x1bWU+PG51bWJl
cj4xMjwvbnVtYmVyPjxrZXl3b3Jkcz48a2V5d29yZD5TZW5zb3J5IGFkZGl0aXZlczwva2V5d29y
ZD48a2V5d29yZD5mbGF2b3VyaW5nczwva2V5d29yZD48a2V5d29yZD5vcmVnYW5vPC9rZXl3b3Jk
PjxrZXl3b3JkPmVzc2VudGlhbCBvaWw8L2tleXdvcmQ+PGtleXdvcmQ+Y2FydmFjcm9sPC9rZXl3
b3JkPjxrZXl3b3JkPnNhZmV0eTwva2V5d29yZD48a2V5d29yZD5lZmZpY2FjeTwva2V5d29yZD48
L2tleXdvcmRzPjxkYXRlcz48eWVhcj4yMDE5PC95ZWFyPjxwdWItZGF0ZXM+PGRhdGU+MjAxOS8x
Mi8wMTwvZGF0ZT48L3B1Yi1kYXRlcz48L2RhdGVzPjxwdWJsaXNoZXI+Sm9obiBXaWxleSAmYW1w
OyBTb25zLCBMdGQ8L3B1Ymxpc2hlcj48aXNibj4xODMxLTQ3MzI8L2lzYm4+PHdvcmstdHlwZT5o
dHRwczovL2RvaS5vcmcvMTAuMjkwMy9qLmVmc2EuMjAxOS41OTA5PC93b3JrLXR5cGU+PHVybHM+
PHJlbGF0ZWQtdXJscz48dXJsPmh0dHBzOi8vZG9pLm9yZy8xMC4yOTAzL2ouZWZzYS4yMDE5LjU5
MDk8L3VybD48L3JlbGF0ZWQtdXJscz48L3VybHM+PGVsZWN0cm9uaWMtcmVzb3VyY2UtbnVtPmh0
dHBzOi8vZG9pLm9yZy8xMC4yOTAzL2ouZWZzYS4yMDE5LjU5MDk8L2VsZWN0cm9uaWMtcmVzb3Vy
Y2UtbnVtPjxhY2Nlc3MtZGF0ZT4yMDIyLzAxLzE5PC9hY2Nlc3MtZGF0ZT48L3JlY29yZD48L0Np
dGU+PC9FbmROb3RlPn==
</w:fldData>
        </w:fldChar>
      </w:r>
      <w:r w:rsidR="000B57EE">
        <w:instrText xml:space="preserve"> ADDIN EN.CITE </w:instrText>
      </w:r>
      <w:r w:rsidR="000B57EE">
        <w:fldChar w:fldCharType="begin">
          <w:fldData xml:space="preserve">PEVuZE5vdGU+PENpdGU+PEF1dGhvcj5CYW1waWRpczwvQXV0aG9yPjxZZWFyPjIwMTk8L1llYXI+
PFJlY051bT4xMTwvUmVjTnVtPjxEaXNwbGF5VGV4dD4oQmFtcGlkaXMgZXQgYWwuLCAyMDE5KTwv
RGlzcGxheVRleHQ+PHJlY29yZD48cmVjLW51bWJlcj4xMTwvcmVjLW51bWJlcj48Zm9yZWlnbi1r
ZXlzPjxrZXkgYXBwPSJFTiIgZGItaWQ9InhwZmZzeDl0bHg1d3pzZXB2em94dHBmMzJzd3pwMDky
MnN3cCIgdGltZXN0YW1wPSIxNjQyNzY2NjI0Ij4xMTwva2V5PjwvZm9yZWlnbi1rZXlzPjxyZWYt
dHlwZSBuYW1lPSJKb3VybmFsIEFydGljbGUiPjE3PC9yZWYtdHlwZT48Y29udHJpYnV0b3JzPjxh
dXRob3JzPjxhdXRob3I+QmFtcGlkaXMsIFZhc2lsZWlvczwvYXV0aG9yPjxhdXRob3I+QXppbW9u
dGksIEdpb3Zhbm5hPC9hdXRob3I+PGF1dGhvcj5CYXN0b3MsIE1hcmlhIGRlIExvdXJkZXM8L2F1
dGhvcj48YXV0aG9yPkNocmlzdGVuc2VuLCBIZW5yaWs8L2F1dGhvcj48YXV0aG9yPktvdWJhLCBN
YXJ5bGluZTwvYXV0aG9yPjxhdXRob3I+S29zIER1cmphdmEsIE1vamNhPC9hdXRob3I+PGF1dGhv
cj5Mw7NwZXotQWxvbnNvLCBNYXJ0YTwvYXV0aG9yPjxhdXRob3I+TMOzcGV6IFB1ZW50ZSwgU2Vj
dW5kaW5vPC9hdXRob3I+PGF1dGhvcj5NYXJjb24sIEZyYW5jZXNjYTwvYXV0aG9yPjxhdXRob3I+
TWF5bywgQmFsdGFzYXI8L2F1dGhvcj48YXV0aG9yPlBlY2hvdsOhLCBBbGVuYTwvYXV0aG9yPjxh
dXRob3I+UGV0a292YSwgTWFyaWFuYTwvYXV0aG9yPjxhdXRob3I+UmFtb3MsIEZlcm5hbmRvPC9h
dXRob3I+PGF1dGhvcj5TYW56LCBZb2xhbmRhPC9hdXRob3I+PGF1dGhvcj5WaWxsYSwgUm9iZXJ0
byBFZG9hcmRvPC9hdXRob3I+PGF1dGhvcj5Xb3V0ZXJzZW4sIFJ1dWQ8L2F1dGhvcj48YXV0aG9y
PkJyYW50b20sIFBhdWw8L2F1dGhvcj48YXV0aG9yPkNoZXNzb24sIEFuZHJldzwvYXV0aG9yPjxh
dXRob3I+V2VzdGVuZG9yZiwgSm9oYW5uZXM8L2F1dGhvcj48YXV0aG9yPkdyZWdvcmV0dGksIEx1
Y2lsbGE8L2F1dGhvcj48YXV0aG9yPk1hbmluaSwgUGFvbGE8L2F1dGhvcj48YXV0aG9yPkR1c2Vt
dW5kLCBCaXJnaXQ8L2F1dGhvcj48L2F1dGhvcnM+PC9jb250cmlidXRvcnM+PHRpdGxlcz48dGl0
bGU+U2FmZXR5IGFuZCBlZmZpY2FjeSBvZiBhbiBlc3NlbnRpYWwgb2lsIGZyb20gT3JpZ2FudW0g
dnVsZ2FyZSBzc3AuIGhpcnR1bSAoTGluaykgSWV0c3cuIGZvciBhbGwgYW5pbWFsIHNwZWNpZXM8
L3RpdGxlPjxzZWNvbmRhcnktdGl0bGU+RUZTQSBKb3VybmFsPC9zZWNvbmRhcnktdGl0bGU+PC90
aXRsZXM+PHBlcmlvZGljYWw+PGZ1bGwtdGl0bGU+RUZTQSBKb3VybmFsPC9mdWxsLXRpdGxlPjwv
cGVyaW9kaWNhbD48cGFnZXM+ZTA1OTA5PC9wYWdlcz48dm9sdW1lPjE3PC92b2x1bWU+PG51bWJl
cj4xMjwvbnVtYmVyPjxrZXl3b3Jkcz48a2V5d29yZD5TZW5zb3J5IGFkZGl0aXZlczwva2V5d29y
ZD48a2V5d29yZD5mbGF2b3VyaW5nczwva2V5d29yZD48a2V5d29yZD5vcmVnYW5vPC9rZXl3b3Jk
PjxrZXl3b3JkPmVzc2VudGlhbCBvaWw8L2tleXdvcmQ+PGtleXdvcmQ+Y2FydmFjcm9sPC9rZXl3
b3JkPjxrZXl3b3JkPnNhZmV0eTwva2V5d29yZD48a2V5d29yZD5lZmZpY2FjeTwva2V5d29yZD48
L2tleXdvcmRzPjxkYXRlcz48eWVhcj4yMDE5PC95ZWFyPjxwdWItZGF0ZXM+PGRhdGU+MjAxOS8x
Mi8wMTwvZGF0ZT48L3B1Yi1kYXRlcz48L2RhdGVzPjxwdWJsaXNoZXI+Sm9obiBXaWxleSAmYW1w
OyBTb25zLCBMdGQ8L3B1Ymxpc2hlcj48aXNibj4xODMxLTQ3MzI8L2lzYm4+PHdvcmstdHlwZT5o
dHRwczovL2RvaS5vcmcvMTAuMjkwMy9qLmVmc2EuMjAxOS41OTA5PC93b3JrLXR5cGU+PHVybHM+
PHJlbGF0ZWQtdXJscz48dXJsPmh0dHBzOi8vZG9pLm9yZy8xMC4yOTAzL2ouZWZzYS4yMDE5LjU5
MDk8L3VybD48L3JlbGF0ZWQtdXJscz48L3VybHM+PGVsZWN0cm9uaWMtcmVzb3VyY2UtbnVtPmh0
dHBzOi8vZG9pLm9yZy8xMC4yOTAzL2ouZWZzYS4yMDE5LjU5MDk8L2VsZWN0cm9uaWMtcmVzb3Vy
Y2UtbnVtPjxhY2Nlc3MtZGF0ZT4yMDIyLzAxLzE5PC9hY2Nlc3MtZGF0ZT48L3JlY29yZD48L0Np
dGU+PC9FbmROb3RlPn==
</w:fldData>
        </w:fldChar>
      </w:r>
      <w:r w:rsidR="000B57EE">
        <w:instrText xml:space="preserve"> ADDIN EN.CITE.DATA </w:instrText>
      </w:r>
      <w:r w:rsidR="000B57EE">
        <w:fldChar w:fldCharType="end"/>
      </w:r>
      <w:r w:rsidR="0071400B" w:rsidRPr="009F7934">
        <w:fldChar w:fldCharType="separate"/>
      </w:r>
      <w:r w:rsidR="000B57EE">
        <w:rPr>
          <w:noProof/>
        </w:rPr>
        <w:t>(Bampidis et al., 2019)</w:t>
      </w:r>
      <w:r w:rsidR="0071400B" w:rsidRPr="009F7934">
        <w:fldChar w:fldCharType="end"/>
      </w:r>
      <w:r w:rsidR="0071400B" w:rsidRPr="009F7934">
        <w:t>.</w:t>
      </w:r>
    </w:p>
    <w:p w14:paraId="3FEDAAD7" w14:textId="77777777" w:rsidR="00BA4C7A" w:rsidRPr="009F7934" w:rsidRDefault="00BA4C7A" w:rsidP="00BA4C7A">
      <w:pPr>
        <w:pStyle w:val="CETBodytext"/>
      </w:pPr>
      <w:r w:rsidRPr="009F7934">
        <w:t xml:space="preserve">However, undesirable effects of adverse environmental conditions (light, moisture, oxygen), make absolutely necessary the employment of an effective processing, such as encapsulation, that will protect OEO and improve stability while promoting its controlled/targeted release. Moreover, the use of encapsulation may augment the nutritional quality of the feed, enhance the solubility or dispersibility of its lipophilic compounds, mask off-flavors without unfavorably affecting the taste, aroma, or texture as well as extend the shelf life of the product. </w:t>
      </w:r>
    </w:p>
    <w:p w14:paraId="480AD1F4" w14:textId="4EADE127" w:rsidR="00BA4C7A" w:rsidRPr="00BA4C7A" w:rsidRDefault="00BA4C7A" w:rsidP="00BA4C7A">
      <w:pPr>
        <w:pStyle w:val="CETBodytext"/>
      </w:pPr>
      <w:r w:rsidRPr="009F7934">
        <w:t xml:space="preserve">More specifically, electrohydrodynamic processes, namely, electrospinning and </w:t>
      </w:r>
      <w:proofErr w:type="spellStart"/>
      <w:r w:rsidRPr="009F7934">
        <w:t>electrospraying</w:t>
      </w:r>
      <w:proofErr w:type="spellEnd"/>
      <w:r w:rsidRPr="009F7934">
        <w:t>, are</w:t>
      </w:r>
      <w:r w:rsidR="00F35D17" w:rsidRPr="009F7934">
        <w:t xml:space="preserve"> </w:t>
      </w:r>
      <w:r w:rsidRPr="009F7934">
        <w:t>the most promising encapsulation technologies for entrapping and effectively delivering bioactive</w:t>
      </w:r>
      <w:r w:rsidR="00F35D17" w:rsidRPr="009F7934">
        <w:t xml:space="preserve"> </w:t>
      </w:r>
      <w:r w:rsidRPr="009F7934">
        <w:t xml:space="preserve">compounds. Several process parameters (solution supply, applied voltage, tip-to-collector distance) were studied for different </w:t>
      </w:r>
      <w:proofErr w:type="spellStart"/>
      <w:r w:rsidRPr="009F7934">
        <w:t>matrice</w:t>
      </w:r>
      <w:proofErr w:type="spellEnd"/>
      <w:r w:rsidRPr="009F7934">
        <w:t xml:space="preserve"> solutions. The biopolymeric wall materials investigated for the encapsulation of OEO were Whey Protein isolate (WPI) and pullulan (</w:t>
      </w:r>
      <w:proofErr w:type="spellStart"/>
      <w:r w:rsidRPr="009F7934">
        <w:t>pul</w:t>
      </w:r>
      <w:proofErr w:type="spellEnd"/>
      <w:r w:rsidRPr="009F7934">
        <w:t xml:space="preserve">) blend, as well as and zein, and </w:t>
      </w:r>
      <w:r w:rsidRPr="00BA4C7A">
        <w:t>were fed coaxially, in order to optimize the apparatus’ function and formulation of the encapsulated structures. All developed structures were fully characterized in terms of morphology, bioactivity and productivity/controlled release/solubility.</w:t>
      </w:r>
    </w:p>
    <w:p w14:paraId="5874DF07" w14:textId="00CEA9CB" w:rsidR="00F35D17" w:rsidRDefault="00BA4C7A" w:rsidP="00BA4C7A">
      <w:pPr>
        <w:pStyle w:val="CETBodytext"/>
      </w:pPr>
      <w:r w:rsidRPr="00BA4C7A">
        <w:t>The present study contributes to the effort towards partial reduction or even complete elimination of the preventive use of antibiotics in animals, while at the same time supporting their health and well-being, through a sustainable approach. The use of OEO as a phytogenic feed additive, enhanced by the advanced properties given to its particles by the encapsulation process, is an extremely innovative application with great potential at the field of functional feeds and sustainable breeding.</w:t>
      </w:r>
    </w:p>
    <w:p w14:paraId="3B1745E2" w14:textId="202AF857" w:rsidR="00126FA0" w:rsidRPr="00126FA0" w:rsidRDefault="00F35D17" w:rsidP="00505143">
      <w:pPr>
        <w:pStyle w:val="CETHeading1"/>
        <w:spacing w:before="200"/>
      </w:pPr>
      <w:r w:rsidRPr="0054471C">
        <w:t>M</w:t>
      </w:r>
      <w:r w:rsidR="00126FA0">
        <w:t>aterials &amp; Methods</w:t>
      </w:r>
    </w:p>
    <w:p w14:paraId="5696D9E8" w14:textId="387105B0" w:rsidR="00F35D17" w:rsidRPr="0054471C" w:rsidRDefault="00F35D17" w:rsidP="00F35D17">
      <w:pPr>
        <w:pStyle w:val="CETheadingx"/>
      </w:pPr>
      <w:r>
        <w:t xml:space="preserve">2.1 </w:t>
      </w:r>
      <w:r w:rsidRPr="0054471C">
        <w:t>Materials</w:t>
      </w:r>
    </w:p>
    <w:p w14:paraId="743278A9" w14:textId="42068CD1" w:rsidR="00F35D17" w:rsidRPr="00F35D17" w:rsidRDefault="00F35D17" w:rsidP="00F35D17">
      <w:pPr>
        <w:pStyle w:val="CETBodytext"/>
      </w:pPr>
      <w:r w:rsidRPr="00F35D17">
        <w:t xml:space="preserve">Oregano Essential oil (OEO) was purchased from Natural Food Additives </w:t>
      </w:r>
      <w:proofErr w:type="gramStart"/>
      <w:r w:rsidRPr="00F35D17">
        <w:t>G.P</w:t>
      </w:r>
      <w:r w:rsidR="0074608A" w:rsidRPr="0074608A">
        <w:t>.</w:t>
      </w:r>
      <w:r w:rsidRPr="00F35D17">
        <w:t>.</w:t>
      </w:r>
      <w:proofErr w:type="gramEnd"/>
      <w:r w:rsidRPr="00F35D17">
        <w:t xml:space="preserve"> Corn prolamin zein grade Z3625, was purchased from (Sigma-Aldrich, Madrid, Spain). Whey protein isolate (WPI) and pullulan (</w:t>
      </w:r>
      <w:proofErr w:type="spellStart"/>
      <w:r w:rsidRPr="00F35D17">
        <w:t>pul</w:t>
      </w:r>
      <w:proofErr w:type="spellEnd"/>
      <w:r w:rsidRPr="00F35D17">
        <w:t>) powders, were supplied by NOW FOODS (Bloomingdale, IL 60108, USA) and Hayashibara Biochemical Lab. Inc. (Okayama, Japan), respectively. All reagents used for the experiments were of analytical grade.</w:t>
      </w:r>
    </w:p>
    <w:p w14:paraId="4F4BF45D" w14:textId="7DD75ADF" w:rsidR="00F35D17" w:rsidRPr="00F35D17" w:rsidRDefault="00F35D17" w:rsidP="00F35D17">
      <w:pPr>
        <w:pStyle w:val="CETheadingx"/>
      </w:pPr>
      <w:r>
        <w:t xml:space="preserve">2.2 </w:t>
      </w:r>
      <w:r w:rsidRPr="00F35D17">
        <w:t>Preparation of polymer solutions for electrospinning</w:t>
      </w:r>
    </w:p>
    <w:p w14:paraId="2FEA6F20" w14:textId="77777777" w:rsidR="00F35D17" w:rsidRPr="00EE1930" w:rsidRDefault="00F35D17" w:rsidP="00505143">
      <w:pPr>
        <w:pStyle w:val="CETHeadingxx"/>
        <w:spacing w:before="0"/>
        <w:rPr>
          <w:b w:val="0"/>
          <w:bCs/>
          <w:lang w:eastAsia="el-GR"/>
        </w:rPr>
      </w:pPr>
      <w:r w:rsidRPr="00EE1930">
        <w:rPr>
          <w:b w:val="0"/>
          <w:bCs/>
        </w:rPr>
        <w:t>Whey Protein Isolate (WPI) – Pullulan (</w:t>
      </w:r>
      <w:proofErr w:type="spellStart"/>
      <w:r w:rsidRPr="00EE1930">
        <w:rPr>
          <w:b w:val="0"/>
          <w:bCs/>
        </w:rPr>
        <w:t>pul</w:t>
      </w:r>
      <w:proofErr w:type="spellEnd"/>
      <w:r w:rsidRPr="00EE1930">
        <w:rPr>
          <w:b w:val="0"/>
          <w:bCs/>
        </w:rPr>
        <w:t xml:space="preserve">) </w:t>
      </w:r>
      <w:proofErr w:type="spellStart"/>
      <w:r w:rsidRPr="00EE1930">
        <w:rPr>
          <w:b w:val="0"/>
          <w:bCs/>
        </w:rPr>
        <w:t>Matrice</w:t>
      </w:r>
      <w:proofErr w:type="spellEnd"/>
      <w:r w:rsidRPr="00EE1930">
        <w:rPr>
          <w:b w:val="0"/>
          <w:bCs/>
        </w:rPr>
        <w:t xml:space="preserve"> </w:t>
      </w:r>
      <w:r w:rsidRPr="00EE1930">
        <w:rPr>
          <w:b w:val="0"/>
          <w:bCs/>
          <w:lang w:eastAsia="el-GR"/>
        </w:rPr>
        <w:t>solution</w:t>
      </w:r>
    </w:p>
    <w:p w14:paraId="4FB5E236" w14:textId="02B4D324" w:rsidR="00F35D17" w:rsidRPr="00F35D17" w:rsidRDefault="00EF4F8B" w:rsidP="00F35D17">
      <w:pPr>
        <w:pStyle w:val="CETBodytext"/>
      </w:pPr>
      <w:r w:rsidRPr="009F7934">
        <w:t>W</w:t>
      </w:r>
      <w:r w:rsidR="00F35D17" w:rsidRPr="009F7934">
        <w:t>ater</w:t>
      </w:r>
      <w:r w:rsidRPr="009F7934">
        <w:t xml:space="preserve"> of 478</w:t>
      </w:r>
      <w:r w:rsidRPr="009F7934">
        <w:rPr>
          <w:lang w:val="el-GR"/>
        </w:rPr>
        <w:t>μ</w:t>
      </w:r>
      <w:r w:rsidRPr="009F7934">
        <w:t>S/cm (25</w:t>
      </w:r>
      <w:r w:rsidRPr="009F7934">
        <w:rPr>
          <w:vertAlign w:val="superscript"/>
        </w:rPr>
        <w:t>o</w:t>
      </w:r>
      <w:r w:rsidRPr="009F7934">
        <w:t>C) conductivity</w:t>
      </w:r>
      <w:r w:rsidR="00F35D17" w:rsidRPr="009F7934">
        <w:t xml:space="preserve"> was used to dissolve WPI and pullulan blends, under magnetic stirring (M 6.1, </w:t>
      </w:r>
      <w:proofErr w:type="spellStart"/>
      <w:r w:rsidR="00F35D17" w:rsidRPr="009F7934">
        <w:t>Ingenieurbüro</w:t>
      </w:r>
      <w:proofErr w:type="spellEnd"/>
      <w:r w:rsidR="00F35D17" w:rsidRPr="009F7934">
        <w:t xml:space="preserve"> CAT, M. </w:t>
      </w:r>
      <w:proofErr w:type="spellStart"/>
      <w:r w:rsidR="00F35D17" w:rsidRPr="009F7934">
        <w:t>Zipperer</w:t>
      </w:r>
      <w:proofErr w:type="spellEnd"/>
      <w:r w:rsidR="00F35D17" w:rsidRPr="009F7934">
        <w:t xml:space="preserve"> GmbH, </w:t>
      </w:r>
      <w:proofErr w:type="spellStart"/>
      <w:r w:rsidR="00F35D17" w:rsidRPr="009F7934">
        <w:t>Ballrechten-Dottingen</w:t>
      </w:r>
      <w:proofErr w:type="spellEnd"/>
      <w:r w:rsidR="00F35D17" w:rsidRPr="009F7934">
        <w:t>, Germany) for 4 h and 500 min</w:t>
      </w:r>
      <w:r w:rsidR="00F35D17" w:rsidRPr="009F7934">
        <w:rPr>
          <w:vertAlign w:val="superscript"/>
        </w:rPr>
        <w:t>−1</w:t>
      </w:r>
      <w:r w:rsidR="0071400B" w:rsidRPr="009F7934">
        <w:t xml:space="preserve"> </w:t>
      </w:r>
      <w:r w:rsidR="0071400B" w:rsidRPr="009F7934">
        <w:fldChar w:fldCharType="begin"/>
      </w:r>
      <w:r w:rsidR="00492368">
        <w:instrText xml:space="preserve"> ADDIN EN.CITE &lt;EndNote&gt;&lt;Cite&gt;&lt;Author&gt;Drosou&lt;/Author&gt;&lt;Year&gt;2018&lt;/Year&gt;&lt;RecNum&gt;12&lt;/RecNum&gt;&lt;DisplayText&gt;(Drosou et al., 2018)&lt;/DisplayText&gt;&lt;record&gt;&lt;rec-number&gt;12&lt;/rec-number&gt;&lt;foreign-keys&gt;&lt;key app="EN" db-id="xpffsx9tlx5wzsepvzoxtpf32swzp0922swp" timestamp="1642766624"&gt;12&lt;/key&gt;&lt;/foreign-keys&gt;&lt;ref-type name="Journal Article"&gt;17&lt;/ref-type&gt;&lt;contributors&gt;&lt;authors&gt;&lt;author&gt;Drosou, Christina&lt;/author&gt;&lt;author&gt;Krokida, Magdalini&lt;/author&gt;&lt;author&gt;Biliaderis, Costas G.&lt;/author&gt;&lt;/authors&gt;&lt;/contributors&gt;&lt;titles&gt;&lt;title&gt;Composite pullulan-whey protein nanofibers made by electrospinning: Impact of process parameters on fiber morphology and physical properties&lt;/title&gt;&lt;secondary-title&gt;Food Hydrocolloids&lt;/secondary-title&gt;&lt;/titles&gt;&lt;periodical&gt;&lt;full-title&gt;Food Hydrocolloids&lt;/full-title&gt;&lt;/periodical&gt;&lt;pages&gt;726-735&lt;/pages&gt;&lt;volume&gt;77&lt;/volume&gt;&lt;keywords&gt;&lt;keyword&gt;Electrospinning&lt;/keyword&gt;&lt;keyword&gt;Encapsulation&lt;/keyword&gt;&lt;keyword&gt;Pullulan&lt;/keyword&gt;&lt;keyword&gt;Nanofibers&lt;/keyword&gt;&lt;keyword&gt;Whey protein&lt;/keyword&gt;&lt;/keywords&gt;&lt;dates&gt;&lt;year&gt;2018&lt;/year&gt;&lt;pub-dates&gt;&lt;date&gt;2018/04/01/&lt;/date&gt;&lt;/pub-dates&gt;&lt;/dates&gt;&lt;isbn&gt;0268-005X&lt;/isbn&gt;&lt;urls&gt;&lt;related-urls&gt;&lt;url&gt;https://www.sciencedirect.com/science/article/pii/S0268005X17315229&lt;/url&gt;&lt;/related-urls&gt;&lt;/urls&gt;&lt;electronic-resource-num&gt;https://doi.org/10.1016/j.foodhyd.2017.11.014&lt;/electronic-resource-num&gt;&lt;/record&gt;&lt;/Cite&gt;&lt;/EndNote&gt;</w:instrText>
      </w:r>
      <w:r w:rsidR="0071400B" w:rsidRPr="009F7934">
        <w:fldChar w:fldCharType="separate"/>
      </w:r>
      <w:r w:rsidR="00492368">
        <w:rPr>
          <w:noProof/>
        </w:rPr>
        <w:t>(Drosou et al., 2018)</w:t>
      </w:r>
      <w:r w:rsidR="0071400B" w:rsidRPr="009F7934">
        <w:fldChar w:fldCharType="end"/>
      </w:r>
      <w:r w:rsidR="00F35D17" w:rsidRPr="009F7934">
        <w:t>. The two polymeric materials (</w:t>
      </w:r>
      <w:proofErr w:type="spellStart"/>
      <w:proofErr w:type="gramStart"/>
      <w:r w:rsidR="00F35D17" w:rsidRPr="009F7934">
        <w:t>WPI:pul</w:t>
      </w:r>
      <w:proofErr w:type="spellEnd"/>
      <w:proofErr w:type="gramEnd"/>
      <w:r w:rsidR="00F35D17" w:rsidRPr="009F7934">
        <w:t>) were blended at a 30:70w/w proportion; in a total polymer content of 20% w/</w:t>
      </w:r>
      <w:r w:rsidRPr="009F7934">
        <w:t>w</w:t>
      </w:r>
      <w:r w:rsidR="00F35D17" w:rsidRPr="009F7934">
        <w:t xml:space="preserve">. The </w:t>
      </w:r>
      <w:proofErr w:type="spellStart"/>
      <w:r w:rsidR="00F35D17" w:rsidRPr="009F7934">
        <w:t>matrice</w:t>
      </w:r>
      <w:proofErr w:type="spellEnd"/>
      <w:r w:rsidR="00F35D17" w:rsidRPr="009F7934">
        <w:t xml:space="preserve"> solution was prepared at room temperature and complete solubilization of the two materials </w:t>
      </w:r>
      <w:r w:rsidR="00F35D17" w:rsidRPr="00F35D17">
        <w:t>was ensured before the electrospinning process.</w:t>
      </w:r>
    </w:p>
    <w:p w14:paraId="0FB40551" w14:textId="77777777" w:rsidR="00F35D17" w:rsidRPr="00EE1930" w:rsidRDefault="00F35D17" w:rsidP="00EE1930">
      <w:pPr>
        <w:pStyle w:val="CETHeadingxx"/>
        <w:rPr>
          <w:b w:val="0"/>
          <w:bCs/>
          <w:lang w:eastAsia="el-GR"/>
        </w:rPr>
      </w:pPr>
      <w:r w:rsidRPr="00EE1930">
        <w:rPr>
          <w:b w:val="0"/>
          <w:bCs/>
          <w:lang w:eastAsia="el-GR"/>
        </w:rPr>
        <w:t xml:space="preserve">Zein (ZN) </w:t>
      </w:r>
      <w:proofErr w:type="spellStart"/>
      <w:r w:rsidRPr="00EE1930">
        <w:rPr>
          <w:b w:val="0"/>
          <w:bCs/>
          <w:lang w:eastAsia="el-GR"/>
        </w:rPr>
        <w:t>Μatrice</w:t>
      </w:r>
      <w:proofErr w:type="spellEnd"/>
      <w:r w:rsidRPr="00EE1930">
        <w:rPr>
          <w:b w:val="0"/>
          <w:bCs/>
          <w:lang w:eastAsia="el-GR"/>
        </w:rPr>
        <w:t xml:space="preserve"> solution</w:t>
      </w:r>
    </w:p>
    <w:p w14:paraId="083CA3C9" w14:textId="3BD4DD33" w:rsidR="00F35D17" w:rsidRPr="00CD6D0A" w:rsidRDefault="00F35D17" w:rsidP="00F35D17">
      <w:pPr>
        <w:pStyle w:val="CETBodytext"/>
        <w:rPr>
          <w:lang w:eastAsia="el-GR"/>
        </w:rPr>
      </w:pPr>
      <w:r w:rsidRPr="0054471C">
        <w:rPr>
          <w:lang w:eastAsia="el-GR"/>
        </w:rPr>
        <w:t xml:space="preserve">Zein </w:t>
      </w:r>
      <w:r>
        <w:rPr>
          <w:lang w:eastAsia="el-GR"/>
        </w:rPr>
        <w:t>powder was added to a</w:t>
      </w:r>
      <w:r w:rsidRPr="0054471C">
        <w:rPr>
          <w:lang w:eastAsia="el-GR"/>
        </w:rPr>
        <w:t xml:space="preserve"> blend of pure ethanol and water (</w:t>
      </w:r>
      <w:proofErr w:type="gramStart"/>
      <w:r w:rsidRPr="0054471C">
        <w:rPr>
          <w:lang w:eastAsia="el-GR"/>
        </w:rPr>
        <w:t>EtOH:H</w:t>
      </w:r>
      <w:r w:rsidRPr="008938AE">
        <w:rPr>
          <w:vertAlign w:val="subscript"/>
          <w:lang w:eastAsia="el-GR"/>
        </w:rPr>
        <w:t>2</w:t>
      </w:r>
      <w:r w:rsidRPr="0054471C">
        <w:rPr>
          <w:lang w:eastAsia="el-GR"/>
        </w:rPr>
        <w:t>O</w:t>
      </w:r>
      <w:proofErr w:type="gramEnd"/>
      <w:r w:rsidRPr="0054471C">
        <w:rPr>
          <w:lang w:eastAsia="el-GR"/>
        </w:rPr>
        <w:t xml:space="preserve">) in a ratio of 90:10v/v; </w:t>
      </w:r>
      <w:r w:rsidR="00EF4F8B">
        <w:rPr>
          <w:lang w:eastAsia="el-GR"/>
        </w:rPr>
        <w:t>in order</w:t>
      </w:r>
      <w:r w:rsidRPr="0054471C">
        <w:rPr>
          <w:lang w:eastAsia="el-GR"/>
        </w:rPr>
        <w:t xml:space="preserve"> to </w:t>
      </w:r>
      <w:r w:rsidR="00EF4F8B">
        <w:rPr>
          <w:lang w:eastAsia="el-GR"/>
        </w:rPr>
        <w:t xml:space="preserve">be </w:t>
      </w:r>
      <w:r w:rsidRPr="0054471C">
        <w:rPr>
          <w:lang w:eastAsia="el-GR"/>
        </w:rPr>
        <w:t>dissolve</w:t>
      </w:r>
      <w:r w:rsidR="00EF4F8B">
        <w:rPr>
          <w:lang w:eastAsia="el-GR"/>
        </w:rPr>
        <w:t>d</w:t>
      </w:r>
      <w:r w:rsidR="00FF6199">
        <w:rPr>
          <w:lang w:eastAsia="el-GR"/>
        </w:rPr>
        <w:t xml:space="preserve">, and </w:t>
      </w:r>
      <w:r w:rsidRPr="0054471C">
        <w:rPr>
          <w:lang w:eastAsia="el-GR"/>
        </w:rPr>
        <w:t>was</w:t>
      </w:r>
      <w:r w:rsidR="00FF6199">
        <w:rPr>
          <w:lang w:eastAsia="el-GR"/>
        </w:rPr>
        <w:t xml:space="preserve"> </w:t>
      </w:r>
      <w:r w:rsidR="00EA3B49" w:rsidRPr="00EA3B49">
        <w:rPr>
          <w:lang w:eastAsia="el-GR"/>
        </w:rPr>
        <w:t xml:space="preserve">progressively </w:t>
      </w:r>
      <w:r w:rsidR="00FF6199" w:rsidRPr="00EA3B49">
        <w:rPr>
          <w:lang w:eastAsia="el-GR"/>
        </w:rPr>
        <w:t>added</w:t>
      </w:r>
      <w:r w:rsidRPr="00EA3B49">
        <w:rPr>
          <w:lang w:eastAsia="el-GR"/>
        </w:rPr>
        <w:t xml:space="preserve"> to the solution, under magnetic stirring (M 6.1, </w:t>
      </w:r>
      <w:proofErr w:type="spellStart"/>
      <w:r w:rsidRPr="00EA3B49">
        <w:rPr>
          <w:lang w:eastAsia="el-GR"/>
        </w:rPr>
        <w:t>Ingenieurbüro</w:t>
      </w:r>
      <w:proofErr w:type="spellEnd"/>
      <w:r w:rsidRPr="00EA3B49">
        <w:rPr>
          <w:lang w:eastAsia="el-GR"/>
        </w:rPr>
        <w:t xml:space="preserve"> CAT, M. </w:t>
      </w:r>
      <w:proofErr w:type="spellStart"/>
      <w:r w:rsidRPr="00EA3B49">
        <w:rPr>
          <w:lang w:eastAsia="el-GR"/>
        </w:rPr>
        <w:t>Zipperer</w:t>
      </w:r>
      <w:proofErr w:type="spellEnd"/>
      <w:r w:rsidRPr="00EA3B49">
        <w:rPr>
          <w:lang w:eastAsia="el-GR"/>
        </w:rPr>
        <w:t xml:space="preserve"> GmbH, </w:t>
      </w:r>
      <w:proofErr w:type="spellStart"/>
      <w:r w:rsidRPr="00EA3B49">
        <w:rPr>
          <w:lang w:eastAsia="el-GR"/>
        </w:rPr>
        <w:t>Ballrechten-Dottingen</w:t>
      </w:r>
      <w:proofErr w:type="spellEnd"/>
      <w:r w:rsidRPr="00EA3B49">
        <w:rPr>
          <w:lang w:eastAsia="el-GR"/>
        </w:rPr>
        <w:t>, Germany) for 1 h and 500 min</w:t>
      </w:r>
      <w:r w:rsidRPr="00EA3B49">
        <w:rPr>
          <w:vertAlign w:val="superscript"/>
          <w:lang w:eastAsia="el-GR"/>
        </w:rPr>
        <w:t>−1</w:t>
      </w:r>
      <w:r w:rsidRPr="00EA3B49">
        <w:rPr>
          <w:lang w:eastAsia="el-GR"/>
        </w:rPr>
        <w:t xml:space="preserve">. The </w:t>
      </w:r>
      <w:proofErr w:type="spellStart"/>
      <w:r w:rsidRPr="0054471C">
        <w:rPr>
          <w:lang w:eastAsia="el-GR"/>
        </w:rPr>
        <w:t>matrice</w:t>
      </w:r>
      <w:proofErr w:type="spellEnd"/>
      <w:r w:rsidRPr="0054471C">
        <w:rPr>
          <w:lang w:eastAsia="el-GR"/>
        </w:rPr>
        <w:t xml:space="preserve"> solution prepared contained </w:t>
      </w:r>
      <w:r w:rsidR="00FF6199">
        <w:rPr>
          <w:lang w:eastAsia="el-GR"/>
        </w:rPr>
        <w:t>2</w:t>
      </w:r>
      <w:r w:rsidRPr="0054471C">
        <w:rPr>
          <w:lang w:eastAsia="el-GR"/>
        </w:rPr>
        <w:t>0%w/w zein. The solution was prepared at room temperature and complete solubilization of zein was ensured before the electrospinning process.</w:t>
      </w:r>
    </w:p>
    <w:p w14:paraId="2DF06D4A" w14:textId="0E5A4D8A" w:rsidR="00892B0A" w:rsidRPr="00892B0A" w:rsidRDefault="00892B0A" w:rsidP="00892B0A">
      <w:pPr>
        <w:pStyle w:val="CETheadingx"/>
      </w:pPr>
      <w:r w:rsidRPr="00892B0A">
        <w:t>2.3 Methods</w:t>
      </w:r>
    </w:p>
    <w:p w14:paraId="7B9D76E9" w14:textId="77777777" w:rsidR="00892B0A" w:rsidRPr="00EE1930" w:rsidRDefault="00892B0A" w:rsidP="00505143">
      <w:pPr>
        <w:pStyle w:val="CETHeadingxx"/>
        <w:spacing w:before="0"/>
        <w:rPr>
          <w:b w:val="0"/>
          <w:bCs/>
        </w:rPr>
      </w:pPr>
      <w:r w:rsidRPr="00EE1930">
        <w:rPr>
          <w:b w:val="0"/>
          <w:bCs/>
        </w:rPr>
        <w:t>Electrohydrodynamic Processing</w:t>
      </w:r>
    </w:p>
    <w:p w14:paraId="62E7D056" w14:textId="3AE5D48F" w:rsidR="00892B0A" w:rsidRPr="000D033E" w:rsidRDefault="00892B0A" w:rsidP="00892B0A">
      <w:pPr>
        <w:pStyle w:val="CETBodytext"/>
      </w:pPr>
      <w:r w:rsidRPr="000D033E">
        <w:t>OEO was subjected to encapsulation through the innovative electrohydrodynamic process, using biopolymeric matrices of whey protein isolate (WPI), pullulan (</w:t>
      </w:r>
      <w:proofErr w:type="spellStart"/>
      <w:r w:rsidRPr="000D033E">
        <w:t>pul</w:t>
      </w:r>
      <w:proofErr w:type="spellEnd"/>
      <w:r w:rsidRPr="000D033E">
        <w:t xml:space="preserve">), and zein (ZN), composing structures with controlled and targeted release of OEO. Several process parameters (solution supply, applied voltage, tip-to-collector distance) were studied for </w:t>
      </w:r>
      <w:r>
        <w:t>each</w:t>
      </w:r>
      <w:r w:rsidRPr="000D033E">
        <w:t xml:space="preserve"> </w:t>
      </w:r>
      <w:proofErr w:type="spellStart"/>
      <w:r w:rsidRPr="000D033E">
        <w:t>matrice</w:t>
      </w:r>
      <w:proofErr w:type="spellEnd"/>
      <w:r w:rsidRPr="000D033E">
        <w:t xml:space="preserve"> solution, in order to optimize the apparatus’ function and the production of the particles. The results of this investigation showed that most of the solutions were within the recommended ranges to be </w:t>
      </w:r>
      <w:proofErr w:type="spellStart"/>
      <w:r w:rsidRPr="000D033E">
        <w:t>electrospun</w:t>
      </w:r>
      <w:proofErr w:type="spellEnd"/>
      <w:r w:rsidRPr="000D033E">
        <w:t>, except for some samples that did not exhibit stability when OEO was added.</w:t>
      </w:r>
    </w:p>
    <w:p w14:paraId="723071A5" w14:textId="204DE6A0" w:rsidR="00892B0A" w:rsidRDefault="00892B0A" w:rsidP="00892B0A">
      <w:pPr>
        <w:pStyle w:val="CETBodytext"/>
      </w:pPr>
      <w:r w:rsidRPr="000D033E">
        <w:t xml:space="preserve">The electrospinning apparatus </w:t>
      </w:r>
      <w:proofErr w:type="spellStart"/>
      <w:r w:rsidRPr="000D033E">
        <w:t>FluidNatek</w:t>
      </w:r>
      <w:proofErr w:type="spellEnd"/>
      <w:r w:rsidRPr="000D033E">
        <w:t>®, equipped with a variable high voltage 0-30 kV power supply (</w:t>
      </w:r>
      <w:proofErr w:type="spellStart"/>
      <w:r w:rsidRPr="000D033E">
        <w:t>BioInicia</w:t>
      </w:r>
      <w:proofErr w:type="spellEnd"/>
      <w:r w:rsidRPr="000D033E">
        <w:t xml:space="preserve"> S.L., Valencia, Spain), was used for the experiments. The anode was attached to a stainless-steel </w:t>
      </w:r>
      <w:r w:rsidRPr="000D033E">
        <w:lastRenderedPageBreak/>
        <w:t>needle with internal diameter 0.9 mm (orifice), that was connected through a PTFE tubing system to the biopolymer solutions, which were inside a 10 mL plastic syringe. The syringe was oriented horizontally lying on a digitally controlled syringe pump, while the needle was vertically directed towards the collector’s surface. The needle was connected to the emitting electrode of positive polarity of the high voltage power supply. Th</w:t>
      </w:r>
      <w:r w:rsidR="00E848CB">
        <w:t>e</w:t>
      </w:r>
      <w:r w:rsidRPr="000D033E">
        <w:t xml:space="preserve"> </w:t>
      </w:r>
      <w:proofErr w:type="spellStart"/>
      <w:r w:rsidRPr="000D033E">
        <w:t>electrospun</w:t>
      </w:r>
      <w:proofErr w:type="spellEnd"/>
      <w:r w:rsidRPr="000D033E">
        <w:t xml:space="preserve"> </w:t>
      </w:r>
      <w:r w:rsidR="00E848CB">
        <w:t>fibers</w:t>
      </w:r>
      <w:r w:rsidRPr="000D033E">
        <w:t>, were collected on an aluminum foil sheet attached to a copper grid (collector). All the electrospinning experiments were carried out in room temperature. The collector</w:t>
      </w:r>
      <w:r w:rsidR="00E848CB">
        <w:t>’s</w:t>
      </w:r>
      <w:r w:rsidRPr="000D033E">
        <w:t xml:space="preserve"> surface (target) was placed </w:t>
      </w:r>
      <w:r w:rsidR="00E848CB">
        <w:t xml:space="preserve">between </w:t>
      </w:r>
      <w:r w:rsidRPr="000D033E">
        <w:t>15-25 cm from the capillary tip. The syringe pump delivered the polymer solution at a controlled feed rate between 0.5 and 1.5 mL/h, while the voltage was varied from 18 to 27 kV.</w:t>
      </w:r>
    </w:p>
    <w:p w14:paraId="4784B131" w14:textId="770FACFC" w:rsidR="00892B0A" w:rsidRDefault="00892B0A" w:rsidP="00892B0A">
      <w:pPr>
        <w:pStyle w:val="CETheadingx"/>
      </w:pPr>
      <w:r>
        <w:t>2.4 Properties</w:t>
      </w:r>
    </w:p>
    <w:p w14:paraId="488E6E28" w14:textId="3C2FE2EA" w:rsidR="00892B0A" w:rsidRPr="00EE1930" w:rsidRDefault="00892B0A" w:rsidP="00505143">
      <w:pPr>
        <w:pStyle w:val="CETHeadingxx"/>
        <w:spacing w:before="0"/>
        <w:rPr>
          <w:b w:val="0"/>
          <w:bCs/>
        </w:rPr>
      </w:pPr>
      <w:r w:rsidRPr="00EE1930">
        <w:rPr>
          <w:b w:val="0"/>
          <w:bCs/>
        </w:rPr>
        <w:t>Quantification of OEO bioactive compounds</w:t>
      </w:r>
    </w:p>
    <w:p w14:paraId="1B24C7B4" w14:textId="5BB7510E" w:rsidR="00892B0A" w:rsidRPr="00BE0C0C" w:rsidRDefault="00892B0A" w:rsidP="00892B0A">
      <w:pPr>
        <w:pStyle w:val="CETBodytext"/>
        <w:rPr>
          <w:rFonts w:cs="Arial"/>
          <w:szCs w:val="18"/>
        </w:rPr>
      </w:pPr>
      <w:r w:rsidRPr="00284392">
        <w:rPr>
          <w:rFonts w:cs="Arial"/>
          <w:szCs w:val="18"/>
        </w:rPr>
        <w:t>A gas chromatography−mass spectrometry (GC-MS) (qualitative and quantitative) analysis was performed for the evaluation of the biological activity of the essential oil.</w:t>
      </w:r>
      <w:r>
        <w:rPr>
          <w:rFonts w:cs="Arial"/>
          <w:szCs w:val="18"/>
        </w:rPr>
        <w:t xml:space="preserve"> </w:t>
      </w:r>
      <w:r w:rsidRPr="00284392">
        <w:rPr>
          <w:rFonts w:cs="Arial"/>
          <w:szCs w:val="18"/>
        </w:rPr>
        <w:t>This procedure allowed the identification of most of the components</w:t>
      </w:r>
      <w:r>
        <w:rPr>
          <w:rFonts w:cs="Arial"/>
          <w:szCs w:val="18"/>
        </w:rPr>
        <w:t xml:space="preserve"> (</w:t>
      </w:r>
      <w:r w:rsidR="004E762C">
        <w:rPr>
          <w:rFonts w:cs="Arial"/>
          <w:szCs w:val="18"/>
        </w:rPr>
        <w:t>Figure 1</w:t>
      </w:r>
      <w:r>
        <w:rPr>
          <w:rFonts w:cs="Arial"/>
          <w:szCs w:val="18"/>
        </w:rPr>
        <w:t>).</w:t>
      </w:r>
      <w:r w:rsidRPr="00284392">
        <w:rPr>
          <w:rFonts w:cs="Arial"/>
          <w:szCs w:val="18"/>
        </w:rPr>
        <w:t xml:space="preserve"> However, since essential oils represent very complex mixtures of sometimes highly similar isomeric compounds with similar mass spectra, further validation by the reliable high performance liquid chromatography (HPLC) method was required.</w:t>
      </w:r>
    </w:p>
    <w:p w14:paraId="03EB25E7" w14:textId="5F4885A1" w:rsidR="004E762C" w:rsidRDefault="00892B0A" w:rsidP="000A6B07">
      <w:pPr>
        <w:pStyle w:val="CETBodytext"/>
      </w:pPr>
      <w:r>
        <w:t xml:space="preserve">GC is a common method for the </w:t>
      </w:r>
      <w:r w:rsidRPr="009F7934">
        <w:t>assay of thymol and carvacrol in essential oils and many studies have reported this technique for the quantization of the above-mentioned compounds</w:t>
      </w:r>
      <w:r w:rsidR="0071400B" w:rsidRPr="009F7934">
        <w:t xml:space="preserve"> </w:t>
      </w:r>
      <w:r w:rsidR="0071400B" w:rsidRPr="009F7934">
        <w:fldChar w:fldCharType="begin"/>
      </w:r>
      <w:r w:rsidR="00492368">
        <w:instrText xml:space="preserve"> ADDIN EN.CITE &lt;EndNote&gt;&lt;Cite&gt;&lt;Author&gt;Gong&lt;/Author&gt;&lt;Year&gt;2014&lt;/Year&gt;&lt;RecNum&gt;13&lt;/RecNum&gt;&lt;DisplayText&gt;(Gong et al., 2014)&lt;/DisplayText&gt;&lt;record&gt;&lt;rec-number&gt;13&lt;/rec-number&gt;&lt;foreign-keys&gt;&lt;key app="EN" db-id="xpffsx9tlx5wzsepvzoxtpf32swzp0922swp" timestamp="1642766624"&gt;13&lt;/key&gt;&lt;/foreign-keys&gt;&lt;ref-type name="Journal Article"&gt;17&lt;/ref-type&gt;&lt;contributors&gt;&lt;authors&gt;&lt;author&gt;Gong, H. Y.&lt;/author&gt;&lt;author&gt;Liu, W. H.&lt;/author&gt;&lt;author&gt;Lv, G. Y.&lt;/author&gt;&lt;author&gt;Zhou, Xiaoying&lt;/author&gt;&lt;/authors&gt;&lt;/contributors&gt;&lt;titles&gt;&lt;title&gt;Analysis of essential oils of Origanum vulgare from six production areas of China and Pakistan&lt;/title&gt;&lt;secondary-title&gt;Revista Brasileira de Farmacognosia&lt;/secondary-title&gt;&lt;/titles&gt;&lt;periodical&gt;&lt;full-title&gt;Revista Brasileira de Farmacognosia&lt;/full-title&gt;&lt;/periodical&gt;&lt;pages&gt;25-32&lt;/pages&gt;&lt;volume&gt;24&lt;/volume&gt;&lt;number&gt;1&lt;/number&gt;&lt;keywords&gt;&lt;keyword&gt;Essential oil&lt;/keyword&gt;&lt;keyword&gt;GC-MS&lt;/keyword&gt;&lt;keyword&gt;Principal component analysis&lt;/keyword&gt;&lt;keyword&gt;Cluster analysis&lt;/keyword&gt;&lt;/keywords&gt;&lt;dates&gt;&lt;year&gt;2014&lt;/year&gt;&lt;pub-dates&gt;&lt;date&gt;2014/01/01/&lt;/date&gt;&lt;/pub-dates&gt;&lt;/dates&gt;&lt;isbn&gt;0102-695X&lt;/isbn&gt;&lt;urls&gt;&lt;related-urls&gt;&lt;url&gt;https://www.sciencedirect.com/science/article/pii/S0102695X14701292&lt;/url&gt;&lt;/related-urls&gt;&lt;/urls&gt;&lt;electronic-resource-num&gt;https://doi.org/10.1590/0102-695X2014241434&lt;/electronic-resource-num&gt;&lt;/record&gt;&lt;/Cite&gt;&lt;/EndNote&gt;</w:instrText>
      </w:r>
      <w:r w:rsidR="0071400B" w:rsidRPr="009F7934">
        <w:fldChar w:fldCharType="separate"/>
      </w:r>
      <w:r w:rsidR="00492368">
        <w:rPr>
          <w:noProof/>
        </w:rPr>
        <w:t>(Gong et al., 2014)</w:t>
      </w:r>
      <w:r w:rsidR="0071400B" w:rsidRPr="009F7934">
        <w:fldChar w:fldCharType="end"/>
      </w:r>
      <w:r w:rsidRPr="009F7934">
        <w:t>. However, it has some limitations for its use for complicated samples; therefore, in this research thymol and carvacrol were further separated and quantified by a validated HPLC method</w:t>
      </w:r>
      <w:r w:rsidR="0071400B" w:rsidRPr="009F7934">
        <w:t xml:space="preserve"> </w:t>
      </w:r>
      <w:r w:rsidR="0071400B" w:rsidRPr="009F7934">
        <w:fldChar w:fldCharType="begin"/>
      </w:r>
      <w:r w:rsidR="00492368">
        <w:instrText xml:space="preserve"> ADDIN EN.CITE &lt;EndNote&gt;&lt;Cite&gt;&lt;Author&gt;Hajimehdipoor&lt;/Author&gt;&lt;Year&gt;2010&lt;/Year&gt;&lt;RecNum&gt;14&lt;/RecNum&gt;&lt;DisplayText&gt;(Hajimehdipoor et al., 2010)&lt;/DisplayText&gt;&lt;record&gt;&lt;rec-number&gt;14&lt;/rec-number&gt;&lt;foreign-keys&gt;&lt;key app="EN" db-id="xpffsx9tlx5wzsepvzoxtpf32swzp0922swp" timestamp="1642766624"&gt;14&lt;/key&gt;&lt;/foreign-keys&gt;&lt;ref-type name="Journal Article"&gt;17&lt;/ref-type&gt;&lt;contributors&gt;&lt;authors&gt;&lt;author&gt;Hajimehdipoor, H.&lt;/author&gt;&lt;author&gt;Shekarchi, M.&lt;/author&gt;&lt;author&gt;Khanavi, M.&lt;/author&gt;&lt;author&gt;Adib, N.&lt;/author&gt;&lt;author&gt;Amri, M.&lt;/author&gt;&lt;/authors&gt;&lt;/contributors&gt;&lt;titles&gt;&lt;title&gt;A validated high performance liquid chromatography method for the analysis of thymol and carvacrol in Thymus vulgaris L. volatile oil&lt;/title&gt;&lt;secondary-title&gt;Pharmacognosy magazine&lt;/secondary-title&gt;&lt;alt-title&gt;Pharmacogn Mag&lt;/alt-title&gt;&lt;/titles&gt;&lt;periodical&gt;&lt;full-title&gt;Pharmacognosy magazine&lt;/full-title&gt;&lt;abbr-1&gt;Pharmacogn Mag&lt;/abbr-1&gt;&lt;/periodical&gt;&lt;alt-periodical&gt;&lt;full-title&gt;Pharmacognosy magazine&lt;/full-title&gt;&lt;abbr-1&gt;Pharmacogn Mag&lt;/abbr-1&gt;&lt;/alt-periodical&gt;&lt;pages&gt;154-158&lt;/pages&gt;&lt;volume&gt;6&lt;/volume&gt;&lt;number&gt;23&lt;/number&gt;&lt;keywords&gt;&lt;keyword&gt;Carvacrol&lt;/keyword&gt;&lt;keyword&gt;Thymus vulgaris&lt;/keyword&gt;&lt;keyword&gt;gas chromatography&lt;/keyword&gt;&lt;keyword&gt;high performance liquid chromatography&lt;/keyword&gt;&lt;keyword&gt;thymol&lt;/keyword&gt;&lt;keyword&gt;validation&lt;/keyword&gt;&lt;/keywords&gt;&lt;dates&gt;&lt;year&gt;2010&lt;/year&gt;&lt;/dates&gt;&lt;publisher&gt;Medknow Publications&lt;/publisher&gt;&lt;isbn&gt;0976-4062&amp;#xD;0973-1296&lt;/isbn&gt;&lt;accession-num&gt;20931071&lt;/accession-num&gt;&lt;urls&gt;&lt;related-urls&gt;&lt;url&gt;https://pubmed.ncbi.nlm.nih.gov/20931071&lt;/url&gt;&lt;url&gt;https://www.ncbi.nlm.nih.gov/pmc/articles/PMC2950374/&lt;/url&gt;&lt;/related-urls&gt;&lt;/urls&gt;&lt;electronic-resource-num&gt;10.4103/0973-1296.66927&lt;/electronic-resource-num&gt;&lt;remote-database-name&gt;PubMed&lt;/remote-database-name&gt;&lt;language&gt;eng&lt;/language&gt;&lt;/record&gt;&lt;/Cite&gt;&lt;/EndNote&gt;</w:instrText>
      </w:r>
      <w:r w:rsidR="0071400B" w:rsidRPr="009F7934">
        <w:fldChar w:fldCharType="separate"/>
      </w:r>
      <w:r w:rsidR="00492368">
        <w:rPr>
          <w:noProof/>
        </w:rPr>
        <w:t>(Hajimehdipoor et al., 2010)</w:t>
      </w:r>
      <w:r w:rsidR="0071400B" w:rsidRPr="009F7934">
        <w:fldChar w:fldCharType="end"/>
      </w:r>
      <w:r w:rsidRPr="009F7934">
        <w:t>.</w:t>
      </w:r>
      <w:r w:rsidR="0071400B" w:rsidRPr="009F7934">
        <w:t xml:space="preserve"> </w:t>
      </w:r>
      <w:r w:rsidRPr="009F7934">
        <w:t>Moreover, the comparison between the results of both techniques, displayed adequate equivalence.</w:t>
      </w:r>
    </w:p>
    <w:p w14:paraId="0266F75F" w14:textId="7C3B6DB7" w:rsidR="000A6B07" w:rsidRDefault="00505143" w:rsidP="000A6B07">
      <w:pPr>
        <w:tabs>
          <w:tab w:val="clear" w:pos="7100"/>
        </w:tabs>
        <w:spacing w:after="200" w:line="276" w:lineRule="auto"/>
        <w:jc w:val="left"/>
      </w:pPr>
      <w:r>
        <w:rPr>
          <w:noProof/>
        </w:rPr>
        <w:drawing>
          <wp:anchor distT="0" distB="0" distL="114300" distR="114300" simplePos="0" relativeHeight="251676160" behindDoc="0" locked="0" layoutInCell="1" allowOverlap="1" wp14:anchorId="798870D4" wp14:editId="135A6006">
            <wp:simplePos x="0" y="0"/>
            <wp:positionH relativeFrom="column">
              <wp:posOffset>120015</wp:posOffset>
            </wp:positionH>
            <wp:positionV relativeFrom="paragraph">
              <wp:posOffset>26670</wp:posOffset>
            </wp:positionV>
            <wp:extent cx="3848100" cy="2327275"/>
            <wp:effectExtent l="0" t="0" r="0" b="0"/>
            <wp:wrapThrough wrapText="bothSides">
              <wp:wrapPolygon edited="0">
                <wp:start x="0" y="0"/>
                <wp:lineTo x="0" y="21394"/>
                <wp:lineTo x="21493" y="21394"/>
                <wp:lineTo x="2149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1"/>
                    <a:srcRect l="1785" t="6089" r="2233"/>
                    <a:stretch/>
                  </pic:blipFill>
                  <pic:spPr bwMode="auto">
                    <a:xfrm>
                      <a:off x="0" y="0"/>
                      <a:ext cx="3848100" cy="232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7922A1" w14:textId="77777777" w:rsidR="000A6B07" w:rsidRDefault="000A6B07" w:rsidP="000A6B07">
      <w:pPr>
        <w:pStyle w:val="CETCaption"/>
      </w:pPr>
    </w:p>
    <w:p w14:paraId="13D6B54D" w14:textId="77777777" w:rsidR="000A6B07" w:rsidRDefault="000A6B07" w:rsidP="000A6B07">
      <w:pPr>
        <w:pStyle w:val="CETCaption"/>
      </w:pPr>
    </w:p>
    <w:p w14:paraId="2E09F522" w14:textId="77777777" w:rsidR="000A6B07" w:rsidRDefault="000A6B07" w:rsidP="000A6B07">
      <w:pPr>
        <w:pStyle w:val="CETCaption"/>
      </w:pPr>
    </w:p>
    <w:p w14:paraId="61ADF935" w14:textId="77777777" w:rsidR="000A6B07" w:rsidRDefault="000A6B07" w:rsidP="000A6B07">
      <w:pPr>
        <w:pStyle w:val="CETCaption"/>
      </w:pPr>
    </w:p>
    <w:p w14:paraId="75ED93AF" w14:textId="77777777" w:rsidR="000A6B07" w:rsidRDefault="000A6B07" w:rsidP="000A6B07">
      <w:pPr>
        <w:pStyle w:val="CETCaption"/>
      </w:pPr>
    </w:p>
    <w:p w14:paraId="313AE401" w14:textId="77777777" w:rsidR="00505143" w:rsidRDefault="00505143" w:rsidP="000A6B07">
      <w:pPr>
        <w:pStyle w:val="CETCaption"/>
      </w:pPr>
    </w:p>
    <w:p w14:paraId="5BF63A32" w14:textId="77777777" w:rsidR="00505143" w:rsidRDefault="00505143" w:rsidP="000A6B07">
      <w:pPr>
        <w:pStyle w:val="CETCaption"/>
      </w:pPr>
    </w:p>
    <w:p w14:paraId="617523C5" w14:textId="7F32D3D9" w:rsidR="00143CD7" w:rsidRDefault="00143CD7" w:rsidP="00505143">
      <w:pPr>
        <w:pStyle w:val="CETCaption"/>
        <w:spacing w:after="0"/>
      </w:pPr>
      <w:r>
        <w:t>Figure 1. GC-MS chromatogram of OEO</w:t>
      </w:r>
    </w:p>
    <w:p w14:paraId="65EA27A3" w14:textId="2EF53F67" w:rsidR="00143CD7" w:rsidRPr="00CA5AF6" w:rsidRDefault="00143CD7" w:rsidP="00505143">
      <w:pPr>
        <w:pStyle w:val="CETBodytext"/>
        <w:spacing w:before="40"/>
        <w:rPr>
          <w:b/>
          <w:bCs/>
        </w:rPr>
      </w:pPr>
      <w:r>
        <w:t xml:space="preserve">The results of quantitative determination of the two main components of the essential oil by HPLC method demonstrated that thymol and carvacrol peaks were well resolved from each other and displayed excellent peak symmetry and separation efficiency. By using HPLC method, the concentrations of thymol and carvacrol in the essential oil were calculated </w:t>
      </w:r>
      <w:r w:rsidRPr="00BE0C0C">
        <w:t xml:space="preserve">to </w:t>
      </w:r>
      <w:r w:rsidRPr="00FF6BA1">
        <w:t>be 2.8 ± 0.</w:t>
      </w:r>
      <w:r w:rsidR="00FF6BA1" w:rsidRPr="00FF6BA1">
        <w:t>0</w:t>
      </w:r>
      <w:r w:rsidRPr="00FF6BA1">
        <w:t>4 and 52.9 ± 0.1</w:t>
      </w:r>
      <w:r w:rsidR="00FF6BA1" w:rsidRPr="00FF6BA1">
        <w:t>0</w:t>
      </w:r>
      <w:r w:rsidRPr="00FF6BA1">
        <w:t>,</w:t>
      </w:r>
      <w:r>
        <w:t xml:space="preserve"> respectively </w:t>
      </w:r>
      <w:r w:rsidR="00AD7408" w:rsidRPr="00AD7408">
        <w:t>(</w:t>
      </w:r>
      <w:hyperlink r:id="rId12" w:tgtFrame="table" w:history="1">
        <w:r w:rsidRPr="00AD7408">
          <w:rPr>
            <w:rStyle w:val="Hyperlink"/>
            <w:color w:val="auto"/>
            <w:u w:val="none"/>
          </w:rPr>
          <w:t>Table 1</w:t>
        </w:r>
      </w:hyperlink>
      <w:r w:rsidR="00AD7408" w:rsidRPr="00AD7408">
        <w:rPr>
          <w:rStyle w:val="Hyperlink"/>
          <w:color w:val="auto"/>
          <w:u w:val="none"/>
        </w:rPr>
        <w:t>)</w:t>
      </w:r>
      <w:r w:rsidRPr="00AD7408">
        <w:t xml:space="preserve">. </w:t>
      </w:r>
      <w:r>
        <w:t>The results obtained from GC and HPLC techniques showed good agreement between two methods.</w:t>
      </w:r>
    </w:p>
    <w:p w14:paraId="563FDDAB" w14:textId="6C24E24E" w:rsidR="00843328" w:rsidRDefault="006C37DF" w:rsidP="00505143">
      <w:pPr>
        <w:pStyle w:val="CETTabletitle"/>
        <w:spacing w:before="40" w:after="0"/>
      </w:pPr>
      <w:r w:rsidRPr="00790199">
        <w:t>Table 1. HPLC analysis of OEO’s components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40"/>
        <w:gridCol w:w="1824"/>
        <w:gridCol w:w="1326"/>
        <w:gridCol w:w="540"/>
        <w:gridCol w:w="1890"/>
        <w:gridCol w:w="1530"/>
      </w:tblGrid>
      <w:tr w:rsidR="00143CD7" w:rsidRPr="00B57B36" w14:paraId="402627F3" w14:textId="77777777" w:rsidTr="00D051AA">
        <w:trPr>
          <w:trHeight w:val="236"/>
        </w:trPr>
        <w:tc>
          <w:tcPr>
            <w:tcW w:w="540" w:type="dxa"/>
            <w:shd w:val="clear" w:color="auto" w:fill="auto"/>
            <w:vAlign w:val="center"/>
          </w:tcPr>
          <w:p w14:paraId="690A4749" w14:textId="77777777" w:rsidR="00143CD7" w:rsidRPr="00B57B36" w:rsidRDefault="00143CD7" w:rsidP="008D1770">
            <w:pPr>
              <w:pStyle w:val="CETBodytext"/>
              <w:rPr>
                <w:lang w:val="en-GB"/>
              </w:rPr>
            </w:pPr>
            <w:r w:rsidRPr="00931A8E">
              <w:rPr>
                <w:b/>
                <w:bCs/>
                <w:sz w:val="16"/>
                <w:szCs w:val="16"/>
              </w:rPr>
              <w:t>N</w:t>
            </w:r>
            <w:r w:rsidRPr="00931A8E">
              <w:rPr>
                <w:b/>
                <w:bCs/>
                <w:sz w:val="16"/>
                <w:szCs w:val="16"/>
                <w:vertAlign w:val="superscript"/>
              </w:rPr>
              <w:t>o</w:t>
            </w:r>
          </w:p>
        </w:tc>
        <w:tc>
          <w:tcPr>
            <w:tcW w:w="1824" w:type="dxa"/>
            <w:shd w:val="clear" w:color="auto" w:fill="auto"/>
            <w:vAlign w:val="center"/>
          </w:tcPr>
          <w:p w14:paraId="4A5D9E5A" w14:textId="77777777" w:rsidR="00143CD7" w:rsidRPr="00B57B36" w:rsidRDefault="00143CD7" w:rsidP="008D1770">
            <w:pPr>
              <w:pStyle w:val="CETBodytext"/>
              <w:rPr>
                <w:lang w:val="en-GB"/>
              </w:rPr>
            </w:pPr>
            <w:r w:rsidRPr="00931A8E">
              <w:rPr>
                <w:b/>
                <w:bCs/>
                <w:sz w:val="16"/>
                <w:szCs w:val="16"/>
              </w:rPr>
              <w:t>Compound</w:t>
            </w:r>
          </w:p>
        </w:tc>
        <w:tc>
          <w:tcPr>
            <w:tcW w:w="1326" w:type="dxa"/>
            <w:shd w:val="clear" w:color="auto" w:fill="auto"/>
            <w:vAlign w:val="center"/>
          </w:tcPr>
          <w:p w14:paraId="0490AC94" w14:textId="77777777" w:rsidR="00143CD7" w:rsidRPr="00B57B36" w:rsidRDefault="00143CD7" w:rsidP="008D1770">
            <w:pPr>
              <w:pStyle w:val="CETBodytext"/>
              <w:rPr>
                <w:lang w:val="en-GB"/>
              </w:rPr>
            </w:pPr>
            <w:r w:rsidRPr="00931A8E">
              <w:rPr>
                <w:b/>
                <w:bCs/>
                <w:sz w:val="16"/>
                <w:szCs w:val="16"/>
              </w:rPr>
              <w:t>Concentration</w:t>
            </w:r>
          </w:p>
        </w:tc>
        <w:tc>
          <w:tcPr>
            <w:tcW w:w="540" w:type="dxa"/>
            <w:shd w:val="clear" w:color="auto" w:fill="auto"/>
            <w:vAlign w:val="center"/>
          </w:tcPr>
          <w:p w14:paraId="3D3960FD" w14:textId="77777777" w:rsidR="00143CD7" w:rsidRPr="00B57B36" w:rsidRDefault="00143CD7" w:rsidP="008D1770">
            <w:pPr>
              <w:pStyle w:val="CETBodytext"/>
              <w:ind w:right="-1"/>
              <w:rPr>
                <w:rFonts w:cs="Arial"/>
                <w:szCs w:val="18"/>
                <w:lang w:val="en-GB"/>
              </w:rPr>
            </w:pPr>
            <w:r w:rsidRPr="00931A8E">
              <w:rPr>
                <w:b/>
                <w:bCs/>
                <w:sz w:val="16"/>
                <w:szCs w:val="16"/>
              </w:rPr>
              <w:t>N</w:t>
            </w:r>
            <w:r w:rsidRPr="00931A8E">
              <w:rPr>
                <w:b/>
                <w:bCs/>
                <w:sz w:val="16"/>
                <w:szCs w:val="16"/>
                <w:vertAlign w:val="superscript"/>
              </w:rPr>
              <w:t>o</w:t>
            </w:r>
          </w:p>
        </w:tc>
        <w:tc>
          <w:tcPr>
            <w:tcW w:w="1890" w:type="dxa"/>
            <w:shd w:val="clear" w:color="auto" w:fill="auto"/>
            <w:vAlign w:val="center"/>
          </w:tcPr>
          <w:p w14:paraId="5D4A9EBA" w14:textId="77777777" w:rsidR="00143CD7" w:rsidRPr="00B57B36" w:rsidRDefault="00143CD7" w:rsidP="008D1770">
            <w:pPr>
              <w:pStyle w:val="CETBodytext"/>
              <w:ind w:right="-1"/>
              <w:rPr>
                <w:rFonts w:cs="Arial"/>
                <w:szCs w:val="18"/>
                <w:lang w:val="en-GB"/>
              </w:rPr>
            </w:pPr>
            <w:r w:rsidRPr="00931A8E">
              <w:rPr>
                <w:b/>
                <w:bCs/>
                <w:sz w:val="16"/>
                <w:szCs w:val="16"/>
              </w:rPr>
              <w:t>Compound</w:t>
            </w:r>
          </w:p>
        </w:tc>
        <w:tc>
          <w:tcPr>
            <w:tcW w:w="1530" w:type="dxa"/>
            <w:shd w:val="clear" w:color="auto" w:fill="auto"/>
            <w:vAlign w:val="center"/>
          </w:tcPr>
          <w:p w14:paraId="12B83717" w14:textId="77777777" w:rsidR="00143CD7" w:rsidRPr="00B57B36" w:rsidRDefault="00143CD7" w:rsidP="008D1770">
            <w:pPr>
              <w:pStyle w:val="CETBodytext"/>
              <w:ind w:right="-1"/>
              <w:rPr>
                <w:rFonts w:cs="Arial"/>
                <w:szCs w:val="18"/>
                <w:lang w:val="en-GB"/>
              </w:rPr>
            </w:pPr>
            <w:r w:rsidRPr="00931A8E">
              <w:rPr>
                <w:b/>
                <w:bCs/>
                <w:sz w:val="16"/>
                <w:szCs w:val="16"/>
              </w:rPr>
              <w:t>Concentration</w:t>
            </w:r>
          </w:p>
        </w:tc>
      </w:tr>
      <w:tr w:rsidR="00143CD7" w:rsidRPr="00B57B36" w14:paraId="46D015C7" w14:textId="77777777" w:rsidTr="00D051AA">
        <w:trPr>
          <w:trHeight w:val="254"/>
        </w:trPr>
        <w:tc>
          <w:tcPr>
            <w:tcW w:w="540" w:type="dxa"/>
            <w:vAlign w:val="center"/>
          </w:tcPr>
          <w:p w14:paraId="12D770C5" w14:textId="77777777" w:rsidR="00143CD7" w:rsidRPr="00B57B36" w:rsidRDefault="00143CD7" w:rsidP="008D1770">
            <w:pPr>
              <w:pStyle w:val="CETBodytext"/>
              <w:rPr>
                <w:lang w:val="en-GB"/>
              </w:rPr>
            </w:pPr>
            <w:r w:rsidRPr="00931A8E">
              <w:rPr>
                <w:sz w:val="16"/>
                <w:szCs w:val="16"/>
              </w:rPr>
              <w:t>1</w:t>
            </w:r>
          </w:p>
        </w:tc>
        <w:tc>
          <w:tcPr>
            <w:tcW w:w="1824" w:type="dxa"/>
            <w:vAlign w:val="center"/>
          </w:tcPr>
          <w:p w14:paraId="6E0DE0B9" w14:textId="77777777" w:rsidR="00143CD7" w:rsidRPr="00B57B36" w:rsidRDefault="00143CD7" w:rsidP="008D1770">
            <w:pPr>
              <w:pStyle w:val="CETBodytext"/>
              <w:rPr>
                <w:lang w:val="en-GB"/>
              </w:rPr>
            </w:pPr>
            <w:r w:rsidRPr="00931A8E">
              <w:rPr>
                <w:sz w:val="16"/>
                <w:szCs w:val="16"/>
              </w:rPr>
              <w:t>a-thujene</w:t>
            </w:r>
          </w:p>
        </w:tc>
        <w:tc>
          <w:tcPr>
            <w:tcW w:w="1326" w:type="dxa"/>
            <w:vAlign w:val="center"/>
          </w:tcPr>
          <w:p w14:paraId="25730B06" w14:textId="77777777" w:rsidR="00143CD7" w:rsidRPr="00B57B36" w:rsidRDefault="00143CD7" w:rsidP="008D1770">
            <w:pPr>
              <w:pStyle w:val="CETBodytext"/>
              <w:rPr>
                <w:lang w:val="en-GB"/>
              </w:rPr>
            </w:pPr>
            <w:r w:rsidRPr="00931A8E">
              <w:rPr>
                <w:sz w:val="16"/>
                <w:szCs w:val="16"/>
              </w:rPr>
              <w:t>2.2</w:t>
            </w:r>
          </w:p>
        </w:tc>
        <w:tc>
          <w:tcPr>
            <w:tcW w:w="540" w:type="dxa"/>
            <w:vAlign w:val="center"/>
          </w:tcPr>
          <w:p w14:paraId="497ABBB9" w14:textId="77777777" w:rsidR="00143CD7" w:rsidRPr="00B57B36" w:rsidRDefault="00143CD7" w:rsidP="008D1770">
            <w:pPr>
              <w:pStyle w:val="CETBodytext"/>
              <w:ind w:right="-1"/>
              <w:rPr>
                <w:rFonts w:cs="Arial"/>
                <w:szCs w:val="18"/>
                <w:lang w:val="en-GB"/>
              </w:rPr>
            </w:pPr>
            <w:r w:rsidRPr="00931A8E">
              <w:rPr>
                <w:sz w:val="16"/>
                <w:szCs w:val="16"/>
              </w:rPr>
              <w:t>12</w:t>
            </w:r>
          </w:p>
        </w:tc>
        <w:tc>
          <w:tcPr>
            <w:tcW w:w="1890" w:type="dxa"/>
            <w:vAlign w:val="center"/>
          </w:tcPr>
          <w:p w14:paraId="04807A2F" w14:textId="77777777" w:rsidR="00143CD7" w:rsidRPr="00B57B36" w:rsidRDefault="00143CD7" w:rsidP="008D1770">
            <w:pPr>
              <w:pStyle w:val="CETBodytext"/>
              <w:ind w:right="-1"/>
              <w:rPr>
                <w:rFonts w:cs="Arial"/>
                <w:szCs w:val="18"/>
                <w:lang w:val="en-GB"/>
              </w:rPr>
            </w:pPr>
            <w:r w:rsidRPr="00931A8E">
              <w:rPr>
                <w:sz w:val="16"/>
                <w:szCs w:val="16"/>
                <w:lang w:val="el-GR"/>
              </w:rPr>
              <w:t>α-</w:t>
            </w:r>
            <w:r w:rsidRPr="00931A8E">
              <w:rPr>
                <w:sz w:val="16"/>
                <w:szCs w:val="16"/>
              </w:rPr>
              <w:t>terpinolene</w:t>
            </w:r>
          </w:p>
        </w:tc>
        <w:tc>
          <w:tcPr>
            <w:tcW w:w="1530" w:type="dxa"/>
            <w:vAlign w:val="center"/>
          </w:tcPr>
          <w:p w14:paraId="4FDC059C" w14:textId="77777777" w:rsidR="00143CD7" w:rsidRPr="00B57B36" w:rsidRDefault="00143CD7" w:rsidP="008D1770">
            <w:pPr>
              <w:pStyle w:val="CETBodytext"/>
              <w:ind w:right="-1"/>
              <w:rPr>
                <w:rFonts w:cs="Arial"/>
                <w:szCs w:val="18"/>
                <w:lang w:val="en-GB"/>
              </w:rPr>
            </w:pPr>
            <w:r w:rsidRPr="00931A8E">
              <w:rPr>
                <w:sz w:val="16"/>
                <w:szCs w:val="16"/>
              </w:rPr>
              <w:t>0.3</w:t>
            </w:r>
          </w:p>
        </w:tc>
      </w:tr>
      <w:tr w:rsidR="00143CD7" w:rsidRPr="00B57B36" w14:paraId="4472169E" w14:textId="77777777" w:rsidTr="00D051AA">
        <w:trPr>
          <w:trHeight w:val="236"/>
        </w:trPr>
        <w:tc>
          <w:tcPr>
            <w:tcW w:w="540" w:type="dxa"/>
            <w:vAlign w:val="center"/>
          </w:tcPr>
          <w:p w14:paraId="37E0408B" w14:textId="77777777" w:rsidR="00143CD7" w:rsidRPr="00B57B36" w:rsidRDefault="00143CD7" w:rsidP="008D1770">
            <w:pPr>
              <w:pStyle w:val="CETBodytext"/>
              <w:rPr>
                <w:lang w:val="en-GB"/>
              </w:rPr>
            </w:pPr>
            <w:r w:rsidRPr="00931A8E">
              <w:rPr>
                <w:sz w:val="16"/>
                <w:szCs w:val="16"/>
              </w:rPr>
              <w:t>2</w:t>
            </w:r>
          </w:p>
        </w:tc>
        <w:tc>
          <w:tcPr>
            <w:tcW w:w="1824" w:type="dxa"/>
            <w:vAlign w:val="center"/>
          </w:tcPr>
          <w:p w14:paraId="3118F8C0" w14:textId="77777777" w:rsidR="00143CD7" w:rsidRPr="00B57B36" w:rsidRDefault="00143CD7" w:rsidP="008D1770">
            <w:pPr>
              <w:pStyle w:val="CETBodytext"/>
              <w:rPr>
                <w:lang w:val="en-GB"/>
              </w:rPr>
            </w:pPr>
            <w:r w:rsidRPr="00931A8E">
              <w:rPr>
                <w:sz w:val="16"/>
                <w:szCs w:val="16"/>
              </w:rPr>
              <w:t>a-pinene</w:t>
            </w:r>
          </w:p>
        </w:tc>
        <w:tc>
          <w:tcPr>
            <w:tcW w:w="1326" w:type="dxa"/>
            <w:vAlign w:val="center"/>
          </w:tcPr>
          <w:p w14:paraId="260BB8F1" w14:textId="77777777" w:rsidR="00143CD7" w:rsidRPr="00B57B36" w:rsidRDefault="00143CD7" w:rsidP="008D1770">
            <w:pPr>
              <w:pStyle w:val="CETBodytext"/>
              <w:rPr>
                <w:lang w:val="en-GB"/>
              </w:rPr>
            </w:pPr>
            <w:r w:rsidRPr="00931A8E">
              <w:rPr>
                <w:sz w:val="16"/>
                <w:szCs w:val="16"/>
              </w:rPr>
              <w:t>1.5</w:t>
            </w:r>
          </w:p>
        </w:tc>
        <w:tc>
          <w:tcPr>
            <w:tcW w:w="540" w:type="dxa"/>
            <w:vAlign w:val="center"/>
          </w:tcPr>
          <w:p w14:paraId="2AC2AB33" w14:textId="77777777" w:rsidR="00143CD7" w:rsidRPr="00B57B36" w:rsidRDefault="00143CD7" w:rsidP="008D1770">
            <w:pPr>
              <w:pStyle w:val="CETBodytext"/>
              <w:ind w:right="-1"/>
              <w:rPr>
                <w:rFonts w:cs="Arial"/>
                <w:szCs w:val="18"/>
                <w:lang w:val="en-GB"/>
              </w:rPr>
            </w:pPr>
            <w:r w:rsidRPr="00931A8E">
              <w:rPr>
                <w:sz w:val="16"/>
                <w:szCs w:val="16"/>
              </w:rPr>
              <w:t>13</w:t>
            </w:r>
          </w:p>
        </w:tc>
        <w:tc>
          <w:tcPr>
            <w:tcW w:w="1890" w:type="dxa"/>
            <w:vAlign w:val="center"/>
          </w:tcPr>
          <w:p w14:paraId="092E9F78" w14:textId="77777777" w:rsidR="00143CD7" w:rsidRPr="00B57B36" w:rsidRDefault="00143CD7" w:rsidP="008D1770">
            <w:pPr>
              <w:pStyle w:val="CETBodytext"/>
              <w:ind w:right="-1"/>
              <w:rPr>
                <w:rFonts w:cs="Arial"/>
                <w:szCs w:val="18"/>
                <w:lang w:val="en-GB"/>
              </w:rPr>
            </w:pPr>
            <w:r w:rsidRPr="00931A8E">
              <w:rPr>
                <w:sz w:val="16"/>
                <w:szCs w:val="16"/>
              </w:rPr>
              <w:t>1-borneol</w:t>
            </w:r>
          </w:p>
        </w:tc>
        <w:tc>
          <w:tcPr>
            <w:tcW w:w="1530" w:type="dxa"/>
            <w:vAlign w:val="center"/>
          </w:tcPr>
          <w:p w14:paraId="5CA86D33" w14:textId="77777777" w:rsidR="00143CD7" w:rsidRPr="00B57B36" w:rsidRDefault="00143CD7" w:rsidP="008D1770">
            <w:pPr>
              <w:pStyle w:val="CETBodytext"/>
              <w:ind w:right="-1"/>
              <w:rPr>
                <w:rFonts w:cs="Arial"/>
                <w:szCs w:val="18"/>
                <w:lang w:val="en-GB"/>
              </w:rPr>
            </w:pPr>
            <w:r w:rsidRPr="00931A8E">
              <w:rPr>
                <w:sz w:val="16"/>
                <w:szCs w:val="16"/>
              </w:rPr>
              <w:t>0.5</w:t>
            </w:r>
          </w:p>
        </w:tc>
      </w:tr>
      <w:tr w:rsidR="00143CD7" w:rsidRPr="00B57B36" w14:paraId="7AE558F5" w14:textId="77777777" w:rsidTr="00D051AA">
        <w:trPr>
          <w:trHeight w:val="254"/>
        </w:trPr>
        <w:tc>
          <w:tcPr>
            <w:tcW w:w="540" w:type="dxa"/>
            <w:vAlign w:val="center"/>
          </w:tcPr>
          <w:p w14:paraId="67DA841D" w14:textId="77777777" w:rsidR="00143CD7" w:rsidRPr="00B57B36" w:rsidRDefault="00143CD7" w:rsidP="008D1770">
            <w:pPr>
              <w:pStyle w:val="CETBodytext"/>
              <w:rPr>
                <w:lang w:val="en-GB"/>
              </w:rPr>
            </w:pPr>
            <w:r w:rsidRPr="00931A8E">
              <w:rPr>
                <w:sz w:val="16"/>
                <w:szCs w:val="16"/>
              </w:rPr>
              <w:t>3</w:t>
            </w:r>
          </w:p>
        </w:tc>
        <w:tc>
          <w:tcPr>
            <w:tcW w:w="1824" w:type="dxa"/>
            <w:vAlign w:val="center"/>
          </w:tcPr>
          <w:p w14:paraId="450B28C6" w14:textId="77777777" w:rsidR="00143CD7" w:rsidRPr="00B57B36" w:rsidRDefault="00143CD7" w:rsidP="008D1770">
            <w:pPr>
              <w:pStyle w:val="CETBodytext"/>
              <w:rPr>
                <w:lang w:val="en-GB"/>
              </w:rPr>
            </w:pPr>
            <w:r w:rsidRPr="00931A8E">
              <w:rPr>
                <w:sz w:val="16"/>
                <w:szCs w:val="16"/>
              </w:rPr>
              <w:t>camphene</w:t>
            </w:r>
          </w:p>
        </w:tc>
        <w:tc>
          <w:tcPr>
            <w:tcW w:w="1326" w:type="dxa"/>
            <w:vAlign w:val="center"/>
          </w:tcPr>
          <w:p w14:paraId="5827FE68" w14:textId="77777777" w:rsidR="00143CD7" w:rsidRPr="00B57B36" w:rsidRDefault="00143CD7" w:rsidP="008D1770">
            <w:pPr>
              <w:pStyle w:val="CETBodytext"/>
              <w:rPr>
                <w:lang w:val="en-GB"/>
              </w:rPr>
            </w:pPr>
            <w:r w:rsidRPr="00931A8E">
              <w:rPr>
                <w:sz w:val="16"/>
                <w:szCs w:val="16"/>
              </w:rPr>
              <w:t>0.4</w:t>
            </w:r>
          </w:p>
        </w:tc>
        <w:tc>
          <w:tcPr>
            <w:tcW w:w="540" w:type="dxa"/>
            <w:vAlign w:val="center"/>
          </w:tcPr>
          <w:p w14:paraId="1157CAC1" w14:textId="77777777" w:rsidR="00143CD7" w:rsidRPr="00B57B36" w:rsidRDefault="00143CD7" w:rsidP="008D1770">
            <w:pPr>
              <w:pStyle w:val="CETBodytext"/>
              <w:ind w:right="-1"/>
              <w:rPr>
                <w:rFonts w:cs="Arial"/>
                <w:szCs w:val="18"/>
                <w:lang w:val="en-GB"/>
              </w:rPr>
            </w:pPr>
            <w:r w:rsidRPr="00931A8E">
              <w:rPr>
                <w:sz w:val="16"/>
                <w:szCs w:val="16"/>
              </w:rPr>
              <w:t>14</w:t>
            </w:r>
          </w:p>
        </w:tc>
        <w:tc>
          <w:tcPr>
            <w:tcW w:w="1890" w:type="dxa"/>
            <w:vAlign w:val="center"/>
          </w:tcPr>
          <w:p w14:paraId="700A01F6" w14:textId="77777777" w:rsidR="00143CD7" w:rsidRPr="00B57B36" w:rsidRDefault="00143CD7" w:rsidP="008D1770">
            <w:pPr>
              <w:pStyle w:val="CETBodytext"/>
              <w:ind w:right="-1"/>
              <w:rPr>
                <w:rFonts w:cs="Arial"/>
                <w:szCs w:val="18"/>
                <w:lang w:val="en-GB"/>
              </w:rPr>
            </w:pPr>
            <w:r w:rsidRPr="00931A8E">
              <w:rPr>
                <w:sz w:val="16"/>
                <w:szCs w:val="16"/>
              </w:rPr>
              <w:t>4-terpineol</w:t>
            </w:r>
          </w:p>
        </w:tc>
        <w:tc>
          <w:tcPr>
            <w:tcW w:w="1530" w:type="dxa"/>
            <w:vAlign w:val="center"/>
          </w:tcPr>
          <w:p w14:paraId="4AFA2EE1" w14:textId="77777777" w:rsidR="00143CD7" w:rsidRPr="00B57B36" w:rsidRDefault="00143CD7" w:rsidP="008D1770">
            <w:pPr>
              <w:pStyle w:val="CETBodytext"/>
              <w:ind w:right="-1"/>
              <w:rPr>
                <w:rFonts w:cs="Arial"/>
                <w:szCs w:val="18"/>
                <w:lang w:val="en-GB"/>
              </w:rPr>
            </w:pPr>
            <w:r w:rsidRPr="00931A8E">
              <w:rPr>
                <w:sz w:val="16"/>
                <w:szCs w:val="16"/>
              </w:rPr>
              <w:t>0.5</w:t>
            </w:r>
          </w:p>
        </w:tc>
      </w:tr>
      <w:tr w:rsidR="00143CD7" w:rsidRPr="00B57B36" w14:paraId="44D6F485" w14:textId="77777777" w:rsidTr="00D051AA">
        <w:trPr>
          <w:trHeight w:val="266"/>
        </w:trPr>
        <w:tc>
          <w:tcPr>
            <w:tcW w:w="540" w:type="dxa"/>
            <w:vAlign w:val="center"/>
          </w:tcPr>
          <w:p w14:paraId="4B92AC6F" w14:textId="77777777" w:rsidR="00143CD7" w:rsidRPr="00B57B36" w:rsidRDefault="00143CD7" w:rsidP="008D1770">
            <w:pPr>
              <w:pStyle w:val="CETBodytext"/>
              <w:rPr>
                <w:lang w:val="en-GB"/>
              </w:rPr>
            </w:pPr>
            <w:r w:rsidRPr="00931A8E">
              <w:rPr>
                <w:sz w:val="16"/>
                <w:szCs w:val="16"/>
              </w:rPr>
              <w:t>4</w:t>
            </w:r>
          </w:p>
        </w:tc>
        <w:tc>
          <w:tcPr>
            <w:tcW w:w="1824" w:type="dxa"/>
            <w:vAlign w:val="center"/>
          </w:tcPr>
          <w:p w14:paraId="54EDFADC" w14:textId="77777777" w:rsidR="00143CD7" w:rsidRPr="00B57B36" w:rsidRDefault="00143CD7" w:rsidP="008D1770">
            <w:pPr>
              <w:pStyle w:val="CETBodytext"/>
              <w:rPr>
                <w:lang w:val="en-GB"/>
              </w:rPr>
            </w:pPr>
            <w:r w:rsidRPr="00931A8E">
              <w:rPr>
                <w:sz w:val="16"/>
                <w:szCs w:val="16"/>
              </w:rPr>
              <w:t>2-</w:t>
            </w:r>
            <w:r w:rsidRPr="00931A8E">
              <w:rPr>
                <w:sz w:val="16"/>
                <w:szCs w:val="16"/>
                <w:lang w:val="el-GR"/>
              </w:rPr>
              <w:t>β-</w:t>
            </w:r>
            <w:r w:rsidRPr="00931A8E">
              <w:rPr>
                <w:sz w:val="16"/>
                <w:szCs w:val="16"/>
              </w:rPr>
              <w:t>pinene</w:t>
            </w:r>
          </w:p>
        </w:tc>
        <w:tc>
          <w:tcPr>
            <w:tcW w:w="1326" w:type="dxa"/>
            <w:vAlign w:val="center"/>
          </w:tcPr>
          <w:p w14:paraId="48BDB046" w14:textId="77777777" w:rsidR="00143CD7" w:rsidRPr="00B57B36" w:rsidRDefault="00143CD7" w:rsidP="008D1770">
            <w:pPr>
              <w:pStyle w:val="CETBodytext"/>
              <w:rPr>
                <w:lang w:val="en-GB"/>
              </w:rPr>
            </w:pPr>
            <w:r w:rsidRPr="00931A8E">
              <w:rPr>
                <w:sz w:val="16"/>
                <w:szCs w:val="16"/>
              </w:rPr>
              <w:t>0.3</w:t>
            </w:r>
          </w:p>
        </w:tc>
        <w:tc>
          <w:tcPr>
            <w:tcW w:w="540" w:type="dxa"/>
            <w:vAlign w:val="center"/>
          </w:tcPr>
          <w:p w14:paraId="30204BEA" w14:textId="77777777" w:rsidR="00143CD7" w:rsidRPr="00B57B36" w:rsidRDefault="00143CD7" w:rsidP="008D1770">
            <w:pPr>
              <w:pStyle w:val="CETBodytext"/>
              <w:ind w:right="-1"/>
              <w:rPr>
                <w:rFonts w:cs="Arial"/>
                <w:szCs w:val="18"/>
                <w:lang w:val="en-GB"/>
              </w:rPr>
            </w:pPr>
            <w:r w:rsidRPr="00931A8E">
              <w:rPr>
                <w:sz w:val="16"/>
                <w:szCs w:val="16"/>
              </w:rPr>
              <w:t>15</w:t>
            </w:r>
          </w:p>
        </w:tc>
        <w:tc>
          <w:tcPr>
            <w:tcW w:w="1890" w:type="dxa"/>
            <w:vAlign w:val="center"/>
          </w:tcPr>
          <w:p w14:paraId="620D2BB8" w14:textId="77777777" w:rsidR="00143CD7" w:rsidRPr="00B57B36" w:rsidRDefault="00143CD7" w:rsidP="008D1770">
            <w:pPr>
              <w:pStyle w:val="CETBodytext"/>
              <w:ind w:right="-1"/>
              <w:rPr>
                <w:rFonts w:cs="Arial"/>
                <w:szCs w:val="18"/>
                <w:lang w:val="en-GB"/>
              </w:rPr>
            </w:pPr>
            <w:r w:rsidRPr="00931A8E">
              <w:rPr>
                <w:sz w:val="16"/>
                <w:szCs w:val="16"/>
              </w:rPr>
              <w:t>carvacrol methyl ether</w:t>
            </w:r>
          </w:p>
        </w:tc>
        <w:tc>
          <w:tcPr>
            <w:tcW w:w="1530" w:type="dxa"/>
            <w:vAlign w:val="center"/>
          </w:tcPr>
          <w:p w14:paraId="2E531846" w14:textId="77777777" w:rsidR="00143CD7" w:rsidRPr="00B57B36" w:rsidRDefault="00143CD7" w:rsidP="008D1770">
            <w:pPr>
              <w:pStyle w:val="CETBodytext"/>
              <w:ind w:right="-1"/>
              <w:rPr>
                <w:rFonts w:cs="Arial"/>
                <w:szCs w:val="18"/>
                <w:lang w:val="en-GB"/>
              </w:rPr>
            </w:pPr>
            <w:r w:rsidRPr="00931A8E">
              <w:rPr>
                <w:sz w:val="16"/>
                <w:szCs w:val="16"/>
              </w:rPr>
              <w:t>0.7</w:t>
            </w:r>
          </w:p>
        </w:tc>
      </w:tr>
      <w:tr w:rsidR="00143CD7" w:rsidRPr="00B57B36" w14:paraId="5FEE9384" w14:textId="77777777" w:rsidTr="00D051AA">
        <w:trPr>
          <w:trHeight w:val="236"/>
        </w:trPr>
        <w:tc>
          <w:tcPr>
            <w:tcW w:w="540" w:type="dxa"/>
            <w:vAlign w:val="center"/>
          </w:tcPr>
          <w:p w14:paraId="056F69E9" w14:textId="77777777" w:rsidR="00143CD7" w:rsidRPr="00B57B36" w:rsidRDefault="00143CD7" w:rsidP="008D1770">
            <w:pPr>
              <w:pStyle w:val="CETBodytext"/>
              <w:rPr>
                <w:lang w:val="en-GB"/>
              </w:rPr>
            </w:pPr>
            <w:r w:rsidRPr="00931A8E">
              <w:rPr>
                <w:sz w:val="16"/>
                <w:szCs w:val="16"/>
              </w:rPr>
              <w:t>5</w:t>
            </w:r>
          </w:p>
        </w:tc>
        <w:tc>
          <w:tcPr>
            <w:tcW w:w="1824" w:type="dxa"/>
            <w:vAlign w:val="center"/>
          </w:tcPr>
          <w:p w14:paraId="1E3ED016" w14:textId="77777777" w:rsidR="00143CD7" w:rsidRPr="00B57B36" w:rsidRDefault="00143CD7" w:rsidP="008D1770">
            <w:pPr>
              <w:pStyle w:val="CETBodytext"/>
              <w:rPr>
                <w:lang w:val="en-GB"/>
              </w:rPr>
            </w:pPr>
            <w:r w:rsidRPr="00931A8E">
              <w:rPr>
                <w:sz w:val="16"/>
                <w:szCs w:val="16"/>
                <w:lang w:val="el-GR"/>
              </w:rPr>
              <w:t>β</w:t>
            </w:r>
            <w:r w:rsidRPr="00931A8E">
              <w:rPr>
                <w:sz w:val="16"/>
                <w:szCs w:val="16"/>
              </w:rPr>
              <w:t>-myrcene</w:t>
            </w:r>
          </w:p>
        </w:tc>
        <w:tc>
          <w:tcPr>
            <w:tcW w:w="1326" w:type="dxa"/>
            <w:vAlign w:val="center"/>
          </w:tcPr>
          <w:p w14:paraId="6AC1978F" w14:textId="77777777" w:rsidR="00143CD7" w:rsidRPr="00B57B36" w:rsidRDefault="00143CD7" w:rsidP="008D1770">
            <w:pPr>
              <w:pStyle w:val="CETBodytext"/>
              <w:rPr>
                <w:lang w:val="en-GB"/>
              </w:rPr>
            </w:pPr>
            <w:r w:rsidRPr="00931A8E">
              <w:rPr>
                <w:sz w:val="16"/>
                <w:szCs w:val="16"/>
              </w:rPr>
              <w:t>2.8</w:t>
            </w:r>
          </w:p>
        </w:tc>
        <w:tc>
          <w:tcPr>
            <w:tcW w:w="540" w:type="dxa"/>
            <w:vAlign w:val="center"/>
          </w:tcPr>
          <w:p w14:paraId="1FE0324D" w14:textId="77777777" w:rsidR="00143CD7" w:rsidRPr="00B57B36" w:rsidRDefault="00143CD7" w:rsidP="008D1770">
            <w:pPr>
              <w:pStyle w:val="CETBodytext"/>
              <w:ind w:right="-1"/>
              <w:rPr>
                <w:rFonts w:cs="Arial"/>
                <w:szCs w:val="18"/>
                <w:lang w:val="en-GB"/>
              </w:rPr>
            </w:pPr>
            <w:r w:rsidRPr="00931A8E">
              <w:rPr>
                <w:sz w:val="16"/>
                <w:szCs w:val="16"/>
              </w:rPr>
              <w:t>16</w:t>
            </w:r>
          </w:p>
        </w:tc>
        <w:tc>
          <w:tcPr>
            <w:tcW w:w="1890" w:type="dxa"/>
            <w:vAlign w:val="center"/>
          </w:tcPr>
          <w:p w14:paraId="76F67648" w14:textId="77777777" w:rsidR="00143CD7" w:rsidRPr="00B57B36" w:rsidRDefault="00143CD7" w:rsidP="008D1770">
            <w:pPr>
              <w:pStyle w:val="CETBodytext"/>
              <w:ind w:right="-1"/>
              <w:rPr>
                <w:rFonts w:cs="Arial"/>
                <w:szCs w:val="18"/>
                <w:lang w:val="en-GB"/>
              </w:rPr>
            </w:pPr>
            <w:r w:rsidRPr="00931A8E">
              <w:rPr>
                <w:sz w:val="16"/>
                <w:szCs w:val="16"/>
              </w:rPr>
              <w:t>thymoquinone</w:t>
            </w:r>
          </w:p>
        </w:tc>
        <w:tc>
          <w:tcPr>
            <w:tcW w:w="1530" w:type="dxa"/>
            <w:vAlign w:val="center"/>
          </w:tcPr>
          <w:p w14:paraId="68249ED7" w14:textId="77777777" w:rsidR="00143CD7" w:rsidRPr="00B57B36" w:rsidRDefault="00143CD7" w:rsidP="008D1770">
            <w:pPr>
              <w:pStyle w:val="CETBodytext"/>
              <w:ind w:right="-1"/>
              <w:rPr>
                <w:rFonts w:cs="Arial"/>
                <w:szCs w:val="18"/>
                <w:lang w:val="en-GB"/>
              </w:rPr>
            </w:pPr>
            <w:r w:rsidRPr="00931A8E">
              <w:rPr>
                <w:sz w:val="16"/>
                <w:szCs w:val="16"/>
              </w:rPr>
              <w:t>0.1</w:t>
            </w:r>
          </w:p>
        </w:tc>
      </w:tr>
      <w:tr w:rsidR="00143CD7" w:rsidRPr="00B57B36" w14:paraId="5F52AFD9" w14:textId="77777777" w:rsidTr="00D051AA">
        <w:trPr>
          <w:trHeight w:val="254"/>
        </w:trPr>
        <w:tc>
          <w:tcPr>
            <w:tcW w:w="540" w:type="dxa"/>
            <w:vAlign w:val="center"/>
          </w:tcPr>
          <w:p w14:paraId="5E9E20FE" w14:textId="77777777" w:rsidR="00143CD7" w:rsidRPr="00B57B36" w:rsidRDefault="00143CD7" w:rsidP="008D1770">
            <w:pPr>
              <w:pStyle w:val="CETBodytext"/>
              <w:rPr>
                <w:lang w:val="en-GB"/>
              </w:rPr>
            </w:pPr>
            <w:r w:rsidRPr="00931A8E">
              <w:rPr>
                <w:sz w:val="16"/>
                <w:szCs w:val="16"/>
              </w:rPr>
              <w:t>6</w:t>
            </w:r>
          </w:p>
        </w:tc>
        <w:tc>
          <w:tcPr>
            <w:tcW w:w="1824" w:type="dxa"/>
            <w:vAlign w:val="center"/>
          </w:tcPr>
          <w:p w14:paraId="73649BA5" w14:textId="77777777" w:rsidR="00143CD7" w:rsidRPr="00B57B36" w:rsidRDefault="00143CD7" w:rsidP="008D1770">
            <w:pPr>
              <w:pStyle w:val="CETBodytext"/>
              <w:rPr>
                <w:lang w:val="en-GB"/>
              </w:rPr>
            </w:pPr>
            <w:r w:rsidRPr="00931A8E">
              <w:rPr>
                <w:sz w:val="16"/>
                <w:szCs w:val="16"/>
              </w:rPr>
              <w:t>I-phellandrene</w:t>
            </w:r>
          </w:p>
        </w:tc>
        <w:tc>
          <w:tcPr>
            <w:tcW w:w="1326" w:type="dxa"/>
            <w:vAlign w:val="center"/>
          </w:tcPr>
          <w:p w14:paraId="75B3EDF1" w14:textId="77777777" w:rsidR="00143CD7" w:rsidRPr="00B57B36" w:rsidRDefault="00143CD7" w:rsidP="008D1770">
            <w:pPr>
              <w:pStyle w:val="CETBodytext"/>
              <w:rPr>
                <w:lang w:val="en-GB"/>
              </w:rPr>
            </w:pPr>
            <w:r w:rsidRPr="00931A8E">
              <w:rPr>
                <w:sz w:val="16"/>
                <w:szCs w:val="16"/>
              </w:rPr>
              <w:t>0.4</w:t>
            </w:r>
          </w:p>
        </w:tc>
        <w:tc>
          <w:tcPr>
            <w:tcW w:w="540" w:type="dxa"/>
            <w:vAlign w:val="center"/>
          </w:tcPr>
          <w:p w14:paraId="12BC3110" w14:textId="77777777" w:rsidR="00143CD7" w:rsidRPr="00B57B36" w:rsidRDefault="00143CD7" w:rsidP="008D1770">
            <w:pPr>
              <w:pStyle w:val="CETBodytext"/>
              <w:ind w:right="-1"/>
              <w:rPr>
                <w:rFonts w:cs="Arial"/>
                <w:szCs w:val="18"/>
                <w:lang w:val="en-GB"/>
              </w:rPr>
            </w:pPr>
            <w:r w:rsidRPr="00931A8E">
              <w:rPr>
                <w:sz w:val="16"/>
                <w:szCs w:val="16"/>
              </w:rPr>
              <w:t>17</w:t>
            </w:r>
          </w:p>
        </w:tc>
        <w:tc>
          <w:tcPr>
            <w:tcW w:w="1890" w:type="dxa"/>
            <w:vAlign w:val="center"/>
          </w:tcPr>
          <w:p w14:paraId="58B2E5B0" w14:textId="77777777" w:rsidR="00143CD7" w:rsidRPr="00B57B36" w:rsidRDefault="00143CD7" w:rsidP="008D1770">
            <w:pPr>
              <w:pStyle w:val="CETBodytext"/>
              <w:ind w:right="-1"/>
              <w:rPr>
                <w:rFonts w:cs="Arial"/>
                <w:szCs w:val="18"/>
                <w:lang w:val="en-GB"/>
              </w:rPr>
            </w:pPr>
            <w:r w:rsidRPr="00931A8E">
              <w:rPr>
                <w:b/>
                <w:bCs/>
                <w:sz w:val="16"/>
                <w:szCs w:val="16"/>
              </w:rPr>
              <w:t>p-thymol</w:t>
            </w:r>
          </w:p>
        </w:tc>
        <w:tc>
          <w:tcPr>
            <w:tcW w:w="1530" w:type="dxa"/>
            <w:vAlign w:val="center"/>
          </w:tcPr>
          <w:p w14:paraId="62227796" w14:textId="77777777" w:rsidR="00143CD7" w:rsidRPr="00B57B36" w:rsidRDefault="00143CD7" w:rsidP="008D1770">
            <w:pPr>
              <w:pStyle w:val="CETBodytext"/>
              <w:ind w:right="-1"/>
              <w:rPr>
                <w:rFonts w:cs="Arial"/>
                <w:szCs w:val="18"/>
                <w:lang w:val="en-GB"/>
              </w:rPr>
            </w:pPr>
            <w:r w:rsidRPr="00931A8E">
              <w:rPr>
                <w:b/>
                <w:bCs/>
                <w:sz w:val="16"/>
                <w:szCs w:val="16"/>
              </w:rPr>
              <w:t>2.8</w:t>
            </w:r>
          </w:p>
        </w:tc>
      </w:tr>
      <w:tr w:rsidR="00143CD7" w:rsidRPr="00B57B36" w14:paraId="228B6134" w14:textId="77777777" w:rsidTr="00D051AA">
        <w:trPr>
          <w:trHeight w:val="236"/>
        </w:trPr>
        <w:tc>
          <w:tcPr>
            <w:tcW w:w="540" w:type="dxa"/>
            <w:vAlign w:val="center"/>
          </w:tcPr>
          <w:p w14:paraId="0231096D" w14:textId="77777777" w:rsidR="00143CD7" w:rsidRPr="00B57B36" w:rsidRDefault="00143CD7" w:rsidP="008D1770">
            <w:pPr>
              <w:pStyle w:val="CETBodytext"/>
              <w:rPr>
                <w:lang w:val="en-GB"/>
              </w:rPr>
            </w:pPr>
            <w:r w:rsidRPr="00931A8E">
              <w:rPr>
                <w:sz w:val="16"/>
                <w:szCs w:val="16"/>
              </w:rPr>
              <w:t>7</w:t>
            </w:r>
          </w:p>
        </w:tc>
        <w:tc>
          <w:tcPr>
            <w:tcW w:w="1824" w:type="dxa"/>
            <w:vAlign w:val="center"/>
          </w:tcPr>
          <w:p w14:paraId="2E435C29" w14:textId="77777777" w:rsidR="00143CD7" w:rsidRPr="00B57B36" w:rsidRDefault="00143CD7" w:rsidP="008D1770">
            <w:pPr>
              <w:pStyle w:val="CETBodytext"/>
              <w:rPr>
                <w:lang w:val="en-GB"/>
              </w:rPr>
            </w:pPr>
            <w:r w:rsidRPr="00931A8E">
              <w:rPr>
                <w:sz w:val="16"/>
                <w:szCs w:val="16"/>
                <w:lang w:val="el-GR"/>
              </w:rPr>
              <w:t>δ 3-</w:t>
            </w:r>
            <w:r w:rsidRPr="00931A8E">
              <w:rPr>
                <w:sz w:val="16"/>
                <w:szCs w:val="16"/>
              </w:rPr>
              <w:t>carene</w:t>
            </w:r>
          </w:p>
        </w:tc>
        <w:tc>
          <w:tcPr>
            <w:tcW w:w="1326" w:type="dxa"/>
            <w:vAlign w:val="center"/>
          </w:tcPr>
          <w:p w14:paraId="69336843" w14:textId="77777777" w:rsidR="00143CD7" w:rsidRPr="00B57B36" w:rsidRDefault="00143CD7" w:rsidP="008D1770">
            <w:pPr>
              <w:pStyle w:val="CETBodytext"/>
              <w:rPr>
                <w:lang w:val="en-GB"/>
              </w:rPr>
            </w:pPr>
            <w:r w:rsidRPr="00931A8E">
              <w:rPr>
                <w:sz w:val="16"/>
                <w:szCs w:val="16"/>
              </w:rPr>
              <w:t>0.2</w:t>
            </w:r>
          </w:p>
        </w:tc>
        <w:tc>
          <w:tcPr>
            <w:tcW w:w="540" w:type="dxa"/>
            <w:vAlign w:val="center"/>
          </w:tcPr>
          <w:p w14:paraId="7433BB3D" w14:textId="77777777" w:rsidR="00143CD7" w:rsidRPr="00B57B36" w:rsidRDefault="00143CD7" w:rsidP="008D1770">
            <w:pPr>
              <w:pStyle w:val="CETBodytext"/>
              <w:ind w:right="-1"/>
              <w:rPr>
                <w:rFonts w:cs="Arial"/>
                <w:szCs w:val="18"/>
                <w:lang w:val="en-GB"/>
              </w:rPr>
            </w:pPr>
            <w:r w:rsidRPr="00931A8E">
              <w:rPr>
                <w:sz w:val="16"/>
                <w:szCs w:val="16"/>
              </w:rPr>
              <w:t>18</w:t>
            </w:r>
          </w:p>
        </w:tc>
        <w:tc>
          <w:tcPr>
            <w:tcW w:w="1890" w:type="dxa"/>
            <w:vAlign w:val="center"/>
          </w:tcPr>
          <w:p w14:paraId="7FA2F862" w14:textId="77777777" w:rsidR="00143CD7" w:rsidRPr="00B57B36" w:rsidRDefault="00143CD7" w:rsidP="008D1770">
            <w:pPr>
              <w:pStyle w:val="CETBodytext"/>
              <w:ind w:right="-1"/>
              <w:rPr>
                <w:rFonts w:cs="Arial"/>
                <w:szCs w:val="18"/>
                <w:lang w:val="en-GB"/>
              </w:rPr>
            </w:pPr>
            <w:r w:rsidRPr="00931A8E">
              <w:rPr>
                <w:b/>
                <w:bCs/>
                <w:sz w:val="16"/>
                <w:szCs w:val="16"/>
              </w:rPr>
              <w:t>carvacrol</w:t>
            </w:r>
          </w:p>
        </w:tc>
        <w:tc>
          <w:tcPr>
            <w:tcW w:w="1530" w:type="dxa"/>
            <w:vAlign w:val="center"/>
          </w:tcPr>
          <w:p w14:paraId="2A1FD717" w14:textId="77777777" w:rsidR="00143CD7" w:rsidRPr="00B57B36" w:rsidRDefault="00143CD7" w:rsidP="008D1770">
            <w:pPr>
              <w:pStyle w:val="CETBodytext"/>
              <w:ind w:right="-1"/>
              <w:rPr>
                <w:rFonts w:cs="Arial"/>
                <w:szCs w:val="18"/>
                <w:lang w:val="en-GB"/>
              </w:rPr>
            </w:pPr>
            <w:r w:rsidRPr="00931A8E">
              <w:rPr>
                <w:b/>
                <w:bCs/>
                <w:sz w:val="16"/>
                <w:szCs w:val="16"/>
              </w:rPr>
              <w:t>52.9</w:t>
            </w:r>
          </w:p>
        </w:tc>
      </w:tr>
      <w:tr w:rsidR="00143CD7" w:rsidRPr="00B57B36" w14:paraId="5A5208BC" w14:textId="77777777" w:rsidTr="00D051AA">
        <w:trPr>
          <w:trHeight w:val="247"/>
        </w:trPr>
        <w:tc>
          <w:tcPr>
            <w:tcW w:w="540" w:type="dxa"/>
            <w:vAlign w:val="center"/>
          </w:tcPr>
          <w:p w14:paraId="581CC52E" w14:textId="77777777" w:rsidR="00143CD7" w:rsidRPr="00B57B36" w:rsidRDefault="00143CD7" w:rsidP="008D1770">
            <w:pPr>
              <w:pStyle w:val="CETBodytext"/>
              <w:rPr>
                <w:lang w:val="en-GB"/>
              </w:rPr>
            </w:pPr>
            <w:r w:rsidRPr="00931A8E">
              <w:rPr>
                <w:sz w:val="16"/>
                <w:szCs w:val="16"/>
              </w:rPr>
              <w:t>8</w:t>
            </w:r>
          </w:p>
        </w:tc>
        <w:tc>
          <w:tcPr>
            <w:tcW w:w="1824" w:type="dxa"/>
            <w:vAlign w:val="center"/>
          </w:tcPr>
          <w:p w14:paraId="62C565E0" w14:textId="77777777" w:rsidR="00143CD7" w:rsidRPr="00B57B36" w:rsidRDefault="00143CD7" w:rsidP="008D1770">
            <w:pPr>
              <w:pStyle w:val="CETBodytext"/>
              <w:rPr>
                <w:lang w:val="en-GB"/>
              </w:rPr>
            </w:pPr>
            <w:r w:rsidRPr="00931A8E">
              <w:rPr>
                <w:sz w:val="16"/>
                <w:szCs w:val="16"/>
                <w:lang w:val="el-GR"/>
              </w:rPr>
              <w:t>α-</w:t>
            </w:r>
            <w:r w:rsidRPr="00931A8E">
              <w:rPr>
                <w:sz w:val="16"/>
                <w:szCs w:val="16"/>
              </w:rPr>
              <w:t>terpinene</w:t>
            </w:r>
          </w:p>
        </w:tc>
        <w:tc>
          <w:tcPr>
            <w:tcW w:w="1326" w:type="dxa"/>
            <w:vAlign w:val="center"/>
          </w:tcPr>
          <w:p w14:paraId="49E23F5B" w14:textId="77777777" w:rsidR="00143CD7" w:rsidRPr="00B57B36" w:rsidRDefault="00143CD7" w:rsidP="008D1770">
            <w:pPr>
              <w:pStyle w:val="CETBodytext"/>
              <w:rPr>
                <w:lang w:val="en-GB"/>
              </w:rPr>
            </w:pPr>
            <w:r w:rsidRPr="00931A8E">
              <w:rPr>
                <w:sz w:val="16"/>
                <w:szCs w:val="16"/>
              </w:rPr>
              <w:t>2.8</w:t>
            </w:r>
          </w:p>
        </w:tc>
        <w:tc>
          <w:tcPr>
            <w:tcW w:w="540" w:type="dxa"/>
            <w:vAlign w:val="center"/>
          </w:tcPr>
          <w:p w14:paraId="07A55F01" w14:textId="77777777" w:rsidR="00143CD7" w:rsidRPr="00B57B36" w:rsidRDefault="00143CD7" w:rsidP="008D1770">
            <w:pPr>
              <w:pStyle w:val="CETBodytext"/>
              <w:ind w:right="-1"/>
              <w:rPr>
                <w:rFonts w:cs="Arial"/>
                <w:szCs w:val="18"/>
                <w:lang w:val="en-GB"/>
              </w:rPr>
            </w:pPr>
            <w:r w:rsidRPr="00931A8E">
              <w:rPr>
                <w:sz w:val="16"/>
                <w:szCs w:val="16"/>
              </w:rPr>
              <w:t>19</w:t>
            </w:r>
          </w:p>
        </w:tc>
        <w:tc>
          <w:tcPr>
            <w:tcW w:w="1890" w:type="dxa"/>
            <w:vAlign w:val="center"/>
          </w:tcPr>
          <w:p w14:paraId="6E3A4DC7" w14:textId="77777777" w:rsidR="00143CD7" w:rsidRPr="00B57B36" w:rsidRDefault="00143CD7" w:rsidP="008D1770">
            <w:pPr>
              <w:pStyle w:val="CETBodytext"/>
              <w:ind w:right="-1"/>
              <w:rPr>
                <w:rFonts w:cs="Arial"/>
                <w:szCs w:val="18"/>
                <w:lang w:val="en-GB"/>
              </w:rPr>
            </w:pPr>
            <w:r w:rsidRPr="00931A8E">
              <w:rPr>
                <w:sz w:val="16"/>
                <w:szCs w:val="16"/>
              </w:rPr>
              <w:t>trans-caryophyllene</w:t>
            </w:r>
          </w:p>
        </w:tc>
        <w:tc>
          <w:tcPr>
            <w:tcW w:w="1530" w:type="dxa"/>
            <w:vAlign w:val="center"/>
          </w:tcPr>
          <w:p w14:paraId="4DC6AFC5" w14:textId="77777777" w:rsidR="00143CD7" w:rsidRPr="00B57B36" w:rsidRDefault="00143CD7" w:rsidP="008D1770">
            <w:pPr>
              <w:pStyle w:val="CETBodytext"/>
              <w:ind w:right="-1"/>
              <w:rPr>
                <w:rFonts w:cs="Arial"/>
                <w:szCs w:val="18"/>
                <w:lang w:val="en-GB"/>
              </w:rPr>
            </w:pPr>
            <w:r w:rsidRPr="00931A8E">
              <w:rPr>
                <w:sz w:val="16"/>
                <w:szCs w:val="16"/>
              </w:rPr>
              <w:t>2.1</w:t>
            </w:r>
          </w:p>
        </w:tc>
      </w:tr>
      <w:tr w:rsidR="00143CD7" w:rsidRPr="00B57B36" w14:paraId="07276F76" w14:textId="77777777" w:rsidTr="00D051AA">
        <w:trPr>
          <w:trHeight w:val="254"/>
        </w:trPr>
        <w:tc>
          <w:tcPr>
            <w:tcW w:w="540" w:type="dxa"/>
            <w:vAlign w:val="center"/>
          </w:tcPr>
          <w:p w14:paraId="1825EAEB" w14:textId="77777777" w:rsidR="00143CD7" w:rsidRPr="00B57B36" w:rsidRDefault="00143CD7" w:rsidP="008D1770">
            <w:pPr>
              <w:pStyle w:val="CETBodytext"/>
              <w:rPr>
                <w:lang w:val="en-GB"/>
              </w:rPr>
            </w:pPr>
            <w:r w:rsidRPr="00931A8E">
              <w:rPr>
                <w:sz w:val="16"/>
                <w:szCs w:val="16"/>
              </w:rPr>
              <w:t>9</w:t>
            </w:r>
          </w:p>
        </w:tc>
        <w:tc>
          <w:tcPr>
            <w:tcW w:w="1824" w:type="dxa"/>
            <w:vAlign w:val="center"/>
          </w:tcPr>
          <w:p w14:paraId="01B1EBF4" w14:textId="77777777" w:rsidR="00143CD7" w:rsidRPr="00B57B36" w:rsidRDefault="00143CD7" w:rsidP="008D1770">
            <w:pPr>
              <w:pStyle w:val="CETBodytext"/>
              <w:rPr>
                <w:lang w:val="en-GB"/>
              </w:rPr>
            </w:pPr>
            <w:r w:rsidRPr="00931A8E">
              <w:rPr>
                <w:b/>
                <w:bCs/>
                <w:sz w:val="16"/>
                <w:szCs w:val="16"/>
              </w:rPr>
              <w:t>p-cymene</w:t>
            </w:r>
          </w:p>
        </w:tc>
        <w:tc>
          <w:tcPr>
            <w:tcW w:w="1326" w:type="dxa"/>
            <w:vAlign w:val="center"/>
          </w:tcPr>
          <w:p w14:paraId="21B5940F" w14:textId="77777777" w:rsidR="00143CD7" w:rsidRPr="00B57B36" w:rsidRDefault="00143CD7" w:rsidP="008D1770">
            <w:pPr>
              <w:pStyle w:val="CETBodytext"/>
              <w:rPr>
                <w:lang w:val="en-GB"/>
              </w:rPr>
            </w:pPr>
            <w:r w:rsidRPr="00931A8E">
              <w:rPr>
                <w:b/>
                <w:bCs/>
                <w:sz w:val="16"/>
                <w:szCs w:val="16"/>
              </w:rPr>
              <w:t>14.6</w:t>
            </w:r>
          </w:p>
        </w:tc>
        <w:tc>
          <w:tcPr>
            <w:tcW w:w="540" w:type="dxa"/>
            <w:vAlign w:val="center"/>
          </w:tcPr>
          <w:p w14:paraId="4DFDC191" w14:textId="77777777" w:rsidR="00143CD7" w:rsidRPr="00B57B36" w:rsidRDefault="00143CD7" w:rsidP="008D1770">
            <w:pPr>
              <w:pStyle w:val="CETBodytext"/>
              <w:ind w:right="-1"/>
              <w:rPr>
                <w:rFonts w:cs="Arial"/>
                <w:szCs w:val="18"/>
                <w:lang w:val="en-GB"/>
              </w:rPr>
            </w:pPr>
            <w:r w:rsidRPr="00931A8E">
              <w:rPr>
                <w:sz w:val="16"/>
                <w:szCs w:val="16"/>
              </w:rPr>
              <w:t>20</w:t>
            </w:r>
          </w:p>
        </w:tc>
        <w:tc>
          <w:tcPr>
            <w:tcW w:w="1890" w:type="dxa"/>
            <w:vAlign w:val="center"/>
          </w:tcPr>
          <w:p w14:paraId="1AF7B869" w14:textId="77777777" w:rsidR="00143CD7" w:rsidRPr="00B57B36" w:rsidRDefault="00143CD7" w:rsidP="008D1770">
            <w:pPr>
              <w:pStyle w:val="CETBodytext"/>
              <w:ind w:right="-1"/>
              <w:rPr>
                <w:rFonts w:cs="Arial"/>
                <w:szCs w:val="18"/>
                <w:lang w:val="en-GB"/>
              </w:rPr>
            </w:pPr>
            <w:r w:rsidRPr="00931A8E">
              <w:rPr>
                <w:sz w:val="16"/>
                <w:szCs w:val="16"/>
                <w:lang w:val="el-GR"/>
              </w:rPr>
              <w:t>β-</w:t>
            </w:r>
            <w:r w:rsidRPr="00931A8E">
              <w:rPr>
                <w:sz w:val="16"/>
                <w:szCs w:val="16"/>
              </w:rPr>
              <w:t>selinene</w:t>
            </w:r>
          </w:p>
        </w:tc>
        <w:tc>
          <w:tcPr>
            <w:tcW w:w="1530" w:type="dxa"/>
            <w:vAlign w:val="center"/>
          </w:tcPr>
          <w:p w14:paraId="2C6A5ABA" w14:textId="77777777" w:rsidR="00143CD7" w:rsidRPr="00B57B36" w:rsidRDefault="00143CD7" w:rsidP="008D1770">
            <w:pPr>
              <w:pStyle w:val="CETBodytext"/>
              <w:ind w:right="-1"/>
              <w:rPr>
                <w:rFonts w:cs="Arial"/>
                <w:szCs w:val="18"/>
                <w:lang w:val="en-GB"/>
              </w:rPr>
            </w:pPr>
            <w:r w:rsidRPr="00931A8E">
              <w:rPr>
                <w:sz w:val="16"/>
                <w:szCs w:val="16"/>
              </w:rPr>
              <w:t>0.3</w:t>
            </w:r>
          </w:p>
        </w:tc>
      </w:tr>
      <w:tr w:rsidR="00143CD7" w:rsidRPr="00B57B36" w14:paraId="39C1FAEC" w14:textId="77777777" w:rsidTr="00D051AA">
        <w:trPr>
          <w:trHeight w:val="236"/>
        </w:trPr>
        <w:tc>
          <w:tcPr>
            <w:tcW w:w="540" w:type="dxa"/>
            <w:vAlign w:val="center"/>
          </w:tcPr>
          <w:p w14:paraId="0EEBA5D6" w14:textId="77777777" w:rsidR="00143CD7" w:rsidRPr="00B57B36" w:rsidRDefault="00143CD7" w:rsidP="008D1770">
            <w:pPr>
              <w:pStyle w:val="CETBodytext"/>
              <w:rPr>
                <w:lang w:val="en-GB"/>
              </w:rPr>
            </w:pPr>
            <w:r w:rsidRPr="00931A8E">
              <w:rPr>
                <w:sz w:val="16"/>
                <w:szCs w:val="16"/>
              </w:rPr>
              <w:t>10</w:t>
            </w:r>
          </w:p>
        </w:tc>
        <w:tc>
          <w:tcPr>
            <w:tcW w:w="1824" w:type="dxa"/>
            <w:vAlign w:val="center"/>
          </w:tcPr>
          <w:p w14:paraId="0145BD6A" w14:textId="77777777" w:rsidR="00143CD7" w:rsidRPr="00B57B36" w:rsidRDefault="00143CD7" w:rsidP="008D1770">
            <w:pPr>
              <w:pStyle w:val="CETBodytext"/>
              <w:rPr>
                <w:lang w:val="en-GB"/>
              </w:rPr>
            </w:pPr>
            <w:r w:rsidRPr="00931A8E">
              <w:rPr>
                <w:b/>
                <w:bCs/>
                <w:sz w:val="16"/>
                <w:szCs w:val="16"/>
                <w:lang w:val="el-GR"/>
              </w:rPr>
              <w:t>γ-</w:t>
            </w:r>
            <w:r w:rsidRPr="00931A8E">
              <w:rPr>
                <w:b/>
                <w:bCs/>
                <w:sz w:val="16"/>
                <w:szCs w:val="16"/>
              </w:rPr>
              <w:t>terpinene</w:t>
            </w:r>
          </w:p>
        </w:tc>
        <w:tc>
          <w:tcPr>
            <w:tcW w:w="1326" w:type="dxa"/>
            <w:vAlign w:val="center"/>
          </w:tcPr>
          <w:p w14:paraId="6B804799" w14:textId="77777777" w:rsidR="00143CD7" w:rsidRPr="00B57B36" w:rsidRDefault="00143CD7" w:rsidP="008D1770">
            <w:pPr>
              <w:pStyle w:val="CETBodytext"/>
              <w:rPr>
                <w:lang w:val="en-GB"/>
              </w:rPr>
            </w:pPr>
            <w:r w:rsidRPr="00931A8E">
              <w:rPr>
                <w:b/>
                <w:bCs/>
                <w:sz w:val="16"/>
                <w:szCs w:val="16"/>
              </w:rPr>
              <w:t>13.0</w:t>
            </w:r>
          </w:p>
        </w:tc>
        <w:tc>
          <w:tcPr>
            <w:tcW w:w="540" w:type="dxa"/>
            <w:vAlign w:val="center"/>
          </w:tcPr>
          <w:p w14:paraId="3347AC59" w14:textId="77777777" w:rsidR="00143CD7" w:rsidRPr="00B57B36" w:rsidRDefault="00143CD7" w:rsidP="008D1770">
            <w:pPr>
              <w:pStyle w:val="CETBodytext"/>
              <w:ind w:right="-1"/>
              <w:rPr>
                <w:rFonts w:cs="Arial"/>
                <w:szCs w:val="18"/>
                <w:lang w:val="en-GB"/>
              </w:rPr>
            </w:pPr>
            <w:r w:rsidRPr="00931A8E">
              <w:rPr>
                <w:sz w:val="16"/>
                <w:szCs w:val="16"/>
              </w:rPr>
              <w:t>21</w:t>
            </w:r>
          </w:p>
        </w:tc>
        <w:tc>
          <w:tcPr>
            <w:tcW w:w="1890" w:type="dxa"/>
            <w:vAlign w:val="center"/>
          </w:tcPr>
          <w:p w14:paraId="5FABA9C6" w14:textId="77777777" w:rsidR="00143CD7" w:rsidRPr="00B57B36" w:rsidRDefault="00143CD7" w:rsidP="008D1770">
            <w:pPr>
              <w:pStyle w:val="CETBodytext"/>
              <w:ind w:right="-1"/>
              <w:rPr>
                <w:rFonts w:cs="Arial"/>
                <w:szCs w:val="18"/>
                <w:lang w:val="en-GB"/>
              </w:rPr>
            </w:pPr>
            <w:r w:rsidRPr="00931A8E">
              <w:rPr>
                <w:sz w:val="16"/>
                <w:szCs w:val="16"/>
                <w:lang w:val="el-GR"/>
              </w:rPr>
              <w:t>β-</w:t>
            </w:r>
            <w:r w:rsidRPr="00931A8E">
              <w:rPr>
                <w:sz w:val="16"/>
                <w:szCs w:val="16"/>
              </w:rPr>
              <w:t>bisabolene</w:t>
            </w:r>
          </w:p>
        </w:tc>
        <w:tc>
          <w:tcPr>
            <w:tcW w:w="1530" w:type="dxa"/>
            <w:vAlign w:val="center"/>
          </w:tcPr>
          <w:p w14:paraId="579CE9CB" w14:textId="77777777" w:rsidR="00143CD7" w:rsidRPr="00B57B36" w:rsidRDefault="00143CD7" w:rsidP="008D1770">
            <w:pPr>
              <w:pStyle w:val="CETBodytext"/>
              <w:ind w:right="-1"/>
              <w:rPr>
                <w:rFonts w:cs="Arial"/>
                <w:szCs w:val="18"/>
                <w:lang w:val="en-GB"/>
              </w:rPr>
            </w:pPr>
            <w:r w:rsidRPr="00931A8E">
              <w:rPr>
                <w:sz w:val="16"/>
                <w:szCs w:val="16"/>
              </w:rPr>
              <w:t>0.9</w:t>
            </w:r>
          </w:p>
        </w:tc>
      </w:tr>
      <w:tr w:rsidR="00143CD7" w:rsidRPr="00B57B36" w14:paraId="2A95F706" w14:textId="77777777" w:rsidTr="00D051AA">
        <w:trPr>
          <w:trHeight w:val="171"/>
        </w:trPr>
        <w:tc>
          <w:tcPr>
            <w:tcW w:w="540" w:type="dxa"/>
            <w:vAlign w:val="center"/>
          </w:tcPr>
          <w:p w14:paraId="61C3F1F8" w14:textId="77777777" w:rsidR="00143CD7" w:rsidRPr="00B57B36" w:rsidRDefault="00143CD7" w:rsidP="008D1770">
            <w:pPr>
              <w:pStyle w:val="CETBodytext"/>
              <w:ind w:right="-1"/>
              <w:rPr>
                <w:rFonts w:cs="Arial"/>
                <w:szCs w:val="18"/>
                <w:lang w:val="en-GB"/>
              </w:rPr>
            </w:pPr>
            <w:r w:rsidRPr="00931A8E">
              <w:rPr>
                <w:sz w:val="16"/>
                <w:szCs w:val="16"/>
              </w:rPr>
              <w:t>11</w:t>
            </w:r>
          </w:p>
        </w:tc>
        <w:tc>
          <w:tcPr>
            <w:tcW w:w="1824" w:type="dxa"/>
            <w:vAlign w:val="center"/>
          </w:tcPr>
          <w:p w14:paraId="3526A6D0" w14:textId="77777777" w:rsidR="00143CD7" w:rsidRPr="00B57B36" w:rsidRDefault="00143CD7" w:rsidP="008D1770">
            <w:pPr>
              <w:pStyle w:val="CETBodytext"/>
              <w:ind w:right="-1"/>
              <w:rPr>
                <w:rFonts w:cs="Arial"/>
                <w:szCs w:val="18"/>
                <w:lang w:val="en-GB"/>
              </w:rPr>
            </w:pPr>
            <w:r w:rsidRPr="00931A8E">
              <w:rPr>
                <w:sz w:val="16"/>
                <w:szCs w:val="16"/>
              </w:rPr>
              <w:t>cis-sabinene hydrate</w:t>
            </w:r>
          </w:p>
        </w:tc>
        <w:tc>
          <w:tcPr>
            <w:tcW w:w="1326" w:type="dxa"/>
            <w:vAlign w:val="center"/>
          </w:tcPr>
          <w:p w14:paraId="26DA4CBC" w14:textId="77777777" w:rsidR="00143CD7" w:rsidRPr="00B57B36" w:rsidRDefault="00143CD7" w:rsidP="008D1770">
            <w:pPr>
              <w:pStyle w:val="CETBodytext"/>
              <w:ind w:right="-1"/>
              <w:rPr>
                <w:rFonts w:cs="Arial"/>
                <w:szCs w:val="18"/>
                <w:lang w:val="en-GB"/>
              </w:rPr>
            </w:pPr>
            <w:r w:rsidRPr="00931A8E">
              <w:rPr>
                <w:sz w:val="16"/>
                <w:szCs w:val="16"/>
              </w:rPr>
              <w:t>0.5</w:t>
            </w:r>
          </w:p>
        </w:tc>
        <w:tc>
          <w:tcPr>
            <w:tcW w:w="540" w:type="dxa"/>
            <w:vAlign w:val="center"/>
          </w:tcPr>
          <w:p w14:paraId="1FBE939A" w14:textId="77777777" w:rsidR="00143CD7" w:rsidRPr="00B57B36" w:rsidRDefault="00143CD7" w:rsidP="008D1770">
            <w:pPr>
              <w:pStyle w:val="CETBodytext"/>
              <w:ind w:right="-1"/>
              <w:rPr>
                <w:rFonts w:cs="Arial"/>
                <w:szCs w:val="18"/>
                <w:lang w:val="en-GB"/>
              </w:rPr>
            </w:pPr>
          </w:p>
        </w:tc>
        <w:tc>
          <w:tcPr>
            <w:tcW w:w="1890" w:type="dxa"/>
            <w:vAlign w:val="center"/>
          </w:tcPr>
          <w:p w14:paraId="6D314379" w14:textId="77777777" w:rsidR="00143CD7" w:rsidRPr="00B57B36" w:rsidRDefault="00143CD7" w:rsidP="008D1770">
            <w:pPr>
              <w:pStyle w:val="CETBodytext"/>
              <w:ind w:right="-1"/>
              <w:rPr>
                <w:rFonts w:cs="Arial"/>
                <w:szCs w:val="18"/>
                <w:lang w:val="en-GB"/>
              </w:rPr>
            </w:pPr>
          </w:p>
        </w:tc>
        <w:tc>
          <w:tcPr>
            <w:tcW w:w="1530" w:type="dxa"/>
            <w:vAlign w:val="center"/>
          </w:tcPr>
          <w:p w14:paraId="15F67292" w14:textId="77777777" w:rsidR="00143CD7" w:rsidRPr="00B57B36" w:rsidRDefault="00143CD7" w:rsidP="008D1770">
            <w:pPr>
              <w:pStyle w:val="CETBodytext"/>
              <w:ind w:right="-1"/>
              <w:rPr>
                <w:rFonts w:cs="Arial"/>
                <w:szCs w:val="18"/>
                <w:lang w:val="en-GB"/>
              </w:rPr>
            </w:pPr>
          </w:p>
        </w:tc>
      </w:tr>
    </w:tbl>
    <w:p w14:paraId="75D4B88D" w14:textId="270F1301" w:rsidR="00ED72E5" w:rsidRPr="00EE1930" w:rsidRDefault="00ED72E5" w:rsidP="00EE1930">
      <w:pPr>
        <w:pStyle w:val="CETHeadingxx"/>
        <w:rPr>
          <w:b w:val="0"/>
          <w:bCs/>
        </w:rPr>
      </w:pPr>
      <w:r w:rsidRPr="00EE1930">
        <w:rPr>
          <w:b w:val="0"/>
          <w:bCs/>
        </w:rPr>
        <w:lastRenderedPageBreak/>
        <w:t>Total Phenolic Content</w:t>
      </w:r>
    </w:p>
    <w:p w14:paraId="4886DC9A" w14:textId="6570AFC8" w:rsidR="00892B0A" w:rsidRPr="00F35D17" w:rsidRDefault="00ED72E5" w:rsidP="00143CD7">
      <w:pPr>
        <w:pStyle w:val="CETBodytext"/>
      </w:pPr>
      <w:r w:rsidRPr="00853613">
        <w:t xml:space="preserve">The total phenolic content (TPC) of the herbal extracts was determined by the </w:t>
      </w:r>
      <w:proofErr w:type="spellStart"/>
      <w:r w:rsidRPr="00853613">
        <w:t>Folin-Ciocalteu</w:t>
      </w:r>
      <w:proofErr w:type="spellEnd"/>
      <w:r w:rsidRPr="00853613">
        <w:t xml:space="preserve"> assay</w:t>
      </w:r>
      <w:r w:rsidRPr="00EE2B7A" w:rsidDel="00B478C4">
        <w:rPr>
          <w:lang w:val="en-GB"/>
        </w:rPr>
        <w:t xml:space="preserve"> </w:t>
      </w:r>
      <w:r w:rsidRPr="00EE2B7A">
        <w:rPr>
          <w:lang w:val="en-GB"/>
        </w:rPr>
        <w:fldChar w:fldCharType="begin"/>
      </w:r>
      <w:r w:rsidR="00492368">
        <w:rPr>
          <w:lang w:val="en-GB"/>
        </w:rPr>
        <w:instrText xml:space="preserve"> ADDIN EN.CITE &lt;EndNote&gt;&lt;Cite&gt;&lt;Author&gt;Skotti&lt;/Author&gt;&lt;Year&gt;2014&lt;/Year&gt;&lt;RecNum&gt;15&lt;/RecNum&gt;&lt;DisplayText&gt;(Skotti et al., 2014)&lt;/DisplayText&gt;&lt;record&gt;&lt;rec-number&gt;15&lt;/rec-number&gt;&lt;foreign-keys&gt;&lt;key app="EN" db-id="xpffsx9tlx5wzsepvzoxtpf32swzp0922swp" timestamp="1642766624"&gt;15&lt;/key&gt;&lt;/foreign-keys&gt;&lt;ref-type name="Journal Article"&gt;17&lt;/ref-type&gt;&lt;contributors&gt;&lt;authors&gt;&lt;author&gt;Skotti, Efstathia&lt;/author&gt;&lt;author&gt;Anastasaki, Eirini&lt;/author&gt;&lt;author&gt;Kanellou, Georgia&lt;/author&gt;&lt;author&gt;Polissiou, Moschos&lt;/author&gt;&lt;author&gt;Tarantilis, Petros A.&lt;/author&gt;&lt;/authors&gt;&lt;/contributors&gt;&lt;titles&gt;&lt;title&gt;Total phenolic content, antioxidant activity and toxicity of aqueous extracts from selected Greek medicinal and aromatic plants&lt;/title&gt;&lt;secondary-title&gt;Industrial Crops and Products&lt;/secondary-title&gt;&lt;/titles&gt;&lt;periodical&gt;&lt;full-title&gt;Industrial Crops and Products&lt;/full-title&gt;&lt;/periodical&gt;&lt;pages&gt;46-54&lt;/pages&gt;&lt;volume&gt;53&lt;/volume&gt;&lt;keywords&gt;&lt;keyword&gt;Toxicity&lt;/keyword&gt;&lt;keyword&gt;Lamiaceae&lt;/keyword&gt;&lt;keyword&gt;Synergism&lt;/keyword&gt;&lt;keyword&gt;Total phenolic content&lt;/keyword&gt;&lt;keyword&gt;Antioxidant activity&lt;/keyword&gt;&lt;/keywords&gt;&lt;dates&gt;&lt;year&gt;2014&lt;/year&gt;&lt;pub-dates&gt;&lt;date&gt;2014/02/01/&lt;/date&gt;&lt;/pub-dates&gt;&lt;/dates&gt;&lt;isbn&gt;0926-6690&lt;/isbn&gt;&lt;urls&gt;&lt;related-urls&gt;&lt;url&gt;https://www.sciencedirect.com/science/article/pii/S0926669013006900&lt;/url&gt;&lt;/related-urls&gt;&lt;/urls&gt;&lt;electronic-resource-num&gt;https://doi.org/10.1016/j.indcrop.2013.12.013&lt;/electronic-resource-num&gt;&lt;/record&gt;&lt;/Cite&gt;&lt;/EndNote&gt;</w:instrText>
      </w:r>
      <w:r w:rsidRPr="00EE2B7A">
        <w:rPr>
          <w:lang w:val="en-GB"/>
        </w:rPr>
        <w:fldChar w:fldCharType="separate"/>
      </w:r>
      <w:r w:rsidR="00492368">
        <w:rPr>
          <w:noProof/>
          <w:lang w:val="en-GB"/>
        </w:rPr>
        <w:t>(Skotti et al., 2014)</w:t>
      </w:r>
      <w:r w:rsidRPr="00EE2B7A">
        <w:rPr>
          <w:lang w:val="en-GB"/>
        </w:rPr>
        <w:fldChar w:fldCharType="end"/>
      </w:r>
      <w:r w:rsidRPr="00EE2B7A">
        <w:rPr>
          <w:lang w:val="en-GB"/>
        </w:rPr>
        <w:t xml:space="preserve"> </w:t>
      </w:r>
      <w:r w:rsidRPr="00EE2B7A">
        <w:rPr>
          <w:lang w:val="en-GB"/>
        </w:rPr>
        <w:fldChar w:fldCharType="begin"/>
      </w:r>
      <w:r w:rsidR="000B57EE">
        <w:rPr>
          <w:lang w:val="en-GB"/>
        </w:rPr>
        <w:instrText xml:space="preserve"> ADDIN EN.CITE &lt;EndNote&gt;&lt;Cite&gt;&lt;Author&gt;Singleton&lt;/Author&gt;&lt;Year&gt;1999&lt;/Year&gt;&lt;RecNum&gt;16&lt;/RecNum&gt;&lt;DisplayText&gt;(Singleton et al., 1999)&lt;/DisplayText&gt;&lt;record&gt;&lt;rec-number&gt;16&lt;/rec-number&gt;&lt;foreign-keys&gt;&lt;key app="EN" db-id="xpffsx9tlx5wzsepvzoxtpf32swzp0922swp" timestamp="1642766624"&gt;16&lt;/key&gt;&lt;/foreign-keys&gt;&lt;ref-type name="Book Section"&gt;5&lt;/ref-type&gt;&lt;contributors&gt;&lt;authors&gt;&lt;author&gt;Singleton, Vernon L.&lt;/author&gt;&lt;author&gt;Orthofer, Rudolf&lt;/author&gt;&lt;author&gt;Lamuela-Raventós, Rosa M.&lt;/author&gt;&lt;/authors&gt;&lt;/contributors&gt;&lt;titles&gt;&lt;title&gt;Analysis of total phenols and other oxidation substrates and antioxidants by means of folin-ciocalteu reagent&lt;/title&gt;&lt;secondary-title&gt;Methods in Enzymology&lt;/secondary-title&gt;&lt;/titles&gt;&lt;pages&gt;152-178&lt;/pages&gt;&lt;volume&gt;299&lt;/volume&gt;&lt;dates&gt;&lt;year&gt;1999&lt;/year&gt;&lt;pub-dates&gt;&lt;date&gt;1999/01/01/&lt;/date&gt;&lt;/pub-dates&gt;&lt;/dates&gt;&lt;publisher&gt;Academic Press&lt;/publisher&gt;&lt;isbn&gt;0076-6879&lt;/isbn&gt;&lt;urls&gt;&lt;related-urls&gt;&lt;url&gt;https://www.sciencedirect.com/science/article/pii/S0076687999990171&lt;/url&gt;&lt;/related-urls&gt;&lt;/urls&gt;&lt;electronic-resource-num&gt;https://doi.org/10.1016/S0076-6879(99)99017-1&lt;/electronic-resource-num&gt;&lt;/record&gt;&lt;/Cite&gt;&lt;/EndNote&gt;</w:instrText>
      </w:r>
      <w:r w:rsidRPr="00EE2B7A">
        <w:rPr>
          <w:lang w:val="en-GB"/>
        </w:rPr>
        <w:fldChar w:fldCharType="separate"/>
      </w:r>
      <w:r w:rsidR="00492368">
        <w:rPr>
          <w:noProof/>
          <w:lang w:val="en-GB"/>
        </w:rPr>
        <w:t>(Singleton et al., 1999)</w:t>
      </w:r>
      <w:r w:rsidRPr="00EE2B7A">
        <w:rPr>
          <w:lang w:val="en-GB"/>
        </w:rPr>
        <w:fldChar w:fldCharType="end"/>
      </w:r>
      <w:r w:rsidRPr="00EE2B7A">
        <w:rPr>
          <w:lang w:val="en-GB"/>
        </w:rPr>
        <w:t xml:space="preserve"> with </w:t>
      </w:r>
      <w:r w:rsidRPr="00EE2B7A">
        <w:t>some modifications</w:t>
      </w:r>
      <w:r w:rsidRPr="00F73552">
        <w:t xml:space="preserve">. Thus 100 μL of each tested </w:t>
      </w:r>
      <w:r w:rsidRPr="00853613">
        <w:t>sample</w:t>
      </w:r>
      <w:r w:rsidRPr="00F73552">
        <w:t>, 500 </w:t>
      </w:r>
      <w:proofErr w:type="spellStart"/>
      <w:r w:rsidRPr="00F73552">
        <w:t>μL</w:t>
      </w:r>
      <w:proofErr w:type="spellEnd"/>
      <w:r w:rsidRPr="00F73552">
        <w:t xml:space="preserve"> of </w:t>
      </w:r>
      <w:proofErr w:type="spellStart"/>
      <w:r w:rsidRPr="00F73552">
        <w:t>Folin-Ciocalteu</w:t>
      </w:r>
      <w:proofErr w:type="spellEnd"/>
      <w:r w:rsidRPr="00F73552">
        <w:t xml:space="preserve"> reagent and </w:t>
      </w:r>
      <w:r w:rsidRPr="00853613">
        <w:t>7.9</w:t>
      </w:r>
      <w:r w:rsidRPr="00F73552">
        <w:t> mL of deionized water were transferred in a 10 mL flask and mixed thoroughly. After 3</w:t>
      </w:r>
      <w:r w:rsidRPr="00853613">
        <w:t>0</w:t>
      </w:r>
      <w:r w:rsidRPr="00F73552">
        <w:t xml:space="preserve"> min, 1.5 mL of </w:t>
      </w:r>
      <w:r w:rsidRPr="00853613">
        <w:t>7.5</w:t>
      </w:r>
      <w:r>
        <w:t xml:space="preserve"> </w:t>
      </w:r>
      <w:r w:rsidRPr="00F73552">
        <w:t>% Na</w:t>
      </w:r>
      <w:r w:rsidRPr="00F73552">
        <w:rPr>
          <w:vertAlign w:val="subscript"/>
        </w:rPr>
        <w:t>2</w:t>
      </w:r>
      <w:r w:rsidRPr="00F73552">
        <w:t>CO</w:t>
      </w:r>
      <w:r w:rsidRPr="00F73552">
        <w:rPr>
          <w:vertAlign w:val="subscript"/>
        </w:rPr>
        <w:t>3</w:t>
      </w:r>
      <w:r w:rsidRPr="00F73552">
        <w:t xml:space="preserve"> was added in the flask</w:t>
      </w:r>
      <w:r w:rsidRPr="00853613">
        <w:t>, mixed thoroughly</w:t>
      </w:r>
      <w:r>
        <w:t>,</w:t>
      </w:r>
      <w:r w:rsidRPr="00853613">
        <w:t xml:space="preserve"> and let standing in a heating bath (40</w:t>
      </w:r>
      <w:r w:rsidRPr="00853613">
        <w:rPr>
          <w:vertAlign w:val="superscript"/>
        </w:rPr>
        <w:t>o</w:t>
      </w:r>
      <w:r w:rsidRPr="00853613">
        <w:t>C) for 30</w:t>
      </w:r>
      <w:r>
        <w:t xml:space="preserve"> </w:t>
      </w:r>
      <w:r w:rsidRPr="00853613">
        <w:t>min</w:t>
      </w:r>
      <w:r w:rsidRPr="00F73552">
        <w:t>.</w:t>
      </w:r>
      <w:r w:rsidRPr="00853613">
        <w:t xml:space="preserve"> A</w:t>
      </w:r>
      <w:r w:rsidRPr="00F73552">
        <w:t xml:space="preserve">bsorbance was measured by a </w:t>
      </w:r>
      <w:r w:rsidRPr="00853613">
        <w:t>spectrophotometer</w:t>
      </w:r>
      <w:r w:rsidRPr="00F73552">
        <w:t xml:space="preserve"> </w:t>
      </w:r>
      <w:r w:rsidRPr="00853613">
        <w:t>(</w:t>
      </w:r>
      <w:r>
        <w:t xml:space="preserve">Spectrometer 211 UV-M51, Bel Photonics) </w:t>
      </w:r>
      <w:r w:rsidRPr="00F73552">
        <w:t>at 765 nm against a blank.</w:t>
      </w:r>
      <w:r w:rsidRPr="00853613">
        <w:t xml:space="preserve"> </w:t>
      </w:r>
      <w:r w:rsidRPr="00F73552">
        <w:t>The total phenolic contents were calculated on the basis of the calibration curve of gallic acid</w:t>
      </w:r>
      <w:r>
        <w:t>,</w:t>
      </w:r>
      <w:r w:rsidRPr="00F73552">
        <w:t xml:space="preserve"> and expressed as gallic acid equivalents (GAE</w:t>
      </w:r>
      <w:r w:rsidRPr="004A3746">
        <w:t xml:space="preserve">) in milligrams per </w:t>
      </w:r>
      <w:r w:rsidR="004A3746" w:rsidRPr="004A3746">
        <w:t>mL</w:t>
      </w:r>
      <w:r w:rsidRPr="004A3746">
        <w:t xml:space="preserve"> of </w:t>
      </w:r>
      <w:r w:rsidR="004A3746" w:rsidRPr="004A3746">
        <w:rPr>
          <w:lang w:val="el-GR"/>
        </w:rPr>
        <w:t>ΟΕΟ</w:t>
      </w:r>
      <w:r w:rsidRPr="004A3746">
        <w:t>.</w:t>
      </w:r>
      <w:r w:rsidRPr="00484C75">
        <w:rPr>
          <w:lang w:val="en-GB"/>
        </w:rPr>
        <w:t xml:space="preserve"> </w:t>
      </w:r>
      <w:r w:rsidRPr="00484C75">
        <w:t>All measurements were performed in triplicate.</w:t>
      </w:r>
    </w:p>
    <w:p w14:paraId="1272ACE9" w14:textId="77777777" w:rsidR="00992E70" w:rsidRPr="00992E70" w:rsidRDefault="00992E70" w:rsidP="00B54DCE">
      <w:pPr>
        <w:pStyle w:val="CETHeading1"/>
        <w:spacing w:before="160"/>
      </w:pPr>
      <w:r w:rsidRPr="00992E70">
        <w:t>Results and Discussion</w:t>
      </w:r>
    </w:p>
    <w:p w14:paraId="54601579" w14:textId="5F291DD9" w:rsidR="00992E70" w:rsidRPr="00992E70" w:rsidRDefault="00992E70" w:rsidP="00992E70">
      <w:pPr>
        <w:pStyle w:val="CETheadingx"/>
        <w:numPr>
          <w:ilvl w:val="2"/>
          <w:numId w:val="1"/>
        </w:numPr>
      </w:pPr>
      <w:r w:rsidRPr="00992E70">
        <w:t>Morphological and structural characterization</w:t>
      </w:r>
    </w:p>
    <w:p w14:paraId="0524B0F5" w14:textId="77777777" w:rsidR="00992E70" w:rsidRPr="00EE1930" w:rsidRDefault="00992E70" w:rsidP="00505143">
      <w:pPr>
        <w:pStyle w:val="CETHeadingxx"/>
        <w:spacing w:before="80"/>
        <w:rPr>
          <w:b w:val="0"/>
          <w:bCs/>
        </w:rPr>
      </w:pPr>
      <w:r w:rsidRPr="00EE1930">
        <w:rPr>
          <w:b w:val="0"/>
          <w:bCs/>
        </w:rPr>
        <w:t xml:space="preserve">Scanning Electron Microscopy (SEM)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1446"/>
      </w:tblGrid>
      <w:tr w:rsidR="00992E70" w:rsidRPr="00992E70" w14:paraId="4DB7F247" w14:textId="77777777" w:rsidTr="00992E70">
        <w:trPr>
          <w:trHeight w:val="1592"/>
        </w:trPr>
        <w:tc>
          <w:tcPr>
            <w:tcW w:w="0" w:type="auto"/>
            <w:vAlign w:val="center"/>
          </w:tcPr>
          <w:p w14:paraId="6BA54CFD" w14:textId="77777777" w:rsidR="00992E70" w:rsidRPr="00992E70" w:rsidRDefault="00992E70" w:rsidP="00992E70">
            <w:pPr>
              <w:jc w:val="center"/>
              <w:rPr>
                <w:rFonts w:eastAsia="Calibri"/>
                <w:lang w:val="en-US"/>
              </w:rPr>
            </w:pPr>
            <w:r w:rsidRPr="00992E70">
              <w:rPr>
                <w:rFonts w:ascii="Calibri" w:eastAsia="Calibri" w:hAnsi="Calibri"/>
                <w:noProof/>
                <w:lang w:val="en-US"/>
              </w:rPr>
              <w:drawing>
                <wp:anchor distT="0" distB="0" distL="114300" distR="114300" simplePos="0" relativeHeight="251673088" behindDoc="0" locked="0" layoutInCell="1" allowOverlap="1" wp14:anchorId="7279D7E1" wp14:editId="475BD557">
                  <wp:simplePos x="0" y="0"/>
                  <wp:positionH relativeFrom="margin">
                    <wp:posOffset>21590</wp:posOffset>
                  </wp:positionH>
                  <wp:positionV relativeFrom="margin">
                    <wp:posOffset>-135255</wp:posOffset>
                  </wp:positionV>
                  <wp:extent cx="850392" cy="777240"/>
                  <wp:effectExtent l="0" t="0" r="6985" b="3810"/>
                  <wp:wrapThrough wrapText="bothSides">
                    <wp:wrapPolygon edited="0">
                      <wp:start x="0" y="0"/>
                      <wp:lineTo x="0" y="21176"/>
                      <wp:lineTo x="21294" y="21176"/>
                      <wp:lineTo x="21294" y="0"/>
                      <wp:lineTo x="0" y="0"/>
                    </wp:wrapPolygon>
                  </wp:wrapThrough>
                  <wp:docPr id="8"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0392"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2E70">
              <w:rPr>
                <w:rFonts w:eastAsia="Calibri"/>
                <w:lang w:val="en-US"/>
              </w:rPr>
              <w:t>a)</w:t>
            </w:r>
          </w:p>
        </w:tc>
        <w:tc>
          <w:tcPr>
            <w:tcW w:w="0" w:type="auto"/>
            <w:vAlign w:val="center"/>
          </w:tcPr>
          <w:p w14:paraId="3F8789A2" w14:textId="77777777" w:rsidR="00992E70" w:rsidRPr="00992E70" w:rsidRDefault="00992E70" w:rsidP="00992E70">
            <w:pPr>
              <w:jc w:val="center"/>
              <w:rPr>
                <w:rFonts w:eastAsia="Calibri"/>
                <w:lang w:val="en-US"/>
              </w:rPr>
            </w:pPr>
            <w:r w:rsidRPr="00992E70">
              <w:rPr>
                <w:rFonts w:ascii="Calibri" w:eastAsia="Calibri" w:hAnsi="Calibri"/>
                <w:noProof/>
                <w:lang w:val="en-US"/>
              </w:rPr>
              <w:drawing>
                <wp:anchor distT="0" distB="0" distL="114300" distR="114300" simplePos="0" relativeHeight="251675136" behindDoc="0" locked="0" layoutInCell="1" allowOverlap="1" wp14:anchorId="29143529" wp14:editId="07483579">
                  <wp:simplePos x="0" y="0"/>
                  <wp:positionH relativeFrom="margin">
                    <wp:posOffset>-22860</wp:posOffset>
                  </wp:positionH>
                  <wp:positionV relativeFrom="margin">
                    <wp:posOffset>-59055</wp:posOffset>
                  </wp:positionV>
                  <wp:extent cx="777240" cy="758825"/>
                  <wp:effectExtent l="0" t="0" r="3810" b="0"/>
                  <wp:wrapThrough wrapText="bothSides">
                    <wp:wrapPolygon edited="0">
                      <wp:start x="0" y="0"/>
                      <wp:lineTo x="0" y="20903"/>
                      <wp:lineTo x="21176" y="20903"/>
                      <wp:lineTo x="21176" y="0"/>
                      <wp:lineTo x="0" y="0"/>
                    </wp:wrapPolygon>
                  </wp:wrapThrough>
                  <wp:docPr id="7"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724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2E70">
              <w:rPr>
                <w:rFonts w:eastAsia="Calibri"/>
                <w:lang w:val="en-US"/>
              </w:rPr>
              <w:t>b)</w:t>
            </w:r>
          </w:p>
        </w:tc>
      </w:tr>
    </w:tbl>
    <w:p w14:paraId="24D6733F" w14:textId="01539962" w:rsidR="00992E70" w:rsidRPr="00992E70" w:rsidRDefault="00992E70" w:rsidP="00143CD7">
      <w:pPr>
        <w:pStyle w:val="CETCaption"/>
        <w:spacing w:before="0" w:after="0"/>
        <w:rPr>
          <w:rFonts w:eastAsia="Calibri"/>
          <w:lang w:val="en-US"/>
        </w:rPr>
      </w:pPr>
      <w:r w:rsidRPr="00992E70">
        <w:rPr>
          <w:rFonts w:eastAsia="Calibri"/>
          <w:lang w:val="en-US"/>
        </w:rPr>
        <w:t xml:space="preserve">Figure 2: SEM images </w:t>
      </w:r>
      <w:r w:rsidR="004A3746">
        <w:rPr>
          <w:rFonts w:eastAsia="Calibri"/>
          <w:lang w:val="en-US"/>
        </w:rPr>
        <w:t xml:space="preserve">of </w:t>
      </w:r>
      <w:proofErr w:type="spellStart"/>
      <w:r w:rsidR="004A3746">
        <w:rPr>
          <w:rFonts w:eastAsia="Calibri"/>
          <w:lang w:val="en-US"/>
        </w:rPr>
        <w:t>electrospun</w:t>
      </w:r>
      <w:proofErr w:type="spellEnd"/>
      <w:r w:rsidRPr="00992E70">
        <w:rPr>
          <w:rFonts w:eastAsia="Calibri"/>
          <w:lang w:val="en-US"/>
        </w:rPr>
        <w:t xml:space="preserve"> ZN-OEO nanofibers (</w:t>
      </w:r>
      <w:r w:rsidR="004A3746">
        <w:rPr>
          <w:rFonts w:eastAsia="Calibri"/>
          <w:lang w:val="en-US"/>
        </w:rPr>
        <w:t>process conditions:</w:t>
      </w:r>
      <w:r w:rsidR="00F074D1" w:rsidRPr="00F074D1">
        <w:rPr>
          <w:lang w:val="en-US"/>
        </w:rPr>
        <w:t xml:space="preserve"> </w:t>
      </w:r>
      <w:r w:rsidR="00F074D1" w:rsidRPr="00992E70">
        <w:rPr>
          <w:lang w:val="en-US"/>
        </w:rPr>
        <w:t>1mL/h - 27.5kV - 17cm</w:t>
      </w:r>
      <w:r w:rsidR="004A3746">
        <w:rPr>
          <w:rFonts w:eastAsia="Calibri"/>
          <w:lang w:val="en-US"/>
        </w:rPr>
        <w:t>)</w:t>
      </w:r>
      <w:r w:rsidRPr="00992E70">
        <w:rPr>
          <w:rFonts w:eastAsia="Calibri"/>
          <w:lang w:val="en-US"/>
        </w:rPr>
        <w:t>, in a scale of a) 20μm and b) 10μm</w:t>
      </w:r>
    </w:p>
    <w:p w14:paraId="52100F7A" w14:textId="4A066F30" w:rsidR="00992E70" w:rsidRPr="00992E70" w:rsidRDefault="00992E70" w:rsidP="00B54DCE">
      <w:pPr>
        <w:pStyle w:val="CETBodytext"/>
        <w:spacing w:before="40" w:after="40"/>
        <w:rPr>
          <w:rFonts w:eastAsia="Calibri"/>
        </w:rPr>
      </w:pPr>
      <w:r w:rsidRPr="00992E70">
        <w:rPr>
          <w:rFonts w:eastAsia="Calibri"/>
        </w:rPr>
        <w:t xml:space="preserve">The observation of the inclusion of the optimum OEO sample in a 20% w/w zein </w:t>
      </w:r>
      <w:proofErr w:type="spellStart"/>
      <w:r w:rsidRPr="00992E70">
        <w:rPr>
          <w:rFonts w:eastAsia="Calibri"/>
        </w:rPr>
        <w:t>matri</w:t>
      </w:r>
      <w:r w:rsidR="00EA3B49">
        <w:rPr>
          <w:rFonts w:eastAsia="Calibri"/>
        </w:rPr>
        <w:t>ce</w:t>
      </w:r>
      <w:proofErr w:type="spellEnd"/>
      <w:r w:rsidRPr="00992E70">
        <w:rPr>
          <w:rFonts w:eastAsia="Calibri"/>
        </w:rPr>
        <w:t xml:space="preserve"> dissolved in a mixture of </w:t>
      </w:r>
      <w:proofErr w:type="gramStart"/>
      <w:r w:rsidRPr="00992E70">
        <w:rPr>
          <w:rFonts w:eastAsia="Calibri"/>
        </w:rPr>
        <w:t>EtOH:H</w:t>
      </w:r>
      <w:r w:rsidRPr="008328CF">
        <w:rPr>
          <w:rFonts w:eastAsia="Calibri"/>
          <w:vertAlign w:val="subscript"/>
        </w:rPr>
        <w:t>2</w:t>
      </w:r>
      <w:r w:rsidRPr="00992E70">
        <w:rPr>
          <w:rFonts w:eastAsia="Calibri"/>
        </w:rPr>
        <w:t>O</w:t>
      </w:r>
      <w:proofErr w:type="gramEnd"/>
      <w:r w:rsidRPr="00992E70">
        <w:rPr>
          <w:rFonts w:eastAsia="Calibri"/>
        </w:rPr>
        <w:t xml:space="preserve"> (90:10), demonstrated not so satisfactory results. In particular, many agglomerates and spherical formations (beads) appear, attributed to the applied parameters or the choice of the </w:t>
      </w:r>
      <w:proofErr w:type="spellStart"/>
      <w:r w:rsidRPr="00992E70">
        <w:rPr>
          <w:rFonts w:eastAsia="Calibri"/>
        </w:rPr>
        <w:t>matri</w:t>
      </w:r>
      <w:r w:rsidR="00EA3B49">
        <w:rPr>
          <w:rFonts w:eastAsia="Calibri"/>
        </w:rPr>
        <w:t>ce</w:t>
      </w:r>
      <w:proofErr w:type="spellEnd"/>
      <w:r w:rsidRPr="00992E70">
        <w:rPr>
          <w:rFonts w:eastAsia="Calibri"/>
        </w:rPr>
        <w:t xml:space="preserve">. Consequently the sample is characterized as less desirable compared to the </w:t>
      </w:r>
      <w:proofErr w:type="spellStart"/>
      <w:proofErr w:type="gramStart"/>
      <w:r w:rsidRPr="00992E70">
        <w:rPr>
          <w:rFonts w:eastAsia="Calibri"/>
        </w:rPr>
        <w:t>WPI:pul</w:t>
      </w:r>
      <w:proofErr w:type="spellEnd"/>
      <w:proofErr w:type="gramEnd"/>
      <w:r w:rsidRPr="00992E70">
        <w:rPr>
          <w:rFonts w:eastAsia="Calibri"/>
        </w:rPr>
        <w:t>–OEO encapsulation 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1446"/>
      </w:tblGrid>
      <w:tr w:rsidR="00992E70" w:rsidRPr="00992E70" w14:paraId="6FB37E26" w14:textId="77777777" w:rsidTr="00992E70">
        <w:trPr>
          <w:trHeight w:val="724"/>
        </w:trPr>
        <w:tc>
          <w:tcPr>
            <w:tcW w:w="0" w:type="auto"/>
            <w:vAlign w:val="center"/>
          </w:tcPr>
          <w:p w14:paraId="4D2EA21F" w14:textId="77777777" w:rsidR="00992E70" w:rsidRPr="00992E70" w:rsidRDefault="00992E70" w:rsidP="00992E70">
            <w:pPr>
              <w:jc w:val="center"/>
              <w:rPr>
                <w:rFonts w:eastAsia="Calibri"/>
                <w:lang w:val="en-US"/>
              </w:rPr>
            </w:pPr>
            <w:r w:rsidRPr="00992E70">
              <w:rPr>
                <w:noProof/>
                <w:lang w:val="en-US"/>
              </w:rPr>
              <w:drawing>
                <wp:anchor distT="0" distB="0" distL="114300" distR="114300" simplePos="0" relativeHeight="251663872" behindDoc="0" locked="0" layoutInCell="1" allowOverlap="1" wp14:anchorId="783812AF" wp14:editId="1A31B877">
                  <wp:simplePos x="0" y="0"/>
                  <wp:positionH relativeFrom="margin">
                    <wp:posOffset>4445</wp:posOffset>
                  </wp:positionH>
                  <wp:positionV relativeFrom="margin">
                    <wp:posOffset>0</wp:posOffset>
                  </wp:positionV>
                  <wp:extent cx="777240" cy="777240"/>
                  <wp:effectExtent l="0" t="0" r="3810" b="3810"/>
                  <wp:wrapThrough wrapText="bothSides">
                    <wp:wrapPolygon edited="0">
                      <wp:start x="0" y="0"/>
                      <wp:lineTo x="0" y="21176"/>
                      <wp:lineTo x="21176" y="21176"/>
                      <wp:lineTo x="21176" y="0"/>
                      <wp:lineTo x="0" y="0"/>
                    </wp:wrapPolygon>
                  </wp:wrapThrough>
                  <wp:docPr id="1" name="Εικόνα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2E70">
              <w:rPr>
                <w:rFonts w:eastAsia="Calibri"/>
                <w:lang w:val="en-US"/>
              </w:rPr>
              <w:t>a)</w:t>
            </w:r>
          </w:p>
        </w:tc>
        <w:tc>
          <w:tcPr>
            <w:tcW w:w="0" w:type="auto"/>
            <w:vAlign w:val="center"/>
          </w:tcPr>
          <w:p w14:paraId="110E6132" w14:textId="77777777" w:rsidR="00992E70" w:rsidRPr="00992E70" w:rsidRDefault="00992E70" w:rsidP="00992E70">
            <w:pPr>
              <w:jc w:val="center"/>
              <w:rPr>
                <w:rFonts w:eastAsia="Calibri"/>
                <w:lang w:val="en-US"/>
              </w:rPr>
            </w:pPr>
            <w:r w:rsidRPr="00992E70">
              <w:rPr>
                <w:noProof/>
                <w:lang w:val="en-US"/>
              </w:rPr>
              <w:drawing>
                <wp:anchor distT="0" distB="0" distL="114300" distR="114300" simplePos="0" relativeHeight="251665920" behindDoc="0" locked="0" layoutInCell="1" allowOverlap="1" wp14:anchorId="007E6E7F" wp14:editId="0D61B9A2">
                  <wp:simplePos x="0" y="0"/>
                  <wp:positionH relativeFrom="margin">
                    <wp:posOffset>0</wp:posOffset>
                  </wp:positionH>
                  <wp:positionV relativeFrom="margin">
                    <wp:posOffset>-48260</wp:posOffset>
                  </wp:positionV>
                  <wp:extent cx="777240" cy="777240"/>
                  <wp:effectExtent l="0" t="0" r="3810" b="3810"/>
                  <wp:wrapThrough wrapText="bothSides">
                    <wp:wrapPolygon edited="0">
                      <wp:start x="0" y="0"/>
                      <wp:lineTo x="0" y="21176"/>
                      <wp:lineTo x="21176" y="21176"/>
                      <wp:lineTo x="21176" y="0"/>
                      <wp:lineTo x="0" y="0"/>
                    </wp:wrapPolygon>
                  </wp:wrapThrough>
                  <wp:docPr id="3" name="Εικόνα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2E70">
              <w:rPr>
                <w:rFonts w:eastAsia="Calibri"/>
                <w:lang w:val="en-US"/>
              </w:rPr>
              <w:t>b)</w:t>
            </w:r>
          </w:p>
        </w:tc>
      </w:tr>
      <w:tr w:rsidR="00992E70" w:rsidRPr="00992E70" w14:paraId="3F023EA6" w14:textId="77777777" w:rsidTr="00992E70">
        <w:trPr>
          <w:trHeight w:val="676"/>
        </w:trPr>
        <w:tc>
          <w:tcPr>
            <w:tcW w:w="0" w:type="auto"/>
            <w:vAlign w:val="center"/>
          </w:tcPr>
          <w:p w14:paraId="53FB607B" w14:textId="77777777" w:rsidR="00992E70" w:rsidRPr="00992E70" w:rsidRDefault="00992E70" w:rsidP="00992E70">
            <w:pPr>
              <w:jc w:val="center"/>
              <w:rPr>
                <w:rFonts w:eastAsia="Calibri"/>
                <w:lang w:val="en-US"/>
              </w:rPr>
            </w:pPr>
            <w:r w:rsidRPr="00992E70">
              <w:rPr>
                <w:noProof/>
                <w:lang w:val="en-US"/>
              </w:rPr>
              <w:drawing>
                <wp:anchor distT="0" distB="0" distL="114300" distR="114300" simplePos="0" relativeHeight="251667968" behindDoc="0" locked="0" layoutInCell="1" allowOverlap="1" wp14:anchorId="791B37DE" wp14:editId="243B37F3">
                  <wp:simplePos x="0" y="0"/>
                  <wp:positionH relativeFrom="margin">
                    <wp:posOffset>5715</wp:posOffset>
                  </wp:positionH>
                  <wp:positionV relativeFrom="margin">
                    <wp:posOffset>-76200</wp:posOffset>
                  </wp:positionV>
                  <wp:extent cx="777240" cy="777240"/>
                  <wp:effectExtent l="0" t="0" r="3810" b="3810"/>
                  <wp:wrapThrough wrapText="bothSides">
                    <wp:wrapPolygon edited="0">
                      <wp:start x="0" y="0"/>
                      <wp:lineTo x="0" y="21176"/>
                      <wp:lineTo x="21176" y="21176"/>
                      <wp:lineTo x="21176" y="0"/>
                      <wp:lineTo x="0" y="0"/>
                    </wp:wrapPolygon>
                  </wp:wrapThrough>
                  <wp:docPr id="4" name="Εικόνα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2E70">
              <w:rPr>
                <w:rFonts w:eastAsia="Calibri"/>
                <w:lang w:val="en-US"/>
              </w:rPr>
              <w:t>c)</w:t>
            </w:r>
          </w:p>
        </w:tc>
        <w:tc>
          <w:tcPr>
            <w:tcW w:w="0" w:type="auto"/>
            <w:vAlign w:val="center"/>
          </w:tcPr>
          <w:p w14:paraId="6DB11F14" w14:textId="77777777" w:rsidR="00992E70" w:rsidRPr="00992E70" w:rsidRDefault="00992E70" w:rsidP="00992E70">
            <w:pPr>
              <w:jc w:val="center"/>
              <w:rPr>
                <w:rFonts w:eastAsia="Calibri"/>
                <w:lang w:val="en-US"/>
              </w:rPr>
            </w:pPr>
            <w:r w:rsidRPr="00992E70">
              <w:rPr>
                <w:noProof/>
                <w:lang w:val="en-US"/>
              </w:rPr>
              <w:drawing>
                <wp:anchor distT="0" distB="0" distL="114300" distR="114300" simplePos="0" relativeHeight="251670016" behindDoc="0" locked="0" layoutInCell="1" allowOverlap="1" wp14:anchorId="0EDE1D8D" wp14:editId="7A206D81">
                  <wp:simplePos x="0" y="0"/>
                  <wp:positionH relativeFrom="margin">
                    <wp:posOffset>1270</wp:posOffset>
                  </wp:positionH>
                  <wp:positionV relativeFrom="margin">
                    <wp:posOffset>0</wp:posOffset>
                  </wp:positionV>
                  <wp:extent cx="777240" cy="777240"/>
                  <wp:effectExtent l="0" t="0" r="3810" b="3810"/>
                  <wp:wrapThrough wrapText="bothSides">
                    <wp:wrapPolygon edited="0">
                      <wp:start x="0" y="0"/>
                      <wp:lineTo x="0" y="21176"/>
                      <wp:lineTo x="21176" y="21176"/>
                      <wp:lineTo x="21176" y="0"/>
                      <wp:lineTo x="0" y="0"/>
                    </wp:wrapPolygon>
                  </wp:wrapThrough>
                  <wp:docPr id="9" name="Εικόνα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2E70">
              <w:rPr>
                <w:rFonts w:eastAsia="Calibri"/>
                <w:lang w:val="en-US"/>
              </w:rPr>
              <w:t>d)</w:t>
            </w:r>
          </w:p>
        </w:tc>
      </w:tr>
    </w:tbl>
    <w:p w14:paraId="542A2DDC" w14:textId="09E0A933" w:rsidR="00992E70" w:rsidRPr="00992E70" w:rsidRDefault="00992E70" w:rsidP="00A062CF">
      <w:pPr>
        <w:pStyle w:val="CETCaption"/>
        <w:spacing w:before="0" w:after="0"/>
        <w:rPr>
          <w:rFonts w:eastAsia="Calibri"/>
          <w:lang w:val="en-US"/>
        </w:rPr>
      </w:pPr>
      <w:bookmarkStart w:id="1" w:name="_Toc64550723"/>
      <w:r w:rsidRPr="00992E70">
        <w:rPr>
          <w:rFonts w:eastAsia="Calibri"/>
          <w:lang w:val="en-US"/>
        </w:rPr>
        <w:t xml:space="preserve">Figure 3: SEM images </w:t>
      </w:r>
      <w:r w:rsidR="00F074D1">
        <w:rPr>
          <w:rFonts w:eastAsia="Calibri"/>
          <w:lang w:val="en-US"/>
        </w:rPr>
        <w:t xml:space="preserve">of </w:t>
      </w:r>
      <w:proofErr w:type="spellStart"/>
      <w:r w:rsidR="00F074D1">
        <w:rPr>
          <w:rFonts w:eastAsia="Calibri"/>
          <w:lang w:val="en-US"/>
        </w:rPr>
        <w:t>electrospun</w:t>
      </w:r>
      <w:proofErr w:type="spellEnd"/>
      <w:r w:rsidRPr="00992E70">
        <w:rPr>
          <w:rFonts w:eastAsia="Calibri"/>
          <w:lang w:val="en-US"/>
        </w:rPr>
        <w:t xml:space="preserve"> </w:t>
      </w:r>
      <w:proofErr w:type="spellStart"/>
      <w:proofErr w:type="gramStart"/>
      <w:r w:rsidRPr="00992E70">
        <w:rPr>
          <w:rFonts w:eastAsia="Calibri"/>
          <w:lang w:val="en-US"/>
        </w:rPr>
        <w:t>WPI:pul</w:t>
      </w:r>
      <w:proofErr w:type="spellEnd"/>
      <w:proofErr w:type="gramEnd"/>
      <w:r w:rsidRPr="00992E70">
        <w:rPr>
          <w:rFonts w:eastAsia="Calibri"/>
          <w:lang w:val="en-US"/>
        </w:rPr>
        <w:t xml:space="preserve"> - OEO nanofibers (</w:t>
      </w:r>
      <w:r w:rsidR="00F074D1">
        <w:rPr>
          <w:rFonts w:eastAsia="Calibri"/>
          <w:lang w:val="en-US"/>
        </w:rPr>
        <w:t>process conditions:</w:t>
      </w:r>
      <w:r w:rsidR="00F074D1" w:rsidRPr="00F074D1">
        <w:rPr>
          <w:lang w:val="en-US"/>
        </w:rPr>
        <w:t xml:space="preserve"> </w:t>
      </w:r>
      <w:r w:rsidR="00F074D1" w:rsidRPr="00992E70">
        <w:rPr>
          <w:lang w:val="en-US"/>
        </w:rPr>
        <w:t>0.1mL/ h (LIQ1)</w:t>
      </w:r>
      <w:r w:rsidR="00F074D1">
        <w:rPr>
          <w:lang w:val="en-US"/>
        </w:rPr>
        <w:t xml:space="preserve"> - </w:t>
      </w:r>
      <w:r w:rsidR="00F074D1" w:rsidRPr="00992E70">
        <w:rPr>
          <w:lang w:val="en-US"/>
        </w:rPr>
        <w:t xml:space="preserve">1.5 mL/h (LIQ 2) </w:t>
      </w:r>
      <w:r w:rsidR="00F074D1">
        <w:rPr>
          <w:lang w:val="en-US"/>
        </w:rPr>
        <w:t xml:space="preserve">- </w:t>
      </w:r>
      <w:r w:rsidR="00F074D1" w:rsidRPr="00992E70">
        <w:rPr>
          <w:lang w:val="en-US"/>
        </w:rPr>
        <w:t>25 kV - 18cm</w:t>
      </w:r>
      <w:r w:rsidRPr="00992E70">
        <w:rPr>
          <w:rFonts w:eastAsia="Calibri"/>
          <w:lang w:val="en-US"/>
        </w:rPr>
        <w:t xml:space="preserve">), in a scale of a) 20μm, b) 10μm, c) 5μm </w:t>
      </w:r>
      <w:r w:rsidR="0088011F">
        <w:rPr>
          <w:rFonts w:eastAsia="Calibri"/>
          <w:lang w:val="en-US"/>
        </w:rPr>
        <w:t xml:space="preserve">and </w:t>
      </w:r>
      <w:r w:rsidRPr="00992E70">
        <w:rPr>
          <w:rFonts w:eastAsia="Calibri"/>
          <w:lang w:val="en-US"/>
        </w:rPr>
        <w:t>d) 2μm</w:t>
      </w:r>
    </w:p>
    <w:bookmarkEnd w:id="1"/>
    <w:p w14:paraId="712E3CAB" w14:textId="52A59D10" w:rsidR="00992E70" w:rsidRPr="00992E70" w:rsidRDefault="00992E70" w:rsidP="00B54DCE">
      <w:pPr>
        <w:pStyle w:val="CETBodytext"/>
        <w:spacing w:before="80"/>
        <w:rPr>
          <w:rFonts w:eastAsia="Calibri"/>
        </w:rPr>
      </w:pPr>
      <w:r w:rsidRPr="00992E70">
        <w:rPr>
          <w:rFonts w:eastAsia="Calibri"/>
        </w:rPr>
        <w:t xml:space="preserve">Contrarily, electrostatic fibrosis of the aqueous </w:t>
      </w:r>
      <w:proofErr w:type="spellStart"/>
      <w:r w:rsidRPr="00992E70">
        <w:rPr>
          <w:rFonts w:eastAsia="Calibri"/>
        </w:rPr>
        <w:t>matri</w:t>
      </w:r>
      <w:r w:rsidR="00EA3B49">
        <w:rPr>
          <w:rFonts w:eastAsia="Calibri"/>
        </w:rPr>
        <w:t>ce</w:t>
      </w:r>
      <w:proofErr w:type="spellEnd"/>
      <w:r w:rsidRPr="00992E70">
        <w:rPr>
          <w:rFonts w:eastAsia="Calibri"/>
        </w:rPr>
        <w:t xml:space="preserve"> </w:t>
      </w:r>
      <w:proofErr w:type="spellStart"/>
      <w:proofErr w:type="gramStart"/>
      <w:r w:rsidRPr="00992E70">
        <w:rPr>
          <w:rFonts w:eastAsia="Calibri"/>
        </w:rPr>
        <w:t>WPI:pul</w:t>
      </w:r>
      <w:proofErr w:type="spellEnd"/>
      <w:proofErr w:type="gramEnd"/>
      <w:r w:rsidRPr="00992E70">
        <w:rPr>
          <w:rFonts w:eastAsia="Calibri"/>
        </w:rPr>
        <w:t xml:space="preserve"> (30:70)% w/w and OEO presented very promising results. The fibers developed, were characterized by good dispersion, homogeneity, forming a dense grid with much fewer spherical formations compared to the ones of the zein-OEO film.</w:t>
      </w:r>
    </w:p>
    <w:p w14:paraId="15DA4D9B" w14:textId="151FD847" w:rsidR="00992E70" w:rsidRPr="00992E70" w:rsidRDefault="00992E70" w:rsidP="00B54DCE">
      <w:pPr>
        <w:pStyle w:val="CETheadingx"/>
        <w:numPr>
          <w:ilvl w:val="2"/>
          <w:numId w:val="1"/>
        </w:numPr>
        <w:spacing w:after="40"/>
      </w:pPr>
      <w:r w:rsidRPr="00992E70">
        <w:t>Electrohydrodynamic Processing</w:t>
      </w:r>
    </w:p>
    <w:p w14:paraId="72DFF2EC" w14:textId="745B446A" w:rsidR="00992E70" w:rsidRPr="00992E70" w:rsidRDefault="00992E70" w:rsidP="00B54DCE">
      <w:pPr>
        <w:spacing w:after="80"/>
        <w:rPr>
          <w:lang w:val="en-US"/>
        </w:rPr>
      </w:pPr>
      <w:r w:rsidRPr="00992E70">
        <w:rPr>
          <w:lang w:val="en-US"/>
        </w:rPr>
        <w:t xml:space="preserve">Table 2 presents the </w:t>
      </w:r>
      <w:r w:rsidR="00251702">
        <w:rPr>
          <w:lang w:val="en-US"/>
        </w:rPr>
        <w:t>selected</w:t>
      </w:r>
      <w:r w:rsidRPr="00992E70">
        <w:rPr>
          <w:lang w:val="en-US"/>
        </w:rPr>
        <w:t xml:space="preserve"> electrohydrodynamic process parameters </w:t>
      </w:r>
      <w:r w:rsidR="00251702">
        <w:rPr>
          <w:lang w:val="en-US"/>
        </w:rPr>
        <w:t>for both encapsulation systems.</w:t>
      </w:r>
    </w:p>
    <w:p w14:paraId="2180A8BB" w14:textId="0FA9DCD0" w:rsidR="00961905" w:rsidRPr="008A5114" w:rsidRDefault="00992E70" w:rsidP="008A5114">
      <w:pPr>
        <w:pStyle w:val="CETTabletitle"/>
        <w:spacing w:before="0"/>
        <w:rPr>
          <w:rFonts w:eastAsia="Calibri"/>
          <w:lang w:val="en-US"/>
        </w:rPr>
      </w:pPr>
      <w:bookmarkStart w:id="2" w:name="_Toc64550698"/>
      <w:r w:rsidRPr="00992E70">
        <w:rPr>
          <w:rFonts w:eastAsia="Calibri"/>
          <w:lang w:val="en-US"/>
        </w:rPr>
        <w:t xml:space="preserve">Table </w:t>
      </w:r>
      <w:r w:rsidR="009D097C">
        <w:rPr>
          <w:rFonts w:eastAsia="Calibri"/>
          <w:lang w:val="en-US"/>
        </w:rPr>
        <w:t>2</w:t>
      </w:r>
      <w:r w:rsidRPr="00992E70">
        <w:rPr>
          <w:rFonts w:eastAsia="Calibri"/>
          <w:lang w:val="en-US"/>
        </w:rPr>
        <w:t xml:space="preserve">: </w:t>
      </w:r>
      <w:bookmarkEnd w:id="2"/>
      <w:r w:rsidRPr="00992E70">
        <w:rPr>
          <w:rFonts w:eastAsia="Calibri"/>
          <w:lang w:val="en-US"/>
        </w:rPr>
        <w:t>Optimum electrohydrodynamic process parameters for the</w:t>
      </w:r>
      <w:r w:rsidR="00C713D1">
        <w:rPr>
          <w:rFonts w:eastAsia="Calibri"/>
          <w:lang w:val="en-US"/>
        </w:rPr>
        <w:t xml:space="preserve"> investigated</w:t>
      </w:r>
      <w:r w:rsidRPr="00992E70">
        <w:rPr>
          <w:rFonts w:eastAsia="Calibri"/>
          <w:lang w:val="en-US"/>
        </w:rPr>
        <w:t xml:space="preserve"> encapsulation </w:t>
      </w:r>
      <w:r w:rsidR="001B0C07">
        <w:rPr>
          <w:rFonts w:eastAsia="Calibri"/>
          <w:lang w:val="en-US"/>
        </w:rPr>
        <w:t>systems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50"/>
        <w:gridCol w:w="1960"/>
        <w:gridCol w:w="1460"/>
        <w:gridCol w:w="1530"/>
        <w:gridCol w:w="1080"/>
        <w:gridCol w:w="1170"/>
      </w:tblGrid>
      <w:tr w:rsidR="008A5114" w:rsidRPr="008A5114" w14:paraId="22AC83F4" w14:textId="27F95C7C" w:rsidTr="008A5114">
        <w:trPr>
          <w:trHeight w:val="411"/>
        </w:trPr>
        <w:tc>
          <w:tcPr>
            <w:tcW w:w="1350" w:type="dxa"/>
            <w:tcBorders>
              <w:top w:val="single" w:sz="12" w:space="0" w:color="008000"/>
              <w:bottom w:val="single" w:sz="6" w:space="0" w:color="008000"/>
            </w:tcBorders>
            <w:shd w:val="clear" w:color="auto" w:fill="FFFFFF"/>
            <w:vAlign w:val="center"/>
          </w:tcPr>
          <w:p w14:paraId="0741AA15" w14:textId="5B41D4E8" w:rsidR="008A5114" w:rsidRPr="008A5114" w:rsidRDefault="008A5114" w:rsidP="008A5114">
            <w:pPr>
              <w:pStyle w:val="CETBodytext"/>
              <w:jc w:val="left"/>
              <w:rPr>
                <w:lang w:val="en-GB"/>
              </w:rPr>
            </w:pPr>
            <w:r w:rsidRPr="008A5114">
              <w:rPr>
                <w:lang w:val="en-GB"/>
              </w:rPr>
              <w:t>Sample</w:t>
            </w:r>
          </w:p>
        </w:tc>
        <w:tc>
          <w:tcPr>
            <w:tcW w:w="1960" w:type="dxa"/>
            <w:tcBorders>
              <w:top w:val="single" w:sz="12" w:space="0" w:color="008000"/>
              <w:bottom w:val="single" w:sz="6" w:space="0" w:color="008000"/>
            </w:tcBorders>
            <w:shd w:val="clear" w:color="auto" w:fill="FFFFFF"/>
            <w:vAlign w:val="center"/>
          </w:tcPr>
          <w:p w14:paraId="7D26A1D8" w14:textId="7B2A583B" w:rsidR="008A5114" w:rsidRPr="008A5114" w:rsidRDefault="008A5114" w:rsidP="008A5114">
            <w:pPr>
              <w:pStyle w:val="CETBodytext"/>
              <w:jc w:val="center"/>
              <w:rPr>
                <w:lang w:val="en-GB"/>
              </w:rPr>
            </w:pPr>
            <w:r w:rsidRPr="008A5114">
              <w:t>Type of Electrospinning</w:t>
            </w:r>
          </w:p>
        </w:tc>
        <w:tc>
          <w:tcPr>
            <w:tcW w:w="1460" w:type="dxa"/>
            <w:tcBorders>
              <w:top w:val="single" w:sz="12" w:space="0" w:color="008000"/>
              <w:bottom w:val="single" w:sz="6" w:space="0" w:color="008000"/>
            </w:tcBorders>
            <w:shd w:val="clear" w:color="auto" w:fill="FFFFFF"/>
            <w:vAlign w:val="center"/>
          </w:tcPr>
          <w:p w14:paraId="63C2CF0C" w14:textId="06046BAA" w:rsidR="008A5114" w:rsidRPr="008A5114" w:rsidRDefault="008A5114" w:rsidP="008A5114">
            <w:pPr>
              <w:pStyle w:val="CETBodytext"/>
              <w:jc w:val="center"/>
              <w:rPr>
                <w:lang w:val="en-GB"/>
              </w:rPr>
            </w:pPr>
            <w:r w:rsidRPr="008A5114">
              <w:rPr>
                <w:lang w:val="en-GB"/>
              </w:rPr>
              <w:t>Inner Flow Rate (mL/h)</w:t>
            </w:r>
          </w:p>
        </w:tc>
        <w:tc>
          <w:tcPr>
            <w:tcW w:w="1530" w:type="dxa"/>
            <w:tcBorders>
              <w:top w:val="single" w:sz="12" w:space="0" w:color="008000"/>
              <w:bottom w:val="single" w:sz="6" w:space="0" w:color="008000"/>
            </w:tcBorders>
            <w:shd w:val="clear" w:color="auto" w:fill="FFFFFF"/>
            <w:vAlign w:val="center"/>
          </w:tcPr>
          <w:p w14:paraId="438DF778" w14:textId="72A318BE" w:rsidR="008A5114" w:rsidRPr="008A5114" w:rsidRDefault="008A5114" w:rsidP="008A5114">
            <w:pPr>
              <w:pStyle w:val="CETBodytext"/>
              <w:jc w:val="center"/>
              <w:rPr>
                <w:lang w:val="en-GB"/>
              </w:rPr>
            </w:pPr>
            <w:r w:rsidRPr="008A5114">
              <w:rPr>
                <w:lang w:val="en-GB"/>
              </w:rPr>
              <w:t>Outer Flow Rate (mL/h)</w:t>
            </w:r>
          </w:p>
        </w:tc>
        <w:tc>
          <w:tcPr>
            <w:tcW w:w="1080" w:type="dxa"/>
            <w:tcBorders>
              <w:top w:val="single" w:sz="12" w:space="0" w:color="008000"/>
              <w:bottom w:val="single" w:sz="6" w:space="0" w:color="008000"/>
            </w:tcBorders>
            <w:shd w:val="clear" w:color="auto" w:fill="FFFFFF"/>
            <w:vAlign w:val="center"/>
          </w:tcPr>
          <w:p w14:paraId="385B96F4" w14:textId="75F935DE" w:rsidR="008A5114" w:rsidRPr="008A5114" w:rsidRDefault="008A5114" w:rsidP="008A5114">
            <w:pPr>
              <w:pStyle w:val="CETBodytext"/>
              <w:jc w:val="center"/>
              <w:rPr>
                <w:lang w:val="en-GB"/>
              </w:rPr>
            </w:pPr>
            <w:r w:rsidRPr="008A5114">
              <w:t>Voltage (kV)</w:t>
            </w:r>
          </w:p>
        </w:tc>
        <w:tc>
          <w:tcPr>
            <w:tcW w:w="1170" w:type="dxa"/>
            <w:tcBorders>
              <w:top w:val="single" w:sz="12" w:space="0" w:color="008000"/>
              <w:bottom w:val="single" w:sz="6" w:space="0" w:color="008000"/>
            </w:tcBorders>
            <w:shd w:val="clear" w:color="auto" w:fill="FFFFFF"/>
            <w:vAlign w:val="center"/>
          </w:tcPr>
          <w:p w14:paraId="33E349FE" w14:textId="2C003457" w:rsidR="008A5114" w:rsidRPr="008A5114" w:rsidRDefault="008A5114" w:rsidP="008A5114">
            <w:pPr>
              <w:pStyle w:val="CETBodytext"/>
              <w:jc w:val="center"/>
              <w:rPr>
                <w:lang w:val="en-GB"/>
              </w:rPr>
            </w:pPr>
            <w:r w:rsidRPr="008A5114">
              <w:t>Distance (cm)</w:t>
            </w:r>
          </w:p>
        </w:tc>
      </w:tr>
      <w:tr w:rsidR="008A5114" w:rsidRPr="008A5114" w14:paraId="03C8D478" w14:textId="3C0571C8" w:rsidTr="008A5114">
        <w:trPr>
          <w:trHeight w:val="176"/>
        </w:trPr>
        <w:tc>
          <w:tcPr>
            <w:tcW w:w="1350" w:type="dxa"/>
            <w:shd w:val="clear" w:color="auto" w:fill="FFFFFF"/>
            <w:vAlign w:val="center"/>
          </w:tcPr>
          <w:p w14:paraId="4F4EE694" w14:textId="711C0F42" w:rsidR="008A5114" w:rsidRPr="008A5114" w:rsidRDefault="008A5114" w:rsidP="008A5114">
            <w:pPr>
              <w:pStyle w:val="CETBodytext"/>
              <w:jc w:val="left"/>
              <w:rPr>
                <w:lang w:val="en-GB"/>
              </w:rPr>
            </w:pPr>
            <w:r w:rsidRPr="008A5114">
              <w:t>Zein (ZN)</w:t>
            </w:r>
          </w:p>
        </w:tc>
        <w:tc>
          <w:tcPr>
            <w:tcW w:w="1960" w:type="dxa"/>
            <w:shd w:val="clear" w:color="auto" w:fill="FFFFFF"/>
            <w:vAlign w:val="center"/>
          </w:tcPr>
          <w:p w14:paraId="20F0ABC9" w14:textId="5C825561" w:rsidR="008A5114" w:rsidRPr="008A5114" w:rsidRDefault="008A5114" w:rsidP="008A5114">
            <w:pPr>
              <w:pStyle w:val="CETBodytext"/>
              <w:jc w:val="center"/>
              <w:rPr>
                <w:lang w:val="en-GB"/>
              </w:rPr>
            </w:pPr>
            <w:r w:rsidRPr="008A5114">
              <w:t>Uniaxial</w:t>
            </w:r>
          </w:p>
        </w:tc>
        <w:tc>
          <w:tcPr>
            <w:tcW w:w="1460" w:type="dxa"/>
            <w:shd w:val="clear" w:color="auto" w:fill="FFFFFF"/>
            <w:vAlign w:val="center"/>
          </w:tcPr>
          <w:p w14:paraId="1719E384" w14:textId="749487CC" w:rsidR="008A5114" w:rsidRPr="008A5114" w:rsidRDefault="008A5114" w:rsidP="008A5114">
            <w:pPr>
              <w:pStyle w:val="CETBodytext"/>
              <w:jc w:val="center"/>
              <w:rPr>
                <w:lang w:val="en-GB"/>
              </w:rPr>
            </w:pPr>
            <w:r w:rsidRPr="008A5114">
              <w:t>-</w:t>
            </w:r>
          </w:p>
        </w:tc>
        <w:tc>
          <w:tcPr>
            <w:tcW w:w="1530" w:type="dxa"/>
            <w:shd w:val="clear" w:color="auto" w:fill="FFFFFF"/>
            <w:vAlign w:val="center"/>
          </w:tcPr>
          <w:p w14:paraId="573A0768" w14:textId="012A8A95" w:rsidR="008A5114" w:rsidRPr="008A5114" w:rsidRDefault="008A5114" w:rsidP="008A5114">
            <w:pPr>
              <w:pStyle w:val="CETBodytext"/>
              <w:jc w:val="center"/>
              <w:rPr>
                <w:lang w:val="en-GB"/>
              </w:rPr>
            </w:pPr>
            <w:r w:rsidRPr="008A5114">
              <w:t>1.5</w:t>
            </w:r>
          </w:p>
        </w:tc>
        <w:tc>
          <w:tcPr>
            <w:tcW w:w="1080" w:type="dxa"/>
            <w:shd w:val="clear" w:color="auto" w:fill="FFFFFF"/>
            <w:vAlign w:val="center"/>
          </w:tcPr>
          <w:p w14:paraId="683B136B" w14:textId="58133824" w:rsidR="008A5114" w:rsidRPr="008A5114" w:rsidRDefault="008A5114" w:rsidP="008A5114">
            <w:pPr>
              <w:pStyle w:val="CETBodytext"/>
              <w:jc w:val="center"/>
              <w:rPr>
                <w:lang w:val="en-GB"/>
              </w:rPr>
            </w:pPr>
            <w:r w:rsidRPr="008A5114">
              <w:t>25</w:t>
            </w:r>
          </w:p>
        </w:tc>
        <w:tc>
          <w:tcPr>
            <w:tcW w:w="1170" w:type="dxa"/>
            <w:shd w:val="clear" w:color="auto" w:fill="FFFFFF"/>
          </w:tcPr>
          <w:p w14:paraId="0BDF2622" w14:textId="1EE4B251" w:rsidR="008A5114" w:rsidRPr="008A5114" w:rsidRDefault="008A5114" w:rsidP="008A5114">
            <w:pPr>
              <w:pStyle w:val="CETBodytext"/>
              <w:jc w:val="center"/>
              <w:rPr>
                <w:lang w:val="en-GB"/>
              </w:rPr>
            </w:pPr>
            <w:r w:rsidRPr="008A5114">
              <w:t>17</w:t>
            </w:r>
          </w:p>
        </w:tc>
      </w:tr>
      <w:tr w:rsidR="008A5114" w:rsidRPr="008A5114" w14:paraId="31B9B23B" w14:textId="461FF8BE" w:rsidTr="008A5114">
        <w:trPr>
          <w:trHeight w:val="176"/>
        </w:trPr>
        <w:tc>
          <w:tcPr>
            <w:tcW w:w="1350" w:type="dxa"/>
            <w:shd w:val="clear" w:color="auto" w:fill="FFFFFF"/>
            <w:vAlign w:val="center"/>
          </w:tcPr>
          <w:p w14:paraId="4A8BA5CF" w14:textId="48C91C99" w:rsidR="008A5114" w:rsidRPr="008A5114" w:rsidRDefault="008A5114" w:rsidP="008A5114">
            <w:pPr>
              <w:pStyle w:val="CETBodytext"/>
              <w:ind w:right="-1"/>
              <w:jc w:val="left"/>
              <w:rPr>
                <w:rFonts w:cs="Arial"/>
                <w:szCs w:val="18"/>
                <w:lang w:val="en-GB"/>
              </w:rPr>
            </w:pPr>
            <w:proofErr w:type="spellStart"/>
            <w:r w:rsidRPr="008A5114">
              <w:t>Ζein</w:t>
            </w:r>
            <w:proofErr w:type="spellEnd"/>
            <w:r w:rsidRPr="008A5114">
              <w:t xml:space="preserve"> – OEO</w:t>
            </w:r>
          </w:p>
        </w:tc>
        <w:tc>
          <w:tcPr>
            <w:tcW w:w="1960" w:type="dxa"/>
            <w:shd w:val="clear" w:color="auto" w:fill="FFFFFF"/>
            <w:vAlign w:val="center"/>
          </w:tcPr>
          <w:p w14:paraId="6A64C219" w14:textId="665B0434" w:rsidR="008A5114" w:rsidRPr="008A5114" w:rsidRDefault="008A5114" w:rsidP="008A5114">
            <w:pPr>
              <w:pStyle w:val="CETBodytext"/>
              <w:ind w:right="-1"/>
              <w:jc w:val="center"/>
              <w:rPr>
                <w:rFonts w:cs="Arial"/>
                <w:szCs w:val="18"/>
                <w:lang w:val="en-GB"/>
              </w:rPr>
            </w:pPr>
            <w:r w:rsidRPr="008A5114">
              <w:t>Uniaxial</w:t>
            </w:r>
          </w:p>
        </w:tc>
        <w:tc>
          <w:tcPr>
            <w:tcW w:w="1460" w:type="dxa"/>
            <w:shd w:val="clear" w:color="auto" w:fill="FFFFFF"/>
            <w:vAlign w:val="center"/>
          </w:tcPr>
          <w:p w14:paraId="63D6A085" w14:textId="745D97E4" w:rsidR="008A5114" w:rsidRPr="008A5114" w:rsidRDefault="008A5114" w:rsidP="008A5114">
            <w:pPr>
              <w:pStyle w:val="CETBodytext"/>
              <w:ind w:right="-1"/>
              <w:jc w:val="center"/>
              <w:rPr>
                <w:rFonts w:cs="Arial"/>
                <w:szCs w:val="18"/>
                <w:lang w:val="en-GB"/>
              </w:rPr>
            </w:pPr>
            <w:r w:rsidRPr="008A5114">
              <w:t>-</w:t>
            </w:r>
          </w:p>
        </w:tc>
        <w:tc>
          <w:tcPr>
            <w:tcW w:w="1530" w:type="dxa"/>
            <w:shd w:val="clear" w:color="auto" w:fill="FFFFFF"/>
            <w:vAlign w:val="center"/>
          </w:tcPr>
          <w:p w14:paraId="3BD90BD2" w14:textId="4598F0D3" w:rsidR="008A5114" w:rsidRPr="008A5114" w:rsidRDefault="008A5114" w:rsidP="008A5114">
            <w:pPr>
              <w:pStyle w:val="CETBodytext"/>
              <w:ind w:right="-1"/>
              <w:jc w:val="center"/>
              <w:rPr>
                <w:rFonts w:cs="Arial"/>
                <w:szCs w:val="18"/>
                <w:lang w:val="en-GB"/>
              </w:rPr>
            </w:pPr>
            <w:r w:rsidRPr="008A5114">
              <w:t>1.5</w:t>
            </w:r>
          </w:p>
        </w:tc>
        <w:tc>
          <w:tcPr>
            <w:tcW w:w="1080" w:type="dxa"/>
            <w:shd w:val="clear" w:color="auto" w:fill="FFFFFF"/>
            <w:vAlign w:val="center"/>
          </w:tcPr>
          <w:p w14:paraId="10A75AA6" w14:textId="175BB72E" w:rsidR="008A5114" w:rsidRPr="008A5114" w:rsidRDefault="008A5114" w:rsidP="008A5114">
            <w:pPr>
              <w:pStyle w:val="CETBodytext"/>
              <w:ind w:right="-1"/>
              <w:jc w:val="center"/>
              <w:rPr>
                <w:rFonts w:cs="Arial"/>
                <w:szCs w:val="18"/>
                <w:lang w:val="en-GB"/>
              </w:rPr>
            </w:pPr>
            <w:r w:rsidRPr="008A5114">
              <w:t>25</w:t>
            </w:r>
          </w:p>
        </w:tc>
        <w:tc>
          <w:tcPr>
            <w:tcW w:w="1170" w:type="dxa"/>
            <w:shd w:val="clear" w:color="auto" w:fill="FFFFFF"/>
          </w:tcPr>
          <w:p w14:paraId="0255712E" w14:textId="4699968E" w:rsidR="008A5114" w:rsidRPr="008A5114" w:rsidRDefault="008A5114" w:rsidP="008A5114">
            <w:pPr>
              <w:pStyle w:val="CETBodytext"/>
              <w:ind w:right="-1"/>
              <w:jc w:val="center"/>
              <w:rPr>
                <w:rFonts w:cs="Arial"/>
                <w:szCs w:val="18"/>
                <w:lang w:val="en-GB"/>
              </w:rPr>
            </w:pPr>
            <w:r w:rsidRPr="008A5114">
              <w:t>17</w:t>
            </w:r>
          </w:p>
        </w:tc>
      </w:tr>
      <w:tr w:rsidR="008A5114" w:rsidRPr="008A5114" w14:paraId="2E1DAB09" w14:textId="77777777" w:rsidTr="008A5114">
        <w:trPr>
          <w:trHeight w:val="176"/>
        </w:trPr>
        <w:tc>
          <w:tcPr>
            <w:tcW w:w="1350" w:type="dxa"/>
            <w:shd w:val="clear" w:color="auto" w:fill="FFFFFF"/>
            <w:vAlign w:val="center"/>
          </w:tcPr>
          <w:p w14:paraId="33BB036F" w14:textId="58C1F086" w:rsidR="008A5114" w:rsidRPr="008A5114" w:rsidRDefault="008A5114" w:rsidP="008A5114">
            <w:pPr>
              <w:pStyle w:val="CETBodytext"/>
              <w:ind w:right="-1"/>
              <w:jc w:val="left"/>
              <w:rPr>
                <w:rFonts w:cs="Arial"/>
                <w:szCs w:val="18"/>
                <w:lang w:val="en-GB"/>
              </w:rPr>
            </w:pPr>
            <w:proofErr w:type="spellStart"/>
            <w:proofErr w:type="gramStart"/>
            <w:r w:rsidRPr="008A5114">
              <w:t>WPI:pul</w:t>
            </w:r>
            <w:proofErr w:type="spellEnd"/>
            <w:proofErr w:type="gramEnd"/>
            <w:r w:rsidRPr="008A5114">
              <w:t xml:space="preserve"> (30:70w/w)</w:t>
            </w:r>
          </w:p>
        </w:tc>
        <w:tc>
          <w:tcPr>
            <w:tcW w:w="1960" w:type="dxa"/>
            <w:shd w:val="clear" w:color="auto" w:fill="FFFFFF"/>
            <w:vAlign w:val="center"/>
          </w:tcPr>
          <w:p w14:paraId="287F8F0B" w14:textId="23352B1C" w:rsidR="008A5114" w:rsidRPr="008A5114" w:rsidRDefault="008A5114" w:rsidP="008A5114">
            <w:pPr>
              <w:pStyle w:val="CETBodytext"/>
              <w:ind w:right="-1"/>
              <w:jc w:val="center"/>
              <w:rPr>
                <w:rFonts w:cs="Arial"/>
                <w:szCs w:val="18"/>
                <w:lang w:val="en-GB"/>
              </w:rPr>
            </w:pPr>
            <w:r w:rsidRPr="008A5114">
              <w:t>Uniaxial</w:t>
            </w:r>
          </w:p>
        </w:tc>
        <w:tc>
          <w:tcPr>
            <w:tcW w:w="1460" w:type="dxa"/>
            <w:shd w:val="clear" w:color="auto" w:fill="FFFFFF"/>
            <w:vAlign w:val="center"/>
          </w:tcPr>
          <w:p w14:paraId="51A624E6" w14:textId="348F2219" w:rsidR="008A5114" w:rsidRPr="008A5114" w:rsidRDefault="008A5114" w:rsidP="008A5114">
            <w:pPr>
              <w:pStyle w:val="CETBodytext"/>
              <w:ind w:right="-1"/>
              <w:jc w:val="center"/>
              <w:rPr>
                <w:rFonts w:cs="Arial"/>
                <w:szCs w:val="18"/>
                <w:lang w:val="en-GB"/>
              </w:rPr>
            </w:pPr>
            <w:r w:rsidRPr="008A5114">
              <w:t>-</w:t>
            </w:r>
          </w:p>
        </w:tc>
        <w:tc>
          <w:tcPr>
            <w:tcW w:w="1530" w:type="dxa"/>
            <w:shd w:val="clear" w:color="auto" w:fill="FFFFFF"/>
            <w:vAlign w:val="center"/>
          </w:tcPr>
          <w:p w14:paraId="6DE262FE" w14:textId="721BF05F" w:rsidR="008A5114" w:rsidRPr="008A5114" w:rsidRDefault="008A5114" w:rsidP="008A5114">
            <w:pPr>
              <w:pStyle w:val="CETBodytext"/>
              <w:ind w:right="-1"/>
              <w:jc w:val="center"/>
              <w:rPr>
                <w:rFonts w:cs="Arial"/>
                <w:szCs w:val="18"/>
                <w:lang w:val="en-GB"/>
              </w:rPr>
            </w:pPr>
            <w:r w:rsidRPr="008A5114">
              <w:t>1.5</w:t>
            </w:r>
          </w:p>
        </w:tc>
        <w:tc>
          <w:tcPr>
            <w:tcW w:w="1080" w:type="dxa"/>
            <w:shd w:val="clear" w:color="auto" w:fill="FFFFFF"/>
            <w:vAlign w:val="center"/>
          </w:tcPr>
          <w:p w14:paraId="20FCA981" w14:textId="34E15DCE" w:rsidR="008A5114" w:rsidRPr="008A5114" w:rsidRDefault="008A5114" w:rsidP="008A5114">
            <w:pPr>
              <w:pStyle w:val="CETBodytext"/>
              <w:ind w:right="-1"/>
              <w:jc w:val="center"/>
              <w:rPr>
                <w:rFonts w:cs="Arial"/>
                <w:szCs w:val="18"/>
                <w:lang w:val="en-GB"/>
              </w:rPr>
            </w:pPr>
            <w:r w:rsidRPr="008A5114">
              <w:t>18</w:t>
            </w:r>
          </w:p>
        </w:tc>
        <w:tc>
          <w:tcPr>
            <w:tcW w:w="1170" w:type="dxa"/>
            <w:shd w:val="clear" w:color="auto" w:fill="FFFFFF"/>
          </w:tcPr>
          <w:p w14:paraId="12141650" w14:textId="0D31AA38" w:rsidR="008A5114" w:rsidRPr="008A5114" w:rsidRDefault="008A5114" w:rsidP="008A5114">
            <w:pPr>
              <w:pStyle w:val="CETBodytext"/>
              <w:ind w:right="-1"/>
              <w:jc w:val="center"/>
              <w:rPr>
                <w:rFonts w:cs="Arial"/>
                <w:szCs w:val="18"/>
                <w:lang w:val="en-GB"/>
              </w:rPr>
            </w:pPr>
            <w:r w:rsidRPr="008A5114">
              <w:t>18</w:t>
            </w:r>
          </w:p>
        </w:tc>
      </w:tr>
      <w:tr w:rsidR="008A5114" w:rsidRPr="008A5114" w14:paraId="5D65FA7F" w14:textId="77777777" w:rsidTr="008A5114">
        <w:trPr>
          <w:trHeight w:val="176"/>
        </w:trPr>
        <w:tc>
          <w:tcPr>
            <w:tcW w:w="1350" w:type="dxa"/>
            <w:shd w:val="clear" w:color="auto" w:fill="FFFFFF"/>
            <w:vAlign w:val="center"/>
          </w:tcPr>
          <w:p w14:paraId="3FF47D76" w14:textId="22A71246" w:rsidR="008A5114" w:rsidRPr="008A5114" w:rsidRDefault="008A5114" w:rsidP="008A5114">
            <w:pPr>
              <w:pStyle w:val="CETBodytext"/>
              <w:ind w:right="-1"/>
              <w:jc w:val="left"/>
              <w:rPr>
                <w:rFonts w:cs="Arial"/>
                <w:szCs w:val="18"/>
                <w:lang w:val="en-GB"/>
              </w:rPr>
            </w:pPr>
            <w:proofErr w:type="spellStart"/>
            <w:proofErr w:type="gramStart"/>
            <w:r w:rsidRPr="008A5114">
              <w:t>WPI:pul</w:t>
            </w:r>
            <w:proofErr w:type="spellEnd"/>
            <w:proofErr w:type="gramEnd"/>
            <w:r w:rsidRPr="008A5114">
              <w:t xml:space="preserve"> – OEO</w:t>
            </w:r>
          </w:p>
        </w:tc>
        <w:tc>
          <w:tcPr>
            <w:tcW w:w="1960" w:type="dxa"/>
            <w:shd w:val="clear" w:color="auto" w:fill="FFFFFF"/>
            <w:vAlign w:val="center"/>
          </w:tcPr>
          <w:p w14:paraId="217DE1C0" w14:textId="7E74CA69" w:rsidR="008A5114" w:rsidRPr="008A5114" w:rsidRDefault="008A5114" w:rsidP="008A5114">
            <w:pPr>
              <w:pStyle w:val="CETBodytext"/>
              <w:ind w:right="-1"/>
              <w:jc w:val="center"/>
              <w:rPr>
                <w:rFonts w:cs="Arial"/>
                <w:szCs w:val="18"/>
                <w:lang w:val="en-GB"/>
              </w:rPr>
            </w:pPr>
            <w:r w:rsidRPr="008A5114">
              <w:t>Coaxial</w:t>
            </w:r>
          </w:p>
        </w:tc>
        <w:tc>
          <w:tcPr>
            <w:tcW w:w="1460" w:type="dxa"/>
            <w:shd w:val="clear" w:color="auto" w:fill="FFFFFF"/>
            <w:vAlign w:val="center"/>
          </w:tcPr>
          <w:p w14:paraId="3F8AD7D3" w14:textId="44D873E3" w:rsidR="008A5114" w:rsidRPr="008A5114" w:rsidRDefault="008A5114" w:rsidP="008A5114">
            <w:pPr>
              <w:pStyle w:val="CETBodytext"/>
              <w:ind w:right="-1"/>
              <w:jc w:val="center"/>
              <w:rPr>
                <w:rFonts w:cs="Arial"/>
                <w:szCs w:val="18"/>
                <w:lang w:val="en-GB"/>
              </w:rPr>
            </w:pPr>
            <w:r w:rsidRPr="008A5114">
              <w:t>0.5</w:t>
            </w:r>
          </w:p>
        </w:tc>
        <w:tc>
          <w:tcPr>
            <w:tcW w:w="1530" w:type="dxa"/>
            <w:shd w:val="clear" w:color="auto" w:fill="FFFFFF"/>
            <w:vAlign w:val="center"/>
          </w:tcPr>
          <w:p w14:paraId="4C86A121" w14:textId="3EE2B351" w:rsidR="008A5114" w:rsidRPr="008A5114" w:rsidRDefault="008A5114" w:rsidP="008A5114">
            <w:pPr>
              <w:pStyle w:val="CETBodytext"/>
              <w:ind w:right="-1"/>
              <w:jc w:val="center"/>
              <w:rPr>
                <w:rFonts w:cs="Arial"/>
                <w:szCs w:val="18"/>
                <w:lang w:val="en-GB"/>
              </w:rPr>
            </w:pPr>
            <w:r w:rsidRPr="008A5114">
              <w:t>1.5</w:t>
            </w:r>
          </w:p>
        </w:tc>
        <w:tc>
          <w:tcPr>
            <w:tcW w:w="1080" w:type="dxa"/>
            <w:shd w:val="clear" w:color="auto" w:fill="FFFFFF"/>
            <w:vAlign w:val="center"/>
          </w:tcPr>
          <w:p w14:paraId="63E042E8" w14:textId="1A05FAD4" w:rsidR="008A5114" w:rsidRPr="008A5114" w:rsidRDefault="008A5114" w:rsidP="008A5114">
            <w:pPr>
              <w:pStyle w:val="CETBodytext"/>
              <w:ind w:right="-1"/>
              <w:jc w:val="center"/>
              <w:rPr>
                <w:rFonts w:cs="Arial"/>
                <w:szCs w:val="18"/>
                <w:lang w:val="en-GB"/>
              </w:rPr>
            </w:pPr>
            <w:r w:rsidRPr="008A5114">
              <w:t>18</w:t>
            </w:r>
          </w:p>
        </w:tc>
        <w:tc>
          <w:tcPr>
            <w:tcW w:w="1170" w:type="dxa"/>
            <w:shd w:val="clear" w:color="auto" w:fill="FFFFFF"/>
          </w:tcPr>
          <w:p w14:paraId="0F9E1A64" w14:textId="455BD7A6" w:rsidR="008A5114" w:rsidRPr="008A5114" w:rsidRDefault="008A5114" w:rsidP="008A5114">
            <w:pPr>
              <w:pStyle w:val="CETBodytext"/>
              <w:ind w:right="-1"/>
              <w:jc w:val="center"/>
              <w:rPr>
                <w:rFonts w:cs="Arial"/>
                <w:szCs w:val="18"/>
                <w:lang w:val="en-GB"/>
              </w:rPr>
            </w:pPr>
            <w:r w:rsidRPr="008A5114">
              <w:t>18</w:t>
            </w:r>
          </w:p>
        </w:tc>
      </w:tr>
    </w:tbl>
    <w:p w14:paraId="1826C7E9" w14:textId="5FD5D1AB" w:rsidR="00961905" w:rsidRPr="00961905" w:rsidRDefault="00992E70" w:rsidP="00961905">
      <w:pPr>
        <w:pStyle w:val="CETheadingx"/>
        <w:numPr>
          <w:ilvl w:val="2"/>
          <w:numId w:val="1"/>
        </w:numPr>
      </w:pPr>
      <w:r w:rsidRPr="00992E70">
        <w:lastRenderedPageBreak/>
        <w:t>Encapsulation Efficiency (EE)</w:t>
      </w:r>
    </w:p>
    <w:p w14:paraId="7359A0E8" w14:textId="3D562D30" w:rsidR="0005094D" w:rsidRPr="00264A1C" w:rsidRDefault="00992E70" w:rsidP="0023354E">
      <w:pPr>
        <w:pStyle w:val="CETBodytext"/>
      </w:pPr>
      <w:r w:rsidRPr="0023354E">
        <w:t xml:space="preserve">The use of suitable solvent systems (hexane, water, ethanol) to detect the OEO inside and outside of the developed fibers (successful and unsuccessful inclusion respectively), was required for the evaluation of the encapsulation efficiency of the process. The indirect quantification of OEO was achieved by Total Phenolic Content (TPC) determination by the </w:t>
      </w:r>
      <w:proofErr w:type="spellStart"/>
      <w:r w:rsidRPr="0023354E">
        <w:t>Folin</w:t>
      </w:r>
      <w:proofErr w:type="spellEnd"/>
      <w:r w:rsidRPr="0023354E">
        <w:t>–</w:t>
      </w:r>
      <w:proofErr w:type="spellStart"/>
      <w:r w:rsidRPr="0023354E">
        <w:t>Ciocalteu</w:t>
      </w:r>
      <w:proofErr w:type="spellEnd"/>
      <w:r w:rsidRPr="0023354E">
        <w:t xml:space="preserve"> method.</w:t>
      </w:r>
    </w:p>
    <w:p w14:paraId="0ACD5A6E" w14:textId="688C6DCB" w:rsidR="00992E70" w:rsidRPr="0023354E" w:rsidRDefault="00962DBF" w:rsidP="0023354E">
      <w:pPr>
        <w:pStyle w:val="CETBodytext"/>
        <w:rPr>
          <w:rFonts w:eastAsia="Calibri"/>
        </w:rPr>
      </w:pPr>
      <w:r w:rsidRPr="0023354E">
        <w:rPr>
          <w:rFonts w:eastAsia="Calibri"/>
        </w:rPr>
        <w:t xml:space="preserve">The </w:t>
      </w:r>
      <w:r w:rsidR="007739A4">
        <w:rPr>
          <w:rFonts w:eastAsia="Calibri"/>
        </w:rPr>
        <w:t xml:space="preserve">EE </w:t>
      </w:r>
      <w:r w:rsidRPr="0023354E">
        <w:rPr>
          <w:rFonts w:eastAsia="Calibri"/>
        </w:rPr>
        <w:t xml:space="preserve">of OEO at the zein </w:t>
      </w:r>
      <w:proofErr w:type="spellStart"/>
      <w:r w:rsidRPr="0023354E">
        <w:rPr>
          <w:rFonts w:eastAsia="Calibri"/>
        </w:rPr>
        <w:t>matrice</w:t>
      </w:r>
      <w:proofErr w:type="spellEnd"/>
      <w:r w:rsidR="007739A4">
        <w:rPr>
          <w:rFonts w:eastAsia="Calibri"/>
        </w:rPr>
        <w:t xml:space="preserve">, was calculated by </w:t>
      </w:r>
      <w:r w:rsidR="00992E70" w:rsidRPr="0023354E">
        <w:rPr>
          <w:rFonts w:eastAsia="Calibri"/>
        </w:rPr>
        <w:t xml:space="preserve">the total phenolics measured by the </w:t>
      </w:r>
      <w:proofErr w:type="spellStart"/>
      <w:r w:rsidR="00992E70" w:rsidRPr="0023354E">
        <w:rPr>
          <w:rFonts w:eastAsia="Calibri"/>
        </w:rPr>
        <w:t>Folin</w:t>
      </w:r>
      <w:proofErr w:type="spellEnd"/>
      <w:r w:rsidR="00992E70" w:rsidRPr="0023354E">
        <w:rPr>
          <w:rFonts w:eastAsia="Calibri"/>
        </w:rPr>
        <w:t xml:space="preserve"> - </w:t>
      </w:r>
      <w:proofErr w:type="spellStart"/>
      <w:r w:rsidR="00992E70" w:rsidRPr="0023354E">
        <w:rPr>
          <w:rFonts w:eastAsia="Calibri"/>
        </w:rPr>
        <w:t>Ciocalteau</w:t>
      </w:r>
      <w:proofErr w:type="spellEnd"/>
      <w:r w:rsidR="00992E70" w:rsidRPr="0023354E">
        <w:rPr>
          <w:rFonts w:eastAsia="Calibri"/>
        </w:rPr>
        <w:t xml:space="preserve"> method</w:t>
      </w:r>
      <w:r w:rsidR="00264A1C">
        <w:rPr>
          <w:rFonts w:eastAsia="Calibri"/>
        </w:rPr>
        <w:t xml:space="preserve"> in each sample</w:t>
      </w:r>
      <w:r w:rsidR="00992E70" w:rsidRPr="0023354E">
        <w:rPr>
          <w:rFonts w:eastAsia="Calibri"/>
        </w:rPr>
        <w:t>, before and after the electrostatic fibrosis.</w:t>
      </w:r>
    </w:p>
    <w:p w14:paraId="0312E3EA" w14:textId="22903A2D" w:rsidR="00992E70" w:rsidRPr="0023354E" w:rsidRDefault="00992E70" w:rsidP="0074608A">
      <w:pPr>
        <w:pStyle w:val="CETBodytext"/>
        <w:rPr>
          <w:rFonts w:eastAsia="Calibri"/>
        </w:rPr>
      </w:pPr>
      <w:r w:rsidRPr="0023354E">
        <w:rPr>
          <w:rFonts w:eastAsia="Calibri"/>
        </w:rPr>
        <w:t xml:space="preserve">The results presented in Table 2 were obtained from the photometry of the </w:t>
      </w:r>
      <w:r w:rsidR="00962DBF" w:rsidRPr="0023354E">
        <w:rPr>
          <w:rFonts w:eastAsia="Calibri"/>
        </w:rPr>
        <w:t xml:space="preserve">optimum ZN-OEO </w:t>
      </w:r>
      <w:r w:rsidRPr="0023354E">
        <w:rPr>
          <w:rFonts w:eastAsia="Calibri"/>
        </w:rPr>
        <w:t>sample.</w:t>
      </w:r>
    </w:p>
    <w:p w14:paraId="06BE3318" w14:textId="1551596F" w:rsidR="00992E70" w:rsidRPr="00992E70" w:rsidRDefault="00992E70" w:rsidP="00264A1C">
      <w:pPr>
        <w:pStyle w:val="CETTabletitle"/>
        <w:spacing w:before="0"/>
        <w:rPr>
          <w:rFonts w:eastAsia="Calibri"/>
          <w:lang w:val="en-US"/>
        </w:rPr>
      </w:pPr>
      <w:r w:rsidRPr="00992E70">
        <w:rPr>
          <w:rFonts w:eastAsia="Calibri"/>
          <w:lang w:val="en-US"/>
        </w:rPr>
        <w:t xml:space="preserve">Table </w:t>
      </w:r>
      <w:r w:rsidR="009D097C">
        <w:rPr>
          <w:rFonts w:eastAsia="Calibri"/>
          <w:lang w:val="en-US"/>
        </w:rPr>
        <w:t>3</w:t>
      </w:r>
      <w:r w:rsidRPr="00992E70">
        <w:rPr>
          <w:rFonts w:eastAsia="Calibri"/>
          <w:lang w:val="en-US"/>
        </w:rPr>
        <w:t xml:space="preserve">: Encapsulation Efficiency of the optimum ZN-OEO sample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59"/>
        <w:gridCol w:w="2053"/>
        <w:gridCol w:w="2320"/>
        <w:gridCol w:w="1682"/>
      </w:tblGrid>
      <w:tr w:rsidR="00992E70" w:rsidRPr="00992E70" w14:paraId="07730DF3" w14:textId="77777777" w:rsidTr="00854C49">
        <w:trPr>
          <w:trHeight w:val="307"/>
        </w:trPr>
        <w:tc>
          <w:tcPr>
            <w:tcW w:w="1159" w:type="dxa"/>
            <w:tcBorders>
              <w:top w:val="single" w:sz="12" w:space="0" w:color="008000"/>
              <w:bottom w:val="single" w:sz="6" w:space="0" w:color="008000"/>
            </w:tcBorders>
            <w:shd w:val="clear" w:color="auto" w:fill="FFFFFF"/>
            <w:vAlign w:val="center"/>
          </w:tcPr>
          <w:p w14:paraId="49BAE435" w14:textId="77777777" w:rsidR="00992E70" w:rsidRPr="00992E70" w:rsidRDefault="00992E70" w:rsidP="00992E70">
            <w:pPr>
              <w:jc w:val="left"/>
              <w:rPr>
                <w:b/>
                <w:bCs/>
              </w:rPr>
            </w:pPr>
            <w:r w:rsidRPr="00992E70">
              <w:rPr>
                <w:b/>
                <w:bCs/>
                <w:lang w:val="en-US"/>
              </w:rPr>
              <w:t>Sample</w:t>
            </w:r>
          </w:p>
        </w:tc>
        <w:tc>
          <w:tcPr>
            <w:tcW w:w="2053" w:type="dxa"/>
            <w:tcBorders>
              <w:top w:val="single" w:sz="12" w:space="0" w:color="008000"/>
              <w:bottom w:val="single" w:sz="6" w:space="0" w:color="008000"/>
            </w:tcBorders>
            <w:shd w:val="clear" w:color="auto" w:fill="FFFFFF"/>
            <w:vAlign w:val="center"/>
          </w:tcPr>
          <w:p w14:paraId="21D1907A" w14:textId="6A1B1E68" w:rsidR="00992E70" w:rsidRPr="00992E70" w:rsidRDefault="00992E70" w:rsidP="00992E70">
            <w:pPr>
              <w:jc w:val="center"/>
              <w:rPr>
                <w:b/>
                <w:bCs/>
              </w:rPr>
            </w:pPr>
            <w:r w:rsidRPr="00992E70">
              <w:rPr>
                <w:b/>
                <w:bCs/>
                <w:lang w:val="en-US"/>
              </w:rPr>
              <w:t>TPC (mg GAE/</w:t>
            </w:r>
            <w:r w:rsidR="004C6158">
              <w:rPr>
                <w:b/>
                <w:bCs/>
                <w:lang w:val="en-US"/>
              </w:rPr>
              <w:t>mL</w:t>
            </w:r>
            <w:r w:rsidRPr="00992E70">
              <w:rPr>
                <w:b/>
                <w:bCs/>
                <w:lang w:val="en-US"/>
              </w:rPr>
              <w:t xml:space="preserve"> </w:t>
            </w:r>
            <w:r w:rsidR="004C6158">
              <w:rPr>
                <w:b/>
                <w:bCs/>
                <w:lang w:val="en-US"/>
              </w:rPr>
              <w:t>O</w:t>
            </w:r>
            <w:r w:rsidRPr="00992E70">
              <w:rPr>
                <w:b/>
                <w:bCs/>
                <w:lang w:val="en-US"/>
              </w:rPr>
              <w:t>EO) before encapsulation</w:t>
            </w:r>
          </w:p>
        </w:tc>
        <w:tc>
          <w:tcPr>
            <w:tcW w:w="2320" w:type="dxa"/>
            <w:tcBorders>
              <w:top w:val="single" w:sz="12" w:space="0" w:color="008000"/>
              <w:bottom w:val="single" w:sz="6" w:space="0" w:color="008000"/>
            </w:tcBorders>
            <w:shd w:val="clear" w:color="auto" w:fill="FFFFFF"/>
            <w:vAlign w:val="center"/>
          </w:tcPr>
          <w:p w14:paraId="7FA04A98" w14:textId="779261DF" w:rsidR="00992E70" w:rsidRPr="00992E70" w:rsidRDefault="00992E70" w:rsidP="00992E70">
            <w:pPr>
              <w:jc w:val="center"/>
              <w:rPr>
                <w:b/>
                <w:bCs/>
                <w:lang w:val="en-US"/>
              </w:rPr>
            </w:pPr>
            <w:r w:rsidRPr="00992E70">
              <w:rPr>
                <w:b/>
                <w:bCs/>
                <w:lang w:val="en-US"/>
              </w:rPr>
              <w:t>TPC (mg GAE/</w:t>
            </w:r>
            <w:r w:rsidR="008A5114">
              <w:rPr>
                <w:b/>
                <w:bCs/>
                <w:lang w:val="en-US"/>
              </w:rPr>
              <w:t>mL</w:t>
            </w:r>
            <w:r w:rsidRPr="00992E70">
              <w:rPr>
                <w:b/>
                <w:bCs/>
                <w:lang w:val="en-US"/>
              </w:rPr>
              <w:t xml:space="preserve"> </w:t>
            </w:r>
            <w:r w:rsidR="008A5114">
              <w:rPr>
                <w:b/>
                <w:bCs/>
                <w:lang w:val="en-US"/>
              </w:rPr>
              <w:t>O</w:t>
            </w:r>
            <w:r w:rsidRPr="00992E70">
              <w:rPr>
                <w:b/>
                <w:bCs/>
                <w:lang w:val="en-US"/>
              </w:rPr>
              <w:t>EO) encapsulat</w:t>
            </w:r>
            <w:r w:rsidR="0065088D">
              <w:rPr>
                <w:b/>
                <w:bCs/>
                <w:lang w:val="en-US"/>
              </w:rPr>
              <w:t>ed</w:t>
            </w:r>
          </w:p>
        </w:tc>
        <w:tc>
          <w:tcPr>
            <w:tcW w:w="1682" w:type="dxa"/>
            <w:tcBorders>
              <w:top w:val="single" w:sz="12" w:space="0" w:color="008000"/>
              <w:bottom w:val="single" w:sz="6" w:space="0" w:color="008000"/>
            </w:tcBorders>
            <w:shd w:val="clear" w:color="auto" w:fill="FFFFFF"/>
            <w:vAlign w:val="center"/>
          </w:tcPr>
          <w:p w14:paraId="435AA4DA" w14:textId="77777777" w:rsidR="00992E70" w:rsidRPr="00992E70" w:rsidRDefault="00992E70" w:rsidP="00992E70">
            <w:pPr>
              <w:jc w:val="center"/>
              <w:rPr>
                <w:b/>
                <w:bCs/>
              </w:rPr>
            </w:pPr>
            <w:r w:rsidRPr="00992E70">
              <w:rPr>
                <w:b/>
                <w:bCs/>
                <w:lang w:val="en-US"/>
              </w:rPr>
              <w:t>Encapsulation Efficiency</w:t>
            </w:r>
          </w:p>
        </w:tc>
      </w:tr>
      <w:tr w:rsidR="00992E70" w:rsidRPr="00992E70" w14:paraId="3B4C102F" w14:textId="77777777" w:rsidTr="00854C49">
        <w:trPr>
          <w:trHeight w:val="279"/>
        </w:trPr>
        <w:tc>
          <w:tcPr>
            <w:tcW w:w="1159" w:type="dxa"/>
            <w:shd w:val="clear" w:color="auto" w:fill="FFFFFF"/>
            <w:vAlign w:val="center"/>
          </w:tcPr>
          <w:p w14:paraId="63EAD314" w14:textId="77777777" w:rsidR="00992E70" w:rsidRPr="00992E70" w:rsidRDefault="00992E70" w:rsidP="00992E70">
            <w:pPr>
              <w:jc w:val="left"/>
              <w:rPr>
                <w:lang w:val="en-US"/>
              </w:rPr>
            </w:pPr>
            <w:r w:rsidRPr="00992E70">
              <w:rPr>
                <w:lang w:val="en-US"/>
              </w:rPr>
              <w:t>Oregano EO</w:t>
            </w:r>
          </w:p>
        </w:tc>
        <w:tc>
          <w:tcPr>
            <w:tcW w:w="2053" w:type="dxa"/>
            <w:shd w:val="clear" w:color="auto" w:fill="FFFFFF"/>
            <w:vAlign w:val="center"/>
          </w:tcPr>
          <w:p w14:paraId="42B0A21F" w14:textId="77777777" w:rsidR="00992E70" w:rsidRPr="00992E70" w:rsidRDefault="00992E70" w:rsidP="00992E70">
            <w:pPr>
              <w:jc w:val="center"/>
              <w:rPr>
                <w:lang w:val="en-US"/>
              </w:rPr>
            </w:pPr>
            <w:r w:rsidRPr="00992E70">
              <w:rPr>
                <w:lang w:val="en-US"/>
              </w:rPr>
              <w:t>62.7430</w:t>
            </w:r>
          </w:p>
        </w:tc>
        <w:tc>
          <w:tcPr>
            <w:tcW w:w="2320" w:type="dxa"/>
            <w:shd w:val="clear" w:color="auto" w:fill="FFFFFF"/>
            <w:vAlign w:val="center"/>
          </w:tcPr>
          <w:p w14:paraId="0D4862C5" w14:textId="1293DCD3" w:rsidR="00992E70" w:rsidRPr="00992E70" w:rsidRDefault="0065088D" w:rsidP="00992E70">
            <w:pPr>
              <w:jc w:val="center"/>
              <w:rPr>
                <w:lang w:val="en-US"/>
              </w:rPr>
            </w:pPr>
            <w:r>
              <w:rPr>
                <w:lang w:val="en-US"/>
              </w:rPr>
              <w:t>27</w:t>
            </w:r>
            <w:r w:rsidR="00992E70" w:rsidRPr="00992E70">
              <w:rPr>
                <w:lang w:val="en-US"/>
              </w:rPr>
              <w:t>.9406</w:t>
            </w:r>
          </w:p>
        </w:tc>
        <w:tc>
          <w:tcPr>
            <w:tcW w:w="1682" w:type="dxa"/>
            <w:shd w:val="clear" w:color="auto" w:fill="FFFFFF"/>
            <w:vAlign w:val="center"/>
          </w:tcPr>
          <w:p w14:paraId="2D01DB70" w14:textId="6EE5DD3F" w:rsidR="00992E70" w:rsidRPr="00992E70" w:rsidRDefault="0065088D" w:rsidP="00992E70">
            <w:pPr>
              <w:jc w:val="center"/>
              <w:rPr>
                <w:lang w:val="en-US"/>
              </w:rPr>
            </w:pPr>
            <w:r>
              <w:rPr>
                <w:lang w:val="en-US"/>
              </w:rPr>
              <w:t>44.5</w:t>
            </w:r>
            <w:r w:rsidR="00992E70" w:rsidRPr="00992E70">
              <w:rPr>
                <w:lang w:val="en-US"/>
              </w:rPr>
              <w:t>%</w:t>
            </w:r>
          </w:p>
        </w:tc>
      </w:tr>
    </w:tbl>
    <w:p w14:paraId="2CB47002" w14:textId="39BCA884" w:rsidR="0023354E" w:rsidRDefault="00992E70" w:rsidP="00A062CF">
      <w:pPr>
        <w:spacing w:before="80"/>
        <w:rPr>
          <w:rFonts w:eastAsia="Calibri"/>
          <w:lang w:val="en-US"/>
        </w:rPr>
      </w:pPr>
      <w:r w:rsidRPr="00992E70">
        <w:rPr>
          <w:rFonts w:eastAsia="Calibri"/>
          <w:lang w:val="en-US"/>
        </w:rPr>
        <w:t xml:space="preserve">The </w:t>
      </w:r>
      <w:r w:rsidR="00F33EAF" w:rsidRPr="00992E70">
        <w:rPr>
          <w:rFonts w:eastAsia="Calibri"/>
          <w:lang w:val="en-US"/>
        </w:rPr>
        <w:t>encapsulation efficiency</w:t>
      </w:r>
      <w:r w:rsidR="00F33EAF" w:rsidRPr="00992E70">
        <w:rPr>
          <w:lang w:val="en-US"/>
        </w:rPr>
        <w:t xml:space="preserve"> </w:t>
      </w:r>
      <w:r w:rsidRPr="00992E70">
        <w:rPr>
          <w:rFonts w:eastAsia="Calibri"/>
          <w:lang w:val="en-US"/>
        </w:rPr>
        <w:t>of the sample was calculated from 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0"/>
        <w:gridCol w:w="1039"/>
      </w:tblGrid>
      <w:tr w:rsidR="0023354E" w14:paraId="48435035" w14:textId="77777777" w:rsidTr="00143CD7">
        <w:trPr>
          <w:trHeight w:val="359"/>
        </w:trPr>
        <w:tc>
          <w:tcPr>
            <w:tcW w:w="7640" w:type="dxa"/>
          </w:tcPr>
          <w:p w14:paraId="341D073D" w14:textId="541C7705" w:rsidR="0023354E" w:rsidRDefault="0023354E" w:rsidP="008125B6">
            <w:pPr>
              <w:pStyle w:val="CETEquation"/>
              <w:rPr>
                <w:rFonts w:eastAsia="Calibri"/>
                <w:lang w:val="en-US"/>
              </w:rPr>
            </w:pPr>
            <w:r w:rsidRPr="00992E70">
              <w:rPr>
                <w:sz w:val="16"/>
                <w:szCs w:val="16"/>
                <w:lang w:val="en-US"/>
              </w:rPr>
              <w:t xml:space="preserve">Encapsulation Efficiency </w:t>
            </w:r>
            <w:r w:rsidRPr="00992E70">
              <w:rPr>
                <w:rFonts w:eastAsia="Calibri"/>
                <w:sz w:val="16"/>
                <w:szCs w:val="16"/>
                <w:lang w:val="en-US"/>
              </w:rPr>
              <w:t>(%) =</w:t>
            </w:r>
            <w:r w:rsidRPr="00992E70">
              <w:rPr>
                <w:rFonts w:eastAsia="Calibri"/>
                <w:lang w:val="en-US"/>
              </w:rPr>
              <w:t xml:space="preserve"> </w:t>
            </w:r>
            <m:oMath>
              <m:f>
                <m:fPr>
                  <m:ctrlPr>
                    <w:rPr>
                      <w:rFonts w:ascii="Cambria Math" w:eastAsia="Calibri" w:hAnsi="Cambria Math"/>
                      <w:lang w:val="en-US"/>
                    </w:rPr>
                  </m:ctrlPr>
                </m:fPr>
                <m:num>
                  <m:r>
                    <w:rPr>
                      <w:rFonts w:ascii="Cambria Math" w:eastAsia="Calibri" w:hAnsi="Cambria Math"/>
                      <w:lang w:val="en-US"/>
                    </w:rPr>
                    <m:t>mg</m:t>
                  </m:r>
                  <m:r>
                    <m:rPr>
                      <m:sty m:val="p"/>
                    </m:rPr>
                    <w:rPr>
                      <w:rFonts w:ascii="Cambria Math" w:eastAsia="Calibri" w:hAnsi="Cambria Math"/>
                      <w:lang w:val="en-US"/>
                    </w:rPr>
                    <m:t xml:space="preserve"> </m:t>
                  </m:r>
                  <m:r>
                    <w:rPr>
                      <w:rFonts w:ascii="Cambria Math" w:eastAsia="Calibri" w:hAnsi="Cambria Math"/>
                      <w:lang w:val="en-US"/>
                    </w:rPr>
                    <m:t>GAE</m:t>
                  </m:r>
                  <m:r>
                    <m:rPr>
                      <m:sty m:val="p"/>
                    </m:rPr>
                    <w:rPr>
                      <w:rFonts w:ascii="Cambria Math" w:eastAsia="Calibri" w:hAnsi="Cambria Math"/>
                      <w:lang w:val="en-US"/>
                    </w:rPr>
                    <m:t xml:space="preserve"> </m:t>
                  </m:r>
                  <m:r>
                    <w:rPr>
                      <w:rFonts w:ascii="Cambria Math" w:eastAsia="Calibri" w:hAnsi="Cambria Math"/>
                      <w:lang w:val="en-US"/>
                    </w:rPr>
                    <m:t>encapsulated</m:t>
                  </m:r>
                  <m:r>
                    <m:rPr>
                      <m:sty m:val="p"/>
                    </m:rPr>
                    <w:rPr>
                      <w:rFonts w:ascii="Cambria Math" w:eastAsia="Calibri" w:hAnsi="Cambria Math"/>
                      <w:lang w:val="en-US"/>
                    </w:rPr>
                    <m:t xml:space="preserve"> </m:t>
                  </m:r>
                  <m:r>
                    <w:rPr>
                      <w:rFonts w:ascii="Cambria Math" w:eastAsia="Calibri" w:hAnsi="Cambria Math"/>
                      <w:lang w:val="en-US"/>
                    </w:rPr>
                    <m:t>OEO</m:t>
                  </m:r>
                  <m:r>
                    <m:rPr>
                      <m:sty m:val="p"/>
                    </m:rPr>
                    <w:rPr>
                      <w:rFonts w:ascii="Cambria Math" w:eastAsia="Calibri" w:hAnsi="Cambria Math"/>
                      <w:lang w:val="en-US"/>
                    </w:rPr>
                    <m:t xml:space="preserve"> </m:t>
                  </m:r>
                </m:num>
                <m:den>
                  <m:r>
                    <w:rPr>
                      <w:rFonts w:ascii="Cambria Math" w:eastAsia="Calibri" w:hAnsi="Cambria Math"/>
                      <w:lang w:val="en-US"/>
                    </w:rPr>
                    <m:t>mg</m:t>
                  </m:r>
                  <m:r>
                    <m:rPr>
                      <m:sty m:val="p"/>
                    </m:rPr>
                    <w:rPr>
                      <w:rFonts w:ascii="Cambria Math" w:eastAsia="Calibri" w:hAnsi="Cambria Math"/>
                      <w:lang w:val="en-US"/>
                    </w:rPr>
                    <m:t xml:space="preserve"> </m:t>
                  </m:r>
                  <m:r>
                    <w:rPr>
                      <w:rFonts w:ascii="Cambria Math" w:eastAsia="Calibri" w:hAnsi="Cambria Math"/>
                      <w:lang w:val="en-US"/>
                    </w:rPr>
                    <m:t>GAE</m:t>
                  </m:r>
                  <m:r>
                    <m:rPr>
                      <m:sty m:val="p"/>
                    </m:rPr>
                    <w:rPr>
                      <w:rFonts w:ascii="Cambria Math" w:eastAsia="Calibri" w:hAnsi="Cambria Math"/>
                      <w:lang w:val="en-US"/>
                    </w:rPr>
                    <m:t xml:space="preserve"> </m:t>
                  </m:r>
                  <m:r>
                    <w:rPr>
                      <w:rFonts w:ascii="Cambria Math" w:eastAsia="Calibri" w:hAnsi="Cambria Math"/>
                      <w:lang w:val="en-US"/>
                    </w:rPr>
                    <m:t>initial</m:t>
                  </m:r>
                  <m:r>
                    <m:rPr>
                      <m:sty m:val="p"/>
                    </m:rPr>
                    <w:rPr>
                      <w:rFonts w:ascii="Cambria Math" w:eastAsia="Calibri" w:hAnsi="Cambria Math"/>
                      <w:lang w:val="en-US"/>
                    </w:rPr>
                    <m:t xml:space="preserve"> </m:t>
                  </m:r>
                  <m:r>
                    <w:rPr>
                      <w:rFonts w:ascii="Cambria Math" w:eastAsia="Calibri" w:hAnsi="Cambria Math"/>
                      <w:lang w:val="en-US"/>
                    </w:rPr>
                    <m:t>OEO</m:t>
                  </m:r>
                  <m:r>
                    <m:rPr>
                      <m:sty m:val="p"/>
                    </m:rPr>
                    <w:rPr>
                      <w:rFonts w:ascii="Cambria Math" w:eastAsia="Calibri" w:hAnsi="Cambria Math"/>
                      <w:lang w:val="en-US"/>
                    </w:rPr>
                    <m:t xml:space="preserve"> (b</m:t>
                  </m:r>
                  <m:r>
                    <w:rPr>
                      <w:rFonts w:ascii="Cambria Math" w:eastAsia="Calibri" w:hAnsi="Cambria Math"/>
                      <w:lang w:val="el-GR"/>
                    </w:rPr>
                    <m:t>efore</m:t>
                  </m:r>
                  <m:r>
                    <m:rPr>
                      <m:sty m:val="p"/>
                    </m:rPr>
                    <w:rPr>
                      <w:rFonts w:ascii="Cambria Math" w:eastAsia="Calibri" w:hAnsi="Cambria Math"/>
                      <w:lang w:val="en-US"/>
                    </w:rPr>
                    <m:t xml:space="preserve"> </m:t>
                  </m:r>
                  <m:r>
                    <w:rPr>
                      <w:rFonts w:ascii="Cambria Math" w:eastAsia="Calibri" w:hAnsi="Cambria Math"/>
                      <w:lang w:val="el-GR"/>
                    </w:rPr>
                    <m:t>encapsulation</m:t>
                  </m:r>
                  <m:r>
                    <m:rPr>
                      <m:sty m:val="p"/>
                    </m:rPr>
                    <w:rPr>
                      <w:rFonts w:ascii="Cambria Math" w:eastAsia="Calibri" w:hAnsi="Cambria Math"/>
                      <w:lang w:val="en-US"/>
                    </w:rPr>
                    <m:t xml:space="preserve">) </m:t>
                  </m:r>
                </m:den>
              </m:f>
              <m:r>
                <m:rPr>
                  <m:sty m:val="p"/>
                </m:rPr>
                <w:rPr>
                  <w:rFonts w:ascii="Cambria Math" w:eastAsia="Calibri" w:hAnsi="Cambria Math"/>
                  <w:lang w:val="en-US"/>
                </w:rPr>
                <m:t>%</m:t>
              </m:r>
            </m:oMath>
            <w:r>
              <w:rPr>
                <w:rFonts w:eastAsia="Calibri"/>
                <w:lang w:val="en-US"/>
              </w:rPr>
              <w:t xml:space="preserve"> </w:t>
            </w:r>
          </w:p>
        </w:tc>
        <w:tc>
          <w:tcPr>
            <w:tcW w:w="1039" w:type="dxa"/>
            <w:vAlign w:val="center"/>
          </w:tcPr>
          <w:p w14:paraId="58AB8CBF" w14:textId="7FCDF4AF" w:rsidR="0023354E" w:rsidRDefault="0023354E" w:rsidP="009D097C">
            <w:pPr>
              <w:pStyle w:val="CETEquation"/>
              <w:jc w:val="right"/>
              <w:rPr>
                <w:rFonts w:eastAsia="Calibri"/>
                <w:lang w:val="en-US"/>
              </w:rPr>
            </w:pPr>
            <w:r>
              <w:rPr>
                <w:rFonts w:eastAsia="Calibri"/>
                <w:lang w:val="en-US"/>
              </w:rPr>
              <w:t>(1)</w:t>
            </w:r>
          </w:p>
        </w:tc>
      </w:tr>
    </w:tbl>
    <w:p w14:paraId="3A984970" w14:textId="43C843DE" w:rsidR="00992E70" w:rsidRPr="00992E70" w:rsidRDefault="0023354E" w:rsidP="00992E70">
      <w:pPr>
        <w:rPr>
          <w:lang w:val="en-US"/>
        </w:rPr>
      </w:pPr>
      <w:r>
        <w:rPr>
          <w:lang w:val="en-US"/>
        </w:rPr>
        <w:t xml:space="preserve">Similarly, </w:t>
      </w:r>
      <w:r w:rsidR="00992E70" w:rsidRPr="00992E70">
        <w:rPr>
          <w:lang w:val="en-US"/>
        </w:rPr>
        <w:t xml:space="preserve">the percentage of </w:t>
      </w:r>
      <w:r>
        <w:rPr>
          <w:lang w:val="en-US"/>
        </w:rPr>
        <w:t xml:space="preserve">OEO’s </w:t>
      </w:r>
      <w:r w:rsidR="00992E70" w:rsidRPr="00992E70">
        <w:rPr>
          <w:lang w:val="en-US"/>
        </w:rPr>
        <w:t xml:space="preserve">encapsulation in the </w:t>
      </w:r>
      <w:proofErr w:type="spellStart"/>
      <w:proofErr w:type="gramStart"/>
      <w:r w:rsidR="00992E70" w:rsidRPr="00992E70">
        <w:rPr>
          <w:lang w:val="en-US"/>
        </w:rPr>
        <w:t>WPI:pul</w:t>
      </w:r>
      <w:proofErr w:type="spellEnd"/>
      <w:proofErr w:type="gramEnd"/>
      <w:r w:rsidR="00992E70" w:rsidRPr="00992E70">
        <w:rPr>
          <w:lang w:val="en-US"/>
        </w:rPr>
        <w:t xml:space="preserve"> </w:t>
      </w:r>
      <w:proofErr w:type="spellStart"/>
      <w:r w:rsidR="00992E70" w:rsidRPr="00992E70">
        <w:rPr>
          <w:lang w:val="en-US"/>
        </w:rPr>
        <w:t>matrice</w:t>
      </w:r>
      <w:proofErr w:type="spellEnd"/>
      <w:r w:rsidR="0005094D">
        <w:rPr>
          <w:lang w:val="en-US"/>
        </w:rPr>
        <w:t xml:space="preserve"> was determined by</w:t>
      </w:r>
      <w:r w:rsidR="00992E70" w:rsidRPr="00992E70">
        <w:rPr>
          <w:lang w:val="en-US"/>
        </w:rPr>
        <w:t xml:space="preserve"> </w:t>
      </w:r>
      <w:r w:rsidR="0005094D">
        <w:rPr>
          <w:lang w:val="en-US"/>
        </w:rPr>
        <w:t xml:space="preserve">quantifying </w:t>
      </w:r>
      <w:r w:rsidR="00992E70" w:rsidRPr="00992E70">
        <w:rPr>
          <w:lang w:val="en-US"/>
        </w:rPr>
        <w:t xml:space="preserve">the exact amount of </w:t>
      </w:r>
      <w:r>
        <w:rPr>
          <w:lang w:val="en-US"/>
        </w:rPr>
        <w:t xml:space="preserve">the </w:t>
      </w:r>
      <w:r w:rsidR="00992E70" w:rsidRPr="00992E70">
        <w:rPr>
          <w:lang w:val="en-US"/>
        </w:rPr>
        <w:t xml:space="preserve">encapsulated and non-encapsulated substance that reached the </w:t>
      </w:r>
      <w:r w:rsidR="00B0707D">
        <w:rPr>
          <w:lang w:val="en-US"/>
        </w:rPr>
        <w:t>collector</w:t>
      </w:r>
      <w:r w:rsidR="00992E70" w:rsidRPr="00992E70">
        <w:rPr>
          <w:lang w:val="en-US"/>
        </w:rPr>
        <w:t xml:space="preserve"> after the end of the electrostatic fibrosis. </w:t>
      </w:r>
      <w:r w:rsidR="004200EC">
        <w:rPr>
          <w:lang w:val="en-US"/>
        </w:rPr>
        <w:t>After</w:t>
      </w:r>
      <w:r w:rsidR="00992E70" w:rsidRPr="00992E70">
        <w:rPr>
          <w:lang w:val="en-US"/>
        </w:rPr>
        <w:t xml:space="preserve"> </w:t>
      </w:r>
      <w:proofErr w:type="spellStart"/>
      <w:r w:rsidR="00992E70" w:rsidRPr="00992E70">
        <w:rPr>
          <w:lang w:val="en-US"/>
        </w:rPr>
        <w:t>Folin-Ciocalteau</w:t>
      </w:r>
      <w:proofErr w:type="spellEnd"/>
      <w:r w:rsidR="00992E70" w:rsidRPr="00992E70">
        <w:rPr>
          <w:lang w:val="en-US"/>
        </w:rPr>
        <w:t xml:space="preserve"> method</w:t>
      </w:r>
      <w:r w:rsidR="004200EC">
        <w:rPr>
          <w:lang w:val="en-US"/>
        </w:rPr>
        <w:t xml:space="preserve"> was performed</w:t>
      </w:r>
      <w:r w:rsidR="00992E70" w:rsidRPr="00992E70">
        <w:rPr>
          <w:lang w:val="en-US"/>
        </w:rPr>
        <w:t xml:space="preserve">, the </w:t>
      </w:r>
      <w:r w:rsidR="004200EC">
        <w:rPr>
          <w:lang w:val="en-US"/>
        </w:rPr>
        <w:t>sampl</w:t>
      </w:r>
      <w:r w:rsidR="009D097C">
        <w:rPr>
          <w:lang w:val="en-US"/>
        </w:rPr>
        <w:t>es were measured by a</w:t>
      </w:r>
      <w:r w:rsidR="004200EC">
        <w:rPr>
          <w:lang w:val="en-US"/>
        </w:rPr>
        <w:t xml:space="preserve"> photome</w:t>
      </w:r>
      <w:r w:rsidR="009D097C">
        <w:rPr>
          <w:lang w:val="en-US"/>
        </w:rPr>
        <w:t>ter.</w:t>
      </w:r>
      <w:r w:rsidR="004200EC">
        <w:rPr>
          <w:lang w:val="en-US"/>
        </w:rPr>
        <w:t xml:space="preserve"> </w:t>
      </w:r>
      <w:r w:rsidR="009D097C">
        <w:rPr>
          <w:lang w:val="en-US"/>
        </w:rPr>
        <w:t>R</w:t>
      </w:r>
      <w:r w:rsidR="00992E70" w:rsidRPr="00992E70">
        <w:rPr>
          <w:lang w:val="en-US"/>
        </w:rPr>
        <w:t xml:space="preserve">esults of </w:t>
      </w:r>
      <w:r>
        <w:rPr>
          <w:lang w:val="en-US"/>
        </w:rPr>
        <w:t xml:space="preserve">the optimum </w:t>
      </w:r>
      <w:proofErr w:type="spellStart"/>
      <w:proofErr w:type="gramStart"/>
      <w:r w:rsidR="004200EC">
        <w:rPr>
          <w:lang w:val="en-US"/>
        </w:rPr>
        <w:t>WPI:pul</w:t>
      </w:r>
      <w:proofErr w:type="gramEnd"/>
      <w:r w:rsidR="004200EC">
        <w:rPr>
          <w:lang w:val="en-US"/>
        </w:rPr>
        <w:t>-</w:t>
      </w:r>
      <w:r>
        <w:rPr>
          <w:lang w:val="en-US"/>
        </w:rPr>
        <w:t>OEO</w:t>
      </w:r>
      <w:proofErr w:type="spellEnd"/>
      <w:r w:rsidR="004200EC">
        <w:rPr>
          <w:lang w:val="en-US"/>
        </w:rPr>
        <w:t xml:space="preserve"> </w:t>
      </w:r>
      <w:r w:rsidR="009D097C">
        <w:rPr>
          <w:lang w:val="en-US"/>
        </w:rPr>
        <w:t>sample, are exhibited in Table 4</w:t>
      </w:r>
      <w:r w:rsidR="00992E70" w:rsidRPr="00992E70">
        <w:rPr>
          <w:lang w:val="en-US"/>
        </w:rPr>
        <w:t>.</w:t>
      </w:r>
    </w:p>
    <w:p w14:paraId="7F46237A" w14:textId="0394DA2C" w:rsidR="00992E70" w:rsidRPr="00992E70" w:rsidRDefault="00992E70" w:rsidP="00A062CF">
      <w:pPr>
        <w:pStyle w:val="CETTabletitle"/>
        <w:spacing w:before="80"/>
        <w:rPr>
          <w:rFonts w:eastAsia="Calibri"/>
          <w:lang w:val="en-US"/>
        </w:rPr>
      </w:pPr>
      <w:r w:rsidRPr="00992E70">
        <w:rPr>
          <w:rFonts w:eastAsia="Calibri"/>
          <w:lang w:val="en-US"/>
        </w:rPr>
        <w:t xml:space="preserve">Table </w:t>
      </w:r>
      <w:r w:rsidR="009D097C">
        <w:rPr>
          <w:rFonts w:eastAsia="Calibri"/>
          <w:lang w:val="en-US"/>
        </w:rPr>
        <w:t>4</w:t>
      </w:r>
      <w:r w:rsidRPr="00992E70">
        <w:rPr>
          <w:rFonts w:eastAsia="Calibri"/>
          <w:lang w:val="en-US"/>
        </w:rPr>
        <w:t xml:space="preserve">: Encapsulation Efficiency of the optimum </w:t>
      </w:r>
      <w:proofErr w:type="spellStart"/>
      <w:proofErr w:type="gramStart"/>
      <w:r w:rsidRPr="00992E70">
        <w:rPr>
          <w:rFonts w:eastAsia="Calibri"/>
          <w:lang w:val="en-US"/>
        </w:rPr>
        <w:t>WPI:pul</w:t>
      </w:r>
      <w:proofErr w:type="gramEnd"/>
      <w:r w:rsidRPr="00992E70">
        <w:rPr>
          <w:rFonts w:eastAsia="Calibri"/>
          <w:lang w:val="en-US"/>
        </w:rPr>
        <w:t>-OEO</w:t>
      </w:r>
      <w:proofErr w:type="spellEnd"/>
      <w:r w:rsidRPr="00992E70">
        <w:rPr>
          <w:rFonts w:eastAsia="Calibri"/>
          <w:lang w:val="en-US"/>
        </w:rPr>
        <w:t xml:space="preserve"> sample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66"/>
        <w:gridCol w:w="2064"/>
        <w:gridCol w:w="2333"/>
        <w:gridCol w:w="1692"/>
      </w:tblGrid>
      <w:tr w:rsidR="00992E70" w:rsidRPr="00992E70" w14:paraId="158B53C8" w14:textId="77777777" w:rsidTr="00854C49">
        <w:trPr>
          <w:trHeight w:val="282"/>
        </w:trPr>
        <w:tc>
          <w:tcPr>
            <w:tcW w:w="1166" w:type="dxa"/>
            <w:tcBorders>
              <w:top w:val="single" w:sz="12" w:space="0" w:color="008000"/>
              <w:bottom w:val="single" w:sz="6" w:space="0" w:color="008000"/>
            </w:tcBorders>
            <w:shd w:val="clear" w:color="auto" w:fill="FFFFFF"/>
            <w:vAlign w:val="center"/>
          </w:tcPr>
          <w:p w14:paraId="40CBFEB3" w14:textId="77777777" w:rsidR="00992E70" w:rsidRPr="00992E70" w:rsidRDefault="00992E70" w:rsidP="00992E70">
            <w:pPr>
              <w:jc w:val="left"/>
              <w:rPr>
                <w:rFonts w:cs="Arial"/>
                <w:b/>
                <w:bCs/>
                <w:szCs w:val="18"/>
              </w:rPr>
            </w:pPr>
            <w:r w:rsidRPr="00992E70">
              <w:rPr>
                <w:rFonts w:cs="Arial"/>
                <w:b/>
                <w:bCs/>
                <w:szCs w:val="18"/>
                <w:lang w:val="en-US"/>
              </w:rPr>
              <w:t>Sample</w:t>
            </w:r>
          </w:p>
        </w:tc>
        <w:tc>
          <w:tcPr>
            <w:tcW w:w="2064" w:type="dxa"/>
            <w:tcBorders>
              <w:top w:val="single" w:sz="12" w:space="0" w:color="008000"/>
              <w:bottom w:val="single" w:sz="6" w:space="0" w:color="008000"/>
            </w:tcBorders>
            <w:shd w:val="clear" w:color="auto" w:fill="FFFFFF"/>
            <w:vAlign w:val="center"/>
          </w:tcPr>
          <w:p w14:paraId="6CF6EAC6" w14:textId="77777777" w:rsidR="00992E70" w:rsidRPr="00992E70" w:rsidRDefault="00992E70" w:rsidP="00992E70">
            <w:pPr>
              <w:jc w:val="center"/>
              <w:rPr>
                <w:rFonts w:cs="Arial"/>
                <w:b/>
                <w:bCs/>
                <w:szCs w:val="18"/>
              </w:rPr>
            </w:pPr>
            <w:r w:rsidRPr="00992E70">
              <w:rPr>
                <w:rFonts w:cs="Arial"/>
                <w:b/>
                <w:bCs/>
                <w:szCs w:val="18"/>
                <w:lang w:val="en-US"/>
              </w:rPr>
              <w:t>Encapsulated (mg GAE/mL OEO)</w:t>
            </w:r>
          </w:p>
        </w:tc>
        <w:tc>
          <w:tcPr>
            <w:tcW w:w="2333" w:type="dxa"/>
            <w:tcBorders>
              <w:top w:val="single" w:sz="12" w:space="0" w:color="008000"/>
              <w:bottom w:val="single" w:sz="6" w:space="0" w:color="008000"/>
            </w:tcBorders>
            <w:shd w:val="clear" w:color="auto" w:fill="FFFFFF"/>
            <w:vAlign w:val="center"/>
          </w:tcPr>
          <w:p w14:paraId="57998E49" w14:textId="77777777" w:rsidR="00992E70" w:rsidRPr="00992E70" w:rsidRDefault="00992E70" w:rsidP="00992E70">
            <w:pPr>
              <w:jc w:val="center"/>
              <w:rPr>
                <w:rFonts w:cs="Arial"/>
                <w:b/>
                <w:bCs/>
                <w:szCs w:val="18"/>
                <w:lang w:val="en-US"/>
              </w:rPr>
            </w:pPr>
            <w:r w:rsidRPr="00992E70">
              <w:rPr>
                <w:rFonts w:cs="Arial"/>
                <w:b/>
                <w:bCs/>
                <w:szCs w:val="18"/>
                <w:lang w:val="en-US"/>
              </w:rPr>
              <w:t>Not encapsulated (mg GAE/mL OEO)</w:t>
            </w:r>
          </w:p>
        </w:tc>
        <w:tc>
          <w:tcPr>
            <w:tcW w:w="1692" w:type="dxa"/>
            <w:tcBorders>
              <w:top w:val="single" w:sz="12" w:space="0" w:color="008000"/>
              <w:bottom w:val="single" w:sz="6" w:space="0" w:color="008000"/>
            </w:tcBorders>
            <w:shd w:val="clear" w:color="auto" w:fill="FFFFFF"/>
            <w:vAlign w:val="center"/>
          </w:tcPr>
          <w:p w14:paraId="38F47723" w14:textId="77777777" w:rsidR="00992E70" w:rsidRPr="00992E70" w:rsidRDefault="00992E70" w:rsidP="00992E70">
            <w:pPr>
              <w:jc w:val="center"/>
              <w:rPr>
                <w:rFonts w:cs="Arial"/>
                <w:b/>
                <w:bCs/>
                <w:szCs w:val="18"/>
              </w:rPr>
            </w:pPr>
            <w:r w:rsidRPr="00992E70">
              <w:rPr>
                <w:rFonts w:cs="Arial"/>
                <w:b/>
                <w:bCs/>
                <w:szCs w:val="18"/>
                <w:lang w:val="en-US"/>
              </w:rPr>
              <w:t>Encapsulation Efficiency</w:t>
            </w:r>
          </w:p>
        </w:tc>
      </w:tr>
      <w:tr w:rsidR="00992E70" w:rsidRPr="00992E70" w14:paraId="526B602F" w14:textId="77777777" w:rsidTr="00854C49">
        <w:trPr>
          <w:trHeight w:val="256"/>
        </w:trPr>
        <w:tc>
          <w:tcPr>
            <w:tcW w:w="1166" w:type="dxa"/>
            <w:shd w:val="clear" w:color="auto" w:fill="FFFFFF"/>
            <w:vAlign w:val="center"/>
          </w:tcPr>
          <w:p w14:paraId="1D19DFDF" w14:textId="77777777" w:rsidR="00992E70" w:rsidRPr="00992E70" w:rsidRDefault="00992E70" w:rsidP="00992E70">
            <w:pPr>
              <w:jc w:val="left"/>
              <w:rPr>
                <w:rFonts w:cs="Arial"/>
                <w:szCs w:val="18"/>
              </w:rPr>
            </w:pPr>
            <w:r w:rsidRPr="00992E70">
              <w:rPr>
                <w:rFonts w:cs="Arial"/>
                <w:szCs w:val="18"/>
                <w:lang w:val="en-US"/>
              </w:rPr>
              <w:t>Oregano EO</w:t>
            </w:r>
          </w:p>
        </w:tc>
        <w:tc>
          <w:tcPr>
            <w:tcW w:w="2064" w:type="dxa"/>
            <w:shd w:val="clear" w:color="auto" w:fill="FFFFFF"/>
            <w:vAlign w:val="center"/>
          </w:tcPr>
          <w:p w14:paraId="04AE3B0B" w14:textId="59767B5E" w:rsidR="00992E70" w:rsidRPr="00992E70" w:rsidRDefault="006F5D3F" w:rsidP="00992E70">
            <w:pPr>
              <w:jc w:val="center"/>
              <w:rPr>
                <w:rFonts w:cs="Arial"/>
                <w:szCs w:val="18"/>
              </w:rPr>
            </w:pPr>
            <w:r>
              <w:rPr>
                <w:rFonts w:ascii="Calibri" w:eastAsia="Calibri" w:hAnsi="Calibri"/>
                <w:sz w:val="20"/>
                <w:lang w:val="en-US"/>
              </w:rPr>
              <w:t>21.8803</w:t>
            </w:r>
          </w:p>
        </w:tc>
        <w:tc>
          <w:tcPr>
            <w:tcW w:w="2333" w:type="dxa"/>
            <w:shd w:val="clear" w:color="auto" w:fill="FFFFFF"/>
            <w:vAlign w:val="center"/>
          </w:tcPr>
          <w:p w14:paraId="2B1BBDFC" w14:textId="77777777" w:rsidR="00992E70" w:rsidRPr="00EA3B49" w:rsidRDefault="00992E70" w:rsidP="00992E70">
            <w:pPr>
              <w:jc w:val="center"/>
              <w:rPr>
                <w:rFonts w:cs="Arial"/>
                <w:szCs w:val="18"/>
                <w:lang w:val="el-GR"/>
              </w:rPr>
            </w:pPr>
            <w:r w:rsidRPr="00EA3B49">
              <w:rPr>
                <w:rFonts w:ascii="Calibri" w:eastAsia="Calibri" w:hAnsi="Calibri"/>
                <w:sz w:val="20"/>
                <w:lang w:val="en-US"/>
              </w:rPr>
              <w:t>5.0310</w:t>
            </w:r>
          </w:p>
        </w:tc>
        <w:tc>
          <w:tcPr>
            <w:tcW w:w="1692" w:type="dxa"/>
            <w:shd w:val="clear" w:color="auto" w:fill="FFFFFF"/>
            <w:vAlign w:val="center"/>
          </w:tcPr>
          <w:p w14:paraId="62542DBC" w14:textId="6D81BA0D" w:rsidR="00992E70" w:rsidRPr="00EA3B49" w:rsidRDefault="006F5D3F" w:rsidP="00992E70">
            <w:pPr>
              <w:jc w:val="center"/>
              <w:rPr>
                <w:rFonts w:cs="Arial"/>
                <w:szCs w:val="18"/>
              </w:rPr>
            </w:pPr>
            <w:r w:rsidRPr="00244AC9">
              <w:rPr>
                <w:rFonts w:ascii="Calibri" w:eastAsia="Calibri" w:hAnsi="Calibri"/>
                <w:sz w:val="20"/>
                <w:lang w:val="en-US"/>
              </w:rPr>
              <w:t>81</w:t>
            </w:r>
            <w:r w:rsidR="0065088D" w:rsidRPr="00244AC9">
              <w:rPr>
                <w:rFonts w:ascii="Calibri" w:eastAsia="Calibri" w:hAnsi="Calibri"/>
                <w:sz w:val="20"/>
                <w:lang w:val="en-US"/>
              </w:rPr>
              <w:t>.3</w:t>
            </w:r>
            <w:r w:rsidR="00992E70" w:rsidRPr="00244AC9">
              <w:rPr>
                <w:rFonts w:ascii="Calibri" w:eastAsia="Calibri" w:hAnsi="Calibri"/>
                <w:sz w:val="20"/>
                <w:lang w:val="en-US"/>
              </w:rPr>
              <w:t>%</w:t>
            </w:r>
          </w:p>
        </w:tc>
      </w:tr>
    </w:tbl>
    <w:p w14:paraId="0355E0D4" w14:textId="77777777" w:rsidR="00992E70" w:rsidRPr="00992E70" w:rsidRDefault="00992E70" w:rsidP="00A062CF">
      <w:pPr>
        <w:spacing w:before="80"/>
        <w:rPr>
          <w:rFonts w:eastAsia="Calibri"/>
          <w:lang w:val="en-US"/>
        </w:rPr>
      </w:pPr>
      <w:r w:rsidRPr="00992E70">
        <w:rPr>
          <w:lang w:val="en-US"/>
        </w:rPr>
        <w:t xml:space="preserve">The </w:t>
      </w:r>
      <w:r w:rsidRPr="00992E70">
        <w:rPr>
          <w:rFonts w:eastAsia="Calibri"/>
          <w:lang w:val="en-US"/>
        </w:rPr>
        <w:t>encapsulation efficiency</w:t>
      </w:r>
      <w:r w:rsidRPr="00992E70">
        <w:rPr>
          <w:lang w:val="en-US"/>
        </w:rPr>
        <w:t xml:space="preserve"> of </w:t>
      </w:r>
      <w:r w:rsidRPr="00992E70">
        <w:rPr>
          <w:rFonts w:eastAsia="Calibri"/>
          <w:lang w:val="en-US"/>
        </w:rPr>
        <w:t>the samples</w:t>
      </w:r>
      <w:r w:rsidRPr="00992E70">
        <w:rPr>
          <w:lang w:val="en-US"/>
        </w:rPr>
        <w:t xml:space="preserve"> was calculated from the following </w:t>
      </w:r>
      <w:r w:rsidRPr="00992E70">
        <w:rPr>
          <w:rFonts w:eastAsia="Calibri"/>
          <w:lang w:val="en-US"/>
        </w:rPr>
        <w:t>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6"/>
        <w:gridCol w:w="983"/>
      </w:tblGrid>
      <w:tr w:rsidR="009D097C" w:rsidRPr="009D097C" w14:paraId="15F563BD" w14:textId="77777777" w:rsidTr="00143CD7">
        <w:tc>
          <w:tcPr>
            <w:tcW w:w="7696" w:type="dxa"/>
          </w:tcPr>
          <w:p w14:paraId="78B74228" w14:textId="53B623DC" w:rsidR="009D097C" w:rsidRPr="009D097C" w:rsidRDefault="009D097C" w:rsidP="009D097C">
            <w:pPr>
              <w:pStyle w:val="CETEquation"/>
              <w:rPr>
                <w:rFonts w:ascii="Calibri" w:hAnsi="Calibri"/>
                <w:lang w:val="en-US"/>
              </w:rPr>
            </w:pPr>
            <w:r w:rsidRPr="00992E70">
              <w:rPr>
                <w:sz w:val="16"/>
                <w:szCs w:val="16"/>
                <w:lang w:val="en-US"/>
              </w:rPr>
              <w:t xml:space="preserve">Encapsulation Efficiency </w:t>
            </w:r>
            <w:r w:rsidRPr="00992E70">
              <w:rPr>
                <w:rFonts w:ascii="Calibri" w:eastAsia="Calibri" w:hAnsi="Calibri"/>
                <w:sz w:val="16"/>
                <w:szCs w:val="16"/>
                <w:lang w:val="en-US"/>
              </w:rPr>
              <w:t>(%)</w:t>
            </w:r>
            <w:r w:rsidRPr="00992E70">
              <w:rPr>
                <w:rFonts w:ascii="Calibri" w:eastAsia="Calibri" w:hAnsi="Calibri"/>
                <w:lang w:val="en-US"/>
              </w:rPr>
              <w:t xml:space="preserve"> = </w:t>
            </w:r>
            <m:oMath>
              <m:f>
                <m:fPr>
                  <m:ctrlPr>
                    <w:rPr>
                      <w:rFonts w:ascii="Cambria Math" w:eastAsia="Calibri" w:hAnsi="Cambria Math"/>
                      <w:lang w:val="en-US"/>
                    </w:rPr>
                  </m:ctrlPr>
                </m:fPr>
                <m:num>
                  <m:r>
                    <w:rPr>
                      <w:rFonts w:ascii="Cambria Math" w:eastAsia="Calibri" w:hAnsi="Cambria Math"/>
                      <w:lang w:val="en-US"/>
                    </w:rPr>
                    <m:t>mg</m:t>
                  </m:r>
                  <m:r>
                    <m:rPr>
                      <m:sty m:val="p"/>
                    </m:rPr>
                    <w:rPr>
                      <w:rFonts w:ascii="Cambria Math" w:eastAsia="Calibri" w:hAnsi="Cambria Math"/>
                      <w:lang w:val="en-US"/>
                    </w:rPr>
                    <m:t xml:space="preserve"> </m:t>
                  </m:r>
                  <m:r>
                    <w:rPr>
                      <w:rFonts w:ascii="Cambria Math" w:eastAsia="Calibri" w:hAnsi="Cambria Math"/>
                      <w:lang w:val="en-US"/>
                    </w:rPr>
                    <m:t>GAE</m:t>
                  </m:r>
                  <m:r>
                    <m:rPr>
                      <m:sty m:val="p"/>
                    </m:rPr>
                    <w:rPr>
                      <w:rFonts w:ascii="Cambria Math" w:eastAsia="Calibri" w:hAnsi="Cambria Math"/>
                      <w:lang w:val="en-US"/>
                    </w:rPr>
                    <m:t xml:space="preserve"> </m:t>
                  </m:r>
                  <m:r>
                    <w:rPr>
                      <w:rFonts w:ascii="Cambria Math" w:eastAsia="Calibri" w:hAnsi="Cambria Math"/>
                      <w:lang w:val="en-US"/>
                    </w:rPr>
                    <m:t>encapsulated</m:t>
                  </m:r>
                  <m:r>
                    <m:rPr>
                      <m:sty m:val="p"/>
                    </m:rPr>
                    <w:rPr>
                      <w:rFonts w:ascii="Cambria Math" w:eastAsia="Calibri" w:hAnsi="Cambria Math"/>
                      <w:lang w:val="en-US"/>
                    </w:rPr>
                    <m:t xml:space="preserve"> </m:t>
                  </m:r>
                  <m:r>
                    <w:rPr>
                      <w:rFonts w:ascii="Cambria Math" w:eastAsia="Calibri" w:hAnsi="Cambria Math"/>
                      <w:lang w:val="en-US"/>
                    </w:rPr>
                    <m:t>OEO</m:t>
                  </m:r>
                  <m:r>
                    <m:rPr>
                      <m:sty m:val="p"/>
                    </m:rPr>
                    <w:rPr>
                      <w:rFonts w:ascii="Cambria Math" w:eastAsia="Calibri" w:hAnsi="Cambria Math"/>
                      <w:lang w:val="en-US"/>
                    </w:rPr>
                    <m:t xml:space="preserve"> </m:t>
                  </m:r>
                </m:num>
                <m:den>
                  <m:r>
                    <w:rPr>
                      <w:rFonts w:ascii="Cambria Math" w:eastAsia="Calibri" w:hAnsi="Cambria Math"/>
                      <w:lang w:val="en-US"/>
                    </w:rPr>
                    <m:t>mg</m:t>
                  </m:r>
                  <m:r>
                    <m:rPr>
                      <m:sty m:val="p"/>
                    </m:rPr>
                    <w:rPr>
                      <w:rFonts w:ascii="Cambria Math" w:eastAsia="Calibri" w:hAnsi="Cambria Math"/>
                      <w:lang w:val="en-US"/>
                    </w:rPr>
                    <m:t xml:space="preserve"> </m:t>
                  </m:r>
                  <m:r>
                    <w:rPr>
                      <w:rFonts w:ascii="Cambria Math" w:eastAsia="Calibri" w:hAnsi="Cambria Math"/>
                      <w:lang w:val="en-US"/>
                    </w:rPr>
                    <m:t>GAE</m:t>
                  </m:r>
                  <m:r>
                    <m:rPr>
                      <m:sty m:val="p"/>
                    </m:rPr>
                    <w:rPr>
                      <w:rFonts w:ascii="Cambria Math" w:eastAsia="Calibri" w:hAnsi="Cambria Math"/>
                      <w:lang w:val="en-US"/>
                    </w:rPr>
                    <m:t xml:space="preserve"> </m:t>
                  </m:r>
                  <m:r>
                    <w:rPr>
                      <w:rFonts w:ascii="Cambria Math" w:eastAsia="Calibri" w:hAnsi="Cambria Math"/>
                      <w:lang w:val="en-US"/>
                    </w:rPr>
                    <m:t>total</m:t>
                  </m:r>
                  <m:r>
                    <m:rPr>
                      <m:sty m:val="p"/>
                    </m:rPr>
                    <w:rPr>
                      <w:rFonts w:ascii="Cambria Math" w:eastAsia="Calibri" w:hAnsi="Cambria Math"/>
                      <w:lang w:val="en-US"/>
                    </w:rPr>
                    <m:t xml:space="preserve"> </m:t>
                  </m:r>
                  <m:r>
                    <w:rPr>
                      <w:rFonts w:ascii="Cambria Math" w:eastAsia="Calibri" w:hAnsi="Cambria Math"/>
                      <w:lang w:val="en-US"/>
                    </w:rPr>
                    <m:t>OEO</m:t>
                  </m:r>
                  <m:r>
                    <m:rPr>
                      <m:sty m:val="p"/>
                    </m:rPr>
                    <w:rPr>
                      <w:rFonts w:ascii="Cambria Math" w:eastAsia="Calibri" w:hAnsi="Cambria Math"/>
                      <w:lang w:val="en-US"/>
                    </w:rPr>
                    <m:t xml:space="preserve"> (</m:t>
                  </m:r>
                  <m:r>
                    <w:rPr>
                      <w:rFonts w:ascii="Cambria Math" w:eastAsia="Calibri" w:hAnsi="Cambria Math"/>
                      <w:lang w:val="en-US"/>
                    </w:rPr>
                    <m:t>encapsulated</m:t>
                  </m:r>
                  <m:r>
                    <m:rPr>
                      <m:sty m:val="p"/>
                    </m:rPr>
                    <w:rPr>
                      <w:rFonts w:ascii="Cambria Math" w:eastAsia="Calibri" w:hAnsi="Cambria Math"/>
                      <w:lang w:val="en-US"/>
                    </w:rPr>
                    <m:t xml:space="preserve"> </m:t>
                  </m:r>
                  <m:r>
                    <w:rPr>
                      <w:rFonts w:ascii="Cambria Math" w:eastAsia="Calibri" w:hAnsi="Cambria Math"/>
                      <w:lang w:val="en-US"/>
                    </w:rPr>
                    <m:t>and</m:t>
                  </m:r>
                  <m:r>
                    <m:rPr>
                      <m:sty m:val="p"/>
                    </m:rPr>
                    <w:rPr>
                      <w:rFonts w:ascii="Cambria Math" w:eastAsia="Calibri" w:hAnsi="Cambria Math"/>
                      <w:lang w:val="en-US"/>
                    </w:rPr>
                    <m:t xml:space="preserve"> </m:t>
                  </m:r>
                  <m:r>
                    <w:rPr>
                      <w:rFonts w:ascii="Cambria Math" w:eastAsia="Calibri" w:hAnsi="Cambria Math"/>
                      <w:lang w:val="en-US"/>
                    </w:rPr>
                    <m:t>not</m:t>
                  </m:r>
                  <m:r>
                    <m:rPr>
                      <m:sty m:val="p"/>
                    </m:rPr>
                    <w:rPr>
                      <w:rFonts w:ascii="Cambria Math" w:eastAsia="Calibri" w:hAnsi="Cambria Math"/>
                      <w:lang w:val="en-US"/>
                    </w:rPr>
                    <m:t xml:space="preserve"> </m:t>
                  </m:r>
                  <m:r>
                    <w:rPr>
                      <w:rFonts w:ascii="Cambria Math" w:eastAsia="Calibri" w:hAnsi="Cambria Math"/>
                      <w:lang w:val="en-US"/>
                    </w:rPr>
                    <m:t>encapsulated</m:t>
                  </m:r>
                  <m:r>
                    <m:rPr>
                      <m:sty m:val="p"/>
                    </m:rPr>
                    <w:rPr>
                      <w:rFonts w:ascii="Cambria Math" w:eastAsia="Calibri" w:hAnsi="Cambria Math"/>
                      <w:lang w:val="en-US"/>
                    </w:rPr>
                    <m:t xml:space="preserve">) </m:t>
                  </m:r>
                </m:den>
              </m:f>
              <m:r>
                <m:rPr>
                  <m:sty m:val="p"/>
                </m:rPr>
                <w:rPr>
                  <w:rFonts w:ascii="Cambria Math" w:eastAsia="Calibri" w:hAnsi="Cambria Math"/>
                  <w:lang w:val="en-US"/>
                </w:rPr>
                <m:t>%</m:t>
              </m:r>
            </m:oMath>
          </w:p>
        </w:tc>
        <w:tc>
          <w:tcPr>
            <w:tcW w:w="983" w:type="dxa"/>
            <w:vAlign w:val="center"/>
          </w:tcPr>
          <w:p w14:paraId="2972034D" w14:textId="4CC38CBB" w:rsidR="009D097C" w:rsidRPr="009D097C" w:rsidRDefault="009D097C" w:rsidP="009D097C">
            <w:pPr>
              <w:jc w:val="right"/>
              <w:rPr>
                <w:rFonts w:eastAsia="Calibri" w:cs="Arial"/>
                <w:lang w:val="en-US"/>
              </w:rPr>
            </w:pPr>
            <w:r w:rsidRPr="009D097C">
              <w:rPr>
                <w:rFonts w:eastAsia="Calibri" w:cs="Arial"/>
                <w:lang w:val="en-US"/>
              </w:rPr>
              <w:t>(2)</w:t>
            </w:r>
          </w:p>
        </w:tc>
      </w:tr>
    </w:tbl>
    <w:p w14:paraId="7548CEFC" w14:textId="2EE82793" w:rsidR="00992E70" w:rsidRPr="00244AC9" w:rsidRDefault="00992E70" w:rsidP="00B54DCE">
      <w:pPr>
        <w:spacing w:before="40"/>
        <w:rPr>
          <w:lang w:val="en-US"/>
        </w:rPr>
      </w:pPr>
      <w:r w:rsidRPr="00992E70">
        <w:rPr>
          <w:lang w:val="en-US"/>
        </w:rPr>
        <w:t xml:space="preserve">The EE results, indicate that the inclusion rate of OEO in the zein </w:t>
      </w:r>
      <w:proofErr w:type="spellStart"/>
      <w:r w:rsidRPr="00992E70">
        <w:rPr>
          <w:lang w:val="en-US"/>
        </w:rPr>
        <w:t>matrice</w:t>
      </w:r>
      <w:proofErr w:type="spellEnd"/>
      <w:r w:rsidRPr="00992E70">
        <w:rPr>
          <w:lang w:val="en-US"/>
        </w:rPr>
        <w:t xml:space="preserve"> is significantly lower than the one corresponding to the aqueous </w:t>
      </w:r>
      <w:proofErr w:type="spellStart"/>
      <w:r w:rsidRPr="00992E70">
        <w:rPr>
          <w:lang w:val="en-US"/>
        </w:rPr>
        <w:t>matrice</w:t>
      </w:r>
      <w:proofErr w:type="spellEnd"/>
      <w:r w:rsidR="00F33EAF">
        <w:rPr>
          <w:lang w:val="en-US"/>
        </w:rPr>
        <w:t xml:space="preserve"> of</w:t>
      </w:r>
      <w:r w:rsidRPr="00992E70">
        <w:rPr>
          <w:lang w:val="en-US"/>
        </w:rPr>
        <w:t xml:space="preserve"> </w:t>
      </w:r>
      <w:proofErr w:type="spellStart"/>
      <w:proofErr w:type="gramStart"/>
      <w:r w:rsidRPr="00992E70">
        <w:rPr>
          <w:lang w:val="en-US"/>
        </w:rPr>
        <w:t>WPI:pul</w:t>
      </w:r>
      <w:proofErr w:type="spellEnd"/>
      <w:proofErr w:type="gramEnd"/>
      <w:r w:rsidRPr="00992E70">
        <w:rPr>
          <w:lang w:val="en-US"/>
        </w:rPr>
        <w:t xml:space="preserve">. The highest </w:t>
      </w:r>
      <w:proofErr w:type="gramStart"/>
      <w:r w:rsidRPr="00992E70">
        <w:rPr>
          <w:lang w:val="en-US"/>
        </w:rPr>
        <w:t>EE(</w:t>
      </w:r>
      <w:proofErr w:type="gramEnd"/>
      <w:r w:rsidRPr="00992E70">
        <w:rPr>
          <w:lang w:val="en-US"/>
        </w:rPr>
        <w:t xml:space="preserve">%) was achieved by the optimum </w:t>
      </w:r>
      <w:proofErr w:type="spellStart"/>
      <w:r w:rsidRPr="00992E70">
        <w:rPr>
          <w:lang w:val="en-US"/>
        </w:rPr>
        <w:t>WPI:pul</w:t>
      </w:r>
      <w:r w:rsidR="00961905" w:rsidRPr="00992E70">
        <w:rPr>
          <w:lang w:val="en-US"/>
        </w:rPr>
        <w:t>-OEO</w:t>
      </w:r>
      <w:proofErr w:type="spellEnd"/>
      <w:r w:rsidR="00F33EAF">
        <w:rPr>
          <w:lang w:val="en-US"/>
        </w:rPr>
        <w:t xml:space="preserve"> </w:t>
      </w:r>
      <w:r w:rsidRPr="00992E70">
        <w:rPr>
          <w:lang w:val="en-US"/>
        </w:rPr>
        <w:t xml:space="preserve">blend, reaching </w:t>
      </w:r>
      <w:r w:rsidRPr="00244AC9">
        <w:rPr>
          <w:lang w:val="en-US"/>
        </w:rPr>
        <w:t xml:space="preserve">a </w:t>
      </w:r>
      <w:r w:rsidR="006F5D3F" w:rsidRPr="00244AC9">
        <w:rPr>
          <w:lang w:val="en-US"/>
        </w:rPr>
        <w:t>81</w:t>
      </w:r>
      <w:r w:rsidR="0065088D" w:rsidRPr="00244AC9">
        <w:rPr>
          <w:lang w:val="en-US"/>
        </w:rPr>
        <w:t>.3</w:t>
      </w:r>
      <w:r w:rsidRPr="00244AC9">
        <w:rPr>
          <w:lang w:val="en-US"/>
        </w:rPr>
        <w:t xml:space="preserve">% of efficiency. </w:t>
      </w:r>
    </w:p>
    <w:p w14:paraId="07A21434" w14:textId="77777777" w:rsidR="00992E70" w:rsidRPr="00244AC9" w:rsidRDefault="00992E70" w:rsidP="00A062CF">
      <w:pPr>
        <w:pStyle w:val="CETHeading1"/>
        <w:spacing w:before="160" w:after="0"/>
      </w:pPr>
      <w:r w:rsidRPr="00244AC9">
        <w:t>Conclusions</w:t>
      </w:r>
    </w:p>
    <w:p w14:paraId="517F07A4" w14:textId="0E0B8863" w:rsidR="00A623A6" w:rsidRPr="0074608A" w:rsidRDefault="00992E70" w:rsidP="0074608A">
      <w:pPr>
        <w:pStyle w:val="CETBodytext"/>
        <w:rPr>
          <w:b/>
        </w:rPr>
      </w:pPr>
      <w:r w:rsidRPr="00992E70">
        <w:t xml:space="preserve">OEO’s most active constituents </w:t>
      </w:r>
      <w:r w:rsidRPr="009F7934">
        <w:t>are considered to be two phenolic components, namely thymol and carvacrol. Gas chromatography (GC) is the most popular method for analysis of herbal volatile components</w:t>
      </w:r>
      <w:r w:rsidR="00244AC9" w:rsidRPr="009F7934">
        <w:t xml:space="preserve"> </w:t>
      </w:r>
      <w:r w:rsidR="00244AC9" w:rsidRPr="009F7934">
        <w:fldChar w:fldCharType="begin"/>
      </w:r>
      <w:r w:rsidR="00492368">
        <w:instrText xml:space="preserve"> ADDIN EN.CITE &lt;EndNote&gt;&lt;Cite&gt;&lt;Author&gt;Gong&lt;/Author&gt;&lt;Year&gt;2014&lt;/Year&gt;&lt;RecNum&gt;13&lt;/RecNum&gt;&lt;DisplayText&gt;(Gong et al., 2014)&lt;/DisplayText&gt;&lt;record&gt;&lt;rec-number&gt;13&lt;/rec-number&gt;&lt;foreign-keys&gt;&lt;key app="EN" db-id="xpffsx9tlx5wzsepvzoxtpf32swzp0922swp" timestamp="1642766624"&gt;13&lt;/key&gt;&lt;/foreign-keys&gt;&lt;ref-type name="Journal Article"&gt;17&lt;/ref-type&gt;&lt;contributors&gt;&lt;authors&gt;&lt;author&gt;Gong, H. Y.&lt;/author&gt;&lt;author&gt;Liu, W. H.&lt;/author&gt;&lt;author&gt;Lv, G. Y.&lt;/author&gt;&lt;author&gt;Zhou, Xiaoying&lt;/author&gt;&lt;/authors&gt;&lt;/contributors&gt;&lt;titles&gt;&lt;title&gt;Analysis of essential oils of Origanum vulgare from six production areas of China and Pakistan&lt;/title&gt;&lt;secondary-title&gt;Revista Brasileira de Farmacognosia&lt;/secondary-title&gt;&lt;/titles&gt;&lt;periodical&gt;&lt;full-title&gt;Revista Brasileira de Farmacognosia&lt;/full-title&gt;&lt;/periodical&gt;&lt;pages&gt;25-32&lt;/pages&gt;&lt;volume&gt;24&lt;/volume&gt;&lt;number&gt;1&lt;/number&gt;&lt;keywords&gt;&lt;keyword&gt;Essential oil&lt;/keyword&gt;&lt;keyword&gt;GC-MS&lt;/keyword&gt;&lt;keyword&gt;Principal component analysis&lt;/keyword&gt;&lt;keyword&gt;Cluster analysis&lt;/keyword&gt;&lt;/keywords&gt;&lt;dates&gt;&lt;year&gt;2014&lt;/year&gt;&lt;pub-dates&gt;&lt;date&gt;2014/01/01/&lt;/date&gt;&lt;/pub-dates&gt;&lt;/dates&gt;&lt;isbn&gt;0102-695X&lt;/isbn&gt;&lt;urls&gt;&lt;related-urls&gt;&lt;url&gt;https://www.sciencedirect.com/science/article/pii/S0102695X14701292&lt;/url&gt;&lt;/related-urls&gt;&lt;/urls&gt;&lt;electronic-resource-num&gt;https://doi.org/10.1590/0102-695X2014241434&lt;/electronic-resource-num&gt;&lt;/record&gt;&lt;/Cite&gt;&lt;/EndNote&gt;</w:instrText>
      </w:r>
      <w:r w:rsidR="00244AC9" w:rsidRPr="009F7934">
        <w:fldChar w:fldCharType="separate"/>
      </w:r>
      <w:r w:rsidR="00492368">
        <w:rPr>
          <w:noProof/>
        </w:rPr>
        <w:t>(Gong et al., 2014)</w:t>
      </w:r>
      <w:r w:rsidR="00244AC9" w:rsidRPr="009F7934">
        <w:fldChar w:fldCharType="end"/>
      </w:r>
      <w:r w:rsidRPr="009F7934">
        <w:t>,</w:t>
      </w:r>
      <w:r w:rsidR="00244AC9" w:rsidRPr="009F7934">
        <w:t xml:space="preserve"> </w:t>
      </w:r>
      <w:r w:rsidRPr="009F7934">
        <w:t>but it is not possible to determine thymol and carvacrol directly. Therefore, usage of a more precise technique for quantitative determination of plant constituents, such as High performance liquid chromatography (HPLC), for volatile and non-volatile compounds, was necessary</w:t>
      </w:r>
      <w:r w:rsidR="00D37121" w:rsidRPr="009F7934">
        <w:t xml:space="preserve"> </w:t>
      </w:r>
      <w:r w:rsidR="00D37121" w:rsidRPr="009F7934">
        <w:fldChar w:fldCharType="begin"/>
      </w:r>
      <w:r w:rsidR="00492368">
        <w:instrText xml:space="preserve"> ADDIN EN.CITE &lt;EndNote&gt;&lt;Cite&gt;&lt;Author&gt;Hajimehdipoor&lt;/Author&gt;&lt;Year&gt;2010&lt;/Year&gt;&lt;RecNum&gt;14&lt;/RecNum&gt;&lt;DisplayText&gt;(Hajimehdipoor et al., 2010)&lt;/DisplayText&gt;&lt;record&gt;&lt;rec-number&gt;14&lt;/rec-number&gt;&lt;foreign-keys&gt;&lt;key app="EN" db-id="xpffsx9tlx5wzsepvzoxtpf32swzp0922swp" timestamp="1642766624"&gt;14&lt;/key&gt;&lt;/foreign-keys&gt;&lt;ref-type name="Journal Article"&gt;17&lt;/ref-type&gt;&lt;contributors&gt;&lt;authors&gt;&lt;author&gt;Hajimehdipoor, H.&lt;/author&gt;&lt;author&gt;Shekarchi, M.&lt;/author&gt;&lt;author&gt;Khanavi, M.&lt;/author&gt;&lt;author&gt;Adib, N.&lt;/author&gt;&lt;author&gt;Amri, M.&lt;/author&gt;&lt;/authors&gt;&lt;/contributors&gt;&lt;titles&gt;&lt;title&gt;A validated high performance liquid chromatography method for the analysis of thymol and carvacrol in Thymus vulgaris L. volatile oil&lt;/title&gt;&lt;secondary-title&gt;Pharmacognosy magazine&lt;/secondary-title&gt;&lt;alt-title&gt;Pharmacogn Mag&lt;/alt-title&gt;&lt;/titles&gt;&lt;periodical&gt;&lt;full-title&gt;Pharmacognosy magazine&lt;/full-title&gt;&lt;abbr-1&gt;Pharmacogn Mag&lt;/abbr-1&gt;&lt;/periodical&gt;&lt;alt-periodical&gt;&lt;full-title&gt;Pharmacognosy magazine&lt;/full-title&gt;&lt;abbr-1&gt;Pharmacogn Mag&lt;/abbr-1&gt;&lt;/alt-periodical&gt;&lt;pages&gt;154-158&lt;/pages&gt;&lt;volume&gt;6&lt;/volume&gt;&lt;number&gt;23&lt;/number&gt;&lt;keywords&gt;&lt;keyword&gt;Carvacrol&lt;/keyword&gt;&lt;keyword&gt;Thymus vulgaris&lt;/keyword&gt;&lt;keyword&gt;gas chromatography&lt;/keyword&gt;&lt;keyword&gt;high performance liquid chromatography&lt;/keyword&gt;&lt;keyword&gt;thymol&lt;/keyword&gt;&lt;keyword&gt;validation&lt;/keyword&gt;&lt;/keywords&gt;&lt;dates&gt;&lt;year&gt;2010&lt;/year&gt;&lt;/dates&gt;&lt;publisher&gt;Medknow Publications&lt;/publisher&gt;&lt;isbn&gt;0976-4062&amp;#xD;0973-1296&lt;/isbn&gt;&lt;accession-num&gt;20931071&lt;/accession-num&gt;&lt;urls&gt;&lt;related-urls&gt;&lt;url&gt;https://pubmed.ncbi.nlm.nih.gov/20931071&lt;/url&gt;&lt;url&gt;https://www.ncbi.nlm.nih.gov/pmc/articles/PMC2950374/&lt;/url&gt;&lt;/related-urls&gt;&lt;/urls&gt;&lt;electronic-resource-num&gt;10.4103/0973-1296.66927&lt;/electronic-resource-num&gt;&lt;remote-database-name&gt;PubMed&lt;/remote-database-name&gt;&lt;language&gt;eng&lt;/language&gt;&lt;/record&gt;&lt;/Cite&gt;&lt;/EndNote&gt;</w:instrText>
      </w:r>
      <w:r w:rsidR="00D37121" w:rsidRPr="009F7934">
        <w:fldChar w:fldCharType="separate"/>
      </w:r>
      <w:r w:rsidR="00492368">
        <w:rPr>
          <w:noProof/>
        </w:rPr>
        <w:t>(Hajimehdipoor et al., 2010)</w:t>
      </w:r>
      <w:r w:rsidR="00D37121" w:rsidRPr="009F7934">
        <w:fldChar w:fldCharType="end"/>
      </w:r>
      <w:r w:rsidRPr="009F7934">
        <w:t xml:space="preserve">. GC-MS spectra identified most of OEO’s components, that were further analyzed by </w:t>
      </w:r>
      <w:r w:rsidRPr="00D37121">
        <w:t xml:space="preserve">HPLC presenting well </w:t>
      </w:r>
      <w:r w:rsidRPr="00992E70">
        <w:t>resolved from each other carvacrol peaks, notable peak symmetry and separation efficiency.</w:t>
      </w:r>
      <w:r w:rsidR="0074608A" w:rsidRPr="0074608A">
        <w:t xml:space="preserve"> </w:t>
      </w:r>
      <w:r w:rsidRPr="00992E70">
        <w:t xml:space="preserve">For the </w:t>
      </w:r>
      <w:proofErr w:type="spellStart"/>
      <w:r w:rsidRPr="00992E70">
        <w:t>nanoenclosure</w:t>
      </w:r>
      <w:proofErr w:type="spellEnd"/>
      <w:r w:rsidRPr="00992E70">
        <w:t xml:space="preserve"> of OEO, two types of matrices were tested. Firstly, the ethanolic-aqueous zein</w:t>
      </w:r>
      <w:r w:rsidR="004E6054">
        <w:t xml:space="preserve"> (ZN)</w:t>
      </w:r>
      <w:r w:rsidRPr="00992E70">
        <w:t xml:space="preserve"> </w:t>
      </w:r>
      <w:proofErr w:type="spellStart"/>
      <w:r w:rsidRPr="00992E70">
        <w:t>matrice</w:t>
      </w:r>
      <w:proofErr w:type="spellEnd"/>
      <w:r w:rsidRPr="00992E70">
        <w:t xml:space="preserve">, safely edible </w:t>
      </w:r>
      <w:r w:rsidR="004E6054">
        <w:t>for the</w:t>
      </w:r>
      <w:r w:rsidRPr="00992E70">
        <w:t xml:space="preserve"> </w:t>
      </w:r>
      <w:r w:rsidR="004E6054">
        <w:t>incorporation</w:t>
      </w:r>
      <w:r w:rsidRPr="00992E70">
        <w:t xml:space="preserve"> in feed applications</w:t>
      </w:r>
      <w:r w:rsidR="004E6054">
        <w:t>, and secondly,</w:t>
      </w:r>
      <w:r w:rsidRPr="00992E70">
        <w:t xml:space="preserve"> the aqueous </w:t>
      </w:r>
      <w:proofErr w:type="spellStart"/>
      <w:proofErr w:type="gramStart"/>
      <w:r w:rsidRPr="00992E70">
        <w:t>WPI:pul</w:t>
      </w:r>
      <w:proofErr w:type="spellEnd"/>
      <w:proofErr w:type="gramEnd"/>
      <w:r w:rsidR="004E6054" w:rsidRPr="004E6054">
        <w:t xml:space="preserve"> </w:t>
      </w:r>
      <w:r w:rsidR="004E6054">
        <w:t>one</w:t>
      </w:r>
      <w:r w:rsidRPr="00992E70">
        <w:t>, that was chosen due to its lipophilic cavity that can be perfectly complexed with the hydrophobic components of OEO.</w:t>
      </w:r>
      <w:r w:rsidR="0074608A" w:rsidRPr="0074608A">
        <w:t xml:space="preserve"> </w:t>
      </w:r>
      <w:r w:rsidRPr="00992E70">
        <w:t xml:space="preserve">From a variety of experiments performed, it initially emerged that the most suitable solver for OEO’s nanoencapsulation in zein, was a solution of </w:t>
      </w:r>
      <w:proofErr w:type="gramStart"/>
      <w:r w:rsidRPr="00992E70">
        <w:t>EtOH:H</w:t>
      </w:r>
      <w:r w:rsidRPr="008328CF">
        <w:rPr>
          <w:vertAlign w:val="subscript"/>
        </w:rPr>
        <w:t>2</w:t>
      </w:r>
      <w:r w:rsidRPr="00992E70">
        <w:t>O</w:t>
      </w:r>
      <w:proofErr w:type="gramEnd"/>
      <w:r w:rsidRPr="00992E70">
        <w:t xml:space="preserve"> in a 90:10 v/v ratio. </w:t>
      </w:r>
      <w:r w:rsidR="00FC49A6">
        <w:t>Both</w:t>
      </w:r>
      <w:r w:rsidRPr="00992E70">
        <w:t xml:space="preserve"> matrice</w:t>
      </w:r>
      <w:r w:rsidR="00FC49A6">
        <w:t>s studied, had a</w:t>
      </w:r>
      <w:r w:rsidRPr="00992E70">
        <w:t xml:space="preserve"> total polymer content </w:t>
      </w:r>
      <w:r w:rsidR="00FC49A6">
        <w:t>of</w:t>
      </w:r>
      <w:r w:rsidRPr="00992E70">
        <w:t xml:space="preserve"> 20%w/w</w:t>
      </w:r>
      <w:r w:rsidR="00961905">
        <w:t xml:space="preserve">. </w:t>
      </w:r>
      <w:r w:rsidRPr="00992E70">
        <w:t>The OEO-zein blen</w:t>
      </w:r>
      <w:r w:rsidR="00F074D1">
        <w:t>d</w:t>
      </w:r>
      <w:r w:rsidRPr="00992E70">
        <w:t xml:space="preserve">s of lower concentrations, failed to form a Taylor cone and ensure a continuous infusion. Likewise, several experiments were executed in order to study the encapsulation of OEO in the aqueous </w:t>
      </w:r>
      <w:proofErr w:type="spellStart"/>
      <w:proofErr w:type="gramStart"/>
      <w:r w:rsidR="00A623A6" w:rsidRPr="00992E70">
        <w:t>WPI:pul</w:t>
      </w:r>
      <w:proofErr w:type="spellEnd"/>
      <w:proofErr w:type="gramEnd"/>
      <w:r w:rsidR="00A623A6" w:rsidRPr="00992E70">
        <w:t xml:space="preserve"> (30:70% w/w) </w:t>
      </w:r>
      <w:proofErr w:type="spellStart"/>
      <w:r w:rsidRPr="00992E70">
        <w:t>matrice</w:t>
      </w:r>
      <w:proofErr w:type="spellEnd"/>
      <w:r w:rsidRPr="00992E70">
        <w:t xml:space="preserve"> at a </w:t>
      </w:r>
      <w:r w:rsidRPr="009F7934">
        <w:t>total polymer content of 20% w/w.</w:t>
      </w:r>
      <w:r w:rsidR="008E56D1" w:rsidRPr="009F7934">
        <w:t xml:space="preserve"> </w:t>
      </w:r>
      <w:r w:rsidRPr="009F7934">
        <w:t xml:space="preserve">The results are in line with the literature, according to which, low concentrations of the polymeric </w:t>
      </w:r>
      <w:proofErr w:type="spellStart"/>
      <w:r w:rsidRPr="009F7934">
        <w:t>matrice</w:t>
      </w:r>
      <w:proofErr w:type="spellEnd"/>
      <w:r w:rsidRPr="009F7934">
        <w:t>, are more likely to form nanospheres (</w:t>
      </w:r>
      <w:proofErr w:type="spellStart"/>
      <w:r w:rsidRPr="009F7934">
        <w:t>electrospraying</w:t>
      </w:r>
      <w:proofErr w:type="spellEnd"/>
      <w:r w:rsidRPr="009F7934">
        <w:t>), instead of nanofibers (electrospinning)</w:t>
      </w:r>
      <w:r w:rsidR="00D37121" w:rsidRPr="009F7934">
        <w:t xml:space="preserve"> </w:t>
      </w:r>
      <w:r w:rsidR="00D37121" w:rsidRPr="009F7934">
        <w:fldChar w:fldCharType="begin"/>
      </w:r>
      <w:r w:rsidR="00492368">
        <w:instrText xml:space="preserve"> ADDIN EN.CITE &lt;EndNote&gt;&lt;Cite&gt;&lt;Author&gt;Drosou&lt;/Author&gt;&lt;Year&gt;2017&lt;/Year&gt;&lt;RecNum&gt;17&lt;/RecNum&gt;&lt;DisplayText&gt;(Drosou et al., 2017)&lt;/DisplayText&gt;&lt;record&gt;&lt;rec-number&gt;17&lt;/rec-number&gt;&lt;foreign-keys&gt;&lt;key app="EN" db-id="xpffsx9tlx5wzsepvzoxtpf32swzp0922swp" timestamp="1642766624"&gt;17&lt;/key&gt;&lt;/foreign-keys&gt;&lt;ref-type name="Journal Article"&gt;17&lt;/ref-type&gt;&lt;contributors&gt;&lt;authors&gt;&lt;author&gt;Drosou, Christina G.&lt;/author&gt;&lt;author&gt;Krokida, Magdalini K.&lt;/author&gt;&lt;author&gt;Biliaderis, Costas G.&lt;/author&gt;&lt;/authors&gt;&lt;/contributors&gt;&lt;titles&gt;&lt;title&gt;Encapsulation of bioactive compounds through electrospinning/electrospraying and spray drying: A comparative assessment of food-related applications&lt;/title&gt;&lt;secondary-title&gt;Drying Technology&lt;/secondary-title&gt;&lt;/titles&gt;&lt;periodical&gt;&lt;full-title&gt;Drying Technology&lt;/full-title&gt;&lt;/periodical&gt;&lt;pages&gt;139-162&lt;/pages&gt;&lt;volume&gt;35&lt;/volume&gt;&lt;number&gt;2&lt;/number&gt;&lt;dates&gt;&lt;year&gt;2017&lt;/year&gt;&lt;pub-dates&gt;&lt;date&gt;2017/01/25&lt;/date&gt;&lt;/pub-dates&gt;&lt;/dates&gt;&lt;publisher&gt;Taylor &amp;amp; Francis&lt;/publisher&gt;&lt;isbn&gt;0737-3937&lt;/isbn&gt;&lt;urls&gt;&lt;related-urls&gt;&lt;url&gt;https://doi.org/10.1080/07373937.2016.1162797&lt;/url&gt;&lt;/related-urls&gt;&lt;/urls&gt;&lt;electronic-resource-num&gt;10.1080/07373937.2016.1162797&lt;/electronic-resource-num&gt;&lt;/record&gt;&lt;/Cite&gt;&lt;/EndNote&gt;</w:instrText>
      </w:r>
      <w:r w:rsidR="00D37121" w:rsidRPr="009F7934">
        <w:fldChar w:fldCharType="separate"/>
      </w:r>
      <w:r w:rsidR="00492368">
        <w:rPr>
          <w:noProof/>
        </w:rPr>
        <w:t>(Drosou et al., 2017)</w:t>
      </w:r>
      <w:r w:rsidR="00D37121" w:rsidRPr="009F7934">
        <w:fldChar w:fldCharType="end"/>
      </w:r>
      <w:r w:rsidRPr="009F7934">
        <w:t>. This phenomenon appears due to the simultaneously low viscosity and high surface tension of the   solution</w:t>
      </w:r>
      <w:r w:rsidRPr="00992E70">
        <w:t xml:space="preserve">. </w:t>
      </w:r>
      <w:r w:rsidR="00DF0A01" w:rsidRPr="00992E70">
        <w:t>The optimum parameter combination (flow</w:t>
      </w:r>
      <w:r w:rsidR="00DF0A01">
        <w:t xml:space="preserve"> rate</w:t>
      </w:r>
      <w:r w:rsidR="00DF0A01" w:rsidRPr="00992E70">
        <w:t xml:space="preserve"> – voltage – tip to collector distance) </w:t>
      </w:r>
      <w:r w:rsidR="00DF0A01">
        <w:t>for both encapsulation systems studied are presented in Table 2.</w:t>
      </w:r>
      <w:r w:rsidR="00DF0A01" w:rsidRPr="00961905">
        <w:rPr>
          <w:color w:val="FF0000"/>
        </w:rPr>
        <w:t xml:space="preserve"> </w:t>
      </w:r>
      <w:r w:rsidRPr="00992E70">
        <w:t>The two values of the flow (</w:t>
      </w:r>
      <w:r w:rsidR="00DF0A01">
        <w:t>inner flow</w:t>
      </w:r>
      <w:r w:rsidRPr="00992E70">
        <w:t xml:space="preserve">, </w:t>
      </w:r>
      <w:r w:rsidR="00DF0A01">
        <w:t>outer flow</w:t>
      </w:r>
      <w:r w:rsidRPr="00992E70">
        <w:t xml:space="preserve">) </w:t>
      </w:r>
      <w:r w:rsidR="00DF0A01">
        <w:t>correspond to flows</w:t>
      </w:r>
      <w:r w:rsidRPr="00992E70">
        <w:t xml:space="preserve"> used to achieve the coaxial electrospinning</w:t>
      </w:r>
      <w:r w:rsidR="00DF0A01">
        <w:t>.</w:t>
      </w:r>
      <w:r w:rsidR="00A623A6">
        <w:t xml:space="preserve"> </w:t>
      </w:r>
      <w:r w:rsidR="008E56D1" w:rsidRPr="00992E70">
        <w:t>Observing the EE of OEO in both matrices</w:t>
      </w:r>
      <w:r w:rsidR="008E56D1">
        <w:t xml:space="preserve"> tested</w:t>
      </w:r>
      <w:r w:rsidR="008E56D1" w:rsidRPr="00992E70">
        <w:t xml:space="preserve">, </w:t>
      </w:r>
      <w:r w:rsidR="008E56D1" w:rsidRPr="0074608A">
        <w:t xml:space="preserve">zein had significantly lower results than the </w:t>
      </w:r>
      <w:proofErr w:type="spellStart"/>
      <w:proofErr w:type="gramStart"/>
      <w:r w:rsidR="008E56D1" w:rsidRPr="0074608A">
        <w:t>WPI:pul</w:t>
      </w:r>
      <w:proofErr w:type="spellEnd"/>
      <w:proofErr w:type="gramEnd"/>
      <w:r w:rsidR="008E56D1" w:rsidRPr="0074608A">
        <w:t xml:space="preserve"> one, which reached the notable percentage of </w:t>
      </w:r>
      <w:r w:rsidR="00705B65" w:rsidRPr="0074608A">
        <w:t>81.</w:t>
      </w:r>
      <w:r w:rsidR="008E56D1" w:rsidRPr="0074608A">
        <w:t xml:space="preserve">3%. </w:t>
      </w:r>
      <w:r w:rsidR="005B6105" w:rsidRPr="0074608A">
        <w:t xml:space="preserve"> </w:t>
      </w:r>
      <w:r w:rsidRPr="0074608A">
        <w:rPr>
          <w:rFonts w:eastAsia="Calibri"/>
        </w:rPr>
        <w:t>Regarding</w:t>
      </w:r>
      <w:r w:rsidRPr="00992E70">
        <w:rPr>
          <w:rFonts w:eastAsia="Calibri"/>
        </w:rPr>
        <w:t xml:space="preserve"> the morphology of the developed structures, OEO’s encapsulation in </w:t>
      </w:r>
      <w:r w:rsidR="008E56D1">
        <w:rPr>
          <w:rFonts w:eastAsia="Calibri"/>
        </w:rPr>
        <w:t xml:space="preserve">ZN </w:t>
      </w:r>
      <w:r w:rsidRPr="00992E70">
        <w:rPr>
          <w:rFonts w:eastAsia="Calibri"/>
        </w:rPr>
        <w:t xml:space="preserve">composed fibers with many spherical formations, which </w:t>
      </w:r>
      <w:r w:rsidR="008E56D1">
        <w:rPr>
          <w:rFonts w:eastAsia="Calibri"/>
        </w:rPr>
        <w:t>were</w:t>
      </w:r>
      <w:r w:rsidRPr="00992E70">
        <w:rPr>
          <w:rFonts w:eastAsia="Calibri"/>
        </w:rPr>
        <w:t xml:space="preserve"> not compatible with the desired structure, </w:t>
      </w:r>
      <w:r w:rsidRPr="00992E70">
        <w:rPr>
          <w:rFonts w:eastAsia="Calibri"/>
        </w:rPr>
        <w:lastRenderedPageBreak/>
        <w:t xml:space="preserve">therefore matrices with potentially better results should be investigated. On the contrary, the results obtained from the inclusion of OEO in the aqueous </w:t>
      </w:r>
      <w:proofErr w:type="spellStart"/>
      <w:proofErr w:type="gramStart"/>
      <w:r w:rsidR="00A623A6" w:rsidRPr="00992E70">
        <w:rPr>
          <w:rFonts w:eastAsia="Calibri"/>
        </w:rPr>
        <w:t>WPI:pul</w:t>
      </w:r>
      <w:proofErr w:type="spellEnd"/>
      <w:proofErr w:type="gramEnd"/>
      <w:r w:rsidR="00A623A6" w:rsidRPr="00992E70">
        <w:rPr>
          <w:rFonts w:eastAsia="Calibri"/>
        </w:rPr>
        <w:t xml:space="preserve"> </w:t>
      </w:r>
      <w:proofErr w:type="spellStart"/>
      <w:r w:rsidRPr="00992E70">
        <w:rPr>
          <w:rFonts w:eastAsia="Calibri"/>
        </w:rPr>
        <w:t>matrice</w:t>
      </w:r>
      <w:proofErr w:type="spellEnd"/>
      <w:r w:rsidRPr="00992E70">
        <w:rPr>
          <w:rFonts w:eastAsia="Calibri"/>
        </w:rPr>
        <w:t xml:space="preserve">, were very satisfactory as seen in Figure 3. </w:t>
      </w:r>
    </w:p>
    <w:p w14:paraId="5D1208E8" w14:textId="06CD355C" w:rsidR="00992E70" w:rsidRPr="0074608A" w:rsidRDefault="00992E70" w:rsidP="005B6105">
      <w:pPr>
        <w:rPr>
          <w:rFonts w:eastAsia="Calibri"/>
          <w:highlight w:val="lightGray"/>
          <w:lang w:val="en-US"/>
        </w:rPr>
      </w:pPr>
      <w:r w:rsidRPr="00992E70">
        <w:rPr>
          <w:rFonts w:eastAsia="Calibri"/>
          <w:lang w:val="en-US"/>
        </w:rPr>
        <w:t xml:space="preserve">Overall, OEO in the </w:t>
      </w:r>
      <w:proofErr w:type="spellStart"/>
      <w:proofErr w:type="gramStart"/>
      <w:r w:rsidRPr="00992E70">
        <w:rPr>
          <w:rFonts w:eastAsia="Calibri"/>
          <w:lang w:val="en-US"/>
        </w:rPr>
        <w:t>WPI:pul</w:t>
      </w:r>
      <w:proofErr w:type="spellEnd"/>
      <w:proofErr w:type="gramEnd"/>
      <w:r w:rsidRPr="00992E70">
        <w:rPr>
          <w:rFonts w:eastAsia="Calibri"/>
          <w:lang w:val="en-US"/>
        </w:rPr>
        <w:t xml:space="preserve"> </w:t>
      </w:r>
      <w:proofErr w:type="spellStart"/>
      <w:r w:rsidRPr="00992E70">
        <w:rPr>
          <w:rFonts w:eastAsia="Calibri"/>
          <w:lang w:val="en-US"/>
        </w:rPr>
        <w:t>matrice</w:t>
      </w:r>
      <w:proofErr w:type="spellEnd"/>
      <w:r w:rsidRPr="00992E70">
        <w:rPr>
          <w:rFonts w:eastAsia="Calibri"/>
          <w:lang w:val="en-US"/>
        </w:rPr>
        <w:t xml:space="preserve"> corresponds to the best encapsulated sample by the electrohydrodynamic process, and can be further integrated as an additive for the production of functional feed products</w:t>
      </w:r>
      <w:r w:rsidR="00A623A6">
        <w:rPr>
          <w:rFonts w:eastAsia="Calibri"/>
          <w:lang w:val="en-US"/>
        </w:rPr>
        <w:t xml:space="preserve">. </w:t>
      </w:r>
      <w:r w:rsidRPr="00992E70">
        <w:rPr>
          <w:rFonts w:eastAsia="Calibri" w:cs="Arial"/>
          <w:szCs w:val="18"/>
          <w:lang w:val="en-US"/>
        </w:rPr>
        <w:t>The beneficial impact on human and animal health is not limited to microbial resistance elimination, treatment of diseases and animal welfare, but expanded to residue free animal-derived products (meat, milk, eggs) with a preservative capacity attributed to the antioxidant properties of OEO</w:t>
      </w:r>
      <w:r w:rsidRPr="004E6054">
        <w:rPr>
          <w:rStyle w:val="CETBodytextCarattere"/>
          <w:rFonts w:eastAsia="Calibri"/>
        </w:rPr>
        <w:t xml:space="preserve">. Additionally, the encapsulated particles studied, intended to be incorporated into innovative feed products, consist a sustainable approach addressing the </w:t>
      </w:r>
      <w:r w:rsidRPr="0074608A">
        <w:rPr>
          <w:rStyle w:val="CETBodytextCarattere"/>
          <w:rFonts w:eastAsia="Calibri"/>
        </w:rPr>
        <w:t>future</w:t>
      </w:r>
      <w:r w:rsidRPr="0074608A">
        <w:rPr>
          <w:rFonts w:eastAsia="Calibri" w:cs="Arial"/>
          <w:szCs w:val="18"/>
          <w:lang w:val="en-US"/>
        </w:rPr>
        <w:t xml:space="preserve"> </w:t>
      </w:r>
      <w:r w:rsidR="00723620" w:rsidRPr="0074608A">
        <w:rPr>
          <w:rFonts w:eastAsia="Calibri" w:cs="Arial"/>
          <w:szCs w:val="18"/>
          <w:lang w:val="en-US"/>
        </w:rPr>
        <w:t>of animal feeds</w:t>
      </w:r>
      <w:r w:rsidRPr="0074608A">
        <w:rPr>
          <w:rFonts w:eastAsia="Calibri" w:cs="Arial"/>
          <w:szCs w:val="18"/>
          <w:lang w:val="en-US"/>
        </w:rPr>
        <w:t>.</w:t>
      </w:r>
    </w:p>
    <w:p w14:paraId="17EC8839" w14:textId="77777777" w:rsidR="00992E70" w:rsidRPr="00992E70" w:rsidRDefault="00992E70" w:rsidP="00A062CF">
      <w:pPr>
        <w:pStyle w:val="CETAcknowledgementstitle"/>
        <w:spacing w:before="160" w:after="0"/>
        <w:rPr>
          <w:lang w:val="en-US"/>
        </w:rPr>
      </w:pPr>
      <w:r w:rsidRPr="00992E70">
        <w:rPr>
          <w:lang w:val="en-US"/>
        </w:rPr>
        <w:t>Acknowledgments</w:t>
      </w:r>
    </w:p>
    <w:p w14:paraId="6832A14F" w14:textId="77777777" w:rsidR="00992E70" w:rsidRPr="00992E70" w:rsidRDefault="00992E70" w:rsidP="00F87E65">
      <w:pPr>
        <w:pStyle w:val="CETBodytext"/>
      </w:pPr>
      <w:r w:rsidRPr="00992E70">
        <w:t xml:space="preserve">This work was financed by the project “Innovative cattle feed development with antibiotic and growth formula based on edible herbs that include high levels of </w:t>
      </w:r>
      <w:proofErr w:type="spellStart"/>
      <w:r w:rsidRPr="00992E70">
        <w:t>biodrastic</w:t>
      </w:r>
      <w:proofErr w:type="spellEnd"/>
      <w:r w:rsidRPr="00992E70">
        <w:t xml:space="preserve"> compounds” that is financed by Greek national funds through the Operational Program "Eastern Macedonia &amp; Thrace Region" of the National Strategic Reference Framework (NSRF) - Research Funding Program.</w:t>
      </w:r>
    </w:p>
    <w:p w14:paraId="79635326" w14:textId="77777777" w:rsidR="00992E70" w:rsidRPr="00992E70" w:rsidRDefault="00992E70" w:rsidP="00A062CF">
      <w:pPr>
        <w:pStyle w:val="CETReference"/>
        <w:spacing w:before="160" w:after="0"/>
        <w:rPr>
          <w:lang w:val="en-US"/>
        </w:rPr>
      </w:pPr>
      <w:r w:rsidRPr="00992E70">
        <w:rPr>
          <w:lang w:val="en-US"/>
        </w:rPr>
        <w:t>References</w:t>
      </w:r>
    </w:p>
    <w:p w14:paraId="62F11178" w14:textId="77777777" w:rsidR="000B57EE" w:rsidRPr="00A062CF" w:rsidRDefault="0050259E" w:rsidP="000B57EE">
      <w:pPr>
        <w:pStyle w:val="EndNoteBibliography"/>
        <w:ind w:left="720" w:hanging="720"/>
        <w:rPr>
          <w:sz w:val="17"/>
          <w:szCs w:val="17"/>
        </w:rPr>
      </w:pPr>
      <w:r w:rsidRPr="00A062CF">
        <w:rPr>
          <w:sz w:val="17"/>
          <w:szCs w:val="17"/>
        </w:rPr>
        <w:fldChar w:fldCharType="begin"/>
      </w:r>
      <w:r w:rsidRPr="00A062CF">
        <w:rPr>
          <w:sz w:val="17"/>
          <w:szCs w:val="17"/>
        </w:rPr>
        <w:instrText xml:space="preserve"> ADDIN EN.REFLIST </w:instrText>
      </w:r>
      <w:r w:rsidRPr="00A062CF">
        <w:rPr>
          <w:sz w:val="17"/>
          <w:szCs w:val="17"/>
        </w:rPr>
        <w:fldChar w:fldCharType="separate"/>
      </w:r>
      <w:r w:rsidR="000B57EE" w:rsidRPr="00A062CF">
        <w:rPr>
          <w:sz w:val="17"/>
          <w:szCs w:val="17"/>
        </w:rPr>
        <w:t>Akdemir Evrendilek G., 2015, Empirical prediction and validation of antibacterial inhibitory effects of various plant essential oils on common pathogenic bacteria, International Journal of Food Microbiology</w:t>
      </w:r>
      <w:r w:rsidR="000B57EE" w:rsidRPr="00A062CF">
        <w:rPr>
          <w:i/>
          <w:sz w:val="17"/>
          <w:szCs w:val="17"/>
        </w:rPr>
        <w:t>,</w:t>
      </w:r>
      <w:r w:rsidR="000B57EE" w:rsidRPr="00A062CF">
        <w:rPr>
          <w:sz w:val="17"/>
          <w:szCs w:val="17"/>
        </w:rPr>
        <w:t xml:space="preserve"> 202</w:t>
      </w:r>
      <w:r w:rsidR="000B57EE" w:rsidRPr="00A062CF">
        <w:rPr>
          <w:b/>
          <w:sz w:val="17"/>
          <w:szCs w:val="17"/>
        </w:rPr>
        <w:t xml:space="preserve">, </w:t>
      </w:r>
      <w:r w:rsidR="000B57EE" w:rsidRPr="00A062CF">
        <w:rPr>
          <w:sz w:val="17"/>
          <w:szCs w:val="17"/>
        </w:rPr>
        <w:t>35-41.</w:t>
      </w:r>
    </w:p>
    <w:p w14:paraId="1C45337F" w14:textId="77777777" w:rsidR="000B57EE" w:rsidRPr="00A062CF" w:rsidRDefault="000B57EE" w:rsidP="000B57EE">
      <w:pPr>
        <w:pStyle w:val="EndNoteBibliography"/>
        <w:ind w:left="720" w:hanging="720"/>
        <w:rPr>
          <w:sz w:val="17"/>
          <w:szCs w:val="17"/>
        </w:rPr>
      </w:pPr>
      <w:r w:rsidRPr="00A062CF">
        <w:rPr>
          <w:sz w:val="17"/>
          <w:szCs w:val="17"/>
        </w:rPr>
        <w:t>Alarcon-Rojo A., Janacua-Vidales H. &amp; Renteria A. 2017. Oregano Essential Oil in Animal Production.</w:t>
      </w:r>
    </w:p>
    <w:p w14:paraId="30096275" w14:textId="77777777" w:rsidR="000B57EE" w:rsidRPr="00A062CF" w:rsidRDefault="000B57EE" w:rsidP="000B57EE">
      <w:pPr>
        <w:pStyle w:val="EndNoteBibliography"/>
        <w:ind w:left="720" w:hanging="720"/>
        <w:rPr>
          <w:sz w:val="17"/>
          <w:szCs w:val="17"/>
        </w:rPr>
      </w:pPr>
      <w:r w:rsidRPr="00A062CF">
        <w:rPr>
          <w:sz w:val="17"/>
          <w:szCs w:val="17"/>
        </w:rPr>
        <w:t>Bampidis V., Azimonti G., Bastos M.d.L., Christensen H., Kouba M., Kos Durjava M., López-Alonso M., López Puente S., Marcon F., Mayo B., Pechová A., Petkova M., Ramos F., Sanz Y., Villa R.E., Woutersen R., Brantom P., Chesson A., Westendorf J., Gregoretti L., Manini P. &amp; Dusemund B., 2019, Safety and efficacy of an essential oil from Origanum vulgare ssp. hirtum (Link) Ietsw. for all animal species, EFSA Journal</w:t>
      </w:r>
      <w:r w:rsidRPr="00A062CF">
        <w:rPr>
          <w:i/>
          <w:sz w:val="17"/>
          <w:szCs w:val="17"/>
        </w:rPr>
        <w:t>,</w:t>
      </w:r>
      <w:r w:rsidRPr="00A062CF">
        <w:rPr>
          <w:sz w:val="17"/>
          <w:szCs w:val="17"/>
        </w:rPr>
        <w:t xml:space="preserve"> 17</w:t>
      </w:r>
      <w:r w:rsidRPr="00A062CF">
        <w:rPr>
          <w:b/>
          <w:sz w:val="17"/>
          <w:szCs w:val="17"/>
        </w:rPr>
        <w:t xml:space="preserve">, </w:t>
      </w:r>
      <w:r w:rsidRPr="00A062CF">
        <w:rPr>
          <w:sz w:val="17"/>
          <w:szCs w:val="17"/>
        </w:rPr>
        <w:t>e05909.</w:t>
      </w:r>
    </w:p>
    <w:p w14:paraId="26F95B46" w14:textId="77777777" w:rsidR="000B57EE" w:rsidRPr="00A062CF" w:rsidRDefault="000B57EE" w:rsidP="000B57EE">
      <w:pPr>
        <w:pStyle w:val="EndNoteBibliography"/>
        <w:ind w:left="720" w:hanging="720"/>
        <w:rPr>
          <w:b/>
          <w:sz w:val="17"/>
          <w:szCs w:val="17"/>
        </w:rPr>
      </w:pPr>
      <w:r w:rsidRPr="00A062CF">
        <w:rPr>
          <w:sz w:val="17"/>
          <w:szCs w:val="17"/>
        </w:rPr>
        <w:t>Castellino G., Mesa F., Cappello F., Benavides-Reyes C., Malfa G.A., Cabello I. &amp; Magan-Fernandez A., 2021, Effects of Essential Oils and Selected Compounds from Lamiaceae Family as Adjutants on the Treatment of Subjects with Periodontitis and Cardiovascular Risk, Applied Sciences</w:t>
      </w:r>
      <w:r w:rsidRPr="00A062CF">
        <w:rPr>
          <w:i/>
          <w:sz w:val="17"/>
          <w:szCs w:val="17"/>
        </w:rPr>
        <w:t>,</w:t>
      </w:r>
      <w:r w:rsidRPr="00A062CF">
        <w:rPr>
          <w:sz w:val="17"/>
          <w:szCs w:val="17"/>
        </w:rPr>
        <w:t xml:space="preserve"> 11</w:t>
      </w:r>
      <w:r w:rsidRPr="00A062CF">
        <w:rPr>
          <w:b/>
          <w:sz w:val="17"/>
          <w:szCs w:val="17"/>
        </w:rPr>
        <w:t xml:space="preserve">, </w:t>
      </w:r>
    </w:p>
    <w:p w14:paraId="7E7F0D3D" w14:textId="77777777" w:rsidR="000B57EE" w:rsidRPr="00A062CF" w:rsidRDefault="000B57EE" w:rsidP="000B57EE">
      <w:pPr>
        <w:pStyle w:val="EndNoteBibliography"/>
        <w:ind w:left="720" w:hanging="720"/>
        <w:rPr>
          <w:b/>
          <w:sz w:val="17"/>
          <w:szCs w:val="17"/>
        </w:rPr>
      </w:pPr>
      <w:r w:rsidRPr="00A062CF">
        <w:rPr>
          <w:sz w:val="17"/>
          <w:szCs w:val="17"/>
        </w:rPr>
        <w:t>D’agostino M., Tesse N., Frippiat J.P., Machouart M. &amp; Debourgogne A., 2019, Essential Oils and Their Natural Active Compounds Presenting Antifungal Properties, Molecules</w:t>
      </w:r>
      <w:r w:rsidRPr="00A062CF">
        <w:rPr>
          <w:i/>
          <w:sz w:val="17"/>
          <w:szCs w:val="17"/>
        </w:rPr>
        <w:t>,</w:t>
      </w:r>
      <w:r w:rsidRPr="00A062CF">
        <w:rPr>
          <w:sz w:val="17"/>
          <w:szCs w:val="17"/>
        </w:rPr>
        <w:t xml:space="preserve"> 24</w:t>
      </w:r>
      <w:r w:rsidRPr="00A062CF">
        <w:rPr>
          <w:b/>
          <w:sz w:val="17"/>
          <w:szCs w:val="17"/>
        </w:rPr>
        <w:t xml:space="preserve">, </w:t>
      </w:r>
    </w:p>
    <w:p w14:paraId="31FD0DC5" w14:textId="77777777" w:rsidR="000B57EE" w:rsidRPr="00A062CF" w:rsidRDefault="000B57EE" w:rsidP="000B57EE">
      <w:pPr>
        <w:pStyle w:val="EndNoteBibliography"/>
        <w:ind w:left="720" w:hanging="720"/>
        <w:rPr>
          <w:sz w:val="17"/>
          <w:szCs w:val="17"/>
        </w:rPr>
      </w:pPr>
      <w:r w:rsidRPr="00A062CF">
        <w:rPr>
          <w:sz w:val="17"/>
          <w:szCs w:val="17"/>
        </w:rPr>
        <w:t>da Silva B.D., Bernardes P.C., Pinheiro P.F., Fantuzzi E. &amp; Roberto C.D., 2021, Chemical composition, extraction sources and action mechanisms of essential oils: Natural preservative and limitations of use in meat products, Meat Science</w:t>
      </w:r>
      <w:r w:rsidRPr="00A062CF">
        <w:rPr>
          <w:i/>
          <w:sz w:val="17"/>
          <w:szCs w:val="17"/>
        </w:rPr>
        <w:t>,</w:t>
      </w:r>
      <w:r w:rsidRPr="00A062CF">
        <w:rPr>
          <w:sz w:val="17"/>
          <w:szCs w:val="17"/>
        </w:rPr>
        <w:t xml:space="preserve"> 176</w:t>
      </w:r>
      <w:r w:rsidRPr="00A062CF">
        <w:rPr>
          <w:b/>
          <w:sz w:val="17"/>
          <w:szCs w:val="17"/>
        </w:rPr>
        <w:t xml:space="preserve">, </w:t>
      </w:r>
      <w:r w:rsidRPr="00A062CF">
        <w:rPr>
          <w:sz w:val="17"/>
          <w:szCs w:val="17"/>
        </w:rPr>
        <w:t>108463.</w:t>
      </w:r>
    </w:p>
    <w:p w14:paraId="06287B06" w14:textId="77777777" w:rsidR="000B57EE" w:rsidRPr="00A062CF" w:rsidRDefault="000B57EE" w:rsidP="000B57EE">
      <w:pPr>
        <w:pStyle w:val="EndNoteBibliography"/>
        <w:ind w:left="720" w:hanging="720"/>
        <w:rPr>
          <w:sz w:val="17"/>
          <w:szCs w:val="17"/>
        </w:rPr>
      </w:pPr>
      <w:r w:rsidRPr="00A062CF">
        <w:rPr>
          <w:sz w:val="17"/>
          <w:szCs w:val="17"/>
        </w:rPr>
        <w:t>Drosou C., Krokida M. &amp; Biliaderis C.G., 2018, Composite pullulan-whey protein nanofibers made by electrospinning: Impact of process parameters on fiber morphology and physical properties, Food Hydrocolloids</w:t>
      </w:r>
      <w:r w:rsidRPr="00A062CF">
        <w:rPr>
          <w:i/>
          <w:sz w:val="17"/>
          <w:szCs w:val="17"/>
        </w:rPr>
        <w:t>,</w:t>
      </w:r>
      <w:r w:rsidRPr="00A062CF">
        <w:rPr>
          <w:sz w:val="17"/>
          <w:szCs w:val="17"/>
        </w:rPr>
        <w:t xml:space="preserve"> 77</w:t>
      </w:r>
      <w:r w:rsidRPr="00A062CF">
        <w:rPr>
          <w:b/>
          <w:sz w:val="17"/>
          <w:szCs w:val="17"/>
        </w:rPr>
        <w:t xml:space="preserve">, </w:t>
      </w:r>
      <w:r w:rsidRPr="00A062CF">
        <w:rPr>
          <w:sz w:val="17"/>
          <w:szCs w:val="17"/>
        </w:rPr>
        <w:t>726-735.</w:t>
      </w:r>
    </w:p>
    <w:p w14:paraId="3A5DAA26" w14:textId="77777777" w:rsidR="000B57EE" w:rsidRPr="00A062CF" w:rsidRDefault="000B57EE" w:rsidP="000B57EE">
      <w:pPr>
        <w:pStyle w:val="EndNoteBibliography"/>
        <w:ind w:left="720" w:hanging="720"/>
        <w:rPr>
          <w:sz w:val="17"/>
          <w:szCs w:val="17"/>
        </w:rPr>
      </w:pPr>
      <w:r w:rsidRPr="00A062CF">
        <w:rPr>
          <w:sz w:val="17"/>
          <w:szCs w:val="17"/>
        </w:rPr>
        <w:t>Drosou C.G., Krokida M.K. &amp; Biliaderis C.G., 2017, Encapsulation of bioactive compounds through electrospinning/electrospraying and spray drying: A comparative assessment of food-related applications, Drying Technology</w:t>
      </w:r>
      <w:r w:rsidRPr="00A062CF">
        <w:rPr>
          <w:i/>
          <w:sz w:val="17"/>
          <w:szCs w:val="17"/>
        </w:rPr>
        <w:t>,</w:t>
      </w:r>
      <w:r w:rsidRPr="00A062CF">
        <w:rPr>
          <w:sz w:val="17"/>
          <w:szCs w:val="17"/>
        </w:rPr>
        <w:t xml:space="preserve"> 35</w:t>
      </w:r>
      <w:r w:rsidRPr="00A062CF">
        <w:rPr>
          <w:b/>
          <w:sz w:val="17"/>
          <w:szCs w:val="17"/>
        </w:rPr>
        <w:t xml:space="preserve">, </w:t>
      </w:r>
      <w:r w:rsidRPr="00A062CF">
        <w:rPr>
          <w:sz w:val="17"/>
          <w:szCs w:val="17"/>
        </w:rPr>
        <w:t>139-162.</w:t>
      </w:r>
    </w:p>
    <w:p w14:paraId="34786022" w14:textId="77777777" w:rsidR="000B57EE" w:rsidRPr="00A062CF" w:rsidRDefault="000B57EE" w:rsidP="000B57EE">
      <w:pPr>
        <w:pStyle w:val="EndNoteBibliography"/>
        <w:ind w:left="720" w:hanging="720"/>
        <w:rPr>
          <w:sz w:val="17"/>
          <w:szCs w:val="17"/>
        </w:rPr>
      </w:pPr>
      <w:r w:rsidRPr="00A062CF">
        <w:rPr>
          <w:sz w:val="17"/>
          <w:szCs w:val="17"/>
        </w:rPr>
        <w:t xml:space="preserve">European Commission, 2005, European Commission Ban on antibiotics as growth promoters in animal feed enters into effect, </w:t>
      </w:r>
    </w:p>
    <w:p w14:paraId="4B24FC44" w14:textId="77777777" w:rsidR="000B57EE" w:rsidRPr="00A062CF" w:rsidRDefault="000B57EE" w:rsidP="000B57EE">
      <w:pPr>
        <w:pStyle w:val="EndNoteBibliography"/>
        <w:ind w:left="720" w:hanging="720"/>
        <w:rPr>
          <w:sz w:val="17"/>
          <w:szCs w:val="17"/>
        </w:rPr>
      </w:pPr>
      <w:r w:rsidRPr="00A062CF">
        <w:rPr>
          <w:sz w:val="17"/>
          <w:szCs w:val="17"/>
        </w:rPr>
        <w:t>Gong H.Y., Liu W.H., Lv G.Y. &amp; Zhou X., 2014, Analysis of essential oils of Origanum vulgare from six production areas of China and Pakistan, Revista Brasileira de Farmacognosia</w:t>
      </w:r>
      <w:r w:rsidRPr="00A062CF">
        <w:rPr>
          <w:i/>
          <w:sz w:val="17"/>
          <w:szCs w:val="17"/>
        </w:rPr>
        <w:t>,</w:t>
      </w:r>
      <w:r w:rsidRPr="00A062CF">
        <w:rPr>
          <w:sz w:val="17"/>
          <w:szCs w:val="17"/>
        </w:rPr>
        <w:t xml:space="preserve"> 24</w:t>
      </w:r>
      <w:r w:rsidRPr="00A062CF">
        <w:rPr>
          <w:b/>
          <w:sz w:val="17"/>
          <w:szCs w:val="17"/>
        </w:rPr>
        <w:t xml:space="preserve">, </w:t>
      </w:r>
      <w:r w:rsidRPr="00A062CF">
        <w:rPr>
          <w:sz w:val="17"/>
          <w:szCs w:val="17"/>
        </w:rPr>
        <w:t>25-32.</w:t>
      </w:r>
    </w:p>
    <w:p w14:paraId="60446A9C" w14:textId="77777777" w:rsidR="000B57EE" w:rsidRPr="00A062CF" w:rsidRDefault="000B57EE" w:rsidP="000B57EE">
      <w:pPr>
        <w:pStyle w:val="EndNoteBibliography"/>
        <w:ind w:left="720" w:hanging="720"/>
        <w:rPr>
          <w:sz w:val="17"/>
          <w:szCs w:val="17"/>
        </w:rPr>
      </w:pPr>
      <w:r w:rsidRPr="00A062CF">
        <w:rPr>
          <w:sz w:val="17"/>
          <w:szCs w:val="17"/>
        </w:rPr>
        <w:t>Hajimehdipoor H., Shekarchi M., Khanavi M., Adib N. &amp; Amri M., 2010, A validated high performance liquid chromatography method for the analysis of thymol and carvacrol in Thymus vulgaris L. volatile oil, Pharmacognosy magazine</w:t>
      </w:r>
      <w:r w:rsidRPr="00A062CF">
        <w:rPr>
          <w:i/>
          <w:sz w:val="17"/>
          <w:szCs w:val="17"/>
        </w:rPr>
        <w:t>,</w:t>
      </w:r>
      <w:r w:rsidRPr="00A062CF">
        <w:rPr>
          <w:sz w:val="17"/>
          <w:szCs w:val="17"/>
        </w:rPr>
        <w:t xml:space="preserve"> 6</w:t>
      </w:r>
      <w:r w:rsidRPr="00A062CF">
        <w:rPr>
          <w:b/>
          <w:sz w:val="17"/>
          <w:szCs w:val="17"/>
        </w:rPr>
        <w:t xml:space="preserve">, </w:t>
      </w:r>
      <w:r w:rsidRPr="00A062CF">
        <w:rPr>
          <w:sz w:val="17"/>
          <w:szCs w:val="17"/>
        </w:rPr>
        <w:t>154-158.</w:t>
      </w:r>
    </w:p>
    <w:p w14:paraId="0E309BA8" w14:textId="77777777" w:rsidR="000B57EE" w:rsidRPr="00A062CF" w:rsidRDefault="000B57EE" w:rsidP="000B57EE">
      <w:pPr>
        <w:pStyle w:val="EndNoteBibliography"/>
        <w:ind w:left="720" w:hanging="720"/>
        <w:rPr>
          <w:sz w:val="17"/>
          <w:szCs w:val="17"/>
        </w:rPr>
      </w:pPr>
      <w:r w:rsidRPr="00A062CF">
        <w:rPr>
          <w:sz w:val="17"/>
          <w:szCs w:val="17"/>
        </w:rPr>
        <w:t>Miguel M.G., 2010, Antioxidant and anti-inflammatory activities of essential oils: a short review, Molecules (Basel, Switzerland)</w:t>
      </w:r>
      <w:r w:rsidRPr="00A062CF">
        <w:rPr>
          <w:i/>
          <w:sz w:val="17"/>
          <w:szCs w:val="17"/>
        </w:rPr>
        <w:t>,</w:t>
      </w:r>
      <w:r w:rsidRPr="00A062CF">
        <w:rPr>
          <w:sz w:val="17"/>
          <w:szCs w:val="17"/>
        </w:rPr>
        <w:t xml:space="preserve"> 15</w:t>
      </w:r>
      <w:r w:rsidRPr="00A062CF">
        <w:rPr>
          <w:b/>
          <w:sz w:val="17"/>
          <w:szCs w:val="17"/>
        </w:rPr>
        <w:t xml:space="preserve">, </w:t>
      </w:r>
      <w:r w:rsidRPr="00A062CF">
        <w:rPr>
          <w:sz w:val="17"/>
          <w:szCs w:val="17"/>
        </w:rPr>
        <w:t>9252-9287.</w:t>
      </w:r>
    </w:p>
    <w:p w14:paraId="28DE5FAB" w14:textId="77777777" w:rsidR="000B57EE" w:rsidRPr="00A062CF" w:rsidRDefault="000B57EE" w:rsidP="000B57EE">
      <w:pPr>
        <w:pStyle w:val="EndNoteBibliography"/>
        <w:ind w:left="720" w:hanging="720"/>
        <w:rPr>
          <w:sz w:val="17"/>
          <w:szCs w:val="17"/>
        </w:rPr>
      </w:pPr>
      <w:r w:rsidRPr="00A062CF">
        <w:rPr>
          <w:sz w:val="17"/>
          <w:szCs w:val="17"/>
        </w:rPr>
        <w:t>Pirozzi A., Del Grosso V., Ferrari G., Pataro G. &amp; Donsì F., 2021, Combination of Edible Coatings Containing Oregano Essential Oil Nanoemulsion and Pulsed Light Treatments for Improving the Shelf Life of Tomatoes Chemical Engineering Transactions</w:t>
      </w:r>
      <w:r w:rsidRPr="00A062CF">
        <w:rPr>
          <w:i/>
          <w:sz w:val="17"/>
          <w:szCs w:val="17"/>
        </w:rPr>
        <w:t>,</w:t>
      </w:r>
      <w:r w:rsidRPr="00A062CF">
        <w:rPr>
          <w:sz w:val="17"/>
          <w:szCs w:val="17"/>
        </w:rPr>
        <w:t xml:space="preserve"> 87</w:t>
      </w:r>
      <w:r w:rsidRPr="00A062CF">
        <w:rPr>
          <w:b/>
          <w:sz w:val="17"/>
          <w:szCs w:val="17"/>
        </w:rPr>
        <w:t xml:space="preserve">, </w:t>
      </w:r>
      <w:r w:rsidRPr="00A062CF">
        <w:rPr>
          <w:sz w:val="17"/>
          <w:szCs w:val="17"/>
        </w:rPr>
        <w:t>61-66.</w:t>
      </w:r>
    </w:p>
    <w:p w14:paraId="60CBFC82" w14:textId="77777777" w:rsidR="000B57EE" w:rsidRPr="00A062CF" w:rsidRDefault="000B57EE" w:rsidP="000B57EE">
      <w:pPr>
        <w:pStyle w:val="EndNoteBibliography"/>
        <w:ind w:left="720" w:hanging="720"/>
        <w:rPr>
          <w:sz w:val="17"/>
          <w:szCs w:val="17"/>
        </w:rPr>
      </w:pPr>
      <w:r w:rsidRPr="00A062CF">
        <w:rPr>
          <w:sz w:val="17"/>
          <w:szCs w:val="17"/>
        </w:rPr>
        <w:t>Semeniuc C.A., Pop C.R. &amp; Rotar A.M., 2017, Antibacterial activity and interactions of plant essential oil combinations against Gram-positive and Gram-negative bacteria, Journal of Food and Drug Analysis</w:t>
      </w:r>
      <w:r w:rsidRPr="00A062CF">
        <w:rPr>
          <w:i/>
          <w:sz w:val="17"/>
          <w:szCs w:val="17"/>
        </w:rPr>
        <w:t>,</w:t>
      </w:r>
      <w:r w:rsidRPr="00A062CF">
        <w:rPr>
          <w:sz w:val="17"/>
          <w:szCs w:val="17"/>
        </w:rPr>
        <w:t xml:space="preserve"> 25</w:t>
      </w:r>
      <w:r w:rsidRPr="00A062CF">
        <w:rPr>
          <w:b/>
          <w:sz w:val="17"/>
          <w:szCs w:val="17"/>
        </w:rPr>
        <w:t xml:space="preserve">, </w:t>
      </w:r>
      <w:r w:rsidRPr="00A062CF">
        <w:rPr>
          <w:sz w:val="17"/>
          <w:szCs w:val="17"/>
        </w:rPr>
        <w:t>403-408.</w:t>
      </w:r>
    </w:p>
    <w:p w14:paraId="64ABC0C7" w14:textId="77777777" w:rsidR="000B57EE" w:rsidRPr="00A062CF" w:rsidRDefault="000B57EE" w:rsidP="000B57EE">
      <w:pPr>
        <w:pStyle w:val="EndNoteBibliography"/>
        <w:ind w:left="720" w:hanging="720"/>
        <w:rPr>
          <w:sz w:val="17"/>
          <w:szCs w:val="17"/>
        </w:rPr>
      </w:pPr>
      <w:r w:rsidRPr="00A062CF">
        <w:rPr>
          <w:sz w:val="17"/>
          <w:szCs w:val="17"/>
        </w:rPr>
        <w:t>Singleton V.L., Orthofer R. &amp; Lamuela-Raventós R.M. 1999. Analysis of total phenols and other oxidation substrates and antioxidants by means of folin-ciocalteu reagent. Methods in Enzymology. Academic Press.</w:t>
      </w:r>
    </w:p>
    <w:p w14:paraId="5C95A141" w14:textId="77777777" w:rsidR="000B57EE" w:rsidRPr="00A062CF" w:rsidRDefault="000B57EE" w:rsidP="000B57EE">
      <w:pPr>
        <w:pStyle w:val="EndNoteBibliography"/>
        <w:ind w:left="720" w:hanging="720"/>
        <w:rPr>
          <w:sz w:val="17"/>
          <w:szCs w:val="17"/>
        </w:rPr>
      </w:pPr>
      <w:r w:rsidRPr="00A062CF">
        <w:rPr>
          <w:sz w:val="17"/>
          <w:szCs w:val="17"/>
        </w:rPr>
        <w:t>Skotti E., Anastasaki E., Kanellou G., Polissiou M. &amp; Tarantilis P.A., 2014, Total phenolic content, antioxidant activity and toxicity of aqueous extracts from selected Greek medicinal and aromatic plants, Industrial Crops and Products</w:t>
      </w:r>
      <w:r w:rsidRPr="00A062CF">
        <w:rPr>
          <w:i/>
          <w:sz w:val="17"/>
          <w:szCs w:val="17"/>
        </w:rPr>
        <w:t>,</w:t>
      </w:r>
      <w:r w:rsidRPr="00A062CF">
        <w:rPr>
          <w:sz w:val="17"/>
          <w:szCs w:val="17"/>
        </w:rPr>
        <w:t xml:space="preserve"> 53</w:t>
      </w:r>
      <w:r w:rsidRPr="00A062CF">
        <w:rPr>
          <w:b/>
          <w:sz w:val="17"/>
          <w:szCs w:val="17"/>
        </w:rPr>
        <w:t xml:space="preserve">, </w:t>
      </w:r>
      <w:r w:rsidRPr="00A062CF">
        <w:rPr>
          <w:sz w:val="17"/>
          <w:szCs w:val="17"/>
        </w:rPr>
        <w:t>46-54.</w:t>
      </w:r>
    </w:p>
    <w:p w14:paraId="0EBF2D6D" w14:textId="77777777" w:rsidR="000B57EE" w:rsidRPr="00A062CF" w:rsidRDefault="000B57EE" w:rsidP="000B57EE">
      <w:pPr>
        <w:pStyle w:val="EndNoteBibliography"/>
        <w:ind w:left="720" w:hanging="720"/>
        <w:rPr>
          <w:sz w:val="17"/>
          <w:szCs w:val="17"/>
        </w:rPr>
      </w:pPr>
      <w:r w:rsidRPr="00A062CF">
        <w:rPr>
          <w:sz w:val="17"/>
          <w:szCs w:val="17"/>
        </w:rPr>
        <w:t>Takahashi G., Barbosa H.D., Bergamasco R., Madrona G., Tonon L.C., Yamashita F. &amp; Scapim M., 2017, Development and Active Biodegradable Film Evaluation Incorporated with Oregano Essential Oil and Nanoclay, Chemical Engineering Transactions</w:t>
      </w:r>
      <w:r w:rsidRPr="00A062CF">
        <w:rPr>
          <w:i/>
          <w:sz w:val="17"/>
          <w:szCs w:val="17"/>
        </w:rPr>
        <w:t>,</w:t>
      </w:r>
      <w:r w:rsidRPr="00A062CF">
        <w:rPr>
          <w:sz w:val="17"/>
          <w:szCs w:val="17"/>
        </w:rPr>
        <w:t xml:space="preserve"> 57</w:t>
      </w:r>
      <w:r w:rsidRPr="00A062CF">
        <w:rPr>
          <w:b/>
          <w:sz w:val="17"/>
          <w:szCs w:val="17"/>
        </w:rPr>
        <w:t xml:space="preserve">, </w:t>
      </w:r>
      <w:r w:rsidRPr="00A062CF">
        <w:rPr>
          <w:sz w:val="17"/>
          <w:szCs w:val="17"/>
        </w:rPr>
        <w:t>403-408.</w:t>
      </w:r>
    </w:p>
    <w:p w14:paraId="6C0A7E6A" w14:textId="36D7F359" w:rsidR="00512D4E" w:rsidRPr="00077A74" w:rsidRDefault="0050259E" w:rsidP="00077A74">
      <w:pPr>
        <w:pStyle w:val="CETReferencetext"/>
        <w:ind w:left="270" w:hanging="360"/>
        <w:rPr>
          <w:color w:val="5F497A" w:themeColor="accent4" w:themeShade="BF"/>
        </w:rPr>
      </w:pPr>
      <w:r w:rsidRPr="00A062CF">
        <w:rPr>
          <w:sz w:val="17"/>
          <w:szCs w:val="17"/>
        </w:rPr>
        <w:fldChar w:fldCharType="end"/>
      </w:r>
    </w:p>
    <w:sectPr w:rsidR="00512D4E" w:rsidRPr="00077A7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AA42" w14:textId="77777777" w:rsidR="0033271F" w:rsidRDefault="0033271F" w:rsidP="004F5E36">
      <w:r>
        <w:separator/>
      </w:r>
    </w:p>
  </w:endnote>
  <w:endnote w:type="continuationSeparator" w:id="0">
    <w:p w14:paraId="049A9778" w14:textId="77777777" w:rsidR="0033271F" w:rsidRDefault="0033271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C953" w14:textId="77777777" w:rsidR="0033271F" w:rsidRDefault="0033271F" w:rsidP="004F5E36">
      <w:r>
        <w:separator/>
      </w:r>
    </w:p>
  </w:footnote>
  <w:footnote w:type="continuationSeparator" w:id="0">
    <w:p w14:paraId="159088F3" w14:textId="77777777" w:rsidR="0033271F" w:rsidRDefault="0033271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430C7EF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350" w:firstLine="0"/>
      </w:pPr>
      <w:rPr>
        <w:rFonts w:hint="default"/>
      </w:rPr>
    </w:lvl>
    <w:lvl w:ilvl="2">
      <w:start w:val="1"/>
      <w:numFmt w:val="decimal"/>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BB1A46"/>
    <w:multiLevelType w:val="multilevel"/>
    <w:tmpl w:val="3F1435D8"/>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21"/>
  </w:num>
  <w:num w:numId="24">
    <w:abstractNumId w:val="21"/>
    <w:lvlOverride w:ilvl="0">
      <w:startOverride w:val="3"/>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ICHEAP final&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ffsx9tlx5wzsepvzoxtpf32swzp0922swp&quot;&gt;IBIC&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record-ids&gt;&lt;/item&gt;&lt;/Libraries&gt;"/>
  </w:docVars>
  <w:rsids>
    <w:rsidRoot w:val="000E414A"/>
    <w:rsid w:val="000027C0"/>
    <w:rsid w:val="000052FB"/>
    <w:rsid w:val="000117CB"/>
    <w:rsid w:val="0003148D"/>
    <w:rsid w:val="00031EEC"/>
    <w:rsid w:val="0005094D"/>
    <w:rsid w:val="00051566"/>
    <w:rsid w:val="00057E38"/>
    <w:rsid w:val="00062A9A"/>
    <w:rsid w:val="00065058"/>
    <w:rsid w:val="00077A74"/>
    <w:rsid w:val="00086C39"/>
    <w:rsid w:val="000A03B2"/>
    <w:rsid w:val="000A6B07"/>
    <w:rsid w:val="000B57EE"/>
    <w:rsid w:val="000D0268"/>
    <w:rsid w:val="000D34BE"/>
    <w:rsid w:val="000E102F"/>
    <w:rsid w:val="000E36F1"/>
    <w:rsid w:val="000E3A73"/>
    <w:rsid w:val="000E414A"/>
    <w:rsid w:val="000F093C"/>
    <w:rsid w:val="000F787B"/>
    <w:rsid w:val="0012091F"/>
    <w:rsid w:val="00126BC2"/>
    <w:rsid w:val="00126FA0"/>
    <w:rsid w:val="001308B6"/>
    <w:rsid w:val="0013121F"/>
    <w:rsid w:val="00131FE6"/>
    <w:rsid w:val="0013263F"/>
    <w:rsid w:val="001331DF"/>
    <w:rsid w:val="00134DE4"/>
    <w:rsid w:val="0014034D"/>
    <w:rsid w:val="00143CD7"/>
    <w:rsid w:val="00144D16"/>
    <w:rsid w:val="00150E59"/>
    <w:rsid w:val="00152DE3"/>
    <w:rsid w:val="00154961"/>
    <w:rsid w:val="00164CF9"/>
    <w:rsid w:val="00166277"/>
    <w:rsid w:val="001667A6"/>
    <w:rsid w:val="0017730B"/>
    <w:rsid w:val="00184AD6"/>
    <w:rsid w:val="00186730"/>
    <w:rsid w:val="001A4AF7"/>
    <w:rsid w:val="001B0349"/>
    <w:rsid w:val="001B0C07"/>
    <w:rsid w:val="001B1E93"/>
    <w:rsid w:val="001B65C1"/>
    <w:rsid w:val="001C684B"/>
    <w:rsid w:val="001D0CFB"/>
    <w:rsid w:val="001D21AF"/>
    <w:rsid w:val="001D53FC"/>
    <w:rsid w:val="001E5806"/>
    <w:rsid w:val="001F42A5"/>
    <w:rsid w:val="001F7B9D"/>
    <w:rsid w:val="00201C93"/>
    <w:rsid w:val="002224B4"/>
    <w:rsid w:val="002257AF"/>
    <w:rsid w:val="0023354E"/>
    <w:rsid w:val="002447EF"/>
    <w:rsid w:val="00244AC9"/>
    <w:rsid w:val="00251550"/>
    <w:rsid w:val="00251702"/>
    <w:rsid w:val="00263B05"/>
    <w:rsid w:val="00264A1C"/>
    <w:rsid w:val="0027221A"/>
    <w:rsid w:val="00275B61"/>
    <w:rsid w:val="00280FAF"/>
    <w:rsid w:val="00282656"/>
    <w:rsid w:val="00287D0F"/>
    <w:rsid w:val="00296B83"/>
    <w:rsid w:val="002B4015"/>
    <w:rsid w:val="002B78CE"/>
    <w:rsid w:val="002C2FB6"/>
    <w:rsid w:val="002E5FA7"/>
    <w:rsid w:val="002F3309"/>
    <w:rsid w:val="003008CE"/>
    <w:rsid w:val="003009B7"/>
    <w:rsid w:val="00300E56"/>
    <w:rsid w:val="0030469C"/>
    <w:rsid w:val="00321CA6"/>
    <w:rsid w:val="00323763"/>
    <w:rsid w:val="0033271F"/>
    <w:rsid w:val="00334C09"/>
    <w:rsid w:val="003723D4"/>
    <w:rsid w:val="00381905"/>
    <w:rsid w:val="00384CC8"/>
    <w:rsid w:val="003871FD"/>
    <w:rsid w:val="003A1E30"/>
    <w:rsid w:val="003A2829"/>
    <w:rsid w:val="003A7D1C"/>
    <w:rsid w:val="003B304B"/>
    <w:rsid w:val="003B3146"/>
    <w:rsid w:val="003C17DA"/>
    <w:rsid w:val="003F015E"/>
    <w:rsid w:val="00400414"/>
    <w:rsid w:val="004009C1"/>
    <w:rsid w:val="0041446B"/>
    <w:rsid w:val="004200EC"/>
    <w:rsid w:val="00424380"/>
    <w:rsid w:val="0044071E"/>
    <w:rsid w:val="0044329C"/>
    <w:rsid w:val="00453E24"/>
    <w:rsid w:val="00457456"/>
    <w:rsid w:val="004577FE"/>
    <w:rsid w:val="00457B9C"/>
    <w:rsid w:val="0046164A"/>
    <w:rsid w:val="004628D2"/>
    <w:rsid w:val="00462DCD"/>
    <w:rsid w:val="004632C4"/>
    <w:rsid w:val="004648AD"/>
    <w:rsid w:val="004703A9"/>
    <w:rsid w:val="004760DE"/>
    <w:rsid w:val="004763D7"/>
    <w:rsid w:val="0049002D"/>
    <w:rsid w:val="00492368"/>
    <w:rsid w:val="004A004E"/>
    <w:rsid w:val="004A24CF"/>
    <w:rsid w:val="004A3746"/>
    <w:rsid w:val="004C3D1D"/>
    <w:rsid w:val="004C6158"/>
    <w:rsid w:val="004C7913"/>
    <w:rsid w:val="004E4DD6"/>
    <w:rsid w:val="004E6054"/>
    <w:rsid w:val="004E762C"/>
    <w:rsid w:val="004F5E36"/>
    <w:rsid w:val="0050259E"/>
    <w:rsid w:val="00505143"/>
    <w:rsid w:val="00507B47"/>
    <w:rsid w:val="00507BEF"/>
    <w:rsid w:val="00507CC9"/>
    <w:rsid w:val="005119A5"/>
    <w:rsid w:val="00512D4E"/>
    <w:rsid w:val="005278B7"/>
    <w:rsid w:val="00532016"/>
    <w:rsid w:val="005346C8"/>
    <w:rsid w:val="00543E7D"/>
    <w:rsid w:val="00547A68"/>
    <w:rsid w:val="005531C9"/>
    <w:rsid w:val="00554464"/>
    <w:rsid w:val="00562E12"/>
    <w:rsid w:val="00570C43"/>
    <w:rsid w:val="00573DFC"/>
    <w:rsid w:val="00585EFE"/>
    <w:rsid w:val="005B2110"/>
    <w:rsid w:val="005B6105"/>
    <w:rsid w:val="005B61E6"/>
    <w:rsid w:val="005C77E1"/>
    <w:rsid w:val="005D668A"/>
    <w:rsid w:val="005D6A2F"/>
    <w:rsid w:val="005E1A82"/>
    <w:rsid w:val="005E794C"/>
    <w:rsid w:val="005F0A28"/>
    <w:rsid w:val="005F0E5E"/>
    <w:rsid w:val="00600535"/>
    <w:rsid w:val="00604911"/>
    <w:rsid w:val="00607A40"/>
    <w:rsid w:val="00610CD6"/>
    <w:rsid w:val="00620DEE"/>
    <w:rsid w:val="00621F92"/>
    <w:rsid w:val="0062280A"/>
    <w:rsid w:val="00625639"/>
    <w:rsid w:val="00631B33"/>
    <w:rsid w:val="0064184D"/>
    <w:rsid w:val="006422CC"/>
    <w:rsid w:val="0065088D"/>
    <w:rsid w:val="00660E3E"/>
    <w:rsid w:val="00662E74"/>
    <w:rsid w:val="00674A66"/>
    <w:rsid w:val="00680C23"/>
    <w:rsid w:val="0069294B"/>
    <w:rsid w:val="00693766"/>
    <w:rsid w:val="006A3281"/>
    <w:rsid w:val="006B4888"/>
    <w:rsid w:val="006C0B5A"/>
    <w:rsid w:val="006C2E45"/>
    <w:rsid w:val="006C359C"/>
    <w:rsid w:val="006C37DF"/>
    <w:rsid w:val="006C5579"/>
    <w:rsid w:val="006D5B0C"/>
    <w:rsid w:val="006D6E8B"/>
    <w:rsid w:val="006E737D"/>
    <w:rsid w:val="006F5D3F"/>
    <w:rsid w:val="00702DB8"/>
    <w:rsid w:val="00705B65"/>
    <w:rsid w:val="00713973"/>
    <w:rsid w:val="0071400B"/>
    <w:rsid w:val="00720A24"/>
    <w:rsid w:val="00723620"/>
    <w:rsid w:val="00732386"/>
    <w:rsid w:val="0073514D"/>
    <w:rsid w:val="007447F3"/>
    <w:rsid w:val="0074608A"/>
    <w:rsid w:val="0075499F"/>
    <w:rsid w:val="007661C8"/>
    <w:rsid w:val="0077098D"/>
    <w:rsid w:val="007739A4"/>
    <w:rsid w:val="00790199"/>
    <w:rsid w:val="007931FA"/>
    <w:rsid w:val="007A4861"/>
    <w:rsid w:val="007A7BBA"/>
    <w:rsid w:val="007B0C50"/>
    <w:rsid w:val="007B48F9"/>
    <w:rsid w:val="007C1A43"/>
    <w:rsid w:val="007E1442"/>
    <w:rsid w:val="007E438C"/>
    <w:rsid w:val="0080013E"/>
    <w:rsid w:val="008125B6"/>
    <w:rsid w:val="00813288"/>
    <w:rsid w:val="008168FC"/>
    <w:rsid w:val="008244BE"/>
    <w:rsid w:val="00830996"/>
    <w:rsid w:val="008328CF"/>
    <w:rsid w:val="008345F1"/>
    <w:rsid w:val="008400E1"/>
    <w:rsid w:val="00840D75"/>
    <w:rsid w:val="00843328"/>
    <w:rsid w:val="00851783"/>
    <w:rsid w:val="00865B07"/>
    <w:rsid w:val="008667EA"/>
    <w:rsid w:val="0087167D"/>
    <w:rsid w:val="00874D86"/>
    <w:rsid w:val="0087637F"/>
    <w:rsid w:val="0088011F"/>
    <w:rsid w:val="00892AD5"/>
    <w:rsid w:val="00892B0A"/>
    <w:rsid w:val="008938AE"/>
    <w:rsid w:val="008A1512"/>
    <w:rsid w:val="008A5114"/>
    <w:rsid w:val="008D32B9"/>
    <w:rsid w:val="008D433B"/>
    <w:rsid w:val="008E566E"/>
    <w:rsid w:val="008E56D1"/>
    <w:rsid w:val="0090161A"/>
    <w:rsid w:val="00901EB6"/>
    <w:rsid w:val="00904C62"/>
    <w:rsid w:val="00922BA8"/>
    <w:rsid w:val="00924DAC"/>
    <w:rsid w:val="00927058"/>
    <w:rsid w:val="00942750"/>
    <w:rsid w:val="009450CE"/>
    <w:rsid w:val="00945AB6"/>
    <w:rsid w:val="00947179"/>
    <w:rsid w:val="0095164B"/>
    <w:rsid w:val="00954090"/>
    <w:rsid w:val="009573E7"/>
    <w:rsid w:val="00961905"/>
    <w:rsid w:val="00962DBF"/>
    <w:rsid w:val="00963E05"/>
    <w:rsid w:val="00964A45"/>
    <w:rsid w:val="00967843"/>
    <w:rsid w:val="00967D54"/>
    <w:rsid w:val="00971028"/>
    <w:rsid w:val="00992E70"/>
    <w:rsid w:val="00993B84"/>
    <w:rsid w:val="00995C1F"/>
    <w:rsid w:val="00996483"/>
    <w:rsid w:val="00996F5A"/>
    <w:rsid w:val="009B041A"/>
    <w:rsid w:val="009C37C3"/>
    <w:rsid w:val="009C7C86"/>
    <w:rsid w:val="009D097C"/>
    <w:rsid w:val="009D2FF7"/>
    <w:rsid w:val="009E7229"/>
    <w:rsid w:val="009E7884"/>
    <w:rsid w:val="009E788A"/>
    <w:rsid w:val="009F0E08"/>
    <w:rsid w:val="009F7934"/>
    <w:rsid w:val="00A062CF"/>
    <w:rsid w:val="00A1763D"/>
    <w:rsid w:val="00A17CEC"/>
    <w:rsid w:val="00A27EF0"/>
    <w:rsid w:val="00A42361"/>
    <w:rsid w:val="00A50B20"/>
    <w:rsid w:val="00A51390"/>
    <w:rsid w:val="00A60D13"/>
    <w:rsid w:val="00A623A6"/>
    <w:rsid w:val="00A72745"/>
    <w:rsid w:val="00A76EFC"/>
    <w:rsid w:val="00A90E0E"/>
    <w:rsid w:val="00A91010"/>
    <w:rsid w:val="00A97F29"/>
    <w:rsid w:val="00AA1AD5"/>
    <w:rsid w:val="00AA702E"/>
    <w:rsid w:val="00AB0964"/>
    <w:rsid w:val="00AB5011"/>
    <w:rsid w:val="00AC7368"/>
    <w:rsid w:val="00AD00BA"/>
    <w:rsid w:val="00AD16B9"/>
    <w:rsid w:val="00AD7408"/>
    <w:rsid w:val="00AE377D"/>
    <w:rsid w:val="00AF0EBA"/>
    <w:rsid w:val="00AF6775"/>
    <w:rsid w:val="00B02C8A"/>
    <w:rsid w:val="00B0707D"/>
    <w:rsid w:val="00B17771"/>
    <w:rsid w:val="00B17FBD"/>
    <w:rsid w:val="00B307FE"/>
    <w:rsid w:val="00B315A6"/>
    <w:rsid w:val="00B31813"/>
    <w:rsid w:val="00B33365"/>
    <w:rsid w:val="00B54DCE"/>
    <w:rsid w:val="00B55080"/>
    <w:rsid w:val="00B57B36"/>
    <w:rsid w:val="00B57E6F"/>
    <w:rsid w:val="00B630E7"/>
    <w:rsid w:val="00B8686D"/>
    <w:rsid w:val="00B93F69"/>
    <w:rsid w:val="00B95DC8"/>
    <w:rsid w:val="00BA4C7A"/>
    <w:rsid w:val="00BB1DDC"/>
    <w:rsid w:val="00BC30C9"/>
    <w:rsid w:val="00BC45FE"/>
    <w:rsid w:val="00BD077D"/>
    <w:rsid w:val="00BE3E58"/>
    <w:rsid w:val="00BF1577"/>
    <w:rsid w:val="00C01616"/>
    <w:rsid w:val="00C0162B"/>
    <w:rsid w:val="00C068ED"/>
    <w:rsid w:val="00C21C7D"/>
    <w:rsid w:val="00C22E0C"/>
    <w:rsid w:val="00C345B1"/>
    <w:rsid w:val="00C40142"/>
    <w:rsid w:val="00C52C3C"/>
    <w:rsid w:val="00C57182"/>
    <w:rsid w:val="00C57863"/>
    <w:rsid w:val="00C655FD"/>
    <w:rsid w:val="00C657C1"/>
    <w:rsid w:val="00C713D1"/>
    <w:rsid w:val="00C75407"/>
    <w:rsid w:val="00C82130"/>
    <w:rsid w:val="00C870A8"/>
    <w:rsid w:val="00C94434"/>
    <w:rsid w:val="00CA0D75"/>
    <w:rsid w:val="00CA1C95"/>
    <w:rsid w:val="00CA5A9C"/>
    <w:rsid w:val="00CA7BC5"/>
    <w:rsid w:val="00CC4C20"/>
    <w:rsid w:val="00CD3517"/>
    <w:rsid w:val="00CD5FE2"/>
    <w:rsid w:val="00CE7C68"/>
    <w:rsid w:val="00D02B4C"/>
    <w:rsid w:val="00D03ED5"/>
    <w:rsid w:val="00D040C4"/>
    <w:rsid w:val="00D051AA"/>
    <w:rsid w:val="00D37121"/>
    <w:rsid w:val="00D44C4E"/>
    <w:rsid w:val="00D46B7E"/>
    <w:rsid w:val="00D57C84"/>
    <w:rsid w:val="00D6057D"/>
    <w:rsid w:val="00D71640"/>
    <w:rsid w:val="00D836C5"/>
    <w:rsid w:val="00D84576"/>
    <w:rsid w:val="00D9495F"/>
    <w:rsid w:val="00DA1399"/>
    <w:rsid w:val="00DA18FC"/>
    <w:rsid w:val="00DA24C6"/>
    <w:rsid w:val="00DA4D7B"/>
    <w:rsid w:val="00DC7D62"/>
    <w:rsid w:val="00DD5B87"/>
    <w:rsid w:val="00DE264A"/>
    <w:rsid w:val="00DF0A01"/>
    <w:rsid w:val="00DF5072"/>
    <w:rsid w:val="00E02D18"/>
    <w:rsid w:val="00E041E7"/>
    <w:rsid w:val="00E23CA1"/>
    <w:rsid w:val="00E409A8"/>
    <w:rsid w:val="00E50C12"/>
    <w:rsid w:val="00E65B91"/>
    <w:rsid w:val="00E7209D"/>
    <w:rsid w:val="00E72EAD"/>
    <w:rsid w:val="00E77223"/>
    <w:rsid w:val="00E848CB"/>
    <w:rsid w:val="00E8528B"/>
    <w:rsid w:val="00E85B94"/>
    <w:rsid w:val="00E978D0"/>
    <w:rsid w:val="00EA3B49"/>
    <w:rsid w:val="00EA4613"/>
    <w:rsid w:val="00EA7F91"/>
    <w:rsid w:val="00EB1523"/>
    <w:rsid w:val="00EC0E49"/>
    <w:rsid w:val="00EC101F"/>
    <w:rsid w:val="00EC1D9F"/>
    <w:rsid w:val="00ED72E5"/>
    <w:rsid w:val="00EE0131"/>
    <w:rsid w:val="00EE17B0"/>
    <w:rsid w:val="00EE1930"/>
    <w:rsid w:val="00EF06D9"/>
    <w:rsid w:val="00EF4F8B"/>
    <w:rsid w:val="00F02842"/>
    <w:rsid w:val="00F074D1"/>
    <w:rsid w:val="00F11C49"/>
    <w:rsid w:val="00F14FD1"/>
    <w:rsid w:val="00F30C64"/>
    <w:rsid w:val="00F32BA2"/>
    <w:rsid w:val="00F32CDB"/>
    <w:rsid w:val="00F33EAF"/>
    <w:rsid w:val="00F35D17"/>
    <w:rsid w:val="00F565FE"/>
    <w:rsid w:val="00F612DA"/>
    <w:rsid w:val="00F6160B"/>
    <w:rsid w:val="00F63A70"/>
    <w:rsid w:val="00F7534E"/>
    <w:rsid w:val="00F87E65"/>
    <w:rsid w:val="00FA1802"/>
    <w:rsid w:val="00FA21D0"/>
    <w:rsid w:val="00FA3732"/>
    <w:rsid w:val="00FA5F5F"/>
    <w:rsid w:val="00FB730C"/>
    <w:rsid w:val="00FC2695"/>
    <w:rsid w:val="00FC3E03"/>
    <w:rsid w:val="00FC3FC1"/>
    <w:rsid w:val="00FC49A6"/>
    <w:rsid w:val="00FF6199"/>
    <w:rsid w:val="00FF6BA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8FB97BB-A0D8-4D21-A626-DEB2BAB9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92E70"/>
    <w:pPr>
      <w:keepNext/>
      <w:tabs>
        <w:tab w:val="left" w:pos="360"/>
      </w:tabs>
      <w:suppressAutoHyphens/>
      <w:spacing w:before="120" w:after="0" w:line="240" w:lineRule="auto"/>
      <w:ind w:left="450" w:hanging="450"/>
    </w:pPr>
    <w:rPr>
      <w:rFonts w:ascii="Arial" w:eastAsia="Calibri"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92E70"/>
    <w:rPr>
      <w:rFonts w:ascii="Arial" w:eastAsia="Calibri"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ind w:left="0" w:firstLine="0"/>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F02842"/>
    <w:rPr>
      <w:color w:val="605E5C"/>
      <w:shd w:val="clear" w:color="auto" w:fill="E1DFDD"/>
    </w:rPr>
  </w:style>
  <w:style w:type="table" w:styleId="TableGridLight">
    <w:name w:val="Grid Table Light"/>
    <w:basedOn w:val="TableNormal"/>
    <w:uiPriority w:val="40"/>
    <w:rsid w:val="00ED72E5"/>
    <w:pPr>
      <w:spacing w:after="0" w:line="240" w:lineRule="auto"/>
    </w:pPr>
    <w:rPr>
      <w:lang w:val="el-G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ptionpinakes">
    <w:name w:val="Caption_pinakes"/>
    <w:basedOn w:val="Normal"/>
    <w:qFormat/>
    <w:rsid w:val="00ED72E5"/>
    <w:pPr>
      <w:keepNext/>
      <w:tabs>
        <w:tab w:val="clear" w:pos="7100"/>
      </w:tabs>
      <w:spacing w:before="200" w:line="276" w:lineRule="auto"/>
      <w:jc w:val="center"/>
      <w:textboxTightWrap w:val="allLines"/>
    </w:pPr>
    <w:rPr>
      <w:rFonts w:ascii="Calibri" w:eastAsiaTheme="minorHAnsi" w:hAnsi="Calibri" w:cstheme="minorBidi"/>
      <w:b/>
      <w:color w:val="4F81BD" w:themeColor="accent1"/>
      <w:szCs w:val="22"/>
      <w:lang w:val="en-US"/>
    </w:rPr>
  </w:style>
  <w:style w:type="paragraph" w:customStyle="1" w:styleId="CaptionEikones">
    <w:name w:val="Caption Eikones"/>
    <w:basedOn w:val="Caption"/>
    <w:qFormat/>
    <w:rsid w:val="00ED72E5"/>
    <w:pPr>
      <w:tabs>
        <w:tab w:val="clear" w:pos="7100"/>
      </w:tabs>
      <w:spacing w:before="120" w:after="200" w:line="276" w:lineRule="auto"/>
      <w:jc w:val="center"/>
      <w:textboxTightWrap w:val="allLines"/>
    </w:pPr>
    <w:rPr>
      <w:rFonts w:ascii="Calibri" w:eastAsiaTheme="minorHAnsi" w:hAnsi="Calibri" w:cstheme="minorBidi"/>
      <w:lang w:val="en-US"/>
    </w:rPr>
  </w:style>
  <w:style w:type="paragraph" w:customStyle="1" w:styleId="CETConclusions">
    <w:name w:val="CET Conclusions"/>
    <w:basedOn w:val="CETHeading1"/>
    <w:rsid w:val="00B95DC8"/>
    <w:pPr>
      <w:tabs>
        <w:tab w:val="clear" w:pos="360"/>
      </w:tabs>
    </w:pPr>
  </w:style>
  <w:style w:type="character" w:styleId="FollowedHyperlink">
    <w:name w:val="FollowedHyperlink"/>
    <w:basedOn w:val="DefaultParagraphFont"/>
    <w:uiPriority w:val="99"/>
    <w:semiHidden/>
    <w:unhideWhenUsed/>
    <w:rsid w:val="004632C4"/>
    <w:rPr>
      <w:color w:val="800080" w:themeColor="followedHyperlink"/>
      <w:u w:val="single"/>
    </w:rPr>
  </w:style>
  <w:style w:type="paragraph" w:customStyle="1" w:styleId="EndNoteBibliographyTitle">
    <w:name w:val="EndNote Bibliography Title"/>
    <w:basedOn w:val="Normal"/>
    <w:link w:val="EndNoteBibliographyTitleChar"/>
    <w:rsid w:val="0050259E"/>
    <w:pPr>
      <w:jc w:val="center"/>
    </w:pPr>
    <w:rPr>
      <w:rFonts w:cs="Arial"/>
      <w:noProof/>
      <w:lang w:val="en-US"/>
    </w:rPr>
  </w:style>
  <w:style w:type="character" w:customStyle="1" w:styleId="EndNoteBibliographyTitleChar">
    <w:name w:val="EndNote Bibliography Title Char"/>
    <w:basedOn w:val="CETBodytextCarattere"/>
    <w:link w:val="EndNoteBibliographyTitle"/>
    <w:rsid w:val="0050259E"/>
    <w:rPr>
      <w:rFonts w:ascii="Arial" w:eastAsia="Times New Roman" w:hAnsi="Arial" w:cs="Arial"/>
      <w:noProof/>
      <w:sz w:val="18"/>
      <w:szCs w:val="20"/>
      <w:lang w:val="en-US"/>
    </w:rPr>
  </w:style>
  <w:style w:type="paragraph" w:customStyle="1" w:styleId="EndNoteBibliography">
    <w:name w:val="EndNote Bibliography"/>
    <w:basedOn w:val="Normal"/>
    <w:link w:val="EndNoteBibliographyChar"/>
    <w:rsid w:val="0050259E"/>
    <w:pPr>
      <w:spacing w:line="240" w:lineRule="auto"/>
    </w:pPr>
    <w:rPr>
      <w:rFonts w:cs="Arial"/>
      <w:noProof/>
      <w:lang w:val="en-US"/>
    </w:rPr>
  </w:style>
  <w:style w:type="character" w:customStyle="1" w:styleId="EndNoteBibliographyChar">
    <w:name w:val="EndNote Bibliography Char"/>
    <w:basedOn w:val="CETBodytextCarattere"/>
    <w:link w:val="EndNoteBibliography"/>
    <w:rsid w:val="0050259E"/>
    <w:rPr>
      <w:rFonts w:ascii="Arial" w:eastAsia="Times New Roman" w:hAnsi="Arial" w:cs="Arial"/>
      <w:noProof/>
      <w:sz w:val="18"/>
      <w:szCs w:val="20"/>
      <w:lang w:val="en-US"/>
    </w:rPr>
  </w:style>
  <w:style w:type="paragraph" w:styleId="Revision">
    <w:name w:val="Revision"/>
    <w:hidden/>
    <w:uiPriority w:val="99"/>
    <w:semiHidden/>
    <w:rsid w:val="00585EFE"/>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2950374/table/T0001/"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lainanandia@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3C3F-18B4-40D2-BFA5-DCF057B0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7787</Words>
  <Characters>42054</Characters>
  <Application>Microsoft Office Word</Application>
  <DocSecurity>0</DocSecurity>
  <Lines>350</Lines>
  <Paragraphs>99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nandia laina</cp:lastModifiedBy>
  <cp:revision>13</cp:revision>
  <cp:lastPrinted>2015-05-12T18:31:00Z</cp:lastPrinted>
  <dcterms:created xsi:type="dcterms:W3CDTF">2022-01-21T11:59:00Z</dcterms:created>
  <dcterms:modified xsi:type="dcterms:W3CDTF">2022-03-21T11:25:00Z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