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74CD4D4" w14:textId="77777777" w:rsidR="00F66DEF" w:rsidRDefault="00F66DEF" w:rsidP="00B93B66">
      <w:pPr>
        <w:pStyle w:val="CETTitle"/>
        <w:spacing w:before="0"/>
      </w:pPr>
      <w:r w:rsidRPr="00F66DEF">
        <w:t>Life Cycle Assessment of functional animal feeds enriched with natural bioactive compounds derived from medicinal plants and herbs</w:t>
      </w:r>
    </w:p>
    <w:p w14:paraId="7D10E21C" w14:textId="02DEBBE1" w:rsidR="00F66DEF" w:rsidRDefault="00F66DEF" w:rsidP="00F66DEF">
      <w:pPr>
        <w:pStyle w:val="CETAuthors"/>
      </w:pPr>
      <w:r>
        <w:t xml:space="preserve">Konstantina M. Laina*, Panagiota N. Eleni, Dioni Talfanidi, Christos Boukouvalas, Nickolaos Panagiotou, Magdalini Krokida </w:t>
      </w:r>
    </w:p>
    <w:p w14:paraId="61B7B5F0" w14:textId="545FBFF3" w:rsidR="00F66DEF" w:rsidRPr="00F66DEF" w:rsidRDefault="00F66DEF" w:rsidP="00F66DEF">
      <w:pPr>
        <w:pStyle w:val="CETAddress"/>
      </w:pPr>
      <w:r w:rsidRPr="00F66DEF">
        <w:t xml:space="preserve">National Technical University of Athens, School of Chemical Engineering, Iroon Polytechneiou 9, Zografou Campus, 15780, Athens, Greece </w:t>
      </w:r>
    </w:p>
    <w:p w14:paraId="16F16891" w14:textId="72814B9E" w:rsidR="00F66DEF" w:rsidRDefault="007E2DD5" w:rsidP="006C5FCC">
      <w:pPr>
        <w:pStyle w:val="CETemail"/>
        <w:spacing w:after="160"/>
        <w:rPr>
          <w:rStyle w:val="Hyperlink"/>
          <w:color w:val="auto"/>
          <w:u w:val="none"/>
        </w:rPr>
      </w:pPr>
      <w:hyperlink r:id="rId10" w:history="1">
        <w:r w:rsidR="00F66DEF" w:rsidRPr="00615E18">
          <w:rPr>
            <w:rStyle w:val="Hyperlink"/>
            <w:color w:val="auto"/>
            <w:u w:val="none"/>
          </w:rPr>
          <w:t>lainanandia@gmail.com</w:t>
        </w:r>
      </w:hyperlink>
    </w:p>
    <w:p w14:paraId="653EEEC6" w14:textId="1EBC9E94" w:rsidR="00615E18" w:rsidRDefault="00615E18" w:rsidP="00615E18">
      <w:pPr>
        <w:pStyle w:val="CETBodytext"/>
      </w:pPr>
      <w:r w:rsidRPr="00615E18">
        <w:t xml:space="preserve">Animal breeding that includes antibiotics and vitamin consumption is considered as a major contributor to the multifaceted environmental impact of livestock farming. The production of innovative, functional animal feed premixes with antimicrobial and/or growth promoting activity from plants and herbal extracts could minimize the use of antibiotics and vitamins in livestock and enhance animal growth. However, the production of this new feed has to be followed by a low environmental footprint, and particularly lower when compared to conventional animal feeds. The objective of this study was the evaluation of Life Cycle Assessment of the newly produced functional poultry feeds that contain plant and herb origin extracts, as well as its comparison with the conventional animal feeding routine, which actually stands as the scope of the present LCA study. LCA was performed according to ISO 14040 &amp; 14044, using GaBi software, utilizing ReCiPe 2016 (H)* methodology with 18 midpoints and 3 endpoints. To this end, to define the Goal of the study, Cradle-to-gate boundaries were set and the functional unit was defined as the total feeding quantity (including normal animal feed, antibiotics, vitamins) in 1 Month (per Kg of animal). Different scenarios were examined, in terms of the consumed quantities of supplementary substances (antibiotics and vitamins). The results of the examined scenarios reveal that the environmental impact is significantly lower in the case of </w:t>
      </w:r>
      <w:r w:rsidR="00083F89">
        <w:t>encapsulated Bioactive compounds</w:t>
      </w:r>
      <w:r w:rsidR="00B246AD">
        <w:t xml:space="preserve"> (BACs)</w:t>
      </w:r>
      <w:r w:rsidR="00083F89">
        <w:t xml:space="preserve"> extract</w:t>
      </w:r>
      <w:r w:rsidR="00B246AD" w:rsidRPr="00B246AD">
        <w:t xml:space="preserve"> </w:t>
      </w:r>
      <w:r w:rsidR="00B246AD">
        <w:t>incorporation</w:t>
      </w:r>
      <w:r w:rsidR="00083F89">
        <w:t xml:space="preserve">, </w:t>
      </w:r>
      <w:r w:rsidRPr="00615E18">
        <w:t xml:space="preserve">as well as in the case of </w:t>
      </w:r>
      <w:r w:rsidR="00083F89">
        <w:t xml:space="preserve">raw </w:t>
      </w:r>
      <w:r w:rsidR="00B246AD">
        <w:t xml:space="preserve">BACs </w:t>
      </w:r>
      <w:r w:rsidR="00083F89">
        <w:t>extract</w:t>
      </w:r>
      <w:r w:rsidR="00B246AD">
        <w:t xml:space="preserve"> incorporation</w:t>
      </w:r>
      <w:r w:rsidRPr="00615E18">
        <w:t>. Therefore, the substitution of antibiotics and vitamins from natural bioactive compounds, which is the scope of the production of this functional feed, constitutes a realistic goal.</w:t>
      </w:r>
    </w:p>
    <w:p w14:paraId="476B2F2E" w14:textId="7E6BAECF" w:rsidR="00600535" w:rsidRDefault="00600535" w:rsidP="00BB7205">
      <w:pPr>
        <w:pStyle w:val="CETHeading1"/>
        <w:spacing w:before="160" w:after="0"/>
      </w:pPr>
      <w:r w:rsidRPr="005D3FE8">
        <w:t>Introduction</w:t>
      </w:r>
    </w:p>
    <w:p w14:paraId="56665A60" w14:textId="73438C83" w:rsidR="003E003F" w:rsidRDefault="003E003F" w:rsidP="003E003F">
      <w:pPr>
        <w:pStyle w:val="CETBodytext"/>
      </w:pPr>
      <w:r>
        <w:t xml:space="preserve">Intensive livestock production usually implies that animals are kept at higher stocking densities. This increases the risk of infection, making preventive antimicrobial use a common way to mitigate this risk. Although antimicrobials may be essential in order to maintain health and productivity of livestock, more and more scientists agree that antimicrobial use in livestock production risks increasing antimicrobial resistance in human pathogens </w:t>
      </w:r>
      <w:r w:rsidR="00F821AC">
        <w:fldChar w:fldCharType="begin"/>
      </w:r>
      <w:r w:rsidR="0060006D">
        <w:instrText xml:space="preserve"> ADDIN EN.CITE &lt;EndNote&gt;&lt;Cite&gt;&lt;Author&gt;Stockholm Environment Institute&lt;/Author&gt;&lt;Year&gt;2016&lt;/Year&gt;&lt;RecNum&gt;18&lt;/RecNum&gt;&lt;DisplayText&gt;(Stockholm Environment Institute, 2016)&lt;/DisplayText&gt;&lt;record&gt;&lt;rec-number&gt;18&lt;/rec-number&gt;&lt;foreign-keys&gt;&lt;key app="EN" db-id="xpffsx9tlx5wzsepvzoxtpf32swzp0922swp" timestamp="1643799549"&gt;18&lt;/key&gt;&lt;/foreign-keys&gt;&lt;ref-type name="Journal Article"&gt;17&lt;/ref-type&gt;&lt;contributors&gt;&lt;authors&gt;&lt;author&gt;Stockholm Environment Institute, &lt;/author&gt;&lt;/authors&gt;&lt;/contributors&gt;&lt;titles&gt;&lt;title&gt;Antimicrobial Use in Livestock in Low-Income Countries&lt;/title&gt;&lt;secondary-title&gt;Swedish International Agricultural Network Initiative&lt;/secondary-title&gt;&lt;/titles&gt;&lt;periodical&gt;&lt;full-title&gt;Swedish International Agricultural Network Initiative&lt;/full-title&gt;&lt;/periodical&gt;&lt;volume&gt;SUSTAINABLE AGRICULTURAL PRODUCTION &amp;amp; FOOD SECURITY&lt;/volume&gt;&lt;dates&gt;&lt;year&gt;2016&lt;/year&gt;&lt;/dates&gt;&lt;urls&gt;&lt;related-urls&gt;&lt;url&gt;https://www.siani.se/wp-content/uploads/2017/10/amr_in_slu_template.compressed.pdf&lt;/url&gt;&lt;/related-urls&gt;&lt;/urls&gt;&lt;/record&gt;&lt;/Cite&gt;&lt;/EndNote&gt;</w:instrText>
      </w:r>
      <w:r w:rsidR="00F821AC">
        <w:fldChar w:fldCharType="separate"/>
      </w:r>
      <w:r w:rsidR="0060006D">
        <w:rPr>
          <w:noProof/>
        </w:rPr>
        <w:t>(Stockholm Environment Institute, 2016)</w:t>
      </w:r>
      <w:r w:rsidR="00F821AC">
        <w:fldChar w:fldCharType="end"/>
      </w:r>
      <w:r w:rsidR="00C62FE0">
        <w:t>.</w:t>
      </w:r>
      <w:r w:rsidR="00F821AC">
        <w:t xml:space="preserve"> </w:t>
      </w:r>
      <w:r>
        <w:t xml:space="preserve">Many of the antimicrobials used in livestock production have been classified by the World Health Organization as critically important for human medicine. Thus, using the same substances for animals could favor selection of resistant bacteria that may cause disease in humans. Resistant bacteria in livestock can be transmitted to humans through direct contact with the animals or through consumption of animal products. As many antimicrobials are only partially absorbed by the body, antimicrobial residues, as well as resistant bacteria and resistance genes, may be excreted in the manure. </w:t>
      </w:r>
      <w:r w:rsidR="00044221" w:rsidRPr="009B246A">
        <w:t>Therefore, contributing to the effort in eliminating antibiotic-resistant bacteria, the U.S. Food and Drug Administration (FDA) is progressively ensuring the responsible use of antibiotics in food animals, meaning exclusively as medically necessary and appropriate</w:t>
      </w:r>
      <w:r w:rsidR="00ED4ABB">
        <w:t xml:space="preserve"> </w:t>
      </w:r>
      <w:r w:rsidR="00F821AC">
        <w:fldChar w:fldCharType="begin"/>
      </w:r>
      <w:r w:rsidR="0060006D">
        <w:instrText xml:space="preserve"> ADDIN EN.CITE &lt;EndNote&gt;&lt;Cite&gt;&lt;Author&gt;Hyun&lt;/Author&gt;&lt;Year&gt;2021&lt;/Year&gt;&lt;RecNum&gt;19&lt;/RecNum&gt;&lt;DisplayText&gt;(Hyun and Sherburne, 2021)&lt;/DisplayText&gt;&lt;record&gt;&lt;rec-number&gt;19&lt;/rec-number&gt;&lt;foreign-keys&gt;&lt;key app="EN" db-id="xpffsx9tlx5wzsepvzoxtpf32swzp0922swp" timestamp="1643799549"&gt;19&lt;/key&gt;&lt;/foreign-keys&gt;&lt;ref-type name="Journal Article"&gt;17&lt;/ref-type&gt;&lt;contributors&gt;&lt;authors&gt;&lt;author&gt;&lt;style face="normal" font="default" size="100%"&gt;Hyun&lt;/style&gt;&lt;style face="normal" font="default" charset="161" size="100%"&gt;, &lt;/style&gt;&lt;style face="normal" font="default" size="100%"&gt;David&lt;/style&gt;&lt;style face="normal" font="default" charset="161" size="100%"&gt;,&lt;/style&gt;&lt;style face="normal" font="default" size="100%"&gt; &lt;/style&gt;&lt;/author&gt;&lt;author&gt;&lt;style face="normal" font="default" size="100%"&gt;Sherburne&lt;/style&gt;&lt;style face="normal" font="default" charset="161" size="100%"&gt;, &lt;/style&gt;&lt;style face="normal" font="default" size="100%"&gt;Helene&lt;/style&gt;&lt;/author&gt;&lt;/authors&gt;&lt;/contributors&gt;&lt;titles&gt;&lt;title&gt;Inappropriate Antibiotic Use in Food Animals Can Undercut Fight Against Superbugs &lt;/title&gt;&lt;secondary-title&gt;Pew Charitable Trusts&lt;/secondary-title&gt;&lt;/titles&gt;&lt;periodical&gt;&lt;full-title&gt;Pew Charitable Trusts&lt;/full-title&gt;&lt;/periodical&gt;&lt;number&gt;Antibiotic Resistance&lt;/number&gt;&lt;dates&gt;&lt;year&gt;&lt;style face="normal" font="default" charset="161" size="100%"&gt;2021&lt;/style&gt;&lt;/year&gt;&lt;pub-dates&gt;&lt;date&gt;&lt;style face="normal" font="default" charset="161" size="100%"&gt;23/11/2021&lt;/style&gt;&lt;/date&gt;&lt;/pub-dates&gt;&lt;/dates&gt;&lt;urls&gt;&lt;related-urls&gt;&lt;url&gt;https://www.pewtrusts.org/en/research-and-analysis/articles/2021/11/23/inappropriate-antibiotic-use-in-food-animals-can-undercut-fight-against-superbugs&lt;/url&gt;&lt;/related-urls&gt;&lt;/urls&gt;&lt;/record&gt;&lt;/Cite&gt;&lt;/EndNote&gt;</w:instrText>
      </w:r>
      <w:r w:rsidR="00F821AC">
        <w:fldChar w:fldCharType="separate"/>
      </w:r>
      <w:r w:rsidR="00C62FE0">
        <w:rPr>
          <w:noProof/>
        </w:rPr>
        <w:t>(Hyun and Sherburne, 2021)</w:t>
      </w:r>
      <w:r w:rsidR="00F821AC">
        <w:fldChar w:fldCharType="end"/>
      </w:r>
      <w:r w:rsidR="00C62FE0">
        <w:t>.</w:t>
      </w:r>
      <w:r w:rsidR="00F821AC">
        <w:t xml:space="preserve"> </w:t>
      </w:r>
      <w:r w:rsidR="009B246A">
        <w:t>Moreover,</w:t>
      </w:r>
      <w:r>
        <w:t xml:space="preserve"> </w:t>
      </w:r>
      <w:r w:rsidR="00ED4ABB">
        <w:t>the</w:t>
      </w:r>
      <w:r w:rsidR="00203629">
        <w:t xml:space="preserve"> inevitable risk occurring, is </w:t>
      </w:r>
      <w:r>
        <w:t xml:space="preserve">these substances and organisms </w:t>
      </w:r>
      <w:r w:rsidR="00203629">
        <w:t>ending</w:t>
      </w:r>
      <w:r>
        <w:t xml:space="preserve"> up in the environment</w:t>
      </w:r>
      <w:r w:rsidR="00F821AC">
        <w:t xml:space="preserve"> </w:t>
      </w:r>
      <w:r w:rsidR="00F821AC">
        <w:fldChar w:fldCharType="begin">
          <w:fldData xml:space="preserve">PEVuZE5vdGU+PENpdGU+PEF1dGhvcj5UaWFuPC9BdXRob3I+PFllYXI+MjAyMTwvWWVhcj48UmVj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</w:fldData>
        </w:fldChar>
      </w:r>
      <w:r w:rsidR="0060006D">
        <w:instrText xml:space="preserve"> ADDIN EN.CITE </w:instrText>
      </w:r>
      <w:r w:rsidR="0060006D">
        <w:fldChar w:fldCharType="begin">
          <w:fldData xml:space="preserve">PEVuZE5vdGU+PENpdGU+PEF1dGhvcj5UaWFuPC9BdXRob3I+PFllYXI+MjAyMTwvWWVhcj48UmVj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</w:fldData>
        </w:fldChar>
      </w:r>
      <w:r w:rsidR="0060006D">
        <w:instrText xml:space="preserve"> ADDIN EN.CITE.DATA </w:instrText>
      </w:r>
      <w:r w:rsidR="0060006D">
        <w:fldChar w:fldCharType="end"/>
      </w:r>
      <w:r w:rsidR="00F821AC">
        <w:fldChar w:fldCharType="separate"/>
      </w:r>
      <w:r w:rsidR="00C62FE0">
        <w:rPr>
          <w:noProof/>
        </w:rPr>
        <w:t>(Tian et al., 2021, González-Gaya et al., 2022)</w:t>
      </w:r>
      <w:r w:rsidR="00F821AC">
        <w:fldChar w:fldCharType="end"/>
      </w:r>
      <w:r w:rsidR="00F821AC">
        <w:t>.</w:t>
      </w:r>
    </w:p>
    <w:p w14:paraId="5155A2A6" w14:textId="6DD9F902" w:rsidR="00DD219A" w:rsidRPr="00D85A06" w:rsidRDefault="003E003F" w:rsidP="00AB5610">
      <w:pPr>
        <w:pStyle w:val="CETBodytext"/>
      </w:pPr>
      <w:r w:rsidRPr="00DD219A">
        <w:t xml:space="preserve">In recent years </w:t>
      </w:r>
      <w:r w:rsidR="00C62FE0">
        <w:t>“</w:t>
      </w:r>
      <w:r w:rsidRPr="00DD219A">
        <w:t>green</w:t>
      </w:r>
      <w:r w:rsidR="00C62FE0">
        <w:t>”</w:t>
      </w:r>
      <w:r w:rsidRPr="00DD219A">
        <w:t xml:space="preserve"> economy aiming at a sustainable development without degrading the environment has been the evident practice around the globe in all aspects of industry</w:t>
      </w:r>
      <w:r w:rsidR="00E54AF1">
        <w:t xml:space="preserve"> </w:t>
      </w:r>
      <w:r w:rsidR="00E54AF1">
        <w:fldChar w:fldCharType="begin"/>
      </w:r>
      <w:r w:rsidR="0060006D">
        <w:instrText xml:space="preserve"> ADDIN EN.CITE &lt;EndNote&gt;&lt;Cite&gt;&lt;Author&gt;Krokida&lt;/Author&gt;&lt;Year&gt;2016&lt;/Year&gt;&lt;RecNum&gt;22&lt;/RecNum&gt;&lt;DisplayText&gt;(Krokida et al., 2016)&lt;/DisplayText&gt;&lt;record&gt;&lt;rec-number&gt;22&lt;/rec-number&gt;&lt;foreign-keys&gt;&lt;key app="EN" db-id="xpffsx9tlx5wzsepvzoxtpf32swzp0922swp" timestamp="1643799550"&gt;22&lt;/key&gt;&lt;/foreign-keys&gt;&lt;ref-type name="Journal Article"&gt;17&lt;/ref-type&gt;&lt;contributors&gt;&lt;authors&gt;&lt;author&gt;Krokida, Magdalini&lt;/author&gt;&lt;author&gt;Taxiarchou, Maria&lt;/author&gt;&lt;author&gt;Politis, Antonis&lt;/author&gt;&lt;author&gt;Peppas, Antonis&lt;/author&gt;&lt;author&gt;Kyriakopoulou, Konstantina&lt;/author&gt;&lt;/authors&gt;&lt;/contributors&gt;&lt;titles&gt;&lt;title&gt;LIFE CYCLE ASSESSMENT (LCA) ON EUROPEAN SKIMMED MILK POWDER PROCESSING PRODUCTION PLANT&lt;/title&gt;&lt;/titles&gt;&lt;dates&gt;&lt;year&gt;2016&lt;/year&gt;&lt;pub-dates&gt;&lt;date&gt;01/01&lt;/date&gt;&lt;/pub-dates&gt;&lt;/dates&gt;&lt;urls&gt;&lt;/urls&gt;&lt;electronic-resource-num&gt;10.5281/zenodo.4319800&lt;/electronic-resource-num&gt;&lt;/record&gt;&lt;/Cite&gt;&lt;/EndNote&gt;</w:instrText>
      </w:r>
      <w:r w:rsidR="00E54AF1">
        <w:fldChar w:fldCharType="separate"/>
      </w:r>
      <w:r w:rsidR="00C62FE0">
        <w:rPr>
          <w:noProof/>
        </w:rPr>
        <w:t>(Krokida et al., 2016)</w:t>
      </w:r>
      <w:r w:rsidR="00E54AF1">
        <w:fldChar w:fldCharType="end"/>
      </w:r>
      <w:r w:rsidRPr="00DD219A">
        <w:t xml:space="preserve">. As a consequence, governments, non-governmental organizations, companies and civil society are becoming interested in </w:t>
      </w:r>
      <w:r w:rsidRPr="00DD219A">
        <w:lastRenderedPageBreak/>
        <w:t>increasing the knowledge of how a product is processed and what is the environmental impact of its production. That implies taking into account the whole chain of a product’s life cycle and all relevant external effects, in order to be able to make improvements that promote sustainability and environmentally friendly production.</w:t>
      </w:r>
      <w:r w:rsidR="00AB5610">
        <w:t xml:space="preserve"> </w:t>
      </w:r>
      <w:r w:rsidR="00DD219A" w:rsidRPr="00D85A06">
        <w:rPr>
          <w:lang w:eastAsia="ar-SA"/>
        </w:rPr>
        <w:t>Among the tools available to evaluate environmental performance, LCA has gained recognition as the most powerful tool for the comparison of environmental impacts of products, technologies or services with a view to their whole life cycle (cradle to grave) or to a targeted part of that life cycle (cradle to gate, gate to gate or gate to grave)</w:t>
      </w:r>
      <w:r w:rsidR="006E527B">
        <w:rPr>
          <w:lang w:eastAsia="ar-SA"/>
        </w:rPr>
        <w:t xml:space="preserve"> </w:t>
      </w:r>
      <w:r w:rsidR="00E54AF1">
        <w:rPr>
          <w:lang w:eastAsia="ar-SA"/>
        </w:rPr>
        <w:fldChar w:fldCharType="begin"/>
      </w:r>
      <w:r w:rsidR="0060006D">
        <w:rPr>
          <w:lang w:eastAsia="ar-SA"/>
        </w:rPr>
        <w:instrText xml:space="preserve"> ADDIN EN.CITE &lt;EndNote&gt;&lt;Cite&gt;&lt;Author&gt;European&lt;/Author&gt;&lt;RecNum&gt;23&lt;/RecNum&gt;&lt;DisplayText&gt;(European and Commission)&lt;/DisplayText&gt;&lt;record&gt;&lt;rec-number&gt;23&lt;/rec-number&gt;&lt;foreign-keys&gt;&lt;key app="EN" db-id="xpffsx9tlx5wzsepvzoxtpf32swzp0922swp" timestamp="1643799550"&gt;23&lt;/key&gt;&lt;/foreign-keys&gt;&lt;ref-type name="Journal Article"&gt;17&lt;/ref-type&gt;&lt;contributors&gt;&lt;authors&gt;&lt;author&gt;European &lt;/author&gt;&lt;author&gt;Commission&lt;/author&gt;&lt;/authors&gt;&lt;/contributors&gt;&lt;titles&gt;&lt;title&gt;European Platform on Life Cycle Assessment (LCA)&lt;/title&gt;&lt;/titles&gt;&lt;number&gt;Environment&lt;/number&gt;&lt;dates&gt;&lt;/dates&gt;&lt;urls&gt;&lt;related-urls&gt;&lt;url&gt;https://ec.europa.eu/environment/ipp/lca.htm&lt;/url&gt;&lt;/related-urls&gt;&lt;/urls&gt;&lt;/record&gt;&lt;/Cite&gt;&lt;/EndNote&gt;</w:instrText>
      </w:r>
      <w:r w:rsidR="00E54AF1">
        <w:rPr>
          <w:lang w:eastAsia="ar-SA"/>
        </w:rPr>
        <w:fldChar w:fldCharType="separate"/>
      </w:r>
      <w:r w:rsidR="00C62FE0">
        <w:rPr>
          <w:noProof/>
          <w:lang w:eastAsia="ar-SA"/>
        </w:rPr>
        <w:t>(European and Commission)</w:t>
      </w:r>
      <w:r w:rsidR="00E54AF1">
        <w:rPr>
          <w:lang w:eastAsia="ar-SA"/>
        </w:rPr>
        <w:fldChar w:fldCharType="end"/>
      </w:r>
      <w:r w:rsidR="00DD219A" w:rsidRPr="00D85A06">
        <w:rPr>
          <w:lang w:eastAsia="ar-SA"/>
        </w:rPr>
        <w:t>.</w:t>
      </w:r>
      <w:r w:rsidR="0073581C" w:rsidRPr="0073581C">
        <w:rPr>
          <w:lang w:eastAsia="ar-SA"/>
        </w:rPr>
        <w:t xml:space="preserve"> </w:t>
      </w:r>
      <w:r w:rsidR="00DD219A" w:rsidRPr="00D85A06">
        <w:rPr>
          <w:lang w:eastAsia="ar-SA"/>
        </w:rPr>
        <w:t>LCA is a process of evaluating the effects that a product has on the environment over the entire period of its life, thereby increasing resource-use efficiency and decreasing liabilities</w:t>
      </w:r>
      <w:r w:rsidR="002503E6">
        <w:rPr>
          <w:lang w:eastAsia="ar-SA"/>
        </w:rPr>
        <w:t xml:space="preserve"> </w:t>
      </w:r>
      <w:r w:rsidR="002503E6">
        <w:rPr>
          <w:lang w:eastAsia="ar-SA"/>
        </w:rPr>
        <w:fldChar w:fldCharType="begin">
          <w:fldData xml:space="preserve">PEVuZE5vdGU+PENpdGU+PEF1dGhvcj5OZ2FuPC9BdXRob3I+PFllYXI+MjAyMTwvWWVhcj48UmVj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==
</w:fldData>
        </w:fldChar>
      </w:r>
      <w:r w:rsidR="0060006D">
        <w:rPr>
          <w:lang w:eastAsia="ar-SA"/>
        </w:rPr>
        <w:instrText xml:space="preserve"> ADDIN EN.CITE </w:instrText>
      </w:r>
      <w:r w:rsidR="0060006D">
        <w:rPr>
          <w:lang w:eastAsia="ar-SA"/>
        </w:rPr>
        <w:fldChar w:fldCharType="begin">
          <w:fldData xml:space="preserve">PEVuZE5vdGU+PENpdGU+PEF1dGhvcj5OZ2FuPC9BdXRob3I+PFllYXI+MjAyMTwvWWVhcj48UmVj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==
</w:fldData>
        </w:fldChar>
      </w:r>
      <w:r w:rsidR="0060006D">
        <w:rPr>
          <w:lang w:eastAsia="ar-SA"/>
        </w:rPr>
        <w:instrText xml:space="preserve"> ADDIN EN.CITE.DATA </w:instrText>
      </w:r>
      <w:r w:rsidR="0060006D">
        <w:rPr>
          <w:lang w:eastAsia="ar-SA"/>
        </w:rPr>
      </w:r>
      <w:r w:rsidR="0060006D">
        <w:rPr>
          <w:lang w:eastAsia="ar-SA"/>
        </w:rPr>
        <w:fldChar w:fldCharType="end"/>
      </w:r>
      <w:r w:rsidR="002503E6">
        <w:rPr>
          <w:lang w:eastAsia="ar-SA"/>
        </w:rPr>
      </w:r>
      <w:r w:rsidR="002503E6">
        <w:rPr>
          <w:lang w:eastAsia="ar-SA"/>
        </w:rPr>
        <w:fldChar w:fldCharType="separate"/>
      </w:r>
      <w:r w:rsidR="00C62FE0">
        <w:rPr>
          <w:noProof/>
          <w:lang w:eastAsia="ar-SA"/>
        </w:rPr>
        <w:t>(Ngan et al., 2021, Iannone et al., 2020)</w:t>
      </w:r>
      <w:r w:rsidR="002503E6">
        <w:rPr>
          <w:lang w:eastAsia="ar-SA"/>
        </w:rPr>
        <w:fldChar w:fldCharType="end"/>
      </w:r>
      <w:r w:rsidR="00DD219A" w:rsidRPr="00D85A06">
        <w:rPr>
          <w:lang w:eastAsia="ar-SA"/>
        </w:rPr>
        <w:t>.</w:t>
      </w:r>
      <w:r w:rsidR="00212BF3">
        <w:rPr>
          <w:lang w:eastAsia="ar-SA"/>
        </w:rPr>
        <w:t xml:space="preserve"> </w:t>
      </w:r>
      <w:r w:rsidR="00DD219A" w:rsidRPr="00D85A06">
        <w:rPr>
          <w:lang w:eastAsia="ar-SA"/>
        </w:rPr>
        <w:t>LCA provides an instrument for environmental decision support.</w:t>
      </w:r>
      <w:r w:rsidR="00400234">
        <w:rPr>
          <w:lang w:eastAsia="ar-SA"/>
        </w:rPr>
        <w:t xml:space="preserve"> </w:t>
      </w:r>
      <w:r w:rsidR="00A25960">
        <w:rPr>
          <w:lang w:eastAsia="ar-SA"/>
        </w:rPr>
        <w:t>Since t</w:t>
      </w:r>
      <w:r w:rsidR="00400234">
        <w:rPr>
          <w:lang w:eastAsia="ar-SA"/>
        </w:rPr>
        <w:t xml:space="preserve">he field of </w:t>
      </w:r>
      <w:r w:rsidR="00471EAA">
        <w:rPr>
          <w:lang w:eastAsia="ar-SA"/>
        </w:rPr>
        <w:t>enriched</w:t>
      </w:r>
      <w:r w:rsidR="00400234">
        <w:rPr>
          <w:lang w:eastAsia="ar-SA"/>
        </w:rPr>
        <w:t xml:space="preserve"> animal feed</w:t>
      </w:r>
      <w:r w:rsidR="00471EAA">
        <w:rPr>
          <w:lang w:eastAsia="ar-SA"/>
        </w:rPr>
        <w:t>s</w:t>
      </w:r>
      <w:r w:rsidR="00215BE9">
        <w:rPr>
          <w:lang w:eastAsia="ar-SA"/>
        </w:rPr>
        <w:t xml:space="preserve"> with natural feed additives</w:t>
      </w:r>
      <w:r w:rsidR="00471EAA">
        <w:rPr>
          <w:lang w:eastAsia="ar-SA"/>
        </w:rPr>
        <w:t xml:space="preserve"> </w:t>
      </w:r>
      <w:r w:rsidR="00400234">
        <w:rPr>
          <w:lang w:eastAsia="ar-SA"/>
        </w:rPr>
        <w:t xml:space="preserve">is a relatively new one, </w:t>
      </w:r>
      <w:r w:rsidR="00A25960">
        <w:rPr>
          <w:lang w:eastAsia="ar-SA"/>
        </w:rPr>
        <w:t>few</w:t>
      </w:r>
      <w:r w:rsidR="00400234">
        <w:rPr>
          <w:lang w:eastAsia="ar-SA"/>
        </w:rPr>
        <w:t xml:space="preserve"> data have been reported so far concerning the environmental impact of </w:t>
      </w:r>
      <w:r w:rsidR="00A25960">
        <w:rPr>
          <w:lang w:eastAsia="ar-SA"/>
        </w:rPr>
        <w:t>such feed products.</w:t>
      </w:r>
      <w:r w:rsidR="00AB5610">
        <w:rPr>
          <w:lang w:eastAsia="ar-SA"/>
        </w:rPr>
        <w:t xml:space="preserve"> </w:t>
      </w:r>
      <w:bookmarkStart w:id="0" w:name="_Hlk98165647"/>
      <w:r w:rsidR="00144D98">
        <w:t xml:space="preserve">The present study </w:t>
      </w:r>
      <w:r w:rsidR="00DD219A" w:rsidRPr="00D85A06">
        <w:t xml:space="preserve">aims at </w:t>
      </w:r>
      <w:r w:rsidR="00471EAA">
        <w:t xml:space="preserve">identifying and </w:t>
      </w:r>
      <w:r w:rsidR="00DD219A" w:rsidRPr="00D85A06">
        <w:t xml:space="preserve">addressing the hot spots in the </w:t>
      </w:r>
      <w:r w:rsidR="006C5FCC">
        <w:t>whole life cycle</w:t>
      </w:r>
      <w:r w:rsidR="00DD219A" w:rsidRPr="00D85A06">
        <w:t xml:space="preserve"> of </w:t>
      </w:r>
      <w:r w:rsidR="00144D98" w:rsidRPr="00144D98">
        <w:t>innovative, functional animal feed premixes</w:t>
      </w:r>
      <w:r w:rsidR="00DD219A" w:rsidRPr="00D85A06">
        <w:t xml:space="preserve">, towards </w:t>
      </w:r>
      <w:r w:rsidR="00215BE9">
        <w:t>several impact categories (climate change</w:t>
      </w:r>
      <w:r w:rsidR="00DD219A" w:rsidRPr="00D85A06">
        <w:t xml:space="preserve">, resources consumption, </w:t>
      </w:r>
      <w:r w:rsidR="00471EAA">
        <w:t>damage to human health etc</w:t>
      </w:r>
      <w:r w:rsidR="00215BE9">
        <w:t>)</w:t>
      </w:r>
      <w:r w:rsidR="00DD219A" w:rsidRPr="00D85A06">
        <w:t>. In accordance to this, Life Cycle Assessment (LCA) performed, and the main objectives were to:</w:t>
      </w:r>
      <w:r w:rsidR="00144D98">
        <w:t xml:space="preserve"> </w:t>
      </w:r>
      <w:r w:rsidR="005423D9">
        <w:t xml:space="preserve">a. </w:t>
      </w:r>
      <w:r w:rsidR="00DD219A" w:rsidRPr="00D85A06">
        <w:t>o</w:t>
      </w:r>
      <w:r w:rsidR="00DD219A" w:rsidRPr="00263B46">
        <w:t>verview of the overall impacts, to identify hotspots and areas for improvements in the life cycle of the products</w:t>
      </w:r>
      <w:r w:rsidR="00DD219A" w:rsidRPr="00D85A06">
        <w:t>,</w:t>
      </w:r>
      <w:r w:rsidR="005423D9">
        <w:t xml:space="preserve"> b. </w:t>
      </w:r>
      <w:r w:rsidR="00DD219A" w:rsidRPr="00D85A06">
        <w:t>m</w:t>
      </w:r>
      <w:r w:rsidR="00DD219A" w:rsidRPr="00263B46">
        <w:t>easure and follow-up the environmental performance of products; for the entire life cycle and/or parts of the life cycle</w:t>
      </w:r>
      <w:r w:rsidR="005423D9">
        <w:t xml:space="preserve">, c. </w:t>
      </w:r>
      <w:r w:rsidR="00DD219A" w:rsidRPr="00D85A06">
        <w:t>provide basis for decisions on where to focus efforts and investments for optimal performance</w:t>
      </w:r>
      <w:r w:rsidR="00194651" w:rsidRPr="00194651">
        <w:t xml:space="preserve"> </w:t>
      </w:r>
      <w:r w:rsidR="00194651">
        <w:t xml:space="preserve">of </w:t>
      </w:r>
      <w:r w:rsidR="005D62A9">
        <w:t>all products and processes</w:t>
      </w:r>
      <w:r w:rsidR="00194651">
        <w:t>,</w:t>
      </w:r>
      <w:r w:rsidR="005D62A9">
        <w:t xml:space="preserve"> introducing a</w:t>
      </w:r>
      <w:r w:rsidR="003D29AA">
        <w:t>n advanced</w:t>
      </w:r>
      <w:r w:rsidR="005D62A9">
        <w:t xml:space="preserve"> sustainable approach for </w:t>
      </w:r>
      <w:r w:rsidR="007F4F2B">
        <w:t xml:space="preserve">the </w:t>
      </w:r>
      <w:r w:rsidR="003D29AA">
        <w:t xml:space="preserve">substitution of </w:t>
      </w:r>
      <w:r w:rsidR="007F4F2B">
        <w:t>in-feed synthetic antibiotics</w:t>
      </w:r>
      <w:r w:rsidR="00DD219A" w:rsidRPr="00D85A06">
        <w:t>.</w:t>
      </w:r>
    </w:p>
    <w:bookmarkEnd w:id="0"/>
    <w:p w14:paraId="0636B784" w14:textId="6C67DB07" w:rsidR="00453E24" w:rsidRDefault="00DD219A" w:rsidP="00BB7205">
      <w:pPr>
        <w:pStyle w:val="CETHeading1"/>
        <w:spacing w:before="160" w:after="0"/>
      </w:pPr>
      <w:r>
        <w:t>LCA Methodology</w:t>
      </w:r>
    </w:p>
    <w:p w14:paraId="2CEF1FE3" w14:textId="01D3D355" w:rsidR="00FB5EDE" w:rsidRPr="00FB5EDE" w:rsidRDefault="00DD219A" w:rsidP="00FB5EDE">
      <w:pPr>
        <w:rPr>
          <w:lang w:val="en-US" w:eastAsia="ar-SA"/>
        </w:rPr>
      </w:pPr>
      <w:r w:rsidRPr="00B03347">
        <w:rPr>
          <w:lang w:val="en-US" w:eastAsia="ar-SA"/>
        </w:rPr>
        <w:t>A life cycle assessment (LCA) studies the potential environmental impacts of products or services throughout all stages of their life cycle – from extraction of resources, through all production and transportation steps, to the use and end of life of the product.</w:t>
      </w:r>
      <w:r w:rsidR="00FB5EDE">
        <w:rPr>
          <w:lang w:val="en-US" w:eastAsia="ar-SA"/>
        </w:rPr>
        <w:t xml:space="preserve"> </w:t>
      </w:r>
      <w:r w:rsidR="00FB5EDE">
        <w:t xml:space="preserve">In the context of this study, </w:t>
      </w:r>
      <w:r w:rsidR="00B03347" w:rsidRPr="00D85A06">
        <w:rPr>
          <w:lang w:val="en-US" w:eastAsia="ar-SA"/>
        </w:rPr>
        <w:t xml:space="preserve">ISO 14040 and 14044 </w:t>
      </w:r>
      <w:r w:rsidR="00E030A7">
        <w:rPr>
          <w:lang w:val="en-US" w:eastAsia="ar-SA"/>
        </w:rPr>
        <w:fldChar w:fldCharType="begin"/>
      </w:r>
      <w:r w:rsidR="0060006D">
        <w:rPr>
          <w:lang w:val="en-US" w:eastAsia="ar-SA"/>
        </w:rPr>
        <w:instrText xml:space="preserve"> ADDIN EN.CITE &lt;EndNote&gt;&lt;Cite&gt;&lt;Author&gt;14040:2006&lt;/Author&gt;&lt;Year&gt;2006&lt;/Year&gt;&lt;RecNum&gt;26&lt;/RecNum&gt;&lt;DisplayText&gt;(14040:2006, 2006, 14044:2006, 2006)&lt;/DisplayText&gt;&lt;record&gt;&lt;rec-number&gt;26&lt;/rec-number&gt;&lt;foreign-keys&gt;&lt;key app="EN" db-id="xpffsx9tlx5wzsepvzoxtpf32swzp0922swp" timestamp="1643799550"&gt;26&lt;/key&gt;&lt;/foreign-keys&gt;&lt;ref-type name="Journal Article"&gt;17&lt;/ref-type&gt;&lt;contributors&gt;&lt;authors&gt;&lt;author&gt;ISO 14040:2006&lt;/author&gt;&lt;/authors&gt;&lt;/contributors&gt;&lt;titles&gt;&lt;title&gt;ISO 14040:2006 Environmental management — Life cycle assessment — Principles and framework&lt;/title&gt;&lt;/titles&gt;&lt;volume&gt;Environmental management systems&lt;/volume&gt;&lt;dates&gt;&lt;year&gt;2006&lt;/year&gt;&lt;/dates&gt;&lt;urls&gt;&lt;related-urls&gt;&lt;url&gt;https://www.iso.org/standard/37456.html&lt;/url&gt;&lt;/related-urls&gt;&lt;/urls&gt;&lt;/record&gt;&lt;/Cite&gt;&lt;Cite&gt;&lt;Author&gt;14044:2006&lt;/Author&gt;&lt;Year&gt;2006&lt;/Year&gt;&lt;RecNum&gt;27&lt;/RecNum&gt;&lt;record&gt;&lt;rec-number&gt;27&lt;/rec-number&gt;&lt;foreign-keys&gt;&lt;key app="EN" db-id="xpffsx9tlx5wzsepvzoxtpf32swzp0922swp" timestamp="1643799550"&gt;27&lt;/key&gt;&lt;/foreign-keys&gt;&lt;ref-type name="Journal Article"&gt;17&lt;/ref-type&gt;&lt;contributors&gt;&lt;authors&gt;&lt;author&gt;ISO 14044:2006&lt;/author&gt;&lt;/authors&gt;&lt;/contributors&gt;&lt;titles&gt;&lt;title&gt;ISO 14044:2006 Environmental management — Life cycle assessment — Requirements and guidelines&lt;/title&gt;&lt;/titles&gt;&lt;volume&gt;Environmental management systems&lt;/volume&gt;&lt;dates&gt;&lt;year&gt;2006&lt;/year&gt;&lt;/dates&gt;&lt;urls&gt;&lt;related-urls&gt;&lt;url&gt;https://www.iso.org/standard/38498.html&lt;/url&gt;&lt;/related-urls&gt;&lt;/urls&gt;&lt;/record&gt;&lt;/Cite&gt;&lt;/EndNote&gt;</w:instrText>
      </w:r>
      <w:r w:rsidR="00E030A7">
        <w:rPr>
          <w:lang w:val="en-US" w:eastAsia="ar-SA"/>
        </w:rPr>
        <w:fldChar w:fldCharType="separate"/>
      </w:r>
      <w:r w:rsidR="00C62FE0">
        <w:rPr>
          <w:noProof/>
          <w:lang w:val="en-US" w:eastAsia="ar-SA"/>
        </w:rPr>
        <w:t>(14040:2006, 2006, 14044:2006, 2006)</w:t>
      </w:r>
      <w:r w:rsidR="00E030A7">
        <w:rPr>
          <w:lang w:val="en-US" w:eastAsia="ar-SA"/>
        </w:rPr>
        <w:fldChar w:fldCharType="end"/>
      </w:r>
      <w:r w:rsidR="00FB5EDE">
        <w:rPr>
          <w:lang w:eastAsia="ar-SA"/>
        </w:rPr>
        <w:t xml:space="preserve"> and</w:t>
      </w:r>
      <w:r w:rsidR="00FB5EDE" w:rsidRPr="00FB5EDE">
        <w:rPr>
          <w:lang w:val="en-US" w:eastAsia="ar-SA"/>
        </w:rPr>
        <w:t>, the impact assessment methodology ReCiPe 2016 (H)</w:t>
      </w:r>
      <w:r w:rsidR="00FB5EDE">
        <w:rPr>
          <w:lang w:eastAsia="ar-SA"/>
        </w:rPr>
        <w:t xml:space="preserve"> were followed</w:t>
      </w:r>
      <w:r w:rsidR="00FB5EDE" w:rsidRPr="00FB5EDE">
        <w:rPr>
          <w:lang w:val="en-US" w:eastAsia="ar-SA"/>
        </w:rPr>
        <w:t>.</w:t>
      </w:r>
      <w:r w:rsidR="00FB5EDE">
        <w:rPr>
          <w:lang w:eastAsia="ar-SA"/>
        </w:rPr>
        <w:t xml:space="preserve"> </w:t>
      </w:r>
      <w:r w:rsidR="00FB5EDE" w:rsidRPr="00D85A06">
        <w:rPr>
          <w:lang w:val="en-US" w:eastAsia="ar-SA"/>
        </w:rPr>
        <w:t>These standards describe the principles and framework for LCA.</w:t>
      </w:r>
      <w:r w:rsidR="00FB5EDE">
        <w:rPr>
          <w:lang w:eastAsia="ar-SA"/>
        </w:rPr>
        <w:t xml:space="preserve"> </w:t>
      </w:r>
      <w:r w:rsidR="00FB5EDE" w:rsidRPr="00FB5EDE">
        <w:rPr>
          <w:lang w:val="en-US" w:eastAsia="ar-SA"/>
        </w:rPr>
        <w:t>In ReCiPe indicators at two levels are determined</w:t>
      </w:r>
      <w:r w:rsidR="00FB5EDE">
        <w:rPr>
          <w:lang w:eastAsia="ar-SA"/>
        </w:rPr>
        <w:t xml:space="preserve"> </w:t>
      </w:r>
      <w:r w:rsidR="00FB5EDE" w:rsidRPr="00FB5EDE">
        <w:rPr>
          <w:lang w:val="en-US" w:eastAsia="ar-SA"/>
        </w:rPr>
        <w:t>18 midpoint indicators</w:t>
      </w:r>
      <w:r w:rsidR="00FB5EDE">
        <w:rPr>
          <w:lang w:eastAsia="ar-SA"/>
        </w:rPr>
        <w:t xml:space="preserve"> and </w:t>
      </w:r>
      <w:r w:rsidR="00FB5EDE" w:rsidRPr="00FB5EDE">
        <w:rPr>
          <w:lang w:val="en-US" w:eastAsia="ar-SA"/>
        </w:rPr>
        <w:t>3 endpoint indicators</w:t>
      </w:r>
      <w:r w:rsidR="00FB5EDE">
        <w:rPr>
          <w:lang w:eastAsia="ar-SA"/>
        </w:rPr>
        <w:t xml:space="preserve">. </w:t>
      </w:r>
      <w:r w:rsidR="005423D9" w:rsidRPr="005423D9">
        <w:rPr>
          <w:lang w:val="en-US" w:eastAsia="ar-SA"/>
        </w:rPr>
        <w:t>The Life Cycle Inventory model has been implemented through dedicated software, namely GABI ts (v8.7.0.18) LCA software. Briefly, GaBi calculates the potential environmental impacts as well as other important quantities of a product system based on plans. Within a plan, the system being studied is made up of processes and flows. In LCA terms, a plan represents the system with its boundaries, processes represent the actual processes taking place and flows represent all the inputs and outputs related to the system. Flows connect plans or processes within the system or define the input/output flows of the system. The list of input and output flows is referred to as the Life Cycle Inventory.</w:t>
      </w:r>
    </w:p>
    <w:p w14:paraId="18BAFA6F" w14:textId="67C839B8" w:rsidR="00453E24" w:rsidRPr="00B57B36" w:rsidRDefault="00B03347" w:rsidP="00BB7205">
      <w:pPr>
        <w:pStyle w:val="CETheadingx"/>
      </w:pPr>
      <w:r w:rsidRPr="00B03347">
        <w:t>Goal and Scope</w:t>
      </w:r>
    </w:p>
    <w:p w14:paraId="32586A79" w14:textId="1C616553" w:rsidR="00FB5EDE" w:rsidRPr="00FB5EDE" w:rsidRDefault="00FB5EDE" w:rsidP="00FB5EDE">
      <w:pPr>
        <w:pStyle w:val="CETBodytext"/>
        <w:rPr>
          <w:lang w:val="en-GB"/>
        </w:rPr>
      </w:pPr>
      <w:r w:rsidRPr="00FB5EDE">
        <w:rPr>
          <w:lang w:val="en-GB"/>
        </w:rPr>
        <w:t>The Goal of this LCA analysis is the evaluation of a production line</w:t>
      </w:r>
      <w:r>
        <w:rPr>
          <w:lang w:val="en-GB"/>
        </w:rPr>
        <w:t xml:space="preserve"> of the new proposed products and their comparison with the existing traditional production routes. </w:t>
      </w:r>
      <w:r w:rsidRPr="00FB5EDE">
        <w:rPr>
          <w:lang w:val="en-GB"/>
        </w:rPr>
        <w:t>The Scope of LCA involves the description of the system under study and the definition of the following categories:</w:t>
      </w:r>
    </w:p>
    <w:p w14:paraId="5CE19C3A" w14:textId="32B03BE2" w:rsidR="00B03347" w:rsidRPr="00B57B36" w:rsidRDefault="00B03347" w:rsidP="00BB7205">
      <w:pPr>
        <w:pStyle w:val="CETHeadingxx"/>
        <w:spacing w:before="0"/>
      </w:pPr>
      <w:r>
        <w:t>Product System</w:t>
      </w:r>
    </w:p>
    <w:p w14:paraId="3D810C94" w14:textId="5E70B875" w:rsidR="00B22993" w:rsidRPr="00960B09" w:rsidRDefault="00EA5680" w:rsidP="00352A18">
      <w:pPr>
        <w:pStyle w:val="CETBodytext"/>
        <w:rPr>
          <w:color w:val="FF0000"/>
          <w:lang w:val="en-GB"/>
        </w:rPr>
      </w:pPr>
      <w:r>
        <w:t>Different product systems were examined in order to evaluate the</w:t>
      </w:r>
      <w:r w:rsidR="00352FE1">
        <w:t>ir effect on the environmental impact</w:t>
      </w:r>
      <w:r>
        <w:t xml:space="preserve"> during BACs extraction </w:t>
      </w:r>
      <w:r w:rsidR="00B143AE">
        <w:t>(Figure 1a &amp; 1b) and</w:t>
      </w:r>
      <w:r w:rsidR="007A7F84">
        <w:t xml:space="preserve"> encapsulation </w:t>
      </w:r>
      <w:r>
        <w:t>process</w:t>
      </w:r>
      <w:r w:rsidR="007A7F84">
        <w:t>es</w:t>
      </w:r>
      <w:r w:rsidR="00B143AE">
        <w:t xml:space="preserve"> (Figure 2)</w:t>
      </w:r>
      <w:r>
        <w:t xml:space="preserve">, </w:t>
      </w:r>
      <w:r w:rsidRPr="00EA5680">
        <w:rPr>
          <w:lang w:val="en-GB"/>
        </w:rPr>
        <w:t>premixes production</w:t>
      </w:r>
      <w:r w:rsidR="007A7F84">
        <w:rPr>
          <w:lang w:val="en-GB"/>
        </w:rPr>
        <w:t xml:space="preserve"> </w:t>
      </w:r>
      <w:r w:rsidR="007A7F84" w:rsidRPr="007A7F84">
        <w:rPr>
          <w:lang w:val="en-GB"/>
        </w:rPr>
        <w:t>systems &amp; sub-systems</w:t>
      </w:r>
      <w:r w:rsidR="00B143AE">
        <w:rPr>
          <w:lang w:val="en-GB"/>
        </w:rPr>
        <w:t xml:space="preserve"> (Figure 3)</w:t>
      </w:r>
      <w:r>
        <w:rPr>
          <w:lang w:val="en-GB"/>
        </w:rPr>
        <w:t>.</w:t>
      </w:r>
      <w:r w:rsidRPr="00EA5680">
        <w:rPr>
          <w:lang w:val="en-GB"/>
        </w:rPr>
        <w:t xml:space="preserve"> </w:t>
      </w:r>
      <w:r w:rsidR="0010270E" w:rsidRPr="009A767C">
        <w:t xml:space="preserve">BACs extraction processes studied </w:t>
      </w:r>
      <w:r w:rsidR="00FA5BEB" w:rsidRPr="009A767C">
        <w:t>were m</w:t>
      </w:r>
      <w:r w:rsidR="0010270E" w:rsidRPr="009A767C">
        <w:t xml:space="preserve">echanochemical </w:t>
      </w:r>
      <w:r w:rsidR="00FA5BEB" w:rsidRPr="009A767C">
        <w:t>m</w:t>
      </w:r>
      <w:r w:rsidR="0010270E" w:rsidRPr="009A767C">
        <w:t>aceration</w:t>
      </w:r>
      <w:r w:rsidR="00FA5BEB" w:rsidRPr="009A767C">
        <w:t xml:space="preserve">, </w:t>
      </w:r>
      <w:r w:rsidR="002A6F12">
        <w:t>u</w:t>
      </w:r>
      <w:r w:rsidR="00FA5BEB" w:rsidRPr="009A767C">
        <w:t xml:space="preserve">ltrasound </w:t>
      </w:r>
      <w:r w:rsidR="002A6F12">
        <w:t>a</w:t>
      </w:r>
      <w:r w:rsidR="00FA5BEB" w:rsidRPr="009A767C">
        <w:t xml:space="preserve">ssisted </w:t>
      </w:r>
      <w:r w:rsidR="002A6F12">
        <w:t>e</w:t>
      </w:r>
      <w:r w:rsidR="00FA5BEB" w:rsidRPr="009A767C">
        <w:t xml:space="preserve">xtraction (UAE), and </w:t>
      </w:r>
      <w:r w:rsidR="002A6F12">
        <w:t>u</w:t>
      </w:r>
      <w:r w:rsidR="00FA5BEB" w:rsidRPr="009A767C">
        <w:t xml:space="preserve">ltrasound and </w:t>
      </w:r>
      <w:r w:rsidR="002A6F12">
        <w:t>m</w:t>
      </w:r>
      <w:r w:rsidR="00FA5BEB" w:rsidRPr="009A767C">
        <w:t>icrowave</w:t>
      </w:r>
      <w:r w:rsidR="0010270E" w:rsidRPr="009A767C">
        <w:rPr>
          <w:lang w:val="en-GB"/>
        </w:rPr>
        <w:t xml:space="preserve"> </w:t>
      </w:r>
      <w:r w:rsidR="002A6F12">
        <w:rPr>
          <w:lang w:val="en-GB"/>
        </w:rPr>
        <w:t>a</w:t>
      </w:r>
      <w:r w:rsidR="00FA5BEB" w:rsidRPr="009A767C">
        <w:rPr>
          <w:lang w:val="en-GB"/>
        </w:rPr>
        <w:t xml:space="preserve">ssisted </w:t>
      </w:r>
      <w:r w:rsidR="002A6F12">
        <w:rPr>
          <w:lang w:val="en-GB"/>
        </w:rPr>
        <w:t>e</w:t>
      </w:r>
      <w:r w:rsidR="00FA5BEB" w:rsidRPr="009A767C">
        <w:rPr>
          <w:lang w:val="en-GB"/>
        </w:rPr>
        <w:t>xtraction (UAE-MAE)</w:t>
      </w:r>
      <w:r w:rsidR="00A57FC2">
        <w:rPr>
          <w:lang w:val="en-GB"/>
        </w:rPr>
        <w:t xml:space="preserve">. </w:t>
      </w:r>
      <w:r w:rsidR="001078A8" w:rsidRPr="009A767C">
        <w:rPr>
          <w:lang w:val="en-GB"/>
        </w:rPr>
        <w:t>The referr</w:t>
      </w:r>
      <w:r w:rsidR="002A6F12">
        <w:rPr>
          <w:lang w:val="en-GB"/>
        </w:rPr>
        <w:t>ed</w:t>
      </w:r>
      <w:r w:rsidR="001078A8" w:rsidRPr="009A767C">
        <w:rPr>
          <w:lang w:val="en-GB"/>
        </w:rPr>
        <w:t xml:space="preserve"> encapsulation process is </w:t>
      </w:r>
      <w:r w:rsidR="002A6F12">
        <w:rPr>
          <w:lang w:val="en-GB"/>
        </w:rPr>
        <w:t>s</w:t>
      </w:r>
      <w:r w:rsidR="0073295B" w:rsidRPr="009A767C">
        <w:rPr>
          <w:lang w:val="en-GB"/>
        </w:rPr>
        <w:t xml:space="preserve">pray </w:t>
      </w:r>
      <w:r w:rsidR="002A6F12">
        <w:rPr>
          <w:lang w:val="en-GB"/>
        </w:rPr>
        <w:t>d</w:t>
      </w:r>
      <w:r w:rsidR="0073295B" w:rsidRPr="009A767C">
        <w:rPr>
          <w:lang w:val="en-GB"/>
        </w:rPr>
        <w:t xml:space="preserve">rying, and the pellet formulation </w:t>
      </w:r>
      <w:r w:rsidR="002A6F12">
        <w:rPr>
          <w:lang w:val="en-GB"/>
        </w:rPr>
        <w:t xml:space="preserve">process </w:t>
      </w:r>
      <w:r w:rsidR="0073295B" w:rsidRPr="009A767C">
        <w:rPr>
          <w:lang w:val="en-GB"/>
        </w:rPr>
        <w:t xml:space="preserve">is </w:t>
      </w:r>
      <w:r w:rsidR="002A6F12">
        <w:rPr>
          <w:lang w:val="en-GB"/>
        </w:rPr>
        <w:t>e</w:t>
      </w:r>
      <w:r w:rsidR="0073295B" w:rsidRPr="009A767C">
        <w:rPr>
          <w:lang w:val="en-GB"/>
        </w:rPr>
        <w:t xml:space="preserve">xtrusion, </w:t>
      </w:r>
      <w:r w:rsidR="002A6F12">
        <w:rPr>
          <w:lang w:val="en-GB"/>
        </w:rPr>
        <w:t>using</w:t>
      </w:r>
      <w:r w:rsidR="0073295B" w:rsidRPr="009A767C">
        <w:rPr>
          <w:lang w:val="en-GB"/>
        </w:rPr>
        <w:t xml:space="preserve"> a </w:t>
      </w:r>
      <w:r w:rsidR="002C4DE7" w:rsidRPr="009A767C">
        <w:t xml:space="preserve">co-rotating twin-screw extruder. </w:t>
      </w:r>
      <w:r w:rsidR="00B22993" w:rsidRPr="009A767C">
        <w:rPr>
          <w:lang w:val="en-GB"/>
        </w:rPr>
        <w:t>The conventional a</w:t>
      </w:r>
      <w:r w:rsidRPr="009A767C">
        <w:rPr>
          <w:lang w:val="en-GB"/>
        </w:rPr>
        <w:t xml:space="preserve">nimal </w:t>
      </w:r>
      <w:r w:rsidR="0007077F" w:rsidRPr="009A767C">
        <w:rPr>
          <w:lang w:val="en-GB"/>
        </w:rPr>
        <w:t>f</w:t>
      </w:r>
      <w:r w:rsidRPr="009A767C">
        <w:rPr>
          <w:lang w:val="en-GB"/>
        </w:rPr>
        <w:t xml:space="preserve">eed </w:t>
      </w:r>
      <w:r w:rsidR="0007077F" w:rsidRPr="009A767C">
        <w:rPr>
          <w:lang w:val="en-GB"/>
        </w:rPr>
        <w:t>p</w:t>
      </w:r>
      <w:r w:rsidRPr="009A767C">
        <w:rPr>
          <w:lang w:val="en-GB"/>
        </w:rPr>
        <w:t>roduction</w:t>
      </w:r>
      <w:r w:rsidR="00B22993" w:rsidRPr="009A767C">
        <w:rPr>
          <w:lang w:val="en-GB"/>
        </w:rPr>
        <w:t xml:space="preserve"> system</w:t>
      </w:r>
      <w:r w:rsidR="00C114B3" w:rsidRPr="009A767C">
        <w:rPr>
          <w:lang w:val="en-GB"/>
        </w:rPr>
        <w:t>,</w:t>
      </w:r>
      <w:r w:rsidR="00B22993" w:rsidRPr="009A767C">
        <w:rPr>
          <w:lang w:val="en-GB"/>
        </w:rPr>
        <w:t xml:space="preserve"> is</w:t>
      </w:r>
      <w:r w:rsidRPr="009A767C">
        <w:rPr>
          <w:lang w:val="en-GB"/>
        </w:rPr>
        <w:t xml:space="preserve"> </w:t>
      </w:r>
      <w:r w:rsidR="00B22993" w:rsidRPr="009A767C">
        <w:rPr>
          <w:lang w:val="en-GB"/>
        </w:rPr>
        <w:t>presented</w:t>
      </w:r>
      <w:r w:rsidRPr="009A767C">
        <w:rPr>
          <w:lang w:val="en-GB"/>
        </w:rPr>
        <w:t xml:space="preserve"> in </w:t>
      </w:r>
      <w:r w:rsidR="00B143AE" w:rsidRPr="009A767C">
        <w:rPr>
          <w:lang w:val="en-GB"/>
        </w:rPr>
        <w:t xml:space="preserve">Figure </w:t>
      </w:r>
      <w:r w:rsidR="00B22993" w:rsidRPr="009A767C">
        <w:rPr>
          <w:lang w:val="en-GB"/>
        </w:rPr>
        <w:t>4</w:t>
      </w:r>
      <w:r w:rsidRPr="009A767C">
        <w:rPr>
          <w:lang w:val="en-GB"/>
        </w:rPr>
        <w:t>.</w:t>
      </w:r>
      <w:r w:rsidR="0010270E" w:rsidRPr="009A767C">
        <w:t xml:space="preserve"> </w:t>
      </w:r>
    </w:p>
    <w:p w14:paraId="70944DCC" w14:textId="77777777" w:rsidR="008944A5" w:rsidRDefault="008944A5" w:rsidP="008944A5">
      <w:pPr>
        <w:pStyle w:val="CETBodytext"/>
        <w:jc w:val="left"/>
      </w:pPr>
      <w:r>
        <w:rPr>
          <w:noProof/>
        </w:rPr>
        <w:drawing>
          <wp:anchor distT="0" distB="0" distL="114300" distR="114300" simplePos="0" relativeHeight="251665408" behindDoc="0" locked="0" layoutInCell="1" allowOverlap="1" wp14:anchorId="6035D03D" wp14:editId="00066318">
            <wp:simplePos x="0" y="0"/>
            <wp:positionH relativeFrom="column">
              <wp:posOffset>1905</wp:posOffset>
            </wp:positionH>
            <wp:positionV relativeFrom="paragraph">
              <wp:posOffset>154305</wp:posOffset>
            </wp:positionV>
            <wp:extent cx="5574030" cy="1936750"/>
            <wp:effectExtent l="0" t="0" r="7620" b="6350"/>
            <wp:wrapThrough wrapText="bothSides">
              <wp:wrapPolygon edited="0">
                <wp:start x="0" y="0"/>
                <wp:lineTo x="0" y="21458"/>
                <wp:lineTo x="21556" y="21458"/>
                <wp:lineTo x="21556"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2372"/>
                    <a:stretch/>
                  </pic:blipFill>
                  <pic:spPr bwMode="auto">
                    <a:xfrm>
                      <a:off x="0" y="0"/>
                      <a:ext cx="5574030" cy="193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4298E5F" wp14:editId="49478337">
            <wp:extent cx="1637969" cy="12039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85" t="-766" r="59487" b="94956"/>
                    <a:stretch/>
                  </pic:blipFill>
                  <pic:spPr bwMode="auto">
                    <a:xfrm>
                      <a:off x="0" y="0"/>
                      <a:ext cx="2079333" cy="152838"/>
                    </a:xfrm>
                    <a:prstGeom prst="rect">
                      <a:avLst/>
                    </a:prstGeom>
                    <a:ln>
                      <a:noFill/>
                    </a:ln>
                    <a:extLst>
                      <a:ext uri="{53640926-AAD7-44D8-BBD7-CCE9431645EC}">
                        <a14:shadowObscured xmlns:a14="http://schemas.microsoft.com/office/drawing/2010/main"/>
                      </a:ext>
                    </a:extLst>
                  </pic:spPr>
                </pic:pic>
              </a:graphicData>
            </a:graphic>
          </wp:inline>
        </w:drawing>
      </w:r>
    </w:p>
    <w:p w14:paraId="50AED7DC" w14:textId="34C7A8FE" w:rsidR="00F16B07" w:rsidRPr="00C32AB5" w:rsidRDefault="009A767C" w:rsidP="008944A5">
      <w:pPr>
        <w:pStyle w:val="CETBodytext"/>
        <w:jc w:val="left"/>
        <w:rPr>
          <w:rStyle w:val="CETCaptionCarattere"/>
          <w:lang w:val="en-US"/>
        </w:rPr>
      </w:pPr>
      <w:r w:rsidRPr="006C5FCC">
        <w:rPr>
          <w:rStyle w:val="CETCaptionCarattere"/>
          <w:noProof/>
        </w:rPr>
        <w:drawing>
          <wp:anchor distT="0" distB="0" distL="114300" distR="114300" simplePos="0" relativeHeight="251664384" behindDoc="0" locked="0" layoutInCell="1" allowOverlap="1" wp14:anchorId="2EE219CD" wp14:editId="70C3978C">
            <wp:simplePos x="0" y="0"/>
            <wp:positionH relativeFrom="column">
              <wp:posOffset>24130</wp:posOffset>
            </wp:positionH>
            <wp:positionV relativeFrom="paragraph">
              <wp:posOffset>106045</wp:posOffset>
            </wp:positionV>
            <wp:extent cx="1637665" cy="120015"/>
            <wp:effectExtent l="0" t="0" r="635" b="0"/>
            <wp:wrapThrough wrapText="bothSides">
              <wp:wrapPolygon edited="0">
                <wp:start x="0" y="0"/>
                <wp:lineTo x="0" y="17143"/>
                <wp:lineTo x="21357" y="17143"/>
                <wp:lineTo x="2135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85" t="-766" r="59487" b="94956"/>
                    <a:stretch/>
                  </pic:blipFill>
                  <pic:spPr bwMode="auto">
                    <a:xfrm>
                      <a:off x="0" y="0"/>
                      <a:ext cx="1637665" cy="120015"/>
                    </a:xfrm>
                    <a:prstGeom prst="rect">
                      <a:avLst/>
                    </a:prstGeom>
                    <a:ln>
                      <a:noFill/>
                    </a:ln>
                    <a:extLst>
                      <a:ext uri="{53640926-AAD7-44D8-BBD7-CCE9431645EC}">
                        <a14:shadowObscured xmlns:a14="http://schemas.microsoft.com/office/drawing/2010/main"/>
                      </a:ext>
                    </a:extLst>
                  </pic:spPr>
                </pic:pic>
              </a:graphicData>
            </a:graphic>
          </wp:anchor>
        </w:drawing>
      </w:r>
      <w:r w:rsidR="00F16B07" w:rsidRPr="006C5FCC">
        <w:rPr>
          <w:rStyle w:val="CETCaptionCarattere"/>
        </w:rPr>
        <w:t>Figure 1a</w:t>
      </w:r>
      <w:r w:rsidR="00EA2E25">
        <w:rPr>
          <w:rStyle w:val="CETCaptionCarattere"/>
        </w:rPr>
        <w:t>:</w:t>
      </w:r>
      <w:r w:rsidR="00F16B07" w:rsidRPr="006C5FCC">
        <w:rPr>
          <w:rStyle w:val="CETCaptionCarattere"/>
        </w:rPr>
        <w:t xml:space="preserve"> BACs extraction</w:t>
      </w:r>
      <w:r w:rsidR="00C32AB5" w:rsidRPr="00C32AB5">
        <w:rPr>
          <w:rStyle w:val="CETCaptionCarattere"/>
          <w:lang w:val="en-US"/>
        </w:rPr>
        <w:t>.</w:t>
      </w:r>
    </w:p>
    <w:p w14:paraId="2053220A" w14:textId="4A97B654" w:rsidR="00976FBF" w:rsidRPr="008944A5" w:rsidRDefault="0057433C" w:rsidP="00976FBF">
      <w:pPr>
        <w:pStyle w:val="CETCaption"/>
        <w:spacing w:before="0"/>
        <w:rPr>
          <w:i w:val="0"/>
          <w:iCs/>
        </w:rPr>
      </w:pPr>
      <w:bookmarkStart w:id="1" w:name="_Hlk98166064"/>
      <w:r w:rsidRPr="007A7F84">
        <w:rPr>
          <w:noProof/>
        </w:rPr>
        <w:lastRenderedPageBreak/>
        <w:drawing>
          <wp:anchor distT="0" distB="0" distL="114300" distR="114300" simplePos="0" relativeHeight="251659264" behindDoc="0" locked="0" layoutInCell="1" allowOverlap="1" wp14:anchorId="304D979A" wp14:editId="62F50E56">
            <wp:simplePos x="0" y="0"/>
            <wp:positionH relativeFrom="column">
              <wp:posOffset>2171700</wp:posOffset>
            </wp:positionH>
            <wp:positionV relativeFrom="paragraph">
              <wp:posOffset>151765</wp:posOffset>
            </wp:positionV>
            <wp:extent cx="2093595" cy="1732915"/>
            <wp:effectExtent l="0" t="0" r="1905" b="635"/>
            <wp:wrapThrough wrapText="bothSides">
              <wp:wrapPolygon edited="0">
                <wp:start x="0" y="0"/>
                <wp:lineTo x="0" y="21370"/>
                <wp:lineTo x="21423" y="21370"/>
                <wp:lineTo x="214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7354" t="19066" r="2772" b="8147"/>
                    <a:stretch/>
                  </pic:blipFill>
                  <pic:spPr bwMode="auto">
                    <a:xfrm>
                      <a:off x="0" y="0"/>
                      <a:ext cx="2093595" cy="1732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7F84">
        <w:rPr>
          <w:noProof/>
        </w:rPr>
        <w:drawing>
          <wp:anchor distT="0" distB="0" distL="114300" distR="114300" simplePos="0" relativeHeight="251660288" behindDoc="0" locked="0" layoutInCell="1" allowOverlap="1" wp14:anchorId="34E08E38" wp14:editId="265905F5">
            <wp:simplePos x="0" y="0"/>
            <wp:positionH relativeFrom="column">
              <wp:posOffset>1905</wp:posOffset>
            </wp:positionH>
            <wp:positionV relativeFrom="paragraph">
              <wp:posOffset>148590</wp:posOffset>
            </wp:positionV>
            <wp:extent cx="2128520" cy="1609090"/>
            <wp:effectExtent l="0" t="0" r="5080" b="0"/>
            <wp:wrapThrough wrapText="bothSides">
              <wp:wrapPolygon edited="0">
                <wp:start x="0" y="0"/>
                <wp:lineTo x="0" y="21225"/>
                <wp:lineTo x="21458" y="21225"/>
                <wp:lineTo x="2145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684" t="21977" r="57231" b="14156"/>
                    <a:stretch/>
                  </pic:blipFill>
                  <pic:spPr bwMode="auto">
                    <a:xfrm>
                      <a:off x="0" y="0"/>
                      <a:ext cx="2128520" cy="160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44A5">
        <w:rPr>
          <w:noProof/>
        </w:rPr>
        <w:drawing>
          <wp:anchor distT="0" distB="0" distL="114300" distR="114300" simplePos="0" relativeHeight="251666432" behindDoc="0" locked="0" layoutInCell="1" allowOverlap="1" wp14:anchorId="693F00EE" wp14:editId="59AE44C0">
            <wp:simplePos x="0" y="0"/>
            <wp:positionH relativeFrom="column">
              <wp:posOffset>-6737</wp:posOffset>
            </wp:positionH>
            <wp:positionV relativeFrom="paragraph">
              <wp:posOffset>8890</wp:posOffset>
            </wp:positionV>
            <wp:extent cx="1637665" cy="120015"/>
            <wp:effectExtent l="0" t="0" r="635" b="0"/>
            <wp:wrapThrough wrapText="bothSides">
              <wp:wrapPolygon edited="0">
                <wp:start x="0" y="0"/>
                <wp:lineTo x="0" y="17143"/>
                <wp:lineTo x="21357" y="17143"/>
                <wp:lineTo x="213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85" t="-766" r="59487" b="94956"/>
                    <a:stretch/>
                  </pic:blipFill>
                  <pic:spPr bwMode="auto">
                    <a:xfrm>
                      <a:off x="0" y="0"/>
                      <a:ext cx="1637665" cy="120015"/>
                    </a:xfrm>
                    <a:prstGeom prst="rect">
                      <a:avLst/>
                    </a:prstGeom>
                    <a:ln>
                      <a:noFill/>
                    </a:ln>
                    <a:extLst>
                      <a:ext uri="{53640926-AAD7-44D8-BBD7-CCE9431645EC}">
                        <a14:shadowObscured xmlns:a14="http://schemas.microsoft.com/office/drawing/2010/main"/>
                      </a:ext>
                    </a:extLst>
                  </pic:spPr>
                </pic:pic>
              </a:graphicData>
            </a:graphic>
          </wp:anchor>
        </w:drawing>
      </w:r>
      <w:r w:rsidR="00976FBF">
        <w:t xml:space="preserve"> </w:t>
      </w:r>
    </w:p>
    <w:p w14:paraId="52BF09AD" w14:textId="77777777" w:rsidR="00976FBF" w:rsidRDefault="00976FBF" w:rsidP="00976FBF">
      <w:pPr>
        <w:pStyle w:val="CETCaption"/>
        <w:spacing w:before="0"/>
      </w:pPr>
    </w:p>
    <w:p w14:paraId="5517F7C7" w14:textId="77777777" w:rsidR="00352A18" w:rsidRDefault="00352A18" w:rsidP="00976FBF">
      <w:pPr>
        <w:pStyle w:val="CETCaption"/>
        <w:spacing w:before="0"/>
      </w:pPr>
    </w:p>
    <w:p w14:paraId="18719E99" w14:textId="77777777" w:rsidR="00352A18" w:rsidRDefault="00352A18" w:rsidP="00976FBF">
      <w:pPr>
        <w:pStyle w:val="CETCaption"/>
        <w:spacing w:before="0"/>
      </w:pPr>
    </w:p>
    <w:p w14:paraId="3565A043" w14:textId="77777777" w:rsidR="00352A18" w:rsidRDefault="00352A18" w:rsidP="00976FBF">
      <w:pPr>
        <w:pStyle w:val="CETCaption"/>
        <w:spacing w:before="0"/>
      </w:pPr>
    </w:p>
    <w:p w14:paraId="28DA1068" w14:textId="77777777" w:rsidR="00352A18" w:rsidRDefault="00352A18" w:rsidP="00976FBF">
      <w:pPr>
        <w:pStyle w:val="CETCaption"/>
        <w:spacing w:before="0"/>
      </w:pPr>
    </w:p>
    <w:bookmarkEnd w:id="1"/>
    <w:p w14:paraId="0D2CADE9" w14:textId="6AAADB7B" w:rsidR="00976FBF" w:rsidRPr="00C32AB5" w:rsidRDefault="00352A18" w:rsidP="00976FBF">
      <w:pPr>
        <w:pStyle w:val="CETCaption"/>
        <w:spacing w:before="0"/>
        <w:rPr>
          <w:lang w:val="en-US"/>
        </w:rPr>
      </w:pPr>
      <w:r w:rsidRPr="007A7F84">
        <w:rPr>
          <w:noProof/>
        </w:rPr>
        <w:drawing>
          <wp:anchor distT="0" distB="0" distL="114300" distR="114300" simplePos="0" relativeHeight="251661312" behindDoc="0" locked="0" layoutInCell="1" allowOverlap="1" wp14:anchorId="4287997C" wp14:editId="7996F3CF">
            <wp:simplePos x="0" y="0"/>
            <wp:positionH relativeFrom="column">
              <wp:posOffset>-6985</wp:posOffset>
            </wp:positionH>
            <wp:positionV relativeFrom="paragraph">
              <wp:posOffset>286385</wp:posOffset>
            </wp:positionV>
            <wp:extent cx="3442335" cy="1776730"/>
            <wp:effectExtent l="0" t="0" r="5715" b="0"/>
            <wp:wrapThrough wrapText="bothSides">
              <wp:wrapPolygon edited="0">
                <wp:start x="0" y="0"/>
                <wp:lineTo x="0" y="21307"/>
                <wp:lineTo x="21516" y="21307"/>
                <wp:lineTo x="2151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60" t="1968" r="2276" b="4140"/>
                    <a:stretch/>
                  </pic:blipFill>
                  <pic:spPr bwMode="auto">
                    <a:xfrm>
                      <a:off x="0" y="0"/>
                      <a:ext cx="3442335" cy="177673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76FBF">
        <w:t>Figure 1b</w:t>
      </w:r>
      <w:r w:rsidR="00EA2E25">
        <w:t>:</w:t>
      </w:r>
      <w:r w:rsidR="00976FBF">
        <w:t xml:space="preserve"> BACs extraction</w:t>
      </w:r>
      <w:r w:rsidR="00C32AB5" w:rsidRPr="00C32AB5">
        <w:rPr>
          <w:lang w:val="en-US"/>
        </w:rPr>
        <w:t>.</w:t>
      </w:r>
    </w:p>
    <w:p w14:paraId="5BD16C2B" w14:textId="5CDA1C5E" w:rsidR="00F9716D" w:rsidRDefault="004A2F82" w:rsidP="00976FBF">
      <w:pPr>
        <w:pStyle w:val="CETCaption"/>
        <w:spacing w:before="0"/>
        <w:rPr>
          <w:i w:val="0"/>
          <w:iCs/>
        </w:rPr>
      </w:pPr>
      <w:r>
        <w:t xml:space="preserve"> </w:t>
      </w:r>
    </w:p>
    <w:p w14:paraId="28A12479" w14:textId="77777777" w:rsidR="00352A18" w:rsidRDefault="00352A18" w:rsidP="00A958B4">
      <w:pPr>
        <w:pStyle w:val="CETCaption"/>
        <w:spacing w:before="0"/>
      </w:pPr>
    </w:p>
    <w:p w14:paraId="45863C49" w14:textId="77777777" w:rsidR="00352A18" w:rsidRDefault="00352A18" w:rsidP="00A958B4">
      <w:pPr>
        <w:pStyle w:val="CETCaption"/>
        <w:spacing w:before="0"/>
      </w:pPr>
    </w:p>
    <w:p w14:paraId="703B0FC8" w14:textId="77777777" w:rsidR="00352A18" w:rsidRDefault="00352A18" w:rsidP="00A958B4">
      <w:pPr>
        <w:pStyle w:val="CETCaption"/>
        <w:spacing w:before="0"/>
      </w:pPr>
    </w:p>
    <w:p w14:paraId="3FC19A12" w14:textId="77777777" w:rsidR="00352A18" w:rsidRDefault="00352A18" w:rsidP="00A958B4">
      <w:pPr>
        <w:pStyle w:val="CETCaption"/>
        <w:spacing w:before="0"/>
      </w:pPr>
    </w:p>
    <w:p w14:paraId="236AF355" w14:textId="77777777" w:rsidR="00352A18" w:rsidRDefault="00352A18" w:rsidP="00A958B4">
      <w:pPr>
        <w:pStyle w:val="CETCaption"/>
        <w:spacing w:before="0"/>
      </w:pPr>
    </w:p>
    <w:p w14:paraId="30A07AF8" w14:textId="18454729" w:rsidR="00A958B4" w:rsidRPr="00C32AB5" w:rsidRDefault="00A958B4" w:rsidP="00D70E8A">
      <w:pPr>
        <w:pStyle w:val="CETCaption"/>
        <w:spacing w:before="0" w:after="0"/>
        <w:rPr>
          <w:iCs/>
          <w:lang w:val="el-GR"/>
        </w:rPr>
      </w:pPr>
      <w:r>
        <w:t>Figure 2</w:t>
      </w:r>
      <w:r w:rsidR="00EA2E25">
        <w:t>:</w:t>
      </w:r>
      <w:r>
        <w:t xml:space="preserve"> Encapsulation product system</w:t>
      </w:r>
      <w:r w:rsidR="00C32AB5">
        <w:rPr>
          <w:lang w:val="el-GR"/>
        </w:rPr>
        <w:t>.</w:t>
      </w:r>
    </w:p>
    <w:p w14:paraId="5508C88B" w14:textId="5AEB103B" w:rsidR="008E6ED6" w:rsidRPr="008E6ED6" w:rsidRDefault="008E6ED6" w:rsidP="00D70E8A">
      <w:pPr>
        <w:pStyle w:val="CETTabletitle"/>
        <w:spacing w:before="100" w:after="0"/>
        <w:rPr>
          <w:i w:val="0"/>
          <w:iCs/>
        </w:rPr>
      </w:pPr>
      <w:r>
        <w:rPr>
          <w:i w:val="0"/>
          <w:iCs/>
        </w:rPr>
        <w:t>The extraction process systems examined as seen in Figure 1a</w:t>
      </w:r>
      <w:r w:rsidR="00352A18">
        <w:rPr>
          <w:i w:val="0"/>
          <w:iCs/>
        </w:rPr>
        <w:t xml:space="preserve"> &amp; </w:t>
      </w:r>
      <w:r w:rsidR="0010270E" w:rsidRPr="0010270E">
        <w:rPr>
          <w:i w:val="0"/>
          <w:iCs/>
          <w:lang w:val="en-US"/>
        </w:rPr>
        <w:t>1</w:t>
      </w:r>
      <w:r w:rsidR="00352A18">
        <w:rPr>
          <w:i w:val="0"/>
          <w:iCs/>
        </w:rPr>
        <w:t>b</w:t>
      </w:r>
      <w:r>
        <w:rPr>
          <w:i w:val="0"/>
          <w:iCs/>
        </w:rPr>
        <w:t xml:space="preserve"> are also presented below in Table 1.</w:t>
      </w:r>
    </w:p>
    <w:p w14:paraId="290FE4FD" w14:textId="74F32743" w:rsidR="00DF2688" w:rsidRDefault="00DF2688" w:rsidP="004A5EC4">
      <w:pPr>
        <w:pStyle w:val="CETTabletitle"/>
        <w:spacing w:before="60" w:after="60"/>
      </w:pPr>
      <w:r>
        <w:t>Table 1: Extraction systems examined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28"/>
        <w:gridCol w:w="1939"/>
        <w:gridCol w:w="2556"/>
        <w:gridCol w:w="1205"/>
      </w:tblGrid>
      <w:tr w:rsidR="00DF2688" w:rsidRPr="008A5114" w14:paraId="5E2E6AE5" w14:textId="77777777" w:rsidTr="004A5EC4">
        <w:trPr>
          <w:trHeight w:val="258"/>
        </w:trPr>
        <w:tc>
          <w:tcPr>
            <w:tcW w:w="528" w:type="dxa"/>
            <w:tcBorders>
              <w:top w:val="single" w:sz="12" w:space="0" w:color="008000"/>
              <w:bottom w:val="single" w:sz="6" w:space="0" w:color="008000"/>
            </w:tcBorders>
            <w:shd w:val="clear" w:color="auto" w:fill="FFFFFF"/>
            <w:vAlign w:val="center"/>
          </w:tcPr>
          <w:p w14:paraId="3666422B" w14:textId="4DB5AB07" w:rsidR="00DF2688" w:rsidRPr="00DF2688" w:rsidRDefault="00DF2688" w:rsidP="00227358">
            <w:pPr>
              <w:pStyle w:val="CETBodytext"/>
              <w:jc w:val="left"/>
              <w:rPr>
                <w:vertAlign w:val="superscript"/>
                <w:lang w:val="en-GB"/>
              </w:rPr>
            </w:pPr>
            <w:bookmarkStart w:id="2" w:name="_Hlk98166625"/>
            <w:r>
              <w:rPr>
                <w:lang w:val="en-GB"/>
              </w:rPr>
              <w:t>N</w:t>
            </w:r>
            <w:r>
              <w:rPr>
                <w:vertAlign w:val="superscript"/>
                <w:lang w:val="en-GB"/>
              </w:rPr>
              <w:t>o</w:t>
            </w:r>
          </w:p>
        </w:tc>
        <w:tc>
          <w:tcPr>
            <w:tcW w:w="1939" w:type="dxa"/>
            <w:tcBorders>
              <w:top w:val="single" w:sz="12" w:space="0" w:color="008000"/>
              <w:bottom w:val="single" w:sz="6" w:space="0" w:color="008000"/>
            </w:tcBorders>
            <w:shd w:val="clear" w:color="auto" w:fill="FFFFFF"/>
            <w:vAlign w:val="center"/>
          </w:tcPr>
          <w:p w14:paraId="0C054F5B" w14:textId="3B93EB23" w:rsidR="00DF2688" w:rsidRPr="008A5114" w:rsidRDefault="00DF2688" w:rsidP="00227358">
            <w:pPr>
              <w:pStyle w:val="CETBodytext"/>
              <w:jc w:val="center"/>
              <w:rPr>
                <w:lang w:val="en-GB"/>
              </w:rPr>
            </w:pPr>
            <w:r>
              <w:rPr>
                <w:lang w:val="en-GB"/>
              </w:rPr>
              <w:t>Raw Material</w:t>
            </w:r>
          </w:p>
        </w:tc>
        <w:tc>
          <w:tcPr>
            <w:tcW w:w="2556" w:type="dxa"/>
            <w:tcBorders>
              <w:top w:val="single" w:sz="12" w:space="0" w:color="008000"/>
              <w:bottom w:val="single" w:sz="6" w:space="0" w:color="008000"/>
            </w:tcBorders>
            <w:shd w:val="clear" w:color="auto" w:fill="FFFFFF"/>
            <w:vAlign w:val="center"/>
          </w:tcPr>
          <w:p w14:paraId="42C20078" w14:textId="6050D99B" w:rsidR="00DF2688" w:rsidRPr="008A5114" w:rsidRDefault="00DF2688" w:rsidP="00227358">
            <w:pPr>
              <w:pStyle w:val="CETBodytext"/>
              <w:jc w:val="center"/>
              <w:rPr>
                <w:lang w:val="en-GB"/>
              </w:rPr>
            </w:pPr>
            <w:r>
              <w:rPr>
                <w:lang w:val="en-GB"/>
              </w:rPr>
              <w:t>Extraction Method</w:t>
            </w:r>
          </w:p>
        </w:tc>
        <w:tc>
          <w:tcPr>
            <w:tcW w:w="1205" w:type="dxa"/>
            <w:tcBorders>
              <w:top w:val="single" w:sz="12" w:space="0" w:color="008000"/>
              <w:bottom w:val="single" w:sz="6" w:space="0" w:color="008000"/>
            </w:tcBorders>
            <w:shd w:val="clear" w:color="auto" w:fill="FFFFFF"/>
            <w:vAlign w:val="center"/>
          </w:tcPr>
          <w:p w14:paraId="2798CE17" w14:textId="04785567" w:rsidR="00DF2688" w:rsidRPr="008A5114" w:rsidRDefault="00DF2688" w:rsidP="00227358">
            <w:pPr>
              <w:pStyle w:val="CETBodytext"/>
              <w:jc w:val="center"/>
              <w:rPr>
                <w:lang w:val="en-GB"/>
              </w:rPr>
            </w:pPr>
            <w:r>
              <w:rPr>
                <w:lang w:val="en-GB"/>
              </w:rPr>
              <w:t>Solver</w:t>
            </w:r>
          </w:p>
        </w:tc>
      </w:tr>
      <w:tr w:rsidR="00DF2688" w:rsidRPr="008A5114" w14:paraId="3454A012" w14:textId="77777777" w:rsidTr="004A5EC4">
        <w:trPr>
          <w:trHeight w:val="234"/>
        </w:trPr>
        <w:tc>
          <w:tcPr>
            <w:tcW w:w="528" w:type="dxa"/>
            <w:shd w:val="clear" w:color="auto" w:fill="FFFFFF"/>
            <w:vAlign w:val="center"/>
          </w:tcPr>
          <w:p w14:paraId="35C7C54F" w14:textId="70644E3B" w:rsidR="00DF2688" w:rsidRPr="008A5114" w:rsidRDefault="00DF2688" w:rsidP="00227358">
            <w:pPr>
              <w:pStyle w:val="CETBodytext"/>
              <w:jc w:val="left"/>
              <w:rPr>
                <w:lang w:val="en-GB"/>
              </w:rPr>
            </w:pPr>
            <w:r>
              <w:rPr>
                <w:lang w:val="en-GB"/>
              </w:rPr>
              <w:t>1</w:t>
            </w:r>
          </w:p>
        </w:tc>
        <w:tc>
          <w:tcPr>
            <w:tcW w:w="1939" w:type="dxa"/>
            <w:shd w:val="clear" w:color="auto" w:fill="FFFFFF"/>
            <w:vAlign w:val="center"/>
          </w:tcPr>
          <w:p w14:paraId="4BE933AD" w14:textId="472E94B6" w:rsidR="00DF2688" w:rsidRPr="008A5114" w:rsidRDefault="00DF2688" w:rsidP="00227358">
            <w:pPr>
              <w:pStyle w:val="CETBodytext"/>
              <w:jc w:val="center"/>
              <w:rPr>
                <w:lang w:val="en-GB"/>
              </w:rPr>
            </w:pPr>
            <w:r w:rsidRPr="007D3DF0">
              <w:t>Magnolia bark</w:t>
            </w:r>
          </w:p>
        </w:tc>
        <w:tc>
          <w:tcPr>
            <w:tcW w:w="2556" w:type="dxa"/>
            <w:shd w:val="clear" w:color="auto" w:fill="FFFFFF"/>
            <w:vAlign w:val="center"/>
          </w:tcPr>
          <w:p w14:paraId="4C7054BB" w14:textId="152C376A" w:rsidR="00DF2688" w:rsidRPr="008A5114" w:rsidRDefault="00DF2688" w:rsidP="00227358">
            <w:pPr>
              <w:pStyle w:val="CETBodytext"/>
              <w:jc w:val="center"/>
              <w:rPr>
                <w:lang w:val="en-GB"/>
              </w:rPr>
            </w:pPr>
            <w:r w:rsidRPr="007D3DF0">
              <w:t>Mechanochemical Maceration</w:t>
            </w:r>
          </w:p>
        </w:tc>
        <w:tc>
          <w:tcPr>
            <w:tcW w:w="1205" w:type="dxa"/>
            <w:shd w:val="clear" w:color="auto" w:fill="FFFFFF"/>
            <w:vAlign w:val="center"/>
          </w:tcPr>
          <w:p w14:paraId="0C6F5E75" w14:textId="2E15F70F" w:rsidR="00DF2688" w:rsidRPr="008A5114" w:rsidRDefault="00DF2688" w:rsidP="00227358">
            <w:pPr>
              <w:pStyle w:val="CETBodytext"/>
              <w:jc w:val="center"/>
              <w:rPr>
                <w:lang w:val="en-GB"/>
              </w:rPr>
            </w:pPr>
            <w:r>
              <w:rPr>
                <w:lang w:val="en-GB"/>
              </w:rPr>
              <w:t>Water</w:t>
            </w:r>
          </w:p>
        </w:tc>
      </w:tr>
      <w:tr w:rsidR="00DF2688" w:rsidRPr="008A5114" w14:paraId="1A5A799D" w14:textId="77777777" w:rsidTr="004A5EC4">
        <w:trPr>
          <w:trHeight w:val="234"/>
        </w:trPr>
        <w:tc>
          <w:tcPr>
            <w:tcW w:w="528" w:type="dxa"/>
            <w:shd w:val="clear" w:color="auto" w:fill="FFFFFF"/>
            <w:vAlign w:val="center"/>
          </w:tcPr>
          <w:p w14:paraId="2D8DB226" w14:textId="531A1489" w:rsidR="00DF2688" w:rsidRPr="008A5114" w:rsidRDefault="00DF2688" w:rsidP="00227358">
            <w:pPr>
              <w:pStyle w:val="CETBodytext"/>
              <w:ind w:right="-1"/>
              <w:jc w:val="left"/>
              <w:rPr>
                <w:rFonts w:cs="Arial"/>
                <w:szCs w:val="18"/>
                <w:lang w:val="en-GB"/>
              </w:rPr>
            </w:pPr>
            <w:r>
              <w:rPr>
                <w:rFonts w:cs="Arial"/>
                <w:szCs w:val="18"/>
                <w:lang w:val="en-GB"/>
              </w:rPr>
              <w:t>2</w:t>
            </w:r>
          </w:p>
        </w:tc>
        <w:tc>
          <w:tcPr>
            <w:tcW w:w="1939" w:type="dxa"/>
            <w:shd w:val="clear" w:color="auto" w:fill="FFFFFF"/>
            <w:vAlign w:val="center"/>
          </w:tcPr>
          <w:p w14:paraId="2FF82CF4" w14:textId="610BE501" w:rsidR="00DF2688" w:rsidRPr="008A5114" w:rsidRDefault="00DF2688" w:rsidP="00227358">
            <w:pPr>
              <w:pStyle w:val="CETBodytext"/>
              <w:ind w:right="-1"/>
              <w:jc w:val="center"/>
              <w:rPr>
                <w:rFonts w:cs="Arial"/>
                <w:szCs w:val="18"/>
                <w:lang w:val="en-GB"/>
              </w:rPr>
            </w:pPr>
            <w:r w:rsidRPr="007D3DF0">
              <w:t>Magnolia bark</w:t>
            </w:r>
          </w:p>
        </w:tc>
        <w:tc>
          <w:tcPr>
            <w:tcW w:w="2556" w:type="dxa"/>
            <w:shd w:val="clear" w:color="auto" w:fill="FFFFFF"/>
            <w:vAlign w:val="center"/>
          </w:tcPr>
          <w:p w14:paraId="5EE15B9D" w14:textId="3AFBEF90" w:rsidR="00DF2688" w:rsidRPr="008A5114" w:rsidRDefault="00DF2688" w:rsidP="00227358">
            <w:pPr>
              <w:pStyle w:val="CETBodytext"/>
              <w:ind w:right="-1"/>
              <w:jc w:val="center"/>
              <w:rPr>
                <w:rFonts w:cs="Arial"/>
                <w:szCs w:val="18"/>
                <w:lang w:val="en-GB"/>
              </w:rPr>
            </w:pPr>
            <w:r w:rsidRPr="007D3DF0">
              <w:t>Mechanochemical Maceration</w:t>
            </w:r>
          </w:p>
        </w:tc>
        <w:tc>
          <w:tcPr>
            <w:tcW w:w="1205" w:type="dxa"/>
            <w:shd w:val="clear" w:color="auto" w:fill="FFFFFF"/>
            <w:vAlign w:val="center"/>
          </w:tcPr>
          <w:p w14:paraId="0684811D" w14:textId="55207493" w:rsidR="00DF2688" w:rsidRPr="008A5114" w:rsidRDefault="00DF2688" w:rsidP="00227358">
            <w:pPr>
              <w:pStyle w:val="CETBodytext"/>
              <w:ind w:right="-1"/>
              <w:jc w:val="center"/>
              <w:rPr>
                <w:rFonts w:cs="Arial"/>
                <w:szCs w:val="18"/>
                <w:lang w:val="en-GB"/>
              </w:rPr>
            </w:pPr>
            <w:r w:rsidRPr="007D3DF0">
              <w:t>Ethanol</w:t>
            </w:r>
          </w:p>
        </w:tc>
      </w:tr>
      <w:tr w:rsidR="00DF2688" w:rsidRPr="008A5114" w14:paraId="0448D0A1" w14:textId="77777777" w:rsidTr="004A5EC4">
        <w:trPr>
          <w:trHeight w:val="234"/>
        </w:trPr>
        <w:tc>
          <w:tcPr>
            <w:tcW w:w="528" w:type="dxa"/>
            <w:shd w:val="clear" w:color="auto" w:fill="FFFFFF"/>
            <w:vAlign w:val="center"/>
          </w:tcPr>
          <w:p w14:paraId="1BF84372" w14:textId="2A92A336" w:rsidR="00DF2688" w:rsidRPr="008A5114" w:rsidRDefault="00DF2688" w:rsidP="00227358">
            <w:pPr>
              <w:pStyle w:val="CETBodytext"/>
              <w:ind w:right="-1"/>
              <w:jc w:val="left"/>
              <w:rPr>
                <w:rFonts w:cs="Arial"/>
                <w:szCs w:val="18"/>
                <w:lang w:val="en-GB"/>
              </w:rPr>
            </w:pPr>
            <w:r>
              <w:rPr>
                <w:rFonts w:cs="Arial"/>
                <w:szCs w:val="18"/>
                <w:lang w:val="en-GB"/>
              </w:rPr>
              <w:t>3</w:t>
            </w:r>
          </w:p>
        </w:tc>
        <w:tc>
          <w:tcPr>
            <w:tcW w:w="1939" w:type="dxa"/>
            <w:shd w:val="clear" w:color="auto" w:fill="FFFFFF"/>
            <w:vAlign w:val="center"/>
          </w:tcPr>
          <w:p w14:paraId="1E4023DD" w14:textId="205D3DDE" w:rsidR="00DF2688" w:rsidRPr="008A5114" w:rsidRDefault="00DF2688" w:rsidP="00227358">
            <w:pPr>
              <w:pStyle w:val="CETBodytext"/>
              <w:ind w:right="-1"/>
              <w:jc w:val="center"/>
              <w:rPr>
                <w:rFonts w:cs="Arial"/>
                <w:szCs w:val="18"/>
                <w:lang w:val="en-GB"/>
              </w:rPr>
            </w:pPr>
            <w:r w:rsidRPr="007D3DF0">
              <w:t>Magnolia bark</w:t>
            </w:r>
          </w:p>
        </w:tc>
        <w:tc>
          <w:tcPr>
            <w:tcW w:w="2556" w:type="dxa"/>
            <w:shd w:val="clear" w:color="auto" w:fill="FFFFFF"/>
            <w:vAlign w:val="center"/>
          </w:tcPr>
          <w:p w14:paraId="1DAC98A6" w14:textId="0E206DE9" w:rsidR="00DF2688" w:rsidRPr="008A5114" w:rsidRDefault="00DF2688" w:rsidP="00227358">
            <w:pPr>
              <w:pStyle w:val="CETBodytext"/>
              <w:ind w:right="-1"/>
              <w:jc w:val="center"/>
              <w:rPr>
                <w:rFonts w:cs="Arial"/>
                <w:szCs w:val="18"/>
                <w:lang w:val="en-GB"/>
              </w:rPr>
            </w:pPr>
            <w:r w:rsidRPr="007D3DF0">
              <w:t>UAE</w:t>
            </w:r>
          </w:p>
        </w:tc>
        <w:tc>
          <w:tcPr>
            <w:tcW w:w="1205" w:type="dxa"/>
            <w:shd w:val="clear" w:color="auto" w:fill="FFFFFF"/>
            <w:vAlign w:val="center"/>
          </w:tcPr>
          <w:p w14:paraId="0168D719" w14:textId="4E3EAA84" w:rsidR="00DF2688" w:rsidRPr="008A5114" w:rsidRDefault="00DF2688" w:rsidP="00227358">
            <w:pPr>
              <w:pStyle w:val="CETBodytext"/>
              <w:ind w:right="-1"/>
              <w:jc w:val="center"/>
              <w:rPr>
                <w:rFonts w:cs="Arial"/>
                <w:szCs w:val="18"/>
                <w:lang w:val="en-GB"/>
              </w:rPr>
            </w:pPr>
            <w:r w:rsidRPr="007D3DF0">
              <w:t>Ethanol</w:t>
            </w:r>
          </w:p>
        </w:tc>
      </w:tr>
      <w:tr w:rsidR="00DF2688" w:rsidRPr="008A5114" w14:paraId="39DDA5C7" w14:textId="77777777" w:rsidTr="004A5EC4">
        <w:trPr>
          <w:trHeight w:val="234"/>
        </w:trPr>
        <w:tc>
          <w:tcPr>
            <w:tcW w:w="528" w:type="dxa"/>
            <w:shd w:val="clear" w:color="auto" w:fill="FFFFFF"/>
            <w:vAlign w:val="center"/>
          </w:tcPr>
          <w:p w14:paraId="011D49AB" w14:textId="072D92F2" w:rsidR="00DF2688" w:rsidRDefault="00DF2688" w:rsidP="00227358">
            <w:pPr>
              <w:pStyle w:val="CETBodytext"/>
              <w:ind w:right="-1"/>
              <w:jc w:val="left"/>
              <w:rPr>
                <w:rFonts w:cs="Arial"/>
                <w:szCs w:val="18"/>
                <w:lang w:val="en-GB"/>
              </w:rPr>
            </w:pPr>
            <w:r>
              <w:rPr>
                <w:rFonts w:cs="Arial"/>
                <w:szCs w:val="18"/>
                <w:lang w:val="en-GB"/>
              </w:rPr>
              <w:t>4</w:t>
            </w:r>
          </w:p>
        </w:tc>
        <w:tc>
          <w:tcPr>
            <w:tcW w:w="1939" w:type="dxa"/>
            <w:shd w:val="clear" w:color="auto" w:fill="FFFFFF"/>
            <w:vAlign w:val="center"/>
          </w:tcPr>
          <w:p w14:paraId="5B9FD200" w14:textId="71ACC3E1" w:rsidR="00DF2688" w:rsidRPr="008A5114" w:rsidRDefault="00DF2688" w:rsidP="00227358">
            <w:pPr>
              <w:pStyle w:val="CETBodytext"/>
              <w:ind w:right="-1"/>
              <w:jc w:val="center"/>
              <w:rPr>
                <w:rFonts w:cs="Arial"/>
                <w:szCs w:val="18"/>
                <w:lang w:val="en-GB"/>
              </w:rPr>
            </w:pPr>
            <w:r w:rsidRPr="007D3DF0">
              <w:t>Rosemary</w:t>
            </w:r>
          </w:p>
        </w:tc>
        <w:tc>
          <w:tcPr>
            <w:tcW w:w="2556" w:type="dxa"/>
            <w:shd w:val="clear" w:color="auto" w:fill="FFFFFF"/>
            <w:vAlign w:val="center"/>
          </w:tcPr>
          <w:p w14:paraId="1D4842A3" w14:textId="2DE41582" w:rsidR="00DF2688" w:rsidRPr="008A5114" w:rsidRDefault="00DF2688" w:rsidP="00227358">
            <w:pPr>
              <w:pStyle w:val="CETBodytext"/>
              <w:ind w:right="-1"/>
              <w:jc w:val="center"/>
              <w:rPr>
                <w:rFonts w:cs="Arial"/>
                <w:szCs w:val="18"/>
                <w:lang w:val="en-GB"/>
              </w:rPr>
            </w:pPr>
            <w:r w:rsidRPr="007D3DF0">
              <w:t>UAE-MAE</w:t>
            </w:r>
          </w:p>
        </w:tc>
        <w:tc>
          <w:tcPr>
            <w:tcW w:w="1205" w:type="dxa"/>
            <w:shd w:val="clear" w:color="auto" w:fill="FFFFFF"/>
            <w:vAlign w:val="center"/>
          </w:tcPr>
          <w:p w14:paraId="78313716" w14:textId="7619938E" w:rsidR="00DF2688" w:rsidRPr="008A5114" w:rsidRDefault="00DF2688" w:rsidP="00227358">
            <w:pPr>
              <w:pStyle w:val="CETBodytext"/>
              <w:ind w:right="-1"/>
              <w:jc w:val="center"/>
              <w:rPr>
                <w:rFonts w:cs="Arial"/>
                <w:szCs w:val="18"/>
                <w:lang w:val="en-GB"/>
              </w:rPr>
            </w:pPr>
            <w:r w:rsidRPr="007D3DF0">
              <w:t>Ethanol</w:t>
            </w:r>
          </w:p>
        </w:tc>
      </w:tr>
      <w:tr w:rsidR="00DF2688" w:rsidRPr="008A5114" w14:paraId="06289EF1" w14:textId="77777777" w:rsidTr="004A5EC4">
        <w:trPr>
          <w:trHeight w:val="234"/>
        </w:trPr>
        <w:tc>
          <w:tcPr>
            <w:tcW w:w="528" w:type="dxa"/>
            <w:shd w:val="clear" w:color="auto" w:fill="FFFFFF"/>
            <w:vAlign w:val="center"/>
          </w:tcPr>
          <w:p w14:paraId="787869E1" w14:textId="7A6B049C" w:rsidR="00DF2688" w:rsidRPr="008A5114" w:rsidRDefault="00DF2688" w:rsidP="00227358">
            <w:pPr>
              <w:pStyle w:val="CETBodytext"/>
              <w:ind w:right="-1"/>
              <w:jc w:val="left"/>
              <w:rPr>
                <w:rFonts w:cs="Arial"/>
                <w:szCs w:val="18"/>
                <w:lang w:val="en-GB"/>
              </w:rPr>
            </w:pPr>
            <w:r>
              <w:rPr>
                <w:rFonts w:cs="Arial"/>
                <w:szCs w:val="18"/>
                <w:lang w:val="en-GB"/>
              </w:rPr>
              <w:t>5</w:t>
            </w:r>
          </w:p>
        </w:tc>
        <w:tc>
          <w:tcPr>
            <w:tcW w:w="1939" w:type="dxa"/>
            <w:shd w:val="clear" w:color="auto" w:fill="FFFFFF"/>
            <w:vAlign w:val="center"/>
          </w:tcPr>
          <w:p w14:paraId="3E82E230" w14:textId="4D9DF06D" w:rsidR="00DF2688" w:rsidRPr="008A5114" w:rsidRDefault="00DF2688" w:rsidP="00227358">
            <w:pPr>
              <w:pStyle w:val="CETBodytext"/>
              <w:ind w:right="-1"/>
              <w:jc w:val="center"/>
              <w:rPr>
                <w:rFonts w:cs="Arial"/>
                <w:szCs w:val="18"/>
                <w:lang w:val="en-GB"/>
              </w:rPr>
            </w:pPr>
            <w:r w:rsidRPr="007D3DF0">
              <w:t>St John's wort</w:t>
            </w:r>
          </w:p>
        </w:tc>
        <w:tc>
          <w:tcPr>
            <w:tcW w:w="2556" w:type="dxa"/>
            <w:shd w:val="clear" w:color="auto" w:fill="FFFFFF"/>
            <w:vAlign w:val="center"/>
          </w:tcPr>
          <w:p w14:paraId="3E2C123F" w14:textId="2219D8FF" w:rsidR="00DF2688" w:rsidRPr="008A5114" w:rsidRDefault="00DF2688" w:rsidP="00227358">
            <w:pPr>
              <w:pStyle w:val="CETBodytext"/>
              <w:ind w:right="-1"/>
              <w:jc w:val="center"/>
              <w:rPr>
                <w:rFonts w:cs="Arial"/>
                <w:szCs w:val="18"/>
                <w:lang w:val="en-GB"/>
              </w:rPr>
            </w:pPr>
            <w:r w:rsidRPr="007D3DF0">
              <w:t>UAE-MAE</w:t>
            </w:r>
          </w:p>
        </w:tc>
        <w:tc>
          <w:tcPr>
            <w:tcW w:w="1205" w:type="dxa"/>
            <w:shd w:val="clear" w:color="auto" w:fill="FFFFFF"/>
            <w:vAlign w:val="center"/>
          </w:tcPr>
          <w:p w14:paraId="3BC4C750" w14:textId="26BE85A3" w:rsidR="00DF2688" w:rsidRPr="008A5114" w:rsidRDefault="00DF2688" w:rsidP="00227358">
            <w:pPr>
              <w:pStyle w:val="CETBodytext"/>
              <w:ind w:right="-1"/>
              <w:jc w:val="center"/>
              <w:rPr>
                <w:rFonts w:cs="Arial"/>
                <w:szCs w:val="18"/>
                <w:lang w:val="en-GB"/>
              </w:rPr>
            </w:pPr>
            <w:r w:rsidRPr="007D3DF0">
              <w:t>Ethanol</w:t>
            </w:r>
          </w:p>
        </w:tc>
      </w:tr>
    </w:tbl>
    <w:bookmarkEnd w:id="2"/>
    <w:p w14:paraId="1FE93007" w14:textId="3F9B589A" w:rsidR="00A61CDE" w:rsidRPr="000929A8" w:rsidRDefault="000054BC" w:rsidP="00D70E8A">
      <w:pPr>
        <w:pStyle w:val="CETBodytext"/>
        <w:spacing w:before="100"/>
      </w:pPr>
      <w:r>
        <w:t xml:space="preserve">The </w:t>
      </w:r>
      <w:r w:rsidR="00D3747C">
        <w:t>development process of the animal feed product examined, begins with the premix production</w:t>
      </w:r>
      <w:r w:rsidR="00F37E08">
        <w:t xml:space="preserve"> process</w:t>
      </w:r>
      <w:r w:rsidR="00D3747C">
        <w:t xml:space="preserve">, which is of </w:t>
      </w:r>
      <w:r w:rsidR="00FF019A">
        <w:t>great</w:t>
      </w:r>
      <w:r w:rsidR="00D3747C">
        <w:t xml:space="preserve"> importance since it </w:t>
      </w:r>
      <w:r w:rsidR="00F37E08" w:rsidRPr="00A2346B">
        <w:t>contains cri</w:t>
      </w:r>
      <w:r w:rsidR="00F37E08">
        <w:t xml:space="preserve">tical </w:t>
      </w:r>
      <w:r w:rsidR="00D3747C">
        <w:t>process</w:t>
      </w:r>
      <w:r w:rsidR="00F37E08">
        <w:t>es such as pretreatment</w:t>
      </w:r>
      <w:r w:rsidR="00D3747C">
        <w:t xml:space="preserve"> of the raw material</w:t>
      </w:r>
      <w:r w:rsidR="00F37E08">
        <w:t xml:space="preserve">, extraction, </w:t>
      </w:r>
      <w:r w:rsidR="000929A8">
        <w:t>and</w:t>
      </w:r>
      <w:r w:rsidR="00F37E08">
        <w:t xml:space="preserve"> formulation of the feed mixture.</w:t>
      </w:r>
      <w:r w:rsidR="000929A8">
        <w:t xml:space="preserve"> The premix production systems and sub-systems are presented in Figure </w:t>
      </w:r>
      <w:r w:rsidR="00B143AE">
        <w:t>3</w:t>
      </w:r>
      <w:r w:rsidR="000929A8">
        <w:t xml:space="preserve">. </w:t>
      </w:r>
    </w:p>
    <w:p w14:paraId="608F0B93" w14:textId="51E0D327" w:rsidR="007A7F84" w:rsidRDefault="003314B8" w:rsidP="003314B8">
      <w:pPr>
        <w:pStyle w:val="CETBodytext"/>
        <w:jc w:val="left"/>
      </w:pPr>
      <w:r w:rsidRPr="003314B8">
        <w:rPr>
          <w:noProof/>
        </w:rPr>
        <w:drawing>
          <wp:inline distT="0" distB="0" distL="0" distR="0" wp14:anchorId="57DFD7AA" wp14:editId="29993098">
            <wp:extent cx="4202883" cy="232973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2239" cy="2384807"/>
                    </a:xfrm>
                    <a:prstGeom prst="rect">
                      <a:avLst/>
                    </a:prstGeom>
                  </pic:spPr>
                </pic:pic>
              </a:graphicData>
            </a:graphic>
          </wp:inline>
        </w:drawing>
      </w:r>
    </w:p>
    <w:p w14:paraId="321D4EB4" w14:textId="4FD86425" w:rsidR="003314B8" w:rsidRDefault="003314B8" w:rsidP="00A80150">
      <w:pPr>
        <w:pStyle w:val="CETCaption"/>
        <w:spacing w:before="0" w:after="0"/>
      </w:pPr>
      <w:r>
        <w:t xml:space="preserve">Figure </w:t>
      </w:r>
      <w:r w:rsidR="00B143AE">
        <w:t>3</w:t>
      </w:r>
      <w:r w:rsidR="00EA2E25">
        <w:t>:</w:t>
      </w:r>
      <w:r>
        <w:t xml:space="preserve"> </w:t>
      </w:r>
      <w:r w:rsidR="0007077F">
        <w:t>P</w:t>
      </w:r>
      <w:r w:rsidRPr="00EA5680">
        <w:t>remixes production</w:t>
      </w:r>
      <w:r>
        <w:t xml:space="preserve"> </w:t>
      </w:r>
      <w:r w:rsidRPr="007A7F84">
        <w:t>systems &amp; sub-systems</w:t>
      </w:r>
      <w:r w:rsidR="002A75AF">
        <w:t>.</w:t>
      </w:r>
    </w:p>
    <w:p w14:paraId="391163A6" w14:textId="29F5E35F" w:rsidR="003314B8" w:rsidRDefault="0007077F" w:rsidP="003314B8">
      <w:pPr>
        <w:pStyle w:val="CETBodytext"/>
        <w:jc w:val="left"/>
      </w:pPr>
      <w:r w:rsidRPr="0007077F">
        <w:rPr>
          <w:noProof/>
        </w:rPr>
        <w:lastRenderedPageBreak/>
        <w:drawing>
          <wp:inline distT="0" distB="0" distL="0" distR="0" wp14:anchorId="61D0D092" wp14:editId="1ADE3E15">
            <wp:extent cx="3959821" cy="1661823"/>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888" r="9957" b="3019"/>
                    <a:stretch/>
                  </pic:blipFill>
                  <pic:spPr bwMode="auto">
                    <a:xfrm>
                      <a:off x="0" y="0"/>
                      <a:ext cx="4016719" cy="1685701"/>
                    </a:xfrm>
                    <a:prstGeom prst="rect">
                      <a:avLst/>
                    </a:prstGeom>
                    <a:ln>
                      <a:noFill/>
                    </a:ln>
                    <a:extLst>
                      <a:ext uri="{53640926-AAD7-44D8-BBD7-CCE9431645EC}">
                        <a14:shadowObscured xmlns:a14="http://schemas.microsoft.com/office/drawing/2010/main"/>
                      </a:ext>
                    </a:extLst>
                  </pic:spPr>
                </pic:pic>
              </a:graphicData>
            </a:graphic>
          </wp:inline>
        </w:drawing>
      </w:r>
    </w:p>
    <w:p w14:paraId="6B1D0C33" w14:textId="3D3F1125" w:rsidR="00A80150" w:rsidRDefault="0007077F" w:rsidP="00BB7205">
      <w:pPr>
        <w:pStyle w:val="CETCaption"/>
        <w:spacing w:before="0" w:after="0"/>
      </w:pPr>
      <w:r>
        <w:t xml:space="preserve">Figure </w:t>
      </w:r>
      <w:r w:rsidR="00B143AE">
        <w:t>4</w:t>
      </w:r>
      <w:r w:rsidR="00EA2E25">
        <w:t>:</w:t>
      </w:r>
      <w:r>
        <w:t xml:space="preserve"> </w:t>
      </w:r>
      <w:r w:rsidRPr="00EA5680">
        <w:t xml:space="preserve">Animal </w:t>
      </w:r>
      <w:r>
        <w:t>f</w:t>
      </w:r>
      <w:r w:rsidRPr="00EA5680">
        <w:t xml:space="preserve">eed </w:t>
      </w:r>
      <w:r>
        <w:t>p</w:t>
      </w:r>
      <w:r w:rsidRPr="00EA5680">
        <w:t>roduction</w:t>
      </w:r>
      <w:r>
        <w:t xml:space="preserve"> </w:t>
      </w:r>
      <w:r w:rsidRPr="007A7F84">
        <w:t>system</w:t>
      </w:r>
      <w:r w:rsidR="002A75AF">
        <w:t>.</w:t>
      </w:r>
    </w:p>
    <w:p w14:paraId="21A6EC94" w14:textId="76A671C0" w:rsidR="0039499E" w:rsidRPr="00C10529" w:rsidRDefault="00837A55" w:rsidP="00F74A5B">
      <w:pPr>
        <w:pStyle w:val="CETBodytext"/>
        <w:spacing w:before="60" w:line="240" w:lineRule="auto"/>
        <w:rPr>
          <w:iCs/>
        </w:rPr>
      </w:pPr>
      <w:r w:rsidRPr="00837A55">
        <w:rPr>
          <w:iCs/>
          <w:lang w:val="en-GB"/>
        </w:rPr>
        <w:t>Regarding the animal feed production</w:t>
      </w:r>
      <w:r w:rsidR="00AC2EAC" w:rsidRPr="00837A55">
        <w:rPr>
          <w:iCs/>
          <w:lang w:val="en-GB"/>
        </w:rPr>
        <w:t xml:space="preserve">, </w:t>
      </w:r>
      <w:r w:rsidR="0039499E" w:rsidRPr="00837A55">
        <w:rPr>
          <w:iCs/>
          <w:lang w:val="en-GB"/>
        </w:rPr>
        <w:t xml:space="preserve">three final feed products </w:t>
      </w:r>
      <w:r w:rsidRPr="00837A55">
        <w:rPr>
          <w:iCs/>
          <w:lang w:val="en-GB"/>
        </w:rPr>
        <w:t xml:space="preserve">were </w:t>
      </w:r>
      <w:r w:rsidR="0039499E" w:rsidRPr="00837A55">
        <w:rPr>
          <w:iCs/>
          <w:lang w:val="en-GB"/>
        </w:rPr>
        <w:t>examined,</w:t>
      </w:r>
      <w:r w:rsidR="00AC2EAC" w:rsidRPr="00837A55">
        <w:rPr>
          <w:iCs/>
          <w:lang w:val="en-GB"/>
        </w:rPr>
        <w:t xml:space="preserve"> namely</w:t>
      </w:r>
      <w:r w:rsidR="0039499E" w:rsidRPr="00837A55">
        <w:rPr>
          <w:iCs/>
          <w:lang w:val="en-GB"/>
        </w:rPr>
        <w:t xml:space="preserve"> Feed product 1</w:t>
      </w:r>
      <w:r w:rsidRPr="00837A55">
        <w:rPr>
          <w:iCs/>
          <w:lang w:val="en-GB"/>
        </w:rPr>
        <w:t xml:space="preserve"> (FP1),</w:t>
      </w:r>
      <w:r w:rsidRPr="00837A55">
        <w:rPr>
          <w:iCs/>
        </w:rPr>
        <w:t xml:space="preserve"> Feed product 2 (FP2), and Feed product 3 (FP3). More specifically,</w:t>
      </w:r>
      <w:r w:rsidR="0039499E" w:rsidRPr="00837A55">
        <w:rPr>
          <w:iCs/>
          <w:lang w:val="en-GB"/>
        </w:rPr>
        <w:t xml:space="preserve"> </w:t>
      </w:r>
      <w:r>
        <w:rPr>
          <w:iCs/>
          <w:lang w:val="en-GB"/>
        </w:rPr>
        <w:t xml:space="preserve">FP1 corresponds to the </w:t>
      </w:r>
      <w:r w:rsidR="0039499E" w:rsidRPr="00837A55">
        <w:rPr>
          <w:iCs/>
          <w:lang w:val="en-GB"/>
        </w:rPr>
        <w:t xml:space="preserve">conventional </w:t>
      </w:r>
      <w:r w:rsidR="00FE685E">
        <w:rPr>
          <w:iCs/>
          <w:lang w:val="en-GB"/>
        </w:rPr>
        <w:t xml:space="preserve">feed </w:t>
      </w:r>
      <w:r w:rsidR="0039499E" w:rsidRPr="00837A55">
        <w:rPr>
          <w:iCs/>
          <w:lang w:val="en-GB"/>
        </w:rPr>
        <w:t>product,</w:t>
      </w:r>
      <w:r w:rsidR="001C384D" w:rsidRPr="001C384D">
        <w:rPr>
          <w:iCs/>
        </w:rPr>
        <w:t xml:space="preserve"> </w:t>
      </w:r>
      <w:r w:rsidR="00FE685E">
        <w:rPr>
          <w:iCs/>
          <w:lang w:val="en-GB"/>
        </w:rPr>
        <w:t>while FP2 and FP</w:t>
      </w:r>
      <w:r w:rsidR="00FE685E" w:rsidRPr="00C10529">
        <w:rPr>
          <w:iCs/>
          <w:lang w:val="en-GB"/>
        </w:rPr>
        <w:t xml:space="preserve">3 represent the innovative feed products enriched with bioactive compounds, that the present study investigates. </w:t>
      </w:r>
      <w:r w:rsidR="006D41DC" w:rsidRPr="00C10529">
        <w:rPr>
          <w:iCs/>
          <w:lang w:val="en-GB"/>
        </w:rPr>
        <w:t>However</w:t>
      </w:r>
      <w:r w:rsidR="00D33739" w:rsidRPr="00C10529">
        <w:rPr>
          <w:iCs/>
          <w:lang w:val="en-GB"/>
        </w:rPr>
        <w:t>,</w:t>
      </w:r>
      <w:r w:rsidR="00287087" w:rsidRPr="00C10529">
        <w:rPr>
          <w:iCs/>
        </w:rPr>
        <w:t xml:space="preserve"> </w:t>
      </w:r>
      <w:r w:rsidR="006D41DC" w:rsidRPr="00C10529">
        <w:rPr>
          <w:iCs/>
        </w:rPr>
        <w:t xml:space="preserve">the </w:t>
      </w:r>
      <w:r w:rsidR="00D33739" w:rsidRPr="00C10529">
        <w:rPr>
          <w:iCs/>
          <w:lang w:val="en-GB"/>
        </w:rPr>
        <w:t xml:space="preserve">key </w:t>
      </w:r>
      <w:r w:rsidR="009B7D22" w:rsidRPr="00C10529">
        <w:rPr>
          <w:iCs/>
          <w:lang w:val="en-GB"/>
        </w:rPr>
        <w:t>difference</w:t>
      </w:r>
      <w:r w:rsidR="006D41DC" w:rsidRPr="00C10529">
        <w:rPr>
          <w:iCs/>
          <w:lang w:val="en-GB"/>
        </w:rPr>
        <w:t xml:space="preserve"> between FP2 and FP3 that both contain magnolia extract</w:t>
      </w:r>
      <w:r w:rsidR="00D33739" w:rsidRPr="00C10529">
        <w:rPr>
          <w:iCs/>
          <w:lang w:val="en-GB"/>
        </w:rPr>
        <w:t>,</w:t>
      </w:r>
      <w:r w:rsidR="006D41DC" w:rsidRPr="00C10529">
        <w:rPr>
          <w:iCs/>
          <w:lang w:val="en-GB"/>
        </w:rPr>
        <w:t xml:space="preserve"> is </w:t>
      </w:r>
      <w:r w:rsidR="00D33739" w:rsidRPr="00C10529">
        <w:rPr>
          <w:iCs/>
          <w:lang w:val="en-GB"/>
        </w:rPr>
        <w:t xml:space="preserve">related to the encapsulation process </w:t>
      </w:r>
      <w:r w:rsidR="009B7D22" w:rsidRPr="00C10529">
        <w:rPr>
          <w:iCs/>
          <w:lang w:val="en-GB"/>
        </w:rPr>
        <w:t xml:space="preserve">of the extract, in FP3, before its incorporation to the final product. </w:t>
      </w:r>
      <w:r w:rsidR="00C07DAD" w:rsidRPr="00C10529">
        <w:rPr>
          <w:iCs/>
          <w:lang w:val="en-GB"/>
        </w:rPr>
        <w:t>The environmental impact of a</w:t>
      </w:r>
      <w:r w:rsidR="009B7D22" w:rsidRPr="00C10529">
        <w:rPr>
          <w:iCs/>
          <w:lang w:val="en-GB"/>
        </w:rPr>
        <w:t>ll products (FP1, FP2, FP3)</w:t>
      </w:r>
      <w:r w:rsidR="00C07DAD" w:rsidRPr="00C10529">
        <w:rPr>
          <w:iCs/>
          <w:lang w:val="en-GB"/>
        </w:rPr>
        <w:t xml:space="preserve"> and processes</w:t>
      </w:r>
      <w:r w:rsidR="00D70FF6" w:rsidRPr="00C10529">
        <w:rPr>
          <w:iCs/>
          <w:lang w:val="en-GB"/>
        </w:rPr>
        <w:t xml:space="preserve"> was</w:t>
      </w:r>
      <w:r w:rsidR="00C07DAD" w:rsidRPr="00C10529">
        <w:rPr>
          <w:iCs/>
          <w:lang w:val="en-GB"/>
        </w:rPr>
        <w:t xml:space="preserve"> evaluated</w:t>
      </w:r>
      <w:r w:rsidR="00D70FF6" w:rsidRPr="00C10529">
        <w:rPr>
          <w:iCs/>
          <w:lang w:val="en-GB"/>
        </w:rPr>
        <w:t xml:space="preserve"> by </w:t>
      </w:r>
      <w:r w:rsidR="00C07DAD" w:rsidRPr="00C10529">
        <w:rPr>
          <w:iCs/>
          <w:lang w:val="en-GB"/>
        </w:rPr>
        <w:t>the midpoint and endpoint indicators</w:t>
      </w:r>
      <w:r w:rsidR="00D70FF6" w:rsidRPr="00C10529">
        <w:rPr>
          <w:iCs/>
          <w:lang w:val="en-GB"/>
        </w:rPr>
        <w:t>, and results were compared</w:t>
      </w:r>
      <w:r w:rsidR="006F485D" w:rsidRPr="00C10529">
        <w:rPr>
          <w:iCs/>
          <w:lang w:val="en-GB"/>
        </w:rPr>
        <w:t>.</w:t>
      </w:r>
      <w:r w:rsidR="008523B0" w:rsidRPr="00C10529">
        <w:rPr>
          <w:iCs/>
          <w:lang w:val="en-GB"/>
        </w:rPr>
        <w:t xml:space="preserve"> Last but not least, all feed production </w:t>
      </w:r>
      <w:r w:rsidR="008925B0" w:rsidRPr="00C10529">
        <w:rPr>
          <w:iCs/>
          <w:lang w:val="en-GB"/>
        </w:rPr>
        <w:t>systems studied, contain</w:t>
      </w:r>
      <w:r w:rsidR="008523B0" w:rsidRPr="00C10529">
        <w:rPr>
          <w:iCs/>
          <w:lang w:val="en-GB"/>
        </w:rPr>
        <w:t xml:space="preserve"> the extrusion process</w:t>
      </w:r>
      <w:r w:rsidR="008925B0" w:rsidRPr="00C10529">
        <w:rPr>
          <w:iCs/>
          <w:lang w:val="en-GB"/>
        </w:rPr>
        <w:t xml:space="preserve">, which is the final step of the procedure and is </w:t>
      </w:r>
      <w:r w:rsidR="00FF019A" w:rsidRPr="00C10529">
        <w:rPr>
          <w:iCs/>
          <w:lang w:val="en-GB"/>
        </w:rPr>
        <w:t>considered as a major contributor</w:t>
      </w:r>
      <w:r w:rsidR="00DC1599" w:rsidRPr="00C10529">
        <w:rPr>
          <w:iCs/>
          <w:lang w:val="en-GB"/>
        </w:rPr>
        <w:t xml:space="preserve"> in </w:t>
      </w:r>
      <w:r w:rsidR="008925B0" w:rsidRPr="00C10529">
        <w:rPr>
          <w:iCs/>
          <w:lang w:val="en-GB"/>
        </w:rPr>
        <w:t>the total LCA</w:t>
      </w:r>
      <w:r w:rsidR="00C10529">
        <w:rPr>
          <w:iCs/>
          <w:lang w:val="en-GB"/>
        </w:rPr>
        <w:t>.</w:t>
      </w:r>
    </w:p>
    <w:p w14:paraId="16FDE269" w14:textId="77777777" w:rsidR="00B03347" w:rsidRPr="00D85A06" w:rsidRDefault="00B03347" w:rsidP="004A5EC4">
      <w:pPr>
        <w:pStyle w:val="CETHeadingxx"/>
        <w:spacing w:before="0"/>
      </w:pPr>
      <w:bookmarkStart w:id="3" w:name="_Toc43808045"/>
      <w:r w:rsidRPr="00D85A06">
        <w:t>Functional unit</w:t>
      </w:r>
      <w:bookmarkEnd w:id="3"/>
    </w:p>
    <w:p w14:paraId="20C02825" w14:textId="2FF10F50" w:rsidR="00B03347" w:rsidRDefault="00902537" w:rsidP="00F74A5B">
      <w:pPr>
        <w:pStyle w:val="CETBodytext"/>
        <w:spacing w:line="240" w:lineRule="auto"/>
      </w:pPr>
      <w:r w:rsidRPr="00902537">
        <w:rPr>
          <w:lang w:val="en-GB"/>
        </w:rPr>
        <w:t xml:space="preserve">Depending on the examined scenario </w:t>
      </w:r>
      <w:r>
        <w:rPr>
          <w:lang w:val="en-GB"/>
        </w:rPr>
        <w:t xml:space="preserve">functional unit is </w:t>
      </w:r>
      <w:r w:rsidRPr="00902537">
        <w:rPr>
          <w:lang w:val="en-GB"/>
        </w:rPr>
        <w:t>1 kg of produced material</w:t>
      </w:r>
      <w:r>
        <w:rPr>
          <w:lang w:val="en-GB"/>
        </w:rPr>
        <w:t xml:space="preserve"> or</w:t>
      </w:r>
      <w:r w:rsidRPr="00902537">
        <w:rPr>
          <w:lang w:val="en-GB"/>
        </w:rPr>
        <w:t xml:space="preserve"> 1 FRP (Feed-ration production for poultry: Total Feeding quantity (Kg) for 1 Kg broiler grow-out)</w:t>
      </w:r>
    </w:p>
    <w:p w14:paraId="44DEEF63" w14:textId="77777777" w:rsidR="00B03347" w:rsidRPr="00D85A06" w:rsidRDefault="00B03347" w:rsidP="00F74A5B">
      <w:pPr>
        <w:pStyle w:val="CETHeadingxx"/>
        <w:spacing w:before="0"/>
      </w:pPr>
      <w:bookmarkStart w:id="4" w:name="_Toc43808046"/>
      <w:r w:rsidRPr="00D85A06">
        <w:t>Boundaries</w:t>
      </w:r>
      <w:bookmarkEnd w:id="4"/>
    </w:p>
    <w:p w14:paraId="78070F7B" w14:textId="7BD58893" w:rsidR="00B03347" w:rsidRDefault="00902537" w:rsidP="00F74A5B">
      <w:pPr>
        <w:pStyle w:val="CETBodytext"/>
        <w:spacing w:line="240" w:lineRule="auto"/>
      </w:pPr>
      <w:r w:rsidRPr="00902537">
        <w:rPr>
          <w:lang w:val="nl-BE"/>
        </w:rPr>
        <w:t xml:space="preserve">Depending on the examined scenario </w:t>
      </w:r>
      <w:r>
        <w:rPr>
          <w:lang w:val="nl-BE"/>
        </w:rPr>
        <w:t xml:space="preserve">is either </w:t>
      </w:r>
      <w:r w:rsidRPr="00902537">
        <w:rPr>
          <w:lang w:val="nl-BE"/>
        </w:rPr>
        <w:t>Cradle-to-grave</w:t>
      </w:r>
      <w:r>
        <w:rPr>
          <w:lang w:val="nl-BE"/>
        </w:rPr>
        <w:t xml:space="preserve"> </w:t>
      </w:r>
      <w:r w:rsidR="005423D9">
        <w:rPr>
          <w:lang w:val="nl-BE"/>
        </w:rPr>
        <w:t xml:space="preserve">(a&amp;b) </w:t>
      </w:r>
      <w:r>
        <w:rPr>
          <w:lang w:val="nl-BE"/>
        </w:rPr>
        <w:t>or</w:t>
      </w:r>
      <w:r w:rsidRPr="00902537">
        <w:rPr>
          <w:lang w:val="nl-BE"/>
        </w:rPr>
        <w:t xml:space="preserve"> Cradle-to-gate</w:t>
      </w:r>
      <w:r w:rsidR="005423D9">
        <w:rPr>
          <w:lang w:val="nl-BE"/>
        </w:rPr>
        <w:t xml:space="preserve"> (c)</w:t>
      </w:r>
      <w:r>
        <w:rPr>
          <w:lang w:val="nl-BE"/>
        </w:rPr>
        <w:t>.</w:t>
      </w:r>
      <w:r w:rsidRPr="00902537">
        <w:rPr>
          <w:lang w:val="nl-BE"/>
        </w:rPr>
        <w:t xml:space="preserve"> </w:t>
      </w:r>
    </w:p>
    <w:p w14:paraId="3C1B58CC" w14:textId="77777777" w:rsidR="00B03347" w:rsidRDefault="00B03347" w:rsidP="00F74A5B">
      <w:pPr>
        <w:pStyle w:val="CETHeadingxx"/>
        <w:spacing w:before="0"/>
      </w:pPr>
      <w:bookmarkStart w:id="5" w:name="_Toc43808049"/>
      <w:r w:rsidRPr="00305B31">
        <w:t>Impact assessment methodology</w:t>
      </w:r>
      <w:bookmarkEnd w:id="5"/>
      <w:r w:rsidRPr="00305B31">
        <w:t xml:space="preserve"> </w:t>
      </w:r>
    </w:p>
    <w:p w14:paraId="537B4BE4" w14:textId="2237B1C5" w:rsidR="00B03347" w:rsidRDefault="005423D9" w:rsidP="00F74A5B">
      <w:pPr>
        <w:pStyle w:val="CETBodytext"/>
        <w:spacing w:line="240" w:lineRule="auto"/>
      </w:pPr>
      <w:r>
        <w:t xml:space="preserve">The </w:t>
      </w:r>
      <w:r w:rsidRPr="005423D9">
        <w:rPr>
          <w:lang w:val="en-GB"/>
        </w:rPr>
        <w:t>Impact assessment methodology</w:t>
      </w:r>
      <w:r>
        <w:rPr>
          <w:lang w:val="en-GB"/>
        </w:rPr>
        <w:t xml:space="preserve"> applied is</w:t>
      </w:r>
      <w:r w:rsidRPr="005423D9">
        <w:rPr>
          <w:lang w:val="en-GB"/>
        </w:rPr>
        <w:t xml:space="preserve"> ReCiPe 2016 (H)</w:t>
      </w:r>
      <w:r>
        <w:rPr>
          <w:lang w:val="en-GB"/>
        </w:rPr>
        <w:t xml:space="preserve"> </w:t>
      </w:r>
      <w:r w:rsidRPr="005423D9">
        <w:rPr>
          <w:lang w:val="en-GB"/>
        </w:rPr>
        <w:t>with 18 midpoints, 3 endpoints</w:t>
      </w:r>
      <w:r>
        <w:rPr>
          <w:lang w:val="en-GB"/>
        </w:rPr>
        <w:t>.</w:t>
      </w:r>
    </w:p>
    <w:p w14:paraId="6BBD4E3D" w14:textId="77777777" w:rsidR="00B03347" w:rsidRPr="007E7D19" w:rsidRDefault="00B03347" w:rsidP="00F74A5B">
      <w:pPr>
        <w:pStyle w:val="CETHeadingxx"/>
        <w:spacing w:before="0"/>
      </w:pPr>
      <w:bookmarkStart w:id="6" w:name="_Toc43808051"/>
      <w:r w:rsidRPr="007E7D19">
        <w:t>Allocation of resources</w:t>
      </w:r>
      <w:bookmarkEnd w:id="6"/>
    </w:p>
    <w:p w14:paraId="47F060C5" w14:textId="02940ADA" w:rsidR="00B03347" w:rsidRDefault="00ED3616" w:rsidP="00F74A5B">
      <w:pPr>
        <w:pStyle w:val="CETBodytext"/>
        <w:spacing w:line="240" w:lineRule="auto"/>
      </w:pPr>
      <w:r>
        <w:t>No allocation of resources was applied.</w:t>
      </w:r>
    </w:p>
    <w:p w14:paraId="6F6DA19A" w14:textId="77777777" w:rsidR="00B03347" w:rsidRPr="00305B31" w:rsidRDefault="00B03347" w:rsidP="00F74A5B">
      <w:pPr>
        <w:pStyle w:val="CETHeadingxx"/>
        <w:spacing w:before="0"/>
      </w:pPr>
      <w:bookmarkStart w:id="7" w:name="_Toc43808052"/>
      <w:r w:rsidRPr="00305B31">
        <w:t>Data quality requirements</w:t>
      </w:r>
      <w:bookmarkEnd w:id="7"/>
    </w:p>
    <w:p w14:paraId="77EA37DA" w14:textId="5D239CCA" w:rsidR="00B03347" w:rsidRDefault="00C63F95" w:rsidP="00F74A5B">
      <w:pPr>
        <w:pStyle w:val="CETBodytext"/>
        <w:spacing w:line="240" w:lineRule="auto"/>
      </w:pPr>
      <w:r w:rsidRPr="00C63F95">
        <w:t>The objective of the LCA study is to examine how the environmental impacts are modified when producing a</w:t>
      </w:r>
      <w:r w:rsidR="00CC6100">
        <w:t>n</w:t>
      </w:r>
      <w:r w:rsidRPr="00C63F95">
        <w:t xml:space="preserve"> </w:t>
      </w:r>
      <w:r>
        <w:t>animal feed</w:t>
      </w:r>
      <w:r w:rsidRPr="00C63F95">
        <w:t xml:space="preserve"> product with </w:t>
      </w:r>
      <w:r>
        <w:t xml:space="preserve">the herein proposed </w:t>
      </w:r>
      <w:r w:rsidRPr="00C63F95">
        <w:t xml:space="preserve">approach utilizing </w:t>
      </w:r>
      <w:r>
        <w:t>BACs from herbs and plants.</w:t>
      </w:r>
      <w:r w:rsidRPr="00C63F95">
        <w:t xml:space="preserve"> The data concerning </w:t>
      </w:r>
      <w:r>
        <w:t>the conventional production</w:t>
      </w:r>
      <w:r w:rsidRPr="00C63F95">
        <w:t xml:space="preserve"> obtained </w:t>
      </w:r>
      <w:r>
        <w:t xml:space="preserve">from respective producers in Greece </w:t>
      </w:r>
      <w:r w:rsidRPr="00C63F95">
        <w:t xml:space="preserve">and used in a confidential manner. For </w:t>
      </w:r>
      <w:r>
        <w:t>the proposed approach</w:t>
      </w:r>
      <w:r w:rsidRPr="00C63F95">
        <w:t xml:space="preserve">, data </w:t>
      </w:r>
      <w:r>
        <w:t xml:space="preserve">was obtained from the GABI databases, literature &amp; upscaling lab experiments. All the data used </w:t>
      </w:r>
      <w:r w:rsidRPr="00C63F95">
        <w:t>were average data that reflect the types of technologies used, and are not outdated.</w:t>
      </w:r>
    </w:p>
    <w:p w14:paraId="4C1E4C53" w14:textId="21623B22" w:rsidR="00A356D3" w:rsidRDefault="00A356D3" w:rsidP="001B4A92">
      <w:pPr>
        <w:pStyle w:val="CETHeading1"/>
        <w:spacing w:before="160" w:after="0"/>
      </w:pPr>
      <w:r w:rsidRPr="00A356D3">
        <w:t>Results and Discussion</w:t>
      </w:r>
    </w:p>
    <w:p w14:paraId="092BCAE7" w14:textId="4907E933" w:rsidR="008F1AF7" w:rsidRDefault="00F74A5B" w:rsidP="001E2403">
      <w:pPr>
        <w:pStyle w:val="CETBodytext"/>
        <w:spacing w:after="240" w:line="240" w:lineRule="auto"/>
      </w:pPr>
      <w:r>
        <w:rPr>
          <w:noProof/>
        </w:rPr>
        <w:drawing>
          <wp:anchor distT="0" distB="0" distL="114300" distR="114300" simplePos="0" relativeHeight="251662336" behindDoc="0" locked="0" layoutInCell="1" allowOverlap="1" wp14:anchorId="71845AA6" wp14:editId="4F58122E">
            <wp:simplePos x="0" y="0"/>
            <wp:positionH relativeFrom="column">
              <wp:posOffset>-2540</wp:posOffset>
            </wp:positionH>
            <wp:positionV relativeFrom="paragraph">
              <wp:posOffset>1348740</wp:posOffset>
            </wp:positionV>
            <wp:extent cx="2237740" cy="1464945"/>
            <wp:effectExtent l="0" t="0" r="0" b="1905"/>
            <wp:wrapThrough wrapText="bothSides">
              <wp:wrapPolygon edited="0">
                <wp:start x="0" y="0"/>
                <wp:lineTo x="0" y="21347"/>
                <wp:lineTo x="21330" y="21347"/>
                <wp:lineTo x="2133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2219"/>
                    <a:stretch/>
                  </pic:blipFill>
                  <pic:spPr bwMode="auto">
                    <a:xfrm>
                      <a:off x="0" y="0"/>
                      <a:ext cx="2237740" cy="146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3DF0">
        <w:t>The r</w:t>
      </w:r>
      <w:r w:rsidR="007D3DF0" w:rsidRPr="007D3DF0">
        <w:t xml:space="preserve">esults </w:t>
      </w:r>
      <w:r w:rsidR="007D3DF0">
        <w:t>of the five different extraction systems per Kg extract, in the i</w:t>
      </w:r>
      <w:r w:rsidR="007D3DF0" w:rsidRPr="007D3DF0">
        <w:t xml:space="preserve">ndicative midpoint impact category/ Climate Change, excl biogenic carbon [kg </w:t>
      </w:r>
      <w:r w:rsidR="00003D86" w:rsidRPr="00003D86">
        <w:t>CO</w:t>
      </w:r>
      <w:r w:rsidR="00003D86" w:rsidRPr="00003D86">
        <w:rPr>
          <w:vertAlign w:val="subscript"/>
        </w:rPr>
        <w:t>2</w:t>
      </w:r>
      <w:r w:rsidR="007D3DF0" w:rsidRPr="007D3DF0">
        <w:t xml:space="preserve"> eq.] </w:t>
      </w:r>
      <w:r w:rsidR="007D3DF0">
        <w:t xml:space="preserve">presented in Figure </w:t>
      </w:r>
      <w:r w:rsidR="00D1177F" w:rsidRPr="00D1177F">
        <w:t>5</w:t>
      </w:r>
      <w:r w:rsidR="007D3DF0">
        <w:t xml:space="preserve">. </w:t>
      </w:r>
      <w:r w:rsidR="004A3AF7">
        <w:t xml:space="preserve">The endpoints are also presented in Figure </w:t>
      </w:r>
      <w:r w:rsidR="00D1177F" w:rsidRPr="00D06542">
        <w:t>6</w:t>
      </w:r>
      <w:r w:rsidR="004A3AF7">
        <w:t xml:space="preserve">. </w:t>
      </w:r>
      <w:r w:rsidR="007D3DF0" w:rsidRPr="007D3DF0">
        <w:rPr>
          <w:lang w:val="en-GB"/>
        </w:rPr>
        <w:t xml:space="preserve">Comparison of various extraction cases (different extraction processes, different herbs &amp; plants, different solvents), revealed </w:t>
      </w:r>
      <w:r w:rsidR="00273CE7">
        <w:rPr>
          <w:lang w:val="en-GB"/>
        </w:rPr>
        <w:t xml:space="preserve">no significant differences in the </w:t>
      </w:r>
      <w:r w:rsidR="007D3DF0" w:rsidRPr="007D3DF0">
        <w:rPr>
          <w:lang w:val="en-GB"/>
        </w:rPr>
        <w:t xml:space="preserve">LCA performance of </w:t>
      </w:r>
      <w:r w:rsidR="00273CE7">
        <w:rPr>
          <w:lang w:val="en-GB"/>
        </w:rPr>
        <w:t xml:space="preserve">all cases, especially taking under consideration the </w:t>
      </w:r>
      <w:r w:rsidR="00896AA3">
        <w:rPr>
          <w:lang w:val="en-GB"/>
        </w:rPr>
        <w:t xml:space="preserve">slight amount of extract used in the final feed products. </w:t>
      </w:r>
      <w:r w:rsidR="0007727D">
        <w:rPr>
          <w:lang w:val="en-GB"/>
        </w:rPr>
        <w:t xml:space="preserve">Furthermore, despite the lower LCA value </w:t>
      </w:r>
      <w:r w:rsidR="00C915B3">
        <w:rPr>
          <w:lang w:val="en-GB"/>
        </w:rPr>
        <w:t>of</w:t>
      </w:r>
      <w:r w:rsidR="0007727D">
        <w:rPr>
          <w:lang w:val="en-GB"/>
        </w:rPr>
        <w:t xml:space="preserve"> the second extraction system</w:t>
      </w:r>
      <w:r w:rsidR="0081607A" w:rsidRPr="0081607A">
        <w:t xml:space="preserve"> </w:t>
      </w:r>
      <w:r w:rsidR="0081607A">
        <w:t>as seen in Figures 4 &amp; 5</w:t>
      </w:r>
      <w:r w:rsidR="0007727D">
        <w:rPr>
          <w:lang w:val="en-GB"/>
        </w:rPr>
        <w:t>, M</w:t>
      </w:r>
      <w:r w:rsidR="007D3DF0" w:rsidRPr="007D3DF0">
        <w:rPr>
          <w:lang w:val="en-GB"/>
        </w:rPr>
        <w:t>agnolia bark under UAE extraction</w:t>
      </w:r>
      <w:r w:rsidR="0081607A">
        <w:rPr>
          <w:lang w:val="en-GB"/>
        </w:rPr>
        <w:t xml:space="preserve">, using </w:t>
      </w:r>
      <w:r w:rsidR="00C915B3">
        <w:rPr>
          <w:lang w:val="en-GB"/>
        </w:rPr>
        <w:t xml:space="preserve"> ethanol</w:t>
      </w:r>
      <w:r w:rsidR="0081607A">
        <w:rPr>
          <w:lang w:val="en-GB"/>
        </w:rPr>
        <w:t xml:space="preserve"> as a solver</w:t>
      </w:r>
      <w:r w:rsidR="00C915B3">
        <w:rPr>
          <w:lang w:val="en-GB"/>
        </w:rPr>
        <w:t xml:space="preserve">, </w:t>
      </w:r>
      <w:r w:rsidR="0007727D">
        <w:rPr>
          <w:lang w:val="en-GB"/>
        </w:rPr>
        <w:t>(extraction system 3)</w:t>
      </w:r>
      <w:r w:rsidR="007D3DF0" w:rsidRPr="007D3DF0">
        <w:rPr>
          <w:lang w:val="en-GB"/>
        </w:rPr>
        <w:t>, was</w:t>
      </w:r>
      <w:r w:rsidR="00C915B3">
        <w:rPr>
          <w:lang w:val="en-GB"/>
        </w:rPr>
        <w:t xml:space="preserve"> considered</w:t>
      </w:r>
      <w:r w:rsidR="007D3DF0" w:rsidRPr="007D3DF0">
        <w:rPr>
          <w:lang w:val="en-GB"/>
        </w:rPr>
        <w:t xml:space="preserve"> </w:t>
      </w:r>
      <w:r w:rsidR="00C915B3">
        <w:rPr>
          <w:lang w:val="en-GB"/>
        </w:rPr>
        <w:t>as the</w:t>
      </w:r>
      <w:r w:rsidR="007D3DF0" w:rsidRPr="007D3DF0">
        <w:rPr>
          <w:lang w:val="en-GB"/>
        </w:rPr>
        <w:t xml:space="preserve"> </w:t>
      </w:r>
      <w:r w:rsidR="00C915B3">
        <w:rPr>
          <w:lang w:val="en-GB"/>
        </w:rPr>
        <w:t xml:space="preserve">best </w:t>
      </w:r>
      <w:r w:rsidR="000054BC">
        <w:rPr>
          <w:lang w:val="en-GB"/>
        </w:rPr>
        <w:t xml:space="preserve">of the </w:t>
      </w:r>
      <w:r w:rsidR="007D3DF0" w:rsidRPr="007D3DF0">
        <w:rPr>
          <w:lang w:val="en-GB"/>
        </w:rPr>
        <w:t>examined</w:t>
      </w:r>
      <w:r w:rsidR="000054BC">
        <w:rPr>
          <w:lang w:val="en-GB"/>
        </w:rPr>
        <w:t xml:space="preserve"> scenarios</w:t>
      </w:r>
      <w:r w:rsidR="00C915B3">
        <w:rPr>
          <w:lang w:val="en-GB"/>
        </w:rPr>
        <w:t>, due to its less time and energy consuming extraction method</w:t>
      </w:r>
      <w:r>
        <w:rPr>
          <w:lang w:val="en-GB"/>
        </w:rPr>
        <w:t xml:space="preserve">, as well as the </w:t>
      </w:r>
      <w:r w:rsidR="00AA6838">
        <w:rPr>
          <w:lang w:val="en-GB"/>
        </w:rPr>
        <w:t xml:space="preserve">evaluated </w:t>
      </w:r>
      <w:r>
        <w:rPr>
          <w:lang w:val="en-GB"/>
        </w:rPr>
        <w:t xml:space="preserve">higher quality of the produced extract in comparison </w:t>
      </w:r>
      <w:r w:rsidR="001E2403">
        <w:rPr>
          <w:lang w:val="en-GB"/>
        </w:rPr>
        <w:t xml:space="preserve">to </w:t>
      </w:r>
      <w:r>
        <w:rPr>
          <w:lang w:val="en-GB"/>
        </w:rPr>
        <w:t>the conventional extraction method (system 1, system 2) that demands high temperatures (degrading</w:t>
      </w:r>
      <w:r w:rsidR="001E2403">
        <w:rPr>
          <w:lang w:val="en-GB"/>
        </w:rPr>
        <w:t xml:space="preserve"> the BACs),</w:t>
      </w:r>
      <w:r>
        <w:rPr>
          <w:lang w:val="en-GB"/>
        </w:rPr>
        <w:t xml:space="preserve"> and long extraction times</w:t>
      </w:r>
      <w:r w:rsidR="000054BC">
        <w:rPr>
          <w:lang w:val="en-GB"/>
        </w:rPr>
        <w:t>.</w:t>
      </w:r>
    </w:p>
    <w:p w14:paraId="41B5DA42" w14:textId="2E3ABC8B" w:rsidR="008F1AF7" w:rsidRDefault="008F1AF7" w:rsidP="008F1AF7">
      <w:pPr>
        <w:pStyle w:val="CETBodytext"/>
      </w:pPr>
    </w:p>
    <w:p w14:paraId="66FCCCB6" w14:textId="2C971C85" w:rsidR="00352A18" w:rsidRDefault="00352A18" w:rsidP="00C55D58">
      <w:pPr>
        <w:pStyle w:val="CETCaption"/>
        <w:spacing w:before="0"/>
      </w:pPr>
    </w:p>
    <w:p w14:paraId="209C55FF" w14:textId="77777777" w:rsidR="00352A18" w:rsidRDefault="00352A18" w:rsidP="00C55D58">
      <w:pPr>
        <w:pStyle w:val="CETCaption"/>
        <w:spacing w:before="0"/>
      </w:pPr>
    </w:p>
    <w:p w14:paraId="7F32E205" w14:textId="77777777" w:rsidR="00352A18" w:rsidRPr="0081607A" w:rsidRDefault="00352A18" w:rsidP="00C55D58">
      <w:pPr>
        <w:pStyle w:val="CETCaption"/>
        <w:spacing w:before="0"/>
        <w:rPr>
          <w:lang w:val="en-US"/>
        </w:rPr>
      </w:pPr>
    </w:p>
    <w:p w14:paraId="41D89DAB" w14:textId="77777777" w:rsidR="00BE3776" w:rsidRDefault="00BE3776" w:rsidP="00C55D58">
      <w:pPr>
        <w:pStyle w:val="CETCaption"/>
        <w:spacing w:before="0"/>
      </w:pPr>
    </w:p>
    <w:p w14:paraId="04189B4C" w14:textId="063ACA70" w:rsidR="007D3DF0" w:rsidRDefault="007D3DF0" w:rsidP="00C55D58">
      <w:pPr>
        <w:pStyle w:val="CETCaption"/>
        <w:spacing w:before="0"/>
      </w:pPr>
      <w:r>
        <w:t xml:space="preserve">Figure </w:t>
      </w:r>
      <w:r w:rsidR="00D1177F" w:rsidRPr="00D1177F">
        <w:rPr>
          <w:lang w:val="en-US"/>
        </w:rPr>
        <w:t>5</w:t>
      </w:r>
      <w:r w:rsidR="00EA2E25">
        <w:t>:</w:t>
      </w:r>
      <w:r>
        <w:t xml:space="preserve"> </w:t>
      </w:r>
      <w:r w:rsidRPr="007D3DF0">
        <w:t>Climate Change</w:t>
      </w:r>
      <w:r w:rsidRPr="00C10529">
        <w:t>, excl</w:t>
      </w:r>
      <w:r w:rsidRPr="007D3DF0">
        <w:t xml:space="preserve"> biogenic carbon [kg </w:t>
      </w:r>
      <w:r w:rsidR="00003D86" w:rsidRPr="00003D86">
        <w:t>CO</w:t>
      </w:r>
      <w:r w:rsidR="00003D86" w:rsidRPr="00003D86">
        <w:rPr>
          <w:vertAlign w:val="subscript"/>
        </w:rPr>
        <w:t>2</w:t>
      </w:r>
      <w:r w:rsidRPr="007D3DF0">
        <w:t xml:space="preserve"> eq.]</w:t>
      </w:r>
      <w:r>
        <w:t xml:space="preserve"> of the examined e</w:t>
      </w:r>
      <w:r w:rsidRPr="007D3DF0">
        <w:t xml:space="preserve">xtraction </w:t>
      </w:r>
      <w:r>
        <w:t>p</w:t>
      </w:r>
      <w:r w:rsidRPr="007D3DF0">
        <w:t xml:space="preserve">rocess </w:t>
      </w:r>
      <w:r>
        <w:t>s</w:t>
      </w:r>
      <w:r w:rsidRPr="007D3DF0">
        <w:t>ystems (per Kg extract)</w:t>
      </w:r>
      <w:r>
        <w:t>.</w:t>
      </w:r>
    </w:p>
    <w:tbl>
      <w:tblPr>
        <w:tblStyle w:val="TableGrid"/>
        <w:tblW w:w="7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72"/>
        <w:gridCol w:w="2676"/>
      </w:tblGrid>
      <w:tr w:rsidR="008B1CD9" w14:paraId="41C2B56C" w14:textId="77777777" w:rsidTr="008B1CD9">
        <w:trPr>
          <w:trHeight w:val="502"/>
        </w:trPr>
        <w:tc>
          <w:tcPr>
            <w:tcW w:w="0" w:type="auto"/>
          </w:tcPr>
          <w:p w14:paraId="6A044F47" w14:textId="47180B39" w:rsidR="004A3AF7" w:rsidRDefault="004A3AF7" w:rsidP="008F1AF7">
            <w:pPr>
              <w:pStyle w:val="CETBodytext"/>
              <w:rPr>
                <w:lang w:val="en-GB"/>
              </w:rPr>
            </w:pPr>
            <w:r>
              <w:rPr>
                <w:noProof/>
                <w:lang w:val="en-GB"/>
              </w:rPr>
              <w:lastRenderedPageBreak/>
              <w:drawing>
                <wp:inline distT="0" distB="0" distL="0" distR="0" wp14:anchorId="25A479E4" wp14:editId="47355DA8">
                  <wp:extent cx="1614115" cy="1399781"/>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0960" cy="1466422"/>
                          </a:xfrm>
                          <a:prstGeom prst="rect">
                            <a:avLst/>
                          </a:prstGeom>
                          <a:noFill/>
                        </pic:spPr>
                      </pic:pic>
                    </a:graphicData>
                  </a:graphic>
                </wp:inline>
              </w:drawing>
            </w:r>
          </w:p>
        </w:tc>
        <w:tc>
          <w:tcPr>
            <w:tcW w:w="0" w:type="auto"/>
          </w:tcPr>
          <w:p w14:paraId="42624443" w14:textId="04051AB6" w:rsidR="004A3AF7" w:rsidRDefault="004A3AF7" w:rsidP="008F1AF7">
            <w:pPr>
              <w:pStyle w:val="CETBodytext"/>
              <w:rPr>
                <w:lang w:val="en-GB"/>
              </w:rPr>
            </w:pPr>
            <w:r>
              <w:rPr>
                <w:noProof/>
                <w:lang w:val="en-GB"/>
              </w:rPr>
              <w:drawing>
                <wp:inline distT="0" distB="0" distL="0" distR="0" wp14:anchorId="5DDC5F10" wp14:editId="62A3F89F">
                  <wp:extent cx="1623584" cy="13995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54073" cy="1425822"/>
                          </a:xfrm>
                          <a:prstGeom prst="rect">
                            <a:avLst/>
                          </a:prstGeom>
                          <a:noFill/>
                        </pic:spPr>
                      </pic:pic>
                    </a:graphicData>
                  </a:graphic>
                </wp:inline>
              </w:drawing>
            </w:r>
          </w:p>
        </w:tc>
        <w:tc>
          <w:tcPr>
            <w:tcW w:w="2532" w:type="dxa"/>
          </w:tcPr>
          <w:p w14:paraId="4EE1A6A4" w14:textId="344FAB67" w:rsidR="004A3AF7" w:rsidRDefault="004A3AF7" w:rsidP="008F1AF7">
            <w:pPr>
              <w:pStyle w:val="CETBodytext"/>
              <w:rPr>
                <w:lang w:val="en-GB"/>
              </w:rPr>
            </w:pPr>
            <w:r>
              <w:rPr>
                <w:noProof/>
                <w:lang w:val="en-GB"/>
              </w:rPr>
              <w:drawing>
                <wp:inline distT="0" distB="0" distL="0" distR="0" wp14:anchorId="5D1872AE" wp14:editId="44C3654D">
                  <wp:extent cx="1562481" cy="13995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3195" cy="1436008"/>
                          </a:xfrm>
                          <a:prstGeom prst="rect">
                            <a:avLst/>
                          </a:prstGeom>
                          <a:noFill/>
                        </pic:spPr>
                      </pic:pic>
                    </a:graphicData>
                  </a:graphic>
                </wp:inline>
              </w:drawing>
            </w:r>
          </w:p>
        </w:tc>
      </w:tr>
      <w:tr w:rsidR="008B1CD9" w14:paraId="3A598856" w14:textId="77777777" w:rsidTr="008B1CD9">
        <w:trPr>
          <w:trHeight w:val="56"/>
        </w:trPr>
        <w:tc>
          <w:tcPr>
            <w:tcW w:w="0" w:type="auto"/>
          </w:tcPr>
          <w:p w14:paraId="42541089" w14:textId="44AF67CD" w:rsidR="004A3AF7" w:rsidRDefault="004A3AF7" w:rsidP="004A3AF7">
            <w:pPr>
              <w:pStyle w:val="CETBodytext"/>
              <w:jc w:val="center"/>
              <w:rPr>
                <w:lang w:val="en-GB"/>
              </w:rPr>
            </w:pPr>
            <w:r>
              <w:rPr>
                <w:lang w:val="en-GB"/>
              </w:rPr>
              <w:t>a</w:t>
            </w:r>
          </w:p>
        </w:tc>
        <w:tc>
          <w:tcPr>
            <w:tcW w:w="0" w:type="auto"/>
          </w:tcPr>
          <w:p w14:paraId="2E0B228D" w14:textId="182E0302" w:rsidR="004A3AF7" w:rsidRDefault="004A3AF7" w:rsidP="004A3AF7">
            <w:pPr>
              <w:pStyle w:val="CETBodytext"/>
              <w:jc w:val="center"/>
              <w:rPr>
                <w:lang w:val="en-GB"/>
              </w:rPr>
            </w:pPr>
            <w:r>
              <w:rPr>
                <w:lang w:val="en-GB"/>
              </w:rPr>
              <w:t>b</w:t>
            </w:r>
          </w:p>
        </w:tc>
        <w:tc>
          <w:tcPr>
            <w:tcW w:w="2532" w:type="dxa"/>
          </w:tcPr>
          <w:p w14:paraId="7C393956" w14:textId="38362DE8" w:rsidR="004A3AF7" w:rsidRDefault="004A3AF7" w:rsidP="004A3AF7">
            <w:pPr>
              <w:pStyle w:val="CETBodytext"/>
              <w:jc w:val="center"/>
              <w:rPr>
                <w:lang w:val="en-GB"/>
              </w:rPr>
            </w:pPr>
            <w:r>
              <w:rPr>
                <w:lang w:val="en-GB"/>
              </w:rPr>
              <w:t>c</w:t>
            </w:r>
          </w:p>
        </w:tc>
      </w:tr>
    </w:tbl>
    <w:p w14:paraId="40917D93" w14:textId="7219C6D7" w:rsidR="004A3AF7" w:rsidRDefault="004A3AF7" w:rsidP="00A80150">
      <w:pPr>
        <w:pStyle w:val="CETCaption"/>
        <w:spacing w:before="0" w:after="0"/>
      </w:pPr>
      <w:r>
        <w:t xml:space="preserve">Figure </w:t>
      </w:r>
      <w:r w:rsidR="00D1177F" w:rsidRPr="00D1177F">
        <w:rPr>
          <w:lang w:val="en-US"/>
        </w:rPr>
        <w:t>6</w:t>
      </w:r>
      <w:r w:rsidR="00EA2E25">
        <w:t>:</w:t>
      </w:r>
      <w:r>
        <w:t xml:space="preserve"> </w:t>
      </w:r>
      <w:r w:rsidRPr="004A3AF7">
        <w:t xml:space="preserve">Comparison Results - Endpoint impact categories </w:t>
      </w:r>
      <w:r w:rsidR="00FC7341">
        <w:t>of the examined e</w:t>
      </w:r>
      <w:r w:rsidRPr="004A3AF7">
        <w:t xml:space="preserve">xtraction </w:t>
      </w:r>
      <w:r w:rsidR="00FC7341">
        <w:t>p</w:t>
      </w:r>
      <w:r w:rsidRPr="004A3AF7">
        <w:t xml:space="preserve">rocess </w:t>
      </w:r>
      <w:r w:rsidR="00FC7341">
        <w:t>s</w:t>
      </w:r>
      <w:r w:rsidRPr="004A3AF7">
        <w:t>ystems (per Kg extract)</w:t>
      </w:r>
      <w:r w:rsidR="00FC7341">
        <w:t>, a. Damage to human health [DALY], b. Damage to ecosystems [</w:t>
      </w:r>
      <w:proofErr w:type="gramStart"/>
      <w:r w:rsidR="00FC7341">
        <w:t>species</w:t>
      </w:r>
      <w:r w:rsidR="00FC7341" w:rsidRPr="00FC7341">
        <w:rPr>
          <w:vertAlign w:val="superscript"/>
        </w:rPr>
        <w:t>.</w:t>
      </w:r>
      <w:r w:rsidR="00FC7341">
        <w:t>yr</w:t>
      </w:r>
      <w:proofErr w:type="gramEnd"/>
      <w:r w:rsidR="00FC7341">
        <w:t>], c. Damage to resource availability [$]</w:t>
      </w:r>
      <w:r>
        <w:t>.</w:t>
      </w:r>
    </w:p>
    <w:p w14:paraId="72F015B2" w14:textId="0B481959" w:rsidR="007D3DF0" w:rsidRDefault="00E427E3" w:rsidP="00BE3776">
      <w:pPr>
        <w:pStyle w:val="CETBodytext"/>
        <w:spacing w:before="60"/>
        <w:rPr>
          <w:lang w:val="en-GB"/>
        </w:rPr>
      </w:pPr>
      <w:r>
        <w:rPr>
          <w:lang w:val="en-GB"/>
        </w:rPr>
        <w:t>Regarding, the p</w:t>
      </w:r>
      <w:r w:rsidRPr="00D40B73">
        <w:rPr>
          <w:lang w:val="en-GB"/>
        </w:rPr>
        <w:t>roduction process of new feed products</w:t>
      </w:r>
      <w:r w:rsidR="004E4180" w:rsidRPr="004E4180">
        <w:t xml:space="preserve"> (</w:t>
      </w:r>
      <w:r w:rsidR="004E4180">
        <w:t>FP2, FP3)</w:t>
      </w:r>
      <w:r>
        <w:rPr>
          <w:lang w:val="en-GB"/>
        </w:rPr>
        <w:t>,</w:t>
      </w:r>
      <w:r w:rsidRPr="00D40B73">
        <w:rPr>
          <w:lang w:val="en-GB"/>
        </w:rPr>
        <w:t xml:space="preserve"> extrusion present</w:t>
      </w:r>
      <w:r w:rsidR="004E4180">
        <w:rPr>
          <w:lang w:val="en-GB"/>
        </w:rPr>
        <w:t>ed</w:t>
      </w:r>
      <w:r w:rsidRPr="00D40B73">
        <w:rPr>
          <w:lang w:val="en-GB"/>
        </w:rPr>
        <w:t xml:space="preserve"> the greatest LCA impact, while extraction and premix production processes </w:t>
      </w:r>
      <w:r w:rsidR="004E4180">
        <w:rPr>
          <w:lang w:val="en-GB"/>
        </w:rPr>
        <w:t>featured a</w:t>
      </w:r>
      <w:r w:rsidRPr="00D40B73">
        <w:rPr>
          <w:lang w:val="en-GB"/>
        </w:rPr>
        <w:t xml:space="preserve"> negligi</w:t>
      </w:r>
      <w:r w:rsidRPr="008C5381">
        <w:rPr>
          <w:lang w:val="en-GB"/>
        </w:rPr>
        <w:t>ble</w:t>
      </w:r>
      <w:r w:rsidR="004E4180" w:rsidRPr="008C5381">
        <w:rPr>
          <w:lang w:val="en-GB"/>
        </w:rPr>
        <w:t xml:space="preserve"> share</w:t>
      </w:r>
      <w:r w:rsidR="008523B0" w:rsidRPr="008C5381">
        <w:rPr>
          <w:lang w:val="en-GB"/>
        </w:rPr>
        <w:t xml:space="preserve"> in the total environmental footprint</w:t>
      </w:r>
      <w:r w:rsidR="007A3391" w:rsidRPr="008C5381">
        <w:rPr>
          <w:lang w:val="en-GB"/>
        </w:rPr>
        <w:t xml:space="preserve">. </w:t>
      </w:r>
      <w:r w:rsidR="007A3391">
        <w:rPr>
          <w:lang w:val="en-GB"/>
        </w:rPr>
        <w:t xml:space="preserve">Figure </w:t>
      </w:r>
      <w:r w:rsidR="00D06542" w:rsidRPr="00D06542">
        <w:t>7</w:t>
      </w:r>
      <w:r w:rsidR="007A3391">
        <w:rPr>
          <w:lang w:val="en-GB"/>
        </w:rPr>
        <w:t xml:space="preserve"> presents the indicative </w:t>
      </w:r>
      <w:r w:rsidR="007A3391" w:rsidRPr="007D3DF0">
        <w:t xml:space="preserve">midpoint impact category/ Climate Change, excl biogenic carbon [kg </w:t>
      </w:r>
      <w:r w:rsidR="00003D86" w:rsidRPr="00003D86">
        <w:t>CO</w:t>
      </w:r>
      <w:r w:rsidR="00003D86" w:rsidRPr="00003D86">
        <w:rPr>
          <w:vertAlign w:val="subscript"/>
        </w:rPr>
        <w:t>2</w:t>
      </w:r>
      <w:r w:rsidR="007A3391" w:rsidRPr="007D3DF0">
        <w:t xml:space="preserve"> eq.]</w:t>
      </w:r>
      <w:r w:rsidR="007A3391">
        <w:t>.</w:t>
      </w:r>
    </w:p>
    <w:p w14:paraId="4A33C5C4" w14:textId="6BCB6258" w:rsidR="00E427E3" w:rsidRDefault="00E427E3" w:rsidP="008F1AF7">
      <w:pPr>
        <w:pStyle w:val="CETBodytext"/>
        <w:rPr>
          <w:lang w:val="en-GB"/>
        </w:rPr>
      </w:pPr>
      <w:r w:rsidRPr="00E427E3">
        <w:rPr>
          <w:noProof/>
        </w:rPr>
        <w:drawing>
          <wp:inline distT="0" distB="0" distL="0" distR="0" wp14:anchorId="54968216" wp14:editId="7713C257">
            <wp:extent cx="2033270" cy="1400603"/>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80938" cy="1502323"/>
                    </a:xfrm>
                    <a:prstGeom prst="rect">
                      <a:avLst/>
                    </a:prstGeom>
                  </pic:spPr>
                </pic:pic>
              </a:graphicData>
            </a:graphic>
          </wp:inline>
        </w:drawing>
      </w:r>
    </w:p>
    <w:p w14:paraId="3B4B7390" w14:textId="089E059E" w:rsidR="007A3391" w:rsidRDefault="007A3391" w:rsidP="000A4671">
      <w:pPr>
        <w:pStyle w:val="CETCaption"/>
        <w:spacing w:before="0" w:after="0"/>
      </w:pPr>
      <w:r>
        <w:t xml:space="preserve">Figure </w:t>
      </w:r>
      <w:r w:rsidR="00D06542" w:rsidRPr="00D06542">
        <w:rPr>
          <w:lang w:val="en-US"/>
        </w:rPr>
        <w:t>7</w:t>
      </w:r>
      <w:r w:rsidR="00EA2E25">
        <w:t>:</w:t>
      </w:r>
      <w:r>
        <w:t xml:space="preserve"> </w:t>
      </w:r>
      <w:r w:rsidR="000D0299" w:rsidRPr="000D0299">
        <w:t xml:space="preserve">Climate Change, excl biogenic carbon [kg </w:t>
      </w:r>
      <w:r w:rsidR="00003D86" w:rsidRPr="00003D86">
        <w:t>CO</w:t>
      </w:r>
      <w:r w:rsidR="00003D86" w:rsidRPr="00003D86">
        <w:rPr>
          <w:vertAlign w:val="subscript"/>
        </w:rPr>
        <w:t>2</w:t>
      </w:r>
      <w:r w:rsidR="000D0299" w:rsidRPr="000D0299">
        <w:t xml:space="preserve"> eq.] of </w:t>
      </w:r>
      <w:r w:rsidRPr="007A3391">
        <w:t>Final Product process containing encapsulated Magnolia extract (</w:t>
      </w:r>
      <w:r w:rsidR="000D0299">
        <w:t xml:space="preserve">per </w:t>
      </w:r>
      <w:r w:rsidRPr="007A3391">
        <w:t>1 Kg final product)/ Final Product 3</w:t>
      </w:r>
      <w:r>
        <w:t>.</w:t>
      </w:r>
    </w:p>
    <w:p w14:paraId="7488B317" w14:textId="15AE49B5" w:rsidR="007A3391" w:rsidRDefault="008B1CD9" w:rsidP="00BE3776">
      <w:pPr>
        <w:pStyle w:val="CETBodytext"/>
        <w:spacing w:before="60" w:after="240"/>
      </w:pPr>
      <w:r>
        <w:rPr>
          <w:noProof/>
        </w:rPr>
        <w:drawing>
          <wp:anchor distT="0" distB="0" distL="114300" distR="114300" simplePos="0" relativeHeight="251663360" behindDoc="0" locked="0" layoutInCell="1" allowOverlap="1" wp14:anchorId="017E090E" wp14:editId="09280FF6">
            <wp:simplePos x="0" y="0"/>
            <wp:positionH relativeFrom="column">
              <wp:posOffset>-2540</wp:posOffset>
            </wp:positionH>
            <wp:positionV relativeFrom="paragraph">
              <wp:posOffset>509905</wp:posOffset>
            </wp:positionV>
            <wp:extent cx="2033270" cy="1400810"/>
            <wp:effectExtent l="0" t="0" r="5080" b="8890"/>
            <wp:wrapThrough wrapText="bothSides">
              <wp:wrapPolygon edited="0">
                <wp:start x="0" y="0"/>
                <wp:lineTo x="0" y="21443"/>
                <wp:lineTo x="21452" y="21443"/>
                <wp:lineTo x="21452" y="0"/>
                <wp:lineTo x="0" y="0"/>
              </wp:wrapPolygon>
            </wp:wrapThrough>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1"/>
                    <a:stretch>
                      <a:fillRect/>
                    </a:stretch>
                  </pic:blipFill>
                  <pic:spPr>
                    <a:xfrm>
                      <a:off x="0" y="0"/>
                      <a:ext cx="2033270" cy="1400810"/>
                    </a:xfrm>
                    <a:prstGeom prst="rect">
                      <a:avLst/>
                    </a:prstGeom>
                  </pic:spPr>
                </pic:pic>
              </a:graphicData>
            </a:graphic>
            <wp14:sizeRelH relativeFrom="margin">
              <wp14:pctWidth>0</wp14:pctWidth>
            </wp14:sizeRelH>
            <wp14:sizeRelV relativeFrom="margin">
              <wp14:pctHeight>0</wp14:pctHeight>
            </wp14:sizeRelV>
          </wp:anchor>
        </w:drawing>
      </w:r>
      <w:r w:rsidR="007A3391">
        <w:rPr>
          <w:lang w:val="en-GB"/>
        </w:rPr>
        <w:t xml:space="preserve">The </w:t>
      </w:r>
      <w:r w:rsidR="007A3391" w:rsidRPr="007A3391">
        <w:rPr>
          <w:lang w:val="en-GB"/>
        </w:rPr>
        <w:t xml:space="preserve">Comparison Results </w:t>
      </w:r>
      <w:r w:rsidR="007A3391">
        <w:rPr>
          <w:lang w:val="en-GB"/>
        </w:rPr>
        <w:t>of the three examined</w:t>
      </w:r>
      <w:r w:rsidR="007A3391" w:rsidRPr="007A3391">
        <w:rPr>
          <w:lang w:val="en-GB"/>
        </w:rPr>
        <w:t xml:space="preserve"> </w:t>
      </w:r>
      <w:r w:rsidR="007A3391" w:rsidRPr="007A3391">
        <w:rPr>
          <w:lang w:val="en-GB"/>
        </w:rPr>
        <w:tab/>
        <w:t>Final product</w:t>
      </w:r>
      <w:r w:rsidR="007A3391">
        <w:rPr>
          <w:lang w:val="en-GB"/>
        </w:rPr>
        <w:t>s</w:t>
      </w:r>
      <w:r w:rsidR="007A3391" w:rsidRPr="007A3391">
        <w:rPr>
          <w:lang w:val="en-GB"/>
        </w:rPr>
        <w:t xml:space="preserve"> (per 1 FRP (Total Feeding quantity (Kg) for 1 Kg broiler grow-out)</w:t>
      </w:r>
      <w:r w:rsidR="007A3391">
        <w:rPr>
          <w:lang w:val="en-GB"/>
        </w:rPr>
        <w:t xml:space="preserve">, are presented in Figure </w:t>
      </w:r>
      <w:r w:rsidR="00D06542" w:rsidRPr="00D06542">
        <w:t>8</w:t>
      </w:r>
      <w:r w:rsidR="007A3391">
        <w:rPr>
          <w:lang w:val="en-GB"/>
        </w:rPr>
        <w:t xml:space="preserve"> through the indicative </w:t>
      </w:r>
      <w:r w:rsidR="007A3391" w:rsidRPr="007D3DF0">
        <w:t xml:space="preserve">midpoint impact category/ Climate Change, excl biogenic carbon [kg </w:t>
      </w:r>
      <w:r w:rsidR="00003D86" w:rsidRPr="00003D86">
        <w:t>CO</w:t>
      </w:r>
      <w:r w:rsidR="00003D86" w:rsidRPr="00003D86">
        <w:rPr>
          <w:vertAlign w:val="subscript"/>
        </w:rPr>
        <w:t>2</w:t>
      </w:r>
      <w:r w:rsidR="007A3391" w:rsidRPr="007D3DF0">
        <w:t xml:space="preserve"> eq.]</w:t>
      </w:r>
      <w:r w:rsidR="007A3391">
        <w:t>.</w:t>
      </w:r>
    </w:p>
    <w:p w14:paraId="02616E64" w14:textId="25543493" w:rsidR="007A3391" w:rsidRDefault="007A3391" w:rsidP="008F1AF7">
      <w:pPr>
        <w:pStyle w:val="CETBodytext"/>
      </w:pPr>
    </w:p>
    <w:p w14:paraId="564AF03B" w14:textId="77777777" w:rsidR="008B1CD9" w:rsidRDefault="008B1CD9" w:rsidP="00680A50">
      <w:pPr>
        <w:pStyle w:val="CETCaption"/>
        <w:spacing w:before="0"/>
      </w:pPr>
    </w:p>
    <w:p w14:paraId="4F841DBF" w14:textId="77777777" w:rsidR="008B1CD9" w:rsidRDefault="008B1CD9" w:rsidP="00680A50">
      <w:pPr>
        <w:pStyle w:val="CETCaption"/>
        <w:spacing w:before="0"/>
      </w:pPr>
    </w:p>
    <w:p w14:paraId="3C9F187A" w14:textId="77777777" w:rsidR="008B1CD9" w:rsidRDefault="008B1CD9" w:rsidP="00680A50">
      <w:pPr>
        <w:pStyle w:val="CETCaption"/>
        <w:spacing w:before="0"/>
      </w:pPr>
    </w:p>
    <w:p w14:paraId="38D77BE6" w14:textId="77777777" w:rsidR="00BE3776" w:rsidRDefault="00BE3776" w:rsidP="00680A50">
      <w:pPr>
        <w:pStyle w:val="CETCaption"/>
        <w:spacing w:before="0"/>
      </w:pPr>
    </w:p>
    <w:p w14:paraId="63CE12CE" w14:textId="37A3728B" w:rsidR="003242B4" w:rsidRPr="00680A50" w:rsidRDefault="000D0299" w:rsidP="00680A50">
      <w:pPr>
        <w:pStyle w:val="CETCaption"/>
        <w:spacing w:before="0"/>
      </w:pPr>
      <w:r>
        <w:t xml:space="preserve">Figure </w:t>
      </w:r>
      <w:r w:rsidR="00D06542" w:rsidRPr="00D06542">
        <w:rPr>
          <w:lang w:val="en-US"/>
        </w:rPr>
        <w:t>8</w:t>
      </w:r>
      <w:r w:rsidR="00EA2E25">
        <w:t>:</w:t>
      </w:r>
      <w:r>
        <w:t xml:space="preserve"> </w:t>
      </w:r>
      <w:r w:rsidRPr="000D0299">
        <w:t xml:space="preserve">Climate Change, excl biogenic carbon [kg </w:t>
      </w:r>
      <w:r w:rsidR="00003D86" w:rsidRPr="00003D86">
        <w:t>CO</w:t>
      </w:r>
      <w:r w:rsidR="00003D86" w:rsidRPr="00003D86">
        <w:rPr>
          <w:vertAlign w:val="subscript"/>
        </w:rPr>
        <w:t>2</w:t>
      </w:r>
      <w:r w:rsidRPr="000D0299">
        <w:t xml:space="preserve"> eq.] of </w:t>
      </w:r>
      <w:r>
        <w:t>the three examined f</w:t>
      </w:r>
      <w:r w:rsidRPr="000D0299">
        <w:t>inal product</w:t>
      </w:r>
      <w:r>
        <w:t>s</w:t>
      </w:r>
      <w:r w:rsidRPr="000D0299">
        <w:t xml:space="preserve"> (per 1 FRP (Total Feeding quantity (Kg) for 1 Kg broiler grow-out)</w:t>
      </w:r>
      <w:r>
        <w:t>.</w:t>
      </w:r>
      <w:r w:rsidR="002A7C62">
        <w:t xml:space="preserve"> </w:t>
      </w:r>
      <w:r w:rsidR="002A7C62" w:rsidRPr="008D4021">
        <w:rPr>
          <w:i w:val="0"/>
          <w:iCs/>
        </w:rPr>
        <w:t>The endpoints are also presented in Figure 8.</w:t>
      </w:r>
    </w:p>
    <w:tbl>
      <w:tblPr>
        <w:tblStyle w:val="TableGrid"/>
        <w:tblW w:w="8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2858"/>
        <w:gridCol w:w="2918"/>
      </w:tblGrid>
      <w:tr w:rsidR="008B1CD9" w14:paraId="64B20712" w14:textId="77777777" w:rsidTr="00BE3776">
        <w:trPr>
          <w:trHeight w:val="240"/>
        </w:trPr>
        <w:tc>
          <w:tcPr>
            <w:tcW w:w="2918" w:type="dxa"/>
          </w:tcPr>
          <w:p w14:paraId="65C1625E" w14:textId="4BD6052E" w:rsidR="002A7C62" w:rsidRDefault="002A7C62" w:rsidP="008B07C7">
            <w:pPr>
              <w:pStyle w:val="CETBodytext"/>
              <w:rPr>
                <w:lang w:val="en-GB"/>
              </w:rPr>
            </w:pPr>
            <w:r>
              <w:rPr>
                <w:noProof/>
                <w:lang w:val="en-GB"/>
              </w:rPr>
              <w:drawing>
                <wp:inline distT="0" distB="0" distL="0" distR="0" wp14:anchorId="167A723E" wp14:editId="1A9D2923">
                  <wp:extent cx="1668145" cy="124015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06877" cy="1268950"/>
                          </a:xfrm>
                          <a:prstGeom prst="rect">
                            <a:avLst/>
                          </a:prstGeom>
                          <a:noFill/>
                        </pic:spPr>
                      </pic:pic>
                    </a:graphicData>
                  </a:graphic>
                </wp:inline>
              </w:drawing>
            </w:r>
          </w:p>
        </w:tc>
        <w:tc>
          <w:tcPr>
            <w:tcW w:w="2858" w:type="dxa"/>
          </w:tcPr>
          <w:p w14:paraId="46E79800" w14:textId="50349944" w:rsidR="002A7C62" w:rsidRDefault="002A7C62" w:rsidP="008B07C7">
            <w:pPr>
              <w:pStyle w:val="CETBodytext"/>
              <w:rPr>
                <w:lang w:val="en-GB"/>
              </w:rPr>
            </w:pPr>
            <w:r>
              <w:rPr>
                <w:noProof/>
                <w:lang w:val="en-GB"/>
              </w:rPr>
              <w:drawing>
                <wp:inline distT="0" distB="0" distL="0" distR="0" wp14:anchorId="6C0DD0D7" wp14:editId="719488D6">
                  <wp:extent cx="1638935" cy="12401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3410" cy="1251108"/>
                          </a:xfrm>
                          <a:prstGeom prst="rect">
                            <a:avLst/>
                          </a:prstGeom>
                          <a:noFill/>
                        </pic:spPr>
                      </pic:pic>
                    </a:graphicData>
                  </a:graphic>
                </wp:inline>
              </w:drawing>
            </w:r>
          </w:p>
        </w:tc>
        <w:tc>
          <w:tcPr>
            <w:tcW w:w="2918" w:type="dxa"/>
          </w:tcPr>
          <w:p w14:paraId="3DBF0866" w14:textId="67D87A39" w:rsidR="002A7C62" w:rsidRDefault="002A7C62" w:rsidP="008B07C7">
            <w:pPr>
              <w:pStyle w:val="CETBodytext"/>
              <w:rPr>
                <w:lang w:val="en-GB"/>
              </w:rPr>
            </w:pPr>
            <w:r>
              <w:rPr>
                <w:noProof/>
                <w:lang w:val="en-GB"/>
              </w:rPr>
              <w:drawing>
                <wp:inline distT="0" distB="0" distL="0" distR="0" wp14:anchorId="46E2C227" wp14:editId="7F5509E2">
                  <wp:extent cx="1674495" cy="1240404"/>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84179" cy="1247577"/>
                          </a:xfrm>
                          <a:prstGeom prst="rect">
                            <a:avLst/>
                          </a:prstGeom>
                          <a:noFill/>
                        </pic:spPr>
                      </pic:pic>
                    </a:graphicData>
                  </a:graphic>
                </wp:inline>
              </w:drawing>
            </w:r>
          </w:p>
        </w:tc>
      </w:tr>
      <w:tr w:rsidR="008B1CD9" w14:paraId="6D266EE9" w14:textId="77777777" w:rsidTr="00BE3776">
        <w:trPr>
          <w:trHeight w:val="100"/>
        </w:trPr>
        <w:tc>
          <w:tcPr>
            <w:tcW w:w="2918" w:type="dxa"/>
          </w:tcPr>
          <w:p w14:paraId="1CC62B76" w14:textId="77777777" w:rsidR="002A7C62" w:rsidRDefault="002A7C62" w:rsidP="008B07C7">
            <w:pPr>
              <w:pStyle w:val="CETBodytext"/>
              <w:jc w:val="center"/>
              <w:rPr>
                <w:lang w:val="en-GB"/>
              </w:rPr>
            </w:pPr>
            <w:r>
              <w:rPr>
                <w:lang w:val="en-GB"/>
              </w:rPr>
              <w:t>a</w:t>
            </w:r>
          </w:p>
        </w:tc>
        <w:tc>
          <w:tcPr>
            <w:tcW w:w="2858" w:type="dxa"/>
          </w:tcPr>
          <w:p w14:paraId="797E133F" w14:textId="77777777" w:rsidR="002A7C62" w:rsidRDefault="002A7C62" w:rsidP="008B07C7">
            <w:pPr>
              <w:pStyle w:val="CETBodytext"/>
              <w:jc w:val="center"/>
              <w:rPr>
                <w:lang w:val="en-GB"/>
              </w:rPr>
            </w:pPr>
            <w:r>
              <w:rPr>
                <w:lang w:val="en-GB"/>
              </w:rPr>
              <w:t>b</w:t>
            </w:r>
          </w:p>
        </w:tc>
        <w:tc>
          <w:tcPr>
            <w:tcW w:w="2918" w:type="dxa"/>
          </w:tcPr>
          <w:p w14:paraId="74B55FBB" w14:textId="77777777" w:rsidR="002A7C62" w:rsidRDefault="002A7C62" w:rsidP="008B07C7">
            <w:pPr>
              <w:pStyle w:val="CETBodytext"/>
              <w:jc w:val="center"/>
              <w:rPr>
                <w:lang w:val="en-GB"/>
              </w:rPr>
            </w:pPr>
            <w:r>
              <w:rPr>
                <w:lang w:val="en-GB"/>
              </w:rPr>
              <w:t>c</w:t>
            </w:r>
          </w:p>
        </w:tc>
      </w:tr>
    </w:tbl>
    <w:p w14:paraId="12C51790" w14:textId="5D217E80" w:rsidR="005C1C29" w:rsidRPr="00680A50" w:rsidRDefault="002A7C62" w:rsidP="007F0013">
      <w:pPr>
        <w:pStyle w:val="CETCaption"/>
        <w:spacing w:before="0" w:after="0" w:line="240" w:lineRule="auto"/>
      </w:pPr>
      <w:r>
        <w:t xml:space="preserve">Figure </w:t>
      </w:r>
      <w:r w:rsidR="00D06542" w:rsidRPr="00D06542">
        <w:rPr>
          <w:lang w:val="en-US"/>
        </w:rPr>
        <w:t>9</w:t>
      </w:r>
      <w:r w:rsidR="00EA2E25">
        <w:t>:</w:t>
      </w:r>
      <w:r>
        <w:t xml:space="preserve"> </w:t>
      </w:r>
      <w:r w:rsidRPr="004A3AF7">
        <w:t xml:space="preserve">Comparison Results - Endpoint impact categories </w:t>
      </w:r>
      <w:r>
        <w:t>of the examined final products p</w:t>
      </w:r>
      <w:r w:rsidRPr="004A3AF7">
        <w:t xml:space="preserve">rocess </w:t>
      </w:r>
      <w:r>
        <w:t>s</w:t>
      </w:r>
      <w:r w:rsidRPr="004A3AF7">
        <w:t>ystems (per Kg extract)</w:t>
      </w:r>
      <w:r>
        <w:t>, a. Damage to human health [DALY], b. Damage to ecosystems [</w:t>
      </w:r>
      <w:proofErr w:type="gramStart"/>
      <w:r>
        <w:t>species</w:t>
      </w:r>
      <w:r w:rsidRPr="00FC7341">
        <w:rPr>
          <w:vertAlign w:val="superscript"/>
        </w:rPr>
        <w:t>.</w:t>
      </w:r>
      <w:r>
        <w:t>yr</w:t>
      </w:r>
      <w:proofErr w:type="gramEnd"/>
      <w:r>
        <w:t>], c. Damage to resource availability [$].</w:t>
      </w:r>
    </w:p>
    <w:p w14:paraId="17DE7DB5" w14:textId="434D687D" w:rsidR="008F1AF7" w:rsidRDefault="008F1AF7" w:rsidP="005351B3">
      <w:pPr>
        <w:pStyle w:val="CETHeading1"/>
        <w:spacing w:before="100" w:after="0"/>
      </w:pPr>
      <w:r>
        <w:lastRenderedPageBreak/>
        <w:t>Conclusions</w:t>
      </w:r>
    </w:p>
    <w:p w14:paraId="4B820E02" w14:textId="1461A9A4" w:rsidR="00524223" w:rsidRPr="007F0013" w:rsidRDefault="002A6CDA" w:rsidP="00083F89">
      <w:pPr>
        <w:pStyle w:val="CETBodytext"/>
        <w:rPr>
          <w:lang w:val="en-GB"/>
        </w:rPr>
      </w:pPr>
      <w:r w:rsidRPr="002A6CDA">
        <w:rPr>
          <w:lang w:val="en-GB"/>
        </w:rPr>
        <w:t xml:space="preserve">The overall </w:t>
      </w:r>
      <w:r w:rsidR="00F86603">
        <w:rPr>
          <w:lang w:val="en-GB"/>
        </w:rPr>
        <w:t>aim</w:t>
      </w:r>
      <w:r w:rsidRPr="002A6CDA">
        <w:rPr>
          <w:lang w:val="en-GB"/>
        </w:rPr>
        <w:t xml:space="preserve"> </w:t>
      </w:r>
      <w:r w:rsidR="00F86603">
        <w:rPr>
          <w:lang w:val="en-GB"/>
        </w:rPr>
        <w:t>of</w:t>
      </w:r>
      <w:r w:rsidRPr="002A6CDA">
        <w:rPr>
          <w:lang w:val="en-GB"/>
        </w:rPr>
        <w:t xml:space="preserve"> </w:t>
      </w:r>
      <w:r w:rsidR="002C3A32">
        <w:rPr>
          <w:lang w:val="en-GB"/>
        </w:rPr>
        <w:t xml:space="preserve">this study is </w:t>
      </w:r>
      <w:r w:rsidR="00D40B73">
        <w:rPr>
          <w:lang w:val="en-GB"/>
        </w:rPr>
        <w:t xml:space="preserve">the </w:t>
      </w:r>
      <w:r w:rsidR="00D40B73" w:rsidRPr="00F66DEF">
        <w:t>Life Cycle Assessment of functional animal feeds enriched with natural bioactive compounds derived from medicinal plants and herb</w:t>
      </w:r>
      <w:r w:rsidR="00AE1712">
        <w:t>s,</w:t>
      </w:r>
      <w:r w:rsidR="00D40B73" w:rsidRPr="002A6CDA">
        <w:rPr>
          <w:lang w:val="en-GB"/>
        </w:rPr>
        <w:t xml:space="preserve"> </w:t>
      </w:r>
      <w:r w:rsidR="00D40B73">
        <w:rPr>
          <w:lang w:val="en-GB"/>
        </w:rPr>
        <w:t xml:space="preserve">along with </w:t>
      </w:r>
      <w:r w:rsidRPr="002A6CDA">
        <w:rPr>
          <w:lang w:val="en-GB"/>
        </w:rPr>
        <w:t xml:space="preserve">the comparative LCA study between the conventional processing product and </w:t>
      </w:r>
      <w:r w:rsidR="00D40B73">
        <w:rPr>
          <w:lang w:val="en-GB"/>
        </w:rPr>
        <w:t>the proposed herein</w:t>
      </w:r>
      <w:r w:rsidRPr="002A6CDA">
        <w:rPr>
          <w:lang w:val="en-GB"/>
        </w:rPr>
        <w:t xml:space="preserve"> approach.</w:t>
      </w:r>
      <w:r w:rsidR="00D40B73">
        <w:rPr>
          <w:lang w:val="en-GB"/>
        </w:rPr>
        <w:t xml:space="preserve"> </w:t>
      </w:r>
      <w:r w:rsidR="00083F89">
        <w:rPr>
          <w:lang w:val="en-GB"/>
        </w:rPr>
        <w:t xml:space="preserve">Within the limits of this study, several </w:t>
      </w:r>
      <w:r w:rsidR="007A3391">
        <w:rPr>
          <w:lang w:val="en-GB"/>
        </w:rPr>
        <w:t>conclusions</w:t>
      </w:r>
      <w:r w:rsidR="00083F89">
        <w:rPr>
          <w:lang w:val="en-GB"/>
        </w:rPr>
        <w:t xml:space="preserve"> were drawn for each examined </w:t>
      </w:r>
      <w:r w:rsidR="00083F89" w:rsidRPr="00A20861">
        <w:rPr>
          <w:lang w:val="en-GB"/>
        </w:rPr>
        <w:t xml:space="preserve">product system. </w:t>
      </w:r>
      <w:r w:rsidR="00D40B73" w:rsidRPr="00A20861">
        <w:rPr>
          <w:lang w:val="en-GB"/>
        </w:rPr>
        <w:t xml:space="preserve">Comparison of various extraction cases (different extraction processes, different herbs &amp; plants, different solvents), </w:t>
      </w:r>
      <w:r w:rsidR="006626D9" w:rsidRPr="00A20861">
        <w:rPr>
          <w:lang w:val="en-GB"/>
        </w:rPr>
        <w:t>indicated</w:t>
      </w:r>
      <w:r w:rsidR="00D40B73" w:rsidRPr="00A20861">
        <w:rPr>
          <w:lang w:val="en-GB"/>
        </w:rPr>
        <w:t xml:space="preserve"> that </w:t>
      </w:r>
      <w:r w:rsidR="00AE1712" w:rsidRPr="00A20861">
        <w:rPr>
          <w:lang w:val="en-GB"/>
        </w:rPr>
        <w:t xml:space="preserve">the </w:t>
      </w:r>
      <w:r w:rsidR="00D40B73" w:rsidRPr="00A20861">
        <w:rPr>
          <w:lang w:val="en-GB"/>
        </w:rPr>
        <w:t xml:space="preserve">LCA performance of </w:t>
      </w:r>
      <w:r w:rsidR="00AF7DC0" w:rsidRPr="00A20861">
        <w:rPr>
          <w:lang w:val="en-GB"/>
        </w:rPr>
        <w:t xml:space="preserve">all extraction systems </w:t>
      </w:r>
      <w:r w:rsidR="00AF7DC0" w:rsidRPr="006D5773">
        <w:rPr>
          <w:lang w:val="en-GB"/>
        </w:rPr>
        <w:t xml:space="preserve">investigated, did not present significant differences. </w:t>
      </w:r>
      <w:r w:rsidR="00D40B73" w:rsidRPr="006D5773">
        <w:rPr>
          <w:lang w:val="en-GB"/>
        </w:rPr>
        <w:t xml:space="preserve">Magnolia bark, under UAE </w:t>
      </w:r>
      <w:r w:rsidR="00E23FDA" w:rsidRPr="006D5773">
        <w:rPr>
          <w:lang w:val="en-GB"/>
        </w:rPr>
        <w:t>processing with</w:t>
      </w:r>
      <w:r w:rsidR="00D40B73" w:rsidRPr="006D5773">
        <w:rPr>
          <w:lang w:val="en-GB"/>
        </w:rPr>
        <w:t xml:space="preserve"> </w:t>
      </w:r>
      <w:r w:rsidR="00E23FDA" w:rsidRPr="006D5773">
        <w:rPr>
          <w:lang w:val="en-GB"/>
        </w:rPr>
        <w:t>e</w:t>
      </w:r>
      <w:r w:rsidR="00D40B73" w:rsidRPr="006D5773">
        <w:rPr>
          <w:lang w:val="en-GB"/>
        </w:rPr>
        <w:t>thano</w:t>
      </w:r>
      <w:r w:rsidR="00E23FDA" w:rsidRPr="006D5773">
        <w:rPr>
          <w:lang w:val="en-GB"/>
        </w:rPr>
        <w:t>l</w:t>
      </w:r>
      <w:r w:rsidR="00AF7DC0" w:rsidRPr="006D5773">
        <w:t xml:space="preserve"> (extraction system 3)</w:t>
      </w:r>
      <w:r w:rsidR="00D40B73" w:rsidRPr="006D5773">
        <w:rPr>
          <w:lang w:val="en-GB"/>
        </w:rPr>
        <w:t>, was</w:t>
      </w:r>
      <w:r w:rsidR="00AF7DC0" w:rsidRPr="006D5773">
        <w:t xml:space="preserve"> selected </w:t>
      </w:r>
      <w:r w:rsidR="00FD4502" w:rsidRPr="006D5773">
        <w:t>as optimal</w:t>
      </w:r>
      <w:r w:rsidR="00E20BD2" w:rsidRPr="006D5773">
        <w:t>,</w:t>
      </w:r>
      <w:r w:rsidR="0087769B" w:rsidRPr="006D5773">
        <w:t xml:space="preserve"> taking </w:t>
      </w:r>
      <w:r w:rsidR="00613E57" w:rsidRPr="006D5773">
        <w:t>into account</w:t>
      </w:r>
      <w:r w:rsidR="00E20BD2" w:rsidRPr="006D5773">
        <w:t xml:space="preserve"> certain</w:t>
      </w:r>
      <w:r w:rsidR="00FD4502" w:rsidRPr="006D5773">
        <w:t xml:space="preserve"> </w:t>
      </w:r>
      <w:r w:rsidR="0087769B" w:rsidRPr="006D5773">
        <w:t>critical parameters of the processes</w:t>
      </w:r>
      <w:r w:rsidR="00E20BD2" w:rsidRPr="006D5773">
        <w:t>, such as</w:t>
      </w:r>
      <w:r w:rsidR="00FD4502" w:rsidRPr="006D5773">
        <w:t xml:space="preserve"> </w:t>
      </w:r>
      <w:r w:rsidR="0087769B" w:rsidRPr="006D5773">
        <w:t xml:space="preserve">extraction duration, </w:t>
      </w:r>
      <w:r w:rsidR="00A20861" w:rsidRPr="006D5773">
        <w:t>extraction</w:t>
      </w:r>
      <w:r w:rsidR="00E20BD2" w:rsidRPr="006D5773">
        <w:t xml:space="preserve"> </w:t>
      </w:r>
      <w:r w:rsidR="0087769B" w:rsidRPr="006D5773">
        <w:t xml:space="preserve">temperature, and quality of the </w:t>
      </w:r>
      <w:r w:rsidR="0087769B" w:rsidRPr="00A20861">
        <w:t>produced extract</w:t>
      </w:r>
      <w:r w:rsidR="005351B3" w:rsidRPr="00A20861">
        <w:t>.</w:t>
      </w:r>
      <w:r w:rsidR="00F9760D">
        <w:rPr>
          <w:lang w:val="en-GB"/>
        </w:rPr>
        <w:t xml:space="preserve"> </w:t>
      </w:r>
      <w:r w:rsidR="00083F89" w:rsidRPr="00176A1C">
        <w:rPr>
          <w:lang w:val="en-GB"/>
        </w:rPr>
        <w:t>Regarding, the p</w:t>
      </w:r>
      <w:r w:rsidR="00D40B73" w:rsidRPr="00176A1C">
        <w:rPr>
          <w:lang w:val="en-GB"/>
        </w:rPr>
        <w:t xml:space="preserve">roduction process of </w:t>
      </w:r>
      <w:r w:rsidR="002166AB" w:rsidRPr="00176A1C">
        <w:rPr>
          <w:lang w:val="en-GB"/>
        </w:rPr>
        <w:t xml:space="preserve">the </w:t>
      </w:r>
      <w:r w:rsidR="00D40B73" w:rsidRPr="00176A1C">
        <w:rPr>
          <w:lang w:val="en-GB"/>
        </w:rPr>
        <w:t>new feed products</w:t>
      </w:r>
      <w:r w:rsidR="002166AB" w:rsidRPr="00176A1C">
        <w:rPr>
          <w:lang w:val="en-GB"/>
        </w:rPr>
        <w:t xml:space="preserve"> (FP2, FP3)</w:t>
      </w:r>
      <w:r w:rsidR="00083F89" w:rsidRPr="00176A1C">
        <w:rPr>
          <w:lang w:val="en-GB"/>
        </w:rPr>
        <w:t>,</w:t>
      </w:r>
      <w:r w:rsidR="00D40B73" w:rsidRPr="00176A1C">
        <w:rPr>
          <w:lang w:val="en-GB"/>
        </w:rPr>
        <w:t xml:space="preserve"> </w:t>
      </w:r>
      <w:r w:rsidR="002166AB" w:rsidRPr="00176A1C">
        <w:rPr>
          <w:lang w:val="en-GB"/>
        </w:rPr>
        <w:t xml:space="preserve">the </w:t>
      </w:r>
      <w:r w:rsidR="00FF019A" w:rsidRPr="00176A1C">
        <w:rPr>
          <w:lang w:val="en-GB"/>
        </w:rPr>
        <w:t>prominent</w:t>
      </w:r>
      <w:r w:rsidR="00D40B73" w:rsidRPr="00176A1C">
        <w:rPr>
          <w:lang w:val="en-GB"/>
        </w:rPr>
        <w:t xml:space="preserve"> LCA impact</w:t>
      </w:r>
      <w:r w:rsidR="002166AB" w:rsidRPr="00176A1C">
        <w:rPr>
          <w:lang w:val="en-GB"/>
        </w:rPr>
        <w:t xml:space="preserve"> was</w:t>
      </w:r>
      <w:r w:rsidR="002166AB">
        <w:rPr>
          <w:lang w:val="en-GB"/>
        </w:rPr>
        <w:t xml:space="preserve"> attributed to </w:t>
      </w:r>
      <w:r w:rsidR="00FE41BB">
        <w:rPr>
          <w:lang w:val="en-GB"/>
        </w:rPr>
        <w:t>the extrusion process</w:t>
      </w:r>
      <w:r w:rsidR="009C482E">
        <w:rPr>
          <w:lang w:val="en-GB"/>
        </w:rPr>
        <w:t xml:space="preserve"> </w:t>
      </w:r>
      <w:r w:rsidR="009C482E" w:rsidRPr="00E44C01">
        <w:rPr>
          <w:lang w:val="en-GB"/>
        </w:rPr>
        <w:t>(</w:t>
      </w:r>
      <w:r w:rsidR="00176A1C" w:rsidRPr="00E44C01">
        <w:rPr>
          <w:lang w:val="en-GB"/>
        </w:rPr>
        <w:t>362</w:t>
      </w:r>
      <w:r w:rsidR="00003D86" w:rsidRPr="00E44C01">
        <w:rPr>
          <w:lang w:val="en-GB"/>
        </w:rPr>
        <w:t xml:space="preserve"> </w:t>
      </w:r>
      <w:r w:rsidR="00176A1C" w:rsidRPr="00E44C01">
        <w:t>kg CO</w:t>
      </w:r>
      <w:r w:rsidR="00176A1C" w:rsidRPr="00E44C01">
        <w:rPr>
          <w:vertAlign w:val="subscript"/>
        </w:rPr>
        <w:t xml:space="preserve">2 </w:t>
      </w:r>
      <w:r w:rsidR="00176A1C" w:rsidRPr="00E44C01">
        <w:t>eq.</w:t>
      </w:r>
      <w:r w:rsidR="009C482E" w:rsidRPr="00E44C01">
        <w:rPr>
          <w:lang w:val="en-GB"/>
        </w:rPr>
        <w:t>)</w:t>
      </w:r>
      <w:r w:rsidR="00D40B73" w:rsidRPr="00E44C01">
        <w:rPr>
          <w:lang w:val="en-GB"/>
        </w:rPr>
        <w:t>,</w:t>
      </w:r>
      <w:r w:rsidR="00D40B73" w:rsidRPr="00D40B73">
        <w:rPr>
          <w:lang w:val="en-GB"/>
        </w:rPr>
        <w:t xml:space="preserve"> whil</w:t>
      </w:r>
      <w:r w:rsidR="00FE41BB">
        <w:t>st</w:t>
      </w:r>
      <w:r w:rsidR="00FE41BB">
        <w:rPr>
          <w:lang w:val="en-GB"/>
        </w:rPr>
        <w:t xml:space="preserve"> </w:t>
      </w:r>
      <w:r w:rsidR="00D40B73" w:rsidRPr="00D40B73">
        <w:rPr>
          <w:lang w:val="en-GB"/>
        </w:rPr>
        <w:t>extraction and premix production processes</w:t>
      </w:r>
      <w:r w:rsidR="003A11B1">
        <w:rPr>
          <w:lang w:val="en-GB"/>
        </w:rPr>
        <w:t xml:space="preserve"> </w:t>
      </w:r>
      <w:r w:rsidR="003A11B1">
        <w:t xml:space="preserve">corresponded to a </w:t>
      </w:r>
      <w:r w:rsidR="00D40B73" w:rsidRPr="00E44C01">
        <w:rPr>
          <w:lang w:val="en-GB"/>
        </w:rPr>
        <w:t>negligible</w:t>
      </w:r>
      <w:r w:rsidR="003A11B1" w:rsidRPr="00E44C01">
        <w:rPr>
          <w:lang w:val="en-GB"/>
        </w:rPr>
        <w:t xml:space="preserve"> share</w:t>
      </w:r>
      <w:r w:rsidR="00176A1C" w:rsidRPr="00E44C01">
        <w:rPr>
          <w:lang w:val="en-GB"/>
        </w:rPr>
        <w:t xml:space="preserve"> (&lt;5</w:t>
      </w:r>
      <w:r w:rsidR="00176A1C" w:rsidRPr="00E44C01">
        <w:t xml:space="preserve"> kg CO</w:t>
      </w:r>
      <w:r w:rsidR="00176A1C" w:rsidRPr="00E44C01">
        <w:rPr>
          <w:vertAlign w:val="subscript"/>
        </w:rPr>
        <w:t>2</w:t>
      </w:r>
      <w:r w:rsidR="00176A1C" w:rsidRPr="00E44C01">
        <w:t xml:space="preserve"> eq.)</w:t>
      </w:r>
      <w:r w:rsidR="00D40B73" w:rsidRPr="00E44C01">
        <w:rPr>
          <w:lang w:val="en-GB"/>
        </w:rPr>
        <w:t>.</w:t>
      </w:r>
      <w:r w:rsidR="005351B3" w:rsidRPr="00E44C01">
        <w:rPr>
          <w:lang w:val="en-GB"/>
        </w:rPr>
        <w:t xml:space="preserve"> </w:t>
      </w:r>
      <w:r w:rsidR="00D40B73" w:rsidRPr="00E44C01">
        <w:rPr>
          <w:lang w:val="en-GB"/>
        </w:rPr>
        <w:t xml:space="preserve">Three final feed products were examined, </w:t>
      </w:r>
      <w:r w:rsidR="005B0EB9" w:rsidRPr="00E44C01">
        <w:rPr>
          <w:lang w:val="en-GB"/>
        </w:rPr>
        <w:t>FP</w:t>
      </w:r>
      <w:r w:rsidR="00D40B73" w:rsidRPr="00E44C01">
        <w:rPr>
          <w:lang w:val="en-GB"/>
        </w:rPr>
        <w:t xml:space="preserve">1 (conventional product), </w:t>
      </w:r>
      <w:r w:rsidR="005B0EB9" w:rsidRPr="00E44C01">
        <w:rPr>
          <w:lang w:val="en-GB"/>
        </w:rPr>
        <w:t>FP2</w:t>
      </w:r>
      <w:r w:rsidR="00D40B73" w:rsidRPr="00E44C01">
        <w:rPr>
          <w:lang w:val="en-GB"/>
        </w:rPr>
        <w:t xml:space="preserve"> (feed containing magnolia extract), </w:t>
      </w:r>
      <w:r w:rsidR="005B0EB9" w:rsidRPr="00E44C01">
        <w:rPr>
          <w:lang w:val="en-GB"/>
        </w:rPr>
        <w:t>and FP</w:t>
      </w:r>
      <w:r w:rsidR="00D40B73" w:rsidRPr="00E44C01">
        <w:rPr>
          <w:lang w:val="en-GB"/>
        </w:rPr>
        <w:t xml:space="preserve">3 (feed containing encapsulated magnolia extract). Comparison of </w:t>
      </w:r>
      <w:r w:rsidR="00F86603" w:rsidRPr="00E44C01">
        <w:rPr>
          <w:lang w:val="en-GB"/>
        </w:rPr>
        <w:t xml:space="preserve">the </w:t>
      </w:r>
      <w:r w:rsidR="00D40B73" w:rsidRPr="00E44C01">
        <w:rPr>
          <w:lang w:val="en-GB"/>
        </w:rPr>
        <w:t>final products</w:t>
      </w:r>
      <w:r w:rsidR="00F86603" w:rsidRPr="00E44C01">
        <w:rPr>
          <w:lang w:val="en-GB"/>
        </w:rPr>
        <w:t>,</w:t>
      </w:r>
      <w:r w:rsidR="00D40B73" w:rsidRPr="00E44C01">
        <w:rPr>
          <w:lang w:val="en-GB"/>
        </w:rPr>
        <w:t xml:space="preserve"> using 1 FRP as </w:t>
      </w:r>
      <w:r w:rsidR="00F86603" w:rsidRPr="00E44C01">
        <w:rPr>
          <w:lang w:val="en-GB"/>
        </w:rPr>
        <w:t xml:space="preserve">the </w:t>
      </w:r>
      <w:r w:rsidR="00D40B73" w:rsidRPr="00E44C01">
        <w:rPr>
          <w:lang w:val="en-GB"/>
        </w:rPr>
        <w:t xml:space="preserve">Functional Unit (Feed-ration production for </w:t>
      </w:r>
      <w:proofErr w:type="gramStart"/>
      <w:r w:rsidR="00D40B73" w:rsidRPr="00E44C01">
        <w:rPr>
          <w:lang w:val="en-GB"/>
        </w:rPr>
        <w:t>poultry</w:t>
      </w:r>
      <w:r w:rsidR="00D40B73" w:rsidRPr="00E44C01">
        <w:rPr>
          <w:b/>
          <w:bCs/>
          <w:lang w:val="en-GB"/>
        </w:rPr>
        <w:t>:</w:t>
      </w:r>
      <w:r w:rsidR="00D40B73" w:rsidRPr="00E44C01">
        <w:rPr>
          <w:lang w:val="en-GB"/>
        </w:rPr>
        <w:t>Total</w:t>
      </w:r>
      <w:proofErr w:type="gramEnd"/>
      <w:r w:rsidR="00D40B73" w:rsidRPr="00E44C01">
        <w:rPr>
          <w:lang w:val="en-GB"/>
        </w:rPr>
        <w:t xml:space="preserve"> Feeding quantity (Kg)</w:t>
      </w:r>
      <w:r w:rsidR="005B0EB9" w:rsidRPr="00E44C01">
        <w:rPr>
          <w:lang w:val="en-GB"/>
        </w:rPr>
        <w:t>,</w:t>
      </w:r>
      <w:r w:rsidR="00D40B73" w:rsidRPr="00E44C01">
        <w:rPr>
          <w:lang w:val="en-GB"/>
        </w:rPr>
        <w:t xml:space="preserve"> for 1 Kg broiler grow-out), </w:t>
      </w:r>
      <w:r w:rsidR="00F86603" w:rsidRPr="00E44C01">
        <w:rPr>
          <w:lang w:val="en-GB"/>
        </w:rPr>
        <w:t xml:space="preserve">revealed </w:t>
      </w:r>
      <w:r w:rsidR="00DA6026" w:rsidRPr="00E44C01">
        <w:rPr>
          <w:lang w:val="en-GB"/>
        </w:rPr>
        <w:t>lower impact values</w:t>
      </w:r>
      <w:r w:rsidR="001D465D" w:rsidRPr="00E44C01">
        <w:rPr>
          <w:lang w:val="en-GB"/>
        </w:rPr>
        <w:t xml:space="preserve"> (in all endpoint impact categories)</w:t>
      </w:r>
      <w:r w:rsidR="00DA6026" w:rsidRPr="00E44C01">
        <w:rPr>
          <w:lang w:val="en-GB"/>
        </w:rPr>
        <w:t xml:space="preserve"> for </w:t>
      </w:r>
      <w:r w:rsidR="00F86603" w:rsidRPr="00E44C01">
        <w:rPr>
          <w:lang w:val="en-GB"/>
        </w:rPr>
        <w:t xml:space="preserve">the novel feed products </w:t>
      </w:r>
      <w:r w:rsidR="00AE598D" w:rsidRPr="00E44C01">
        <w:rPr>
          <w:lang w:val="en-GB"/>
        </w:rPr>
        <w:t>with the</w:t>
      </w:r>
      <w:r w:rsidR="005B0EB9" w:rsidRPr="00E44C01">
        <w:rPr>
          <w:lang w:val="en-GB"/>
        </w:rPr>
        <w:t xml:space="preserve"> incorporated</w:t>
      </w:r>
      <w:r w:rsidR="00AE598D" w:rsidRPr="00E44C01">
        <w:rPr>
          <w:lang w:val="en-GB"/>
        </w:rPr>
        <w:t xml:space="preserve"> </w:t>
      </w:r>
      <w:r w:rsidR="00F86603" w:rsidRPr="00E44C01">
        <w:rPr>
          <w:lang w:val="en-GB"/>
        </w:rPr>
        <w:t xml:space="preserve">bioactive </w:t>
      </w:r>
      <w:r w:rsidR="00AE598D" w:rsidRPr="00E44C01">
        <w:rPr>
          <w:lang w:val="en-GB"/>
        </w:rPr>
        <w:t>agents (FP2, FP3)</w:t>
      </w:r>
      <w:r w:rsidR="00D40B73" w:rsidRPr="00E44C01">
        <w:rPr>
          <w:lang w:val="en-GB"/>
        </w:rPr>
        <w:t xml:space="preserve">, </w:t>
      </w:r>
      <w:r w:rsidR="00093C89" w:rsidRPr="00E44C01">
        <w:rPr>
          <w:lang w:val="en-GB"/>
        </w:rPr>
        <w:t>highlighting FP</w:t>
      </w:r>
      <w:r w:rsidR="00D40B73" w:rsidRPr="00E44C01">
        <w:rPr>
          <w:lang w:val="en-GB"/>
        </w:rPr>
        <w:t>3</w:t>
      </w:r>
      <w:r w:rsidR="00093C89" w:rsidRPr="00E44C01">
        <w:rPr>
          <w:lang w:val="en-GB"/>
        </w:rPr>
        <w:t>, that</w:t>
      </w:r>
      <w:r w:rsidR="00D40B73" w:rsidRPr="00E44C01">
        <w:rPr>
          <w:lang w:val="en-GB"/>
        </w:rPr>
        <w:t xml:space="preserve"> present</w:t>
      </w:r>
      <w:r w:rsidR="00093C89" w:rsidRPr="00E44C01">
        <w:rPr>
          <w:lang w:val="en-GB"/>
        </w:rPr>
        <w:t>ed</w:t>
      </w:r>
      <w:r w:rsidR="00D40B73" w:rsidRPr="00E44C01">
        <w:rPr>
          <w:lang w:val="en-GB"/>
        </w:rPr>
        <w:t xml:space="preserve"> the lowest environmental impact</w:t>
      </w:r>
      <w:r w:rsidR="00003D86" w:rsidRPr="00E44C01">
        <w:t xml:space="preserve"> (0.76 kg CO</w:t>
      </w:r>
      <w:r w:rsidR="00003D86" w:rsidRPr="00E44C01">
        <w:rPr>
          <w:vertAlign w:val="subscript"/>
        </w:rPr>
        <w:t>2</w:t>
      </w:r>
      <w:r w:rsidR="00003D86" w:rsidRPr="00E44C01">
        <w:t xml:space="preserve"> eq.)</w:t>
      </w:r>
      <w:r w:rsidR="00D40B73" w:rsidRPr="00E44C01">
        <w:rPr>
          <w:lang w:val="en-GB"/>
        </w:rPr>
        <w:t>.</w:t>
      </w:r>
      <w:r w:rsidR="009C482E" w:rsidRPr="00DF60C6">
        <w:rPr>
          <w:lang w:val="en-GB"/>
        </w:rPr>
        <w:t xml:space="preserve"> Therefore, the novel functional feed products studied (FP2</w:t>
      </w:r>
      <w:r w:rsidR="009D6D57" w:rsidRPr="00DF60C6">
        <w:rPr>
          <w:lang w:val="en-GB"/>
        </w:rPr>
        <w:t xml:space="preserve">, </w:t>
      </w:r>
      <w:r w:rsidR="009C482E" w:rsidRPr="00DF60C6">
        <w:rPr>
          <w:lang w:val="en-GB"/>
        </w:rPr>
        <w:t>FP3),</w:t>
      </w:r>
      <w:r w:rsidR="009D6D57" w:rsidRPr="00DF60C6">
        <w:rPr>
          <w:lang w:val="en-GB"/>
        </w:rPr>
        <w:t xml:space="preserve"> consist a very promising </w:t>
      </w:r>
      <w:r w:rsidR="009D6D57" w:rsidRPr="00DF60C6">
        <w:t xml:space="preserve">approach </w:t>
      </w:r>
      <w:r w:rsidR="0002693F" w:rsidRPr="00DF60C6">
        <w:t xml:space="preserve">with </w:t>
      </w:r>
      <w:r w:rsidR="002D595A" w:rsidRPr="00DF60C6">
        <w:t>documented</w:t>
      </w:r>
      <w:r w:rsidR="0002693F" w:rsidRPr="00DF60C6">
        <w:t xml:space="preserve"> sustainability regarding their total environmental impact</w:t>
      </w:r>
      <w:r w:rsidR="008D4021" w:rsidRPr="00DF60C6">
        <w:t>.</w:t>
      </w:r>
      <w:r w:rsidR="00794949" w:rsidRPr="00DF60C6">
        <w:t xml:space="preserve"> In conclusion, LCA has generally been</w:t>
      </w:r>
      <w:r w:rsidR="00794949" w:rsidRPr="00794949">
        <w:t xml:space="preserve"> used to assess and improve product systems.</w:t>
      </w:r>
      <w:r w:rsidR="007F0013">
        <w:rPr>
          <w:lang w:val="en-GB"/>
        </w:rPr>
        <w:t xml:space="preserve"> </w:t>
      </w:r>
      <w:r w:rsidR="0026009E" w:rsidRPr="00E42402">
        <w:rPr>
          <w:szCs w:val="18"/>
        </w:rPr>
        <w:t>Th</w:t>
      </w:r>
      <w:r w:rsidR="00E42402" w:rsidRPr="00E42402">
        <w:rPr>
          <w:szCs w:val="18"/>
        </w:rPr>
        <w:t>e</w:t>
      </w:r>
      <w:r w:rsidR="0026009E" w:rsidRPr="00E42402">
        <w:rPr>
          <w:szCs w:val="18"/>
        </w:rPr>
        <w:t xml:space="preserve"> performed LCA study of the feed production, despite the </w:t>
      </w:r>
      <w:r w:rsidR="00E42402" w:rsidRPr="00E42402">
        <w:rPr>
          <w:szCs w:val="18"/>
        </w:rPr>
        <w:t>exclusion of the</w:t>
      </w:r>
      <w:r w:rsidR="0026009E" w:rsidRPr="00E42402">
        <w:rPr>
          <w:szCs w:val="18"/>
        </w:rPr>
        <w:t xml:space="preserve"> environmental impact of</w:t>
      </w:r>
      <w:r w:rsidR="00C2524B" w:rsidRPr="00E42402">
        <w:rPr>
          <w:szCs w:val="18"/>
        </w:rPr>
        <w:t xml:space="preserve"> </w:t>
      </w:r>
      <w:r w:rsidR="0026009E" w:rsidRPr="00E42402">
        <w:rPr>
          <w:szCs w:val="18"/>
        </w:rPr>
        <w:t>breeding conditions and feeding routines</w:t>
      </w:r>
      <w:r w:rsidR="00E42402" w:rsidRPr="00E42402">
        <w:rPr>
          <w:szCs w:val="18"/>
        </w:rPr>
        <w:t>,</w:t>
      </w:r>
      <w:r w:rsidR="0026009E" w:rsidRPr="00E42402">
        <w:rPr>
          <w:szCs w:val="18"/>
        </w:rPr>
        <w:t xml:space="preserve"> </w:t>
      </w:r>
      <w:r w:rsidR="00E42402" w:rsidRPr="00E42402">
        <w:rPr>
          <w:szCs w:val="18"/>
        </w:rPr>
        <w:t xml:space="preserve">has conducted reliable results to be </w:t>
      </w:r>
      <w:r w:rsidR="000C4369" w:rsidRPr="00E42402">
        <w:rPr>
          <w:lang w:val="en-GB"/>
        </w:rPr>
        <w:t>further be applied for the identification of improvement options in animal nutrition and livestock production, without compromising the total environmental impact of the agricultural sector.</w:t>
      </w:r>
    </w:p>
    <w:p w14:paraId="459D05E6" w14:textId="77777777" w:rsidR="00600535" w:rsidRPr="00B57B36" w:rsidRDefault="00600535" w:rsidP="005351B3">
      <w:pPr>
        <w:pStyle w:val="CETAcknowledgementstitle"/>
        <w:spacing w:before="100" w:after="0"/>
      </w:pPr>
      <w:r w:rsidRPr="003F1E39">
        <w:t>Acknowledgments</w:t>
      </w:r>
    </w:p>
    <w:p w14:paraId="7C7995FB" w14:textId="77777777" w:rsidR="00CF6325" w:rsidRPr="00992E70" w:rsidRDefault="00CF6325" w:rsidP="00CF6325">
      <w:pPr>
        <w:pStyle w:val="CETBodytext"/>
      </w:pPr>
      <w:r w:rsidRPr="00992E70">
        <w:t>This work was financed by the project “Innovative cattle feed development with antibiotic and growth formula based on edible herbs that include high levels of biodrastic compounds” that is financed by Greek national funds through the Operational Program "Eastern Macedonia &amp; Thrace Region" of the National Strategic Reference Framework (NSRF) - Research Funding Program.</w:t>
      </w:r>
    </w:p>
    <w:p w14:paraId="399E1503" w14:textId="75D807E7" w:rsidR="00F821AC" w:rsidRDefault="00600535" w:rsidP="009C6A70">
      <w:pPr>
        <w:pStyle w:val="CETReference"/>
        <w:spacing w:before="100" w:after="100"/>
      </w:pPr>
      <w:r w:rsidRPr="00B57B36">
        <w:t>References</w:t>
      </w:r>
    </w:p>
    <w:p w14:paraId="0872C41F" w14:textId="77777777" w:rsidR="0060006D" w:rsidRPr="00BB7205" w:rsidRDefault="00F821AC" w:rsidP="0060006D">
      <w:pPr>
        <w:pStyle w:val="EndNoteBibliography"/>
        <w:ind w:left="720" w:hanging="720"/>
        <w:rPr>
          <w:b/>
          <w:szCs w:val="18"/>
        </w:rPr>
      </w:pPr>
      <w:r w:rsidRPr="00BB7205">
        <w:rPr>
          <w:szCs w:val="18"/>
        </w:rPr>
        <w:fldChar w:fldCharType="begin"/>
      </w:r>
      <w:r w:rsidRPr="00BB7205">
        <w:rPr>
          <w:szCs w:val="18"/>
        </w:rPr>
        <w:instrText xml:space="preserve"> ADDIN EN.REFLIST </w:instrText>
      </w:r>
      <w:r w:rsidRPr="00BB7205">
        <w:rPr>
          <w:szCs w:val="18"/>
        </w:rPr>
        <w:fldChar w:fldCharType="separate"/>
      </w:r>
      <w:r w:rsidR="0060006D" w:rsidRPr="00BB7205">
        <w:rPr>
          <w:szCs w:val="18"/>
        </w:rPr>
        <w:t>14040:2006 I., 2006, ISO 14040:2006 Environmental management — Life cycle assessment — Principles and framework, Environmental management systems</w:t>
      </w:r>
      <w:r w:rsidR="0060006D" w:rsidRPr="00BB7205">
        <w:rPr>
          <w:b/>
          <w:szCs w:val="18"/>
        </w:rPr>
        <w:t xml:space="preserve">, </w:t>
      </w:r>
    </w:p>
    <w:p w14:paraId="4F736C56" w14:textId="77777777" w:rsidR="0060006D" w:rsidRPr="00BB7205" w:rsidRDefault="0060006D" w:rsidP="0060006D">
      <w:pPr>
        <w:pStyle w:val="EndNoteBibliography"/>
        <w:ind w:left="720" w:hanging="720"/>
        <w:rPr>
          <w:b/>
          <w:szCs w:val="18"/>
        </w:rPr>
      </w:pPr>
      <w:r w:rsidRPr="00BB7205">
        <w:rPr>
          <w:szCs w:val="18"/>
        </w:rPr>
        <w:t>14044:2006 I., 2006, ISO 14044:2006 Environmental management — Life cycle assessment — Requirements and guidelines, Environmental management systems</w:t>
      </w:r>
      <w:r w:rsidRPr="00BB7205">
        <w:rPr>
          <w:b/>
          <w:szCs w:val="18"/>
        </w:rPr>
        <w:t xml:space="preserve">, </w:t>
      </w:r>
    </w:p>
    <w:p w14:paraId="738B3883" w14:textId="77777777" w:rsidR="0060006D" w:rsidRPr="00BB7205" w:rsidRDefault="0060006D" w:rsidP="0060006D">
      <w:pPr>
        <w:pStyle w:val="EndNoteBibliography"/>
        <w:ind w:left="720" w:hanging="720"/>
        <w:rPr>
          <w:szCs w:val="18"/>
        </w:rPr>
      </w:pPr>
      <w:r w:rsidRPr="00BB7205">
        <w:rPr>
          <w:szCs w:val="18"/>
        </w:rPr>
        <w:t xml:space="preserve">European &amp; Commission, European Platform on Life Cycle Assessment (LCA), </w:t>
      </w:r>
    </w:p>
    <w:p w14:paraId="6FDC930A" w14:textId="77777777" w:rsidR="0060006D" w:rsidRPr="00BB7205" w:rsidRDefault="0060006D" w:rsidP="0060006D">
      <w:pPr>
        <w:pStyle w:val="EndNoteBibliography"/>
        <w:ind w:left="720" w:hanging="720"/>
        <w:rPr>
          <w:szCs w:val="18"/>
        </w:rPr>
      </w:pPr>
      <w:r w:rsidRPr="00BB7205">
        <w:rPr>
          <w:szCs w:val="18"/>
        </w:rPr>
        <w:t>González-Gaya B., García-Bueno N., Buelow E., Marin A. &amp; Rico A., 2022, Effects of aquaculture waste feeds and antibiotics on marine benthic ecosystems in the Mediterranean Sea, Science of The Total Environment</w:t>
      </w:r>
      <w:r w:rsidRPr="00BB7205">
        <w:rPr>
          <w:i/>
          <w:szCs w:val="18"/>
        </w:rPr>
        <w:t>,</w:t>
      </w:r>
      <w:r w:rsidRPr="00BB7205">
        <w:rPr>
          <w:szCs w:val="18"/>
        </w:rPr>
        <w:t xml:space="preserve"> 806</w:t>
      </w:r>
      <w:r w:rsidRPr="00BB7205">
        <w:rPr>
          <w:b/>
          <w:szCs w:val="18"/>
        </w:rPr>
        <w:t xml:space="preserve">, </w:t>
      </w:r>
      <w:r w:rsidRPr="00BB7205">
        <w:rPr>
          <w:szCs w:val="18"/>
        </w:rPr>
        <w:t>151190.</w:t>
      </w:r>
    </w:p>
    <w:p w14:paraId="6BABE368" w14:textId="77777777" w:rsidR="0060006D" w:rsidRPr="00BB7205" w:rsidRDefault="0060006D" w:rsidP="0060006D">
      <w:pPr>
        <w:pStyle w:val="EndNoteBibliography"/>
        <w:ind w:left="720" w:hanging="720"/>
        <w:rPr>
          <w:szCs w:val="18"/>
        </w:rPr>
      </w:pPr>
      <w:r w:rsidRPr="00BB7205">
        <w:rPr>
          <w:szCs w:val="18"/>
        </w:rPr>
        <w:t>Hyun D. &amp; Sherburne H., 2021, Inappropriate Antibiotic Use in Food Animals Can Undercut Fight Against Superbugs Pew Charitable Trusts</w:t>
      </w:r>
      <w:r w:rsidRPr="00BB7205">
        <w:rPr>
          <w:i/>
          <w:szCs w:val="18"/>
        </w:rPr>
        <w:t>,</w:t>
      </w:r>
      <w:r w:rsidRPr="00BB7205">
        <w:rPr>
          <w:szCs w:val="18"/>
        </w:rPr>
        <w:t xml:space="preserve"> </w:t>
      </w:r>
    </w:p>
    <w:p w14:paraId="6A92BAF0" w14:textId="77777777" w:rsidR="0060006D" w:rsidRPr="00BB7205" w:rsidRDefault="0060006D" w:rsidP="0060006D">
      <w:pPr>
        <w:pStyle w:val="EndNoteBibliography"/>
        <w:ind w:left="720" w:hanging="720"/>
        <w:rPr>
          <w:b/>
          <w:szCs w:val="18"/>
        </w:rPr>
      </w:pPr>
      <w:r w:rsidRPr="00BB7205">
        <w:rPr>
          <w:szCs w:val="18"/>
        </w:rPr>
        <w:t>Iannone R., Riemma S. &amp; De Marco I., 2020, A Comparative Life Cycle Assessment Study on Conservation of Semi-finished Peaches, Chemical Engineering Transactions</w:t>
      </w:r>
      <w:r w:rsidRPr="00BB7205">
        <w:rPr>
          <w:i/>
          <w:szCs w:val="18"/>
        </w:rPr>
        <w:t>,</w:t>
      </w:r>
      <w:r w:rsidRPr="00BB7205">
        <w:rPr>
          <w:szCs w:val="18"/>
        </w:rPr>
        <w:t xml:space="preserve"> 79</w:t>
      </w:r>
      <w:r w:rsidRPr="00BB7205">
        <w:rPr>
          <w:b/>
          <w:szCs w:val="18"/>
        </w:rPr>
        <w:t xml:space="preserve">, </w:t>
      </w:r>
    </w:p>
    <w:p w14:paraId="69CD4512" w14:textId="77777777" w:rsidR="0060006D" w:rsidRPr="00BB7205" w:rsidRDefault="0060006D" w:rsidP="0060006D">
      <w:pPr>
        <w:pStyle w:val="EndNoteBibliography"/>
        <w:ind w:left="720" w:hanging="720"/>
        <w:rPr>
          <w:szCs w:val="18"/>
        </w:rPr>
      </w:pPr>
      <w:r w:rsidRPr="00BB7205">
        <w:rPr>
          <w:szCs w:val="18"/>
        </w:rPr>
        <w:t xml:space="preserve">Krokida M., Taxiarchou M., Politis A., Peppas A. &amp; Kyriakopoulou K., 2016, LIFE CYCLE ASSESSMENT (LCA) ON EUROPEAN SKIMMED MILK POWDER PROCESSING PRODUCTION PLANT, </w:t>
      </w:r>
    </w:p>
    <w:p w14:paraId="5AE41E89" w14:textId="77777777" w:rsidR="0060006D" w:rsidRPr="00BB7205" w:rsidRDefault="0060006D" w:rsidP="0060006D">
      <w:pPr>
        <w:pStyle w:val="EndNoteBibliography"/>
        <w:ind w:left="720" w:hanging="720"/>
        <w:rPr>
          <w:b/>
          <w:szCs w:val="18"/>
        </w:rPr>
      </w:pPr>
      <w:r w:rsidRPr="00BB7205">
        <w:rPr>
          <w:szCs w:val="18"/>
        </w:rPr>
        <w:t>Ngan S.P., Ngan S.L. &amp; Lam H.L., 2021, An Overview of Circular Economy-Life Cycle Assessment Framework, Chemical Engineering Transactions</w:t>
      </w:r>
      <w:r w:rsidRPr="00BB7205">
        <w:rPr>
          <w:i/>
          <w:szCs w:val="18"/>
        </w:rPr>
        <w:t>,</w:t>
      </w:r>
      <w:r w:rsidRPr="00BB7205">
        <w:rPr>
          <w:szCs w:val="18"/>
        </w:rPr>
        <w:t xml:space="preserve"> 88</w:t>
      </w:r>
      <w:r w:rsidRPr="00BB7205">
        <w:rPr>
          <w:b/>
          <w:szCs w:val="18"/>
        </w:rPr>
        <w:t xml:space="preserve">, </w:t>
      </w:r>
    </w:p>
    <w:p w14:paraId="64DB6BD3" w14:textId="77777777" w:rsidR="0060006D" w:rsidRPr="00BB7205" w:rsidRDefault="0060006D" w:rsidP="0060006D">
      <w:pPr>
        <w:pStyle w:val="EndNoteBibliography"/>
        <w:ind w:left="720" w:hanging="720"/>
        <w:rPr>
          <w:b/>
          <w:szCs w:val="18"/>
        </w:rPr>
      </w:pPr>
      <w:r w:rsidRPr="00BB7205">
        <w:rPr>
          <w:szCs w:val="18"/>
        </w:rPr>
        <w:t>Stockholm Environment Institute, 2016, Antimicrobial Use in Livestock in Low-Income Countries, Swedish International Agricultural Network Initiative</w:t>
      </w:r>
      <w:r w:rsidRPr="00BB7205">
        <w:rPr>
          <w:i/>
          <w:szCs w:val="18"/>
        </w:rPr>
        <w:t>,</w:t>
      </w:r>
      <w:r w:rsidRPr="00BB7205">
        <w:rPr>
          <w:szCs w:val="18"/>
        </w:rPr>
        <w:t xml:space="preserve"> SUSTAINABLE AGRICULTURAL PRODUCTION &amp; FOOD SECURITY</w:t>
      </w:r>
      <w:r w:rsidRPr="00BB7205">
        <w:rPr>
          <w:b/>
          <w:szCs w:val="18"/>
        </w:rPr>
        <w:t xml:space="preserve">, </w:t>
      </w:r>
    </w:p>
    <w:p w14:paraId="19C4FC68" w14:textId="2B58015E" w:rsidR="004628D2" w:rsidRPr="00BB7205" w:rsidRDefault="0060006D" w:rsidP="00BB7205">
      <w:pPr>
        <w:pStyle w:val="EndNoteBibliography"/>
        <w:ind w:left="720" w:hanging="720"/>
        <w:rPr>
          <w:szCs w:val="18"/>
        </w:rPr>
      </w:pPr>
      <w:r w:rsidRPr="00BB7205">
        <w:rPr>
          <w:szCs w:val="18"/>
        </w:rPr>
        <w:t>Tian M., He X., Feng Y., Wang W., Chen H., Gong M., Liu D., Clarke J.L. &amp; van Eerde A., 2021, Pollution by Antibiotics and Antimicrobial Resistance in LiveStock and Poultry Manure in China, and Countermeasures, Special Issue Usage of Antibiotic in Agriculture and Animal Farming</w:t>
      </w:r>
      <w:r w:rsidRPr="00BB7205">
        <w:rPr>
          <w:i/>
          <w:szCs w:val="18"/>
        </w:rPr>
        <w:t>,</w:t>
      </w:r>
      <w:r w:rsidRPr="00BB7205">
        <w:rPr>
          <w:szCs w:val="18"/>
        </w:rPr>
        <w:t xml:space="preserve"> 10</w:t>
      </w:r>
      <w:r w:rsidRPr="00BB7205">
        <w:rPr>
          <w:b/>
          <w:szCs w:val="18"/>
        </w:rPr>
        <w:t xml:space="preserve">, </w:t>
      </w:r>
      <w:r w:rsidRPr="00BB7205">
        <w:rPr>
          <w:szCs w:val="18"/>
        </w:rPr>
        <w:t>539.</w:t>
      </w:r>
      <w:r w:rsidR="00F821AC" w:rsidRPr="00BB7205">
        <w:rPr>
          <w:szCs w:val="18"/>
        </w:rPr>
        <w:fldChar w:fldCharType="end"/>
      </w:r>
    </w:p>
    <w:sectPr w:rsidR="004628D2" w:rsidRPr="00BB720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04ED1" w14:textId="77777777" w:rsidR="007E2DD5" w:rsidRDefault="007E2DD5" w:rsidP="004F5E36">
      <w:r>
        <w:separator/>
      </w:r>
    </w:p>
  </w:endnote>
  <w:endnote w:type="continuationSeparator" w:id="0">
    <w:p w14:paraId="29DD6D1E" w14:textId="77777777" w:rsidR="007E2DD5" w:rsidRDefault="007E2DD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67E5" w14:textId="77777777" w:rsidR="007E2DD5" w:rsidRDefault="007E2DD5" w:rsidP="004F5E36">
      <w:r>
        <w:separator/>
      </w:r>
    </w:p>
  </w:footnote>
  <w:footnote w:type="continuationSeparator" w:id="0">
    <w:p w14:paraId="6EAC64C7" w14:textId="77777777" w:rsidR="007E2DD5" w:rsidRDefault="007E2DD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586E69"/>
    <w:multiLevelType w:val="hybridMultilevel"/>
    <w:tmpl w:val="DF0ECC3C"/>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1" w15:restartNumberingAfterBreak="0">
    <w:nsid w:val="1A125CB6"/>
    <w:multiLevelType w:val="hybridMultilevel"/>
    <w:tmpl w:val="15CE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B14BF"/>
    <w:multiLevelType w:val="hybridMultilevel"/>
    <w:tmpl w:val="15328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38217E"/>
    <w:multiLevelType w:val="multilevel"/>
    <w:tmpl w:val="FBF46B7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127" w:firstLine="0"/>
      </w:pPr>
      <w:rPr>
        <w:rFonts w:hint="default"/>
        <w:lang w:val="en-GB"/>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144DE"/>
    <w:multiLevelType w:val="hybridMultilevel"/>
    <w:tmpl w:val="96E692E0"/>
    <w:lvl w:ilvl="0" w:tplc="02408A76">
      <w:start w:val="1"/>
      <w:numFmt w:val="bullet"/>
      <w:lvlText w:val="-"/>
      <w:lvlJc w:val="left"/>
      <w:pPr>
        <w:tabs>
          <w:tab w:val="num" w:pos="720"/>
        </w:tabs>
        <w:ind w:left="720" w:hanging="360"/>
      </w:pPr>
      <w:rPr>
        <w:rFonts w:ascii="Palatino Linotype" w:hAnsi="Palatino Linotype" w:hint="default"/>
      </w:rPr>
    </w:lvl>
    <w:lvl w:ilvl="1" w:tplc="3926CFC0" w:tentative="1">
      <w:start w:val="1"/>
      <w:numFmt w:val="bullet"/>
      <w:lvlText w:val="-"/>
      <w:lvlJc w:val="left"/>
      <w:pPr>
        <w:tabs>
          <w:tab w:val="num" w:pos="1440"/>
        </w:tabs>
        <w:ind w:left="1440" w:hanging="360"/>
      </w:pPr>
      <w:rPr>
        <w:rFonts w:ascii="Palatino Linotype" w:hAnsi="Palatino Linotype" w:hint="default"/>
      </w:rPr>
    </w:lvl>
    <w:lvl w:ilvl="2" w:tplc="B0F2E942" w:tentative="1">
      <w:start w:val="1"/>
      <w:numFmt w:val="bullet"/>
      <w:lvlText w:val="-"/>
      <w:lvlJc w:val="left"/>
      <w:pPr>
        <w:tabs>
          <w:tab w:val="num" w:pos="2160"/>
        </w:tabs>
        <w:ind w:left="2160" w:hanging="360"/>
      </w:pPr>
      <w:rPr>
        <w:rFonts w:ascii="Palatino Linotype" w:hAnsi="Palatino Linotype" w:hint="default"/>
      </w:rPr>
    </w:lvl>
    <w:lvl w:ilvl="3" w:tplc="4D1C91C2" w:tentative="1">
      <w:start w:val="1"/>
      <w:numFmt w:val="bullet"/>
      <w:lvlText w:val="-"/>
      <w:lvlJc w:val="left"/>
      <w:pPr>
        <w:tabs>
          <w:tab w:val="num" w:pos="2880"/>
        </w:tabs>
        <w:ind w:left="2880" w:hanging="360"/>
      </w:pPr>
      <w:rPr>
        <w:rFonts w:ascii="Palatino Linotype" w:hAnsi="Palatino Linotype" w:hint="default"/>
      </w:rPr>
    </w:lvl>
    <w:lvl w:ilvl="4" w:tplc="4658356C" w:tentative="1">
      <w:start w:val="1"/>
      <w:numFmt w:val="bullet"/>
      <w:lvlText w:val="-"/>
      <w:lvlJc w:val="left"/>
      <w:pPr>
        <w:tabs>
          <w:tab w:val="num" w:pos="3600"/>
        </w:tabs>
        <w:ind w:left="3600" w:hanging="360"/>
      </w:pPr>
      <w:rPr>
        <w:rFonts w:ascii="Palatino Linotype" w:hAnsi="Palatino Linotype" w:hint="default"/>
      </w:rPr>
    </w:lvl>
    <w:lvl w:ilvl="5" w:tplc="DCAA0FEE" w:tentative="1">
      <w:start w:val="1"/>
      <w:numFmt w:val="bullet"/>
      <w:lvlText w:val="-"/>
      <w:lvlJc w:val="left"/>
      <w:pPr>
        <w:tabs>
          <w:tab w:val="num" w:pos="4320"/>
        </w:tabs>
        <w:ind w:left="4320" w:hanging="360"/>
      </w:pPr>
      <w:rPr>
        <w:rFonts w:ascii="Palatino Linotype" w:hAnsi="Palatino Linotype" w:hint="default"/>
      </w:rPr>
    </w:lvl>
    <w:lvl w:ilvl="6" w:tplc="915841F0" w:tentative="1">
      <w:start w:val="1"/>
      <w:numFmt w:val="bullet"/>
      <w:lvlText w:val="-"/>
      <w:lvlJc w:val="left"/>
      <w:pPr>
        <w:tabs>
          <w:tab w:val="num" w:pos="5040"/>
        </w:tabs>
        <w:ind w:left="5040" w:hanging="360"/>
      </w:pPr>
      <w:rPr>
        <w:rFonts w:ascii="Palatino Linotype" w:hAnsi="Palatino Linotype" w:hint="default"/>
      </w:rPr>
    </w:lvl>
    <w:lvl w:ilvl="7" w:tplc="E8047D10" w:tentative="1">
      <w:start w:val="1"/>
      <w:numFmt w:val="bullet"/>
      <w:lvlText w:val="-"/>
      <w:lvlJc w:val="left"/>
      <w:pPr>
        <w:tabs>
          <w:tab w:val="num" w:pos="5760"/>
        </w:tabs>
        <w:ind w:left="5760" w:hanging="360"/>
      </w:pPr>
      <w:rPr>
        <w:rFonts w:ascii="Palatino Linotype" w:hAnsi="Palatino Linotype" w:hint="default"/>
      </w:rPr>
    </w:lvl>
    <w:lvl w:ilvl="8" w:tplc="381871F2" w:tentative="1">
      <w:start w:val="1"/>
      <w:numFmt w:val="bullet"/>
      <w:lvlText w:val="-"/>
      <w:lvlJc w:val="left"/>
      <w:pPr>
        <w:tabs>
          <w:tab w:val="num" w:pos="6480"/>
        </w:tabs>
        <w:ind w:left="6480" w:hanging="360"/>
      </w:pPr>
      <w:rPr>
        <w:rFonts w:ascii="Palatino Linotype" w:hAnsi="Palatino Linotype"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E547AA"/>
    <w:multiLevelType w:val="hybridMultilevel"/>
    <w:tmpl w:val="EBD4CD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21"/>
  </w:num>
  <w:num w:numId="20">
    <w:abstractNumId w:val="20"/>
  </w:num>
  <w:num w:numId="21">
    <w:abstractNumId w:val="18"/>
  </w:num>
  <w:num w:numId="22">
    <w:abstractNumId w:val="16"/>
  </w:num>
  <w:num w:numId="23">
    <w:abstractNumId w:val="19"/>
  </w:num>
  <w:num w:numId="24">
    <w:abstractNumId w:val="13"/>
  </w:num>
  <w:num w:numId="25">
    <w:abstractNumId w:val="17"/>
  </w:num>
  <w:num w:numId="26">
    <w:abstractNumId w:val="11"/>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ICHEAP final&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fsx9tlx5wzsepvzoxtpf32swzp0922swp&quot;&gt;IBIC&lt;record-ids&gt;&lt;item&gt;18&lt;/item&gt;&lt;item&gt;19&lt;/item&gt;&lt;item&gt;20&lt;/item&gt;&lt;item&gt;21&lt;/item&gt;&lt;item&gt;22&lt;/item&gt;&lt;item&gt;23&lt;/item&gt;&lt;item&gt;24&lt;/item&gt;&lt;item&gt;25&lt;/item&gt;&lt;item&gt;26&lt;/item&gt;&lt;item&gt;27&lt;/item&gt;&lt;/record-ids&gt;&lt;/item&gt;&lt;/Libraries&gt;"/>
  </w:docVars>
  <w:rsids>
    <w:rsidRoot w:val="000E414A"/>
    <w:rsid w:val="000027C0"/>
    <w:rsid w:val="00003D86"/>
    <w:rsid w:val="000052FB"/>
    <w:rsid w:val="000054BC"/>
    <w:rsid w:val="000117CB"/>
    <w:rsid w:val="0002693F"/>
    <w:rsid w:val="0003148D"/>
    <w:rsid w:val="00031EEC"/>
    <w:rsid w:val="00044221"/>
    <w:rsid w:val="00050A44"/>
    <w:rsid w:val="00051566"/>
    <w:rsid w:val="00062A9A"/>
    <w:rsid w:val="00065058"/>
    <w:rsid w:val="0007077F"/>
    <w:rsid w:val="0007727D"/>
    <w:rsid w:val="00083F89"/>
    <w:rsid w:val="00086C39"/>
    <w:rsid w:val="000929A8"/>
    <w:rsid w:val="00093C89"/>
    <w:rsid w:val="000A03B2"/>
    <w:rsid w:val="000A4671"/>
    <w:rsid w:val="000C235C"/>
    <w:rsid w:val="000C4369"/>
    <w:rsid w:val="000D0268"/>
    <w:rsid w:val="000D0299"/>
    <w:rsid w:val="000D34BE"/>
    <w:rsid w:val="000D3DB0"/>
    <w:rsid w:val="000E102F"/>
    <w:rsid w:val="000E36F1"/>
    <w:rsid w:val="000E3A73"/>
    <w:rsid w:val="000E414A"/>
    <w:rsid w:val="000F093C"/>
    <w:rsid w:val="000F787B"/>
    <w:rsid w:val="0010270E"/>
    <w:rsid w:val="001078A8"/>
    <w:rsid w:val="0012091F"/>
    <w:rsid w:val="00126BC2"/>
    <w:rsid w:val="001308B6"/>
    <w:rsid w:val="0013121F"/>
    <w:rsid w:val="00131FE6"/>
    <w:rsid w:val="0013263F"/>
    <w:rsid w:val="001331DF"/>
    <w:rsid w:val="00134DE4"/>
    <w:rsid w:val="0014034D"/>
    <w:rsid w:val="00140BC1"/>
    <w:rsid w:val="001436BF"/>
    <w:rsid w:val="00144D16"/>
    <w:rsid w:val="00144D98"/>
    <w:rsid w:val="00150E59"/>
    <w:rsid w:val="00152DE3"/>
    <w:rsid w:val="00164CF9"/>
    <w:rsid w:val="001667A6"/>
    <w:rsid w:val="00176A1C"/>
    <w:rsid w:val="00184AD6"/>
    <w:rsid w:val="00194651"/>
    <w:rsid w:val="001A4AF7"/>
    <w:rsid w:val="001B0349"/>
    <w:rsid w:val="001B1E93"/>
    <w:rsid w:val="001B4A92"/>
    <w:rsid w:val="001B65C1"/>
    <w:rsid w:val="001C384D"/>
    <w:rsid w:val="001C684B"/>
    <w:rsid w:val="001D0CFB"/>
    <w:rsid w:val="001D21AF"/>
    <w:rsid w:val="001D465D"/>
    <w:rsid w:val="001D53FC"/>
    <w:rsid w:val="001E2403"/>
    <w:rsid w:val="001E6375"/>
    <w:rsid w:val="001F42A5"/>
    <w:rsid w:val="001F7B9D"/>
    <w:rsid w:val="00201C93"/>
    <w:rsid w:val="00203629"/>
    <w:rsid w:val="00212BF3"/>
    <w:rsid w:val="00215BE9"/>
    <w:rsid w:val="002166AB"/>
    <w:rsid w:val="002224B4"/>
    <w:rsid w:val="00226295"/>
    <w:rsid w:val="00237976"/>
    <w:rsid w:val="002413F0"/>
    <w:rsid w:val="002447EF"/>
    <w:rsid w:val="002503E6"/>
    <w:rsid w:val="00251550"/>
    <w:rsid w:val="0026009E"/>
    <w:rsid w:val="00263B05"/>
    <w:rsid w:val="0027221A"/>
    <w:rsid w:val="00273CE7"/>
    <w:rsid w:val="00275B61"/>
    <w:rsid w:val="00280FAF"/>
    <w:rsid w:val="00282656"/>
    <w:rsid w:val="002864FF"/>
    <w:rsid w:val="00287087"/>
    <w:rsid w:val="00296B83"/>
    <w:rsid w:val="002A6CDA"/>
    <w:rsid w:val="002A6F12"/>
    <w:rsid w:val="002A75AF"/>
    <w:rsid w:val="002A7C62"/>
    <w:rsid w:val="002B2CD6"/>
    <w:rsid w:val="002B4015"/>
    <w:rsid w:val="002B78CE"/>
    <w:rsid w:val="002C2FB6"/>
    <w:rsid w:val="002C3A32"/>
    <w:rsid w:val="002C4DE7"/>
    <w:rsid w:val="002D595A"/>
    <w:rsid w:val="002E5FA7"/>
    <w:rsid w:val="002F3309"/>
    <w:rsid w:val="003008CE"/>
    <w:rsid w:val="003009B7"/>
    <w:rsid w:val="00300E56"/>
    <w:rsid w:val="00302C1D"/>
    <w:rsid w:val="0030469C"/>
    <w:rsid w:val="00321CA6"/>
    <w:rsid w:val="00323763"/>
    <w:rsid w:val="003242B4"/>
    <w:rsid w:val="0033025A"/>
    <w:rsid w:val="003314B8"/>
    <w:rsid w:val="00334C09"/>
    <w:rsid w:val="003428F9"/>
    <w:rsid w:val="00352A18"/>
    <w:rsid w:val="00352FE1"/>
    <w:rsid w:val="003723D4"/>
    <w:rsid w:val="00381905"/>
    <w:rsid w:val="00384CC8"/>
    <w:rsid w:val="003871FD"/>
    <w:rsid w:val="0039499E"/>
    <w:rsid w:val="003A11B1"/>
    <w:rsid w:val="003A1E30"/>
    <w:rsid w:val="003A2829"/>
    <w:rsid w:val="003A7D1C"/>
    <w:rsid w:val="003B304B"/>
    <w:rsid w:val="003B3146"/>
    <w:rsid w:val="003B4E2D"/>
    <w:rsid w:val="003D29AA"/>
    <w:rsid w:val="003E003F"/>
    <w:rsid w:val="003F015E"/>
    <w:rsid w:val="003F1E39"/>
    <w:rsid w:val="00400234"/>
    <w:rsid w:val="00400414"/>
    <w:rsid w:val="0041446B"/>
    <w:rsid w:val="0043093F"/>
    <w:rsid w:val="0044071E"/>
    <w:rsid w:val="0044329C"/>
    <w:rsid w:val="00453E24"/>
    <w:rsid w:val="00457456"/>
    <w:rsid w:val="004577FE"/>
    <w:rsid w:val="00457B9C"/>
    <w:rsid w:val="0046164A"/>
    <w:rsid w:val="004628D2"/>
    <w:rsid w:val="00462DCD"/>
    <w:rsid w:val="004648AD"/>
    <w:rsid w:val="004703A9"/>
    <w:rsid w:val="00471EAA"/>
    <w:rsid w:val="004760DE"/>
    <w:rsid w:val="004763D7"/>
    <w:rsid w:val="004A004E"/>
    <w:rsid w:val="004A24CF"/>
    <w:rsid w:val="004A2F82"/>
    <w:rsid w:val="004A3AF7"/>
    <w:rsid w:val="004A5EC4"/>
    <w:rsid w:val="004C3D1D"/>
    <w:rsid w:val="004C4284"/>
    <w:rsid w:val="004C7913"/>
    <w:rsid w:val="004D368F"/>
    <w:rsid w:val="004D394A"/>
    <w:rsid w:val="004E4180"/>
    <w:rsid w:val="004E4DD6"/>
    <w:rsid w:val="004F03A1"/>
    <w:rsid w:val="004F5E36"/>
    <w:rsid w:val="00507B47"/>
    <w:rsid w:val="00507BEF"/>
    <w:rsid w:val="00507CC9"/>
    <w:rsid w:val="005119A5"/>
    <w:rsid w:val="00513AF8"/>
    <w:rsid w:val="005151FE"/>
    <w:rsid w:val="0051634D"/>
    <w:rsid w:val="00524223"/>
    <w:rsid w:val="005278B7"/>
    <w:rsid w:val="00532016"/>
    <w:rsid w:val="005346C8"/>
    <w:rsid w:val="005351B3"/>
    <w:rsid w:val="005423D9"/>
    <w:rsid w:val="00543611"/>
    <w:rsid w:val="00543E7D"/>
    <w:rsid w:val="00547A68"/>
    <w:rsid w:val="005531C9"/>
    <w:rsid w:val="00570C43"/>
    <w:rsid w:val="00571786"/>
    <w:rsid w:val="0057433C"/>
    <w:rsid w:val="005B0EB9"/>
    <w:rsid w:val="005B2110"/>
    <w:rsid w:val="005B61E6"/>
    <w:rsid w:val="005C1C29"/>
    <w:rsid w:val="005C77E1"/>
    <w:rsid w:val="005D3FE8"/>
    <w:rsid w:val="005D62A9"/>
    <w:rsid w:val="005D668A"/>
    <w:rsid w:val="005D6A2F"/>
    <w:rsid w:val="005E1A82"/>
    <w:rsid w:val="005E794C"/>
    <w:rsid w:val="005F0A28"/>
    <w:rsid w:val="005F0E5E"/>
    <w:rsid w:val="005F4727"/>
    <w:rsid w:val="0060006D"/>
    <w:rsid w:val="00600535"/>
    <w:rsid w:val="00604911"/>
    <w:rsid w:val="00610CD6"/>
    <w:rsid w:val="00613E57"/>
    <w:rsid w:val="00615E18"/>
    <w:rsid w:val="00620DEE"/>
    <w:rsid w:val="00621F92"/>
    <w:rsid w:val="0062280A"/>
    <w:rsid w:val="00625639"/>
    <w:rsid w:val="00626A41"/>
    <w:rsid w:val="00631B33"/>
    <w:rsid w:val="00632445"/>
    <w:rsid w:val="0064184D"/>
    <w:rsid w:val="006422CC"/>
    <w:rsid w:val="00660E3E"/>
    <w:rsid w:val="006626D9"/>
    <w:rsid w:val="00662E74"/>
    <w:rsid w:val="00671583"/>
    <w:rsid w:val="006772AB"/>
    <w:rsid w:val="00680A50"/>
    <w:rsid w:val="00680C23"/>
    <w:rsid w:val="00693766"/>
    <w:rsid w:val="00697FB9"/>
    <w:rsid w:val="006A3281"/>
    <w:rsid w:val="006A49BB"/>
    <w:rsid w:val="006B4888"/>
    <w:rsid w:val="006B4EA2"/>
    <w:rsid w:val="006C2E45"/>
    <w:rsid w:val="006C359C"/>
    <w:rsid w:val="006C5579"/>
    <w:rsid w:val="006C5FCC"/>
    <w:rsid w:val="006D41DC"/>
    <w:rsid w:val="006D5773"/>
    <w:rsid w:val="006D6E8B"/>
    <w:rsid w:val="006E527B"/>
    <w:rsid w:val="006E737D"/>
    <w:rsid w:val="006F485D"/>
    <w:rsid w:val="006F611D"/>
    <w:rsid w:val="00702DB8"/>
    <w:rsid w:val="00713973"/>
    <w:rsid w:val="00720A24"/>
    <w:rsid w:val="00732386"/>
    <w:rsid w:val="0073295B"/>
    <w:rsid w:val="0073514D"/>
    <w:rsid w:val="0073581C"/>
    <w:rsid w:val="00742AE0"/>
    <w:rsid w:val="007447F3"/>
    <w:rsid w:val="0075499F"/>
    <w:rsid w:val="007661C8"/>
    <w:rsid w:val="0077098D"/>
    <w:rsid w:val="007931FA"/>
    <w:rsid w:val="00794949"/>
    <w:rsid w:val="007A3391"/>
    <w:rsid w:val="007A4861"/>
    <w:rsid w:val="007A7BBA"/>
    <w:rsid w:val="007A7C36"/>
    <w:rsid w:val="007A7F84"/>
    <w:rsid w:val="007B0C50"/>
    <w:rsid w:val="007B48F9"/>
    <w:rsid w:val="007C1A43"/>
    <w:rsid w:val="007D3DF0"/>
    <w:rsid w:val="007E2DD5"/>
    <w:rsid w:val="007F0013"/>
    <w:rsid w:val="007F4F2B"/>
    <w:rsid w:val="0080013E"/>
    <w:rsid w:val="00813288"/>
    <w:rsid w:val="0081607A"/>
    <w:rsid w:val="008168FC"/>
    <w:rsid w:val="00830755"/>
    <w:rsid w:val="00830996"/>
    <w:rsid w:val="008345F1"/>
    <w:rsid w:val="00837A55"/>
    <w:rsid w:val="008523B0"/>
    <w:rsid w:val="00860DF2"/>
    <w:rsid w:val="00862D01"/>
    <w:rsid w:val="00865B07"/>
    <w:rsid w:val="008667EA"/>
    <w:rsid w:val="00871E97"/>
    <w:rsid w:val="0087637F"/>
    <w:rsid w:val="0087769B"/>
    <w:rsid w:val="008925B0"/>
    <w:rsid w:val="00892AD5"/>
    <w:rsid w:val="008944A5"/>
    <w:rsid w:val="00896AA3"/>
    <w:rsid w:val="008A1512"/>
    <w:rsid w:val="008A6302"/>
    <w:rsid w:val="008B1CD9"/>
    <w:rsid w:val="008C4DD7"/>
    <w:rsid w:val="008C5381"/>
    <w:rsid w:val="008D32B9"/>
    <w:rsid w:val="008D4021"/>
    <w:rsid w:val="008D433B"/>
    <w:rsid w:val="008E566E"/>
    <w:rsid w:val="008E6ED6"/>
    <w:rsid w:val="008F1AF7"/>
    <w:rsid w:val="0090161A"/>
    <w:rsid w:val="00901A0A"/>
    <w:rsid w:val="00901EB6"/>
    <w:rsid w:val="00902537"/>
    <w:rsid w:val="00904C62"/>
    <w:rsid w:val="00906081"/>
    <w:rsid w:val="009141C5"/>
    <w:rsid w:val="00922BA8"/>
    <w:rsid w:val="00924DAC"/>
    <w:rsid w:val="00927058"/>
    <w:rsid w:val="0093352F"/>
    <w:rsid w:val="00942750"/>
    <w:rsid w:val="009450CE"/>
    <w:rsid w:val="00945AB6"/>
    <w:rsid w:val="00947179"/>
    <w:rsid w:val="0095164B"/>
    <w:rsid w:val="00954090"/>
    <w:rsid w:val="00954A6C"/>
    <w:rsid w:val="009573E7"/>
    <w:rsid w:val="00960B09"/>
    <w:rsid w:val="00963E05"/>
    <w:rsid w:val="00964A45"/>
    <w:rsid w:val="00967843"/>
    <w:rsid w:val="00967D54"/>
    <w:rsid w:val="00971028"/>
    <w:rsid w:val="00972523"/>
    <w:rsid w:val="00976FBF"/>
    <w:rsid w:val="00981F36"/>
    <w:rsid w:val="00993B84"/>
    <w:rsid w:val="00996483"/>
    <w:rsid w:val="00996F5A"/>
    <w:rsid w:val="009A4F74"/>
    <w:rsid w:val="009A767C"/>
    <w:rsid w:val="009B041A"/>
    <w:rsid w:val="009B246A"/>
    <w:rsid w:val="009B7D22"/>
    <w:rsid w:val="009C37C3"/>
    <w:rsid w:val="009C482E"/>
    <w:rsid w:val="009C6A70"/>
    <w:rsid w:val="009C7C86"/>
    <w:rsid w:val="009D2FF7"/>
    <w:rsid w:val="009D6D57"/>
    <w:rsid w:val="009E7884"/>
    <w:rsid w:val="009E788A"/>
    <w:rsid w:val="009F0E08"/>
    <w:rsid w:val="00A1763D"/>
    <w:rsid w:val="00A17CEC"/>
    <w:rsid w:val="00A20861"/>
    <w:rsid w:val="00A2346B"/>
    <w:rsid w:val="00A25960"/>
    <w:rsid w:val="00A27EF0"/>
    <w:rsid w:val="00A323EF"/>
    <w:rsid w:val="00A356D3"/>
    <w:rsid w:val="00A364C6"/>
    <w:rsid w:val="00A42361"/>
    <w:rsid w:val="00A44B63"/>
    <w:rsid w:val="00A50B20"/>
    <w:rsid w:val="00A51390"/>
    <w:rsid w:val="00A52099"/>
    <w:rsid w:val="00A57FC2"/>
    <w:rsid w:val="00A60D13"/>
    <w:rsid w:val="00A61CDE"/>
    <w:rsid w:val="00A72745"/>
    <w:rsid w:val="00A7483A"/>
    <w:rsid w:val="00A76EFC"/>
    <w:rsid w:val="00A80150"/>
    <w:rsid w:val="00A867F5"/>
    <w:rsid w:val="00A91010"/>
    <w:rsid w:val="00A942BE"/>
    <w:rsid w:val="00A958B4"/>
    <w:rsid w:val="00A97F29"/>
    <w:rsid w:val="00AA6838"/>
    <w:rsid w:val="00AA702E"/>
    <w:rsid w:val="00AB0964"/>
    <w:rsid w:val="00AB5011"/>
    <w:rsid w:val="00AB5610"/>
    <w:rsid w:val="00AC073B"/>
    <w:rsid w:val="00AC2EAC"/>
    <w:rsid w:val="00AC7368"/>
    <w:rsid w:val="00AD16B9"/>
    <w:rsid w:val="00AE1712"/>
    <w:rsid w:val="00AE377D"/>
    <w:rsid w:val="00AE598D"/>
    <w:rsid w:val="00AF0EBA"/>
    <w:rsid w:val="00AF6775"/>
    <w:rsid w:val="00AF7DC0"/>
    <w:rsid w:val="00B022B8"/>
    <w:rsid w:val="00B02C8A"/>
    <w:rsid w:val="00B03347"/>
    <w:rsid w:val="00B12F78"/>
    <w:rsid w:val="00B143AE"/>
    <w:rsid w:val="00B17FBD"/>
    <w:rsid w:val="00B22993"/>
    <w:rsid w:val="00B246AD"/>
    <w:rsid w:val="00B315A6"/>
    <w:rsid w:val="00B31813"/>
    <w:rsid w:val="00B33365"/>
    <w:rsid w:val="00B3529E"/>
    <w:rsid w:val="00B57B36"/>
    <w:rsid w:val="00B57E6F"/>
    <w:rsid w:val="00B60D47"/>
    <w:rsid w:val="00B81B50"/>
    <w:rsid w:val="00B8686D"/>
    <w:rsid w:val="00B93B66"/>
    <w:rsid w:val="00B93F69"/>
    <w:rsid w:val="00BA3F53"/>
    <w:rsid w:val="00BA590C"/>
    <w:rsid w:val="00BA6FD7"/>
    <w:rsid w:val="00BB1DDC"/>
    <w:rsid w:val="00BB7205"/>
    <w:rsid w:val="00BC24E4"/>
    <w:rsid w:val="00BC30C9"/>
    <w:rsid w:val="00BD077D"/>
    <w:rsid w:val="00BE3776"/>
    <w:rsid w:val="00BE3E58"/>
    <w:rsid w:val="00C01616"/>
    <w:rsid w:val="00C0162B"/>
    <w:rsid w:val="00C068ED"/>
    <w:rsid w:val="00C07DAD"/>
    <w:rsid w:val="00C10529"/>
    <w:rsid w:val="00C111FF"/>
    <w:rsid w:val="00C114B3"/>
    <w:rsid w:val="00C22E0C"/>
    <w:rsid w:val="00C2524B"/>
    <w:rsid w:val="00C32AB5"/>
    <w:rsid w:val="00C345B1"/>
    <w:rsid w:val="00C40142"/>
    <w:rsid w:val="00C52C3C"/>
    <w:rsid w:val="00C55D58"/>
    <w:rsid w:val="00C57182"/>
    <w:rsid w:val="00C57863"/>
    <w:rsid w:val="00C62FE0"/>
    <w:rsid w:val="00C63F95"/>
    <w:rsid w:val="00C655FD"/>
    <w:rsid w:val="00C75407"/>
    <w:rsid w:val="00C870A8"/>
    <w:rsid w:val="00C915B3"/>
    <w:rsid w:val="00C91825"/>
    <w:rsid w:val="00C94434"/>
    <w:rsid w:val="00C97A0A"/>
    <w:rsid w:val="00CA0D75"/>
    <w:rsid w:val="00CA1C95"/>
    <w:rsid w:val="00CA3F55"/>
    <w:rsid w:val="00CA5A9C"/>
    <w:rsid w:val="00CC4C20"/>
    <w:rsid w:val="00CC6100"/>
    <w:rsid w:val="00CD3517"/>
    <w:rsid w:val="00CD5FE2"/>
    <w:rsid w:val="00CE0014"/>
    <w:rsid w:val="00CE7C68"/>
    <w:rsid w:val="00CF6325"/>
    <w:rsid w:val="00D02B4C"/>
    <w:rsid w:val="00D02D9E"/>
    <w:rsid w:val="00D040C4"/>
    <w:rsid w:val="00D06542"/>
    <w:rsid w:val="00D1177F"/>
    <w:rsid w:val="00D269F4"/>
    <w:rsid w:val="00D31780"/>
    <w:rsid w:val="00D33739"/>
    <w:rsid w:val="00D3747C"/>
    <w:rsid w:val="00D40B73"/>
    <w:rsid w:val="00D44C4E"/>
    <w:rsid w:val="00D464F2"/>
    <w:rsid w:val="00D46B7E"/>
    <w:rsid w:val="00D57C84"/>
    <w:rsid w:val="00D6057D"/>
    <w:rsid w:val="00D70E8A"/>
    <w:rsid w:val="00D70FF6"/>
    <w:rsid w:val="00D71640"/>
    <w:rsid w:val="00D836C5"/>
    <w:rsid w:val="00D84576"/>
    <w:rsid w:val="00D96F9F"/>
    <w:rsid w:val="00DA1399"/>
    <w:rsid w:val="00DA24C6"/>
    <w:rsid w:val="00DA4D7B"/>
    <w:rsid w:val="00DA6026"/>
    <w:rsid w:val="00DC1599"/>
    <w:rsid w:val="00DD219A"/>
    <w:rsid w:val="00DE264A"/>
    <w:rsid w:val="00DF2688"/>
    <w:rsid w:val="00DF5072"/>
    <w:rsid w:val="00DF60C6"/>
    <w:rsid w:val="00E02D18"/>
    <w:rsid w:val="00E030A7"/>
    <w:rsid w:val="00E041E7"/>
    <w:rsid w:val="00E14DC7"/>
    <w:rsid w:val="00E20BD2"/>
    <w:rsid w:val="00E23CA1"/>
    <w:rsid w:val="00E23FDA"/>
    <w:rsid w:val="00E409A8"/>
    <w:rsid w:val="00E42402"/>
    <w:rsid w:val="00E427E3"/>
    <w:rsid w:val="00E44C01"/>
    <w:rsid w:val="00E50C12"/>
    <w:rsid w:val="00E54AF1"/>
    <w:rsid w:val="00E65B91"/>
    <w:rsid w:val="00E7209D"/>
    <w:rsid w:val="00E72EAD"/>
    <w:rsid w:val="00E77223"/>
    <w:rsid w:val="00E8198E"/>
    <w:rsid w:val="00E8528B"/>
    <w:rsid w:val="00E85B94"/>
    <w:rsid w:val="00E978D0"/>
    <w:rsid w:val="00EA2E25"/>
    <w:rsid w:val="00EA4613"/>
    <w:rsid w:val="00EA5680"/>
    <w:rsid w:val="00EA7F91"/>
    <w:rsid w:val="00EB1523"/>
    <w:rsid w:val="00EC0E49"/>
    <w:rsid w:val="00EC101F"/>
    <w:rsid w:val="00EC1D9F"/>
    <w:rsid w:val="00ED3616"/>
    <w:rsid w:val="00ED4ABB"/>
    <w:rsid w:val="00EE0131"/>
    <w:rsid w:val="00EE17B0"/>
    <w:rsid w:val="00EF06D9"/>
    <w:rsid w:val="00F13C8F"/>
    <w:rsid w:val="00F16B07"/>
    <w:rsid w:val="00F30C64"/>
    <w:rsid w:val="00F32BA2"/>
    <w:rsid w:val="00F32CDB"/>
    <w:rsid w:val="00F37E08"/>
    <w:rsid w:val="00F425E4"/>
    <w:rsid w:val="00F54399"/>
    <w:rsid w:val="00F565FE"/>
    <w:rsid w:val="00F63A70"/>
    <w:rsid w:val="00F66DEF"/>
    <w:rsid w:val="00F74A5B"/>
    <w:rsid w:val="00F7534E"/>
    <w:rsid w:val="00F821AC"/>
    <w:rsid w:val="00F86603"/>
    <w:rsid w:val="00F9716D"/>
    <w:rsid w:val="00F9760D"/>
    <w:rsid w:val="00FA1802"/>
    <w:rsid w:val="00FA21D0"/>
    <w:rsid w:val="00FA5BEB"/>
    <w:rsid w:val="00FA5F5F"/>
    <w:rsid w:val="00FA6EC4"/>
    <w:rsid w:val="00FB5EDE"/>
    <w:rsid w:val="00FB730C"/>
    <w:rsid w:val="00FC2695"/>
    <w:rsid w:val="00FC3E03"/>
    <w:rsid w:val="00FC3FC1"/>
    <w:rsid w:val="00FC7060"/>
    <w:rsid w:val="00FC7341"/>
    <w:rsid w:val="00FD4502"/>
    <w:rsid w:val="00FE41BB"/>
    <w:rsid w:val="00FE685E"/>
    <w:rsid w:val="00FF019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B7205"/>
    <w:pPr>
      <w:keepNext/>
      <w:numPr>
        <w:ilvl w:val="2"/>
        <w:numId w:val="1"/>
      </w:numPr>
      <w:suppressAutoHyphens/>
      <w:spacing w:before="100" w:after="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B720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paragraph" w:customStyle="1" w:styleId="Default">
    <w:name w:val="Default"/>
    <w:rsid w:val="00F66DEF"/>
    <w:pPr>
      <w:autoSpaceDE w:val="0"/>
      <w:autoSpaceDN w:val="0"/>
      <w:adjustRightInd w:val="0"/>
      <w:spacing w:after="0" w:line="240" w:lineRule="auto"/>
    </w:pPr>
    <w:rPr>
      <w:rFonts w:ascii="Arial" w:hAnsi="Arial" w:cs="Arial"/>
      <w:color w:val="000000"/>
      <w:sz w:val="24"/>
      <w:szCs w:val="24"/>
      <w:lang w:val="el-GR"/>
    </w:rPr>
  </w:style>
  <w:style w:type="character" w:styleId="UnresolvedMention">
    <w:name w:val="Unresolved Mention"/>
    <w:basedOn w:val="DefaultParagraphFont"/>
    <w:uiPriority w:val="99"/>
    <w:semiHidden/>
    <w:unhideWhenUsed/>
    <w:rsid w:val="0073581C"/>
    <w:rPr>
      <w:color w:val="605E5C"/>
      <w:shd w:val="clear" w:color="auto" w:fill="E1DFDD"/>
    </w:rPr>
  </w:style>
  <w:style w:type="character" w:styleId="FollowedHyperlink">
    <w:name w:val="FollowedHyperlink"/>
    <w:basedOn w:val="DefaultParagraphFont"/>
    <w:uiPriority w:val="99"/>
    <w:semiHidden/>
    <w:unhideWhenUsed/>
    <w:rsid w:val="00212BF3"/>
    <w:rPr>
      <w:color w:val="800080" w:themeColor="followedHyperlink"/>
      <w:u w:val="single"/>
    </w:rPr>
  </w:style>
  <w:style w:type="character" w:styleId="Emphasis">
    <w:name w:val="Emphasis"/>
    <w:basedOn w:val="DefaultParagraphFont"/>
    <w:uiPriority w:val="20"/>
    <w:qFormat/>
    <w:rsid w:val="00D464F2"/>
    <w:rPr>
      <w:i/>
      <w:iCs/>
    </w:rPr>
  </w:style>
  <w:style w:type="paragraph" w:customStyle="1" w:styleId="EndNoteBibliographyTitle">
    <w:name w:val="EndNote Bibliography Title"/>
    <w:basedOn w:val="Normal"/>
    <w:link w:val="EndNoteBibliographyTitleChar"/>
    <w:rsid w:val="00F821AC"/>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F821AC"/>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F821AC"/>
    <w:pPr>
      <w:spacing w:line="240" w:lineRule="auto"/>
    </w:pPr>
    <w:rPr>
      <w:rFonts w:cs="Arial"/>
      <w:noProof/>
      <w:lang w:val="en-US"/>
    </w:rPr>
  </w:style>
  <w:style w:type="character" w:customStyle="1" w:styleId="EndNoteBibliographyChar">
    <w:name w:val="EndNote Bibliography Char"/>
    <w:basedOn w:val="CETBodytextCarattere"/>
    <w:link w:val="EndNoteBibliography"/>
    <w:rsid w:val="00F821AC"/>
    <w:rPr>
      <w:rFonts w:ascii="Arial" w:eastAsia="Times New Roman" w:hAnsi="Arial" w:cs="Arial"/>
      <w:noProof/>
      <w:sz w:val="18"/>
      <w:szCs w:val="20"/>
      <w:lang w:val="en-US"/>
    </w:rPr>
  </w:style>
  <w:style w:type="paragraph" w:customStyle="1" w:styleId="CETREFERENCEBODY">
    <w:name w:val="CET REFERENCE BODY"/>
    <w:basedOn w:val="EndNoteBibliography"/>
    <w:rsid w:val="003F1E39"/>
    <w:pPr>
      <w:ind w:left="720" w:hanging="720"/>
    </w:pPr>
  </w:style>
  <w:style w:type="paragraph" w:customStyle="1" w:styleId="CETfigure">
    <w:name w:val="CET figure"/>
    <w:basedOn w:val="Normal"/>
    <w:rsid w:val="00A958B4"/>
    <w:pPr>
      <w:tabs>
        <w:tab w:val="clear" w:pos="7100"/>
      </w:tabs>
      <w:spacing w:after="200" w:line="276"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7728">
      <w:bodyDiv w:val="1"/>
      <w:marLeft w:val="0"/>
      <w:marRight w:val="0"/>
      <w:marTop w:val="0"/>
      <w:marBottom w:val="0"/>
      <w:divBdr>
        <w:top w:val="none" w:sz="0" w:space="0" w:color="auto"/>
        <w:left w:val="none" w:sz="0" w:space="0" w:color="auto"/>
        <w:bottom w:val="none" w:sz="0" w:space="0" w:color="auto"/>
        <w:right w:val="none" w:sz="0" w:space="0" w:color="auto"/>
      </w:divBdr>
    </w:div>
    <w:div w:id="244194699">
      <w:bodyDiv w:val="1"/>
      <w:marLeft w:val="0"/>
      <w:marRight w:val="0"/>
      <w:marTop w:val="0"/>
      <w:marBottom w:val="0"/>
      <w:divBdr>
        <w:top w:val="none" w:sz="0" w:space="0" w:color="auto"/>
        <w:left w:val="none" w:sz="0" w:space="0" w:color="auto"/>
        <w:bottom w:val="none" w:sz="0" w:space="0" w:color="auto"/>
        <w:right w:val="none" w:sz="0" w:space="0" w:color="auto"/>
      </w:divBdr>
    </w:div>
    <w:div w:id="509368424">
      <w:bodyDiv w:val="1"/>
      <w:marLeft w:val="0"/>
      <w:marRight w:val="0"/>
      <w:marTop w:val="0"/>
      <w:marBottom w:val="0"/>
      <w:divBdr>
        <w:top w:val="none" w:sz="0" w:space="0" w:color="auto"/>
        <w:left w:val="none" w:sz="0" w:space="0" w:color="auto"/>
        <w:bottom w:val="none" w:sz="0" w:space="0" w:color="auto"/>
        <w:right w:val="none" w:sz="0" w:space="0" w:color="auto"/>
      </w:divBdr>
    </w:div>
    <w:div w:id="621766534">
      <w:bodyDiv w:val="1"/>
      <w:marLeft w:val="0"/>
      <w:marRight w:val="0"/>
      <w:marTop w:val="0"/>
      <w:marBottom w:val="0"/>
      <w:divBdr>
        <w:top w:val="none" w:sz="0" w:space="0" w:color="auto"/>
        <w:left w:val="none" w:sz="0" w:space="0" w:color="auto"/>
        <w:bottom w:val="none" w:sz="0" w:space="0" w:color="auto"/>
        <w:right w:val="none" w:sz="0" w:space="0" w:color="auto"/>
      </w:divBdr>
      <w:divsChild>
        <w:div w:id="4015679">
          <w:marLeft w:val="547"/>
          <w:marRight w:val="0"/>
          <w:marTop w:val="0"/>
          <w:marBottom w:val="40"/>
          <w:divBdr>
            <w:top w:val="none" w:sz="0" w:space="0" w:color="auto"/>
            <w:left w:val="none" w:sz="0" w:space="0" w:color="auto"/>
            <w:bottom w:val="none" w:sz="0" w:space="0" w:color="auto"/>
            <w:right w:val="none" w:sz="0" w:space="0" w:color="auto"/>
          </w:divBdr>
        </w:div>
        <w:div w:id="1435325220">
          <w:marLeft w:val="547"/>
          <w:marRight w:val="0"/>
          <w:marTop w:val="0"/>
          <w:marBottom w:val="40"/>
          <w:divBdr>
            <w:top w:val="none" w:sz="0" w:space="0" w:color="auto"/>
            <w:left w:val="none" w:sz="0" w:space="0" w:color="auto"/>
            <w:bottom w:val="none" w:sz="0" w:space="0" w:color="auto"/>
            <w:right w:val="none" w:sz="0" w:space="0" w:color="auto"/>
          </w:divBdr>
        </w:div>
      </w:divsChild>
    </w:div>
    <w:div w:id="67515525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355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81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2727095">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0242694">
      <w:bodyDiv w:val="1"/>
      <w:marLeft w:val="0"/>
      <w:marRight w:val="0"/>
      <w:marTop w:val="0"/>
      <w:marBottom w:val="0"/>
      <w:divBdr>
        <w:top w:val="none" w:sz="0" w:space="0" w:color="auto"/>
        <w:left w:val="none" w:sz="0" w:space="0" w:color="auto"/>
        <w:bottom w:val="none" w:sz="0" w:space="0" w:color="auto"/>
        <w:right w:val="none" w:sz="0" w:space="0" w:color="auto"/>
      </w:divBdr>
    </w:div>
    <w:div w:id="154213084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6039">
      <w:bodyDiv w:val="1"/>
      <w:marLeft w:val="0"/>
      <w:marRight w:val="0"/>
      <w:marTop w:val="0"/>
      <w:marBottom w:val="0"/>
      <w:divBdr>
        <w:top w:val="none" w:sz="0" w:space="0" w:color="auto"/>
        <w:left w:val="none" w:sz="0" w:space="0" w:color="auto"/>
        <w:bottom w:val="none" w:sz="0" w:space="0" w:color="auto"/>
        <w:right w:val="none" w:sz="0" w:space="0" w:color="auto"/>
      </w:divBdr>
      <w:divsChild>
        <w:div w:id="1134520230">
          <w:marLeft w:val="446"/>
          <w:marRight w:val="0"/>
          <w:marTop w:val="200"/>
          <w:marBottom w:val="0"/>
          <w:divBdr>
            <w:top w:val="none" w:sz="0" w:space="0" w:color="auto"/>
            <w:left w:val="none" w:sz="0" w:space="0" w:color="auto"/>
            <w:bottom w:val="none" w:sz="0" w:space="0" w:color="auto"/>
            <w:right w:val="none" w:sz="0" w:space="0" w:color="auto"/>
          </w:divBdr>
        </w:div>
      </w:divsChild>
    </w:div>
    <w:div w:id="1728257989">
      <w:bodyDiv w:val="1"/>
      <w:marLeft w:val="0"/>
      <w:marRight w:val="0"/>
      <w:marTop w:val="0"/>
      <w:marBottom w:val="0"/>
      <w:divBdr>
        <w:top w:val="none" w:sz="0" w:space="0" w:color="auto"/>
        <w:left w:val="none" w:sz="0" w:space="0" w:color="auto"/>
        <w:bottom w:val="none" w:sz="0" w:space="0" w:color="auto"/>
        <w:right w:val="none" w:sz="0" w:space="0" w:color="auto"/>
      </w:divBdr>
    </w:div>
    <w:div w:id="1921333204">
      <w:bodyDiv w:val="1"/>
      <w:marLeft w:val="0"/>
      <w:marRight w:val="0"/>
      <w:marTop w:val="0"/>
      <w:marBottom w:val="0"/>
      <w:divBdr>
        <w:top w:val="none" w:sz="0" w:space="0" w:color="auto"/>
        <w:left w:val="none" w:sz="0" w:space="0" w:color="auto"/>
        <w:bottom w:val="none" w:sz="0" w:space="0" w:color="auto"/>
        <w:right w:val="none" w:sz="0" w:space="0" w:color="auto"/>
      </w:divBdr>
    </w:div>
    <w:div w:id="2106341208">
      <w:bodyDiv w:val="1"/>
      <w:marLeft w:val="0"/>
      <w:marRight w:val="0"/>
      <w:marTop w:val="0"/>
      <w:marBottom w:val="0"/>
      <w:divBdr>
        <w:top w:val="none" w:sz="0" w:space="0" w:color="auto"/>
        <w:left w:val="none" w:sz="0" w:space="0" w:color="auto"/>
        <w:bottom w:val="none" w:sz="0" w:space="0" w:color="auto"/>
        <w:right w:val="none" w:sz="0" w:space="0" w:color="auto"/>
      </w:divBdr>
      <w:divsChild>
        <w:div w:id="112097942">
          <w:marLeft w:val="446"/>
          <w:marRight w:val="0"/>
          <w:marTop w:val="20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hyperlink" Target="mailto:lainanandia@gmail.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514C-5724-4ED8-90F6-4EF72CA4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6</Pages>
  <Words>3803</Words>
  <Characters>20537</Characters>
  <Application>Microsoft Office Word</Application>
  <DocSecurity>0</DocSecurity>
  <Lines>171</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nandia laina</cp:lastModifiedBy>
  <cp:revision>60</cp:revision>
  <cp:lastPrinted>2015-05-12T18:31:00Z</cp:lastPrinted>
  <dcterms:created xsi:type="dcterms:W3CDTF">2022-02-01T14:57:00Z</dcterms:created>
  <dcterms:modified xsi:type="dcterms:W3CDTF">2022-03-21T11:31:00Z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