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29EA4F62" w:rsidR="00E978D0" w:rsidRPr="000260A0" w:rsidRDefault="0048541B" w:rsidP="00E978D0">
      <w:pPr>
        <w:pStyle w:val="CETTitle"/>
      </w:pPr>
      <w:r w:rsidRPr="000260A0">
        <w:t>Microalgae Cells Tracking in Hybrid Tubular Photobioreactor</w:t>
      </w:r>
    </w:p>
    <w:p w14:paraId="0488FED2" w14:textId="6DED80E9" w:rsidR="00B57E6F" w:rsidRPr="000260A0" w:rsidRDefault="0048541B" w:rsidP="00B57E6F">
      <w:pPr>
        <w:pStyle w:val="CETAuthors"/>
      </w:pPr>
      <w:r w:rsidRPr="000260A0">
        <w:t>Vojtech Belohlav*</w:t>
      </w:r>
      <w:r w:rsidR="00B57E6F" w:rsidRPr="000260A0">
        <w:t xml:space="preserve">, </w:t>
      </w:r>
      <w:r w:rsidRPr="000260A0">
        <w:t>Tomas Jirout</w:t>
      </w:r>
      <w:r w:rsidR="00B57E6F" w:rsidRPr="000260A0">
        <w:t xml:space="preserve">, </w:t>
      </w:r>
      <w:r w:rsidRPr="000260A0">
        <w:t>Lukas Kratky</w:t>
      </w:r>
    </w:p>
    <w:p w14:paraId="6B2D21B3" w14:textId="0D14FD34" w:rsidR="00B57E6F" w:rsidRPr="000260A0" w:rsidRDefault="0048541B" w:rsidP="00B57E6F">
      <w:pPr>
        <w:pStyle w:val="CETAddress"/>
      </w:pPr>
      <w:r w:rsidRPr="000260A0">
        <w:t>Czech Technical University in Prague, Faculty of Mechanical Engineering, Department of Process Engineering, Technicka 4, 16000, Prague, Czech Republic</w:t>
      </w:r>
      <w:r w:rsidR="00B57E6F" w:rsidRPr="000260A0">
        <w:t xml:space="preserve"> </w:t>
      </w:r>
    </w:p>
    <w:p w14:paraId="73F1267A" w14:textId="354572E9" w:rsidR="00B57E6F" w:rsidRPr="000260A0" w:rsidRDefault="0048541B" w:rsidP="00B57E6F">
      <w:pPr>
        <w:pStyle w:val="CETemail"/>
      </w:pPr>
      <w:r w:rsidRPr="000260A0">
        <w:t>vojtech.belohlav</w:t>
      </w:r>
      <w:r w:rsidR="00B57E6F" w:rsidRPr="000260A0">
        <w:t>@</w:t>
      </w:r>
      <w:r w:rsidRPr="000260A0">
        <w:t>fs.cvut.cz</w:t>
      </w:r>
    </w:p>
    <w:p w14:paraId="37A61FCE" w14:textId="117E7C90" w:rsidR="00DA24C6" w:rsidRPr="000260A0" w:rsidRDefault="00334503" w:rsidP="00103241">
      <w:pPr>
        <w:pStyle w:val="CETBodytext"/>
      </w:pPr>
      <w:r>
        <w:t>The mixing</w:t>
      </w:r>
      <w:r w:rsidR="00BB0576" w:rsidRPr="000260A0">
        <w:t xml:space="preserve"> of the culture medium in a photobioreactor (PBR) is very important to </w:t>
      </w:r>
      <w:r>
        <w:t>enhance the cultivation of</w:t>
      </w:r>
      <w:r w:rsidR="00BB0576" w:rsidRPr="000260A0">
        <w:t xml:space="preserve"> </w:t>
      </w:r>
      <w:r>
        <w:t>microalgae</w:t>
      </w:r>
      <w:r w:rsidR="00BB0576" w:rsidRPr="000260A0">
        <w:t xml:space="preserve"> since it ensures</w:t>
      </w:r>
      <w:r w:rsidR="00B469D6" w:rsidRPr="000260A0">
        <w:t xml:space="preserve"> that</w:t>
      </w:r>
      <w:r w:rsidR="00BB0576" w:rsidRPr="000260A0">
        <w:t xml:space="preserve"> microalgae cells </w:t>
      </w:r>
      <w:r>
        <w:t>can</w:t>
      </w:r>
      <w:r w:rsidR="00BB0576" w:rsidRPr="000260A0">
        <w:t xml:space="preserve"> access nutrients and light radiation. In this study, a numerical model of hydrodynamic conditions was developed to investigate the mixing of the culture medium in a hybrid tubular photobioreactor under various operating conditions. </w:t>
      </w:r>
      <w:r>
        <w:t>The movements of microalgae</w:t>
      </w:r>
      <w:r w:rsidR="00BB0576" w:rsidRPr="000260A0">
        <w:t xml:space="preserve"> </w:t>
      </w:r>
      <w:r>
        <w:t>cells</w:t>
      </w:r>
      <w:r w:rsidR="00BB0576" w:rsidRPr="000260A0">
        <w:t xml:space="preserve"> in transparent tubes was simulated. The motion of the cells was integrated into a mechanistic </w:t>
      </w:r>
      <w:r>
        <w:t>model,</w:t>
      </w:r>
      <w:r w:rsidR="00BB0576" w:rsidRPr="000260A0">
        <w:t xml:space="preserve"> to simulate the influence of operating parameters on the distribution of light in the culture medium and, consequently, on the production of microalgae. According to the developed </w:t>
      </w:r>
      <w:r w:rsidR="00B469D6" w:rsidRPr="000260A0">
        <w:t xml:space="preserve">multi-physical </w:t>
      </w:r>
      <w:r w:rsidR="00BB0576" w:rsidRPr="000260A0">
        <w:t xml:space="preserve">model, when the flow rate of </w:t>
      </w:r>
      <w:r w:rsidR="00827447">
        <w:t xml:space="preserve">the </w:t>
      </w:r>
      <w:r w:rsidR="00BB0576" w:rsidRPr="000260A0">
        <w:t>culture medium increases, more intensive mixing takes place in the transparent area of hybrid tubular PBR, and microalgal cells are more often exposed to light radiation.</w:t>
      </w:r>
      <w:r w:rsidR="00C565D2" w:rsidRPr="000260A0">
        <w:t xml:space="preserve"> </w:t>
      </w:r>
      <w:r>
        <w:t>Intensification of mixing</w:t>
      </w:r>
      <w:r w:rsidR="00C565D2" w:rsidRPr="000260A0">
        <w:t xml:space="preserve"> showed an increase in microalgal biomass production. </w:t>
      </w:r>
      <w:r w:rsidR="00B469D6" w:rsidRPr="000260A0">
        <w:t xml:space="preserve">However, the increase in production was very low because the concentration of microalgal biomass in the culture medium was generally low </w:t>
      </w:r>
      <w:r>
        <w:t>and therefore</w:t>
      </w:r>
      <w:r w:rsidR="00B469D6" w:rsidRPr="000260A0">
        <w:t xml:space="preserve"> the penetration of incident light </w:t>
      </w:r>
      <w:r>
        <w:t>into</w:t>
      </w:r>
      <w:r w:rsidR="00B469D6" w:rsidRPr="000260A0">
        <w:t xml:space="preserve"> the culture medium </w:t>
      </w:r>
      <w:r>
        <w:t>was</w:t>
      </w:r>
      <w:r w:rsidR="00B469D6" w:rsidRPr="000260A0">
        <w:t xml:space="preserve"> not limited.</w:t>
      </w:r>
    </w:p>
    <w:p w14:paraId="476B2F2E" w14:textId="77777777" w:rsidR="00600535" w:rsidRPr="000260A0" w:rsidRDefault="00600535" w:rsidP="00600535">
      <w:pPr>
        <w:pStyle w:val="CETHeading1"/>
        <w:rPr>
          <w:lang w:val="en-GB"/>
        </w:rPr>
      </w:pPr>
      <w:r w:rsidRPr="000260A0">
        <w:rPr>
          <w:lang w:val="en-GB"/>
        </w:rPr>
        <w:t>Introduction</w:t>
      </w:r>
    </w:p>
    <w:p w14:paraId="0A6D4B99" w14:textId="3C7D634D" w:rsidR="00BA3007" w:rsidRPr="000260A0" w:rsidRDefault="00265CA1" w:rsidP="00103241">
      <w:pPr>
        <w:pStyle w:val="CETListbullets"/>
        <w:ind w:left="0" w:firstLine="0"/>
      </w:pPr>
      <w:r w:rsidRPr="000260A0">
        <w:t>Mixing the culture medium with microalgae biomass has a s</w:t>
      </w:r>
      <w:r w:rsidR="00EB4743" w:rsidRPr="000260A0">
        <w:t>ignificant</w:t>
      </w:r>
      <w:r w:rsidRPr="000260A0">
        <w:t xml:space="preserve"> influence on the cultivation process</w:t>
      </w:r>
      <w:r w:rsidR="00B878DB" w:rsidRPr="000260A0">
        <w:t xml:space="preserve"> </w:t>
      </w:r>
      <w:r w:rsidR="00B878DB" w:rsidRPr="000260A0">
        <w:fldChar w:fldCharType="begin" w:fldLock="1"/>
      </w:r>
      <w:r w:rsidR="00B878DB" w:rsidRPr="000260A0">
        <w:instrText>ADDIN CSL_CITATION {"citationItems":[{"id":"ITEM-1","itemData":{"DOI":"10.1155/2020/8815263","ISSN":"14723654","PMID":"32760214","abstract":"At present, large-scale and high-efficiency microalgal cultivation is the key to realizing the technology for carbon capture and storage (CCS) and bioresource recovery. Meanwhile, tubular photobioreactors (PBRs) have great potential for microalgal cultivation due to their high productivity. To improve the mixing performance and flashing-light effect, a novel tube PBR with the inner tube tangential to the outer tube was developed, whose radial aeration pores are situated along the length of the inner tube. The direction of aeration, aeration rate, light/dark cycle period (L/D), light-time ratio, average turbulent kinetic energy (TKE), and degree of synergy between the velocity and direction of the light field in the PBR were optimized by a computational fluid dynamics (CFD) simulation and field synergy theory. The results show that a downwards aeration direction of 30° and an aeration rate of 0.7 vvm are the most conducive to reducing the dead zone and improving the light/dark cycle frequency. Compared to the concentric double-tube PBR, the light/dark cycle frequency and light time of the tangent double-tube PBR increased by 78.2% and 36.2% to 1.8 Hz and 47.8%, respectively, and the TKE was enhanced by 48.1% from 54 to 80 cm2·s-2. Meanwhile, field synergy theory can be extended and applied to the design of tubular microalgae PBRs, and the average synergy of the light and velocity gradients across the cross-section increased by 38% to 0.69. The tangential inner tube aeration structure generated symmetrical vertical vortices between the light and dark areas in the PBR, which significantly improved the mixing performance and flashing-light effect. This novel design can provide a more suitable microenvironment for microalgal cultivation and is promising for bioresource recovery applications and improving the yield of microalgae.","author":[{"dropping-particle":"","family":"Cui","given":"Xuyang","non-dropping-particle":"","parse-names":false,"suffix":""},{"dropping-particle":"","family":"Yang","given":"Junhong","non-dropping-particle":"","parse-names":false,"suffix":""},{"dropping-particle":"","family":"Feng","given":"Yuanzheng","non-dropping-particle":"","parse-names":false,"suffix":""},{"dropping-particle":"","family":"Zhang","given":"Wenwen","non-dropping-particle":"","parse-names":false,"suffix":""}],"container-title":"Archaea","id":"ITEM-1","issued":{"date-parts":[["2020"]]},"title":"Simulation of a Novel Tubular Microalgae Photobioreactor with Aerated Tangent Inner Tubes: Improvements in Mixing Performance and Flashing-Light Effects","type":"article-journal","volume":"2020"},"uris":["http://www.mendeley.com/documents/?uuid=ace22273-4a2d-4951-8ca7-28f26e1967b3"]}],"mendeley":{"formattedCitation":"(Cui et al., 2020)","plainTextFormattedCitation":"(Cui et al., 2020)","previouslyFormattedCitation":"(Cui et al., 2020)"},"properties":{"noteIndex":0},"schema":"https://github.com/citation-style-language/schema/raw/master/csl-citation.json"}</w:instrText>
      </w:r>
      <w:r w:rsidR="00B878DB" w:rsidRPr="000260A0">
        <w:fldChar w:fldCharType="separate"/>
      </w:r>
      <w:r w:rsidR="00B878DB" w:rsidRPr="000260A0">
        <w:rPr>
          <w:noProof/>
        </w:rPr>
        <w:t>(Cui et al., 2020)</w:t>
      </w:r>
      <w:r w:rsidR="00B878DB" w:rsidRPr="000260A0">
        <w:fldChar w:fldCharType="end"/>
      </w:r>
      <w:r w:rsidR="00103241" w:rsidRPr="000260A0">
        <w:t>.</w:t>
      </w:r>
      <w:r w:rsidR="00B878DB" w:rsidRPr="000260A0">
        <w:t xml:space="preserve"> It is important to </w:t>
      </w:r>
      <w:r w:rsidR="00334503">
        <w:t>avoid</w:t>
      </w:r>
      <w:r w:rsidR="00B878DB" w:rsidRPr="000260A0">
        <w:t xml:space="preserve"> sedimentation of microalgae cells and thus ensure homogeneous access of cells to nutrients and light. Light gradients in the culture medium can occur due to absorption and scattering </w:t>
      </w:r>
      <w:r w:rsidR="00B878DB" w:rsidRPr="000260A0">
        <w:fldChar w:fldCharType="begin" w:fldLock="1"/>
      </w:r>
      <w:r w:rsidR="00F70249" w:rsidRPr="000260A0">
        <w:instrText>ADDIN CSL_CITATION {"citationItems":[{"id":"ITEM-1","itemData":{"DOI":"10.1016/j.jbiotec.2007.05.024","ISBN":"0168-1656 (Print)\\r0168-1656 (Linking)","ISSN":"01681656","PMID":"17681391","abstract":"In photobioreactors, turbulent flow conditions and light gradients frequently occur. Thus, algal cells cultivated in such reactors experience fluctuations in light intensity. This work presents a new method for the calculation of these light-dark patterns. The investigation is focused on temporal and spatial aspects of light patterns which may affect the photosynthetic reaction. The method combines computational fluid dynamics simulations of three-dimensional turbulent single-phase fluid flow with statistical particle tracking and signal analysis. In this way, light-dark phases are derived which affect singular (algal) cells. An example case is presented of a tubular photobioreactor in which static mixers are used for the efficient mixing of liquid and also of gases with liquid. Particle trajectories representing the path of algal cells were analysed to obtain light fluctuations on single cells. Particles were exposed to light-dark phases with frequencies between 3 and 25 Hz in a helical mixer at a mean velocity of 0.5 m s-1, which contrasts to the case of a tube without static mixers, where only frequencies of 0.2-3.1 Hz were obtained under the same conditions. The simulations show the potential of improving radial flow in a tubular photobioreactor by means of using a static mixer and the usefulness of CFD and trajectory analysis for scale-down/scale-up. © 2007 Elsevier B.V. All rights reserved.","author":[{"dropping-particle":"","family":"Perner-Nochta","given":"Iris","non-dropping-particle":"","parse-names":false,"suffix":""},{"dropping-particle":"","family":"Posten","given":"Clemens","non-dropping-particle":"","parse-names":false,"suffix":""}],"container-title":"Journal of Biotechnology","id":"ITEM-1","issue":"3","issued":{"date-parts":[["2007"]]},"page":"276-285","title":"Simulations of light intensity variation in photobioreactors","type":"article-journal","volume":"131"},"uris":["http://www.mendeley.com/documents/?uuid=c3adff36-3545-481f-9c38-bbb648f7a1f1"]}],"mendeley":{"formattedCitation":"(Perner-Nochta &amp; Posten, 2007)","manualFormatting":"(Perner-Nochta and Posten, 2007)","plainTextFormattedCitation":"(Perner-Nochta &amp; Posten, 2007)","previouslyFormattedCitation":"(Perner-Nochta &amp; Posten, 2007)"},"properties":{"noteIndex":0},"schema":"https://github.com/citation-style-language/schema/raw/master/csl-citation.json"}</w:instrText>
      </w:r>
      <w:r w:rsidR="00B878DB" w:rsidRPr="000260A0">
        <w:fldChar w:fldCharType="separate"/>
      </w:r>
      <w:r w:rsidR="00B878DB" w:rsidRPr="000260A0">
        <w:rPr>
          <w:noProof/>
        </w:rPr>
        <w:t xml:space="preserve">(Perner-Nochta </w:t>
      </w:r>
      <w:r w:rsidR="00F70249" w:rsidRPr="000260A0">
        <w:rPr>
          <w:noProof/>
        </w:rPr>
        <w:t>and</w:t>
      </w:r>
      <w:r w:rsidR="00B878DB" w:rsidRPr="000260A0">
        <w:rPr>
          <w:noProof/>
        </w:rPr>
        <w:t xml:space="preserve"> Posten, 2007)</w:t>
      </w:r>
      <w:r w:rsidR="00B878DB" w:rsidRPr="000260A0">
        <w:fldChar w:fldCharType="end"/>
      </w:r>
      <w:r w:rsidR="00B878DB" w:rsidRPr="000260A0">
        <w:t>.</w:t>
      </w:r>
      <w:r w:rsidR="00D0326E" w:rsidRPr="000260A0">
        <w:t xml:space="preserve"> Inadequate mixing can cause microalgal cells to pass from the irradiated zone to the dark zone of the culture medium </w:t>
      </w:r>
      <w:r w:rsidR="00D0326E" w:rsidRPr="000260A0">
        <w:fldChar w:fldCharType="begin" w:fldLock="1"/>
      </w:r>
      <w:r w:rsidR="00D0326E" w:rsidRPr="000260A0">
        <w:instrText>ADDIN CSL_CITATION {"citationItems":[{"id":"ITEM-1","itemData":{"DOI":"10.1002/jctb.5484","ISSN":"10974660","abstract":"BACKGROUND: Tubular photobioreactors (TPBRs) have great potential in culturing microalgae, but their poor mixing properties make it difficult to increase the surface productivity. In this work, a TPBR with inserted self-rotating helical rotors, which have been under study for a decade, was designed. RESULTS: This paper aimed to show hydrodynamic behaviors of gas–liquid in a TPBR with inserted self-rotating helical rotors by computational fluid dynamics (CFD) and visualization experiments. It can be concluded that by assembling self-rotating helical rotors into the TPBR, very remarkable mixing and particle cycle frequencies were achieved. Besides, the influences of rotor lead and liquid inlet velocity on the swirl number, the gas and liquid average circumferential velocities, pressure loss, cell trajectories and shear stress were also investigated. The best choice was to select a rotor lead of 150 mm and a liquid inlet velocity of 0.4–0.5 m s-1 for microalgae with strong shear force tolerance. Microalgae cultivation experiments verified that helical rotors had a positive effect on biomass productivity. CONCLUSION: The results indicated that assembling the self-rotating helical rotors into TPBR was a feasible and effective method to improve the mixing performance and microalgae productivity. © 2017 Society of Chemical Industry.","author":[{"dropping-particle":"","family":"Yan","given":"Hua","non-dropping-particle":"","parse-names":false,"suffix":""},{"dropping-particle":"","family":"Guan","given":"Changfeng","non-dropping-particle":"","parse-names":false,"suffix":""},{"dropping-particle":"","family":"Jia","given":"Yuchuan","non-dropping-particle":"","parse-names":false,"suffix":""},{"dropping-particle":"","family":"Huang","given":"Xinxue","non-dropping-particle":"","parse-names":false,"suffix":""},{"dropping-particle":"","family":"Yang","given":"Weimin","non-dropping-particle":"","parse-names":false,"suffix":""}],"container-title":"Journal of Chemical Technology and Biotechnology","id":"ITEM-1","issue":"5","issued":{"date-parts":[["2018"]]},"page":"1261-1269","title":"Mixing characteristics, cell trajectories, pressure loss and shear stress of tubular photobioreactor with inserted self-rotating helical rotors","type":"article-journal","volume":"93"},"uris":["http://www.mendeley.com/documents/?uuid=3de3c141-ba9f-4927-b91b-bbd6db7e4197"]}],"mendeley":{"formattedCitation":"(Yan et al., 2018)","plainTextFormattedCitation":"(Yan et al., 2018)","previouslyFormattedCitation":"(Yan et al., 2018)"},"properties":{"noteIndex":0},"schema":"https://github.com/citation-style-language/schema/raw/master/csl-citation.json"}</w:instrText>
      </w:r>
      <w:r w:rsidR="00D0326E" w:rsidRPr="000260A0">
        <w:fldChar w:fldCharType="separate"/>
      </w:r>
      <w:r w:rsidR="00D0326E" w:rsidRPr="000260A0">
        <w:rPr>
          <w:noProof/>
        </w:rPr>
        <w:t>(Yan et al., 2018)</w:t>
      </w:r>
      <w:r w:rsidR="00D0326E" w:rsidRPr="000260A0">
        <w:fldChar w:fldCharType="end"/>
      </w:r>
      <w:r w:rsidR="00D0326E" w:rsidRPr="000260A0">
        <w:t xml:space="preserve">. Mixing of the culture medium can be achieved in various ways, such as aeration, pumping, mechanical agitation, modification of the cultivation system design, or a combination of these methods </w:t>
      </w:r>
      <w:r w:rsidR="00D0326E" w:rsidRPr="000260A0">
        <w:fldChar w:fldCharType="begin" w:fldLock="1"/>
      </w:r>
      <w:r w:rsidR="00FD3855" w:rsidRPr="000260A0">
        <w:instrText>ADDIN CSL_CITATION {"citationItems":[{"id":"ITEM-1","itemData":{"DOI":"10.1016/j.biotechadv.2012.01.019","ISSN":"07349750","author":[{"dropping-particle":"","family":"Wang","given":"Bei","non-dropping-particle":"","parse-names":false,"suffix":""},{"dropping-particle":"","family":"Lan","given":"Christopher Q.","non-dropping-particle":"","parse-names":false,"suffix":""},{"dropping-particle":"","family":"Horsman","given":"Mark","non-dropping-particle":"","parse-names":false,"suffix":""}],"container-title":"Biotechnology Advances","id":"ITEM-1","issue":"4","issued":{"date-parts":[["2012"]]},"page":"904-912","publisher":"Elsevier Inc.","title":"Closed photobioreactors for production of microalgal biomasses","type":"article-journal","volume":"30"},"uris":["http://www.mendeley.com/documents/?uuid=4248bcb1-edbb-4818-97bc-f6d194a612b0"]}],"mendeley":{"formattedCitation":"(Wang et al., 2012)","plainTextFormattedCitation":"(Wang et al., 2012)","previouslyFormattedCitation":"(Wang et al., 2012)"},"properties":{"noteIndex":0},"schema":"https://github.com/citation-style-language/schema/raw/master/csl-citation.json"}</w:instrText>
      </w:r>
      <w:r w:rsidR="00D0326E" w:rsidRPr="000260A0">
        <w:fldChar w:fldCharType="separate"/>
      </w:r>
      <w:r w:rsidR="00D0326E" w:rsidRPr="000260A0">
        <w:rPr>
          <w:noProof/>
        </w:rPr>
        <w:t>(Wang et al., 2012)</w:t>
      </w:r>
      <w:r w:rsidR="00D0326E" w:rsidRPr="000260A0">
        <w:fldChar w:fldCharType="end"/>
      </w:r>
      <w:r w:rsidR="00D0326E" w:rsidRPr="000260A0">
        <w:t>.</w:t>
      </w:r>
    </w:p>
    <w:p w14:paraId="44327E32" w14:textId="7517E588" w:rsidR="00103241" w:rsidRPr="000260A0" w:rsidRDefault="00FD3855" w:rsidP="00103241">
      <w:pPr>
        <w:pStyle w:val="CETListbullets"/>
        <w:ind w:left="0" w:firstLine="0"/>
      </w:pPr>
      <w:r w:rsidRPr="000260A0">
        <w:t xml:space="preserve">Computational fluid dynamics (CFD) technology is often used to design, optimize or scale-up of equipment. In the case of mixing, CFD can not only provide a quantitative description of the flow characteristics, but it can also simulate the motion of particles in multiphase flow </w:t>
      </w:r>
      <w:r w:rsidRPr="000260A0">
        <w:fldChar w:fldCharType="begin" w:fldLock="1"/>
      </w:r>
      <w:r w:rsidRPr="000260A0">
        <w:instrText>ADDIN CSL_CITATION {"citationItems":[{"id":"ITEM-1","itemData":{"DOI":"10.1016/j.biortech.2021.126277","ISSN":"18732976","abstract":"Tubular photobioreactors (TPBRs) are closed devices used for the mass culture of microalgae. TPBRs are supposed to be well-mixed, but the influence of their specific fluid dynamics in photosynthesis efficiency has never been studied in detail. Here, we use Computational Fluid Dynamics (CFD) coupled to a dynamic photosynthesis model to analyze the efficiency of the photosynthetic response in the loop of TPBRs of different sizes (14, 24, 44, 64, and 84 mm) and circulation velocities (0.4 to 1 m s−1). The results show that only the smallest diameters cause enough radial mixing for a photosynthesis-enhancing light regime (integration factor Γ = 0.199 for D = 14 mm and v = 1 m s−1) while high circulation velocities in larger diameters (up to 1 m s−1) increase operating costs but do not enhance photosynthetic productivity. It is also shown the relevance of the characteristic frequency of the strain (β), which is crucial for high productivity.","author":[{"dropping-particle":"","family":"Fernández del Olmo","given":"P.","non-dropping-particle":"","parse-names":false,"suffix":""},{"dropping-particle":"","family":"Acién","given":"F. G.","non-dropping-particle":"","parse-names":false,"suffix":""},{"dropping-particle":"","family":"Fernández-Sevilla","given":"J. M.","non-dropping-particle":"","parse-names":false,"suffix":""}],"container-title":"Bioresource Technology","id":"ITEM-1","issued":{"date-parts":[["2021"]]},"title":"Productivity analysis in tubular photobioreactors using a dynamic photosynthesis model coupled to computational fluid dynamics particle tracking","type":"article-journal","volume":"344"},"uris":["http://www.mendeley.com/documents/?uuid=b87d110c-7387-4252-bff1-1f332b08f4fc"]}],"mendeley":{"formattedCitation":"(Fernández del Olmo et al., 2021)","plainTextFormattedCitation":"(Fernández del Olmo et al., 2021)","previouslyFormattedCitation":"(Fernández del Olmo et al., 2021)"},"properties":{"noteIndex":0},"schema":"https://github.com/citation-style-language/schema/raw/master/csl-citation.json"}</w:instrText>
      </w:r>
      <w:r w:rsidRPr="000260A0">
        <w:fldChar w:fldCharType="separate"/>
      </w:r>
      <w:r w:rsidRPr="000260A0">
        <w:rPr>
          <w:noProof/>
        </w:rPr>
        <w:t>(Fernández del Olmo et al., 2021)</w:t>
      </w:r>
      <w:r w:rsidRPr="000260A0">
        <w:fldChar w:fldCharType="end"/>
      </w:r>
      <w:r w:rsidRPr="000260A0">
        <w:t xml:space="preserve">. Thus, with CFD it is possible to monitor the movement of microalgal cells in the culture medium. Numerical </w:t>
      </w:r>
      <w:r w:rsidR="006A4136" w:rsidRPr="000260A0">
        <w:t>modelling</w:t>
      </w:r>
      <w:r w:rsidRPr="000260A0">
        <w:t xml:space="preserve"> can also be used for </w:t>
      </w:r>
      <w:r w:rsidR="00827447">
        <w:t xml:space="preserve">the </w:t>
      </w:r>
      <w:r w:rsidRPr="000260A0">
        <w:t xml:space="preserve">simulation of the cultivation process. </w:t>
      </w:r>
      <w:r w:rsidRPr="000260A0">
        <w:fldChar w:fldCharType="begin" w:fldLock="1"/>
      </w:r>
      <w:r w:rsidRPr="000260A0">
        <w:instrText>ADDIN CSL_CITATION {"citationItems":[{"id":"ITEM-1","itemData":{"DOI":"10.1016/j.algal.2015.11.008","ISBN":"9780874216561","ISSN":"22119264","PMID":"15003161","abstract":"A microalgae growth model was developed for predicting biomass productivity in outdoor ponds under nutrient-replete conditions and diurnally fluctuating light intensities and water temperatures. The model was validated for three different species (Chlorella sorokiniana, Nannochloropsis salina, Picochlorum sp.), successfully predicting biomass growth and productivity in all three cases in raceway pond cultures. The model can be run in batch and continuous culture mode at different culture depths and, in addition to incident sunlight and water temperature data, requires the following experimentally determined strain-specific input parameters: growth rate as a function of light intensity and temperature, biomass loss rate in the dark as a function of temperature and light intensity during the preceding light period, and the scatter-corrected biomass light absorption coefficient. Light attenuation due to biomass was estimated on the basis of a scatter-corrected Beer–Lambert law in a culture theoretically divided into discrete volume layers which receive decreasing amounts of light with depth. Sensitivity of model predictions to deviations in input parameters was moderate. To increase the predictive power of this and other microalgae biomass growth models, a better understanding is needed of the effects of mixing-induced rapid light–dark cycles on photo-inhibition and short-term biomass losses due to dark respiration in the aphotic zone of the pond. The model is also applicable to photobioreactor cultures.","author":[{"dropping-particle":"","family":"Huesemann","given":"M.","non-dropping-particle":"","parse-names":false,"suffix":""},{"dropping-particle":"","family":"Crowe","given":"B.","non-dropping-particle":"","parse-names":false,"suffix":""},{"dropping-particle":"","family":"Waller","given":"P.","non-dropping-particle":"","parse-names":false,"suffix":""},{"dropping-particle":"","family":"Chavis","given":"A.","non-dropping-particle":"","parse-names":false,"suffix":""},{"dropping-particle":"","family":"Hobbs","given":"S.","non-dropping-particle":"","parse-names":false,"suffix":""},{"dropping-particle":"","family":"Edmundson","given":"S.","non-dropping-particle":"","parse-names":false,"suffix":""},{"dropping-particle":"","family":"Wigmosta","given":"M.","non-dropping-particle":"","parse-names":false,"suffix":""}],"container-title":"Algal Research","id":"ITEM-1","issued":{"date-parts":[["2016"]]},"page":"195-206","publisher":"The Authors","title":"A validated model to predict microalgae growth in outdoor pond cultures subjected to fluctuating light intensities and water temperatures","type":"article-journal","volume":"13"},"uris":["http://www.mendeley.com/documents/?uuid=863ee7d8-c0bb-4198-825a-139be9a470cc"]}],"mendeley":{"formattedCitation":"(Huesemann et al., 2016)","manualFormatting":"Huesemann et al., (2016","plainTextFormattedCitation":"(Huesemann et al., 2016)","previouslyFormattedCitation":"(Huesemann et al., 2016)"},"properties":{"noteIndex":0},"schema":"https://github.com/citation-style-language/schema/raw/master/csl-citation.json"}</w:instrText>
      </w:r>
      <w:r w:rsidRPr="000260A0">
        <w:fldChar w:fldCharType="separate"/>
      </w:r>
      <w:r w:rsidRPr="000260A0">
        <w:rPr>
          <w:noProof/>
        </w:rPr>
        <w:t>Huesemann et al. (2016</w:t>
      </w:r>
      <w:r w:rsidRPr="000260A0">
        <w:fldChar w:fldCharType="end"/>
      </w:r>
      <w:r w:rsidRPr="000260A0">
        <w:t xml:space="preserve">) validated a model that can predict the growth of microalgae based on light intensity. </w:t>
      </w:r>
      <w:r w:rsidRPr="000260A0">
        <w:fldChar w:fldCharType="begin" w:fldLock="1"/>
      </w:r>
      <w:r w:rsidRPr="000260A0">
        <w:instrText>ADDIN CSL_CITATION {"citationItems":[{"id":"ITEM-1","itemData":{"DOI":"10.1016/j.algal.2016.11.023","ISBN":"2211-9264","ISSN":"22119264","abstract":"Closed photobioreactors (PBRs) are usually used for the production of high-value microalgae biomass at higher productivities than in open ponds. A large variety of different PBRs have been developed to optimize the biomass productivity and photosynthesis efficiency. At the same time mathematical models for PBRs are also increasing in popularity for design of new systems and for improving understanding of the complex processes occurring inside. The aim of the present study is to calibrate of the new mechanistic model for microalgae growth using experimental data from two different tubular photobioreactors. Hydrodynamic and light attenuation through the medium were added in the model to obtain a realistic representation of photobioreactor. Furthermore, the model was able to predict microalgae production under different climatic conditions and the oxygen accumulation throughout the photobioreactor.","author":[{"dropping-particle":"","family":"Solimeno","given":"Alessandro","non-dropping-particle":"","parse-names":false,"suffix":""},{"dropping-particle":"","family":"Acíen","given":"F. Gabriel","non-dropping-particle":"","parse-names":false,"suffix":""},{"dropping-particle":"","family":"García","given":"Joan","non-dropping-particle":"","parse-names":false,"suffix":""}],"container-title":"Algal Research","id":"ITEM-1","issued":{"date-parts":[["2017"]]},"page":"236-246","publisher":"Elsevier B.V.","title":"Mechanistic model for design, analysis, operation and control of microalgae cultures: Calibration and application to tubular photobioreactors","type":"article-journal","volume":"21"},"uris":["http://www.mendeley.com/documents/?uuid=e1f32845-744c-4bb7-a76d-1aef759b0896"]}],"mendeley":{"formattedCitation":"(Solimeno, Acíen, et al., 2017)","manualFormatting":"Solimeno, Acíen, et al., (2017)","plainTextFormattedCitation":"(Solimeno, Acíen, et al., 2017)","previouslyFormattedCitation":"(Solimeno, Acíen, et al., 2017)"},"properties":{"noteIndex":0},"schema":"https://github.com/citation-style-language/schema/raw/master/csl-citation.json"}</w:instrText>
      </w:r>
      <w:r w:rsidRPr="000260A0">
        <w:fldChar w:fldCharType="separate"/>
      </w:r>
      <w:r w:rsidRPr="000260A0">
        <w:rPr>
          <w:noProof/>
        </w:rPr>
        <w:t>Solimeno et al. (2017)</w:t>
      </w:r>
      <w:r w:rsidRPr="000260A0">
        <w:fldChar w:fldCharType="end"/>
      </w:r>
      <w:r w:rsidRPr="000260A0">
        <w:t xml:space="preserve"> created a mechanistic BIO_ALGAE model </w:t>
      </w:r>
      <w:r w:rsidR="00E317B5" w:rsidRPr="00E317B5">
        <w:t>simulating the function of a system processing a culture medium containing microalgae and bacteria.</w:t>
      </w:r>
      <w:r w:rsidRPr="000260A0">
        <w:t xml:space="preserve"> Based on the input parameters</w:t>
      </w:r>
      <w:r w:rsidR="00713ABD" w:rsidRPr="000260A0">
        <w:t xml:space="preserve"> (incident light intensity, culture medium temperature, nutrient content in inflow culture medium)</w:t>
      </w:r>
      <w:r w:rsidRPr="000260A0">
        <w:t xml:space="preserve">, this model can simulate the production of microalgal biomass and it is thus possible to study the consumption of nutrients in the system as well. However, the model does not include the effect of hydrodynamics on operating conditions and microalgae production </w:t>
      </w:r>
      <w:r w:rsidRPr="000260A0">
        <w:fldChar w:fldCharType="begin" w:fldLock="1"/>
      </w:r>
      <w:r w:rsidR="00F70249" w:rsidRPr="000260A0">
        <w:instrText>ADDIN CSL_CITATION {"citationItems":[{"id":"ITEM-1","itemData":{"DOI":"10.1016/j.scitotenv.2018.09.345","ISSN":"18791026","abstract":"The mechanistic model (BIO_ALGAE) for microalgae-bacteria based wastewater treatment systems simulation was validated in the long-term (months) using experimental results from a pilot high rate algal pond (HRAP) treating municipal wastewater. Simulated results were compared with data gathered during two different seasons (summer and winter), and with the HRAP operating at different hydraulic retention times (HRT, 4 and 8 days, respectively). The model was able to simulate with a good degree of accuracy the dynamics of different components in the pond, including the total biomass (bacteria and microalgae). By means of practical study cases, the influences of different HRT operating strategies and seasonal variations of temperature and irradiance were investigated for the relative proportion of microalgae and bacteria, and biomass production over a year cycle. Model predictions show that the proportion of microalgae in the microalgal/bacterial biomass is quite similar in warmer months if the pond is operated with 8-day HRT (76–78%) or 4-day HRT (60–75%). Significant differences were observed in colder months (4-day HRT (27–33%) and 8-day HRT (65–68%)). The model identified a scenario in which overall microalgae production and ammonium removal efficiency were optimized. By operating the HRAP with lower HRT (4 days) in warmer months and higher HRT (8 days) in colder months, the average annual microalgae production increased up to 14.1 gTSS m-2d-1, in contrast with 10.2 gTSS m-2d-1 and 9.2 gTSS m-2d-1 operating with constant HRAP (4 and 8 days, respectively) over a year cycle.","author":[{"dropping-particle":"","family":"Solimeno","given":"Alessandro","non-dropping-particle":"","parse-names":false,"suffix":""},{"dropping-particle":"","family":"García","given":"Joan","non-dropping-particle":"","parse-names":false,"suffix":""}],"container-title":"Science of the Total Environment","id":"ITEM-1","issued":{"date-parts":[["2019"]]},"page":"1818-1831","publisher":"Elsevier B.V.","title":"Microalgae and bacteria dynamics in high rate algal ponds based on modelling results: Long-term application of BIO_ALGAE model","type":"article-journal","volume":"650"},"uris":["http://www.mendeley.com/documents/?uuid=6d71c2e9-4bb8-43cb-ab4d-7945f4e8a6eb"]}],"mendeley":{"formattedCitation":"(Solimeno &amp; García, 2019)","manualFormatting":"(Solimeno and García, 2019)","plainTextFormattedCitation":"(Solimeno &amp; García, 2019)","previouslyFormattedCitation":"(Solimeno &amp; García, 2019)"},"properties":{"noteIndex":0},"schema":"https://github.com/citation-style-language/schema/raw/master/csl-citation.json"}</w:instrText>
      </w:r>
      <w:r w:rsidRPr="000260A0">
        <w:fldChar w:fldCharType="separate"/>
      </w:r>
      <w:r w:rsidRPr="000260A0">
        <w:rPr>
          <w:noProof/>
        </w:rPr>
        <w:t xml:space="preserve">(Solimeno </w:t>
      </w:r>
      <w:r w:rsidR="00F70249" w:rsidRPr="000260A0">
        <w:rPr>
          <w:noProof/>
        </w:rPr>
        <w:t>and</w:t>
      </w:r>
      <w:r w:rsidRPr="000260A0">
        <w:rPr>
          <w:noProof/>
        </w:rPr>
        <w:t xml:space="preserve"> García, 2019)</w:t>
      </w:r>
      <w:r w:rsidRPr="000260A0">
        <w:fldChar w:fldCharType="end"/>
      </w:r>
      <w:r w:rsidRPr="000260A0">
        <w:t>.</w:t>
      </w:r>
      <w:r w:rsidR="00713ABD" w:rsidRPr="000260A0">
        <w:t xml:space="preserve"> Hydrodynamic conditions can have a significant effect on biomass production, especially in systems operating with high concentrations of biomass in the culture medium or in systems that have a large thickness of </w:t>
      </w:r>
      <w:r w:rsidR="00827447">
        <w:t xml:space="preserve">the </w:t>
      </w:r>
      <w:r w:rsidR="00713ABD" w:rsidRPr="000260A0">
        <w:t>culture medium. These factors significantly reduce the intensity of incident light radiation penetrating the culture medium.</w:t>
      </w:r>
    </w:p>
    <w:p w14:paraId="139B6DB0" w14:textId="31574349" w:rsidR="00FD3855" w:rsidRPr="000260A0" w:rsidRDefault="00FD3855" w:rsidP="00FD3855">
      <w:pPr>
        <w:rPr>
          <w:lang w:val="cs-CZ"/>
        </w:rPr>
      </w:pPr>
      <w:r w:rsidRPr="000260A0">
        <w:t xml:space="preserve">The aim of this study was to integrate the influence of hydrodynamic conditions into a mechanistic model simulating the </w:t>
      </w:r>
      <w:r w:rsidR="00E317B5">
        <w:t>process of microalgae cultivation</w:t>
      </w:r>
      <w:r w:rsidRPr="000260A0">
        <w:t xml:space="preserve">. </w:t>
      </w:r>
      <w:r w:rsidR="00E317B5" w:rsidRPr="00E317B5">
        <w:t>In order to describe the hydrodynamic conditions in the culture medium</w:t>
      </w:r>
      <w:r w:rsidR="00E317B5">
        <w:t xml:space="preserve"> of hybrid tubular photobioreactor</w:t>
      </w:r>
      <w:r w:rsidR="00E317B5" w:rsidRPr="00E317B5">
        <w:t>, a CFD model was developed</w:t>
      </w:r>
      <w:r w:rsidRPr="000260A0">
        <w:t xml:space="preserve">. CFD simulations allow the investigation </w:t>
      </w:r>
      <w:r w:rsidRPr="000260A0">
        <w:lastRenderedPageBreak/>
        <w:t>of the culture medium mixing and its effect on the movement of microalgae cells. The integration of hydrodynamic conditions into a mechanistic</w:t>
      </w:r>
      <w:r w:rsidR="00AD1942" w:rsidRPr="000260A0">
        <w:t xml:space="preserve"> BIO_ALGAE</w:t>
      </w:r>
      <w:r w:rsidRPr="000260A0">
        <w:t xml:space="preserve"> model allows investigating the influence of operating conditions on culture </w:t>
      </w:r>
      <w:r w:rsidR="000C0FCD" w:rsidRPr="000260A0">
        <w:t xml:space="preserve">medium </w:t>
      </w:r>
      <w:r w:rsidRPr="000260A0">
        <w:t>mixing, light distribution within the culture</w:t>
      </w:r>
      <w:r w:rsidR="000C0FCD" w:rsidRPr="000260A0">
        <w:t xml:space="preserve"> medium</w:t>
      </w:r>
      <w:r w:rsidR="00827447">
        <w:t>,</w:t>
      </w:r>
      <w:r w:rsidRPr="000260A0">
        <w:t xml:space="preserve"> and microalgae production.</w:t>
      </w:r>
    </w:p>
    <w:p w14:paraId="5741900F" w14:textId="2383D4E7" w:rsidR="00453E24" w:rsidRPr="000260A0" w:rsidRDefault="00103241" w:rsidP="00453E24">
      <w:pPr>
        <w:pStyle w:val="CETHeading1"/>
      </w:pPr>
      <w:r w:rsidRPr="000260A0">
        <w:t>Materials and methods</w:t>
      </w:r>
    </w:p>
    <w:p w14:paraId="2CA6FEB9" w14:textId="77777777" w:rsidR="00FD3404" w:rsidRPr="000260A0" w:rsidRDefault="00103241" w:rsidP="00FD3404">
      <w:pPr>
        <w:pStyle w:val="CETheadingx"/>
      </w:pPr>
      <w:r w:rsidRPr="000260A0">
        <w:t>Novel hybrid tubular photobioreactor</w:t>
      </w:r>
    </w:p>
    <w:p w14:paraId="3F44CFE4" w14:textId="18C4ED28" w:rsidR="00EB691D" w:rsidRPr="000260A0" w:rsidRDefault="00FD3404" w:rsidP="00C416CA">
      <w:pPr>
        <w:pStyle w:val="CETheadingx"/>
        <w:numPr>
          <w:ilvl w:val="0"/>
          <w:numId w:val="0"/>
        </w:numPr>
        <w:jc w:val="both"/>
        <w:rPr>
          <w:b w:val="0"/>
        </w:rPr>
      </w:pPr>
      <w:r w:rsidRPr="000260A0">
        <w:rPr>
          <w:b w:val="0"/>
        </w:rPr>
        <w:t xml:space="preserve">The hybrid </w:t>
      </w:r>
      <w:r w:rsidR="00EB691D" w:rsidRPr="000260A0">
        <w:rPr>
          <w:b w:val="0"/>
        </w:rPr>
        <w:t>tubular photobioreactor used for this study (HT PBR)</w:t>
      </w:r>
      <w:r w:rsidRPr="000260A0">
        <w:rPr>
          <w:b w:val="0"/>
        </w:rPr>
        <w:t xml:space="preserve"> consisted of 16 transparent tubes </w:t>
      </w:r>
      <w:r w:rsidR="00EB691D" w:rsidRPr="000260A0">
        <w:rPr>
          <w:b w:val="0"/>
        </w:rPr>
        <w:t xml:space="preserve">with </w:t>
      </w:r>
      <w:r w:rsidR="00827447">
        <w:rPr>
          <w:b w:val="0"/>
        </w:rPr>
        <w:t xml:space="preserve">an </w:t>
      </w:r>
      <w:r w:rsidRPr="000260A0">
        <w:rPr>
          <w:b w:val="0"/>
        </w:rPr>
        <w:t xml:space="preserve">inner diameter </w:t>
      </w:r>
      <w:r w:rsidR="00EB691D" w:rsidRPr="000260A0">
        <w:rPr>
          <w:b w:val="0"/>
        </w:rPr>
        <w:t>of</w:t>
      </w:r>
      <w:r w:rsidR="00946F45" w:rsidRPr="000260A0">
        <w:rPr>
          <w:b w:val="0"/>
        </w:rPr>
        <w:t xml:space="preserve"> </w:t>
      </w:r>
      <w:r w:rsidR="00946F45" w:rsidRPr="000260A0">
        <w:rPr>
          <w:b w:val="0"/>
          <w:i/>
        </w:rPr>
        <w:t>d</w:t>
      </w:r>
      <w:r w:rsidR="00C416CA" w:rsidRPr="000260A0">
        <w:rPr>
          <w:b w:val="0"/>
        </w:rPr>
        <w:t> </w:t>
      </w:r>
      <w:r w:rsidR="00946F45" w:rsidRPr="000260A0">
        <w:rPr>
          <w:b w:val="0"/>
        </w:rPr>
        <w:t>=</w:t>
      </w:r>
      <w:r w:rsidR="00C416CA" w:rsidRPr="000260A0">
        <w:rPr>
          <w:b w:val="0"/>
        </w:rPr>
        <w:t> </w:t>
      </w:r>
      <w:r w:rsidRPr="000260A0">
        <w:rPr>
          <w:b w:val="0"/>
        </w:rPr>
        <w:t>0.125</w:t>
      </w:r>
      <w:r w:rsidR="00C416CA" w:rsidRPr="000260A0">
        <w:rPr>
          <w:b w:val="0"/>
        </w:rPr>
        <w:t> </w:t>
      </w:r>
      <w:r w:rsidRPr="000260A0">
        <w:rPr>
          <w:b w:val="0"/>
        </w:rPr>
        <w:t>m that connect two retention open tanks. The tubes length (</w:t>
      </w:r>
      <w:r w:rsidRPr="000260A0">
        <w:rPr>
          <w:b w:val="0"/>
          <w:i/>
        </w:rPr>
        <w:t>L</w:t>
      </w:r>
      <w:r w:rsidR="00C416CA" w:rsidRPr="000260A0">
        <w:rPr>
          <w:b w:val="0"/>
        </w:rPr>
        <w:t> </w:t>
      </w:r>
      <w:r w:rsidRPr="000260A0">
        <w:rPr>
          <w:b w:val="0"/>
        </w:rPr>
        <w:t>=</w:t>
      </w:r>
      <w:r w:rsidR="00C416CA" w:rsidRPr="000260A0">
        <w:rPr>
          <w:b w:val="0"/>
        </w:rPr>
        <w:t> </w:t>
      </w:r>
      <w:r w:rsidRPr="000260A0">
        <w:rPr>
          <w:b w:val="0"/>
        </w:rPr>
        <w:t>47</w:t>
      </w:r>
      <w:r w:rsidR="00C416CA" w:rsidRPr="000260A0">
        <w:rPr>
          <w:b w:val="0"/>
        </w:rPr>
        <w:t> </w:t>
      </w:r>
      <w:r w:rsidRPr="000260A0">
        <w:rPr>
          <w:b w:val="0"/>
        </w:rPr>
        <w:t xml:space="preserve">m) determined the distance between the open retention tanks. The tubes were divided into two rows of eight tubes, which allow the culture medium to circulate between the retention tanks. Two paddle wheels </w:t>
      </w:r>
      <w:r w:rsidR="00EB691D" w:rsidRPr="000260A0">
        <w:rPr>
          <w:b w:val="0"/>
        </w:rPr>
        <w:t>installed in</w:t>
      </w:r>
      <w:r w:rsidRPr="000260A0">
        <w:rPr>
          <w:b w:val="0"/>
        </w:rPr>
        <w:t xml:space="preserve"> the retention tanks ensured the circulation of the culture medium on both sides of the HT PBR.</w:t>
      </w:r>
      <w:r w:rsidR="002739D5" w:rsidRPr="000260A0">
        <w:rPr>
          <w:b w:val="0"/>
        </w:rPr>
        <w:t xml:space="preserve"> Under the paddle wheels, a</w:t>
      </w:r>
      <w:r w:rsidR="00827447">
        <w:rPr>
          <w:b w:val="0"/>
        </w:rPr>
        <w:t>n</w:t>
      </w:r>
      <w:r w:rsidR="002739D5" w:rsidRPr="000260A0">
        <w:rPr>
          <w:b w:val="0"/>
        </w:rPr>
        <w:t xml:space="preserve"> overflow dam was installed, which determines the difference of culture medium levels in two parts of the retention tank. This water level difference causes the culture medium </w:t>
      </w:r>
      <w:r w:rsidR="00827447">
        <w:rPr>
          <w:b w:val="0"/>
        </w:rPr>
        <w:t xml:space="preserve">to </w:t>
      </w:r>
      <w:r w:rsidR="002739D5" w:rsidRPr="000260A0">
        <w:rPr>
          <w:b w:val="0"/>
        </w:rPr>
        <w:t>flow through the transparent tubes.</w:t>
      </w:r>
      <w:r w:rsidR="0041367F" w:rsidRPr="000260A0">
        <w:t xml:space="preserve"> </w:t>
      </w:r>
      <w:r w:rsidR="0041367F" w:rsidRPr="000260A0">
        <w:rPr>
          <w:b w:val="0"/>
        </w:rPr>
        <w:t xml:space="preserve">A section of the retention tank is shown in Figure 1. </w:t>
      </w:r>
      <w:r w:rsidR="002739D5" w:rsidRPr="000260A0">
        <w:rPr>
          <w:b w:val="0"/>
        </w:rPr>
        <w:t xml:space="preserve"> A detailed description of the HT PBR </w:t>
      </w:r>
      <w:r w:rsidR="00930E52" w:rsidRPr="000260A0">
        <w:rPr>
          <w:b w:val="0"/>
        </w:rPr>
        <w:t xml:space="preserve">design </w:t>
      </w:r>
      <w:r w:rsidR="002739D5" w:rsidRPr="000260A0">
        <w:rPr>
          <w:b w:val="0"/>
        </w:rPr>
        <w:t xml:space="preserve">can be found in </w:t>
      </w:r>
      <w:r w:rsidR="002739D5" w:rsidRPr="000260A0">
        <w:rPr>
          <w:b w:val="0"/>
        </w:rPr>
        <w:fldChar w:fldCharType="begin" w:fldLock="1"/>
      </w:r>
      <w:r w:rsidR="00930E52" w:rsidRPr="000260A0">
        <w:rPr>
          <w:b w:val="0"/>
        </w:rPr>
        <w:instrText>ADDIN CSL_CITATION {"citationItems":[{"id":"ITEM-1","itemData":{"DOI":"10.1016/j.jece.2021.105768","author":[{"dropping-particle":"","family":"Belohlav","given":"Vojtech","non-dropping-particle":"","parse-names":false,"suffix":""},{"dropping-particle":"","family":"Uggetti","given":"Enrica","non-dropping-particle":"","parse-names":false,"suffix":""},{"dropping-particle":"","family":"García","given":"Joan","non-dropping-particle":"","parse-names":false,"suffix":""},{"dropping-particle":"","family":"Jirout","given":"Tomas","non-dropping-particle":"","parse-names":false,"suffix":""},{"dropping-particle":"","family":"Kratky","given":"Lukas","non-dropping-particle":"","parse-names":false,"suffix":""}],"container-title":"Journal of Environmental Chemical Engineering","id":"ITEM-1","issue":"5","issued":{"date-parts":[["2021"]]},"title":"Assessment of hydrodynamics based on Computational Fluid Dynamics to optimize the operation of hybrid tubular photobioreactors","type":"article-journal","volume":"9"},"uris":["http://www.mendeley.com/documents/?uuid=c918790f-5867-4a7b-ac85-c47fad58261c"]}],"mendeley":{"formattedCitation":"(Belohlav et al., 2021)","manualFormatting":"Belohlav et al., 2021","plainTextFormattedCitation":"(Belohlav et al., 2021)","previouslyFormattedCitation":"(Belohlav et al., 2021)"},"properties":{"noteIndex":0},"schema":"https://github.com/citation-style-language/schema/raw/master/csl-citation.json"}</w:instrText>
      </w:r>
      <w:r w:rsidR="002739D5" w:rsidRPr="000260A0">
        <w:rPr>
          <w:b w:val="0"/>
        </w:rPr>
        <w:fldChar w:fldCharType="separate"/>
      </w:r>
      <w:r w:rsidR="002739D5" w:rsidRPr="000260A0">
        <w:rPr>
          <w:b w:val="0"/>
          <w:noProof/>
        </w:rPr>
        <w:t xml:space="preserve">Belohlav et al. </w:t>
      </w:r>
      <w:r w:rsidR="003628FD" w:rsidRPr="000260A0">
        <w:rPr>
          <w:b w:val="0"/>
          <w:noProof/>
        </w:rPr>
        <w:t>(</w:t>
      </w:r>
      <w:r w:rsidR="002739D5" w:rsidRPr="000260A0">
        <w:rPr>
          <w:b w:val="0"/>
          <w:noProof/>
        </w:rPr>
        <w:t>2021</w:t>
      </w:r>
      <w:r w:rsidR="002739D5" w:rsidRPr="000260A0">
        <w:rPr>
          <w:b w:val="0"/>
        </w:rPr>
        <w:fldChar w:fldCharType="end"/>
      </w:r>
      <w:r w:rsidR="003628FD" w:rsidRPr="000260A0">
        <w:rPr>
          <w:b w:val="0"/>
        </w:rPr>
        <w:t>)</w:t>
      </w:r>
      <w:r w:rsidR="00930E52" w:rsidRPr="000260A0">
        <w:rPr>
          <w:b w:val="0"/>
        </w:rPr>
        <w:t xml:space="preserve"> and </w:t>
      </w:r>
      <w:r w:rsidR="00827447">
        <w:rPr>
          <w:b w:val="0"/>
        </w:rPr>
        <w:t xml:space="preserve">a </w:t>
      </w:r>
      <w:r w:rsidR="00930E52" w:rsidRPr="000260A0">
        <w:rPr>
          <w:b w:val="0"/>
        </w:rPr>
        <w:t xml:space="preserve">description of </w:t>
      </w:r>
      <w:r w:rsidR="00827447">
        <w:rPr>
          <w:b w:val="0"/>
        </w:rPr>
        <w:t xml:space="preserve">the </w:t>
      </w:r>
      <w:r w:rsidR="00930E52" w:rsidRPr="000260A0">
        <w:rPr>
          <w:b w:val="0"/>
        </w:rPr>
        <w:t xml:space="preserve">PBR function can be found in </w:t>
      </w:r>
      <w:r w:rsidR="00930E52" w:rsidRPr="000260A0">
        <w:rPr>
          <w:b w:val="0"/>
        </w:rPr>
        <w:fldChar w:fldCharType="begin" w:fldLock="1"/>
      </w:r>
      <w:r w:rsidR="00A60DC3" w:rsidRPr="000260A0">
        <w:rPr>
          <w:b w:val="0"/>
        </w:rPr>
        <w:instrText>ADDIN CSL_CITATION {"citationItems":[{"id":"ITEM-1","itemData":{"DOI":"10.1016/j.algal.2020.101859","ISSN":"22119264","abstract":"Microalgae-based treatment systems are a suitable solution for agricultural wastewater treatment in order to tackle eutrophication. Valuable biomass can be produced in photobioreactors while removing nutrients from agricultural runoff. However, little is known about experiences of microalgae systems for bioremediation of agricultural wastewater. This study evaluated for one year the performance of a full-scale semi-closed photobioreactor treating agricultural runoff and partially treated domestic wastewater, located in a coastal area in Barcelona (Spain, 41.288 N and 2.043 E, UTM), characterized by Mediterranean climate. The evaluation of the daily variations highlighted specific features of the photobioreactor, such as the cooling capacity of the lateral open tanks, which avoided the extremely high temperatures that would be reached in closed systems, eventually reporting daily variations of temperature similar to those in open systems. The open tanks also allowed for oxygen release, maintaining the dissolved oxygen concentration below inhibiting levels. In turn, the paddle wheels were able to aerate the mixed liquor during night when the dissolved oxygen concentration was lower than the saturation value. Regarding the dynamics of nitrogen removal, ammonium was rapidly removed after feeding. However, nitrate concentration was reduced after feeding but not completely removed in winter. Regarding orthophosphate, its concentration was practically negligible during the whole experimentation due to the removal in the photobioreactor and the low influent concentration. It can be concluded that during the warm seasons, the nutrients removal capability of the system was underused, and in spite of the satisfactory biomass concentration, biomass growth was likely limited by the low concentration of nutrients in the photobioreactor during most part of the day. On the contrary, biomass growth in winter was limited by phosphorus and the low water temperature. The insight gained in this study may aid to achieve more accurate operational designs of semi-closed photobioreactors for agricultural runoff bioremediation.","author":[{"dropping-particle":"","family":"Díez-Montero","given":"Rubén","non-dropping-particle":"","parse-names":false,"suffix":""},{"dropping-particle":"","family":"Belohlav","given":"Vojtech","non-dropping-particle":"","parse-names":false,"suffix":""},{"dropping-particle":"","family":"Ortiz","given":"Antonio","non-dropping-particle":"","parse-names":false,"suffix":""},{"dropping-particle":"","family":"Uggetti","given":"Enrica","non-dropping-particle":"","parse-names":false,"suffix":""},{"dropping-particle":"","family":"García-Galán","given":"María Jesús","non-dropping-particle":"","parse-names":false,"suffix":""},{"dropping-particle":"","family":"García","given":"Joan","non-dropping-particle":"","parse-names":false,"suffix":""}],"container-title":"Algal Research","id":"ITEM-1","issue":"February","issued":{"date-parts":[["2020"]]},"page":"101859","publisher":"Elsevier","title":"Evaluation of daily and seasonal variations in a semi-closed photobioreactor for microalgae-based bioremediation of agricultural runoff at full-scale","type":"article-journal","volume":"47"},"uris":["http://www.mendeley.com/documents/?uuid=d68ac625-b64b-4fab-840d-0e0bfda4d0cb"]}],"mendeley":{"formattedCitation":"(Díez-Montero et al., 2020)","manualFormatting":"Díez-Montero et al., 2020","plainTextFormattedCitation":"(Díez-Montero et al., 2020)","previouslyFormattedCitation":"(Díez-Montero et al., 2020)"},"properties":{"noteIndex":0},"schema":"https://github.com/citation-style-language/schema/raw/master/csl-citation.json"}</w:instrText>
      </w:r>
      <w:r w:rsidR="00930E52" w:rsidRPr="000260A0">
        <w:rPr>
          <w:b w:val="0"/>
        </w:rPr>
        <w:fldChar w:fldCharType="separate"/>
      </w:r>
      <w:r w:rsidR="00930E52" w:rsidRPr="000260A0">
        <w:rPr>
          <w:b w:val="0"/>
          <w:noProof/>
        </w:rPr>
        <w:t xml:space="preserve">Díez-Montero et al. </w:t>
      </w:r>
      <w:r w:rsidR="0095660C" w:rsidRPr="000260A0">
        <w:rPr>
          <w:b w:val="0"/>
          <w:noProof/>
        </w:rPr>
        <w:t>(</w:t>
      </w:r>
      <w:r w:rsidR="00930E52" w:rsidRPr="000260A0">
        <w:rPr>
          <w:b w:val="0"/>
          <w:noProof/>
        </w:rPr>
        <w:t>2020</w:t>
      </w:r>
      <w:r w:rsidR="00930E52" w:rsidRPr="000260A0">
        <w:rPr>
          <w:b w:val="0"/>
        </w:rPr>
        <w:fldChar w:fldCharType="end"/>
      </w:r>
      <w:r w:rsidR="0095660C" w:rsidRPr="000260A0">
        <w:rPr>
          <w:b w:val="0"/>
        </w:rPr>
        <w:t>)</w:t>
      </w:r>
      <w:r w:rsidR="00930E52" w:rsidRPr="000260A0">
        <w:rPr>
          <w:b w:val="0"/>
        </w:rPr>
        <w:t>.</w:t>
      </w:r>
    </w:p>
    <w:p w14:paraId="7C5D9968" w14:textId="7841167C" w:rsidR="007E7EF0" w:rsidRPr="000260A0" w:rsidRDefault="007A208B" w:rsidP="007E7EF0">
      <w:pPr>
        <w:pStyle w:val="CETBodytext"/>
      </w:pPr>
      <w:r w:rsidRPr="000260A0">
        <w:rPr>
          <w:noProof/>
        </w:rPr>
        <w:drawing>
          <wp:inline distT="0" distB="0" distL="0" distR="0" wp14:anchorId="74087F2A" wp14:editId="7F3AE660">
            <wp:extent cx="3445163" cy="1936066"/>
            <wp:effectExtent l="0" t="0" r="3175"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2794" cy="1962833"/>
                    </a:xfrm>
                    <a:prstGeom prst="rect">
                      <a:avLst/>
                    </a:prstGeom>
                  </pic:spPr>
                </pic:pic>
              </a:graphicData>
            </a:graphic>
          </wp:inline>
        </w:drawing>
      </w:r>
    </w:p>
    <w:p w14:paraId="2256A87D" w14:textId="270731AE" w:rsidR="005F1BEA" w:rsidRPr="000260A0" w:rsidRDefault="005F1BEA" w:rsidP="005F1BEA">
      <w:pPr>
        <w:pStyle w:val="CETCaption"/>
      </w:pPr>
      <w:r w:rsidRPr="000260A0">
        <w:t>Figure 1: 3D isometric view of HT PBR</w:t>
      </w:r>
      <w:r w:rsidR="001D5B05" w:rsidRPr="000260A0">
        <w:t>, L represents the tube length</w:t>
      </w:r>
    </w:p>
    <w:p w14:paraId="1B7B67A9" w14:textId="3081D14F" w:rsidR="00EB691D" w:rsidRPr="000260A0" w:rsidRDefault="00EB691D" w:rsidP="00EB691D">
      <w:pPr>
        <w:pStyle w:val="CETheadingx"/>
      </w:pPr>
      <w:r w:rsidRPr="000260A0">
        <w:t>Model of hydrodynamics</w:t>
      </w:r>
    </w:p>
    <w:p w14:paraId="5436D977" w14:textId="19AA2212" w:rsidR="00453E24" w:rsidRPr="000260A0" w:rsidRDefault="000823A5" w:rsidP="00453E24">
      <w:pPr>
        <w:pStyle w:val="CETBodytext"/>
        <w:rPr>
          <w:lang w:val="en-GB"/>
        </w:rPr>
      </w:pPr>
      <w:r w:rsidRPr="000260A0">
        <w:rPr>
          <w:lang w:val="en-GB"/>
        </w:rPr>
        <w:t>A detailed numerical model for the hybrid tubular photobioreactor was developed and validated by experimental measurements. Th</w:t>
      </w:r>
      <w:r w:rsidR="00B768E9" w:rsidRPr="000260A0">
        <w:rPr>
          <w:lang w:val="en-GB"/>
        </w:rPr>
        <w:t>e function of the</w:t>
      </w:r>
      <w:r w:rsidRPr="000260A0">
        <w:rPr>
          <w:lang w:val="en-GB"/>
        </w:rPr>
        <w:t xml:space="preserve"> model</w:t>
      </w:r>
      <w:r w:rsidR="00B768E9" w:rsidRPr="000260A0">
        <w:rPr>
          <w:lang w:val="en-GB"/>
        </w:rPr>
        <w:t xml:space="preserve"> and its validation</w:t>
      </w:r>
      <w:r w:rsidRPr="000260A0">
        <w:rPr>
          <w:lang w:val="en-GB"/>
        </w:rPr>
        <w:t xml:space="preserve"> w</w:t>
      </w:r>
      <w:r w:rsidR="00B768E9" w:rsidRPr="000260A0">
        <w:rPr>
          <w:lang w:val="en-GB"/>
        </w:rPr>
        <w:t>ere</w:t>
      </w:r>
      <w:r w:rsidRPr="000260A0">
        <w:rPr>
          <w:lang w:val="en-GB"/>
        </w:rPr>
        <w:t xml:space="preserve"> described in detail in the study </w:t>
      </w:r>
      <w:r w:rsidRPr="000260A0">
        <w:rPr>
          <w:lang w:val="en-GB"/>
        </w:rPr>
        <w:fldChar w:fldCharType="begin" w:fldLock="1"/>
      </w:r>
      <w:r w:rsidRPr="000260A0">
        <w:rPr>
          <w:lang w:val="en-GB"/>
        </w:rPr>
        <w:instrText>ADDIN CSL_CITATION {"citationItems":[{"id":"ITEM-1","itemData":{"DOI":"10.1016/j.jece.2021.105768","author":[{"dropping-particle":"","family":"Belohlav","given":"Vojtech","non-dropping-particle":"","parse-names":false,"suffix":""},{"dropping-particle":"","family":"Uggetti","given":"Enrica","non-dropping-particle":"","parse-names":false,"suffix":""},{"dropping-particle":"","family":"García","given":"Joan","non-dropping-particle":"","parse-names":false,"suffix":""},{"dropping-particle":"","family":"Jirout","given":"Tomas","non-dropping-particle":"","parse-names":false,"suffix":""},{"dropping-particle":"","family":"Kratky","given":"Lukas","non-dropping-particle":"","parse-names":false,"suffix":""}],"container-title":"Journal of Environmental Chemical Engineering","id":"ITEM-1","issue":"5","issued":{"date-parts":[["2021"]]},"title":"Assessment of hydrodynamics based on Computational Fluid Dynamics to optimize the operation of hybrid tubular photobioreactors","type":"article-journal","volume":"9"},"uris":["http://www.mendeley.com/documents/?uuid=c918790f-5867-4a7b-ac85-c47fad58261c"]}],"mendeley":{"formattedCitation":"(Belohlav et al., 2021)","manualFormatting":"Belohlav et al., 2021","plainTextFormattedCitation":"(Belohlav et al., 2021)","previouslyFormattedCitation":"(Belohlav et al., 2021)"},"properties":{"noteIndex":0},"schema":"https://github.com/citation-style-language/schema/raw/master/csl-citation.json"}</w:instrText>
      </w:r>
      <w:r w:rsidRPr="000260A0">
        <w:rPr>
          <w:lang w:val="en-GB"/>
        </w:rPr>
        <w:fldChar w:fldCharType="separate"/>
      </w:r>
      <w:r w:rsidRPr="000260A0">
        <w:rPr>
          <w:noProof/>
          <w:lang w:val="en-GB"/>
        </w:rPr>
        <w:t xml:space="preserve">Belohlav et al. </w:t>
      </w:r>
      <w:r w:rsidR="007B082C" w:rsidRPr="000260A0">
        <w:rPr>
          <w:noProof/>
          <w:lang w:val="en-GB"/>
        </w:rPr>
        <w:t>(</w:t>
      </w:r>
      <w:r w:rsidRPr="000260A0">
        <w:rPr>
          <w:noProof/>
          <w:lang w:val="en-GB"/>
        </w:rPr>
        <w:t>2021</w:t>
      </w:r>
      <w:r w:rsidRPr="000260A0">
        <w:rPr>
          <w:lang w:val="en-GB"/>
        </w:rPr>
        <w:fldChar w:fldCharType="end"/>
      </w:r>
      <w:r w:rsidR="007B082C" w:rsidRPr="000260A0">
        <w:rPr>
          <w:lang w:val="en-GB"/>
        </w:rPr>
        <w:t>)</w:t>
      </w:r>
      <w:r w:rsidRPr="000260A0">
        <w:rPr>
          <w:lang w:val="en-GB"/>
        </w:rPr>
        <w:t xml:space="preserve">. The Large eddy simulation (LES) method was used to simulate hydrodynamic conditions. Small turbulent eddies, which are generally isotropic, are </w:t>
      </w:r>
      <w:r w:rsidR="00EA12B0" w:rsidRPr="000260A0">
        <w:rPr>
          <w:lang w:val="en-GB"/>
        </w:rPr>
        <w:t>modelled</w:t>
      </w:r>
      <w:r w:rsidRPr="000260A0">
        <w:rPr>
          <w:lang w:val="en-GB"/>
        </w:rPr>
        <w:t xml:space="preserve"> using </w:t>
      </w:r>
      <w:proofErr w:type="spellStart"/>
      <w:r w:rsidRPr="000260A0">
        <w:rPr>
          <w:lang w:val="en-GB"/>
        </w:rPr>
        <w:t>submodels</w:t>
      </w:r>
      <w:proofErr w:type="spellEnd"/>
      <w:r w:rsidRPr="000260A0">
        <w:rPr>
          <w:lang w:val="en-GB"/>
        </w:rPr>
        <w:t xml:space="preserve"> and are removed by filtering. For the LES method, the mesh of the created model must be significantly finer, which results in more complex calculation requirements </w:t>
      </w:r>
      <w:r w:rsidRPr="000260A0">
        <w:rPr>
          <w:lang w:val="en-GB"/>
        </w:rPr>
        <w:fldChar w:fldCharType="begin" w:fldLock="1"/>
      </w:r>
      <w:r w:rsidR="00764238" w:rsidRPr="000260A0">
        <w:rPr>
          <w:lang w:val="en-GB"/>
        </w:rPr>
        <w:instrText>ADDIN CSL_CITATION {"citationItems":[{"id":"ITEM-1","itemData":{"DOI":"10.1017/CBO9781107415324.004","ISBN":"9788578110796","ISSN":"19454589","PMID":"25246403","author":[{"dropping-particle":"","family":"ANSYS Inc. (US)","given":"","non-dropping-particle":"","parse-names":false,"suffix":""}],"id":"ITEM-1","issue":"11","issued":{"date-parts":[["2018"]]},"title":"Ansys Users' Guide, Release 19.0","type":"article","volume":"7"},"uris":["http://www.mendeley.com/documents/?uuid=4d58b815-501b-4d7b-9a3f-018916695f63"]}],"mendeley":{"formattedCitation":"(ANSYS Inc. (US), 2018)","plainTextFormattedCitation":"(ANSYS Inc. (US), 2018)","previouslyFormattedCitation":"(ANSYS Inc. (US), 2018)"},"properties":{"noteIndex":0},"schema":"https://github.com/citation-style-language/schema/raw/master/csl-citation.json"}</w:instrText>
      </w:r>
      <w:r w:rsidRPr="000260A0">
        <w:rPr>
          <w:lang w:val="en-GB"/>
        </w:rPr>
        <w:fldChar w:fldCharType="separate"/>
      </w:r>
      <w:r w:rsidRPr="000260A0">
        <w:rPr>
          <w:noProof/>
          <w:lang w:val="en-GB"/>
        </w:rPr>
        <w:t>(ANSYS Inc. (US), 2018)</w:t>
      </w:r>
      <w:r w:rsidRPr="000260A0">
        <w:rPr>
          <w:lang w:val="en-GB"/>
        </w:rPr>
        <w:fldChar w:fldCharType="end"/>
      </w:r>
      <w:r w:rsidRPr="000260A0">
        <w:rPr>
          <w:lang w:val="en-GB"/>
        </w:rPr>
        <w:t xml:space="preserve">. </w:t>
      </w:r>
      <w:r w:rsidR="00E317B5">
        <w:rPr>
          <w:lang w:val="en-GB"/>
        </w:rPr>
        <w:t>According to the demanding calculation requirements of the model</w:t>
      </w:r>
      <w:r w:rsidRPr="000260A0">
        <w:rPr>
          <w:lang w:val="en-GB"/>
        </w:rPr>
        <w:t xml:space="preserve">, the length of the tube geometry was reduced to one meter and a fully developed flow was defined at the inlet to the tube. The mesh of </w:t>
      </w:r>
      <w:r w:rsidR="00827447">
        <w:rPr>
          <w:lang w:val="en-GB"/>
        </w:rPr>
        <w:t xml:space="preserve">the </w:t>
      </w:r>
      <w:r w:rsidRPr="000260A0">
        <w:rPr>
          <w:lang w:val="en-GB"/>
        </w:rPr>
        <w:t>tube consists of 1,</w:t>
      </w:r>
      <w:r w:rsidR="00813C37" w:rsidRPr="000260A0">
        <w:rPr>
          <w:lang w:val="en-GB"/>
        </w:rPr>
        <w:t>375</w:t>
      </w:r>
      <w:r w:rsidRPr="000260A0">
        <w:rPr>
          <w:lang w:val="en-GB"/>
        </w:rPr>
        <w:t>,</w:t>
      </w:r>
      <w:r w:rsidR="00813C37" w:rsidRPr="000260A0">
        <w:rPr>
          <w:lang w:val="en-GB"/>
        </w:rPr>
        <w:t>358</w:t>
      </w:r>
      <w:r w:rsidRPr="000260A0">
        <w:rPr>
          <w:lang w:val="en-GB"/>
        </w:rPr>
        <w:t xml:space="preserve"> elements</w:t>
      </w:r>
      <w:r w:rsidR="00813C37" w:rsidRPr="000260A0">
        <w:rPr>
          <w:lang w:val="en-GB"/>
        </w:rPr>
        <w:t xml:space="preserve"> with a 1</w:t>
      </w:r>
      <w:r w:rsidR="009176ED" w:rsidRPr="000260A0">
        <w:rPr>
          <w:lang w:val="en-GB"/>
        </w:rPr>
        <w:t> </w:t>
      </w:r>
      <w:r w:rsidR="00813C37" w:rsidRPr="000260A0">
        <w:rPr>
          <w:lang w:val="en-GB"/>
        </w:rPr>
        <w:t>mm maximum size</w:t>
      </w:r>
      <w:r w:rsidRPr="000260A0">
        <w:rPr>
          <w:lang w:val="en-GB"/>
        </w:rPr>
        <w:t>. The mesh structure was modified to be significantly finer at the tube wall since the large-scale eddies are geometrically very small in the turbulent regime.</w:t>
      </w:r>
      <w:r w:rsidR="00FD1600" w:rsidRPr="000260A0">
        <w:rPr>
          <w:lang w:val="en-GB"/>
        </w:rPr>
        <w:t xml:space="preserve"> Computations were performed until the calculation converged at a residue of 10</w:t>
      </w:r>
      <w:r w:rsidR="009176ED" w:rsidRPr="000260A0">
        <w:rPr>
          <w:vertAlign w:val="superscript"/>
          <w:lang w:val="en-GB"/>
        </w:rPr>
        <w:t>-</w:t>
      </w:r>
      <w:r w:rsidR="00FD1600" w:rsidRPr="000260A0">
        <w:rPr>
          <w:vertAlign w:val="superscript"/>
          <w:lang w:val="en-GB"/>
        </w:rPr>
        <w:t>5</w:t>
      </w:r>
      <w:r w:rsidR="00FD1600" w:rsidRPr="000260A0">
        <w:rPr>
          <w:lang w:val="en-GB"/>
        </w:rPr>
        <w:t xml:space="preserve"> between iterations</w:t>
      </w:r>
      <w:r w:rsidR="003F2FB9">
        <w:rPr>
          <w:lang w:val="en-GB"/>
        </w:rPr>
        <w:t xml:space="preserve"> and </w:t>
      </w:r>
      <w:r w:rsidR="00A200C5">
        <w:rPr>
          <w:lang w:val="en-GB"/>
        </w:rPr>
        <w:t xml:space="preserve">the skewness of developed mesh </w:t>
      </w:r>
      <w:r w:rsidR="00A200C5" w:rsidRPr="00A200C5">
        <w:rPr>
          <w:lang w:val="en-GB"/>
        </w:rPr>
        <w:t>reached the value of 0.21</w:t>
      </w:r>
      <w:r w:rsidR="00FD1600" w:rsidRPr="000260A0">
        <w:rPr>
          <w:lang w:val="en-GB"/>
        </w:rPr>
        <w:t xml:space="preserve">. The mesh quality was checked using skewness reaching the value of 0.21. To simulate the hydrodynamic conditions in a 3D tube model, the inlet was defined by the inlet velocity according to the </w:t>
      </w:r>
      <w:r w:rsidR="009176ED" w:rsidRPr="000260A0">
        <w:rPr>
          <w:lang w:val="en-GB"/>
        </w:rPr>
        <w:t>selected</w:t>
      </w:r>
      <w:r w:rsidR="00FD1600" w:rsidRPr="000260A0">
        <w:rPr>
          <w:lang w:val="en-GB"/>
        </w:rPr>
        <w:t xml:space="preserve"> operating </w:t>
      </w:r>
      <w:r w:rsidR="009176ED" w:rsidRPr="000260A0">
        <w:rPr>
          <w:lang w:val="en-GB"/>
        </w:rPr>
        <w:t>conditions</w:t>
      </w:r>
      <w:r w:rsidR="00FD1600" w:rsidRPr="000260A0">
        <w:rPr>
          <w:lang w:val="en-GB"/>
        </w:rPr>
        <w:t xml:space="preserve"> in the HT PBR.</w:t>
      </w:r>
      <w:r w:rsidR="009176ED" w:rsidRPr="000260A0">
        <w:rPr>
          <w:lang w:val="en-GB"/>
        </w:rPr>
        <w:t xml:space="preserve"> The used mean flow velocities for simulation were 0.19, 0.25, and 0.37 m s</w:t>
      </w:r>
      <w:r w:rsidR="009176ED" w:rsidRPr="000260A0">
        <w:rPr>
          <w:vertAlign w:val="superscript"/>
          <w:lang w:val="en-GB"/>
        </w:rPr>
        <w:noBreakHyphen/>
        <w:t>1</w:t>
      </w:r>
      <w:r w:rsidR="009176ED" w:rsidRPr="000260A0">
        <w:rPr>
          <w:lang w:val="en-GB"/>
        </w:rPr>
        <w:t xml:space="preserve">, corresponding to Reynolds numbers </w:t>
      </w:r>
      <w:r w:rsidR="009176ED" w:rsidRPr="000260A0">
        <w:rPr>
          <w:i/>
          <w:lang w:val="en-GB"/>
        </w:rPr>
        <w:t>Re</w:t>
      </w:r>
      <w:r w:rsidR="009176ED" w:rsidRPr="000260A0">
        <w:rPr>
          <w:lang w:val="en-GB"/>
        </w:rPr>
        <w:t xml:space="preserve"> of 23,700, 31,200, and 46,200, respectively.</w:t>
      </w:r>
    </w:p>
    <w:p w14:paraId="35C2874A" w14:textId="0844734C" w:rsidR="00764238" w:rsidRPr="000260A0" w:rsidRDefault="00A200C5" w:rsidP="00764238">
      <w:pPr>
        <w:pStyle w:val="CETBodytext"/>
        <w:rPr>
          <w:lang w:val="en-GB"/>
        </w:rPr>
      </w:pPr>
      <w:r w:rsidRPr="00A200C5">
        <w:rPr>
          <w:lang w:val="en-GB"/>
        </w:rPr>
        <w:t>The movement of microalgal cells during its flow in the tube was simulated with particle tracking injection function. The physical properties of particles (density, diameter) were adjusted according the parameters of microalgal cells</w:t>
      </w:r>
      <w:r w:rsidR="00764238" w:rsidRPr="000260A0">
        <w:rPr>
          <w:lang w:val="en-GB"/>
        </w:rPr>
        <w:t xml:space="preserve"> </w:t>
      </w:r>
      <w:r w:rsidR="00764238" w:rsidRPr="000260A0">
        <w:rPr>
          <w:lang w:val="en-GB"/>
        </w:rPr>
        <w:fldChar w:fldCharType="begin" w:fldLock="1"/>
      </w:r>
      <w:r w:rsidR="000C37CE" w:rsidRPr="000260A0">
        <w:rPr>
          <w:lang w:val="en-GB"/>
        </w:rPr>
        <w:instrText>ADDIN CSL_CITATION {"citationItems":[{"id":"ITEM-1","itemData":{"DOI":"10.3303/CET1976154","ISBN":"9788895608730","ISSN":"22839216","abstract":"Microalgae cultivation is considered as one of the promising technologies for CO2 utilization and the biomass can be further used for the production of biofuels or high-value products. The processes of harvesting and dewatering of produced microalgae are complex since the microalgae cells are very small and the density is similar to the density of the culture medium. The separation has a major impact on the total biomass production cost. It is not possible to determine one separation system that is the most appropriate for specific microalgae species. In this paper, a methodology for the design of harvesting and dewatering equipment was developed based on the measured settling velocity and microalgae cell size. Sedimentation tests and distribution of particles were performed for different algal concentrations. This work describes the design methodology of the separation units for the primary harvesting and dewatering of microalgae mixture by gravitational and centrifugal forces. The basic design parameters of separation systems were selected according to the three demonstrative applications. The rest of the basic parameters were defined based on the developed design methodology and geometrically similar existing industrial equipment. Limitations of individual systems for the given configurations were emphasized. The disc centrifuge seems to be the most appropriate equipment for the selected demonstrative systems.","author":[{"dropping-particle":"","family":"Belohlav","given":"Vojtech","non-dropping-particle":"","parse-names":false,"suffix":""},{"dropping-particle":"","family":"Jirout","given":"Tomas","non-dropping-particle":"","parse-names":false,"suffix":""}],"container-title":"Chemical Engineering Transactions","id":"ITEM-1","issued":{"date-parts":[["2019"]]},"page":"919-924","title":"Design methodology of industrial equipment for microalgae biomass primary harvesting and dewatering","type":"article-journal","volume":"76"},"uris":["http://www.mendeley.com/documents/?uuid=9a955c80-40e3-4d09-aa3b-19e44649d700"]}],"mendeley":{"formattedCitation":"(Belohlav &amp; Jirout, 2019)","plainTextFormattedCitation":"(Belohlav &amp; Jirout, 2019)","previouslyFormattedCitation":"(Belohlav &amp; Jirout, 2019)"},"properties":{"noteIndex":0},"schema":"https://github.com/citation-style-language/schema/raw/master/csl-citation.json"}</w:instrText>
      </w:r>
      <w:r w:rsidR="00764238" w:rsidRPr="000260A0">
        <w:rPr>
          <w:lang w:val="en-GB"/>
        </w:rPr>
        <w:fldChar w:fldCharType="separate"/>
      </w:r>
      <w:r w:rsidR="00764238" w:rsidRPr="000260A0">
        <w:rPr>
          <w:noProof/>
          <w:lang w:val="en-GB"/>
        </w:rPr>
        <w:t xml:space="preserve">(Belohlav </w:t>
      </w:r>
      <w:r w:rsidR="00F70249" w:rsidRPr="000260A0">
        <w:rPr>
          <w:noProof/>
          <w:lang w:val="en-GB"/>
        </w:rPr>
        <w:t>and</w:t>
      </w:r>
      <w:r w:rsidR="00764238" w:rsidRPr="000260A0">
        <w:rPr>
          <w:noProof/>
          <w:lang w:val="en-GB"/>
        </w:rPr>
        <w:t xml:space="preserve"> Jirout, 2019)</w:t>
      </w:r>
      <w:r w:rsidR="00764238" w:rsidRPr="000260A0">
        <w:rPr>
          <w:lang w:val="en-GB"/>
        </w:rPr>
        <w:fldChar w:fldCharType="end"/>
      </w:r>
      <w:r w:rsidR="00764238" w:rsidRPr="000260A0">
        <w:rPr>
          <w:lang w:val="en-GB"/>
        </w:rPr>
        <w:t>.</w:t>
      </w:r>
      <w:r w:rsidR="009C0187" w:rsidRPr="000260A0">
        <w:rPr>
          <w:lang w:val="en-GB"/>
        </w:rPr>
        <w:t xml:space="preserve"> </w:t>
      </w:r>
      <w:r w:rsidR="00DE0280" w:rsidRPr="00DE0280">
        <w:rPr>
          <w:lang w:val="en-GB"/>
        </w:rPr>
        <w:t xml:space="preserve">The injection point (62 mm below the tube axis) was chosen to simulate the trajectory of microalgae cell in the area of the tube which is least irradiated by the light source and thus affected by </w:t>
      </w:r>
      <w:r w:rsidR="00EA12B0" w:rsidRPr="00DE0280">
        <w:rPr>
          <w:lang w:val="en-GB"/>
        </w:rPr>
        <w:t>unfavourable</w:t>
      </w:r>
      <w:r w:rsidR="00DE0280" w:rsidRPr="00DE0280">
        <w:rPr>
          <w:lang w:val="en-GB"/>
        </w:rPr>
        <w:t xml:space="preserve"> condition of light limitation. Since the light source is assumed to be located directly above the HT PBR tubes, the microalgae cell position is defined as the vertical distance from the transparent wall of the irradiated tube wall H (m). The intensity of the light received by the cells from the incident light source can be simulated according to the actual distance of the cells from the irradiated wall of the tube. The position of injection point in the tube and the scheme of the developed system is shown in Figure 2.</w:t>
      </w:r>
    </w:p>
    <w:p w14:paraId="5276DA04" w14:textId="1BFBE0ED" w:rsidR="00CA2AC6" w:rsidRPr="000260A0" w:rsidRDefault="00CA2AC6" w:rsidP="00764238">
      <w:pPr>
        <w:pStyle w:val="CETBodytext"/>
        <w:rPr>
          <w:lang w:val="en-GB"/>
        </w:rPr>
      </w:pPr>
      <w:r w:rsidRPr="000260A0">
        <w:rPr>
          <w:noProof/>
          <w:lang w:val="en-GB"/>
        </w:rPr>
        <w:lastRenderedPageBreak/>
        <w:drawing>
          <wp:inline distT="0" distB="0" distL="0" distR="0" wp14:anchorId="00D0EF68" wp14:editId="5B29EA6E">
            <wp:extent cx="2834094" cy="1790700"/>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5919" cy="1823445"/>
                    </a:xfrm>
                    <a:prstGeom prst="rect">
                      <a:avLst/>
                    </a:prstGeom>
                  </pic:spPr>
                </pic:pic>
              </a:graphicData>
            </a:graphic>
          </wp:inline>
        </w:drawing>
      </w:r>
    </w:p>
    <w:p w14:paraId="28F0AD74" w14:textId="1D8D9620" w:rsidR="001D5B05" w:rsidRPr="000260A0" w:rsidRDefault="001D5B05" w:rsidP="001D5B05">
      <w:pPr>
        <w:pStyle w:val="CETCaption"/>
      </w:pPr>
      <w:r w:rsidRPr="000260A0">
        <w:t>Figure 2: Scheme of particle tracking model principle</w:t>
      </w:r>
      <w:r w:rsidR="005D6235" w:rsidRPr="000260A0">
        <w:t xml:space="preserve"> in </w:t>
      </w:r>
      <w:r w:rsidR="00827447">
        <w:t xml:space="preserve">the </w:t>
      </w:r>
      <w:r w:rsidR="005D6235" w:rsidRPr="000260A0">
        <w:t>cross-sectional view of HT PBR transparent tube</w:t>
      </w:r>
      <w:r w:rsidRPr="000260A0">
        <w:t>, H represents the distance of the particle from the irradiated wall, d indicates the tube diameter</w:t>
      </w:r>
    </w:p>
    <w:p w14:paraId="2FACD2BC" w14:textId="08515826" w:rsidR="00103241" w:rsidRPr="000260A0" w:rsidRDefault="00103241" w:rsidP="00103241">
      <w:pPr>
        <w:pStyle w:val="CETheadingx"/>
      </w:pPr>
      <w:r w:rsidRPr="000260A0">
        <w:t>Model of light attenuation</w:t>
      </w:r>
    </w:p>
    <w:p w14:paraId="4FA84C00" w14:textId="77777777" w:rsidR="004B70E9" w:rsidRDefault="001F3F96" w:rsidP="004B70E9">
      <w:pPr>
        <w:pStyle w:val="CETBodytext"/>
      </w:pPr>
      <w:r w:rsidRPr="000260A0">
        <w:t xml:space="preserve">In cultivation systems that work with a wide layer of culture medium, the intensity of mixing can affect the efficiency of microalgae production. In systems where no mixing of culture medium occurs, the microalgae can grow only in a part of the entire volume of the culture medium that is irradiated. Systems with intensive mixing and a large layer of culture medium can thus achieve higher productions than systems that work with a smaller layer of unmixed culture medium. </w:t>
      </w:r>
    </w:p>
    <w:p w14:paraId="3DB819B9" w14:textId="47070533" w:rsidR="00843FA5" w:rsidRPr="000260A0" w:rsidRDefault="004B70E9" w:rsidP="004B70E9">
      <w:pPr>
        <w:pStyle w:val="CETBodytext"/>
      </w:pPr>
      <w:r>
        <w:t xml:space="preserve">If the culture medium is not mixed sufficiently in the transparent tubes, the individual parallel streamlines of flowing medium do not mix. This results in the formation of a light gradient in the culture medium, which is caused by the mutual scattering of incident light as it penetrates the culture medium layer. The microalgae at the bottom of the tube are thus in the dark zone at all times, which reduces the overall efficiency of the entire culturing process. Dark zones can be defined as regions where the average light intensity value does not reach critical saturation intensity values. To quantify the quality of the light conditions, the cross section of the tube can be divided into light and dark zones based on the critical saturation intensity value for the cultivated </w:t>
      </w:r>
      <w:r w:rsidRPr="006A4136">
        <w:rPr>
          <w:i/>
        </w:rPr>
        <w:t>Chlorella</w:t>
      </w:r>
      <w:r>
        <w:t>.</w:t>
      </w:r>
      <w:r w:rsidR="006E1586" w:rsidRPr="000260A0">
        <w:t xml:space="preserve"> </w:t>
      </w:r>
      <w:r w:rsidR="000C37CE" w:rsidRPr="000260A0">
        <w:fldChar w:fldCharType="begin" w:fldLock="1"/>
      </w:r>
      <w:r w:rsidR="00590BB7" w:rsidRPr="000260A0">
        <w:instrText>ADDIN CSL_CITATION {"citationItems":[{"id":"ITEM-1","itemData":{"DOI":"10.1080/00288330.1987.9516236","ISSN":"11758805","abstract":"In eutrophic lakes cyanobacteria are favoured relative to other phytoplankton, both under stratified and mixed conditions. During stratification, gas vacuole formation allows the accumulation of dense surface scums which attain the highest possible area</w:instrText>
      </w:r>
      <w:r w:rsidR="00590BB7" w:rsidRPr="000260A0">
        <w:rPr>
          <w:rFonts w:ascii="Cambria Math" w:hAnsi="Cambria Math" w:cs="Cambria Math"/>
        </w:rPr>
        <w:instrText>‐</w:instrText>
      </w:r>
      <w:r w:rsidR="00590BB7" w:rsidRPr="000260A0">
        <w:instrText>specific photosynthetic rates in aquatic environments owing to high irradiances, near</w:instrText>
      </w:r>
      <w:r w:rsidR="00590BB7" w:rsidRPr="000260A0">
        <w:rPr>
          <w:rFonts w:ascii="Cambria Math" w:hAnsi="Cambria Math" w:cs="Cambria Math"/>
        </w:rPr>
        <w:instrText>‐</w:instrText>
      </w:r>
      <w:r w:rsidR="00590BB7" w:rsidRPr="000260A0">
        <w:instrText>complete harvesting of impinging light, and minimal light inhibition and photo</w:instrText>
      </w:r>
      <w:r w:rsidR="00590BB7" w:rsidRPr="000260A0">
        <w:rPr>
          <w:rFonts w:ascii="Cambria Math" w:hAnsi="Cambria Math" w:cs="Cambria Math"/>
        </w:rPr>
        <w:instrText>‐</w:instrText>
      </w:r>
      <w:r w:rsidR="00590BB7" w:rsidRPr="000260A0">
        <w:instrText>oxidation. During moderate mixing, high yields of biomass can be achieved by effective light harvesting for photosynthesis (aided by phycobilin pigments) and low maintenance energy requirements at low mean irradiances. Howevrr, nitrogen fixation competes for energy and reductant with photosynthesis, and leads to a decline of light</w:instrText>
      </w:r>
      <w:r w:rsidR="00590BB7" w:rsidRPr="000260A0">
        <w:rPr>
          <w:rFonts w:ascii="Cambria Math" w:hAnsi="Cambria Math" w:cs="Cambria Math"/>
        </w:rPr>
        <w:instrText>‐</w:instrText>
      </w:r>
      <w:r w:rsidR="00590BB7" w:rsidRPr="000260A0">
        <w:instrText>saturated maximum growth rates. Wind</w:instrText>
      </w:r>
      <w:r w:rsidR="00590BB7" w:rsidRPr="000260A0">
        <w:rPr>
          <w:rFonts w:ascii="Cambria Math" w:hAnsi="Cambria Math" w:cs="Cambria Math"/>
        </w:rPr>
        <w:instrText>‐</w:instrText>
      </w:r>
      <w:r w:rsidR="00590BB7" w:rsidRPr="000260A0">
        <w:instrText>driven vertical mixing and lateral advection are the main causes for the instability of cyanobacterial blooms in hyper</w:instrText>
      </w:r>
      <w:r w:rsidR="00590BB7" w:rsidRPr="000260A0">
        <w:rPr>
          <w:rFonts w:ascii="Cambria Math" w:hAnsi="Cambria Math" w:cs="Cambria Math"/>
        </w:rPr>
        <w:instrText>‐</w:instrText>
      </w:r>
      <w:r w:rsidR="00590BB7" w:rsidRPr="000260A0">
        <w:instrText xml:space="preserve">eutrophic lake ecosystems. </w:instrText>
      </w:r>
      <w:r w:rsidR="00590BB7" w:rsidRPr="000260A0">
        <w:rPr>
          <w:rFonts w:cs="Arial"/>
        </w:rPr>
        <w:instrText>©</w:instrText>
      </w:r>
      <w:r w:rsidR="00590BB7" w:rsidRPr="000260A0">
        <w:instrText xml:space="preserve"> Crown copyright 1987.","author":[{"dropping-particle":"","family":"Tilzer","given":"Max M.","non-dropping-particle":"","parse-names":false,"suffix":""}],"container-title":"New Zealand Journal of Marine and Freshwater Research","id":"ITEM-1","issue":"3","issued":{"date-parts":[["1987"]]},"page":"401-412","title":"Light</w:instrText>
      </w:r>
      <w:r w:rsidR="00590BB7" w:rsidRPr="000260A0">
        <w:rPr>
          <w:rFonts w:ascii="Cambria Math" w:hAnsi="Cambria Math" w:cs="Cambria Math"/>
        </w:rPr>
        <w:instrText>‐</w:instrText>
      </w:r>
      <w:r w:rsidR="00590BB7" w:rsidRPr="000260A0">
        <w:instrText>dependence of photosynthesis and growth in cyanobacteria: Implications for their dominance in eutrophic lakes","type":"article-journal","volume":"21"},"uris":["http://www.mendeley.com/documents/?uuid=5ff2a56e-d833-443b-b0bb-02dc3011652d"]}],"mendeley":{"formattedCitation":"(Tilzer, 1987)","plainTextFormattedCitation":"(Tilzer, 1987)","previouslyFormattedCitation":"(Tilzer, 1987)"},"properties":{"noteIndex":0},"schema":"https://github.com/citation-style-language/schema/raw/master/csl-citation.json"}</w:instrText>
      </w:r>
      <w:r w:rsidR="000C37CE" w:rsidRPr="000260A0">
        <w:fldChar w:fldCharType="separate"/>
      </w:r>
      <w:r w:rsidR="000C37CE" w:rsidRPr="000260A0">
        <w:rPr>
          <w:noProof/>
        </w:rPr>
        <w:t xml:space="preserve">Tilzer </w:t>
      </w:r>
      <w:r w:rsidR="005D6235" w:rsidRPr="000260A0">
        <w:rPr>
          <w:noProof/>
        </w:rPr>
        <w:t>(</w:t>
      </w:r>
      <w:r w:rsidR="000C37CE" w:rsidRPr="000260A0">
        <w:rPr>
          <w:noProof/>
        </w:rPr>
        <w:t>1987)</w:t>
      </w:r>
      <w:r w:rsidR="000C37CE" w:rsidRPr="000260A0">
        <w:fldChar w:fldCharType="end"/>
      </w:r>
      <w:r w:rsidR="005D6235" w:rsidRPr="000260A0">
        <w:t xml:space="preserve"> defined </w:t>
      </w:r>
      <w:r w:rsidR="00827447">
        <w:t xml:space="preserve">the </w:t>
      </w:r>
      <w:r w:rsidR="005D6235" w:rsidRPr="000260A0">
        <w:t xml:space="preserve">critical saturation intensity for </w:t>
      </w:r>
      <w:r w:rsidR="005D6235" w:rsidRPr="000260A0">
        <w:rPr>
          <w:i/>
        </w:rPr>
        <w:t>Chlorella</w:t>
      </w:r>
      <w:r w:rsidR="005D6235" w:rsidRPr="000260A0">
        <w:t xml:space="preserve"> to be 70 </w:t>
      </w:r>
      <w:proofErr w:type="spellStart"/>
      <w:r w:rsidR="005D6235" w:rsidRPr="000260A0">
        <w:t>μmol</w:t>
      </w:r>
      <w:proofErr w:type="spellEnd"/>
      <w:r w:rsidR="005D6235" w:rsidRPr="000260A0">
        <w:t> m</w:t>
      </w:r>
      <w:r w:rsidR="005D6235" w:rsidRPr="000260A0">
        <w:rPr>
          <w:vertAlign w:val="superscript"/>
        </w:rPr>
        <w:noBreakHyphen/>
        <w:t>2</w:t>
      </w:r>
      <w:r w:rsidR="005D6235" w:rsidRPr="000260A0">
        <w:t> s</w:t>
      </w:r>
      <w:r w:rsidR="005D6235" w:rsidRPr="000260A0">
        <w:rPr>
          <w:vertAlign w:val="superscript"/>
        </w:rPr>
        <w:noBreakHyphen/>
        <w:t>1</w:t>
      </w:r>
      <w:r w:rsidR="006E1586" w:rsidRPr="000260A0">
        <w:t>.</w:t>
      </w:r>
      <w:r w:rsidR="00843FA5" w:rsidRPr="000260A0">
        <w:t xml:space="preserve"> To evaluate the light regime under different operating conditions of HT PBR, it is possible to use the light fraction </w:t>
      </w:r>
      <w:r w:rsidR="00843FA5" w:rsidRPr="000260A0">
        <w:rPr>
          <w:i/>
        </w:rPr>
        <w:t>ε</w:t>
      </w:r>
      <w:r w:rsidR="00843FA5" w:rsidRPr="000260A0">
        <w:t xml:space="preserve"> </w:t>
      </w:r>
      <w:r w:rsidR="000322CF" w:rsidRPr="000260A0">
        <w:t xml:space="preserve">(-) </w:t>
      </w:r>
      <w:r w:rsidR="00843FA5" w:rsidRPr="000260A0">
        <w:t>indicating the</w:t>
      </w:r>
      <w:r w:rsidR="005D6235" w:rsidRPr="000260A0">
        <w:t xml:space="preserve"> ratio of the retention time in the light and dark zones (light/dark or L/D cycle)</w:t>
      </w:r>
      <w:r w:rsidR="00843FA5" w:rsidRPr="000260A0">
        <w:t>. The light fraction is defined by Eq. (1)</w:t>
      </w:r>
    </w:p>
    <w:tbl>
      <w:tblPr>
        <w:tblW w:w="5000" w:type="pct"/>
        <w:tblLook w:val="04A0" w:firstRow="1" w:lastRow="0" w:firstColumn="1" w:lastColumn="0" w:noHBand="0" w:noVBand="1"/>
      </w:tblPr>
      <w:tblGrid>
        <w:gridCol w:w="7983"/>
        <w:gridCol w:w="804"/>
      </w:tblGrid>
      <w:tr w:rsidR="000260A0" w:rsidRPr="000260A0" w14:paraId="64A1B1B7" w14:textId="77777777" w:rsidTr="006D6EDB">
        <w:tc>
          <w:tcPr>
            <w:tcW w:w="8188" w:type="dxa"/>
            <w:shd w:val="clear" w:color="auto" w:fill="auto"/>
            <w:vAlign w:val="center"/>
          </w:tcPr>
          <w:p w14:paraId="4DFA6348" w14:textId="59A2F7EB" w:rsidR="00843FA5" w:rsidRPr="000260A0" w:rsidRDefault="00FC29AB" w:rsidP="006D6EDB">
            <w:pPr>
              <w:pStyle w:val="CETEquation"/>
            </w:pPr>
            <m:oMathPara>
              <m:oMathParaPr>
                <m:jc m:val="center"/>
              </m:oMathParaP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L</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L</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m:t>
                        </m:r>
                      </m:sub>
                    </m:sSub>
                  </m:den>
                </m:f>
              </m:oMath>
            </m:oMathPara>
          </w:p>
        </w:tc>
        <w:tc>
          <w:tcPr>
            <w:tcW w:w="815" w:type="dxa"/>
            <w:shd w:val="clear" w:color="auto" w:fill="auto"/>
            <w:vAlign w:val="center"/>
          </w:tcPr>
          <w:p w14:paraId="19BF8D70" w14:textId="77777777" w:rsidR="00843FA5" w:rsidRPr="000260A0" w:rsidRDefault="00843FA5" w:rsidP="006D6EDB">
            <w:pPr>
              <w:pStyle w:val="CETEquation"/>
              <w:jc w:val="right"/>
            </w:pPr>
            <w:r w:rsidRPr="000260A0">
              <w:t>(1)</w:t>
            </w:r>
          </w:p>
        </w:tc>
      </w:tr>
    </w:tbl>
    <w:p w14:paraId="10E55C5E" w14:textId="375918EB" w:rsidR="006E1586" w:rsidRPr="000260A0" w:rsidRDefault="00843FA5" w:rsidP="00843FA5">
      <w:pPr>
        <w:pStyle w:val="CETBodytext"/>
      </w:pPr>
      <w:r w:rsidRPr="000260A0">
        <w:t xml:space="preserve">where </w:t>
      </w:r>
      <w:proofErr w:type="spellStart"/>
      <w:r w:rsidRPr="000260A0">
        <w:rPr>
          <w:i/>
        </w:rPr>
        <w:t>t</w:t>
      </w:r>
      <w:r w:rsidRPr="000260A0">
        <w:rPr>
          <w:i/>
          <w:vertAlign w:val="subscript"/>
        </w:rPr>
        <w:t>L</w:t>
      </w:r>
      <w:proofErr w:type="spellEnd"/>
      <w:r w:rsidR="000322CF" w:rsidRPr="000260A0">
        <w:t> </w:t>
      </w:r>
      <w:r w:rsidRPr="000260A0">
        <w:t>(s) is the retention time of microalgae cell</w:t>
      </w:r>
      <w:r w:rsidR="00827447">
        <w:t>s</w:t>
      </w:r>
      <w:r w:rsidRPr="000260A0">
        <w:t xml:space="preserve"> in the light zone, and </w:t>
      </w:r>
      <w:r w:rsidRPr="000260A0">
        <w:rPr>
          <w:i/>
        </w:rPr>
        <w:t>t</w:t>
      </w:r>
      <w:r w:rsidRPr="000260A0">
        <w:rPr>
          <w:i/>
          <w:vertAlign w:val="subscript"/>
        </w:rPr>
        <w:t>D</w:t>
      </w:r>
      <w:r w:rsidRPr="000260A0">
        <w:t xml:space="preserve"> (s) is the time when the cell</w:t>
      </w:r>
      <w:r w:rsidR="00827447">
        <w:t>s</w:t>
      </w:r>
      <w:r w:rsidRPr="000260A0">
        <w:t xml:space="preserve"> </w:t>
      </w:r>
      <w:r w:rsidR="00827447">
        <w:t>are</w:t>
      </w:r>
      <w:r w:rsidRPr="000260A0">
        <w:t xml:space="preserve"> in the dark zone.</w:t>
      </w:r>
    </w:p>
    <w:p w14:paraId="4038CDA1" w14:textId="701DCCA7" w:rsidR="00AA53C6" w:rsidRPr="000260A0" w:rsidRDefault="00F1603C" w:rsidP="00103241">
      <w:pPr>
        <w:pStyle w:val="CETBodytext"/>
      </w:pPr>
      <w:r w:rsidRPr="000260A0">
        <w:t>The direct effect of the reduction of light radiation during penetration of the culture medium layer can be described by Lambert-Beer’s law. This</w:t>
      </w:r>
      <w:r w:rsidR="001F3F96" w:rsidRPr="000260A0">
        <w:t xml:space="preserve"> law can be used to describe the average intensity of light radiation </w:t>
      </w:r>
      <w:r w:rsidR="001F3F96" w:rsidRPr="000260A0">
        <w:rPr>
          <w:i/>
        </w:rPr>
        <w:t>I</w:t>
      </w:r>
      <w:r w:rsidR="001F3F96" w:rsidRPr="000260A0">
        <w:rPr>
          <w:i/>
          <w:vertAlign w:val="subscript"/>
        </w:rPr>
        <w:t>av</w:t>
      </w:r>
      <w:r w:rsidR="001F3F96" w:rsidRPr="000260A0">
        <w:t xml:space="preserve"> (W m</w:t>
      </w:r>
      <w:r w:rsidR="001F3F96" w:rsidRPr="000260A0">
        <w:rPr>
          <w:vertAlign w:val="superscript"/>
        </w:rPr>
        <w:noBreakHyphen/>
        <w:t>2</w:t>
      </w:r>
      <w:r w:rsidR="001F3F96" w:rsidRPr="000260A0">
        <w:t>)</w:t>
      </w:r>
      <w:r w:rsidR="006B442C" w:rsidRPr="000260A0">
        <w:t xml:space="preserve"> in mixed cultivation systems</w:t>
      </w:r>
      <w:r w:rsidRPr="000260A0">
        <w:t>.</w:t>
      </w:r>
      <w:r w:rsidR="001F3F96" w:rsidRPr="000260A0">
        <w:t xml:space="preserve"> </w:t>
      </w:r>
      <w:r w:rsidRPr="000260A0">
        <w:t>Considering the mixing of culture medium,</w:t>
      </w:r>
      <w:r w:rsidR="001F3F96" w:rsidRPr="000260A0">
        <w:t xml:space="preserve"> the thickness of the irradiated layer can be replaced</w:t>
      </w:r>
      <w:r w:rsidRPr="000260A0">
        <w:t xml:space="preserve"> in Lambert-Beer’s law</w:t>
      </w:r>
      <w:r w:rsidR="001F3F96" w:rsidRPr="000260A0">
        <w:t xml:space="preserve"> by the actual distance of the microalgae cell from the transparent irradiated PBR wall</w:t>
      </w:r>
      <w:r w:rsidR="006B442C" w:rsidRPr="000260A0">
        <w:t xml:space="preserve"> </w:t>
      </w:r>
      <w:r w:rsidR="006B442C" w:rsidRPr="000260A0">
        <w:rPr>
          <w:i/>
        </w:rPr>
        <w:t>H</w:t>
      </w:r>
      <w:r w:rsidR="00597595" w:rsidRPr="000260A0">
        <w:t xml:space="preserve"> (Figure 2)</w:t>
      </w:r>
      <w:r w:rsidR="001F3F96" w:rsidRPr="000260A0">
        <w:t>.</w:t>
      </w:r>
      <w:r w:rsidR="00AA53C6" w:rsidRPr="000260A0">
        <w:t xml:space="preserve"> The average intensity of light radiation </w:t>
      </w:r>
      <w:r w:rsidR="00AA53C6" w:rsidRPr="000260A0">
        <w:rPr>
          <w:i/>
        </w:rPr>
        <w:t>I</w:t>
      </w:r>
      <w:r w:rsidR="00AA53C6" w:rsidRPr="000260A0">
        <w:rPr>
          <w:i/>
          <w:vertAlign w:val="subscript"/>
        </w:rPr>
        <w:t>av</w:t>
      </w:r>
      <w:r w:rsidR="00AA53C6" w:rsidRPr="000260A0">
        <w:t xml:space="preserve"> acting on microalgal cells in the tube can be expressed using Eq. (</w:t>
      </w:r>
      <w:r w:rsidR="00843FA5" w:rsidRPr="000260A0">
        <w:t>2</w:t>
      </w:r>
      <w:r w:rsidR="00AA53C6" w:rsidRPr="000260A0">
        <w:t xml:space="preserve">) </w:t>
      </w:r>
    </w:p>
    <w:tbl>
      <w:tblPr>
        <w:tblW w:w="5000" w:type="pct"/>
        <w:tblLook w:val="04A0" w:firstRow="1" w:lastRow="0" w:firstColumn="1" w:lastColumn="0" w:noHBand="0" w:noVBand="1"/>
      </w:tblPr>
      <w:tblGrid>
        <w:gridCol w:w="7984"/>
        <w:gridCol w:w="803"/>
      </w:tblGrid>
      <w:tr w:rsidR="000260A0" w:rsidRPr="000260A0" w14:paraId="14EC6B1C" w14:textId="77777777" w:rsidTr="00AD5F98">
        <w:tc>
          <w:tcPr>
            <w:tcW w:w="7984" w:type="dxa"/>
            <w:shd w:val="clear" w:color="auto" w:fill="auto"/>
            <w:vAlign w:val="center"/>
          </w:tcPr>
          <w:p w14:paraId="6AD010D7" w14:textId="3100AC66" w:rsidR="00AA53C6" w:rsidRPr="000260A0" w:rsidRDefault="00FC29AB" w:rsidP="00AA53C6">
            <w:pPr>
              <w:pStyle w:val="CETEquation"/>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av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alg</m:t>
                                    </m:r>
                                  </m:sub>
                                </m:sSub>
                                <m:r>
                                  <m:rPr>
                                    <m:sty m:val="p"/>
                                  </m:rPr>
                                  <w:rPr>
                                    <w:rFonts w:ascii="Cambria Math" w:hAnsi="Cambria Math"/>
                                  </w:rPr>
                                  <m:t>∙</m:t>
                                </m:r>
                                <m:r>
                                  <w:rPr>
                                    <w:rFonts w:ascii="Cambria Math" w:hAnsi="Cambria Math"/>
                                  </w:rPr>
                                  <m:t>H</m:t>
                                </m:r>
                              </m:e>
                            </m:d>
                          </m:sup>
                        </m:sSup>
                      </m:e>
                    </m:d>
                  </m:num>
                  <m:den>
                    <m:sSub>
                      <m:sSubPr>
                        <m:ctrlPr>
                          <w:rPr>
                            <w:rFonts w:ascii="Cambria Math" w:hAnsi="Cambria Math"/>
                          </w:rPr>
                        </m:ctrlPr>
                      </m:sSubPr>
                      <m:e>
                        <m:r>
                          <w:rPr>
                            <w:rFonts w:ascii="Cambria Math" w:hAnsi="Cambria Math"/>
                          </w:rPr>
                          <m:t>K</m:t>
                        </m:r>
                      </m:e>
                      <m:sub>
                        <m:r>
                          <w:rPr>
                            <w:rFonts w:ascii="Cambria Math" w:hAnsi="Cambria Math"/>
                          </w:rPr>
                          <m:t>I</m:t>
                        </m:r>
                      </m:sub>
                    </m:sSub>
                    <m:sSub>
                      <m:sSubPr>
                        <m:ctrlPr>
                          <w:rPr>
                            <w:rFonts w:ascii="Cambria Math" w:hAnsi="Cambria Math"/>
                          </w:rPr>
                        </m:ctrlPr>
                      </m:sSubPr>
                      <m:e>
                        <m:r>
                          <m:rPr>
                            <m:sty m:val="p"/>
                          </m:rPr>
                          <w:rPr>
                            <w:rFonts w:ascii="Cambria Math" w:hAnsi="Cambria Math"/>
                          </w:rPr>
                          <m:t>∙</m:t>
                        </m:r>
                        <m:r>
                          <w:rPr>
                            <w:rFonts w:ascii="Cambria Math" w:hAnsi="Cambria Math"/>
                          </w:rPr>
                          <m:t>X</m:t>
                        </m:r>
                      </m:e>
                      <m:sub>
                        <m:r>
                          <w:rPr>
                            <w:rFonts w:ascii="Cambria Math" w:hAnsi="Cambria Math"/>
                          </w:rPr>
                          <m:t>alg</m:t>
                        </m:r>
                      </m:sub>
                    </m:sSub>
                    <m:r>
                      <m:rPr>
                        <m:sty m:val="p"/>
                      </m:rPr>
                      <w:rPr>
                        <w:rFonts w:ascii="Cambria Math" w:hAnsi="Cambria Math"/>
                      </w:rPr>
                      <m:t>∙</m:t>
                    </m:r>
                    <m:r>
                      <w:rPr>
                        <w:rFonts w:ascii="Cambria Math" w:hAnsi="Cambria Math"/>
                      </w:rPr>
                      <m:t>H</m:t>
                    </m:r>
                  </m:den>
                </m:f>
              </m:oMath>
            </m:oMathPara>
          </w:p>
        </w:tc>
        <w:tc>
          <w:tcPr>
            <w:tcW w:w="803" w:type="dxa"/>
            <w:shd w:val="clear" w:color="auto" w:fill="auto"/>
            <w:vAlign w:val="center"/>
          </w:tcPr>
          <w:p w14:paraId="4B22E65D" w14:textId="673AC5E1" w:rsidR="00AA53C6" w:rsidRPr="000260A0" w:rsidRDefault="00AA53C6" w:rsidP="006D6EDB">
            <w:pPr>
              <w:pStyle w:val="CETEquation"/>
              <w:jc w:val="right"/>
            </w:pPr>
            <w:r w:rsidRPr="000260A0">
              <w:t>(</w:t>
            </w:r>
            <w:r w:rsidR="00843FA5" w:rsidRPr="000260A0">
              <w:t>2</w:t>
            </w:r>
            <w:r w:rsidRPr="000260A0">
              <w:t>)</w:t>
            </w:r>
          </w:p>
        </w:tc>
      </w:tr>
    </w:tbl>
    <w:p w14:paraId="77C6E1EA" w14:textId="7369D255" w:rsidR="00AA53C6" w:rsidRPr="000260A0" w:rsidRDefault="00AD5F98" w:rsidP="00103241">
      <w:pPr>
        <w:pStyle w:val="CETBodytext"/>
      </w:pPr>
      <w:r w:rsidRPr="000260A0">
        <w:t xml:space="preserve">where </w:t>
      </w:r>
      <w:r w:rsidRPr="000260A0">
        <w:rPr>
          <w:i/>
        </w:rPr>
        <w:t>I</w:t>
      </w:r>
      <w:r w:rsidRPr="000260A0">
        <w:rPr>
          <w:i/>
          <w:vertAlign w:val="subscript"/>
        </w:rPr>
        <w:t>o</w:t>
      </w:r>
      <w:r w:rsidRPr="000260A0">
        <w:t> (W m</w:t>
      </w:r>
      <w:r w:rsidRPr="000260A0">
        <w:rPr>
          <w:vertAlign w:val="superscript"/>
        </w:rPr>
        <w:noBreakHyphen/>
        <w:t>2</w:t>
      </w:r>
      <w:r w:rsidRPr="000260A0">
        <w:t xml:space="preserve">) is the incident light intensity, </w:t>
      </w:r>
      <w:r w:rsidRPr="000260A0">
        <w:rPr>
          <w:i/>
        </w:rPr>
        <w:t>K</w:t>
      </w:r>
      <w:r w:rsidRPr="000260A0">
        <w:rPr>
          <w:i/>
          <w:vertAlign w:val="subscript"/>
        </w:rPr>
        <w:t>I</w:t>
      </w:r>
      <w:r w:rsidRPr="000260A0">
        <w:t> (m</w:t>
      </w:r>
      <w:r w:rsidRPr="000260A0">
        <w:rPr>
          <w:vertAlign w:val="superscript"/>
        </w:rPr>
        <w:t>2</w:t>
      </w:r>
      <w:r w:rsidRPr="000260A0">
        <w:t> g</w:t>
      </w:r>
      <w:r w:rsidRPr="000260A0">
        <w:rPr>
          <w:vertAlign w:val="superscript"/>
        </w:rPr>
        <w:noBreakHyphen/>
        <w:t>1</w:t>
      </w:r>
      <w:r w:rsidRPr="000260A0">
        <w:t xml:space="preserve">) is the extinction coefficient, </w:t>
      </w:r>
      <w:proofErr w:type="spellStart"/>
      <w:r w:rsidRPr="000260A0">
        <w:rPr>
          <w:i/>
        </w:rPr>
        <w:t>X</w:t>
      </w:r>
      <w:r w:rsidR="00CA34AB" w:rsidRPr="000260A0">
        <w:rPr>
          <w:i/>
          <w:vertAlign w:val="subscript"/>
        </w:rPr>
        <w:t>alg</w:t>
      </w:r>
      <w:proofErr w:type="spellEnd"/>
      <w:r w:rsidRPr="000260A0">
        <w:t> (g m</w:t>
      </w:r>
      <w:r w:rsidRPr="000260A0">
        <w:rPr>
          <w:vertAlign w:val="superscript"/>
        </w:rPr>
        <w:noBreakHyphen/>
        <w:t>3</w:t>
      </w:r>
      <w:r w:rsidRPr="000260A0">
        <w:t>) is the concentration of microalgae biomass</w:t>
      </w:r>
      <w:r w:rsidR="005D6235" w:rsidRPr="000260A0">
        <w:t xml:space="preserve"> in the culture medium</w:t>
      </w:r>
      <w:r w:rsidRPr="000260A0">
        <w:t>.</w:t>
      </w:r>
    </w:p>
    <w:p w14:paraId="10890598" w14:textId="33E9BC06" w:rsidR="00103241" w:rsidRPr="000260A0" w:rsidRDefault="00590BB7" w:rsidP="00103241">
      <w:pPr>
        <w:pStyle w:val="CETheadingx"/>
      </w:pPr>
      <w:r w:rsidRPr="000260A0">
        <w:t>Multi-physical model</w:t>
      </w:r>
    </w:p>
    <w:p w14:paraId="7E0F137F" w14:textId="02783AAC" w:rsidR="00103241" w:rsidRPr="000260A0" w:rsidRDefault="00103241" w:rsidP="00103241">
      <w:pPr>
        <w:pStyle w:val="CETBodytext"/>
      </w:pPr>
      <w:r w:rsidRPr="000260A0">
        <w:t>T</w:t>
      </w:r>
      <w:r w:rsidR="00590BB7" w:rsidRPr="000260A0">
        <w:t>o observe the effect of hydrodynamic conditions on the cultivation process, a multi-physic</w:t>
      </w:r>
      <w:r w:rsidR="005D6235" w:rsidRPr="000260A0">
        <w:t>al</w:t>
      </w:r>
      <w:r w:rsidR="00590BB7" w:rsidRPr="000260A0">
        <w:t xml:space="preserve"> model was developed. </w:t>
      </w:r>
      <w:r w:rsidR="00827447">
        <w:t>The m</w:t>
      </w:r>
      <w:r w:rsidR="00590BB7" w:rsidRPr="000260A0">
        <w:t xml:space="preserve">ulti-physical model is based on the BIO_ALGAE model, which can be used to predict the production of microalgae depending on different operating conditions. A detailed description of the BIO_ALGAE model was reported in </w:t>
      </w:r>
      <w:r w:rsidR="00590BB7" w:rsidRPr="000260A0">
        <w:fldChar w:fldCharType="begin" w:fldLock="1"/>
      </w:r>
      <w:r w:rsidR="00B878DB" w:rsidRPr="000260A0">
        <w:instrText>ADDIN CSL_CITATION {"citationItems":[{"id":"ITEM-1","itemData":{"DOI":"10.1016/j.scitotenv.2017.05.215","ISSN":"18791026","abstract":"An integral mechanistic model describing the complex interactions in mixed algal-bacterial systems was developed. The model includes crucial physical, chemical and biokinetic processes of microalgae as well as bacteria in wastewater. Carbon-limited microalgae and autotrophic bacteria growth, light attenuation, photorespiration, temperature and pH dependency are some of the new features included. The model named BIO_ALGAE was built using the general formulation and structure of activated sludge models (ASM), and it was implemented in COMSOL Multiphysics™ platform. Calibration and validation were conducted with experimental data from two identical pilot HRAPs receiving real wastewater. The model was able to simulate the dynamics of different components in the ponds, and to predict the relative proportion of microalgae (58–68% in average of total suspended solids (TSS) and bacteria (30–20% in average of TSS). Microalgae growth resulted strongly influenced by the light factor fL(I), decreasing microalgae concentrations from 40 to 60%. Furthermore, reducing the influent organic matter concentration of 50% and 70%, model predictions indicated that microalgae production increased from (8.7 g TSS m− 2d− 1to 13.5 g TSS m− 2d− 1) due to the new distribution of particulate components. The proposed model could be an efficient tool for industry to predict the production of microalgae, as well as to design and optimize HRAPs.","author":[{"dropping-particle":"","family":"Solimeno","given":"Alessandro","non-dropping-particle":"","parse-names":false,"suffix":""},{"dropping-particle":"","family":"Parker","given":"Lauren","non-dropping-particle":"","parse-names":false,"suffix":""},{"dropping-particle":"","family":"Lundquist","given":"Tryg","non-dropping-particle":"","parse-names":false,"suffix":""},{"dropping-particle":"","family":"García","given":"Joan","non-dropping-particle":"","parse-names":false,"suffix":""}],"container-title":"Science of the Total Environment","id":"ITEM-1","issued":{"date-parts":[["2017"]]},"page":"646-657","publisher":"Elsevier B.V.","title":"Integral microalgae-bacteria model (BIO_ALGAE): Application to wastewater high rate algal ponds","type":"article-journal","volume":"601-602"},"uris":["http://www.mendeley.com/documents/?uuid=6f8dd689-9ba4-4a49-bd4b-159a9990d0d7"]}],"mendeley":{"formattedCitation":"(Solimeno, Parker, et al., 2017)","manualFormatting":"Solimeno et al., 2017","plainTextFormattedCitation":"(Solimeno, Parker, et al., 2017)","previouslyFormattedCitation":"(Solimeno, Parker, et al., 2017)"},"properties":{"noteIndex":0},"schema":"https://github.com/citation-style-language/schema/raw/master/csl-citation.json"}</w:instrText>
      </w:r>
      <w:r w:rsidR="00590BB7" w:rsidRPr="000260A0">
        <w:fldChar w:fldCharType="separate"/>
      </w:r>
      <w:r w:rsidR="00590BB7" w:rsidRPr="000260A0">
        <w:rPr>
          <w:noProof/>
        </w:rPr>
        <w:t xml:space="preserve">Solimeno et al. </w:t>
      </w:r>
      <w:r w:rsidR="00785DB9" w:rsidRPr="000260A0">
        <w:rPr>
          <w:noProof/>
        </w:rPr>
        <w:t>(</w:t>
      </w:r>
      <w:r w:rsidR="00590BB7" w:rsidRPr="000260A0">
        <w:rPr>
          <w:noProof/>
        </w:rPr>
        <w:t>2017</w:t>
      </w:r>
      <w:r w:rsidR="00590BB7" w:rsidRPr="000260A0">
        <w:fldChar w:fldCharType="end"/>
      </w:r>
      <w:r w:rsidR="00785DB9" w:rsidRPr="000260A0">
        <w:t>)</w:t>
      </w:r>
      <w:r w:rsidR="000750FD" w:rsidRPr="000260A0">
        <w:t xml:space="preserve"> and </w:t>
      </w:r>
      <w:r w:rsidR="000750FD" w:rsidRPr="000260A0">
        <w:fldChar w:fldCharType="begin" w:fldLock="1"/>
      </w:r>
      <w:r w:rsidR="00B878DB" w:rsidRPr="000260A0">
        <w:instrText>ADDIN CSL_CITATION {"citationItems":[{"id":"ITEM-1","itemData":{"DOI":"10.1016/j.algal.2016.11.023","ISBN":"2211-9264","ISSN":"22119264","abstract":"Closed photobioreactors (PBRs) are usually used for the production of high-value microalgae biomass at higher productivities than in open ponds. A large variety of different PBRs have been developed to optimize the biomass productivity and photosynthesis efficiency. At the same time mathematical models for PBRs are also increasing in popularity for design of new systems and for improving understanding of the complex processes occurring inside. The aim of the present study is to calibrate of the new mechanistic model for microalgae growth using experimental data from two different tubular photobioreactors. Hydrodynamic and light attenuation through the medium were added in the model to obtain a realistic representation of photobioreactor. Furthermore, the model was able to predict microalgae production under different climatic conditions and the oxygen accumulation throughout the photobioreactor.","author":[{"dropping-particle":"","family":"Solimeno","given":"Alessandro","non-dropping-particle":"","parse-names":false,"suffix":""},{"dropping-particle":"","family":"Acíen","given":"F. Gabriel","non-dropping-particle":"","parse-names":false,"suffix":""},{"dropping-particle":"","family":"García","given":"Joan","non-dropping-particle":"","parse-names":false,"suffix":""}],"container-title":"Algal Research","id":"ITEM-1","issued":{"date-parts":[["2017"]]},"page":"236-246","publisher":"Elsevier B.V.","title":"Mechanistic model for design, analysis, operation and control of microalgae cultures: Calibration and application to tubular photobioreactors","type":"article-journal","volume":"21"},"uris":["http://www.mendeley.com/documents/?uuid=e1f32845-744c-4bb7-a76d-1aef759b0896"]}],"mendeley":{"formattedCitation":"(Solimeno, Acíen, et al., 2017)","manualFormatting":"Solimeno, Acíen, et al., 2017","plainTextFormattedCitation":"(Solimeno, Acíen, et al., 2017)","previouslyFormattedCitation":"(Solimeno, Acíen, et al., 2017)"},"properties":{"noteIndex":0},"schema":"https://github.com/citation-style-language/schema/raw/master/csl-citation.json"}</w:instrText>
      </w:r>
      <w:r w:rsidR="000750FD" w:rsidRPr="000260A0">
        <w:fldChar w:fldCharType="separate"/>
      </w:r>
      <w:r w:rsidR="000750FD" w:rsidRPr="000260A0">
        <w:rPr>
          <w:noProof/>
        </w:rPr>
        <w:t xml:space="preserve">Solimeno et al. </w:t>
      </w:r>
      <w:r w:rsidR="00A121BA" w:rsidRPr="000260A0">
        <w:rPr>
          <w:noProof/>
        </w:rPr>
        <w:t>(</w:t>
      </w:r>
      <w:r w:rsidR="000750FD" w:rsidRPr="000260A0">
        <w:rPr>
          <w:noProof/>
        </w:rPr>
        <w:t>2017</w:t>
      </w:r>
      <w:r w:rsidR="000750FD" w:rsidRPr="000260A0">
        <w:fldChar w:fldCharType="end"/>
      </w:r>
      <w:r w:rsidR="00785DB9" w:rsidRPr="000260A0">
        <w:t>)</w:t>
      </w:r>
      <w:r w:rsidR="00590BB7" w:rsidRPr="000260A0">
        <w:t>.</w:t>
      </w:r>
      <w:r w:rsidR="00D14C27" w:rsidRPr="000260A0">
        <w:t xml:space="preserve"> The BIO_ALGAE model does not consider the intensity of culture medium mixing as it flows through the transparent tubes. </w:t>
      </w:r>
      <w:r w:rsidR="001E1A6B" w:rsidRPr="001E1A6B">
        <w:t xml:space="preserve">A 3D model and a hydrodynamic CFD model mesh were created for the selected geometry of photobioreactor (section 2.2). With </w:t>
      </w:r>
      <w:r w:rsidR="001E1A6B" w:rsidRPr="001E1A6B">
        <w:lastRenderedPageBreak/>
        <w:t xml:space="preserve">the created model it is possible to simulate the movement of individual microalgae cells contained in the culture medium. The trajectories of the flowing cells can then be used in the light attenuation model. The light model allows to simulate the average intensity of light radiation received by cells depending on their trajectory or distance from the irradiated transparent surface of the photobioreactor, respectively. The BIO_ALGAE model can use the average light intensity value to predict biomass production from microalgae, which further add data about the transparency of the culture medium to the light attenuation model (Eq. 2). By integrating each </w:t>
      </w:r>
      <w:proofErr w:type="spellStart"/>
      <w:r w:rsidR="001E1A6B" w:rsidRPr="001E1A6B">
        <w:t>submodel</w:t>
      </w:r>
      <w:proofErr w:type="spellEnd"/>
      <w:r w:rsidR="001E1A6B" w:rsidRPr="001E1A6B">
        <w:t xml:space="preserve"> into a comprehensive multi-physic</w:t>
      </w:r>
      <w:r w:rsidR="00707ABF">
        <w:t>al</w:t>
      </w:r>
      <w:r w:rsidR="001E1A6B" w:rsidRPr="001E1A6B">
        <w:t xml:space="preserve"> model, it allows the production of biomass in a real cultivation system to be predicted over time.</w:t>
      </w:r>
    </w:p>
    <w:p w14:paraId="677EBFF0" w14:textId="1094977E" w:rsidR="00600535" w:rsidRPr="000260A0" w:rsidRDefault="00103241" w:rsidP="00600535">
      <w:pPr>
        <w:pStyle w:val="CETHeading1"/>
        <w:tabs>
          <w:tab w:val="clear" w:pos="360"/>
          <w:tab w:val="right" w:pos="7100"/>
        </w:tabs>
        <w:jc w:val="both"/>
        <w:rPr>
          <w:lang w:val="en-GB"/>
        </w:rPr>
      </w:pPr>
      <w:r w:rsidRPr="000260A0">
        <w:rPr>
          <w:lang w:val="en-GB"/>
        </w:rPr>
        <w:t>Results</w:t>
      </w:r>
    </w:p>
    <w:p w14:paraId="04963A06" w14:textId="73555323" w:rsidR="00600535" w:rsidRPr="000260A0" w:rsidRDefault="00103241" w:rsidP="00FA5F5F">
      <w:pPr>
        <w:pStyle w:val="CETheadingx"/>
      </w:pPr>
      <w:r w:rsidRPr="000260A0">
        <w:t>Microalgae cells tracking</w:t>
      </w:r>
    </w:p>
    <w:p w14:paraId="68E49CD6" w14:textId="441E3F00" w:rsidR="00103241" w:rsidRPr="000260A0" w:rsidRDefault="00C8126B" w:rsidP="00103241">
      <w:pPr>
        <w:pStyle w:val="CETListbullets"/>
        <w:ind w:left="0" w:firstLine="0"/>
      </w:pPr>
      <w:r w:rsidRPr="00C8126B">
        <w:t xml:space="preserve">Cell trajectories were generated from the hydrodynamic CFD model and the distance of the cells from the transparent surface of the tube </w:t>
      </w:r>
      <w:r w:rsidRPr="006A4136">
        <w:rPr>
          <w:i/>
        </w:rPr>
        <w:t>H</w:t>
      </w:r>
      <w:r>
        <w:t> </w:t>
      </w:r>
      <w:r w:rsidRPr="00C8126B">
        <w:t xml:space="preserve">(m) was subsequently monitored. To compare the effect of flow on cell movement in geometrically similar cultivation systems, the distance </w:t>
      </w:r>
      <w:r w:rsidRPr="006A4136">
        <w:rPr>
          <w:i/>
        </w:rPr>
        <w:t>H</w:t>
      </w:r>
      <w:r w:rsidRPr="00C8126B">
        <w:t xml:space="preserve"> was related to the diameter of the transparent tube </w:t>
      </w:r>
      <w:r w:rsidRPr="006A4136">
        <w:rPr>
          <w:i/>
        </w:rPr>
        <w:t>d</w:t>
      </w:r>
      <w:r w:rsidR="00D425E8">
        <w:t> </w:t>
      </w:r>
      <w:r w:rsidRPr="00C8126B">
        <w:t xml:space="preserve">(m). The dimensionless distance of cells from the transparent surface </w:t>
      </w:r>
      <w:r w:rsidRPr="006A4136">
        <w:rPr>
          <w:i/>
        </w:rPr>
        <w:t>H/d</w:t>
      </w:r>
      <w:r w:rsidRPr="00C8126B">
        <w:t xml:space="preserve"> for different operating conditions in HT PBR is shown in Figure</w:t>
      </w:r>
      <w:r w:rsidR="00D425E8">
        <w:t> </w:t>
      </w:r>
      <w:r w:rsidRPr="00C8126B">
        <w:t>3. The figure shows the mean values of the distance, which are indicated by the dashed line. From the shown trajectories, it is clear that as the flow rate of the culture medium increases, the mixing becomes more intense and the microalgae cells are thus distributed in the cross-section of the transparent tube.</w:t>
      </w:r>
    </w:p>
    <w:p w14:paraId="36E74AD4" w14:textId="055404B1" w:rsidR="009F0F7A" w:rsidRPr="000260A0" w:rsidRDefault="009F0F7A" w:rsidP="00103241">
      <w:pPr>
        <w:pStyle w:val="CETListbullets"/>
        <w:ind w:left="0" w:firstLine="0"/>
      </w:pPr>
      <w:r w:rsidRPr="000260A0">
        <w:rPr>
          <w:noProof/>
        </w:rPr>
        <w:drawing>
          <wp:inline distT="0" distB="0" distL="0" distR="0" wp14:anchorId="72ADE3B4" wp14:editId="0B478DC5">
            <wp:extent cx="4680000" cy="1782529"/>
            <wp:effectExtent l="0" t="0" r="635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1782529"/>
                    </a:xfrm>
                    <a:prstGeom prst="rect">
                      <a:avLst/>
                    </a:prstGeom>
                    <a:noFill/>
                    <a:ln>
                      <a:noFill/>
                    </a:ln>
                  </pic:spPr>
                </pic:pic>
              </a:graphicData>
            </a:graphic>
          </wp:inline>
        </w:drawing>
      </w:r>
    </w:p>
    <w:p w14:paraId="0344B8CC" w14:textId="282AF776" w:rsidR="001953C2" w:rsidRPr="000260A0" w:rsidRDefault="001953C2" w:rsidP="001953C2">
      <w:pPr>
        <w:pStyle w:val="CETCaption"/>
      </w:pPr>
      <w:r w:rsidRPr="000260A0">
        <w:t xml:space="preserve">Figure </w:t>
      </w:r>
      <w:r w:rsidR="00B86493">
        <w:t>3</w:t>
      </w:r>
      <w:r w:rsidRPr="000260A0">
        <w:t>: Dimensionless distance of microalgae cell from the irradiated wall of HT PBR</w:t>
      </w:r>
    </w:p>
    <w:p w14:paraId="7D86555D" w14:textId="77777777" w:rsidR="006A4136" w:rsidRPr="000260A0" w:rsidRDefault="006A4136" w:rsidP="006A4136">
      <w:pPr>
        <w:pStyle w:val="CETListbullets"/>
        <w:ind w:left="0" w:firstLine="0"/>
      </w:pPr>
      <w:r w:rsidRPr="00D425E8">
        <w:t xml:space="preserve">The dimensionless distance </w:t>
      </w:r>
      <w:r w:rsidRPr="006A4136">
        <w:rPr>
          <w:i/>
        </w:rPr>
        <w:t>H/d</w:t>
      </w:r>
      <w:r w:rsidRPr="00D425E8">
        <w:t xml:space="preserve"> of the transition boundary between the light and dark zones corresponds to the value of 0.72. As the flow rate of culture medium increases, the microalgae cells more often enter the light zone of the tube, as is shown if Figure 4. Conversely, in the case of the lowest flow velocity (</w:t>
      </w:r>
      <w:r w:rsidRPr="006A4136">
        <w:rPr>
          <w:i/>
        </w:rPr>
        <w:t>Re</w:t>
      </w:r>
      <w:r>
        <w:t> </w:t>
      </w:r>
      <w:r w:rsidRPr="00D425E8">
        <w:t>=</w:t>
      </w:r>
      <w:r>
        <w:t> </w:t>
      </w:r>
      <w:r w:rsidRPr="00D425E8">
        <w:t xml:space="preserve">23,700), the cells are it the dark zone during their entire flow. For the flow regime </w:t>
      </w:r>
      <w:r w:rsidRPr="006A4136">
        <w:rPr>
          <w:i/>
        </w:rPr>
        <w:t>Re</w:t>
      </w:r>
      <w:r>
        <w:t> </w:t>
      </w:r>
      <w:r w:rsidRPr="00D425E8">
        <w:t>=</w:t>
      </w:r>
      <w:r>
        <w:t> </w:t>
      </w:r>
      <w:r w:rsidRPr="00D425E8">
        <w:t xml:space="preserve">31,200, the light fraction </w:t>
      </w:r>
      <w:r w:rsidRPr="006A4136">
        <w:rPr>
          <w:i/>
        </w:rPr>
        <w:t>ε</w:t>
      </w:r>
      <w:r w:rsidRPr="00D425E8">
        <w:t xml:space="preserve"> was reaching</w:t>
      </w:r>
      <w:r>
        <w:t xml:space="preserve"> value of </w:t>
      </w:r>
      <w:r w:rsidRPr="00D425E8">
        <w:t>0.128. For the highest flow rate and a corresponding highest velocity (</w:t>
      </w:r>
      <w:r w:rsidRPr="006A4136">
        <w:rPr>
          <w:i/>
        </w:rPr>
        <w:t>Re</w:t>
      </w:r>
      <w:r>
        <w:t> </w:t>
      </w:r>
      <w:r w:rsidRPr="00D425E8">
        <w:t>=</w:t>
      </w:r>
      <w:r>
        <w:t> </w:t>
      </w:r>
      <w:r w:rsidRPr="00D425E8">
        <w:t xml:space="preserve">46,200), the light fraction increased to </w:t>
      </w:r>
      <w:r w:rsidRPr="00707BC4">
        <w:rPr>
          <w:i/>
        </w:rPr>
        <w:t>ε</w:t>
      </w:r>
      <w:r>
        <w:rPr>
          <w:i/>
        </w:rPr>
        <w:t> </w:t>
      </w:r>
      <w:r>
        <w:t>= </w:t>
      </w:r>
      <w:r w:rsidRPr="00D425E8">
        <w:t>0.678. The results clearly confirm that the irradiation of microalgae cells becomes more intense with the increasing flow rate.</w:t>
      </w:r>
    </w:p>
    <w:p w14:paraId="0DDE6D80" w14:textId="77777777" w:rsidR="004C774B" w:rsidRPr="000260A0" w:rsidRDefault="004C774B" w:rsidP="006A4136">
      <w:pPr>
        <w:pStyle w:val="CETListbullets"/>
        <w:ind w:left="0" w:firstLine="0"/>
      </w:pPr>
    </w:p>
    <w:p w14:paraId="66D187D0" w14:textId="4A5E3C62" w:rsidR="004C774B" w:rsidRPr="000260A0" w:rsidRDefault="004C774B" w:rsidP="00103241">
      <w:pPr>
        <w:pStyle w:val="CETListbullets"/>
        <w:ind w:left="0" w:firstLine="0"/>
      </w:pPr>
      <w:r w:rsidRPr="000260A0">
        <w:rPr>
          <w:noProof/>
        </w:rPr>
        <w:drawing>
          <wp:inline distT="0" distB="0" distL="0" distR="0" wp14:anchorId="2876008A" wp14:editId="51FF6AC0">
            <wp:extent cx="4981575" cy="139180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6500" cy="1404354"/>
                    </a:xfrm>
                    <a:prstGeom prst="rect">
                      <a:avLst/>
                    </a:prstGeom>
                  </pic:spPr>
                </pic:pic>
              </a:graphicData>
            </a:graphic>
          </wp:inline>
        </w:drawing>
      </w:r>
    </w:p>
    <w:p w14:paraId="69844ADE" w14:textId="13642C1B" w:rsidR="004C774B" w:rsidRPr="000260A0" w:rsidRDefault="004C774B" w:rsidP="004C774B">
      <w:pPr>
        <w:pStyle w:val="CETCaption"/>
      </w:pPr>
      <w:r w:rsidRPr="000260A0">
        <w:t xml:space="preserve">Figure </w:t>
      </w:r>
      <w:r w:rsidR="00B86493">
        <w:t>4</w:t>
      </w:r>
      <w:r w:rsidRPr="000260A0">
        <w:t xml:space="preserve">: Particle tracking in light and dark zones in </w:t>
      </w:r>
      <w:r w:rsidR="00827447">
        <w:t xml:space="preserve">the </w:t>
      </w:r>
      <w:r w:rsidRPr="000260A0">
        <w:t>cross-sectional view of HT PBR transparent tube</w:t>
      </w:r>
    </w:p>
    <w:p w14:paraId="1C3F6614" w14:textId="77777777" w:rsidR="004C774B" w:rsidRPr="000260A0" w:rsidRDefault="004C774B" w:rsidP="00103241">
      <w:pPr>
        <w:pStyle w:val="CETListbullets"/>
        <w:ind w:left="0" w:firstLine="0"/>
      </w:pPr>
    </w:p>
    <w:p w14:paraId="7408D9C6" w14:textId="41553D25" w:rsidR="001B558D" w:rsidRPr="000260A0" w:rsidRDefault="001B558D" w:rsidP="00103241">
      <w:pPr>
        <w:pStyle w:val="CETListbullets"/>
        <w:ind w:left="0" w:firstLine="0"/>
      </w:pPr>
    </w:p>
    <w:p w14:paraId="1F96CA21" w14:textId="4488A1E0" w:rsidR="00600535" w:rsidRPr="000260A0" w:rsidRDefault="00103241" w:rsidP="00FA5F5F">
      <w:pPr>
        <w:pStyle w:val="CETheadingx"/>
      </w:pPr>
      <w:r w:rsidRPr="000260A0">
        <w:lastRenderedPageBreak/>
        <w:t xml:space="preserve">Influence of hydrodynamics on the </w:t>
      </w:r>
      <w:r w:rsidR="00D466DF" w:rsidRPr="000260A0">
        <w:t>biomass production</w:t>
      </w:r>
    </w:p>
    <w:p w14:paraId="7FD42486" w14:textId="3284ACF5" w:rsidR="00600535" w:rsidRPr="000260A0" w:rsidRDefault="009E4590" w:rsidP="00F110B8">
      <w:pPr>
        <w:pStyle w:val="CETBodytext"/>
      </w:pPr>
      <w:r w:rsidRPr="000260A0">
        <w:rPr>
          <w:lang w:val="en-GB"/>
        </w:rPr>
        <w:t xml:space="preserve">The influence of hydrodynamic conditions on microalgae production was simulated using an integrated </w:t>
      </w:r>
      <w:r w:rsidR="005C1E04" w:rsidRPr="000260A0">
        <w:rPr>
          <w:lang w:val="en-GB"/>
        </w:rPr>
        <w:t xml:space="preserve">multi-physical </w:t>
      </w:r>
      <w:r w:rsidRPr="000260A0">
        <w:rPr>
          <w:lang w:val="en-GB"/>
        </w:rPr>
        <w:t>model</w:t>
      </w:r>
      <w:r w:rsidR="005C1E04" w:rsidRPr="000260A0">
        <w:rPr>
          <w:lang w:val="en-GB"/>
        </w:rPr>
        <w:t xml:space="preserve">. </w:t>
      </w:r>
      <w:r w:rsidR="005C1E04" w:rsidRPr="000260A0">
        <w:t xml:space="preserve">A comparison of microalgae concentration in culture medium </w:t>
      </w:r>
      <w:r w:rsidR="005C1E04" w:rsidRPr="000260A0">
        <w:rPr>
          <w:i/>
          <w:iCs/>
        </w:rPr>
        <w:t>X</w:t>
      </w:r>
      <w:r w:rsidR="005C1E04" w:rsidRPr="000260A0">
        <w:rPr>
          <w:i/>
          <w:iCs/>
          <w:vertAlign w:val="subscript"/>
        </w:rPr>
        <w:t>alg</w:t>
      </w:r>
      <w:r w:rsidR="005C1E04" w:rsidRPr="000260A0">
        <w:t xml:space="preserve"> for three operating configurations is shown in Figure</w:t>
      </w:r>
      <w:r w:rsidR="007C7B23" w:rsidRPr="000260A0">
        <w:t> </w:t>
      </w:r>
      <w:r w:rsidR="00B86493">
        <w:t>5</w:t>
      </w:r>
      <w:r w:rsidR="005C1E04" w:rsidRPr="000260A0">
        <w:t>. According to the change of operating configuration</w:t>
      </w:r>
      <w:r w:rsidR="007C7B23" w:rsidRPr="000260A0">
        <w:t xml:space="preserve"> from </w:t>
      </w:r>
      <w:r w:rsidR="007C7B23" w:rsidRPr="000260A0">
        <w:rPr>
          <w:i/>
        </w:rPr>
        <w:t>Re</w:t>
      </w:r>
      <w:r w:rsidR="007C7B23" w:rsidRPr="000260A0">
        <w:t> = 23,700</w:t>
      </w:r>
      <w:r w:rsidR="005C1E04" w:rsidRPr="000260A0">
        <w:t xml:space="preserve"> to </w:t>
      </w:r>
      <w:r w:rsidR="007C7B23" w:rsidRPr="000260A0">
        <w:t>31,200</w:t>
      </w:r>
      <w:r w:rsidR="005C1E04" w:rsidRPr="000260A0">
        <w:t>, the microalgae production can increase by 0.7</w:t>
      </w:r>
      <w:r w:rsidR="007C7B23" w:rsidRPr="000260A0">
        <w:t> </w:t>
      </w:r>
      <w:r w:rsidR="005C1E04" w:rsidRPr="000260A0">
        <w:t>%. In terms of HT PBR capacity, it means an increase in biomass production of 16</w:t>
      </w:r>
      <w:r w:rsidR="001F51C0" w:rsidRPr="000260A0">
        <w:t> </w:t>
      </w:r>
      <w:r w:rsidR="005C1E04" w:rsidRPr="000260A0">
        <w:t>g</w:t>
      </w:r>
      <w:r w:rsidR="001F51C0" w:rsidRPr="000260A0">
        <w:t> </w:t>
      </w:r>
      <w:r w:rsidR="005C1E04" w:rsidRPr="000260A0">
        <w:t>day</w:t>
      </w:r>
      <w:r w:rsidR="005C1E04" w:rsidRPr="000260A0">
        <w:rPr>
          <w:vertAlign w:val="superscript"/>
        </w:rPr>
        <w:t>-1</w:t>
      </w:r>
      <w:r w:rsidR="005C1E04" w:rsidRPr="000260A0">
        <w:t xml:space="preserve">. For the configuration </w:t>
      </w:r>
      <w:r w:rsidR="007C7B23" w:rsidRPr="000260A0">
        <w:t xml:space="preserve">of </w:t>
      </w:r>
      <w:r w:rsidR="007C7B23" w:rsidRPr="000260A0">
        <w:rPr>
          <w:i/>
        </w:rPr>
        <w:t>Re</w:t>
      </w:r>
      <w:r w:rsidR="007C7B23" w:rsidRPr="000260A0">
        <w:t> = 46,200</w:t>
      </w:r>
      <w:r w:rsidR="005C1E04" w:rsidRPr="000260A0">
        <w:t>, the production increased by 2.0</w:t>
      </w:r>
      <w:r w:rsidR="007C7B23" w:rsidRPr="000260A0">
        <w:t> </w:t>
      </w:r>
      <w:r w:rsidR="005C1E04" w:rsidRPr="000260A0">
        <w:t xml:space="preserve">% in comparison to </w:t>
      </w:r>
      <w:r w:rsidR="007C7B23" w:rsidRPr="000260A0">
        <w:rPr>
          <w:i/>
        </w:rPr>
        <w:t>Re</w:t>
      </w:r>
      <w:r w:rsidR="007C7B23" w:rsidRPr="000260A0">
        <w:t> = 23,700</w:t>
      </w:r>
      <w:r w:rsidR="005C1E04" w:rsidRPr="000260A0">
        <w:t>, which means an increase in biomass production of 43</w:t>
      </w:r>
      <w:r w:rsidR="001F51C0" w:rsidRPr="000260A0">
        <w:t> </w:t>
      </w:r>
      <w:r w:rsidR="005C1E04" w:rsidRPr="000260A0">
        <w:t>g</w:t>
      </w:r>
      <w:r w:rsidR="001F51C0" w:rsidRPr="000260A0">
        <w:t> </w:t>
      </w:r>
      <w:r w:rsidR="005C1E04" w:rsidRPr="000260A0">
        <w:t>day</w:t>
      </w:r>
      <w:r w:rsidR="005C1E04" w:rsidRPr="000260A0">
        <w:rPr>
          <w:vertAlign w:val="superscript"/>
        </w:rPr>
        <w:t>-1</w:t>
      </w:r>
      <w:r w:rsidR="005C1E04" w:rsidRPr="000260A0">
        <w:t xml:space="preserve"> from base 2,145</w:t>
      </w:r>
      <w:r w:rsidR="001F51C0" w:rsidRPr="000260A0">
        <w:t> </w:t>
      </w:r>
      <w:r w:rsidR="005C1E04" w:rsidRPr="000260A0">
        <w:t>g</w:t>
      </w:r>
      <w:r w:rsidR="001F51C0" w:rsidRPr="000260A0">
        <w:t> </w:t>
      </w:r>
      <w:r w:rsidR="005C1E04" w:rsidRPr="000260A0">
        <w:t>day</w:t>
      </w:r>
      <w:r w:rsidR="005C1E04" w:rsidRPr="000260A0">
        <w:rPr>
          <w:vertAlign w:val="superscript"/>
        </w:rPr>
        <w:t>-1</w:t>
      </w:r>
      <w:r w:rsidR="005C1E04" w:rsidRPr="000260A0">
        <w:t>.</w:t>
      </w:r>
    </w:p>
    <w:p w14:paraId="4DE465CF" w14:textId="186A5B79" w:rsidR="008E61B2" w:rsidRPr="000260A0" w:rsidRDefault="00DE418B" w:rsidP="00F110B8">
      <w:pPr>
        <w:pStyle w:val="CETBodytext"/>
      </w:pPr>
      <w:r w:rsidRPr="000260A0">
        <w:rPr>
          <w:noProof/>
        </w:rPr>
        <w:drawing>
          <wp:inline distT="0" distB="0" distL="0" distR="0" wp14:anchorId="3AA2ACB5" wp14:editId="3BA245CC">
            <wp:extent cx="4680000" cy="1553277"/>
            <wp:effectExtent l="0" t="0" r="635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1553277"/>
                    </a:xfrm>
                    <a:prstGeom prst="rect">
                      <a:avLst/>
                    </a:prstGeom>
                    <a:noFill/>
                    <a:ln>
                      <a:noFill/>
                    </a:ln>
                  </pic:spPr>
                </pic:pic>
              </a:graphicData>
            </a:graphic>
          </wp:inline>
        </w:drawing>
      </w:r>
    </w:p>
    <w:p w14:paraId="377C0055" w14:textId="26EBF6E4" w:rsidR="008E61B2" w:rsidRPr="000260A0" w:rsidRDefault="008E61B2" w:rsidP="008E61B2">
      <w:pPr>
        <w:pStyle w:val="CETCaption"/>
      </w:pPr>
      <w:r w:rsidRPr="000260A0">
        <w:t xml:space="preserve">Figure </w:t>
      </w:r>
      <w:r w:rsidR="00B86493">
        <w:t>5</w:t>
      </w:r>
      <w:r w:rsidRPr="000260A0">
        <w:t>: Microalgae production in HT PBR according to increasing flowrate in transparent tubes</w:t>
      </w:r>
    </w:p>
    <w:p w14:paraId="0E1ECBC4" w14:textId="16BE8844" w:rsidR="00C30899" w:rsidRPr="000260A0" w:rsidRDefault="00C30899" w:rsidP="00F110B8">
      <w:pPr>
        <w:pStyle w:val="CETBodytext"/>
      </w:pPr>
      <w:r w:rsidRPr="000260A0">
        <w:t xml:space="preserve">The increase in production is not significant for selected operating conditions in HT PBR. However, hydrodynamic conditions will have a greater effect in systems where the layer of culture medium is larger </w:t>
      </w:r>
      <w:r w:rsidR="00CE2858" w:rsidRPr="000260A0">
        <w:t xml:space="preserve">so the influence of </w:t>
      </w:r>
      <w:r w:rsidR="00827447">
        <w:t xml:space="preserve">the </w:t>
      </w:r>
      <w:r w:rsidRPr="000260A0">
        <w:t xml:space="preserve">dark zone </w:t>
      </w:r>
      <w:r w:rsidR="00CE2858" w:rsidRPr="000260A0">
        <w:t>would be more significant as well</w:t>
      </w:r>
      <w:r w:rsidRPr="000260A0">
        <w:t xml:space="preserve">.  Also, in systems where higher concentrations of microalgae in the culture medium are achieved, the effect of hydrodynamics </w:t>
      </w:r>
      <w:r w:rsidR="00CE2858" w:rsidRPr="000260A0">
        <w:t>could</w:t>
      </w:r>
      <w:r w:rsidRPr="000260A0">
        <w:t xml:space="preserve"> be significant.</w:t>
      </w:r>
      <w:r w:rsidR="001D607B" w:rsidRPr="000260A0">
        <w:t xml:space="preserve"> An important factor here will also be the energy demand for operation, which is associated with an increase in the flow rate in the tubes. As the flow rate in HT PBR tubes increases, electricity consumption will also increase and the engines driving the paddle wheel will be more loaded. Therefore, the maintenance costs will be affected as well.</w:t>
      </w:r>
      <w:r w:rsidR="006E3759">
        <w:t xml:space="preserve"> </w:t>
      </w:r>
      <w:r w:rsidR="006E3759" w:rsidRPr="006E3759">
        <w:t xml:space="preserve">For an overall assessment, a detailed balance would be needed to </w:t>
      </w:r>
      <w:proofErr w:type="gramStart"/>
      <w:r w:rsidR="006E3759" w:rsidRPr="006E3759">
        <w:t>take into account</w:t>
      </w:r>
      <w:proofErr w:type="gramEnd"/>
      <w:r w:rsidR="006E3759" w:rsidRPr="006E3759">
        <w:t xml:space="preserve"> the increase in biomass production from microalgae and the associated increases in operating costs.</w:t>
      </w:r>
      <w:r w:rsidR="001D607B" w:rsidRPr="000260A0">
        <w:t xml:space="preserve"> Generally, the process of scale-up is complex and it is necessary to consider not only the microalgae production but also operational requirements. As the diameter of the tubes increase, it is necessary to ensure the pumping of a larger amount of culture medium to achieve a comparable flow regime.</w:t>
      </w:r>
    </w:p>
    <w:p w14:paraId="68D26B83" w14:textId="77777777" w:rsidR="00600535" w:rsidRPr="000260A0" w:rsidRDefault="00600535" w:rsidP="00600535">
      <w:pPr>
        <w:pStyle w:val="CETHeading1"/>
        <w:rPr>
          <w:lang w:val="en-GB"/>
        </w:rPr>
      </w:pPr>
      <w:r w:rsidRPr="000260A0">
        <w:rPr>
          <w:lang w:val="en-GB"/>
        </w:rPr>
        <w:t>Conclusions</w:t>
      </w:r>
    </w:p>
    <w:p w14:paraId="6B736956" w14:textId="0B09210C" w:rsidR="00F110B8" w:rsidRPr="000260A0" w:rsidRDefault="00E26777" w:rsidP="00D4057F">
      <w:r w:rsidRPr="000260A0">
        <w:t>A computational fluid dynamics (CFD) model was created to simulate hydrodynamic conditions in a hybrid tubular photobioreactor (HT PBR). The model was integrated into an already existing mechanistic model (BIO_ALGAE) simulating the cultivation process</w:t>
      </w:r>
      <w:r w:rsidR="00D4057F" w:rsidRPr="000260A0">
        <w:t xml:space="preserve">. </w:t>
      </w:r>
      <w:r w:rsidRPr="000260A0">
        <w:t xml:space="preserve">Using a </w:t>
      </w:r>
      <w:r w:rsidR="00D4057F" w:rsidRPr="000260A0">
        <w:t>developed multi-physical</w:t>
      </w:r>
      <w:r w:rsidRPr="000260A0">
        <w:t xml:space="preserve"> model, it was possible to monitor the influence of hydrodynamic conditions on the irradiation of the culture medium in HT PBR and microalga</w:t>
      </w:r>
      <w:r w:rsidR="00856879" w:rsidRPr="000260A0">
        <w:t>l biomass</w:t>
      </w:r>
      <w:r w:rsidRPr="000260A0">
        <w:t xml:space="preserve"> production. By increasing the flow rate of </w:t>
      </w:r>
      <w:r w:rsidR="00827447">
        <w:t xml:space="preserve">the </w:t>
      </w:r>
      <w:r w:rsidRPr="000260A0">
        <w:t xml:space="preserve">culture medium, more intensive mixing takes place in the transparent area of HT PBR and microalgal cells were thus more often exposed to light radiation. However, in this specific case, more intensive mixing in HT PBR did not show a significant increase in microalgae production. </w:t>
      </w:r>
      <w:r w:rsidR="000F4B80" w:rsidRPr="000F4B80">
        <w:t>The increase in biomass production would probably be negligible compared to the increase in energy requirements associated with the increasing flow rate of the culture medium.</w:t>
      </w:r>
      <w:r w:rsidR="000F4B80">
        <w:t xml:space="preserve"> </w:t>
      </w:r>
      <w:r w:rsidRPr="000260A0">
        <w:t>This can be attributed to the fact that</w:t>
      </w:r>
      <w:r w:rsidR="00856879" w:rsidRPr="000260A0">
        <w:t xml:space="preserve"> generally</w:t>
      </w:r>
      <w:r w:rsidRPr="000260A0">
        <w:t xml:space="preserve"> low microalgae concentrations were reached in the PBR </w:t>
      </w:r>
      <w:r w:rsidR="00D4057F" w:rsidRPr="000260A0">
        <w:t>(reaching 1 g L</w:t>
      </w:r>
      <w:r w:rsidR="00D4057F" w:rsidRPr="000260A0">
        <w:rPr>
          <w:vertAlign w:val="superscript"/>
        </w:rPr>
        <w:noBreakHyphen/>
        <w:t>1</w:t>
      </w:r>
      <w:r w:rsidR="00D4057F" w:rsidRPr="000260A0">
        <w:t>)</w:t>
      </w:r>
      <w:r w:rsidRPr="000260A0">
        <w:t xml:space="preserve">. At these concentrations, the majority of the culture medium was irradiated, so the intensity of mixing does not significantly affect the production of microalgae. The intensity of mixing would be more pronounced in systems working with deeper </w:t>
      </w:r>
      <w:r w:rsidR="00D4057F" w:rsidRPr="000260A0">
        <w:t>culture medium</w:t>
      </w:r>
      <w:r w:rsidRPr="000260A0">
        <w:t xml:space="preserve"> or in systems that achieve higher concentrations of microalgae.</w:t>
      </w:r>
    </w:p>
    <w:p w14:paraId="0B04C460" w14:textId="5316872C" w:rsidR="004C774B" w:rsidRPr="000260A0" w:rsidRDefault="004C774B" w:rsidP="00D4057F"/>
    <w:p w14:paraId="224C7D33" w14:textId="2585DEDA" w:rsidR="002254D5" w:rsidRDefault="002254D5" w:rsidP="00D4057F"/>
    <w:p w14:paraId="1BC313A9" w14:textId="78458D9E" w:rsidR="006A4136" w:rsidRDefault="006A4136" w:rsidP="00D4057F"/>
    <w:p w14:paraId="1F56D273" w14:textId="60D4368E" w:rsidR="000F4B80" w:rsidRDefault="000F4B80" w:rsidP="00D4057F"/>
    <w:p w14:paraId="483DC8F1" w14:textId="055299D9" w:rsidR="000F4B80" w:rsidRDefault="000F4B80" w:rsidP="00D4057F"/>
    <w:p w14:paraId="4CE4DA92" w14:textId="02A1EA7C" w:rsidR="000F4B80" w:rsidRDefault="000F4B80" w:rsidP="00D4057F"/>
    <w:p w14:paraId="18AD498D" w14:textId="4AEB6A09" w:rsidR="000F4B80" w:rsidRDefault="000F4B80" w:rsidP="00D4057F"/>
    <w:p w14:paraId="444FB482" w14:textId="77777777" w:rsidR="000F4B80" w:rsidRPr="000260A0" w:rsidRDefault="000F4B80" w:rsidP="00D4057F">
      <w:bookmarkStart w:id="0" w:name="_GoBack"/>
      <w:bookmarkEnd w:id="0"/>
    </w:p>
    <w:p w14:paraId="07A6D20F" w14:textId="2EE0F0D2" w:rsidR="00280FAF" w:rsidRPr="000260A0" w:rsidRDefault="00280FAF" w:rsidP="00280FAF">
      <w:pPr>
        <w:pStyle w:val="CETHeadingxx"/>
        <w:rPr>
          <w:lang w:val="en-GB"/>
        </w:rPr>
        <w:sectPr w:rsidR="00280FAF" w:rsidRPr="000260A0" w:rsidSect="00B57E6F">
          <w:type w:val="continuous"/>
          <w:pgSz w:w="11906" w:h="16838" w:code="9"/>
          <w:pgMar w:top="1701" w:right="1418" w:bottom="1701" w:left="1701" w:header="1701" w:footer="0" w:gutter="0"/>
          <w:cols w:space="708"/>
          <w:formProt w:val="0"/>
          <w:titlePg/>
          <w:docGrid w:linePitch="360"/>
        </w:sectPr>
      </w:pPr>
      <w:r w:rsidRPr="000260A0">
        <w:lastRenderedPageBreak/>
        <w:t>Nomenclature</w:t>
      </w:r>
    </w:p>
    <w:p w14:paraId="1B4C88CE" w14:textId="77777777" w:rsidR="00761486" w:rsidRPr="000260A0" w:rsidRDefault="00761486" w:rsidP="00280FAF">
      <w:pPr>
        <w:pStyle w:val="CETBodytext"/>
        <w:jc w:val="left"/>
        <w:rPr>
          <w:rFonts w:eastAsia="SimSun"/>
        </w:rPr>
        <w:sectPr w:rsidR="00761486" w:rsidRPr="000260A0" w:rsidSect="0077098D">
          <w:type w:val="continuous"/>
          <w:pgSz w:w="11906" w:h="16838" w:code="9"/>
          <w:pgMar w:top="1701" w:right="1418" w:bottom="1701" w:left="1701" w:header="1701" w:footer="0" w:gutter="0"/>
          <w:cols w:space="708"/>
          <w:formProt w:val="0"/>
          <w:titlePg/>
          <w:docGrid w:linePitch="360"/>
        </w:sectPr>
      </w:pPr>
    </w:p>
    <w:p w14:paraId="62291582" w14:textId="77777777" w:rsidR="00761486" w:rsidRPr="000260A0" w:rsidRDefault="00761486" w:rsidP="00280FAF">
      <w:pPr>
        <w:pStyle w:val="CETBodytext"/>
        <w:jc w:val="left"/>
        <w:rPr>
          <w:rFonts w:eastAsia="SimSun"/>
        </w:rPr>
      </w:pPr>
      <w:r w:rsidRPr="000260A0">
        <w:rPr>
          <w:rFonts w:eastAsia="SimSun"/>
          <w:i/>
        </w:rPr>
        <w:t>d</w:t>
      </w:r>
      <w:r w:rsidRPr="000260A0">
        <w:rPr>
          <w:rFonts w:eastAsia="SimSun"/>
        </w:rPr>
        <w:t xml:space="preserve"> – tube inner diameter, m</w:t>
      </w:r>
    </w:p>
    <w:p w14:paraId="5D2B11CA" w14:textId="77777777" w:rsidR="00761486" w:rsidRPr="000260A0" w:rsidRDefault="00761486" w:rsidP="00280FAF">
      <w:pPr>
        <w:pStyle w:val="CETBodytext"/>
        <w:jc w:val="left"/>
        <w:rPr>
          <w:rFonts w:eastAsia="SimSun"/>
        </w:rPr>
      </w:pPr>
      <w:r w:rsidRPr="000260A0">
        <w:rPr>
          <w:rFonts w:eastAsia="SimSun"/>
          <w:i/>
        </w:rPr>
        <w:t>H</w:t>
      </w:r>
      <w:r w:rsidRPr="000260A0">
        <w:rPr>
          <w:rFonts w:eastAsia="SimSun"/>
        </w:rPr>
        <w:t xml:space="preserve"> – distance from the tube wall, m</w:t>
      </w:r>
    </w:p>
    <w:p w14:paraId="58564BFF" w14:textId="77777777" w:rsidR="00761486" w:rsidRPr="000260A0" w:rsidRDefault="00761486" w:rsidP="00280FAF">
      <w:pPr>
        <w:pStyle w:val="CETBodytext"/>
        <w:jc w:val="left"/>
        <w:rPr>
          <w:rFonts w:eastAsia="SimSun"/>
        </w:rPr>
      </w:pPr>
      <w:proofErr w:type="spellStart"/>
      <w:r w:rsidRPr="000260A0">
        <w:rPr>
          <w:rFonts w:eastAsia="SimSun"/>
          <w:i/>
        </w:rPr>
        <w:t>I</w:t>
      </w:r>
      <w:r w:rsidRPr="000260A0">
        <w:rPr>
          <w:rFonts w:eastAsia="SimSun"/>
          <w:i/>
          <w:vertAlign w:val="subscript"/>
        </w:rPr>
        <w:t>av</w:t>
      </w:r>
      <w:proofErr w:type="spellEnd"/>
      <w:r w:rsidRPr="000260A0">
        <w:rPr>
          <w:rFonts w:eastAsia="SimSun"/>
        </w:rPr>
        <w:t xml:space="preserve"> – average intensity of light radiation, W m</w:t>
      </w:r>
      <w:r w:rsidRPr="000260A0">
        <w:rPr>
          <w:rFonts w:eastAsia="SimSun"/>
          <w:vertAlign w:val="superscript"/>
        </w:rPr>
        <w:noBreakHyphen/>
        <w:t>2</w:t>
      </w:r>
    </w:p>
    <w:p w14:paraId="01AE58C5" w14:textId="77777777" w:rsidR="00761486" w:rsidRPr="000260A0" w:rsidRDefault="00761486" w:rsidP="00280FAF">
      <w:pPr>
        <w:pStyle w:val="CETBodytext"/>
        <w:jc w:val="left"/>
        <w:rPr>
          <w:rFonts w:eastAsia="SimSun"/>
        </w:rPr>
      </w:pPr>
      <w:r w:rsidRPr="000260A0">
        <w:rPr>
          <w:rFonts w:eastAsia="SimSun"/>
          <w:i/>
        </w:rPr>
        <w:t>I</w:t>
      </w:r>
      <w:r w:rsidRPr="000260A0">
        <w:rPr>
          <w:rFonts w:eastAsia="SimSun"/>
          <w:i/>
          <w:vertAlign w:val="subscript"/>
        </w:rPr>
        <w:t>o</w:t>
      </w:r>
      <w:r w:rsidRPr="000260A0">
        <w:rPr>
          <w:rFonts w:eastAsia="SimSun"/>
        </w:rPr>
        <w:t xml:space="preserve"> – incident light intensity, W m</w:t>
      </w:r>
      <w:r w:rsidRPr="000260A0">
        <w:rPr>
          <w:rFonts w:eastAsia="SimSun"/>
          <w:vertAlign w:val="superscript"/>
        </w:rPr>
        <w:noBreakHyphen/>
        <w:t>2</w:t>
      </w:r>
    </w:p>
    <w:p w14:paraId="18903CF5" w14:textId="77777777" w:rsidR="00761486" w:rsidRPr="000260A0" w:rsidRDefault="00761486" w:rsidP="00280FAF">
      <w:pPr>
        <w:pStyle w:val="CETBodytext"/>
        <w:jc w:val="left"/>
        <w:rPr>
          <w:rFonts w:eastAsia="SimSun"/>
        </w:rPr>
      </w:pPr>
      <w:r w:rsidRPr="000260A0">
        <w:rPr>
          <w:rFonts w:eastAsia="SimSun"/>
          <w:i/>
        </w:rPr>
        <w:t>K</w:t>
      </w:r>
      <w:r w:rsidRPr="000260A0">
        <w:rPr>
          <w:rFonts w:eastAsia="SimSun"/>
          <w:i/>
          <w:vertAlign w:val="subscript"/>
        </w:rPr>
        <w:t>I</w:t>
      </w:r>
      <w:r w:rsidRPr="000260A0">
        <w:rPr>
          <w:rFonts w:eastAsia="SimSun"/>
        </w:rPr>
        <w:t xml:space="preserve"> – extinction coefficient, m</w:t>
      </w:r>
      <w:r w:rsidRPr="000260A0">
        <w:rPr>
          <w:rFonts w:eastAsia="SimSun"/>
          <w:vertAlign w:val="superscript"/>
        </w:rPr>
        <w:t>2</w:t>
      </w:r>
      <w:r w:rsidRPr="000260A0">
        <w:rPr>
          <w:rFonts w:eastAsia="SimSun"/>
        </w:rPr>
        <w:t> g</w:t>
      </w:r>
      <w:r w:rsidRPr="000260A0">
        <w:rPr>
          <w:rFonts w:eastAsia="SimSun"/>
          <w:vertAlign w:val="superscript"/>
        </w:rPr>
        <w:noBreakHyphen/>
        <w:t>1</w:t>
      </w:r>
    </w:p>
    <w:p w14:paraId="20DD4AE9" w14:textId="091628B9" w:rsidR="009C0D20" w:rsidRPr="000260A0" w:rsidRDefault="00761486" w:rsidP="00280FAF">
      <w:pPr>
        <w:pStyle w:val="CETBodytext"/>
        <w:jc w:val="left"/>
        <w:rPr>
          <w:rFonts w:eastAsia="SimSun"/>
        </w:rPr>
      </w:pPr>
      <w:r w:rsidRPr="000260A0">
        <w:rPr>
          <w:rFonts w:eastAsia="SimSun"/>
          <w:i/>
        </w:rPr>
        <w:t>L</w:t>
      </w:r>
      <w:r w:rsidRPr="000260A0">
        <w:rPr>
          <w:rFonts w:eastAsia="SimSun"/>
        </w:rPr>
        <w:t xml:space="preserve"> – tube length, m</w:t>
      </w:r>
    </w:p>
    <w:p w14:paraId="3224FFB3" w14:textId="3DED6A6A" w:rsidR="006A6D47" w:rsidRPr="000260A0" w:rsidRDefault="006A6D47" w:rsidP="00280FAF">
      <w:pPr>
        <w:pStyle w:val="CETBodytext"/>
        <w:jc w:val="left"/>
        <w:rPr>
          <w:rFonts w:eastAsia="SimSun"/>
        </w:rPr>
      </w:pPr>
      <w:r w:rsidRPr="000260A0">
        <w:rPr>
          <w:rFonts w:eastAsia="SimSun"/>
          <w:i/>
        </w:rPr>
        <w:t>t</w:t>
      </w:r>
      <w:r w:rsidRPr="000260A0">
        <w:rPr>
          <w:rFonts w:eastAsia="SimSun"/>
        </w:rPr>
        <w:t xml:space="preserve"> – time, s</w:t>
      </w:r>
    </w:p>
    <w:p w14:paraId="5F310921" w14:textId="77777777" w:rsidR="00761486" w:rsidRPr="000260A0" w:rsidRDefault="00761486" w:rsidP="00280FAF">
      <w:pPr>
        <w:pStyle w:val="CETBodytext"/>
        <w:jc w:val="left"/>
        <w:rPr>
          <w:rFonts w:eastAsia="SimSun"/>
        </w:rPr>
      </w:pPr>
      <w:proofErr w:type="spellStart"/>
      <w:r w:rsidRPr="000260A0">
        <w:rPr>
          <w:rFonts w:eastAsia="SimSun"/>
          <w:i/>
        </w:rPr>
        <w:t>t</w:t>
      </w:r>
      <w:r w:rsidRPr="000260A0">
        <w:rPr>
          <w:rFonts w:eastAsia="SimSun"/>
          <w:i/>
          <w:vertAlign w:val="subscript"/>
        </w:rPr>
        <w:t>D</w:t>
      </w:r>
      <w:proofErr w:type="spellEnd"/>
      <w:r w:rsidRPr="000260A0">
        <w:rPr>
          <w:rFonts w:eastAsia="SimSun"/>
        </w:rPr>
        <w:t xml:space="preserve"> – retention time in the dark zone, s</w:t>
      </w:r>
    </w:p>
    <w:p w14:paraId="7738116C" w14:textId="014A8D8A" w:rsidR="00761486" w:rsidRPr="000260A0" w:rsidRDefault="00761486" w:rsidP="00280FAF">
      <w:pPr>
        <w:pStyle w:val="CETBodytext"/>
        <w:jc w:val="left"/>
        <w:rPr>
          <w:rFonts w:eastAsia="SimSun"/>
        </w:rPr>
      </w:pPr>
      <w:proofErr w:type="spellStart"/>
      <w:r w:rsidRPr="000260A0">
        <w:rPr>
          <w:rFonts w:eastAsia="SimSun"/>
          <w:i/>
        </w:rPr>
        <w:t>t</w:t>
      </w:r>
      <w:r w:rsidRPr="000260A0">
        <w:rPr>
          <w:rFonts w:eastAsia="SimSun"/>
          <w:i/>
          <w:vertAlign w:val="subscript"/>
        </w:rPr>
        <w:t>L</w:t>
      </w:r>
      <w:proofErr w:type="spellEnd"/>
      <w:r w:rsidRPr="000260A0">
        <w:rPr>
          <w:rFonts w:eastAsia="SimSun"/>
        </w:rPr>
        <w:t xml:space="preserve"> – retention time in the light zone, s</w:t>
      </w:r>
    </w:p>
    <w:p w14:paraId="0E0B98B4" w14:textId="77777777" w:rsidR="00761486" w:rsidRPr="000260A0" w:rsidRDefault="00761486" w:rsidP="00761486">
      <w:pPr>
        <w:pStyle w:val="CETBodytext"/>
        <w:jc w:val="left"/>
        <w:rPr>
          <w:rFonts w:eastAsia="SimSun"/>
        </w:rPr>
      </w:pPr>
      <w:proofErr w:type="spellStart"/>
      <w:r w:rsidRPr="000260A0">
        <w:rPr>
          <w:rFonts w:eastAsia="SimSun"/>
          <w:i/>
        </w:rPr>
        <w:t>X</w:t>
      </w:r>
      <w:r w:rsidRPr="000260A0">
        <w:rPr>
          <w:rFonts w:eastAsia="SimSun"/>
          <w:i/>
          <w:vertAlign w:val="subscript"/>
        </w:rPr>
        <w:t>alg</w:t>
      </w:r>
      <w:proofErr w:type="spellEnd"/>
      <w:r w:rsidRPr="000260A0">
        <w:rPr>
          <w:rFonts w:eastAsia="SimSun"/>
        </w:rPr>
        <w:t xml:space="preserve"> – concentration of microalgae biomass, g m</w:t>
      </w:r>
      <w:r w:rsidRPr="000260A0">
        <w:rPr>
          <w:rFonts w:eastAsia="SimSun"/>
          <w:vertAlign w:val="superscript"/>
        </w:rPr>
        <w:noBreakHyphen/>
        <w:t>3</w:t>
      </w:r>
    </w:p>
    <w:p w14:paraId="2CC1D389" w14:textId="6DEDEE61" w:rsidR="00761486" w:rsidRPr="000260A0" w:rsidRDefault="00761486" w:rsidP="00761486">
      <w:pPr>
        <w:pStyle w:val="CETBodytext"/>
        <w:jc w:val="left"/>
        <w:rPr>
          <w:rFonts w:eastAsia="SimSun"/>
        </w:rPr>
        <w:sectPr w:rsidR="00761486" w:rsidRPr="000260A0" w:rsidSect="00200ECB">
          <w:type w:val="continuous"/>
          <w:pgSz w:w="11906" w:h="16838" w:code="9"/>
          <w:pgMar w:top="1701" w:right="1418" w:bottom="1701" w:left="1701" w:header="1701" w:footer="0" w:gutter="0"/>
          <w:cols w:num="2" w:space="708"/>
          <w:formProt w:val="0"/>
          <w:titlePg/>
          <w:docGrid w:linePitch="360"/>
        </w:sectPr>
      </w:pPr>
      <w:r w:rsidRPr="000260A0">
        <w:rPr>
          <w:i/>
        </w:rPr>
        <w:t>ε</w:t>
      </w:r>
      <w:r w:rsidRPr="000260A0">
        <w:rPr>
          <w:rFonts w:eastAsia="SimSun"/>
        </w:rPr>
        <w:t xml:space="preserve"> – light fraction, -</w:t>
      </w:r>
    </w:p>
    <w:p w14:paraId="459D05E6" w14:textId="77777777" w:rsidR="00600535" w:rsidRPr="000260A0" w:rsidRDefault="00600535" w:rsidP="00600535">
      <w:pPr>
        <w:pStyle w:val="CETAcknowledgementstitle"/>
      </w:pPr>
      <w:r w:rsidRPr="000260A0">
        <w:t>Acknowledgments</w:t>
      </w:r>
    </w:p>
    <w:p w14:paraId="14307328" w14:textId="22AAE22B" w:rsidR="007054C0" w:rsidRPr="000260A0" w:rsidRDefault="007054C0" w:rsidP="007054C0">
      <w:pPr>
        <w:pStyle w:val="CETBodytext"/>
        <w:rPr>
          <w:lang w:val="en-GB"/>
        </w:rPr>
      </w:pPr>
      <w:r w:rsidRPr="000260A0">
        <w:rPr>
          <w:lang w:val="en-GB"/>
        </w:rPr>
        <w:t>This work was supported by the Ministry of Education, Youth and Sports of the Czech Republic under OP RDE grant number CZ.02.1.01/0.0/0.0/16_019/0000753 “Research centre for low-carbon energy technologies”</w:t>
      </w:r>
      <w:r w:rsidR="00F001BB" w:rsidRPr="000260A0">
        <w:rPr>
          <w:lang w:val="en-GB"/>
        </w:rPr>
        <w:t>.</w:t>
      </w:r>
    </w:p>
    <w:p w14:paraId="428B022A" w14:textId="70E6E962" w:rsidR="00E65B91" w:rsidRPr="000260A0" w:rsidRDefault="00600535" w:rsidP="00F110B8">
      <w:pPr>
        <w:pStyle w:val="CETReference"/>
      </w:pPr>
      <w:r w:rsidRPr="000260A0">
        <w:t>References</w:t>
      </w:r>
    </w:p>
    <w:p w14:paraId="3119D7A6" w14:textId="613753A7" w:rsidR="00F70249" w:rsidRPr="000260A0" w:rsidRDefault="00A60DC3" w:rsidP="00F70249">
      <w:pPr>
        <w:widowControl w:val="0"/>
        <w:autoSpaceDE w:val="0"/>
        <w:autoSpaceDN w:val="0"/>
        <w:adjustRightInd w:val="0"/>
        <w:spacing w:line="240" w:lineRule="auto"/>
        <w:ind w:left="480" w:hanging="480"/>
        <w:rPr>
          <w:rFonts w:cs="Arial"/>
          <w:noProof/>
          <w:szCs w:val="24"/>
        </w:rPr>
      </w:pPr>
      <w:r w:rsidRPr="000260A0">
        <w:fldChar w:fldCharType="begin" w:fldLock="1"/>
      </w:r>
      <w:r w:rsidRPr="000260A0">
        <w:instrText xml:space="preserve">ADDIN Mendeley Bibliography CSL_BIBLIOGRAPHY </w:instrText>
      </w:r>
      <w:r w:rsidRPr="000260A0">
        <w:fldChar w:fldCharType="separate"/>
      </w:r>
      <w:r w:rsidR="00F70249" w:rsidRPr="000260A0">
        <w:rPr>
          <w:rFonts w:cs="Arial"/>
          <w:noProof/>
          <w:szCs w:val="24"/>
        </w:rPr>
        <w:t>ANSYS Inc. (US)</w:t>
      </w:r>
      <w:r w:rsidR="00A37C17" w:rsidRPr="000260A0">
        <w:rPr>
          <w:rFonts w:cs="Arial"/>
          <w:noProof/>
          <w:szCs w:val="24"/>
        </w:rPr>
        <w:t>,</w:t>
      </w:r>
      <w:r w:rsidR="00F70249" w:rsidRPr="000260A0">
        <w:rPr>
          <w:rFonts w:cs="Arial"/>
          <w:noProof/>
          <w:szCs w:val="24"/>
        </w:rPr>
        <w:t xml:space="preserve"> 2018</w:t>
      </w:r>
      <w:r w:rsidR="00A37C17" w:rsidRPr="000260A0">
        <w:rPr>
          <w:rFonts w:cs="Arial"/>
          <w:noProof/>
          <w:szCs w:val="24"/>
        </w:rPr>
        <w:t>,</w:t>
      </w:r>
      <w:r w:rsidR="00F70249" w:rsidRPr="000260A0">
        <w:rPr>
          <w:rFonts w:cs="Arial"/>
          <w:noProof/>
          <w:szCs w:val="24"/>
        </w:rPr>
        <w:t xml:space="preserve"> </w:t>
      </w:r>
      <w:r w:rsidR="00F70249" w:rsidRPr="000260A0">
        <w:rPr>
          <w:rFonts w:cs="Arial"/>
          <w:iCs/>
          <w:noProof/>
          <w:szCs w:val="24"/>
        </w:rPr>
        <w:t>Ansys Users’ Guide, Release 19.0</w:t>
      </w:r>
      <w:r w:rsidR="00F70249" w:rsidRPr="000260A0">
        <w:rPr>
          <w:rFonts w:cs="Arial"/>
          <w:noProof/>
          <w:szCs w:val="24"/>
        </w:rPr>
        <w:t xml:space="preserve"> (Vol. 7, Issue 11).</w:t>
      </w:r>
    </w:p>
    <w:p w14:paraId="4772DBAA" w14:textId="7E31832A"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 xml:space="preserve">Belohlav V., Jirout, T., 2019, Design methodology of industrial equipment for microalgae biomass primary harvesting and dewatering, </w:t>
      </w:r>
      <w:r w:rsidRPr="000260A0">
        <w:rPr>
          <w:rFonts w:cs="Arial"/>
          <w:iCs/>
          <w:noProof/>
          <w:szCs w:val="24"/>
        </w:rPr>
        <w:t>Chemical Engineering Transactions</w:t>
      </w:r>
      <w:r w:rsidRPr="000260A0">
        <w:rPr>
          <w:rFonts w:cs="Arial"/>
          <w:noProof/>
          <w:szCs w:val="24"/>
        </w:rPr>
        <w:t xml:space="preserve">, </w:t>
      </w:r>
      <w:r w:rsidRPr="000260A0">
        <w:rPr>
          <w:rFonts w:cs="Arial"/>
          <w:iCs/>
          <w:noProof/>
          <w:szCs w:val="24"/>
        </w:rPr>
        <w:t>76</w:t>
      </w:r>
      <w:r w:rsidRPr="000260A0">
        <w:rPr>
          <w:rFonts w:cs="Arial"/>
          <w:noProof/>
          <w:szCs w:val="24"/>
        </w:rPr>
        <w:t xml:space="preserve">, 919–924. </w:t>
      </w:r>
    </w:p>
    <w:p w14:paraId="1C61D2DD" w14:textId="22C79600"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 xml:space="preserve">Belohlav, V., Uggetti, E., García, J., Jirout, T., Kratky, L., 2021, Assessment of hydrodynamics based on Computational Fluid Dynamics to optimize the operation of hybrid tubular photobioreactors, </w:t>
      </w:r>
      <w:r w:rsidRPr="000260A0">
        <w:rPr>
          <w:rFonts w:cs="Arial"/>
          <w:iCs/>
          <w:noProof/>
          <w:szCs w:val="24"/>
        </w:rPr>
        <w:t>Journal of Environmental Chemical Engineering</w:t>
      </w:r>
      <w:r w:rsidRPr="000260A0">
        <w:rPr>
          <w:rFonts w:cs="Arial"/>
          <w:noProof/>
          <w:szCs w:val="24"/>
        </w:rPr>
        <w:t xml:space="preserve">, </w:t>
      </w:r>
      <w:r w:rsidRPr="000260A0">
        <w:rPr>
          <w:rFonts w:cs="Arial"/>
          <w:iCs/>
          <w:noProof/>
          <w:szCs w:val="24"/>
        </w:rPr>
        <w:t>9</w:t>
      </w:r>
      <w:r w:rsidRPr="000260A0">
        <w:rPr>
          <w:rFonts w:cs="Arial"/>
          <w:noProof/>
          <w:szCs w:val="24"/>
        </w:rPr>
        <w:t>(5).</w:t>
      </w:r>
    </w:p>
    <w:p w14:paraId="6FE33469" w14:textId="4AF1C904"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 xml:space="preserve">Cui, X., Yang, J., Feng, Y., Zhang, W., 2020, Simulation of a Novel Tubular Microalgae Photobioreactor with Aerated Tangent Inner Tubes: Improvements in Mixing Performance and Flashing-Light Effects, </w:t>
      </w:r>
      <w:r w:rsidRPr="000260A0">
        <w:rPr>
          <w:rFonts w:cs="Arial"/>
          <w:iCs/>
          <w:noProof/>
          <w:szCs w:val="24"/>
        </w:rPr>
        <w:t>Archaea</w:t>
      </w:r>
      <w:r w:rsidRPr="000260A0">
        <w:rPr>
          <w:rFonts w:cs="Arial"/>
          <w:noProof/>
          <w:szCs w:val="24"/>
        </w:rPr>
        <w:t>, 2020.</w:t>
      </w:r>
    </w:p>
    <w:p w14:paraId="7A5E8EF6" w14:textId="23BC61D9"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 xml:space="preserve">Díez-Montero, R., Belohlav, V., Ortiz, A., Uggetti, E., García-Galán, M. J., García, J., 2020, Evaluation of daily and seasonal variations in a semi-closed photobioreactor for microalgae-based bioremediation of agricultural runoff at full-scale, </w:t>
      </w:r>
      <w:r w:rsidRPr="000260A0">
        <w:rPr>
          <w:rFonts w:cs="Arial"/>
          <w:iCs/>
          <w:noProof/>
          <w:szCs w:val="24"/>
        </w:rPr>
        <w:t>Algal Research</w:t>
      </w:r>
      <w:r w:rsidRPr="000260A0">
        <w:rPr>
          <w:rFonts w:cs="Arial"/>
          <w:noProof/>
          <w:szCs w:val="24"/>
        </w:rPr>
        <w:t xml:space="preserve">, </w:t>
      </w:r>
      <w:r w:rsidRPr="000260A0">
        <w:rPr>
          <w:rFonts w:cs="Arial"/>
          <w:iCs/>
          <w:noProof/>
          <w:szCs w:val="24"/>
        </w:rPr>
        <w:t>47</w:t>
      </w:r>
      <w:r w:rsidRPr="000260A0">
        <w:rPr>
          <w:rFonts w:cs="Arial"/>
          <w:noProof/>
          <w:szCs w:val="24"/>
        </w:rPr>
        <w:t>(February), 101859.</w:t>
      </w:r>
    </w:p>
    <w:p w14:paraId="189F6616" w14:textId="2E3E4CFE"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 xml:space="preserve">Fernández del Olmo, P., Acién, F. G., Fernández-Sevilla, J. M., 2021, Productivity analysis in tubular photobioreactors using a dynamic photosynthesis model coupled to computational fluid dynamics particle tracking, </w:t>
      </w:r>
      <w:r w:rsidRPr="000260A0">
        <w:rPr>
          <w:rFonts w:cs="Arial"/>
          <w:iCs/>
          <w:noProof/>
          <w:szCs w:val="24"/>
        </w:rPr>
        <w:t>Bioresource Technology</w:t>
      </w:r>
      <w:r w:rsidRPr="000260A0">
        <w:rPr>
          <w:rFonts w:cs="Arial"/>
          <w:noProof/>
          <w:szCs w:val="24"/>
        </w:rPr>
        <w:t xml:space="preserve">, </w:t>
      </w:r>
      <w:r w:rsidRPr="000260A0">
        <w:rPr>
          <w:rFonts w:cs="Arial"/>
          <w:iCs/>
          <w:noProof/>
          <w:szCs w:val="24"/>
        </w:rPr>
        <w:t>344</w:t>
      </w:r>
      <w:r w:rsidRPr="000260A0">
        <w:rPr>
          <w:rFonts w:cs="Arial"/>
          <w:noProof/>
          <w:szCs w:val="24"/>
        </w:rPr>
        <w:t>.</w:t>
      </w:r>
    </w:p>
    <w:p w14:paraId="361C1111" w14:textId="0E92536F"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Huesemann, M., Crowe, B., Waller, P., Chavis, A., Hobbs, S., Edmundson, S., Wigmosta, M.</w:t>
      </w:r>
      <w:r w:rsidR="00E91924" w:rsidRPr="000260A0">
        <w:rPr>
          <w:rFonts w:cs="Arial"/>
          <w:noProof/>
          <w:szCs w:val="24"/>
        </w:rPr>
        <w:t>,</w:t>
      </w:r>
      <w:r w:rsidRPr="000260A0">
        <w:rPr>
          <w:rFonts w:cs="Arial"/>
          <w:noProof/>
          <w:szCs w:val="24"/>
        </w:rPr>
        <w:t xml:space="preserve"> 2016</w:t>
      </w:r>
      <w:r w:rsidR="00E91924" w:rsidRPr="000260A0">
        <w:rPr>
          <w:rFonts w:cs="Arial"/>
          <w:noProof/>
          <w:szCs w:val="24"/>
        </w:rPr>
        <w:t>,</w:t>
      </w:r>
      <w:r w:rsidRPr="000260A0">
        <w:rPr>
          <w:rFonts w:cs="Arial"/>
          <w:noProof/>
          <w:szCs w:val="24"/>
        </w:rPr>
        <w:t xml:space="preserve"> A validated model to predict microalgae growth in outdoor pond cultures subjected to fluctuating light intensities and water temperatures</w:t>
      </w:r>
      <w:r w:rsidR="00E91924" w:rsidRPr="000260A0">
        <w:rPr>
          <w:rFonts w:cs="Arial"/>
          <w:noProof/>
          <w:szCs w:val="24"/>
        </w:rPr>
        <w:t>,</w:t>
      </w:r>
      <w:r w:rsidRPr="000260A0">
        <w:rPr>
          <w:rFonts w:cs="Arial"/>
          <w:noProof/>
          <w:szCs w:val="24"/>
        </w:rPr>
        <w:t xml:space="preserve"> </w:t>
      </w:r>
      <w:r w:rsidRPr="000260A0">
        <w:rPr>
          <w:rFonts w:cs="Arial"/>
          <w:iCs/>
          <w:noProof/>
          <w:szCs w:val="24"/>
        </w:rPr>
        <w:t>Algal Research</w:t>
      </w:r>
      <w:r w:rsidRPr="000260A0">
        <w:rPr>
          <w:rFonts w:cs="Arial"/>
          <w:noProof/>
          <w:szCs w:val="24"/>
        </w:rPr>
        <w:t xml:space="preserve">, </w:t>
      </w:r>
      <w:r w:rsidRPr="000260A0">
        <w:rPr>
          <w:rFonts w:cs="Arial"/>
          <w:iCs/>
          <w:noProof/>
          <w:szCs w:val="24"/>
        </w:rPr>
        <w:t>13</w:t>
      </w:r>
      <w:r w:rsidRPr="000260A0">
        <w:rPr>
          <w:rFonts w:cs="Arial"/>
          <w:noProof/>
          <w:szCs w:val="24"/>
        </w:rPr>
        <w:t>, 195–206.</w:t>
      </w:r>
    </w:p>
    <w:p w14:paraId="6DC7800E" w14:textId="0844D26A"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Perner-Nochta, I., Posten, C.</w:t>
      </w:r>
      <w:r w:rsidR="00E91924" w:rsidRPr="000260A0">
        <w:rPr>
          <w:rFonts w:cs="Arial"/>
          <w:noProof/>
          <w:szCs w:val="24"/>
        </w:rPr>
        <w:t>,</w:t>
      </w:r>
      <w:r w:rsidRPr="000260A0">
        <w:rPr>
          <w:rFonts w:cs="Arial"/>
          <w:noProof/>
          <w:szCs w:val="24"/>
        </w:rPr>
        <w:t xml:space="preserve"> 2007</w:t>
      </w:r>
      <w:r w:rsidR="00E91924" w:rsidRPr="000260A0">
        <w:rPr>
          <w:rFonts w:cs="Arial"/>
          <w:noProof/>
          <w:szCs w:val="24"/>
        </w:rPr>
        <w:t>,</w:t>
      </w:r>
      <w:r w:rsidRPr="000260A0">
        <w:rPr>
          <w:rFonts w:cs="Arial"/>
          <w:noProof/>
          <w:szCs w:val="24"/>
        </w:rPr>
        <w:t xml:space="preserve"> Simulations of light intensity variation in photobioreactors</w:t>
      </w:r>
      <w:r w:rsidR="00E91924" w:rsidRPr="000260A0">
        <w:rPr>
          <w:rFonts w:cs="Arial"/>
          <w:noProof/>
          <w:szCs w:val="24"/>
        </w:rPr>
        <w:t>,</w:t>
      </w:r>
      <w:r w:rsidRPr="000260A0">
        <w:rPr>
          <w:rFonts w:cs="Arial"/>
          <w:noProof/>
          <w:szCs w:val="24"/>
        </w:rPr>
        <w:t xml:space="preserve"> </w:t>
      </w:r>
      <w:r w:rsidRPr="000260A0">
        <w:rPr>
          <w:rFonts w:cs="Arial"/>
          <w:iCs/>
          <w:noProof/>
          <w:szCs w:val="24"/>
        </w:rPr>
        <w:t>Journal of Biotechnology</w:t>
      </w:r>
      <w:r w:rsidRPr="000260A0">
        <w:rPr>
          <w:rFonts w:cs="Arial"/>
          <w:noProof/>
          <w:szCs w:val="24"/>
        </w:rPr>
        <w:t xml:space="preserve">, </w:t>
      </w:r>
      <w:r w:rsidRPr="000260A0">
        <w:rPr>
          <w:rFonts w:cs="Arial"/>
          <w:iCs/>
          <w:noProof/>
          <w:szCs w:val="24"/>
        </w:rPr>
        <w:t>131</w:t>
      </w:r>
      <w:r w:rsidRPr="000260A0">
        <w:rPr>
          <w:rFonts w:cs="Arial"/>
          <w:noProof/>
          <w:szCs w:val="24"/>
        </w:rPr>
        <w:t>(3), 276–285.</w:t>
      </w:r>
    </w:p>
    <w:p w14:paraId="198892D9" w14:textId="2DF0B648"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Solimeno, A., Acíen, F. G., García, J.</w:t>
      </w:r>
      <w:r w:rsidR="00E91924" w:rsidRPr="000260A0">
        <w:rPr>
          <w:rFonts w:cs="Arial"/>
          <w:noProof/>
          <w:szCs w:val="24"/>
        </w:rPr>
        <w:t>,</w:t>
      </w:r>
      <w:r w:rsidRPr="000260A0">
        <w:rPr>
          <w:rFonts w:cs="Arial"/>
          <w:noProof/>
          <w:szCs w:val="24"/>
        </w:rPr>
        <w:t xml:space="preserve"> 2017</w:t>
      </w:r>
      <w:r w:rsidR="00E91924" w:rsidRPr="000260A0">
        <w:rPr>
          <w:rFonts w:cs="Arial"/>
          <w:noProof/>
          <w:szCs w:val="24"/>
        </w:rPr>
        <w:t>,</w:t>
      </w:r>
      <w:r w:rsidRPr="000260A0">
        <w:rPr>
          <w:rFonts w:cs="Arial"/>
          <w:noProof/>
          <w:szCs w:val="24"/>
        </w:rPr>
        <w:t xml:space="preserve"> Mechanistic model for design, analysis, operation and control of microalgae cultures: Calibration and application to tubular photobioreactors</w:t>
      </w:r>
      <w:r w:rsidR="00E91924" w:rsidRPr="000260A0">
        <w:rPr>
          <w:rFonts w:cs="Arial"/>
          <w:noProof/>
          <w:szCs w:val="24"/>
        </w:rPr>
        <w:t>,</w:t>
      </w:r>
      <w:r w:rsidRPr="000260A0">
        <w:rPr>
          <w:rFonts w:cs="Arial"/>
          <w:noProof/>
          <w:szCs w:val="24"/>
        </w:rPr>
        <w:t xml:space="preserve"> </w:t>
      </w:r>
      <w:r w:rsidRPr="000260A0">
        <w:rPr>
          <w:rFonts w:cs="Arial"/>
          <w:iCs/>
          <w:noProof/>
          <w:szCs w:val="24"/>
        </w:rPr>
        <w:t>Algal Research</w:t>
      </w:r>
      <w:r w:rsidRPr="000260A0">
        <w:rPr>
          <w:rFonts w:cs="Arial"/>
          <w:noProof/>
          <w:szCs w:val="24"/>
        </w:rPr>
        <w:t xml:space="preserve">, </w:t>
      </w:r>
      <w:r w:rsidRPr="000260A0">
        <w:rPr>
          <w:rFonts w:cs="Arial"/>
          <w:iCs/>
          <w:noProof/>
          <w:szCs w:val="24"/>
        </w:rPr>
        <w:t>21</w:t>
      </w:r>
      <w:r w:rsidRPr="000260A0">
        <w:rPr>
          <w:rFonts w:cs="Arial"/>
          <w:noProof/>
          <w:szCs w:val="24"/>
        </w:rPr>
        <w:t>, 236–246.</w:t>
      </w:r>
    </w:p>
    <w:p w14:paraId="277648C1" w14:textId="7ED40386"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Solimeno, A., García, J.</w:t>
      </w:r>
      <w:r w:rsidR="00E91924" w:rsidRPr="000260A0">
        <w:rPr>
          <w:rFonts w:cs="Arial"/>
          <w:noProof/>
          <w:szCs w:val="24"/>
        </w:rPr>
        <w:t>,</w:t>
      </w:r>
      <w:r w:rsidRPr="000260A0">
        <w:rPr>
          <w:rFonts w:cs="Arial"/>
          <w:noProof/>
          <w:szCs w:val="24"/>
        </w:rPr>
        <w:t xml:space="preserve"> 2019</w:t>
      </w:r>
      <w:r w:rsidR="00E91924" w:rsidRPr="000260A0">
        <w:rPr>
          <w:rFonts w:cs="Arial"/>
          <w:noProof/>
          <w:szCs w:val="24"/>
        </w:rPr>
        <w:t>,</w:t>
      </w:r>
      <w:r w:rsidRPr="000260A0">
        <w:rPr>
          <w:rFonts w:cs="Arial"/>
          <w:noProof/>
          <w:szCs w:val="24"/>
        </w:rPr>
        <w:t xml:space="preserve"> Microalgae and bacteria dynamics in high rate algal ponds based on modelling results: Long-term application of BIO_ALGAE model</w:t>
      </w:r>
      <w:r w:rsidR="00E91924" w:rsidRPr="000260A0">
        <w:rPr>
          <w:rFonts w:cs="Arial"/>
          <w:noProof/>
          <w:szCs w:val="24"/>
        </w:rPr>
        <w:t>,</w:t>
      </w:r>
      <w:r w:rsidRPr="000260A0">
        <w:rPr>
          <w:rFonts w:cs="Arial"/>
          <w:noProof/>
          <w:szCs w:val="24"/>
        </w:rPr>
        <w:t xml:space="preserve"> </w:t>
      </w:r>
      <w:r w:rsidRPr="000260A0">
        <w:rPr>
          <w:rFonts w:cs="Arial"/>
          <w:iCs/>
          <w:noProof/>
          <w:szCs w:val="24"/>
        </w:rPr>
        <w:t>Science of the Total Environment</w:t>
      </w:r>
      <w:r w:rsidRPr="000260A0">
        <w:rPr>
          <w:rFonts w:cs="Arial"/>
          <w:noProof/>
          <w:szCs w:val="24"/>
        </w:rPr>
        <w:t xml:space="preserve">, </w:t>
      </w:r>
      <w:r w:rsidRPr="000260A0">
        <w:rPr>
          <w:rFonts w:cs="Arial"/>
          <w:iCs/>
          <w:noProof/>
          <w:szCs w:val="24"/>
        </w:rPr>
        <w:t>650</w:t>
      </w:r>
      <w:r w:rsidRPr="000260A0">
        <w:rPr>
          <w:rFonts w:cs="Arial"/>
          <w:noProof/>
          <w:szCs w:val="24"/>
        </w:rPr>
        <w:t>, 1818–1831.</w:t>
      </w:r>
    </w:p>
    <w:p w14:paraId="7FD1D73F" w14:textId="307A5567"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Solimeno, A., Parker, L., Lundquist, T., García, J.</w:t>
      </w:r>
      <w:r w:rsidR="00E91924" w:rsidRPr="000260A0">
        <w:rPr>
          <w:rFonts w:cs="Arial"/>
          <w:noProof/>
          <w:szCs w:val="24"/>
        </w:rPr>
        <w:t>,</w:t>
      </w:r>
      <w:r w:rsidRPr="000260A0">
        <w:rPr>
          <w:rFonts w:cs="Arial"/>
          <w:noProof/>
          <w:szCs w:val="24"/>
        </w:rPr>
        <w:t xml:space="preserve"> 2017</w:t>
      </w:r>
      <w:r w:rsidR="00E91924" w:rsidRPr="000260A0">
        <w:rPr>
          <w:rFonts w:cs="Arial"/>
          <w:noProof/>
          <w:szCs w:val="24"/>
        </w:rPr>
        <w:t>,</w:t>
      </w:r>
      <w:r w:rsidRPr="000260A0">
        <w:rPr>
          <w:rFonts w:cs="Arial"/>
          <w:noProof/>
          <w:szCs w:val="24"/>
        </w:rPr>
        <w:t xml:space="preserve"> Integral microalgae-bacteria model (BIO_ALGAE): Application to wastewater high rate algal ponds</w:t>
      </w:r>
      <w:r w:rsidR="00E91924" w:rsidRPr="000260A0">
        <w:rPr>
          <w:rFonts w:cs="Arial"/>
          <w:noProof/>
          <w:szCs w:val="24"/>
        </w:rPr>
        <w:t>,</w:t>
      </w:r>
      <w:r w:rsidRPr="000260A0">
        <w:rPr>
          <w:rFonts w:cs="Arial"/>
          <w:noProof/>
          <w:szCs w:val="24"/>
        </w:rPr>
        <w:t xml:space="preserve"> </w:t>
      </w:r>
      <w:r w:rsidRPr="000260A0">
        <w:rPr>
          <w:rFonts w:cs="Arial"/>
          <w:iCs/>
          <w:noProof/>
          <w:szCs w:val="24"/>
        </w:rPr>
        <w:t>Science of the Total Environment</w:t>
      </w:r>
      <w:r w:rsidRPr="000260A0">
        <w:rPr>
          <w:rFonts w:cs="Arial"/>
          <w:noProof/>
          <w:szCs w:val="24"/>
        </w:rPr>
        <w:t xml:space="preserve">, </w:t>
      </w:r>
      <w:r w:rsidRPr="000260A0">
        <w:rPr>
          <w:rFonts w:cs="Arial"/>
          <w:iCs/>
          <w:noProof/>
          <w:szCs w:val="24"/>
        </w:rPr>
        <w:t>601</w:t>
      </w:r>
      <w:r w:rsidRPr="000260A0">
        <w:rPr>
          <w:rFonts w:cs="Arial"/>
          <w:noProof/>
          <w:szCs w:val="24"/>
        </w:rPr>
        <w:t>–</w:t>
      </w:r>
      <w:r w:rsidRPr="000260A0">
        <w:rPr>
          <w:rFonts w:cs="Arial"/>
          <w:iCs/>
          <w:noProof/>
          <w:szCs w:val="24"/>
        </w:rPr>
        <w:t>602</w:t>
      </w:r>
      <w:r w:rsidRPr="000260A0">
        <w:rPr>
          <w:rFonts w:cs="Arial"/>
          <w:noProof/>
          <w:szCs w:val="24"/>
        </w:rPr>
        <w:t>, 646–657.</w:t>
      </w:r>
    </w:p>
    <w:p w14:paraId="303B8280" w14:textId="6685FDD8"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Tilzer, M. M.</w:t>
      </w:r>
      <w:r w:rsidR="00E91924" w:rsidRPr="000260A0">
        <w:rPr>
          <w:rFonts w:cs="Arial"/>
          <w:noProof/>
          <w:szCs w:val="24"/>
        </w:rPr>
        <w:t>,</w:t>
      </w:r>
      <w:r w:rsidRPr="000260A0">
        <w:rPr>
          <w:rFonts w:cs="Arial"/>
          <w:noProof/>
          <w:szCs w:val="24"/>
        </w:rPr>
        <w:t xml:space="preserve"> 1987</w:t>
      </w:r>
      <w:r w:rsidR="00E91924" w:rsidRPr="000260A0">
        <w:rPr>
          <w:rFonts w:cs="Arial"/>
          <w:noProof/>
          <w:szCs w:val="24"/>
        </w:rPr>
        <w:t>,</w:t>
      </w:r>
      <w:r w:rsidRPr="000260A0">
        <w:rPr>
          <w:rFonts w:cs="Arial"/>
          <w:noProof/>
          <w:szCs w:val="24"/>
        </w:rPr>
        <w:t xml:space="preserve"> Light‐dependence of photosynthesis and growth in cyanobacteria: Implications for their dominance in eutrophic lakes</w:t>
      </w:r>
      <w:r w:rsidR="00E91924" w:rsidRPr="000260A0">
        <w:rPr>
          <w:rFonts w:cs="Arial"/>
          <w:noProof/>
          <w:szCs w:val="24"/>
        </w:rPr>
        <w:t>,</w:t>
      </w:r>
      <w:r w:rsidRPr="000260A0">
        <w:rPr>
          <w:rFonts w:cs="Arial"/>
          <w:noProof/>
          <w:szCs w:val="24"/>
        </w:rPr>
        <w:t xml:space="preserve"> </w:t>
      </w:r>
      <w:r w:rsidRPr="000260A0">
        <w:rPr>
          <w:rFonts w:cs="Arial"/>
          <w:iCs/>
          <w:noProof/>
          <w:szCs w:val="24"/>
        </w:rPr>
        <w:t>New Zealand Journal of Marine and Freshwater Research</w:t>
      </w:r>
      <w:r w:rsidRPr="000260A0">
        <w:rPr>
          <w:rFonts w:cs="Arial"/>
          <w:noProof/>
          <w:szCs w:val="24"/>
        </w:rPr>
        <w:t xml:space="preserve">, </w:t>
      </w:r>
      <w:r w:rsidRPr="000260A0">
        <w:rPr>
          <w:rFonts w:cs="Arial"/>
          <w:iCs/>
          <w:noProof/>
          <w:szCs w:val="24"/>
        </w:rPr>
        <w:t>21</w:t>
      </w:r>
      <w:r w:rsidRPr="000260A0">
        <w:rPr>
          <w:rFonts w:cs="Arial"/>
          <w:noProof/>
          <w:szCs w:val="24"/>
        </w:rPr>
        <w:t>(3), 401–412.</w:t>
      </w:r>
    </w:p>
    <w:p w14:paraId="760A30A7" w14:textId="5DE2E866" w:rsidR="00F70249" w:rsidRPr="000260A0" w:rsidRDefault="00F70249" w:rsidP="00F70249">
      <w:pPr>
        <w:widowControl w:val="0"/>
        <w:autoSpaceDE w:val="0"/>
        <w:autoSpaceDN w:val="0"/>
        <w:adjustRightInd w:val="0"/>
        <w:spacing w:line="240" w:lineRule="auto"/>
        <w:ind w:left="480" w:hanging="480"/>
        <w:rPr>
          <w:rFonts w:cs="Arial"/>
          <w:noProof/>
          <w:szCs w:val="24"/>
        </w:rPr>
      </w:pPr>
      <w:r w:rsidRPr="000260A0">
        <w:rPr>
          <w:rFonts w:cs="Arial"/>
          <w:noProof/>
          <w:szCs w:val="24"/>
        </w:rPr>
        <w:t>Wang, B., Lan, C. Q.,</w:t>
      </w:r>
      <w:r w:rsidR="00E91924" w:rsidRPr="000260A0">
        <w:rPr>
          <w:rFonts w:cs="Arial"/>
          <w:noProof/>
          <w:szCs w:val="24"/>
        </w:rPr>
        <w:t xml:space="preserve"> </w:t>
      </w:r>
      <w:r w:rsidRPr="000260A0">
        <w:rPr>
          <w:rFonts w:cs="Arial"/>
          <w:noProof/>
          <w:szCs w:val="24"/>
        </w:rPr>
        <w:t>Horsman, M.</w:t>
      </w:r>
      <w:r w:rsidR="00E91924" w:rsidRPr="000260A0">
        <w:rPr>
          <w:rFonts w:cs="Arial"/>
          <w:noProof/>
          <w:szCs w:val="24"/>
        </w:rPr>
        <w:t>,</w:t>
      </w:r>
      <w:r w:rsidRPr="000260A0">
        <w:rPr>
          <w:rFonts w:cs="Arial"/>
          <w:noProof/>
          <w:szCs w:val="24"/>
        </w:rPr>
        <w:t xml:space="preserve"> 2012</w:t>
      </w:r>
      <w:r w:rsidR="00E91924" w:rsidRPr="000260A0">
        <w:rPr>
          <w:rFonts w:cs="Arial"/>
          <w:noProof/>
          <w:szCs w:val="24"/>
        </w:rPr>
        <w:t>,</w:t>
      </w:r>
      <w:r w:rsidRPr="000260A0">
        <w:rPr>
          <w:rFonts w:cs="Arial"/>
          <w:noProof/>
          <w:szCs w:val="24"/>
        </w:rPr>
        <w:t xml:space="preserve"> Closed photobioreactors for production of microalgal biomasses</w:t>
      </w:r>
      <w:r w:rsidR="00E91924" w:rsidRPr="000260A0">
        <w:rPr>
          <w:rFonts w:cs="Arial"/>
          <w:noProof/>
          <w:szCs w:val="24"/>
        </w:rPr>
        <w:t>,</w:t>
      </w:r>
      <w:r w:rsidRPr="000260A0">
        <w:rPr>
          <w:rFonts w:cs="Arial"/>
          <w:noProof/>
          <w:szCs w:val="24"/>
        </w:rPr>
        <w:t xml:space="preserve"> </w:t>
      </w:r>
      <w:r w:rsidRPr="000260A0">
        <w:rPr>
          <w:rFonts w:cs="Arial"/>
          <w:iCs/>
          <w:noProof/>
          <w:szCs w:val="24"/>
        </w:rPr>
        <w:t>Biotechnology Advances</w:t>
      </w:r>
      <w:r w:rsidRPr="000260A0">
        <w:rPr>
          <w:rFonts w:cs="Arial"/>
          <w:noProof/>
          <w:szCs w:val="24"/>
        </w:rPr>
        <w:t xml:space="preserve">, </w:t>
      </w:r>
      <w:r w:rsidRPr="000260A0">
        <w:rPr>
          <w:rFonts w:cs="Arial"/>
          <w:iCs/>
          <w:noProof/>
          <w:szCs w:val="24"/>
        </w:rPr>
        <w:t>30</w:t>
      </w:r>
      <w:r w:rsidRPr="000260A0">
        <w:rPr>
          <w:rFonts w:cs="Arial"/>
          <w:noProof/>
          <w:szCs w:val="24"/>
        </w:rPr>
        <w:t>(4), 904–912.</w:t>
      </w:r>
    </w:p>
    <w:p w14:paraId="7FF973CB" w14:textId="65C2C958" w:rsidR="00F70249" w:rsidRPr="000260A0" w:rsidRDefault="00F70249" w:rsidP="00F70249">
      <w:pPr>
        <w:widowControl w:val="0"/>
        <w:autoSpaceDE w:val="0"/>
        <w:autoSpaceDN w:val="0"/>
        <w:adjustRightInd w:val="0"/>
        <w:spacing w:line="240" w:lineRule="auto"/>
        <w:ind w:left="480" w:hanging="480"/>
        <w:rPr>
          <w:rFonts w:cs="Arial"/>
          <w:noProof/>
        </w:rPr>
      </w:pPr>
      <w:r w:rsidRPr="000260A0">
        <w:rPr>
          <w:rFonts w:cs="Arial"/>
          <w:noProof/>
          <w:szCs w:val="24"/>
        </w:rPr>
        <w:t>Yan, H., Guan, C., Jia, Y., Huang, X., Yang, W.</w:t>
      </w:r>
      <w:r w:rsidR="00E91924" w:rsidRPr="000260A0">
        <w:rPr>
          <w:rFonts w:cs="Arial"/>
          <w:noProof/>
          <w:szCs w:val="24"/>
        </w:rPr>
        <w:t>,</w:t>
      </w:r>
      <w:r w:rsidRPr="000260A0">
        <w:rPr>
          <w:rFonts w:cs="Arial"/>
          <w:noProof/>
          <w:szCs w:val="24"/>
        </w:rPr>
        <w:t xml:space="preserve"> 2018</w:t>
      </w:r>
      <w:r w:rsidR="00E91924" w:rsidRPr="000260A0">
        <w:rPr>
          <w:rFonts w:cs="Arial"/>
          <w:noProof/>
          <w:szCs w:val="24"/>
        </w:rPr>
        <w:t>,</w:t>
      </w:r>
      <w:r w:rsidRPr="000260A0">
        <w:rPr>
          <w:rFonts w:cs="Arial"/>
          <w:noProof/>
          <w:szCs w:val="24"/>
        </w:rPr>
        <w:t xml:space="preserve"> Mixing characteristics, cell trajectories, pressure loss and shear stress of tubular photobioreactor with inserted self-rotating helical rotors</w:t>
      </w:r>
      <w:r w:rsidR="00E91924" w:rsidRPr="000260A0">
        <w:rPr>
          <w:rFonts w:cs="Arial"/>
          <w:noProof/>
          <w:szCs w:val="24"/>
        </w:rPr>
        <w:t>,</w:t>
      </w:r>
      <w:r w:rsidRPr="000260A0">
        <w:rPr>
          <w:rFonts w:cs="Arial"/>
          <w:noProof/>
          <w:szCs w:val="24"/>
        </w:rPr>
        <w:t xml:space="preserve"> </w:t>
      </w:r>
      <w:r w:rsidRPr="000260A0">
        <w:rPr>
          <w:rFonts w:cs="Arial"/>
          <w:iCs/>
          <w:noProof/>
          <w:szCs w:val="24"/>
        </w:rPr>
        <w:t>Journal of Chemical Technology and Biotechnology</w:t>
      </w:r>
      <w:r w:rsidRPr="000260A0">
        <w:rPr>
          <w:rFonts w:cs="Arial"/>
          <w:noProof/>
          <w:szCs w:val="24"/>
        </w:rPr>
        <w:t xml:space="preserve">, </w:t>
      </w:r>
      <w:r w:rsidRPr="000260A0">
        <w:rPr>
          <w:rFonts w:cs="Arial"/>
          <w:iCs/>
          <w:noProof/>
          <w:szCs w:val="24"/>
        </w:rPr>
        <w:t>93</w:t>
      </w:r>
      <w:r w:rsidRPr="000260A0">
        <w:rPr>
          <w:rFonts w:cs="Arial"/>
          <w:noProof/>
          <w:szCs w:val="24"/>
        </w:rPr>
        <w:t>(5), 1261–1269.</w:t>
      </w:r>
    </w:p>
    <w:p w14:paraId="5B25D012" w14:textId="49208E42" w:rsidR="00A60DC3" w:rsidRPr="000260A0" w:rsidRDefault="00A60DC3" w:rsidP="00E65B91">
      <w:pPr>
        <w:pStyle w:val="CETReferencetext"/>
      </w:pPr>
      <w:r w:rsidRPr="000260A0">
        <w:fldChar w:fldCharType="end"/>
      </w:r>
    </w:p>
    <w:p w14:paraId="03CEA04C" w14:textId="77777777" w:rsidR="00C52C3C" w:rsidRDefault="00C52C3C" w:rsidP="00E65B91">
      <w:pPr>
        <w:pStyle w:val="CETReferencetext"/>
      </w:pPr>
    </w:p>
    <w:p w14:paraId="5A13856B" w14:textId="77777777" w:rsidR="006B4888" w:rsidRPr="000D56D6" w:rsidRDefault="006B4888" w:rsidP="006B4888">
      <w:pPr>
        <w:pStyle w:val="CETReferencetext"/>
      </w:pP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F8A03" w14:textId="77777777" w:rsidR="00FC29AB" w:rsidRDefault="00FC29AB" w:rsidP="004F5E36">
      <w:r>
        <w:separator/>
      </w:r>
    </w:p>
  </w:endnote>
  <w:endnote w:type="continuationSeparator" w:id="0">
    <w:p w14:paraId="4FBA2DCB" w14:textId="77777777" w:rsidR="00FC29AB" w:rsidRDefault="00FC29A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6AF36" w14:textId="77777777" w:rsidR="00FC29AB" w:rsidRDefault="00FC29AB" w:rsidP="004F5E36">
      <w:r>
        <w:separator/>
      </w:r>
    </w:p>
  </w:footnote>
  <w:footnote w:type="continuationSeparator" w:id="0">
    <w:p w14:paraId="1D88D6EA" w14:textId="77777777" w:rsidR="00FC29AB" w:rsidRDefault="00FC29A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l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sFAOzIv8otAAAA"/>
  </w:docVars>
  <w:rsids>
    <w:rsidRoot w:val="000E414A"/>
    <w:rsid w:val="000027C0"/>
    <w:rsid w:val="000052FB"/>
    <w:rsid w:val="000117CB"/>
    <w:rsid w:val="000260A0"/>
    <w:rsid w:val="00026D9D"/>
    <w:rsid w:val="0003148D"/>
    <w:rsid w:val="00031EEC"/>
    <w:rsid w:val="000322CF"/>
    <w:rsid w:val="00033501"/>
    <w:rsid w:val="00051566"/>
    <w:rsid w:val="00062A9A"/>
    <w:rsid w:val="00065058"/>
    <w:rsid w:val="000750FD"/>
    <w:rsid w:val="000823A5"/>
    <w:rsid w:val="00086C39"/>
    <w:rsid w:val="000A03B2"/>
    <w:rsid w:val="000A0517"/>
    <w:rsid w:val="000C0FCD"/>
    <w:rsid w:val="000C37CE"/>
    <w:rsid w:val="000D0268"/>
    <w:rsid w:val="000D34BE"/>
    <w:rsid w:val="000E102F"/>
    <w:rsid w:val="000E36F1"/>
    <w:rsid w:val="000E3A73"/>
    <w:rsid w:val="000E414A"/>
    <w:rsid w:val="000F093C"/>
    <w:rsid w:val="000F1D09"/>
    <w:rsid w:val="000F4B80"/>
    <w:rsid w:val="000F787B"/>
    <w:rsid w:val="00103241"/>
    <w:rsid w:val="0012091F"/>
    <w:rsid w:val="00126BC2"/>
    <w:rsid w:val="001308B6"/>
    <w:rsid w:val="0013121F"/>
    <w:rsid w:val="00131FE6"/>
    <w:rsid w:val="0013263F"/>
    <w:rsid w:val="001331DF"/>
    <w:rsid w:val="00134DE4"/>
    <w:rsid w:val="0014034D"/>
    <w:rsid w:val="00144D16"/>
    <w:rsid w:val="00150B60"/>
    <w:rsid w:val="00150E59"/>
    <w:rsid w:val="00152DE3"/>
    <w:rsid w:val="00162151"/>
    <w:rsid w:val="00164CF9"/>
    <w:rsid w:val="001667A6"/>
    <w:rsid w:val="001837ED"/>
    <w:rsid w:val="00184AD6"/>
    <w:rsid w:val="001953C2"/>
    <w:rsid w:val="00196B48"/>
    <w:rsid w:val="001A4AF7"/>
    <w:rsid w:val="001B0349"/>
    <w:rsid w:val="001B1E93"/>
    <w:rsid w:val="001B558D"/>
    <w:rsid w:val="001B65C1"/>
    <w:rsid w:val="001C473A"/>
    <w:rsid w:val="001C684B"/>
    <w:rsid w:val="001D0CFB"/>
    <w:rsid w:val="001D21AF"/>
    <w:rsid w:val="001D53FC"/>
    <w:rsid w:val="001D5B05"/>
    <w:rsid w:val="001D607B"/>
    <w:rsid w:val="001E1A6B"/>
    <w:rsid w:val="001F3F96"/>
    <w:rsid w:val="001F42A5"/>
    <w:rsid w:val="001F51C0"/>
    <w:rsid w:val="001F7B9D"/>
    <w:rsid w:val="00201C93"/>
    <w:rsid w:val="002224B4"/>
    <w:rsid w:val="002254D5"/>
    <w:rsid w:val="0022552D"/>
    <w:rsid w:val="0024207B"/>
    <w:rsid w:val="002447EF"/>
    <w:rsid w:val="00251550"/>
    <w:rsid w:val="00263B05"/>
    <w:rsid w:val="00265CA1"/>
    <w:rsid w:val="0027221A"/>
    <w:rsid w:val="002739D5"/>
    <w:rsid w:val="00275B61"/>
    <w:rsid w:val="00280FAF"/>
    <w:rsid w:val="00282656"/>
    <w:rsid w:val="00290864"/>
    <w:rsid w:val="00296B83"/>
    <w:rsid w:val="002B4015"/>
    <w:rsid w:val="002B78CE"/>
    <w:rsid w:val="002C2FB6"/>
    <w:rsid w:val="002E0087"/>
    <w:rsid w:val="002E5FA7"/>
    <w:rsid w:val="002F3309"/>
    <w:rsid w:val="003008CE"/>
    <w:rsid w:val="003009B7"/>
    <w:rsid w:val="00300E56"/>
    <w:rsid w:val="0030469C"/>
    <w:rsid w:val="00321CA6"/>
    <w:rsid w:val="00323763"/>
    <w:rsid w:val="00334503"/>
    <w:rsid w:val="00334C09"/>
    <w:rsid w:val="00350D43"/>
    <w:rsid w:val="0035381D"/>
    <w:rsid w:val="003628FD"/>
    <w:rsid w:val="003723D4"/>
    <w:rsid w:val="00381905"/>
    <w:rsid w:val="003843A1"/>
    <w:rsid w:val="00384CC8"/>
    <w:rsid w:val="003871FD"/>
    <w:rsid w:val="003A1E30"/>
    <w:rsid w:val="003A2829"/>
    <w:rsid w:val="003A7D1C"/>
    <w:rsid w:val="003B169A"/>
    <w:rsid w:val="003B304B"/>
    <w:rsid w:val="003B3146"/>
    <w:rsid w:val="003D0CE3"/>
    <w:rsid w:val="003D358C"/>
    <w:rsid w:val="003F015E"/>
    <w:rsid w:val="003F2FB9"/>
    <w:rsid w:val="00400414"/>
    <w:rsid w:val="00413528"/>
    <w:rsid w:val="0041367F"/>
    <w:rsid w:val="0041446B"/>
    <w:rsid w:val="00415071"/>
    <w:rsid w:val="004258D7"/>
    <w:rsid w:val="00430E81"/>
    <w:rsid w:val="0044071E"/>
    <w:rsid w:val="0044329C"/>
    <w:rsid w:val="00444DC8"/>
    <w:rsid w:val="00453E24"/>
    <w:rsid w:val="00457456"/>
    <w:rsid w:val="004577FE"/>
    <w:rsid w:val="00457B9C"/>
    <w:rsid w:val="0046164A"/>
    <w:rsid w:val="004628D2"/>
    <w:rsid w:val="00462DCD"/>
    <w:rsid w:val="004648AD"/>
    <w:rsid w:val="004703A9"/>
    <w:rsid w:val="004760DE"/>
    <w:rsid w:val="004763D7"/>
    <w:rsid w:val="0048541B"/>
    <w:rsid w:val="004A004E"/>
    <w:rsid w:val="004A24CF"/>
    <w:rsid w:val="004B70E9"/>
    <w:rsid w:val="004C3D1D"/>
    <w:rsid w:val="004C52DA"/>
    <w:rsid w:val="004C774B"/>
    <w:rsid w:val="004C7913"/>
    <w:rsid w:val="004E2F62"/>
    <w:rsid w:val="004E4093"/>
    <w:rsid w:val="004E4DD6"/>
    <w:rsid w:val="004F5E36"/>
    <w:rsid w:val="00505C61"/>
    <w:rsid w:val="00507B47"/>
    <w:rsid w:val="00507BEF"/>
    <w:rsid w:val="00507CC9"/>
    <w:rsid w:val="005119A5"/>
    <w:rsid w:val="005278B7"/>
    <w:rsid w:val="00532016"/>
    <w:rsid w:val="005346C8"/>
    <w:rsid w:val="00543E7D"/>
    <w:rsid w:val="00547A68"/>
    <w:rsid w:val="005531C9"/>
    <w:rsid w:val="00570C43"/>
    <w:rsid w:val="00576BFC"/>
    <w:rsid w:val="00590BB7"/>
    <w:rsid w:val="00597595"/>
    <w:rsid w:val="005B2110"/>
    <w:rsid w:val="005B61E6"/>
    <w:rsid w:val="005C1E04"/>
    <w:rsid w:val="005C62F5"/>
    <w:rsid w:val="005C77E1"/>
    <w:rsid w:val="005D6235"/>
    <w:rsid w:val="005D668A"/>
    <w:rsid w:val="005D6A2F"/>
    <w:rsid w:val="005E1A82"/>
    <w:rsid w:val="005E794C"/>
    <w:rsid w:val="005F0A28"/>
    <w:rsid w:val="005F0E5E"/>
    <w:rsid w:val="005F1BEA"/>
    <w:rsid w:val="00600535"/>
    <w:rsid w:val="00604911"/>
    <w:rsid w:val="00610CD6"/>
    <w:rsid w:val="006171B3"/>
    <w:rsid w:val="00620DEE"/>
    <w:rsid w:val="00621F92"/>
    <w:rsid w:val="0062280A"/>
    <w:rsid w:val="00625639"/>
    <w:rsid w:val="00631B33"/>
    <w:rsid w:val="0064184D"/>
    <w:rsid w:val="006422CC"/>
    <w:rsid w:val="00660E3E"/>
    <w:rsid w:val="00662E74"/>
    <w:rsid w:val="00680C23"/>
    <w:rsid w:val="00693766"/>
    <w:rsid w:val="006A3281"/>
    <w:rsid w:val="006A4136"/>
    <w:rsid w:val="006A6D47"/>
    <w:rsid w:val="006B442C"/>
    <w:rsid w:val="006B4888"/>
    <w:rsid w:val="006C2E45"/>
    <w:rsid w:val="006C359C"/>
    <w:rsid w:val="006C5579"/>
    <w:rsid w:val="006D3797"/>
    <w:rsid w:val="006D6E8B"/>
    <w:rsid w:val="006E1586"/>
    <w:rsid w:val="006E3759"/>
    <w:rsid w:val="006E737D"/>
    <w:rsid w:val="00702DB8"/>
    <w:rsid w:val="007054C0"/>
    <w:rsid w:val="00707ABF"/>
    <w:rsid w:val="00713973"/>
    <w:rsid w:val="00713ABD"/>
    <w:rsid w:val="00720A24"/>
    <w:rsid w:val="00726E83"/>
    <w:rsid w:val="00732386"/>
    <w:rsid w:val="0073514D"/>
    <w:rsid w:val="007447F3"/>
    <w:rsid w:val="0075499F"/>
    <w:rsid w:val="00761486"/>
    <w:rsid w:val="00764238"/>
    <w:rsid w:val="007661C8"/>
    <w:rsid w:val="0077098D"/>
    <w:rsid w:val="00785DB9"/>
    <w:rsid w:val="007931FA"/>
    <w:rsid w:val="007A208B"/>
    <w:rsid w:val="007A4861"/>
    <w:rsid w:val="007A7BBA"/>
    <w:rsid w:val="007B082C"/>
    <w:rsid w:val="007B0C50"/>
    <w:rsid w:val="007B48F9"/>
    <w:rsid w:val="007C1A43"/>
    <w:rsid w:val="007C7B23"/>
    <w:rsid w:val="007E7EF0"/>
    <w:rsid w:val="0080013E"/>
    <w:rsid w:val="00813288"/>
    <w:rsid w:val="00813C37"/>
    <w:rsid w:val="008168FC"/>
    <w:rsid w:val="008174F6"/>
    <w:rsid w:val="00827447"/>
    <w:rsid w:val="00830996"/>
    <w:rsid w:val="008345F1"/>
    <w:rsid w:val="00843FA5"/>
    <w:rsid w:val="00856879"/>
    <w:rsid w:val="00865B07"/>
    <w:rsid w:val="008667EA"/>
    <w:rsid w:val="0087637F"/>
    <w:rsid w:val="00892AD5"/>
    <w:rsid w:val="008A1512"/>
    <w:rsid w:val="008D32B9"/>
    <w:rsid w:val="008D433B"/>
    <w:rsid w:val="008E566E"/>
    <w:rsid w:val="008E61B2"/>
    <w:rsid w:val="008F44D0"/>
    <w:rsid w:val="0090161A"/>
    <w:rsid w:val="00901EB6"/>
    <w:rsid w:val="00904C62"/>
    <w:rsid w:val="009176ED"/>
    <w:rsid w:val="00922BA8"/>
    <w:rsid w:val="00924DAC"/>
    <w:rsid w:val="00927058"/>
    <w:rsid w:val="00930E52"/>
    <w:rsid w:val="00942750"/>
    <w:rsid w:val="009450CE"/>
    <w:rsid w:val="00945AB6"/>
    <w:rsid w:val="00946F45"/>
    <w:rsid w:val="00947179"/>
    <w:rsid w:val="0095164B"/>
    <w:rsid w:val="00954090"/>
    <w:rsid w:val="0095660C"/>
    <w:rsid w:val="009573E7"/>
    <w:rsid w:val="00963E05"/>
    <w:rsid w:val="00964A45"/>
    <w:rsid w:val="00967843"/>
    <w:rsid w:val="00967D54"/>
    <w:rsid w:val="00971028"/>
    <w:rsid w:val="009937F9"/>
    <w:rsid w:val="00993B84"/>
    <w:rsid w:val="00996150"/>
    <w:rsid w:val="00996483"/>
    <w:rsid w:val="00996F5A"/>
    <w:rsid w:val="009B041A"/>
    <w:rsid w:val="009C0187"/>
    <w:rsid w:val="009C0D20"/>
    <w:rsid w:val="009C37C3"/>
    <w:rsid w:val="009C7C86"/>
    <w:rsid w:val="009D2FF7"/>
    <w:rsid w:val="009E4590"/>
    <w:rsid w:val="009E7884"/>
    <w:rsid w:val="009E788A"/>
    <w:rsid w:val="009F0E08"/>
    <w:rsid w:val="009F0F7A"/>
    <w:rsid w:val="00A121BA"/>
    <w:rsid w:val="00A1763D"/>
    <w:rsid w:val="00A17CEC"/>
    <w:rsid w:val="00A200C5"/>
    <w:rsid w:val="00A27EF0"/>
    <w:rsid w:val="00A37C17"/>
    <w:rsid w:val="00A42361"/>
    <w:rsid w:val="00A50B20"/>
    <w:rsid w:val="00A51390"/>
    <w:rsid w:val="00A60D13"/>
    <w:rsid w:val="00A60DC3"/>
    <w:rsid w:val="00A72745"/>
    <w:rsid w:val="00A76EFC"/>
    <w:rsid w:val="00A77D26"/>
    <w:rsid w:val="00A855B0"/>
    <w:rsid w:val="00A91010"/>
    <w:rsid w:val="00A95DB7"/>
    <w:rsid w:val="00A97F29"/>
    <w:rsid w:val="00AA53C6"/>
    <w:rsid w:val="00AA702E"/>
    <w:rsid w:val="00AB0964"/>
    <w:rsid w:val="00AB5011"/>
    <w:rsid w:val="00AC36CB"/>
    <w:rsid w:val="00AC7368"/>
    <w:rsid w:val="00AD16B9"/>
    <w:rsid w:val="00AD1942"/>
    <w:rsid w:val="00AD5F98"/>
    <w:rsid w:val="00AE377D"/>
    <w:rsid w:val="00AF0EBA"/>
    <w:rsid w:val="00AF6775"/>
    <w:rsid w:val="00B02C8A"/>
    <w:rsid w:val="00B17FBD"/>
    <w:rsid w:val="00B315A6"/>
    <w:rsid w:val="00B31813"/>
    <w:rsid w:val="00B33365"/>
    <w:rsid w:val="00B469D6"/>
    <w:rsid w:val="00B57B36"/>
    <w:rsid w:val="00B57E6F"/>
    <w:rsid w:val="00B768E9"/>
    <w:rsid w:val="00B86493"/>
    <w:rsid w:val="00B8686D"/>
    <w:rsid w:val="00B878DB"/>
    <w:rsid w:val="00B93F69"/>
    <w:rsid w:val="00BA3007"/>
    <w:rsid w:val="00BB0576"/>
    <w:rsid w:val="00BB1DDC"/>
    <w:rsid w:val="00BC30C9"/>
    <w:rsid w:val="00BD077D"/>
    <w:rsid w:val="00BD27EE"/>
    <w:rsid w:val="00BE3E58"/>
    <w:rsid w:val="00C01616"/>
    <w:rsid w:val="00C0162B"/>
    <w:rsid w:val="00C04557"/>
    <w:rsid w:val="00C068ED"/>
    <w:rsid w:val="00C22E0C"/>
    <w:rsid w:val="00C30899"/>
    <w:rsid w:val="00C345B1"/>
    <w:rsid w:val="00C40142"/>
    <w:rsid w:val="00C416CA"/>
    <w:rsid w:val="00C52C3C"/>
    <w:rsid w:val="00C565D2"/>
    <w:rsid w:val="00C57182"/>
    <w:rsid w:val="00C57863"/>
    <w:rsid w:val="00C655FD"/>
    <w:rsid w:val="00C731D8"/>
    <w:rsid w:val="00C75407"/>
    <w:rsid w:val="00C8126B"/>
    <w:rsid w:val="00C870A8"/>
    <w:rsid w:val="00C94434"/>
    <w:rsid w:val="00CA066F"/>
    <w:rsid w:val="00CA0D75"/>
    <w:rsid w:val="00CA1C95"/>
    <w:rsid w:val="00CA2AC6"/>
    <w:rsid w:val="00CA34AB"/>
    <w:rsid w:val="00CA5A9C"/>
    <w:rsid w:val="00CC4C20"/>
    <w:rsid w:val="00CD3517"/>
    <w:rsid w:val="00CD5864"/>
    <w:rsid w:val="00CD5FE2"/>
    <w:rsid w:val="00CE2858"/>
    <w:rsid w:val="00CE7C68"/>
    <w:rsid w:val="00D02B4C"/>
    <w:rsid w:val="00D0326E"/>
    <w:rsid w:val="00D040C4"/>
    <w:rsid w:val="00D14C27"/>
    <w:rsid w:val="00D27650"/>
    <w:rsid w:val="00D4057F"/>
    <w:rsid w:val="00D425E8"/>
    <w:rsid w:val="00D42F29"/>
    <w:rsid w:val="00D44C4E"/>
    <w:rsid w:val="00D466DF"/>
    <w:rsid w:val="00D46B7E"/>
    <w:rsid w:val="00D5216E"/>
    <w:rsid w:val="00D57C84"/>
    <w:rsid w:val="00D6057D"/>
    <w:rsid w:val="00D71640"/>
    <w:rsid w:val="00D836C5"/>
    <w:rsid w:val="00D84576"/>
    <w:rsid w:val="00DA1399"/>
    <w:rsid w:val="00DA24C6"/>
    <w:rsid w:val="00DA4D7B"/>
    <w:rsid w:val="00DE0280"/>
    <w:rsid w:val="00DE264A"/>
    <w:rsid w:val="00DE418B"/>
    <w:rsid w:val="00DF5072"/>
    <w:rsid w:val="00DF67F5"/>
    <w:rsid w:val="00E02D18"/>
    <w:rsid w:val="00E041E7"/>
    <w:rsid w:val="00E23CA1"/>
    <w:rsid w:val="00E26777"/>
    <w:rsid w:val="00E317B5"/>
    <w:rsid w:val="00E409A8"/>
    <w:rsid w:val="00E50C12"/>
    <w:rsid w:val="00E65B91"/>
    <w:rsid w:val="00E66794"/>
    <w:rsid w:val="00E7209D"/>
    <w:rsid w:val="00E72EAD"/>
    <w:rsid w:val="00E77223"/>
    <w:rsid w:val="00E8528B"/>
    <w:rsid w:val="00E85B94"/>
    <w:rsid w:val="00E91924"/>
    <w:rsid w:val="00E978D0"/>
    <w:rsid w:val="00EA12B0"/>
    <w:rsid w:val="00EA4613"/>
    <w:rsid w:val="00EA7F91"/>
    <w:rsid w:val="00EB1523"/>
    <w:rsid w:val="00EB4743"/>
    <w:rsid w:val="00EB691D"/>
    <w:rsid w:val="00EC0E49"/>
    <w:rsid w:val="00EC101F"/>
    <w:rsid w:val="00EC1D9F"/>
    <w:rsid w:val="00EE0131"/>
    <w:rsid w:val="00EE17B0"/>
    <w:rsid w:val="00EF06D9"/>
    <w:rsid w:val="00F001BB"/>
    <w:rsid w:val="00F110B8"/>
    <w:rsid w:val="00F1603C"/>
    <w:rsid w:val="00F169C8"/>
    <w:rsid w:val="00F30C64"/>
    <w:rsid w:val="00F30E37"/>
    <w:rsid w:val="00F32BA2"/>
    <w:rsid w:val="00F32CDB"/>
    <w:rsid w:val="00F43039"/>
    <w:rsid w:val="00F565FE"/>
    <w:rsid w:val="00F63A70"/>
    <w:rsid w:val="00F70249"/>
    <w:rsid w:val="00F7534E"/>
    <w:rsid w:val="00FA1802"/>
    <w:rsid w:val="00FA1948"/>
    <w:rsid w:val="00FA21D0"/>
    <w:rsid w:val="00FA5F5F"/>
    <w:rsid w:val="00FB1A83"/>
    <w:rsid w:val="00FB730C"/>
    <w:rsid w:val="00FB79B4"/>
    <w:rsid w:val="00FC2695"/>
    <w:rsid w:val="00FC29AB"/>
    <w:rsid w:val="00FC3E03"/>
    <w:rsid w:val="00FC3FC1"/>
    <w:rsid w:val="00FC63FC"/>
    <w:rsid w:val="00FD1600"/>
    <w:rsid w:val="00FD3404"/>
    <w:rsid w:val="00FD385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
    <w:link w:val="Nadpis1Char"/>
    <w:uiPriority w:val="9"/>
    <w:rsid w:val="004F5E36"/>
    <w:pPr>
      <w:tabs>
        <w:tab w:val="clear" w:pos="360"/>
        <w:tab w:val="right" w:pos="7100"/>
      </w:tabs>
      <w:jc w:val="both"/>
      <w:outlineLvl w:val="0"/>
    </w:pPr>
    <w:rPr>
      <w:lang w:val="en-GB"/>
    </w:rPr>
  </w:style>
  <w:style w:type="paragraph" w:styleId="Nadpis2">
    <w:name w:val="heading 2"/>
    <w:basedOn w:val="Normln"/>
    <w:next w:val="Normln"/>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lka1">
    <w:name w:val="Table Simple 1"/>
    <w:basedOn w:val="Normlntabul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kaznakoment">
    <w:name w:val="annotation reference"/>
    <w:basedOn w:val="Standardnpsmoodstavce"/>
    <w:uiPriority w:val="99"/>
    <w:semiHidden/>
    <w:unhideWhenUsed/>
    <w:rsid w:val="004577FE"/>
    <w:rPr>
      <w:sz w:val="16"/>
      <w:szCs w:val="16"/>
    </w:rPr>
  </w:style>
  <w:style w:type="paragraph" w:styleId="Textbubliny">
    <w:name w:val="Balloon Text"/>
    <w:basedOn w:val="Normln"/>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Zkladntext2">
    <w:name w:val="Body Text 2"/>
    <w:basedOn w:val="Normln"/>
    <w:link w:val="Zkladntext2Char"/>
    <w:uiPriority w:val="99"/>
    <w:semiHidden/>
    <w:unhideWhenUsed/>
    <w:rsid w:val="0003148D"/>
    <w:pPr>
      <w:spacing w:after="120" w:line="480" w:lineRule="auto"/>
    </w:pPr>
  </w:style>
  <w:style w:type="character" w:customStyle="1" w:styleId="Zkladntext2Char">
    <w:name w:val="Základní text 2 Char"/>
    <w:basedOn w:val="Standardnpsmoodstavce"/>
    <w:link w:val="Zkladntext2"/>
    <w:uiPriority w:val="99"/>
    <w:semiHidden/>
    <w:rsid w:val="0003148D"/>
  </w:style>
  <w:style w:type="paragraph" w:styleId="Zkladntext3">
    <w:name w:val="Body Text 3"/>
    <w:basedOn w:val="Normln"/>
    <w:link w:val="Zkladntext3Char"/>
    <w:uiPriority w:val="99"/>
    <w:semiHidden/>
    <w:unhideWhenUsed/>
    <w:rsid w:val="0003148D"/>
    <w:pPr>
      <w:spacing w:after="120"/>
    </w:pPr>
    <w:rPr>
      <w:sz w:val="16"/>
      <w:szCs w:val="16"/>
    </w:rPr>
  </w:style>
  <w:style w:type="character" w:customStyle="1" w:styleId="Zkladntext3Char">
    <w:name w:val="Základní text 3 Char"/>
    <w:basedOn w:val="Standardnpsmoodstavce"/>
    <w:link w:val="Zkladntext3"/>
    <w:uiPriority w:val="99"/>
    <w:semiHidden/>
    <w:rsid w:val="0003148D"/>
    <w:rPr>
      <w:sz w:val="16"/>
      <w:szCs w:val="16"/>
    </w:rPr>
  </w:style>
  <w:style w:type="paragraph" w:styleId="Zkladntext">
    <w:name w:val="Body Text"/>
    <w:basedOn w:val="Normln"/>
    <w:link w:val="ZkladntextChar"/>
    <w:uiPriority w:val="99"/>
    <w:semiHidden/>
    <w:unhideWhenUsed/>
    <w:rsid w:val="0003148D"/>
    <w:pPr>
      <w:spacing w:after="120"/>
    </w:pPr>
  </w:style>
  <w:style w:type="character" w:customStyle="1" w:styleId="ZkladntextChar">
    <w:name w:val="Základní text Char"/>
    <w:basedOn w:val="Standardnpsmoodstavce"/>
    <w:link w:val="Zkladntext"/>
    <w:uiPriority w:val="99"/>
    <w:semiHidden/>
    <w:rsid w:val="0003148D"/>
  </w:style>
  <w:style w:type="paragraph" w:styleId="Datum">
    <w:name w:val="Date"/>
    <w:basedOn w:val="Normln"/>
    <w:next w:val="Normln"/>
    <w:link w:val="DatumChar"/>
    <w:uiPriority w:val="99"/>
    <w:semiHidden/>
    <w:unhideWhenUsed/>
    <w:rsid w:val="0003148D"/>
  </w:style>
  <w:style w:type="character" w:customStyle="1" w:styleId="DatumChar">
    <w:name w:val="Datum Char"/>
    <w:basedOn w:val="Standardnpsmoodstavce"/>
    <w:link w:val="Datum"/>
    <w:uiPriority w:val="99"/>
    <w:semiHidden/>
    <w:rsid w:val="0003148D"/>
  </w:style>
  <w:style w:type="paragraph" w:styleId="Titulek">
    <w:name w:val="caption"/>
    <w:basedOn w:val="Normln"/>
    <w:next w:val="Normln"/>
    <w:uiPriority w:val="35"/>
    <w:semiHidden/>
    <w:unhideWhenUsed/>
    <w:qFormat/>
    <w:rsid w:val="0003148D"/>
    <w:pPr>
      <w:spacing w:line="240" w:lineRule="auto"/>
    </w:pPr>
    <w:rPr>
      <w:b/>
      <w:bCs/>
      <w:color w:val="4F81BD" w:themeColor="accent1"/>
      <w:szCs w:val="18"/>
    </w:rPr>
  </w:style>
  <w:style w:type="paragraph" w:styleId="Seznam">
    <w:name w:val="List"/>
    <w:basedOn w:val="Normln"/>
    <w:uiPriority w:val="99"/>
    <w:semiHidden/>
    <w:unhideWhenUsed/>
    <w:rsid w:val="0003148D"/>
    <w:pPr>
      <w:ind w:left="283" w:hanging="283"/>
      <w:contextualSpacing/>
    </w:pPr>
  </w:style>
  <w:style w:type="paragraph" w:styleId="Seznam2">
    <w:name w:val="List 2"/>
    <w:basedOn w:val="Normln"/>
    <w:uiPriority w:val="99"/>
    <w:semiHidden/>
    <w:unhideWhenUsed/>
    <w:rsid w:val="0003148D"/>
    <w:pPr>
      <w:ind w:left="566" w:hanging="283"/>
      <w:contextualSpacing/>
    </w:pPr>
  </w:style>
  <w:style w:type="paragraph" w:styleId="Seznam3">
    <w:name w:val="List 3"/>
    <w:basedOn w:val="Normln"/>
    <w:uiPriority w:val="99"/>
    <w:semiHidden/>
    <w:unhideWhenUsed/>
    <w:rsid w:val="0003148D"/>
    <w:pPr>
      <w:ind w:left="849" w:hanging="283"/>
      <w:contextualSpacing/>
    </w:pPr>
  </w:style>
  <w:style w:type="paragraph" w:styleId="Seznam4">
    <w:name w:val="List 4"/>
    <w:basedOn w:val="Normln"/>
    <w:uiPriority w:val="99"/>
    <w:semiHidden/>
    <w:unhideWhenUsed/>
    <w:rsid w:val="0003148D"/>
    <w:pPr>
      <w:ind w:left="1132" w:hanging="283"/>
      <w:contextualSpacing/>
    </w:pPr>
  </w:style>
  <w:style w:type="paragraph" w:styleId="Seznam5">
    <w:name w:val="List 5"/>
    <w:basedOn w:val="Normln"/>
    <w:uiPriority w:val="99"/>
    <w:semiHidden/>
    <w:unhideWhenUsed/>
    <w:rsid w:val="0003148D"/>
    <w:pPr>
      <w:ind w:left="1415" w:hanging="283"/>
      <w:contextualSpacing/>
    </w:pPr>
  </w:style>
  <w:style w:type="paragraph" w:styleId="Pokraovnseznamu">
    <w:name w:val="List Continue"/>
    <w:basedOn w:val="Normln"/>
    <w:uiPriority w:val="99"/>
    <w:semiHidden/>
    <w:unhideWhenUsed/>
    <w:rsid w:val="0003148D"/>
    <w:pPr>
      <w:spacing w:after="120"/>
      <w:ind w:left="283"/>
      <w:contextualSpacing/>
    </w:pPr>
  </w:style>
  <w:style w:type="paragraph" w:styleId="Pokraovnseznamu2">
    <w:name w:val="List Continue 2"/>
    <w:basedOn w:val="Normln"/>
    <w:uiPriority w:val="99"/>
    <w:semiHidden/>
    <w:unhideWhenUsed/>
    <w:rsid w:val="0003148D"/>
    <w:pPr>
      <w:spacing w:after="120"/>
      <w:ind w:left="566"/>
      <w:contextualSpacing/>
    </w:pPr>
  </w:style>
  <w:style w:type="paragraph" w:styleId="Pokraovnseznamu3">
    <w:name w:val="List Continue 3"/>
    <w:basedOn w:val="Normln"/>
    <w:uiPriority w:val="99"/>
    <w:semiHidden/>
    <w:unhideWhenUsed/>
    <w:rsid w:val="0003148D"/>
    <w:pPr>
      <w:spacing w:after="120"/>
      <w:ind w:left="849"/>
      <w:contextualSpacing/>
    </w:pPr>
  </w:style>
  <w:style w:type="paragraph" w:styleId="Pokraovnseznamu4">
    <w:name w:val="List Continue 4"/>
    <w:basedOn w:val="Normln"/>
    <w:uiPriority w:val="99"/>
    <w:semiHidden/>
    <w:unhideWhenUsed/>
    <w:rsid w:val="0003148D"/>
    <w:pPr>
      <w:spacing w:after="120"/>
      <w:ind w:left="1132"/>
      <w:contextualSpacing/>
    </w:pPr>
  </w:style>
  <w:style w:type="paragraph" w:styleId="Pokraovnseznamu5">
    <w:name w:val="List Continue 5"/>
    <w:basedOn w:val="Normln"/>
    <w:uiPriority w:val="99"/>
    <w:semiHidden/>
    <w:unhideWhenUsed/>
    <w:rsid w:val="0003148D"/>
    <w:pPr>
      <w:spacing w:after="120"/>
      <w:ind w:left="1415"/>
      <w:contextualSpacing/>
    </w:pPr>
  </w:style>
  <w:style w:type="paragraph" w:styleId="Podpis">
    <w:name w:val="Signature"/>
    <w:basedOn w:val="Normln"/>
    <w:link w:val="PodpisChar"/>
    <w:uiPriority w:val="99"/>
    <w:semiHidden/>
    <w:unhideWhenUsed/>
    <w:rsid w:val="0003148D"/>
    <w:pPr>
      <w:spacing w:line="240" w:lineRule="auto"/>
      <w:ind w:left="4252"/>
    </w:pPr>
  </w:style>
  <w:style w:type="character" w:customStyle="1" w:styleId="PodpisChar">
    <w:name w:val="Podpis Char"/>
    <w:basedOn w:val="Standardnpsmoodstavce"/>
    <w:link w:val="Podpis"/>
    <w:uiPriority w:val="99"/>
    <w:semiHidden/>
    <w:rsid w:val="0003148D"/>
  </w:style>
  <w:style w:type="paragraph" w:styleId="Podpise-mailu">
    <w:name w:val="E-mail Signature"/>
    <w:basedOn w:val="Normln"/>
    <w:link w:val="Podpise-mailuChar"/>
    <w:uiPriority w:val="99"/>
    <w:semiHidden/>
    <w:unhideWhenUsed/>
    <w:rsid w:val="0003148D"/>
    <w:pPr>
      <w:spacing w:line="240" w:lineRule="auto"/>
    </w:pPr>
  </w:style>
  <w:style w:type="character" w:customStyle="1" w:styleId="Podpise-mailuChar">
    <w:name w:val="Podpis e-mailu Char"/>
    <w:basedOn w:val="Standardnpsmoodstavce"/>
    <w:link w:val="Podpise-mailu"/>
    <w:uiPriority w:val="99"/>
    <w:semiHidden/>
    <w:rsid w:val="0003148D"/>
  </w:style>
  <w:style w:type="paragraph" w:styleId="Osloven">
    <w:name w:val="Salutation"/>
    <w:basedOn w:val="Normln"/>
    <w:next w:val="Normln"/>
    <w:link w:val="OslovenChar"/>
    <w:uiPriority w:val="99"/>
    <w:semiHidden/>
    <w:unhideWhenUsed/>
    <w:rsid w:val="0003148D"/>
  </w:style>
  <w:style w:type="character" w:customStyle="1" w:styleId="OslovenChar">
    <w:name w:val="Oslovení Char"/>
    <w:basedOn w:val="Standardnpsmoodstavce"/>
    <w:link w:val="Osloven"/>
    <w:uiPriority w:val="99"/>
    <w:semiHidden/>
    <w:rsid w:val="0003148D"/>
  </w:style>
  <w:style w:type="paragraph" w:styleId="Zvr">
    <w:name w:val="Closing"/>
    <w:basedOn w:val="Normln"/>
    <w:link w:val="ZvrChar"/>
    <w:uiPriority w:val="99"/>
    <w:semiHidden/>
    <w:unhideWhenUsed/>
    <w:rsid w:val="0003148D"/>
    <w:pPr>
      <w:spacing w:line="240" w:lineRule="auto"/>
      <w:ind w:left="4252"/>
    </w:pPr>
  </w:style>
  <w:style w:type="character" w:customStyle="1" w:styleId="ZvrChar">
    <w:name w:val="Závěr Char"/>
    <w:basedOn w:val="Standardnpsmoodstavce"/>
    <w:link w:val="Zvr"/>
    <w:uiPriority w:val="99"/>
    <w:semiHidden/>
    <w:rsid w:val="0003148D"/>
  </w:style>
  <w:style w:type="paragraph" w:styleId="Rejstk1">
    <w:name w:val="index 1"/>
    <w:basedOn w:val="Normln"/>
    <w:next w:val="Normln"/>
    <w:autoRedefine/>
    <w:uiPriority w:val="99"/>
    <w:semiHidden/>
    <w:unhideWhenUsed/>
    <w:rsid w:val="0003148D"/>
    <w:pPr>
      <w:spacing w:line="240" w:lineRule="auto"/>
      <w:ind w:left="220" w:hanging="220"/>
    </w:pPr>
  </w:style>
  <w:style w:type="paragraph" w:styleId="Rejstk2">
    <w:name w:val="index 2"/>
    <w:basedOn w:val="Normln"/>
    <w:next w:val="Normln"/>
    <w:autoRedefine/>
    <w:uiPriority w:val="99"/>
    <w:semiHidden/>
    <w:unhideWhenUsed/>
    <w:rsid w:val="0003148D"/>
    <w:pPr>
      <w:spacing w:line="240" w:lineRule="auto"/>
      <w:ind w:left="440" w:hanging="220"/>
    </w:pPr>
  </w:style>
  <w:style w:type="paragraph" w:styleId="Rejstk3">
    <w:name w:val="index 3"/>
    <w:basedOn w:val="Normln"/>
    <w:next w:val="Normln"/>
    <w:autoRedefine/>
    <w:uiPriority w:val="99"/>
    <w:semiHidden/>
    <w:unhideWhenUsed/>
    <w:rsid w:val="0003148D"/>
    <w:pPr>
      <w:spacing w:line="240" w:lineRule="auto"/>
      <w:ind w:left="660" w:hanging="220"/>
    </w:pPr>
  </w:style>
  <w:style w:type="paragraph" w:styleId="Rejstk4">
    <w:name w:val="index 4"/>
    <w:basedOn w:val="Normln"/>
    <w:next w:val="Normln"/>
    <w:autoRedefine/>
    <w:uiPriority w:val="99"/>
    <w:semiHidden/>
    <w:unhideWhenUsed/>
    <w:rsid w:val="0003148D"/>
    <w:pPr>
      <w:spacing w:line="240" w:lineRule="auto"/>
      <w:ind w:left="880" w:hanging="220"/>
    </w:pPr>
  </w:style>
  <w:style w:type="paragraph" w:styleId="Rejstk5">
    <w:name w:val="index 5"/>
    <w:basedOn w:val="Normln"/>
    <w:next w:val="Normln"/>
    <w:autoRedefine/>
    <w:uiPriority w:val="99"/>
    <w:semiHidden/>
    <w:unhideWhenUsed/>
    <w:rsid w:val="0003148D"/>
    <w:pPr>
      <w:spacing w:line="240" w:lineRule="auto"/>
      <w:ind w:left="1100" w:hanging="220"/>
    </w:pPr>
  </w:style>
  <w:style w:type="paragraph" w:styleId="Rejstk6">
    <w:name w:val="index 6"/>
    <w:basedOn w:val="Normln"/>
    <w:next w:val="Normln"/>
    <w:autoRedefine/>
    <w:uiPriority w:val="99"/>
    <w:semiHidden/>
    <w:unhideWhenUsed/>
    <w:rsid w:val="0003148D"/>
    <w:pPr>
      <w:spacing w:line="240" w:lineRule="auto"/>
      <w:ind w:left="1320" w:hanging="220"/>
    </w:pPr>
  </w:style>
  <w:style w:type="paragraph" w:styleId="Rejstk7">
    <w:name w:val="index 7"/>
    <w:basedOn w:val="Normln"/>
    <w:next w:val="Normln"/>
    <w:autoRedefine/>
    <w:uiPriority w:val="99"/>
    <w:semiHidden/>
    <w:unhideWhenUsed/>
    <w:rsid w:val="0003148D"/>
    <w:pPr>
      <w:spacing w:line="240" w:lineRule="auto"/>
      <w:ind w:left="1540" w:hanging="220"/>
    </w:pPr>
  </w:style>
  <w:style w:type="paragraph" w:styleId="Rejstk8">
    <w:name w:val="index 8"/>
    <w:basedOn w:val="Normln"/>
    <w:next w:val="Normln"/>
    <w:autoRedefine/>
    <w:uiPriority w:val="99"/>
    <w:semiHidden/>
    <w:unhideWhenUsed/>
    <w:rsid w:val="0003148D"/>
    <w:pPr>
      <w:spacing w:line="240" w:lineRule="auto"/>
      <w:ind w:left="1760" w:hanging="220"/>
    </w:pPr>
  </w:style>
  <w:style w:type="paragraph" w:styleId="Rejstk9">
    <w:name w:val="index 9"/>
    <w:basedOn w:val="Normln"/>
    <w:next w:val="Normln"/>
    <w:autoRedefine/>
    <w:uiPriority w:val="99"/>
    <w:semiHidden/>
    <w:unhideWhenUsed/>
    <w:rsid w:val="0003148D"/>
    <w:pPr>
      <w:spacing w:line="240" w:lineRule="auto"/>
      <w:ind w:left="1980" w:hanging="220"/>
    </w:pPr>
  </w:style>
  <w:style w:type="paragraph" w:styleId="Seznamobrzk">
    <w:name w:val="table of figures"/>
    <w:basedOn w:val="Normln"/>
    <w:next w:val="Normln"/>
    <w:uiPriority w:val="99"/>
    <w:semiHidden/>
    <w:unhideWhenUsed/>
    <w:rsid w:val="0003148D"/>
  </w:style>
  <w:style w:type="paragraph" w:styleId="Seznamcitac">
    <w:name w:val="table of authorities"/>
    <w:basedOn w:val="Normln"/>
    <w:next w:val="Normln"/>
    <w:uiPriority w:val="99"/>
    <w:semiHidden/>
    <w:unhideWhenUsed/>
    <w:rsid w:val="0003148D"/>
    <w:pPr>
      <w:ind w:left="220" w:hanging="220"/>
    </w:pPr>
  </w:style>
  <w:style w:type="paragraph" w:styleId="Adresanaoblku">
    <w:name w:val="envelope address"/>
    <w:basedOn w:val="Norml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
    <w:link w:val="AdresaHTMLChar"/>
    <w:uiPriority w:val="99"/>
    <w:semiHidden/>
    <w:unhideWhenUsed/>
    <w:rsid w:val="0003148D"/>
    <w:pPr>
      <w:spacing w:line="240" w:lineRule="auto"/>
    </w:pPr>
    <w:rPr>
      <w:i/>
      <w:iCs/>
    </w:rPr>
  </w:style>
  <w:style w:type="character" w:customStyle="1" w:styleId="AdresaHTMLChar">
    <w:name w:val="Adresa HTML Char"/>
    <w:basedOn w:val="Standardnpsmoodstavce"/>
    <w:link w:val="AdresaHTML"/>
    <w:uiPriority w:val="99"/>
    <w:semiHidden/>
    <w:rsid w:val="0003148D"/>
    <w:rPr>
      <w:i/>
      <w:iCs/>
    </w:rPr>
  </w:style>
  <w:style w:type="paragraph" w:styleId="Zptenadresanaoblku">
    <w:name w:val="envelope return"/>
    <w:basedOn w:val="Normln"/>
    <w:uiPriority w:val="99"/>
    <w:semiHidden/>
    <w:unhideWhenUsed/>
    <w:rsid w:val="0003148D"/>
    <w:pPr>
      <w:spacing w:line="240" w:lineRule="auto"/>
    </w:pPr>
    <w:rPr>
      <w:rFonts w:asciiTheme="majorHAnsi" w:eastAsiaTheme="majorEastAsia" w:hAnsiTheme="majorHAnsi" w:cstheme="majorBidi"/>
    </w:rPr>
  </w:style>
  <w:style w:type="paragraph" w:styleId="Zhlavzprvy">
    <w:name w:val="Message Header"/>
    <w:basedOn w:val="Normln"/>
    <w:link w:val="Zhlavz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03148D"/>
    <w:pPr>
      <w:spacing w:line="240" w:lineRule="auto"/>
    </w:pPr>
  </w:style>
  <w:style w:type="character" w:customStyle="1" w:styleId="NadpispoznmkyChar">
    <w:name w:val="Nadpis poznámky Char"/>
    <w:basedOn w:val="Standardnpsmoodstavce"/>
    <w:link w:val="Nadpispoznmky"/>
    <w:uiPriority w:val="99"/>
    <w:semiHidden/>
    <w:rsid w:val="0003148D"/>
  </w:style>
  <w:style w:type="paragraph" w:styleId="Rozloendokumentu">
    <w:name w:val="Document Map"/>
    <w:basedOn w:val="Normln"/>
    <w:link w:val="RozloendokumentuChar"/>
    <w:uiPriority w:val="99"/>
    <w:semiHidden/>
    <w:unhideWhenUsed/>
    <w:rsid w:val="0003148D"/>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3148D"/>
    <w:rPr>
      <w:rFonts w:ascii="Tahoma" w:hAnsi="Tahoma" w:cs="Tahoma"/>
      <w:sz w:val="16"/>
      <w:szCs w:val="16"/>
    </w:rPr>
  </w:style>
  <w:style w:type="paragraph" w:styleId="Normlnweb">
    <w:name w:val="Normal (Web)"/>
    <w:basedOn w:val="Normln"/>
    <w:uiPriority w:val="99"/>
    <w:semiHidden/>
    <w:unhideWhenUsed/>
    <w:rsid w:val="0003148D"/>
    <w:rPr>
      <w:sz w:val="24"/>
      <w:szCs w:val="24"/>
    </w:rPr>
  </w:style>
  <w:style w:type="paragraph" w:styleId="slovanseznam">
    <w:name w:val="List Number"/>
    <w:basedOn w:val="Normln"/>
    <w:uiPriority w:val="99"/>
    <w:semiHidden/>
    <w:unhideWhenUsed/>
    <w:rsid w:val="0003148D"/>
    <w:pPr>
      <w:numPr>
        <w:numId w:val="2"/>
      </w:numPr>
      <w:contextualSpacing/>
    </w:pPr>
  </w:style>
  <w:style w:type="paragraph" w:styleId="slovanseznam2">
    <w:name w:val="List Number 2"/>
    <w:basedOn w:val="Normln"/>
    <w:uiPriority w:val="99"/>
    <w:semiHidden/>
    <w:unhideWhenUsed/>
    <w:rsid w:val="0003148D"/>
    <w:pPr>
      <w:numPr>
        <w:numId w:val="3"/>
      </w:numPr>
      <w:contextualSpacing/>
    </w:pPr>
  </w:style>
  <w:style w:type="paragraph" w:styleId="slovanseznam3">
    <w:name w:val="List Number 3"/>
    <w:basedOn w:val="Normln"/>
    <w:uiPriority w:val="99"/>
    <w:semiHidden/>
    <w:unhideWhenUsed/>
    <w:rsid w:val="0003148D"/>
    <w:pPr>
      <w:numPr>
        <w:numId w:val="4"/>
      </w:numPr>
      <w:contextualSpacing/>
    </w:pPr>
  </w:style>
  <w:style w:type="paragraph" w:styleId="slovanseznam4">
    <w:name w:val="List Number 4"/>
    <w:basedOn w:val="Normln"/>
    <w:uiPriority w:val="99"/>
    <w:semiHidden/>
    <w:unhideWhenUsed/>
    <w:rsid w:val="0003148D"/>
    <w:pPr>
      <w:numPr>
        <w:numId w:val="5"/>
      </w:numPr>
      <w:contextualSpacing/>
    </w:pPr>
  </w:style>
  <w:style w:type="paragraph" w:styleId="slovanseznam5">
    <w:name w:val="List Number 5"/>
    <w:basedOn w:val="Normln"/>
    <w:uiPriority w:val="99"/>
    <w:semiHidden/>
    <w:unhideWhenUsed/>
    <w:rsid w:val="0003148D"/>
    <w:pPr>
      <w:numPr>
        <w:numId w:val="6"/>
      </w:numPr>
      <w:contextualSpacing/>
    </w:pPr>
  </w:style>
  <w:style w:type="paragraph" w:styleId="FormtovanvHTML">
    <w:name w:val="HTML Preformatted"/>
    <w:basedOn w:val="Normln"/>
    <w:link w:val="FormtovanvHTMLChar"/>
    <w:uiPriority w:val="99"/>
    <w:semiHidden/>
    <w:unhideWhenUsed/>
    <w:rsid w:val="0003148D"/>
    <w:pPr>
      <w:spacing w:line="240" w:lineRule="auto"/>
    </w:pPr>
    <w:rPr>
      <w:rFonts w:ascii="Consolas" w:hAnsi="Consolas" w:cs="Consolas"/>
    </w:rPr>
  </w:style>
  <w:style w:type="character" w:customStyle="1" w:styleId="FormtovanvHTMLChar">
    <w:name w:val="Formátovaný v HTML Char"/>
    <w:basedOn w:val="Standardnpsmoodstavce"/>
    <w:link w:val="FormtovanvHTML"/>
    <w:uiPriority w:val="99"/>
    <w:semiHidden/>
    <w:rsid w:val="0003148D"/>
    <w:rPr>
      <w:rFonts w:ascii="Consolas" w:hAnsi="Consolas" w:cs="Consolas"/>
      <w:sz w:val="20"/>
      <w:szCs w:val="20"/>
    </w:rPr>
  </w:style>
  <w:style w:type="paragraph" w:styleId="Zkladntext-prvnodsazen">
    <w:name w:val="Body Text First Indent"/>
    <w:basedOn w:val="Zkladntext"/>
    <w:link w:val="Zkladntext-prvnodsazenChar"/>
    <w:uiPriority w:val="99"/>
    <w:semiHidden/>
    <w:unhideWhenUsed/>
    <w:rsid w:val="0003148D"/>
    <w:pPr>
      <w:spacing w:after="200"/>
      <w:ind w:firstLine="360"/>
    </w:pPr>
  </w:style>
  <w:style w:type="character" w:customStyle="1" w:styleId="Zkladntext-prvnodsazenChar">
    <w:name w:val="Základní text - první odsazený Char"/>
    <w:basedOn w:val="ZkladntextChar"/>
    <w:link w:val="Zkladntext-prvnodsazen"/>
    <w:uiPriority w:val="99"/>
    <w:semiHidden/>
    <w:rsid w:val="0003148D"/>
  </w:style>
  <w:style w:type="paragraph" w:styleId="Zkladntextodsazen">
    <w:name w:val="Body Text Indent"/>
    <w:basedOn w:val="Normln"/>
    <w:link w:val="ZkladntextodsazenChar"/>
    <w:uiPriority w:val="99"/>
    <w:semiHidden/>
    <w:unhideWhenUsed/>
    <w:rsid w:val="0003148D"/>
    <w:pPr>
      <w:spacing w:after="120"/>
      <w:ind w:left="283"/>
    </w:pPr>
  </w:style>
  <w:style w:type="character" w:customStyle="1" w:styleId="ZkladntextodsazenChar">
    <w:name w:val="Základní text odsazený Char"/>
    <w:basedOn w:val="Standardnpsmoodstavce"/>
    <w:link w:val="Zkladntextodsazen"/>
    <w:uiPriority w:val="99"/>
    <w:semiHidden/>
    <w:rsid w:val="0003148D"/>
  </w:style>
  <w:style w:type="paragraph" w:styleId="Zkladntext-prvnodsazen2">
    <w:name w:val="Body Text First Indent 2"/>
    <w:basedOn w:val="Zkladntextodsazen"/>
    <w:link w:val="Zkladntext-prvnodsazen2Char"/>
    <w:uiPriority w:val="99"/>
    <w:semiHidden/>
    <w:unhideWhenUsed/>
    <w:rsid w:val="0003148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3148D"/>
  </w:style>
  <w:style w:type="paragraph" w:styleId="Seznamsodrkami">
    <w:name w:val="List Bullet"/>
    <w:basedOn w:val="Normln"/>
    <w:uiPriority w:val="99"/>
    <w:semiHidden/>
    <w:unhideWhenUsed/>
    <w:rsid w:val="0003148D"/>
    <w:pPr>
      <w:numPr>
        <w:numId w:val="7"/>
      </w:numPr>
      <w:contextualSpacing/>
    </w:pPr>
  </w:style>
  <w:style w:type="paragraph" w:styleId="Seznamsodrkami2">
    <w:name w:val="List Bullet 2"/>
    <w:basedOn w:val="Normln"/>
    <w:uiPriority w:val="99"/>
    <w:semiHidden/>
    <w:unhideWhenUsed/>
    <w:rsid w:val="0003148D"/>
    <w:pPr>
      <w:numPr>
        <w:numId w:val="8"/>
      </w:numPr>
      <w:contextualSpacing/>
    </w:pPr>
  </w:style>
  <w:style w:type="paragraph" w:styleId="Seznamsodrkami3">
    <w:name w:val="List Bullet 3"/>
    <w:basedOn w:val="Normln"/>
    <w:uiPriority w:val="99"/>
    <w:semiHidden/>
    <w:unhideWhenUsed/>
    <w:rsid w:val="0003148D"/>
    <w:pPr>
      <w:numPr>
        <w:numId w:val="9"/>
      </w:numPr>
      <w:contextualSpacing/>
    </w:pPr>
  </w:style>
  <w:style w:type="paragraph" w:styleId="Seznamsodrkami4">
    <w:name w:val="List Bullet 4"/>
    <w:basedOn w:val="Normln"/>
    <w:uiPriority w:val="99"/>
    <w:semiHidden/>
    <w:unhideWhenUsed/>
    <w:rsid w:val="0003148D"/>
    <w:pPr>
      <w:numPr>
        <w:numId w:val="10"/>
      </w:numPr>
      <w:contextualSpacing/>
    </w:pPr>
  </w:style>
  <w:style w:type="paragraph" w:styleId="Seznamsodrkami5">
    <w:name w:val="List Bullet 5"/>
    <w:basedOn w:val="Normln"/>
    <w:uiPriority w:val="99"/>
    <w:semiHidden/>
    <w:unhideWhenUsed/>
    <w:rsid w:val="0003148D"/>
    <w:pPr>
      <w:numPr>
        <w:numId w:val="11"/>
      </w:numPr>
      <w:contextualSpacing/>
    </w:pPr>
  </w:style>
  <w:style w:type="paragraph" w:styleId="Zkladntextodsazen2">
    <w:name w:val="Body Text Indent 2"/>
    <w:basedOn w:val="Normln"/>
    <w:link w:val="Zkladntextodsazen2Char"/>
    <w:uiPriority w:val="99"/>
    <w:semiHidden/>
    <w:unhideWhenUsed/>
    <w:rsid w:val="0003148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3148D"/>
  </w:style>
  <w:style w:type="paragraph" w:styleId="Zkladntextodsazen3">
    <w:name w:val="Body Text Indent 3"/>
    <w:basedOn w:val="Normln"/>
    <w:link w:val="Zkladntextodsazen3Char"/>
    <w:uiPriority w:val="99"/>
    <w:semiHidden/>
    <w:unhideWhenUsed/>
    <w:rsid w:val="0003148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3148D"/>
    <w:rPr>
      <w:sz w:val="16"/>
      <w:szCs w:val="16"/>
    </w:rPr>
  </w:style>
  <w:style w:type="paragraph" w:styleId="Normlnodsazen">
    <w:name w:val="Normal Indent"/>
    <w:basedOn w:val="Normln"/>
    <w:uiPriority w:val="99"/>
    <w:semiHidden/>
    <w:unhideWhenUsed/>
    <w:rsid w:val="0003148D"/>
    <w:pPr>
      <w:ind w:left="720"/>
    </w:pPr>
  </w:style>
  <w:style w:type="paragraph" w:styleId="Textkomente">
    <w:name w:val="annotation text"/>
    <w:basedOn w:val="Normln"/>
    <w:link w:val="TextkomenteChar"/>
    <w:uiPriority w:val="99"/>
    <w:unhideWhenUsed/>
    <w:rsid w:val="0003148D"/>
    <w:pPr>
      <w:spacing w:line="240" w:lineRule="auto"/>
    </w:pPr>
  </w:style>
  <w:style w:type="character" w:customStyle="1" w:styleId="TextkomenteChar">
    <w:name w:val="Text komentáře Char"/>
    <w:basedOn w:val="Standardnpsmoodstavce"/>
    <w:link w:val="Textkomente"/>
    <w:uiPriority w:val="99"/>
    <w:rsid w:val="0003148D"/>
    <w:rPr>
      <w:sz w:val="20"/>
      <w:szCs w:val="20"/>
    </w:rPr>
  </w:style>
  <w:style w:type="paragraph" w:styleId="Pedmtkomente">
    <w:name w:val="annotation subject"/>
    <w:basedOn w:val="Textkomente"/>
    <w:next w:val="Textkomente"/>
    <w:link w:val="PedmtkomenteChar"/>
    <w:uiPriority w:val="99"/>
    <w:semiHidden/>
    <w:unhideWhenUsed/>
    <w:rsid w:val="0003148D"/>
    <w:rPr>
      <w:b/>
      <w:bCs/>
    </w:rPr>
  </w:style>
  <w:style w:type="character" w:customStyle="1" w:styleId="PedmtkomenteChar">
    <w:name w:val="Předmět komentáře Char"/>
    <w:basedOn w:val="TextkomenteChar"/>
    <w:link w:val="Pedmtkomente"/>
    <w:uiPriority w:val="99"/>
    <w:semiHidden/>
    <w:rsid w:val="0003148D"/>
    <w:rPr>
      <w:b/>
      <w:bCs/>
      <w:sz w:val="20"/>
      <w:szCs w:val="20"/>
    </w:rPr>
  </w:style>
  <w:style w:type="paragraph" w:styleId="Obsah1">
    <w:name w:val="toc 1"/>
    <w:basedOn w:val="Normln"/>
    <w:next w:val="Normln"/>
    <w:autoRedefine/>
    <w:uiPriority w:val="39"/>
    <w:semiHidden/>
    <w:unhideWhenUsed/>
    <w:rsid w:val="0003148D"/>
    <w:pPr>
      <w:spacing w:after="100"/>
    </w:pPr>
  </w:style>
  <w:style w:type="paragraph" w:styleId="Obsah2">
    <w:name w:val="toc 2"/>
    <w:basedOn w:val="Normln"/>
    <w:next w:val="Normln"/>
    <w:autoRedefine/>
    <w:uiPriority w:val="39"/>
    <w:semiHidden/>
    <w:unhideWhenUsed/>
    <w:rsid w:val="0003148D"/>
    <w:pPr>
      <w:spacing w:after="100"/>
      <w:ind w:left="220"/>
    </w:pPr>
  </w:style>
  <w:style w:type="paragraph" w:styleId="Obsah3">
    <w:name w:val="toc 3"/>
    <w:basedOn w:val="Normln"/>
    <w:next w:val="Normln"/>
    <w:autoRedefine/>
    <w:uiPriority w:val="39"/>
    <w:semiHidden/>
    <w:unhideWhenUsed/>
    <w:rsid w:val="0003148D"/>
    <w:pPr>
      <w:spacing w:after="100"/>
      <w:ind w:left="440"/>
    </w:pPr>
  </w:style>
  <w:style w:type="paragraph" w:styleId="Obsah4">
    <w:name w:val="toc 4"/>
    <w:basedOn w:val="Normln"/>
    <w:next w:val="Normln"/>
    <w:autoRedefine/>
    <w:uiPriority w:val="39"/>
    <w:semiHidden/>
    <w:unhideWhenUsed/>
    <w:rsid w:val="0003148D"/>
    <w:pPr>
      <w:spacing w:after="100"/>
      <w:ind w:left="660"/>
    </w:pPr>
  </w:style>
  <w:style w:type="paragraph" w:styleId="Obsah5">
    <w:name w:val="toc 5"/>
    <w:basedOn w:val="Normln"/>
    <w:next w:val="Normln"/>
    <w:autoRedefine/>
    <w:uiPriority w:val="39"/>
    <w:semiHidden/>
    <w:unhideWhenUsed/>
    <w:rsid w:val="0003148D"/>
    <w:pPr>
      <w:spacing w:after="100"/>
      <w:ind w:left="880"/>
    </w:pPr>
  </w:style>
  <w:style w:type="paragraph" w:styleId="Obsah6">
    <w:name w:val="toc 6"/>
    <w:basedOn w:val="Normln"/>
    <w:next w:val="Normln"/>
    <w:autoRedefine/>
    <w:uiPriority w:val="39"/>
    <w:semiHidden/>
    <w:unhideWhenUsed/>
    <w:rsid w:val="0003148D"/>
    <w:pPr>
      <w:spacing w:after="100"/>
      <w:ind w:left="1100"/>
    </w:pPr>
  </w:style>
  <w:style w:type="paragraph" w:styleId="Obsah7">
    <w:name w:val="toc 7"/>
    <w:basedOn w:val="Normln"/>
    <w:next w:val="Normln"/>
    <w:autoRedefine/>
    <w:uiPriority w:val="39"/>
    <w:semiHidden/>
    <w:unhideWhenUsed/>
    <w:rsid w:val="0003148D"/>
    <w:pPr>
      <w:spacing w:after="100"/>
      <w:ind w:left="1320"/>
    </w:pPr>
  </w:style>
  <w:style w:type="paragraph" w:styleId="Obsah8">
    <w:name w:val="toc 8"/>
    <w:basedOn w:val="Normln"/>
    <w:next w:val="Normln"/>
    <w:autoRedefine/>
    <w:uiPriority w:val="39"/>
    <w:semiHidden/>
    <w:unhideWhenUsed/>
    <w:rsid w:val="0003148D"/>
    <w:pPr>
      <w:spacing w:after="100"/>
      <w:ind w:left="1540"/>
    </w:pPr>
  </w:style>
  <w:style w:type="paragraph" w:styleId="Obsah9">
    <w:name w:val="toc 9"/>
    <w:basedOn w:val="Normln"/>
    <w:next w:val="Normln"/>
    <w:autoRedefine/>
    <w:uiPriority w:val="39"/>
    <w:semiHidden/>
    <w:unhideWhenUsed/>
    <w:rsid w:val="0003148D"/>
    <w:pPr>
      <w:spacing w:after="100"/>
      <w:ind w:left="1760"/>
    </w:pPr>
  </w:style>
  <w:style w:type="paragraph" w:styleId="Textvbloku">
    <w:name w:val="Block Text"/>
    <w:basedOn w:val="Norml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sid w:val="0003148D"/>
    <w:rPr>
      <w:rFonts w:ascii="Consolas" w:hAnsi="Consolas" w:cs="Consolas"/>
      <w:sz w:val="20"/>
      <w:szCs w:val="20"/>
    </w:rPr>
  </w:style>
  <w:style w:type="paragraph" w:styleId="Prosttext">
    <w:name w:val="Plain Text"/>
    <w:basedOn w:val="Normln"/>
    <w:link w:val="ProsttextChar"/>
    <w:uiPriority w:val="99"/>
    <w:semiHidden/>
    <w:unhideWhenUsed/>
    <w:rsid w:val="0003148D"/>
    <w:pPr>
      <w:spacing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03148D"/>
    <w:rPr>
      <w:rFonts w:ascii="Consolas" w:hAnsi="Consolas" w:cs="Consolas"/>
      <w:sz w:val="21"/>
      <w:szCs w:val="21"/>
    </w:rPr>
  </w:style>
  <w:style w:type="paragraph" w:styleId="Textpoznpodarou">
    <w:name w:val="footnote text"/>
    <w:basedOn w:val="Normln"/>
    <w:link w:val="TextpoznpodarouChar"/>
    <w:uiPriority w:val="99"/>
    <w:semiHidden/>
    <w:unhideWhenUsed/>
    <w:rsid w:val="0003148D"/>
    <w:pPr>
      <w:spacing w:line="240" w:lineRule="auto"/>
    </w:pPr>
  </w:style>
  <w:style w:type="character" w:customStyle="1" w:styleId="TextpoznpodarouChar">
    <w:name w:val="Text pozn. pod čarou Char"/>
    <w:basedOn w:val="Standardnpsmoodstavce"/>
    <w:link w:val="Textpoznpodarou"/>
    <w:uiPriority w:val="99"/>
    <w:semiHidden/>
    <w:rsid w:val="0003148D"/>
    <w:rPr>
      <w:sz w:val="20"/>
      <w:szCs w:val="20"/>
    </w:rPr>
  </w:style>
  <w:style w:type="paragraph" w:styleId="Textvysvtlivek">
    <w:name w:val="endnote text"/>
    <w:basedOn w:val="Normln"/>
    <w:link w:val="TextvysvtlivekChar"/>
    <w:uiPriority w:val="99"/>
    <w:semiHidden/>
    <w:unhideWhenUsed/>
    <w:rsid w:val="0003148D"/>
    <w:pPr>
      <w:spacing w:line="240" w:lineRule="auto"/>
    </w:pPr>
  </w:style>
  <w:style w:type="character" w:customStyle="1" w:styleId="TextvysvtlivekChar">
    <w:name w:val="Text vysvětlivek Char"/>
    <w:basedOn w:val="Standardnpsmoodstavce"/>
    <w:link w:val="Textvysvtlivek"/>
    <w:uiPriority w:val="99"/>
    <w:semiHidden/>
    <w:rsid w:val="0003148D"/>
    <w:rPr>
      <w:sz w:val="20"/>
      <w:szCs w:val="20"/>
    </w:rPr>
  </w:style>
  <w:style w:type="character" w:customStyle="1" w:styleId="Nadpis1Char">
    <w:name w:val="Nadpis 1 Char"/>
    <w:basedOn w:val="Standardnpsmoodstavce"/>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Standardnpsmoodstavce"/>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Hlavikarejstku">
    <w:name w:val="index heading"/>
    <w:basedOn w:val="Normln"/>
    <w:next w:val="Rejstk1"/>
    <w:uiPriority w:val="99"/>
    <w:semiHidden/>
    <w:unhideWhenUsed/>
    <w:rsid w:val="0003148D"/>
    <w:rPr>
      <w:rFonts w:asciiTheme="majorHAnsi" w:eastAsiaTheme="majorEastAsia" w:hAnsiTheme="majorHAnsi" w:cstheme="majorBidi"/>
      <w:b/>
      <w:bCs/>
    </w:rPr>
  </w:style>
  <w:style w:type="paragraph" w:styleId="Hlavikaobsahu">
    <w:name w:val="toa heading"/>
    <w:basedOn w:val="Normln"/>
    <w:next w:val="Normln"/>
    <w:uiPriority w:val="99"/>
    <w:semiHidden/>
    <w:unhideWhenUsed/>
    <w:rsid w:val="0003148D"/>
    <w:pPr>
      <w:spacing w:before="120"/>
    </w:pPr>
    <w:rPr>
      <w:rFonts w:asciiTheme="majorHAnsi" w:eastAsiaTheme="majorEastAsia" w:hAnsiTheme="majorHAnsi" w:cstheme="majorBidi"/>
      <w:b/>
      <w:bCs/>
      <w:sz w:val="24"/>
      <w:szCs w:val="24"/>
    </w:rPr>
  </w:style>
  <w:style w:type="paragraph" w:styleId="Nadpisobsahu">
    <w:name w:val="TOC Heading"/>
    <w:basedOn w:val="Nadpis1"/>
    <w:next w:val="Norml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npsmoodstavc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Zhlav">
    <w:name w:val="header"/>
    <w:basedOn w:val="Normln"/>
    <w:link w:val="ZhlavChar"/>
    <w:uiPriority w:val="99"/>
    <w:unhideWhenUsed/>
    <w:rsid w:val="005278B7"/>
    <w:pPr>
      <w:tabs>
        <w:tab w:val="clear" w:pos="7100"/>
        <w:tab w:val="center" w:pos="4819"/>
        <w:tab w:val="right" w:pos="9638"/>
      </w:tabs>
      <w:spacing w:line="240" w:lineRule="auto"/>
    </w:pPr>
  </w:style>
  <w:style w:type="character" w:customStyle="1" w:styleId="ZhlavChar">
    <w:name w:val="Záhlaví Char"/>
    <w:basedOn w:val="Standardnpsmoodstavce"/>
    <w:link w:val="Zhlav"/>
    <w:uiPriority w:val="99"/>
    <w:rsid w:val="005278B7"/>
    <w:rPr>
      <w:rFonts w:ascii="Arial" w:eastAsia="Times New Roman" w:hAnsi="Arial" w:cs="Times New Roman"/>
      <w:sz w:val="18"/>
      <w:szCs w:val="20"/>
      <w:lang w:val="en-GB"/>
    </w:rPr>
  </w:style>
  <w:style w:type="paragraph" w:styleId="Zpat">
    <w:name w:val="footer"/>
    <w:basedOn w:val="Normln"/>
    <w:link w:val="ZpatChar"/>
    <w:uiPriority w:val="99"/>
    <w:unhideWhenUsed/>
    <w:rsid w:val="005278B7"/>
    <w:pPr>
      <w:tabs>
        <w:tab w:val="clear" w:pos="7100"/>
        <w:tab w:val="center" w:pos="4819"/>
        <w:tab w:val="right" w:pos="9638"/>
      </w:tabs>
      <w:spacing w:line="240" w:lineRule="auto"/>
    </w:pPr>
  </w:style>
  <w:style w:type="character" w:customStyle="1" w:styleId="ZpatChar">
    <w:name w:val="Zápatí Char"/>
    <w:basedOn w:val="Standardnpsmoodstavce"/>
    <w:link w:val="Zpat"/>
    <w:uiPriority w:val="99"/>
    <w:rsid w:val="005278B7"/>
    <w:rPr>
      <w:rFonts w:ascii="Arial" w:eastAsia="Times New Roman" w:hAnsi="Arial" w:cs="Times New Roman"/>
      <w:sz w:val="18"/>
      <w:szCs w:val="20"/>
      <w:lang w:val="en-GB"/>
    </w:rPr>
  </w:style>
  <w:style w:type="table" w:styleId="Mkatabulky">
    <w:name w:val="Table Grid"/>
    <w:basedOn w:val="Normlntabulk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04C62"/>
    <w:rPr>
      <w:color w:val="0000FF" w:themeColor="hyperlink"/>
      <w:u w:val="single"/>
    </w:rPr>
  </w:style>
  <w:style w:type="character" w:customStyle="1" w:styleId="eudoraheader">
    <w:name w:val="eudoraheader"/>
    <w:basedOn w:val="Standardnpsmoodstavc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cseseznamem">
    <w:name w:val="List Paragraph"/>
    <w:basedOn w:val="Normln"/>
    <w:uiPriority w:val="34"/>
    <w:rsid w:val="00280FAF"/>
    <w:pPr>
      <w:ind w:left="720"/>
      <w:contextualSpacing/>
    </w:pPr>
  </w:style>
  <w:style w:type="paragraph" w:styleId="Podnadpis">
    <w:name w:val="Subtitle"/>
    <w:basedOn w:val="Normln"/>
    <w:next w:val="Normln"/>
    <w:link w:val="PodnadpisChar"/>
    <w:uiPriority w:val="11"/>
    <w:qFormat/>
    <w:rsid w:val="00E26777"/>
    <w:pPr>
      <w:numPr>
        <w:ilvl w:val="1"/>
      </w:numPr>
      <w:tabs>
        <w:tab w:val="clear" w:pos="7100"/>
      </w:tabs>
      <w:spacing w:after="160" w:line="360" w:lineRule="auto"/>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E26777"/>
    <w:rPr>
      <w:rFonts w:eastAsiaTheme="minorEastAsia"/>
      <w:color w:val="5A5A5A" w:themeColor="text1" w:themeTint="A5"/>
      <w:spacing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3FA0C-1F29-4F9E-A286-B5623A40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8462</Words>
  <Characters>49930</Characters>
  <Application>Microsoft Office Word</Application>
  <DocSecurity>0</DocSecurity>
  <Lines>416</Lines>
  <Paragraphs>116</Paragraphs>
  <ScaleCrop>false</ScaleCrop>
  <HeadingPairs>
    <vt:vector size="6" baseType="variant">
      <vt:variant>
        <vt:lpstr>Název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58276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Belohlav, Vojtech</cp:lastModifiedBy>
  <cp:revision>18</cp:revision>
  <cp:lastPrinted>2015-05-12T18:31:00Z</cp:lastPrinted>
  <dcterms:created xsi:type="dcterms:W3CDTF">2022-03-21T12:35:00Z</dcterms:created>
  <dcterms:modified xsi:type="dcterms:W3CDTF">2022-03-22T09:40:00Z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http://www.zotero.org/styles/journal-of-environmental-chemical-engineering</vt:lpwstr>
  </property>
  <property fmtid="{D5CDD505-2E9C-101B-9397-08002B2CF9AE}" pid="17" name="Mendeley Recent Style Name 6_1">
    <vt:lpwstr>Journal of Environmental Chemical Engineering</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y fmtid="{D5CDD505-2E9C-101B-9397-08002B2CF9AE}" pid="25" name="Mendeley Document_1">
    <vt:lpwstr>True</vt:lpwstr>
  </property>
  <property fmtid="{D5CDD505-2E9C-101B-9397-08002B2CF9AE}" pid="26" name="Mendeley Unique User Id_1">
    <vt:lpwstr>ab0d9a67-e409-30f1-bbf3-7b0758ee4014</vt:lpwstr>
  </property>
</Properties>
</file>