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 </w:t>
            </w:r>
            <w:r w:rsidR="00904C62" w:rsidRPr="00B57B36">
              <w:rPr>
                <w:rFonts w:ascii="Tahoma" w:hAnsi="Tahoma" w:cs="Tahoma"/>
                <w:iCs/>
                <w:color w:val="333333"/>
                <w:sz w:val="14"/>
                <w:szCs w:val="14"/>
                <w:lang w:eastAsia="it-IT"/>
              </w:rPr>
              <w:t xml:space="preserve"> AIDIC Servizi S.r.l.</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677436B8" w14:textId="3CE4D695" w:rsidR="006A344E" w:rsidRDefault="006A344E" w:rsidP="007E6118">
      <w:pPr>
        <w:pStyle w:val="CETTitle"/>
      </w:pPr>
      <w:r w:rsidRPr="006A344E">
        <w:t xml:space="preserve">Techno-economic </w:t>
      </w:r>
      <w:r w:rsidR="003F1D8D">
        <w:t>E</w:t>
      </w:r>
      <w:r w:rsidRPr="006A344E">
        <w:t xml:space="preserve">valuation of </w:t>
      </w:r>
      <w:r w:rsidR="003F1D8D">
        <w:t>H</w:t>
      </w:r>
      <w:r w:rsidRPr="006A344E">
        <w:t xml:space="preserve">eterotrophic </w:t>
      </w:r>
      <w:r w:rsidR="003F1D8D">
        <w:t>M</w:t>
      </w:r>
      <w:r w:rsidRPr="006A344E">
        <w:t xml:space="preserve">icroalgal </w:t>
      </w:r>
      <w:r w:rsidR="003F1D8D">
        <w:t>C</w:t>
      </w:r>
      <w:r w:rsidRPr="006A344E">
        <w:t xml:space="preserve">ultivation </w:t>
      </w:r>
      <w:r w:rsidR="003F1D8D">
        <w:t>A</w:t>
      </w:r>
      <w:r w:rsidRPr="006A344E">
        <w:t>pproaches</w:t>
      </w:r>
    </w:p>
    <w:p w14:paraId="5C3752DF" w14:textId="42C3538A" w:rsidR="00B13105" w:rsidRDefault="00B13105" w:rsidP="00AB5011">
      <w:pPr>
        <w:pStyle w:val="CETAuthors"/>
        <w:rPr>
          <w:lang w:val="it-IT"/>
        </w:rPr>
      </w:pPr>
      <w:r w:rsidRPr="00C9662D">
        <w:rPr>
          <w:lang w:val="it-IT"/>
        </w:rPr>
        <w:t>Marco Valentini</w:t>
      </w:r>
      <w:r w:rsidRPr="00B13105">
        <w:rPr>
          <w:lang w:val="it-IT"/>
        </w:rPr>
        <w:t xml:space="preserve"> </w:t>
      </w:r>
      <w:r w:rsidR="00600535" w:rsidRPr="00B13105">
        <w:rPr>
          <w:vertAlign w:val="superscript"/>
          <w:lang w:val="it-IT"/>
        </w:rPr>
        <w:t>a</w:t>
      </w:r>
      <w:r>
        <w:rPr>
          <w:vertAlign w:val="superscript"/>
          <w:lang w:val="it-IT"/>
        </w:rPr>
        <w:t xml:space="preserve"> </w:t>
      </w:r>
      <w:r>
        <w:rPr>
          <w:lang w:val="it-IT"/>
        </w:rPr>
        <w:t>*,</w:t>
      </w:r>
      <w:r w:rsidR="00600535" w:rsidRPr="00B13105">
        <w:rPr>
          <w:lang w:val="it-IT"/>
        </w:rPr>
        <w:t xml:space="preserve"> </w:t>
      </w:r>
      <w:r w:rsidRPr="00B13105">
        <w:rPr>
          <w:lang w:val="it-IT"/>
        </w:rPr>
        <w:t>Alessio Mazzelli</w:t>
      </w:r>
      <w:r>
        <w:rPr>
          <w:lang w:val="it-IT"/>
        </w:rPr>
        <w:t xml:space="preserve"> </w:t>
      </w:r>
      <w:r w:rsidR="00600535" w:rsidRPr="00B13105">
        <w:rPr>
          <w:vertAlign w:val="superscript"/>
          <w:lang w:val="it-IT"/>
        </w:rPr>
        <w:t>b</w:t>
      </w:r>
      <w:r w:rsidR="00600535" w:rsidRPr="00B13105">
        <w:rPr>
          <w:lang w:val="it-IT"/>
        </w:rPr>
        <w:t>,</w:t>
      </w:r>
      <w:r w:rsidRPr="00B13105">
        <w:rPr>
          <w:lang w:val="it-IT"/>
        </w:rPr>
        <w:t xml:space="preserve"> Annala</w:t>
      </w:r>
      <w:r w:rsidR="00101B57">
        <w:rPr>
          <w:lang w:val="it-IT"/>
        </w:rPr>
        <w:t>u</w:t>
      </w:r>
      <w:r w:rsidRPr="00B13105">
        <w:rPr>
          <w:lang w:val="it-IT"/>
        </w:rPr>
        <w:t xml:space="preserve">ra Iannone </w:t>
      </w:r>
      <w:r w:rsidRPr="00B13105">
        <w:rPr>
          <w:vertAlign w:val="superscript"/>
          <w:lang w:val="it-IT"/>
        </w:rPr>
        <w:t>a</w:t>
      </w:r>
      <w:r w:rsidRPr="00B13105">
        <w:rPr>
          <w:lang w:val="it-IT"/>
        </w:rPr>
        <w:t xml:space="preserve">, Eryka Mrotek </w:t>
      </w:r>
      <w:r w:rsidRPr="00B13105">
        <w:rPr>
          <w:vertAlign w:val="superscript"/>
          <w:lang w:val="it-IT"/>
        </w:rPr>
        <w:t>a</w:t>
      </w:r>
      <w:r w:rsidRPr="00B13105">
        <w:rPr>
          <w:lang w:val="it-IT"/>
        </w:rPr>
        <w:t xml:space="preserve">, </w:t>
      </w:r>
    </w:p>
    <w:p w14:paraId="2B3CA35C" w14:textId="667CC8FC" w:rsidR="00E978D0" w:rsidRPr="00B13105" w:rsidRDefault="00B13105" w:rsidP="00AB5011">
      <w:pPr>
        <w:pStyle w:val="CETAuthors"/>
        <w:rPr>
          <w:lang w:val="it-IT"/>
        </w:rPr>
      </w:pPr>
      <w:r w:rsidRPr="00B13105">
        <w:rPr>
          <w:lang w:val="it-IT"/>
        </w:rPr>
        <w:t xml:space="preserve">Vittoria Sapone </w:t>
      </w:r>
      <w:r w:rsidRPr="00B13105">
        <w:rPr>
          <w:vertAlign w:val="superscript"/>
          <w:lang w:val="it-IT"/>
        </w:rPr>
        <w:t>a</w:t>
      </w:r>
      <w:r>
        <w:rPr>
          <w:lang w:val="it-IT"/>
        </w:rPr>
        <w:t xml:space="preserve">, </w:t>
      </w:r>
      <w:r w:rsidRPr="00B13105">
        <w:rPr>
          <w:lang w:val="it-IT"/>
        </w:rPr>
        <w:t xml:space="preserve">Marco Bravi </w:t>
      </w:r>
      <w:r w:rsidRPr="00B13105">
        <w:rPr>
          <w:vertAlign w:val="superscript"/>
          <w:lang w:val="it-IT"/>
        </w:rPr>
        <w:t>a</w:t>
      </w:r>
      <w:r w:rsidR="00600535" w:rsidRPr="00B13105">
        <w:rPr>
          <w:lang w:val="it-IT"/>
        </w:rPr>
        <w:t xml:space="preserve"> </w:t>
      </w:r>
    </w:p>
    <w:p w14:paraId="3EA83D64" w14:textId="0D0804F7" w:rsidR="00B13105" w:rsidRDefault="00E978D0" w:rsidP="00E978D0">
      <w:pPr>
        <w:pStyle w:val="CETAddress"/>
        <w:rPr>
          <w:lang w:val="en-US"/>
        </w:rPr>
      </w:pPr>
      <w:r w:rsidRPr="00B57B36">
        <w:rPr>
          <w:vertAlign w:val="superscript"/>
        </w:rPr>
        <w:t>a</w:t>
      </w:r>
      <w:r w:rsidR="00B13105" w:rsidRPr="00B13105">
        <w:rPr>
          <w:lang w:val="en-US"/>
        </w:rPr>
        <w:t xml:space="preserve"> Dept. Chemical Engineering Materials Environment, University of Rome La Sapienza; via Eudossiana 18, 00184 Rome (IT)</w:t>
      </w:r>
    </w:p>
    <w:p w14:paraId="38D29194" w14:textId="7CC491F2" w:rsidR="00E978D0" w:rsidRPr="00B13105" w:rsidRDefault="00E978D0" w:rsidP="00E978D0">
      <w:pPr>
        <w:pStyle w:val="CETAddress"/>
        <w:rPr>
          <w:lang w:val="it-IT"/>
        </w:rPr>
      </w:pPr>
      <w:r w:rsidRPr="00B13105">
        <w:rPr>
          <w:vertAlign w:val="superscript"/>
          <w:lang w:val="it-IT"/>
        </w:rPr>
        <w:t>b</w:t>
      </w:r>
      <w:r w:rsidR="00B13105" w:rsidRPr="00B13105">
        <w:rPr>
          <w:lang w:val="it-IT"/>
        </w:rPr>
        <w:t xml:space="preserve"> NextChem S.p.A. via di Vannina 88/94, 00156 Rome (IT)</w:t>
      </w:r>
    </w:p>
    <w:p w14:paraId="0127A28D" w14:textId="5658C238" w:rsidR="00E978D0" w:rsidRPr="00B57B36" w:rsidRDefault="00B13105" w:rsidP="00E978D0">
      <w:pPr>
        <w:pStyle w:val="CETemail"/>
      </w:pPr>
      <w:r>
        <w:t>* ma.valentini</w:t>
      </w:r>
      <w:r w:rsidR="00600535" w:rsidRPr="00B57B36">
        <w:t>@</w:t>
      </w:r>
      <w:r>
        <w:t>uniroma1.it</w:t>
      </w:r>
    </w:p>
    <w:p w14:paraId="12B2BE27" w14:textId="77777777" w:rsidR="00734DD0" w:rsidRDefault="00734DD0" w:rsidP="00734DD0">
      <w:pPr>
        <w:pStyle w:val="CETBodytext"/>
        <w:rPr>
          <w:lang w:val="en-GB"/>
        </w:rPr>
      </w:pPr>
      <w:r w:rsidRPr="00EC3B66">
        <w:rPr>
          <w:lang w:val="en-GB"/>
        </w:rPr>
        <w:t>This work</w:t>
      </w:r>
      <w:r w:rsidRPr="00734DD0">
        <w:rPr>
          <w:lang w:val="en-GB"/>
        </w:rPr>
        <w:t xml:space="preserve"> focuses the attention on the evaluation of different heterotrophic microalgal</w:t>
      </w:r>
      <w:r>
        <w:rPr>
          <w:lang w:val="en-GB"/>
        </w:rPr>
        <w:t xml:space="preserve"> </w:t>
      </w:r>
      <w:r w:rsidRPr="00734DD0">
        <w:rPr>
          <w:lang w:val="en-GB"/>
        </w:rPr>
        <w:t>cultivation approaches, finding the best process solution to achieve the accumulation of high</w:t>
      </w:r>
      <w:r>
        <w:rPr>
          <w:lang w:val="en-GB"/>
        </w:rPr>
        <w:t xml:space="preserve"> </w:t>
      </w:r>
      <w:r w:rsidRPr="00734DD0">
        <w:rPr>
          <w:lang w:val="en-GB"/>
        </w:rPr>
        <w:t>value-added metabolites</w:t>
      </w:r>
      <w:r>
        <w:rPr>
          <w:lang w:val="en-GB"/>
        </w:rPr>
        <w:t xml:space="preserve">, </w:t>
      </w:r>
      <w:r w:rsidRPr="00734DD0">
        <w:rPr>
          <w:lang w:val="en-GB"/>
        </w:rPr>
        <w:t>such as astaxanthin and polyunsaturated fatty acids (PUFA)</w:t>
      </w:r>
      <w:r>
        <w:rPr>
          <w:lang w:val="en-GB"/>
        </w:rPr>
        <w:t xml:space="preserve">, </w:t>
      </w:r>
      <w:r w:rsidRPr="00734DD0">
        <w:rPr>
          <w:lang w:val="en-GB"/>
        </w:rPr>
        <w:t xml:space="preserve">trying also to use a wastewater as carbon source. </w:t>
      </w:r>
    </w:p>
    <w:p w14:paraId="00C1C6F1" w14:textId="25DA309B" w:rsidR="00734DD0" w:rsidRPr="00734DD0" w:rsidRDefault="00734DD0" w:rsidP="00734DD0">
      <w:pPr>
        <w:pStyle w:val="CETBodytext"/>
        <w:rPr>
          <w:lang w:val="en-GB"/>
        </w:rPr>
      </w:pPr>
      <w:r>
        <w:rPr>
          <w:lang w:val="en-GB"/>
        </w:rPr>
        <w:t>T</w:t>
      </w:r>
      <w:r w:rsidRPr="00734DD0">
        <w:rPr>
          <w:lang w:val="en-GB"/>
        </w:rPr>
        <w:t>hree different approaches are evaluated: 1) Classical batch cultivation in sterilized</w:t>
      </w:r>
      <w:r>
        <w:rPr>
          <w:lang w:val="en-GB"/>
        </w:rPr>
        <w:t xml:space="preserve"> </w:t>
      </w:r>
      <w:r w:rsidRPr="00734DD0">
        <w:rPr>
          <w:lang w:val="en-GB"/>
        </w:rPr>
        <w:t>fermenter</w:t>
      </w:r>
      <w:r w:rsidR="007D70DC">
        <w:rPr>
          <w:lang w:val="en-GB"/>
        </w:rPr>
        <w:t>;</w:t>
      </w:r>
      <w:r w:rsidRPr="00734DD0">
        <w:rPr>
          <w:lang w:val="en-GB"/>
        </w:rPr>
        <w:t xml:space="preserve"> 2) Impulse nutrient feeding without sterilizing the reactor</w:t>
      </w:r>
      <w:r w:rsidR="007D70DC">
        <w:rPr>
          <w:lang w:val="en-GB"/>
        </w:rPr>
        <w:t>;</w:t>
      </w:r>
      <w:r w:rsidRPr="00734DD0">
        <w:rPr>
          <w:lang w:val="en-GB"/>
        </w:rPr>
        <w:t xml:space="preserve"> 3) Impulse nutrient</w:t>
      </w:r>
      <w:r>
        <w:rPr>
          <w:lang w:val="en-GB"/>
        </w:rPr>
        <w:t xml:space="preserve"> </w:t>
      </w:r>
      <w:r w:rsidRPr="00734DD0">
        <w:rPr>
          <w:lang w:val="en-GB"/>
        </w:rPr>
        <w:t>approach coupled with wastewaters’ usage in two different parallel reactors. This latter</w:t>
      </w:r>
      <w:r>
        <w:rPr>
          <w:lang w:val="en-GB"/>
        </w:rPr>
        <w:t xml:space="preserve"> </w:t>
      </w:r>
      <w:r w:rsidRPr="00734DD0">
        <w:rPr>
          <w:lang w:val="en-GB"/>
        </w:rPr>
        <w:t>strategy is the one adopted in the European Project MEWLIFE</w:t>
      </w:r>
      <w:r w:rsidR="007E24A7">
        <w:rPr>
          <w:lang w:val="en-GB"/>
        </w:rPr>
        <w:t xml:space="preserve"> (</w:t>
      </w:r>
      <w:r w:rsidR="007E24A7" w:rsidRPr="007E24A7">
        <w:rPr>
          <w:lang w:val="en-GB"/>
        </w:rPr>
        <w:t>MicroalgaE biomass from phototrophic-heterotrophic cultivation using olive oil Wastewaters</w:t>
      </w:r>
      <w:r w:rsidR="007E24A7">
        <w:rPr>
          <w:lang w:val="en-GB"/>
        </w:rPr>
        <w:t>)</w:t>
      </w:r>
      <w:r w:rsidRPr="00734DD0">
        <w:rPr>
          <w:lang w:val="en-GB"/>
        </w:rPr>
        <w:t xml:space="preserve"> that aims to produce microalgal</w:t>
      </w:r>
      <w:r>
        <w:rPr>
          <w:lang w:val="en-GB"/>
        </w:rPr>
        <w:t xml:space="preserve"> </w:t>
      </w:r>
      <w:r w:rsidRPr="00734DD0">
        <w:rPr>
          <w:lang w:val="en-GB"/>
        </w:rPr>
        <w:t>biomass in an integrated photo-heterotrophic cultivation system using preconcentrated (in a</w:t>
      </w:r>
      <w:r>
        <w:rPr>
          <w:lang w:val="en-GB"/>
        </w:rPr>
        <w:t xml:space="preserve"> </w:t>
      </w:r>
      <w:r w:rsidRPr="00734DD0">
        <w:rPr>
          <w:lang w:val="en-GB"/>
        </w:rPr>
        <w:t xml:space="preserve">membrane filtration plant) </w:t>
      </w:r>
      <w:r w:rsidR="003D0C37">
        <w:t>olive</w:t>
      </w:r>
      <w:r w:rsidR="00982E03">
        <w:t xml:space="preserve"> oil</w:t>
      </w:r>
      <w:r w:rsidR="003D0C37">
        <w:t xml:space="preserve"> mill wastewater</w:t>
      </w:r>
      <w:r w:rsidR="003D0C37" w:rsidRPr="00734DD0">
        <w:rPr>
          <w:lang w:val="en-GB"/>
        </w:rPr>
        <w:t xml:space="preserve"> </w:t>
      </w:r>
      <w:r w:rsidRPr="00734DD0">
        <w:rPr>
          <w:lang w:val="en-GB"/>
        </w:rPr>
        <w:t>(O</w:t>
      </w:r>
      <w:r w:rsidR="00982E03">
        <w:rPr>
          <w:lang w:val="en-GB"/>
        </w:rPr>
        <w:t>O</w:t>
      </w:r>
      <w:r w:rsidR="003D0C37">
        <w:rPr>
          <w:lang w:val="en-GB"/>
        </w:rPr>
        <w:t>MW</w:t>
      </w:r>
      <w:r w:rsidRPr="00734DD0">
        <w:rPr>
          <w:lang w:val="en-GB"/>
        </w:rPr>
        <w:t>W) as carbon source for growing</w:t>
      </w:r>
      <w:r>
        <w:rPr>
          <w:lang w:val="en-GB"/>
        </w:rPr>
        <w:t xml:space="preserve"> </w:t>
      </w:r>
      <w:r w:rsidRPr="00734DD0">
        <w:rPr>
          <w:lang w:val="en-GB"/>
        </w:rPr>
        <w:t xml:space="preserve">algae, thus contributing to waste reuse and </w:t>
      </w:r>
      <w:r w:rsidR="0085327E" w:rsidRPr="00734DD0">
        <w:rPr>
          <w:lang w:val="en-GB"/>
        </w:rPr>
        <w:t>valorisation</w:t>
      </w:r>
      <w:r w:rsidRPr="00734DD0">
        <w:rPr>
          <w:lang w:val="en-GB"/>
        </w:rPr>
        <w:t>. Thanks to the Aspen Custom Modeler</w:t>
      </w:r>
      <w:r>
        <w:rPr>
          <w:lang w:val="en-GB"/>
        </w:rPr>
        <w:t xml:space="preserve"> </w:t>
      </w:r>
      <w:r w:rsidRPr="00734DD0">
        <w:rPr>
          <w:lang w:val="en-GB"/>
        </w:rPr>
        <w:t xml:space="preserve">software, it </w:t>
      </w:r>
      <w:r w:rsidR="007D70DC">
        <w:rPr>
          <w:lang w:val="en-GB"/>
        </w:rPr>
        <w:t>is</w:t>
      </w:r>
      <w:r w:rsidRPr="00734DD0">
        <w:rPr>
          <w:lang w:val="en-GB"/>
        </w:rPr>
        <w:t xml:space="preserve"> possible to write codes to represent the fermentation units, which are</w:t>
      </w:r>
      <w:r>
        <w:rPr>
          <w:lang w:val="en-GB"/>
        </w:rPr>
        <w:t xml:space="preserve"> </w:t>
      </w:r>
      <w:r w:rsidRPr="00734DD0">
        <w:rPr>
          <w:lang w:val="en-GB"/>
        </w:rPr>
        <w:t xml:space="preserve">normally not present in the databases of most common simulators. </w:t>
      </w:r>
      <w:r w:rsidR="0085327E" w:rsidRPr="0085327E">
        <w:rPr>
          <w:lang w:val="en-GB"/>
        </w:rPr>
        <w:t xml:space="preserve">Finally, a technical-economic analysis </w:t>
      </w:r>
      <w:r w:rsidR="007D70DC">
        <w:rPr>
          <w:lang w:val="en-GB"/>
        </w:rPr>
        <w:t>is</w:t>
      </w:r>
      <w:r w:rsidR="0085327E" w:rsidRPr="0085327E">
        <w:rPr>
          <w:lang w:val="en-GB"/>
        </w:rPr>
        <w:t xml:space="preserve"> conducted to evaluate the most advantageous process</w:t>
      </w:r>
      <w:r w:rsidR="0085327E">
        <w:rPr>
          <w:lang w:val="en-GB"/>
        </w:rPr>
        <w:t xml:space="preserve">. </w:t>
      </w:r>
      <w:r w:rsidRPr="00734DD0">
        <w:rPr>
          <w:lang w:val="en-GB"/>
        </w:rPr>
        <w:t>At present,</w:t>
      </w:r>
      <w:r>
        <w:rPr>
          <w:lang w:val="en-GB"/>
        </w:rPr>
        <w:t xml:space="preserve"> </w:t>
      </w:r>
      <w:r w:rsidRPr="00734DD0">
        <w:rPr>
          <w:lang w:val="en-GB"/>
        </w:rPr>
        <w:t xml:space="preserve">the pulse technique represents an extremely promising strategy with </w:t>
      </w:r>
      <w:r w:rsidR="00386B52">
        <w:rPr>
          <w:lang w:val="en-GB"/>
        </w:rPr>
        <w:t>margins of</w:t>
      </w:r>
      <w:r>
        <w:rPr>
          <w:lang w:val="en-GB"/>
        </w:rPr>
        <w:t xml:space="preserve"> </w:t>
      </w:r>
      <w:r w:rsidRPr="00734DD0">
        <w:rPr>
          <w:lang w:val="en-GB"/>
        </w:rPr>
        <w:t>improvement</w:t>
      </w:r>
      <w:r w:rsidR="00386B52">
        <w:rPr>
          <w:lang w:val="en-GB"/>
        </w:rPr>
        <w:t>,</w:t>
      </w:r>
      <w:r w:rsidRPr="00734DD0">
        <w:rPr>
          <w:lang w:val="en-GB"/>
        </w:rPr>
        <w:t xml:space="preserve"> </w:t>
      </w:r>
      <w:r w:rsidR="00386B52">
        <w:rPr>
          <w:lang w:val="en-GB"/>
        </w:rPr>
        <w:t>deserving thus</w:t>
      </w:r>
      <w:r w:rsidRPr="00734DD0">
        <w:rPr>
          <w:lang w:val="en-GB"/>
        </w:rPr>
        <w:t xml:space="preserve"> further investigation.</w:t>
      </w:r>
    </w:p>
    <w:p w14:paraId="476B2F2E" w14:textId="77777777" w:rsidR="00600535" w:rsidRPr="00B57B36" w:rsidRDefault="00600535" w:rsidP="00600535">
      <w:pPr>
        <w:pStyle w:val="CETHeading1"/>
        <w:rPr>
          <w:lang w:val="en-GB"/>
        </w:rPr>
      </w:pPr>
      <w:r w:rsidRPr="00B57B36">
        <w:rPr>
          <w:lang w:val="en-GB"/>
        </w:rPr>
        <w:t>Introduction</w:t>
      </w:r>
    </w:p>
    <w:p w14:paraId="2D22EA41" w14:textId="4A280ED0" w:rsidR="00E21968" w:rsidRPr="00E21968" w:rsidRDefault="004E18B2" w:rsidP="00E21968">
      <w:pPr>
        <w:pStyle w:val="CETBodytext"/>
      </w:pPr>
      <w:r w:rsidRPr="004E18B2">
        <w:t xml:space="preserve">Various microalgae species can be used in raw or semi-decomposed form as organic biofertilizers, for remediation or biosorption of environmental problems and for the production of biofuels and carbon dioxide sequestration </w:t>
      </w:r>
      <w:r w:rsidR="00E21968" w:rsidRPr="002667FC">
        <w:t>(Aishvarya et al. 2015).</w:t>
      </w:r>
    </w:p>
    <w:p w14:paraId="0C08F066" w14:textId="17C9FE01" w:rsidR="004240BB" w:rsidRDefault="004E18B2" w:rsidP="0045350A">
      <w:pPr>
        <w:pStyle w:val="CETBodytext"/>
      </w:pPr>
      <w:r w:rsidRPr="007D1664">
        <w:t xml:space="preserve">In addition to proteins, pigments, biopolymers and fatty acids, microalgae can produce antioxidant substances </w:t>
      </w:r>
      <w:r w:rsidRPr="004E18B2">
        <w:t>for commercial and pharmaceutical purposes</w:t>
      </w:r>
      <w:r>
        <w:t xml:space="preserve"> </w:t>
      </w:r>
      <w:r w:rsidR="0095327C" w:rsidRPr="004E18B2">
        <w:t>(</w:t>
      </w:r>
      <w:r w:rsidR="0095327C" w:rsidRPr="007D1664">
        <w:t>Mazzelli</w:t>
      </w:r>
      <w:r w:rsidR="003D70E0" w:rsidRPr="007D1664">
        <w:t xml:space="preserve"> et al. 2019a, Mazzelli et al 2019b</w:t>
      </w:r>
      <w:r w:rsidR="00BD7AF0" w:rsidRPr="007D1664">
        <w:t>,</w:t>
      </w:r>
      <w:r w:rsidR="003D70E0" w:rsidRPr="007D1664">
        <w:t xml:space="preserve"> Mazzelli et al. 2022</w:t>
      </w:r>
      <w:r w:rsidR="0095327C" w:rsidRPr="007D1664">
        <w:t>)</w:t>
      </w:r>
      <w:r w:rsidR="00E21968" w:rsidRPr="007D1664">
        <w:t xml:space="preserve">. </w:t>
      </w:r>
      <w:r w:rsidRPr="007D1664">
        <w:t xml:space="preserve">Microalgae must be cultivated in a way that meets all their requirements for growth and maintenance. In addition, it is necessary to consider several factors and the most important variables that regulate algal growth, such as nutrient quantity and quality, light, temperature, and pH. </w:t>
      </w:r>
      <w:r w:rsidR="001C59C4" w:rsidRPr="007D1664">
        <w:t>(</w:t>
      </w:r>
      <w:r w:rsidR="004D7B85" w:rsidRPr="007D1664">
        <w:t xml:space="preserve">Mazzelli et al. 2018, </w:t>
      </w:r>
      <w:r w:rsidR="001C59C4" w:rsidRPr="007D1664">
        <w:t xml:space="preserve">Acièn 2013). </w:t>
      </w:r>
      <w:r w:rsidR="004E4F63" w:rsidRPr="007D1664">
        <w:t xml:space="preserve">Cell biomass productivity is not only affected by all these parameters, </w:t>
      </w:r>
      <w:r w:rsidR="009C1C78" w:rsidRPr="007D1664">
        <w:t>but they</w:t>
      </w:r>
      <w:r w:rsidR="004E4F63" w:rsidRPr="007D1664">
        <w:t xml:space="preserve"> also affect the pattern, pathway, and activity of cellular metabolism and the resulting change in cellular composition</w:t>
      </w:r>
      <w:r w:rsidR="00E21968" w:rsidRPr="007D1664">
        <w:t xml:space="preserve">. </w:t>
      </w:r>
      <w:r w:rsidR="004E4F63" w:rsidRPr="007D1664">
        <w:t>The cultivation methods are classified based on their exposure to light (phototrophy) or absence of light (heterotrophy).</w:t>
      </w:r>
      <w:r w:rsidR="00E21968" w:rsidRPr="007D1664">
        <w:t xml:space="preserve"> </w:t>
      </w:r>
      <w:r w:rsidR="004E4F63" w:rsidRPr="007D1664">
        <w:t>It is possible to reach higher cell densities and to use traditional fermenters for microalgae cultivation by using heterotrophic cultivation, which does not require CO</w:t>
      </w:r>
      <w:r w:rsidR="004E4F63" w:rsidRPr="007D1664">
        <w:rPr>
          <w:vertAlign w:val="subscript"/>
        </w:rPr>
        <w:t>2</w:t>
      </w:r>
      <w:r w:rsidR="004E4F63" w:rsidRPr="007D1664">
        <w:t xml:space="preserve"> (unlike photoautotrophic cultivation). </w:t>
      </w:r>
      <w:r w:rsidR="00EA4796" w:rsidRPr="007D1664">
        <w:t>(Hua et al. 2017).</w:t>
      </w:r>
      <w:r w:rsidR="00AE1964" w:rsidRPr="005A4423">
        <w:t xml:space="preserve"> </w:t>
      </w:r>
    </w:p>
    <w:p w14:paraId="4DE587A0" w14:textId="4983B935" w:rsidR="00CD7D1E" w:rsidRPr="007D1664" w:rsidRDefault="004E4F63" w:rsidP="00732718">
      <w:pPr>
        <w:pStyle w:val="CETBodytext"/>
      </w:pPr>
      <w:r w:rsidRPr="004E4F63">
        <w:t>The purpose of this study is to examine three different microalgal heterotrophic cultivation techniques in terms of productivity and economics.</w:t>
      </w:r>
      <w:r w:rsidR="006B608D">
        <w:t xml:space="preserve"> </w:t>
      </w:r>
      <w:r w:rsidRPr="004E4F63">
        <w:t>The first one involves classical batch fermentation followed by sterilization, in which the nutrients are supplied at the beginning, and the microalgae are added after having been sterilized</w:t>
      </w:r>
      <w:r w:rsidR="0045350A" w:rsidRPr="0045350A">
        <w:t xml:space="preserve">. </w:t>
      </w:r>
      <w:r w:rsidR="00AF7D9B" w:rsidRPr="00EE645B">
        <w:t>To</w:t>
      </w:r>
      <w:r w:rsidR="00EE645B" w:rsidRPr="00EE645B">
        <w:t xml:space="preserve"> grow the microorganism</w:t>
      </w:r>
      <w:r w:rsidR="00D14BCF" w:rsidRPr="00D14BCF">
        <w:t xml:space="preserve">, the fermenter is </w:t>
      </w:r>
      <w:r w:rsidR="00BB5F36" w:rsidRPr="00D14BCF">
        <w:t>closed,</w:t>
      </w:r>
      <w:r w:rsidR="00D14BCF" w:rsidRPr="00D14BCF">
        <w:t xml:space="preserve"> and the temperature and pH are kept constant</w:t>
      </w:r>
      <w:r w:rsidR="0045350A" w:rsidRPr="0045350A">
        <w:t xml:space="preserve">. </w:t>
      </w:r>
      <w:r w:rsidR="00D14BCF" w:rsidRPr="007D1664">
        <w:t xml:space="preserve">Using this </w:t>
      </w:r>
      <w:r w:rsidR="00D14BCF" w:rsidRPr="007D1664">
        <w:lastRenderedPageBreak/>
        <w:t>technique without sterilization causes problems with bacterial contamination since bacteria and fungi compete for growth with microalgae</w:t>
      </w:r>
      <w:r w:rsidR="00D14BCF" w:rsidRPr="007D1664">
        <w:rPr>
          <w:color w:val="FF0000"/>
        </w:rPr>
        <w:t xml:space="preserve"> </w:t>
      </w:r>
      <w:r w:rsidR="0045350A" w:rsidRPr="007D1664">
        <w:t>(Sandani et al. 2020).</w:t>
      </w:r>
      <w:r w:rsidR="003D0C37" w:rsidRPr="007D1664">
        <w:t xml:space="preserve"> </w:t>
      </w:r>
      <w:r w:rsidR="008B0343" w:rsidRPr="007D1664">
        <w:t>This study analyzes the i</w:t>
      </w:r>
      <w:r w:rsidR="008B0343" w:rsidRPr="007D1664">
        <w:rPr>
          <w:lang w:val="en-GB"/>
        </w:rPr>
        <w:t xml:space="preserve">mpulse nutrient feeding without sterilizing the </w:t>
      </w:r>
      <w:r w:rsidR="009C1C78" w:rsidRPr="007D1664">
        <w:rPr>
          <w:lang w:val="en-GB"/>
        </w:rPr>
        <w:t xml:space="preserve">reactor; </w:t>
      </w:r>
      <w:r w:rsidR="009C1C78" w:rsidRPr="007D1664">
        <w:t>an</w:t>
      </w:r>
      <w:r w:rsidR="008B0343" w:rsidRPr="007D1664">
        <w:t xml:space="preserve"> innovative solution patented by NextChem (EP3498855) as a second cultivation technique</w:t>
      </w:r>
      <w:r w:rsidR="00DE161B" w:rsidRPr="007D1664">
        <w:t xml:space="preserve">. </w:t>
      </w:r>
      <w:r w:rsidR="006A2354" w:rsidRPr="007D1664">
        <w:t xml:space="preserve">By using this approach, it is possible to avoid the use of sterilization and aseptic conditions, since the carbon and nitrogen sources are injected respectively into the growth medium in alternate pulses. </w:t>
      </w:r>
      <w:r w:rsidR="009C1C78" w:rsidRPr="007D1664">
        <w:t>The</w:t>
      </w:r>
      <w:r w:rsidR="006A2354" w:rsidRPr="007D1664">
        <w:t xml:space="preserve"> principle behind the implemented cultivation strategy is that microalgae can grow in the absence of nitrogen by consuming nitrogen stored in the cells, while most bacteria can grow only if all nutrients are simultaneously present in the culture medium.</w:t>
      </w:r>
      <w:r w:rsidR="003D0C37" w:rsidRPr="007D1664">
        <w:t xml:space="preserve"> </w:t>
      </w:r>
      <w:bookmarkStart w:id="0" w:name="_Hlk99532899"/>
      <w:r w:rsidR="006A2354" w:rsidRPr="007D1664">
        <w:t xml:space="preserve">Using the pulse technique with the </w:t>
      </w:r>
      <w:r w:rsidR="008B0343" w:rsidRPr="007D1664">
        <w:t>O</w:t>
      </w:r>
      <w:r w:rsidR="006A2354" w:rsidRPr="007D1664">
        <w:t xml:space="preserve">OMWW-based feeding (as organic carbon source), the third and last technique studied aims to both accumulate metabolites and treat wastewater. This method </w:t>
      </w:r>
      <w:r w:rsidR="007E24A7" w:rsidRPr="007D1664">
        <w:t>was</w:t>
      </w:r>
      <w:r w:rsidR="006A2354" w:rsidRPr="007D1664">
        <w:t xml:space="preserve"> used in the MEWLIFE (https://www.mewlife.eu) project. </w:t>
      </w:r>
      <w:bookmarkEnd w:id="0"/>
      <w:r w:rsidR="007E24A7" w:rsidRPr="007D1664">
        <w:t>MEWLIFE was a LIFE project aiming to demonstrate the environmental benefit and economic feasibility of an innovative approach to produce microalgal biomass in an integrated phototrophic – heterotrophic cultivation system using preconcentrated (in a membrane filtration plant) olive oil wastewaters as carbon source for growing algae, thus contributing to waste reuse and valorization</w:t>
      </w:r>
      <w:r w:rsidR="007D1664" w:rsidRPr="007D1664">
        <w:t>.</w:t>
      </w:r>
    </w:p>
    <w:p w14:paraId="6B44DA65" w14:textId="77777777" w:rsidR="00BB6B02" w:rsidRPr="007D1664" w:rsidRDefault="00732718" w:rsidP="00BB6B02">
      <w:pPr>
        <w:pStyle w:val="CETBodytext"/>
      </w:pPr>
      <w:r w:rsidRPr="007D1664">
        <w:t xml:space="preserve">According to estimates, the annual world production of </w:t>
      </w:r>
      <w:r w:rsidR="00365416" w:rsidRPr="007D1664">
        <w:t>O</w:t>
      </w:r>
      <w:r w:rsidRPr="007D1664">
        <w:t>OMWW is between 7 and over 30 million m</w:t>
      </w:r>
      <w:r w:rsidRPr="007D1664">
        <w:rPr>
          <w:vertAlign w:val="superscript"/>
        </w:rPr>
        <w:t>3</w:t>
      </w:r>
      <w:r w:rsidRPr="007D1664">
        <w:t>. In this context, there is an urgent need to find ways to treat this liquid residue and other by-products of the olive oil industry.</w:t>
      </w:r>
      <w:r w:rsidR="00814E6B" w:rsidRPr="007D1664">
        <w:t xml:space="preserve"> </w:t>
      </w:r>
      <w:r w:rsidRPr="007D1664">
        <w:t>Considering these difficulties in the disposal of vegetation water, its use as a growth medium for microalgae can be a very promising alternative.</w:t>
      </w:r>
      <w:r w:rsidR="00BB6B02" w:rsidRPr="007D1664">
        <w:t xml:space="preserve"> </w:t>
      </w:r>
    </w:p>
    <w:p w14:paraId="5C627A29" w14:textId="49B32CA6" w:rsidR="004D7B85" w:rsidRPr="00BB6B02" w:rsidRDefault="0064448F" w:rsidP="00BB6B02">
      <w:pPr>
        <w:pStyle w:val="CETBodytext"/>
      </w:pPr>
      <w:r>
        <w:t>Lastly, t</w:t>
      </w:r>
      <w:r w:rsidR="00BB6B02" w:rsidRPr="007D1664">
        <w:t>his work discusses a techno-economic evaluation comparing a classical cultivation technique, the pulse technique and OOWMM</w:t>
      </w:r>
      <w:r w:rsidR="007D1664">
        <w:t xml:space="preserve"> </w:t>
      </w:r>
      <w:r w:rsidR="00BB6B02" w:rsidRPr="007D1664">
        <w:t>+</w:t>
      </w:r>
      <w:r w:rsidR="007D1664">
        <w:t xml:space="preserve"> </w:t>
      </w:r>
      <w:r w:rsidR="00BB6B02" w:rsidRPr="007D1664">
        <w:t>pulses. A techno-economic evaluation of the innovative pulse cultivation technique and OOWMM</w:t>
      </w:r>
      <w:r w:rsidR="007D1664">
        <w:t xml:space="preserve"> </w:t>
      </w:r>
      <w:r w:rsidR="00BB6B02" w:rsidRPr="007D1664">
        <w:t>+</w:t>
      </w:r>
      <w:r w:rsidR="007D1664">
        <w:t xml:space="preserve"> </w:t>
      </w:r>
      <w:r w:rsidR="00BB6B02" w:rsidRPr="007D1664">
        <w:t>pulses has not been done so far.</w:t>
      </w:r>
    </w:p>
    <w:p w14:paraId="677EBFF0" w14:textId="267F073E" w:rsidR="00600535" w:rsidRPr="00B57B36" w:rsidRDefault="00605473" w:rsidP="0045350A">
      <w:pPr>
        <w:pStyle w:val="CETHeading1"/>
        <w:rPr>
          <w:lang w:val="en-GB"/>
        </w:rPr>
      </w:pPr>
      <w:r>
        <w:rPr>
          <w:lang w:val="en-GB"/>
        </w:rPr>
        <w:t>Materials and methods</w:t>
      </w:r>
    </w:p>
    <w:p w14:paraId="0A34D454" w14:textId="77777777" w:rsidR="00DE161B" w:rsidRPr="00DE161B" w:rsidRDefault="00DE161B" w:rsidP="00DE161B">
      <w:pPr>
        <w:pStyle w:val="Paragrafoelenco"/>
        <w:keepNext/>
        <w:numPr>
          <w:ilvl w:val="0"/>
          <w:numId w:val="22"/>
        </w:numPr>
        <w:tabs>
          <w:tab w:val="clear" w:pos="7100"/>
        </w:tabs>
        <w:suppressAutoHyphens/>
        <w:spacing w:before="120" w:after="120" w:line="240" w:lineRule="auto"/>
        <w:contextualSpacing w:val="0"/>
        <w:jc w:val="left"/>
        <w:rPr>
          <w:b/>
          <w:vanish/>
          <w:lang w:val="en-US"/>
        </w:rPr>
      </w:pPr>
    </w:p>
    <w:p w14:paraId="671F5973" w14:textId="77777777" w:rsidR="00DE161B" w:rsidRPr="00DE161B" w:rsidRDefault="00DE161B" w:rsidP="00DE161B">
      <w:pPr>
        <w:pStyle w:val="Paragrafoelenco"/>
        <w:keepNext/>
        <w:numPr>
          <w:ilvl w:val="0"/>
          <w:numId w:val="22"/>
        </w:numPr>
        <w:tabs>
          <w:tab w:val="clear" w:pos="7100"/>
        </w:tabs>
        <w:suppressAutoHyphens/>
        <w:spacing w:before="120" w:after="120" w:line="240" w:lineRule="auto"/>
        <w:contextualSpacing w:val="0"/>
        <w:jc w:val="left"/>
        <w:rPr>
          <w:b/>
          <w:vanish/>
          <w:lang w:val="en-US"/>
        </w:rPr>
      </w:pPr>
    </w:p>
    <w:p w14:paraId="04963A06" w14:textId="773A8D72" w:rsidR="00600535" w:rsidRPr="00B57B36" w:rsidRDefault="00732718" w:rsidP="00E83B3D">
      <w:pPr>
        <w:pStyle w:val="CETheadingx"/>
      </w:pPr>
      <w:r>
        <w:t xml:space="preserve">Experimental conditions and </w:t>
      </w:r>
      <w:r w:rsidRPr="00524514">
        <w:t>model</w:t>
      </w:r>
      <w:r w:rsidR="00B01A36" w:rsidRPr="00524514">
        <w:t>ing</w:t>
      </w:r>
    </w:p>
    <w:p w14:paraId="23E24050" w14:textId="1BE843F6" w:rsidR="00B3006B" w:rsidRDefault="0063522E" w:rsidP="00605473">
      <w:pPr>
        <w:pStyle w:val="CETBodytext"/>
        <w:rPr>
          <w:szCs w:val="18"/>
        </w:rPr>
      </w:pPr>
      <w:r>
        <w:t xml:space="preserve">In the present work the experimental data, </w:t>
      </w:r>
      <w:r w:rsidR="009C1C78">
        <w:t>for</w:t>
      </w:r>
      <w:r>
        <w:t xml:space="preserve"> the </w:t>
      </w:r>
      <w:r w:rsidR="002401FB">
        <w:t>pulsed technique</w:t>
      </w:r>
      <w:r w:rsidR="00A41E10">
        <w:t xml:space="preserve">, </w:t>
      </w:r>
      <w:r w:rsidR="00524514">
        <w:t>are</w:t>
      </w:r>
      <w:r w:rsidR="00A41E10">
        <w:t xml:space="preserve"> </w:t>
      </w:r>
      <w:r w:rsidR="00584D25">
        <w:t>taken from Nex</w:t>
      </w:r>
      <w:r w:rsidR="008450DA">
        <w:t>t</w:t>
      </w:r>
      <w:r w:rsidR="00584D25">
        <w:t xml:space="preserve">Chem database related to MEWLIFE project. In this project </w:t>
      </w:r>
      <w:r w:rsidR="00CB2051">
        <w:t xml:space="preserve">indeed two fermenters </w:t>
      </w:r>
      <w:r w:rsidR="00392B9C">
        <w:t xml:space="preserve">working </w:t>
      </w:r>
      <w:r w:rsidR="004A5ED7">
        <w:t>in parallel</w:t>
      </w:r>
      <w:r w:rsidR="002C4BED">
        <w:t>,</w:t>
      </w:r>
      <w:r w:rsidR="004A5ED7">
        <w:t xml:space="preserve"> </w:t>
      </w:r>
      <w:r w:rsidR="006C755E">
        <w:t>with an operative volume</w:t>
      </w:r>
      <w:r w:rsidR="001B1363">
        <w:t xml:space="preserve"> of</w:t>
      </w:r>
      <w:r w:rsidR="006C755E">
        <w:t xml:space="preserve"> 3 </w:t>
      </w:r>
      <w:r w:rsidR="008450DA" w:rsidRPr="00905142">
        <w:rPr>
          <w:szCs w:val="18"/>
        </w:rPr>
        <w:t>m</w:t>
      </w:r>
      <w:r w:rsidR="008450DA" w:rsidRPr="00905142">
        <w:rPr>
          <w:szCs w:val="18"/>
          <w:vertAlign w:val="superscript"/>
        </w:rPr>
        <w:t>3</w:t>
      </w:r>
      <w:r w:rsidR="006C755E">
        <w:t xml:space="preserve"> </w:t>
      </w:r>
      <w:r w:rsidR="001B1363">
        <w:t>each</w:t>
      </w:r>
      <w:r w:rsidR="002C4BED">
        <w:t xml:space="preserve">, </w:t>
      </w:r>
      <w:r w:rsidR="001B1363">
        <w:t>have been used</w:t>
      </w:r>
      <w:r w:rsidR="00BF339D">
        <w:t>.</w:t>
      </w:r>
      <w:r w:rsidR="00BF339D">
        <w:rPr>
          <w:szCs w:val="18"/>
        </w:rPr>
        <w:t xml:space="preserve"> One is </w:t>
      </w:r>
      <w:r w:rsidR="00BF339D" w:rsidRPr="00905142">
        <w:rPr>
          <w:szCs w:val="18"/>
        </w:rPr>
        <w:t>F-101, always operating according to the pulse technique to accumulate nitrogen inside the microalgal cells</w:t>
      </w:r>
      <w:r w:rsidR="00BF339D">
        <w:rPr>
          <w:szCs w:val="18"/>
        </w:rPr>
        <w:t>, using pure glucose as carbon source</w:t>
      </w:r>
      <w:r w:rsidR="00AA2A12">
        <w:rPr>
          <w:szCs w:val="18"/>
        </w:rPr>
        <w:t>.</w:t>
      </w:r>
      <w:r w:rsidR="00AA2A12" w:rsidRPr="00AA2A12">
        <w:rPr>
          <w:szCs w:val="18"/>
        </w:rPr>
        <w:t xml:space="preserve"> </w:t>
      </w:r>
      <w:r w:rsidR="006D32C6">
        <w:rPr>
          <w:szCs w:val="18"/>
        </w:rPr>
        <w:t xml:space="preserve">Once </w:t>
      </w:r>
      <w:r w:rsidR="005F1F0D">
        <w:rPr>
          <w:szCs w:val="18"/>
        </w:rPr>
        <w:t xml:space="preserve">the biomass </w:t>
      </w:r>
      <w:r w:rsidR="005F1F0D" w:rsidRPr="00C519B9">
        <w:rPr>
          <w:szCs w:val="18"/>
        </w:rPr>
        <w:t>in F-101</w:t>
      </w:r>
      <w:r w:rsidR="005F1F0D">
        <w:rPr>
          <w:szCs w:val="18"/>
        </w:rPr>
        <w:t xml:space="preserve"> reaches the desired concentration</w:t>
      </w:r>
      <w:r w:rsidR="00B95467">
        <w:rPr>
          <w:szCs w:val="18"/>
        </w:rPr>
        <w:t xml:space="preserve">, ending </w:t>
      </w:r>
      <w:r w:rsidR="0008553A">
        <w:rPr>
          <w:szCs w:val="18"/>
        </w:rPr>
        <w:t>its</w:t>
      </w:r>
      <w:r w:rsidR="006547D4">
        <w:rPr>
          <w:szCs w:val="18"/>
        </w:rPr>
        <w:t xml:space="preserve"> cultivation cycle only when </w:t>
      </w:r>
      <w:r w:rsidR="0008553A">
        <w:rPr>
          <w:szCs w:val="18"/>
        </w:rPr>
        <w:t>t</w:t>
      </w:r>
      <w:r w:rsidR="006547D4">
        <w:rPr>
          <w:szCs w:val="18"/>
        </w:rPr>
        <w:t>he nitrogen in the broth is consumed</w:t>
      </w:r>
      <w:r w:rsidR="0008553A">
        <w:rPr>
          <w:szCs w:val="18"/>
        </w:rPr>
        <w:t>, a part of it is transferred to F-102</w:t>
      </w:r>
      <w:r w:rsidR="006547D4">
        <w:rPr>
          <w:szCs w:val="18"/>
        </w:rPr>
        <w:t xml:space="preserve">. </w:t>
      </w:r>
      <w:r w:rsidR="00AA2A12" w:rsidRPr="00905142">
        <w:rPr>
          <w:szCs w:val="18"/>
        </w:rPr>
        <w:t>Th</w:t>
      </w:r>
      <w:r w:rsidR="0008553A">
        <w:rPr>
          <w:szCs w:val="18"/>
        </w:rPr>
        <w:t>is</w:t>
      </w:r>
      <w:r w:rsidR="00AA2A12" w:rsidRPr="00905142">
        <w:rPr>
          <w:szCs w:val="18"/>
        </w:rPr>
        <w:t xml:space="preserve"> biomass will then have the maximum possible intracellular nitrogen content that will be exploited in the second fermenter, </w:t>
      </w:r>
      <w:r w:rsidR="0008553A">
        <w:rPr>
          <w:szCs w:val="18"/>
        </w:rPr>
        <w:t>since</w:t>
      </w:r>
      <w:r w:rsidR="0008553A" w:rsidRPr="00905142">
        <w:rPr>
          <w:szCs w:val="18"/>
        </w:rPr>
        <w:t xml:space="preserve"> only organic carbon will be present in the reactor as a nutrient</w:t>
      </w:r>
      <w:r w:rsidR="0008553A">
        <w:rPr>
          <w:szCs w:val="18"/>
        </w:rPr>
        <w:t xml:space="preserve"> in </w:t>
      </w:r>
      <w:r w:rsidR="0008553A" w:rsidRPr="00982E03">
        <w:rPr>
          <w:szCs w:val="18"/>
        </w:rPr>
        <w:t>form of OOMWW,</w:t>
      </w:r>
      <w:r w:rsidR="0008553A">
        <w:rPr>
          <w:szCs w:val="18"/>
        </w:rPr>
        <w:t xml:space="preserve"> </w:t>
      </w:r>
      <w:r w:rsidR="00AA2A12" w:rsidRPr="00905142">
        <w:rPr>
          <w:szCs w:val="18"/>
        </w:rPr>
        <w:t>to induce the accumulation of starch and lipids in the microalgae.</w:t>
      </w:r>
      <w:r w:rsidR="00AA2A12">
        <w:rPr>
          <w:szCs w:val="18"/>
        </w:rPr>
        <w:t xml:space="preserve"> </w:t>
      </w:r>
    </w:p>
    <w:p w14:paraId="1D05BC99" w14:textId="0DC406F4" w:rsidR="00A404D5" w:rsidRPr="002667FC" w:rsidRDefault="0008553A" w:rsidP="00605473">
      <w:pPr>
        <w:pStyle w:val="CETBodytext"/>
      </w:pPr>
      <w:r>
        <w:rPr>
          <w:szCs w:val="18"/>
        </w:rPr>
        <w:t>To</w:t>
      </w:r>
      <w:r w:rsidR="00B3006B">
        <w:rPr>
          <w:szCs w:val="18"/>
        </w:rPr>
        <w:t xml:space="preserve"> </w:t>
      </w:r>
      <w:r w:rsidR="00996A64">
        <w:rPr>
          <w:szCs w:val="18"/>
        </w:rPr>
        <w:t xml:space="preserve">create a tool for the </w:t>
      </w:r>
      <w:r w:rsidR="007D4741">
        <w:rPr>
          <w:szCs w:val="18"/>
        </w:rPr>
        <w:t>simulation</w:t>
      </w:r>
      <w:r w:rsidR="00996A64">
        <w:rPr>
          <w:szCs w:val="18"/>
        </w:rPr>
        <w:t xml:space="preserve"> of these coltivation approaches, </w:t>
      </w:r>
      <w:r w:rsidR="00996A64">
        <w:t>t</w:t>
      </w:r>
      <w:r w:rsidR="00F91BCC" w:rsidRPr="002667FC">
        <w:t xml:space="preserve">he following model </w:t>
      </w:r>
      <w:r w:rsidR="003D0C37" w:rsidRPr="002667FC">
        <w:t>is</w:t>
      </w:r>
      <w:r w:rsidR="00F91BCC" w:rsidRPr="002667FC">
        <w:t xml:space="preserve"> used</w:t>
      </w:r>
      <w:r w:rsidR="007D4741">
        <w:t xml:space="preserve">, </w:t>
      </w:r>
      <w:r w:rsidR="008120AA">
        <w:t xml:space="preserve">relating this model to the existing </w:t>
      </w:r>
      <w:r w:rsidR="003D70E0" w:rsidRPr="002667FC">
        <w:t>fermenter</w:t>
      </w:r>
      <w:r>
        <w:t>s</w:t>
      </w:r>
      <w:r w:rsidR="003D70E0" w:rsidRPr="002667FC">
        <w:t xml:space="preserve"> with an operating volume of 3 </w:t>
      </w:r>
      <w:r w:rsidR="008450DA" w:rsidRPr="00905142">
        <w:rPr>
          <w:szCs w:val="18"/>
        </w:rPr>
        <w:t>m</w:t>
      </w:r>
      <w:r w:rsidR="008450DA" w:rsidRPr="00905142">
        <w:rPr>
          <w:szCs w:val="18"/>
          <w:vertAlign w:val="superscript"/>
        </w:rPr>
        <w:t>3</w:t>
      </w:r>
      <w:r w:rsidR="00F91BCC" w:rsidRPr="002667FC">
        <w:t>.</w:t>
      </w:r>
      <w:r w:rsidR="00F91BCC" w:rsidRPr="00F91BCC">
        <w:t xml:space="preserve"> The specific growth rate is defined as a function of the maximum specific growth rate</w:t>
      </w:r>
      <w:r w:rsidR="00C633A7">
        <w:t xml:space="preserve"> (</w:t>
      </w:r>
      <m:oMath>
        <m:sSub>
          <m:sSubPr>
            <m:ctrlPr>
              <w:rPr>
                <w:rFonts w:ascii="Cambria Math" w:hAnsi="Cambria Math"/>
                <w:i/>
                <w:lang w:val="it-IT"/>
              </w:rPr>
            </m:ctrlPr>
          </m:sSubPr>
          <m:e>
            <m:r>
              <w:rPr>
                <w:rFonts w:ascii="Cambria Math" w:hAnsi="Cambria Math"/>
                <w:lang w:val="it-IT"/>
              </w:rPr>
              <m:t>μ</m:t>
            </m:r>
          </m:e>
          <m:sub>
            <m:r>
              <w:rPr>
                <w:rFonts w:ascii="Cambria Math" w:hAnsi="Cambria Math"/>
                <w:lang w:val="it-IT"/>
              </w:rPr>
              <m:t>m</m:t>
            </m:r>
          </m:sub>
        </m:sSub>
      </m:oMath>
      <w:r w:rsidR="00C633A7">
        <w:t>)</w:t>
      </w:r>
      <w:r w:rsidR="00F91BCC" w:rsidRPr="00F91BCC">
        <w:t xml:space="preserve"> and several growth-limiting factors according to Eq</w:t>
      </w:r>
      <w:r w:rsidR="00F91BCC">
        <w:t>.</w:t>
      </w:r>
      <w:r w:rsidR="00F91BCC" w:rsidRPr="00F91BCC">
        <w:t xml:space="preserve"> 1 </w:t>
      </w:r>
      <w:r w:rsidR="00C633A7">
        <w:t>(</w:t>
      </w:r>
      <w:r w:rsidR="00F91BCC" w:rsidRPr="002667FC">
        <w:t>Murwanashyaka et al. 2020</w:t>
      </w:r>
      <w:r w:rsidR="00C633A7" w:rsidRPr="002667FC">
        <w:t>)</w:t>
      </w:r>
      <w:r w:rsidR="00F91BCC" w:rsidRPr="002667FC">
        <w:t>.</w:t>
      </w:r>
    </w:p>
    <w:p w14:paraId="2C2E7DFF" w14:textId="77777777" w:rsidR="00F91BCC" w:rsidRPr="00F91BCC" w:rsidRDefault="00F91BCC" w:rsidP="00605473">
      <w:pPr>
        <w:pStyle w:val="CETBodytext"/>
      </w:pPr>
    </w:p>
    <w:p w14:paraId="6D65DA8E" w14:textId="00210CFB" w:rsidR="00B341F7" w:rsidRPr="007E6118" w:rsidRDefault="00B341F7" w:rsidP="007E6118">
      <w:pPr>
        <w:pStyle w:val="CETEquation"/>
      </w:pPr>
      <m:oMath>
        <m:r>
          <w:rPr>
            <w:rFonts w:ascii="Cambria Math" w:hAnsi="Cambria Math"/>
            <w:lang w:val="it-IT"/>
          </w:rPr>
          <m:t>μ</m:t>
        </m:r>
        <m:r>
          <m:rPr>
            <m:sty m:val="p"/>
          </m:rPr>
          <w:rPr>
            <w:rFonts w:ascii="Cambria Math" w:hAnsi="Cambria Math"/>
          </w:rPr>
          <m:t xml:space="preserve">= </m:t>
        </m:r>
        <m:sSub>
          <m:sSubPr>
            <m:ctrlPr>
              <w:rPr>
                <w:rFonts w:ascii="Cambria Math" w:hAnsi="Cambria Math"/>
                <w:lang w:val="it-IT"/>
              </w:rPr>
            </m:ctrlPr>
          </m:sSubPr>
          <m:e>
            <m:r>
              <w:rPr>
                <w:rFonts w:ascii="Cambria Math" w:hAnsi="Cambria Math"/>
                <w:lang w:val="it-IT"/>
              </w:rPr>
              <m:t>μ</m:t>
            </m:r>
          </m:e>
          <m:sub>
            <m:r>
              <w:rPr>
                <w:rFonts w:ascii="Cambria Math" w:hAnsi="Cambria Math"/>
                <w:lang w:val="it-IT"/>
              </w:rPr>
              <m:t>m</m:t>
            </m:r>
          </m:sub>
        </m:sSub>
        <m:r>
          <m:rPr>
            <m:sty m:val="p"/>
          </m:rPr>
          <w:rPr>
            <w:rFonts w:ascii="Cambria Math" w:hAnsi="Cambria Math"/>
          </w:rPr>
          <m:t>*</m:t>
        </m:r>
        <m:nary>
          <m:naryPr>
            <m:chr m:val="∏"/>
            <m:limLoc m:val="subSup"/>
            <m:ctrlPr>
              <w:rPr>
                <w:rFonts w:ascii="Cambria Math" w:hAnsi="Cambria Math"/>
                <w:lang w:val="it-IT"/>
              </w:rPr>
            </m:ctrlPr>
          </m:naryPr>
          <m:sub>
            <m:r>
              <w:rPr>
                <w:rFonts w:ascii="Cambria Math" w:hAnsi="Cambria Math"/>
                <w:lang w:val="it-IT"/>
              </w:rPr>
              <m:t>i</m:t>
            </m:r>
            <m:r>
              <m:rPr>
                <m:sty m:val="p"/>
              </m:rPr>
              <w:rPr>
                <w:rFonts w:ascii="Cambria Math" w:hAnsi="Cambria Math"/>
              </w:rPr>
              <m:t>=1</m:t>
            </m:r>
          </m:sub>
          <m:sup>
            <m:r>
              <w:rPr>
                <w:rFonts w:ascii="Cambria Math" w:hAnsi="Cambria Math"/>
                <w:lang w:val="it-IT"/>
              </w:rPr>
              <m:t>n</m:t>
            </m:r>
          </m:sup>
          <m:e>
            <m:r>
              <w:rPr>
                <w:rFonts w:ascii="Cambria Math" w:hAnsi="Cambria Math"/>
                <w:lang w:val="it-IT"/>
              </w:rPr>
              <m:t>f</m:t>
            </m:r>
            <m:r>
              <m:rPr>
                <m:sty m:val="p"/>
              </m:rPr>
              <w:rPr>
                <w:rFonts w:ascii="Cambria Math" w:hAnsi="Cambria Math"/>
              </w:rPr>
              <m:t>(</m:t>
            </m:r>
            <m:sSub>
              <m:sSubPr>
                <m:ctrlPr>
                  <w:rPr>
                    <w:rFonts w:ascii="Cambria Math" w:hAnsi="Cambria Math"/>
                    <w:lang w:val="it-IT"/>
                  </w:rPr>
                </m:ctrlPr>
              </m:sSubPr>
              <m:e>
                <m:r>
                  <w:rPr>
                    <w:rFonts w:ascii="Cambria Math" w:hAnsi="Cambria Math"/>
                    <w:lang w:val="it-IT"/>
                  </w:rPr>
                  <m:t>S</m:t>
                </m:r>
              </m:e>
              <m:sub>
                <m:r>
                  <w:rPr>
                    <w:rFonts w:ascii="Cambria Math" w:hAnsi="Cambria Math"/>
                    <w:lang w:val="it-IT"/>
                  </w:rPr>
                  <m:t>i</m:t>
                </m:r>
              </m:sub>
            </m:sSub>
            <m:r>
              <m:rPr>
                <m:sty m:val="p"/>
              </m:rPr>
              <w:rPr>
                <w:rFonts w:ascii="Cambria Math" w:hAnsi="Cambria Math"/>
              </w:rPr>
              <m:t>)</m:t>
            </m:r>
          </m:e>
        </m:nary>
      </m:oMath>
      <w:r w:rsidR="00A404D5" w:rsidRPr="007E6118">
        <w:t xml:space="preserve"> </w:t>
      </w:r>
      <w:r w:rsidR="00A404D5" w:rsidRPr="007E6118">
        <w:tab/>
      </w:r>
      <w:r w:rsidR="00A404D5" w:rsidRPr="007E6118">
        <w:tab/>
      </w:r>
      <w:r w:rsidR="00A404D5" w:rsidRPr="007E6118">
        <w:tab/>
        <w:t xml:space="preserve"> (1)</w:t>
      </w:r>
    </w:p>
    <w:p w14:paraId="0EFBB308" w14:textId="77777777" w:rsidR="00A404D5" w:rsidRPr="006347E3" w:rsidRDefault="00A404D5" w:rsidP="00605473">
      <w:pPr>
        <w:pStyle w:val="CETBodytext"/>
      </w:pPr>
    </w:p>
    <w:p w14:paraId="246019A4" w14:textId="3E157A7B" w:rsidR="00A404D5" w:rsidRDefault="00F91BCC" w:rsidP="00605473">
      <w:pPr>
        <w:pStyle w:val="CETBodytext"/>
      </w:pPr>
      <w:r w:rsidRPr="00F91BCC">
        <w:rPr>
          <w:i/>
          <w:iCs/>
        </w:rPr>
        <w:t>n</w:t>
      </w:r>
      <w:r w:rsidRPr="00F91BCC">
        <w:t xml:space="preserve"> is the total number of limiting factors and </w:t>
      </w:r>
      <w:r w:rsidRPr="00F91BCC">
        <w:rPr>
          <w:i/>
          <w:iCs/>
        </w:rPr>
        <w:t>f(S</w:t>
      </w:r>
      <w:r w:rsidRPr="00F91BCC">
        <w:rPr>
          <w:i/>
          <w:iCs/>
          <w:vertAlign w:val="subscript"/>
        </w:rPr>
        <w:t>i</w:t>
      </w:r>
      <w:r w:rsidRPr="00F91BCC">
        <w:rPr>
          <w:i/>
          <w:iCs/>
        </w:rPr>
        <w:t>)</w:t>
      </w:r>
      <w:r w:rsidRPr="00F91BCC">
        <w:t xml:space="preserve"> is the function that defines the extent to which the </w:t>
      </w:r>
      <w:r w:rsidR="00C633A7" w:rsidRPr="00F91BCC">
        <w:rPr>
          <w:i/>
          <w:iCs/>
        </w:rPr>
        <w:t>S</w:t>
      </w:r>
      <w:r w:rsidR="00C633A7" w:rsidRPr="00F91BCC">
        <w:rPr>
          <w:i/>
          <w:iCs/>
          <w:vertAlign w:val="subscript"/>
        </w:rPr>
        <w:t>i</w:t>
      </w:r>
      <w:r w:rsidRPr="00F91BCC">
        <w:t xml:space="preserve"> factor limits growth. The function describing how much a limiting factor affects the growth rate can take many different forms including the Monod function which is widely used</w:t>
      </w:r>
      <w:r w:rsidR="00D0601D">
        <w:t>.</w:t>
      </w:r>
    </w:p>
    <w:p w14:paraId="1CA3BC01" w14:textId="77777777" w:rsidR="00F91BCC" w:rsidRPr="00F91BCC" w:rsidRDefault="00F91BCC" w:rsidP="00605473">
      <w:pPr>
        <w:pStyle w:val="CETBodytext"/>
      </w:pPr>
    </w:p>
    <w:p w14:paraId="2C8A4E8A" w14:textId="50F3CDDD" w:rsidR="00A404D5" w:rsidRPr="006347E3" w:rsidRDefault="00CA7B81" w:rsidP="007E6118">
      <w:pPr>
        <w:pStyle w:val="CETEquation"/>
      </w:pPr>
      <m:oMath>
        <m:r>
          <w:rPr>
            <w:rFonts w:ascii="Cambria Math" w:hAnsi="Cambria Math"/>
            <w:lang w:val="it-IT"/>
          </w:rPr>
          <m:t>f</m:t>
        </m:r>
        <m:d>
          <m:dPr>
            <m:ctrlPr>
              <w:rPr>
                <w:rFonts w:ascii="Cambria Math" w:hAnsi="Cambria Math"/>
                <w:lang w:val="it-IT"/>
              </w:rPr>
            </m:ctrlPr>
          </m:dPr>
          <m:e>
            <m:sSub>
              <m:sSubPr>
                <m:ctrlPr>
                  <w:rPr>
                    <w:rFonts w:ascii="Cambria Math" w:hAnsi="Cambria Math"/>
                    <w:lang w:val="it-IT"/>
                  </w:rPr>
                </m:ctrlPr>
              </m:sSubPr>
              <m:e>
                <m:r>
                  <w:rPr>
                    <w:rFonts w:ascii="Cambria Math" w:hAnsi="Cambria Math"/>
                    <w:lang w:val="it-IT"/>
                  </w:rPr>
                  <m:t>S</m:t>
                </m:r>
              </m:e>
              <m:sub>
                <m:r>
                  <w:rPr>
                    <w:rFonts w:ascii="Cambria Math" w:hAnsi="Cambria Math"/>
                    <w:lang w:val="it-IT"/>
                  </w:rPr>
                  <m:t>i</m:t>
                </m:r>
              </m:sub>
            </m:sSub>
          </m:e>
        </m:d>
        <m:r>
          <m:rPr>
            <m:sty m:val="p"/>
          </m:rPr>
          <w:rPr>
            <w:rFonts w:ascii="Cambria Math" w:hAnsi="Cambria Math"/>
          </w:rPr>
          <m:t xml:space="preserve">= </m:t>
        </m:r>
        <m:f>
          <m:fPr>
            <m:ctrlPr>
              <w:rPr>
                <w:rFonts w:ascii="Cambria Math" w:hAnsi="Cambria Math"/>
                <w:lang w:val="it-IT"/>
              </w:rPr>
            </m:ctrlPr>
          </m:fPr>
          <m:num>
            <m:sSub>
              <m:sSubPr>
                <m:ctrlPr>
                  <w:rPr>
                    <w:rFonts w:ascii="Cambria Math" w:hAnsi="Cambria Math"/>
                    <w:lang w:val="it-IT"/>
                  </w:rPr>
                </m:ctrlPr>
              </m:sSubPr>
              <m:e>
                <m:r>
                  <w:rPr>
                    <w:rFonts w:ascii="Cambria Math" w:hAnsi="Cambria Math"/>
                    <w:lang w:val="it-IT"/>
                  </w:rPr>
                  <m:t>S</m:t>
                </m:r>
              </m:e>
              <m:sub>
                <m:r>
                  <w:rPr>
                    <w:rFonts w:ascii="Cambria Math" w:hAnsi="Cambria Math"/>
                    <w:lang w:val="it-IT"/>
                  </w:rPr>
                  <m:t>i</m:t>
                </m:r>
              </m:sub>
            </m:sSub>
          </m:num>
          <m:den>
            <m:sSub>
              <m:sSubPr>
                <m:ctrlPr>
                  <w:rPr>
                    <w:rFonts w:ascii="Cambria Math" w:hAnsi="Cambria Math"/>
                    <w:lang w:val="it-IT"/>
                  </w:rPr>
                </m:ctrlPr>
              </m:sSubPr>
              <m:e>
                <m:r>
                  <w:rPr>
                    <w:rFonts w:ascii="Cambria Math" w:hAnsi="Cambria Math"/>
                    <w:lang w:val="it-IT"/>
                  </w:rPr>
                  <m:t>K</m:t>
                </m:r>
              </m:e>
              <m:sub>
                <m:r>
                  <w:rPr>
                    <w:rFonts w:ascii="Cambria Math" w:hAnsi="Cambria Math"/>
                    <w:lang w:val="it-IT"/>
                  </w:rPr>
                  <m:t>S</m:t>
                </m:r>
              </m:sub>
            </m:sSub>
            <m:r>
              <m:rPr>
                <m:sty m:val="p"/>
              </m:rPr>
              <w:rPr>
                <w:rFonts w:ascii="Cambria Math" w:hAnsi="Cambria Math"/>
              </w:rPr>
              <m:t>+</m:t>
            </m:r>
            <m:sSub>
              <m:sSubPr>
                <m:ctrlPr>
                  <w:rPr>
                    <w:rFonts w:ascii="Cambria Math" w:hAnsi="Cambria Math"/>
                    <w:lang w:val="it-IT"/>
                  </w:rPr>
                </m:ctrlPr>
              </m:sSubPr>
              <m:e>
                <m:r>
                  <w:rPr>
                    <w:rFonts w:ascii="Cambria Math" w:hAnsi="Cambria Math"/>
                    <w:lang w:val="it-IT"/>
                  </w:rPr>
                  <m:t>S</m:t>
                </m:r>
              </m:e>
              <m:sub>
                <m:r>
                  <w:rPr>
                    <w:rFonts w:ascii="Cambria Math" w:hAnsi="Cambria Math"/>
                    <w:lang w:val="it-IT"/>
                  </w:rPr>
                  <m:t>i</m:t>
                </m:r>
              </m:sub>
            </m:sSub>
          </m:den>
        </m:f>
      </m:oMath>
      <w:r w:rsidR="00A404D5" w:rsidRPr="006347E3">
        <w:tab/>
      </w:r>
      <w:r w:rsidR="00A404D5" w:rsidRPr="006347E3">
        <w:tab/>
      </w:r>
      <w:r w:rsidR="00A404D5" w:rsidRPr="006347E3">
        <w:tab/>
        <w:t xml:space="preserve"> (2)</w:t>
      </w:r>
    </w:p>
    <w:p w14:paraId="49AEAD2D" w14:textId="43DF533F" w:rsidR="0013365E" w:rsidRPr="006347E3" w:rsidRDefault="00605473" w:rsidP="00605473">
      <w:pPr>
        <w:pStyle w:val="CETBodytext"/>
      </w:pPr>
      <w:r w:rsidRPr="006347E3">
        <w:t xml:space="preserve"> </w:t>
      </w:r>
    </w:p>
    <w:p w14:paraId="53533FFD" w14:textId="77777777" w:rsidR="00D0601D" w:rsidRDefault="00F91BCC" w:rsidP="00605473">
      <w:pPr>
        <w:pStyle w:val="CETBodytext"/>
      </w:pPr>
      <w:r w:rsidRPr="00F91BCC">
        <w:rPr>
          <w:i/>
          <w:iCs/>
        </w:rPr>
        <w:t>K</w:t>
      </w:r>
      <w:r w:rsidRPr="00F91BCC">
        <w:rPr>
          <w:i/>
          <w:iCs/>
          <w:vertAlign w:val="subscript"/>
        </w:rPr>
        <w:t>s</w:t>
      </w:r>
      <w:r w:rsidRPr="00F91BCC">
        <w:t xml:space="preserve"> is the semi-saturation constant. </w:t>
      </w:r>
    </w:p>
    <w:p w14:paraId="6A14DDFC" w14:textId="7B7F0798" w:rsidR="00CA7B81" w:rsidRDefault="00F91BCC" w:rsidP="00605473">
      <w:pPr>
        <w:pStyle w:val="CETBodytext"/>
      </w:pPr>
      <w:r w:rsidRPr="00F91BCC">
        <w:t>Consequently, the specific growth rate of algal biomass, assuming glucose</w:t>
      </w:r>
      <w:r w:rsidR="00233A89">
        <w:t xml:space="preserve"> </w:t>
      </w:r>
      <w:r w:rsidR="00233A89" w:rsidRPr="00233A89">
        <w:rPr>
          <w:i/>
          <w:iCs/>
        </w:rPr>
        <w:t>G</w:t>
      </w:r>
      <w:r w:rsidRPr="00F91BCC">
        <w:t>, nitrate</w:t>
      </w:r>
      <w:r w:rsidR="00233A89">
        <w:t xml:space="preserve"> </w:t>
      </w:r>
      <w:r w:rsidR="00233A89" w:rsidRPr="00233A89">
        <w:rPr>
          <w:i/>
          <w:iCs/>
        </w:rPr>
        <w:t>N</w:t>
      </w:r>
      <w:r w:rsidRPr="00F91BCC">
        <w:t>, and phosphate</w:t>
      </w:r>
      <w:r w:rsidR="00233A89">
        <w:t xml:space="preserve"> </w:t>
      </w:r>
      <w:r w:rsidR="00233A89" w:rsidRPr="00233A89">
        <w:rPr>
          <w:i/>
          <w:iCs/>
        </w:rPr>
        <w:t>P</w:t>
      </w:r>
      <w:r w:rsidRPr="00F91BCC">
        <w:t xml:space="preserve"> as the limiting substrates, can be expressed as follows.</w:t>
      </w:r>
    </w:p>
    <w:p w14:paraId="59D21E90" w14:textId="77777777" w:rsidR="00F91BCC" w:rsidRPr="00F91BCC" w:rsidRDefault="00F91BCC" w:rsidP="00605473">
      <w:pPr>
        <w:pStyle w:val="CETBodytext"/>
      </w:pPr>
    </w:p>
    <w:p w14:paraId="73BC7F03" w14:textId="658F3FE4" w:rsidR="00CA7B81" w:rsidRPr="006347E3" w:rsidRDefault="00CA7B81" w:rsidP="007E6118">
      <w:pPr>
        <w:pStyle w:val="CETEquation"/>
      </w:pPr>
      <m:oMath>
        <m:r>
          <w:rPr>
            <w:rFonts w:ascii="Cambria Math" w:hAnsi="Cambria Math"/>
            <w:lang w:val="it-IT"/>
          </w:rPr>
          <m:t>μ</m:t>
        </m:r>
        <m:r>
          <m:rPr>
            <m:sty m:val="p"/>
          </m:rPr>
          <w:rPr>
            <w:rFonts w:ascii="Cambria Math" w:hAnsi="Cambria Math"/>
          </w:rPr>
          <m:t>=</m:t>
        </m:r>
        <m:f>
          <m:fPr>
            <m:ctrlPr>
              <w:rPr>
                <w:rFonts w:ascii="Cambria Math" w:hAnsi="Cambria Math"/>
                <w:lang w:val="it-IT"/>
              </w:rPr>
            </m:ctrlPr>
          </m:fPr>
          <m:num>
            <m:sSub>
              <m:sSubPr>
                <m:ctrlPr>
                  <w:rPr>
                    <w:rFonts w:ascii="Cambria Math" w:hAnsi="Cambria Math"/>
                    <w:lang w:val="it-IT"/>
                  </w:rPr>
                </m:ctrlPr>
              </m:sSubPr>
              <m:e>
                <m:r>
                  <w:rPr>
                    <w:rFonts w:ascii="Cambria Math" w:hAnsi="Cambria Math"/>
                    <w:lang w:val="it-IT"/>
                  </w:rPr>
                  <m:t>μ</m:t>
                </m:r>
              </m:e>
              <m:sub>
                <m:r>
                  <w:rPr>
                    <w:rFonts w:ascii="Cambria Math" w:hAnsi="Cambria Math"/>
                    <w:lang w:val="it-IT"/>
                  </w:rPr>
                  <m:t>m</m:t>
                </m:r>
              </m:sub>
            </m:sSub>
            <m:r>
              <m:rPr>
                <m:sty m:val="p"/>
              </m:rPr>
              <w:rPr>
                <w:rFonts w:ascii="Cambria Math" w:hAnsi="Cambria Math"/>
              </w:rPr>
              <m:t xml:space="preserve">* </m:t>
            </m:r>
            <m:r>
              <w:rPr>
                <w:rFonts w:ascii="Cambria Math" w:hAnsi="Cambria Math"/>
                <w:lang w:val="it-IT"/>
              </w:rPr>
              <m:t>G</m:t>
            </m:r>
            <m:r>
              <m:rPr>
                <m:sty m:val="p"/>
              </m:rPr>
              <w:rPr>
                <w:rFonts w:ascii="Cambria Math" w:hAnsi="Cambria Math"/>
              </w:rPr>
              <m:t>*</m:t>
            </m:r>
            <m:r>
              <w:rPr>
                <w:rFonts w:ascii="Cambria Math" w:hAnsi="Cambria Math"/>
                <w:lang w:val="it-IT"/>
              </w:rPr>
              <m:t>N</m:t>
            </m:r>
            <m:r>
              <m:rPr>
                <m:sty m:val="p"/>
              </m:rPr>
              <w:rPr>
                <w:rFonts w:ascii="Cambria Math" w:hAnsi="Cambria Math"/>
              </w:rPr>
              <m:t>*</m:t>
            </m:r>
            <m:r>
              <w:rPr>
                <w:rFonts w:ascii="Cambria Math" w:hAnsi="Cambria Math"/>
                <w:lang w:val="it-IT"/>
              </w:rPr>
              <m:t>P</m:t>
            </m:r>
          </m:num>
          <m:den>
            <m:r>
              <m:rPr>
                <m:sty m:val="p"/>
              </m:rPr>
              <w:rPr>
                <w:rFonts w:ascii="Cambria Math" w:hAnsi="Cambria Math"/>
              </w:rPr>
              <m:t>(</m:t>
            </m:r>
            <m:sSub>
              <m:sSubPr>
                <m:ctrlPr>
                  <w:rPr>
                    <w:rFonts w:ascii="Cambria Math" w:hAnsi="Cambria Math"/>
                    <w:lang w:val="it-IT"/>
                  </w:rPr>
                </m:ctrlPr>
              </m:sSubPr>
              <m:e>
                <m:r>
                  <w:rPr>
                    <w:rFonts w:ascii="Cambria Math" w:hAnsi="Cambria Math"/>
                    <w:lang w:val="it-IT"/>
                  </w:rPr>
                  <m:t>K</m:t>
                </m:r>
              </m:e>
              <m:sub>
                <m:r>
                  <w:rPr>
                    <w:rFonts w:ascii="Cambria Math" w:hAnsi="Cambria Math"/>
                    <w:lang w:val="it-IT"/>
                  </w:rPr>
                  <m:t>n</m:t>
                </m:r>
              </m:sub>
            </m:sSub>
            <m:r>
              <m:rPr>
                <m:sty m:val="p"/>
              </m:rPr>
              <w:rPr>
                <w:rFonts w:ascii="Cambria Math" w:hAnsi="Cambria Math"/>
              </w:rPr>
              <m:t>+</m:t>
            </m:r>
            <m:r>
              <w:rPr>
                <w:rFonts w:ascii="Cambria Math" w:hAnsi="Cambria Math"/>
                <w:lang w:val="it-IT"/>
              </w:rPr>
              <m:t>G</m:t>
            </m:r>
            <m:r>
              <m:rPr>
                <m:sty m:val="p"/>
              </m:rPr>
              <w:rPr>
                <w:rFonts w:ascii="Cambria Math" w:hAnsi="Cambria Math"/>
              </w:rPr>
              <m:t xml:space="preserve"> )+(</m:t>
            </m:r>
            <m:sSub>
              <m:sSubPr>
                <m:ctrlPr>
                  <w:rPr>
                    <w:rFonts w:ascii="Cambria Math" w:hAnsi="Cambria Math"/>
                    <w:lang w:val="it-IT"/>
                  </w:rPr>
                </m:ctrlPr>
              </m:sSubPr>
              <m:e>
                <m:r>
                  <w:rPr>
                    <w:rFonts w:ascii="Cambria Math" w:hAnsi="Cambria Math"/>
                    <w:lang w:val="it-IT"/>
                  </w:rPr>
                  <m:t>K</m:t>
                </m:r>
              </m:e>
              <m:sub>
                <m:r>
                  <w:rPr>
                    <w:rFonts w:ascii="Cambria Math" w:hAnsi="Cambria Math"/>
                    <w:lang w:val="it-IT"/>
                  </w:rPr>
                  <m:t>n</m:t>
                </m:r>
              </m:sub>
            </m:sSub>
            <m:r>
              <m:rPr>
                <m:sty m:val="p"/>
              </m:rPr>
              <w:rPr>
                <w:rFonts w:ascii="Cambria Math" w:hAnsi="Cambria Math"/>
              </w:rPr>
              <m:t>+</m:t>
            </m:r>
            <m:r>
              <w:rPr>
                <w:rFonts w:ascii="Cambria Math" w:hAnsi="Cambria Math"/>
                <w:lang w:val="it-IT"/>
              </w:rPr>
              <m:t>N</m:t>
            </m:r>
            <m:r>
              <m:rPr>
                <m:sty m:val="p"/>
              </m:rPr>
              <w:rPr>
                <w:rFonts w:ascii="Cambria Math" w:hAnsi="Cambria Math"/>
              </w:rPr>
              <m:t>)+(</m:t>
            </m:r>
            <m:sSub>
              <m:sSubPr>
                <m:ctrlPr>
                  <w:rPr>
                    <w:rFonts w:ascii="Cambria Math" w:hAnsi="Cambria Math"/>
                    <w:lang w:val="it-IT"/>
                  </w:rPr>
                </m:ctrlPr>
              </m:sSubPr>
              <m:e>
                <m:r>
                  <w:rPr>
                    <w:rFonts w:ascii="Cambria Math" w:hAnsi="Cambria Math"/>
                    <w:lang w:val="it-IT"/>
                  </w:rPr>
                  <m:t>K</m:t>
                </m:r>
              </m:e>
              <m:sub>
                <m:r>
                  <w:rPr>
                    <w:rFonts w:ascii="Cambria Math" w:hAnsi="Cambria Math"/>
                    <w:lang w:val="it-IT"/>
                  </w:rPr>
                  <m:t>p</m:t>
                </m:r>
              </m:sub>
            </m:sSub>
            <m:r>
              <m:rPr>
                <m:sty m:val="p"/>
              </m:rPr>
              <w:rPr>
                <w:rFonts w:ascii="Cambria Math" w:hAnsi="Cambria Math"/>
              </w:rPr>
              <m:t>+</m:t>
            </m:r>
            <m:r>
              <w:rPr>
                <w:rFonts w:ascii="Cambria Math" w:hAnsi="Cambria Math"/>
                <w:lang w:val="it-IT"/>
              </w:rPr>
              <m:t>P</m:t>
            </m:r>
            <m:r>
              <m:rPr>
                <m:sty m:val="p"/>
              </m:rPr>
              <w:rPr>
                <w:rFonts w:ascii="Cambria Math" w:hAnsi="Cambria Math"/>
              </w:rPr>
              <m:t xml:space="preserve">) </m:t>
            </m:r>
          </m:den>
        </m:f>
      </m:oMath>
      <w:r w:rsidR="00EC3D3F" w:rsidRPr="006347E3">
        <w:tab/>
      </w:r>
      <w:r w:rsidR="00EC3D3F" w:rsidRPr="006347E3">
        <w:tab/>
      </w:r>
      <w:r w:rsidR="00EC3D3F" w:rsidRPr="006347E3">
        <w:tab/>
        <w:t xml:space="preserve"> (3)</w:t>
      </w:r>
    </w:p>
    <w:p w14:paraId="43930796" w14:textId="77777777" w:rsidR="00EC3D3F" w:rsidRPr="006347E3" w:rsidRDefault="00EC3D3F" w:rsidP="00605473">
      <w:pPr>
        <w:pStyle w:val="CETBodytext"/>
      </w:pPr>
    </w:p>
    <w:p w14:paraId="0D6C76BF" w14:textId="5B11CFFE" w:rsidR="00F91BCC" w:rsidRDefault="00F91BCC" w:rsidP="00F91BCC">
      <w:pPr>
        <w:pStyle w:val="CETBodytext"/>
      </w:pPr>
      <w:r w:rsidRPr="00F91BCC">
        <w:rPr>
          <w:i/>
          <w:iCs/>
        </w:rPr>
        <w:t>K</w:t>
      </w:r>
      <w:r w:rsidRPr="00F91BCC">
        <w:rPr>
          <w:i/>
          <w:iCs/>
          <w:vertAlign w:val="subscript"/>
        </w:rPr>
        <w:t>g</w:t>
      </w:r>
      <w:r w:rsidRPr="00F91BCC">
        <w:t xml:space="preserve">, </w:t>
      </w:r>
      <w:r w:rsidRPr="00F91BCC">
        <w:rPr>
          <w:i/>
          <w:iCs/>
        </w:rPr>
        <w:t>K</w:t>
      </w:r>
      <w:r w:rsidRPr="00F91BCC">
        <w:rPr>
          <w:i/>
          <w:iCs/>
          <w:vertAlign w:val="subscript"/>
        </w:rPr>
        <w:t>n</w:t>
      </w:r>
      <w:r w:rsidRPr="00F91BCC">
        <w:t>,</w:t>
      </w:r>
      <w:r>
        <w:t xml:space="preserve"> </w:t>
      </w:r>
      <w:r w:rsidRPr="00F91BCC">
        <w:t xml:space="preserve">and </w:t>
      </w:r>
      <w:r w:rsidRPr="00F91BCC">
        <w:rPr>
          <w:i/>
          <w:iCs/>
        </w:rPr>
        <w:t>K</w:t>
      </w:r>
      <w:r w:rsidRPr="00F91BCC">
        <w:rPr>
          <w:i/>
          <w:iCs/>
          <w:vertAlign w:val="subscript"/>
        </w:rPr>
        <w:t>p</w:t>
      </w:r>
      <w:r w:rsidRPr="00F91BCC">
        <w:t xml:space="preserve"> are the semi-saturation constants for glucose, nitrate, and phosphate consumption,</w:t>
      </w:r>
      <w:r w:rsidR="00851F0F">
        <w:t xml:space="preserve"> </w:t>
      </w:r>
      <w:r w:rsidRPr="00F91BCC">
        <w:t xml:space="preserve">essential substrates for cell growth. Expressions of their consumption rates are the critical elements of the </w:t>
      </w:r>
      <w:r w:rsidR="00BB5F36" w:rsidRPr="00F91BCC">
        <w:t>model since</w:t>
      </w:r>
      <w:r w:rsidRPr="00F91BCC">
        <w:t xml:space="preserve"> </w:t>
      </w:r>
      <w:r w:rsidRPr="00F91BCC">
        <w:lastRenderedPageBreak/>
        <w:t>their uptake regulates cell growth and metabolite accumulation.</w:t>
      </w:r>
      <w:r>
        <w:t xml:space="preserve"> </w:t>
      </w:r>
      <w:r w:rsidRPr="00F91BCC">
        <w:t xml:space="preserve">Typically, in a simplified manner, these rates are linearly related to the biomass growth rate according to the Luedeking-Piret expression as follows. </w:t>
      </w:r>
    </w:p>
    <w:p w14:paraId="2171E224" w14:textId="6D84743F" w:rsidR="00AA04D3" w:rsidRPr="006347E3" w:rsidRDefault="00135941" w:rsidP="007E6118">
      <w:pPr>
        <w:pStyle w:val="CETEquation"/>
      </w:pPr>
      <m:oMath>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g</m:t>
            </m:r>
          </m:sub>
        </m:sSub>
        <m:r>
          <m:rPr>
            <m:sty m:val="p"/>
          </m:rPr>
          <w:rPr>
            <w:rFonts w:ascii="Cambria Math" w:hAnsi="Cambria Math"/>
          </w:rPr>
          <m:t>=-</m:t>
        </m:r>
        <m:d>
          <m:dPr>
            <m:ctrlPr>
              <w:rPr>
                <w:rFonts w:ascii="Cambria Math" w:hAnsi="Cambria Math"/>
                <w:lang w:val="it-IT"/>
              </w:rPr>
            </m:ctrlPr>
          </m:dPr>
          <m:e>
            <m:f>
              <m:fPr>
                <m:ctrlPr>
                  <w:rPr>
                    <w:rFonts w:ascii="Cambria Math" w:hAnsi="Cambria Math"/>
                    <w:lang w:val="it-IT"/>
                  </w:rPr>
                </m:ctrlPr>
              </m:fPr>
              <m:num>
                <m:r>
                  <m:rPr>
                    <m:sty m:val="p"/>
                  </m:rPr>
                  <w:rPr>
                    <w:rFonts w:ascii="Cambria Math" w:hAnsi="Cambria Math"/>
                  </w:rPr>
                  <m:t>1</m:t>
                </m:r>
              </m:num>
              <m:den>
                <m:sSub>
                  <m:sSubPr>
                    <m:ctrlPr>
                      <w:rPr>
                        <w:rFonts w:ascii="Cambria Math" w:hAnsi="Cambria Math"/>
                        <w:lang w:val="it-IT"/>
                      </w:rPr>
                    </m:ctrlPr>
                  </m:sSubPr>
                  <m:e>
                    <m:r>
                      <w:rPr>
                        <w:rFonts w:ascii="Cambria Math" w:hAnsi="Cambria Math"/>
                        <w:lang w:val="it-IT"/>
                      </w:rPr>
                      <m:t>Y</m:t>
                    </m:r>
                  </m:e>
                  <m:sub>
                    <m:r>
                      <w:rPr>
                        <w:rFonts w:ascii="Cambria Math" w:hAnsi="Cambria Math"/>
                        <w:lang w:val="it-IT"/>
                      </w:rPr>
                      <m:t>g</m:t>
                    </m:r>
                  </m:sub>
                </m:sSub>
              </m:den>
            </m:f>
          </m:e>
        </m:d>
        <m:r>
          <m:rPr>
            <m:sty m:val="p"/>
          </m:rPr>
          <w:rPr>
            <w:rFonts w:ascii="Cambria Math" w:hAnsi="Cambria Math"/>
          </w:rPr>
          <m:t>*</m:t>
        </m:r>
        <m:r>
          <w:rPr>
            <w:rFonts w:ascii="Cambria Math" w:hAnsi="Cambria Math"/>
            <w:lang w:val="it-IT"/>
          </w:rPr>
          <m:t>μ</m:t>
        </m:r>
        <m:r>
          <m:rPr>
            <m:sty m:val="p"/>
          </m:rPr>
          <w:rPr>
            <w:rFonts w:ascii="Cambria Math" w:hAnsi="Cambria Math"/>
          </w:rPr>
          <m:t xml:space="preserve"> -</m:t>
        </m:r>
        <m:sSub>
          <m:sSubPr>
            <m:ctrlPr>
              <w:rPr>
                <w:rFonts w:ascii="Cambria Math" w:hAnsi="Cambria Math"/>
                <w:lang w:val="it-IT"/>
              </w:rPr>
            </m:ctrlPr>
          </m:sSubPr>
          <m:e>
            <m:r>
              <w:rPr>
                <w:rFonts w:ascii="Cambria Math" w:hAnsi="Cambria Math"/>
                <w:lang w:val="it-IT"/>
              </w:rPr>
              <m:t>m</m:t>
            </m:r>
          </m:e>
          <m:sub>
            <m:r>
              <w:rPr>
                <w:rFonts w:ascii="Cambria Math" w:hAnsi="Cambria Math"/>
                <w:lang w:val="it-IT"/>
              </w:rPr>
              <m:t>g</m:t>
            </m:r>
          </m:sub>
        </m:sSub>
      </m:oMath>
      <w:r w:rsidR="00EC3D3F" w:rsidRPr="00F91BCC">
        <w:t xml:space="preserve"> </w:t>
      </w:r>
      <w:r w:rsidR="00EC3D3F" w:rsidRPr="00F91BCC">
        <w:tab/>
      </w:r>
      <w:r w:rsidR="00EC3D3F" w:rsidRPr="00F91BCC">
        <w:tab/>
      </w:r>
      <w:r w:rsidR="00EC3D3F" w:rsidRPr="00F91BCC">
        <w:tab/>
        <w:t xml:space="preserve"> </w:t>
      </w:r>
      <w:r w:rsidR="00EC3D3F" w:rsidRPr="006347E3">
        <w:t>(4)</w:t>
      </w:r>
    </w:p>
    <w:p w14:paraId="476AAD96" w14:textId="44C88147" w:rsidR="00AA04D3" w:rsidRPr="006347E3" w:rsidRDefault="00135941" w:rsidP="007E6118">
      <w:pPr>
        <w:pStyle w:val="CETEquation"/>
      </w:pPr>
      <m:oMath>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n</m:t>
            </m:r>
          </m:sub>
        </m:sSub>
        <m:r>
          <m:rPr>
            <m:sty m:val="p"/>
          </m:rPr>
          <w:rPr>
            <w:rFonts w:ascii="Cambria Math" w:hAnsi="Cambria Math"/>
          </w:rPr>
          <m:t>=-</m:t>
        </m:r>
        <m:d>
          <m:dPr>
            <m:ctrlPr>
              <w:rPr>
                <w:rFonts w:ascii="Cambria Math" w:hAnsi="Cambria Math"/>
                <w:lang w:val="it-IT"/>
              </w:rPr>
            </m:ctrlPr>
          </m:dPr>
          <m:e>
            <m:f>
              <m:fPr>
                <m:ctrlPr>
                  <w:rPr>
                    <w:rFonts w:ascii="Cambria Math" w:hAnsi="Cambria Math"/>
                    <w:lang w:val="it-IT"/>
                  </w:rPr>
                </m:ctrlPr>
              </m:fPr>
              <m:num>
                <m:r>
                  <m:rPr>
                    <m:sty m:val="p"/>
                  </m:rPr>
                  <w:rPr>
                    <w:rFonts w:ascii="Cambria Math" w:hAnsi="Cambria Math"/>
                  </w:rPr>
                  <m:t>1</m:t>
                </m:r>
              </m:num>
              <m:den>
                <m:sSub>
                  <m:sSubPr>
                    <m:ctrlPr>
                      <w:rPr>
                        <w:rFonts w:ascii="Cambria Math" w:hAnsi="Cambria Math"/>
                        <w:lang w:val="it-IT"/>
                      </w:rPr>
                    </m:ctrlPr>
                  </m:sSubPr>
                  <m:e>
                    <m:r>
                      <w:rPr>
                        <w:rFonts w:ascii="Cambria Math" w:hAnsi="Cambria Math"/>
                        <w:lang w:val="it-IT"/>
                      </w:rPr>
                      <m:t>Y</m:t>
                    </m:r>
                  </m:e>
                  <m:sub>
                    <m:r>
                      <w:rPr>
                        <w:rFonts w:ascii="Cambria Math" w:hAnsi="Cambria Math"/>
                        <w:lang w:val="it-IT"/>
                      </w:rPr>
                      <m:t>n</m:t>
                    </m:r>
                  </m:sub>
                </m:sSub>
              </m:den>
            </m:f>
          </m:e>
        </m:d>
        <m:r>
          <m:rPr>
            <m:sty m:val="p"/>
          </m:rPr>
          <w:rPr>
            <w:rFonts w:ascii="Cambria Math" w:hAnsi="Cambria Math"/>
          </w:rPr>
          <m:t>*</m:t>
        </m:r>
        <m:r>
          <w:rPr>
            <w:rFonts w:ascii="Cambria Math" w:hAnsi="Cambria Math"/>
            <w:lang w:val="it-IT"/>
          </w:rPr>
          <m:t>μ</m:t>
        </m:r>
        <m:r>
          <m:rPr>
            <m:sty m:val="p"/>
          </m:rPr>
          <w:rPr>
            <w:rFonts w:ascii="Cambria Math" w:hAnsi="Cambria Math"/>
          </w:rPr>
          <m:t xml:space="preserve"> -</m:t>
        </m:r>
        <m:sSub>
          <m:sSubPr>
            <m:ctrlPr>
              <w:rPr>
                <w:rFonts w:ascii="Cambria Math" w:hAnsi="Cambria Math"/>
                <w:lang w:val="it-IT"/>
              </w:rPr>
            </m:ctrlPr>
          </m:sSubPr>
          <m:e>
            <m:r>
              <w:rPr>
                <w:rFonts w:ascii="Cambria Math" w:hAnsi="Cambria Math"/>
                <w:lang w:val="it-IT"/>
              </w:rPr>
              <m:t>m</m:t>
            </m:r>
          </m:e>
          <m:sub>
            <m:r>
              <w:rPr>
                <w:rFonts w:ascii="Cambria Math" w:hAnsi="Cambria Math"/>
                <w:lang w:val="it-IT"/>
              </w:rPr>
              <m:t>n</m:t>
            </m:r>
          </m:sub>
        </m:sSub>
      </m:oMath>
      <w:r w:rsidR="00EC3D3F" w:rsidRPr="006347E3">
        <w:t xml:space="preserve"> </w:t>
      </w:r>
      <w:r w:rsidR="00EC3D3F" w:rsidRPr="006347E3">
        <w:tab/>
      </w:r>
      <w:r w:rsidR="00EC3D3F" w:rsidRPr="006347E3">
        <w:tab/>
      </w:r>
      <w:r w:rsidR="00EC3D3F" w:rsidRPr="006347E3">
        <w:tab/>
        <w:t xml:space="preserve"> (5)</w:t>
      </w:r>
    </w:p>
    <w:p w14:paraId="70E67F9C" w14:textId="1B4E1458" w:rsidR="00AA04D3" w:rsidRPr="006347E3" w:rsidRDefault="00135941" w:rsidP="007E6118">
      <w:pPr>
        <w:pStyle w:val="CETEquation"/>
      </w:pPr>
      <m:oMath>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p</m:t>
            </m:r>
          </m:sub>
        </m:sSub>
        <m:r>
          <m:rPr>
            <m:sty m:val="p"/>
          </m:rPr>
          <w:rPr>
            <w:rFonts w:ascii="Cambria Math" w:hAnsi="Cambria Math"/>
          </w:rPr>
          <m:t>=-</m:t>
        </m:r>
        <m:d>
          <m:dPr>
            <m:ctrlPr>
              <w:rPr>
                <w:rFonts w:ascii="Cambria Math" w:hAnsi="Cambria Math"/>
                <w:lang w:val="it-IT"/>
              </w:rPr>
            </m:ctrlPr>
          </m:dPr>
          <m:e>
            <m:f>
              <m:fPr>
                <m:ctrlPr>
                  <w:rPr>
                    <w:rFonts w:ascii="Cambria Math" w:hAnsi="Cambria Math"/>
                    <w:lang w:val="it-IT"/>
                  </w:rPr>
                </m:ctrlPr>
              </m:fPr>
              <m:num>
                <m:r>
                  <m:rPr>
                    <m:sty m:val="p"/>
                  </m:rPr>
                  <w:rPr>
                    <w:rFonts w:ascii="Cambria Math" w:hAnsi="Cambria Math"/>
                  </w:rPr>
                  <m:t>1</m:t>
                </m:r>
              </m:num>
              <m:den>
                <m:sSub>
                  <m:sSubPr>
                    <m:ctrlPr>
                      <w:rPr>
                        <w:rFonts w:ascii="Cambria Math" w:hAnsi="Cambria Math"/>
                        <w:lang w:val="it-IT"/>
                      </w:rPr>
                    </m:ctrlPr>
                  </m:sSubPr>
                  <m:e>
                    <m:r>
                      <w:rPr>
                        <w:rFonts w:ascii="Cambria Math" w:hAnsi="Cambria Math"/>
                        <w:lang w:val="it-IT"/>
                      </w:rPr>
                      <m:t>Y</m:t>
                    </m:r>
                  </m:e>
                  <m:sub>
                    <m:r>
                      <w:rPr>
                        <w:rFonts w:ascii="Cambria Math" w:hAnsi="Cambria Math"/>
                        <w:lang w:val="it-IT"/>
                      </w:rPr>
                      <m:t>p</m:t>
                    </m:r>
                  </m:sub>
                </m:sSub>
              </m:den>
            </m:f>
          </m:e>
        </m:d>
        <m:r>
          <m:rPr>
            <m:sty m:val="p"/>
          </m:rPr>
          <w:rPr>
            <w:rFonts w:ascii="Cambria Math" w:hAnsi="Cambria Math"/>
          </w:rPr>
          <m:t>*</m:t>
        </m:r>
        <m:r>
          <w:rPr>
            <w:rFonts w:ascii="Cambria Math" w:hAnsi="Cambria Math"/>
            <w:lang w:val="it-IT"/>
          </w:rPr>
          <m:t>μ</m:t>
        </m:r>
        <m:r>
          <m:rPr>
            <m:sty m:val="p"/>
          </m:rPr>
          <w:rPr>
            <w:rFonts w:ascii="Cambria Math" w:hAnsi="Cambria Math"/>
          </w:rPr>
          <m:t xml:space="preserve"> -</m:t>
        </m:r>
        <m:sSub>
          <m:sSubPr>
            <m:ctrlPr>
              <w:rPr>
                <w:rFonts w:ascii="Cambria Math" w:hAnsi="Cambria Math"/>
                <w:lang w:val="it-IT"/>
              </w:rPr>
            </m:ctrlPr>
          </m:sSubPr>
          <m:e>
            <m:r>
              <w:rPr>
                <w:rFonts w:ascii="Cambria Math" w:hAnsi="Cambria Math"/>
                <w:lang w:val="it-IT"/>
              </w:rPr>
              <m:t>m</m:t>
            </m:r>
          </m:e>
          <m:sub>
            <m:r>
              <w:rPr>
                <w:rFonts w:ascii="Cambria Math" w:hAnsi="Cambria Math"/>
                <w:lang w:val="it-IT"/>
              </w:rPr>
              <m:t>p</m:t>
            </m:r>
          </m:sub>
        </m:sSub>
      </m:oMath>
      <w:r w:rsidR="00EC3D3F" w:rsidRPr="006347E3">
        <w:t xml:space="preserve"> </w:t>
      </w:r>
      <w:r w:rsidR="00EC3D3F" w:rsidRPr="006347E3">
        <w:tab/>
      </w:r>
      <w:r w:rsidR="00EC3D3F" w:rsidRPr="006347E3">
        <w:tab/>
      </w:r>
      <w:r w:rsidR="00EC3D3F" w:rsidRPr="006347E3">
        <w:tab/>
        <w:t xml:space="preserve"> (6)</w:t>
      </w:r>
    </w:p>
    <w:p w14:paraId="21BA0D00" w14:textId="77777777" w:rsidR="00DE161B" w:rsidRDefault="00DE161B" w:rsidP="00233A89">
      <w:pPr>
        <w:pStyle w:val="CETBodytext"/>
        <w:rPr>
          <w:i/>
          <w:iCs/>
        </w:rPr>
      </w:pPr>
    </w:p>
    <w:p w14:paraId="614E6E1C" w14:textId="0CBCFC4E" w:rsidR="00EC3D3F" w:rsidRDefault="00233A89" w:rsidP="00233A89">
      <w:pPr>
        <w:pStyle w:val="CETBodytext"/>
      </w:pPr>
      <w:r w:rsidRPr="00233A89">
        <w:rPr>
          <w:i/>
          <w:iCs/>
        </w:rPr>
        <w:t>Y</w:t>
      </w:r>
      <w:r w:rsidRPr="00233A89">
        <w:rPr>
          <w:i/>
          <w:iCs/>
          <w:vertAlign w:val="subscript"/>
        </w:rPr>
        <w:t>g</w:t>
      </w:r>
      <w:r w:rsidRPr="00233A89">
        <w:t xml:space="preserve">, </w:t>
      </w:r>
      <w:r w:rsidRPr="00233A89">
        <w:rPr>
          <w:i/>
          <w:iCs/>
        </w:rPr>
        <w:t>Y</w:t>
      </w:r>
      <w:r w:rsidRPr="00233A89">
        <w:rPr>
          <w:i/>
          <w:iCs/>
          <w:vertAlign w:val="subscript"/>
        </w:rPr>
        <w:t>n</w:t>
      </w:r>
      <w:r w:rsidRPr="00233A89">
        <w:t xml:space="preserve">, and </w:t>
      </w:r>
      <w:r w:rsidRPr="00233A89">
        <w:rPr>
          <w:i/>
          <w:iCs/>
        </w:rPr>
        <w:t>Y</w:t>
      </w:r>
      <w:r w:rsidRPr="00233A89">
        <w:rPr>
          <w:i/>
          <w:iCs/>
          <w:vertAlign w:val="subscript"/>
        </w:rPr>
        <w:t>p</w:t>
      </w:r>
      <w:r w:rsidRPr="00233A89">
        <w:t xml:space="preserve"> are the biomass yield coefficients, and </w:t>
      </w:r>
      <w:r w:rsidRPr="00233A89">
        <w:rPr>
          <w:i/>
          <w:iCs/>
        </w:rPr>
        <w:t>m</w:t>
      </w:r>
      <w:r w:rsidRPr="00233A89">
        <w:rPr>
          <w:i/>
          <w:iCs/>
          <w:vertAlign w:val="subscript"/>
        </w:rPr>
        <w:t>g</w:t>
      </w:r>
      <w:r w:rsidRPr="00233A89">
        <w:t xml:space="preserve">, </w:t>
      </w:r>
      <w:r w:rsidRPr="00233A89">
        <w:rPr>
          <w:i/>
          <w:iCs/>
        </w:rPr>
        <w:t>m</w:t>
      </w:r>
      <w:r w:rsidRPr="00233A89">
        <w:rPr>
          <w:i/>
          <w:iCs/>
          <w:vertAlign w:val="subscript"/>
        </w:rPr>
        <w:t>n</w:t>
      </w:r>
      <w:r w:rsidRPr="00233A89">
        <w:t xml:space="preserve">, and </w:t>
      </w:r>
      <w:r w:rsidRPr="00233A89">
        <w:rPr>
          <w:i/>
          <w:iCs/>
        </w:rPr>
        <w:t>m</w:t>
      </w:r>
      <w:r w:rsidRPr="00233A89">
        <w:rPr>
          <w:i/>
          <w:iCs/>
          <w:vertAlign w:val="subscript"/>
        </w:rPr>
        <w:t>p</w:t>
      </w:r>
      <w:r w:rsidRPr="00233A89">
        <w:t xml:space="preserve"> are the maintenance coefficients on carbon, nitrogen, and phosphorus consumption, respectively</w:t>
      </w:r>
      <w:r w:rsidR="00C31D28">
        <w:t>.</w:t>
      </w:r>
      <w:r w:rsidRPr="00233A89">
        <w:t xml:space="preserve"> In microalgae culture, once growth has been limited due to nutrient depletion, assimilated carbon can be accumulated as storage products in the form of starch and/or lipids (</w:t>
      </w:r>
      <w:r w:rsidRPr="002667FC">
        <w:t xml:space="preserve">Breuer </w:t>
      </w:r>
      <w:r w:rsidRPr="00233A89">
        <w:t xml:space="preserve">et al. 2015). Based on the above formulations, the dynamics of the algal culture in this </w:t>
      </w:r>
      <w:r w:rsidR="005071ED">
        <w:t>b</w:t>
      </w:r>
      <w:r w:rsidRPr="00233A89">
        <w:t xml:space="preserve">atch work </w:t>
      </w:r>
      <w:r w:rsidR="00FD5D3B">
        <w:t>are</w:t>
      </w:r>
      <w:r w:rsidRPr="00233A89">
        <w:t xml:space="preserve"> therefore described by a </w:t>
      </w:r>
      <w:r w:rsidR="00E665D3">
        <w:t>system (</w:t>
      </w:r>
      <w:r w:rsidR="00681B7A">
        <w:t xml:space="preserve">Eq. </w:t>
      </w:r>
      <w:r w:rsidR="0027341C">
        <w:t>7</w:t>
      </w:r>
      <w:r w:rsidR="00E665D3">
        <w:t xml:space="preserve">) </w:t>
      </w:r>
      <w:r w:rsidRPr="00233A89">
        <w:t>set of six differential equations</w:t>
      </w:r>
      <w:r>
        <w:t>.</w:t>
      </w:r>
    </w:p>
    <w:p w14:paraId="324BD433" w14:textId="2FDF3D37" w:rsidR="001E3287" w:rsidRDefault="001E3287" w:rsidP="00233A89">
      <w:pPr>
        <w:pStyle w:val="CETBodytext"/>
      </w:pPr>
    </w:p>
    <w:p w14:paraId="165501E2" w14:textId="483EF552" w:rsidR="0054066D" w:rsidRPr="006347E3" w:rsidRDefault="00135941" w:rsidP="007E6118">
      <w:pPr>
        <w:pStyle w:val="CETEquation"/>
      </w:pPr>
      <m:oMath>
        <m:d>
          <m:dPr>
            <m:begChr m:val="{"/>
            <m:endChr m:val=""/>
            <m:ctrlPr>
              <w:rPr>
                <w:rFonts w:ascii="Cambria Math" w:hAnsi="Cambria Math"/>
              </w:rPr>
            </m:ctrlPr>
          </m:dPr>
          <m:e>
            <m:eqArr>
              <m:eqArrPr>
                <m:ctrlPr>
                  <w:rPr>
                    <w:rFonts w:ascii="Cambria Math" w:hAnsi="Cambria Math"/>
                  </w:rPr>
                </m:ctrlPr>
              </m:eqArrPr>
              <m:e>
                <m:f>
                  <m:fPr>
                    <m:ctrlPr>
                      <w:rPr>
                        <w:rFonts w:ascii="Cambria Math" w:hAnsi="Cambria Math"/>
                        <w:lang w:val="it-IT"/>
                      </w:rPr>
                    </m:ctrlPr>
                  </m:fPr>
                  <m:num>
                    <m:r>
                      <w:rPr>
                        <w:rFonts w:ascii="Cambria Math" w:hAnsi="Cambria Math"/>
                        <w:lang w:val="it-IT"/>
                      </w:rPr>
                      <m:t>dX</m:t>
                    </m:r>
                  </m:num>
                  <m:den>
                    <m:r>
                      <w:rPr>
                        <w:rFonts w:ascii="Cambria Math" w:hAnsi="Cambria Math"/>
                        <w:lang w:val="it-IT"/>
                      </w:rPr>
                      <m:t>dt</m:t>
                    </m:r>
                  </m:den>
                </m:f>
                <m:r>
                  <m:rPr>
                    <m:sty m:val="p"/>
                  </m:rPr>
                  <w:rPr>
                    <w:rFonts w:ascii="Cambria Math" w:hAnsi="Cambria Math"/>
                  </w:rPr>
                  <m:t>=</m:t>
                </m:r>
                <m:r>
                  <w:rPr>
                    <w:rFonts w:ascii="Cambria Math" w:hAnsi="Cambria Math"/>
                    <w:lang w:val="it-IT"/>
                  </w:rPr>
                  <m:t>μ</m:t>
                </m:r>
                <m:r>
                  <m:rPr>
                    <m:sty m:val="p"/>
                  </m:rPr>
                  <w:rPr>
                    <w:rFonts w:ascii="Cambria Math" w:hAnsi="Cambria Math"/>
                  </w:rPr>
                  <m:t>*</m:t>
                </m:r>
                <m:r>
                  <w:rPr>
                    <w:rFonts w:ascii="Cambria Math" w:hAnsi="Cambria Math"/>
                    <w:lang w:val="it-IT"/>
                  </w:rPr>
                  <m:t>X</m:t>
                </m:r>
                <m:r>
                  <m:rPr>
                    <m:sty m:val="p"/>
                  </m:rPr>
                  <w:rPr>
                    <w:rFonts w:ascii="Cambria Math" w:hAnsi="Cambria Math"/>
                  </w:rPr>
                  <m:t xml:space="preserve"> </m:t>
                </m:r>
              </m:e>
              <m:e>
                <m:f>
                  <m:fPr>
                    <m:ctrlPr>
                      <w:rPr>
                        <w:rFonts w:ascii="Cambria Math" w:hAnsi="Cambria Math"/>
                        <w:lang w:val="it-IT"/>
                      </w:rPr>
                    </m:ctrlPr>
                  </m:fPr>
                  <m:num>
                    <m:r>
                      <w:rPr>
                        <w:rFonts w:ascii="Cambria Math" w:hAnsi="Cambria Math"/>
                        <w:lang w:val="it-IT"/>
                      </w:rPr>
                      <m:t>dG</m:t>
                    </m:r>
                  </m:num>
                  <m:den>
                    <m:r>
                      <w:rPr>
                        <w:rFonts w:ascii="Cambria Math" w:hAnsi="Cambria Math"/>
                        <w:lang w:val="it-IT"/>
                      </w:rPr>
                      <m:t>dt</m:t>
                    </m:r>
                  </m:den>
                </m:f>
                <m:r>
                  <m:rPr>
                    <m:sty m:val="p"/>
                  </m:rPr>
                  <w:rPr>
                    <w:rFonts w:ascii="Cambria Math" w:hAnsi="Cambria Math"/>
                  </w:rPr>
                  <m:t>=</m:t>
                </m:r>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g</m:t>
                    </m:r>
                  </m:sub>
                </m:sSub>
                <m:r>
                  <m:rPr>
                    <m:sty m:val="p"/>
                  </m:rPr>
                  <w:rPr>
                    <w:rFonts w:ascii="Cambria Math" w:hAnsi="Cambria Math"/>
                  </w:rPr>
                  <m:t>*</m:t>
                </m:r>
                <m:r>
                  <w:rPr>
                    <w:rFonts w:ascii="Cambria Math" w:hAnsi="Cambria Math"/>
                    <w:lang w:val="it-IT"/>
                  </w:rPr>
                  <m:t>X</m:t>
                </m:r>
              </m:e>
              <m:e>
                <m:f>
                  <m:fPr>
                    <m:ctrlPr>
                      <w:rPr>
                        <w:rFonts w:ascii="Cambria Math" w:hAnsi="Cambria Math"/>
                        <w:lang w:val="it-IT"/>
                      </w:rPr>
                    </m:ctrlPr>
                  </m:fPr>
                  <m:num>
                    <m:r>
                      <w:rPr>
                        <w:rFonts w:ascii="Cambria Math" w:hAnsi="Cambria Math"/>
                        <w:lang w:val="it-IT"/>
                      </w:rPr>
                      <m:t>dN</m:t>
                    </m:r>
                  </m:num>
                  <m:den>
                    <m:r>
                      <w:rPr>
                        <w:rFonts w:ascii="Cambria Math" w:hAnsi="Cambria Math"/>
                        <w:lang w:val="it-IT"/>
                      </w:rPr>
                      <m:t>dt</m:t>
                    </m:r>
                  </m:den>
                </m:f>
                <m:r>
                  <m:rPr>
                    <m:sty m:val="p"/>
                  </m:rPr>
                  <w:rPr>
                    <w:rFonts w:ascii="Cambria Math" w:hAnsi="Cambria Math"/>
                  </w:rPr>
                  <m:t>=</m:t>
                </m:r>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n</m:t>
                    </m:r>
                  </m:sub>
                </m:sSub>
                <m:r>
                  <m:rPr>
                    <m:sty m:val="p"/>
                  </m:rPr>
                  <w:rPr>
                    <w:rFonts w:ascii="Cambria Math" w:hAnsi="Cambria Math"/>
                  </w:rPr>
                  <m:t>*</m:t>
                </m:r>
                <m:r>
                  <w:rPr>
                    <w:rFonts w:ascii="Cambria Math" w:hAnsi="Cambria Math"/>
                    <w:lang w:val="it-IT"/>
                  </w:rPr>
                  <m:t>X</m:t>
                </m:r>
                <m:ctrlPr>
                  <w:rPr>
                    <w:rFonts w:ascii="Cambria Math" w:eastAsia="Cambria Math" w:hAnsi="Cambria Math" w:cs="Cambria Math"/>
                  </w:rPr>
                </m:ctrlPr>
              </m:e>
              <m:e>
                <m:f>
                  <m:fPr>
                    <m:ctrlPr>
                      <w:rPr>
                        <w:rFonts w:ascii="Cambria Math" w:hAnsi="Cambria Math"/>
                        <w:lang w:val="it-IT"/>
                      </w:rPr>
                    </m:ctrlPr>
                  </m:fPr>
                  <m:num>
                    <m:r>
                      <w:rPr>
                        <w:rFonts w:ascii="Cambria Math" w:hAnsi="Cambria Math"/>
                        <w:lang w:val="it-IT"/>
                      </w:rPr>
                      <m:t>dP</m:t>
                    </m:r>
                  </m:num>
                  <m:den>
                    <m:r>
                      <w:rPr>
                        <w:rFonts w:ascii="Cambria Math" w:hAnsi="Cambria Math"/>
                        <w:lang w:val="it-IT"/>
                      </w:rPr>
                      <m:t>dt</m:t>
                    </m:r>
                  </m:den>
                </m:f>
                <m:r>
                  <m:rPr>
                    <m:sty m:val="p"/>
                  </m:rPr>
                  <w:rPr>
                    <w:rFonts w:ascii="Cambria Math" w:hAnsi="Cambria Math"/>
                  </w:rPr>
                  <m:t>=</m:t>
                </m:r>
                <m:sSub>
                  <m:sSubPr>
                    <m:ctrlPr>
                      <w:rPr>
                        <w:rFonts w:ascii="Cambria Math" w:hAnsi="Cambria Math"/>
                        <w:lang w:val="it-IT"/>
                      </w:rPr>
                    </m:ctrlPr>
                  </m:sSubPr>
                  <m:e>
                    <m:r>
                      <w:rPr>
                        <w:rFonts w:ascii="Cambria Math" w:hAnsi="Cambria Math"/>
                        <w:lang w:val="it-IT"/>
                      </w:rPr>
                      <m:t>ρ</m:t>
                    </m:r>
                  </m:e>
                  <m:sub>
                    <m:r>
                      <w:rPr>
                        <w:rFonts w:ascii="Cambria Math" w:hAnsi="Cambria Math"/>
                        <w:lang w:val="it-IT"/>
                      </w:rPr>
                      <m:t>p</m:t>
                    </m:r>
                  </m:sub>
                </m:sSub>
                <m:r>
                  <m:rPr>
                    <m:sty m:val="p"/>
                  </m:rPr>
                  <w:rPr>
                    <w:rFonts w:ascii="Cambria Math" w:hAnsi="Cambria Math"/>
                  </w:rPr>
                  <m:t>*</m:t>
                </m:r>
                <m:r>
                  <w:rPr>
                    <w:rFonts w:ascii="Cambria Math" w:hAnsi="Cambria Math"/>
                    <w:lang w:val="it-IT"/>
                  </w:rPr>
                  <m:t>X</m:t>
                </m:r>
                <m:ctrlPr>
                  <w:rPr>
                    <w:rFonts w:ascii="Cambria Math" w:eastAsia="Cambria Math" w:hAnsi="Cambria Math" w:cs="Cambria Math"/>
                  </w:rPr>
                </m:ctrlPr>
              </m:e>
              <m:e>
                <m:f>
                  <m:fPr>
                    <m:ctrlPr>
                      <w:rPr>
                        <w:rFonts w:ascii="Cambria Math" w:hAnsi="Cambria Math"/>
                        <w:lang w:val="it-IT"/>
                      </w:rPr>
                    </m:ctrlPr>
                  </m:fPr>
                  <m:num>
                    <m:r>
                      <w:rPr>
                        <w:rFonts w:ascii="Cambria Math" w:hAnsi="Cambria Math"/>
                        <w:lang w:val="it-IT"/>
                      </w:rPr>
                      <m:t>dS</m:t>
                    </m:r>
                  </m:num>
                  <m:den>
                    <m:r>
                      <w:rPr>
                        <w:rFonts w:ascii="Cambria Math" w:hAnsi="Cambria Math"/>
                        <w:lang w:val="it-IT"/>
                      </w:rPr>
                      <m:t>dt</m:t>
                    </m:r>
                  </m:den>
                </m:f>
                <m:r>
                  <m:rPr>
                    <m:sty m:val="p"/>
                  </m:rPr>
                  <w:rPr>
                    <w:rFonts w:ascii="Cambria Math" w:hAnsi="Cambria Math"/>
                  </w:rPr>
                  <m:t>=</m:t>
                </m:r>
                <m:sSub>
                  <m:sSubPr>
                    <m:ctrlPr>
                      <w:rPr>
                        <w:rFonts w:ascii="Cambria Math" w:hAnsi="Cambria Math"/>
                        <w:lang w:val="it-IT"/>
                      </w:rPr>
                    </m:ctrlPr>
                  </m:sSubPr>
                  <m:e>
                    <m:r>
                      <w:rPr>
                        <w:rFonts w:ascii="Cambria Math" w:hAnsi="Cambria Math"/>
                        <w:lang w:val="it-IT"/>
                      </w:rPr>
                      <m:t>π</m:t>
                    </m:r>
                  </m:e>
                  <m:sub>
                    <m:r>
                      <w:rPr>
                        <w:rFonts w:ascii="Cambria Math" w:hAnsi="Cambria Math"/>
                        <w:lang w:val="it-IT"/>
                      </w:rPr>
                      <m:t>s</m:t>
                    </m:r>
                  </m:sub>
                </m:sSub>
                <m:r>
                  <m:rPr>
                    <m:sty m:val="p"/>
                  </m:rPr>
                  <w:rPr>
                    <w:rFonts w:ascii="Cambria Math" w:hAnsi="Cambria Math"/>
                  </w:rPr>
                  <m:t>*</m:t>
                </m:r>
                <m:r>
                  <w:rPr>
                    <w:rFonts w:ascii="Cambria Math" w:hAnsi="Cambria Math"/>
                    <w:lang w:val="it-IT"/>
                  </w:rPr>
                  <m:t>X</m:t>
                </m:r>
                <m:ctrlPr>
                  <w:rPr>
                    <w:rFonts w:ascii="Cambria Math" w:eastAsia="Cambria Math" w:hAnsi="Cambria Math" w:cs="Cambria Math"/>
                  </w:rPr>
                </m:ctrlPr>
              </m:e>
              <m:e>
                <m:f>
                  <m:fPr>
                    <m:ctrlPr>
                      <w:rPr>
                        <w:rFonts w:ascii="Cambria Math" w:hAnsi="Cambria Math"/>
                        <w:lang w:val="it-IT"/>
                      </w:rPr>
                    </m:ctrlPr>
                  </m:fPr>
                  <m:num>
                    <m:r>
                      <w:rPr>
                        <w:rFonts w:ascii="Cambria Math" w:hAnsi="Cambria Math"/>
                        <w:lang w:val="it-IT"/>
                      </w:rPr>
                      <m:t>dL</m:t>
                    </m:r>
                  </m:num>
                  <m:den>
                    <m:r>
                      <w:rPr>
                        <w:rFonts w:ascii="Cambria Math" w:hAnsi="Cambria Math"/>
                        <w:lang w:val="it-IT"/>
                      </w:rPr>
                      <m:t>dt</m:t>
                    </m:r>
                  </m:den>
                </m:f>
                <m:r>
                  <m:rPr>
                    <m:sty m:val="p"/>
                  </m:rPr>
                  <w:rPr>
                    <w:rFonts w:ascii="Cambria Math" w:hAnsi="Cambria Math"/>
                  </w:rPr>
                  <m:t>=</m:t>
                </m:r>
                <m:sSub>
                  <m:sSubPr>
                    <m:ctrlPr>
                      <w:rPr>
                        <w:rFonts w:ascii="Cambria Math" w:hAnsi="Cambria Math"/>
                        <w:lang w:val="it-IT"/>
                      </w:rPr>
                    </m:ctrlPr>
                  </m:sSubPr>
                  <m:e>
                    <m:r>
                      <w:rPr>
                        <w:rFonts w:ascii="Cambria Math" w:hAnsi="Cambria Math"/>
                        <w:lang w:val="it-IT"/>
                      </w:rPr>
                      <m:t>π</m:t>
                    </m:r>
                  </m:e>
                  <m:sub>
                    <m:r>
                      <w:rPr>
                        <w:rFonts w:ascii="Cambria Math" w:hAnsi="Cambria Math"/>
                        <w:lang w:val="it-IT"/>
                      </w:rPr>
                      <m:t>l</m:t>
                    </m:r>
                  </m:sub>
                </m:sSub>
                <m:r>
                  <m:rPr>
                    <m:sty m:val="p"/>
                  </m:rPr>
                  <w:rPr>
                    <w:rFonts w:ascii="Cambria Math" w:hAnsi="Cambria Math"/>
                  </w:rPr>
                  <m:t>*</m:t>
                </m:r>
                <m:r>
                  <w:rPr>
                    <w:rFonts w:ascii="Cambria Math" w:hAnsi="Cambria Math"/>
                    <w:lang w:val="it-IT"/>
                  </w:rPr>
                  <m:t>X</m:t>
                </m:r>
              </m:e>
            </m:eqArr>
          </m:e>
        </m:d>
      </m:oMath>
      <w:r w:rsidR="001E3287">
        <w:t xml:space="preserve"> </w:t>
      </w:r>
      <w:r w:rsidR="001E3287">
        <w:tab/>
      </w:r>
      <w:r w:rsidR="001E3287">
        <w:tab/>
      </w:r>
      <w:r w:rsidR="001E3287">
        <w:tab/>
        <w:t xml:space="preserve"> (7)</w:t>
      </w:r>
    </w:p>
    <w:p w14:paraId="5E8883B7" w14:textId="674D3B2D" w:rsidR="00E6587D" w:rsidRDefault="00233A89" w:rsidP="00950B36">
      <w:pPr>
        <w:pStyle w:val="CETTabletitle"/>
        <w:jc w:val="both"/>
        <w:rPr>
          <w:i w:val="0"/>
          <w:lang w:val="en-US"/>
        </w:rPr>
      </w:pPr>
      <w:r w:rsidRPr="00233A89">
        <w:rPr>
          <w:i w:val="0"/>
          <w:lang w:val="en-US"/>
        </w:rPr>
        <w:t xml:space="preserve">The mathematical model describing the dynamic behavior of the system is a system of ordinary differential equations of the following general form: </w:t>
      </w:r>
      <w:r w:rsidRPr="00233A89">
        <w:rPr>
          <w:rFonts w:ascii="Cambria Math" w:hAnsi="Cambria Math" w:cs="Cambria Math"/>
          <w:i w:val="0"/>
          <w:lang w:val="en-US"/>
        </w:rPr>
        <w:t>𝑑𝑥</w:t>
      </w:r>
      <w:r w:rsidRPr="00233A89">
        <w:rPr>
          <w:i w:val="0"/>
          <w:lang w:val="en-US"/>
        </w:rPr>
        <w:t>(</w:t>
      </w:r>
      <w:r w:rsidRPr="00233A89">
        <w:rPr>
          <w:rFonts w:ascii="Cambria Math" w:hAnsi="Cambria Math" w:cs="Cambria Math"/>
          <w:i w:val="0"/>
          <w:lang w:val="en-US"/>
        </w:rPr>
        <w:t>𝑡</w:t>
      </w:r>
      <w:r w:rsidRPr="00233A89">
        <w:rPr>
          <w:i w:val="0"/>
          <w:lang w:val="en-US"/>
        </w:rPr>
        <w:t xml:space="preserve">) </w:t>
      </w:r>
      <w:r w:rsidRPr="00233A89">
        <w:rPr>
          <w:rFonts w:ascii="Cambria Math" w:hAnsi="Cambria Math" w:cs="Cambria Math"/>
          <w:i w:val="0"/>
          <w:lang w:val="en-US"/>
        </w:rPr>
        <w:t>𝑑𝑡</w:t>
      </w:r>
      <w:r w:rsidRPr="00233A89">
        <w:rPr>
          <w:i w:val="0"/>
          <w:lang w:val="en-US"/>
        </w:rPr>
        <w:t xml:space="preserve"> = </w:t>
      </w:r>
      <w:r w:rsidRPr="00233A89">
        <w:rPr>
          <w:rFonts w:ascii="Cambria Math" w:hAnsi="Cambria Math" w:cs="Cambria Math"/>
          <w:i w:val="0"/>
          <w:lang w:val="en-US"/>
        </w:rPr>
        <w:t>𝑓</w:t>
      </w:r>
      <w:r w:rsidRPr="00233A89">
        <w:rPr>
          <w:i w:val="0"/>
          <w:lang w:val="en-US"/>
        </w:rPr>
        <w:t>(</w:t>
      </w:r>
      <w:r w:rsidRPr="00233A89">
        <w:rPr>
          <w:rFonts w:ascii="Cambria Math" w:hAnsi="Cambria Math" w:cs="Cambria Math"/>
          <w:i w:val="0"/>
          <w:lang w:val="en-US"/>
        </w:rPr>
        <w:t>𝑥</w:t>
      </w:r>
      <w:r w:rsidRPr="00233A89">
        <w:rPr>
          <w:i w:val="0"/>
          <w:lang w:val="en-US"/>
        </w:rPr>
        <w:t>(</w:t>
      </w:r>
      <w:r w:rsidRPr="00233A89">
        <w:rPr>
          <w:rFonts w:ascii="Cambria Math" w:hAnsi="Cambria Math" w:cs="Cambria Math"/>
          <w:i w:val="0"/>
          <w:lang w:val="en-US"/>
        </w:rPr>
        <w:t>𝑡</w:t>
      </w:r>
      <w:r w:rsidRPr="00233A89">
        <w:rPr>
          <w:i w:val="0"/>
          <w:lang w:val="en-US"/>
        </w:rPr>
        <w:t xml:space="preserve">), </w:t>
      </w:r>
      <w:r w:rsidRPr="00233A89">
        <w:rPr>
          <w:rFonts w:ascii="Cambria Math" w:hAnsi="Cambria Math" w:cs="Cambria Math"/>
          <w:i w:val="0"/>
          <w:lang w:val="en-US"/>
        </w:rPr>
        <w:t>𝜃</w:t>
      </w:r>
      <w:r w:rsidRPr="00233A89">
        <w:rPr>
          <w:i w:val="0"/>
          <w:lang w:val="en-US"/>
        </w:rPr>
        <w:t xml:space="preserve">) where </w:t>
      </w:r>
      <w:r w:rsidR="00C31D28" w:rsidRPr="00233A89">
        <w:rPr>
          <w:rFonts w:ascii="Cambria Math" w:hAnsi="Cambria Math" w:cs="Cambria Math"/>
          <w:i w:val="0"/>
          <w:lang w:val="en-US"/>
        </w:rPr>
        <w:t>𝑥</w:t>
      </w:r>
      <w:r w:rsidRPr="00233A89">
        <w:rPr>
          <w:i w:val="0"/>
          <w:lang w:val="en-US"/>
        </w:rPr>
        <w:t xml:space="preserve"> is the vector of differential variables (</w:t>
      </w:r>
      <w:r w:rsidRPr="000843CA">
        <w:rPr>
          <w:iCs/>
          <w:lang w:val="en-US"/>
        </w:rPr>
        <w:t>X,G,N,P,S,L</w:t>
      </w:r>
      <w:r w:rsidRPr="00233A89">
        <w:rPr>
          <w:i w:val="0"/>
          <w:lang w:val="en-US"/>
        </w:rPr>
        <w:t xml:space="preserve">) and </w:t>
      </w:r>
      <w:r w:rsidRPr="00E25405">
        <w:rPr>
          <w:iCs/>
          <w:lang w:val="it-IT"/>
        </w:rPr>
        <w:t>θ</w:t>
      </w:r>
      <w:r w:rsidRPr="00233A89">
        <w:rPr>
          <w:i w:val="0"/>
          <w:lang w:val="en-US"/>
        </w:rPr>
        <w:t xml:space="preserve"> is the vector of model parameters to be determined. Solved by using the </w:t>
      </w:r>
      <w:r w:rsidRPr="00233A89">
        <w:rPr>
          <w:iCs/>
          <w:lang w:val="en-US"/>
        </w:rPr>
        <w:t>Simulated Annealing Constrained</w:t>
      </w:r>
      <w:r w:rsidRPr="00233A89">
        <w:rPr>
          <w:i w:val="0"/>
          <w:lang w:val="en-US"/>
        </w:rPr>
        <w:t xml:space="preserve"> method to find the best set of parameters.</w:t>
      </w:r>
      <w:r>
        <w:rPr>
          <w:i w:val="0"/>
          <w:lang w:val="en-US"/>
        </w:rPr>
        <w:t xml:space="preserve"> </w:t>
      </w:r>
      <w:r w:rsidRPr="00233A89">
        <w:rPr>
          <w:i w:val="0"/>
          <w:lang w:val="en-US"/>
        </w:rPr>
        <w:t>Table 1 shows the parameters used in "run 9" found in the Murwanashyaka et al. 2020 model.</w:t>
      </w:r>
    </w:p>
    <w:p w14:paraId="2ECFB45B" w14:textId="2058E57A" w:rsidR="00732718" w:rsidRPr="002667FC" w:rsidRDefault="00732718" w:rsidP="00732718">
      <w:pPr>
        <w:pStyle w:val="CETTabletitle"/>
        <w:rPr>
          <w:lang w:val="en-US"/>
        </w:rPr>
      </w:pPr>
      <w:r w:rsidRPr="002667FC">
        <w:rPr>
          <w:lang w:val="en-US"/>
        </w:rPr>
        <w:t xml:space="preserve">Table 1: </w:t>
      </w:r>
      <w:r w:rsidR="002667FC" w:rsidRPr="00982E03">
        <w:rPr>
          <w:lang w:val="en-US"/>
        </w:rPr>
        <w:t>Reported by</w:t>
      </w:r>
      <w:r w:rsidRPr="00982E03">
        <w:rPr>
          <w:lang w:val="en-US"/>
        </w:rPr>
        <w:t xml:space="preserve"> Murwanashyaka et al. 2020</w:t>
      </w:r>
      <w:r w:rsidRPr="002667FC">
        <w:rPr>
          <w:lang w:val="en-US"/>
        </w:rPr>
        <w:t xml:space="preserve">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992"/>
        <w:gridCol w:w="992"/>
        <w:gridCol w:w="851"/>
        <w:gridCol w:w="1134"/>
        <w:gridCol w:w="1417"/>
        <w:gridCol w:w="1323"/>
        <w:gridCol w:w="1085"/>
      </w:tblGrid>
      <w:tr w:rsidR="00732718" w:rsidRPr="00B57B36" w14:paraId="1B9C858F" w14:textId="77777777" w:rsidTr="00684B28">
        <w:tc>
          <w:tcPr>
            <w:tcW w:w="993" w:type="dxa"/>
            <w:tcBorders>
              <w:top w:val="single" w:sz="12" w:space="0" w:color="008000"/>
              <w:bottom w:val="single" w:sz="6" w:space="0" w:color="008000"/>
            </w:tcBorders>
            <w:shd w:val="clear" w:color="auto" w:fill="FFFFFF"/>
          </w:tcPr>
          <w:p w14:paraId="7146C638" w14:textId="77777777" w:rsidR="00732718" w:rsidRPr="00F51A5C" w:rsidRDefault="00732718" w:rsidP="00684B28">
            <w:pPr>
              <w:pStyle w:val="CETBodytext"/>
              <w:rPr>
                <w:lang w:val="en-GB"/>
              </w:rPr>
            </w:pPr>
            <w:r>
              <w:rPr>
                <w:lang w:val="en-GB"/>
              </w:rPr>
              <w:t>K</w:t>
            </w:r>
            <w:r w:rsidRPr="002C3C2E">
              <w:rPr>
                <w:vertAlign w:val="subscript"/>
                <w:lang w:val="en-GB"/>
              </w:rPr>
              <w:t>g</w:t>
            </w:r>
            <w:r w:rsidRPr="00F51A5C">
              <w:rPr>
                <w:lang w:val="en-GB"/>
              </w:rPr>
              <w:t xml:space="preserve"> [g</w:t>
            </w:r>
            <w:r w:rsidRPr="00895632">
              <w:rPr>
                <w:vertAlign w:val="subscript"/>
                <w:lang w:val="en-GB"/>
              </w:rPr>
              <w:t>C</w:t>
            </w:r>
            <w:r w:rsidRPr="00F51A5C">
              <w:rPr>
                <w:lang w:val="en-GB"/>
              </w:rPr>
              <w:t xml:space="preserve"> L</w:t>
            </w:r>
            <w:r w:rsidRPr="00F51A5C">
              <w:rPr>
                <w:vertAlign w:val="superscript"/>
                <w:lang w:val="en-GB"/>
              </w:rPr>
              <w:t>-1</w:t>
            </w:r>
            <w:r w:rsidRPr="00F51A5C">
              <w:rPr>
                <w:lang w:val="en-GB"/>
              </w:rPr>
              <w:t>]</w:t>
            </w:r>
          </w:p>
        </w:tc>
        <w:tc>
          <w:tcPr>
            <w:tcW w:w="992" w:type="dxa"/>
            <w:tcBorders>
              <w:top w:val="single" w:sz="12" w:space="0" w:color="008000"/>
              <w:bottom w:val="single" w:sz="6" w:space="0" w:color="008000"/>
            </w:tcBorders>
            <w:shd w:val="clear" w:color="auto" w:fill="FFFFFF"/>
          </w:tcPr>
          <w:p w14:paraId="432F5744" w14:textId="77777777" w:rsidR="00732718" w:rsidRPr="00B57B36" w:rsidRDefault="00732718" w:rsidP="00684B28">
            <w:pPr>
              <w:pStyle w:val="CETBodytext"/>
              <w:rPr>
                <w:lang w:val="en-GB"/>
              </w:rPr>
            </w:pPr>
            <w:r>
              <w:rPr>
                <w:lang w:val="en-GB"/>
              </w:rPr>
              <w:t>K</w:t>
            </w:r>
            <w:r w:rsidRPr="002C3C2E">
              <w:rPr>
                <w:vertAlign w:val="subscript"/>
                <w:lang w:val="en-GB"/>
              </w:rPr>
              <w:t>n</w:t>
            </w:r>
            <w:r>
              <w:rPr>
                <w:vertAlign w:val="subscript"/>
                <w:lang w:val="en-GB"/>
              </w:rPr>
              <w:t xml:space="preserve"> </w:t>
            </w:r>
            <w:r w:rsidRPr="00F51A5C">
              <w:rPr>
                <w:lang w:val="en-GB"/>
              </w:rPr>
              <w:t>[g</w:t>
            </w:r>
            <w:r w:rsidRPr="00895632">
              <w:rPr>
                <w:vertAlign w:val="subscript"/>
                <w:lang w:val="en-GB"/>
              </w:rPr>
              <w:t>C</w:t>
            </w:r>
            <w:r w:rsidRPr="00F51A5C">
              <w:rPr>
                <w:lang w:val="en-GB"/>
              </w:rPr>
              <w:t xml:space="preserve"> L</w:t>
            </w:r>
            <w:r w:rsidRPr="00F51A5C">
              <w:rPr>
                <w:vertAlign w:val="superscript"/>
                <w:lang w:val="en-GB"/>
              </w:rPr>
              <w:t>-1</w:t>
            </w:r>
            <w:r w:rsidRPr="00F51A5C">
              <w:rPr>
                <w:lang w:val="en-GB"/>
              </w:rPr>
              <w:t>]</w:t>
            </w:r>
            <w:r>
              <w:rPr>
                <w:vertAlign w:val="subscript"/>
                <w:lang w:val="en-GB"/>
              </w:rPr>
              <w:t xml:space="preserve"> </w:t>
            </w:r>
          </w:p>
        </w:tc>
        <w:tc>
          <w:tcPr>
            <w:tcW w:w="992" w:type="dxa"/>
            <w:tcBorders>
              <w:top w:val="single" w:sz="12" w:space="0" w:color="008000"/>
              <w:bottom w:val="single" w:sz="6" w:space="0" w:color="008000"/>
            </w:tcBorders>
            <w:shd w:val="clear" w:color="auto" w:fill="FFFFFF"/>
          </w:tcPr>
          <w:p w14:paraId="0A33AE8A" w14:textId="77777777" w:rsidR="00732718" w:rsidRPr="00B57B36" w:rsidRDefault="00732718" w:rsidP="00684B28">
            <w:pPr>
              <w:pStyle w:val="CETBodytext"/>
              <w:rPr>
                <w:lang w:val="en-GB"/>
              </w:rPr>
            </w:pPr>
            <w:r>
              <w:rPr>
                <w:lang w:val="en-GB"/>
              </w:rPr>
              <w:t>K</w:t>
            </w:r>
            <w:r w:rsidRPr="002C3C2E">
              <w:rPr>
                <w:vertAlign w:val="subscript"/>
                <w:lang w:val="en-GB"/>
              </w:rPr>
              <w:t>p</w:t>
            </w:r>
            <w:r>
              <w:rPr>
                <w:vertAlign w:val="subscript"/>
                <w:lang w:val="en-GB"/>
              </w:rPr>
              <w:t xml:space="preserve"> </w:t>
            </w:r>
            <w:r w:rsidRPr="00F51A5C">
              <w:rPr>
                <w:lang w:val="en-GB"/>
              </w:rPr>
              <w:t>[g</w:t>
            </w:r>
            <w:r w:rsidRPr="00895632">
              <w:rPr>
                <w:vertAlign w:val="subscript"/>
                <w:lang w:val="en-GB"/>
              </w:rPr>
              <w:t>P</w:t>
            </w:r>
            <w:r w:rsidRPr="00F51A5C">
              <w:rPr>
                <w:lang w:val="en-GB"/>
              </w:rPr>
              <w:t xml:space="preserve"> L</w:t>
            </w:r>
            <w:r w:rsidRPr="00F51A5C">
              <w:rPr>
                <w:vertAlign w:val="superscript"/>
                <w:lang w:val="en-GB"/>
              </w:rPr>
              <w:t>-1</w:t>
            </w:r>
            <w:r w:rsidRPr="00F51A5C">
              <w:rPr>
                <w:lang w:val="en-GB"/>
              </w:rPr>
              <w:t>]</w:t>
            </w:r>
          </w:p>
        </w:tc>
        <w:tc>
          <w:tcPr>
            <w:tcW w:w="851" w:type="dxa"/>
            <w:tcBorders>
              <w:top w:val="single" w:sz="12" w:space="0" w:color="008000"/>
              <w:bottom w:val="single" w:sz="6" w:space="0" w:color="008000"/>
            </w:tcBorders>
            <w:shd w:val="clear" w:color="auto" w:fill="FFFFFF"/>
          </w:tcPr>
          <w:p w14:paraId="7BBB87A5" w14:textId="77777777" w:rsidR="00732718" w:rsidRPr="00B57B36" w:rsidRDefault="00732718" w:rsidP="00684B28">
            <w:pPr>
              <w:pStyle w:val="CETBodytext"/>
              <w:ind w:right="-1"/>
              <w:rPr>
                <w:rFonts w:cs="Arial"/>
                <w:szCs w:val="18"/>
                <w:lang w:val="en-GB"/>
              </w:rPr>
            </w:pPr>
            <w:r>
              <w:rPr>
                <w:rFonts w:cs="Arial"/>
                <w:szCs w:val="18"/>
                <w:lang w:val="en-GB"/>
              </w:rPr>
              <w:t>μ</w:t>
            </w:r>
            <w:r w:rsidRPr="002C3C2E">
              <w:rPr>
                <w:rFonts w:cs="Arial"/>
                <w:szCs w:val="18"/>
                <w:vertAlign w:val="subscript"/>
                <w:lang w:val="en-GB"/>
              </w:rPr>
              <w:t>m</w:t>
            </w:r>
            <w:r>
              <w:rPr>
                <w:rFonts w:cs="Arial"/>
                <w:szCs w:val="18"/>
                <w:vertAlign w:val="subscript"/>
                <w:lang w:val="en-GB"/>
              </w:rPr>
              <w:t xml:space="preserve"> </w:t>
            </w:r>
            <w:r w:rsidRPr="00F51A5C">
              <w:rPr>
                <w:lang w:val="en-GB"/>
              </w:rPr>
              <w:t>[</w:t>
            </w:r>
            <w:r>
              <w:rPr>
                <w:lang w:val="en-GB"/>
              </w:rPr>
              <w:t>h</w:t>
            </w:r>
            <w:r w:rsidRPr="00F51A5C">
              <w:rPr>
                <w:vertAlign w:val="superscript"/>
                <w:lang w:val="en-GB"/>
              </w:rPr>
              <w:t>-1</w:t>
            </w:r>
            <w:r w:rsidRPr="00F51A5C">
              <w:rPr>
                <w:lang w:val="en-GB"/>
              </w:rPr>
              <w:t>]</w:t>
            </w:r>
          </w:p>
        </w:tc>
        <w:tc>
          <w:tcPr>
            <w:tcW w:w="1134" w:type="dxa"/>
            <w:tcBorders>
              <w:top w:val="single" w:sz="12" w:space="0" w:color="008000"/>
              <w:bottom w:val="single" w:sz="6" w:space="0" w:color="008000"/>
            </w:tcBorders>
            <w:shd w:val="clear" w:color="auto" w:fill="FFFFFF"/>
          </w:tcPr>
          <w:p w14:paraId="644FC8E3" w14:textId="77777777" w:rsidR="00732718" w:rsidRPr="00F51A5C" w:rsidRDefault="00732718" w:rsidP="00684B28">
            <w:pPr>
              <w:pStyle w:val="CETBodytext"/>
              <w:ind w:right="-1"/>
              <w:rPr>
                <w:rFonts w:cs="Arial"/>
                <w:szCs w:val="18"/>
                <w:lang w:val="en-GB"/>
              </w:rPr>
            </w:pPr>
            <w:r>
              <w:rPr>
                <w:rFonts w:cs="Arial"/>
                <w:szCs w:val="18"/>
                <w:lang w:val="en-GB"/>
              </w:rPr>
              <w:t>α</w:t>
            </w:r>
            <w:r w:rsidRPr="002C3C2E">
              <w:rPr>
                <w:rFonts w:cs="Arial"/>
                <w:szCs w:val="18"/>
                <w:vertAlign w:val="subscript"/>
                <w:lang w:val="en-GB"/>
              </w:rPr>
              <w:t>s</w:t>
            </w:r>
            <w:r>
              <w:rPr>
                <w:rFonts w:cs="Arial"/>
                <w:szCs w:val="18"/>
                <w:vertAlign w:val="subscript"/>
                <w:lang w:val="en-GB"/>
              </w:rPr>
              <w:t xml:space="preserve"> </w:t>
            </w:r>
            <w:r>
              <w:rPr>
                <w:rFonts w:cs="Arial"/>
                <w:szCs w:val="18"/>
                <w:lang w:val="en-GB"/>
              </w:rPr>
              <w:t>[</w:t>
            </w:r>
            <w:r w:rsidRPr="00F51A5C">
              <w:rPr>
                <w:rFonts w:cs="Arial"/>
                <w:szCs w:val="18"/>
                <w:lang w:val="en-GB"/>
              </w:rPr>
              <w:t>g g</w:t>
            </w:r>
            <w:r w:rsidRPr="00F51A5C">
              <w:rPr>
                <w:rFonts w:cs="Arial"/>
                <w:szCs w:val="18"/>
                <w:vertAlign w:val="subscript"/>
                <w:lang w:val="en-GB"/>
              </w:rPr>
              <w:t>DW</w:t>
            </w:r>
            <w:r w:rsidRPr="00F51A5C">
              <w:rPr>
                <w:rFonts w:cs="Arial"/>
                <w:szCs w:val="18"/>
                <w:vertAlign w:val="superscript"/>
                <w:lang w:val="en-GB"/>
              </w:rPr>
              <w:t>-1</w:t>
            </w:r>
            <w:r>
              <w:rPr>
                <w:rFonts w:cs="Arial"/>
                <w:szCs w:val="18"/>
                <w:lang w:val="en-GB"/>
              </w:rPr>
              <w:t>]</w:t>
            </w:r>
          </w:p>
        </w:tc>
        <w:tc>
          <w:tcPr>
            <w:tcW w:w="1417" w:type="dxa"/>
            <w:tcBorders>
              <w:top w:val="single" w:sz="12" w:space="0" w:color="008000"/>
              <w:bottom w:val="single" w:sz="6" w:space="0" w:color="008000"/>
            </w:tcBorders>
            <w:shd w:val="clear" w:color="auto" w:fill="FFFFFF"/>
          </w:tcPr>
          <w:p w14:paraId="63DAA7B8" w14:textId="77777777" w:rsidR="00732718" w:rsidRDefault="00732718" w:rsidP="00684B28">
            <w:pPr>
              <w:pStyle w:val="CETBodytext"/>
              <w:ind w:right="-1"/>
              <w:rPr>
                <w:rFonts w:cs="Arial"/>
                <w:szCs w:val="18"/>
                <w:lang w:val="en-GB"/>
              </w:rPr>
            </w:pPr>
            <w:r>
              <w:rPr>
                <w:rFonts w:cs="Arial"/>
                <w:szCs w:val="18"/>
                <w:lang w:val="en-GB"/>
              </w:rPr>
              <w:t>β</w:t>
            </w:r>
            <w:r w:rsidRPr="002C3C2E">
              <w:rPr>
                <w:rFonts w:cs="Arial"/>
                <w:szCs w:val="18"/>
                <w:vertAlign w:val="subscript"/>
                <w:lang w:val="en-GB"/>
              </w:rPr>
              <w:t>s</w:t>
            </w:r>
            <w:r>
              <w:rPr>
                <w:rFonts w:cs="Arial"/>
                <w:szCs w:val="18"/>
                <w:vertAlign w:val="subscript"/>
                <w:lang w:val="en-GB"/>
              </w:rPr>
              <w:t xml:space="preserve"> </w:t>
            </w:r>
            <w:r w:rsidRPr="00895632">
              <w:rPr>
                <w:rFonts w:cs="Arial"/>
                <w:szCs w:val="18"/>
                <w:lang w:val="en-GB"/>
              </w:rPr>
              <w:t>[g g</w:t>
            </w:r>
            <w:r w:rsidRPr="00895632">
              <w:rPr>
                <w:rFonts w:cs="Arial"/>
                <w:szCs w:val="18"/>
                <w:vertAlign w:val="subscript"/>
                <w:lang w:val="en-GB"/>
              </w:rPr>
              <w:t>DW</w:t>
            </w:r>
            <w:r w:rsidRPr="00895632">
              <w:rPr>
                <w:rFonts w:cs="Arial"/>
                <w:szCs w:val="18"/>
                <w:vertAlign w:val="superscript"/>
                <w:lang w:val="en-GB"/>
              </w:rPr>
              <w:t>-1</w:t>
            </w:r>
            <w:r w:rsidRPr="00895632">
              <w:rPr>
                <w:rFonts w:cs="Arial"/>
                <w:szCs w:val="18"/>
                <w:lang w:val="en-GB"/>
              </w:rPr>
              <w:t xml:space="preserve"> h</w:t>
            </w:r>
            <w:r w:rsidRPr="00895632">
              <w:rPr>
                <w:rFonts w:cs="Arial"/>
                <w:szCs w:val="18"/>
                <w:vertAlign w:val="superscript"/>
                <w:lang w:val="en-GB"/>
              </w:rPr>
              <w:t>-1</w:t>
            </w:r>
            <w:r>
              <w:rPr>
                <w:rFonts w:cs="Arial"/>
                <w:szCs w:val="18"/>
                <w:lang w:val="en-GB"/>
              </w:rPr>
              <w:t>]</w:t>
            </w:r>
          </w:p>
        </w:tc>
        <w:tc>
          <w:tcPr>
            <w:tcW w:w="1323" w:type="dxa"/>
            <w:tcBorders>
              <w:top w:val="single" w:sz="12" w:space="0" w:color="008000"/>
              <w:bottom w:val="single" w:sz="6" w:space="0" w:color="008000"/>
            </w:tcBorders>
            <w:shd w:val="clear" w:color="auto" w:fill="FFFFFF"/>
          </w:tcPr>
          <w:p w14:paraId="56613654" w14:textId="77777777" w:rsidR="00732718" w:rsidRDefault="00732718" w:rsidP="00684B28">
            <w:pPr>
              <w:pStyle w:val="CETBodytext"/>
              <w:ind w:right="-1"/>
              <w:rPr>
                <w:rFonts w:cs="Arial"/>
                <w:szCs w:val="18"/>
                <w:lang w:val="en-GB"/>
              </w:rPr>
            </w:pPr>
            <w:r>
              <w:rPr>
                <w:rFonts w:cs="Arial"/>
                <w:szCs w:val="18"/>
                <w:lang w:val="en-GB"/>
              </w:rPr>
              <w:t>α</w:t>
            </w:r>
            <w:r w:rsidRPr="002C3C2E">
              <w:rPr>
                <w:rFonts w:cs="Arial"/>
                <w:szCs w:val="18"/>
                <w:vertAlign w:val="subscript"/>
                <w:lang w:val="en-GB"/>
              </w:rPr>
              <w:t>l</w:t>
            </w:r>
            <w:r>
              <w:rPr>
                <w:rFonts w:cs="Arial"/>
                <w:szCs w:val="18"/>
                <w:vertAlign w:val="subscript"/>
                <w:lang w:val="en-GB"/>
              </w:rPr>
              <w:t xml:space="preserve"> </w:t>
            </w:r>
            <w:r>
              <w:rPr>
                <w:rFonts w:cs="Arial"/>
                <w:szCs w:val="18"/>
                <w:lang w:val="en-GB"/>
              </w:rPr>
              <w:t>[</w:t>
            </w:r>
            <w:r w:rsidRPr="00F51A5C">
              <w:rPr>
                <w:rFonts w:cs="Arial"/>
                <w:szCs w:val="18"/>
                <w:lang w:val="en-GB"/>
              </w:rPr>
              <w:t>g g</w:t>
            </w:r>
            <w:r w:rsidRPr="00F51A5C">
              <w:rPr>
                <w:rFonts w:cs="Arial"/>
                <w:szCs w:val="18"/>
                <w:vertAlign w:val="subscript"/>
                <w:lang w:val="en-GB"/>
              </w:rPr>
              <w:t>DW</w:t>
            </w:r>
            <w:r w:rsidRPr="00F51A5C">
              <w:rPr>
                <w:rFonts w:cs="Arial"/>
                <w:szCs w:val="18"/>
                <w:vertAlign w:val="superscript"/>
                <w:lang w:val="en-GB"/>
              </w:rPr>
              <w:t>-1</w:t>
            </w:r>
            <w:r>
              <w:rPr>
                <w:rFonts w:cs="Arial"/>
                <w:szCs w:val="18"/>
                <w:lang w:val="en-GB"/>
              </w:rPr>
              <w:t>]</w:t>
            </w:r>
          </w:p>
        </w:tc>
        <w:tc>
          <w:tcPr>
            <w:tcW w:w="1085" w:type="dxa"/>
            <w:tcBorders>
              <w:top w:val="single" w:sz="12" w:space="0" w:color="008000"/>
              <w:bottom w:val="single" w:sz="6" w:space="0" w:color="008000"/>
            </w:tcBorders>
            <w:shd w:val="clear" w:color="auto" w:fill="FFFFFF"/>
          </w:tcPr>
          <w:p w14:paraId="6A6E1159" w14:textId="77777777" w:rsidR="00732718" w:rsidRDefault="00732718" w:rsidP="00684B28">
            <w:pPr>
              <w:pStyle w:val="CETBodytext"/>
              <w:ind w:right="-1"/>
              <w:rPr>
                <w:rFonts w:cs="Arial"/>
                <w:szCs w:val="18"/>
                <w:lang w:val="en-GB"/>
              </w:rPr>
            </w:pPr>
            <w:r>
              <w:rPr>
                <w:rFonts w:cs="Arial"/>
                <w:szCs w:val="18"/>
                <w:lang w:val="en-GB"/>
              </w:rPr>
              <w:t>β</w:t>
            </w:r>
            <w:r w:rsidRPr="002C3C2E">
              <w:rPr>
                <w:rFonts w:cs="Arial"/>
                <w:szCs w:val="18"/>
                <w:vertAlign w:val="subscript"/>
                <w:lang w:val="en-GB"/>
              </w:rPr>
              <w:t>l</w:t>
            </w:r>
            <w:r>
              <w:rPr>
                <w:rFonts w:cs="Arial"/>
                <w:szCs w:val="18"/>
                <w:vertAlign w:val="subscript"/>
                <w:lang w:val="en-GB"/>
              </w:rPr>
              <w:t xml:space="preserve"> </w:t>
            </w:r>
            <w:r w:rsidRPr="00895632">
              <w:rPr>
                <w:rFonts w:cs="Arial"/>
                <w:szCs w:val="18"/>
                <w:lang w:val="en-GB"/>
              </w:rPr>
              <w:t>[g g</w:t>
            </w:r>
            <w:r w:rsidRPr="00895632">
              <w:rPr>
                <w:rFonts w:cs="Arial"/>
                <w:szCs w:val="18"/>
                <w:vertAlign w:val="subscript"/>
                <w:lang w:val="en-GB"/>
              </w:rPr>
              <w:t>DW</w:t>
            </w:r>
            <w:r w:rsidRPr="00895632">
              <w:rPr>
                <w:rFonts w:cs="Arial"/>
                <w:szCs w:val="18"/>
                <w:vertAlign w:val="superscript"/>
                <w:lang w:val="en-GB"/>
              </w:rPr>
              <w:t>-1</w:t>
            </w:r>
            <w:r w:rsidRPr="00895632">
              <w:rPr>
                <w:rFonts w:cs="Arial"/>
                <w:szCs w:val="18"/>
                <w:lang w:val="en-GB"/>
              </w:rPr>
              <w:t xml:space="preserve"> h</w:t>
            </w:r>
            <w:r w:rsidRPr="00895632">
              <w:rPr>
                <w:rFonts w:cs="Arial"/>
                <w:szCs w:val="18"/>
                <w:vertAlign w:val="superscript"/>
                <w:lang w:val="en-GB"/>
              </w:rPr>
              <w:t>-1</w:t>
            </w:r>
            <w:r>
              <w:rPr>
                <w:rFonts w:cs="Arial"/>
                <w:szCs w:val="18"/>
                <w:lang w:val="en-GB"/>
              </w:rPr>
              <w:t>]</w:t>
            </w:r>
          </w:p>
        </w:tc>
      </w:tr>
      <w:tr w:rsidR="00732718" w:rsidRPr="00B57B36" w14:paraId="2157BDB1" w14:textId="77777777" w:rsidTr="00684B28">
        <w:tc>
          <w:tcPr>
            <w:tcW w:w="993" w:type="dxa"/>
            <w:shd w:val="clear" w:color="auto" w:fill="FFFFFF"/>
          </w:tcPr>
          <w:p w14:paraId="5EBC8CF3" w14:textId="77777777" w:rsidR="00732718" w:rsidRPr="00B57B36" w:rsidRDefault="00732718" w:rsidP="00684B28">
            <w:pPr>
              <w:pStyle w:val="CETBodytext"/>
              <w:rPr>
                <w:lang w:val="en-GB"/>
              </w:rPr>
            </w:pPr>
            <w:r w:rsidRPr="003477ED">
              <w:rPr>
                <w:szCs w:val="18"/>
                <w:lang w:val="en-GB"/>
              </w:rPr>
              <w:t>1</w:t>
            </w:r>
          </w:p>
        </w:tc>
        <w:tc>
          <w:tcPr>
            <w:tcW w:w="992" w:type="dxa"/>
            <w:shd w:val="clear" w:color="auto" w:fill="FFFFFF"/>
          </w:tcPr>
          <w:p w14:paraId="0278237E" w14:textId="2B246BB2" w:rsidR="00732718" w:rsidRPr="00B57B36" w:rsidRDefault="00732718" w:rsidP="00684B28">
            <w:pPr>
              <w:pStyle w:val="CETBodytext"/>
              <w:rPr>
                <w:lang w:val="en-GB"/>
              </w:rPr>
            </w:pPr>
            <w:r w:rsidRPr="003477ED">
              <w:rPr>
                <w:szCs w:val="18"/>
                <w:lang w:val="en-GB"/>
              </w:rPr>
              <w:t>1</w:t>
            </w:r>
            <w:r w:rsidR="00982E03">
              <w:rPr>
                <w:szCs w:val="18"/>
                <w:lang w:val="en-GB"/>
              </w:rPr>
              <w:t>.</w:t>
            </w:r>
            <w:r w:rsidRPr="003477ED">
              <w:rPr>
                <w:szCs w:val="18"/>
                <w:lang w:val="en-GB"/>
              </w:rPr>
              <w:t>5</w:t>
            </w:r>
            <w:r>
              <w:rPr>
                <w:szCs w:val="18"/>
                <w:lang w:val="en-GB"/>
              </w:rPr>
              <w:t>*10</w:t>
            </w:r>
            <w:r w:rsidRPr="006D323D">
              <w:rPr>
                <w:szCs w:val="18"/>
                <w:vertAlign w:val="superscript"/>
                <w:lang w:val="en-GB"/>
              </w:rPr>
              <w:t>-2</w:t>
            </w:r>
          </w:p>
        </w:tc>
        <w:tc>
          <w:tcPr>
            <w:tcW w:w="992" w:type="dxa"/>
            <w:shd w:val="clear" w:color="auto" w:fill="FFFFFF"/>
          </w:tcPr>
          <w:p w14:paraId="55F64AC0" w14:textId="77777777" w:rsidR="00732718" w:rsidRPr="00B57B36" w:rsidRDefault="00732718" w:rsidP="00684B28">
            <w:pPr>
              <w:pStyle w:val="CETBodytext"/>
              <w:rPr>
                <w:lang w:val="en-GB"/>
              </w:rPr>
            </w:pPr>
            <w:r w:rsidRPr="003477ED">
              <w:rPr>
                <w:szCs w:val="18"/>
                <w:lang w:val="en-GB"/>
              </w:rPr>
              <w:t>2</w:t>
            </w:r>
            <w:r>
              <w:rPr>
                <w:szCs w:val="18"/>
                <w:lang w:val="en-GB"/>
              </w:rPr>
              <w:t>*10</w:t>
            </w:r>
            <w:r w:rsidRPr="006D323D">
              <w:rPr>
                <w:szCs w:val="18"/>
                <w:vertAlign w:val="superscript"/>
                <w:lang w:val="en-GB"/>
              </w:rPr>
              <w:t>-3</w:t>
            </w:r>
          </w:p>
        </w:tc>
        <w:tc>
          <w:tcPr>
            <w:tcW w:w="851" w:type="dxa"/>
            <w:shd w:val="clear" w:color="auto" w:fill="FFFFFF"/>
          </w:tcPr>
          <w:p w14:paraId="649E8782" w14:textId="6C640DAA" w:rsidR="00732718" w:rsidRPr="00B57B36" w:rsidRDefault="00732718" w:rsidP="00684B28">
            <w:pPr>
              <w:pStyle w:val="CETBodytext"/>
              <w:ind w:right="-1"/>
              <w:rPr>
                <w:rFonts w:cs="Arial"/>
                <w:szCs w:val="18"/>
                <w:lang w:val="en-GB"/>
              </w:rPr>
            </w:pPr>
            <w:r w:rsidRPr="003477ED">
              <w:rPr>
                <w:rFonts w:cs="Arial"/>
                <w:szCs w:val="18"/>
                <w:lang w:val="en-GB"/>
              </w:rPr>
              <w:t>1</w:t>
            </w:r>
            <w:r w:rsidR="00982E03">
              <w:rPr>
                <w:rFonts w:cs="Arial"/>
                <w:szCs w:val="18"/>
                <w:lang w:val="en-GB"/>
              </w:rPr>
              <w:t>.</w:t>
            </w:r>
            <w:r w:rsidRPr="003477ED">
              <w:rPr>
                <w:rFonts w:cs="Arial"/>
                <w:szCs w:val="18"/>
                <w:lang w:val="en-GB"/>
              </w:rPr>
              <w:t>1</w:t>
            </w:r>
            <w:r>
              <w:rPr>
                <w:rFonts w:cs="Arial"/>
                <w:szCs w:val="18"/>
                <w:lang w:val="en-GB"/>
              </w:rPr>
              <w:t>*10</w:t>
            </w:r>
            <w:r w:rsidRPr="006D323D">
              <w:rPr>
                <w:rFonts w:cs="Arial"/>
                <w:szCs w:val="18"/>
                <w:vertAlign w:val="superscript"/>
                <w:lang w:val="en-GB"/>
              </w:rPr>
              <w:t>-1</w:t>
            </w:r>
          </w:p>
        </w:tc>
        <w:tc>
          <w:tcPr>
            <w:tcW w:w="1134" w:type="dxa"/>
            <w:shd w:val="clear" w:color="auto" w:fill="FFFFFF"/>
          </w:tcPr>
          <w:p w14:paraId="30C17C51" w14:textId="56C665FB" w:rsidR="00732718" w:rsidRPr="00B57B36" w:rsidRDefault="00732718" w:rsidP="00684B28">
            <w:pPr>
              <w:pStyle w:val="CETBodytext"/>
              <w:ind w:right="-1"/>
              <w:rPr>
                <w:rFonts w:cs="Arial"/>
                <w:szCs w:val="18"/>
                <w:lang w:val="en-GB"/>
              </w:rPr>
            </w:pPr>
            <w:r w:rsidRPr="003477ED">
              <w:rPr>
                <w:rFonts w:cs="Arial"/>
                <w:szCs w:val="18"/>
                <w:lang w:val="en-GB"/>
              </w:rPr>
              <w:t>3</w:t>
            </w:r>
            <w:r w:rsidR="00982E03">
              <w:rPr>
                <w:rFonts w:cs="Arial"/>
                <w:szCs w:val="18"/>
                <w:lang w:val="en-GB"/>
              </w:rPr>
              <w:t>.</w:t>
            </w:r>
            <w:r w:rsidRPr="003477ED">
              <w:rPr>
                <w:rFonts w:cs="Arial"/>
                <w:szCs w:val="18"/>
                <w:lang w:val="en-GB"/>
              </w:rPr>
              <w:t>1</w:t>
            </w:r>
            <w:r>
              <w:rPr>
                <w:rFonts w:cs="Arial"/>
                <w:szCs w:val="18"/>
                <w:lang w:val="en-GB"/>
              </w:rPr>
              <w:t>*10</w:t>
            </w:r>
            <w:r w:rsidRPr="006D323D">
              <w:rPr>
                <w:rFonts w:cs="Arial"/>
                <w:szCs w:val="18"/>
                <w:vertAlign w:val="superscript"/>
                <w:lang w:val="en-GB"/>
              </w:rPr>
              <w:t>-1</w:t>
            </w:r>
          </w:p>
        </w:tc>
        <w:tc>
          <w:tcPr>
            <w:tcW w:w="1417" w:type="dxa"/>
            <w:shd w:val="clear" w:color="auto" w:fill="FFFFFF"/>
          </w:tcPr>
          <w:p w14:paraId="09CAED18" w14:textId="6FE49A07" w:rsidR="00732718" w:rsidRPr="00B57B36" w:rsidRDefault="00732718" w:rsidP="00684B28">
            <w:pPr>
              <w:pStyle w:val="CETBodytext"/>
              <w:ind w:right="-1"/>
              <w:rPr>
                <w:rFonts w:cs="Arial"/>
                <w:szCs w:val="18"/>
                <w:lang w:val="en-GB"/>
              </w:rPr>
            </w:pPr>
            <w:r w:rsidRPr="003477ED">
              <w:rPr>
                <w:rFonts w:cs="Arial"/>
                <w:szCs w:val="18"/>
                <w:lang w:val="en-GB"/>
              </w:rPr>
              <w:t>4</w:t>
            </w:r>
            <w:r w:rsidR="00982E03">
              <w:rPr>
                <w:rFonts w:cs="Arial"/>
                <w:szCs w:val="18"/>
                <w:lang w:val="en-GB"/>
              </w:rPr>
              <w:t>.</w:t>
            </w:r>
            <w:r w:rsidRPr="003477ED">
              <w:rPr>
                <w:rFonts w:cs="Arial"/>
                <w:szCs w:val="18"/>
                <w:lang w:val="en-GB"/>
              </w:rPr>
              <w:t>4</w:t>
            </w:r>
            <w:r>
              <w:rPr>
                <w:rFonts w:cs="Arial"/>
                <w:szCs w:val="18"/>
                <w:lang w:val="en-GB"/>
              </w:rPr>
              <w:t>*10</w:t>
            </w:r>
            <w:r w:rsidRPr="0094059F">
              <w:rPr>
                <w:rFonts w:cs="Arial"/>
                <w:szCs w:val="18"/>
                <w:vertAlign w:val="superscript"/>
                <w:lang w:val="en-GB"/>
              </w:rPr>
              <w:t>-4</w:t>
            </w:r>
          </w:p>
        </w:tc>
        <w:tc>
          <w:tcPr>
            <w:tcW w:w="1323" w:type="dxa"/>
            <w:shd w:val="clear" w:color="auto" w:fill="FFFFFF"/>
          </w:tcPr>
          <w:p w14:paraId="48F67800" w14:textId="0C1DCCFF" w:rsidR="00732718" w:rsidRPr="00B57B36" w:rsidRDefault="00732718" w:rsidP="00684B28">
            <w:pPr>
              <w:pStyle w:val="CETBodytext"/>
              <w:ind w:right="-1"/>
              <w:rPr>
                <w:rFonts w:cs="Arial"/>
                <w:szCs w:val="18"/>
                <w:lang w:val="en-GB"/>
              </w:rPr>
            </w:pPr>
            <w:r w:rsidRPr="003477ED">
              <w:rPr>
                <w:rFonts w:cs="Arial"/>
                <w:szCs w:val="18"/>
                <w:lang w:val="en-GB"/>
              </w:rPr>
              <w:t>3</w:t>
            </w:r>
            <w:r w:rsidR="00982E03">
              <w:rPr>
                <w:rFonts w:cs="Arial"/>
                <w:szCs w:val="18"/>
                <w:lang w:val="en-GB"/>
              </w:rPr>
              <w:t>.</w:t>
            </w:r>
            <w:r w:rsidRPr="003477ED">
              <w:rPr>
                <w:rFonts w:cs="Arial"/>
                <w:szCs w:val="18"/>
                <w:lang w:val="en-GB"/>
              </w:rPr>
              <w:t>6</w:t>
            </w:r>
            <w:r>
              <w:rPr>
                <w:rFonts w:cs="Arial"/>
                <w:szCs w:val="18"/>
                <w:lang w:val="en-GB"/>
              </w:rPr>
              <w:t>*10</w:t>
            </w:r>
            <w:r w:rsidRPr="0094059F">
              <w:rPr>
                <w:rFonts w:cs="Arial"/>
                <w:szCs w:val="18"/>
                <w:vertAlign w:val="superscript"/>
                <w:lang w:val="en-GB"/>
              </w:rPr>
              <w:t>-2</w:t>
            </w:r>
          </w:p>
        </w:tc>
        <w:tc>
          <w:tcPr>
            <w:tcW w:w="1085" w:type="dxa"/>
            <w:shd w:val="clear" w:color="auto" w:fill="FFFFFF"/>
          </w:tcPr>
          <w:p w14:paraId="32668060" w14:textId="41870121" w:rsidR="00732718" w:rsidRPr="00B57B36" w:rsidRDefault="00732718" w:rsidP="00684B28">
            <w:pPr>
              <w:pStyle w:val="CETBodytext"/>
              <w:ind w:right="-1"/>
              <w:rPr>
                <w:rFonts w:cs="Arial"/>
                <w:szCs w:val="18"/>
                <w:lang w:val="en-GB"/>
              </w:rPr>
            </w:pPr>
            <w:r w:rsidRPr="003477ED">
              <w:rPr>
                <w:rFonts w:cs="Arial"/>
                <w:szCs w:val="18"/>
                <w:lang w:val="en-GB"/>
              </w:rPr>
              <w:t>3</w:t>
            </w:r>
            <w:r w:rsidR="00982E03">
              <w:rPr>
                <w:rFonts w:cs="Arial"/>
                <w:szCs w:val="18"/>
                <w:lang w:val="en-GB"/>
              </w:rPr>
              <w:t>.</w:t>
            </w:r>
            <w:r w:rsidRPr="003477ED">
              <w:rPr>
                <w:rFonts w:cs="Arial"/>
                <w:szCs w:val="18"/>
                <w:lang w:val="en-GB"/>
              </w:rPr>
              <w:t>4</w:t>
            </w:r>
            <w:r>
              <w:rPr>
                <w:rFonts w:cs="Arial"/>
                <w:szCs w:val="18"/>
                <w:lang w:val="en-GB"/>
              </w:rPr>
              <w:t>*10</w:t>
            </w:r>
            <w:r w:rsidRPr="0094059F">
              <w:rPr>
                <w:rFonts w:cs="Arial"/>
                <w:szCs w:val="18"/>
                <w:vertAlign w:val="superscript"/>
                <w:lang w:val="en-GB"/>
              </w:rPr>
              <w:t>-4</w:t>
            </w:r>
          </w:p>
        </w:tc>
      </w:tr>
    </w:tbl>
    <w:p w14:paraId="3E14E879" w14:textId="77777777" w:rsidR="00732718" w:rsidRDefault="00732718" w:rsidP="00732718">
      <w:pPr>
        <w:pStyle w:val="CETBodytext"/>
        <w:rPr>
          <w:i/>
          <w:lang w:val="en-GB"/>
        </w:rPr>
      </w:pP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18"/>
        <w:gridCol w:w="1434"/>
        <w:gridCol w:w="1134"/>
        <w:gridCol w:w="1417"/>
        <w:gridCol w:w="1134"/>
        <w:gridCol w:w="1560"/>
        <w:gridCol w:w="992"/>
      </w:tblGrid>
      <w:tr w:rsidR="00732718" w:rsidRPr="00B57B36" w14:paraId="44488436" w14:textId="77777777" w:rsidTr="00684B28">
        <w:tc>
          <w:tcPr>
            <w:tcW w:w="1118" w:type="dxa"/>
            <w:tcBorders>
              <w:top w:val="single" w:sz="12" w:space="0" w:color="008000"/>
              <w:bottom w:val="single" w:sz="6" w:space="0" w:color="008000"/>
            </w:tcBorders>
            <w:shd w:val="clear" w:color="auto" w:fill="FFFFFF"/>
          </w:tcPr>
          <w:p w14:paraId="43273423" w14:textId="77777777" w:rsidR="00732718" w:rsidRPr="00B57B36" w:rsidRDefault="00732718" w:rsidP="00684B28">
            <w:pPr>
              <w:pStyle w:val="CETBodytext"/>
              <w:rPr>
                <w:lang w:val="en-GB"/>
              </w:rPr>
            </w:pPr>
            <w:r>
              <w:rPr>
                <w:rFonts w:cs="Arial"/>
                <w:szCs w:val="18"/>
                <w:lang w:val="en-GB"/>
              </w:rPr>
              <w:t>Y</w:t>
            </w:r>
            <w:r w:rsidRPr="002C3C2E">
              <w:rPr>
                <w:rFonts w:cs="Arial"/>
                <w:szCs w:val="18"/>
                <w:vertAlign w:val="subscript"/>
                <w:lang w:val="en-GB"/>
              </w:rPr>
              <w:t>g</w:t>
            </w:r>
            <w:r>
              <w:rPr>
                <w:rFonts w:cs="Arial"/>
                <w:szCs w:val="18"/>
                <w:vertAlign w:val="subscript"/>
                <w:lang w:val="en-GB"/>
              </w:rPr>
              <w:t xml:space="preserve"> </w:t>
            </w:r>
            <w:r w:rsidRPr="00895632">
              <w:rPr>
                <w:lang w:val="en-GB"/>
              </w:rPr>
              <w:t>[g</w:t>
            </w:r>
            <w:r w:rsidRPr="00895632">
              <w:rPr>
                <w:vertAlign w:val="subscript"/>
                <w:lang w:val="en-GB"/>
              </w:rPr>
              <w:t>DW</w:t>
            </w:r>
            <w:r w:rsidRPr="00895632">
              <w:rPr>
                <w:lang w:val="en-GB"/>
              </w:rPr>
              <w:t xml:space="preserve"> g</w:t>
            </w:r>
            <w:r w:rsidRPr="00895632">
              <w:rPr>
                <w:vertAlign w:val="subscript"/>
                <w:lang w:val="en-GB"/>
              </w:rPr>
              <w:t>C</w:t>
            </w:r>
            <w:r w:rsidRPr="00895632">
              <w:rPr>
                <w:vertAlign w:val="superscript"/>
                <w:lang w:val="en-GB"/>
              </w:rPr>
              <w:t>-1</w:t>
            </w:r>
            <w:r>
              <w:rPr>
                <w:lang w:val="en-GB"/>
              </w:rPr>
              <w:t>]</w:t>
            </w:r>
          </w:p>
        </w:tc>
        <w:tc>
          <w:tcPr>
            <w:tcW w:w="1434" w:type="dxa"/>
            <w:tcBorders>
              <w:top w:val="single" w:sz="12" w:space="0" w:color="008000"/>
              <w:bottom w:val="single" w:sz="6" w:space="0" w:color="008000"/>
            </w:tcBorders>
            <w:shd w:val="clear" w:color="auto" w:fill="FFFFFF"/>
          </w:tcPr>
          <w:p w14:paraId="5207F5CF" w14:textId="77777777" w:rsidR="00732718" w:rsidRPr="00B57B36" w:rsidRDefault="00732718" w:rsidP="00684B28">
            <w:pPr>
              <w:pStyle w:val="CETBodytext"/>
              <w:rPr>
                <w:lang w:val="en-GB"/>
              </w:rPr>
            </w:pPr>
            <w:r>
              <w:rPr>
                <w:lang w:val="en-GB"/>
              </w:rPr>
              <w:t>m</w:t>
            </w:r>
            <w:r w:rsidRPr="002C3C2E">
              <w:rPr>
                <w:vertAlign w:val="subscript"/>
                <w:lang w:val="en-GB"/>
              </w:rPr>
              <w:t>g</w:t>
            </w:r>
            <w:r>
              <w:rPr>
                <w:vertAlign w:val="subscript"/>
                <w:lang w:val="en-GB"/>
              </w:rPr>
              <w:t xml:space="preserve"> </w:t>
            </w:r>
            <w:r>
              <w:rPr>
                <w:lang w:val="en-GB"/>
              </w:rPr>
              <w:t>[</w:t>
            </w:r>
            <w:r w:rsidRPr="00F51A5C">
              <w:rPr>
                <w:lang w:val="en-GB"/>
              </w:rPr>
              <w:t>g</w:t>
            </w:r>
            <w:r w:rsidRPr="00895632">
              <w:rPr>
                <w:vertAlign w:val="subscript"/>
                <w:lang w:val="en-GB"/>
              </w:rPr>
              <w:t>C</w:t>
            </w:r>
            <w:r>
              <w:rPr>
                <w:lang w:val="en-GB"/>
              </w:rPr>
              <w:t xml:space="preserve"> </w:t>
            </w:r>
            <w:r w:rsidRPr="00F51A5C">
              <w:rPr>
                <w:lang w:val="en-GB"/>
              </w:rPr>
              <w:t>g</w:t>
            </w:r>
            <w:r w:rsidRPr="00F51A5C">
              <w:rPr>
                <w:vertAlign w:val="subscript"/>
                <w:lang w:val="en-GB"/>
              </w:rPr>
              <w:t>DW</w:t>
            </w:r>
            <w:r w:rsidRPr="00F51A5C">
              <w:rPr>
                <w:vertAlign w:val="superscript"/>
                <w:lang w:val="en-GB"/>
              </w:rPr>
              <w:t>-1</w:t>
            </w:r>
            <w:r w:rsidRPr="00F51A5C">
              <w:rPr>
                <w:lang w:val="en-GB"/>
              </w:rPr>
              <w:t>h</w:t>
            </w:r>
            <w:r w:rsidRPr="00F51A5C">
              <w:rPr>
                <w:vertAlign w:val="superscript"/>
                <w:lang w:val="en-GB"/>
              </w:rPr>
              <w:t>-1</w:t>
            </w:r>
            <w:r>
              <w:rPr>
                <w:lang w:val="en-GB"/>
              </w:rPr>
              <w:t>]</w:t>
            </w:r>
            <w:r>
              <w:rPr>
                <w:vertAlign w:val="subscript"/>
                <w:lang w:val="en-GB"/>
              </w:rPr>
              <w:t xml:space="preserve"> </w:t>
            </w:r>
          </w:p>
        </w:tc>
        <w:tc>
          <w:tcPr>
            <w:tcW w:w="1134" w:type="dxa"/>
            <w:tcBorders>
              <w:top w:val="single" w:sz="12" w:space="0" w:color="008000"/>
              <w:bottom w:val="single" w:sz="6" w:space="0" w:color="008000"/>
            </w:tcBorders>
            <w:shd w:val="clear" w:color="auto" w:fill="FFFFFF"/>
          </w:tcPr>
          <w:p w14:paraId="166DF0E6" w14:textId="77777777" w:rsidR="00732718" w:rsidRPr="00B57B36" w:rsidRDefault="00732718" w:rsidP="00684B28">
            <w:pPr>
              <w:pStyle w:val="CETBodytext"/>
              <w:rPr>
                <w:lang w:val="en-GB"/>
              </w:rPr>
            </w:pPr>
            <w:r>
              <w:rPr>
                <w:lang w:val="en-GB"/>
              </w:rPr>
              <w:t>Y</w:t>
            </w:r>
            <w:r w:rsidRPr="002C3C2E">
              <w:rPr>
                <w:vertAlign w:val="subscript"/>
                <w:lang w:val="en-GB"/>
              </w:rPr>
              <w:t>n</w:t>
            </w:r>
            <w:r>
              <w:rPr>
                <w:vertAlign w:val="subscript"/>
                <w:lang w:val="en-GB"/>
              </w:rPr>
              <w:t xml:space="preserve"> </w:t>
            </w:r>
            <w:r w:rsidRPr="00895632">
              <w:rPr>
                <w:lang w:val="en-GB"/>
              </w:rPr>
              <w:t>[g</w:t>
            </w:r>
            <w:r w:rsidRPr="00895632">
              <w:rPr>
                <w:vertAlign w:val="subscript"/>
                <w:lang w:val="en-GB"/>
              </w:rPr>
              <w:t>DW</w:t>
            </w:r>
            <w:r w:rsidRPr="00895632">
              <w:rPr>
                <w:lang w:val="en-GB"/>
              </w:rPr>
              <w:t xml:space="preserve"> g</w:t>
            </w:r>
            <w:r w:rsidRPr="00895632">
              <w:rPr>
                <w:vertAlign w:val="subscript"/>
                <w:lang w:val="en-GB"/>
              </w:rPr>
              <w:t>N</w:t>
            </w:r>
            <w:r w:rsidRPr="00895632">
              <w:rPr>
                <w:vertAlign w:val="superscript"/>
                <w:lang w:val="en-GB"/>
              </w:rPr>
              <w:t>-1</w:t>
            </w:r>
            <w:r>
              <w:rPr>
                <w:lang w:val="en-GB"/>
              </w:rPr>
              <w:t>]</w:t>
            </w:r>
          </w:p>
        </w:tc>
        <w:tc>
          <w:tcPr>
            <w:tcW w:w="1417" w:type="dxa"/>
            <w:tcBorders>
              <w:top w:val="single" w:sz="12" w:space="0" w:color="008000"/>
              <w:bottom w:val="single" w:sz="6" w:space="0" w:color="008000"/>
            </w:tcBorders>
            <w:shd w:val="clear" w:color="auto" w:fill="FFFFFF"/>
          </w:tcPr>
          <w:p w14:paraId="12BF7436" w14:textId="77777777" w:rsidR="00732718" w:rsidRPr="00B57B36" w:rsidRDefault="00732718" w:rsidP="00684B28">
            <w:pPr>
              <w:pStyle w:val="CETBodytext"/>
              <w:rPr>
                <w:lang w:val="en-GB"/>
              </w:rPr>
            </w:pPr>
            <w:r>
              <w:rPr>
                <w:lang w:val="en-GB"/>
              </w:rPr>
              <w:t>m</w:t>
            </w:r>
            <w:r w:rsidRPr="00F51A5C">
              <w:rPr>
                <w:vertAlign w:val="subscript"/>
                <w:lang w:val="en-GB"/>
              </w:rPr>
              <w:t>n</w:t>
            </w:r>
            <w:r>
              <w:rPr>
                <w:vertAlign w:val="subscript"/>
                <w:lang w:val="en-GB"/>
              </w:rPr>
              <w:t xml:space="preserve"> </w:t>
            </w:r>
            <w:r>
              <w:rPr>
                <w:lang w:val="en-GB"/>
              </w:rPr>
              <w:t>[</w:t>
            </w:r>
            <w:r w:rsidRPr="00F51A5C">
              <w:rPr>
                <w:lang w:val="en-GB"/>
              </w:rPr>
              <w:t>g</w:t>
            </w:r>
            <w:r w:rsidRPr="00895632">
              <w:rPr>
                <w:vertAlign w:val="subscript"/>
                <w:lang w:val="en-GB"/>
              </w:rPr>
              <w:t>N</w:t>
            </w:r>
            <w:r>
              <w:rPr>
                <w:lang w:val="en-GB"/>
              </w:rPr>
              <w:t xml:space="preserve"> </w:t>
            </w:r>
            <w:r w:rsidRPr="00F51A5C">
              <w:rPr>
                <w:lang w:val="en-GB"/>
              </w:rPr>
              <w:t>g</w:t>
            </w:r>
            <w:r w:rsidRPr="00F51A5C">
              <w:rPr>
                <w:vertAlign w:val="subscript"/>
                <w:lang w:val="en-GB"/>
              </w:rPr>
              <w:t>DW</w:t>
            </w:r>
            <w:r w:rsidRPr="00F51A5C">
              <w:rPr>
                <w:vertAlign w:val="superscript"/>
                <w:lang w:val="en-GB"/>
              </w:rPr>
              <w:t>-1</w:t>
            </w:r>
            <w:r w:rsidRPr="00F51A5C">
              <w:rPr>
                <w:lang w:val="en-GB"/>
              </w:rPr>
              <w:t>h</w:t>
            </w:r>
            <w:r w:rsidRPr="00F51A5C">
              <w:rPr>
                <w:vertAlign w:val="superscript"/>
                <w:lang w:val="en-GB"/>
              </w:rPr>
              <w:t>-1</w:t>
            </w:r>
            <w:r>
              <w:rPr>
                <w:lang w:val="en-GB"/>
              </w:rPr>
              <w:t>]</w:t>
            </w:r>
          </w:p>
        </w:tc>
        <w:tc>
          <w:tcPr>
            <w:tcW w:w="1134" w:type="dxa"/>
            <w:tcBorders>
              <w:top w:val="single" w:sz="12" w:space="0" w:color="008000"/>
              <w:bottom w:val="single" w:sz="6" w:space="0" w:color="008000"/>
            </w:tcBorders>
            <w:shd w:val="clear" w:color="auto" w:fill="FFFFFF"/>
          </w:tcPr>
          <w:p w14:paraId="55D9E820" w14:textId="77777777" w:rsidR="00732718" w:rsidRPr="00B57B36" w:rsidRDefault="00732718" w:rsidP="00684B28">
            <w:pPr>
              <w:pStyle w:val="CETBodytext"/>
              <w:rPr>
                <w:lang w:val="en-GB"/>
              </w:rPr>
            </w:pPr>
            <w:r>
              <w:rPr>
                <w:lang w:val="en-GB"/>
              </w:rPr>
              <w:t>Y</w:t>
            </w:r>
            <w:r w:rsidRPr="002C3C2E">
              <w:rPr>
                <w:vertAlign w:val="subscript"/>
                <w:lang w:val="en-GB"/>
              </w:rPr>
              <w:t>p</w:t>
            </w:r>
            <w:r>
              <w:rPr>
                <w:vertAlign w:val="subscript"/>
                <w:lang w:val="en-GB"/>
              </w:rPr>
              <w:t xml:space="preserve"> </w:t>
            </w:r>
            <w:r w:rsidRPr="00895632">
              <w:rPr>
                <w:lang w:val="en-GB"/>
              </w:rPr>
              <w:t>[g</w:t>
            </w:r>
            <w:r w:rsidRPr="00895632">
              <w:rPr>
                <w:vertAlign w:val="subscript"/>
                <w:lang w:val="en-GB"/>
              </w:rPr>
              <w:t>DW</w:t>
            </w:r>
            <w:r w:rsidRPr="00895632">
              <w:rPr>
                <w:lang w:val="en-GB"/>
              </w:rPr>
              <w:t xml:space="preserve"> g</w:t>
            </w:r>
            <w:r w:rsidRPr="00895632">
              <w:rPr>
                <w:vertAlign w:val="subscript"/>
                <w:lang w:val="en-GB"/>
              </w:rPr>
              <w:t>P</w:t>
            </w:r>
            <w:r w:rsidRPr="00895632">
              <w:rPr>
                <w:vertAlign w:val="superscript"/>
                <w:lang w:val="en-GB"/>
              </w:rPr>
              <w:t>-1</w:t>
            </w:r>
            <w:r>
              <w:rPr>
                <w:lang w:val="en-GB"/>
              </w:rPr>
              <w:t>]</w:t>
            </w:r>
          </w:p>
        </w:tc>
        <w:tc>
          <w:tcPr>
            <w:tcW w:w="1560" w:type="dxa"/>
            <w:tcBorders>
              <w:top w:val="single" w:sz="12" w:space="0" w:color="008000"/>
              <w:bottom w:val="single" w:sz="6" w:space="0" w:color="008000"/>
            </w:tcBorders>
            <w:shd w:val="clear" w:color="auto" w:fill="FFFFFF"/>
          </w:tcPr>
          <w:p w14:paraId="23AAE96C" w14:textId="77777777" w:rsidR="00732718" w:rsidRPr="00F51A5C" w:rsidRDefault="00732718" w:rsidP="00684B28">
            <w:pPr>
              <w:pStyle w:val="CETBodytext"/>
              <w:rPr>
                <w:lang w:val="en-GB"/>
              </w:rPr>
            </w:pPr>
            <w:r>
              <w:rPr>
                <w:lang w:val="en-GB"/>
              </w:rPr>
              <w:t>m</w:t>
            </w:r>
            <w:r w:rsidRPr="002C3C2E">
              <w:rPr>
                <w:vertAlign w:val="subscript"/>
                <w:lang w:val="en-GB"/>
              </w:rPr>
              <w:t>p</w:t>
            </w:r>
            <w:r>
              <w:rPr>
                <w:vertAlign w:val="subscript"/>
                <w:lang w:val="en-GB"/>
              </w:rPr>
              <w:t xml:space="preserve"> </w:t>
            </w:r>
            <w:r>
              <w:rPr>
                <w:lang w:val="en-GB"/>
              </w:rPr>
              <w:t>[</w:t>
            </w:r>
            <w:r w:rsidRPr="00F51A5C">
              <w:rPr>
                <w:lang w:val="en-GB"/>
              </w:rPr>
              <w:t>g</w:t>
            </w:r>
            <w:r w:rsidRPr="00895632">
              <w:rPr>
                <w:vertAlign w:val="subscript"/>
                <w:lang w:val="en-GB"/>
              </w:rPr>
              <w:t>P</w:t>
            </w:r>
            <w:r>
              <w:rPr>
                <w:lang w:val="en-GB"/>
              </w:rPr>
              <w:t xml:space="preserve"> </w:t>
            </w:r>
            <w:r w:rsidRPr="00F51A5C">
              <w:rPr>
                <w:lang w:val="en-GB"/>
              </w:rPr>
              <w:t>g</w:t>
            </w:r>
            <w:r w:rsidRPr="00F51A5C">
              <w:rPr>
                <w:vertAlign w:val="subscript"/>
                <w:lang w:val="en-GB"/>
              </w:rPr>
              <w:t>DW</w:t>
            </w:r>
            <w:r w:rsidRPr="00F51A5C">
              <w:rPr>
                <w:vertAlign w:val="superscript"/>
                <w:lang w:val="en-GB"/>
              </w:rPr>
              <w:t>-1</w:t>
            </w:r>
            <w:r w:rsidRPr="00F51A5C">
              <w:rPr>
                <w:lang w:val="en-GB"/>
              </w:rPr>
              <w:t>h</w:t>
            </w:r>
            <w:r w:rsidRPr="00F51A5C">
              <w:rPr>
                <w:vertAlign w:val="superscript"/>
                <w:lang w:val="en-GB"/>
              </w:rPr>
              <w:t>-1</w:t>
            </w:r>
            <w:r>
              <w:rPr>
                <w:lang w:val="en-GB"/>
              </w:rPr>
              <w:t>]</w:t>
            </w:r>
          </w:p>
        </w:tc>
        <w:tc>
          <w:tcPr>
            <w:tcW w:w="992" w:type="dxa"/>
            <w:tcBorders>
              <w:top w:val="single" w:sz="12" w:space="0" w:color="008000"/>
              <w:bottom w:val="single" w:sz="6" w:space="0" w:color="008000"/>
            </w:tcBorders>
            <w:shd w:val="clear" w:color="auto" w:fill="FFFFFF"/>
          </w:tcPr>
          <w:p w14:paraId="6EC986E2" w14:textId="77777777" w:rsidR="00732718" w:rsidRPr="00B57B36" w:rsidRDefault="00732718" w:rsidP="00684B28">
            <w:pPr>
              <w:pStyle w:val="CETBodytext"/>
              <w:rPr>
                <w:lang w:val="en-GB"/>
              </w:rPr>
            </w:pPr>
            <w:r>
              <w:rPr>
                <w:lang w:val="en-GB"/>
              </w:rPr>
              <w:t>R</w:t>
            </w:r>
            <w:r w:rsidRPr="002C3C2E">
              <w:rPr>
                <w:vertAlign w:val="superscript"/>
                <w:lang w:val="en-GB"/>
              </w:rPr>
              <w:t>2</w:t>
            </w:r>
          </w:p>
        </w:tc>
      </w:tr>
      <w:tr w:rsidR="00732718" w:rsidRPr="00B57B36" w14:paraId="5309A33D" w14:textId="77777777" w:rsidTr="00684B28">
        <w:tc>
          <w:tcPr>
            <w:tcW w:w="1118" w:type="dxa"/>
            <w:shd w:val="clear" w:color="auto" w:fill="FFFFFF"/>
          </w:tcPr>
          <w:p w14:paraId="2D04EC0D" w14:textId="1EB105AC" w:rsidR="00732718" w:rsidRPr="00B57B36" w:rsidRDefault="00732718" w:rsidP="00684B28">
            <w:pPr>
              <w:pStyle w:val="CETBodytext"/>
              <w:rPr>
                <w:lang w:val="en-GB"/>
              </w:rPr>
            </w:pPr>
            <w:r w:rsidRPr="003477ED">
              <w:rPr>
                <w:rFonts w:cs="Arial"/>
                <w:szCs w:val="18"/>
                <w:lang w:val="en-GB"/>
              </w:rPr>
              <w:t>1</w:t>
            </w:r>
            <w:r w:rsidR="00982E03">
              <w:rPr>
                <w:rFonts w:cs="Arial"/>
                <w:szCs w:val="18"/>
                <w:lang w:val="en-GB"/>
              </w:rPr>
              <w:t>.</w:t>
            </w:r>
            <w:r w:rsidRPr="003477ED">
              <w:rPr>
                <w:rFonts w:cs="Arial"/>
                <w:szCs w:val="18"/>
                <w:lang w:val="en-GB"/>
              </w:rPr>
              <w:t>2</w:t>
            </w:r>
          </w:p>
        </w:tc>
        <w:tc>
          <w:tcPr>
            <w:tcW w:w="1434" w:type="dxa"/>
            <w:shd w:val="clear" w:color="auto" w:fill="FFFFFF"/>
          </w:tcPr>
          <w:p w14:paraId="30E07FCC" w14:textId="2D9E34C3" w:rsidR="00732718" w:rsidRPr="00B57B36" w:rsidRDefault="00732718" w:rsidP="00684B28">
            <w:pPr>
              <w:pStyle w:val="CETBodytext"/>
              <w:rPr>
                <w:lang w:val="en-GB"/>
              </w:rPr>
            </w:pPr>
            <w:r w:rsidRPr="003477ED">
              <w:rPr>
                <w:rFonts w:cs="Arial"/>
                <w:szCs w:val="18"/>
                <w:lang w:val="en-GB"/>
              </w:rPr>
              <w:t>4</w:t>
            </w:r>
            <w:r w:rsidR="00982E03">
              <w:rPr>
                <w:rFonts w:cs="Arial"/>
                <w:szCs w:val="18"/>
                <w:lang w:val="en-GB"/>
              </w:rPr>
              <w:t>.</w:t>
            </w:r>
            <w:r w:rsidRPr="003477ED">
              <w:rPr>
                <w:rFonts w:cs="Arial"/>
                <w:szCs w:val="18"/>
                <w:lang w:val="en-GB"/>
              </w:rPr>
              <w:t>3</w:t>
            </w:r>
            <w:r>
              <w:rPr>
                <w:rFonts w:cs="Arial"/>
                <w:szCs w:val="18"/>
                <w:lang w:val="en-GB"/>
              </w:rPr>
              <w:t>*10</w:t>
            </w:r>
            <w:r w:rsidRPr="0094059F">
              <w:rPr>
                <w:rFonts w:cs="Arial"/>
                <w:szCs w:val="18"/>
                <w:vertAlign w:val="superscript"/>
                <w:lang w:val="en-GB"/>
              </w:rPr>
              <w:t>-4</w:t>
            </w:r>
          </w:p>
        </w:tc>
        <w:tc>
          <w:tcPr>
            <w:tcW w:w="1134" w:type="dxa"/>
            <w:shd w:val="clear" w:color="auto" w:fill="FFFFFF"/>
          </w:tcPr>
          <w:p w14:paraId="2F937D1E" w14:textId="0ACE9FA5" w:rsidR="00732718" w:rsidRPr="00B57B36" w:rsidRDefault="00732718" w:rsidP="00684B28">
            <w:pPr>
              <w:pStyle w:val="CETBodytext"/>
              <w:rPr>
                <w:lang w:val="en-GB"/>
              </w:rPr>
            </w:pPr>
            <w:r w:rsidRPr="003477ED">
              <w:rPr>
                <w:rFonts w:cs="Arial"/>
                <w:szCs w:val="18"/>
                <w:lang w:val="en-GB"/>
              </w:rPr>
              <w:t>1</w:t>
            </w:r>
            <w:r w:rsidR="00982E03">
              <w:rPr>
                <w:rFonts w:cs="Arial"/>
                <w:szCs w:val="18"/>
                <w:lang w:val="en-GB"/>
              </w:rPr>
              <w:t>6</w:t>
            </w:r>
          </w:p>
        </w:tc>
        <w:tc>
          <w:tcPr>
            <w:tcW w:w="1417" w:type="dxa"/>
            <w:shd w:val="clear" w:color="auto" w:fill="FFFFFF"/>
          </w:tcPr>
          <w:p w14:paraId="4833B0BB" w14:textId="77777777" w:rsidR="00732718" w:rsidRPr="00B57B36" w:rsidRDefault="00732718" w:rsidP="00684B28">
            <w:pPr>
              <w:pStyle w:val="CETBodytext"/>
              <w:rPr>
                <w:lang w:val="en-GB"/>
              </w:rPr>
            </w:pPr>
            <w:r w:rsidRPr="003477ED">
              <w:rPr>
                <w:rFonts w:cs="Arial"/>
                <w:szCs w:val="18"/>
                <w:lang w:val="en-GB"/>
              </w:rPr>
              <w:t>1</w:t>
            </w:r>
            <w:r>
              <w:rPr>
                <w:rFonts w:cs="Arial"/>
                <w:szCs w:val="18"/>
                <w:lang w:val="en-GB"/>
              </w:rPr>
              <w:t>*10</w:t>
            </w:r>
            <w:r w:rsidRPr="00E11502">
              <w:rPr>
                <w:rFonts w:cs="Arial"/>
                <w:szCs w:val="18"/>
                <w:vertAlign w:val="superscript"/>
                <w:lang w:val="en-GB"/>
              </w:rPr>
              <w:t>-7</w:t>
            </w:r>
          </w:p>
        </w:tc>
        <w:tc>
          <w:tcPr>
            <w:tcW w:w="1134" w:type="dxa"/>
            <w:shd w:val="clear" w:color="auto" w:fill="FFFFFF"/>
          </w:tcPr>
          <w:p w14:paraId="020FBEB1" w14:textId="44DBE8E7" w:rsidR="00732718" w:rsidRPr="00B57B36" w:rsidRDefault="00732718" w:rsidP="00684B28">
            <w:pPr>
              <w:pStyle w:val="CETBodytext"/>
              <w:rPr>
                <w:lang w:val="en-GB"/>
              </w:rPr>
            </w:pPr>
            <w:r w:rsidRPr="003477ED">
              <w:rPr>
                <w:rFonts w:cs="Arial"/>
                <w:szCs w:val="18"/>
                <w:lang w:val="en-GB"/>
              </w:rPr>
              <w:t>68</w:t>
            </w:r>
          </w:p>
        </w:tc>
        <w:tc>
          <w:tcPr>
            <w:tcW w:w="1560" w:type="dxa"/>
            <w:shd w:val="clear" w:color="auto" w:fill="FFFFFF"/>
          </w:tcPr>
          <w:p w14:paraId="31134E17" w14:textId="4C873196" w:rsidR="00732718" w:rsidRPr="00B57B36" w:rsidRDefault="00732718" w:rsidP="00684B28">
            <w:pPr>
              <w:pStyle w:val="CETBodytext"/>
              <w:rPr>
                <w:lang w:val="en-GB"/>
              </w:rPr>
            </w:pPr>
            <w:r w:rsidRPr="003477ED">
              <w:rPr>
                <w:rFonts w:cs="Arial"/>
                <w:szCs w:val="18"/>
                <w:lang w:val="en-GB"/>
              </w:rPr>
              <w:t>3</w:t>
            </w:r>
            <w:r w:rsidR="00982E03">
              <w:rPr>
                <w:rFonts w:cs="Arial"/>
                <w:szCs w:val="18"/>
                <w:lang w:val="en-GB"/>
              </w:rPr>
              <w:t>.</w:t>
            </w:r>
            <w:r w:rsidRPr="003477ED">
              <w:rPr>
                <w:rFonts w:cs="Arial"/>
                <w:szCs w:val="18"/>
                <w:lang w:val="en-GB"/>
              </w:rPr>
              <w:t>7</w:t>
            </w:r>
            <w:r>
              <w:rPr>
                <w:rFonts w:cs="Arial"/>
                <w:szCs w:val="18"/>
                <w:lang w:val="en-GB"/>
              </w:rPr>
              <w:t>*10</w:t>
            </w:r>
            <w:r w:rsidRPr="00E11502">
              <w:rPr>
                <w:rFonts w:cs="Arial"/>
                <w:szCs w:val="18"/>
                <w:vertAlign w:val="superscript"/>
                <w:lang w:val="en-GB"/>
              </w:rPr>
              <w:t>-5</w:t>
            </w:r>
          </w:p>
        </w:tc>
        <w:tc>
          <w:tcPr>
            <w:tcW w:w="992" w:type="dxa"/>
            <w:shd w:val="clear" w:color="auto" w:fill="FFFFFF"/>
          </w:tcPr>
          <w:p w14:paraId="4CA78E44" w14:textId="74D2440B" w:rsidR="00732718" w:rsidRPr="00B57B36" w:rsidRDefault="00732718" w:rsidP="00684B28">
            <w:pPr>
              <w:pStyle w:val="CETBodytext"/>
              <w:rPr>
                <w:lang w:val="en-GB"/>
              </w:rPr>
            </w:pPr>
            <w:r w:rsidRPr="003477ED">
              <w:rPr>
                <w:rFonts w:cs="Arial"/>
                <w:szCs w:val="18"/>
                <w:lang w:val="en-GB"/>
              </w:rPr>
              <w:t>0</w:t>
            </w:r>
            <w:r w:rsidR="00982E03">
              <w:rPr>
                <w:rFonts w:cs="Arial"/>
                <w:szCs w:val="18"/>
                <w:lang w:val="en-GB"/>
              </w:rPr>
              <w:t>.</w:t>
            </w:r>
            <w:r w:rsidRPr="003477ED">
              <w:rPr>
                <w:rFonts w:cs="Arial"/>
                <w:szCs w:val="18"/>
                <w:lang w:val="en-GB"/>
              </w:rPr>
              <w:t>97</w:t>
            </w:r>
          </w:p>
        </w:tc>
      </w:tr>
    </w:tbl>
    <w:p w14:paraId="601750B2" w14:textId="77777777" w:rsidR="00ED5E83" w:rsidRDefault="00ED5E83" w:rsidP="00ED5E83">
      <w:pPr>
        <w:pStyle w:val="CETheadingx"/>
        <w:numPr>
          <w:ilvl w:val="0"/>
          <w:numId w:val="0"/>
        </w:numPr>
      </w:pPr>
    </w:p>
    <w:p w14:paraId="7382C781" w14:textId="604C098D" w:rsidR="00600535" w:rsidRPr="00B57B36" w:rsidRDefault="003D70E0" w:rsidP="00E83B3D">
      <w:pPr>
        <w:pStyle w:val="CETheadingx"/>
      </w:pPr>
      <w:r>
        <w:t xml:space="preserve">Batch and </w:t>
      </w:r>
      <w:r w:rsidR="001D3C1B">
        <w:t>Pulsed</w:t>
      </w:r>
      <w:r w:rsidR="002244FE">
        <w:t xml:space="preserve"> technique </w:t>
      </w:r>
      <w:r w:rsidR="001D3C1B">
        <w:t>simulation</w:t>
      </w:r>
    </w:p>
    <w:p w14:paraId="1DCEE8A6" w14:textId="5908A7B5" w:rsidR="003D70E0" w:rsidRPr="003D70E0" w:rsidRDefault="003D70E0" w:rsidP="003D70E0">
      <w:pPr>
        <w:keepNext/>
        <w:rPr>
          <w:szCs w:val="18"/>
          <w:lang w:val="en-US"/>
        </w:rPr>
      </w:pPr>
      <w:r w:rsidRPr="003D70E0">
        <w:rPr>
          <w:szCs w:val="18"/>
          <w:lang w:val="en-US"/>
        </w:rPr>
        <w:t xml:space="preserve">For the batch simulation performed in this work, the parameters of Murwanashyaka et al. 2020 are used, since the concentration of substrates fed to the fermenter reflected the relative ratio of nutrients used in this experimental trial. ASPEN CUSTOM MODELER® (ACM), integrated into Aspen Plus® is used for fermentation </w:t>
      </w:r>
      <w:r w:rsidRPr="00C519B9">
        <w:rPr>
          <w:szCs w:val="18"/>
          <w:lang w:val="en-US"/>
        </w:rPr>
        <w:t>modeling (Atikah</w:t>
      </w:r>
      <w:r w:rsidRPr="003D70E0">
        <w:rPr>
          <w:szCs w:val="18"/>
          <w:lang w:val="en-US"/>
        </w:rPr>
        <w:t xml:space="preserve"> et al. 2019). </w:t>
      </w:r>
    </w:p>
    <w:p w14:paraId="25BFF110" w14:textId="27AF7E72" w:rsidR="003D70E0" w:rsidRPr="00C519B9" w:rsidRDefault="003D70E0" w:rsidP="003D70E0">
      <w:pPr>
        <w:rPr>
          <w:szCs w:val="18"/>
          <w:lang w:val="en-US"/>
        </w:rPr>
      </w:pPr>
      <w:r w:rsidRPr="003D70E0">
        <w:rPr>
          <w:szCs w:val="18"/>
          <w:lang w:val="en-US"/>
        </w:rPr>
        <w:t xml:space="preserve">The heterotrophic cultivation of microalgae poses </w:t>
      </w:r>
      <w:r w:rsidR="00BB5F36" w:rsidRPr="003D70E0">
        <w:rPr>
          <w:szCs w:val="18"/>
          <w:lang w:val="en-US"/>
        </w:rPr>
        <w:t>a severe problem</w:t>
      </w:r>
      <w:r w:rsidRPr="003D70E0">
        <w:rPr>
          <w:szCs w:val="18"/>
          <w:lang w:val="en-US"/>
        </w:rPr>
        <w:t xml:space="preserve"> of managing the contamination of bacteria that have growth rates an order of magnitude higher than those of microalgae</w:t>
      </w:r>
      <w:r w:rsidRPr="00B74F48">
        <w:rPr>
          <w:color w:val="FF0000"/>
          <w:szCs w:val="18"/>
          <w:lang w:val="en-US"/>
        </w:rPr>
        <w:t xml:space="preserve"> </w:t>
      </w:r>
      <w:r w:rsidRPr="00C519B9">
        <w:rPr>
          <w:szCs w:val="18"/>
          <w:lang w:val="en-US"/>
        </w:rPr>
        <w:t>(Sandani</w:t>
      </w:r>
      <w:r w:rsidRPr="003D70E0">
        <w:rPr>
          <w:szCs w:val="18"/>
          <w:lang w:val="en-US"/>
        </w:rPr>
        <w:t xml:space="preserve"> et al. 2020). To solve this problem the High-Pressure, High-Temperature (HTHP) treatment </w:t>
      </w:r>
      <w:r w:rsidR="00AF7D9B">
        <w:rPr>
          <w:szCs w:val="18"/>
          <w:lang w:val="en-US"/>
        </w:rPr>
        <w:t>is</w:t>
      </w:r>
      <w:r w:rsidRPr="003D70E0">
        <w:rPr>
          <w:szCs w:val="18"/>
          <w:lang w:val="en-US"/>
        </w:rPr>
        <w:t xml:space="preserve"> considered in this work and applied in the process simulation to the inoculum before it enters the fermenter, using for sterilization phase T=121°C, P=0.2 MPa with a treatment time of 15 min (</w:t>
      </w:r>
      <w:r w:rsidRPr="00C519B9">
        <w:rPr>
          <w:lang w:val="en-US"/>
        </w:rPr>
        <w:t>Ashidate et al. 2018</w:t>
      </w:r>
      <w:r w:rsidRPr="00C519B9">
        <w:rPr>
          <w:szCs w:val="18"/>
          <w:lang w:val="en-US"/>
        </w:rPr>
        <w:t xml:space="preserve">). </w:t>
      </w:r>
    </w:p>
    <w:p w14:paraId="1978A8F2" w14:textId="781BC2D0" w:rsidR="0008553A" w:rsidRPr="003D70E0" w:rsidRDefault="00782879" w:rsidP="003D70E0">
      <w:pPr>
        <w:rPr>
          <w:szCs w:val="18"/>
          <w:lang w:val="en-US"/>
        </w:rPr>
      </w:pPr>
      <w:r w:rsidRPr="00C519B9">
        <w:rPr>
          <w:szCs w:val="18"/>
          <w:lang w:val="en-US"/>
        </w:rPr>
        <w:t>Similar approach is used fo</w:t>
      </w:r>
      <w:r>
        <w:rPr>
          <w:szCs w:val="18"/>
          <w:lang w:val="en-US"/>
        </w:rPr>
        <w:t>r the</w:t>
      </w:r>
      <w:r w:rsidR="00B01A36" w:rsidRPr="008B4FC6">
        <w:rPr>
          <w:szCs w:val="18"/>
          <w:lang w:val="en-US"/>
        </w:rPr>
        <w:t xml:space="preserve"> pulsed feeding</w:t>
      </w:r>
      <w:r>
        <w:rPr>
          <w:szCs w:val="18"/>
          <w:lang w:val="en-US"/>
        </w:rPr>
        <w:t xml:space="preserve"> (</w:t>
      </w:r>
      <w:r w:rsidRPr="00982E03">
        <w:rPr>
          <w:szCs w:val="18"/>
          <w:lang w:val="en-US"/>
        </w:rPr>
        <w:t xml:space="preserve">both for </w:t>
      </w:r>
      <w:r w:rsidR="00E85446" w:rsidRPr="00982E03">
        <w:rPr>
          <w:szCs w:val="18"/>
          <w:lang w:val="en-US"/>
        </w:rPr>
        <w:t>O</w:t>
      </w:r>
      <w:r w:rsidRPr="00982E03">
        <w:rPr>
          <w:szCs w:val="18"/>
          <w:lang w:val="en-US"/>
        </w:rPr>
        <w:t>OM</w:t>
      </w:r>
      <w:r w:rsidR="00E85446" w:rsidRPr="00982E03">
        <w:rPr>
          <w:szCs w:val="18"/>
          <w:lang w:val="en-US"/>
        </w:rPr>
        <w:t>WW</w:t>
      </w:r>
      <w:r w:rsidR="00B01A36" w:rsidRPr="00982E03">
        <w:rPr>
          <w:szCs w:val="18"/>
          <w:lang w:val="en-US"/>
        </w:rPr>
        <w:t xml:space="preserve"> </w:t>
      </w:r>
      <w:r w:rsidR="00E85446" w:rsidRPr="00982E03">
        <w:rPr>
          <w:szCs w:val="18"/>
          <w:lang w:val="en-US"/>
        </w:rPr>
        <w:t>and glucose us</w:t>
      </w:r>
      <w:r w:rsidR="00E85446">
        <w:rPr>
          <w:szCs w:val="18"/>
          <w:lang w:val="en-US"/>
        </w:rPr>
        <w:t>age)</w:t>
      </w:r>
      <w:r w:rsidR="00153CB7">
        <w:rPr>
          <w:szCs w:val="18"/>
          <w:lang w:val="en-US"/>
        </w:rPr>
        <w:t xml:space="preserve">, </w:t>
      </w:r>
      <w:r w:rsidR="00153CB7" w:rsidRPr="008B4FC6">
        <w:rPr>
          <w:szCs w:val="18"/>
          <w:lang w:val="en-US"/>
        </w:rPr>
        <w:t>model</w:t>
      </w:r>
      <w:r w:rsidR="00153CB7">
        <w:rPr>
          <w:szCs w:val="18"/>
          <w:lang w:val="en-US"/>
        </w:rPr>
        <w:t>ing</w:t>
      </w:r>
      <w:r w:rsidR="00153CB7" w:rsidRPr="008B4FC6">
        <w:rPr>
          <w:szCs w:val="18"/>
          <w:lang w:val="en-US"/>
        </w:rPr>
        <w:t xml:space="preserve"> </w:t>
      </w:r>
      <w:r w:rsidR="00153CB7">
        <w:rPr>
          <w:szCs w:val="18"/>
          <w:lang w:val="en-US"/>
        </w:rPr>
        <w:t>it</w:t>
      </w:r>
      <w:r w:rsidR="00153CB7" w:rsidRPr="008B4FC6">
        <w:rPr>
          <w:szCs w:val="18"/>
          <w:lang w:val="en-US"/>
        </w:rPr>
        <w:t xml:space="preserve"> in an A</w:t>
      </w:r>
      <w:r w:rsidR="00153CB7">
        <w:rPr>
          <w:szCs w:val="18"/>
          <w:lang w:val="en-US"/>
        </w:rPr>
        <w:t xml:space="preserve">CM </w:t>
      </w:r>
      <w:r w:rsidR="00153CB7" w:rsidRPr="008B4FC6">
        <w:rPr>
          <w:szCs w:val="18"/>
          <w:lang w:val="en-US"/>
        </w:rPr>
        <w:t>script to obtain a simulation of heterotrophic growth</w:t>
      </w:r>
      <w:r w:rsidR="00E85446">
        <w:rPr>
          <w:szCs w:val="18"/>
          <w:lang w:val="en-US"/>
        </w:rPr>
        <w:t>. Indeed</w:t>
      </w:r>
      <w:r w:rsidR="00153CB7">
        <w:rPr>
          <w:szCs w:val="18"/>
          <w:lang w:val="en-US"/>
        </w:rPr>
        <w:t>,</w:t>
      </w:r>
      <w:r w:rsidR="00E85446">
        <w:rPr>
          <w:szCs w:val="18"/>
          <w:lang w:val="en-US"/>
        </w:rPr>
        <w:t xml:space="preserve"> the same formula</w:t>
      </w:r>
      <w:r w:rsidR="00884145">
        <w:rPr>
          <w:szCs w:val="18"/>
          <w:lang w:val="en-US"/>
        </w:rPr>
        <w:t xml:space="preserve"> described above for the metaboli</w:t>
      </w:r>
      <w:r w:rsidR="00153CB7">
        <w:rPr>
          <w:szCs w:val="18"/>
          <w:lang w:val="en-US"/>
        </w:rPr>
        <w:t>c</w:t>
      </w:r>
      <w:r w:rsidR="00884145">
        <w:rPr>
          <w:szCs w:val="18"/>
          <w:lang w:val="en-US"/>
        </w:rPr>
        <w:t xml:space="preserve"> and growth modeling are used but the typical </w:t>
      </w:r>
      <w:r w:rsidR="00153CB7">
        <w:rPr>
          <w:szCs w:val="18"/>
          <w:lang w:val="en-US"/>
        </w:rPr>
        <w:t xml:space="preserve">sawtooth trend is </w:t>
      </w:r>
      <w:r w:rsidR="004A214A">
        <w:rPr>
          <w:szCs w:val="18"/>
          <w:lang w:val="en-US"/>
        </w:rPr>
        <w:t>obtained considering the correct timing</w:t>
      </w:r>
      <w:r w:rsidR="006223EF">
        <w:rPr>
          <w:szCs w:val="18"/>
          <w:lang w:val="en-US"/>
        </w:rPr>
        <w:t>,</w:t>
      </w:r>
      <w:r w:rsidR="0057432C">
        <w:rPr>
          <w:szCs w:val="18"/>
          <w:lang w:val="en-US"/>
        </w:rPr>
        <w:t xml:space="preserve"> between the start/end of glucose/nitrate phase</w:t>
      </w:r>
      <w:r w:rsidR="006223EF">
        <w:rPr>
          <w:szCs w:val="18"/>
          <w:lang w:val="en-US"/>
        </w:rPr>
        <w:t>,</w:t>
      </w:r>
      <w:r w:rsidR="004A214A">
        <w:rPr>
          <w:szCs w:val="18"/>
          <w:lang w:val="en-US"/>
        </w:rPr>
        <w:t xml:space="preserve"> taken from the experimental result</w:t>
      </w:r>
      <w:r w:rsidR="006223EF">
        <w:rPr>
          <w:szCs w:val="18"/>
          <w:lang w:val="en-US"/>
        </w:rPr>
        <w:t>s</w:t>
      </w:r>
      <w:r w:rsidR="004A214A">
        <w:rPr>
          <w:szCs w:val="18"/>
          <w:lang w:val="en-US"/>
        </w:rPr>
        <w:t xml:space="preserve"> database of NextChem.</w:t>
      </w:r>
      <w:r w:rsidR="00B01A36" w:rsidRPr="008B4FC6">
        <w:rPr>
          <w:szCs w:val="18"/>
          <w:lang w:val="en-US"/>
        </w:rPr>
        <w:t xml:space="preserve"> </w:t>
      </w:r>
      <w:r w:rsidR="00ED5E83">
        <w:rPr>
          <w:szCs w:val="18"/>
          <w:lang w:val="en-US"/>
        </w:rPr>
        <w:t xml:space="preserve">The </w:t>
      </w:r>
      <w:r w:rsidR="00B01A36" w:rsidRPr="008B4FC6">
        <w:rPr>
          <w:szCs w:val="18"/>
          <w:lang w:val="en-US"/>
        </w:rPr>
        <w:t xml:space="preserve">pulse technique allows to have a reactor management </w:t>
      </w:r>
      <w:r w:rsidR="006223EF" w:rsidRPr="008B4FC6">
        <w:rPr>
          <w:szCs w:val="18"/>
          <w:lang w:val="en-US"/>
        </w:rPr>
        <w:t>less</w:t>
      </w:r>
      <w:r w:rsidR="00B01A36" w:rsidRPr="008B4FC6">
        <w:rPr>
          <w:szCs w:val="18"/>
          <w:lang w:val="en-US"/>
        </w:rPr>
        <w:t xml:space="preserve"> critical from the point of view of bacterial contamination. This is reflected in lower investment and management costs. </w:t>
      </w:r>
    </w:p>
    <w:p w14:paraId="68D26B83" w14:textId="700041E4" w:rsidR="00600535" w:rsidRDefault="001D3C1B" w:rsidP="00600535">
      <w:pPr>
        <w:pStyle w:val="CETHeading1"/>
        <w:rPr>
          <w:lang w:val="en-GB"/>
        </w:rPr>
      </w:pPr>
      <w:r>
        <w:rPr>
          <w:lang w:val="en-GB"/>
        </w:rPr>
        <w:lastRenderedPageBreak/>
        <w:t>Results</w:t>
      </w:r>
    </w:p>
    <w:p w14:paraId="1FFFB5FB" w14:textId="4B583AD7" w:rsidR="001D3C1B" w:rsidRPr="003B5281" w:rsidRDefault="001D3C1B" w:rsidP="001D3C1B">
      <w:pPr>
        <w:rPr>
          <w:b/>
          <w:bCs/>
          <w:color w:val="FF0000"/>
          <w:szCs w:val="18"/>
          <w:lang w:val="it-IT"/>
        </w:rPr>
      </w:pPr>
      <w:r>
        <w:rPr>
          <w:b/>
          <w:bCs/>
          <w:szCs w:val="18"/>
          <w:lang w:val="it-IT"/>
        </w:rPr>
        <w:t xml:space="preserve">3.1 </w:t>
      </w:r>
      <w:r w:rsidR="004844CF">
        <w:rPr>
          <w:b/>
          <w:bCs/>
          <w:szCs w:val="18"/>
          <w:lang w:val="it-IT"/>
        </w:rPr>
        <w:t>Process simulation</w:t>
      </w:r>
      <w:r w:rsidRPr="001D3C1B">
        <w:rPr>
          <w:b/>
          <w:bCs/>
          <w:szCs w:val="18"/>
          <w:lang w:val="it-IT"/>
        </w:rPr>
        <w:t xml:space="preserve"> </w:t>
      </w:r>
    </w:p>
    <w:p w14:paraId="6510D898" w14:textId="36B03695" w:rsidR="007D70DC" w:rsidRDefault="003B5281" w:rsidP="007D70DC">
      <w:pPr>
        <w:rPr>
          <w:lang w:val="en-US"/>
        </w:rPr>
      </w:pPr>
      <w:r w:rsidRPr="00950B36">
        <w:rPr>
          <w:szCs w:val="18"/>
          <w:lang w:val="en-US"/>
        </w:rPr>
        <w:t xml:space="preserve">The results of the simulation of the </w:t>
      </w:r>
      <w:r w:rsidR="007D70DC" w:rsidRPr="00950B36">
        <w:rPr>
          <w:szCs w:val="18"/>
          <w:lang w:val="en-US"/>
        </w:rPr>
        <w:t xml:space="preserve">batch culture technique </w:t>
      </w:r>
      <w:r w:rsidRPr="00950B36">
        <w:rPr>
          <w:szCs w:val="18"/>
          <w:lang w:val="en-US"/>
        </w:rPr>
        <w:t xml:space="preserve">on ACM are shown in Fig. </w:t>
      </w:r>
      <w:r w:rsidR="005250A1">
        <w:rPr>
          <w:szCs w:val="18"/>
          <w:lang w:val="en-US"/>
        </w:rPr>
        <w:t>1</w:t>
      </w:r>
      <w:r w:rsidR="00B06D66" w:rsidRPr="00950B36">
        <w:rPr>
          <w:szCs w:val="18"/>
          <w:lang w:val="en-US"/>
        </w:rPr>
        <w:t>a</w:t>
      </w:r>
      <w:r w:rsidR="007D70DC" w:rsidRPr="00950B36">
        <w:rPr>
          <w:szCs w:val="18"/>
          <w:lang w:val="en-US"/>
        </w:rPr>
        <w:t>.</w:t>
      </w:r>
      <w:r w:rsidR="00B74F48">
        <w:rPr>
          <w:szCs w:val="18"/>
          <w:lang w:val="en-US"/>
        </w:rPr>
        <w:t xml:space="preserve"> </w:t>
      </w:r>
      <w:r w:rsidR="007D70DC" w:rsidRPr="007D70DC">
        <w:rPr>
          <w:lang w:val="en-US"/>
        </w:rPr>
        <w:t xml:space="preserve">Using a 3 </w:t>
      </w:r>
      <w:r w:rsidR="0038317B" w:rsidRPr="00905142">
        <w:rPr>
          <w:szCs w:val="18"/>
          <w:lang w:val="en-US"/>
        </w:rPr>
        <w:t>m</w:t>
      </w:r>
      <w:r w:rsidR="0038317B" w:rsidRPr="00905142">
        <w:rPr>
          <w:szCs w:val="18"/>
          <w:vertAlign w:val="superscript"/>
          <w:lang w:val="en-US"/>
        </w:rPr>
        <w:t>3</w:t>
      </w:r>
      <w:r w:rsidR="007D70DC" w:rsidRPr="007D70DC">
        <w:rPr>
          <w:lang w:val="en-US"/>
        </w:rPr>
        <w:t xml:space="preserve"> fermenter, a final biomass concentration of approximately 15.5 g/l is achieved, with initial glucose and nitrate amounts of 10 and 0.6 g/l, respectively. Interestingly, despite the depletion of the nitrogen source from the growth medium, the accumulation of carbohydrates and lipids by the biomass continues. </w:t>
      </w:r>
      <w:r w:rsidR="00681B7A">
        <w:rPr>
          <w:lang w:val="en-US"/>
        </w:rPr>
        <w:t>Indeed</w:t>
      </w:r>
      <w:r w:rsidR="007D70DC" w:rsidRPr="007D70DC">
        <w:rPr>
          <w:lang w:val="en-US"/>
        </w:rPr>
        <w:t xml:space="preserve">, under nitrogen deficiency conditions, the biomass </w:t>
      </w:r>
      <w:r w:rsidR="00681B7A">
        <w:rPr>
          <w:lang w:val="en-US"/>
        </w:rPr>
        <w:t xml:space="preserve">undergoes to </w:t>
      </w:r>
      <w:r w:rsidR="007D70DC" w:rsidRPr="007D70DC">
        <w:rPr>
          <w:lang w:val="en-US"/>
        </w:rPr>
        <w:t>a stress condition that leads it to accumulate starch and lipids as storage products necessary for its survival.</w:t>
      </w:r>
      <w:r w:rsidR="00B74F48">
        <w:rPr>
          <w:lang w:val="en-US"/>
        </w:rPr>
        <w:t xml:space="preserve"> </w:t>
      </w:r>
      <w:r w:rsidR="007D70DC" w:rsidRPr="007D70DC">
        <w:rPr>
          <w:lang w:val="en-US"/>
        </w:rPr>
        <w:t>Considering a process time of about 5.5 days, including the phases of filling, cleaning and sterilization, the following results are obtained: Biomass productivity 5.9 (kg/d</w:t>
      </w:r>
      <w:r w:rsidR="00532D35">
        <w:rPr>
          <w:lang w:val="en-US"/>
        </w:rPr>
        <w:t>ay</w:t>
      </w:r>
      <w:r w:rsidR="007D70DC" w:rsidRPr="007D70DC">
        <w:rPr>
          <w:lang w:val="en-US"/>
        </w:rPr>
        <w:t>)</w:t>
      </w:r>
      <w:r w:rsidR="00532D35">
        <w:rPr>
          <w:lang w:val="en-US"/>
        </w:rPr>
        <w:t>,</w:t>
      </w:r>
      <w:r w:rsidR="007D70DC" w:rsidRPr="007D70DC">
        <w:rPr>
          <w:lang w:val="en-US"/>
        </w:rPr>
        <w:t xml:space="preserve"> Glucose consumption 5.4 (kg/d</w:t>
      </w:r>
      <w:r w:rsidR="00532D35">
        <w:rPr>
          <w:lang w:val="en-US"/>
        </w:rPr>
        <w:t>ay</w:t>
      </w:r>
      <w:r w:rsidR="007D70DC" w:rsidRPr="007D70DC">
        <w:rPr>
          <w:lang w:val="en-US"/>
        </w:rPr>
        <w:t>)</w:t>
      </w:r>
      <w:r w:rsidR="00532D35">
        <w:rPr>
          <w:lang w:val="en-US"/>
        </w:rPr>
        <w:t xml:space="preserve"> and</w:t>
      </w:r>
      <w:r w:rsidR="007D70DC" w:rsidRPr="007D70DC">
        <w:rPr>
          <w:lang w:val="en-US"/>
        </w:rPr>
        <w:t xml:space="preserve"> Nitrate consumption 0.32 (kg/d</w:t>
      </w:r>
      <w:r w:rsidR="00532D35">
        <w:rPr>
          <w:lang w:val="en-US"/>
        </w:rPr>
        <w:t>ay</w:t>
      </w:r>
      <w:r w:rsidR="007D70DC" w:rsidRPr="007D70DC">
        <w:rPr>
          <w:lang w:val="en-US"/>
        </w:rPr>
        <w:t>)</w:t>
      </w:r>
      <w:r w:rsidR="00532D35">
        <w:rPr>
          <w:lang w:val="en-US"/>
        </w:rPr>
        <w:t>.</w:t>
      </w:r>
    </w:p>
    <w:p w14:paraId="67D82059" w14:textId="6B36ABF6" w:rsidR="00532D35" w:rsidRDefault="007D70DC" w:rsidP="00532D35">
      <w:pPr>
        <w:rPr>
          <w:lang w:val="en-US"/>
        </w:rPr>
      </w:pPr>
      <w:r w:rsidRPr="007D70DC">
        <w:rPr>
          <w:lang w:val="en-US"/>
        </w:rPr>
        <w:t xml:space="preserve">Regarding the simulation of the pulse technique the results are shown in </w:t>
      </w:r>
      <w:r w:rsidR="00101B57">
        <w:rPr>
          <w:lang w:val="en-US"/>
        </w:rPr>
        <w:t>F</w:t>
      </w:r>
      <w:r w:rsidRPr="007D70DC">
        <w:rPr>
          <w:lang w:val="en-US"/>
        </w:rPr>
        <w:t xml:space="preserve">ig </w:t>
      </w:r>
      <w:r w:rsidR="005250A1">
        <w:rPr>
          <w:lang w:val="en-US"/>
        </w:rPr>
        <w:t>1</w:t>
      </w:r>
      <w:r w:rsidRPr="007D70DC">
        <w:rPr>
          <w:lang w:val="en-US"/>
        </w:rPr>
        <w:t>b</w:t>
      </w:r>
      <w:r>
        <w:rPr>
          <w:lang w:val="en-US"/>
        </w:rPr>
        <w:t xml:space="preserve">. </w:t>
      </w:r>
      <w:r w:rsidR="00B06D66" w:rsidRPr="00532D35">
        <w:rPr>
          <w:lang w:val="en-US"/>
        </w:rPr>
        <w:t>The profile obtained shows the trend of saw-tooth from the biomass</w:t>
      </w:r>
      <w:r w:rsidR="007F1E5D">
        <w:rPr>
          <w:lang w:val="en-US"/>
        </w:rPr>
        <w:t xml:space="preserve"> (red line)</w:t>
      </w:r>
      <w:r w:rsidR="00B06D66" w:rsidRPr="00532D35">
        <w:rPr>
          <w:lang w:val="en-US"/>
        </w:rPr>
        <w:t xml:space="preserve">, with growing </w:t>
      </w:r>
      <w:r w:rsidR="00681B7A">
        <w:rPr>
          <w:lang w:val="en-US"/>
        </w:rPr>
        <w:t>trends during</w:t>
      </w:r>
      <w:r w:rsidR="00B06D66" w:rsidRPr="00532D35">
        <w:rPr>
          <w:lang w:val="en-US"/>
        </w:rPr>
        <w:t xml:space="preserve"> the glucose phases</w:t>
      </w:r>
      <w:r w:rsidR="007F1E5D">
        <w:rPr>
          <w:lang w:val="en-US"/>
        </w:rPr>
        <w:t xml:space="preserve"> (blue line)</w:t>
      </w:r>
      <w:r w:rsidR="00B06D66" w:rsidRPr="00532D35">
        <w:rPr>
          <w:lang w:val="en-US"/>
        </w:rPr>
        <w:t xml:space="preserve"> and consumption </w:t>
      </w:r>
      <w:r w:rsidR="00681B7A">
        <w:rPr>
          <w:lang w:val="en-US"/>
        </w:rPr>
        <w:t>trend</w:t>
      </w:r>
      <w:r w:rsidR="00B06D66" w:rsidRPr="00532D35">
        <w:rPr>
          <w:lang w:val="en-US"/>
        </w:rPr>
        <w:t xml:space="preserve">s </w:t>
      </w:r>
      <w:r w:rsidR="00681B7A">
        <w:rPr>
          <w:lang w:val="en-US"/>
        </w:rPr>
        <w:t>during</w:t>
      </w:r>
      <w:r w:rsidR="00B06D66" w:rsidRPr="00532D35">
        <w:rPr>
          <w:lang w:val="en-US"/>
        </w:rPr>
        <w:t xml:space="preserve"> nitrate phases</w:t>
      </w:r>
      <w:r w:rsidR="007F1E5D">
        <w:rPr>
          <w:lang w:val="en-US"/>
        </w:rPr>
        <w:t xml:space="preserve"> (green line)</w:t>
      </w:r>
      <w:r w:rsidR="00B06D66" w:rsidRPr="00532D35">
        <w:rPr>
          <w:lang w:val="en-US"/>
        </w:rPr>
        <w:t xml:space="preserve">. The </w:t>
      </w:r>
      <w:r w:rsidR="00A22F45">
        <w:rPr>
          <w:lang w:val="en-US"/>
        </w:rPr>
        <w:t>plot</w:t>
      </w:r>
      <w:r w:rsidR="00B06D66" w:rsidRPr="00532D35">
        <w:rPr>
          <w:lang w:val="en-US"/>
        </w:rPr>
        <w:t xml:space="preserve"> also shows the profile of the internal nitrogen quota</w:t>
      </w:r>
      <w:r w:rsidR="00CD3484">
        <w:rPr>
          <w:lang w:val="en-US"/>
        </w:rPr>
        <w:t xml:space="preserve"> (</w:t>
      </w:r>
      <w:r w:rsidR="007F1E5D">
        <w:rPr>
          <w:lang w:val="en-US"/>
        </w:rPr>
        <w:t>light-blue line)</w:t>
      </w:r>
      <w:r w:rsidR="00B06D66" w:rsidRPr="00532D35">
        <w:rPr>
          <w:lang w:val="en-US"/>
        </w:rPr>
        <w:t>, which shows an oscillating trend between the maximum and minimum values that were determined previously. Considering a process time of about 8 days, also considering filling and cleaning of the fermenter, the following values of productivity and consumption are obtained: Biomass productivity 5.91 (kg/day)</w:t>
      </w:r>
      <w:r w:rsidR="00532D35" w:rsidRPr="00532D35">
        <w:rPr>
          <w:lang w:val="en-US"/>
        </w:rPr>
        <w:t>,</w:t>
      </w:r>
      <w:r w:rsidR="00B06D66" w:rsidRPr="00532D35">
        <w:rPr>
          <w:lang w:val="en-US"/>
        </w:rPr>
        <w:t xml:space="preserve"> Glucose consumption 16.03 (kg/day)</w:t>
      </w:r>
      <w:r w:rsidR="00532D35" w:rsidRPr="00532D35">
        <w:rPr>
          <w:lang w:val="en-US"/>
        </w:rPr>
        <w:t xml:space="preserve"> and</w:t>
      </w:r>
      <w:r w:rsidR="00B06D66" w:rsidRPr="00532D35">
        <w:rPr>
          <w:lang w:val="en-US"/>
        </w:rPr>
        <w:t xml:space="preserve"> Nitrate consumption 1.7 (kg/day)</w:t>
      </w:r>
      <w:r w:rsidR="00532D35" w:rsidRPr="00532D35">
        <w:rPr>
          <w:lang w:val="en-US"/>
        </w:rPr>
        <w:t>.</w:t>
      </w:r>
    </w:p>
    <w:p w14:paraId="2B6FF90D" w14:textId="77777777" w:rsidR="007E45C2" w:rsidRDefault="007E45C2" w:rsidP="00532D35">
      <w:pPr>
        <w:rPr>
          <w:lang w:val="en-US"/>
        </w:rPr>
      </w:pPr>
    </w:p>
    <w:p w14:paraId="525C8662" w14:textId="64B41280" w:rsidR="0045350A" w:rsidRPr="00532D35" w:rsidRDefault="007E45C2" w:rsidP="00532D35">
      <w:pPr>
        <w:rPr>
          <w:lang w:val="en-US"/>
        </w:rPr>
      </w:pPr>
      <w:r>
        <w:rPr>
          <w:noProof/>
          <w:lang w:val="en-US"/>
        </w:rPr>
        <w:drawing>
          <wp:inline distT="0" distB="0" distL="0" distR="0" wp14:anchorId="42C3DF59" wp14:editId="4DE842E6">
            <wp:extent cx="5575300" cy="1695450"/>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300" cy="1695450"/>
                    </a:xfrm>
                    <a:prstGeom prst="rect">
                      <a:avLst/>
                    </a:prstGeom>
                    <a:noFill/>
                    <a:ln>
                      <a:noFill/>
                    </a:ln>
                  </pic:spPr>
                </pic:pic>
              </a:graphicData>
            </a:graphic>
          </wp:inline>
        </w:drawing>
      </w:r>
    </w:p>
    <w:p w14:paraId="561B9712" w14:textId="556AD66B" w:rsidR="00DD0115" w:rsidRDefault="00DD0115" w:rsidP="002A34C9">
      <w:pPr>
        <w:pStyle w:val="CETCaption"/>
        <w:rPr>
          <w:b/>
          <w:bCs/>
          <w:lang w:val="en-US"/>
        </w:rPr>
      </w:pPr>
      <w:r w:rsidRPr="00630FB0">
        <w:rPr>
          <w:lang w:val="en-US"/>
        </w:rPr>
        <w:t xml:space="preserve">Figure </w:t>
      </w:r>
      <w:r w:rsidRPr="004E0838">
        <w:rPr>
          <w:b/>
          <w:bCs/>
        </w:rPr>
        <w:fldChar w:fldCharType="begin"/>
      </w:r>
      <w:r w:rsidRPr="00630FB0">
        <w:rPr>
          <w:lang w:val="en-US"/>
        </w:rPr>
        <w:instrText xml:space="preserve"> SEQ Figure \* ARABIC </w:instrText>
      </w:r>
      <w:r w:rsidRPr="004E0838">
        <w:rPr>
          <w:b/>
          <w:bCs/>
        </w:rPr>
        <w:fldChar w:fldCharType="separate"/>
      </w:r>
      <w:r w:rsidR="002502E8">
        <w:rPr>
          <w:noProof/>
          <w:lang w:val="en-US"/>
        </w:rPr>
        <w:t>1</w:t>
      </w:r>
      <w:r w:rsidRPr="004E0838">
        <w:rPr>
          <w:b/>
          <w:bCs/>
        </w:rPr>
        <w:fldChar w:fldCharType="end"/>
      </w:r>
      <w:r w:rsidRPr="00630FB0">
        <w:rPr>
          <w:lang w:val="en-US"/>
        </w:rPr>
        <w:t>:</w:t>
      </w:r>
      <w:r w:rsidR="00532D35">
        <w:rPr>
          <w:lang w:val="en-US"/>
        </w:rPr>
        <w:t xml:space="preserve"> Profile concentration of a) </w:t>
      </w:r>
      <w:r w:rsidRPr="00630FB0">
        <w:rPr>
          <w:lang w:val="en-US"/>
        </w:rPr>
        <w:t>Batch simulation</w:t>
      </w:r>
      <w:r w:rsidR="00532D35">
        <w:rPr>
          <w:lang w:val="en-US"/>
        </w:rPr>
        <w:t xml:space="preserve">, b) </w:t>
      </w:r>
      <w:r w:rsidR="00532D35" w:rsidRPr="00532D35">
        <w:rPr>
          <w:lang w:val="en-US"/>
        </w:rPr>
        <w:t>Pulsed technique simulation</w:t>
      </w:r>
    </w:p>
    <w:p w14:paraId="397F795C" w14:textId="4CD7673C" w:rsidR="007F1E5D" w:rsidRPr="00982E03" w:rsidRDefault="00E42639" w:rsidP="0045350A">
      <w:pPr>
        <w:rPr>
          <w:szCs w:val="18"/>
          <w:lang w:val="en-US"/>
        </w:rPr>
      </w:pPr>
      <w:r>
        <w:rPr>
          <w:szCs w:val="18"/>
          <w:lang w:val="en-US"/>
        </w:rPr>
        <w:t>With respect to</w:t>
      </w:r>
      <w:r w:rsidR="00A22F45">
        <w:rPr>
          <w:szCs w:val="18"/>
          <w:lang w:val="en-US"/>
        </w:rPr>
        <w:t xml:space="preserve"> the third option applied in the MEWLIFE project, t</w:t>
      </w:r>
      <w:r w:rsidR="0045350A" w:rsidRPr="00905142">
        <w:rPr>
          <w:szCs w:val="18"/>
          <w:lang w:val="en-US"/>
        </w:rPr>
        <w:t xml:space="preserve">he operating phase is </w:t>
      </w:r>
      <w:r w:rsidR="00A22F45">
        <w:rPr>
          <w:szCs w:val="18"/>
          <w:lang w:val="en-US"/>
        </w:rPr>
        <w:t xml:space="preserve">divided in two </w:t>
      </w:r>
      <w:r w:rsidR="0045350A" w:rsidRPr="00905142">
        <w:rPr>
          <w:szCs w:val="18"/>
          <w:lang w:val="en-US"/>
        </w:rPr>
        <w:t>fermenter</w:t>
      </w:r>
      <w:r w:rsidR="00A22F45">
        <w:rPr>
          <w:szCs w:val="18"/>
          <w:lang w:val="en-US"/>
        </w:rPr>
        <w:t>s working in parallel</w:t>
      </w:r>
      <w:r w:rsidR="007F1E5D">
        <w:rPr>
          <w:szCs w:val="18"/>
          <w:lang w:val="en-US"/>
        </w:rPr>
        <w:t xml:space="preserve"> as described in previous paragraph</w:t>
      </w:r>
      <w:r w:rsidR="00A22F45">
        <w:rPr>
          <w:szCs w:val="18"/>
          <w:lang w:val="en-US"/>
        </w:rPr>
        <w:t>.</w:t>
      </w:r>
      <w:r w:rsidR="0045350A" w:rsidRPr="00905142">
        <w:rPr>
          <w:szCs w:val="18"/>
          <w:lang w:val="en-US"/>
        </w:rPr>
        <w:t xml:space="preserve"> The cycle </w:t>
      </w:r>
      <w:r w:rsidR="007F1E5D">
        <w:rPr>
          <w:szCs w:val="18"/>
          <w:lang w:val="en-US"/>
        </w:rPr>
        <w:t xml:space="preserve">in F-101 </w:t>
      </w:r>
      <w:r w:rsidR="0045350A" w:rsidRPr="00905142">
        <w:rPr>
          <w:szCs w:val="18"/>
          <w:lang w:val="en-US"/>
        </w:rPr>
        <w:t xml:space="preserve">is interrupted at the end of the second nitrate phase (after 6.5 </w:t>
      </w:r>
      <w:r w:rsidR="0045350A" w:rsidRPr="00982E03">
        <w:rPr>
          <w:szCs w:val="18"/>
          <w:lang w:val="en-US"/>
        </w:rPr>
        <w:t>days), when a biomass concentration of about 10 g/l is reached</w:t>
      </w:r>
      <w:r w:rsidR="00A717C6" w:rsidRPr="00982E03">
        <w:rPr>
          <w:szCs w:val="18"/>
          <w:lang w:val="en-US"/>
        </w:rPr>
        <w:t xml:space="preserve"> and a part of this suspension is sent to F-102 cultivation with only OOMWW.</w:t>
      </w:r>
    </w:p>
    <w:p w14:paraId="34243A38" w14:textId="1C6C47E6" w:rsidR="00C71953" w:rsidRDefault="0045350A" w:rsidP="00114A59">
      <w:pPr>
        <w:rPr>
          <w:szCs w:val="18"/>
          <w:lang w:val="en-US"/>
        </w:rPr>
      </w:pPr>
      <w:r w:rsidRPr="00982E03">
        <w:rPr>
          <w:szCs w:val="18"/>
          <w:lang w:val="en-US"/>
        </w:rPr>
        <w:t>Specifically, the microalgae suspension of 3 m</w:t>
      </w:r>
      <w:r w:rsidRPr="00982E03">
        <w:rPr>
          <w:szCs w:val="18"/>
          <w:vertAlign w:val="superscript"/>
          <w:lang w:val="en-US"/>
        </w:rPr>
        <w:t>3</w:t>
      </w:r>
      <w:r w:rsidRPr="00982E03">
        <w:rPr>
          <w:szCs w:val="18"/>
          <w:lang w:val="en-US"/>
        </w:rPr>
        <w:t xml:space="preserve"> of the first</w:t>
      </w:r>
      <w:r w:rsidRPr="00905142">
        <w:rPr>
          <w:szCs w:val="18"/>
          <w:lang w:val="en-US"/>
        </w:rPr>
        <w:t xml:space="preserve"> fermenter is in part (1.33 m</w:t>
      </w:r>
      <w:r w:rsidRPr="00905142">
        <w:rPr>
          <w:szCs w:val="18"/>
          <w:vertAlign w:val="superscript"/>
          <w:lang w:val="en-US"/>
        </w:rPr>
        <w:t>3</w:t>
      </w:r>
      <w:r w:rsidRPr="00905142">
        <w:rPr>
          <w:szCs w:val="18"/>
          <w:lang w:val="en-US"/>
        </w:rPr>
        <w:t>) recirculated to the F-101 to obtain, through dilution, the initial concentration of 4.5 g/l of biomass with which to start the cycle again, while the remaining part (1.67 m</w:t>
      </w:r>
      <w:r w:rsidRPr="00905142">
        <w:rPr>
          <w:szCs w:val="18"/>
          <w:vertAlign w:val="superscript"/>
          <w:lang w:val="en-US"/>
        </w:rPr>
        <w:t>3</w:t>
      </w:r>
      <w:r w:rsidRPr="00905142">
        <w:rPr>
          <w:szCs w:val="18"/>
          <w:lang w:val="en-US"/>
        </w:rPr>
        <w:t>), will be inoculated into the second fermenter</w:t>
      </w:r>
      <w:r w:rsidR="00A717C6">
        <w:rPr>
          <w:szCs w:val="18"/>
          <w:lang w:val="en-US"/>
        </w:rPr>
        <w:t xml:space="preserve"> F-102</w:t>
      </w:r>
      <w:r w:rsidRPr="00905142">
        <w:rPr>
          <w:szCs w:val="18"/>
          <w:lang w:val="en-US"/>
        </w:rPr>
        <w:t xml:space="preserve">, </w:t>
      </w:r>
      <w:r w:rsidR="0067288C">
        <w:rPr>
          <w:szCs w:val="18"/>
          <w:lang w:val="en-US"/>
        </w:rPr>
        <w:t>on which</w:t>
      </w:r>
      <w:r w:rsidRPr="00905142">
        <w:rPr>
          <w:szCs w:val="18"/>
          <w:lang w:val="en-US"/>
        </w:rPr>
        <w:t xml:space="preserve"> only the first glucose phase</w:t>
      </w:r>
      <w:r w:rsidR="0067288C">
        <w:rPr>
          <w:szCs w:val="18"/>
          <w:lang w:val="en-US"/>
        </w:rPr>
        <w:t xml:space="preserve"> (substituting </w:t>
      </w:r>
      <w:r w:rsidR="0067288C" w:rsidRPr="00982E03">
        <w:rPr>
          <w:szCs w:val="18"/>
          <w:lang w:val="en-US"/>
        </w:rPr>
        <w:t>glucose with OOMWW)</w:t>
      </w:r>
      <w:r w:rsidRPr="00982E03">
        <w:rPr>
          <w:szCs w:val="18"/>
          <w:lang w:val="en-US"/>
        </w:rPr>
        <w:t xml:space="preserve"> of the</w:t>
      </w:r>
      <w:r w:rsidRPr="00905142">
        <w:rPr>
          <w:szCs w:val="18"/>
          <w:lang w:val="en-US"/>
        </w:rPr>
        <w:t xml:space="preserve"> pulse</w:t>
      </w:r>
      <w:r w:rsidR="0067288C">
        <w:rPr>
          <w:szCs w:val="18"/>
          <w:lang w:val="en-US"/>
        </w:rPr>
        <w:t>d</w:t>
      </w:r>
      <w:r w:rsidRPr="00905142">
        <w:rPr>
          <w:szCs w:val="18"/>
          <w:lang w:val="en-US"/>
        </w:rPr>
        <w:t xml:space="preserve"> strategy</w:t>
      </w:r>
      <w:r w:rsidR="0067288C">
        <w:rPr>
          <w:szCs w:val="18"/>
          <w:lang w:val="en-US"/>
        </w:rPr>
        <w:t xml:space="preserve"> is carried out</w:t>
      </w:r>
      <w:r w:rsidRPr="00905142">
        <w:rPr>
          <w:szCs w:val="18"/>
          <w:lang w:val="en-US"/>
        </w:rPr>
        <w:t xml:space="preserve">, thus starting from 5.63 </w:t>
      </w:r>
      <w:r w:rsidRPr="007D1664">
        <w:rPr>
          <w:szCs w:val="18"/>
          <w:lang w:val="en-US"/>
        </w:rPr>
        <w:t>g/l and arriving at 11.3 g/l of microalgal biomass.</w:t>
      </w:r>
      <w:r w:rsidR="002A34C9" w:rsidRPr="007D1664">
        <w:rPr>
          <w:szCs w:val="18"/>
          <w:lang w:val="en-US"/>
        </w:rPr>
        <w:t xml:space="preserve"> </w:t>
      </w:r>
      <w:r w:rsidR="00114A59" w:rsidRPr="007D1664">
        <w:rPr>
          <w:lang w:val="en-US"/>
        </w:rPr>
        <w:t xml:space="preserve">The two fermenters run in parallel; the F-102 </w:t>
      </w:r>
      <w:r w:rsidR="00AF7D9B" w:rsidRPr="007D1664">
        <w:rPr>
          <w:lang w:val="en-US"/>
        </w:rPr>
        <w:t>can</w:t>
      </w:r>
      <w:r w:rsidR="00114A59" w:rsidRPr="007D1664">
        <w:rPr>
          <w:lang w:val="en-US"/>
        </w:rPr>
        <w:t xml:space="preserve"> run two consecutive cycles of about 3 days each before the F-101 </w:t>
      </w:r>
      <w:r w:rsidR="00BB5F36" w:rsidRPr="007D1664">
        <w:rPr>
          <w:lang w:val="en-US"/>
        </w:rPr>
        <w:t>ends</w:t>
      </w:r>
      <w:r w:rsidR="00114A59" w:rsidRPr="007D1664">
        <w:rPr>
          <w:lang w:val="en-US"/>
        </w:rPr>
        <w:t>.</w:t>
      </w:r>
      <w:r w:rsidR="005250A1" w:rsidRPr="007D1664">
        <w:rPr>
          <w:lang w:val="en-US"/>
        </w:rPr>
        <w:t xml:space="preserve"> </w:t>
      </w:r>
    </w:p>
    <w:p w14:paraId="6C303C48" w14:textId="11F66242" w:rsidR="001D3C1B" w:rsidRPr="00C71953" w:rsidRDefault="00114A59" w:rsidP="00114A59">
      <w:pPr>
        <w:rPr>
          <w:szCs w:val="18"/>
          <w:lang w:val="en-US"/>
        </w:rPr>
      </w:pPr>
      <w:r w:rsidRPr="00A045C3">
        <w:rPr>
          <w:szCs w:val="18"/>
          <w:lang w:val="en-US"/>
        </w:rPr>
        <w:t xml:space="preserve"> </w:t>
      </w:r>
      <w:r w:rsidR="003A282C" w:rsidRPr="003A282C">
        <w:rPr>
          <w:noProof/>
          <w:szCs w:val="18"/>
        </w:rPr>
        <w:drawing>
          <wp:inline distT="0" distB="0" distL="0" distR="0" wp14:anchorId="474DF63A" wp14:editId="126B0FA7">
            <wp:extent cx="2755900" cy="1829917"/>
            <wp:effectExtent l="0" t="0" r="635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1"/>
                    <a:stretch>
                      <a:fillRect/>
                    </a:stretch>
                  </pic:blipFill>
                  <pic:spPr>
                    <a:xfrm>
                      <a:off x="0" y="0"/>
                      <a:ext cx="2755900" cy="1829917"/>
                    </a:xfrm>
                    <a:prstGeom prst="rect">
                      <a:avLst/>
                    </a:prstGeom>
                  </pic:spPr>
                </pic:pic>
              </a:graphicData>
            </a:graphic>
          </wp:inline>
        </w:drawing>
      </w:r>
      <w:r w:rsidR="001D3C1B" w:rsidRPr="00D27FE4">
        <w:rPr>
          <w:noProof/>
          <w:szCs w:val="18"/>
        </w:rPr>
        <w:drawing>
          <wp:inline distT="0" distB="0" distL="0" distR="0" wp14:anchorId="646FCFA2" wp14:editId="7B5D8ED7">
            <wp:extent cx="2778450" cy="1585401"/>
            <wp:effectExtent l="0" t="0" r="0"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3854"/>
                    <a:stretch/>
                  </pic:blipFill>
                  <pic:spPr bwMode="auto">
                    <a:xfrm>
                      <a:off x="0" y="0"/>
                      <a:ext cx="2778450" cy="1585401"/>
                    </a:xfrm>
                    <a:prstGeom prst="rect">
                      <a:avLst/>
                    </a:prstGeom>
                    <a:ln>
                      <a:noFill/>
                    </a:ln>
                    <a:extLst>
                      <a:ext uri="{53640926-AAD7-44D8-BBD7-CCE9431645EC}">
                        <a14:shadowObscured xmlns:a14="http://schemas.microsoft.com/office/drawing/2010/main"/>
                      </a:ext>
                    </a:extLst>
                  </pic:spPr>
                </pic:pic>
              </a:graphicData>
            </a:graphic>
          </wp:inline>
        </w:drawing>
      </w:r>
    </w:p>
    <w:p w14:paraId="7E075122" w14:textId="2B5AF70C" w:rsidR="004A70A7" w:rsidRPr="004A70A7" w:rsidRDefault="004A70A7" w:rsidP="002A34C9">
      <w:pPr>
        <w:pStyle w:val="CETCaption"/>
        <w:rPr>
          <w:szCs w:val="18"/>
          <w:lang w:val="en-US"/>
        </w:rPr>
      </w:pPr>
      <w:r w:rsidRPr="003A282C">
        <w:rPr>
          <w:lang w:val="en-US"/>
        </w:rPr>
        <w:t xml:space="preserve">Figure </w:t>
      </w:r>
      <w:r w:rsidR="00B01A36">
        <w:t>2</w:t>
      </w:r>
      <w:r w:rsidRPr="003A282C">
        <w:rPr>
          <w:lang w:val="en-US"/>
        </w:rPr>
        <w:t>: a) Biomass</w:t>
      </w:r>
      <w:r w:rsidRPr="002502E8">
        <w:rPr>
          <w:lang w:val="en-US"/>
        </w:rPr>
        <w:t xml:space="preserve"> and Nutrient Profile in F-101 b) Biomass and Nutrient in F-102</w:t>
      </w:r>
    </w:p>
    <w:p w14:paraId="4E1BC5B5" w14:textId="58BBD1E4" w:rsidR="001D3C1B" w:rsidRDefault="00B37511" w:rsidP="001D3C1B">
      <w:pPr>
        <w:rPr>
          <w:szCs w:val="18"/>
          <w:lang w:val="en-US"/>
        </w:rPr>
      </w:pPr>
      <w:r w:rsidRPr="007D1664">
        <w:rPr>
          <w:lang w:val="en-US"/>
        </w:rPr>
        <w:lastRenderedPageBreak/>
        <w:t xml:space="preserve">The second cycle of F-102 is inoculated with the microalgal suspension derived from the previous phototrophic section since it </w:t>
      </w:r>
      <w:r w:rsidR="00BB5F36" w:rsidRPr="007D1664">
        <w:rPr>
          <w:lang w:val="en-US"/>
        </w:rPr>
        <w:t>has not</w:t>
      </w:r>
      <w:r w:rsidRPr="007D1664">
        <w:rPr>
          <w:lang w:val="en-US"/>
        </w:rPr>
        <w:t xml:space="preserve"> yet completed its cycle and therefore cannot be sent to F-102. After reaching 4.5 g/l of biomass concentration in the second cycle, F-102 will reach 9 g/l of biomass concentration. </w:t>
      </w:r>
      <w:r w:rsidR="00AF7D9B" w:rsidRPr="007D1664">
        <w:rPr>
          <w:lang w:val="en-US"/>
        </w:rPr>
        <w:t>To</w:t>
      </w:r>
      <w:r w:rsidR="00284F46" w:rsidRPr="007D1664">
        <w:rPr>
          <w:lang w:val="en-US"/>
        </w:rPr>
        <w:t xml:space="preserve"> obtain a saving on the glucose to be supplied, a concentrate of vegetation waters is also sent to the second fermenter</w:t>
      </w:r>
      <w:r w:rsidRPr="007D1664">
        <w:rPr>
          <w:lang w:val="en-US"/>
        </w:rPr>
        <w:t>.</w:t>
      </w:r>
      <w:r w:rsidRPr="007D1664">
        <w:rPr>
          <w:szCs w:val="18"/>
          <w:lang w:val="en-US"/>
        </w:rPr>
        <w:t xml:space="preserve"> </w:t>
      </w:r>
      <w:r w:rsidR="00284F46" w:rsidRPr="007D1664">
        <w:rPr>
          <w:szCs w:val="18"/>
          <w:lang w:val="en-US"/>
        </w:rPr>
        <w:t>Fig. 2 shows the biomass and nutrient profiles of the two fermenters.</w:t>
      </w:r>
      <w:r w:rsidR="00B74F48" w:rsidRPr="007D1664">
        <w:rPr>
          <w:szCs w:val="18"/>
          <w:lang w:val="en-US"/>
        </w:rPr>
        <w:t xml:space="preserve"> </w:t>
      </w:r>
      <w:r w:rsidR="00A045C3" w:rsidRPr="007D1664">
        <w:rPr>
          <w:szCs w:val="18"/>
          <w:lang w:val="en-US"/>
        </w:rPr>
        <w:t>Overall</w:t>
      </w:r>
      <w:r w:rsidR="00A045C3" w:rsidRPr="00A045C3">
        <w:rPr>
          <w:szCs w:val="18"/>
          <w:lang w:val="en-US"/>
        </w:rPr>
        <w:t>, the following data are obtained: Biomass productivity 7.27 (kg/day</w:t>
      </w:r>
      <w:r w:rsidR="00D8595A">
        <w:rPr>
          <w:szCs w:val="18"/>
          <w:lang w:val="en-US"/>
        </w:rPr>
        <w:t>),</w:t>
      </w:r>
      <w:r w:rsidR="00A045C3" w:rsidRPr="00A045C3">
        <w:rPr>
          <w:szCs w:val="18"/>
          <w:lang w:val="en-US"/>
        </w:rPr>
        <w:t xml:space="preserve"> Glucose consumption 15.0 (kg/day) </w:t>
      </w:r>
      <w:r w:rsidR="00D8595A">
        <w:rPr>
          <w:szCs w:val="18"/>
          <w:lang w:val="en-US"/>
        </w:rPr>
        <w:t xml:space="preserve">and </w:t>
      </w:r>
      <w:r w:rsidR="00A045C3" w:rsidRPr="00A045C3">
        <w:rPr>
          <w:szCs w:val="18"/>
          <w:lang w:val="en-US"/>
        </w:rPr>
        <w:t>Nitrate consumption 2.07 (kg/day)</w:t>
      </w:r>
      <w:r w:rsidR="00A045C3">
        <w:rPr>
          <w:szCs w:val="18"/>
          <w:lang w:val="en-US"/>
        </w:rPr>
        <w:t>.</w:t>
      </w:r>
    </w:p>
    <w:p w14:paraId="08A458DE" w14:textId="77777777" w:rsidR="00A045C3" w:rsidRPr="00A045C3" w:rsidRDefault="00A045C3" w:rsidP="001D3C1B">
      <w:pPr>
        <w:rPr>
          <w:szCs w:val="18"/>
          <w:lang w:val="en-US"/>
        </w:rPr>
      </w:pPr>
    </w:p>
    <w:p w14:paraId="1705C13A" w14:textId="77777777" w:rsidR="002B7E0C" w:rsidRPr="002B7E0C" w:rsidRDefault="004844CF" w:rsidP="002B7E0C">
      <w:pPr>
        <w:rPr>
          <w:b/>
          <w:bCs/>
          <w:szCs w:val="18"/>
          <w:lang w:val="en-US"/>
        </w:rPr>
      </w:pPr>
      <w:r w:rsidRPr="002B7E0C">
        <w:rPr>
          <w:b/>
          <w:bCs/>
          <w:szCs w:val="18"/>
          <w:lang w:val="en-US"/>
        </w:rPr>
        <w:t>3.2 Techno-economic analysis</w:t>
      </w:r>
    </w:p>
    <w:p w14:paraId="0FFFD39A" w14:textId="33720A60" w:rsidR="002B7E0C" w:rsidRPr="00694557" w:rsidRDefault="002B7E0C" w:rsidP="00694557">
      <w:pPr>
        <w:pStyle w:val="CETBodytext"/>
      </w:pPr>
      <w:r w:rsidRPr="00694557">
        <w:t xml:space="preserve">Economic analyses of the studied fermenters </w:t>
      </w:r>
      <w:r w:rsidR="0067288C" w:rsidRPr="00694557">
        <w:t>are</w:t>
      </w:r>
      <w:r w:rsidRPr="00694557">
        <w:t xml:space="preserve"> performed to evaluate the most cost-effective solution starting with the AACE Association for the Advancement of Cost Engineering guidelines for making cost estimates of an engineering project. The present work </w:t>
      </w:r>
      <w:r w:rsidR="0067288C" w:rsidRPr="00694557">
        <w:t>can be classified</w:t>
      </w:r>
      <w:r w:rsidRPr="00694557">
        <w:t xml:space="preserve"> </w:t>
      </w:r>
      <w:r w:rsidR="0067288C" w:rsidRPr="00694557">
        <w:t>as a</w:t>
      </w:r>
      <w:r w:rsidRPr="00694557">
        <w:t xml:space="preserve">n estimation class number 3, with a cost estimation error ranging from 20% under to 30% over. Once both the CAPEX </w:t>
      </w:r>
      <w:r w:rsidR="00694557">
        <w:t xml:space="preserve">(Fig. </w:t>
      </w:r>
      <w:r w:rsidR="00B01A36">
        <w:t>3</w:t>
      </w:r>
      <w:r w:rsidR="00694557">
        <w:t xml:space="preserve">) </w:t>
      </w:r>
      <w:r w:rsidRPr="00694557">
        <w:t xml:space="preserve">and OPEX needed to build and operate the plant </w:t>
      </w:r>
      <w:r w:rsidR="00242C52">
        <w:t xml:space="preserve">are </w:t>
      </w:r>
      <w:r w:rsidRPr="00694557">
        <w:t>estimated, the Cost Of Production (COP) must be calculated, which is the cost that must be incurred per unit of product.</w:t>
      </w:r>
    </w:p>
    <w:p w14:paraId="09B0E095" w14:textId="77777777" w:rsidR="006A344E" w:rsidRDefault="006A344E" w:rsidP="002B7E0C">
      <w:pPr>
        <w:rPr>
          <w:szCs w:val="18"/>
          <w:lang w:val="en-US"/>
        </w:rPr>
      </w:pPr>
    </w:p>
    <w:p w14:paraId="205ED04C" w14:textId="77777777" w:rsidR="002502E8" w:rsidRDefault="006A344E" w:rsidP="002502E8">
      <w:pPr>
        <w:keepNext/>
      </w:pPr>
      <w:r w:rsidRPr="00C124AD">
        <w:rPr>
          <w:noProof/>
          <w:color w:val="000000"/>
          <w:sz w:val="24"/>
          <w:szCs w:val="24"/>
          <w:shd w:val="clear" w:color="auto" w:fill="FFFFFF"/>
        </w:rPr>
        <w:drawing>
          <wp:inline distT="0" distB="0" distL="0" distR="0" wp14:anchorId="72BEC0E3" wp14:editId="7C087D98">
            <wp:extent cx="5595369" cy="210185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170"/>
                    <a:stretch/>
                  </pic:blipFill>
                  <pic:spPr bwMode="auto">
                    <a:xfrm>
                      <a:off x="0" y="0"/>
                      <a:ext cx="5620419" cy="2111260"/>
                    </a:xfrm>
                    <a:prstGeom prst="rect">
                      <a:avLst/>
                    </a:prstGeom>
                    <a:ln>
                      <a:noFill/>
                    </a:ln>
                    <a:extLst>
                      <a:ext uri="{53640926-AAD7-44D8-BBD7-CCE9431645EC}">
                        <a14:shadowObscured xmlns:a14="http://schemas.microsoft.com/office/drawing/2010/main"/>
                      </a:ext>
                    </a:extLst>
                  </pic:spPr>
                </pic:pic>
              </a:graphicData>
            </a:graphic>
          </wp:inline>
        </w:drawing>
      </w:r>
    </w:p>
    <w:p w14:paraId="00B39481" w14:textId="6296EDBE" w:rsidR="002502E8" w:rsidRPr="002502E8" w:rsidRDefault="002502E8" w:rsidP="002A34C9">
      <w:pPr>
        <w:pStyle w:val="CETCaption"/>
        <w:rPr>
          <w:lang w:val="en-US"/>
        </w:rPr>
      </w:pPr>
      <w:r w:rsidRPr="002502E8">
        <w:rPr>
          <w:lang w:val="en-US"/>
        </w:rPr>
        <w:t xml:space="preserve">Figure </w:t>
      </w:r>
      <w:r w:rsidR="00B01A36">
        <w:rPr>
          <w:lang w:val="en-US"/>
        </w:rPr>
        <w:t>3</w:t>
      </w:r>
      <w:r>
        <w:rPr>
          <w:lang w:val="en-US"/>
        </w:rPr>
        <w:t>:</w:t>
      </w:r>
      <w:r w:rsidRPr="002502E8">
        <w:rPr>
          <w:lang w:val="en-US"/>
        </w:rPr>
        <w:t xml:space="preserve"> Economic results of each cultivation approach - a) Batch with sterilization b) Pulsed without sterilization c) Pulsed</w:t>
      </w:r>
      <w:r w:rsidR="007D1664">
        <w:rPr>
          <w:lang w:val="en-US"/>
        </w:rPr>
        <w:t xml:space="preserve"> </w:t>
      </w:r>
      <w:r w:rsidRPr="002502E8">
        <w:rPr>
          <w:lang w:val="en-US"/>
        </w:rPr>
        <w:t>+</w:t>
      </w:r>
      <w:r w:rsidR="007D1664">
        <w:rPr>
          <w:lang w:val="en-US"/>
        </w:rPr>
        <w:t xml:space="preserve"> </w:t>
      </w:r>
      <w:r w:rsidRPr="002502E8">
        <w:rPr>
          <w:lang w:val="en-US"/>
        </w:rPr>
        <w:t>OOMW</w:t>
      </w:r>
      <w:r w:rsidR="00B03952">
        <w:rPr>
          <w:lang w:val="en-US"/>
        </w:rPr>
        <w:t>W</w:t>
      </w:r>
      <w:r w:rsidRPr="002502E8">
        <w:rPr>
          <w:lang w:val="en-US"/>
        </w:rPr>
        <w:t xml:space="preserve"> usage in parallel reactors</w:t>
      </w:r>
    </w:p>
    <w:p w14:paraId="3BB015D6" w14:textId="42468068" w:rsidR="00694557" w:rsidRPr="00694557" w:rsidRDefault="00694557" w:rsidP="00694557">
      <w:pPr>
        <w:pStyle w:val="CETBodytext"/>
      </w:pPr>
      <w:r w:rsidRPr="00694557">
        <w:t>Although the amount of biomass produced is the same, with the pulsed strategy it is possible to store inside the microalgal cells a higher amount of starch and</w:t>
      </w:r>
      <w:r w:rsidR="0057352F">
        <w:t xml:space="preserve"> lipids</w:t>
      </w:r>
      <w:r w:rsidRPr="00694557">
        <w:t xml:space="preserve">. This happens because with pulsed fermenter feeding, the biomass is repeatedly subjected to a stress condition, due to the absence of the nitrogen source in the growth medium. As a result, the biomass responds to this stress by accumulating more products such as starch and lipids, resulting in a productivity of these </w:t>
      </w:r>
      <w:r w:rsidRPr="007D1664">
        <w:t xml:space="preserve">metabolites that is almost double that of the batch strategy, where nitrogen and glucose are fed simultaneously. </w:t>
      </w:r>
      <w:r w:rsidR="004E6286" w:rsidRPr="007D1664">
        <w:t>Fig. 3 shows the economic results in terms of CAPEX of each cultivation technique.</w:t>
      </w:r>
      <w:r w:rsidR="00B74F48" w:rsidRPr="007D1664">
        <w:t xml:space="preserve"> </w:t>
      </w:r>
      <w:r w:rsidR="004E6286" w:rsidRPr="007D1664">
        <w:t>Overall, for the same biomass produced, the operating costs are similar for the first two cultivation techniques (batch 130 €/kg, pulsed 128 €/kg), while for pulsed</w:t>
      </w:r>
      <w:r w:rsidR="009C1C78">
        <w:t xml:space="preserve"> </w:t>
      </w:r>
      <w:r w:rsidR="004E6286" w:rsidRPr="007D1664">
        <w:t>+</w:t>
      </w:r>
      <w:r w:rsidR="009C1C78">
        <w:t xml:space="preserve"> </w:t>
      </w:r>
      <w:r w:rsidR="004E6286" w:rsidRPr="007D1664">
        <w:t>OOMWW, it is 187 €/kg.</w:t>
      </w:r>
      <w:r w:rsidR="00993B67" w:rsidRPr="007D1664">
        <w:t xml:space="preserve"> </w:t>
      </w:r>
      <w:r w:rsidRPr="007D1664">
        <w:t xml:space="preserve">Obviously, since the </w:t>
      </w:r>
      <w:r w:rsidR="00AF7D9B" w:rsidRPr="007D1664">
        <w:t>goal</w:t>
      </w:r>
      <w:r w:rsidRPr="007D1664">
        <w:t xml:space="preserve"> of the process is the extraction of these metabolites, the pulse strategy proved to be more promising and convenient than the batch case with sterilization of the incoming current. Despite</w:t>
      </w:r>
      <w:r w:rsidRPr="00694557">
        <w:t xml:space="preserve"> the use of two fermenters and a whole section of wastewater pre-treatment, the pulse </w:t>
      </w:r>
      <w:r w:rsidR="0057352F">
        <w:t>with</w:t>
      </w:r>
      <w:r w:rsidRPr="00694557">
        <w:t xml:space="preserve"> vegetation water system, with the related investments, </w:t>
      </w:r>
      <w:r w:rsidR="00AF7D9B" w:rsidRPr="00694557">
        <w:t>can</w:t>
      </w:r>
      <w:r w:rsidRPr="00694557">
        <w:t xml:space="preserve"> reach production cost values very close to the single fermenter pulse strategy, by </w:t>
      </w:r>
      <w:r w:rsidR="0057352F">
        <w:t>reason</w:t>
      </w:r>
      <w:r w:rsidRPr="00694557">
        <w:t xml:space="preserve"> of a significant saving on exogenous glucose, </w:t>
      </w:r>
      <w:r w:rsidR="0057352F" w:rsidRPr="0057352F">
        <w:t>with still wide possibilities of development</w:t>
      </w:r>
      <w:r w:rsidRPr="00694557">
        <w:t>.</w:t>
      </w:r>
    </w:p>
    <w:p w14:paraId="2F15793B" w14:textId="09148836" w:rsidR="00694557" w:rsidRPr="00694557" w:rsidRDefault="00694557" w:rsidP="00694557">
      <w:pPr>
        <w:pStyle w:val="CETBodytext"/>
      </w:pPr>
      <w:r w:rsidRPr="00694557">
        <w:t xml:space="preserve">Consequently, the </w:t>
      </w:r>
      <w:r w:rsidR="00AF7D9B" w:rsidRPr="00694557">
        <w:t>goal</w:t>
      </w:r>
      <w:r w:rsidRPr="00694557">
        <w:t xml:space="preserve"> is to aim at optimizing growth in the presence of vegetation water, </w:t>
      </w:r>
      <w:r w:rsidR="00AF7D9B" w:rsidRPr="00694557">
        <w:t>to</w:t>
      </w:r>
      <w:r w:rsidRPr="00694557">
        <w:t xml:space="preserve"> be able to mitigate as much as possible the consumption of glucose, which is one of the main cost items that characterizes this cultivation strategy</w:t>
      </w:r>
      <w:r w:rsidR="00C34A36">
        <w:t xml:space="preserve">. Furthermore, </w:t>
      </w:r>
      <w:r w:rsidR="00C34A36" w:rsidRPr="0095042B">
        <w:t>the usage of OOMWW could</w:t>
      </w:r>
      <w:r w:rsidR="00C34A36">
        <w:t xml:space="preserve"> further reduce the</w:t>
      </w:r>
      <w:r w:rsidR="009A0301">
        <w:t xml:space="preserve"> investment</w:t>
      </w:r>
      <w:r w:rsidR="00C34A36">
        <w:t xml:space="preserve"> cost </w:t>
      </w:r>
      <w:r w:rsidR="009A0301">
        <w:t xml:space="preserve">because an income due to the wastewaters’ treatment, paid </w:t>
      </w:r>
      <w:r w:rsidR="00AF7D9B">
        <w:t>from</w:t>
      </w:r>
      <w:r w:rsidR="009A0301">
        <w:t xml:space="preserve"> </w:t>
      </w:r>
      <w:r w:rsidR="00C57D5D">
        <w:t>mill sites,</w:t>
      </w:r>
      <w:r w:rsidR="009A0301">
        <w:t xml:space="preserve"> should be</w:t>
      </w:r>
      <w:r w:rsidR="00C57D5D">
        <w:t xml:space="preserve"> </w:t>
      </w:r>
      <w:r w:rsidR="00AF7D9B">
        <w:t>considered</w:t>
      </w:r>
      <w:r w:rsidR="00C57D5D">
        <w:t xml:space="preserve"> for a more complete business plan of this technology.</w:t>
      </w:r>
    </w:p>
    <w:p w14:paraId="26612C9C" w14:textId="7C21931B" w:rsidR="001D3C1B" w:rsidRDefault="001D3C1B" w:rsidP="00694557">
      <w:pPr>
        <w:pStyle w:val="CETHeading1"/>
        <w:rPr>
          <w:lang w:val="en-GB"/>
        </w:rPr>
      </w:pPr>
      <w:r w:rsidRPr="00B57B36">
        <w:rPr>
          <w:lang w:val="en-GB"/>
        </w:rPr>
        <w:t>Conclusions</w:t>
      </w:r>
    </w:p>
    <w:p w14:paraId="7D108FBE" w14:textId="7AC1FE76" w:rsidR="00694557" w:rsidRDefault="004E693E" w:rsidP="004E693E">
      <w:pPr>
        <w:pStyle w:val="CETBodytext"/>
      </w:pPr>
      <w:r>
        <w:t>This work show</w:t>
      </w:r>
      <w:r w:rsidR="006F0152">
        <w:t>s</w:t>
      </w:r>
      <w:r>
        <w:t xml:space="preserve"> how heterotrophic microalgae cultivation can be effectively conducted even without sterilization and aseptic procedures due to decoupled nutrient feeding. This also allow</w:t>
      </w:r>
      <w:r w:rsidR="006F0152">
        <w:t>s</w:t>
      </w:r>
      <w:r>
        <w:t xml:space="preserve"> the production of secondary metabolites to be optimized based on the nitrogen starvation condition, to which the microalgae are alternately subjected. The problem with this cultivation technique is related to the </w:t>
      </w:r>
      <w:r w:rsidR="00AF7D9B">
        <w:t>low</w:t>
      </w:r>
      <w:r>
        <w:t xml:space="preserve"> productivity and high glucose </w:t>
      </w:r>
      <w:r>
        <w:lastRenderedPageBreak/>
        <w:t xml:space="preserve">consumption. This is solved by running two fermenters in parallel, with one fed by </w:t>
      </w:r>
      <w:r w:rsidR="005D031E">
        <w:t>wastewater</w:t>
      </w:r>
      <w:r>
        <w:t xml:space="preserve"> from the olive mills, which reduces the extra supply of carbonaceous substrate. </w:t>
      </w:r>
    </w:p>
    <w:p w14:paraId="0EFBA576" w14:textId="20059C37" w:rsidR="004E693E" w:rsidRDefault="004E693E" w:rsidP="004E693E">
      <w:pPr>
        <w:pStyle w:val="CETBodytext"/>
      </w:pPr>
      <w:r>
        <w:t>The final aim</w:t>
      </w:r>
      <w:r w:rsidR="005D031E">
        <w:t xml:space="preserve"> is</w:t>
      </w:r>
      <w:r>
        <w:t xml:space="preserve"> to achieve complete remediation of the wastewater, which at present still cannot be discharged to the sewer after being used in the fermenter. Further upgrades of the </w:t>
      </w:r>
      <w:r w:rsidR="0067288C">
        <w:t>work</w:t>
      </w:r>
      <w:r>
        <w:t xml:space="preserve"> c</w:t>
      </w:r>
      <w:r w:rsidR="0067288C">
        <w:t>ould be</w:t>
      </w:r>
      <w:r>
        <w:t xml:space="preserve"> the possibility to include other wastes, such as those from the dairy industry, </w:t>
      </w:r>
      <w:r w:rsidR="00AF7D9B">
        <w:t>to</w:t>
      </w:r>
      <w:r>
        <w:t xml:space="preserve"> further limit the demand for glucose. </w:t>
      </w:r>
    </w:p>
    <w:p w14:paraId="53DF8143" w14:textId="39D07C35" w:rsidR="006347E3" w:rsidRDefault="004E693E" w:rsidP="004E693E">
      <w:pPr>
        <w:pStyle w:val="CETBodytext"/>
      </w:pPr>
      <w:r>
        <w:t xml:space="preserve">From an economic point of view, the pulse strategy </w:t>
      </w:r>
      <w:r w:rsidR="00AF7D9B">
        <w:t>conducted</w:t>
      </w:r>
      <w:r>
        <w:t xml:space="preserve"> in parallel with a cultivation phase in the presence of vegetation water has shown extremely encouraging results. However, further evaluations should be done in case it is decided to increase productivity. Batch production, in fact, can be increased simply by providing more nutrients to the microalgae. The pulse technique, on the other hand, is more rigid from this point of view, as the concentration of substrates to be loaded in each phase must not exceed the value predicted by the internal nitrogen quota trend. Therefore, for this technique it would be necessary to intervene with additional investments related to the use of a larger fermenter or several bioreactors placed in parallel</w:t>
      </w:r>
      <w:r w:rsidR="00BB5F36">
        <w:t xml:space="preserve">. </w:t>
      </w:r>
      <w:r>
        <w:t>Currently, the pulse technique represents an extremely promising strategy with ample room for improvement and therefore deserves further investigation</w:t>
      </w:r>
      <w:r w:rsidR="002B5653">
        <w:t xml:space="preserve"> </w:t>
      </w:r>
      <w:r w:rsidR="00AF7D9B">
        <w:t>to</w:t>
      </w:r>
      <w:r w:rsidR="002B5653">
        <w:t xml:space="preserve"> </w:t>
      </w:r>
      <w:r w:rsidR="00AF7D9B">
        <w:t>also optimize</w:t>
      </w:r>
      <w:r w:rsidR="002B5653">
        <w:t xml:space="preserve"> the usage of wastewaters </w:t>
      </w:r>
      <w:r w:rsidR="00405F34">
        <w:t>as organic source</w:t>
      </w:r>
      <w:r w:rsidR="00B96376">
        <w:t xml:space="preserve">, coupling thus biomass production and wastewater treatment. </w:t>
      </w:r>
    </w:p>
    <w:p w14:paraId="051DE52E" w14:textId="45F892F2" w:rsidR="006347E3" w:rsidRDefault="006347E3" w:rsidP="006347E3">
      <w:pPr>
        <w:pStyle w:val="CETHeading1"/>
        <w:numPr>
          <w:ilvl w:val="0"/>
          <w:numId w:val="0"/>
        </w:numPr>
        <w:rPr>
          <w:lang w:val="en-GB"/>
        </w:rPr>
      </w:pPr>
      <w:r>
        <w:rPr>
          <w:lang w:val="en-GB"/>
        </w:rPr>
        <w:t>A</w:t>
      </w:r>
      <w:r w:rsidR="004E51B0" w:rsidRPr="004E51B0">
        <w:rPr>
          <w:lang w:val="en-GB"/>
        </w:rPr>
        <w:t>cknowledgements</w:t>
      </w:r>
    </w:p>
    <w:p w14:paraId="5BD5AA21" w14:textId="4B76354A" w:rsidR="004E51B0" w:rsidRPr="00B57B36" w:rsidRDefault="004E51B0" w:rsidP="004E51B0">
      <w:pPr>
        <w:pStyle w:val="CETBodytext"/>
        <w:rPr>
          <w:lang w:val="en-GB"/>
        </w:rPr>
      </w:pPr>
      <w:r w:rsidRPr="00734DD0">
        <w:rPr>
          <w:lang w:val="en-GB"/>
        </w:rPr>
        <w:t>This work was supported by the European Union in the framework of the LIFE program</w:t>
      </w:r>
      <w:r>
        <w:rPr>
          <w:lang w:val="en-GB"/>
        </w:rPr>
        <w:t xml:space="preserve"> </w:t>
      </w:r>
      <w:r w:rsidRPr="00734DD0">
        <w:rPr>
          <w:lang w:val="en-GB"/>
        </w:rPr>
        <w:t>(MEWLIFE project - LIFE17 ENV IT 000180).</w:t>
      </w:r>
      <w:r>
        <w:rPr>
          <w:lang w:val="en-GB"/>
        </w:rPr>
        <w:t xml:space="preserve"> </w:t>
      </w:r>
      <w:r w:rsidR="00214925">
        <w:rPr>
          <w:lang w:val="en-GB"/>
        </w:rPr>
        <w:t xml:space="preserve">The </w:t>
      </w:r>
      <w:r w:rsidR="00565291">
        <w:rPr>
          <w:lang w:val="en-GB"/>
        </w:rPr>
        <w:t xml:space="preserve">authors wish to tank Dr. Vittorio Galanti for </w:t>
      </w:r>
      <w:r w:rsidR="00B40F63">
        <w:rPr>
          <w:lang w:val="en-GB"/>
        </w:rPr>
        <w:t>efforts</w:t>
      </w:r>
      <w:r w:rsidR="00553AEF">
        <w:rPr>
          <w:lang w:val="en-GB"/>
        </w:rPr>
        <w:t xml:space="preserve"> made</w:t>
      </w:r>
      <w:r w:rsidR="00B40F63">
        <w:rPr>
          <w:lang w:val="en-GB"/>
        </w:rPr>
        <w:t xml:space="preserve"> on the Aspen Model.</w:t>
      </w:r>
    </w:p>
    <w:p w14:paraId="4F1327F8" w14:textId="10F561AA" w:rsidR="00600535" w:rsidRPr="00B57B36" w:rsidRDefault="00600535" w:rsidP="00600535">
      <w:pPr>
        <w:pStyle w:val="CETReference"/>
      </w:pPr>
      <w:r w:rsidRPr="00B57B36">
        <w:t>Reference</w:t>
      </w:r>
    </w:p>
    <w:p w14:paraId="48524290" w14:textId="77777777" w:rsidR="000C5F1D" w:rsidRDefault="000C5F1D" w:rsidP="000C5F1D">
      <w:pPr>
        <w:pStyle w:val="CETReferencetext"/>
      </w:pPr>
      <w:r>
        <w:t xml:space="preserve">Acièn F.G, Molina E., Reis A., Torzillo G., Zittelli G.C., lveda C. Sepu´, Masojı´dek J., 2013, Photobioreactors for the production of microalgae. Microalgae-Based Biofuels and Bioproducts, 12, 131-151. </w:t>
      </w:r>
    </w:p>
    <w:p w14:paraId="16D05845" w14:textId="77777777" w:rsidR="000C5F1D" w:rsidRDefault="000C5F1D" w:rsidP="000C5F1D">
      <w:pPr>
        <w:pStyle w:val="CETReferencetext"/>
      </w:pPr>
      <w:r>
        <w:t>Aishvarya V., Jena J., Pradhan N., Panda P.K., L.B. Sukla L.B., 2015, Microalgae: Cultivation and Application. Springer International Publishing Switzerland, 291-307.</w:t>
      </w:r>
    </w:p>
    <w:p w14:paraId="51D70D42" w14:textId="76C6B90A" w:rsidR="000C5F1D" w:rsidRDefault="000C5F1D" w:rsidP="000C5F1D">
      <w:pPr>
        <w:pStyle w:val="CETReferencetext"/>
      </w:pPr>
      <w:r w:rsidRPr="00993B67">
        <w:t xml:space="preserve">Ashidate </w:t>
      </w:r>
      <w:r w:rsidR="00993B67" w:rsidRPr="00993B67">
        <w:t>M.</w:t>
      </w:r>
      <w:r w:rsidRPr="00993B67">
        <w:t>, Yamashita</w:t>
      </w:r>
      <w:r>
        <w:t xml:space="preserve"> T</w:t>
      </w:r>
      <w:r w:rsidR="00993B67">
        <w:t>.</w:t>
      </w:r>
      <w:r>
        <w:t>, Hamasaki K</w:t>
      </w:r>
      <w:r w:rsidR="00993B67">
        <w:t>.</w:t>
      </w:r>
      <w:r>
        <w:t xml:space="preserve">, 2018, Effects of thermal disinfection and autoclave sterilisation on the quality of microalgae concentrates. Aquaculture research. </w:t>
      </w:r>
    </w:p>
    <w:p w14:paraId="42246DAD" w14:textId="77777777" w:rsidR="000C5F1D" w:rsidRDefault="000C5F1D" w:rsidP="000C5F1D">
      <w:pPr>
        <w:pStyle w:val="CETReferencetext"/>
      </w:pPr>
      <w:r>
        <w:t>Atikah M. S. N., Harun Razif, 2019, Simulation and Optimization of Chlorella vulgaris Gasification Using Aspen Plus. Process Integration and Optimization for Sustainability, 3, 349–357.</w:t>
      </w:r>
    </w:p>
    <w:p w14:paraId="5D8EAD4F" w14:textId="25A668F8" w:rsidR="000C5F1D" w:rsidRDefault="000C5F1D" w:rsidP="000C5F1D">
      <w:pPr>
        <w:pStyle w:val="CETReferencetext"/>
      </w:pPr>
      <w:r w:rsidRPr="00993B67">
        <w:t>Breuer G</w:t>
      </w:r>
      <w:r w:rsidR="00993B67" w:rsidRPr="00993B67">
        <w:t>.</w:t>
      </w:r>
      <w:r w:rsidRPr="00993B67">
        <w:t>, Lamers P</w:t>
      </w:r>
      <w:r>
        <w:t>., Martens D</w:t>
      </w:r>
      <w:r w:rsidR="00993B67">
        <w:t>.</w:t>
      </w:r>
      <w:r>
        <w:t xml:space="preserve"> E., Draaism R</w:t>
      </w:r>
      <w:r w:rsidR="00993B67">
        <w:t>.</w:t>
      </w:r>
      <w:r>
        <w:t xml:space="preserve"> B., Wijffels R</w:t>
      </w:r>
      <w:r w:rsidR="00993B67">
        <w:t>.</w:t>
      </w:r>
      <w:r>
        <w:t xml:space="preserve"> H., 2012, The impact of nitrogen starvation on the dynamics of triacylglycerol accumulation in nine microalgae strains. Bioresource Technology, 124, 217-226. </w:t>
      </w:r>
    </w:p>
    <w:p w14:paraId="459B9CF2" w14:textId="4C975847" w:rsidR="000C5F1D" w:rsidRDefault="000C5F1D" w:rsidP="000C5F1D">
      <w:pPr>
        <w:pStyle w:val="CETReferencetext"/>
      </w:pPr>
      <w:r w:rsidRPr="00993B67">
        <w:t>Hua J</w:t>
      </w:r>
      <w:r w:rsidR="00993B67" w:rsidRPr="00993B67">
        <w:t>.</w:t>
      </w:r>
      <w:r w:rsidRPr="00993B67">
        <w:t>, Nagarajan D</w:t>
      </w:r>
      <w:r w:rsidR="00993B67" w:rsidRPr="00993B67">
        <w:t>.</w:t>
      </w:r>
      <w:r w:rsidRPr="00993B67">
        <w:t>,</w:t>
      </w:r>
      <w:r>
        <w:t xml:space="preserve"> Zhanga Q</w:t>
      </w:r>
      <w:r w:rsidR="00993B67">
        <w:t>.</w:t>
      </w:r>
      <w:r>
        <w:t xml:space="preserve">, Chang </w:t>
      </w:r>
      <w:r w:rsidR="00993B67">
        <w:t>J.</w:t>
      </w:r>
      <w:r>
        <w:t xml:space="preserve">, Lee </w:t>
      </w:r>
      <w:r w:rsidR="00993B67">
        <w:t>D.</w:t>
      </w:r>
      <w:r>
        <w:t xml:space="preserve">, 2017, Heterotrophic cultivation of microalgae for pigment production: A review. Biotechnology Advances. </w:t>
      </w:r>
    </w:p>
    <w:p w14:paraId="3372639B" w14:textId="77777777" w:rsidR="00BD7AF0" w:rsidRPr="007D1664" w:rsidRDefault="00BD7AF0" w:rsidP="00764B8E">
      <w:pPr>
        <w:pStyle w:val="CETReferencetext"/>
        <w:rPr>
          <w:lang w:val="en-US"/>
        </w:rPr>
      </w:pPr>
      <w:r w:rsidRPr="007D1664">
        <w:rPr>
          <w:lang w:val="en-US"/>
        </w:rPr>
        <w:t>Mazzelli A., Cicci A., Sed G., Bravi M., 2018, Development of a Semi-Theoretical Light Radiation and Photosynthetic Growth Model for the Optimal Exploitation of Wastewaters by Microalgae, Chemical Engineering Transactions, 64, 685-690</w:t>
      </w:r>
    </w:p>
    <w:p w14:paraId="66F56231" w14:textId="61A5DF3F" w:rsidR="00764B8E" w:rsidRPr="007D1664" w:rsidRDefault="00764B8E" w:rsidP="00764B8E">
      <w:pPr>
        <w:pStyle w:val="CETReferencetext"/>
        <w:rPr>
          <w:lang w:val="en-US"/>
        </w:rPr>
      </w:pPr>
      <w:r w:rsidRPr="007D1664">
        <w:rPr>
          <w:lang w:val="en-US"/>
        </w:rPr>
        <w:t>Mazzelli A., Luzzi D. M., Buonanno G., Cicci A., Piemonte V., Iaquaniello G., 2019</w:t>
      </w:r>
      <w:r w:rsidR="00101B57" w:rsidRPr="007D1664">
        <w:rPr>
          <w:lang w:val="en-US"/>
        </w:rPr>
        <w:t>a</w:t>
      </w:r>
      <w:r w:rsidRPr="007D1664">
        <w:rPr>
          <w:lang w:val="en-US"/>
        </w:rPr>
        <w:t>, An optimized separation process of microalgal lipidic products by molecular distillation: Techno-economic analysis. Chemical Engineering Science Volume 207, Pages 1187 - 119</w:t>
      </w:r>
    </w:p>
    <w:p w14:paraId="11CAE770" w14:textId="1F209424" w:rsidR="003A282C" w:rsidRPr="007D1664" w:rsidRDefault="00101B57" w:rsidP="000C5F1D">
      <w:pPr>
        <w:pStyle w:val="CETReferencetext"/>
        <w:rPr>
          <w:lang w:val="en-US"/>
        </w:rPr>
      </w:pPr>
      <w:r w:rsidRPr="007D1664">
        <w:rPr>
          <w:lang w:val="en-US"/>
        </w:rPr>
        <w:t>Mazzelli A., Buonanno G.</w:t>
      </w:r>
      <w:r w:rsidR="009C1C78" w:rsidRPr="007D1664">
        <w:rPr>
          <w:lang w:val="en-US"/>
        </w:rPr>
        <w:t>, Luzzi</w:t>
      </w:r>
      <w:r w:rsidRPr="007D1664">
        <w:rPr>
          <w:lang w:val="en-US"/>
        </w:rPr>
        <w:t xml:space="preserve"> D. M., Cicci A., Piemonte V., Iaquaniello G., 2019b, Multi-component extraction process of high added value compounds from microalgae with supercritical CO2: A technical and economic study. Chemical Engineering Research and Design. Volume 150, Pages 65 </w:t>
      </w:r>
      <w:r w:rsidR="00771DB8" w:rsidRPr="007D1664">
        <w:rPr>
          <w:lang w:val="en-US"/>
        </w:rPr>
        <w:t>–</w:t>
      </w:r>
      <w:r w:rsidRPr="007D1664">
        <w:rPr>
          <w:lang w:val="en-US"/>
        </w:rPr>
        <w:t xml:space="preserve"> 73</w:t>
      </w:r>
      <w:r w:rsidR="00771DB8" w:rsidRPr="007D1664">
        <w:rPr>
          <w:lang w:val="en-US"/>
        </w:rPr>
        <w:t xml:space="preserve"> </w:t>
      </w:r>
      <w:r w:rsidR="009C1C78" w:rsidRPr="007D1664">
        <w:rPr>
          <w:lang w:val="en-US"/>
        </w:rPr>
        <w:t>October 2019</w:t>
      </w:r>
    </w:p>
    <w:p w14:paraId="1FDBB753" w14:textId="6394816E" w:rsidR="00101B57" w:rsidRPr="007D1664" w:rsidRDefault="00101B57" w:rsidP="000C5F1D">
      <w:pPr>
        <w:pStyle w:val="CETReferencetext"/>
        <w:rPr>
          <w:lang w:val="en-US"/>
        </w:rPr>
      </w:pPr>
      <w:r w:rsidRPr="007D1664">
        <w:rPr>
          <w:lang w:val="en-US"/>
        </w:rPr>
        <w:t>Mazzelli A., Valentini M., Cicci A., Iaquaniello G., Bravi M., 2022, Industrial bio-fractionation process of microalgae valuable products using supercritical CO2. A techno-economical evaluation. Chemical Engineering Research and DesignVolume 178, Pages 50 - 60</w:t>
      </w:r>
    </w:p>
    <w:p w14:paraId="7DE0C34E" w14:textId="257277B1" w:rsidR="000C5F1D" w:rsidRDefault="000C5F1D" w:rsidP="000C5F1D">
      <w:pPr>
        <w:pStyle w:val="CETReferencetext"/>
      </w:pPr>
      <w:r w:rsidRPr="00993B67">
        <w:t>Murwanashyaka T</w:t>
      </w:r>
      <w:r w:rsidR="00993B67" w:rsidRPr="00993B67">
        <w:t>.</w:t>
      </w:r>
      <w:r w:rsidRPr="00993B67">
        <w:t>, Shen L</w:t>
      </w:r>
      <w:r w:rsidR="00993B67" w:rsidRPr="00993B67">
        <w:t>.</w:t>
      </w:r>
      <w:r w:rsidRPr="00993B67">
        <w:t>,</w:t>
      </w:r>
      <w:r>
        <w:t xml:space="preserve"> Yang Z</w:t>
      </w:r>
      <w:r w:rsidR="00993B67">
        <w:t>.</w:t>
      </w:r>
      <w:r>
        <w:t xml:space="preserve">, Chang </w:t>
      </w:r>
      <w:r w:rsidR="00993B67">
        <w:t>J.</w:t>
      </w:r>
      <w:r>
        <w:t>, Manirafasha E</w:t>
      </w:r>
      <w:r w:rsidR="00993B67">
        <w:t>.</w:t>
      </w:r>
      <w:r>
        <w:t>, Ndikubwimana T</w:t>
      </w:r>
      <w:r w:rsidR="00993B67">
        <w:t>.</w:t>
      </w:r>
      <w:r>
        <w:t>, Chen C</w:t>
      </w:r>
      <w:r w:rsidR="00993B67">
        <w:t>.</w:t>
      </w:r>
      <w:r>
        <w:t>, Lu Y</w:t>
      </w:r>
      <w:r w:rsidR="00993B67">
        <w:t>.</w:t>
      </w:r>
      <w:r>
        <w:t>, 2020, Kinetic modelling of heterotrophic microalgae culture in wastewater: Storage molecule generation and pollutants mitigation. Biochemical Engineering Journal, 157, 107523.</w:t>
      </w:r>
    </w:p>
    <w:p w14:paraId="08BEF69B" w14:textId="786D497E" w:rsidR="00267667" w:rsidRDefault="000C5F1D" w:rsidP="006B4888">
      <w:pPr>
        <w:pStyle w:val="CETReferencetext"/>
      </w:pPr>
      <w:r w:rsidRPr="001C7146">
        <w:t>Sandani W</w:t>
      </w:r>
      <w:r w:rsidR="001C7146" w:rsidRPr="001C7146">
        <w:t>.</w:t>
      </w:r>
      <w:r w:rsidRPr="001C7146">
        <w:t xml:space="preserve"> P</w:t>
      </w:r>
      <w:r w:rsidR="001C7146" w:rsidRPr="001C7146">
        <w:t>.</w:t>
      </w:r>
      <w:r w:rsidRPr="001C7146">
        <w:t>, Gannoru, Sanuji K</w:t>
      </w:r>
      <w:r w:rsidR="001C7146" w:rsidRPr="001C7146">
        <w:t>.</w:t>
      </w:r>
      <w:r w:rsidRPr="001C7146">
        <w:t>, Nishshanka H</w:t>
      </w:r>
      <w:r w:rsidR="001C7146" w:rsidRPr="001C7146">
        <w:t>.</w:t>
      </w:r>
      <w:r w:rsidRPr="001C7146">
        <w:t>, Premaratne G</w:t>
      </w:r>
      <w:r w:rsidR="001C7146" w:rsidRPr="001C7146">
        <w:t>.</w:t>
      </w:r>
      <w:r w:rsidRPr="001C7146">
        <w:t xml:space="preserve"> </w:t>
      </w:r>
      <w:r>
        <w:t>M</w:t>
      </w:r>
      <w:r w:rsidR="001C7146">
        <w:t>.</w:t>
      </w:r>
      <w:r>
        <w:t xml:space="preserve"> M</w:t>
      </w:r>
      <w:r w:rsidR="001C7146">
        <w:t>.</w:t>
      </w:r>
      <w:r>
        <w:t>, Chamode S</w:t>
      </w:r>
      <w:r w:rsidR="001C7146">
        <w:t>.</w:t>
      </w:r>
      <w:r>
        <w:t>, Wijayasekera N</w:t>
      </w:r>
      <w:r w:rsidR="001C7146">
        <w:t>.</w:t>
      </w:r>
      <w:r>
        <w:t>, Ariyadasa T</w:t>
      </w:r>
      <w:r w:rsidR="001C7146">
        <w:t>.</w:t>
      </w:r>
      <w:r>
        <w:t xml:space="preserve"> U</w:t>
      </w:r>
      <w:r w:rsidR="001C7146">
        <w:t>.</w:t>
      </w:r>
      <w:r>
        <w:t>, Premachandra J</w:t>
      </w:r>
      <w:r w:rsidR="001C7146">
        <w:t>.</w:t>
      </w:r>
      <w:r>
        <w:t xml:space="preserve"> K</w:t>
      </w:r>
      <w:r w:rsidR="001C7146">
        <w:t>.</w:t>
      </w:r>
      <w:r>
        <w:t xml:space="preserve">, 2020, Comparative assessment of pretreatment strategies for production of microalgae-based biodiesel from locally isolated Chlorella homosphaera. Journal of Bioscience and Bioengineering, 130 (3), 295-305. </w:t>
      </w:r>
    </w:p>
    <w:sectPr w:rsidR="00267667"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46BE" w14:textId="77777777" w:rsidR="00135941" w:rsidRDefault="00135941" w:rsidP="004F5E36">
      <w:r>
        <w:separator/>
      </w:r>
    </w:p>
  </w:endnote>
  <w:endnote w:type="continuationSeparator" w:id="0">
    <w:p w14:paraId="25F10A24" w14:textId="77777777" w:rsidR="00135941" w:rsidRDefault="001359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7294" w14:textId="77777777" w:rsidR="00135941" w:rsidRDefault="00135941" w:rsidP="004F5E36">
      <w:r>
        <w:separator/>
      </w:r>
    </w:p>
  </w:footnote>
  <w:footnote w:type="continuationSeparator" w:id="0">
    <w:p w14:paraId="3124064D" w14:textId="77777777" w:rsidR="00135941" w:rsidRDefault="001359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390E473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5231A94"/>
    <w:multiLevelType w:val="multilevel"/>
    <w:tmpl w:val="8EF836F2"/>
    <w:lvl w:ilvl="0">
      <w:start w:val="1"/>
      <w:numFmt w:val="decimal"/>
      <w:lvlText w:val="%1."/>
      <w:lvlJc w:val="left"/>
      <w:pPr>
        <w:ind w:left="360" w:hanging="360"/>
      </w:pPr>
    </w:lvl>
    <w:lvl w:ilvl="1">
      <w:start w:val="1"/>
      <w:numFmt w:val="decimal"/>
      <w:pStyle w:val="CETheading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3D82"/>
    <w:rsid w:val="0002573F"/>
    <w:rsid w:val="0003148D"/>
    <w:rsid w:val="00032398"/>
    <w:rsid w:val="0003651C"/>
    <w:rsid w:val="00050B1B"/>
    <w:rsid w:val="00051566"/>
    <w:rsid w:val="00062A9A"/>
    <w:rsid w:val="00065058"/>
    <w:rsid w:val="0007371E"/>
    <w:rsid w:val="000843CA"/>
    <w:rsid w:val="0008553A"/>
    <w:rsid w:val="00086C39"/>
    <w:rsid w:val="000A03B2"/>
    <w:rsid w:val="000B7723"/>
    <w:rsid w:val="000C5F1D"/>
    <w:rsid w:val="000D34BE"/>
    <w:rsid w:val="000E102F"/>
    <w:rsid w:val="000E36F1"/>
    <w:rsid w:val="000E3A73"/>
    <w:rsid w:val="000E414A"/>
    <w:rsid w:val="000E4731"/>
    <w:rsid w:val="000F093C"/>
    <w:rsid w:val="000F787B"/>
    <w:rsid w:val="00101B57"/>
    <w:rsid w:val="00114A59"/>
    <w:rsid w:val="0012091F"/>
    <w:rsid w:val="00126A1F"/>
    <w:rsid w:val="00126BC2"/>
    <w:rsid w:val="001308B6"/>
    <w:rsid w:val="0013121F"/>
    <w:rsid w:val="00131FE6"/>
    <w:rsid w:val="0013263F"/>
    <w:rsid w:val="0013365E"/>
    <w:rsid w:val="00134DE4"/>
    <w:rsid w:val="00135941"/>
    <w:rsid w:val="001377AD"/>
    <w:rsid w:val="0014034D"/>
    <w:rsid w:val="0014464F"/>
    <w:rsid w:val="00150E59"/>
    <w:rsid w:val="00152D3A"/>
    <w:rsid w:val="00152DE3"/>
    <w:rsid w:val="00153CB7"/>
    <w:rsid w:val="00164CF9"/>
    <w:rsid w:val="001743BE"/>
    <w:rsid w:val="00180860"/>
    <w:rsid w:val="00184AD6"/>
    <w:rsid w:val="001A5B78"/>
    <w:rsid w:val="001B0349"/>
    <w:rsid w:val="001B1363"/>
    <w:rsid w:val="001B14B2"/>
    <w:rsid w:val="001B65C1"/>
    <w:rsid w:val="001C45E8"/>
    <w:rsid w:val="001C59C4"/>
    <w:rsid w:val="001C684B"/>
    <w:rsid w:val="001C7146"/>
    <w:rsid w:val="001D3C1B"/>
    <w:rsid w:val="001D53FC"/>
    <w:rsid w:val="001E3287"/>
    <w:rsid w:val="001F0C4B"/>
    <w:rsid w:val="001F42A5"/>
    <w:rsid w:val="001F5E52"/>
    <w:rsid w:val="001F7B9D"/>
    <w:rsid w:val="00203FAD"/>
    <w:rsid w:val="00214925"/>
    <w:rsid w:val="002224B4"/>
    <w:rsid w:val="002244FE"/>
    <w:rsid w:val="00233A89"/>
    <w:rsid w:val="0023588E"/>
    <w:rsid w:val="002401FB"/>
    <w:rsid w:val="00242C52"/>
    <w:rsid w:val="002447EF"/>
    <w:rsid w:val="0024744C"/>
    <w:rsid w:val="002502E8"/>
    <w:rsid w:val="00251550"/>
    <w:rsid w:val="00260ED1"/>
    <w:rsid w:val="00263B05"/>
    <w:rsid w:val="002667FC"/>
    <w:rsid w:val="00267667"/>
    <w:rsid w:val="00270F66"/>
    <w:rsid w:val="0027221A"/>
    <w:rsid w:val="0027341C"/>
    <w:rsid w:val="00275B61"/>
    <w:rsid w:val="00282656"/>
    <w:rsid w:val="00283A4D"/>
    <w:rsid w:val="00284F46"/>
    <w:rsid w:val="00296B83"/>
    <w:rsid w:val="002A34C9"/>
    <w:rsid w:val="002B5653"/>
    <w:rsid w:val="002B78CE"/>
    <w:rsid w:val="002B7E0C"/>
    <w:rsid w:val="002C2FB6"/>
    <w:rsid w:val="002C3C2E"/>
    <w:rsid w:val="002C4BED"/>
    <w:rsid w:val="002C5ED8"/>
    <w:rsid w:val="002C7CDF"/>
    <w:rsid w:val="003009B7"/>
    <w:rsid w:val="00300E56"/>
    <w:rsid w:val="0030469C"/>
    <w:rsid w:val="00313BDE"/>
    <w:rsid w:val="00321CA6"/>
    <w:rsid w:val="00334C09"/>
    <w:rsid w:val="003477ED"/>
    <w:rsid w:val="00350569"/>
    <w:rsid w:val="003610A8"/>
    <w:rsid w:val="00365416"/>
    <w:rsid w:val="003723D4"/>
    <w:rsid w:val="0038317B"/>
    <w:rsid w:val="00383F4B"/>
    <w:rsid w:val="00384CC8"/>
    <w:rsid w:val="00386B52"/>
    <w:rsid w:val="003871FD"/>
    <w:rsid w:val="00392B9C"/>
    <w:rsid w:val="003A1E30"/>
    <w:rsid w:val="003A282C"/>
    <w:rsid w:val="003A7D1C"/>
    <w:rsid w:val="003B304B"/>
    <w:rsid w:val="003B3146"/>
    <w:rsid w:val="003B38ED"/>
    <w:rsid w:val="003B5281"/>
    <w:rsid w:val="003D0C37"/>
    <w:rsid w:val="003D70E0"/>
    <w:rsid w:val="003E1D84"/>
    <w:rsid w:val="003F015E"/>
    <w:rsid w:val="003F1D8D"/>
    <w:rsid w:val="00400414"/>
    <w:rsid w:val="00405F34"/>
    <w:rsid w:val="00412B44"/>
    <w:rsid w:val="0041446B"/>
    <w:rsid w:val="00417161"/>
    <w:rsid w:val="004240BB"/>
    <w:rsid w:val="0044329C"/>
    <w:rsid w:val="0045350A"/>
    <w:rsid w:val="004577FE"/>
    <w:rsid w:val="00457B9C"/>
    <w:rsid w:val="0046164A"/>
    <w:rsid w:val="004628D2"/>
    <w:rsid w:val="00462DCD"/>
    <w:rsid w:val="004648AD"/>
    <w:rsid w:val="004703A9"/>
    <w:rsid w:val="004760DE"/>
    <w:rsid w:val="004844CF"/>
    <w:rsid w:val="00495DEA"/>
    <w:rsid w:val="004A004E"/>
    <w:rsid w:val="004A214A"/>
    <w:rsid w:val="004A24CF"/>
    <w:rsid w:val="004A5ED7"/>
    <w:rsid w:val="004A70A7"/>
    <w:rsid w:val="004C3394"/>
    <w:rsid w:val="004C3D1D"/>
    <w:rsid w:val="004C7913"/>
    <w:rsid w:val="004D7B85"/>
    <w:rsid w:val="004E0838"/>
    <w:rsid w:val="004E18B2"/>
    <w:rsid w:val="004E4DD6"/>
    <w:rsid w:val="004E4F63"/>
    <w:rsid w:val="004E51B0"/>
    <w:rsid w:val="004E60CC"/>
    <w:rsid w:val="004E6286"/>
    <w:rsid w:val="004E693E"/>
    <w:rsid w:val="004F5E36"/>
    <w:rsid w:val="005071ED"/>
    <w:rsid w:val="00507B47"/>
    <w:rsid w:val="00507CC9"/>
    <w:rsid w:val="005119A5"/>
    <w:rsid w:val="00512863"/>
    <w:rsid w:val="00516D93"/>
    <w:rsid w:val="00524514"/>
    <w:rsid w:val="005250A1"/>
    <w:rsid w:val="005278B7"/>
    <w:rsid w:val="00532016"/>
    <w:rsid w:val="00532D35"/>
    <w:rsid w:val="005346C8"/>
    <w:rsid w:val="0053713F"/>
    <w:rsid w:val="00537D2A"/>
    <w:rsid w:val="0054066D"/>
    <w:rsid w:val="00543E7D"/>
    <w:rsid w:val="00547A68"/>
    <w:rsid w:val="00547B48"/>
    <w:rsid w:val="005531C9"/>
    <w:rsid w:val="00553AEF"/>
    <w:rsid w:val="00557A87"/>
    <w:rsid w:val="00565291"/>
    <w:rsid w:val="0057352F"/>
    <w:rsid w:val="0057432C"/>
    <w:rsid w:val="00581E71"/>
    <w:rsid w:val="00583A4F"/>
    <w:rsid w:val="00584969"/>
    <w:rsid w:val="00584CD8"/>
    <w:rsid w:val="00584D25"/>
    <w:rsid w:val="005A3616"/>
    <w:rsid w:val="005A3E9C"/>
    <w:rsid w:val="005A4423"/>
    <w:rsid w:val="005B2110"/>
    <w:rsid w:val="005B61E6"/>
    <w:rsid w:val="005C0A9D"/>
    <w:rsid w:val="005C77E1"/>
    <w:rsid w:val="005D031E"/>
    <w:rsid w:val="005D6A2F"/>
    <w:rsid w:val="005E1A82"/>
    <w:rsid w:val="005E794C"/>
    <w:rsid w:val="005F0A28"/>
    <w:rsid w:val="005F0E5E"/>
    <w:rsid w:val="005F1268"/>
    <w:rsid w:val="005F1F0D"/>
    <w:rsid w:val="005F44C7"/>
    <w:rsid w:val="00600535"/>
    <w:rsid w:val="00605473"/>
    <w:rsid w:val="00610CD6"/>
    <w:rsid w:val="00620C11"/>
    <w:rsid w:val="00620DEE"/>
    <w:rsid w:val="00621F92"/>
    <w:rsid w:val="006223EF"/>
    <w:rsid w:val="00625639"/>
    <w:rsid w:val="00630FB0"/>
    <w:rsid w:val="00631B33"/>
    <w:rsid w:val="006347E3"/>
    <w:rsid w:val="0063522E"/>
    <w:rsid w:val="0064184D"/>
    <w:rsid w:val="0064448F"/>
    <w:rsid w:val="006547D4"/>
    <w:rsid w:val="00660E3E"/>
    <w:rsid w:val="00662E74"/>
    <w:rsid w:val="00664662"/>
    <w:rsid w:val="0067288C"/>
    <w:rsid w:val="00680C23"/>
    <w:rsid w:val="00681B7A"/>
    <w:rsid w:val="00684D28"/>
    <w:rsid w:val="00687CAD"/>
    <w:rsid w:val="00693766"/>
    <w:rsid w:val="00694557"/>
    <w:rsid w:val="006A2354"/>
    <w:rsid w:val="006A3281"/>
    <w:rsid w:val="006A344E"/>
    <w:rsid w:val="006B4888"/>
    <w:rsid w:val="006B608D"/>
    <w:rsid w:val="006C2E45"/>
    <w:rsid w:val="006C359C"/>
    <w:rsid w:val="006C3C69"/>
    <w:rsid w:val="006C547B"/>
    <w:rsid w:val="006C5579"/>
    <w:rsid w:val="006C755E"/>
    <w:rsid w:val="006D10C1"/>
    <w:rsid w:val="006D323D"/>
    <w:rsid w:val="006D32C6"/>
    <w:rsid w:val="006E737D"/>
    <w:rsid w:val="006F0152"/>
    <w:rsid w:val="007068F9"/>
    <w:rsid w:val="00715378"/>
    <w:rsid w:val="00720A24"/>
    <w:rsid w:val="00726BB8"/>
    <w:rsid w:val="00732386"/>
    <w:rsid w:val="00732718"/>
    <w:rsid w:val="00734DD0"/>
    <w:rsid w:val="007447F3"/>
    <w:rsid w:val="0075499F"/>
    <w:rsid w:val="00756DF1"/>
    <w:rsid w:val="00764B8E"/>
    <w:rsid w:val="007661C8"/>
    <w:rsid w:val="0077098D"/>
    <w:rsid w:val="00771DB8"/>
    <w:rsid w:val="00782879"/>
    <w:rsid w:val="007977CA"/>
    <w:rsid w:val="007A7BBA"/>
    <w:rsid w:val="007B0C50"/>
    <w:rsid w:val="007B53EE"/>
    <w:rsid w:val="007C1A43"/>
    <w:rsid w:val="007D1664"/>
    <w:rsid w:val="007D4741"/>
    <w:rsid w:val="007D70DC"/>
    <w:rsid w:val="007D79AB"/>
    <w:rsid w:val="007E24A7"/>
    <w:rsid w:val="007E45C2"/>
    <w:rsid w:val="007E4AA8"/>
    <w:rsid w:val="007E6118"/>
    <w:rsid w:val="007F1B31"/>
    <w:rsid w:val="007F1E5D"/>
    <w:rsid w:val="007F7C6F"/>
    <w:rsid w:val="00803B96"/>
    <w:rsid w:val="008056EA"/>
    <w:rsid w:val="008120AA"/>
    <w:rsid w:val="00813288"/>
    <w:rsid w:val="00814E6B"/>
    <w:rsid w:val="008168FC"/>
    <w:rsid w:val="0082341C"/>
    <w:rsid w:val="00827D0E"/>
    <w:rsid w:val="00830996"/>
    <w:rsid w:val="008326BE"/>
    <w:rsid w:val="008345F1"/>
    <w:rsid w:val="008450DA"/>
    <w:rsid w:val="00850AF3"/>
    <w:rsid w:val="00851F0F"/>
    <w:rsid w:val="0085327E"/>
    <w:rsid w:val="00865B07"/>
    <w:rsid w:val="008667EA"/>
    <w:rsid w:val="00873D70"/>
    <w:rsid w:val="0087637F"/>
    <w:rsid w:val="00884145"/>
    <w:rsid w:val="00892AD5"/>
    <w:rsid w:val="008A1512"/>
    <w:rsid w:val="008A214A"/>
    <w:rsid w:val="008A6EF5"/>
    <w:rsid w:val="008B0343"/>
    <w:rsid w:val="008B4FC6"/>
    <w:rsid w:val="008B5A76"/>
    <w:rsid w:val="008D433B"/>
    <w:rsid w:val="008E566E"/>
    <w:rsid w:val="0090161A"/>
    <w:rsid w:val="00901EB6"/>
    <w:rsid w:val="00904C62"/>
    <w:rsid w:val="00905142"/>
    <w:rsid w:val="0090682A"/>
    <w:rsid w:val="00915DFE"/>
    <w:rsid w:val="00924DAC"/>
    <w:rsid w:val="00927058"/>
    <w:rsid w:val="00931EFA"/>
    <w:rsid w:val="0094059F"/>
    <w:rsid w:val="009450CE"/>
    <w:rsid w:val="00947179"/>
    <w:rsid w:val="0095042B"/>
    <w:rsid w:val="00950B36"/>
    <w:rsid w:val="009512A3"/>
    <w:rsid w:val="0095164B"/>
    <w:rsid w:val="0095327C"/>
    <w:rsid w:val="00954090"/>
    <w:rsid w:val="009573E7"/>
    <w:rsid w:val="00963E05"/>
    <w:rsid w:val="00967D54"/>
    <w:rsid w:val="00974A81"/>
    <w:rsid w:val="00982E03"/>
    <w:rsid w:val="0098392C"/>
    <w:rsid w:val="00987A4E"/>
    <w:rsid w:val="00993B67"/>
    <w:rsid w:val="00996483"/>
    <w:rsid w:val="00996A64"/>
    <w:rsid w:val="00996F5A"/>
    <w:rsid w:val="009A0301"/>
    <w:rsid w:val="009A3478"/>
    <w:rsid w:val="009B041A"/>
    <w:rsid w:val="009C1C78"/>
    <w:rsid w:val="009C7C86"/>
    <w:rsid w:val="009D1782"/>
    <w:rsid w:val="009D2FF7"/>
    <w:rsid w:val="009E7884"/>
    <w:rsid w:val="009E788A"/>
    <w:rsid w:val="009F0E08"/>
    <w:rsid w:val="009F7F64"/>
    <w:rsid w:val="00A018B2"/>
    <w:rsid w:val="00A0271E"/>
    <w:rsid w:val="00A045C3"/>
    <w:rsid w:val="00A1763D"/>
    <w:rsid w:val="00A17CEC"/>
    <w:rsid w:val="00A2138B"/>
    <w:rsid w:val="00A2191B"/>
    <w:rsid w:val="00A22F45"/>
    <w:rsid w:val="00A27EF0"/>
    <w:rsid w:val="00A34023"/>
    <w:rsid w:val="00A404D5"/>
    <w:rsid w:val="00A41E10"/>
    <w:rsid w:val="00A50B20"/>
    <w:rsid w:val="00A51390"/>
    <w:rsid w:val="00A60D13"/>
    <w:rsid w:val="00A65D93"/>
    <w:rsid w:val="00A717C6"/>
    <w:rsid w:val="00A72745"/>
    <w:rsid w:val="00A76EFC"/>
    <w:rsid w:val="00A83D7C"/>
    <w:rsid w:val="00A91010"/>
    <w:rsid w:val="00A97F29"/>
    <w:rsid w:val="00AA04D3"/>
    <w:rsid w:val="00AA2A12"/>
    <w:rsid w:val="00AA53DE"/>
    <w:rsid w:val="00AA702E"/>
    <w:rsid w:val="00AB0964"/>
    <w:rsid w:val="00AB5011"/>
    <w:rsid w:val="00AC7368"/>
    <w:rsid w:val="00AD16B9"/>
    <w:rsid w:val="00AE1964"/>
    <w:rsid w:val="00AE377D"/>
    <w:rsid w:val="00AF21B8"/>
    <w:rsid w:val="00AF7D9B"/>
    <w:rsid w:val="00B01A36"/>
    <w:rsid w:val="00B03952"/>
    <w:rsid w:val="00B06D66"/>
    <w:rsid w:val="00B13105"/>
    <w:rsid w:val="00B177C7"/>
    <w:rsid w:val="00B17FBD"/>
    <w:rsid w:val="00B2172D"/>
    <w:rsid w:val="00B25C34"/>
    <w:rsid w:val="00B3006B"/>
    <w:rsid w:val="00B315A6"/>
    <w:rsid w:val="00B31813"/>
    <w:rsid w:val="00B33365"/>
    <w:rsid w:val="00B341F7"/>
    <w:rsid w:val="00B37511"/>
    <w:rsid w:val="00B40F63"/>
    <w:rsid w:val="00B57B36"/>
    <w:rsid w:val="00B6681D"/>
    <w:rsid w:val="00B71A6D"/>
    <w:rsid w:val="00B74F48"/>
    <w:rsid w:val="00B8686D"/>
    <w:rsid w:val="00B86DCD"/>
    <w:rsid w:val="00B9309E"/>
    <w:rsid w:val="00B95467"/>
    <w:rsid w:val="00B96376"/>
    <w:rsid w:val="00BA0EC6"/>
    <w:rsid w:val="00BB5F36"/>
    <w:rsid w:val="00BB6B02"/>
    <w:rsid w:val="00BC30C9"/>
    <w:rsid w:val="00BD7AF0"/>
    <w:rsid w:val="00BE3E58"/>
    <w:rsid w:val="00BE4E28"/>
    <w:rsid w:val="00BF2E07"/>
    <w:rsid w:val="00BF339D"/>
    <w:rsid w:val="00C01616"/>
    <w:rsid w:val="00C0162B"/>
    <w:rsid w:val="00C03A07"/>
    <w:rsid w:val="00C31D28"/>
    <w:rsid w:val="00C345B1"/>
    <w:rsid w:val="00C34A36"/>
    <w:rsid w:val="00C40142"/>
    <w:rsid w:val="00C41C1C"/>
    <w:rsid w:val="00C46D44"/>
    <w:rsid w:val="00C519B9"/>
    <w:rsid w:val="00C57182"/>
    <w:rsid w:val="00C57863"/>
    <w:rsid w:val="00C57D5D"/>
    <w:rsid w:val="00C633A7"/>
    <w:rsid w:val="00C655FD"/>
    <w:rsid w:val="00C71953"/>
    <w:rsid w:val="00C71FB5"/>
    <w:rsid w:val="00C870A8"/>
    <w:rsid w:val="00C94434"/>
    <w:rsid w:val="00C9662D"/>
    <w:rsid w:val="00CA0D75"/>
    <w:rsid w:val="00CA1C95"/>
    <w:rsid w:val="00CA5A9C"/>
    <w:rsid w:val="00CA7B81"/>
    <w:rsid w:val="00CB2051"/>
    <w:rsid w:val="00CC6FEF"/>
    <w:rsid w:val="00CD3484"/>
    <w:rsid w:val="00CD5FE2"/>
    <w:rsid w:val="00CD7D1E"/>
    <w:rsid w:val="00CE7C68"/>
    <w:rsid w:val="00D02B4C"/>
    <w:rsid w:val="00D040C4"/>
    <w:rsid w:val="00D0601D"/>
    <w:rsid w:val="00D07515"/>
    <w:rsid w:val="00D14BCF"/>
    <w:rsid w:val="00D24D29"/>
    <w:rsid w:val="00D57C84"/>
    <w:rsid w:val="00D6057D"/>
    <w:rsid w:val="00D7124C"/>
    <w:rsid w:val="00D84576"/>
    <w:rsid w:val="00D8595A"/>
    <w:rsid w:val="00D8678C"/>
    <w:rsid w:val="00DA1399"/>
    <w:rsid w:val="00DA24C6"/>
    <w:rsid w:val="00DA4D7B"/>
    <w:rsid w:val="00DA65A9"/>
    <w:rsid w:val="00DD0115"/>
    <w:rsid w:val="00DD656B"/>
    <w:rsid w:val="00DD7E57"/>
    <w:rsid w:val="00DD7E7D"/>
    <w:rsid w:val="00DE161B"/>
    <w:rsid w:val="00DE264A"/>
    <w:rsid w:val="00E02D18"/>
    <w:rsid w:val="00E041E7"/>
    <w:rsid w:val="00E10D92"/>
    <w:rsid w:val="00E11502"/>
    <w:rsid w:val="00E21968"/>
    <w:rsid w:val="00E23CA1"/>
    <w:rsid w:val="00E25405"/>
    <w:rsid w:val="00E409A8"/>
    <w:rsid w:val="00E42639"/>
    <w:rsid w:val="00E50C12"/>
    <w:rsid w:val="00E56858"/>
    <w:rsid w:val="00E6587D"/>
    <w:rsid w:val="00E65B91"/>
    <w:rsid w:val="00E665D3"/>
    <w:rsid w:val="00E7209D"/>
    <w:rsid w:val="00E77223"/>
    <w:rsid w:val="00E83ABF"/>
    <w:rsid w:val="00E83B3D"/>
    <w:rsid w:val="00E8528B"/>
    <w:rsid w:val="00E85446"/>
    <w:rsid w:val="00E85B94"/>
    <w:rsid w:val="00E978D0"/>
    <w:rsid w:val="00E97E7A"/>
    <w:rsid w:val="00EA4613"/>
    <w:rsid w:val="00EA4796"/>
    <w:rsid w:val="00EA7DE5"/>
    <w:rsid w:val="00EA7F91"/>
    <w:rsid w:val="00EB1523"/>
    <w:rsid w:val="00EC0E49"/>
    <w:rsid w:val="00EC28F8"/>
    <w:rsid w:val="00EC3B66"/>
    <w:rsid w:val="00EC3D3F"/>
    <w:rsid w:val="00EC6199"/>
    <w:rsid w:val="00ED493E"/>
    <w:rsid w:val="00ED5E83"/>
    <w:rsid w:val="00EE0131"/>
    <w:rsid w:val="00EE645B"/>
    <w:rsid w:val="00EF2394"/>
    <w:rsid w:val="00F30C64"/>
    <w:rsid w:val="00F32CDB"/>
    <w:rsid w:val="00F57D08"/>
    <w:rsid w:val="00F61862"/>
    <w:rsid w:val="00F63A70"/>
    <w:rsid w:val="00F8090C"/>
    <w:rsid w:val="00F91BCC"/>
    <w:rsid w:val="00FA21D0"/>
    <w:rsid w:val="00FA5F5F"/>
    <w:rsid w:val="00FB122D"/>
    <w:rsid w:val="00FB730C"/>
    <w:rsid w:val="00FC170B"/>
    <w:rsid w:val="00FC1989"/>
    <w:rsid w:val="00FC2695"/>
    <w:rsid w:val="00FC3E03"/>
    <w:rsid w:val="00FC3FC1"/>
    <w:rsid w:val="00FC7B00"/>
    <w:rsid w:val="00FD37DB"/>
    <w:rsid w:val="00FD4B31"/>
    <w:rsid w:val="00FD5D3B"/>
    <w:rsid w:val="00FE0733"/>
    <w:rsid w:val="00FE480D"/>
    <w:rsid w:val="00FF450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4BB5555D-98D3-409B-98AB-87F07571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83B3D"/>
    <w:pPr>
      <w:keepNext/>
      <w:numPr>
        <w:ilvl w:val="1"/>
        <w:numId w:val="22"/>
      </w:numPr>
      <w:suppressAutoHyphens/>
      <w:spacing w:before="120" w:after="120" w:line="240" w:lineRule="auto"/>
      <w:ind w:left="0" w:firstLine="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83B3D"/>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547B48"/>
    <w:pPr>
      <w:ind w:left="720"/>
      <w:contextualSpacing/>
    </w:pPr>
  </w:style>
  <w:style w:type="character" w:styleId="Testosegnaposto">
    <w:name w:val="Placeholder Text"/>
    <w:basedOn w:val="Carpredefinitoparagrafo"/>
    <w:uiPriority w:val="99"/>
    <w:semiHidden/>
    <w:rsid w:val="00B341F7"/>
    <w:rPr>
      <w:color w:val="808080"/>
    </w:rPr>
  </w:style>
  <w:style w:type="paragraph" w:styleId="Revisione">
    <w:name w:val="Revision"/>
    <w:hidden/>
    <w:uiPriority w:val="99"/>
    <w:semiHidden/>
    <w:rsid w:val="00756DF1"/>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B1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5764">
      <w:bodyDiv w:val="1"/>
      <w:marLeft w:val="0"/>
      <w:marRight w:val="0"/>
      <w:marTop w:val="0"/>
      <w:marBottom w:val="0"/>
      <w:divBdr>
        <w:top w:val="none" w:sz="0" w:space="0" w:color="auto"/>
        <w:left w:val="none" w:sz="0" w:space="0" w:color="auto"/>
        <w:bottom w:val="none" w:sz="0" w:space="0" w:color="auto"/>
        <w:right w:val="none" w:sz="0" w:space="0" w:color="auto"/>
      </w:divBdr>
    </w:div>
    <w:div w:id="163494762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18451">
      <w:bodyDiv w:val="1"/>
      <w:marLeft w:val="0"/>
      <w:marRight w:val="0"/>
      <w:marTop w:val="0"/>
      <w:marBottom w:val="0"/>
      <w:divBdr>
        <w:top w:val="none" w:sz="0" w:space="0" w:color="auto"/>
        <w:left w:val="none" w:sz="0" w:space="0" w:color="auto"/>
        <w:bottom w:val="none" w:sz="0" w:space="0" w:color="auto"/>
        <w:right w:val="none" w:sz="0" w:space="0" w:color="auto"/>
      </w:divBdr>
      <w:divsChild>
        <w:div w:id="1562447814">
          <w:marLeft w:val="0"/>
          <w:marRight w:val="0"/>
          <w:marTop w:val="0"/>
          <w:marBottom w:val="0"/>
          <w:divBdr>
            <w:top w:val="none" w:sz="0" w:space="0" w:color="auto"/>
            <w:left w:val="none" w:sz="0" w:space="0" w:color="auto"/>
            <w:bottom w:val="none" w:sz="0" w:space="0" w:color="auto"/>
            <w:right w:val="none" w:sz="0" w:space="0" w:color="auto"/>
          </w:divBdr>
          <w:divsChild>
            <w:div w:id="1558007869">
              <w:marLeft w:val="0"/>
              <w:marRight w:val="0"/>
              <w:marTop w:val="0"/>
              <w:marBottom w:val="0"/>
              <w:divBdr>
                <w:top w:val="none" w:sz="0" w:space="0" w:color="auto"/>
                <w:left w:val="none" w:sz="0" w:space="0" w:color="auto"/>
                <w:bottom w:val="none" w:sz="0" w:space="0" w:color="auto"/>
                <w:right w:val="none" w:sz="0" w:space="0" w:color="auto"/>
              </w:divBdr>
            </w:div>
          </w:divsChild>
        </w:div>
        <w:div w:id="1337852981">
          <w:marLeft w:val="0"/>
          <w:marRight w:val="0"/>
          <w:marTop w:val="0"/>
          <w:marBottom w:val="0"/>
          <w:divBdr>
            <w:top w:val="none" w:sz="0" w:space="0" w:color="auto"/>
            <w:left w:val="none" w:sz="0" w:space="0" w:color="auto"/>
            <w:bottom w:val="none" w:sz="0" w:space="0" w:color="auto"/>
            <w:right w:val="none" w:sz="0" w:space="0" w:color="auto"/>
          </w:divBdr>
          <w:divsChild>
            <w:div w:id="14320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3372</Words>
  <Characters>19221</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Marco Valentini</cp:lastModifiedBy>
  <cp:revision>10</cp:revision>
  <cp:lastPrinted>2015-05-12T18:31:00Z</cp:lastPrinted>
  <dcterms:created xsi:type="dcterms:W3CDTF">2022-01-20T09:12:00Z</dcterms:created>
  <dcterms:modified xsi:type="dcterms:W3CDTF">2022-04-01T12:46:00Z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http://www.zotero.org/styles/european-polymer-journal</vt:lpwstr>
  </property>
  <property fmtid="{D5CDD505-2E9C-101B-9397-08002B2CF9AE}" pid="15" name="Mendeley Recent Style Name 5_1">
    <vt:lpwstr>European Polymer Journal</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