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Marzocchella</w:t>
            </w:r>
          </w:p>
          <w:p w14:paraId="1B0F1814" w14:textId="5B50B5BE" w:rsidR="000A03B2" w:rsidRPr="00B57B36" w:rsidRDefault="00FA5F5F" w:rsidP="0060491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248C9BE0" w:rsidR="00E978D0" w:rsidRPr="00B57B36" w:rsidRDefault="008C20B3" w:rsidP="00E978D0">
      <w:pPr>
        <w:pStyle w:val="CETTitle"/>
      </w:pPr>
      <w:r w:rsidRPr="008C20B3">
        <w:t xml:space="preserve">Release </w:t>
      </w:r>
      <w:r w:rsidR="00C67762">
        <w:t>P</w:t>
      </w:r>
      <w:r w:rsidRPr="008C20B3">
        <w:t xml:space="preserve">rofile of </w:t>
      </w:r>
      <w:r w:rsidR="00C67762">
        <w:t>O</w:t>
      </w:r>
      <w:r w:rsidRPr="008C20B3">
        <w:t xml:space="preserve">live </w:t>
      </w:r>
      <w:r w:rsidR="00C67762">
        <w:t>O</w:t>
      </w:r>
      <w:r w:rsidRPr="008C20B3">
        <w:t xml:space="preserve">il </w:t>
      </w:r>
      <w:r w:rsidR="00C67762">
        <w:t>N</w:t>
      </w:r>
      <w:r w:rsidRPr="008C20B3">
        <w:t xml:space="preserve">anocapsules </w:t>
      </w:r>
      <w:r w:rsidR="00C67762">
        <w:t>M</w:t>
      </w:r>
      <w:r w:rsidRPr="008C20B3">
        <w:t xml:space="preserve">anufactured by </w:t>
      </w:r>
      <w:r w:rsidR="00C67762">
        <w:t>C</w:t>
      </w:r>
      <w:r w:rsidRPr="008C20B3">
        <w:t xml:space="preserve">oaxial </w:t>
      </w:r>
      <w:r w:rsidR="00C67762">
        <w:t>E</w:t>
      </w:r>
      <w:r w:rsidRPr="008C20B3">
        <w:t>lectrospray</w:t>
      </w:r>
    </w:p>
    <w:p w14:paraId="0488FED2" w14:textId="7FA074BA" w:rsidR="00B57E6F" w:rsidRPr="00183CD1" w:rsidRDefault="00B763DC" w:rsidP="00B57E6F">
      <w:pPr>
        <w:pStyle w:val="CETAuthors"/>
        <w:rPr>
          <w:lang w:val="es-CO"/>
        </w:rPr>
      </w:pPr>
      <w:r w:rsidRPr="00183CD1">
        <w:rPr>
          <w:lang w:val="es-CO"/>
        </w:rPr>
        <w:t>Dianney Clavijo-Grimaldo</w:t>
      </w:r>
      <w:r w:rsidRPr="00183CD1">
        <w:rPr>
          <w:vertAlign w:val="superscript"/>
          <w:lang w:val="es-CO"/>
        </w:rPr>
        <w:t>a,b*</w:t>
      </w:r>
      <w:r w:rsidRPr="00183CD1">
        <w:rPr>
          <w:lang w:val="es-CO"/>
        </w:rPr>
        <w:t xml:space="preserve"> , MagrethTorres-Parada</w:t>
      </w:r>
      <w:r w:rsidRPr="00183CD1">
        <w:rPr>
          <w:vertAlign w:val="superscript"/>
          <w:lang w:val="es-CO"/>
        </w:rPr>
        <w:t>a</w:t>
      </w:r>
      <w:r w:rsidRPr="00183CD1">
        <w:rPr>
          <w:lang w:val="es-CO"/>
        </w:rPr>
        <w:t>,</w:t>
      </w:r>
      <w:r w:rsidR="004B09C0" w:rsidRPr="00183CD1">
        <w:rPr>
          <w:lang w:val="es-CO"/>
        </w:rPr>
        <w:t xml:space="preserve"> </w:t>
      </w:r>
      <w:r w:rsidRPr="00183CD1">
        <w:rPr>
          <w:lang w:val="es-CO"/>
        </w:rPr>
        <w:t>Ciro Casadiego-Torrado</w:t>
      </w:r>
      <w:r w:rsidRPr="00183CD1">
        <w:rPr>
          <w:vertAlign w:val="superscript"/>
          <w:lang w:val="es-CO"/>
        </w:rPr>
        <w:t>b</w:t>
      </w:r>
      <w:r w:rsidRPr="00183CD1">
        <w:rPr>
          <w:lang w:val="es-CO"/>
        </w:rPr>
        <w:t xml:space="preserve"> </w:t>
      </w:r>
    </w:p>
    <w:p w14:paraId="1E762F08" w14:textId="5E839E11" w:rsidR="004B09C0" w:rsidRPr="004B09C0" w:rsidRDefault="004B09C0" w:rsidP="004B09C0">
      <w:pPr>
        <w:pStyle w:val="CETAddress"/>
        <w:rPr>
          <w:lang w:val="es-CO"/>
        </w:rPr>
      </w:pPr>
      <w:r w:rsidRPr="004B09C0">
        <w:rPr>
          <w:vertAlign w:val="superscript"/>
          <w:lang w:val="es-CO"/>
        </w:rPr>
        <w:t>a</w:t>
      </w:r>
      <w:r w:rsidRPr="004B09C0">
        <w:rPr>
          <w:lang w:val="es-CO"/>
        </w:rPr>
        <w:t xml:space="preserve"> Univerisidad Nacional de Colombia, Carrera 45 # 26 – 85, Bogotá Colombia</w:t>
      </w:r>
    </w:p>
    <w:p w14:paraId="36F6FEC7" w14:textId="4F2A7569" w:rsidR="004B09C0" w:rsidRPr="004B09C0" w:rsidRDefault="004B09C0" w:rsidP="004B09C0">
      <w:pPr>
        <w:pStyle w:val="CETAddress"/>
        <w:rPr>
          <w:lang w:val="es-CO"/>
        </w:rPr>
      </w:pPr>
      <w:r w:rsidRPr="004B09C0">
        <w:rPr>
          <w:vertAlign w:val="superscript"/>
          <w:lang w:val="es-CO"/>
        </w:rPr>
        <w:t>b</w:t>
      </w:r>
      <w:r w:rsidRPr="004B09C0">
        <w:rPr>
          <w:lang w:val="es-CO"/>
        </w:rPr>
        <w:t xml:space="preserve"> Fundación Universitaria Sanitas,  Calle </w:t>
      </w:r>
      <w:r>
        <w:rPr>
          <w:lang w:val="es-CO"/>
        </w:rPr>
        <w:t>170</w:t>
      </w:r>
      <w:r w:rsidRPr="004B09C0">
        <w:rPr>
          <w:lang w:val="es-CO"/>
        </w:rPr>
        <w:t xml:space="preserve"> # </w:t>
      </w:r>
      <w:r>
        <w:rPr>
          <w:lang w:val="es-CO"/>
        </w:rPr>
        <w:t>8</w:t>
      </w:r>
      <w:r w:rsidRPr="004B09C0">
        <w:rPr>
          <w:lang w:val="es-CO"/>
        </w:rPr>
        <w:t>-4</w:t>
      </w:r>
      <w:r>
        <w:rPr>
          <w:lang w:val="es-CO"/>
        </w:rPr>
        <w:t>1</w:t>
      </w:r>
      <w:r w:rsidRPr="004B09C0">
        <w:rPr>
          <w:lang w:val="es-CO"/>
        </w:rPr>
        <w:t xml:space="preserve">, Bogotá Colombia </w:t>
      </w:r>
    </w:p>
    <w:p w14:paraId="73F1267A" w14:textId="00D6ECCE" w:rsidR="00B57E6F" w:rsidRDefault="004B09C0" w:rsidP="004B09C0">
      <w:pPr>
        <w:pStyle w:val="CETAddress"/>
      </w:pPr>
      <w:r w:rsidRPr="004B09C0">
        <w:rPr>
          <w:lang w:val="es-CO"/>
        </w:rPr>
        <w:t xml:space="preserve"> </w:t>
      </w:r>
      <w:r>
        <w:t xml:space="preserve">dclavijog@gmail.com </w:t>
      </w:r>
    </w:p>
    <w:p w14:paraId="50473CC7" w14:textId="77777777" w:rsidR="004B09C0" w:rsidRPr="00B57B36" w:rsidRDefault="004B09C0" w:rsidP="004B09C0">
      <w:pPr>
        <w:pStyle w:val="CETAddress"/>
      </w:pPr>
    </w:p>
    <w:p w14:paraId="2B6D7669" w14:textId="1B61E896" w:rsidR="00D86EF2" w:rsidRDefault="00D86EF2" w:rsidP="00600535">
      <w:pPr>
        <w:pStyle w:val="CETBodytext"/>
        <w:rPr>
          <w:lang w:val="en-GB"/>
        </w:rPr>
      </w:pPr>
      <w:r w:rsidRPr="00D86EF2">
        <w:rPr>
          <w:lang w:val="en-GB"/>
        </w:rPr>
        <w:t xml:space="preserve">In the area of food </w:t>
      </w:r>
      <w:r w:rsidR="009076C6" w:rsidRPr="00D86EF2">
        <w:rPr>
          <w:lang w:val="en-GB"/>
        </w:rPr>
        <w:t>production</w:t>
      </w:r>
      <w:r w:rsidR="009076C6">
        <w:rPr>
          <w:lang w:val="en-GB"/>
        </w:rPr>
        <w:t>,</w:t>
      </w:r>
      <w:r w:rsidRPr="00D86EF2">
        <w:rPr>
          <w:lang w:val="en-GB"/>
        </w:rPr>
        <w:t xml:space="preserve"> macro, micro and nanocapsules with polymer walls have been developed. Nanocapsules offer huge advantages, extends the time in the gastrointestinal tract and thus the bioavailability of the encapsulated compound.</w:t>
      </w:r>
      <w:r w:rsidRPr="00D86EF2">
        <w:t xml:space="preserve"> </w:t>
      </w:r>
      <w:r w:rsidRPr="00D86EF2">
        <w:rPr>
          <w:lang w:val="en-GB"/>
        </w:rPr>
        <w:t>Electrospray is a low-cost and easily reproducible electrohydrodynamic technique in which a conductor liquid, subjected to the controlled action of an electric field, generates complex structures at a nanometric scale. Coaxial electrospray has been used for the encapsulation of different products: the exterior liquid will form the wall of the capsule and the active compound (in the internal liquid) will be released due to the degradation of the wall. In this study, the coaxial electrospray parameters were standardized (voltage, concentration, flow and distance) in order to encapsulate the extra-virgin olive oil. A biodegradable polymer was used for the capsule wall. The characterization was carried out by means of scanning electron microscopy</w:t>
      </w:r>
      <w:r w:rsidRPr="00D86EF2">
        <w:t xml:space="preserve"> </w:t>
      </w:r>
      <w:r w:rsidRPr="00D86EF2">
        <w:rPr>
          <w:lang w:val="en-GB"/>
        </w:rPr>
        <w:t xml:space="preserve">and </w:t>
      </w:r>
      <w:bookmarkStart w:id="0" w:name="_Hlk94061725"/>
      <w:r w:rsidRPr="00D86EF2">
        <w:rPr>
          <w:lang w:val="en-GB"/>
        </w:rPr>
        <w:t xml:space="preserve">atomic force microscopy </w:t>
      </w:r>
      <w:bookmarkEnd w:id="0"/>
      <w:r w:rsidRPr="00D86EF2">
        <w:rPr>
          <w:lang w:val="en-GB"/>
        </w:rPr>
        <w:t>in which nanocapsules with an average diameter below 100</w:t>
      </w:r>
      <w:r w:rsidR="00196F0B">
        <w:rPr>
          <w:lang w:val="en-GB"/>
        </w:rPr>
        <w:t xml:space="preserve"> </w:t>
      </w:r>
      <w:r w:rsidRPr="00D86EF2">
        <w:rPr>
          <w:lang w:val="en-GB"/>
        </w:rPr>
        <w:t>n</w:t>
      </w:r>
      <w:r w:rsidR="00196F0B">
        <w:rPr>
          <w:lang w:val="en-GB"/>
        </w:rPr>
        <w:t>m</w:t>
      </w:r>
      <w:r w:rsidRPr="00D86EF2">
        <w:rPr>
          <w:lang w:val="en-GB"/>
        </w:rPr>
        <w:t xml:space="preserve"> were observed. The nanocapsules were submerged in a solution similar to body fluids and in a saliva-like solution in order to quantitatively verify the oil release and the profile thereof by means of UV-</w:t>
      </w:r>
      <w:proofErr w:type="gramStart"/>
      <w:r w:rsidRPr="00D86EF2">
        <w:rPr>
          <w:lang w:val="en-GB"/>
        </w:rPr>
        <w:t>Vis</w:t>
      </w:r>
      <w:proofErr w:type="gramEnd"/>
      <w:r w:rsidRPr="00D86EF2">
        <w:rPr>
          <w:lang w:val="en-GB"/>
        </w:rPr>
        <w:t xml:space="preserve"> spectrophotometry. </w:t>
      </w:r>
      <w:r w:rsidR="00264C08">
        <w:rPr>
          <w:lang w:val="en-GB"/>
        </w:rPr>
        <w:t>T</w:t>
      </w:r>
      <w:r w:rsidRPr="00D86EF2">
        <w:rPr>
          <w:lang w:val="en-GB"/>
        </w:rPr>
        <w:t>his technique opens possibilities in the food industry with regards to generating nanocapsules that can be used to improve the stability and the texture of food or to enable the controlled released of food ingredients or nutraceuticals.</w:t>
      </w:r>
    </w:p>
    <w:p w14:paraId="476B2F2E" w14:textId="77777777" w:rsidR="00600535" w:rsidRPr="00B57B36" w:rsidRDefault="00600535" w:rsidP="00600535">
      <w:pPr>
        <w:pStyle w:val="CETHeading1"/>
        <w:rPr>
          <w:lang w:val="en-GB"/>
        </w:rPr>
      </w:pPr>
      <w:r w:rsidRPr="00B57B36">
        <w:rPr>
          <w:lang w:val="en-GB"/>
        </w:rPr>
        <w:t>Introduction</w:t>
      </w:r>
    </w:p>
    <w:p w14:paraId="562BFBFD" w14:textId="01CA927A" w:rsidR="002D7DA3" w:rsidRPr="002D7DA3" w:rsidRDefault="002D7DA3" w:rsidP="002D7DA3">
      <w:pPr>
        <w:pStyle w:val="CETBodytext"/>
        <w:rPr>
          <w:lang w:val="en-GB"/>
        </w:rPr>
      </w:pPr>
      <w:r w:rsidRPr="002D7DA3">
        <w:rPr>
          <w:lang w:val="en-GB"/>
        </w:rPr>
        <w:t>Olive oil (OO) is known for its benefits on the cardiovascular system (</w:t>
      </w:r>
      <w:r w:rsidR="007B01BA">
        <w:rPr>
          <w:lang w:val="en-GB"/>
        </w:rPr>
        <w:t>increased</w:t>
      </w:r>
      <w:r w:rsidRPr="002D7DA3">
        <w:rPr>
          <w:lang w:val="en-GB"/>
        </w:rPr>
        <w:t xml:space="preserve"> coronary blood flow and </w:t>
      </w:r>
      <w:r w:rsidR="007B01BA">
        <w:rPr>
          <w:lang w:val="en-GB"/>
        </w:rPr>
        <w:t>decreased</w:t>
      </w:r>
      <w:r w:rsidRPr="002D7DA3">
        <w:rPr>
          <w:lang w:val="en-GB"/>
        </w:rPr>
        <w:t xml:space="preserve"> blood pressure and the </w:t>
      </w:r>
      <w:r w:rsidR="007B01BA">
        <w:rPr>
          <w:lang w:val="en-GB"/>
        </w:rPr>
        <w:t>prevention</w:t>
      </w:r>
      <w:r w:rsidRPr="002D7DA3">
        <w:rPr>
          <w:lang w:val="en-GB"/>
        </w:rPr>
        <w:t xml:space="preserve"> of atherosclerotic plaques</w:t>
      </w:r>
      <w:r w:rsidR="007B01BA">
        <w:rPr>
          <w:lang w:val="en-GB"/>
        </w:rPr>
        <w:t xml:space="preserve"> formation</w:t>
      </w:r>
      <w:r w:rsidRPr="002D7DA3">
        <w:rPr>
          <w:lang w:val="en-GB"/>
        </w:rPr>
        <w:t>), its role in the prevention and development of type 2 diabetes mellitus and its immunomodulatory, antineoplastic and neuroprotective effects (</w:t>
      </w:r>
      <w:proofErr w:type="spellStart"/>
      <w:r w:rsidRPr="002D7DA3">
        <w:rPr>
          <w:lang w:val="en-GB"/>
        </w:rPr>
        <w:t>Gorzynik-Debicka</w:t>
      </w:r>
      <w:proofErr w:type="spellEnd"/>
      <w:r w:rsidRPr="002D7DA3">
        <w:rPr>
          <w:lang w:val="en-GB"/>
        </w:rPr>
        <w:t xml:space="preserve"> et al., 2018). Due to its antiviral properties and the ability to suppress the main protease of SARS CoV-2, several of its components have been studied as potential therapeutic candidates (</w:t>
      </w:r>
      <w:proofErr w:type="spellStart"/>
      <w:r w:rsidRPr="002D7DA3">
        <w:rPr>
          <w:lang w:val="en-GB"/>
        </w:rPr>
        <w:t>Alhadrami</w:t>
      </w:r>
      <w:proofErr w:type="spellEnd"/>
      <w:r w:rsidRPr="002D7DA3">
        <w:rPr>
          <w:lang w:val="en-GB"/>
        </w:rPr>
        <w:t xml:space="preserve"> et al.,2021). For these reasons, interest in OO encapsulation has grown in recent years. The encapsulation, a process in which an active ingredient is confined inside a material that forms the wall, (</w:t>
      </w:r>
      <w:proofErr w:type="spellStart"/>
      <w:r w:rsidRPr="002D7DA3">
        <w:rPr>
          <w:lang w:val="en-GB"/>
        </w:rPr>
        <w:t>Bhushani</w:t>
      </w:r>
      <w:proofErr w:type="spellEnd"/>
      <w:r w:rsidRPr="002D7DA3">
        <w:rPr>
          <w:lang w:val="en-GB"/>
        </w:rPr>
        <w:t>, 2014) is a</w:t>
      </w:r>
      <w:r w:rsidR="00B7060F">
        <w:rPr>
          <w:lang w:val="en-GB"/>
        </w:rPr>
        <w:t xml:space="preserve"> topic</w:t>
      </w:r>
      <w:r w:rsidRPr="002D7DA3">
        <w:rPr>
          <w:lang w:val="en-GB"/>
        </w:rPr>
        <w:t xml:space="preserve"> of interest in research </w:t>
      </w:r>
      <w:r w:rsidR="00B7060F">
        <w:rPr>
          <w:lang w:val="en-GB"/>
        </w:rPr>
        <w:t xml:space="preserve">given its potential </w:t>
      </w:r>
      <w:r w:rsidRPr="002D7DA3">
        <w:rPr>
          <w:lang w:val="en-GB"/>
        </w:rPr>
        <w:t xml:space="preserve">applications, such as the delivery of an active compound, the isolation of a component in an aggressive environment, the reduction of decomposition or degradation in a given environment, the delivery of a given substance to a particular receptor, the improvement of stability and distribution of the encapsulated substance and the disguising of undesired </w:t>
      </w:r>
      <w:proofErr w:type="spellStart"/>
      <w:r w:rsidRPr="002D7DA3">
        <w:rPr>
          <w:lang w:val="en-GB"/>
        </w:rPr>
        <w:t>odors</w:t>
      </w:r>
      <w:proofErr w:type="spellEnd"/>
      <w:r w:rsidRPr="002D7DA3">
        <w:rPr>
          <w:lang w:val="en-GB"/>
        </w:rPr>
        <w:t xml:space="preserve"> or tastes, (Loscertales, 2002). </w:t>
      </w:r>
      <w:r w:rsidR="00212416" w:rsidRPr="002D7DA3">
        <w:rPr>
          <w:lang w:val="en-GB"/>
        </w:rPr>
        <w:t>Since</w:t>
      </w:r>
      <w:r w:rsidRPr="002D7DA3">
        <w:rPr>
          <w:lang w:val="en-GB"/>
        </w:rPr>
        <w:t xml:space="preserve"> the content release of </w:t>
      </w:r>
      <w:proofErr w:type="spellStart"/>
      <w:r w:rsidRPr="002D7DA3">
        <w:rPr>
          <w:lang w:val="en-GB"/>
        </w:rPr>
        <w:t>macrocapsules</w:t>
      </w:r>
      <w:proofErr w:type="spellEnd"/>
      <w:r w:rsidRPr="002D7DA3">
        <w:rPr>
          <w:lang w:val="en-GB"/>
        </w:rPr>
        <w:t xml:space="preserve"> is slower, and the absorption, delivery and distribution of a compound are directly related to the size, nanocapsules offer huge advantages, including the increase in the adhesion force, which </w:t>
      </w:r>
      <w:r w:rsidR="0073440A" w:rsidRPr="002D7DA3">
        <w:rPr>
          <w:lang w:val="en-GB"/>
        </w:rPr>
        <w:t>extend</w:t>
      </w:r>
      <w:r w:rsidR="0073440A">
        <w:rPr>
          <w:lang w:val="en-GB"/>
        </w:rPr>
        <w:t xml:space="preserve"> </w:t>
      </w:r>
      <w:r w:rsidR="0073440A" w:rsidRPr="002D7DA3">
        <w:rPr>
          <w:lang w:val="en-GB"/>
        </w:rPr>
        <w:t>the</w:t>
      </w:r>
      <w:r w:rsidRPr="002D7DA3">
        <w:rPr>
          <w:lang w:val="en-GB"/>
        </w:rPr>
        <w:t xml:space="preserve"> time in the gastrointestinal tract and thus the bioavailability of the encapsulated compound (</w:t>
      </w:r>
      <w:proofErr w:type="spellStart"/>
      <w:r w:rsidRPr="002D7DA3">
        <w:rPr>
          <w:lang w:val="en-GB"/>
        </w:rPr>
        <w:t>Ghorani</w:t>
      </w:r>
      <w:proofErr w:type="spellEnd"/>
      <w:r w:rsidRPr="002D7DA3">
        <w:rPr>
          <w:lang w:val="en-GB"/>
        </w:rPr>
        <w:t xml:space="preserve"> &amp; Tucker</w:t>
      </w:r>
      <w:r w:rsidR="006D1C63">
        <w:rPr>
          <w:lang w:val="en-GB"/>
        </w:rPr>
        <w:t xml:space="preserve">, </w:t>
      </w:r>
      <w:r w:rsidRPr="002D7DA3">
        <w:rPr>
          <w:lang w:val="en-GB"/>
        </w:rPr>
        <w:t>2015).</w:t>
      </w:r>
      <w:r w:rsidR="00933C20" w:rsidRPr="002D7DA3">
        <w:rPr>
          <w:lang w:val="en-GB"/>
        </w:rPr>
        <w:t xml:space="preserve"> </w:t>
      </w:r>
    </w:p>
    <w:p w14:paraId="1AED3853" w14:textId="04B2BD2B" w:rsidR="00600535" w:rsidRDefault="002D7DA3" w:rsidP="002D7DA3">
      <w:pPr>
        <w:pStyle w:val="CETBodytext"/>
        <w:rPr>
          <w:lang w:val="en-GB"/>
        </w:rPr>
      </w:pPr>
      <w:r w:rsidRPr="002D7DA3">
        <w:rPr>
          <w:lang w:val="en-GB"/>
        </w:rPr>
        <w:t xml:space="preserve">Electrohydrodynamic techniques (such as electrospray and electrospinning) are one of the alternatives </w:t>
      </w:r>
      <w:r w:rsidR="00354991" w:rsidRPr="002D7DA3">
        <w:rPr>
          <w:lang w:val="en-GB"/>
        </w:rPr>
        <w:t>to produce</w:t>
      </w:r>
      <w:r w:rsidRPr="002D7DA3">
        <w:rPr>
          <w:lang w:val="en-GB"/>
        </w:rPr>
        <w:t xml:space="preserve"> nanocapsules and other types of products on a nanoscale with medical, biotechnical, </w:t>
      </w:r>
      <w:r w:rsidR="005E3D78" w:rsidRPr="002D7DA3">
        <w:rPr>
          <w:lang w:val="en-GB"/>
        </w:rPr>
        <w:t>industrial,</w:t>
      </w:r>
      <w:r w:rsidRPr="002D7DA3">
        <w:rPr>
          <w:lang w:val="en-GB"/>
        </w:rPr>
        <w:t xml:space="preserve"> and pharmaceutical applications, among others (Clavijo-</w:t>
      </w:r>
      <w:proofErr w:type="spellStart"/>
      <w:r w:rsidRPr="002D7DA3">
        <w:rPr>
          <w:lang w:val="en-GB"/>
        </w:rPr>
        <w:t>Grimaldo</w:t>
      </w:r>
      <w:proofErr w:type="spellEnd"/>
      <w:r w:rsidRPr="002D7DA3">
        <w:rPr>
          <w:lang w:val="en-GB"/>
        </w:rPr>
        <w:t xml:space="preserve"> et al</w:t>
      </w:r>
      <w:r w:rsidR="00905AE2">
        <w:rPr>
          <w:lang w:val="en-GB"/>
        </w:rPr>
        <w:t>.,</w:t>
      </w:r>
      <w:r w:rsidR="00905AE2" w:rsidRPr="002D7DA3">
        <w:rPr>
          <w:lang w:val="en-GB"/>
        </w:rPr>
        <w:t xml:space="preserve"> 2018</w:t>
      </w:r>
      <w:r w:rsidRPr="002D7DA3">
        <w:rPr>
          <w:lang w:val="en-GB"/>
        </w:rPr>
        <w:t xml:space="preserve">). These techniques are appealing because the experimental processes are easy, versatile, </w:t>
      </w:r>
      <w:r w:rsidR="009076C6" w:rsidRPr="002D7DA3">
        <w:rPr>
          <w:lang w:val="en-GB"/>
        </w:rPr>
        <w:t>replicable,</w:t>
      </w:r>
      <w:r w:rsidRPr="002D7DA3">
        <w:rPr>
          <w:lang w:val="en-GB"/>
        </w:rPr>
        <w:t xml:space="preserve"> and efficient</w:t>
      </w:r>
      <w:r w:rsidR="00B7060F">
        <w:rPr>
          <w:lang w:val="en-GB"/>
        </w:rPr>
        <w:t>,</w:t>
      </w:r>
      <w:r w:rsidRPr="002D7DA3">
        <w:rPr>
          <w:lang w:val="en-GB"/>
        </w:rPr>
        <w:t xml:space="preserve"> and </w:t>
      </w:r>
      <w:r w:rsidR="00B7060F">
        <w:rPr>
          <w:lang w:val="en-GB"/>
        </w:rPr>
        <w:t xml:space="preserve">they </w:t>
      </w:r>
      <w:r w:rsidRPr="002D7DA3">
        <w:rPr>
          <w:lang w:val="en-GB"/>
        </w:rPr>
        <w:t xml:space="preserve">can be carried out in environmental conditions without compromising the </w:t>
      </w:r>
      <w:proofErr w:type="spellStart"/>
      <w:r w:rsidRPr="002D7DA3">
        <w:rPr>
          <w:lang w:val="en-GB"/>
        </w:rPr>
        <w:t>biofunctionality</w:t>
      </w:r>
      <w:proofErr w:type="spellEnd"/>
      <w:r w:rsidRPr="002D7DA3">
        <w:rPr>
          <w:lang w:val="en-GB"/>
        </w:rPr>
        <w:t xml:space="preserve"> of the materials. Coaxial electrospray </w:t>
      </w:r>
      <w:r w:rsidRPr="002D7DA3">
        <w:rPr>
          <w:lang w:val="en-GB"/>
        </w:rPr>
        <w:lastRenderedPageBreak/>
        <w:t>uses a nozzle with two needles to dispense different solutions simultaneously. The exterior solution is subjected to high voltage and will form the wall of the capsule, and the interior solution contains the substance to be encapsulated. Obtaining products by this technique</w:t>
      </w:r>
      <w:r w:rsidR="006C14AE">
        <w:rPr>
          <w:lang w:val="en-GB"/>
        </w:rPr>
        <w:t xml:space="preserve">, allows you to build the </w:t>
      </w:r>
      <w:r w:rsidRPr="002D7DA3">
        <w:rPr>
          <w:lang w:val="en-GB"/>
        </w:rPr>
        <w:t xml:space="preserve">core and wall from miscible or immiscible </w:t>
      </w:r>
      <w:r w:rsidR="006C14AE">
        <w:rPr>
          <w:lang w:val="en-GB"/>
        </w:rPr>
        <w:t>materials</w:t>
      </w:r>
      <w:r w:rsidRPr="002D7DA3">
        <w:rPr>
          <w:lang w:val="en-GB"/>
        </w:rPr>
        <w:t xml:space="preserve">, </w:t>
      </w:r>
      <w:r w:rsidR="006C14AE">
        <w:rPr>
          <w:lang w:val="en-GB"/>
        </w:rPr>
        <w:t>decreasing</w:t>
      </w:r>
      <w:r w:rsidRPr="002D7DA3">
        <w:rPr>
          <w:lang w:val="en-GB"/>
        </w:rPr>
        <w:t xml:space="preserve"> denaturalization and </w:t>
      </w:r>
      <w:r w:rsidR="006C14AE">
        <w:rPr>
          <w:lang w:val="en-GB"/>
        </w:rPr>
        <w:t xml:space="preserve">allowing the </w:t>
      </w:r>
      <w:r w:rsidRPr="002D7DA3">
        <w:rPr>
          <w:lang w:val="en-GB"/>
        </w:rPr>
        <w:t xml:space="preserve">use of aqueous solvents (Zamani et al. 2014). </w:t>
      </w:r>
      <w:r w:rsidR="006C14AE">
        <w:rPr>
          <w:lang w:val="en-GB"/>
        </w:rPr>
        <w:t>In consequence</w:t>
      </w:r>
      <w:r w:rsidRPr="002D7DA3">
        <w:rPr>
          <w:lang w:val="en-GB"/>
        </w:rPr>
        <w:t>, coaxial electrospray was the technique used in this study</w:t>
      </w:r>
      <w:r w:rsidR="005208F0">
        <w:rPr>
          <w:lang w:val="en-GB"/>
        </w:rPr>
        <w:t>. We describe t</w:t>
      </w:r>
      <w:r w:rsidRPr="002D7DA3">
        <w:rPr>
          <w:lang w:val="en-GB"/>
        </w:rPr>
        <w:t xml:space="preserve">he methodology used for the manufacture of nanocapsules with a polymeric wall, </w:t>
      </w:r>
      <w:r w:rsidR="005208F0">
        <w:rPr>
          <w:lang w:val="en-GB"/>
        </w:rPr>
        <w:t xml:space="preserve">the encapsulation of </w:t>
      </w:r>
      <w:r w:rsidRPr="002D7DA3">
        <w:rPr>
          <w:lang w:val="en-GB"/>
        </w:rPr>
        <w:t xml:space="preserve">extra-virgin olive oil </w:t>
      </w:r>
      <w:r w:rsidR="005208F0">
        <w:rPr>
          <w:lang w:val="en-GB"/>
        </w:rPr>
        <w:t xml:space="preserve">and its </w:t>
      </w:r>
      <w:r w:rsidRPr="002D7DA3">
        <w:rPr>
          <w:lang w:val="en-GB"/>
        </w:rPr>
        <w:t>release</w:t>
      </w:r>
      <w:r w:rsidR="005208F0">
        <w:rPr>
          <w:lang w:val="en-GB"/>
        </w:rPr>
        <w:t xml:space="preserve">. This </w:t>
      </w:r>
      <w:r w:rsidRPr="002D7DA3">
        <w:rPr>
          <w:lang w:val="en-GB"/>
        </w:rPr>
        <w:t xml:space="preserve">was qualitatively studied in two solutions (a saliva-like solution and a solution </w:t>
      </w:r>
      <w:proofErr w:type="gramStart"/>
      <w:r w:rsidRPr="002D7DA3">
        <w:rPr>
          <w:lang w:val="en-GB"/>
        </w:rPr>
        <w:t>similar to</w:t>
      </w:r>
      <w:proofErr w:type="gramEnd"/>
      <w:r w:rsidRPr="002D7DA3">
        <w:rPr>
          <w:lang w:val="en-GB"/>
        </w:rPr>
        <w:t xml:space="preserve"> body fluids).</w:t>
      </w:r>
    </w:p>
    <w:p w14:paraId="5741900F" w14:textId="26B7FA19" w:rsidR="00453E24" w:rsidRDefault="006369A5" w:rsidP="006369A5">
      <w:pPr>
        <w:pStyle w:val="CETHeading1"/>
      </w:pPr>
      <w:r w:rsidRPr="006369A5">
        <w:t>Materials and methods</w:t>
      </w:r>
    </w:p>
    <w:p w14:paraId="0636B784" w14:textId="37982D1D" w:rsidR="00453E24" w:rsidRDefault="006369A5" w:rsidP="006369A5">
      <w:pPr>
        <w:pStyle w:val="CETheadingx"/>
      </w:pPr>
      <w:r w:rsidRPr="006369A5">
        <w:t>Manufacturing and characterization of nanocapsules</w:t>
      </w:r>
    </w:p>
    <w:p w14:paraId="0CF1CA8B" w14:textId="49FB1D79" w:rsidR="001447C5" w:rsidRDefault="005208F0" w:rsidP="001447C5">
      <w:pPr>
        <w:pStyle w:val="CETBodytext"/>
      </w:pPr>
      <w:r>
        <w:t xml:space="preserve">To build </w:t>
      </w:r>
      <w:r w:rsidR="001447C5">
        <w:t>the wall of the nanocapsules a solution of polyethylene glycol (PEG) (Sigma-Aldrich, CAS Number: 25322-68-3, molecular weight Mn=35,000) was prepared at 6% w/v in water. The solution was subjected to ultrasound at a frequency of 50 Hz for 30 min and a temperature of 25</w:t>
      </w:r>
      <w:r w:rsidR="006F5973">
        <w:t xml:space="preserve"> </w:t>
      </w:r>
      <w:r w:rsidR="001447C5">
        <w:t>°C. It was subsequently stored at room temperature. The compound to be encapsulated was extra-virgin olive oil (Sigma-Aldrich, CAS Number: 8001-25-0, SKU 75343, tested according of European Pharmacopoeia</w:t>
      </w:r>
      <w:r w:rsidR="00933C20">
        <w:t>). Manufacturing</w:t>
      </w:r>
      <w:r>
        <w:t xml:space="preserve"> </w:t>
      </w:r>
      <w:r w:rsidR="001447C5">
        <w:t>was carried out by a coaxial electrospray equipment</w:t>
      </w:r>
      <w:r w:rsidR="006F4DB0" w:rsidRPr="006F4DB0">
        <w:t xml:space="preserve"> as shown in Figure </w:t>
      </w:r>
      <w:r w:rsidR="00933C20" w:rsidRPr="006F4DB0">
        <w:t>1.</w:t>
      </w:r>
      <w:r w:rsidR="00933C20">
        <w:t xml:space="preserve"> The</w:t>
      </w:r>
      <w:r w:rsidR="001447C5">
        <w:t xml:space="preserve"> PEG solution was placed on the outer needle and the OO inside</w:t>
      </w:r>
      <w:r w:rsidR="006F4DB0">
        <w:t xml:space="preserve">. </w:t>
      </w:r>
      <w:r w:rsidR="001447C5">
        <w:t xml:space="preserve">A copper collector was </w:t>
      </w:r>
      <w:r w:rsidR="00586F4F">
        <w:t>used,</w:t>
      </w:r>
      <w:r w:rsidR="001447C5">
        <w:t xml:space="preserve"> and the capsules were collected in 2 x 2 mm glass slides</w:t>
      </w:r>
      <w:r>
        <w:t>.</w:t>
      </w:r>
      <w:r w:rsidR="001447C5">
        <w:t xml:space="preserve"> The deposition time was 10 min. Tests were carried out to adjust the following variables: voltage, flow of the PEG solution, flow of the OO solution and needle-collector distance.</w:t>
      </w:r>
      <w:r w:rsidR="006F5973" w:rsidRPr="006F5973">
        <w:t xml:space="preserve"> The process was performed at 21,9 °C room temperature and 54% RH.</w:t>
      </w:r>
    </w:p>
    <w:p w14:paraId="1C2D87BE" w14:textId="569D9F68" w:rsidR="00C91FFE" w:rsidRDefault="00C91FFE" w:rsidP="001447C5">
      <w:pPr>
        <w:pStyle w:val="CETBodytext"/>
      </w:pPr>
      <w:r>
        <w:rPr>
          <w:noProof/>
        </w:rPr>
        <w:drawing>
          <wp:inline distT="0" distB="0" distL="0" distR="0" wp14:anchorId="310C0AAF" wp14:editId="3CAAFC67">
            <wp:extent cx="3668611" cy="2507673"/>
            <wp:effectExtent l="0" t="0" r="825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0855" cy="2529713"/>
                    </a:xfrm>
                    <a:prstGeom prst="rect">
                      <a:avLst/>
                    </a:prstGeom>
                    <a:noFill/>
                  </pic:spPr>
                </pic:pic>
              </a:graphicData>
            </a:graphic>
          </wp:inline>
        </w:drawing>
      </w:r>
    </w:p>
    <w:p w14:paraId="3AB2B055" w14:textId="77777777" w:rsidR="00C91FFE" w:rsidRPr="006F4DB0" w:rsidRDefault="00C91FFE" w:rsidP="00C91FFE">
      <w:pPr>
        <w:pStyle w:val="CETBodytext"/>
        <w:rPr>
          <w:i/>
          <w:lang w:val="en-GB"/>
        </w:rPr>
      </w:pPr>
      <w:r w:rsidRPr="006F4DB0">
        <w:rPr>
          <w:i/>
          <w:lang w:val="en-GB"/>
        </w:rPr>
        <w:t xml:space="preserve">Figure 1: </w:t>
      </w:r>
      <w:r>
        <w:rPr>
          <w:i/>
          <w:lang w:val="en-GB"/>
        </w:rPr>
        <w:t>C</w:t>
      </w:r>
      <w:r w:rsidRPr="006F4DB0">
        <w:rPr>
          <w:i/>
          <w:lang w:val="en-GB"/>
        </w:rPr>
        <w:t>oaxial electrospray assembly</w:t>
      </w:r>
    </w:p>
    <w:p w14:paraId="77F93564" w14:textId="316291F2" w:rsidR="00C91FFE" w:rsidRDefault="00C91FFE" w:rsidP="001447C5">
      <w:pPr>
        <w:pStyle w:val="CETBodytext"/>
      </w:pPr>
    </w:p>
    <w:p w14:paraId="6D748F5A" w14:textId="00E99B01" w:rsidR="00264C08" w:rsidRDefault="001447C5" w:rsidP="001447C5">
      <w:pPr>
        <w:pStyle w:val="CETBodytext"/>
      </w:pPr>
      <w:r>
        <w:t>For the morphological characterization of the capsules, according to their size, we used atomic force microscopy (AFM) (Asylum Research – MFP-3D-BIO) and scanning electron microscopy (SEM) (</w:t>
      </w:r>
      <w:proofErr w:type="spellStart"/>
      <w:r>
        <w:t>Tescan</w:t>
      </w:r>
      <w:proofErr w:type="spellEnd"/>
      <w:r>
        <w:t xml:space="preserve"> Vega 3) with an acceleration voltage </w:t>
      </w:r>
      <w:r w:rsidR="000557F8">
        <w:t>of</w:t>
      </w:r>
      <w:r>
        <w:t xml:space="preserve"> 1</w:t>
      </w:r>
      <w:r w:rsidR="000557F8">
        <w:t>5</w:t>
      </w:r>
      <w:r>
        <w:t xml:space="preserve"> </w:t>
      </w:r>
      <w:r w:rsidR="000557F8">
        <w:t>k</w:t>
      </w:r>
      <w:r>
        <w:t xml:space="preserve">V and working distance of </w:t>
      </w:r>
      <w:r w:rsidR="000557F8">
        <w:t>9-</w:t>
      </w:r>
      <w:r>
        <w:t>10</w:t>
      </w:r>
      <w:r w:rsidR="00C91FFE">
        <w:t xml:space="preserve"> </w:t>
      </w:r>
      <w:r>
        <w:t>mm.</w:t>
      </w:r>
      <w:r w:rsidR="00200665">
        <w:t xml:space="preserve"> </w:t>
      </w:r>
      <w:r w:rsidR="00200665" w:rsidRPr="00200665">
        <w:t xml:space="preserve">The </w:t>
      </w:r>
      <w:r w:rsidR="00200665">
        <w:t xml:space="preserve">capsules </w:t>
      </w:r>
      <w:r w:rsidR="00200665" w:rsidRPr="00200665">
        <w:t>diameter was analyzed using image analysis software (Image J, National Institutes of Health)</w:t>
      </w:r>
      <w:r w:rsidR="005B05FF">
        <w:t>.</w:t>
      </w:r>
    </w:p>
    <w:p w14:paraId="6DC53DDC" w14:textId="5B011DA8" w:rsidR="002852DE" w:rsidRDefault="00321305" w:rsidP="00321305">
      <w:pPr>
        <w:pStyle w:val="CETheadingx"/>
      </w:pPr>
      <w:r w:rsidRPr="00321305">
        <w:t xml:space="preserve">Qualitative determination and release profile of OO </w:t>
      </w:r>
    </w:p>
    <w:p w14:paraId="37B46650" w14:textId="4BDC7D69" w:rsidR="005208F0" w:rsidRDefault="00321305" w:rsidP="002852DE">
      <w:pPr>
        <w:pStyle w:val="CETBodytext"/>
      </w:pPr>
      <w:r>
        <w:t>T</w:t>
      </w:r>
      <w:r w:rsidRPr="00321305">
        <w:t xml:space="preserve">he OO release of 1 mg of the nanocapsules was evaluated in </w:t>
      </w:r>
      <w:r w:rsidR="003154A7" w:rsidRPr="003154A7">
        <w:t xml:space="preserve">artificial saliva for pharmaceutical research (Sigma-Aldrich, SKU SAE149, pH </w:t>
      </w:r>
      <w:r w:rsidR="003154A7">
        <w:t>7</w:t>
      </w:r>
      <w:r w:rsidR="003154A7" w:rsidRPr="003154A7">
        <w:t xml:space="preserve">) </w:t>
      </w:r>
      <w:r w:rsidR="003154A7">
        <w:t xml:space="preserve">for incubation times of </w:t>
      </w:r>
      <w:r w:rsidRPr="00321305">
        <w:t xml:space="preserve">1, 2 </w:t>
      </w:r>
      <w:r w:rsidR="00B978B7">
        <w:t>and</w:t>
      </w:r>
      <w:r w:rsidRPr="00321305">
        <w:t xml:space="preserve"> 4 min and solution like body fluids (</w:t>
      </w:r>
      <w:r w:rsidR="00783ECB">
        <w:t>R</w:t>
      </w:r>
      <w:r w:rsidR="003154A7" w:rsidRPr="003154A7">
        <w:t xml:space="preserve">inger's lactate </w:t>
      </w:r>
      <w:r w:rsidR="006E6A25" w:rsidRPr="003154A7">
        <w:t>solution</w:t>
      </w:r>
      <w:r w:rsidR="006E6A25">
        <w:t xml:space="preserve">, </w:t>
      </w:r>
      <w:r w:rsidR="006E6A25" w:rsidRPr="003154A7">
        <w:t>pH</w:t>
      </w:r>
      <w:r w:rsidR="00B978B7">
        <w:t xml:space="preserve"> </w:t>
      </w:r>
      <w:r w:rsidR="006E6A25">
        <w:t>=</w:t>
      </w:r>
      <w:r w:rsidR="003154A7" w:rsidRPr="003154A7">
        <w:t>7.4)</w:t>
      </w:r>
      <w:r w:rsidR="003154A7">
        <w:t xml:space="preserve"> for incubation times of </w:t>
      </w:r>
      <w:r w:rsidRPr="00321305">
        <w:t>1, 2, 5, 15, 30, 60, 120 and 240 min</w:t>
      </w:r>
      <w:r w:rsidR="003154A7">
        <w:t>.</w:t>
      </w:r>
      <w:r w:rsidRPr="00321305">
        <w:t xml:space="preserve"> </w:t>
      </w:r>
    </w:p>
    <w:p w14:paraId="1E639B69" w14:textId="7CEE5A5D" w:rsidR="002852DE" w:rsidRDefault="002852DE" w:rsidP="002852DE">
      <w:pPr>
        <w:pStyle w:val="CETBodytext"/>
      </w:pPr>
      <w:r>
        <w:t>6-well culture plates were used. In each well, glass slides were placed with 1 mg of the capsules obtained and</w:t>
      </w:r>
      <w:r w:rsidR="00783ECB" w:rsidRPr="00783ECB">
        <w:t xml:space="preserve"> 3 ml of each medium were added</w:t>
      </w:r>
      <w:r>
        <w:t xml:space="preserve"> </w:t>
      </w:r>
      <w:bookmarkStart w:id="1" w:name="_Hlk94132521"/>
      <w:r w:rsidR="00783ECB">
        <w:t>(</w:t>
      </w:r>
      <w:r>
        <w:t>artificial saliva</w:t>
      </w:r>
      <w:bookmarkEnd w:id="1"/>
      <w:r w:rsidR="00783ECB">
        <w:t xml:space="preserve"> or Ringer´s lactate).</w:t>
      </w:r>
      <w:r>
        <w:t xml:space="preserve"> Incubation was carried out at 37 °C under horizontal stirring at 210 rpm. </w:t>
      </w:r>
      <w:r w:rsidR="00783ECB" w:rsidRPr="00783ECB">
        <w:t xml:space="preserve">At the end of each </w:t>
      </w:r>
      <w:r w:rsidR="00354C3F">
        <w:t xml:space="preserve">incubation period, </w:t>
      </w:r>
      <w:r>
        <w:t xml:space="preserve">the total solution of each well was taken and centrifuged at 9000 rpm for 15 min at room temperature. 3 ml of cyclohexane (Sigma-Aldrich, CAS Number: 110-82-7, molecular weight 84.16) were added to the obtained supernatant and it was centrifuged again at 5000 rpm for 5 min. The aqueous phase was </w:t>
      </w:r>
      <w:r w:rsidR="00586F4F">
        <w:t>discarded,</w:t>
      </w:r>
      <w:r>
        <w:t xml:space="preserve"> and the organic phase (cyclohexane with extracted OO) was used for two tests:</w:t>
      </w:r>
    </w:p>
    <w:p w14:paraId="6E4DBFBE" w14:textId="3820B2F0" w:rsidR="002852DE" w:rsidRDefault="002852DE" w:rsidP="00354C3F">
      <w:pPr>
        <w:pStyle w:val="CETBodytext"/>
        <w:numPr>
          <w:ilvl w:val="0"/>
          <w:numId w:val="27"/>
        </w:numPr>
      </w:pPr>
      <w:r>
        <w:lastRenderedPageBreak/>
        <w:t>50</w:t>
      </w:r>
      <w:r w:rsidR="00933C20">
        <w:t xml:space="preserve"> </w:t>
      </w:r>
      <w:proofErr w:type="spellStart"/>
      <w:r>
        <w:t>μl</w:t>
      </w:r>
      <w:proofErr w:type="spellEnd"/>
      <w:r>
        <w:t xml:space="preserve"> of the organic phase w</w:t>
      </w:r>
      <w:r w:rsidR="008E7E39">
        <w:t>as</w:t>
      </w:r>
      <w:r>
        <w:t xml:space="preserve"> mixed with 0.5 ml of the </w:t>
      </w:r>
      <w:proofErr w:type="spellStart"/>
      <w:r>
        <w:t>Sudam</w:t>
      </w:r>
      <w:proofErr w:type="spellEnd"/>
      <w:r>
        <w:t xml:space="preserve"> III reagent. It was left for 5 min and 2 washings were carried out in distilled water and 2 in ethanol. The samples were dried at 70 °C for 10 min and observed under an optical microscope. The </w:t>
      </w:r>
      <w:proofErr w:type="spellStart"/>
      <w:r>
        <w:t>Sudam</w:t>
      </w:r>
      <w:proofErr w:type="spellEnd"/>
      <w:r>
        <w:t xml:space="preserve"> III reagent has red triglycerides and other lipids.</w:t>
      </w:r>
    </w:p>
    <w:p w14:paraId="205BCF27" w14:textId="6C77A182" w:rsidR="002852DE" w:rsidRDefault="002852DE" w:rsidP="00354C3F">
      <w:pPr>
        <w:pStyle w:val="CETBodytext"/>
        <w:numPr>
          <w:ilvl w:val="0"/>
          <w:numId w:val="27"/>
        </w:numPr>
      </w:pPr>
      <w:r>
        <w:t xml:space="preserve">50 </w:t>
      </w:r>
      <w:proofErr w:type="spellStart"/>
      <w:r>
        <w:t>μl</w:t>
      </w:r>
      <w:proofErr w:type="spellEnd"/>
      <w:r>
        <w:t xml:space="preserve"> of the organic phase w</w:t>
      </w:r>
      <w:r w:rsidR="008E7E39">
        <w:t>as</w:t>
      </w:r>
      <w:r>
        <w:t xml:space="preserve"> used</w:t>
      </w:r>
      <w:r w:rsidR="00324E44" w:rsidRPr="00324E44">
        <w:t xml:space="preserve"> to detect the presence of the OO released by means of UV-VIS spectrophotometry</w:t>
      </w:r>
      <w:r w:rsidR="00324E44">
        <w:t xml:space="preserve"> </w:t>
      </w:r>
      <w:r w:rsidR="00324E44" w:rsidRPr="00324E44">
        <w:t>at wavelengths of 233 and 268 nm</w:t>
      </w:r>
      <w:r w:rsidR="00324E44">
        <w:t xml:space="preserve">. </w:t>
      </w:r>
    </w:p>
    <w:p w14:paraId="677EBFF0" w14:textId="0F9DAFCB" w:rsidR="00600535" w:rsidRPr="00204249" w:rsidRDefault="00C67762" w:rsidP="00204249">
      <w:pPr>
        <w:pStyle w:val="CETHeading1"/>
        <w:rPr>
          <w:lang w:val="en-GB"/>
        </w:rPr>
      </w:pPr>
      <w:r w:rsidRPr="00204249">
        <w:rPr>
          <w:lang w:val="en-GB"/>
        </w:rPr>
        <w:t>Results</w:t>
      </w:r>
      <w:r w:rsidRPr="00C67762">
        <w:rPr>
          <w:lang w:val="en-GB"/>
        </w:rPr>
        <w:t xml:space="preserve"> and discussion</w:t>
      </w:r>
    </w:p>
    <w:p w14:paraId="04963A06" w14:textId="45B235DA" w:rsidR="00600535" w:rsidRPr="00B57B36" w:rsidRDefault="00204249" w:rsidP="00FA5F5F">
      <w:pPr>
        <w:pStyle w:val="CETheadingx"/>
      </w:pPr>
      <w:r w:rsidRPr="00204249">
        <w:t>Coaxial electrospray parameters for nanocapsule</w:t>
      </w:r>
      <w:r w:rsidR="002A0ED1">
        <w:t>s</w:t>
      </w:r>
      <w:r w:rsidRPr="00204249">
        <w:t xml:space="preserve"> manufacture</w:t>
      </w:r>
    </w:p>
    <w:p w14:paraId="2A1F4978" w14:textId="5F0DA50F" w:rsidR="00464B3F" w:rsidRDefault="00464B3F" w:rsidP="00464B3F">
      <w:pPr>
        <w:pStyle w:val="CETBodytext"/>
        <w:rPr>
          <w:lang w:val="en-GB"/>
        </w:rPr>
      </w:pPr>
      <w:r w:rsidRPr="00464B3F">
        <w:rPr>
          <w:lang w:val="en-GB"/>
        </w:rPr>
        <w:t>Several tests were performed</w:t>
      </w:r>
      <w:r w:rsidR="00903B73">
        <w:rPr>
          <w:lang w:val="en-GB"/>
        </w:rPr>
        <w:t>.</w:t>
      </w:r>
      <w:r w:rsidRPr="00464B3F">
        <w:rPr>
          <w:lang w:val="en-GB"/>
        </w:rPr>
        <w:t xml:space="preserve"> The parameters of the electrospray process </w:t>
      </w:r>
      <w:r w:rsidR="007E6019">
        <w:rPr>
          <w:lang w:val="en-GB"/>
        </w:rPr>
        <w:t xml:space="preserve">(voltage, </w:t>
      </w:r>
      <w:r w:rsidR="007E6019" w:rsidRPr="007E6019">
        <w:rPr>
          <w:lang w:val="en-GB"/>
        </w:rPr>
        <w:t>flow of the PEG solution, flow of the OO solution and needle-collector distance</w:t>
      </w:r>
      <w:r w:rsidR="007E6019">
        <w:rPr>
          <w:lang w:val="en-GB"/>
        </w:rPr>
        <w:t xml:space="preserve">) </w:t>
      </w:r>
      <w:r w:rsidRPr="00464B3F">
        <w:rPr>
          <w:lang w:val="en-GB"/>
        </w:rPr>
        <w:t>were adjusted to reduce the diameter</w:t>
      </w:r>
      <w:r w:rsidR="007E6019">
        <w:rPr>
          <w:lang w:val="en-GB"/>
        </w:rPr>
        <w:t xml:space="preserve"> </w:t>
      </w:r>
      <w:r w:rsidR="007E6019" w:rsidRPr="007E6019">
        <w:rPr>
          <w:lang w:val="en-GB"/>
        </w:rPr>
        <w:t xml:space="preserve">from </w:t>
      </w:r>
      <w:r w:rsidR="007660AA" w:rsidRPr="007E6019">
        <w:rPr>
          <w:lang w:val="en-GB"/>
        </w:rPr>
        <w:t>micrometre</w:t>
      </w:r>
      <w:r w:rsidR="007E6019" w:rsidRPr="007E6019">
        <w:rPr>
          <w:lang w:val="en-GB"/>
        </w:rPr>
        <w:t xml:space="preserve"> scale to </w:t>
      </w:r>
      <w:r w:rsidR="007660AA" w:rsidRPr="007E6019">
        <w:rPr>
          <w:lang w:val="en-GB"/>
        </w:rPr>
        <w:t>nanometre</w:t>
      </w:r>
      <w:r w:rsidR="007E6019" w:rsidRPr="007E6019">
        <w:rPr>
          <w:lang w:val="en-GB"/>
        </w:rPr>
        <w:t xml:space="preserve"> scale.</w:t>
      </w:r>
      <w:r w:rsidRPr="00464B3F">
        <w:rPr>
          <w:lang w:val="en-GB"/>
        </w:rPr>
        <w:t xml:space="preserve"> </w:t>
      </w:r>
      <w:bookmarkStart w:id="2" w:name="_Hlk94131462"/>
      <w:r w:rsidRPr="00464B3F">
        <w:rPr>
          <w:lang w:val="en-GB"/>
        </w:rPr>
        <w:t xml:space="preserve">Table 1 shows the </w:t>
      </w:r>
      <w:r w:rsidR="0007430E">
        <w:rPr>
          <w:lang w:val="en-GB"/>
        </w:rPr>
        <w:t xml:space="preserve">final </w:t>
      </w:r>
      <w:r w:rsidRPr="00464B3F">
        <w:rPr>
          <w:lang w:val="en-GB"/>
        </w:rPr>
        <w:t>parameters of the tests performed that generated micro</w:t>
      </w:r>
      <w:r w:rsidR="007E6019">
        <w:rPr>
          <w:lang w:val="en-GB"/>
        </w:rPr>
        <w:t xml:space="preserve"> and nano</w:t>
      </w:r>
      <w:r w:rsidRPr="00464B3F">
        <w:rPr>
          <w:lang w:val="en-GB"/>
        </w:rPr>
        <w:t>capsules</w:t>
      </w:r>
      <w:r w:rsidR="007E6019">
        <w:rPr>
          <w:lang w:val="en-GB"/>
        </w:rPr>
        <w:t xml:space="preserve">. </w:t>
      </w:r>
    </w:p>
    <w:bookmarkEnd w:id="2"/>
    <w:p w14:paraId="6A5167CF" w14:textId="5EF152CE" w:rsidR="00600535" w:rsidRPr="00B57B36" w:rsidRDefault="00600535" w:rsidP="00600535">
      <w:pPr>
        <w:pStyle w:val="CETTabletitle"/>
      </w:pPr>
      <w:r w:rsidRPr="00B57B36">
        <w:t xml:space="preserve">Table 1: </w:t>
      </w:r>
      <w:r w:rsidR="003F5B40" w:rsidRPr="003F5B40">
        <w:t>Definitive parameters in the manufacture of micro and nanocapsules</w:t>
      </w:r>
      <w:r w:rsidR="003F5B40">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45"/>
        <w:gridCol w:w="1145"/>
        <w:gridCol w:w="1145"/>
        <w:gridCol w:w="1145"/>
        <w:gridCol w:w="4008"/>
      </w:tblGrid>
      <w:tr w:rsidR="00600535" w:rsidRPr="00B57B36" w14:paraId="4B29AA51" w14:textId="77777777" w:rsidTr="00945196">
        <w:trPr>
          <w:trHeight w:val="248"/>
        </w:trPr>
        <w:tc>
          <w:tcPr>
            <w:tcW w:w="1145" w:type="dxa"/>
            <w:tcBorders>
              <w:top w:val="single" w:sz="12" w:space="0" w:color="008000"/>
              <w:bottom w:val="single" w:sz="6" w:space="0" w:color="008000"/>
            </w:tcBorders>
            <w:shd w:val="clear" w:color="auto" w:fill="FFFFFF"/>
          </w:tcPr>
          <w:p w14:paraId="500859EC" w14:textId="57C48D7A" w:rsidR="00600535" w:rsidRPr="00B57B36" w:rsidRDefault="003F5B40" w:rsidP="00507B47">
            <w:pPr>
              <w:pStyle w:val="CETBodytext"/>
              <w:rPr>
                <w:lang w:val="en-GB"/>
              </w:rPr>
            </w:pPr>
            <w:r>
              <w:rPr>
                <w:lang w:val="en-GB"/>
              </w:rPr>
              <w:t>Capsule</w:t>
            </w:r>
            <w:r w:rsidR="00600535" w:rsidRPr="00B57B36">
              <w:rPr>
                <w:lang w:val="en-GB"/>
              </w:rPr>
              <w:t xml:space="preserve"> </w:t>
            </w:r>
          </w:p>
        </w:tc>
        <w:tc>
          <w:tcPr>
            <w:tcW w:w="1145" w:type="dxa"/>
            <w:tcBorders>
              <w:top w:val="single" w:sz="12" w:space="0" w:color="008000"/>
              <w:bottom w:val="single" w:sz="6" w:space="0" w:color="008000"/>
            </w:tcBorders>
            <w:shd w:val="clear" w:color="auto" w:fill="FFFFFF"/>
          </w:tcPr>
          <w:p w14:paraId="2C222011" w14:textId="77777777" w:rsidR="00600535" w:rsidRDefault="00903B73" w:rsidP="00507B47">
            <w:pPr>
              <w:pStyle w:val="CETBodytext"/>
              <w:rPr>
                <w:lang w:val="en-GB"/>
              </w:rPr>
            </w:pPr>
            <w:r>
              <w:rPr>
                <w:lang w:val="en-GB"/>
              </w:rPr>
              <w:t>Voltage</w:t>
            </w:r>
          </w:p>
          <w:p w14:paraId="6B6E97E3" w14:textId="6A3F9ACD" w:rsidR="00903B73" w:rsidRPr="00B57B36" w:rsidRDefault="00903B73" w:rsidP="00507B47">
            <w:pPr>
              <w:pStyle w:val="CETBodytext"/>
              <w:rPr>
                <w:lang w:val="en-GB"/>
              </w:rPr>
            </w:pPr>
            <w:r>
              <w:rPr>
                <w:lang w:val="en-GB"/>
              </w:rPr>
              <w:t>(kV)</w:t>
            </w:r>
          </w:p>
        </w:tc>
        <w:tc>
          <w:tcPr>
            <w:tcW w:w="1145" w:type="dxa"/>
            <w:tcBorders>
              <w:top w:val="single" w:sz="12" w:space="0" w:color="008000"/>
              <w:bottom w:val="single" w:sz="6" w:space="0" w:color="008000"/>
            </w:tcBorders>
            <w:shd w:val="clear" w:color="auto" w:fill="FFFFFF"/>
          </w:tcPr>
          <w:p w14:paraId="0CC5C18D" w14:textId="1C29329A" w:rsidR="00600535" w:rsidRPr="00B57B36" w:rsidRDefault="00903B73" w:rsidP="00507B47">
            <w:pPr>
              <w:pStyle w:val="CETBodytext"/>
              <w:rPr>
                <w:lang w:val="en-GB"/>
              </w:rPr>
            </w:pPr>
            <w:r>
              <w:rPr>
                <w:lang w:val="en-GB"/>
              </w:rPr>
              <w:t>External flow (PEG) (ml/h)</w:t>
            </w:r>
          </w:p>
        </w:tc>
        <w:tc>
          <w:tcPr>
            <w:tcW w:w="1145" w:type="dxa"/>
            <w:tcBorders>
              <w:top w:val="single" w:sz="12" w:space="0" w:color="008000"/>
              <w:bottom w:val="single" w:sz="6" w:space="0" w:color="008000"/>
            </w:tcBorders>
            <w:shd w:val="clear" w:color="auto" w:fill="FFFFFF"/>
          </w:tcPr>
          <w:p w14:paraId="199EE8DC" w14:textId="77777777" w:rsidR="00600535" w:rsidRPr="00B57B36" w:rsidRDefault="00600535" w:rsidP="00507B47">
            <w:pPr>
              <w:pStyle w:val="CETBodytext"/>
              <w:ind w:right="-1"/>
              <w:rPr>
                <w:rFonts w:cs="Arial"/>
                <w:szCs w:val="18"/>
                <w:lang w:val="en-GB"/>
              </w:rPr>
            </w:pPr>
          </w:p>
        </w:tc>
        <w:tc>
          <w:tcPr>
            <w:tcW w:w="4008" w:type="dxa"/>
            <w:tcBorders>
              <w:top w:val="single" w:sz="12" w:space="0" w:color="008000"/>
              <w:bottom w:val="single" w:sz="6" w:space="0" w:color="008000"/>
            </w:tcBorders>
            <w:shd w:val="clear" w:color="auto" w:fill="FFFFFF"/>
          </w:tcPr>
          <w:p w14:paraId="58117727" w14:textId="4541847B" w:rsidR="00600535" w:rsidRDefault="00903B73" w:rsidP="00507B47">
            <w:pPr>
              <w:pStyle w:val="CETBodytext"/>
              <w:ind w:right="-1"/>
              <w:rPr>
                <w:rFonts w:cs="Arial"/>
                <w:szCs w:val="18"/>
                <w:lang w:val="en-GB"/>
              </w:rPr>
            </w:pPr>
            <w:r>
              <w:rPr>
                <w:rFonts w:cs="Arial"/>
                <w:szCs w:val="18"/>
                <w:lang w:val="en-GB"/>
              </w:rPr>
              <w:t>Internal flow                   Distance</w:t>
            </w:r>
          </w:p>
          <w:p w14:paraId="005800F7" w14:textId="7E2A7B08" w:rsidR="00903B73" w:rsidRPr="00B57B36" w:rsidRDefault="00903B73" w:rsidP="00507B47">
            <w:pPr>
              <w:pStyle w:val="CETBodytext"/>
              <w:ind w:right="-1"/>
              <w:rPr>
                <w:rFonts w:cs="Arial"/>
                <w:szCs w:val="18"/>
                <w:lang w:val="en-GB"/>
              </w:rPr>
            </w:pPr>
            <w:r>
              <w:rPr>
                <w:rFonts w:cs="Arial"/>
                <w:szCs w:val="18"/>
                <w:lang w:val="en-GB"/>
              </w:rPr>
              <w:t>(OO) (ml/</w:t>
            </w:r>
            <w:r w:rsidR="00586F4F">
              <w:rPr>
                <w:rFonts w:cs="Arial"/>
                <w:szCs w:val="18"/>
                <w:lang w:val="en-GB"/>
              </w:rPr>
              <w:t xml:space="preserve">h)  </w:t>
            </w:r>
            <w:r>
              <w:rPr>
                <w:rFonts w:cs="Arial"/>
                <w:szCs w:val="18"/>
                <w:lang w:val="en-GB"/>
              </w:rPr>
              <w:t xml:space="preserve">         </w:t>
            </w:r>
            <w:r w:rsidRPr="00903B73">
              <w:rPr>
                <w:rFonts w:cs="Arial"/>
                <w:szCs w:val="18"/>
                <w:lang w:val="en-GB"/>
              </w:rPr>
              <w:t xml:space="preserve">Needle-collector (cm) </w:t>
            </w:r>
            <w:r>
              <w:rPr>
                <w:rFonts w:cs="Arial"/>
                <w:szCs w:val="18"/>
                <w:lang w:val="en-GB"/>
              </w:rPr>
              <w:t xml:space="preserve"> </w:t>
            </w:r>
          </w:p>
        </w:tc>
      </w:tr>
      <w:tr w:rsidR="00600535" w:rsidRPr="00B57B36" w14:paraId="18FA68DB" w14:textId="77777777" w:rsidTr="0073440A">
        <w:trPr>
          <w:trHeight w:val="418"/>
        </w:trPr>
        <w:tc>
          <w:tcPr>
            <w:tcW w:w="1145" w:type="dxa"/>
            <w:shd w:val="clear" w:color="auto" w:fill="FFFFFF"/>
          </w:tcPr>
          <w:p w14:paraId="36FC80F5" w14:textId="77777777" w:rsidR="00600535" w:rsidRDefault="003F5B40" w:rsidP="00507B47">
            <w:pPr>
              <w:pStyle w:val="CETBodytext"/>
              <w:rPr>
                <w:lang w:val="en-GB"/>
              </w:rPr>
            </w:pPr>
            <w:r>
              <w:rPr>
                <w:lang w:val="en-GB"/>
              </w:rPr>
              <w:t>Micro</w:t>
            </w:r>
          </w:p>
          <w:p w14:paraId="1877D42D" w14:textId="4D8071DB" w:rsidR="006F4DB0" w:rsidRPr="00B57B36" w:rsidRDefault="006F4DB0" w:rsidP="00507B47">
            <w:pPr>
              <w:pStyle w:val="CETBodytext"/>
              <w:rPr>
                <w:lang w:val="en-GB"/>
              </w:rPr>
            </w:pPr>
            <w:r>
              <w:rPr>
                <w:lang w:val="en-GB"/>
              </w:rPr>
              <w:t xml:space="preserve">Nano                </w:t>
            </w:r>
          </w:p>
        </w:tc>
        <w:tc>
          <w:tcPr>
            <w:tcW w:w="1145" w:type="dxa"/>
            <w:shd w:val="clear" w:color="auto" w:fill="FFFFFF"/>
          </w:tcPr>
          <w:p w14:paraId="3CD40451" w14:textId="77777777" w:rsidR="00600535" w:rsidRDefault="00903B73" w:rsidP="00507B47">
            <w:pPr>
              <w:pStyle w:val="CETBodytext"/>
              <w:rPr>
                <w:lang w:val="en-GB"/>
              </w:rPr>
            </w:pPr>
            <w:r>
              <w:rPr>
                <w:lang w:val="en-GB"/>
              </w:rPr>
              <w:t>22</w:t>
            </w:r>
          </w:p>
          <w:p w14:paraId="48136FAE" w14:textId="6BD3EA04" w:rsidR="006F4DB0" w:rsidRPr="00B57B36" w:rsidRDefault="006F4DB0" w:rsidP="00507B47">
            <w:pPr>
              <w:pStyle w:val="CETBodytext"/>
              <w:rPr>
                <w:lang w:val="en-GB"/>
              </w:rPr>
            </w:pPr>
            <w:r>
              <w:rPr>
                <w:lang w:val="en-GB"/>
              </w:rPr>
              <w:t>23</w:t>
            </w:r>
          </w:p>
        </w:tc>
        <w:tc>
          <w:tcPr>
            <w:tcW w:w="1145" w:type="dxa"/>
            <w:shd w:val="clear" w:color="auto" w:fill="FFFFFF"/>
          </w:tcPr>
          <w:p w14:paraId="21DE083C" w14:textId="77777777" w:rsidR="00600535" w:rsidRDefault="00903B73" w:rsidP="00507B47">
            <w:pPr>
              <w:pStyle w:val="CETBodytext"/>
              <w:rPr>
                <w:lang w:val="en-GB"/>
              </w:rPr>
            </w:pPr>
            <w:r>
              <w:rPr>
                <w:lang w:val="en-GB"/>
              </w:rPr>
              <w:t>0.5</w:t>
            </w:r>
          </w:p>
          <w:p w14:paraId="2CB03BEE" w14:textId="46990845" w:rsidR="006F4DB0" w:rsidRPr="00B57B36" w:rsidRDefault="006F4DB0" w:rsidP="00507B47">
            <w:pPr>
              <w:pStyle w:val="CETBodytext"/>
              <w:rPr>
                <w:lang w:val="en-GB"/>
              </w:rPr>
            </w:pPr>
            <w:r>
              <w:rPr>
                <w:lang w:val="en-GB"/>
              </w:rPr>
              <w:t>0.3</w:t>
            </w:r>
          </w:p>
        </w:tc>
        <w:tc>
          <w:tcPr>
            <w:tcW w:w="1145" w:type="dxa"/>
            <w:shd w:val="clear" w:color="auto" w:fill="FFFFFF"/>
          </w:tcPr>
          <w:p w14:paraId="7FF7EB81" w14:textId="77777777" w:rsidR="00600535" w:rsidRPr="00B57B36" w:rsidRDefault="00600535" w:rsidP="00507B47">
            <w:pPr>
              <w:pStyle w:val="CETBodytext"/>
              <w:ind w:right="-1"/>
              <w:rPr>
                <w:rFonts w:cs="Arial"/>
                <w:szCs w:val="18"/>
                <w:lang w:val="en-GB"/>
              </w:rPr>
            </w:pPr>
          </w:p>
        </w:tc>
        <w:tc>
          <w:tcPr>
            <w:tcW w:w="4008" w:type="dxa"/>
            <w:shd w:val="clear" w:color="auto" w:fill="FFFFFF"/>
          </w:tcPr>
          <w:p w14:paraId="0A4BBEE4" w14:textId="50DFB58B" w:rsidR="006F4DB0" w:rsidRDefault="00903B73" w:rsidP="00507B47">
            <w:pPr>
              <w:pStyle w:val="CETBodytext"/>
              <w:ind w:right="-1"/>
              <w:rPr>
                <w:rFonts w:cs="Arial"/>
                <w:szCs w:val="18"/>
                <w:lang w:val="en-GB"/>
              </w:rPr>
            </w:pPr>
            <w:r>
              <w:rPr>
                <w:rFonts w:cs="Arial"/>
                <w:szCs w:val="18"/>
                <w:lang w:val="en-GB"/>
              </w:rPr>
              <w:t xml:space="preserve">0.3  </w:t>
            </w:r>
            <w:r w:rsidR="006F4DB0">
              <w:rPr>
                <w:rFonts w:cs="Arial"/>
                <w:szCs w:val="18"/>
                <w:lang w:val="en-GB"/>
              </w:rPr>
              <w:t xml:space="preserve">                               20</w:t>
            </w:r>
          </w:p>
          <w:p w14:paraId="6512B018" w14:textId="69ED933D" w:rsidR="00600535" w:rsidRPr="00B57B36" w:rsidRDefault="001067D9" w:rsidP="00507B47">
            <w:pPr>
              <w:pStyle w:val="CETBodytext"/>
              <w:ind w:right="-1"/>
              <w:rPr>
                <w:rFonts w:cs="Arial"/>
                <w:szCs w:val="18"/>
                <w:lang w:val="en-GB"/>
              </w:rPr>
            </w:pPr>
            <w:r>
              <w:rPr>
                <w:rFonts w:cs="Arial"/>
                <w:szCs w:val="18"/>
                <w:lang w:val="en-GB"/>
              </w:rPr>
              <w:t>0.3                                 2</w:t>
            </w:r>
            <w:r w:rsidR="00D23934">
              <w:rPr>
                <w:rFonts w:cs="Arial"/>
                <w:szCs w:val="18"/>
                <w:lang w:val="en-GB"/>
              </w:rPr>
              <w:t>2</w:t>
            </w:r>
            <w:r w:rsidR="00903B73">
              <w:rPr>
                <w:rFonts w:cs="Arial"/>
                <w:szCs w:val="18"/>
                <w:lang w:val="en-GB"/>
              </w:rPr>
              <w:t xml:space="preserve">                                </w:t>
            </w:r>
          </w:p>
        </w:tc>
      </w:tr>
    </w:tbl>
    <w:p w14:paraId="081EDC53" w14:textId="1FB08A70" w:rsidR="0007430E" w:rsidRPr="0007430E" w:rsidRDefault="0007430E" w:rsidP="0007430E">
      <w:pPr>
        <w:pStyle w:val="CETBodytext"/>
        <w:rPr>
          <w:lang w:val="en-GB"/>
        </w:rPr>
      </w:pPr>
    </w:p>
    <w:p w14:paraId="22F70F1B" w14:textId="5B1B4181" w:rsidR="0007430E" w:rsidRPr="0007430E" w:rsidRDefault="0007430E" w:rsidP="0007430E">
      <w:pPr>
        <w:pStyle w:val="CETBodytext"/>
        <w:rPr>
          <w:lang w:val="en-GB"/>
        </w:rPr>
      </w:pPr>
      <w:r w:rsidRPr="0007430E">
        <w:rPr>
          <w:lang w:val="en-GB"/>
        </w:rPr>
        <w:t xml:space="preserve">Figure </w:t>
      </w:r>
      <w:r w:rsidR="006F4DB0">
        <w:rPr>
          <w:lang w:val="en-GB"/>
        </w:rPr>
        <w:t>2</w:t>
      </w:r>
      <w:r w:rsidRPr="0007430E">
        <w:rPr>
          <w:lang w:val="en-GB"/>
        </w:rPr>
        <w:t xml:space="preserve"> shows the appearance under the optical microscope (400</w:t>
      </w:r>
      <w:r w:rsidR="00A8728F">
        <w:rPr>
          <w:lang w:val="en-GB"/>
        </w:rPr>
        <w:t xml:space="preserve"> </w:t>
      </w:r>
      <w:r w:rsidRPr="0007430E">
        <w:rPr>
          <w:lang w:val="en-GB"/>
        </w:rPr>
        <w:t xml:space="preserve">x) of the microcapsules </w:t>
      </w:r>
      <w:bookmarkStart w:id="3" w:name="_Hlk94131729"/>
      <w:r w:rsidRPr="0007430E">
        <w:rPr>
          <w:lang w:val="en-GB"/>
        </w:rPr>
        <w:t>obtained with the parameters described in table 1</w:t>
      </w:r>
      <w:bookmarkEnd w:id="3"/>
      <w:r w:rsidR="001067D9">
        <w:rPr>
          <w:lang w:val="en-GB"/>
        </w:rPr>
        <w:t>.</w:t>
      </w:r>
      <w:r w:rsidRPr="0007430E">
        <w:rPr>
          <w:lang w:val="en-GB"/>
        </w:rPr>
        <w:t xml:space="preserve"> These are observed in various sizes</w:t>
      </w:r>
      <w:r w:rsidR="001067D9">
        <w:rPr>
          <w:lang w:val="en-GB"/>
        </w:rPr>
        <w:t>.</w:t>
      </w:r>
      <w:r w:rsidRPr="0007430E">
        <w:rPr>
          <w:lang w:val="en-GB"/>
        </w:rPr>
        <w:t xml:space="preserve"> </w:t>
      </w:r>
      <w:r w:rsidR="001067D9" w:rsidRPr="001067D9">
        <w:rPr>
          <w:lang w:val="en-GB"/>
        </w:rPr>
        <w:t>The contrast allows to differentiate the wall from the content in most of them</w:t>
      </w:r>
      <w:r w:rsidR="001067D9">
        <w:rPr>
          <w:lang w:val="en-GB"/>
        </w:rPr>
        <w:t>.</w:t>
      </w:r>
    </w:p>
    <w:p w14:paraId="7B0B5470" w14:textId="77777777" w:rsidR="0007430E" w:rsidRPr="0007430E" w:rsidRDefault="0007430E" w:rsidP="0007430E">
      <w:pPr>
        <w:pStyle w:val="CETBodytext"/>
        <w:rPr>
          <w:lang w:val="en-GB"/>
        </w:rPr>
      </w:pPr>
      <w:r w:rsidRPr="0007430E">
        <w:rPr>
          <w:lang w:val="en-GB"/>
        </w:rPr>
        <w:t xml:space="preserve"> </w:t>
      </w:r>
    </w:p>
    <w:p w14:paraId="1C881526" w14:textId="741E3494" w:rsidR="00496EAE" w:rsidRPr="00E551B7" w:rsidRDefault="007E6019" w:rsidP="0007430E">
      <w:pPr>
        <w:pStyle w:val="CETBodytext"/>
        <w:rPr>
          <w:lang w:val="es-CO"/>
        </w:rPr>
      </w:pPr>
      <w:r w:rsidRPr="00E96647">
        <w:rPr>
          <w:noProof/>
          <w:lang w:val="es-CO" w:eastAsia="es-CO"/>
        </w:rPr>
        <w:drawing>
          <wp:inline distT="0" distB="0" distL="0" distR="0" wp14:anchorId="2139290A" wp14:editId="7C22C668">
            <wp:extent cx="1368136" cy="13335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r="60885" b="49167"/>
                    <a:stretch/>
                  </pic:blipFill>
                  <pic:spPr bwMode="auto">
                    <a:xfrm>
                      <a:off x="0" y="0"/>
                      <a:ext cx="1400181" cy="1364734"/>
                    </a:xfrm>
                    <a:prstGeom prst="rect">
                      <a:avLst/>
                    </a:prstGeom>
                    <a:ln>
                      <a:noFill/>
                    </a:ln>
                    <a:extLst>
                      <a:ext uri="{53640926-AAD7-44D8-BBD7-CCE9431645EC}">
                        <a14:shadowObscured xmlns:a14="http://schemas.microsoft.com/office/drawing/2010/main"/>
                      </a:ext>
                    </a:extLst>
                  </pic:spPr>
                </pic:pic>
              </a:graphicData>
            </a:graphic>
          </wp:inline>
        </w:drawing>
      </w:r>
    </w:p>
    <w:p w14:paraId="7E2BD891" w14:textId="210C44FE" w:rsidR="00EA36BC" w:rsidRPr="00EA36BC" w:rsidRDefault="00264C08" w:rsidP="00EA36BC">
      <w:pPr>
        <w:rPr>
          <w:i/>
        </w:rPr>
      </w:pPr>
      <w:r>
        <w:rPr>
          <w:i/>
        </w:rPr>
        <w:t>F</w:t>
      </w:r>
      <w:r w:rsidR="00EA36BC" w:rsidRPr="00EA36BC">
        <w:rPr>
          <w:i/>
        </w:rPr>
        <w:t xml:space="preserve">igure </w:t>
      </w:r>
      <w:r w:rsidR="00200665">
        <w:rPr>
          <w:i/>
        </w:rPr>
        <w:t>2</w:t>
      </w:r>
      <w:r w:rsidR="00EA36BC" w:rsidRPr="00EA36BC">
        <w:rPr>
          <w:i/>
        </w:rPr>
        <w:t>: Optical micrograph (400</w:t>
      </w:r>
      <w:r w:rsidR="00A8728F">
        <w:rPr>
          <w:i/>
        </w:rPr>
        <w:t xml:space="preserve"> x</w:t>
      </w:r>
      <w:r w:rsidR="00EA36BC" w:rsidRPr="00EA36BC">
        <w:rPr>
          <w:i/>
        </w:rPr>
        <w:t xml:space="preserve">) of microcapsules obtained with the parameters described in </w:t>
      </w:r>
      <w:r w:rsidR="005935DC">
        <w:rPr>
          <w:i/>
        </w:rPr>
        <w:t>T</w:t>
      </w:r>
      <w:r w:rsidR="00EA36BC" w:rsidRPr="00EA36BC">
        <w:rPr>
          <w:i/>
        </w:rPr>
        <w:t>able 1</w:t>
      </w:r>
    </w:p>
    <w:p w14:paraId="38C7B28C" w14:textId="5E35CBC0" w:rsidR="00496EAE" w:rsidRDefault="00496EAE" w:rsidP="0007430E">
      <w:pPr>
        <w:pStyle w:val="CETBodytext"/>
        <w:rPr>
          <w:lang w:val="en-GB"/>
        </w:rPr>
      </w:pPr>
    </w:p>
    <w:p w14:paraId="46B6B1E0" w14:textId="024304A3" w:rsidR="005B05FF" w:rsidRPr="00B92CDD" w:rsidRDefault="00B92CDD" w:rsidP="0007430E">
      <w:pPr>
        <w:pStyle w:val="CETBodytext"/>
      </w:pPr>
      <w:r w:rsidRPr="005E5607">
        <w:rPr>
          <w:rFonts w:cs="Arial"/>
        </w:rPr>
        <w:t>Figure 3 shows the appearance</w:t>
      </w:r>
      <w:r>
        <w:rPr>
          <w:rFonts w:cs="Arial"/>
        </w:rPr>
        <w:t>,</w:t>
      </w:r>
      <w:r w:rsidRPr="005E5607">
        <w:rPr>
          <w:rFonts w:cs="Arial"/>
        </w:rPr>
        <w:t xml:space="preserve"> </w:t>
      </w:r>
      <w:r>
        <w:rPr>
          <w:rFonts w:cs="Arial"/>
        </w:rPr>
        <w:t>under</w:t>
      </w:r>
      <w:r w:rsidRPr="005E5607">
        <w:rPr>
          <w:rFonts w:cs="Arial"/>
        </w:rPr>
        <w:t xml:space="preserve"> SEM</w:t>
      </w:r>
      <w:r>
        <w:rPr>
          <w:rFonts w:cs="Arial"/>
        </w:rPr>
        <w:t>,</w:t>
      </w:r>
      <w:r w:rsidRPr="005E5607">
        <w:rPr>
          <w:rFonts w:cs="Arial"/>
        </w:rPr>
        <w:t xml:space="preserve"> of the nanocapsules obtained with the parameters described in Table 1, at 2</w:t>
      </w:r>
      <w:r>
        <w:rPr>
          <w:rFonts w:cs="Arial"/>
        </w:rPr>
        <w:t>5</w:t>
      </w:r>
      <w:r w:rsidRPr="005E5607">
        <w:rPr>
          <w:rFonts w:cs="Arial"/>
        </w:rPr>
        <w:t xml:space="preserve">,000 </w:t>
      </w:r>
      <w:r w:rsidR="00A8728F">
        <w:rPr>
          <w:rFonts w:cs="Arial"/>
        </w:rPr>
        <w:t>x</w:t>
      </w:r>
      <w:r>
        <w:t>.</w:t>
      </w:r>
      <w:r w:rsidRPr="005E5607">
        <w:rPr>
          <w:rFonts w:cs="Arial"/>
        </w:rPr>
        <w:t xml:space="preserve"> </w:t>
      </w:r>
      <w:r w:rsidR="00D23934" w:rsidRPr="00D23934">
        <w:rPr>
          <w:rFonts w:cs="Arial"/>
        </w:rPr>
        <w:t xml:space="preserve">The morphology of the capsules was spherical, and the average diameter was </w:t>
      </w:r>
      <w:r w:rsidR="00A8728F">
        <w:rPr>
          <w:rFonts w:cs="Arial"/>
        </w:rPr>
        <w:t>(</w:t>
      </w:r>
      <w:r w:rsidR="00D23934" w:rsidRPr="00D23934">
        <w:rPr>
          <w:rFonts w:cs="Arial"/>
        </w:rPr>
        <w:t>97.5 ± 15.6</w:t>
      </w:r>
      <w:r w:rsidR="00A8728F">
        <w:rPr>
          <w:rFonts w:cs="Arial"/>
        </w:rPr>
        <w:t>)</w:t>
      </w:r>
      <w:r w:rsidR="00D23934" w:rsidRPr="00D23934">
        <w:rPr>
          <w:rFonts w:cs="Arial"/>
        </w:rPr>
        <w:t xml:space="preserve"> nm.</w:t>
      </w:r>
    </w:p>
    <w:p w14:paraId="5E501AFE" w14:textId="7FA5D080" w:rsidR="00200665" w:rsidRDefault="00B92CDD" w:rsidP="0007430E">
      <w:pPr>
        <w:pStyle w:val="CETBodytext"/>
        <w:rPr>
          <w:lang w:val="en-GB"/>
        </w:rPr>
      </w:pPr>
      <w:r w:rsidRPr="00B92CDD">
        <w:rPr>
          <w:noProof/>
          <w:lang w:val="en-GB"/>
        </w:rPr>
        <w:drawing>
          <wp:inline distT="0" distB="0" distL="0" distR="0" wp14:anchorId="0BD362B0" wp14:editId="5A3617EC">
            <wp:extent cx="2635250" cy="2235200"/>
            <wp:effectExtent l="0" t="0" r="0" b="0"/>
            <wp:docPr id="7" name="Imagen 4" descr="Patrón de fondo&#10;&#10;Descripción generada automáticamente">
              <a:extLst xmlns:a="http://schemas.openxmlformats.org/drawingml/2006/main">
                <a:ext uri="{FF2B5EF4-FFF2-40B4-BE49-F238E27FC236}">
                  <a16:creationId xmlns:a16="http://schemas.microsoft.com/office/drawing/2014/main" id="{0D9F5CBA-6442-4545-A788-53E18BD389E2}"/>
                </a:ext>
              </a:extLst>
            </wp:docPr>
            <wp:cNvGraphicFramePr/>
            <a:graphic xmlns:a="http://schemas.openxmlformats.org/drawingml/2006/main">
              <a:graphicData uri="http://schemas.openxmlformats.org/drawingml/2006/picture">
                <pic:pic xmlns:pic="http://schemas.openxmlformats.org/drawingml/2006/picture">
                  <pic:nvPicPr>
                    <pic:cNvPr id="5" name="Imagen 4" descr="Patrón de fondo&#10;&#10;Descripción generada automáticamente">
                      <a:extLst>
                        <a:ext uri="{FF2B5EF4-FFF2-40B4-BE49-F238E27FC236}">
                          <a16:creationId xmlns:a16="http://schemas.microsoft.com/office/drawing/2014/main" id="{0D9F5CBA-6442-4545-A788-53E18BD389E2}"/>
                        </a:ext>
                      </a:extLst>
                    </pic:cNvPr>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3760"/>
                    <a:stretch/>
                  </pic:blipFill>
                  <pic:spPr bwMode="auto">
                    <a:xfrm>
                      <a:off x="0" y="0"/>
                      <a:ext cx="2758549" cy="2339781"/>
                    </a:xfrm>
                    <a:prstGeom prst="rect">
                      <a:avLst/>
                    </a:prstGeom>
                    <a:noFill/>
                    <a:ln>
                      <a:noFill/>
                    </a:ln>
                    <a:extLst>
                      <a:ext uri="{53640926-AAD7-44D8-BBD7-CCE9431645EC}">
                        <a14:shadowObscured xmlns:a14="http://schemas.microsoft.com/office/drawing/2010/main"/>
                      </a:ext>
                    </a:extLst>
                  </pic:spPr>
                </pic:pic>
              </a:graphicData>
            </a:graphic>
          </wp:inline>
        </w:drawing>
      </w:r>
    </w:p>
    <w:p w14:paraId="674E65A4" w14:textId="2A43EE58" w:rsidR="00200665" w:rsidRPr="00EA36BC" w:rsidRDefault="00200665" w:rsidP="00200665">
      <w:pPr>
        <w:rPr>
          <w:i/>
        </w:rPr>
      </w:pPr>
      <w:r w:rsidRPr="00EA36BC">
        <w:rPr>
          <w:i/>
        </w:rPr>
        <w:t xml:space="preserve">Figure </w:t>
      </w:r>
      <w:r w:rsidR="001C1333">
        <w:rPr>
          <w:i/>
        </w:rPr>
        <w:t>3</w:t>
      </w:r>
      <w:r w:rsidRPr="00EA36BC">
        <w:rPr>
          <w:i/>
        </w:rPr>
        <w:t xml:space="preserve">: </w:t>
      </w:r>
      <w:r w:rsidR="000557F8" w:rsidRPr="000557F8">
        <w:rPr>
          <w:i/>
        </w:rPr>
        <w:t>Scanning electron micrograph</w:t>
      </w:r>
      <w:r w:rsidRPr="00EA36BC">
        <w:rPr>
          <w:i/>
        </w:rPr>
        <w:t xml:space="preserve"> (</w:t>
      </w:r>
      <w:r w:rsidR="000557F8">
        <w:rPr>
          <w:i/>
        </w:rPr>
        <w:t>25,0</w:t>
      </w:r>
      <w:r w:rsidRPr="00EA36BC">
        <w:rPr>
          <w:i/>
        </w:rPr>
        <w:t>00</w:t>
      </w:r>
      <w:r w:rsidR="007A3DCF">
        <w:rPr>
          <w:i/>
        </w:rPr>
        <w:t xml:space="preserve"> x</w:t>
      </w:r>
      <w:r w:rsidRPr="00EA36BC">
        <w:rPr>
          <w:i/>
        </w:rPr>
        <w:t xml:space="preserve">) of </w:t>
      </w:r>
      <w:r w:rsidR="000557F8">
        <w:rPr>
          <w:i/>
        </w:rPr>
        <w:t>nano</w:t>
      </w:r>
      <w:r w:rsidRPr="00EA36BC">
        <w:rPr>
          <w:i/>
        </w:rPr>
        <w:t>capsules obtained with the parameters described in table 1</w:t>
      </w:r>
    </w:p>
    <w:p w14:paraId="201A3213" w14:textId="37670281" w:rsidR="005B05FF" w:rsidRDefault="005B05FF" w:rsidP="005B05FF">
      <w:pPr>
        <w:rPr>
          <w:rFonts w:cs="Arial"/>
        </w:rPr>
      </w:pPr>
      <w:r w:rsidRPr="005B05FF">
        <w:rPr>
          <w:rFonts w:cs="Arial"/>
        </w:rPr>
        <w:lastRenderedPageBreak/>
        <w:t xml:space="preserve">Figure </w:t>
      </w:r>
      <w:r w:rsidR="00264C08">
        <w:rPr>
          <w:rFonts w:cs="Arial"/>
        </w:rPr>
        <w:t>4</w:t>
      </w:r>
      <w:r w:rsidRPr="005B05FF">
        <w:rPr>
          <w:rFonts w:cs="Arial"/>
        </w:rPr>
        <w:t xml:space="preserve"> show</w:t>
      </w:r>
      <w:r w:rsidR="005935DC">
        <w:rPr>
          <w:rFonts w:cs="Arial"/>
        </w:rPr>
        <w:t>s</w:t>
      </w:r>
      <w:r w:rsidRPr="005B05FF">
        <w:rPr>
          <w:rFonts w:cs="Arial"/>
        </w:rPr>
        <w:t xml:space="preserve"> the appearance of the </w:t>
      </w:r>
      <w:r w:rsidR="005935DC" w:rsidRPr="005B05FF">
        <w:rPr>
          <w:rFonts w:cs="Arial"/>
        </w:rPr>
        <w:t>nanocapsules obtained</w:t>
      </w:r>
      <w:r w:rsidRPr="005B05FF">
        <w:rPr>
          <w:rFonts w:cs="Arial"/>
        </w:rPr>
        <w:t xml:space="preserve"> by AFM. Although the capsules are not uniform in size, their nanometric dimensions are confirmed. </w:t>
      </w:r>
      <w:r w:rsidR="00354C3F">
        <w:rPr>
          <w:rFonts w:cs="Arial"/>
        </w:rPr>
        <w:t>M</w:t>
      </w:r>
      <w:r w:rsidRPr="005B05FF">
        <w:rPr>
          <w:rFonts w:cs="Arial"/>
        </w:rPr>
        <w:t xml:space="preserve">orphology is </w:t>
      </w:r>
      <w:r w:rsidR="00354C3F" w:rsidRPr="005B05FF">
        <w:rPr>
          <w:rFonts w:cs="Arial"/>
        </w:rPr>
        <w:t>spherical,</w:t>
      </w:r>
      <w:r w:rsidR="00354C3F">
        <w:rPr>
          <w:rFonts w:cs="Arial"/>
        </w:rPr>
        <w:t xml:space="preserve"> </w:t>
      </w:r>
      <w:r w:rsidRPr="005B05FF">
        <w:rPr>
          <w:rFonts w:cs="Arial"/>
        </w:rPr>
        <w:t xml:space="preserve">and the surface is regular.  </w:t>
      </w:r>
    </w:p>
    <w:p w14:paraId="5105F926" w14:textId="76AAF5A8" w:rsidR="005B05FF" w:rsidRDefault="00E14FE2" w:rsidP="005B05FF">
      <w:pPr>
        <w:pStyle w:val="CETBodytext"/>
        <w:rPr>
          <w:rFonts w:cs="Arial"/>
        </w:rPr>
      </w:pPr>
      <w:r>
        <w:rPr>
          <w:noProof/>
        </w:rPr>
        <w:drawing>
          <wp:anchor distT="0" distB="0" distL="114300" distR="114300" simplePos="0" relativeHeight="251658240" behindDoc="0" locked="0" layoutInCell="1" allowOverlap="1" wp14:anchorId="1359B1AA" wp14:editId="179F20F9">
            <wp:simplePos x="0" y="0"/>
            <wp:positionH relativeFrom="margin">
              <wp:align>left</wp:align>
            </wp:positionH>
            <wp:positionV relativeFrom="paragraph">
              <wp:posOffset>144145</wp:posOffset>
            </wp:positionV>
            <wp:extent cx="2527935" cy="2303780"/>
            <wp:effectExtent l="0" t="0" r="5715" b="1270"/>
            <wp:wrapSquare wrapText="bothSides"/>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14475" t="60385" r="10572" b="798"/>
                    <a:stretch/>
                  </pic:blipFill>
                  <pic:spPr bwMode="auto">
                    <a:xfrm>
                      <a:off x="0" y="0"/>
                      <a:ext cx="2527935" cy="230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7DA6B" w14:textId="5EC2EA7F" w:rsidR="005B05FF" w:rsidRDefault="005935DC" w:rsidP="005B05FF">
      <w:pPr>
        <w:pStyle w:val="CETBodytext"/>
        <w:rPr>
          <w:rFonts w:cs="Arial"/>
        </w:rPr>
      </w:pPr>
      <w:r>
        <w:rPr>
          <w:rFonts w:cs="Arial"/>
        </w:rPr>
        <w:br w:type="textWrapping" w:clear="all"/>
      </w:r>
    </w:p>
    <w:p w14:paraId="1AD511B5" w14:textId="41FA7906" w:rsidR="005B05FF" w:rsidRDefault="005B05FF" w:rsidP="005B05FF">
      <w:pPr>
        <w:pStyle w:val="CETBodytext"/>
        <w:rPr>
          <w:iCs/>
        </w:rPr>
      </w:pPr>
      <w:r>
        <w:rPr>
          <w:i/>
        </w:rPr>
        <w:t>Figure 4: AFM micrograph of nanocapsules</w:t>
      </w:r>
      <w:r w:rsidR="005935DC">
        <w:rPr>
          <w:i/>
        </w:rPr>
        <w:t xml:space="preserve"> </w:t>
      </w:r>
      <w:r w:rsidR="00740C1C" w:rsidRPr="00740C1C">
        <w:rPr>
          <w:i/>
        </w:rPr>
        <w:t xml:space="preserve">obtained with the parameters described in </w:t>
      </w:r>
      <w:r w:rsidR="005935DC">
        <w:rPr>
          <w:i/>
        </w:rPr>
        <w:t>T</w:t>
      </w:r>
      <w:r w:rsidR="00740C1C" w:rsidRPr="00740C1C">
        <w:rPr>
          <w:i/>
        </w:rPr>
        <w:t>able 1</w:t>
      </w:r>
    </w:p>
    <w:p w14:paraId="24F744DD" w14:textId="3D19993E" w:rsidR="005B05FF" w:rsidRDefault="005B05FF" w:rsidP="0007430E">
      <w:pPr>
        <w:pStyle w:val="CETBodytext"/>
        <w:rPr>
          <w:lang w:val="en-GB"/>
        </w:rPr>
      </w:pPr>
    </w:p>
    <w:p w14:paraId="35EC9B90" w14:textId="4AF85850" w:rsidR="00183975" w:rsidRPr="00183975" w:rsidRDefault="00924A26" w:rsidP="00183975">
      <w:pPr>
        <w:rPr>
          <w:rFonts w:cs="Arial"/>
          <w:color w:val="FF0000"/>
          <w:lang w:val="en-US"/>
        </w:rPr>
      </w:pPr>
      <w:r w:rsidRPr="00924A26">
        <w:rPr>
          <w:rFonts w:cs="Arial"/>
          <w:lang w:val="en-US"/>
        </w:rPr>
        <w:t>In contrast to other techniques</w:t>
      </w:r>
      <w:r>
        <w:rPr>
          <w:rFonts w:cs="Arial"/>
          <w:lang w:val="en-US"/>
        </w:rPr>
        <w:t>, t</w:t>
      </w:r>
      <w:r w:rsidR="00183975" w:rsidRPr="00BE7FA0">
        <w:rPr>
          <w:rFonts w:cs="Arial"/>
          <w:lang w:val="en-US"/>
        </w:rPr>
        <w:t>he</w:t>
      </w:r>
      <w:r w:rsidR="00183975">
        <w:rPr>
          <w:rFonts w:cs="Arial"/>
          <w:lang w:val="en-US"/>
        </w:rPr>
        <w:t xml:space="preserve"> coaxial electrospray is a</w:t>
      </w:r>
      <w:r w:rsidR="00183975" w:rsidRPr="00BE7FA0">
        <w:rPr>
          <w:rFonts w:cs="Arial"/>
          <w:lang w:val="en-US"/>
        </w:rPr>
        <w:t xml:space="preserve"> </w:t>
      </w:r>
      <w:r w:rsidR="006D1C63" w:rsidRPr="00BE7FA0">
        <w:rPr>
          <w:rFonts w:cs="Arial"/>
          <w:lang w:val="en-US"/>
        </w:rPr>
        <w:t>technique</w:t>
      </w:r>
      <w:r w:rsidR="0073440A" w:rsidRPr="00BE7FA0">
        <w:rPr>
          <w:rFonts w:cs="Arial"/>
          <w:lang w:val="en-US"/>
        </w:rPr>
        <w:t xml:space="preserve"> simple</w:t>
      </w:r>
      <w:r w:rsidR="00183975" w:rsidRPr="00BE7FA0">
        <w:rPr>
          <w:rFonts w:cs="Arial"/>
          <w:lang w:val="en-US"/>
        </w:rPr>
        <w:t>, replicable, inexpensive, and carried out under environmental conditions</w:t>
      </w:r>
      <w:r w:rsidR="0093363A">
        <w:rPr>
          <w:rFonts w:cs="Arial"/>
          <w:lang w:val="en-US"/>
        </w:rPr>
        <w:t xml:space="preserve"> (Tirado, 2021)</w:t>
      </w:r>
      <w:r w:rsidR="00183975" w:rsidRPr="00BE7FA0">
        <w:rPr>
          <w:rFonts w:cs="Arial"/>
          <w:lang w:val="en-US"/>
        </w:rPr>
        <w:t>.</w:t>
      </w:r>
      <w:r w:rsidR="00183975">
        <w:rPr>
          <w:rFonts w:cs="Arial"/>
          <w:lang w:val="en-US"/>
        </w:rPr>
        <w:t xml:space="preserve"> </w:t>
      </w:r>
      <w:r w:rsidR="00183975" w:rsidRPr="00183975">
        <w:rPr>
          <w:rFonts w:cs="Arial"/>
          <w:lang w:val="en-US"/>
        </w:rPr>
        <w:t>Additionally, the only solvent used was water. In other works, organic solvents are used in the manufacture of OO nanocapsules, such as acetone and ethyl acetate, which can have harmful effects on health</w:t>
      </w:r>
      <w:r w:rsidR="00183975" w:rsidRPr="00183975">
        <w:t xml:space="preserve"> </w:t>
      </w:r>
      <w:r w:rsidR="00905AE2">
        <w:t>(</w:t>
      </w:r>
      <w:r w:rsidR="00354991" w:rsidRPr="006D1C63">
        <w:t>Esmail</w:t>
      </w:r>
      <w:r w:rsidR="006D1C63">
        <w:t xml:space="preserve"> </w:t>
      </w:r>
      <w:r w:rsidR="006D1C63" w:rsidRPr="002D7DA3">
        <w:t>&amp;</w:t>
      </w:r>
      <w:r w:rsidR="006D1C63">
        <w:t xml:space="preserve"> </w:t>
      </w:r>
      <w:proofErr w:type="spellStart"/>
      <w:r w:rsidR="006D1C63" w:rsidRPr="006D1C63">
        <w:t>Gholami</w:t>
      </w:r>
      <w:proofErr w:type="spellEnd"/>
      <w:r w:rsidR="00130440">
        <w:t>,</w:t>
      </w:r>
      <w:r w:rsidR="006D1C63">
        <w:t xml:space="preserve"> 2015</w:t>
      </w:r>
      <w:r w:rsidR="00905AE2">
        <w:t>)</w:t>
      </w:r>
      <w:r w:rsidR="00354991">
        <w:t>.</w:t>
      </w:r>
    </w:p>
    <w:p w14:paraId="5118B788" w14:textId="77777777" w:rsidR="00183975" w:rsidRDefault="00183975" w:rsidP="00183975">
      <w:pPr>
        <w:pStyle w:val="CETBodytext"/>
        <w:rPr>
          <w:rFonts w:cs="Arial"/>
        </w:rPr>
      </w:pPr>
    </w:p>
    <w:p w14:paraId="1A18B9E4" w14:textId="77777777" w:rsidR="005B05FF" w:rsidRDefault="005B05FF" w:rsidP="0007430E">
      <w:pPr>
        <w:pStyle w:val="CETBodytext"/>
        <w:rPr>
          <w:lang w:val="en-GB"/>
        </w:rPr>
      </w:pPr>
    </w:p>
    <w:p w14:paraId="1160F90A" w14:textId="6544A204" w:rsidR="001C1333" w:rsidRPr="004B01F0" w:rsidRDefault="001C1333" w:rsidP="001C1333">
      <w:pPr>
        <w:pStyle w:val="CETBodytext"/>
        <w:rPr>
          <w:rFonts w:cs="Arial"/>
          <w:b/>
        </w:rPr>
      </w:pPr>
      <w:r w:rsidRPr="004B01F0">
        <w:rPr>
          <w:rFonts w:cs="Arial"/>
          <w:b/>
        </w:rPr>
        <w:t>3.</w:t>
      </w:r>
      <w:r w:rsidR="006A6F00">
        <w:rPr>
          <w:rFonts w:cs="Arial"/>
          <w:b/>
        </w:rPr>
        <w:t>2</w:t>
      </w:r>
      <w:r w:rsidRPr="004B01F0">
        <w:rPr>
          <w:rFonts w:cs="Arial"/>
          <w:b/>
        </w:rPr>
        <w:t xml:space="preserve"> Qualitative determination of OO release by staining with </w:t>
      </w:r>
      <w:proofErr w:type="spellStart"/>
      <w:r w:rsidRPr="004B01F0">
        <w:rPr>
          <w:rFonts w:cs="Arial"/>
          <w:b/>
        </w:rPr>
        <w:t>Sudam</w:t>
      </w:r>
      <w:proofErr w:type="spellEnd"/>
      <w:r w:rsidRPr="004B01F0">
        <w:rPr>
          <w:rFonts w:cs="Arial"/>
          <w:b/>
        </w:rPr>
        <w:t xml:space="preserve"> III</w:t>
      </w:r>
    </w:p>
    <w:p w14:paraId="503EB778" w14:textId="77777777" w:rsidR="001C1333" w:rsidRPr="004B01F0" w:rsidRDefault="001C1333" w:rsidP="001C1333">
      <w:pPr>
        <w:pStyle w:val="CETBodytext"/>
        <w:rPr>
          <w:rFonts w:cs="Arial"/>
        </w:rPr>
      </w:pPr>
    </w:p>
    <w:p w14:paraId="11115156" w14:textId="7E592013" w:rsidR="001C1333" w:rsidRDefault="001C1333" w:rsidP="001C1333">
      <w:pPr>
        <w:pStyle w:val="CETBodytext"/>
        <w:rPr>
          <w:rFonts w:cs="Arial"/>
        </w:rPr>
      </w:pPr>
      <w:r w:rsidRPr="005E5607">
        <w:rPr>
          <w:rFonts w:cs="Arial"/>
        </w:rPr>
        <w:t xml:space="preserve">Figure </w:t>
      </w:r>
      <w:r w:rsidR="00B40D12">
        <w:rPr>
          <w:rFonts w:cs="Arial"/>
        </w:rPr>
        <w:t>5</w:t>
      </w:r>
      <w:r w:rsidRPr="005E5607">
        <w:rPr>
          <w:rFonts w:cs="Arial"/>
        </w:rPr>
        <w:t xml:space="preserve"> shows the results of the </w:t>
      </w:r>
      <w:proofErr w:type="spellStart"/>
      <w:r w:rsidRPr="005E5607">
        <w:rPr>
          <w:rFonts w:cs="Arial"/>
        </w:rPr>
        <w:t>Sudam</w:t>
      </w:r>
      <w:proofErr w:type="spellEnd"/>
      <w:r w:rsidRPr="005E5607">
        <w:rPr>
          <w:rFonts w:cs="Arial"/>
        </w:rPr>
        <w:t xml:space="preserve"> III stain to qualitatively evaluate the OO release of the capsules in a saliva solution using a 50:50 solution of cyclohexane and artificial saliva</w:t>
      </w:r>
      <w:r>
        <w:rPr>
          <w:rFonts w:cs="Arial"/>
        </w:rPr>
        <w:t xml:space="preserve"> as </w:t>
      </w:r>
      <w:r w:rsidRPr="005E5607">
        <w:rPr>
          <w:rFonts w:cs="Arial"/>
        </w:rPr>
        <w:t xml:space="preserve">control. </w:t>
      </w:r>
      <w:r w:rsidR="00740C1C" w:rsidRPr="00740C1C">
        <w:rPr>
          <w:rFonts w:cs="Arial"/>
        </w:rPr>
        <w:t>The presence of triglycerides and other lipids corresponds to the reddish coloration, which is evident at all incubation times, confirming that the OO was released in the artificial saliva during the incubation</w:t>
      </w:r>
      <w:r w:rsidR="00D64670">
        <w:rPr>
          <w:rFonts w:cs="Arial"/>
        </w:rPr>
        <w:t>. M</w:t>
      </w:r>
      <w:r w:rsidR="00740C1C" w:rsidRPr="00740C1C">
        <w:rPr>
          <w:rFonts w:cs="Arial"/>
        </w:rPr>
        <w:t>inutes 1 and 2 has the greatest intensity, whereas around the 4</w:t>
      </w:r>
      <w:r w:rsidR="00740C1C" w:rsidRPr="00DF3017">
        <w:rPr>
          <w:rFonts w:cs="Arial"/>
          <w:vertAlign w:val="superscript"/>
        </w:rPr>
        <w:t>th</w:t>
      </w:r>
      <w:r w:rsidR="00740C1C" w:rsidRPr="00740C1C">
        <w:rPr>
          <w:rFonts w:cs="Arial"/>
        </w:rPr>
        <w:t xml:space="preserve"> min</w:t>
      </w:r>
      <w:r w:rsidR="00DF3017">
        <w:rPr>
          <w:rFonts w:cs="Arial"/>
        </w:rPr>
        <w:t>ute</w:t>
      </w:r>
      <w:r w:rsidR="00740C1C" w:rsidRPr="00740C1C">
        <w:rPr>
          <w:rFonts w:cs="Arial"/>
        </w:rPr>
        <w:t xml:space="preserve"> it decreased slightly.</w:t>
      </w:r>
      <w:r w:rsidR="00740C1C">
        <w:rPr>
          <w:rFonts w:cs="Arial"/>
        </w:rPr>
        <w:t xml:space="preserve"> </w:t>
      </w:r>
    </w:p>
    <w:p w14:paraId="1FD389FA" w14:textId="208792E8" w:rsidR="001C1333" w:rsidRDefault="001C1333" w:rsidP="0007430E">
      <w:pPr>
        <w:pStyle w:val="CETBodytext"/>
      </w:pPr>
    </w:p>
    <w:p w14:paraId="0C1B85E2" w14:textId="5D03BF6B" w:rsidR="00417C15" w:rsidRDefault="00417C15" w:rsidP="0007430E">
      <w:pPr>
        <w:pStyle w:val="CETBodytext"/>
      </w:pPr>
      <w:r>
        <w:rPr>
          <w:noProof/>
        </w:rPr>
        <w:drawing>
          <wp:inline distT="0" distB="0" distL="0" distR="0" wp14:anchorId="7118682E" wp14:editId="09F92361">
            <wp:extent cx="3416134" cy="256379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22899" cy="2568870"/>
                    </a:xfrm>
                    <a:prstGeom prst="rect">
                      <a:avLst/>
                    </a:prstGeom>
                    <a:noFill/>
                  </pic:spPr>
                </pic:pic>
              </a:graphicData>
            </a:graphic>
          </wp:inline>
        </w:drawing>
      </w:r>
    </w:p>
    <w:p w14:paraId="0C96183D" w14:textId="5E299C50" w:rsidR="00B40D12" w:rsidRPr="0004227F" w:rsidRDefault="00B40D12" w:rsidP="00B40D12">
      <w:pPr>
        <w:pStyle w:val="CETBodytext"/>
        <w:rPr>
          <w:i/>
        </w:rPr>
      </w:pPr>
      <w:r w:rsidRPr="003B2933">
        <w:rPr>
          <w:i/>
        </w:rPr>
        <w:t xml:space="preserve">Figure </w:t>
      </w:r>
      <w:r>
        <w:rPr>
          <w:i/>
        </w:rPr>
        <w:t>5</w:t>
      </w:r>
      <w:r w:rsidRPr="003B2933">
        <w:rPr>
          <w:i/>
        </w:rPr>
        <w:t xml:space="preserve">: </w:t>
      </w:r>
      <w:proofErr w:type="spellStart"/>
      <w:r w:rsidRPr="003B2933">
        <w:rPr>
          <w:i/>
        </w:rPr>
        <w:t>Sudam</w:t>
      </w:r>
      <w:proofErr w:type="spellEnd"/>
      <w:r w:rsidRPr="003B2933">
        <w:rPr>
          <w:i/>
        </w:rPr>
        <w:t xml:space="preserve"> III </w:t>
      </w:r>
      <w:bookmarkStart w:id="4" w:name="_Hlk536551532"/>
      <w:r w:rsidRPr="003B2933">
        <w:rPr>
          <w:i/>
        </w:rPr>
        <w:t xml:space="preserve">staining to qualitatively assess </w:t>
      </w:r>
      <w:bookmarkEnd w:id="4"/>
      <w:r w:rsidRPr="003B2933">
        <w:rPr>
          <w:i/>
        </w:rPr>
        <w:t xml:space="preserve">the release of OO </w:t>
      </w:r>
      <w:proofErr w:type="gramStart"/>
      <w:r w:rsidRPr="003B2933">
        <w:rPr>
          <w:i/>
        </w:rPr>
        <w:t>similar to</w:t>
      </w:r>
      <w:proofErr w:type="gramEnd"/>
      <w:r w:rsidRPr="003B2933">
        <w:rPr>
          <w:i/>
        </w:rPr>
        <w:t xml:space="preserve"> saliva </w:t>
      </w:r>
      <w:r>
        <w:rPr>
          <w:i/>
        </w:rPr>
        <w:t>(</w:t>
      </w:r>
      <w:r w:rsidRPr="003B2933">
        <w:rPr>
          <w:i/>
        </w:rPr>
        <w:t>A solution</w:t>
      </w:r>
      <w:r>
        <w:rPr>
          <w:i/>
        </w:rPr>
        <w:t xml:space="preserve"> control</w:t>
      </w:r>
      <w:r w:rsidRPr="003B2933">
        <w:rPr>
          <w:i/>
        </w:rPr>
        <w:t>, B: 1 min, C:</w:t>
      </w:r>
      <w:r>
        <w:rPr>
          <w:i/>
        </w:rPr>
        <w:t xml:space="preserve"> </w:t>
      </w:r>
      <w:r w:rsidRPr="003B2933">
        <w:rPr>
          <w:i/>
        </w:rPr>
        <w:t>2 min and D</w:t>
      </w:r>
      <w:r>
        <w:rPr>
          <w:i/>
        </w:rPr>
        <w:t>:</w:t>
      </w:r>
      <w:r w:rsidRPr="003B2933">
        <w:rPr>
          <w:i/>
        </w:rPr>
        <w:t xml:space="preserve"> 4 min</w:t>
      </w:r>
      <w:r>
        <w:rPr>
          <w:i/>
        </w:rPr>
        <w:t>)</w:t>
      </w:r>
    </w:p>
    <w:p w14:paraId="73D34F4C" w14:textId="28B86E91" w:rsidR="00B40D12" w:rsidRDefault="00B40D12" w:rsidP="0007430E">
      <w:pPr>
        <w:pStyle w:val="CETBodytext"/>
      </w:pPr>
    </w:p>
    <w:p w14:paraId="4F75F330" w14:textId="766D3C4C" w:rsidR="00B40D12" w:rsidRDefault="00B40D12" w:rsidP="00B40D12">
      <w:pPr>
        <w:pStyle w:val="CETBodytext"/>
        <w:rPr>
          <w:rFonts w:cs="Arial"/>
        </w:rPr>
      </w:pPr>
      <w:r w:rsidRPr="005E5607">
        <w:rPr>
          <w:rFonts w:cs="Arial"/>
        </w:rPr>
        <w:t xml:space="preserve">Figure </w:t>
      </w:r>
      <w:r>
        <w:rPr>
          <w:rFonts w:cs="Arial"/>
        </w:rPr>
        <w:t>6</w:t>
      </w:r>
      <w:r w:rsidRPr="005E5607">
        <w:rPr>
          <w:rFonts w:cs="Arial"/>
        </w:rPr>
        <w:t xml:space="preserve"> shows the results of the </w:t>
      </w:r>
      <w:proofErr w:type="spellStart"/>
      <w:r w:rsidRPr="005E5607">
        <w:rPr>
          <w:rFonts w:cs="Arial"/>
        </w:rPr>
        <w:t>Sudam</w:t>
      </w:r>
      <w:proofErr w:type="spellEnd"/>
      <w:r w:rsidRPr="005E5607">
        <w:rPr>
          <w:rFonts w:cs="Arial"/>
        </w:rPr>
        <w:t xml:space="preserve"> III </w:t>
      </w:r>
      <w:r w:rsidRPr="006F1449">
        <w:rPr>
          <w:rFonts w:cs="Arial"/>
        </w:rPr>
        <w:t xml:space="preserve">staining to qualitatively assess </w:t>
      </w:r>
      <w:r w:rsidRPr="005E5607">
        <w:rPr>
          <w:rFonts w:cs="Arial"/>
        </w:rPr>
        <w:t xml:space="preserve">the OO release of the capsules in a solution </w:t>
      </w:r>
      <w:proofErr w:type="gramStart"/>
      <w:r w:rsidRPr="005E5607">
        <w:rPr>
          <w:rFonts w:cs="Arial"/>
        </w:rPr>
        <w:t>similar to</w:t>
      </w:r>
      <w:proofErr w:type="gramEnd"/>
      <w:r w:rsidRPr="005E5607">
        <w:rPr>
          <w:rFonts w:cs="Arial"/>
        </w:rPr>
        <w:t xml:space="preserve"> body fluids, using a cyclohexane and </w:t>
      </w:r>
      <w:r w:rsidR="00DF3017">
        <w:rPr>
          <w:rFonts w:cs="Arial"/>
        </w:rPr>
        <w:t>R</w:t>
      </w:r>
      <w:r w:rsidRPr="005E5607">
        <w:rPr>
          <w:rFonts w:cs="Arial"/>
        </w:rPr>
        <w:t>inger</w:t>
      </w:r>
      <w:r>
        <w:rPr>
          <w:rFonts w:cs="Arial"/>
        </w:rPr>
        <w:t>’s</w:t>
      </w:r>
      <w:r w:rsidRPr="005E5607">
        <w:rPr>
          <w:rFonts w:cs="Arial"/>
        </w:rPr>
        <w:t xml:space="preserve"> </w:t>
      </w:r>
      <w:r>
        <w:rPr>
          <w:rFonts w:cs="Arial"/>
        </w:rPr>
        <w:t>l</w:t>
      </w:r>
      <w:r w:rsidRPr="005E5607">
        <w:rPr>
          <w:rFonts w:cs="Arial"/>
        </w:rPr>
        <w:t>actate 50:50</w:t>
      </w:r>
      <w:r>
        <w:rPr>
          <w:rFonts w:cs="Arial"/>
        </w:rPr>
        <w:t xml:space="preserve"> solution </w:t>
      </w:r>
      <w:r w:rsidRPr="005E5607">
        <w:rPr>
          <w:rFonts w:cs="Arial"/>
        </w:rPr>
        <w:t xml:space="preserve">as control. The reddish </w:t>
      </w:r>
      <w:r w:rsidRPr="005E5607">
        <w:rPr>
          <w:rFonts w:cs="Arial"/>
        </w:rPr>
        <w:lastRenderedPageBreak/>
        <w:t xml:space="preserve">coloration is observed at all incubation times, with less intensity at 2, 5 and 15 minutes. It increases after 30 minutes, remaining constant until 240 minutes of incubation. This analysis confirms that the OO was released in the </w:t>
      </w:r>
      <w:r w:rsidR="00DF35BD">
        <w:rPr>
          <w:rFonts w:cs="Arial"/>
        </w:rPr>
        <w:t>Ri</w:t>
      </w:r>
      <w:r w:rsidRPr="005E5607">
        <w:rPr>
          <w:rFonts w:cs="Arial"/>
        </w:rPr>
        <w:t>nger</w:t>
      </w:r>
      <w:r>
        <w:rPr>
          <w:rFonts w:cs="Arial"/>
        </w:rPr>
        <w:t>’s</w:t>
      </w:r>
      <w:r w:rsidRPr="005E5607">
        <w:rPr>
          <w:rFonts w:cs="Arial"/>
        </w:rPr>
        <w:t xml:space="preserve"> </w:t>
      </w:r>
      <w:r>
        <w:rPr>
          <w:rFonts w:cs="Arial"/>
        </w:rPr>
        <w:t>l</w:t>
      </w:r>
      <w:r w:rsidRPr="005E5607">
        <w:rPr>
          <w:rFonts w:cs="Arial"/>
        </w:rPr>
        <w:t xml:space="preserve">actate </w:t>
      </w:r>
      <w:r>
        <w:rPr>
          <w:rFonts w:cs="Arial"/>
        </w:rPr>
        <w:t xml:space="preserve">solution </w:t>
      </w:r>
      <w:r w:rsidRPr="005E5607">
        <w:rPr>
          <w:rFonts w:cs="Arial"/>
        </w:rPr>
        <w:t>during the incubation.</w:t>
      </w:r>
      <w:r>
        <w:rPr>
          <w:rFonts w:cs="Arial"/>
        </w:rPr>
        <w:t xml:space="preserve"> These</w:t>
      </w:r>
      <w:r w:rsidRPr="005E5607">
        <w:rPr>
          <w:rFonts w:cs="Arial"/>
        </w:rPr>
        <w:t xml:space="preserve"> results show that the wall of the nanocapsules degrades early</w:t>
      </w:r>
      <w:r>
        <w:rPr>
          <w:rFonts w:cs="Arial"/>
        </w:rPr>
        <w:t>,</w:t>
      </w:r>
      <w:r w:rsidRPr="005E5607">
        <w:rPr>
          <w:rFonts w:cs="Arial"/>
        </w:rPr>
        <w:t xml:space="preserve"> </w:t>
      </w:r>
      <w:r>
        <w:rPr>
          <w:rFonts w:cs="Arial"/>
        </w:rPr>
        <w:t>which results</w:t>
      </w:r>
      <w:r w:rsidRPr="005E5607">
        <w:rPr>
          <w:rFonts w:cs="Arial"/>
        </w:rPr>
        <w:t xml:space="preserve"> in an adequate </w:t>
      </w:r>
      <w:r>
        <w:rPr>
          <w:rFonts w:cs="Arial"/>
        </w:rPr>
        <w:t>OO release</w:t>
      </w:r>
      <w:r w:rsidRPr="005E5607">
        <w:rPr>
          <w:rFonts w:cs="Arial"/>
        </w:rPr>
        <w:t>. This is explained by the high solubility of PEG in water</w:t>
      </w:r>
      <w:r>
        <w:rPr>
          <w:rFonts w:cs="Arial"/>
        </w:rPr>
        <w:t>.</w:t>
      </w:r>
    </w:p>
    <w:p w14:paraId="696174A4" w14:textId="5AC49F6D" w:rsidR="00B40D12" w:rsidRDefault="00B40D12" w:rsidP="00B40D12">
      <w:pPr>
        <w:pStyle w:val="CETBodytext"/>
        <w:rPr>
          <w:rFonts w:cs="Arial"/>
        </w:rPr>
      </w:pPr>
    </w:p>
    <w:p w14:paraId="44250F5C" w14:textId="26722692" w:rsidR="00B40D12" w:rsidRDefault="00B40D12" w:rsidP="00B40D12">
      <w:pPr>
        <w:pStyle w:val="CETBodytext"/>
        <w:rPr>
          <w:rFonts w:cs="Arial"/>
        </w:rPr>
      </w:pPr>
      <w:r w:rsidRPr="00052E2A">
        <w:rPr>
          <w:b/>
          <w:noProof/>
          <w:lang w:val="es-CO" w:eastAsia="es-CO"/>
        </w:rPr>
        <w:drawing>
          <wp:inline distT="0" distB="0" distL="0" distR="0" wp14:anchorId="043E6E48" wp14:editId="725D44F4">
            <wp:extent cx="4479402" cy="23086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15" t="6566" b="25757"/>
                    <a:stretch/>
                  </pic:blipFill>
                  <pic:spPr bwMode="auto">
                    <a:xfrm>
                      <a:off x="0" y="0"/>
                      <a:ext cx="4525362" cy="2332304"/>
                    </a:xfrm>
                    <a:prstGeom prst="rect">
                      <a:avLst/>
                    </a:prstGeom>
                    <a:ln>
                      <a:noFill/>
                    </a:ln>
                    <a:extLst>
                      <a:ext uri="{53640926-AAD7-44D8-BBD7-CCE9431645EC}">
                        <a14:shadowObscured xmlns:a14="http://schemas.microsoft.com/office/drawing/2010/main"/>
                      </a:ext>
                    </a:extLst>
                  </pic:spPr>
                </pic:pic>
              </a:graphicData>
            </a:graphic>
          </wp:inline>
        </w:drawing>
      </w:r>
    </w:p>
    <w:p w14:paraId="3409ED79" w14:textId="655E5B70" w:rsidR="00B40D12" w:rsidRDefault="00B40D12" w:rsidP="00B40D12">
      <w:pPr>
        <w:pStyle w:val="CETBodytext"/>
        <w:rPr>
          <w:i/>
        </w:rPr>
      </w:pPr>
      <w:r w:rsidRPr="003B2933">
        <w:rPr>
          <w:i/>
        </w:rPr>
        <w:t xml:space="preserve">Figure </w:t>
      </w:r>
      <w:r>
        <w:rPr>
          <w:i/>
        </w:rPr>
        <w:t>6</w:t>
      </w:r>
      <w:r w:rsidRPr="003B2933">
        <w:rPr>
          <w:i/>
        </w:rPr>
        <w:t xml:space="preserve">: </w:t>
      </w:r>
      <w:proofErr w:type="spellStart"/>
      <w:r w:rsidRPr="003B2933">
        <w:rPr>
          <w:i/>
        </w:rPr>
        <w:t>Sudam</w:t>
      </w:r>
      <w:proofErr w:type="spellEnd"/>
      <w:r w:rsidRPr="003B2933">
        <w:rPr>
          <w:i/>
        </w:rPr>
        <w:t xml:space="preserve"> III staining to qualitatively assess the release of OO in a solution </w:t>
      </w:r>
      <w:proofErr w:type="gramStart"/>
      <w:r w:rsidRPr="003B2933">
        <w:rPr>
          <w:i/>
        </w:rPr>
        <w:t>similar to</w:t>
      </w:r>
      <w:proofErr w:type="gramEnd"/>
      <w:r w:rsidRPr="003B2933">
        <w:rPr>
          <w:i/>
        </w:rPr>
        <w:t xml:space="preserve"> body fluids (A: </w:t>
      </w:r>
      <w:r>
        <w:rPr>
          <w:i/>
        </w:rPr>
        <w:t>1 min</w:t>
      </w:r>
      <w:r w:rsidRPr="003B2933">
        <w:rPr>
          <w:i/>
        </w:rPr>
        <w:t>, B: 2 min, C: 5 min, D: 15 min, E: 30 min, F: 60 min, G: 120 min</w:t>
      </w:r>
      <w:r>
        <w:rPr>
          <w:i/>
        </w:rPr>
        <w:t xml:space="preserve"> and</w:t>
      </w:r>
      <w:r w:rsidRPr="003B2933">
        <w:rPr>
          <w:i/>
        </w:rPr>
        <w:t xml:space="preserve"> H: 240 min)</w:t>
      </w:r>
    </w:p>
    <w:p w14:paraId="6FE6BEF0" w14:textId="0237E292" w:rsidR="00B40D12" w:rsidRDefault="00B40D12" w:rsidP="00B40D12">
      <w:pPr>
        <w:pStyle w:val="CETBodytext"/>
        <w:rPr>
          <w:i/>
        </w:rPr>
      </w:pPr>
    </w:p>
    <w:p w14:paraId="29775B06" w14:textId="7D5B8774" w:rsidR="00B40D12" w:rsidRDefault="00264C08" w:rsidP="00B40D12">
      <w:pPr>
        <w:pStyle w:val="CETBodytext"/>
        <w:rPr>
          <w:rFonts w:cs="Arial"/>
          <w:b/>
        </w:rPr>
      </w:pPr>
      <w:r>
        <w:rPr>
          <w:rFonts w:cs="Arial"/>
          <w:b/>
        </w:rPr>
        <w:t>3.</w:t>
      </w:r>
      <w:r w:rsidR="006A6F00">
        <w:rPr>
          <w:rFonts w:cs="Arial"/>
          <w:b/>
        </w:rPr>
        <w:t>3</w:t>
      </w:r>
      <w:r>
        <w:rPr>
          <w:rFonts w:cs="Arial"/>
          <w:b/>
        </w:rPr>
        <w:t xml:space="preserve"> Determination</w:t>
      </w:r>
      <w:r w:rsidR="00B40D12" w:rsidRPr="005C56BD">
        <w:rPr>
          <w:rFonts w:cs="Arial"/>
          <w:b/>
        </w:rPr>
        <w:t xml:space="preserve"> of the OO release profile by UV-VIS spectroscopy</w:t>
      </w:r>
    </w:p>
    <w:p w14:paraId="62EBAB0D" w14:textId="77777777" w:rsidR="00B40D12" w:rsidRPr="005C56BD" w:rsidRDefault="00B40D12" w:rsidP="00B40D12">
      <w:pPr>
        <w:pStyle w:val="CETBodytext"/>
        <w:rPr>
          <w:rFonts w:cs="Arial"/>
        </w:rPr>
      </w:pPr>
    </w:p>
    <w:p w14:paraId="060E0292" w14:textId="33F3E4C2" w:rsidR="00B40D12" w:rsidRDefault="00B40D12" w:rsidP="00B40D12">
      <w:pPr>
        <w:pStyle w:val="CETBodytext"/>
        <w:rPr>
          <w:rFonts w:cs="Arial"/>
        </w:rPr>
      </w:pPr>
      <w:r w:rsidRPr="005E5607">
        <w:rPr>
          <w:rFonts w:cs="Arial"/>
        </w:rPr>
        <w:t xml:space="preserve">Figure </w:t>
      </w:r>
      <w:r>
        <w:rPr>
          <w:rFonts w:cs="Arial"/>
        </w:rPr>
        <w:t>7</w:t>
      </w:r>
      <w:r w:rsidRPr="005E5607">
        <w:rPr>
          <w:rFonts w:cs="Arial"/>
        </w:rPr>
        <w:t xml:space="preserve"> shows the UV-Visible spectroscopy for the different incubation times in artificial saliva (A) and </w:t>
      </w:r>
      <w:r>
        <w:rPr>
          <w:rFonts w:cs="Arial"/>
        </w:rPr>
        <w:t xml:space="preserve">in a </w:t>
      </w:r>
      <w:r w:rsidRPr="005E5607">
        <w:rPr>
          <w:rFonts w:cs="Arial"/>
        </w:rPr>
        <w:t xml:space="preserve">solution </w:t>
      </w:r>
      <w:proofErr w:type="gramStart"/>
      <w:r w:rsidRPr="005E5607">
        <w:rPr>
          <w:rFonts w:cs="Arial"/>
        </w:rPr>
        <w:t>similar to</w:t>
      </w:r>
      <w:proofErr w:type="gramEnd"/>
      <w:r w:rsidRPr="005E5607">
        <w:rPr>
          <w:rFonts w:cs="Arial"/>
        </w:rPr>
        <w:t xml:space="preserve"> </w:t>
      </w:r>
      <w:r w:rsidR="000C272B">
        <w:rPr>
          <w:rFonts w:cs="Arial"/>
        </w:rPr>
        <w:t>body</w:t>
      </w:r>
      <w:r w:rsidRPr="005E5607">
        <w:rPr>
          <w:rFonts w:cs="Arial"/>
        </w:rPr>
        <w:t xml:space="preserve"> fluids (B). Absorbance in the region of 268 nm (characteristic of α-diketones and α-unsaturated ketones) and in the region of 233 nm (characteristic of linoleic acid) is observed in each one. In the case of saliva</w:t>
      </w:r>
      <w:r>
        <w:rPr>
          <w:rFonts w:cs="Arial"/>
        </w:rPr>
        <w:t>,</w:t>
      </w:r>
      <w:r w:rsidRPr="005E5607">
        <w:rPr>
          <w:rFonts w:cs="Arial"/>
        </w:rPr>
        <w:t xml:space="preserve"> a peak is observed around the first minute, with a lower release profile </w:t>
      </w:r>
      <w:r>
        <w:rPr>
          <w:rFonts w:cs="Arial"/>
        </w:rPr>
        <w:t>but</w:t>
      </w:r>
      <w:r w:rsidRPr="005E5607">
        <w:rPr>
          <w:rFonts w:cs="Arial"/>
        </w:rPr>
        <w:t xml:space="preserve"> stable until minute 4</w:t>
      </w:r>
      <w:r w:rsidR="000C272B" w:rsidRPr="000C272B">
        <w:rPr>
          <w:rFonts w:cs="Arial"/>
          <w:vertAlign w:val="superscript"/>
        </w:rPr>
        <w:t>th</w:t>
      </w:r>
      <w:r w:rsidRPr="005E5607">
        <w:rPr>
          <w:rFonts w:cs="Arial"/>
        </w:rPr>
        <w:t xml:space="preserve">. In the solution </w:t>
      </w:r>
      <w:proofErr w:type="gramStart"/>
      <w:r w:rsidRPr="005E5607">
        <w:rPr>
          <w:rFonts w:cs="Arial"/>
        </w:rPr>
        <w:t>similar to</w:t>
      </w:r>
      <w:proofErr w:type="gramEnd"/>
      <w:r w:rsidRPr="005E5607">
        <w:rPr>
          <w:rFonts w:cs="Arial"/>
        </w:rPr>
        <w:t xml:space="preserve"> the</w:t>
      </w:r>
      <w:r w:rsidR="00FE7600">
        <w:rPr>
          <w:rFonts w:cs="Arial"/>
        </w:rPr>
        <w:t xml:space="preserve"> body</w:t>
      </w:r>
      <w:r w:rsidRPr="005E5607">
        <w:rPr>
          <w:rFonts w:cs="Arial"/>
        </w:rPr>
        <w:t xml:space="preserve"> fluids two peaks are observed, the first in the </w:t>
      </w:r>
      <w:r>
        <w:rPr>
          <w:rFonts w:cs="Arial"/>
        </w:rPr>
        <w:t>30</w:t>
      </w:r>
      <w:r w:rsidRPr="00366C57">
        <w:rPr>
          <w:rFonts w:cs="Arial"/>
          <w:vertAlign w:val="superscript"/>
        </w:rPr>
        <w:t>th</w:t>
      </w:r>
      <w:r>
        <w:rPr>
          <w:rFonts w:cs="Arial"/>
        </w:rPr>
        <w:t xml:space="preserve"> </w:t>
      </w:r>
      <w:r w:rsidRPr="005E5607">
        <w:rPr>
          <w:rFonts w:cs="Arial"/>
        </w:rPr>
        <w:t>minute and the second in the 60</w:t>
      </w:r>
      <w:r w:rsidRPr="00366C57">
        <w:rPr>
          <w:rFonts w:cs="Arial"/>
          <w:vertAlign w:val="superscript"/>
        </w:rPr>
        <w:t>th</w:t>
      </w:r>
      <w:r>
        <w:rPr>
          <w:rFonts w:cs="Arial"/>
        </w:rPr>
        <w:t xml:space="preserve"> minute;</w:t>
      </w:r>
      <w:r w:rsidRPr="005E5607">
        <w:rPr>
          <w:rFonts w:cs="Arial"/>
        </w:rPr>
        <w:t xml:space="preserve"> </w:t>
      </w:r>
      <w:bookmarkStart w:id="5" w:name="_Hlk94142090"/>
      <w:r>
        <w:rPr>
          <w:rFonts w:cs="Arial"/>
        </w:rPr>
        <w:t>after this time point</w:t>
      </w:r>
      <w:r w:rsidRPr="005E5607">
        <w:rPr>
          <w:rFonts w:cs="Arial"/>
        </w:rPr>
        <w:t xml:space="preserve"> there is a decrease in absorbance, with a stable</w:t>
      </w:r>
      <w:r>
        <w:rPr>
          <w:rFonts w:cs="Arial"/>
        </w:rPr>
        <w:t xml:space="preserve"> release profile until</w:t>
      </w:r>
      <w:r w:rsidRPr="005E5607">
        <w:rPr>
          <w:rFonts w:cs="Arial"/>
        </w:rPr>
        <w:t xml:space="preserve"> minute</w:t>
      </w:r>
      <w:r>
        <w:rPr>
          <w:rFonts w:cs="Arial"/>
        </w:rPr>
        <w:t xml:space="preserve"> 240</w:t>
      </w:r>
      <w:r w:rsidR="000C272B" w:rsidRPr="000C272B">
        <w:rPr>
          <w:rFonts w:cs="Arial"/>
          <w:vertAlign w:val="superscript"/>
        </w:rPr>
        <w:t>th</w:t>
      </w:r>
      <w:r w:rsidRPr="005E5607">
        <w:rPr>
          <w:rFonts w:cs="Arial"/>
        </w:rPr>
        <w:t>.</w:t>
      </w:r>
    </w:p>
    <w:bookmarkEnd w:id="5"/>
    <w:p w14:paraId="34FBA560" w14:textId="77777777" w:rsidR="00B40D12" w:rsidRPr="00B40D12" w:rsidRDefault="00B40D12" w:rsidP="00B40D12">
      <w:pPr>
        <w:pStyle w:val="CETBodytext"/>
      </w:pPr>
    </w:p>
    <w:p w14:paraId="46767ED3" w14:textId="5A336D89" w:rsidR="00B40D12" w:rsidRDefault="00264C08" w:rsidP="0007430E">
      <w:pPr>
        <w:pStyle w:val="CETBodytext"/>
      </w:pPr>
      <w:r>
        <w:rPr>
          <w:noProof/>
          <w:lang w:val="es-CO" w:eastAsia="es-CO"/>
        </w:rPr>
        <w:drawing>
          <wp:inline distT="0" distB="0" distL="0" distR="0" wp14:anchorId="4F61F63C" wp14:editId="3B29913B">
            <wp:extent cx="5518276" cy="2372810"/>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582538" cy="2400442"/>
                    </a:xfrm>
                    <a:prstGeom prst="rect">
                      <a:avLst/>
                    </a:prstGeom>
                  </pic:spPr>
                </pic:pic>
              </a:graphicData>
            </a:graphic>
          </wp:inline>
        </w:drawing>
      </w:r>
    </w:p>
    <w:p w14:paraId="0BAE745E" w14:textId="1D109DC5" w:rsidR="00264C08" w:rsidRPr="003B2933" w:rsidRDefault="00264C08" w:rsidP="00264C08">
      <w:pPr>
        <w:pStyle w:val="CETBodytext"/>
        <w:rPr>
          <w:i/>
        </w:rPr>
      </w:pPr>
      <w:r w:rsidRPr="003B2933">
        <w:rPr>
          <w:i/>
        </w:rPr>
        <w:t xml:space="preserve">Figure </w:t>
      </w:r>
      <w:r w:rsidR="00542CA1">
        <w:rPr>
          <w:i/>
        </w:rPr>
        <w:t>7</w:t>
      </w:r>
      <w:r w:rsidRPr="003B2933">
        <w:rPr>
          <w:i/>
        </w:rPr>
        <w:t xml:space="preserve">: UV-VIS spectroscopy showing the release profile of the nanocapsules (A) in </w:t>
      </w:r>
      <w:r>
        <w:rPr>
          <w:i/>
        </w:rPr>
        <w:t xml:space="preserve">artificial </w:t>
      </w:r>
      <w:r w:rsidRPr="003B2933">
        <w:rPr>
          <w:i/>
        </w:rPr>
        <w:t xml:space="preserve">saliva and (B) in a solution </w:t>
      </w:r>
      <w:proofErr w:type="gramStart"/>
      <w:r w:rsidRPr="003B2933">
        <w:rPr>
          <w:i/>
        </w:rPr>
        <w:t>similar to</w:t>
      </w:r>
      <w:proofErr w:type="gramEnd"/>
      <w:r w:rsidRPr="003B2933">
        <w:rPr>
          <w:i/>
        </w:rPr>
        <w:t xml:space="preserve"> body fluids</w:t>
      </w:r>
    </w:p>
    <w:p w14:paraId="01FE1669" w14:textId="6FBB6A51" w:rsidR="00264C08" w:rsidRDefault="00264C08" w:rsidP="0007430E">
      <w:pPr>
        <w:pStyle w:val="CETBodytext"/>
      </w:pPr>
    </w:p>
    <w:p w14:paraId="5B318B33" w14:textId="170F5A48" w:rsidR="00264C08" w:rsidRPr="005E5607" w:rsidRDefault="00D64670" w:rsidP="00264C08">
      <w:pPr>
        <w:pStyle w:val="CETBodytext"/>
        <w:rPr>
          <w:rFonts w:cs="Arial"/>
        </w:rPr>
      </w:pPr>
      <w:r w:rsidRPr="00D64670">
        <w:rPr>
          <w:rFonts w:cs="Arial"/>
        </w:rPr>
        <w:t>The contact of the food with the saliva is short: in the oral cavity the chewing process has a variable duration. The propulsion of the alimentary bolus towards the back of the mouth lasts few seconds, the pharyngeal phase lasts around a second and the esophageal phase, which ends with the passage of the bolus to the stomach, lasts about 6 to 8 s. Gastric pH inactivates salivary amylase, but the function of the lipase</w:t>
      </w:r>
      <w:r>
        <w:rPr>
          <w:rFonts w:cs="Arial"/>
        </w:rPr>
        <w:t xml:space="preserve"> </w:t>
      </w:r>
      <w:r w:rsidRPr="00D64670">
        <w:rPr>
          <w:rFonts w:cs="Arial"/>
        </w:rPr>
        <w:t xml:space="preserve">(enzyme that breaks </w:t>
      </w:r>
      <w:r w:rsidRPr="00D64670">
        <w:rPr>
          <w:rFonts w:cs="Arial"/>
        </w:rPr>
        <w:lastRenderedPageBreak/>
        <w:t xml:space="preserve">down triglycerides into glycerides and fatty acid components, thereby catalyzing the digestion of lipids) continues in the stomach. The </w:t>
      </w:r>
      <w:r w:rsidR="00197B48" w:rsidRPr="00D64670">
        <w:rPr>
          <w:rFonts w:cs="Arial"/>
        </w:rPr>
        <w:t>OO released</w:t>
      </w:r>
      <w:r w:rsidRPr="00D64670">
        <w:rPr>
          <w:rFonts w:cs="Arial"/>
        </w:rPr>
        <w:t xml:space="preserve"> in the artificial saliva during the incubation at minute 1</w:t>
      </w:r>
      <w:r w:rsidR="000C272B" w:rsidRPr="000C272B">
        <w:rPr>
          <w:rFonts w:cs="Arial"/>
          <w:vertAlign w:val="superscript"/>
        </w:rPr>
        <w:t>th</w:t>
      </w:r>
      <w:r w:rsidRPr="00D64670">
        <w:rPr>
          <w:rFonts w:cs="Arial"/>
        </w:rPr>
        <w:t xml:space="preserve"> has the greatest intensity, whereas around the 4</w:t>
      </w:r>
      <w:r w:rsidRPr="000C272B">
        <w:rPr>
          <w:rFonts w:cs="Arial"/>
          <w:vertAlign w:val="superscript"/>
        </w:rPr>
        <w:t>th</w:t>
      </w:r>
      <w:r w:rsidRPr="00D64670">
        <w:rPr>
          <w:rFonts w:cs="Arial"/>
        </w:rPr>
        <w:t xml:space="preserve"> minute it decreased </w:t>
      </w:r>
      <w:proofErr w:type="spellStart"/>
      <w:proofErr w:type="gramStart"/>
      <w:r w:rsidRPr="00D64670">
        <w:rPr>
          <w:rFonts w:cs="Arial"/>
        </w:rPr>
        <w:t>slightly.The</w:t>
      </w:r>
      <w:proofErr w:type="spellEnd"/>
      <w:proofErr w:type="gramEnd"/>
      <w:r w:rsidRPr="00D64670">
        <w:rPr>
          <w:rFonts w:cs="Arial"/>
        </w:rPr>
        <w:t xml:space="preserve"> food remains in the stomach on average 4 h before moving to the small intestine where the enzymatic action allows</w:t>
      </w:r>
      <w:r w:rsidR="009076C6">
        <w:rPr>
          <w:rFonts w:cs="Arial"/>
        </w:rPr>
        <w:t xml:space="preserve"> for</w:t>
      </w:r>
      <w:r w:rsidRPr="00D64670">
        <w:rPr>
          <w:rFonts w:cs="Arial"/>
        </w:rPr>
        <w:t xml:space="preserve"> the absorption of fat. Therefore, it is important that the degradation of the </w:t>
      </w:r>
      <w:proofErr w:type="spellStart"/>
      <w:r w:rsidRPr="00D64670">
        <w:rPr>
          <w:rFonts w:cs="Arial"/>
        </w:rPr>
        <w:t>nanocapsule</w:t>
      </w:r>
      <w:proofErr w:type="spellEnd"/>
      <w:r w:rsidRPr="00D64670">
        <w:rPr>
          <w:rFonts w:cs="Arial"/>
        </w:rPr>
        <w:t xml:space="preserve"> wall allows </w:t>
      </w:r>
      <w:r w:rsidR="009076C6">
        <w:rPr>
          <w:rFonts w:cs="Arial"/>
        </w:rPr>
        <w:t xml:space="preserve">for </w:t>
      </w:r>
      <w:r w:rsidRPr="00D64670">
        <w:rPr>
          <w:rFonts w:cs="Arial"/>
        </w:rPr>
        <w:t xml:space="preserve">its maximum release </w:t>
      </w:r>
      <w:proofErr w:type="gramStart"/>
      <w:r w:rsidRPr="00D64670">
        <w:rPr>
          <w:rFonts w:cs="Arial"/>
        </w:rPr>
        <w:t>at this time</w:t>
      </w:r>
      <w:proofErr w:type="gramEnd"/>
      <w:r w:rsidRPr="00D64670">
        <w:rPr>
          <w:rFonts w:cs="Arial"/>
        </w:rPr>
        <w:t xml:space="preserve">. In the solution </w:t>
      </w:r>
      <w:proofErr w:type="gramStart"/>
      <w:r w:rsidRPr="00D64670">
        <w:rPr>
          <w:rFonts w:cs="Arial"/>
        </w:rPr>
        <w:t>similar to</w:t>
      </w:r>
      <w:proofErr w:type="gramEnd"/>
      <w:r w:rsidRPr="00D64670">
        <w:rPr>
          <w:rFonts w:cs="Arial"/>
        </w:rPr>
        <w:t xml:space="preserve"> the </w:t>
      </w:r>
      <w:r w:rsidR="000C272B">
        <w:rPr>
          <w:rFonts w:cs="Arial"/>
        </w:rPr>
        <w:t>body</w:t>
      </w:r>
      <w:r w:rsidRPr="00D64670">
        <w:rPr>
          <w:rFonts w:cs="Arial"/>
        </w:rPr>
        <w:t xml:space="preserve"> fluids, the two release peaks observed (30</w:t>
      </w:r>
      <w:r w:rsidRPr="000C272B">
        <w:rPr>
          <w:rFonts w:cs="Arial"/>
          <w:vertAlign w:val="superscript"/>
        </w:rPr>
        <w:t>th</w:t>
      </w:r>
      <w:r w:rsidRPr="00D64670">
        <w:rPr>
          <w:rFonts w:cs="Arial"/>
        </w:rPr>
        <w:t xml:space="preserve"> and 60</w:t>
      </w:r>
      <w:r w:rsidRPr="000C272B">
        <w:rPr>
          <w:rFonts w:cs="Arial"/>
          <w:vertAlign w:val="superscript"/>
        </w:rPr>
        <w:t>th</w:t>
      </w:r>
      <w:r w:rsidRPr="00D64670">
        <w:rPr>
          <w:rFonts w:cs="Arial"/>
        </w:rPr>
        <w:t xml:space="preserve"> minutes) and sustained release for 4 h are adequate, since they mimic the physiological conditions necessary for optimal </w:t>
      </w:r>
      <w:r>
        <w:rPr>
          <w:rFonts w:cs="Arial"/>
        </w:rPr>
        <w:t xml:space="preserve">intestinal </w:t>
      </w:r>
      <w:r w:rsidRPr="00D64670">
        <w:rPr>
          <w:rFonts w:cs="Arial"/>
        </w:rPr>
        <w:t>absorption.</w:t>
      </w:r>
      <w:r>
        <w:rPr>
          <w:rFonts w:cs="Arial"/>
        </w:rPr>
        <w:t xml:space="preserve"> Given</w:t>
      </w:r>
      <w:r w:rsidR="00264C08">
        <w:rPr>
          <w:rFonts w:cs="Arial"/>
        </w:rPr>
        <w:t xml:space="preserve"> that</w:t>
      </w:r>
      <w:r w:rsidR="00264C08" w:rsidRPr="005E5607">
        <w:rPr>
          <w:rFonts w:cs="Arial"/>
        </w:rPr>
        <w:t xml:space="preserve"> this is a preliminary study, the quantitative determination of the OO release profile was not performed. Future studies are necessary to perform this quantification as well as the determination of the extinction measurement in the wavelengths used, which will provide important information on the state of conservation of the oil and the modifications that may occur during the </w:t>
      </w:r>
      <w:r w:rsidR="00264C08">
        <w:rPr>
          <w:rFonts w:cs="Arial"/>
        </w:rPr>
        <w:t xml:space="preserve">coaxial </w:t>
      </w:r>
      <w:r w:rsidR="00264C08" w:rsidRPr="005E5607">
        <w:rPr>
          <w:rFonts w:cs="Arial"/>
        </w:rPr>
        <w:t>electrospra</w:t>
      </w:r>
      <w:r w:rsidR="00264C08">
        <w:rPr>
          <w:rFonts w:cs="Arial"/>
        </w:rPr>
        <w:t>y encapsulation process.</w:t>
      </w:r>
    </w:p>
    <w:p w14:paraId="16B5F9B3" w14:textId="77777777" w:rsidR="00264C08" w:rsidRPr="005E5607" w:rsidRDefault="00264C08" w:rsidP="00264C08">
      <w:pPr>
        <w:pStyle w:val="CETHeading1"/>
        <w:rPr>
          <w:rFonts w:cs="Arial"/>
        </w:rPr>
      </w:pPr>
      <w:r w:rsidRPr="005E5607">
        <w:rPr>
          <w:rFonts w:cs="Arial"/>
        </w:rPr>
        <w:t>Conclusions</w:t>
      </w:r>
    </w:p>
    <w:p w14:paraId="3B4FBC04" w14:textId="4BCDA6A3" w:rsidR="00542CA1" w:rsidRDefault="00264C08" w:rsidP="00542CA1">
      <w:pPr>
        <w:pStyle w:val="HTMLconformatoprevio"/>
        <w:shd w:val="clear" w:color="auto" w:fill="FFFFFF"/>
        <w:spacing w:line="264" w:lineRule="auto"/>
        <w:rPr>
          <w:rFonts w:ascii="Arial" w:hAnsi="Arial" w:cs="Arial"/>
          <w:lang w:val="en-US"/>
        </w:rPr>
      </w:pPr>
      <w:r>
        <w:rPr>
          <w:rFonts w:ascii="Arial" w:hAnsi="Arial" w:cs="Arial"/>
          <w:lang w:val="en-US"/>
        </w:rPr>
        <w:t>C</w:t>
      </w:r>
      <w:r w:rsidRPr="005E5607">
        <w:rPr>
          <w:rFonts w:ascii="Arial" w:hAnsi="Arial" w:cs="Arial"/>
          <w:lang w:val="en-US"/>
        </w:rPr>
        <w:t xml:space="preserve">oaxial electrospray allowed the encapsulation of olive oil inside a biodegradable polymeric material obtaining nanoscale structures. </w:t>
      </w:r>
      <w:bookmarkStart w:id="6" w:name="_Hlk94344977"/>
      <w:r w:rsidRPr="005E5607">
        <w:rPr>
          <w:rFonts w:ascii="Arial" w:hAnsi="Arial" w:cs="Arial"/>
          <w:lang w:val="en-US"/>
        </w:rPr>
        <w:t xml:space="preserve">The morphology of the capsules was spherical, and the average diameter was </w:t>
      </w:r>
      <w:r w:rsidR="00534E4A">
        <w:rPr>
          <w:rFonts w:ascii="Arial" w:hAnsi="Arial" w:cs="Arial"/>
          <w:lang w:val="en-US"/>
        </w:rPr>
        <w:t>(</w:t>
      </w:r>
      <w:r w:rsidRPr="005E5607">
        <w:rPr>
          <w:rFonts w:ascii="Arial" w:hAnsi="Arial" w:cs="Arial"/>
          <w:lang w:val="en-US"/>
        </w:rPr>
        <w:t xml:space="preserve">97.5 </w:t>
      </w:r>
      <w:r w:rsidRPr="00264C08">
        <w:rPr>
          <w:rFonts w:ascii="Arial" w:hAnsi="Arial" w:cs="Arial"/>
          <w:lang w:val="en-US"/>
        </w:rPr>
        <w:t>± 15.6</w:t>
      </w:r>
      <w:r w:rsidR="00534E4A">
        <w:rPr>
          <w:rFonts w:ascii="Arial" w:hAnsi="Arial" w:cs="Arial"/>
          <w:lang w:val="en-US"/>
        </w:rPr>
        <w:t>)</w:t>
      </w:r>
      <w:r w:rsidRPr="00264C08">
        <w:rPr>
          <w:rFonts w:ascii="Arial" w:hAnsi="Arial" w:cs="Arial"/>
          <w:lang w:val="en-US"/>
        </w:rPr>
        <w:t xml:space="preserve"> nm</w:t>
      </w:r>
      <w:r w:rsidRPr="005E5607">
        <w:rPr>
          <w:rFonts w:ascii="Arial" w:hAnsi="Arial" w:cs="Arial"/>
          <w:lang w:val="en-US"/>
        </w:rPr>
        <w:t xml:space="preserve">. </w:t>
      </w:r>
      <w:bookmarkEnd w:id="6"/>
      <w:r w:rsidRPr="005E5607">
        <w:rPr>
          <w:rFonts w:ascii="Arial" w:hAnsi="Arial" w:cs="Arial"/>
          <w:lang w:val="en-US"/>
        </w:rPr>
        <w:t xml:space="preserve">The size was controlled by modifying the applied voltage and the feed flow of the solutions. The release of </w:t>
      </w:r>
      <w:r w:rsidR="00534E4A">
        <w:rPr>
          <w:rFonts w:ascii="Arial" w:hAnsi="Arial" w:cs="Arial"/>
          <w:lang w:val="en-US"/>
        </w:rPr>
        <w:t>OO</w:t>
      </w:r>
      <w:r w:rsidRPr="005E5607">
        <w:rPr>
          <w:rFonts w:ascii="Arial" w:hAnsi="Arial" w:cs="Arial"/>
          <w:lang w:val="en-US"/>
        </w:rPr>
        <w:t xml:space="preserve"> in the artificial saliva was greater in the first minutes of incubation, compared to the release in</w:t>
      </w:r>
      <w:r>
        <w:rPr>
          <w:rFonts w:ascii="Arial" w:hAnsi="Arial" w:cs="Arial"/>
          <w:lang w:val="en-US"/>
        </w:rPr>
        <w:t xml:space="preserve"> the</w:t>
      </w:r>
      <w:r w:rsidRPr="005E5607">
        <w:rPr>
          <w:rFonts w:ascii="Arial" w:hAnsi="Arial" w:cs="Arial"/>
          <w:lang w:val="en-US"/>
        </w:rPr>
        <w:t xml:space="preserve"> solution </w:t>
      </w:r>
      <w:proofErr w:type="gramStart"/>
      <w:r w:rsidRPr="005E5607">
        <w:rPr>
          <w:rFonts w:ascii="Arial" w:hAnsi="Arial" w:cs="Arial"/>
          <w:lang w:val="en-US"/>
        </w:rPr>
        <w:t>similar to</w:t>
      </w:r>
      <w:proofErr w:type="gramEnd"/>
      <w:r w:rsidRPr="005E5607">
        <w:rPr>
          <w:rFonts w:ascii="Arial" w:hAnsi="Arial" w:cs="Arial"/>
          <w:lang w:val="en-US"/>
        </w:rPr>
        <w:t xml:space="preserve"> the </w:t>
      </w:r>
      <w:r w:rsidR="00FE7600">
        <w:rPr>
          <w:rFonts w:ascii="Arial" w:hAnsi="Arial" w:cs="Arial"/>
          <w:lang w:val="en-US"/>
        </w:rPr>
        <w:t>body</w:t>
      </w:r>
      <w:r w:rsidRPr="005E5607">
        <w:rPr>
          <w:rFonts w:ascii="Arial" w:hAnsi="Arial" w:cs="Arial"/>
          <w:lang w:val="en-US"/>
        </w:rPr>
        <w:t xml:space="preserve"> fluids that showed higher peaks at 30</w:t>
      </w:r>
      <w:r w:rsidR="00534E4A" w:rsidRPr="00534E4A">
        <w:rPr>
          <w:rFonts w:ascii="Arial" w:hAnsi="Arial" w:cs="Arial"/>
          <w:vertAlign w:val="superscript"/>
          <w:lang w:val="en-US"/>
        </w:rPr>
        <w:t>th</w:t>
      </w:r>
      <w:r w:rsidRPr="005E5607">
        <w:rPr>
          <w:rFonts w:ascii="Arial" w:hAnsi="Arial" w:cs="Arial"/>
          <w:lang w:val="en-US"/>
        </w:rPr>
        <w:t xml:space="preserve"> and 60</w:t>
      </w:r>
      <w:r w:rsidR="00534E4A" w:rsidRPr="00534E4A">
        <w:rPr>
          <w:rFonts w:ascii="Arial" w:hAnsi="Arial" w:cs="Arial"/>
          <w:vertAlign w:val="superscript"/>
          <w:lang w:val="en-US"/>
        </w:rPr>
        <w:t>th</w:t>
      </w:r>
      <w:r w:rsidRPr="005E5607">
        <w:rPr>
          <w:rFonts w:ascii="Arial" w:hAnsi="Arial" w:cs="Arial"/>
          <w:lang w:val="en-US"/>
        </w:rPr>
        <w:t xml:space="preserve"> minutes</w:t>
      </w:r>
      <w:r w:rsidR="002A0ED1">
        <w:rPr>
          <w:rFonts w:ascii="Arial" w:hAnsi="Arial" w:cs="Arial"/>
          <w:lang w:val="en-US"/>
        </w:rPr>
        <w:t xml:space="preserve">, </w:t>
      </w:r>
      <w:r w:rsidR="002A0ED1" w:rsidRPr="002A0ED1">
        <w:rPr>
          <w:rFonts w:ascii="Arial" w:hAnsi="Arial" w:cs="Arial"/>
          <w:lang w:val="en-US"/>
        </w:rPr>
        <w:t xml:space="preserve">after </w:t>
      </w:r>
      <w:r w:rsidR="009076C6">
        <w:rPr>
          <w:rFonts w:ascii="Arial" w:hAnsi="Arial" w:cs="Arial"/>
          <w:lang w:val="en-US"/>
        </w:rPr>
        <w:t>that,</w:t>
      </w:r>
      <w:r w:rsidR="002A0ED1" w:rsidRPr="002A0ED1">
        <w:rPr>
          <w:rFonts w:ascii="Arial" w:hAnsi="Arial" w:cs="Arial"/>
          <w:lang w:val="en-US"/>
        </w:rPr>
        <w:t xml:space="preserve"> there is a decrease in absorbance, with a stable release profile until minute 240</w:t>
      </w:r>
      <w:r w:rsidR="00534E4A" w:rsidRPr="00534E4A">
        <w:rPr>
          <w:rFonts w:ascii="Arial" w:hAnsi="Arial" w:cs="Arial"/>
          <w:vertAlign w:val="superscript"/>
          <w:lang w:val="en-US"/>
        </w:rPr>
        <w:t>th</w:t>
      </w:r>
      <w:r w:rsidR="002A0ED1" w:rsidRPr="002A0ED1">
        <w:rPr>
          <w:rFonts w:ascii="Arial" w:hAnsi="Arial" w:cs="Arial"/>
          <w:lang w:val="en-US"/>
        </w:rPr>
        <w:t>.</w:t>
      </w:r>
      <w:r w:rsidR="00542CA1" w:rsidRPr="00542CA1">
        <w:rPr>
          <w:rFonts w:ascii="Arial" w:hAnsi="Arial" w:cs="Arial"/>
          <w:lang w:val="en-US"/>
        </w:rPr>
        <w:t>These results show that the wall of the nanocapsules degrades early, which results in an adequate OO release. The times are adequate because the contact of the food with the saliva is short compared</w:t>
      </w:r>
      <w:r w:rsidR="002A0ED1">
        <w:rPr>
          <w:rFonts w:ascii="Arial" w:hAnsi="Arial" w:cs="Arial"/>
          <w:lang w:val="en-US"/>
        </w:rPr>
        <w:t xml:space="preserve"> </w:t>
      </w:r>
      <w:r w:rsidR="002A0ED1" w:rsidRPr="002A0ED1">
        <w:rPr>
          <w:rFonts w:ascii="Arial" w:hAnsi="Arial" w:cs="Arial"/>
          <w:lang w:val="en-US"/>
        </w:rPr>
        <w:t xml:space="preserve">to the permanence </w:t>
      </w:r>
      <w:proofErr w:type="gramStart"/>
      <w:r w:rsidR="002A0ED1" w:rsidRPr="002A0ED1">
        <w:rPr>
          <w:rFonts w:ascii="Arial" w:hAnsi="Arial" w:cs="Arial"/>
          <w:lang w:val="en-US"/>
        </w:rPr>
        <w:t>in</w:t>
      </w:r>
      <w:r w:rsidR="00542CA1" w:rsidRPr="00542CA1">
        <w:rPr>
          <w:rFonts w:ascii="Arial" w:hAnsi="Arial" w:cs="Arial"/>
          <w:lang w:val="en-US"/>
        </w:rPr>
        <w:t xml:space="preserve"> to</w:t>
      </w:r>
      <w:proofErr w:type="gramEnd"/>
      <w:r w:rsidR="00542CA1" w:rsidRPr="00542CA1">
        <w:rPr>
          <w:rFonts w:ascii="Arial" w:hAnsi="Arial" w:cs="Arial"/>
          <w:lang w:val="en-US"/>
        </w:rPr>
        <w:t xml:space="preserve"> the gastrointestinal tract (hours).</w:t>
      </w:r>
    </w:p>
    <w:p w14:paraId="108B4481" w14:textId="3F8A1663" w:rsidR="00264C08" w:rsidRPr="005E5607" w:rsidRDefault="00264C08" w:rsidP="00E14FE2">
      <w:pPr>
        <w:rPr>
          <w:rFonts w:cs="Arial"/>
          <w:lang w:val="en-US"/>
        </w:rPr>
      </w:pPr>
      <w:r w:rsidRPr="005E5607">
        <w:rPr>
          <w:rFonts w:cs="Arial"/>
          <w:lang w:val="en-US"/>
        </w:rPr>
        <w:t xml:space="preserve">Further analysis is necessary to quantify the release profile of the active </w:t>
      </w:r>
      <w:r>
        <w:rPr>
          <w:rFonts w:cs="Arial"/>
          <w:lang w:val="en-US"/>
        </w:rPr>
        <w:t>ingredient</w:t>
      </w:r>
      <w:r w:rsidRPr="005E5607">
        <w:rPr>
          <w:rFonts w:cs="Arial"/>
          <w:lang w:val="en-US"/>
        </w:rPr>
        <w:t xml:space="preserve"> and the efficiency of the encapsulation. This </w:t>
      </w:r>
      <w:r>
        <w:rPr>
          <w:rFonts w:cs="Arial"/>
          <w:lang w:val="en-US"/>
        </w:rPr>
        <w:t>study</w:t>
      </w:r>
      <w:r w:rsidRPr="005E5607">
        <w:rPr>
          <w:rFonts w:cs="Arial"/>
          <w:lang w:val="en-US"/>
        </w:rPr>
        <w:t xml:space="preserve"> serves as a basis for future research </w:t>
      </w:r>
      <w:r>
        <w:rPr>
          <w:rFonts w:cs="Arial"/>
          <w:lang w:val="en-US"/>
        </w:rPr>
        <w:t>in which</w:t>
      </w:r>
      <w:r w:rsidRPr="005E5607">
        <w:rPr>
          <w:rFonts w:cs="Arial"/>
          <w:lang w:val="en-US"/>
        </w:rPr>
        <w:t xml:space="preserve"> nanocapsules are manufactured with this technique</w:t>
      </w:r>
      <w:r>
        <w:rPr>
          <w:rFonts w:cs="Arial"/>
          <w:lang w:val="en-US"/>
        </w:rPr>
        <w:t>, so they can then</w:t>
      </w:r>
      <w:r w:rsidRPr="005E5607">
        <w:rPr>
          <w:rFonts w:cs="Arial"/>
          <w:lang w:val="en-US"/>
        </w:rPr>
        <w:t xml:space="preserve"> be used to improve the stability and texture of foods through the control</w:t>
      </w:r>
      <w:r>
        <w:rPr>
          <w:rFonts w:cs="Arial"/>
          <w:lang w:val="en-US"/>
        </w:rPr>
        <w:t>led release of other food ingredients and/or nutraceutical</w:t>
      </w:r>
      <w:r w:rsidRPr="005E5607">
        <w:rPr>
          <w:rFonts w:cs="Arial"/>
          <w:lang w:val="en-US"/>
        </w:rPr>
        <w:t>s</w:t>
      </w:r>
      <w:r>
        <w:rPr>
          <w:rFonts w:cs="Arial"/>
          <w:lang w:val="en-US"/>
        </w:rPr>
        <w:t xml:space="preserve"> </w:t>
      </w:r>
      <w:r w:rsidR="002A0ED1" w:rsidRPr="002A0ED1">
        <w:rPr>
          <w:rFonts w:cs="Arial"/>
          <w:lang w:val="en-US"/>
        </w:rPr>
        <w:t xml:space="preserve">to optimize the benefits that the consumption of </w:t>
      </w:r>
      <w:r w:rsidR="009B28C4">
        <w:rPr>
          <w:rFonts w:cs="Arial"/>
          <w:lang w:val="en-US"/>
        </w:rPr>
        <w:t>OO</w:t>
      </w:r>
      <w:r w:rsidR="002A0ED1" w:rsidRPr="002A0ED1">
        <w:rPr>
          <w:rFonts w:cs="Arial"/>
          <w:lang w:val="en-US"/>
        </w:rPr>
        <w:t xml:space="preserve"> has on human health</w:t>
      </w:r>
      <w:r w:rsidR="009B28C4">
        <w:rPr>
          <w:rFonts w:cs="Arial"/>
          <w:lang w:val="en-US"/>
        </w:rPr>
        <w:t>.</w:t>
      </w:r>
      <w:r w:rsidR="00960E6E">
        <w:rPr>
          <w:rFonts w:cs="Arial"/>
          <w:lang w:val="en-US"/>
        </w:rPr>
        <w:t xml:space="preserve"> </w:t>
      </w:r>
      <w:r w:rsidR="00960E6E" w:rsidRPr="00960E6E">
        <w:rPr>
          <w:rFonts w:cs="Arial"/>
          <w:lang w:val="en-US"/>
        </w:rPr>
        <w:t>Supplementation with nanocapsules of</w:t>
      </w:r>
      <w:r w:rsidR="00772CD0">
        <w:rPr>
          <w:rFonts w:cs="Arial"/>
          <w:lang w:val="en-US"/>
        </w:rPr>
        <w:t xml:space="preserve"> </w:t>
      </w:r>
      <w:r w:rsidR="00960E6E">
        <w:rPr>
          <w:rFonts w:cs="Arial"/>
          <w:lang w:val="en-US"/>
        </w:rPr>
        <w:t>OO</w:t>
      </w:r>
      <w:r w:rsidR="00960E6E" w:rsidRPr="00960E6E">
        <w:rPr>
          <w:rFonts w:cs="Arial"/>
          <w:lang w:val="en-US"/>
        </w:rPr>
        <w:t>, incorporated into low-cost foods, may be alternatives, to be evaluated in future, for the management of malnutrition and specific pathologies.</w:t>
      </w:r>
      <w:r w:rsidR="00E14FE2">
        <w:rPr>
          <w:rFonts w:cs="Arial"/>
          <w:lang w:val="en-US"/>
        </w:rPr>
        <w:t xml:space="preserve"> </w:t>
      </w:r>
      <w:r w:rsidR="00E14FE2" w:rsidRPr="00E14FE2">
        <w:rPr>
          <w:rFonts w:cs="Arial"/>
          <w:lang w:val="en-US"/>
        </w:rPr>
        <w:t>The procedure described in this work is simple, replicable, economical and biosafe, since organic solvents were not used in the manufacture of the OO nanocapsules.</w:t>
      </w:r>
    </w:p>
    <w:p w14:paraId="49CFC15C" w14:textId="77777777" w:rsidR="00264C08" w:rsidRPr="004B01F0" w:rsidRDefault="00264C08" w:rsidP="00264C08">
      <w:pPr>
        <w:pStyle w:val="CETAcknowledgementstitle"/>
        <w:rPr>
          <w:lang w:val="en-US"/>
        </w:rPr>
      </w:pPr>
      <w:r w:rsidRPr="004B01F0">
        <w:rPr>
          <w:lang w:val="en-US"/>
        </w:rPr>
        <w:t>Acknowledgments</w:t>
      </w:r>
    </w:p>
    <w:p w14:paraId="4239BE9D" w14:textId="7F85AFAB" w:rsidR="00264C08" w:rsidRPr="00F539ED" w:rsidRDefault="00542CA1" w:rsidP="002A0ED1">
      <w:pPr>
        <w:pStyle w:val="CETAcknowledgementstitle"/>
        <w:spacing w:before="0" w:after="0" w:line="264" w:lineRule="auto"/>
        <w:jc w:val="both"/>
        <w:rPr>
          <w:lang w:val="en-US"/>
        </w:rPr>
      </w:pPr>
      <w:r w:rsidRPr="00542CA1">
        <w:rPr>
          <w:rFonts w:cs="Arial"/>
          <w:b w:val="0"/>
          <w:szCs w:val="18"/>
          <w:lang w:val="en-US"/>
        </w:rPr>
        <w:t xml:space="preserve">This research was funded by the Universidad Nacional de Colombia </w:t>
      </w:r>
      <w:r w:rsidR="002A0ED1">
        <w:rPr>
          <w:rFonts w:cs="Arial"/>
          <w:b w:val="0"/>
          <w:szCs w:val="18"/>
          <w:lang w:val="en-US"/>
        </w:rPr>
        <w:t xml:space="preserve">and the </w:t>
      </w:r>
      <w:r w:rsidRPr="00542CA1">
        <w:rPr>
          <w:rFonts w:cs="Arial"/>
          <w:b w:val="0"/>
          <w:szCs w:val="18"/>
          <w:lang w:val="en-US"/>
        </w:rPr>
        <w:t xml:space="preserve">Fundación Universidad </w:t>
      </w:r>
      <w:proofErr w:type="spellStart"/>
      <w:r w:rsidRPr="00542CA1">
        <w:rPr>
          <w:rFonts w:cs="Arial"/>
          <w:b w:val="0"/>
          <w:szCs w:val="18"/>
          <w:lang w:val="en-US"/>
        </w:rPr>
        <w:t>Sanitas</w:t>
      </w:r>
      <w:proofErr w:type="spellEnd"/>
      <w:r w:rsidR="002A0ED1">
        <w:rPr>
          <w:rFonts w:cs="Arial"/>
          <w:b w:val="0"/>
          <w:szCs w:val="18"/>
          <w:lang w:val="en-US"/>
        </w:rPr>
        <w:t xml:space="preserve">. </w:t>
      </w:r>
      <w:r w:rsidR="00264C08" w:rsidRPr="00473D25">
        <w:rPr>
          <w:rFonts w:cs="Arial"/>
          <w:b w:val="0"/>
          <w:szCs w:val="18"/>
          <w:lang w:val="en-US"/>
        </w:rPr>
        <w:t xml:space="preserve">The authors express their </w:t>
      </w:r>
      <w:r w:rsidR="00264C08" w:rsidRPr="00F539ED">
        <w:rPr>
          <w:b w:val="0"/>
          <w:lang w:val="en-US"/>
        </w:rPr>
        <w:t>acknowledgments</w:t>
      </w:r>
      <w:r w:rsidR="00264C08">
        <w:rPr>
          <w:lang w:val="en-US"/>
        </w:rPr>
        <w:t xml:space="preserve"> </w:t>
      </w:r>
      <w:r w:rsidR="00264C08" w:rsidRPr="00473D25">
        <w:rPr>
          <w:rFonts w:cs="Arial"/>
          <w:b w:val="0"/>
          <w:szCs w:val="18"/>
          <w:lang w:val="en-US"/>
        </w:rPr>
        <w:t>to the staff of the Electrospray and Electrospinning Laboratory and to Mrs. Ja</w:t>
      </w:r>
      <w:r w:rsidR="00264C08">
        <w:rPr>
          <w:rFonts w:cs="Arial"/>
          <w:b w:val="0"/>
          <w:szCs w:val="18"/>
          <w:lang w:val="en-US"/>
        </w:rPr>
        <w:t>i</w:t>
      </w:r>
      <w:r w:rsidR="00264C08" w:rsidRPr="00473D25">
        <w:rPr>
          <w:rFonts w:cs="Arial"/>
          <w:b w:val="0"/>
          <w:szCs w:val="18"/>
          <w:lang w:val="en-US"/>
        </w:rPr>
        <w:t>d</w:t>
      </w:r>
      <w:r w:rsidR="00264C08">
        <w:rPr>
          <w:rFonts w:cs="Arial"/>
          <w:b w:val="0"/>
          <w:szCs w:val="18"/>
          <w:lang w:val="en-US"/>
        </w:rPr>
        <w:t xml:space="preserve">y </w:t>
      </w:r>
      <w:r w:rsidR="00264C08" w:rsidRPr="00473D25">
        <w:rPr>
          <w:rFonts w:cs="Arial"/>
          <w:b w:val="0"/>
          <w:szCs w:val="18"/>
          <w:lang w:val="en-US"/>
        </w:rPr>
        <w:t xml:space="preserve">Acosta of the Histotechnology Laboratory, Faculty of Medicine, </w:t>
      </w:r>
      <w:r w:rsidR="00264C08">
        <w:rPr>
          <w:rFonts w:cs="Arial"/>
          <w:b w:val="0"/>
          <w:szCs w:val="18"/>
          <w:lang w:val="en-US"/>
        </w:rPr>
        <w:t>Universidad Nacional de Colombia</w:t>
      </w:r>
      <w:r w:rsidR="00264C08" w:rsidRPr="00473D25">
        <w:rPr>
          <w:rFonts w:cs="Arial"/>
          <w:b w:val="0"/>
          <w:szCs w:val="18"/>
          <w:lang w:val="en-US"/>
        </w:rPr>
        <w:t>.</w:t>
      </w:r>
    </w:p>
    <w:p w14:paraId="3C525EDB" w14:textId="45F01B76" w:rsidR="00264C08" w:rsidRDefault="00264C08" w:rsidP="00264C08">
      <w:pPr>
        <w:pStyle w:val="CETReference"/>
        <w:rPr>
          <w:szCs w:val="18"/>
          <w:lang w:val="en-US"/>
        </w:rPr>
      </w:pPr>
      <w:r w:rsidRPr="00B754A7">
        <w:rPr>
          <w:szCs w:val="18"/>
          <w:lang w:val="en-US"/>
        </w:rPr>
        <w:t>References</w:t>
      </w:r>
    </w:p>
    <w:p w14:paraId="725D7430" w14:textId="77777777" w:rsidR="009C1E0D" w:rsidRDefault="009C1E0D" w:rsidP="009C1E0D">
      <w:pPr>
        <w:widowControl w:val="0"/>
        <w:autoSpaceDE w:val="0"/>
        <w:autoSpaceDN w:val="0"/>
        <w:adjustRightInd w:val="0"/>
        <w:spacing w:line="240" w:lineRule="auto"/>
        <w:ind w:left="284" w:hanging="284"/>
        <w:rPr>
          <w:rFonts w:cs="Arial"/>
          <w:noProof/>
          <w:szCs w:val="18"/>
        </w:rPr>
      </w:pPr>
      <w:r w:rsidRPr="003007D3">
        <w:rPr>
          <w:rFonts w:cs="Arial"/>
          <w:noProof/>
          <w:szCs w:val="18"/>
        </w:rPr>
        <w:t>Alhadrami, H. A., Sayed, A. M., Sharif, A. M., Azhar, E. I.,</w:t>
      </w:r>
      <w:r>
        <w:rPr>
          <w:rFonts w:cs="Arial"/>
          <w:noProof/>
          <w:szCs w:val="18"/>
        </w:rPr>
        <w:t xml:space="preserve"> </w:t>
      </w:r>
      <w:r w:rsidRPr="003007D3">
        <w:rPr>
          <w:rFonts w:cs="Arial"/>
          <w:noProof/>
          <w:szCs w:val="18"/>
        </w:rPr>
        <w:t xml:space="preserve"> Rateb, M. E.</w:t>
      </w:r>
      <w:r>
        <w:rPr>
          <w:rFonts w:cs="Arial"/>
          <w:noProof/>
          <w:szCs w:val="18"/>
        </w:rPr>
        <w:t>,</w:t>
      </w:r>
      <w:r w:rsidRPr="003007D3">
        <w:rPr>
          <w:rFonts w:cs="Arial"/>
          <w:noProof/>
          <w:szCs w:val="18"/>
        </w:rPr>
        <w:t xml:space="preserve"> 2021</w:t>
      </w:r>
      <w:r>
        <w:rPr>
          <w:rFonts w:cs="Arial"/>
          <w:noProof/>
          <w:szCs w:val="18"/>
        </w:rPr>
        <w:t>,</w:t>
      </w:r>
      <w:r w:rsidRPr="003007D3">
        <w:rPr>
          <w:rFonts w:cs="Arial"/>
          <w:noProof/>
          <w:szCs w:val="18"/>
        </w:rPr>
        <w:t xml:space="preserve"> Olive-Derived Triterpenes Suppress SARS COV-2 Main Protease: A Promising Scaffold for Future Therapeutics. Molecules (Basel, Switzerland), 26(9), 2654. </w:t>
      </w:r>
    </w:p>
    <w:p w14:paraId="47521FEA" w14:textId="7C6B048F" w:rsidR="009C1E0D" w:rsidRDefault="009C1E0D" w:rsidP="009C1E0D">
      <w:pPr>
        <w:widowControl w:val="0"/>
        <w:autoSpaceDE w:val="0"/>
        <w:autoSpaceDN w:val="0"/>
        <w:adjustRightInd w:val="0"/>
        <w:spacing w:line="240" w:lineRule="auto"/>
        <w:ind w:left="284" w:hanging="284"/>
        <w:rPr>
          <w:rFonts w:cs="Arial"/>
          <w:noProof/>
          <w:szCs w:val="18"/>
        </w:rPr>
      </w:pPr>
      <w:r w:rsidRPr="00526D6E">
        <w:rPr>
          <w:rFonts w:cs="Arial"/>
          <w:noProof/>
          <w:szCs w:val="18"/>
        </w:rPr>
        <w:t>Bhushani, J.A., 2014</w:t>
      </w:r>
      <w:r>
        <w:rPr>
          <w:rFonts w:cs="Arial"/>
          <w:noProof/>
          <w:szCs w:val="18"/>
        </w:rPr>
        <w:t>,</w:t>
      </w:r>
      <w:r w:rsidRPr="00526D6E">
        <w:rPr>
          <w:rFonts w:cs="Arial"/>
          <w:noProof/>
          <w:szCs w:val="18"/>
        </w:rPr>
        <w:t xml:space="preserve"> Electrospinning and electrospraying techniques : Potential food based application</w:t>
      </w:r>
      <w:r w:rsidR="00130440">
        <w:rPr>
          <w:rFonts w:cs="Arial"/>
          <w:noProof/>
          <w:szCs w:val="18"/>
        </w:rPr>
        <w:t>.</w:t>
      </w:r>
      <w:r>
        <w:rPr>
          <w:rFonts w:cs="Arial"/>
          <w:noProof/>
          <w:szCs w:val="18"/>
        </w:rPr>
        <w:t xml:space="preserve">     </w:t>
      </w:r>
      <w:r w:rsidRPr="00526D6E">
        <w:rPr>
          <w:rFonts w:cs="Arial"/>
          <w:iCs/>
          <w:noProof/>
          <w:szCs w:val="18"/>
        </w:rPr>
        <w:t>Trends in Food Science &amp; Technology</w:t>
      </w:r>
      <w:r w:rsidRPr="00526D6E">
        <w:rPr>
          <w:rFonts w:cs="Arial"/>
          <w:noProof/>
          <w:szCs w:val="18"/>
        </w:rPr>
        <w:t xml:space="preserve">, 38(1),  21–33. </w:t>
      </w:r>
    </w:p>
    <w:p w14:paraId="581961BD" w14:textId="77777777" w:rsidR="009C1E0D" w:rsidRDefault="009C1E0D" w:rsidP="009C1E0D">
      <w:pPr>
        <w:widowControl w:val="0"/>
        <w:autoSpaceDE w:val="0"/>
        <w:autoSpaceDN w:val="0"/>
        <w:adjustRightInd w:val="0"/>
        <w:spacing w:line="240" w:lineRule="auto"/>
        <w:ind w:left="284" w:hanging="284"/>
        <w:rPr>
          <w:rFonts w:cs="Arial"/>
          <w:noProof/>
          <w:szCs w:val="18"/>
        </w:rPr>
      </w:pPr>
      <w:r w:rsidRPr="00E36646">
        <w:rPr>
          <w:rFonts w:cs="Arial"/>
          <w:noProof/>
          <w:szCs w:val="18"/>
          <w:lang w:val="en-US"/>
        </w:rPr>
        <w:t xml:space="preserve">Clavijo, D., Casadiego-Torrado, C.,Perea-Covarrubias, A., Galindo-Zamora, V., 2018, </w:t>
      </w:r>
      <w:r w:rsidRPr="00B422DF">
        <w:rPr>
          <w:rFonts w:cs="Arial"/>
          <w:noProof/>
          <w:szCs w:val="18"/>
        </w:rPr>
        <w:t>Biofunctionalization of Titanium to Improve the Response in Patients with Osteoporosis Requiring Implants.</w:t>
      </w:r>
      <w:r w:rsidRPr="00623192">
        <w:rPr>
          <w:rFonts w:cs="Arial"/>
          <w:bCs/>
          <w:iCs/>
          <w:szCs w:val="18"/>
          <w:shd w:val="clear" w:color="auto" w:fill="FFFFFF"/>
        </w:rPr>
        <w:t xml:space="preserve"> </w:t>
      </w:r>
      <w:r>
        <w:rPr>
          <w:rFonts w:cs="Arial"/>
          <w:bCs/>
          <w:iCs/>
          <w:szCs w:val="18"/>
          <w:shd w:val="clear" w:color="auto" w:fill="FFFFFF"/>
        </w:rPr>
        <w:t>Chemical Engineering Transactions,</w:t>
      </w:r>
      <w:r>
        <w:rPr>
          <w:rFonts w:cs="Arial"/>
          <w:noProof/>
          <w:szCs w:val="18"/>
        </w:rPr>
        <w:t xml:space="preserve"> 64, 643-648.</w:t>
      </w:r>
    </w:p>
    <w:p w14:paraId="5DED7C3F" w14:textId="77777777" w:rsidR="009C1E0D" w:rsidRDefault="009C1E0D" w:rsidP="009C1E0D">
      <w:pPr>
        <w:widowControl w:val="0"/>
        <w:autoSpaceDE w:val="0"/>
        <w:autoSpaceDN w:val="0"/>
        <w:adjustRightInd w:val="0"/>
        <w:spacing w:line="240" w:lineRule="auto"/>
        <w:ind w:left="284" w:hanging="284"/>
        <w:rPr>
          <w:rFonts w:cs="Arial"/>
          <w:noProof/>
          <w:szCs w:val="18"/>
        </w:rPr>
      </w:pPr>
      <w:r w:rsidRPr="00526D6E">
        <w:rPr>
          <w:rFonts w:cs="Arial"/>
          <w:noProof/>
          <w:szCs w:val="18"/>
        </w:rPr>
        <w:t>Ghorani, B.</w:t>
      </w:r>
      <w:r>
        <w:rPr>
          <w:rFonts w:cs="Arial"/>
          <w:noProof/>
          <w:szCs w:val="18"/>
        </w:rPr>
        <w:t xml:space="preserve">, </w:t>
      </w:r>
      <w:r w:rsidRPr="00526D6E">
        <w:rPr>
          <w:rFonts w:cs="Arial"/>
          <w:noProof/>
          <w:szCs w:val="18"/>
        </w:rPr>
        <w:t xml:space="preserve"> Tucker, N., 2015</w:t>
      </w:r>
      <w:r>
        <w:rPr>
          <w:rFonts w:cs="Arial"/>
          <w:noProof/>
          <w:szCs w:val="18"/>
        </w:rPr>
        <w:t>,</w:t>
      </w:r>
      <w:r w:rsidRPr="00526D6E">
        <w:rPr>
          <w:rFonts w:cs="Arial"/>
          <w:noProof/>
          <w:szCs w:val="18"/>
        </w:rPr>
        <w:t xml:space="preserve"> Food Hydrocolloids Fundamentals of electrospinning as a novel delivery</w:t>
      </w:r>
      <w:r>
        <w:rPr>
          <w:rFonts w:cs="Arial"/>
          <w:noProof/>
          <w:szCs w:val="18"/>
        </w:rPr>
        <w:t xml:space="preserve">      </w:t>
      </w:r>
      <w:r w:rsidRPr="00526D6E">
        <w:rPr>
          <w:rFonts w:cs="Arial"/>
          <w:noProof/>
          <w:szCs w:val="18"/>
        </w:rPr>
        <w:t>vehicle for bioactive compounds in food nanotechnology</w:t>
      </w:r>
      <w:r>
        <w:rPr>
          <w:rFonts w:cs="Arial"/>
          <w:noProof/>
          <w:szCs w:val="18"/>
        </w:rPr>
        <w:t>,</w:t>
      </w:r>
      <w:r w:rsidRPr="00526D6E">
        <w:rPr>
          <w:rFonts w:cs="Arial"/>
          <w:noProof/>
          <w:szCs w:val="18"/>
        </w:rPr>
        <w:t xml:space="preserve"> </w:t>
      </w:r>
      <w:r w:rsidRPr="00526D6E">
        <w:rPr>
          <w:rFonts w:cs="Arial"/>
          <w:iCs/>
          <w:noProof/>
          <w:szCs w:val="18"/>
        </w:rPr>
        <w:t>Food hydrocolloids</w:t>
      </w:r>
      <w:r w:rsidRPr="00526D6E">
        <w:rPr>
          <w:rFonts w:cs="Arial"/>
          <w:noProof/>
          <w:szCs w:val="18"/>
        </w:rPr>
        <w:t xml:space="preserve">, 51, 227–240. </w:t>
      </w:r>
    </w:p>
    <w:p w14:paraId="5C8FE917" w14:textId="2800C191" w:rsidR="009C1E0D" w:rsidRDefault="009C1E0D" w:rsidP="009C1E0D">
      <w:pPr>
        <w:widowControl w:val="0"/>
        <w:autoSpaceDE w:val="0"/>
        <w:autoSpaceDN w:val="0"/>
        <w:adjustRightInd w:val="0"/>
        <w:spacing w:line="240" w:lineRule="auto"/>
        <w:ind w:left="284" w:hanging="284"/>
        <w:rPr>
          <w:rFonts w:cs="Arial"/>
          <w:noProof/>
          <w:szCs w:val="18"/>
        </w:rPr>
      </w:pPr>
      <w:r w:rsidRPr="00831A2E">
        <w:rPr>
          <w:rFonts w:cs="Arial"/>
          <w:noProof/>
          <w:szCs w:val="18"/>
          <w:lang w:val="en-US"/>
        </w:rPr>
        <w:t>Gorzynik-Debicka, M.</w:t>
      </w:r>
      <w:r>
        <w:rPr>
          <w:rFonts w:cs="Arial"/>
          <w:noProof/>
          <w:szCs w:val="18"/>
          <w:lang w:val="en-US"/>
        </w:rPr>
        <w:t>,</w:t>
      </w:r>
      <w:r w:rsidRPr="00831A2E">
        <w:rPr>
          <w:rFonts w:cs="Arial"/>
          <w:noProof/>
          <w:szCs w:val="18"/>
          <w:lang w:val="en-US"/>
        </w:rPr>
        <w:t xml:space="preserve"> Przychodzen, P.</w:t>
      </w:r>
      <w:r>
        <w:rPr>
          <w:rFonts w:cs="Arial"/>
          <w:noProof/>
          <w:szCs w:val="18"/>
          <w:lang w:val="en-US"/>
        </w:rPr>
        <w:t>,</w:t>
      </w:r>
      <w:r w:rsidRPr="00831A2E">
        <w:rPr>
          <w:rFonts w:cs="Arial"/>
          <w:noProof/>
          <w:szCs w:val="18"/>
          <w:lang w:val="en-US"/>
        </w:rPr>
        <w:t xml:space="preserve"> Cappello, F.</w:t>
      </w:r>
      <w:r>
        <w:rPr>
          <w:rFonts w:cs="Arial"/>
          <w:noProof/>
          <w:szCs w:val="18"/>
          <w:lang w:val="en-US"/>
        </w:rPr>
        <w:t xml:space="preserve">, </w:t>
      </w:r>
      <w:r w:rsidRPr="00831A2E">
        <w:rPr>
          <w:rFonts w:cs="Arial"/>
          <w:noProof/>
          <w:szCs w:val="18"/>
        </w:rPr>
        <w:t>Kuban-Jankowska</w:t>
      </w:r>
      <w:r>
        <w:rPr>
          <w:rFonts w:cs="Arial"/>
          <w:noProof/>
          <w:szCs w:val="18"/>
        </w:rPr>
        <w:t xml:space="preserve">, A., </w:t>
      </w:r>
      <w:r w:rsidRPr="00831A2E">
        <w:rPr>
          <w:rFonts w:cs="Arial"/>
          <w:noProof/>
          <w:szCs w:val="18"/>
        </w:rPr>
        <w:t>Marino Gammazza</w:t>
      </w:r>
      <w:r>
        <w:rPr>
          <w:rFonts w:cs="Arial"/>
          <w:noProof/>
          <w:szCs w:val="18"/>
        </w:rPr>
        <w:t xml:space="preserve">, A., knap, Narcyz, </w:t>
      </w:r>
      <w:r w:rsidRPr="00831A2E">
        <w:rPr>
          <w:rFonts w:cs="Arial"/>
          <w:noProof/>
          <w:szCs w:val="18"/>
          <w:lang w:val="en-US"/>
        </w:rPr>
        <w:t xml:space="preserve"> </w:t>
      </w:r>
      <w:r w:rsidRPr="00831A2E">
        <w:rPr>
          <w:rFonts w:cs="Arial"/>
          <w:noProof/>
          <w:szCs w:val="18"/>
        </w:rPr>
        <w:t>Wozniak</w:t>
      </w:r>
      <w:r>
        <w:rPr>
          <w:rFonts w:cs="Arial"/>
          <w:noProof/>
          <w:szCs w:val="18"/>
          <w:lang w:val="en-US"/>
        </w:rPr>
        <w:t>, M.,</w:t>
      </w:r>
      <w:r w:rsidRPr="003007D3">
        <w:rPr>
          <w:rFonts w:cs="Arial"/>
          <w:noProof/>
          <w:szCs w:val="18"/>
        </w:rPr>
        <w:t xml:space="preserve"> </w:t>
      </w:r>
      <w:r w:rsidRPr="00831A2E">
        <w:rPr>
          <w:rFonts w:cs="Arial"/>
          <w:noProof/>
          <w:szCs w:val="18"/>
        </w:rPr>
        <w:t>Gorska-Ponikowska</w:t>
      </w:r>
      <w:r>
        <w:rPr>
          <w:rFonts w:cs="Arial"/>
          <w:noProof/>
          <w:szCs w:val="18"/>
        </w:rPr>
        <w:t>, M.,</w:t>
      </w:r>
      <w:r>
        <w:rPr>
          <w:rFonts w:cs="Arial"/>
          <w:noProof/>
          <w:szCs w:val="18"/>
          <w:lang w:val="en-US"/>
        </w:rPr>
        <w:t xml:space="preserve">  </w:t>
      </w:r>
      <w:r w:rsidRPr="00831A2E">
        <w:rPr>
          <w:rFonts w:cs="Arial"/>
          <w:noProof/>
          <w:szCs w:val="18"/>
          <w:lang w:val="en-US"/>
        </w:rPr>
        <w:t>2</w:t>
      </w:r>
      <w:r>
        <w:rPr>
          <w:rFonts w:cs="Arial"/>
          <w:noProof/>
          <w:szCs w:val="18"/>
          <w:lang w:val="en-US"/>
        </w:rPr>
        <w:t>018,</w:t>
      </w:r>
      <w:r w:rsidRPr="00831A2E">
        <w:rPr>
          <w:rFonts w:cs="Arial"/>
          <w:noProof/>
          <w:szCs w:val="18"/>
          <w:lang w:val="en-US"/>
        </w:rPr>
        <w:t xml:space="preserve"> </w:t>
      </w:r>
      <w:r w:rsidRPr="0059717C">
        <w:rPr>
          <w:rFonts w:cs="Arial"/>
          <w:noProof/>
          <w:szCs w:val="18"/>
        </w:rPr>
        <w:t>Potential Health Benefits of Olive Oil and Plant Polyphenols. Int J Mol Sci</w:t>
      </w:r>
      <w:r>
        <w:rPr>
          <w:rFonts w:cs="Arial"/>
          <w:noProof/>
          <w:szCs w:val="18"/>
        </w:rPr>
        <w:t xml:space="preserve">, </w:t>
      </w:r>
      <w:r w:rsidRPr="0059717C">
        <w:rPr>
          <w:rFonts w:cs="Arial"/>
          <w:noProof/>
          <w:szCs w:val="18"/>
        </w:rPr>
        <w:t xml:space="preserve">19(3):686. </w:t>
      </w:r>
    </w:p>
    <w:p w14:paraId="400E956B" w14:textId="23C4752E" w:rsidR="006D1C63" w:rsidRDefault="006D1C63" w:rsidP="00130440">
      <w:pPr>
        <w:widowControl w:val="0"/>
        <w:autoSpaceDE w:val="0"/>
        <w:autoSpaceDN w:val="0"/>
        <w:adjustRightInd w:val="0"/>
        <w:spacing w:line="240" w:lineRule="auto"/>
        <w:ind w:left="284" w:hanging="284"/>
        <w:rPr>
          <w:rFonts w:cs="Arial"/>
          <w:noProof/>
          <w:szCs w:val="18"/>
        </w:rPr>
      </w:pPr>
      <w:r w:rsidRPr="006D1C63">
        <w:rPr>
          <w:rFonts w:cs="Arial"/>
          <w:noProof/>
          <w:szCs w:val="18"/>
        </w:rPr>
        <w:t>Esmaeili,</w:t>
      </w:r>
      <w:r>
        <w:rPr>
          <w:rFonts w:cs="Arial"/>
          <w:noProof/>
          <w:szCs w:val="18"/>
        </w:rPr>
        <w:t xml:space="preserve"> A., </w:t>
      </w:r>
      <w:r w:rsidRPr="006D1C63">
        <w:rPr>
          <w:rFonts w:cs="Arial"/>
          <w:noProof/>
          <w:szCs w:val="18"/>
        </w:rPr>
        <w:t>Gholami,</w:t>
      </w:r>
      <w:r w:rsidR="00130440">
        <w:rPr>
          <w:rFonts w:cs="Arial"/>
          <w:noProof/>
          <w:szCs w:val="18"/>
        </w:rPr>
        <w:t xml:space="preserve"> M., 2015,</w:t>
      </w:r>
      <w:r w:rsidRPr="006D1C63">
        <w:rPr>
          <w:rFonts w:cs="Arial"/>
          <w:noProof/>
          <w:szCs w:val="18"/>
        </w:rPr>
        <w:t>Optimization and preparation of nanocapsules for food applications using two methodologies</w:t>
      </w:r>
      <w:r w:rsidR="00130440">
        <w:rPr>
          <w:rFonts w:cs="Arial"/>
          <w:noProof/>
          <w:szCs w:val="18"/>
        </w:rPr>
        <w:t xml:space="preserve">. </w:t>
      </w:r>
      <w:r w:rsidRPr="006D1C63">
        <w:rPr>
          <w:rFonts w:cs="Arial"/>
          <w:noProof/>
          <w:szCs w:val="18"/>
        </w:rPr>
        <w:t>Food Chemistry,179, 26-34</w:t>
      </w:r>
      <w:r w:rsidR="00130440">
        <w:rPr>
          <w:rFonts w:cs="Arial"/>
          <w:noProof/>
          <w:szCs w:val="18"/>
        </w:rPr>
        <w:t>.</w:t>
      </w:r>
    </w:p>
    <w:p w14:paraId="200588EC" w14:textId="58B3F81E" w:rsidR="009C1E0D" w:rsidRDefault="009C1E0D" w:rsidP="009C1E0D">
      <w:pPr>
        <w:widowControl w:val="0"/>
        <w:autoSpaceDE w:val="0"/>
        <w:autoSpaceDN w:val="0"/>
        <w:adjustRightInd w:val="0"/>
        <w:spacing w:line="240" w:lineRule="auto"/>
        <w:ind w:left="284" w:hanging="284"/>
        <w:rPr>
          <w:rFonts w:cs="Arial"/>
          <w:noProof/>
          <w:szCs w:val="18"/>
        </w:rPr>
      </w:pPr>
      <w:r w:rsidRPr="00235EF7">
        <w:rPr>
          <w:rFonts w:cs="Arial"/>
          <w:noProof/>
          <w:szCs w:val="18"/>
        </w:rPr>
        <w:t>Loscertales, I.G., 2002</w:t>
      </w:r>
      <w:r>
        <w:rPr>
          <w:rFonts w:cs="Arial"/>
          <w:noProof/>
          <w:szCs w:val="18"/>
        </w:rPr>
        <w:t>,</w:t>
      </w:r>
      <w:r w:rsidRPr="00235EF7">
        <w:rPr>
          <w:rFonts w:cs="Arial"/>
          <w:noProof/>
          <w:szCs w:val="18"/>
        </w:rPr>
        <w:t xml:space="preserve"> Micro / Nano Encapsulation Via Electrified Coaxial Liquid Jets Micro / Nano Encapsulation via Electrified Coaxial Liquid Jets.</w:t>
      </w:r>
      <w:r>
        <w:rPr>
          <w:rFonts w:cs="Arial"/>
          <w:noProof/>
          <w:szCs w:val="18"/>
        </w:rPr>
        <w:t>, Science, 295, 1695-1698</w:t>
      </w:r>
      <w:r w:rsidRPr="00235EF7">
        <w:rPr>
          <w:rFonts w:cs="Arial"/>
          <w:noProof/>
          <w:szCs w:val="18"/>
        </w:rPr>
        <w:t>.</w:t>
      </w:r>
    </w:p>
    <w:p w14:paraId="2E92CCAF" w14:textId="799C985A" w:rsidR="0093363A" w:rsidRPr="003E2D2C" w:rsidRDefault="0093363A" w:rsidP="003E2D2C">
      <w:pPr>
        <w:widowControl w:val="0"/>
        <w:autoSpaceDE w:val="0"/>
        <w:autoSpaceDN w:val="0"/>
        <w:adjustRightInd w:val="0"/>
        <w:spacing w:line="240" w:lineRule="auto"/>
        <w:ind w:left="284" w:hanging="284"/>
        <w:rPr>
          <w:rFonts w:cs="Arial"/>
          <w:noProof/>
          <w:szCs w:val="18"/>
          <w:lang w:val="en-US"/>
        </w:rPr>
      </w:pPr>
      <w:r w:rsidRPr="003E2D2C">
        <w:rPr>
          <w:rFonts w:cs="Arial"/>
          <w:noProof/>
          <w:szCs w:val="18"/>
          <w:lang w:val="en-US"/>
        </w:rPr>
        <w:t>Tirado,</w:t>
      </w:r>
      <w:r w:rsidR="003E2D2C">
        <w:rPr>
          <w:rFonts w:cs="Arial"/>
          <w:noProof/>
          <w:szCs w:val="18"/>
          <w:lang w:val="en-US"/>
        </w:rPr>
        <w:t xml:space="preserve"> </w:t>
      </w:r>
      <w:r w:rsidRPr="003E2D2C">
        <w:rPr>
          <w:rFonts w:cs="Arial"/>
          <w:noProof/>
          <w:szCs w:val="18"/>
          <w:lang w:val="en-US"/>
        </w:rPr>
        <w:t xml:space="preserve">D., Latini, </w:t>
      </w:r>
      <w:r w:rsidR="003E2D2C" w:rsidRPr="003E2D2C">
        <w:rPr>
          <w:rFonts w:cs="Arial"/>
          <w:noProof/>
          <w:szCs w:val="18"/>
          <w:lang w:val="en-US"/>
        </w:rPr>
        <w:t>A.,</w:t>
      </w:r>
      <w:r w:rsidRPr="003E2D2C">
        <w:rPr>
          <w:rFonts w:cs="Arial"/>
          <w:noProof/>
          <w:szCs w:val="18"/>
          <w:lang w:val="en-US"/>
        </w:rPr>
        <w:t xml:space="preserve"> Calvo</w:t>
      </w:r>
      <w:r w:rsidR="003E2D2C" w:rsidRPr="003E2D2C">
        <w:rPr>
          <w:rFonts w:cs="Arial"/>
          <w:noProof/>
          <w:szCs w:val="18"/>
          <w:lang w:val="en-US"/>
        </w:rPr>
        <w:t>, L.</w:t>
      </w:r>
      <w:r w:rsidRPr="003E2D2C">
        <w:rPr>
          <w:rFonts w:cs="Arial"/>
          <w:noProof/>
          <w:szCs w:val="18"/>
          <w:lang w:val="en-US"/>
        </w:rPr>
        <w:t>,</w:t>
      </w:r>
      <w:r w:rsidR="003E2D2C">
        <w:rPr>
          <w:rFonts w:cs="Arial"/>
          <w:noProof/>
          <w:szCs w:val="18"/>
          <w:lang w:val="en-US"/>
        </w:rPr>
        <w:t>2021,</w:t>
      </w:r>
      <w:r w:rsidR="003E2D2C" w:rsidRPr="003E2D2C">
        <w:rPr>
          <w:rFonts w:cs="Arial"/>
          <w:noProof/>
          <w:szCs w:val="18"/>
          <w:lang w:val="en-US"/>
        </w:rPr>
        <w:t xml:space="preserve"> </w:t>
      </w:r>
      <w:r w:rsidRPr="0093363A">
        <w:rPr>
          <w:rFonts w:cs="Arial"/>
          <w:noProof/>
          <w:szCs w:val="18"/>
        </w:rPr>
        <w:t>The encapsulation of hydroxytyrosol-rich olive oil in Eudraguard</w:t>
      </w:r>
      <w:r w:rsidR="003E2D2C">
        <w:rPr>
          <w:rFonts w:cs="Arial"/>
          <w:noProof/>
          <w:szCs w:val="18"/>
        </w:rPr>
        <w:t xml:space="preserve"> </w:t>
      </w:r>
      <w:r w:rsidRPr="0093363A">
        <w:rPr>
          <w:rFonts w:cs="Arial"/>
          <w:noProof/>
          <w:szCs w:val="18"/>
        </w:rPr>
        <w:t>protect via supercritical fluid extraction of emulsion</w:t>
      </w:r>
      <w:r w:rsidR="003E2D2C">
        <w:rPr>
          <w:rFonts w:cs="Arial"/>
          <w:noProof/>
          <w:szCs w:val="18"/>
        </w:rPr>
        <w:t>.</w:t>
      </w:r>
      <w:r w:rsidRPr="0093363A">
        <w:rPr>
          <w:rFonts w:cs="Arial"/>
          <w:noProof/>
          <w:szCs w:val="18"/>
        </w:rPr>
        <w:t>Journal of Food Engineering,</w:t>
      </w:r>
      <w:r w:rsidR="003E2D2C" w:rsidRPr="003E2D2C">
        <w:rPr>
          <w:rFonts w:cs="Arial"/>
          <w:noProof/>
          <w:szCs w:val="18"/>
        </w:rPr>
        <w:t xml:space="preserve"> </w:t>
      </w:r>
      <w:r w:rsidR="003E2D2C">
        <w:rPr>
          <w:rFonts w:cs="Arial"/>
          <w:noProof/>
          <w:szCs w:val="18"/>
        </w:rPr>
        <w:t>290,</w:t>
      </w:r>
      <w:r w:rsidRPr="0093363A">
        <w:rPr>
          <w:rFonts w:cs="Arial"/>
          <w:noProof/>
          <w:szCs w:val="18"/>
        </w:rPr>
        <w:t>110215</w:t>
      </w:r>
      <w:r w:rsidR="003E2D2C">
        <w:rPr>
          <w:rFonts w:cs="Arial"/>
          <w:noProof/>
          <w:szCs w:val="18"/>
        </w:rPr>
        <w:t>.</w:t>
      </w:r>
    </w:p>
    <w:p w14:paraId="275A64F8" w14:textId="2D9F1513" w:rsidR="009C1E0D" w:rsidRPr="007660AA" w:rsidRDefault="009C1E0D" w:rsidP="007660AA">
      <w:pPr>
        <w:widowControl w:val="0"/>
        <w:autoSpaceDE w:val="0"/>
        <w:autoSpaceDN w:val="0"/>
        <w:adjustRightInd w:val="0"/>
        <w:spacing w:after="160" w:line="240" w:lineRule="auto"/>
        <w:ind w:left="480" w:hanging="480"/>
        <w:rPr>
          <w:rFonts w:cs="Arial"/>
          <w:noProof/>
          <w:szCs w:val="18"/>
        </w:rPr>
      </w:pPr>
      <w:r w:rsidRPr="00E36646">
        <w:rPr>
          <w:rFonts w:cs="Arial"/>
          <w:noProof/>
          <w:szCs w:val="18"/>
          <w:lang w:val="en-US"/>
        </w:rPr>
        <w:t xml:space="preserve">Zamani, M., Prabhakaran, M.P., San, E., 2014, </w:t>
      </w:r>
      <w:r w:rsidRPr="00526D6E">
        <w:rPr>
          <w:rFonts w:cs="Arial"/>
          <w:noProof/>
          <w:szCs w:val="18"/>
        </w:rPr>
        <w:t>Protein encapsulated core – shell structured particles</w:t>
      </w:r>
      <w:r>
        <w:rPr>
          <w:rFonts w:cs="Arial"/>
          <w:noProof/>
          <w:szCs w:val="18"/>
        </w:rPr>
        <w:t xml:space="preserve">      </w:t>
      </w:r>
      <w:r w:rsidRPr="00526D6E">
        <w:rPr>
          <w:rFonts w:cs="Arial"/>
          <w:noProof/>
          <w:szCs w:val="18"/>
        </w:rPr>
        <w:t>prepared by coaxial electrospraying : Investigation on material and processing variables</w:t>
      </w:r>
      <w:r>
        <w:rPr>
          <w:rFonts w:cs="Arial"/>
          <w:noProof/>
          <w:szCs w:val="18"/>
        </w:rPr>
        <w:t>,</w:t>
      </w:r>
      <w:r w:rsidRPr="00526D6E">
        <w:rPr>
          <w:rFonts w:cs="Arial"/>
          <w:noProof/>
          <w:szCs w:val="18"/>
        </w:rPr>
        <w:t xml:space="preserve"> </w:t>
      </w:r>
      <w:r>
        <w:rPr>
          <w:rFonts w:cs="Arial"/>
          <w:noProof/>
          <w:szCs w:val="18"/>
        </w:rPr>
        <w:t xml:space="preserve"> </w:t>
      </w:r>
      <w:r w:rsidRPr="00526D6E">
        <w:rPr>
          <w:rFonts w:cs="Arial"/>
          <w:iCs/>
          <w:noProof/>
          <w:szCs w:val="18"/>
        </w:rPr>
        <w:t>International</w:t>
      </w:r>
      <w:r>
        <w:rPr>
          <w:rFonts w:cs="Arial"/>
          <w:iCs/>
          <w:noProof/>
          <w:szCs w:val="18"/>
        </w:rPr>
        <w:t xml:space="preserve">     </w:t>
      </w:r>
      <w:r w:rsidRPr="00526D6E">
        <w:rPr>
          <w:rFonts w:cs="Arial"/>
          <w:iCs/>
          <w:noProof/>
          <w:szCs w:val="18"/>
        </w:rPr>
        <w:t>Journal of Pharmaceutics</w:t>
      </w:r>
      <w:r w:rsidRPr="00526D6E">
        <w:rPr>
          <w:rFonts w:cs="Arial"/>
          <w:noProof/>
          <w:szCs w:val="18"/>
        </w:rPr>
        <w:t>, 473, 134–143</w:t>
      </w:r>
      <w:r>
        <w:rPr>
          <w:rFonts w:cs="Arial"/>
          <w:noProof/>
          <w:szCs w:val="18"/>
        </w:rPr>
        <w:t>.</w:t>
      </w:r>
    </w:p>
    <w:sectPr w:rsidR="009C1E0D" w:rsidRPr="007660AA"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14859" w14:textId="77777777" w:rsidR="00965F4A" w:rsidRDefault="00965F4A" w:rsidP="004F5E36">
      <w:r>
        <w:separator/>
      </w:r>
    </w:p>
  </w:endnote>
  <w:endnote w:type="continuationSeparator" w:id="0">
    <w:p w14:paraId="6E1DA2E4" w14:textId="77777777" w:rsidR="00965F4A" w:rsidRDefault="00965F4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6D75A" w14:textId="77777777" w:rsidR="00965F4A" w:rsidRDefault="00965F4A" w:rsidP="004F5E36">
      <w:r>
        <w:separator/>
      </w:r>
    </w:p>
  </w:footnote>
  <w:footnote w:type="continuationSeparator" w:id="0">
    <w:p w14:paraId="72B7CB14" w14:textId="77777777" w:rsidR="00965F4A" w:rsidRDefault="00965F4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4062ED"/>
    <w:multiLevelType w:val="hybridMultilevel"/>
    <w:tmpl w:val="7F6E29BE"/>
    <w:lvl w:ilvl="0" w:tplc="6DFAA9E6">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7AE03DA"/>
    <w:multiLevelType w:val="hybridMultilevel"/>
    <w:tmpl w:val="6DC0CA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46B19E3"/>
    <w:multiLevelType w:val="hybridMultilevel"/>
    <w:tmpl w:val="B5A4C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3"/>
  </w:num>
  <w:num w:numId="16">
    <w:abstractNumId w:val="22"/>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1"/>
    <w:lvlOverride w:ilvl="0">
      <w:startOverride w:val="1"/>
    </w:lvlOverride>
    <w:lvlOverride w:ilvl="1">
      <w:startOverride w:val="2"/>
    </w:lvlOverride>
    <w:lvlOverride w:ilvl="2">
      <w:startOverride w:val="3"/>
    </w:lvlOverride>
  </w:num>
  <w:num w:numId="24">
    <w:abstractNumId w:val="11"/>
    <w:lvlOverride w:ilvl="0">
      <w:startOverride w:val="1"/>
    </w:lvlOverride>
    <w:lvlOverride w:ilvl="1"/>
    <w:lvlOverride w:ilvl="2">
      <w:startOverride w:val="3"/>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D21"/>
    <w:rsid w:val="000117CB"/>
    <w:rsid w:val="00021C8E"/>
    <w:rsid w:val="0003148D"/>
    <w:rsid w:val="00031EEC"/>
    <w:rsid w:val="00051566"/>
    <w:rsid w:val="000557F8"/>
    <w:rsid w:val="00062A9A"/>
    <w:rsid w:val="00065058"/>
    <w:rsid w:val="0007430E"/>
    <w:rsid w:val="00086C39"/>
    <w:rsid w:val="000A03B2"/>
    <w:rsid w:val="000C272B"/>
    <w:rsid w:val="000D0268"/>
    <w:rsid w:val="000D1808"/>
    <w:rsid w:val="000D34BE"/>
    <w:rsid w:val="000D4587"/>
    <w:rsid w:val="000E102F"/>
    <w:rsid w:val="000E36F1"/>
    <w:rsid w:val="000E3A73"/>
    <w:rsid w:val="000E414A"/>
    <w:rsid w:val="000F093C"/>
    <w:rsid w:val="000F787B"/>
    <w:rsid w:val="001067D9"/>
    <w:rsid w:val="0012091F"/>
    <w:rsid w:val="00126BC2"/>
    <w:rsid w:val="0012750F"/>
    <w:rsid w:val="00130440"/>
    <w:rsid w:val="001308B6"/>
    <w:rsid w:val="0013121F"/>
    <w:rsid w:val="00131FE6"/>
    <w:rsid w:val="0013263F"/>
    <w:rsid w:val="001331DF"/>
    <w:rsid w:val="00134DE4"/>
    <w:rsid w:val="0014034D"/>
    <w:rsid w:val="001447C5"/>
    <w:rsid w:val="00144D16"/>
    <w:rsid w:val="00150E59"/>
    <w:rsid w:val="00152DE3"/>
    <w:rsid w:val="00164CF9"/>
    <w:rsid w:val="001667A6"/>
    <w:rsid w:val="00183975"/>
    <w:rsid w:val="00183CD1"/>
    <w:rsid w:val="00184AD6"/>
    <w:rsid w:val="00196F0B"/>
    <w:rsid w:val="00197B48"/>
    <w:rsid w:val="001A4AF7"/>
    <w:rsid w:val="001B0349"/>
    <w:rsid w:val="001B1E93"/>
    <w:rsid w:val="001B65C1"/>
    <w:rsid w:val="001C1333"/>
    <w:rsid w:val="001C684B"/>
    <w:rsid w:val="001D0CFB"/>
    <w:rsid w:val="001D21AF"/>
    <w:rsid w:val="001D53FC"/>
    <w:rsid w:val="001F42A5"/>
    <w:rsid w:val="001F7B9D"/>
    <w:rsid w:val="00200665"/>
    <w:rsid w:val="00201C93"/>
    <w:rsid w:val="00204249"/>
    <w:rsid w:val="00212416"/>
    <w:rsid w:val="002224B4"/>
    <w:rsid w:val="002447EF"/>
    <w:rsid w:val="00251550"/>
    <w:rsid w:val="00263B05"/>
    <w:rsid w:val="00264C08"/>
    <w:rsid w:val="0027221A"/>
    <w:rsid w:val="00275B61"/>
    <w:rsid w:val="00280FAF"/>
    <w:rsid w:val="00282656"/>
    <w:rsid w:val="002852DE"/>
    <w:rsid w:val="00296B83"/>
    <w:rsid w:val="002A0ED1"/>
    <w:rsid w:val="002B4015"/>
    <w:rsid w:val="002B78CE"/>
    <w:rsid w:val="002C2FB6"/>
    <w:rsid w:val="002C7051"/>
    <w:rsid w:val="002D7DA3"/>
    <w:rsid w:val="002E5FA7"/>
    <w:rsid w:val="002F3309"/>
    <w:rsid w:val="003008CE"/>
    <w:rsid w:val="003009B7"/>
    <w:rsid w:val="00300E56"/>
    <w:rsid w:val="0030469C"/>
    <w:rsid w:val="003154A7"/>
    <w:rsid w:val="00316B91"/>
    <w:rsid w:val="00321305"/>
    <w:rsid w:val="00321CA6"/>
    <w:rsid w:val="00323763"/>
    <w:rsid w:val="00324E44"/>
    <w:rsid w:val="00334C09"/>
    <w:rsid w:val="00354991"/>
    <w:rsid w:val="00354C3F"/>
    <w:rsid w:val="003723D4"/>
    <w:rsid w:val="00381905"/>
    <w:rsid w:val="00384CC8"/>
    <w:rsid w:val="003871FD"/>
    <w:rsid w:val="003A1E30"/>
    <w:rsid w:val="003A2829"/>
    <w:rsid w:val="003A74EE"/>
    <w:rsid w:val="003A7D1C"/>
    <w:rsid w:val="003B304B"/>
    <w:rsid w:val="003B3146"/>
    <w:rsid w:val="003E2D2C"/>
    <w:rsid w:val="003F015E"/>
    <w:rsid w:val="003F5B40"/>
    <w:rsid w:val="00400414"/>
    <w:rsid w:val="00400CE3"/>
    <w:rsid w:val="0041446B"/>
    <w:rsid w:val="00417C15"/>
    <w:rsid w:val="0044071E"/>
    <w:rsid w:val="0044329C"/>
    <w:rsid w:val="00453E24"/>
    <w:rsid w:val="00457456"/>
    <w:rsid w:val="004577FE"/>
    <w:rsid w:val="00457B9C"/>
    <w:rsid w:val="0046164A"/>
    <w:rsid w:val="004628D2"/>
    <w:rsid w:val="00462DCD"/>
    <w:rsid w:val="004648AD"/>
    <w:rsid w:val="00464B3F"/>
    <w:rsid w:val="004703A9"/>
    <w:rsid w:val="004760DE"/>
    <w:rsid w:val="004763D7"/>
    <w:rsid w:val="00496EAE"/>
    <w:rsid w:val="004A004E"/>
    <w:rsid w:val="004A24CF"/>
    <w:rsid w:val="004B09C0"/>
    <w:rsid w:val="004C3D1D"/>
    <w:rsid w:val="004C7913"/>
    <w:rsid w:val="004E4DD6"/>
    <w:rsid w:val="004F5E36"/>
    <w:rsid w:val="00507B47"/>
    <w:rsid w:val="00507BEF"/>
    <w:rsid w:val="00507CC9"/>
    <w:rsid w:val="005119A5"/>
    <w:rsid w:val="005208F0"/>
    <w:rsid w:val="005278B7"/>
    <w:rsid w:val="00532016"/>
    <w:rsid w:val="005346C8"/>
    <w:rsid w:val="00534E4A"/>
    <w:rsid w:val="00542CA1"/>
    <w:rsid w:val="00543E7D"/>
    <w:rsid w:val="00547A68"/>
    <w:rsid w:val="005531C9"/>
    <w:rsid w:val="00570C43"/>
    <w:rsid w:val="00586F4F"/>
    <w:rsid w:val="005935DC"/>
    <w:rsid w:val="005B05FF"/>
    <w:rsid w:val="005B2110"/>
    <w:rsid w:val="005B61E6"/>
    <w:rsid w:val="005C77E1"/>
    <w:rsid w:val="005D668A"/>
    <w:rsid w:val="005D6A2F"/>
    <w:rsid w:val="005E1A82"/>
    <w:rsid w:val="005E3C0E"/>
    <w:rsid w:val="005E3D78"/>
    <w:rsid w:val="005E794C"/>
    <w:rsid w:val="005F0A28"/>
    <w:rsid w:val="005F0E5E"/>
    <w:rsid w:val="00600535"/>
    <w:rsid w:val="00604911"/>
    <w:rsid w:val="00610CD6"/>
    <w:rsid w:val="00620DEE"/>
    <w:rsid w:val="00621F92"/>
    <w:rsid w:val="0062280A"/>
    <w:rsid w:val="00625639"/>
    <w:rsid w:val="00631B33"/>
    <w:rsid w:val="006369A5"/>
    <w:rsid w:val="0064184D"/>
    <w:rsid w:val="006422CC"/>
    <w:rsid w:val="00660E3E"/>
    <w:rsid w:val="00662E74"/>
    <w:rsid w:val="0066530F"/>
    <w:rsid w:val="00680C23"/>
    <w:rsid w:val="00693766"/>
    <w:rsid w:val="006A3281"/>
    <w:rsid w:val="006A6F00"/>
    <w:rsid w:val="006B4888"/>
    <w:rsid w:val="006C14AE"/>
    <w:rsid w:val="006C2E45"/>
    <w:rsid w:val="006C359C"/>
    <w:rsid w:val="006C5579"/>
    <w:rsid w:val="006D1C63"/>
    <w:rsid w:val="006D6E8B"/>
    <w:rsid w:val="006E6A25"/>
    <w:rsid w:val="006E737D"/>
    <w:rsid w:val="006F4D2F"/>
    <w:rsid w:val="006F4DB0"/>
    <w:rsid w:val="006F5973"/>
    <w:rsid w:val="00702DB8"/>
    <w:rsid w:val="00713973"/>
    <w:rsid w:val="00720A24"/>
    <w:rsid w:val="00732386"/>
    <w:rsid w:val="0073440A"/>
    <w:rsid w:val="0073514D"/>
    <w:rsid w:val="00740C1C"/>
    <w:rsid w:val="007447F3"/>
    <w:rsid w:val="0075499F"/>
    <w:rsid w:val="0075535E"/>
    <w:rsid w:val="007660AA"/>
    <w:rsid w:val="007661C8"/>
    <w:rsid w:val="0077098D"/>
    <w:rsid w:val="00772CD0"/>
    <w:rsid w:val="00783ECB"/>
    <w:rsid w:val="007931FA"/>
    <w:rsid w:val="007A3DCF"/>
    <w:rsid w:val="007A4861"/>
    <w:rsid w:val="007A7BBA"/>
    <w:rsid w:val="007B01BA"/>
    <w:rsid w:val="007B0C50"/>
    <w:rsid w:val="007B48F9"/>
    <w:rsid w:val="007C1A43"/>
    <w:rsid w:val="007E6019"/>
    <w:rsid w:val="0080013E"/>
    <w:rsid w:val="00813288"/>
    <w:rsid w:val="008168FC"/>
    <w:rsid w:val="00826B21"/>
    <w:rsid w:val="00827D64"/>
    <w:rsid w:val="00830996"/>
    <w:rsid w:val="008345F1"/>
    <w:rsid w:val="00865B07"/>
    <w:rsid w:val="008667EA"/>
    <w:rsid w:val="0087637F"/>
    <w:rsid w:val="00892AD5"/>
    <w:rsid w:val="008A1512"/>
    <w:rsid w:val="008C20B3"/>
    <w:rsid w:val="008D32B9"/>
    <w:rsid w:val="008D433B"/>
    <w:rsid w:val="008E566E"/>
    <w:rsid w:val="008E7E39"/>
    <w:rsid w:val="0090161A"/>
    <w:rsid w:val="00901EB6"/>
    <w:rsid w:val="00903B73"/>
    <w:rsid w:val="00904C62"/>
    <w:rsid w:val="00905AE2"/>
    <w:rsid w:val="009076C6"/>
    <w:rsid w:val="00922BA8"/>
    <w:rsid w:val="00924A26"/>
    <w:rsid w:val="00924DAC"/>
    <w:rsid w:val="00927058"/>
    <w:rsid w:val="0093363A"/>
    <w:rsid w:val="00933C20"/>
    <w:rsid w:val="00942750"/>
    <w:rsid w:val="009450CE"/>
    <w:rsid w:val="00945196"/>
    <w:rsid w:val="00945AB6"/>
    <w:rsid w:val="00947179"/>
    <w:rsid w:val="0095164B"/>
    <w:rsid w:val="00954090"/>
    <w:rsid w:val="009573E7"/>
    <w:rsid w:val="00960E6E"/>
    <w:rsid w:val="00960E73"/>
    <w:rsid w:val="00963E05"/>
    <w:rsid w:val="00964A45"/>
    <w:rsid w:val="00965F4A"/>
    <w:rsid w:val="00967843"/>
    <w:rsid w:val="00967D54"/>
    <w:rsid w:val="00971028"/>
    <w:rsid w:val="00993B84"/>
    <w:rsid w:val="00996483"/>
    <w:rsid w:val="00996F5A"/>
    <w:rsid w:val="009B041A"/>
    <w:rsid w:val="009B28C4"/>
    <w:rsid w:val="009C1E0D"/>
    <w:rsid w:val="009C37C3"/>
    <w:rsid w:val="009C7C86"/>
    <w:rsid w:val="009D2FF7"/>
    <w:rsid w:val="009D4F67"/>
    <w:rsid w:val="009E7884"/>
    <w:rsid w:val="009E788A"/>
    <w:rsid w:val="009F0E08"/>
    <w:rsid w:val="00A1763D"/>
    <w:rsid w:val="00A17CEC"/>
    <w:rsid w:val="00A27EF0"/>
    <w:rsid w:val="00A42361"/>
    <w:rsid w:val="00A50B20"/>
    <w:rsid w:val="00A51390"/>
    <w:rsid w:val="00A60D13"/>
    <w:rsid w:val="00A72745"/>
    <w:rsid w:val="00A76EFC"/>
    <w:rsid w:val="00A8728F"/>
    <w:rsid w:val="00A91010"/>
    <w:rsid w:val="00A97F29"/>
    <w:rsid w:val="00AA702E"/>
    <w:rsid w:val="00AB0964"/>
    <w:rsid w:val="00AB5011"/>
    <w:rsid w:val="00AC7368"/>
    <w:rsid w:val="00AD16B9"/>
    <w:rsid w:val="00AE377D"/>
    <w:rsid w:val="00AF0EBA"/>
    <w:rsid w:val="00AF6775"/>
    <w:rsid w:val="00AF70E8"/>
    <w:rsid w:val="00B02C8A"/>
    <w:rsid w:val="00B17FBD"/>
    <w:rsid w:val="00B20766"/>
    <w:rsid w:val="00B315A6"/>
    <w:rsid w:val="00B31813"/>
    <w:rsid w:val="00B33365"/>
    <w:rsid w:val="00B40D12"/>
    <w:rsid w:val="00B57B36"/>
    <w:rsid w:val="00B57E6F"/>
    <w:rsid w:val="00B7060F"/>
    <w:rsid w:val="00B763DC"/>
    <w:rsid w:val="00B8686D"/>
    <w:rsid w:val="00B92CDD"/>
    <w:rsid w:val="00B93F69"/>
    <w:rsid w:val="00B978B7"/>
    <w:rsid w:val="00BB1DDC"/>
    <w:rsid w:val="00BC30C9"/>
    <w:rsid w:val="00BD077D"/>
    <w:rsid w:val="00BE3E58"/>
    <w:rsid w:val="00BE57E6"/>
    <w:rsid w:val="00BE7FA0"/>
    <w:rsid w:val="00C01616"/>
    <w:rsid w:val="00C0162B"/>
    <w:rsid w:val="00C068ED"/>
    <w:rsid w:val="00C16771"/>
    <w:rsid w:val="00C22E0C"/>
    <w:rsid w:val="00C345B1"/>
    <w:rsid w:val="00C40142"/>
    <w:rsid w:val="00C52C3C"/>
    <w:rsid w:val="00C57182"/>
    <w:rsid w:val="00C57863"/>
    <w:rsid w:val="00C655FD"/>
    <w:rsid w:val="00C67762"/>
    <w:rsid w:val="00C75407"/>
    <w:rsid w:val="00C7642A"/>
    <w:rsid w:val="00C870A8"/>
    <w:rsid w:val="00C91FFE"/>
    <w:rsid w:val="00C94434"/>
    <w:rsid w:val="00CA0D75"/>
    <w:rsid w:val="00CA1C95"/>
    <w:rsid w:val="00CA5A9C"/>
    <w:rsid w:val="00CC4C20"/>
    <w:rsid w:val="00CD3517"/>
    <w:rsid w:val="00CD5FE2"/>
    <w:rsid w:val="00CE7C68"/>
    <w:rsid w:val="00D02B4C"/>
    <w:rsid w:val="00D040C4"/>
    <w:rsid w:val="00D23934"/>
    <w:rsid w:val="00D44C4E"/>
    <w:rsid w:val="00D46B7E"/>
    <w:rsid w:val="00D57C84"/>
    <w:rsid w:val="00D6057D"/>
    <w:rsid w:val="00D64670"/>
    <w:rsid w:val="00D6643B"/>
    <w:rsid w:val="00D71640"/>
    <w:rsid w:val="00D836C5"/>
    <w:rsid w:val="00D84576"/>
    <w:rsid w:val="00D86EF2"/>
    <w:rsid w:val="00DA1399"/>
    <w:rsid w:val="00DA24C6"/>
    <w:rsid w:val="00DA4D7B"/>
    <w:rsid w:val="00DE264A"/>
    <w:rsid w:val="00DF3017"/>
    <w:rsid w:val="00DF35BD"/>
    <w:rsid w:val="00DF5072"/>
    <w:rsid w:val="00E02D18"/>
    <w:rsid w:val="00E041E7"/>
    <w:rsid w:val="00E14FE2"/>
    <w:rsid w:val="00E23CA1"/>
    <w:rsid w:val="00E409A8"/>
    <w:rsid w:val="00E50C12"/>
    <w:rsid w:val="00E551B7"/>
    <w:rsid w:val="00E65B91"/>
    <w:rsid w:val="00E7209D"/>
    <w:rsid w:val="00E72EAD"/>
    <w:rsid w:val="00E77223"/>
    <w:rsid w:val="00E8528B"/>
    <w:rsid w:val="00E85B94"/>
    <w:rsid w:val="00E978D0"/>
    <w:rsid w:val="00EA2B01"/>
    <w:rsid w:val="00EA36BC"/>
    <w:rsid w:val="00EA4613"/>
    <w:rsid w:val="00EA7F91"/>
    <w:rsid w:val="00EB1523"/>
    <w:rsid w:val="00EC0E49"/>
    <w:rsid w:val="00EC101F"/>
    <w:rsid w:val="00EC1D9F"/>
    <w:rsid w:val="00EE0131"/>
    <w:rsid w:val="00EE17B0"/>
    <w:rsid w:val="00EF06D9"/>
    <w:rsid w:val="00F30C64"/>
    <w:rsid w:val="00F32BA2"/>
    <w:rsid w:val="00F32CDB"/>
    <w:rsid w:val="00F44004"/>
    <w:rsid w:val="00F565FE"/>
    <w:rsid w:val="00F63A70"/>
    <w:rsid w:val="00F745D5"/>
    <w:rsid w:val="00F7534E"/>
    <w:rsid w:val="00FA1802"/>
    <w:rsid w:val="00FA21D0"/>
    <w:rsid w:val="00FA5F5F"/>
    <w:rsid w:val="00FB730C"/>
    <w:rsid w:val="00FC2695"/>
    <w:rsid w:val="00FC3E03"/>
    <w:rsid w:val="00FC3FC1"/>
    <w:rsid w:val="00FE14DD"/>
    <w:rsid w:val="00FE76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FF248-31B6-471B-BBE1-D47A5FE06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2824</Words>
  <Characters>15537</Characters>
  <Application>Microsoft Office Word</Application>
  <DocSecurity>0</DocSecurity>
  <Lines>129</Lines>
  <Paragraphs>36</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Dianney Clavijo</cp:lastModifiedBy>
  <cp:revision>2</cp:revision>
  <cp:lastPrinted>2015-05-12T18:31:00Z</cp:lastPrinted>
  <dcterms:created xsi:type="dcterms:W3CDTF">2022-03-29T04:13:00Z</dcterms:created>
  <dcterms:modified xsi:type="dcterms:W3CDTF">2022-03-29T04:13:00Z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