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041F6A">
            <w:pPr>
              <w:tabs>
                <w:tab w:val="clear" w:pos="7100"/>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sk-SK" w:eastAsia="sk-SK"/>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041F6A">
            <w:pPr>
              <w:tabs>
                <w:tab w:val="clear" w:pos="7100"/>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041F6A">
            <w:pPr>
              <w:tabs>
                <w:tab w:val="clear" w:pos="7100"/>
              </w:tabs>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041F6A">
            <w:pPr>
              <w:tabs>
                <w:tab w:val="clear" w:pos="7100"/>
              </w:tabs>
              <w:jc w:val="right"/>
            </w:pPr>
            <w:r w:rsidRPr="00B57B36">
              <w:rPr>
                <w:noProof/>
                <w:lang w:val="sk-SK" w:eastAsia="sk-SK"/>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041F6A">
            <w:pPr>
              <w:tabs>
                <w:tab w:val="clear" w:pos="7100"/>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041F6A">
            <w:pPr>
              <w:tabs>
                <w:tab w:val="clear" w:pos="7100"/>
              </w:tabs>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041F6A">
            <w:pPr>
              <w:tabs>
                <w:tab w:val="clear" w:pos="7100"/>
              </w:tabs>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041F6A">
            <w:pPr>
              <w:tabs>
                <w:tab w:val="clear" w:pos="7100"/>
              </w:tabs>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041F6A">
            <w:pPr>
              <w:tabs>
                <w:tab w:val="clear" w:pos="7100"/>
              </w:tabs>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041F6A">
            <w:pPr>
              <w:tabs>
                <w:tab w:val="clear" w:pos="7100"/>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41F6A">
      <w:pPr>
        <w:pStyle w:val="CETAuthors"/>
        <w:tabs>
          <w:tab w:val="clear" w:pos="7100"/>
        </w:tab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4B2B956" w:rsidR="00E978D0" w:rsidRPr="00B57B36" w:rsidRDefault="00F73A9D" w:rsidP="00041F6A">
      <w:pPr>
        <w:pStyle w:val="CETTitle"/>
      </w:pPr>
      <w:r w:rsidRPr="00F73A9D">
        <w:t>Numerical simulations of mass transfer prediction in a photobioreactor</w:t>
      </w:r>
    </w:p>
    <w:p w14:paraId="0488FED2" w14:textId="41330C4C" w:rsidR="00B57E6F" w:rsidRPr="00B57B36" w:rsidRDefault="00AF73D3" w:rsidP="00041F6A">
      <w:pPr>
        <w:pStyle w:val="CETAuthors"/>
        <w:tabs>
          <w:tab w:val="clear" w:pos="7100"/>
        </w:tabs>
        <w:rPr>
          <w:vertAlign w:val="superscript"/>
        </w:rPr>
      </w:pPr>
      <w:r>
        <w:t>Miroslav</w:t>
      </w:r>
      <w:r w:rsidR="00B57E6F">
        <w:t xml:space="preserve"> </w:t>
      </w:r>
      <w:r>
        <w:t>Rebej</w:t>
      </w:r>
      <w:r w:rsidR="2C7142DF">
        <w:t>*</w:t>
      </w:r>
      <w:r w:rsidR="00B57E6F">
        <w:t>, J</w:t>
      </w:r>
      <w:r>
        <w:t>iří Vondál</w:t>
      </w:r>
      <w:r w:rsidR="00B57E6F">
        <w:t>,</w:t>
      </w:r>
      <w:r w:rsidR="7F4D1377">
        <w:t xml:space="preserve"> </w:t>
      </w:r>
      <w:r>
        <w:t>Tomáš Juřena, Vladimír Brummer, Zdeněk Jegla</w:t>
      </w:r>
      <w:r w:rsidR="003572FD">
        <w:t>, Martin Naď</w:t>
      </w:r>
    </w:p>
    <w:p w14:paraId="6B2D21B3" w14:textId="7B56BC3F" w:rsidR="00B57E6F" w:rsidRDefault="00F36D37" w:rsidP="00041F6A">
      <w:pPr>
        <w:pStyle w:val="CETAddress"/>
      </w:pPr>
      <w:r>
        <w:t xml:space="preserve">Institute of Process Engineering, Brno University of Technology, </w:t>
      </w:r>
      <w:r w:rsidRPr="00F36D37">
        <w:t>Technická 2896/2, 61669, Brno, Česká republika</w:t>
      </w:r>
    </w:p>
    <w:p w14:paraId="18F9358D" w14:textId="6D43FD88" w:rsidR="00AF73D3" w:rsidRDefault="00AF73D3" w:rsidP="00AF73D3">
      <w:pPr>
        <w:pStyle w:val="CETemail"/>
      </w:pPr>
      <w:r>
        <w:t>rebej</w:t>
      </w:r>
      <w:r w:rsidR="00B57E6F" w:rsidRPr="00B57B36">
        <w:t>@</w:t>
      </w:r>
      <w:r>
        <w:t>fme.vutbr.cz</w:t>
      </w:r>
    </w:p>
    <w:p w14:paraId="3227BEFD" w14:textId="1FA507EE" w:rsidR="00837774" w:rsidRPr="00B57B36" w:rsidRDefault="00837774" w:rsidP="00837774">
      <w:pPr>
        <w:pStyle w:val="CETBodytext"/>
      </w:pPr>
      <w:bookmarkStart w:id="0" w:name="_Hlk495475023"/>
      <w:r>
        <w:t>The paper deals with the possibility of using flue gas as a nutrient source for microalgae cultivation</w:t>
      </w:r>
      <w:r w:rsidR="00924441">
        <w:t xml:space="preserve"> in a bubble</w:t>
      </w:r>
      <w:r w:rsidR="00433E72">
        <w:t xml:space="preserve"> </w:t>
      </w:r>
      <w:r w:rsidR="00924441">
        <w:t>column photobioreactor</w:t>
      </w:r>
      <w:r>
        <w:t>. The experiments performed on a vertical tubular photobioreactor determined the concentrations of the flue gas species that pass from the flue gas into the cultivation medium. The flue gas used for experiments was a gas</w:t>
      </w:r>
      <w:r w:rsidR="00433E72">
        <w:t xml:space="preserve"> </w:t>
      </w:r>
      <w:r>
        <w:t>mixture o</w:t>
      </w:r>
      <w:r w:rsidR="00F05D84">
        <w:t xml:space="preserve">f different pollutants, e.g. </w:t>
      </w:r>
      <w:proofErr w:type="spellStart"/>
      <w:r w:rsidR="00F05D84">
        <w:t>SO</w:t>
      </w:r>
      <w:r w:rsidRPr="176C6A68">
        <w:rPr>
          <w:vertAlign w:val="subscript"/>
        </w:rPr>
        <w:t>x</w:t>
      </w:r>
      <w:proofErr w:type="spellEnd"/>
      <w:r w:rsidR="00F05D84">
        <w:t>, NO</w:t>
      </w:r>
      <w:r w:rsidR="00F05D84" w:rsidRPr="176C6A68">
        <w:rPr>
          <w:vertAlign w:val="subscript"/>
        </w:rPr>
        <w:t>x</w:t>
      </w:r>
      <w:r>
        <w:t>, or</w:t>
      </w:r>
      <w:r w:rsidR="00F05D84">
        <w:t xml:space="preserve"> CO</w:t>
      </w:r>
      <w:r w:rsidRPr="176C6A68">
        <w:rPr>
          <w:vertAlign w:val="subscript"/>
        </w:rPr>
        <w:t>2</w:t>
      </w:r>
      <w:r>
        <w:t>, with a composition typical for waste-to-energy facilities.</w:t>
      </w:r>
      <w:r w:rsidR="00054288">
        <w:t xml:space="preserve"> The </w:t>
      </w:r>
      <w:r w:rsidR="007527B4">
        <w:t xml:space="preserve">paper is supplementary to the laboratory </w:t>
      </w:r>
      <w:r w:rsidR="00054288">
        <w:t>experiments</w:t>
      </w:r>
      <w:r w:rsidR="007527B4">
        <w:t>. T</w:t>
      </w:r>
      <w:r w:rsidR="00054288">
        <w:t>he</w:t>
      </w:r>
      <w:r w:rsidR="007527B4">
        <w:t xml:space="preserve"> objective of the</w:t>
      </w:r>
      <w:r w:rsidR="00054288">
        <w:t xml:space="preserve"> multiphase CFD analys</w:t>
      </w:r>
      <w:r w:rsidR="005B67C0">
        <w:t>i</w:t>
      </w:r>
      <w:r w:rsidR="00054288">
        <w:t xml:space="preserve">s </w:t>
      </w:r>
      <w:r w:rsidR="007527B4">
        <w:t>is</w:t>
      </w:r>
      <w:r w:rsidR="00054288">
        <w:t xml:space="preserve"> </w:t>
      </w:r>
      <w:r w:rsidR="007527B4">
        <w:t xml:space="preserve">to </w:t>
      </w:r>
      <w:r w:rsidR="00054288">
        <w:t>develop the numerical model for ma</w:t>
      </w:r>
      <w:bookmarkStart w:id="1" w:name="_GoBack"/>
      <w:bookmarkEnd w:id="1"/>
      <w:r w:rsidR="00054288">
        <w:t xml:space="preserve">ss transfer predictions in photobioreactors. The </w:t>
      </w:r>
      <w:r w:rsidR="005B67C0">
        <w:t xml:space="preserve">model employs </w:t>
      </w:r>
      <w:r w:rsidR="005C2D3C">
        <w:t xml:space="preserve">the </w:t>
      </w:r>
      <w:r w:rsidR="005B67C0">
        <w:t>Henry’s law for interphase equilibrium and the penetration model for the mass transfer coefficient.</w:t>
      </w:r>
    </w:p>
    <w:bookmarkEnd w:id="0"/>
    <w:p w14:paraId="476B2F2E" w14:textId="77777777" w:rsidR="00600535" w:rsidRPr="00B57B36" w:rsidRDefault="00600535" w:rsidP="00041F6A">
      <w:pPr>
        <w:pStyle w:val="CETHeading1"/>
        <w:rPr>
          <w:lang w:val="en-GB"/>
        </w:rPr>
      </w:pPr>
      <w:r w:rsidRPr="176C6A68">
        <w:rPr>
          <w:lang w:val="en-GB"/>
        </w:rPr>
        <w:t>Introduction</w:t>
      </w:r>
    </w:p>
    <w:p w14:paraId="4CE27FB6" w14:textId="106969B2" w:rsidR="00B24051" w:rsidRPr="00B24051" w:rsidRDefault="00B24051" w:rsidP="00B24051">
      <w:pPr>
        <w:pStyle w:val="CETBodytext"/>
        <w:tabs>
          <w:tab w:val="clear" w:pos="7100"/>
        </w:tabs>
        <w:rPr>
          <w:lang w:val="en-GB"/>
        </w:rPr>
      </w:pPr>
      <w:r w:rsidRPr="00B24051">
        <w:rPr>
          <w:lang w:val="en-GB"/>
        </w:rPr>
        <w:t>Microalgae cultivation may be one of the possible ways to meet environmental challenges. Cultivation of microalgae creates biomass that can be processed into other products such as proteins, lipids, carbohydrates, vitamins or pigments</w:t>
      </w:r>
      <w:r w:rsidR="00027D0E">
        <w:rPr>
          <w:lang w:val="en-GB"/>
        </w:rPr>
        <w:t xml:space="preserve"> that can be turned into </w:t>
      </w:r>
      <w:r w:rsidRPr="00B24051">
        <w:rPr>
          <w:lang w:val="en-GB"/>
        </w:rPr>
        <w:t>biofuels or other substances with potential use in cosmetics, agriculture or medicine</w:t>
      </w:r>
      <w:r w:rsidR="00BA2DE9">
        <w:rPr>
          <w:lang w:val="en-GB"/>
        </w:rPr>
        <w:t xml:space="preserve"> </w:t>
      </w:r>
      <w:r w:rsidR="00BA2DE9">
        <w:rPr>
          <w:lang w:val="en-GB"/>
        </w:rPr>
        <w:fldChar w:fldCharType="begin"/>
      </w:r>
      <w:r w:rsidR="00194DA1">
        <w:rPr>
          <w:lang w:val="en-GB"/>
        </w:rPr>
        <w:instrText xml:space="preserve"> ADDIN ZOTERO_ITEM CSL_CITATION {"citationID":"af9PRII7","properties":{"formattedCitation":"(Vassilev and Vassileva, 2016)","plainCitation":"(Vassilev and Vassileva, 2016)","noteIndex":0},"citationItems":[{"id":924,"uris":["http://zotero.org/users/5417172/items/92X8RGTF"],"itemData":{"id":924,"type":"article-journal","abstract":"Algae-based fuels are considered to be the most sustainable, renewable, effective and environment friendly response to climate change and food–feed security, as well as the only renewable energy resource that has the capacity to meet the global demand for fuels in the long-term. Therefore, an extended overview of the composition, properties and challenges of algae biomass for biofuel application was conducted based on reference peer-reviewed data plus own investigations. Initially, some general considerations such as current bioenergy situation and significance of biofuel generations, as well as different aspects related to biomass use as biofuels are discussed. Then, common issues concerning taxonomical classification, habitat environment, carbon reserve capacity, production, use, and main advantages and disadvantages of algae or algae biofuel are addressed. Further, more than 135 characteristics related to the chemical, phase and mineral composition and properties of algae and algae ash are evaluated and compared to those of terrestrial biomass, coal and their ashes. As a result specific benefits and obstacles connected with the composition and properties of algae and algae ash are discussed. The behaviour of organic and inorganic matter during algae combustion is also described. Finally, the major technological and environmental challenges related to algae-based fuels are emphasized. The present data demonstrate that the high contents of inorganic matter with unfavourable modes of element occurrences (chlorides, sulphates, carbonates, oxalates, nitrates and some oxyhydroxides, phosphates and amorphous material) in algae and algae ash provoke the most critical technological and environmental challenges during algae processing for biofuel application and especially during algae thermochemical conversion. Another very important challenge addressed is the indefinite availability of sustainable algae resources for production of biofuels and biochemicals and certain recommendations are given. It was found that the disadvantages of algae biofuel application prevail significantly over the advantages; however, the major economic, environmental and social benefits appear to compensate the technological and other barriers caused by the unfavourable composition and properties of algae.","container-title":"Fuel","DOI":"10.1016/j.fuel.2016.04.106","ISSN":"0016-2361","journalAbbreviation":"Fuel","language":"en","page":"1-33","source":"ScienceDirect","title":"Composition, properties and challenges of algae biomass for biofuel application: An overview","title-short":"Composition, properties and challenges of algae biomass for biofuel application","volume":"181","author":[{"family":"Vassilev","given":"Stanislav V."},{"family":"Vassileva","given":"Christina G."}],"issued":{"date-parts":[["2016",10,1]]}}}],"schema":"https://github.com/citation-style-language/schema/raw/master/csl-citation.json"} </w:instrText>
      </w:r>
      <w:r w:rsidR="00BA2DE9">
        <w:rPr>
          <w:lang w:val="en-GB"/>
        </w:rPr>
        <w:fldChar w:fldCharType="separate"/>
      </w:r>
      <w:r w:rsidR="00BA2DE9" w:rsidRPr="00BA2DE9">
        <w:rPr>
          <w:rFonts w:cs="Arial"/>
        </w:rPr>
        <w:t>(Vassilev and Vassileva, 2016)</w:t>
      </w:r>
      <w:r w:rsidR="00BA2DE9">
        <w:rPr>
          <w:lang w:val="en-GB"/>
        </w:rPr>
        <w:fldChar w:fldCharType="end"/>
      </w:r>
      <w:r w:rsidR="00BA2DE9">
        <w:rPr>
          <w:lang w:val="en-GB"/>
        </w:rPr>
        <w:t>.</w:t>
      </w:r>
      <w:r w:rsidR="00B81BEA">
        <w:rPr>
          <w:lang w:val="en-GB"/>
        </w:rPr>
        <w:t xml:space="preserve"> </w:t>
      </w:r>
      <w:r w:rsidRPr="00B24051">
        <w:rPr>
          <w:lang w:val="en-GB"/>
        </w:rPr>
        <w:t>The microalgae species diversity allows their use in various areas</w:t>
      </w:r>
      <w:r w:rsidR="00027D0E">
        <w:rPr>
          <w:lang w:val="en-GB"/>
        </w:rPr>
        <w:t xml:space="preserve"> as e</w:t>
      </w:r>
      <w:r w:rsidRPr="00B24051">
        <w:rPr>
          <w:lang w:val="en-GB"/>
        </w:rPr>
        <w:t>ach speci</w:t>
      </w:r>
      <w:r w:rsidR="00027D0E">
        <w:rPr>
          <w:lang w:val="en-GB"/>
        </w:rPr>
        <w:t>e</w:t>
      </w:r>
      <w:r w:rsidRPr="00B24051">
        <w:rPr>
          <w:lang w:val="en-GB"/>
        </w:rPr>
        <w:t xml:space="preserve"> has different requirements for living conditions.</w:t>
      </w:r>
    </w:p>
    <w:p w14:paraId="284A4B20" w14:textId="7FF20BFD" w:rsidR="00B24051" w:rsidRPr="00B24051" w:rsidRDefault="00B24051" w:rsidP="00B24051">
      <w:pPr>
        <w:pStyle w:val="CETBodytext"/>
        <w:tabs>
          <w:tab w:val="clear" w:pos="7100"/>
        </w:tabs>
        <w:rPr>
          <w:lang w:val="en-GB"/>
        </w:rPr>
      </w:pPr>
      <w:r w:rsidRPr="00B24051">
        <w:rPr>
          <w:lang w:val="en-GB"/>
        </w:rPr>
        <w:t>Microalgae can effectively remove some substances from waste streams. Examples of these substances are gaseous pollutants, e.g. CO</w:t>
      </w:r>
      <w:r w:rsidRPr="000471C9">
        <w:rPr>
          <w:vertAlign w:val="subscript"/>
          <w:lang w:val="en-GB"/>
        </w:rPr>
        <w:t>2</w:t>
      </w:r>
      <w:r w:rsidRPr="00B24051">
        <w:rPr>
          <w:lang w:val="en-GB"/>
        </w:rPr>
        <w:t>, NO</w:t>
      </w:r>
      <w:r w:rsidRPr="000471C9">
        <w:rPr>
          <w:vertAlign w:val="subscript"/>
          <w:lang w:val="en-GB"/>
        </w:rPr>
        <w:t>x</w:t>
      </w:r>
      <w:r w:rsidRPr="00B24051">
        <w:rPr>
          <w:lang w:val="en-GB"/>
        </w:rPr>
        <w:t xml:space="preserve">, </w:t>
      </w:r>
      <w:proofErr w:type="spellStart"/>
      <w:r w:rsidRPr="00B24051">
        <w:rPr>
          <w:lang w:val="en-GB"/>
        </w:rPr>
        <w:t>SO</w:t>
      </w:r>
      <w:r w:rsidRPr="000471C9">
        <w:rPr>
          <w:vertAlign w:val="subscript"/>
          <w:lang w:val="en-GB"/>
        </w:rPr>
        <w:t>x</w:t>
      </w:r>
      <w:proofErr w:type="spellEnd"/>
      <w:r w:rsidRPr="00B24051">
        <w:rPr>
          <w:lang w:val="en-GB"/>
        </w:rPr>
        <w:t>, heavy metals or other substances like phosphates, sodium, magnesium or calcium. Ideally, appropriate cultivation of microalgae could, therefore, capture various pollutants that would negatively affect the environment and, at the same time, transform waste products into valuable raw materials and biomass production. Waste products can consequently become a cheap source of nutrients for microalgae that could be used to produce other products. The use of waste products may subsequently reduce the impact of human activities on the environment and obtain a sustainable way of dealing with them. However, it is necessary to maximize photobioreactor efficiency for such processes to be economical and feasible.</w:t>
      </w:r>
    </w:p>
    <w:p w14:paraId="19C4FC68" w14:textId="14844295" w:rsidR="004628D2" w:rsidRDefault="00B24051" w:rsidP="00B24051">
      <w:pPr>
        <w:pStyle w:val="CETBodytext"/>
        <w:tabs>
          <w:tab w:val="clear" w:pos="7100"/>
        </w:tabs>
        <w:rPr>
          <w:lang w:val="en-GB"/>
        </w:rPr>
      </w:pPr>
      <w:r w:rsidRPr="00B24051">
        <w:rPr>
          <w:lang w:val="en-GB"/>
        </w:rPr>
        <w:t xml:space="preserve">The mass transfer in the gas-liquid environment often becomes the rate-limiting step for the overall reaction because of the low solubility of most gases </w:t>
      </w:r>
      <w:r w:rsidR="007331B0">
        <w:rPr>
          <w:lang w:val="en-GB"/>
        </w:rPr>
        <w:fldChar w:fldCharType="begin"/>
      </w:r>
      <w:r w:rsidR="00194DA1">
        <w:rPr>
          <w:lang w:val="en-GB"/>
        </w:rPr>
        <w:instrText xml:space="preserve"> ADDIN ZOTERO_ITEM CSL_CITATION {"citationID":"BiEtNlyk","properties":{"formattedCitation":"(Kraakman et al., 2011)","plainCitation":"(Kraakman et al., 2011)","noteIndex":0},"citationItems":[{"id":30,"uris":["http://zotero.org/users/5417172/items/DEVVICG5"],"itemData":{"id":30,"type":"article-journal","abstract":"This contribution reviews the mass transfer aspects of biotechnological processes for gas treatment, with an emphasis on the underlying principles and technical feasible methods for mass transfer enhancements. Understanding of the mass transfer behavior in bioreactors for gas treatment will result in improved reactor designs, reactor operation, and modeling tools, which are important to maximize efficiency and minimize costs. Various methods are discussed that show the potential for a more effective treatment of compounds with poor water solubility.","archive":"PubMed","archive_location":"21701986","container-title":"Applied microbiology and biotechnology","DOI":"10.1007/s00253-011-3365-5","ISSN":"1432-0614","issue":"4","journalAbbreviation":"Appl Microbiol Biotechnol","language":"eng","page":"873-886","title":"Review of mass transfer aspects for biological gas treatment","volume":"91","author":[{"family":"Kraakman","given":"Norbertus J R"},{"family":"Rocha-Rios","given":"Jose"},{"family":"Loosdrecht","given":"Mark C M","non-dropping-particle":"van"}],"issued":{"date-parts":[["2011"]]}}}],"schema":"https://github.com/citation-style-language/schema/raw/master/csl-citation.json"} </w:instrText>
      </w:r>
      <w:r w:rsidR="007331B0">
        <w:rPr>
          <w:lang w:val="en-GB"/>
        </w:rPr>
        <w:fldChar w:fldCharType="separate"/>
      </w:r>
      <w:r w:rsidR="007331B0" w:rsidRPr="007331B0">
        <w:rPr>
          <w:rFonts w:cs="Arial"/>
        </w:rPr>
        <w:t>(Kraakman et al., 2011)</w:t>
      </w:r>
      <w:r w:rsidR="007331B0">
        <w:rPr>
          <w:lang w:val="en-GB"/>
        </w:rPr>
        <w:fldChar w:fldCharType="end"/>
      </w:r>
      <w:r w:rsidR="00F73A9D" w:rsidRPr="00F73A9D">
        <w:rPr>
          <w:lang w:val="en-GB"/>
        </w:rPr>
        <w:t>.</w:t>
      </w:r>
      <w:r w:rsidR="00F5233F">
        <w:rPr>
          <w:lang w:val="en-GB"/>
        </w:rPr>
        <w:t xml:space="preserve"> </w:t>
      </w:r>
      <w:r w:rsidRPr="00B24051">
        <w:rPr>
          <w:lang w:val="en-GB"/>
        </w:rPr>
        <w:t xml:space="preserve">As a result, a photobioreactor for gas treatment can reach the mass-transfer-limited conditions. The purpose of the presented work is to develop a CFD model that </w:t>
      </w:r>
      <w:r w:rsidR="002B32FD">
        <w:rPr>
          <w:lang w:val="en-GB"/>
        </w:rPr>
        <w:t xml:space="preserve">is supplementary </w:t>
      </w:r>
      <w:r w:rsidRPr="00B24051">
        <w:rPr>
          <w:lang w:val="en-GB"/>
        </w:rPr>
        <w:t xml:space="preserve">to mass transfer </w:t>
      </w:r>
      <w:r w:rsidR="002B32FD" w:rsidRPr="00B24051">
        <w:rPr>
          <w:lang w:val="en-GB"/>
        </w:rPr>
        <w:t xml:space="preserve">experiments </w:t>
      </w:r>
      <w:r w:rsidRPr="00B24051">
        <w:rPr>
          <w:lang w:val="en-GB"/>
        </w:rPr>
        <w:t>in photobioreactors under CO</w:t>
      </w:r>
      <w:r w:rsidRPr="002B32FD">
        <w:rPr>
          <w:vertAlign w:val="subscript"/>
          <w:lang w:val="en-GB"/>
        </w:rPr>
        <w:t>2</w:t>
      </w:r>
      <w:r w:rsidRPr="00B24051">
        <w:rPr>
          <w:lang w:val="en-GB"/>
        </w:rPr>
        <w:t>-enriched conditions.</w:t>
      </w:r>
    </w:p>
    <w:p w14:paraId="0EC520F0" w14:textId="61BB5435" w:rsidR="00866D9F" w:rsidRDefault="00866D9F" w:rsidP="00041F6A">
      <w:pPr>
        <w:pStyle w:val="CETHeading1"/>
      </w:pPr>
      <w:r>
        <w:t>Experimental photobioreactor</w:t>
      </w:r>
    </w:p>
    <w:p w14:paraId="6997D8A9" w14:textId="6B3C13DB" w:rsidR="00D35C4E" w:rsidRDefault="00982465" w:rsidP="00041F6A">
      <w:pPr>
        <w:pStyle w:val="CETBodytext"/>
        <w:tabs>
          <w:tab w:val="clear" w:pos="7100"/>
        </w:tabs>
        <w:rPr>
          <w:lang w:val="en-GB"/>
        </w:rPr>
      </w:pPr>
      <w:r w:rsidRPr="00982465">
        <w:rPr>
          <w:lang w:val="en-GB"/>
        </w:rPr>
        <w:t>All experiments described in this paper were performed on the pilot experimental photobioreactor. The photobioreactor is a bubble-column type with three vertical tubes.</w:t>
      </w:r>
      <w:r w:rsidR="002D2D45">
        <w:rPr>
          <w:lang w:val="en-GB"/>
        </w:rPr>
        <w:t xml:space="preserve"> The photobioreactor schematic is in </w:t>
      </w:r>
      <w:r w:rsidR="002D2D45">
        <w:rPr>
          <w:lang w:val="en-GB"/>
        </w:rPr>
        <w:fldChar w:fldCharType="begin"/>
      </w:r>
      <w:r w:rsidR="002D2D45">
        <w:rPr>
          <w:lang w:val="en-GB"/>
        </w:rPr>
        <w:instrText xml:space="preserve"> REF _Ref94349101 \h </w:instrText>
      </w:r>
      <w:r w:rsidR="002D2D45">
        <w:rPr>
          <w:lang w:val="en-GB"/>
        </w:rPr>
      </w:r>
      <w:r w:rsidR="002D2D45">
        <w:rPr>
          <w:lang w:val="en-GB"/>
        </w:rPr>
        <w:fldChar w:fldCharType="separate"/>
      </w:r>
      <w:r w:rsidR="00CB2A3F">
        <w:t xml:space="preserve">Figure </w:t>
      </w:r>
      <w:r w:rsidR="00CB2A3F">
        <w:rPr>
          <w:noProof/>
        </w:rPr>
        <w:t>1</w:t>
      </w:r>
      <w:r w:rsidR="002D2D45">
        <w:rPr>
          <w:lang w:val="en-GB"/>
        </w:rPr>
        <w:fldChar w:fldCharType="end"/>
      </w:r>
      <w:r w:rsidR="002D2D45">
        <w:rPr>
          <w:lang w:val="en-GB"/>
        </w:rPr>
        <w:t>.</w:t>
      </w:r>
      <w:r w:rsidRPr="00982465">
        <w:rPr>
          <w:lang w:val="en-GB"/>
        </w:rPr>
        <w:t xml:space="preserve"> The cultivation medium was aerated from the bottom of the tubes through the perforated inlet</w:t>
      </w:r>
      <w:r w:rsidR="002D2D45">
        <w:rPr>
          <w:lang w:val="en-GB"/>
        </w:rPr>
        <w:t xml:space="preserve"> membrane</w:t>
      </w:r>
      <w:r w:rsidRPr="00982465">
        <w:rPr>
          <w:lang w:val="en-GB"/>
        </w:rPr>
        <w:t xml:space="preserve">. The aeration gas mixture was pumped from the gas tanks, with the oxygen being stored in one tank and the mixture of flue gases in the other tank. This disposition prevented the oxidation of flue gases and allowed the preparation </w:t>
      </w:r>
      <w:r w:rsidRPr="00982465">
        <w:rPr>
          <w:lang w:val="en-GB"/>
        </w:rPr>
        <w:lastRenderedPageBreak/>
        <w:t xml:space="preserve">of the desired gas mixture for </w:t>
      </w:r>
      <w:r w:rsidR="002D2D45">
        <w:rPr>
          <w:lang w:val="en-GB"/>
        </w:rPr>
        <w:t xml:space="preserve">the </w:t>
      </w:r>
      <w:r w:rsidRPr="00982465">
        <w:rPr>
          <w:lang w:val="en-GB"/>
        </w:rPr>
        <w:t xml:space="preserve">aeration. The aeration gas mixture was then pumped into the buffer </w:t>
      </w:r>
      <w:r w:rsidR="002D2D45">
        <w:rPr>
          <w:lang w:val="en-GB"/>
        </w:rPr>
        <w:t xml:space="preserve">tank </w:t>
      </w:r>
      <w:r w:rsidRPr="00982465">
        <w:rPr>
          <w:lang w:val="en-GB"/>
        </w:rPr>
        <w:t>and fed into the reactor’s tubes. The aeration gas that had passed through the cultivation medium was then collected and returned to the buffer tank.</w:t>
      </w:r>
      <w:r w:rsidR="00D35C4E">
        <w:rPr>
          <w:lang w:val="en-GB"/>
        </w:rPr>
        <w:t xml:space="preserve"> However, before entering the buffer tank, the gas composition was analysed.</w:t>
      </w:r>
    </w:p>
    <w:p w14:paraId="7644B68E" w14:textId="77777777" w:rsidR="00D35C4E" w:rsidRDefault="00D35C4E" w:rsidP="00041F6A">
      <w:pPr>
        <w:pStyle w:val="CETBodytext"/>
        <w:tabs>
          <w:tab w:val="clear" w:pos="7100"/>
        </w:tabs>
        <w:rPr>
          <w:lang w:val="en-GB"/>
        </w:rPr>
      </w:pPr>
      <w:r>
        <w:rPr>
          <w:lang w:val="en-GB"/>
        </w:rPr>
        <w:t>In addition to that, the photobioreactor loop is equipped with a peristaltic pump to extract a</w:t>
      </w:r>
      <w:r w:rsidR="00982465" w:rsidRPr="00982465">
        <w:rPr>
          <w:lang w:val="en-GB"/>
        </w:rPr>
        <w:t>ny produced biomass</w:t>
      </w:r>
      <w:r>
        <w:rPr>
          <w:lang w:val="en-GB"/>
        </w:rPr>
        <w:t>.</w:t>
      </w:r>
    </w:p>
    <w:p w14:paraId="21609409" w14:textId="63347562" w:rsidR="00587F82" w:rsidRDefault="00587F82" w:rsidP="00041F6A">
      <w:pPr>
        <w:pStyle w:val="CETBodytext"/>
        <w:tabs>
          <w:tab w:val="clear" w:pos="7100"/>
        </w:tabs>
        <w:rPr>
          <w:lang w:val="en-GB"/>
        </w:rPr>
      </w:pPr>
    </w:p>
    <w:p w14:paraId="17FFDE84" w14:textId="77777777" w:rsidR="00587F82" w:rsidRDefault="00587F82" w:rsidP="00041F6A">
      <w:pPr>
        <w:pStyle w:val="CETBodytext"/>
        <w:keepNext/>
        <w:tabs>
          <w:tab w:val="clear" w:pos="7100"/>
        </w:tabs>
      </w:pPr>
      <w:r>
        <w:rPr>
          <w:noProof/>
          <w:lang w:val="sk-SK" w:eastAsia="sk-SK"/>
        </w:rPr>
        <w:drawing>
          <wp:inline distT="0" distB="0" distL="0" distR="0" wp14:anchorId="473BE1FF" wp14:editId="069979A5">
            <wp:extent cx="5580000" cy="2684809"/>
            <wp:effectExtent l="0" t="0" r="190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52" t="9820" r="2099" b="9820"/>
                    <a:stretch/>
                  </pic:blipFill>
                  <pic:spPr bwMode="auto">
                    <a:xfrm>
                      <a:off x="0" y="0"/>
                      <a:ext cx="5580000" cy="2684809"/>
                    </a:xfrm>
                    <a:prstGeom prst="rect">
                      <a:avLst/>
                    </a:prstGeom>
                    <a:ln>
                      <a:noFill/>
                    </a:ln>
                    <a:extLst>
                      <a:ext uri="{53640926-AAD7-44D8-BBD7-CCE9431645EC}">
                        <a14:shadowObscured xmlns:a14="http://schemas.microsoft.com/office/drawing/2010/main"/>
                      </a:ext>
                    </a:extLst>
                  </pic:spPr>
                </pic:pic>
              </a:graphicData>
            </a:graphic>
          </wp:inline>
        </w:drawing>
      </w:r>
    </w:p>
    <w:p w14:paraId="74BC2EB1" w14:textId="7B6E5804" w:rsidR="00587F82" w:rsidRDefault="00587F82" w:rsidP="00041F6A">
      <w:pPr>
        <w:pStyle w:val="CETCaption"/>
        <w:rPr>
          <w:noProof/>
        </w:rPr>
      </w:pPr>
      <w:bookmarkStart w:id="2" w:name="_Ref94349101"/>
      <w:r>
        <w:t xml:space="preserve">Figure </w:t>
      </w:r>
      <w:r>
        <w:fldChar w:fldCharType="begin"/>
      </w:r>
      <w:r>
        <w:instrText xml:space="preserve"> SEQ Figure \* ARABIC </w:instrText>
      </w:r>
      <w:r>
        <w:fldChar w:fldCharType="separate"/>
      </w:r>
      <w:r w:rsidR="00CB2A3F">
        <w:rPr>
          <w:noProof/>
        </w:rPr>
        <w:t>1</w:t>
      </w:r>
      <w:r>
        <w:fldChar w:fldCharType="end"/>
      </w:r>
      <w:bookmarkEnd w:id="2"/>
      <w:r>
        <w:rPr>
          <w:noProof/>
        </w:rPr>
        <w:t xml:space="preserve"> </w:t>
      </w:r>
      <w:r w:rsidR="00EB54BA">
        <w:rPr>
          <w:noProof/>
        </w:rPr>
        <w:t>S</w:t>
      </w:r>
      <w:r>
        <w:rPr>
          <w:noProof/>
        </w:rPr>
        <w:t>c</w:t>
      </w:r>
      <w:r w:rsidR="00EB54BA">
        <w:rPr>
          <w:noProof/>
        </w:rPr>
        <w:t>h</w:t>
      </w:r>
      <w:r>
        <w:rPr>
          <w:noProof/>
        </w:rPr>
        <w:t>ematic</w:t>
      </w:r>
      <w:r w:rsidR="00EB54BA">
        <w:rPr>
          <w:noProof/>
        </w:rPr>
        <w:t xml:space="preserve"> of the pilot experim</w:t>
      </w:r>
      <w:r w:rsidR="00585BF3">
        <w:rPr>
          <w:noProof/>
        </w:rPr>
        <w:t>e</w:t>
      </w:r>
      <w:r w:rsidR="00EB54BA">
        <w:rPr>
          <w:noProof/>
        </w:rPr>
        <w:t>ntal photobioreactor</w:t>
      </w:r>
    </w:p>
    <w:p w14:paraId="5D818DAA" w14:textId="087B9AAB" w:rsidR="00EB54BA" w:rsidRDefault="004A0ABF" w:rsidP="00041F6A">
      <w:pPr>
        <w:pStyle w:val="CETheadingx"/>
      </w:pPr>
      <w:r>
        <w:t>Aeration gas mixture</w:t>
      </w:r>
    </w:p>
    <w:p w14:paraId="298B70F8" w14:textId="52B34AB5" w:rsidR="001B14B7" w:rsidRDefault="000E010D" w:rsidP="0036397C">
      <w:pPr>
        <w:tabs>
          <w:tab w:val="clear" w:pos="7100"/>
        </w:tabs>
        <w:spacing w:after="200" w:line="276" w:lineRule="auto"/>
      </w:pPr>
      <w:r>
        <w:t>T</w:t>
      </w:r>
      <w:r w:rsidR="004A0ABF">
        <w:t>he reactor was filled with 4.34</w:t>
      </w:r>
      <w:r w:rsidR="00052F91">
        <w:t> </w:t>
      </w:r>
      <w:r w:rsidR="004A0ABF">
        <w:t>L of water</w:t>
      </w:r>
      <w:r w:rsidR="00414EE9">
        <w:t xml:space="preserve"> (1.447</w:t>
      </w:r>
      <w:r w:rsidR="0002503F">
        <w:t> </w:t>
      </w:r>
      <w:r w:rsidR="00414EE9">
        <w:t>L in each tube)</w:t>
      </w:r>
      <w:r w:rsidR="00454657">
        <w:t>,</w:t>
      </w:r>
      <w:r w:rsidR="00414EE9">
        <w:t xml:space="preserve"> and t</w:t>
      </w:r>
      <w:r w:rsidR="004A0ABF">
        <w:t xml:space="preserve">he experiments took place at an ambient temperature </w:t>
      </w:r>
      <w:r w:rsidR="00454657">
        <w:t xml:space="preserve">of </w:t>
      </w:r>
      <w:r w:rsidR="004A0ABF">
        <w:t xml:space="preserve">22°C. </w:t>
      </w:r>
      <w:r w:rsidR="003A4FD7">
        <w:t xml:space="preserve">In total, </w:t>
      </w:r>
      <w:r>
        <w:t>105 L of t</w:t>
      </w:r>
      <w:r w:rsidR="004A0ABF">
        <w:t>he aeration gas was fed to the reactor from storage tanks</w:t>
      </w:r>
      <w:r w:rsidR="00414EE9">
        <w:t xml:space="preserve"> </w:t>
      </w:r>
      <w:r>
        <w:t xml:space="preserve">with </w:t>
      </w:r>
      <w:r w:rsidR="004A0ABF">
        <w:t xml:space="preserve">composition presented in </w:t>
      </w:r>
      <w:r>
        <w:fldChar w:fldCharType="begin"/>
      </w:r>
      <w:r>
        <w:instrText xml:space="preserve"> REF _Ref94352383 \h </w:instrText>
      </w:r>
      <w:r>
        <w:fldChar w:fldCharType="separate"/>
      </w:r>
      <w:r w:rsidR="00CB2A3F">
        <w:t xml:space="preserve">Table </w:t>
      </w:r>
      <w:r w:rsidR="00CB2A3F">
        <w:rPr>
          <w:noProof/>
        </w:rPr>
        <w:t>1</w:t>
      </w:r>
      <w:r>
        <w:fldChar w:fldCharType="end"/>
      </w:r>
      <w:r w:rsidR="004A0ABF">
        <w:t>.</w:t>
      </w:r>
      <w:r w:rsidR="00A7337F">
        <w:t xml:space="preserve"> </w:t>
      </w:r>
      <w:r w:rsidR="00C538C2" w:rsidRPr="00F5559B">
        <w:t xml:space="preserve">To measure </w:t>
      </w:r>
      <w:r w:rsidR="00E66597" w:rsidRPr="00F5559B">
        <w:t xml:space="preserve">real-time </w:t>
      </w:r>
      <w:r w:rsidR="0011194C" w:rsidRPr="00F5559B">
        <w:t xml:space="preserve">changes in </w:t>
      </w:r>
      <w:r w:rsidR="00C538C2" w:rsidRPr="00F5559B">
        <w:t xml:space="preserve">the composition of the aeration gas after passing through the </w:t>
      </w:r>
      <w:r w:rsidR="00544834" w:rsidRPr="00F5559B">
        <w:t>cultivation</w:t>
      </w:r>
      <w:r w:rsidR="00C538C2" w:rsidRPr="00F5559B">
        <w:t xml:space="preserve"> medium, the ABB EL3020 continuous flue gas analyser was used</w:t>
      </w:r>
      <w:r w:rsidR="00C538C2">
        <w:t xml:space="preserve">. </w:t>
      </w:r>
      <w:r w:rsidR="00E33E48">
        <w:t>The experiment took 1</w:t>
      </w:r>
      <w:r w:rsidR="00882CFF">
        <w:t> </w:t>
      </w:r>
      <w:r w:rsidR="00E33E48">
        <w:t>h 40</w:t>
      </w:r>
      <w:r w:rsidR="00882CFF">
        <w:t> </w:t>
      </w:r>
      <w:r w:rsidR="00E33E48">
        <w:t>min with the co</w:t>
      </w:r>
      <w:r w:rsidR="00564925">
        <w:t>nstant airflow rate of 2 L/min at 165</w:t>
      </w:r>
      <w:r w:rsidR="00332E75">
        <w:t> </w:t>
      </w:r>
      <w:r w:rsidR="00564925">
        <w:t>mbar.</w:t>
      </w:r>
    </w:p>
    <w:p w14:paraId="7759CEB2" w14:textId="0C7F3E07" w:rsidR="00FB6CEC" w:rsidRDefault="00FB6CEC" w:rsidP="00041F6A">
      <w:pPr>
        <w:pStyle w:val="CETTabletitle"/>
      </w:pPr>
      <w:bookmarkStart w:id="3" w:name="_Ref94352383"/>
      <w:r>
        <w:t xml:space="preserve">Table </w:t>
      </w:r>
      <w:r>
        <w:fldChar w:fldCharType="begin"/>
      </w:r>
      <w:r>
        <w:instrText xml:space="preserve"> SEQ Table \* ARABIC </w:instrText>
      </w:r>
      <w:r>
        <w:fldChar w:fldCharType="separate"/>
      </w:r>
      <w:r w:rsidR="00CB2A3F">
        <w:rPr>
          <w:noProof/>
        </w:rPr>
        <w:t>1</w:t>
      </w:r>
      <w:r>
        <w:fldChar w:fldCharType="end"/>
      </w:r>
      <w:bookmarkEnd w:id="3"/>
      <w:r>
        <w:rPr>
          <w:noProof/>
        </w:rPr>
        <w:t xml:space="preserve"> Aeration gas composition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tblGrid>
      <w:tr w:rsidR="005733A8" w:rsidRPr="00B57B36" w14:paraId="0C7BC785" w14:textId="77777777" w:rsidTr="005733A8">
        <w:tc>
          <w:tcPr>
            <w:tcW w:w="1134" w:type="dxa"/>
            <w:tcBorders>
              <w:top w:val="single" w:sz="12" w:space="0" w:color="008000"/>
              <w:bottom w:val="single" w:sz="6" w:space="0" w:color="008000"/>
            </w:tcBorders>
            <w:shd w:val="clear" w:color="auto" w:fill="FFFFFF"/>
          </w:tcPr>
          <w:p w14:paraId="7EBDEE4D" w14:textId="76F3CBA3" w:rsidR="005733A8" w:rsidRPr="00B57B36" w:rsidRDefault="005733A8" w:rsidP="00041F6A">
            <w:pPr>
              <w:pStyle w:val="CETBodytext"/>
              <w:tabs>
                <w:tab w:val="clear" w:pos="7100"/>
              </w:tabs>
              <w:rPr>
                <w:lang w:val="en-GB"/>
              </w:rPr>
            </w:pPr>
            <w:r>
              <w:rPr>
                <w:lang w:val="en-GB"/>
              </w:rPr>
              <w:t>Substance</w:t>
            </w:r>
          </w:p>
        </w:tc>
        <w:tc>
          <w:tcPr>
            <w:tcW w:w="1134" w:type="dxa"/>
            <w:tcBorders>
              <w:top w:val="single" w:sz="12" w:space="0" w:color="008000"/>
              <w:bottom w:val="single" w:sz="6" w:space="0" w:color="008000"/>
            </w:tcBorders>
            <w:shd w:val="clear" w:color="auto" w:fill="FFFFFF"/>
            <w:vAlign w:val="center"/>
          </w:tcPr>
          <w:p w14:paraId="576C03D8" w14:textId="3EC79E12" w:rsidR="005733A8" w:rsidRPr="00B57B36" w:rsidRDefault="005733A8" w:rsidP="00041F6A">
            <w:pPr>
              <w:pStyle w:val="CETBodytext"/>
              <w:tabs>
                <w:tab w:val="clear" w:pos="7100"/>
              </w:tabs>
              <w:jc w:val="center"/>
              <w:rPr>
                <w:lang w:val="en-GB"/>
              </w:rPr>
            </w:pPr>
            <w:r>
              <w:rPr>
                <w:lang w:val="en-GB"/>
              </w:rPr>
              <w:t>Amount</w:t>
            </w:r>
          </w:p>
        </w:tc>
        <w:tc>
          <w:tcPr>
            <w:tcW w:w="1134" w:type="dxa"/>
            <w:tcBorders>
              <w:top w:val="single" w:sz="12" w:space="0" w:color="008000"/>
              <w:bottom w:val="single" w:sz="6" w:space="0" w:color="008000"/>
            </w:tcBorders>
            <w:shd w:val="clear" w:color="auto" w:fill="FFFFFF"/>
          </w:tcPr>
          <w:p w14:paraId="65DC69AE" w14:textId="7CBC7D21" w:rsidR="005733A8" w:rsidRPr="00B57B36" w:rsidRDefault="005733A8" w:rsidP="00041F6A">
            <w:pPr>
              <w:pStyle w:val="CETBodytext"/>
              <w:tabs>
                <w:tab w:val="clear" w:pos="7100"/>
              </w:tabs>
              <w:rPr>
                <w:lang w:val="en-GB"/>
              </w:rPr>
            </w:pPr>
          </w:p>
        </w:tc>
      </w:tr>
      <w:tr w:rsidR="005733A8" w:rsidRPr="00B57B36" w14:paraId="70EC877C" w14:textId="77777777" w:rsidTr="005733A8">
        <w:tc>
          <w:tcPr>
            <w:tcW w:w="1134" w:type="dxa"/>
            <w:shd w:val="clear" w:color="auto" w:fill="FFFFFF"/>
          </w:tcPr>
          <w:p w14:paraId="03A1F916" w14:textId="5C25538D" w:rsidR="005733A8" w:rsidRPr="00B57B36" w:rsidRDefault="005733A8" w:rsidP="00041F6A">
            <w:pPr>
              <w:pStyle w:val="CETBodytext"/>
              <w:tabs>
                <w:tab w:val="clear" w:pos="7100"/>
              </w:tabs>
              <w:rPr>
                <w:lang w:val="en-GB"/>
              </w:rPr>
            </w:pPr>
            <w:r>
              <w:rPr>
                <w:lang w:val="en-GB"/>
              </w:rPr>
              <w:t>SO</w:t>
            </w:r>
            <w:r w:rsidRPr="00E4038F">
              <w:rPr>
                <w:vertAlign w:val="subscript"/>
                <w:lang w:val="en-GB"/>
              </w:rPr>
              <w:t>2</w:t>
            </w:r>
          </w:p>
        </w:tc>
        <w:tc>
          <w:tcPr>
            <w:tcW w:w="1134" w:type="dxa"/>
            <w:shd w:val="clear" w:color="auto" w:fill="FFFFFF"/>
            <w:vAlign w:val="center"/>
          </w:tcPr>
          <w:p w14:paraId="77DD6435" w14:textId="0918EE9F" w:rsidR="005733A8" w:rsidRPr="00B57B36" w:rsidRDefault="005733A8" w:rsidP="00041F6A">
            <w:pPr>
              <w:pStyle w:val="CETBodytext"/>
              <w:tabs>
                <w:tab w:val="clear" w:pos="7100"/>
              </w:tabs>
              <w:jc w:val="center"/>
              <w:rPr>
                <w:lang w:val="en-GB"/>
              </w:rPr>
            </w:pPr>
            <w:r>
              <w:rPr>
                <w:lang w:val="en-GB"/>
              </w:rPr>
              <w:t>50</w:t>
            </w:r>
          </w:p>
        </w:tc>
        <w:tc>
          <w:tcPr>
            <w:tcW w:w="1134" w:type="dxa"/>
            <w:shd w:val="clear" w:color="auto" w:fill="FFFFFF"/>
          </w:tcPr>
          <w:p w14:paraId="035A2D55" w14:textId="37F8BB34" w:rsidR="005733A8" w:rsidRPr="00B57B36" w:rsidRDefault="005733A8" w:rsidP="00041F6A">
            <w:pPr>
              <w:pStyle w:val="CETBodytext"/>
              <w:tabs>
                <w:tab w:val="clear" w:pos="7100"/>
              </w:tabs>
              <w:rPr>
                <w:lang w:val="en-GB"/>
              </w:rPr>
            </w:pPr>
            <w:r>
              <w:rPr>
                <w:lang w:val="en-GB"/>
              </w:rPr>
              <w:t>mg m</w:t>
            </w:r>
            <w:r w:rsidRPr="005733A8">
              <w:rPr>
                <w:vertAlign w:val="subscript"/>
                <w:lang w:val="en-GB"/>
              </w:rPr>
              <w:t>N</w:t>
            </w:r>
            <w:r w:rsidRPr="005733A8">
              <w:rPr>
                <w:vertAlign w:val="superscript"/>
                <w:lang w:val="en-GB"/>
              </w:rPr>
              <w:t>-3</w:t>
            </w:r>
          </w:p>
        </w:tc>
      </w:tr>
      <w:tr w:rsidR="005733A8" w:rsidRPr="00B57B36" w14:paraId="30F31388" w14:textId="77777777" w:rsidTr="005733A8">
        <w:tc>
          <w:tcPr>
            <w:tcW w:w="1134" w:type="dxa"/>
            <w:shd w:val="clear" w:color="auto" w:fill="FFFFFF"/>
          </w:tcPr>
          <w:p w14:paraId="41CB3FF7" w14:textId="0EE75E93" w:rsidR="005733A8" w:rsidRDefault="005733A8" w:rsidP="00041F6A">
            <w:pPr>
              <w:pStyle w:val="CETBodytext"/>
              <w:tabs>
                <w:tab w:val="clear" w:pos="7100"/>
              </w:tabs>
              <w:rPr>
                <w:lang w:val="en-GB"/>
              </w:rPr>
            </w:pPr>
            <w:r>
              <w:rPr>
                <w:lang w:val="en-GB"/>
              </w:rPr>
              <w:t>CO</w:t>
            </w:r>
          </w:p>
        </w:tc>
        <w:tc>
          <w:tcPr>
            <w:tcW w:w="1134" w:type="dxa"/>
            <w:shd w:val="clear" w:color="auto" w:fill="FFFFFF"/>
            <w:vAlign w:val="center"/>
          </w:tcPr>
          <w:p w14:paraId="2D61C837" w14:textId="02BEF28D" w:rsidR="005733A8" w:rsidRPr="00B57B36" w:rsidRDefault="005733A8" w:rsidP="00041F6A">
            <w:pPr>
              <w:pStyle w:val="CETBodytext"/>
              <w:tabs>
                <w:tab w:val="clear" w:pos="7100"/>
              </w:tabs>
              <w:jc w:val="center"/>
              <w:rPr>
                <w:lang w:val="en-GB"/>
              </w:rPr>
            </w:pPr>
            <w:r>
              <w:rPr>
                <w:lang w:val="en-GB"/>
              </w:rPr>
              <w:t>50</w:t>
            </w:r>
          </w:p>
        </w:tc>
        <w:tc>
          <w:tcPr>
            <w:tcW w:w="1134" w:type="dxa"/>
            <w:shd w:val="clear" w:color="auto" w:fill="FFFFFF"/>
          </w:tcPr>
          <w:p w14:paraId="1B4AA586" w14:textId="327D513F" w:rsidR="005733A8" w:rsidRPr="00B57B36" w:rsidRDefault="005733A8" w:rsidP="00041F6A">
            <w:pPr>
              <w:pStyle w:val="CETBodytext"/>
              <w:tabs>
                <w:tab w:val="clear" w:pos="7100"/>
              </w:tabs>
              <w:rPr>
                <w:lang w:val="en-GB"/>
              </w:rPr>
            </w:pPr>
            <w:r>
              <w:rPr>
                <w:lang w:val="en-GB"/>
              </w:rPr>
              <w:t>mg m</w:t>
            </w:r>
            <w:r w:rsidRPr="005733A8">
              <w:rPr>
                <w:vertAlign w:val="subscript"/>
                <w:lang w:val="en-GB"/>
              </w:rPr>
              <w:t>N</w:t>
            </w:r>
            <w:r w:rsidRPr="005733A8">
              <w:rPr>
                <w:vertAlign w:val="superscript"/>
                <w:lang w:val="en-GB"/>
              </w:rPr>
              <w:t>-3</w:t>
            </w:r>
          </w:p>
        </w:tc>
      </w:tr>
      <w:tr w:rsidR="005733A8" w:rsidRPr="00B57B36" w14:paraId="577C1625" w14:textId="77777777" w:rsidTr="005733A8">
        <w:tc>
          <w:tcPr>
            <w:tcW w:w="1134" w:type="dxa"/>
            <w:shd w:val="clear" w:color="auto" w:fill="FFFFFF"/>
          </w:tcPr>
          <w:p w14:paraId="4D580024" w14:textId="4673B285" w:rsidR="005733A8" w:rsidRDefault="005733A8" w:rsidP="00041F6A">
            <w:pPr>
              <w:pStyle w:val="CETBodytext"/>
              <w:tabs>
                <w:tab w:val="clear" w:pos="7100"/>
              </w:tabs>
              <w:rPr>
                <w:lang w:val="en-GB"/>
              </w:rPr>
            </w:pPr>
            <w:r>
              <w:rPr>
                <w:lang w:val="en-GB"/>
              </w:rPr>
              <w:t>NO</w:t>
            </w:r>
          </w:p>
        </w:tc>
        <w:tc>
          <w:tcPr>
            <w:tcW w:w="1134" w:type="dxa"/>
            <w:shd w:val="clear" w:color="auto" w:fill="FFFFFF"/>
            <w:vAlign w:val="center"/>
          </w:tcPr>
          <w:p w14:paraId="440A552C" w14:textId="4F8A86DB" w:rsidR="005733A8" w:rsidRPr="00B57B36" w:rsidRDefault="005733A8" w:rsidP="00041F6A">
            <w:pPr>
              <w:pStyle w:val="CETBodytext"/>
              <w:tabs>
                <w:tab w:val="clear" w:pos="7100"/>
              </w:tabs>
              <w:jc w:val="center"/>
              <w:rPr>
                <w:lang w:val="en-GB"/>
              </w:rPr>
            </w:pPr>
            <w:r>
              <w:rPr>
                <w:lang w:val="en-GB"/>
              </w:rPr>
              <w:t>200</w:t>
            </w:r>
          </w:p>
        </w:tc>
        <w:tc>
          <w:tcPr>
            <w:tcW w:w="1134" w:type="dxa"/>
            <w:shd w:val="clear" w:color="auto" w:fill="FFFFFF"/>
          </w:tcPr>
          <w:p w14:paraId="5B7248A2" w14:textId="0BF01F53" w:rsidR="005733A8" w:rsidRPr="00B57B36" w:rsidRDefault="005733A8" w:rsidP="00041F6A">
            <w:pPr>
              <w:pStyle w:val="CETBodytext"/>
              <w:tabs>
                <w:tab w:val="clear" w:pos="7100"/>
              </w:tabs>
              <w:rPr>
                <w:lang w:val="en-GB"/>
              </w:rPr>
            </w:pPr>
            <w:r>
              <w:rPr>
                <w:lang w:val="en-GB"/>
              </w:rPr>
              <w:t>mg m</w:t>
            </w:r>
            <w:r w:rsidRPr="005733A8">
              <w:rPr>
                <w:vertAlign w:val="subscript"/>
                <w:lang w:val="en-GB"/>
              </w:rPr>
              <w:t>N</w:t>
            </w:r>
            <w:r w:rsidRPr="005733A8">
              <w:rPr>
                <w:vertAlign w:val="superscript"/>
                <w:lang w:val="en-GB"/>
              </w:rPr>
              <w:t>-3</w:t>
            </w:r>
          </w:p>
        </w:tc>
      </w:tr>
      <w:tr w:rsidR="005733A8" w:rsidRPr="00B57B36" w14:paraId="65B27AB7" w14:textId="77777777" w:rsidTr="005733A8">
        <w:tc>
          <w:tcPr>
            <w:tcW w:w="1134" w:type="dxa"/>
            <w:shd w:val="clear" w:color="auto" w:fill="FFFFFF"/>
          </w:tcPr>
          <w:p w14:paraId="51AA6D1F" w14:textId="5CC6DBE2" w:rsidR="005733A8" w:rsidRDefault="005733A8" w:rsidP="00041F6A">
            <w:pPr>
              <w:pStyle w:val="CETBodytext"/>
              <w:tabs>
                <w:tab w:val="clear" w:pos="7100"/>
              </w:tabs>
              <w:rPr>
                <w:lang w:val="en-GB"/>
              </w:rPr>
            </w:pPr>
            <w:r>
              <w:rPr>
                <w:lang w:val="en-GB"/>
              </w:rPr>
              <w:t>O</w:t>
            </w:r>
            <w:r w:rsidRPr="00E4038F">
              <w:rPr>
                <w:vertAlign w:val="subscript"/>
                <w:lang w:val="en-GB"/>
              </w:rPr>
              <w:t>2</w:t>
            </w:r>
          </w:p>
        </w:tc>
        <w:tc>
          <w:tcPr>
            <w:tcW w:w="1134" w:type="dxa"/>
            <w:shd w:val="clear" w:color="auto" w:fill="FFFFFF"/>
            <w:vAlign w:val="center"/>
          </w:tcPr>
          <w:p w14:paraId="1229236B" w14:textId="106470B4" w:rsidR="005733A8" w:rsidRPr="00B57B36" w:rsidRDefault="005733A8" w:rsidP="00041F6A">
            <w:pPr>
              <w:pStyle w:val="CETBodytext"/>
              <w:tabs>
                <w:tab w:val="clear" w:pos="7100"/>
              </w:tabs>
              <w:jc w:val="center"/>
              <w:rPr>
                <w:lang w:val="en-GB"/>
              </w:rPr>
            </w:pPr>
            <w:r>
              <w:rPr>
                <w:lang w:val="en-GB"/>
              </w:rPr>
              <w:t>9</w:t>
            </w:r>
          </w:p>
        </w:tc>
        <w:tc>
          <w:tcPr>
            <w:tcW w:w="1134" w:type="dxa"/>
            <w:shd w:val="clear" w:color="auto" w:fill="FFFFFF"/>
          </w:tcPr>
          <w:p w14:paraId="4F407B97" w14:textId="754E9DE0" w:rsidR="005733A8" w:rsidRPr="00B57B36" w:rsidRDefault="005733A8" w:rsidP="00041F6A">
            <w:pPr>
              <w:pStyle w:val="CETBodytext"/>
              <w:tabs>
                <w:tab w:val="clear" w:pos="7100"/>
              </w:tabs>
              <w:rPr>
                <w:lang w:val="en-GB"/>
              </w:rPr>
            </w:pPr>
            <w:r>
              <w:rPr>
                <w:lang w:val="en-GB"/>
              </w:rPr>
              <w:t>%</w:t>
            </w:r>
            <w:r w:rsidRPr="005733A8">
              <w:rPr>
                <w:vertAlign w:val="subscript"/>
                <w:lang w:val="en-GB"/>
              </w:rPr>
              <w:t>vol.</w:t>
            </w:r>
          </w:p>
        </w:tc>
      </w:tr>
      <w:tr w:rsidR="005733A8" w:rsidRPr="00B57B36" w14:paraId="7B3AB988" w14:textId="77777777" w:rsidTr="005733A8">
        <w:tc>
          <w:tcPr>
            <w:tcW w:w="1134" w:type="dxa"/>
            <w:shd w:val="clear" w:color="auto" w:fill="FFFFFF"/>
          </w:tcPr>
          <w:p w14:paraId="512D1BBB" w14:textId="2548A98F" w:rsidR="005733A8" w:rsidRDefault="005733A8" w:rsidP="00041F6A">
            <w:pPr>
              <w:pStyle w:val="CETBodytext"/>
              <w:tabs>
                <w:tab w:val="clear" w:pos="7100"/>
              </w:tabs>
              <w:rPr>
                <w:lang w:val="en-GB"/>
              </w:rPr>
            </w:pPr>
            <w:r>
              <w:rPr>
                <w:lang w:val="en-GB"/>
              </w:rPr>
              <w:t>CO</w:t>
            </w:r>
            <w:r w:rsidRPr="00E4038F">
              <w:rPr>
                <w:vertAlign w:val="subscript"/>
                <w:lang w:val="en-GB"/>
              </w:rPr>
              <w:t>2</w:t>
            </w:r>
          </w:p>
        </w:tc>
        <w:tc>
          <w:tcPr>
            <w:tcW w:w="1134" w:type="dxa"/>
            <w:shd w:val="clear" w:color="auto" w:fill="FFFFFF"/>
            <w:vAlign w:val="center"/>
          </w:tcPr>
          <w:p w14:paraId="4A8DC0AE" w14:textId="7343AFF4" w:rsidR="005733A8" w:rsidRPr="00B57B36" w:rsidRDefault="005733A8" w:rsidP="00041F6A">
            <w:pPr>
              <w:pStyle w:val="CETBodytext"/>
              <w:tabs>
                <w:tab w:val="clear" w:pos="7100"/>
              </w:tabs>
              <w:jc w:val="center"/>
              <w:rPr>
                <w:lang w:val="en-GB"/>
              </w:rPr>
            </w:pPr>
            <w:r>
              <w:rPr>
                <w:lang w:val="en-GB"/>
              </w:rPr>
              <w:t>10</w:t>
            </w:r>
          </w:p>
        </w:tc>
        <w:tc>
          <w:tcPr>
            <w:tcW w:w="1134" w:type="dxa"/>
            <w:shd w:val="clear" w:color="auto" w:fill="FFFFFF"/>
          </w:tcPr>
          <w:p w14:paraId="3B25B4B1" w14:textId="091CE139" w:rsidR="005733A8" w:rsidRPr="00B57B36" w:rsidRDefault="005733A8" w:rsidP="00041F6A">
            <w:pPr>
              <w:pStyle w:val="CETBodytext"/>
              <w:tabs>
                <w:tab w:val="clear" w:pos="7100"/>
              </w:tabs>
              <w:rPr>
                <w:lang w:val="en-GB"/>
              </w:rPr>
            </w:pPr>
            <w:r>
              <w:rPr>
                <w:lang w:val="en-GB"/>
              </w:rPr>
              <w:t>%</w:t>
            </w:r>
            <w:r w:rsidRPr="005733A8">
              <w:rPr>
                <w:vertAlign w:val="subscript"/>
                <w:lang w:val="en-GB"/>
              </w:rPr>
              <w:t>vol.</w:t>
            </w:r>
          </w:p>
        </w:tc>
      </w:tr>
      <w:tr w:rsidR="005733A8" w:rsidRPr="00B57B36" w14:paraId="165E1A43" w14:textId="77777777" w:rsidTr="005733A8">
        <w:tc>
          <w:tcPr>
            <w:tcW w:w="1134" w:type="dxa"/>
            <w:shd w:val="clear" w:color="auto" w:fill="FFFFFF"/>
          </w:tcPr>
          <w:p w14:paraId="3D16819B" w14:textId="4461921B" w:rsidR="005733A8" w:rsidRPr="00B57B36" w:rsidRDefault="005733A8" w:rsidP="00041F6A">
            <w:pPr>
              <w:pStyle w:val="CETBodytext"/>
              <w:tabs>
                <w:tab w:val="clear" w:pos="7100"/>
              </w:tabs>
              <w:ind w:right="-1"/>
              <w:rPr>
                <w:rFonts w:cs="Arial"/>
                <w:szCs w:val="18"/>
                <w:lang w:val="en-GB"/>
              </w:rPr>
            </w:pPr>
            <w:r>
              <w:rPr>
                <w:rFonts w:cs="Arial"/>
                <w:szCs w:val="18"/>
                <w:lang w:val="en-GB"/>
              </w:rPr>
              <w:t>N</w:t>
            </w:r>
            <w:r w:rsidR="00687A0B" w:rsidRPr="00687A0B">
              <w:rPr>
                <w:rFonts w:cs="Arial"/>
                <w:szCs w:val="18"/>
                <w:vertAlign w:val="subscript"/>
                <w:lang w:val="en-GB"/>
              </w:rPr>
              <w:t>2</w:t>
            </w:r>
          </w:p>
        </w:tc>
        <w:tc>
          <w:tcPr>
            <w:tcW w:w="1134" w:type="dxa"/>
            <w:shd w:val="clear" w:color="auto" w:fill="FFFFFF"/>
            <w:vAlign w:val="center"/>
          </w:tcPr>
          <w:p w14:paraId="2376DDF8" w14:textId="5F5EF8CD" w:rsidR="005733A8" w:rsidRPr="00B57B36" w:rsidRDefault="005733A8" w:rsidP="00041F6A">
            <w:pPr>
              <w:pStyle w:val="CETBodytext"/>
              <w:tabs>
                <w:tab w:val="clear" w:pos="7100"/>
              </w:tabs>
              <w:ind w:right="-1"/>
              <w:jc w:val="center"/>
              <w:rPr>
                <w:rFonts w:cs="Arial"/>
                <w:szCs w:val="18"/>
                <w:lang w:val="en-GB"/>
              </w:rPr>
            </w:pPr>
            <w:r>
              <w:rPr>
                <w:rFonts w:cs="Arial"/>
                <w:szCs w:val="18"/>
                <w:lang w:val="en-GB"/>
              </w:rPr>
              <w:t>81</w:t>
            </w:r>
          </w:p>
        </w:tc>
        <w:tc>
          <w:tcPr>
            <w:tcW w:w="1134" w:type="dxa"/>
            <w:shd w:val="clear" w:color="auto" w:fill="FFFFFF"/>
          </w:tcPr>
          <w:p w14:paraId="222E3196" w14:textId="7047DD13" w:rsidR="005733A8" w:rsidRPr="00B57B36" w:rsidRDefault="005733A8" w:rsidP="00041F6A">
            <w:pPr>
              <w:pStyle w:val="CETBodytext"/>
              <w:tabs>
                <w:tab w:val="clear" w:pos="7100"/>
              </w:tabs>
              <w:ind w:right="-1"/>
              <w:rPr>
                <w:rFonts w:cs="Arial"/>
                <w:szCs w:val="18"/>
                <w:lang w:val="en-GB"/>
              </w:rPr>
            </w:pPr>
            <w:r>
              <w:rPr>
                <w:lang w:val="en-GB"/>
              </w:rPr>
              <w:t>%</w:t>
            </w:r>
            <w:r w:rsidRPr="005733A8">
              <w:rPr>
                <w:vertAlign w:val="subscript"/>
                <w:lang w:val="en-GB"/>
              </w:rPr>
              <w:t>vol.</w:t>
            </w:r>
          </w:p>
        </w:tc>
      </w:tr>
    </w:tbl>
    <w:p w14:paraId="19D18E91" w14:textId="51D6BFE2" w:rsidR="00AF210E" w:rsidRDefault="00AF210E" w:rsidP="00041F6A">
      <w:pPr>
        <w:pStyle w:val="CETHeading1"/>
      </w:pPr>
      <w:r>
        <w:t>Numerical model</w:t>
      </w:r>
    </w:p>
    <w:p w14:paraId="4F73C206" w14:textId="583C2875" w:rsidR="00210B6F" w:rsidRDefault="00210B6F" w:rsidP="00041F6A">
      <w:pPr>
        <w:pStyle w:val="CETheadingx"/>
      </w:pPr>
      <w:r>
        <w:t xml:space="preserve">Geometry and </w:t>
      </w:r>
      <w:r w:rsidR="00C149F5">
        <w:t xml:space="preserve">computational </w:t>
      </w:r>
      <w:r>
        <w:t>mesh</w:t>
      </w:r>
    </w:p>
    <w:p w14:paraId="618DF0DA" w14:textId="7A18DAE8" w:rsidR="000E6228" w:rsidRDefault="007E6C15" w:rsidP="00EA0D23">
      <w:pPr>
        <w:pStyle w:val="CETBodytext"/>
        <w:tabs>
          <w:tab w:val="clear" w:pos="7100"/>
        </w:tabs>
      </w:pPr>
      <w:r w:rsidRPr="007E6C15">
        <w:t xml:space="preserve">To simplify the numerical model only one tube with a height reduced to 1 m was modelled. The bottom of the modelled domain was set above the </w:t>
      </w:r>
      <w:r w:rsidR="007A2791" w:rsidRPr="00982465">
        <w:rPr>
          <w:lang w:val="en-GB"/>
        </w:rPr>
        <w:t>perforated inlet</w:t>
      </w:r>
      <w:r w:rsidR="007A2791">
        <w:rPr>
          <w:lang w:val="en-GB"/>
        </w:rPr>
        <w:t xml:space="preserve"> membrane</w:t>
      </w:r>
      <w:r w:rsidR="007A2791" w:rsidRPr="007E6C15">
        <w:t xml:space="preserve"> </w:t>
      </w:r>
      <w:r w:rsidRPr="007E6C15">
        <w:t>as bubbles were found to occupy the tube cross-sectional area almost immediately. Therefore, the model geometry follows the plain inner volume of the tube with a</w:t>
      </w:r>
      <w:r w:rsidR="007900F5">
        <w:t xml:space="preserve"> rectangular</w:t>
      </w:r>
      <w:r w:rsidRPr="007E6C15">
        <w:t xml:space="preserve"> cross-section </w:t>
      </w:r>
      <w:r w:rsidR="007900F5">
        <w:t>of dimensions 44x20 mm and rounded corners with 10 mm radius</w:t>
      </w:r>
      <w:r w:rsidR="00EA0D23">
        <w:t>.</w:t>
      </w:r>
      <w:r w:rsidR="00A81464">
        <w:t xml:space="preserve"> </w:t>
      </w:r>
      <w:r w:rsidR="008E5592">
        <w:t>The computational m</w:t>
      </w:r>
      <w:r w:rsidR="00A81464">
        <w:t xml:space="preserve">esh was made in the ANSYS </w:t>
      </w:r>
      <w:proofErr w:type="spellStart"/>
      <w:r w:rsidR="00A81464">
        <w:t>SpaceClaim</w:t>
      </w:r>
      <w:proofErr w:type="spellEnd"/>
      <w:r w:rsidR="00A81464">
        <w:t xml:space="preserve"> 2021 R2 </w:t>
      </w:r>
      <w:r w:rsidR="0086048E">
        <w:fldChar w:fldCharType="begin"/>
      </w:r>
      <w:r w:rsidR="00194DA1">
        <w:instrText xml:space="preserve"> ADDIN ZOTERO_ITEM CSL_CITATION {"citationID":"0DqtIKjr","properties":{"formattedCitation":"(ANSYS Inc., 2021)","plainCitation":"(ANSYS Inc., 2021)","noteIndex":0},"citationItems":[{"id":926,"uris":["http://zotero.org/users/5417172/items/HINFU7PH"],"itemData":{"id":926,"type":"book","event-place":"Canonsburg, PA, USA","publisher":"ANSYS Inc.","publisher-place":"Canonsburg, PA, USA","title":"ANSYS Fluent Theory Guide, Release 2021 R2","author":[{"family":"ANSYS Inc.","given":""}],"issued":{"date-parts":[["2021"]]}}}],"schema":"https://github.com/citation-style-language/schema/raw/master/csl-citation.json"} </w:instrText>
      </w:r>
      <w:r w:rsidR="0086048E">
        <w:fldChar w:fldCharType="separate"/>
      </w:r>
      <w:r w:rsidR="0086048E" w:rsidRPr="0086048E">
        <w:rPr>
          <w:rFonts w:cs="Arial"/>
        </w:rPr>
        <w:t>(ANSYS Inc., 2021)</w:t>
      </w:r>
      <w:r w:rsidR="0086048E">
        <w:fldChar w:fldCharType="end"/>
      </w:r>
      <w:r w:rsidR="0086048E">
        <w:t xml:space="preserve"> </w:t>
      </w:r>
      <w:r w:rsidR="00A81464">
        <w:t>with 39</w:t>
      </w:r>
      <w:r w:rsidR="007A7964">
        <w:t>,</w:t>
      </w:r>
      <w:r w:rsidR="00A81464">
        <w:t xml:space="preserve">288 polyhedral cells. </w:t>
      </w:r>
      <w:r w:rsidR="00C3775D" w:rsidRPr="00C3775D">
        <w:t>Regarding the mesh quality, the minimum orthogonal quality is 0.5, max. cell size is 3.77</w:t>
      </w:r>
      <w:r w:rsidR="006671AD">
        <w:t> </w:t>
      </w:r>
      <w:r w:rsidR="00C3775D" w:rsidRPr="00C3775D">
        <w:t xml:space="preserve">mm. Furthermore, the geometry was divided into two cell zones, the inlet zone and the domain zone. The inlet cell zone grows from the bottom surface up to the height of one cell, and the domain cell zone fills the rest of the tube volume. This modification allowed to neglect the geometry of the </w:t>
      </w:r>
      <w:r w:rsidR="007A2791" w:rsidRPr="00982465">
        <w:rPr>
          <w:lang w:val="en-GB"/>
        </w:rPr>
        <w:t>perforated inlet</w:t>
      </w:r>
      <w:r w:rsidR="007A2791">
        <w:rPr>
          <w:lang w:val="en-GB"/>
        </w:rPr>
        <w:t xml:space="preserve"> membrane</w:t>
      </w:r>
      <w:r w:rsidR="007A2791" w:rsidRPr="00C3775D">
        <w:t xml:space="preserve"> </w:t>
      </w:r>
      <w:r w:rsidR="00C3775D" w:rsidRPr="00C3775D">
        <w:t xml:space="preserve">and to model the inlet boundary condition as a mass source term. The top surface was defined with the degassing boundary condition, </w:t>
      </w:r>
      <w:r w:rsidR="00C3775D" w:rsidRPr="00C3775D">
        <w:lastRenderedPageBreak/>
        <w:t>i.e. a free-slip wall for the liquid phase and an outlet for the gaseous phase. Other walls were treated as the no-slip wall for all phases.</w:t>
      </w:r>
    </w:p>
    <w:p w14:paraId="59E336EB" w14:textId="31ECB950" w:rsidR="00210B6F" w:rsidRDefault="00210B6F" w:rsidP="00041F6A">
      <w:pPr>
        <w:pStyle w:val="CETheadingx"/>
      </w:pPr>
      <w:r>
        <w:t>Numerical model</w:t>
      </w:r>
    </w:p>
    <w:p w14:paraId="288AE4AE" w14:textId="6B81B5BB" w:rsidR="00F3243F" w:rsidRDefault="00082179" w:rsidP="00041F6A">
      <w:pPr>
        <w:pStyle w:val="CETBodytext"/>
        <w:tabs>
          <w:tab w:val="clear" w:pos="7100"/>
        </w:tabs>
      </w:pPr>
      <w:r>
        <w:t>The numerical model is based on the Eulerian-Eulerian multiphase framework in t</w:t>
      </w:r>
      <w:r w:rsidR="00244FFD">
        <w:t>he ANSYS Fluent 2021 R2</w:t>
      </w:r>
      <w:r w:rsidR="0086048E">
        <w:t xml:space="preserve"> </w:t>
      </w:r>
      <w:r w:rsidR="0086048E">
        <w:fldChar w:fldCharType="begin"/>
      </w:r>
      <w:r w:rsidR="00194DA1">
        <w:instrText xml:space="preserve"> ADDIN ZOTERO_ITEM CSL_CITATION {"citationID":"AJ0T83tF","properties":{"formattedCitation":"(ANSYS Inc., 2021)","plainCitation":"(ANSYS Inc., 2021)","noteIndex":0},"citationItems":[{"id":926,"uris":["http://zotero.org/users/5417172/items/HINFU7PH"],"itemData":{"id":926,"type":"book","event-place":"Canonsburg, PA, USA","publisher":"ANSYS Inc.","publisher-place":"Canonsburg, PA, USA","title":"ANSYS Fluent Theory Guide, Release 2021 R2","author":[{"family":"ANSYS Inc.","given":""}],"issued":{"date-parts":[["2021"]]}}}],"schema":"https://github.com/citation-style-language/schema/raw/master/csl-citation.json"} </w:instrText>
      </w:r>
      <w:r w:rsidR="0086048E">
        <w:fldChar w:fldCharType="separate"/>
      </w:r>
      <w:r w:rsidR="0086048E" w:rsidRPr="0086048E">
        <w:rPr>
          <w:rFonts w:cs="Arial"/>
        </w:rPr>
        <w:t>(ANSYS Inc., 2021)</w:t>
      </w:r>
      <w:r w:rsidR="0086048E">
        <w:fldChar w:fldCharType="end"/>
      </w:r>
      <w:r w:rsidR="00244FFD">
        <w:t xml:space="preserve">. The framework uses two phases, </w:t>
      </w:r>
      <w:r w:rsidR="00D30C79">
        <w:t xml:space="preserve">the </w:t>
      </w:r>
      <w:r w:rsidR="00244FFD">
        <w:t>primary phase with liquid water and liquid CO</w:t>
      </w:r>
      <w:r w:rsidR="00244FFD" w:rsidRPr="00413EC7">
        <w:rPr>
          <w:vertAlign w:val="subscript"/>
        </w:rPr>
        <w:t>2</w:t>
      </w:r>
      <w:r w:rsidR="00244FFD">
        <w:t xml:space="preserve">, and </w:t>
      </w:r>
      <w:r w:rsidR="009C1401">
        <w:t xml:space="preserve">the </w:t>
      </w:r>
      <w:r w:rsidR="00244FFD">
        <w:t>seconda</w:t>
      </w:r>
      <w:r w:rsidR="003B66A6">
        <w:t xml:space="preserve">ry phase with the aeration gas. </w:t>
      </w:r>
      <w:r w:rsidR="002A3059">
        <w:t>However, to further simplify the numerical model, t</w:t>
      </w:r>
      <w:r w:rsidR="003B66A6">
        <w:t>he model</w:t>
      </w:r>
      <w:r w:rsidR="00504A25">
        <w:t>l</w:t>
      </w:r>
      <w:r w:rsidR="003B66A6">
        <w:t xml:space="preserve">ed </w:t>
      </w:r>
      <w:r w:rsidR="001948BF">
        <w:t>composition</w:t>
      </w:r>
      <w:r w:rsidR="003B66A6">
        <w:t xml:space="preserve"> of the aeration gas neglected the three </w:t>
      </w:r>
      <w:r w:rsidR="001948BF">
        <w:t>least frequent components.</w:t>
      </w:r>
      <w:r w:rsidR="0012274F">
        <w:t xml:space="preserve"> Individual mass diffusion coefficients are listed in </w:t>
      </w:r>
      <w:r w:rsidR="00BF5C27">
        <w:fldChar w:fldCharType="begin"/>
      </w:r>
      <w:r w:rsidR="00BF5C27">
        <w:instrText xml:space="preserve"> REF _Ref94360717 \h </w:instrText>
      </w:r>
      <w:r w:rsidR="00BF5C27">
        <w:fldChar w:fldCharType="separate"/>
      </w:r>
      <w:r w:rsidR="00CB2A3F">
        <w:t xml:space="preserve">Table </w:t>
      </w:r>
      <w:r w:rsidR="00CB2A3F">
        <w:rPr>
          <w:noProof/>
        </w:rPr>
        <w:t>2</w:t>
      </w:r>
      <w:r w:rsidR="00BF5C27">
        <w:fldChar w:fldCharType="end"/>
      </w:r>
      <w:r w:rsidR="00BF5C27">
        <w:t>.</w:t>
      </w:r>
    </w:p>
    <w:p w14:paraId="07245896" w14:textId="7D36FD96" w:rsidR="00AB0965" w:rsidRDefault="00AB0965" w:rsidP="00041F6A">
      <w:pPr>
        <w:pStyle w:val="CETTabletitle"/>
      </w:pPr>
      <w:bookmarkStart w:id="4" w:name="_Ref94360717"/>
      <w:r>
        <w:t xml:space="preserve">Table </w:t>
      </w:r>
      <w:r>
        <w:fldChar w:fldCharType="begin"/>
      </w:r>
      <w:r>
        <w:instrText xml:space="preserve"> SEQ Table \* ARABIC </w:instrText>
      </w:r>
      <w:r>
        <w:fldChar w:fldCharType="separate"/>
      </w:r>
      <w:r w:rsidR="00CB2A3F">
        <w:rPr>
          <w:noProof/>
        </w:rPr>
        <w:t>2</w:t>
      </w:r>
      <w:r>
        <w:fldChar w:fldCharType="end"/>
      </w:r>
      <w:bookmarkEnd w:id="4"/>
      <w:r>
        <w:rPr>
          <w:noProof/>
        </w:rPr>
        <w:t xml:space="preserve"> Diffusion coefficients</w:t>
      </w:r>
      <w:r w:rsidR="007956F0">
        <w:rPr>
          <w:noProof/>
        </w:rPr>
        <w:t xml:space="preserve"> </w:t>
      </w:r>
      <w:r w:rsidR="0086048E">
        <w:rPr>
          <w:noProof/>
        </w:rPr>
        <w:fldChar w:fldCharType="begin"/>
      </w:r>
      <w:r w:rsidR="00194DA1">
        <w:rPr>
          <w:noProof/>
        </w:rPr>
        <w:instrText xml:space="preserve"> ADDIN ZOTERO_ITEM CSL_CITATION {"citationID":"7c60ljC1","properties":{"formattedCitation":"(Cussler, 2009)","plainCitation":"(Cussler, 2009)","noteIndex":0},"citationItems":[{"id":2,"uris":["http://zotero.org/users/5417172/items/2NBXVH7V"],"itemData":{"id":2,"type":"book","collection-title":"Cambridge Series in Chemical Engineering","ISBN":"978-0-521-87121-1","number-of-pages":"655","publisher":"Cambridge University Press","title":"Diffusion: Mass Transfer in Fluid Systems","author":[{"family":"Cussler","given":"E.L"}],"issued":{"date-parts":[["2009"]]}}}],"schema":"https://github.com/citation-style-language/schema/raw/master/csl-citation.json"} </w:instrText>
      </w:r>
      <w:r w:rsidR="0086048E">
        <w:rPr>
          <w:noProof/>
        </w:rPr>
        <w:fldChar w:fldCharType="separate"/>
      </w:r>
      <w:r w:rsidR="0086048E" w:rsidRPr="0086048E">
        <w:rPr>
          <w:rFonts w:cs="Arial"/>
        </w:rPr>
        <w:t>(Cussler, 2009)</w:t>
      </w:r>
      <w:r w:rsidR="0086048E">
        <w:rPr>
          <w:noProof/>
        </w:rPr>
        <w:fldChar w:fldCharType="end"/>
      </w:r>
    </w:p>
    <w:tbl>
      <w:tblPr>
        <w:tblW w:w="581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25"/>
        <w:gridCol w:w="4387"/>
      </w:tblGrid>
      <w:tr w:rsidR="0012274F" w:rsidRPr="00B57B36" w14:paraId="4D87593C" w14:textId="77777777" w:rsidTr="3ED03889">
        <w:tc>
          <w:tcPr>
            <w:tcW w:w="1425" w:type="dxa"/>
            <w:tcBorders>
              <w:top w:val="single" w:sz="12" w:space="0" w:color="008000"/>
              <w:bottom w:val="single" w:sz="6" w:space="0" w:color="008000"/>
            </w:tcBorders>
            <w:shd w:val="clear" w:color="auto" w:fill="FFFFFF" w:themeFill="background1"/>
          </w:tcPr>
          <w:p w14:paraId="3B81926E" w14:textId="37112404" w:rsidR="0012274F" w:rsidRPr="00B57B36" w:rsidRDefault="0012274F" w:rsidP="00041F6A">
            <w:pPr>
              <w:pStyle w:val="CETBodytext"/>
              <w:tabs>
                <w:tab w:val="clear" w:pos="7100"/>
              </w:tabs>
              <w:rPr>
                <w:lang w:val="en-GB"/>
              </w:rPr>
            </w:pPr>
            <w:r>
              <w:rPr>
                <w:lang w:val="en-GB"/>
              </w:rPr>
              <w:t>Species pair</w:t>
            </w:r>
          </w:p>
        </w:tc>
        <w:tc>
          <w:tcPr>
            <w:tcW w:w="4387" w:type="dxa"/>
            <w:tcBorders>
              <w:top w:val="single" w:sz="12" w:space="0" w:color="008000"/>
              <w:bottom w:val="single" w:sz="6" w:space="0" w:color="008000"/>
            </w:tcBorders>
            <w:shd w:val="clear" w:color="auto" w:fill="FFFFFF" w:themeFill="background1"/>
            <w:vAlign w:val="center"/>
          </w:tcPr>
          <w:p w14:paraId="74DB645E" w14:textId="57A40D6E" w:rsidR="0012274F" w:rsidRPr="00B57B36" w:rsidRDefault="0012274F" w:rsidP="00041F6A">
            <w:pPr>
              <w:pStyle w:val="CETBodytext"/>
              <w:tabs>
                <w:tab w:val="clear" w:pos="7100"/>
              </w:tabs>
              <w:jc w:val="center"/>
              <w:rPr>
                <w:lang w:val="en-GB"/>
              </w:rPr>
            </w:pPr>
            <w:r>
              <w:rPr>
                <w:lang w:val="en-GB"/>
              </w:rPr>
              <w:t xml:space="preserve">Diffusion coefficient, </w:t>
            </w:r>
            <w:r w:rsidRPr="0012274F">
              <w:rPr>
                <w:lang w:val="en-GB"/>
              </w:rPr>
              <w:t>cm</w:t>
            </w:r>
            <w:r w:rsidRPr="0012274F">
              <w:rPr>
                <w:vertAlign w:val="superscript"/>
                <w:lang w:val="en-GB"/>
              </w:rPr>
              <w:t>2</w:t>
            </w:r>
            <w:r>
              <w:rPr>
                <w:lang w:val="en-GB"/>
              </w:rPr>
              <w:t>/sec</w:t>
            </w:r>
          </w:p>
        </w:tc>
      </w:tr>
      <w:tr w:rsidR="0012274F" w:rsidRPr="00B57B36" w14:paraId="4F29940E" w14:textId="77777777" w:rsidTr="3ED03889">
        <w:tc>
          <w:tcPr>
            <w:tcW w:w="1425" w:type="dxa"/>
            <w:shd w:val="clear" w:color="auto" w:fill="FFFFFF" w:themeFill="background1"/>
          </w:tcPr>
          <w:p w14:paraId="5C773ED8" w14:textId="6C0EADD0" w:rsidR="0012274F" w:rsidRPr="0012274F" w:rsidRDefault="0012274F" w:rsidP="00041F6A">
            <w:pPr>
              <w:pStyle w:val="CETBodytext"/>
              <w:tabs>
                <w:tab w:val="clear" w:pos="7100"/>
              </w:tabs>
              <w:rPr>
                <w:lang w:val="en-GB"/>
              </w:rPr>
            </w:pPr>
            <w:r>
              <w:rPr>
                <w:lang w:val="en-GB"/>
              </w:rPr>
              <w:t>CO</w:t>
            </w:r>
            <w:r w:rsidRPr="00E4038F">
              <w:rPr>
                <w:vertAlign w:val="subscript"/>
                <w:lang w:val="en-GB"/>
              </w:rPr>
              <w:t>2</w:t>
            </w:r>
            <w:r>
              <w:rPr>
                <w:lang w:val="en-GB"/>
              </w:rPr>
              <w:t xml:space="preserve"> – O</w:t>
            </w:r>
            <w:r w:rsidRPr="0012274F">
              <w:rPr>
                <w:vertAlign w:val="subscript"/>
                <w:lang w:val="en-GB"/>
              </w:rPr>
              <w:t>2</w:t>
            </w:r>
            <w:r>
              <w:rPr>
                <w:lang w:val="en-GB"/>
              </w:rPr>
              <w:t xml:space="preserve"> (g)</w:t>
            </w:r>
          </w:p>
        </w:tc>
        <w:tc>
          <w:tcPr>
            <w:tcW w:w="4387" w:type="dxa"/>
            <w:shd w:val="clear" w:color="auto" w:fill="FFFFFF" w:themeFill="background1"/>
            <w:vAlign w:val="center"/>
          </w:tcPr>
          <w:p w14:paraId="65B2BB75" w14:textId="2F6C703C" w:rsidR="0012274F" w:rsidRPr="00B57B36" w:rsidRDefault="0012274F" w:rsidP="00041F6A">
            <w:pPr>
              <w:pStyle w:val="CETBodytext"/>
              <w:tabs>
                <w:tab w:val="clear" w:pos="7100"/>
              </w:tabs>
              <w:jc w:val="center"/>
              <w:rPr>
                <w:lang w:val="en-GB"/>
              </w:rPr>
            </w:pPr>
            <w:r>
              <w:rPr>
                <w:lang w:val="en-GB"/>
              </w:rPr>
              <w:t>0.156</w:t>
            </w:r>
          </w:p>
        </w:tc>
      </w:tr>
      <w:tr w:rsidR="0012274F" w:rsidRPr="00B57B36" w14:paraId="62DE4817" w14:textId="77777777" w:rsidTr="3ED03889">
        <w:tc>
          <w:tcPr>
            <w:tcW w:w="1425" w:type="dxa"/>
            <w:shd w:val="clear" w:color="auto" w:fill="FFFFFF" w:themeFill="background1"/>
          </w:tcPr>
          <w:p w14:paraId="0921C371" w14:textId="6010A535" w:rsidR="0012274F" w:rsidRDefault="0012274F" w:rsidP="00041F6A">
            <w:pPr>
              <w:pStyle w:val="CETBodytext"/>
              <w:tabs>
                <w:tab w:val="clear" w:pos="7100"/>
              </w:tabs>
              <w:rPr>
                <w:lang w:val="en-GB"/>
              </w:rPr>
            </w:pPr>
            <w:r>
              <w:rPr>
                <w:lang w:val="en-GB"/>
              </w:rPr>
              <w:t>CO</w:t>
            </w:r>
            <w:r w:rsidRPr="0012274F">
              <w:rPr>
                <w:vertAlign w:val="subscript"/>
                <w:lang w:val="en-GB"/>
              </w:rPr>
              <w:t>2</w:t>
            </w:r>
            <w:r>
              <w:rPr>
                <w:lang w:val="en-GB"/>
              </w:rPr>
              <w:t xml:space="preserve"> – N</w:t>
            </w:r>
            <w:r w:rsidRPr="0012274F">
              <w:rPr>
                <w:vertAlign w:val="subscript"/>
                <w:lang w:val="en-GB"/>
              </w:rPr>
              <w:t>2</w:t>
            </w:r>
            <w:r>
              <w:rPr>
                <w:lang w:val="en-GB"/>
              </w:rPr>
              <w:t xml:space="preserve"> (g)</w:t>
            </w:r>
          </w:p>
        </w:tc>
        <w:tc>
          <w:tcPr>
            <w:tcW w:w="4387" w:type="dxa"/>
            <w:shd w:val="clear" w:color="auto" w:fill="FFFFFF" w:themeFill="background1"/>
            <w:vAlign w:val="center"/>
          </w:tcPr>
          <w:p w14:paraId="6F537E2B" w14:textId="69F80DD0" w:rsidR="0012274F" w:rsidRPr="00B57B36" w:rsidRDefault="0012274F" w:rsidP="00041F6A">
            <w:pPr>
              <w:pStyle w:val="CETBodytext"/>
              <w:tabs>
                <w:tab w:val="clear" w:pos="7100"/>
              </w:tabs>
              <w:jc w:val="center"/>
              <w:rPr>
                <w:lang w:val="en-GB"/>
              </w:rPr>
            </w:pPr>
            <w:r>
              <w:rPr>
                <w:lang w:val="en-GB"/>
              </w:rPr>
              <w:t>0.165</w:t>
            </w:r>
          </w:p>
        </w:tc>
      </w:tr>
      <w:tr w:rsidR="0012274F" w:rsidRPr="00B57B36" w14:paraId="672D7035" w14:textId="77777777" w:rsidTr="3ED03889">
        <w:tc>
          <w:tcPr>
            <w:tcW w:w="1425" w:type="dxa"/>
            <w:shd w:val="clear" w:color="auto" w:fill="FFFFFF" w:themeFill="background1"/>
          </w:tcPr>
          <w:p w14:paraId="04807FE3" w14:textId="799EDD82" w:rsidR="0012274F" w:rsidRDefault="0012274F" w:rsidP="00041F6A">
            <w:pPr>
              <w:pStyle w:val="CETBodytext"/>
              <w:tabs>
                <w:tab w:val="clear" w:pos="7100"/>
              </w:tabs>
              <w:rPr>
                <w:lang w:val="en-GB"/>
              </w:rPr>
            </w:pPr>
            <w:r>
              <w:rPr>
                <w:lang w:val="en-GB"/>
              </w:rPr>
              <w:t>N</w:t>
            </w:r>
            <w:r w:rsidRPr="0012274F">
              <w:rPr>
                <w:vertAlign w:val="subscript"/>
                <w:lang w:val="en-GB"/>
              </w:rPr>
              <w:t>2</w:t>
            </w:r>
            <w:r>
              <w:rPr>
                <w:lang w:val="en-GB"/>
              </w:rPr>
              <w:t xml:space="preserve"> – O</w:t>
            </w:r>
            <w:r w:rsidRPr="0012274F">
              <w:rPr>
                <w:vertAlign w:val="subscript"/>
                <w:lang w:val="en-GB"/>
              </w:rPr>
              <w:t>2</w:t>
            </w:r>
            <w:r>
              <w:rPr>
                <w:lang w:val="en-GB"/>
              </w:rPr>
              <w:t xml:space="preserve"> (g)</w:t>
            </w:r>
          </w:p>
        </w:tc>
        <w:tc>
          <w:tcPr>
            <w:tcW w:w="4387" w:type="dxa"/>
            <w:shd w:val="clear" w:color="auto" w:fill="FFFFFF" w:themeFill="background1"/>
            <w:vAlign w:val="center"/>
          </w:tcPr>
          <w:p w14:paraId="50B6DFA9" w14:textId="4ECBA4F8" w:rsidR="0012274F" w:rsidRPr="00B57B36" w:rsidRDefault="0012274F" w:rsidP="00041F6A">
            <w:pPr>
              <w:pStyle w:val="CETBodytext"/>
              <w:tabs>
                <w:tab w:val="clear" w:pos="7100"/>
              </w:tabs>
              <w:jc w:val="center"/>
              <w:rPr>
                <w:lang w:val="en-GB"/>
              </w:rPr>
            </w:pPr>
            <w:r>
              <w:rPr>
                <w:lang w:val="en-GB"/>
              </w:rPr>
              <w:t>0.220</w:t>
            </w:r>
          </w:p>
        </w:tc>
      </w:tr>
      <w:tr w:rsidR="0012274F" w:rsidRPr="00B57B36" w14:paraId="2409A84A" w14:textId="77777777" w:rsidTr="3ED03889">
        <w:tc>
          <w:tcPr>
            <w:tcW w:w="1425" w:type="dxa"/>
            <w:shd w:val="clear" w:color="auto" w:fill="FFFFFF" w:themeFill="background1"/>
          </w:tcPr>
          <w:p w14:paraId="471EE1F4" w14:textId="19DD9A84" w:rsidR="0012274F" w:rsidRPr="00B57B36" w:rsidRDefault="0012274F" w:rsidP="00041F6A">
            <w:pPr>
              <w:pStyle w:val="CETBodytext"/>
              <w:tabs>
                <w:tab w:val="clear" w:pos="7100"/>
              </w:tabs>
              <w:ind w:right="-1"/>
              <w:rPr>
                <w:rFonts w:cs="Arial"/>
                <w:szCs w:val="18"/>
                <w:lang w:val="en-GB"/>
              </w:rPr>
            </w:pPr>
            <w:r>
              <w:rPr>
                <w:lang w:val="en-GB"/>
              </w:rPr>
              <w:t>H</w:t>
            </w:r>
            <w:r w:rsidRPr="00E4038F">
              <w:rPr>
                <w:vertAlign w:val="subscript"/>
                <w:lang w:val="en-GB"/>
              </w:rPr>
              <w:t>2</w:t>
            </w:r>
            <w:r>
              <w:rPr>
                <w:lang w:val="en-GB"/>
              </w:rPr>
              <w:t>O – CO</w:t>
            </w:r>
            <w:r w:rsidRPr="00E4038F">
              <w:rPr>
                <w:vertAlign w:val="subscript"/>
                <w:lang w:val="en-GB"/>
              </w:rPr>
              <w:t>2</w:t>
            </w:r>
            <w:r>
              <w:rPr>
                <w:vertAlign w:val="subscript"/>
                <w:lang w:val="en-GB"/>
              </w:rPr>
              <w:t xml:space="preserve"> </w:t>
            </w:r>
            <w:r>
              <w:rPr>
                <w:lang w:val="en-GB"/>
              </w:rPr>
              <w:t>(l)</w:t>
            </w:r>
          </w:p>
        </w:tc>
        <w:tc>
          <w:tcPr>
            <w:tcW w:w="4387" w:type="dxa"/>
            <w:shd w:val="clear" w:color="auto" w:fill="FFFFFF" w:themeFill="background1"/>
            <w:vAlign w:val="center"/>
          </w:tcPr>
          <w:p w14:paraId="06CF1BF2" w14:textId="31DB7056" w:rsidR="0012274F" w:rsidRPr="00B57B36" w:rsidRDefault="00AB0965" w:rsidP="00041F6A">
            <w:pPr>
              <w:pStyle w:val="CETBodytext"/>
              <w:tabs>
                <w:tab w:val="clear" w:pos="7100"/>
              </w:tabs>
              <w:ind w:right="-1"/>
              <w:jc w:val="center"/>
              <w:rPr>
                <w:rFonts w:cs="Arial"/>
                <w:szCs w:val="18"/>
                <w:lang w:val="en-GB"/>
              </w:rPr>
            </w:pPr>
            <w:r>
              <w:rPr>
                <w:lang w:val="en-GB"/>
              </w:rPr>
              <w:t>1.92e-5</w:t>
            </w:r>
          </w:p>
        </w:tc>
      </w:tr>
    </w:tbl>
    <w:p w14:paraId="733765A9" w14:textId="13D0DFC9" w:rsidR="001948BF" w:rsidRDefault="001948BF" w:rsidP="00041F6A">
      <w:pPr>
        <w:pStyle w:val="CETBodytext"/>
        <w:tabs>
          <w:tab w:val="clear" w:pos="7100"/>
        </w:tabs>
      </w:pPr>
    </w:p>
    <w:p w14:paraId="562D0EC6" w14:textId="1DFFFD1C" w:rsidR="002B32FD" w:rsidRDefault="002B32FD" w:rsidP="002B32FD">
      <w:pPr>
        <w:pStyle w:val="CETBodytext"/>
      </w:pPr>
      <w:r>
        <w:t xml:space="preserve">The uniform bubbly flow had developed shortly after the air injection, see </w:t>
      </w:r>
      <w:r>
        <w:fldChar w:fldCharType="begin"/>
      </w:r>
      <w:r>
        <w:instrText xml:space="preserve"> REF _Ref94512414 \h </w:instrText>
      </w:r>
      <w:r>
        <w:fldChar w:fldCharType="separate"/>
      </w:r>
      <w:r w:rsidR="00CB2A3F">
        <w:t xml:space="preserve">Figure </w:t>
      </w:r>
      <w:r w:rsidR="00CB2A3F">
        <w:rPr>
          <w:noProof/>
        </w:rPr>
        <w:t>2</w:t>
      </w:r>
      <w:r>
        <w:fldChar w:fldCharType="end"/>
      </w:r>
      <w:r>
        <w:t>, and the equivalent bubble diameter was found with the image processing of the projected bubble area. The mean bubble diameter was determined to be 4.5 mm and it was considered as the diameter of a sphere with the same projected area as the measured bubble. Therefore, in the numerical model, the secondary phase was modelled with the formulation of spherical bubbles with the mean diameter of 4.5 mm. The interphase interaction force only included the Ishii-Zuber drag model.</w:t>
      </w:r>
    </w:p>
    <w:tbl>
      <w:tblPr>
        <w:tblStyle w:val="Mkatabulky"/>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5812"/>
      </w:tblGrid>
      <w:tr w:rsidR="002B32FD" w14:paraId="687B8A58" w14:textId="77777777" w:rsidTr="00C675E6">
        <w:trPr>
          <w:trHeight w:val="4649"/>
        </w:trPr>
        <w:tc>
          <w:tcPr>
            <w:tcW w:w="2972" w:type="dxa"/>
            <w:vAlign w:val="bottom"/>
          </w:tcPr>
          <w:p w14:paraId="2C205281" w14:textId="77777777" w:rsidR="002B32FD" w:rsidRDefault="002B32FD" w:rsidP="00BB44A8">
            <w:pPr>
              <w:tabs>
                <w:tab w:val="clear" w:pos="7100"/>
              </w:tabs>
              <w:spacing w:line="240" w:lineRule="auto"/>
              <w:jc w:val="center"/>
              <w:rPr>
                <w:lang w:val="en-US"/>
              </w:rPr>
            </w:pPr>
            <w:r>
              <w:rPr>
                <w:noProof/>
                <w:lang w:val="sk-SK" w:eastAsia="sk-SK"/>
              </w:rPr>
              <w:drawing>
                <wp:inline distT="0" distB="0" distL="0" distR="0" wp14:anchorId="667734CC" wp14:editId="10CA4691">
                  <wp:extent cx="2916000" cy="1604628"/>
                  <wp:effectExtent l="8255" t="0" r="6985"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2712.JPG"/>
                          <pic:cNvPicPr/>
                        </pic:nvPicPr>
                        <pic:blipFill rotWithShape="1">
                          <a:blip r:embed="rId14">
                            <a:extLst>
                              <a:ext uri="{28A0092B-C50C-407E-A947-70E740481C1C}">
                                <a14:useLocalDpi xmlns:a14="http://schemas.microsoft.com/office/drawing/2010/main" val="0"/>
                              </a:ext>
                            </a:extLst>
                          </a:blip>
                          <a:srcRect l="33105" t="33132" r="23093" b="30475"/>
                          <a:stretch/>
                        </pic:blipFill>
                        <pic:spPr bwMode="auto">
                          <a:xfrm rot="5400000">
                            <a:off x="0" y="0"/>
                            <a:ext cx="2916000" cy="160462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vAlign w:val="bottom"/>
          </w:tcPr>
          <w:p w14:paraId="6F09DD4B" w14:textId="77777777" w:rsidR="002B32FD" w:rsidRDefault="002B32FD" w:rsidP="00BB44A8">
            <w:pPr>
              <w:keepNext/>
              <w:tabs>
                <w:tab w:val="clear" w:pos="7100"/>
              </w:tabs>
              <w:spacing w:line="240" w:lineRule="auto"/>
              <w:jc w:val="center"/>
              <w:rPr>
                <w:lang w:val="en-US"/>
              </w:rPr>
            </w:pPr>
            <w:r>
              <w:rPr>
                <w:noProof/>
                <w:lang w:val="sk-SK" w:eastAsia="sk-SK"/>
              </w:rPr>
              <w:drawing>
                <wp:inline distT="0" distB="0" distL="0" distR="0" wp14:anchorId="30306848" wp14:editId="4A97DF2F">
                  <wp:extent cx="3464890" cy="2916000"/>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csnap-2022-01-31-07h56m54s578.png"/>
                          <pic:cNvPicPr/>
                        </pic:nvPicPr>
                        <pic:blipFill rotWithShape="1">
                          <a:blip r:embed="rId15">
                            <a:extLst>
                              <a:ext uri="{28A0092B-C50C-407E-A947-70E740481C1C}">
                                <a14:useLocalDpi xmlns:a14="http://schemas.microsoft.com/office/drawing/2010/main" val="0"/>
                              </a:ext>
                            </a:extLst>
                          </a:blip>
                          <a:srcRect l="25342" r="18040" b="15296"/>
                          <a:stretch/>
                        </pic:blipFill>
                        <pic:spPr bwMode="auto">
                          <a:xfrm>
                            <a:off x="0" y="0"/>
                            <a:ext cx="3464890" cy="291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7CE46B" w14:textId="3AA3F025" w:rsidR="002B32FD" w:rsidRDefault="002B32FD" w:rsidP="002B32FD">
      <w:pPr>
        <w:pStyle w:val="CETCaption"/>
        <w:rPr>
          <w:lang w:val="en-US"/>
        </w:rPr>
      </w:pPr>
      <w:bookmarkStart w:id="5" w:name="_Ref94512414"/>
      <w:r>
        <w:t xml:space="preserve">Figure </w:t>
      </w:r>
      <w:r>
        <w:fldChar w:fldCharType="begin"/>
      </w:r>
      <w:r>
        <w:instrText xml:space="preserve"> SEQ Figure \* ARABIC </w:instrText>
      </w:r>
      <w:r>
        <w:fldChar w:fldCharType="separate"/>
      </w:r>
      <w:r w:rsidR="00CB2A3F">
        <w:rPr>
          <w:noProof/>
        </w:rPr>
        <w:t>2</w:t>
      </w:r>
      <w:r>
        <w:fldChar w:fldCharType="end"/>
      </w:r>
      <w:bookmarkEnd w:id="5"/>
      <w:r>
        <w:rPr>
          <w:noProof/>
        </w:rPr>
        <w:t xml:space="preserve"> Bubble size and distribution: mid-height (left) and inlet (right)</w:t>
      </w:r>
    </w:p>
    <w:p w14:paraId="04CA7E82" w14:textId="5C65F124" w:rsidR="0036780A" w:rsidRDefault="00670406" w:rsidP="00041F6A">
      <w:pPr>
        <w:pStyle w:val="CETBodytext"/>
        <w:tabs>
          <w:tab w:val="clear" w:pos="7100"/>
        </w:tabs>
      </w:pPr>
      <w:r>
        <w:t xml:space="preserve">The interphase </w:t>
      </w:r>
      <w:r w:rsidR="00A20D2C">
        <w:t>equilibrium</w:t>
      </w:r>
      <w:r w:rsidR="00791774">
        <w:t xml:space="preserve"> model</w:t>
      </w:r>
      <w:r w:rsidR="00A20D2C">
        <w:t xml:space="preserve"> for the interphase species mass transfer employed the Henry’s law formulation. The molar concentration was 3,030,300 (Pa</w:t>
      </w:r>
      <w:r w:rsidR="00F5559B">
        <w:t> </w:t>
      </w:r>
      <w:r w:rsidR="00A20D2C">
        <w:t>m</w:t>
      </w:r>
      <w:r w:rsidR="00A20D2C" w:rsidRPr="176C6A68">
        <w:rPr>
          <w:vertAlign w:val="superscript"/>
        </w:rPr>
        <w:t>3</w:t>
      </w:r>
      <w:r w:rsidR="00543330">
        <w:t>)/</w:t>
      </w:r>
      <w:proofErr w:type="spellStart"/>
      <w:r w:rsidR="00543330">
        <w:t>kmol</w:t>
      </w:r>
      <w:proofErr w:type="spellEnd"/>
      <w:r w:rsidR="0038084A">
        <w:t xml:space="preserve"> </w:t>
      </w:r>
      <w:r>
        <w:fldChar w:fldCharType="begin"/>
      </w:r>
      <w:r w:rsidR="00194DA1">
        <w:instrText xml:space="preserve"> ADDIN ZOTERO_ITEM CSL_CITATION {"citationID":"e8LQcKuo","properties":{"formattedCitation":"(Sander, 2015)","plainCitation":"(Sander, 2015)","noteIndex":0},"citationItems":[{"id":920,"uris":["http://zotero.org/users/5417172/items/H76F75IP"],"itemData":{"id":920,"type":"article-journal","abstract":"Many atmospheric chemicals occur in the gas phase as well as in liquid cloud droplets and aerosol particles. Therefore, it is necessary to understand the distribution between the phases. According to Henry's law, the equilibrium ratio between the abundances in the gas phase and in the aqueous phase is constant for a dilute solution. Henry's law constants of trace gases of potential importance in environmental chemistry have been collected and converted into a uniform format. The compilation contains 17 350 values of Henry's law constants for 4632 species, collected from 689 references. It is also available at http://www.henrys-law.org.","container-title":"Atmospheric Chemistry &amp; Physics","DOI":"10.5194/acp-15-4399-2015","ISSN":"1680-73671680-73161680-7324       Atmospheric Chemistry and Physics","note":"ADS Bibcode: 2015ACP....15.4399S","page":"4399-4981","source":"NASA ADS","title":"Compilation of Henry's law constants (version 4.0) for water as solvent","volume":"15","author":[{"family":"Sander","given":"R."}],"issued":{"date-parts":[["2015",4,1]]}}}],"schema":"https://github.com/citation-style-language/schema/raw/master/csl-citation.json"} </w:instrText>
      </w:r>
      <w:r>
        <w:fldChar w:fldCharType="separate"/>
      </w:r>
      <w:r w:rsidR="0038084A" w:rsidRPr="176C6A68">
        <w:rPr>
          <w:rFonts w:cs="Arial"/>
        </w:rPr>
        <w:t>(Sander, 2015)</w:t>
      </w:r>
      <w:r>
        <w:fldChar w:fldCharType="end"/>
      </w:r>
      <w:r w:rsidR="00791774">
        <w:t xml:space="preserve">. </w:t>
      </w:r>
      <w:r w:rsidR="00C64742">
        <w:t>Next, the penetration model</w:t>
      </w:r>
      <w:r w:rsidR="0086048E">
        <w:t xml:space="preserve"> </w:t>
      </w:r>
      <w:r>
        <w:fldChar w:fldCharType="begin"/>
      </w:r>
      <w:r w:rsidR="00194DA1">
        <w:instrText xml:space="preserve"> ADDIN ZOTERO_ITEM CSL_CITATION {"citationID":"k7cFFm5P","properties":{"formattedCitation":"(Higbie, 1935)","plainCitation":"(Higbie, 1935)","noteIndex":0},"citationItems":[{"id":288,"uris":["http://zotero.org/users/5417172/items/A7C7LVFH"],"itemData":{"id":288,"type":"article-magazine","container-title":"Transactions of the American Institute of Chemical Engineers","page":"365-377","title":"The rate of absorption of a pure gas into still liquid during short periods of exposure","volume":"31","author":[{"family":"Higbie","given":"R."}],"issued":{"date-parts":[["1935"]]}}}],"schema":"https://github.com/citation-style-language/schema/raw/master/csl-citation.json"} </w:instrText>
      </w:r>
      <w:r>
        <w:fldChar w:fldCharType="separate"/>
      </w:r>
      <w:r w:rsidR="0086048E" w:rsidRPr="176C6A68">
        <w:rPr>
          <w:rFonts w:cs="Arial"/>
        </w:rPr>
        <w:t>(Higbie, 1935)</w:t>
      </w:r>
      <w:r>
        <w:fldChar w:fldCharType="end"/>
      </w:r>
      <w:r w:rsidR="00C64742">
        <w:t xml:space="preserve"> was used to determine the mass transfer coefficient. The penetration model was found to be suitable for weakly turbulent flows</w:t>
      </w:r>
      <w:r w:rsidR="0086048E">
        <w:t xml:space="preserve"> </w:t>
      </w:r>
      <w:r>
        <w:fldChar w:fldCharType="begin"/>
      </w:r>
      <w:r w:rsidR="00194DA1">
        <w:instrText xml:space="preserve"> ADDIN ZOTERO_ITEM CSL_CITATION {"citationID":"dZp6Llc5","properties":{"formattedCitation":"(Gao et al., 2015)","plainCitation":"(Gao et al., 2015)","noteIndex":0},"citationItems":[{"id":298,"uris":["http://zotero.org/users/5417172/items/GDM626J8"],"itemData":{"id":298,"type":"article-journal","abstract":"Gas-liquid Taylor-Couette flow devices have attracted interest for use as chemical and biological reactors, and consequently the accurate prediction of interphase mass transfer coefficients is crucial for their design and optimization. However, gas-liquid mass transport in these systems depends on many factors such as the local velocity field, turbulent energy dissipation rate, and the spatial distribution and size of bubbles, which in turn have complicated dependencies on process, geometric, and hydrodynamic parameters. Here we overcome these problems by employing a recently developed and validated Eulerian two-phase CFD model to compute local values of the mass transfer coefficient based upon the Higbie theory. This approach requires good estimates for mass transfer exposure times, and these are obtained by using a novel approach that automatically selects the appropriate expression (either the penetration model or eddy cell model) based upon local flow conditions. By comparing the simulation predictions with data from corresponding oxygen mass transfer experiments, it is demonstrated that this adaptive mass transfer model provides an excellent description for both the local and global mass transfer of oxygen in a semibatch gas-liquid Taylor-Couette reactor for a wide range of azimuthal Reynolds numbers and axial gas flow rates. © 2015 Elsevier Ltd. All rights reserved.","archive":"Scopus","container-title":"International Journal of Heat and Mass Transfer","DOI":"10.1016/j.ijheatmasstransfer.2015.07.125","page":"433-445","source":"Scopus","title":"An adaptive model for gas-liquid mass transfer in a Taylor vortex reactor","volume":"91","author":[{"family":"Gao","given":"X."},{"family":"Kong","given":"B."},{"family":"Ramezani","given":"M."},{"family":"Olsen","given":"M.G."},{"family":"Vigil","given":"R.D."}],"issued":{"date-parts":[["2015"]]}}}],"schema":"https://github.com/citation-style-language/schema/raw/master/csl-citation.json"} </w:instrText>
      </w:r>
      <w:r>
        <w:fldChar w:fldCharType="separate"/>
      </w:r>
      <w:r w:rsidR="0086048E" w:rsidRPr="176C6A68">
        <w:rPr>
          <w:rFonts w:cs="Arial"/>
        </w:rPr>
        <w:t>(Gao et al., 2015)</w:t>
      </w:r>
      <w:r>
        <w:fldChar w:fldCharType="end"/>
      </w:r>
      <w:r w:rsidR="0086048E">
        <w:t>,</w:t>
      </w:r>
      <w:r w:rsidR="0036780A">
        <w:t xml:space="preserve"> Eq (1).</w:t>
      </w:r>
    </w:p>
    <w:tbl>
      <w:tblPr>
        <w:tblW w:w="5000" w:type="pct"/>
        <w:tblLook w:val="04A0" w:firstRow="1" w:lastRow="0" w:firstColumn="1" w:lastColumn="0" w:noHBand="0" w:noVBand="1"/>
      </w:tblPr>
      <w:tblGrid>
        <w:gridCol w:w="7983"/>
        <w:gridCol w:w="804"/>
      </w:tblGrid>
      <w:tr w:rsidR="0036780A" w:rsidRPr="00B57B36" w14:paraId="3488915A" w14:textId="77777777" w:rsidTr="00886C9C">
        <w:tc>
          <w:tcPr>
            <w:tcW w:w="8188" w:type="dxa"/>
            <w:shd w:val="clear" w:color="auto" w:fill="auto"/>
            <w:vAlign w:val="center"/>
          </w:tcPr>
          <w:p w14:paraId="595EC564" w14:textId="77777777" w:rsidR="0036780A" w:rsidRPr="0033039E" w:rsidRDefault="00635007" w:rsidP="00886C9C">
            <w:pPr>
              <w:pStyle w:val="CETEquation"/>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D</m:t>
                            </m:r>
                          </m:e>
                          <m:sub>
                            <m:r>
                              <w:rPr>
                                <w:rFonts w:ascii="Cambria Math" w:hAnsi="Cambria Math"/>
                              </w:rPr>
                              <m:t>L</m:t>
                            </m:r>
                          </m:sub>
                        </m:sSub>
                        <m:sSub>
                          <m:sSubPr>
                            <m:ctrlPr>
                              <w:rPr>
                                <w:rFonts w:ascii="Cambria Math" w:hAnsi="Cambria Math"/>
                                <w:i/>
                              </w:rPr>
                            </m:ctrlPr>
                          </m:sSubPr>
                          <m:e>
                            <m:r>
                              <w:rPr>
                                <w:rFonts w:ascii="Cambria Math" w:hAnsi="Cambria Math"/>
                              </w:rPr>
                              <m:t>u</m:t>
                            </m:r>
                          </m:e>
                          <m:sub>
                            <m:r>
                              <w:rPr>
                                <w:rFonts w:ascii="Cambria Math" w:hAnsi="Cambria Math"/>
                              </w:rPr>
                              <m:t>slip</m:t>
                            </m:r>
                          </m:sub>
                        </m:sSub>
                      </m:num>
                      <m:den>
                        <m:r>
                          <w:rPr>
                            <w:rFonts w:ascii="Cambria Math" w:hAnsi="Cambria Math"/>
                          </w:rPr>
                          <m:t>π</m:t>
                        </m:r>
                        <m:sSub>
                          <m:sSubPr>
                            <m:ctrlPr>
                              <w:rPr>
                                <w:rFonts w:ascii="Cambria Math" w:hAnsi="Cambria Math"/>
                                <w:i/>
                              </w:rPr>
                            </m:ctrlPr>
                          </m:sSubPr>
                          <m:e>
                            <m:r>
                              <w:rPr>
                                <w:rFonts w:ascii="Cambria Math" w:hAnsi="Cambria Math"/>
                              </w:rPr>
                              <m:t>d</m:t>
                            </m:r>
                          </m:e>
                          <m:sub>
                            <m:r>
                              <w:rPr>
                                <w:rFonts w:ascii="Cambria Math" w:hAnsi="Cambria Math"/>
                              </w:rPr>
                              <m:t>B</m:t>
                            </m:r>
                          </m:sub>
                        </m:sSub>
                      </m:den>
                    </m:f>
                  </m:e>
                </m:rad>
              </m:oMath>
            </m:oMathPara>
          </w:p>
        </w:tc>
        <w:tc>
          <w:tcPr>
            <w:tcW w:w="815" w:type="dxa"/>
            <w:shd w:val="clear" w:color="auto" w:fill="auto"/>
            <w:vAlign w:val="center"/>
          </w:tcPr>
          <w:p w14:paraId="23C76C0A" w14:textId="77777777" w:rsidR="0036780A" w:rsidRPr="00B57B36" w:rsidRDefault="0036780A" w:rsidP="00886C9C">
            <w:pPr>
              <w:pStyle w:val="CETEquation"/>
              <w:jc w:val="right"/>
            </w:pPr>
            <w:r w:rsidRPr="00B57B36">
              <w:t>(1)</w:t>
            </w:r>
          </w:p>
        </w:tc>
      </w:tr>
    </w:tbl>
    <w:p w14:paraId="350EEF6E" w14:textId="0FF48C45" w:rsidR="0035214B" w:rsidRDefault="0036780A" w:rsidP="00041F6A">
      <w:pPr>
        <w:pStyle w:val="CETBodytext"/>
        <w:tabs>
          <w:tab w:val="clear" w:pos="7100"/>
        </w:tabs>
      </w:pPr>
      <w:r>
        <w:t xml:space="preserve">where </w:t>
      </w:r>
      <w:r w:rsidR="00C64742">
        <w:t>the mass</w:t>
      </w:r>
      <w:r w:rsidR="00AB25E4">
        <w:t>-</w:t>
      </w:r>
      <w:r w:rsidR="00C64742">
        <w:t>transfer</w:t>
      </w:r>
      <w:r w:rsidR="00AB25E4">
        <w:t>-</w:t>
      </w:r>
      <w:r w:rsidR="00C64742">
        <w:t xml:space="preserve">coefficient </w:t>
      </w:r>
      <w:r>
        <w:t xml:space="preserve">is </w:t>
      </w:r>
      <w:r w:rsidR="00C64742">
        <w:t>based on the phase diffusivity</w:t>
      </w:r>
      <w:r w:rsidR="00203B44">
        <w:t xml:space="preserve">,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sidR="00C64742">
        <w:t>, slip velocity</w:t>
      </w:r>
      <w:r w:rsidR="00203B44">
        <w:t xml:space="preserve">, </w:t>
      </w:r>
      <m:oMath>
        <m:sSub>
          <m:sSubPr>
            <m:ctrlPr>
              <w:rPr>
                <w:rFonts w:ascii="Cambria Math" w:hAnsi="Cambria Math"/>
                <w:i/>
              </w:rPr>
            </m:ctrlPr>
          </m:sSubPr>
          <m:e>
            <m:r>
              <w:rPr>
                <w:rFonts w:ascii="Cambria Math" w:hAnsi="Cambria Math"/>
              </w:rPr>
              <m:t>u</m:t>
            </m:r>
          </m:e>
          <m:sub>
            <m:r>
              <w:rPr>
                <w:rFonts w:ascii="Cambria Math" w:hAnsi="Cambria Math"/>
              </w:rPr>
              <m:t>slip</m:t>
            </m:r>
          </m:sub>
        </m:sSub>
      </m:oMath>
      <w:r w:rsidR="00C64742">
        <w:t>, and the characteristic length</w:t>
      </w:r>
      <w:r w:rsidR="00F60D17">
        <w:t xml:space="preserve">, </w:t>
      </w: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00C64742">
        <w:t xml:space="preserve">, e.g. bubble diameter. </w:t>
      </w:r>
      <w:r w:rsidR="006D33DF">
        <w:t>This yields the mas</w:t>
      </w:r>
      <w:r w:rsidR="00BF7A0D">
        <w:t>s</w:t>
      </w:r>
      <w:r w:rsidR="006D33DF">
        <w:t xml:space="preserve"> transfer coefficient o</w:t>
      </w:r>
      <w:r w:rsidR="0082792E">
        <w:t>f</w:t>
      </w:r>
      <w:r w:rsidR="006D33DF">
        <w:t xml:space="preserve"> 8.5</w:t>
      </w:r>
      <w:r w:rsidR="00F14C04">
        <w:t xml:space="preserve"> 10</w:t>
      </w:r>
      <w:r w:rsidR="006D33DF" w:rsidRPr="00F14C04">
        <w:rPr>
          <w:vertAlign w:val="superscript"/>
        </w:rPr>
        <w:t>-5</w:t>
      </w:r>
      <w:r w:rsidR="006D33DF">
        <w:t> m/s</w:t>
      </w:r>
      <w:r w:rsidR="00476491">
        <w:t>. T</w:t>
      </w:r>
      <w:r w:rsidR="0035214B">
        <w:t xml:space="preserve">he respective rising velocity in water </w:t>
      </w:r>
      <w:r w:rsidR="00476491">
        <w:t xml:space="preserve">for bubbles 4.5 mm large in diameter </w:t>
      </w:r>
      <w:r w:rsidR="000C0AAB">
        <w:t>is</w:t>
      </w:r>
      <w:r w:rsidR="00CA2664">
        <w:t xml:space="preserve"> </w:t>
      </w:r>
      <w:r w:rsidR="00E5729E">
        <w:t>around</w:t>
      </w:r>
      <w:r w:rsidR="0035214B">
        <w:t xml:space="preserve"> 0.</w:t>
      </w:r>
      <w:r w:rsidR="00E5729E">
        <w:t>35</w:t>
      </w:r>
      <w:r w:rsidR="0035214B">
        <w:t> </w:t>
      </w:r>
      <w:r w:rsidR="000C0AAB">
        <w:t xml:space="preserve">m/s. Therefore, it </w:t>
      </w:r>
      <w:r w:rsidR="00585BF3">
        <w:t xml:space="preserve">can be </w:t>
      </w:r>
      <w:r w:rsidR="009E4B08">
        <w:lastRenderedPageBreak/>
        <w:t>concluded</w:t>
      </w:r>
      <w:r w:rsidR="000C0AAB">
        <w:t xml:space="preserve"> that the hydrodynamic phenomenon defines the time</w:t>
      </w:r>
      <w:r w:rsidR="00476491">
        <w:t xml:space="preserve"> </w:t>
      </w:r>
      <w:r w:rsidR="000C0AAB">
        <w:t>scale of</w:t>
      </w:r>
      <w:r w:rsidR="00AD5D4C">
        <w:t xml:space="preserve"> the</w:t>
      </w:r>
      <w:r w:rsidR="000C0AAB">
        <w:t xml:space="preserve"> numerical model. Considering 4 mm cell size, </w:t>
      </w:r>
      <w:r w:rsidR="00EB4038">
        <w:t>the time step size 0.005 s yields</w:t>
      </w:r>
      <w:r w:rsidR="00AD5D4C">
        <w:t xml:space="preserve"> the</w:t>
      </w:r>
      <w:r w:rsidR="00EB4038">
        <w:t xml:space="preserve"> Courant number of 0.5.</w:t>
      </w:r>
    </w:p>
    <w:p w14:paraId="1FB6BAC9" w14:textId="1DE0273C" w:rsidR="00E5729E" w:rsidRDefault="001948BF" w:rsidP="00041F6A">
      <w:pPr>
        <w:pStyle w:val="CETBodytext"/>
        <w:tabs>
          <w:tab w:val="clear" w:pos="7100"/>
        </w:tabs>
      </w:pPr>
      <w:r>
        <w:t xml:space="preserve">Equations for momentum, continuity, volume fraction, energy and interphase species mass transfer were solved </w:t>
      </w:r>
      <w:r w:rsidR="006A340B">
        <w:t xml:space="preserve">with </w:t>
      </w:r>
      <w:r>
        <w:t xml:space="preserve">the pressure-based phase-coupled algorithm. The second-order spatial discretization was employed for momentum equations and PRESTO! for the </w:t>
      </w:r>
      <w:r w:rsidR="0035214B">
        <w:t xml:space="preserve">pressure </w:t>
      </w:r>
      <w:r>
        <w:t>discretization</w:t>
      </w:r>
      <w:r w:rsidR="0035214B">
        <w:t>.</w:t>
      </w:r>
      <w:r w:rsidR="00AD5D4C">
        <w:t xml:space="preserve"> </w:t>
      </w:r>
      <w:r w:rsidR="00104763">
        <w:t xml:space="preserve">The numerical model was initialized with the domain filled with </w:t>
      </w:r>
      <w:r w:rsidR="00191F22">
        <w:t xml:space="preserve">quiescent </w:t>
      </w:r>
      <w:r w:rsidR="00104763">
        <w:t>liquid water</w:t>
      </w:r>
      <w:r w:rsidR="00E33DF1">
        <w:t xml:space="preserve"> only.</w:t>
      </w:r>
    </w:p>
    <w:p w14:paraId="7DFB8901" w14:textId="5B8275EE" w:rsidR="0035214B" w:rsidRDefault="003C66E6" w:rsidP="003C66E6">
      <w:pPr>
        <w:pStyle w:val="CETHeading1"/>
      </w:pPr>
      <w:r>
        <w:t>Results</w:t>
      </w:r>
    </w:p>
    <w:p w14:paraId="5922A5C0" w14:textId="6185E615" w:rsidR="00C710FC" w:rsidRDefault="007B3276" w:rsidP="00C710FC">
      <w:pPr>
        <w:pStyle w:val="CETBodytext"/>
        <w:tabs>
          <w:tab w:val="clear" w:pos="7100"/>
        </w:tabs>
      </w:pPr>
      <w:r>
        <w:t>The duration of the experiment and numerical analysis took 30 min of flow time.</w:t>
      </w:r>
      <w:r w:rsidR="00EC4D37">
        <w:t xml:space="preserve"> </w:t>
      </w:r>
      <w:r>
        <w:fldChar w:fldCharType="begin"/>
      </w:r>
      <w:r>
        <w:instrText xml:space="preserve"> REF _Ref94445100 \h </w:instrText>
      </w:r>
      <w:r>
        <w:fldChar w:fldCharType="separate"/>
      </w:r>
      <w:r w:rsidR="00CB2A3F">
        <w:t xml:space="preserve">Figure </w:t>
      </w:r>
      <w:r w:rsidR="00CB2A3F">
        <w:rPr>
          <w:noProof/>
        </w:rPr>
        <w:t>3</w:t>
      </w:r>
      <w:r>
        <w:fldChar w:fldCharType="end"/>
      </w:r>
      <w:r w:rsidR="00EC4D37">
        <w:t xml:space="preserve"> </w:t>
      </w:r>
      <w:r>
        <w:t>shows the CO</w:t>
      </w:r>
      <w:r w:rsidRPr="176C6A68">
        <w:rPr>
          <w:vertAlign w:val="subscript"/>
        </w:rPr>
        <w:t>2</w:t>
      </w:r>
      <w:r>
        <w:t xml:space="preserve"> volume fraction in the aeration gas at the outlet of the tube. At the beginning of the aeration, the water did not contain any CO</w:t>
      </w:r>
      <w:r w:rsidRPr="176C6A68">
        <w:rPr>
          <w:vertAlign w:val="subscript"/>
        </w:rPr>
        <w:t>2</w:t>
      </w:r>
      <w:r>
        <w:t xml:space="preserve">, resulting in the highest concentration gradient yielding the max mass transfer rate of </w:t>
      </w:r>
      <w:r w:rsidRPr="00F5559B">
        <w:t>2</w:t>
      </w:r>
      <w:r w:rsidR="00F5559B" w:rsidRPr="00F5559B">
        <w:t> </w:t>
      </w:r>
      <w:r w:rsidRPr="00F5559B">
        <w:t>g</w:t>
      </w:r>
      <w:proofErr w:type="gramStart"/>
      <w:r w:rsidRPr="00F5559B">
        <w:t>/(</w:t>
      </w:r>
      <w:proofErr w:type="gramEnd"/>
      <w:r w:rsidRPr="00F5559B">
        <w:t>m</w:t>
      </w:r>
      <w:r w:rsidRPr="00F5559B">
        <w:rPr>
          <w:vertAlign w:val="superscript"/>
        </w:rPr>
        <w:t>3</w:t>
      </w:r>
      <w:r w:rsidR="00F5559B" w:rsidRPr="003C63CE">
        <w:t> </w:t>
      </w:r>
      <w:r w:rsidRPr="00F5559B">
        <w:t>s).</w:t>
      </w:r>
      <w:r>
        <w:t xml:space="preserve"> Considering the superficial velocity of 13.3</w:t>
      </w:r>
      <w:r w:rsidR="00AA11F6">
        <w:t> </w:t>
      </w:r>
      <w:r>
        <w:t xml:space="preserve">mm/s, it can be assumed that the mass transfer rate was </w:t>
      </w:r>
      <w:r w:rsidR="00FE7CD7">
        <w:t>the</w:t>
      </w:r>
      <w:r>
        <w:t xml:space="preserve"> dominant phenomenon at the beginning of aeration, rendering the drop below 8</w:t>
      </w:r>
      <w:r w:rsidR="00FE7CD7">
        <w:t> </w:t>
      </w:r>
      <w:r>
        <w:t>%</w:t>
      </w:r>
      <w:r w:rsidRPr="176C6A68">
        <w:rPr>
          <w:vertAlign w:val="subscript"/>
        </w:rPr>
        <w:t>vol.</w:t>
      </w:r>
      <w:r>
        <w:t xml:space="preserve"> CO</w:t>
      </w:r>
      <w:r w:rsidRPr="176C6A68">
        <w:rPr>
          <w:vertAlign w:val="subscript"/>
        </w:rPr>
        <w:t>2</w:t>
      </w:r>
      <w:r>
        <w:t xml:space="preserve">. </w:t>
      </w:r>
      <w:r w:rsidR="00FE7CD7">
        <w:t xml:space="preserve">In the case of the laboratory experiment, the combination with a pressure drop in the aeration gas loop could have caused an even lower concentration drop. However, the time to reach the saturated state is approximately </w:t>
      </w:r>
      <w:r w:rsidR="00FE7CD7" w:rsidRPr="0065208C">
        <w:t>15</w:t>
      </w:r>
      <w:r w:rsidR="0065208C">
        <w:t> </w:t>
      </w:r>
      <w:r w:rsidR="00FE7CD7" w:rsidRPr="0065208C">
        <w:t>min</w:t>
      </w:r>
      <w:r w:rsidR="00FE7CD7">
        <w:t xml:space="preserve"> in the CFD prediction and laboratory experiment. After this time, the flow can be considered developed and stabilized.</w:t>
      </w:r>
    </w:p>
    <w:p w14:paraId="6F41E358" w14:textId="396216F3" w:rsidR="009B2557" w:rsidRDefault="004B6E11" w:rsidP="00997C9C">
      <w:pPr>
        <w:pStyle w:val="CETBodytext"/>
      </w:pPr>
      <w:r>
        <w:fldChar w:fldCharType="begin"/>
      </w:r>
      <w:r>
        <w:instrText xml:space="preserve"> REF _Ref94512414 \h </w:instrText>
      </w:r>
      <w:r>
        <w:fldChar w:fldCharType="separate"/>
      </w:r>
      <w:r w:rsidR="00CB2A3F">
        <w:t xml:space="preserve">Figure </w:t>
      </w:r>
      <w:r w:rsidR="00CB2A3F">
        <w:rPr>
          <w:noProof/>
        </w:rPr>
        <w:t>2</w:t>
      </w:r>
      <w:r>
        <w:fldChar w:fldCharType="end"/>
      </w:r>
      <w:r>
        <w:t xml:space="preserve"> shows that bubbles</w:t>
      </w:r>
      <w:r w:rsidR="005C0944">
        <w:t xml:space="preserve"> in the inlet region</w:t>
      </w:r>
      <w:r w:rsidR="00914577">
        <w:t xml:space="preserve"> grow in their size</w:t>
      </w:r>
      <w:r w:rsidR="008A147F">
        <w:t xml:space="preserve"> until they are uniform in their size and shape. </w:t>
      </w:r>
      <w:r w:rsidR="00625833">
        <w:t xml:space="preserve">Considering the constant bubble diameter </w:t>
      </w:r>
      <w:r w:rsidR="002E3431">
        <w:t>in</w:t>
      </w:r>
      <w:r w:rsidR="00625833">
        <w:t xml:space="preserve"> the </w:t>
      </w:r>
      <w:proofErr w:type="spellStart"/>
      <w:r w:rsidR="00625833">
        <w:t>Higbie’s</w:t>
      </w:r>
      <w:proofErr w:type="spellEnd"/>
      <w:r w:rsidR="00625833">
        <w:t xml:space="preserve"> formulation of the mass transfer coefficient, the mass transfer rate might be under-predicted for the beginning of the s</w:t>
      </w:r>
      <w:r w:rsidR="00365A25">
        <w:t xml:space="preserve">imulation as </w:t>
      </w:r>
      <w:r w:rsidR="00A612D2">
        <w:t>larger</w:t>
      </w:r>
      <w:r w:rsidR="00365A25">
        <w:t xml:space="preserve"> bubbles provide </w:t>
      </w:r>
      <w:r w:rsidR="00A612D2">
        <w:t xml:space="preserve">less </w:t>
      </w:r>
      <w:r w:rsidR="00365A25">
        <w:t xml:space="preserve">interfacial area </w:t>
      </w:r>
      <w:r w:rsidR="00B13657">
        <w:t xml:space="preserve">and experience </w:t>
      </w:r>
      <w:r w:rsidR="00A612D2">
        <w:t xml:space="preserve">more </w:t>
      </w:r>
      <w:r w:rsidR="00B13657">
        <w:t xml:space="preserve">drag, i.e. move with </w:t>
      </w:r>
      <w:r w:rsidR="00A612D2">
        <w:t xml:space="preserve">lower </w:t>
      </w:r>
      <w:r w:rsidR="00B13657">
        <w:t>velocity</w:t>
      </w:r>
      <w:r w:rsidR="00B45E3C">
        <w:t xml:space="preserve">. </w:t>
      </w:r>
      <w:r w:rsidR="0012193B">
        <w:t xml:space="preserve">Therefore, smaller bubbles </w:t>
      </w:r>
      <w:r w:rsidR="00FF1897">
        <w:t>i</w:t>
      </w:r>
      <w:r w:rsidR="00B45E3C">
        <w:t xml:space="preserve">n combination with the largest concentration gradient </w:t>
      </w:r>
      <w:r w:rsidR="006E4107">
        <w:t>between water and CO</w:t>
      </w:r>
      <w:r w:rsidR="006E4107" w:rsidRPr="176C6A68">
        <w:rPr>
          <w:vertAlign w:val="subscript"/>
        </w:rPr>
        <w:t>2</w:t>
      </w:r>
      <w:r w:rsidR="006E4107">
        <w:t>-rich gas</w:t>
      </w:r>
      <w:r w:rsidR="0012193B">
        <w:t xml:space="preserve"> could yield</w:t>
      </w:r>
      <w:r w:rsidR="001E75BB">
        <w:t xml:space="preserve"> a</w:t>
      </w:r>
      <w:r w:rsidR="0012193B">
        <w:t xml:space="preserve"> </w:t>
      </w:r>
      <w:r w:rsidR="00390C71">
        <w:t>higher</w:t>
      </w:r>
      <w:r w:rsidR="00B45E3C">
        <w:t xml:space="preserve"> </w:t>
      </w:r>
      <w:r w:rsidR="002E753E">
        <w:t>mas</w:t>
      </w:r>
      <w:r w:rsidR="009D0AA0">
        <w:t>s</w:t>
      </w:r>
      <w:r w:rsidR="002E753E">
        <w:t xml:space="preserve"> transfer rate</w:t>
      </w:r>
      <w:r w:rsidR="00390C71">
        <w:t xml:space="preserve"> </w:t>
      </w:r>
      <w:r w:rsidR="00194DA1">
        <w:fldChar w:fldCharType="begin"/>
      </w:r>
      <w:r w:rsidR="00194DA1">
        <w:instrText xml:space="preserve"> ADDIN ZOTERO_ITEM CSL_CITATION {"citationID":"0mBJXi8N","properties":{"formattedCitation":"(Geng Shigang and Meng Weidong, 2018)","plainCitation":"(Geng Shigang and Meng Weidong, 2018)","noteIndex":0},"citationItems":[{"id":997,"uris":["http://zotero.org/users/5417172/items/N9GHUQAC"],"itemData":{"id":997,"type":"article-journal","container-title":"Chemical Engineering Transactions","DOI":"10.3303/CET1871001","language":"en","page":"1-6","source":"DOI.org (CSL JSON)","title":"Chemical absorption and mass transfer of greenhouse gas carbon dioxide","volume":"71","author":[{"literal":"Geng Shigang"},{"literal":"Meng Weidong"}],"issued":{"date-parts":[["2018",12]]}}}],"schema":"https://github.com/citation-style-language/schema/raw/master/csl-citation.json"} </w:instrText>
      </w:r>
      <w:r w:rsidR="00194DA1">
        <w:fldChar w:fldCharType="separate"/>
      </w:r>
      <w:r w:rsidR="00194DA1" w:rsidRPr="00194DA1">
        <w:rPr>
          <w:rFonts w:cs="Arial"/>
        </w:rPr>
        <w:t>(Geng Shigang and Meng Weidong, 2018)</w:t>
      </w:r>
      <w:r w:rsidR="00194DA1">
        <w:fldChar w:fldCharType="end"/>
      </w:r>
      <w:r w:rsidR="00390C71">
        <w:t xml:space="preserve"> </w:t>
      </w:r>
      <w:r w:rsidR="00194DA1">
        <w:t xml:space="preserve">rendering </w:t>
      </w:r>
      <w:r w:rsidR="00607029">
        <w:t xml:space="preserve">a </w:t>
      </w:r>
      <w:r w:rsidR="00280E70">
        <w:t>lower</w:t>
      </w:r>
      <w:r w:rsidR="00390C71">
        <w:t xml:space="preserve"> drop </w:t>
      </w:r>
      <w:r w:rsidR="00943C0A">
        <w:t xml:space="preserve">in </w:t>
      </w:r>
      <w:r w:rsidR="00997C9C">
        <w:t xml:space="preserve">the </w:t>
      </w:r>
      <w:r w:rsidR="00943C0A">
        <w:t>first 5 minutes of the flow</w:t>
      </w:r>
      <w:r w:rsidR="00BB51A0">
        <w:t xml:space="preserve"> in </w:t>
      </w:r>
      <w:r>
        <w:fldChar w:fldCharType="begin"/>
      </w:r>
      <w:r>
        <w:instrText xml:space="preserve"> REF _Ref94445100 \h </w:instrText>
      </w:r>
      <w:r>
        <w:fldChar w:fldCharType="separate"/>
      </w:r>
      <w:r w:rsidR="00CB2A3F">
        <w:t xml:space="preserve">Figure </w:t>
      </w:r>
      <w:r w:rsidR="00CB2A3F">
        <w:rPr>
          <w:noProof/>
        </w:rPr>
        <w:t>3</w:t>
      </w:r>
      <w:r>
        <w:fldChar w:fldCharType="end"/>
      </w:r>
      <w:r w:rsidR="00BB51A0">
        <w:t>.</w:t>
      </w:r>
    </w:p>
    <w:p w14:paraId="2559332F" w14:textId="6EA87A69" w:rsidR="00B26AF4" w:rsidRDefault="000312F4" w:rsidP="00500003">
      <w:pPr>
        <w:pStyle w:val="CETBodytext"/>
        <w:tabs>
          <w:tab w:val="clear" w:pos="7100"/>
        </w:tabs>
      </w:pPr>
      <w:r>
        <w:t>Due</w:t>
      </w:r>
      <w:r w:rsidR="00DB75FC">
        <w:t xml:space="preserve"> to the relatively small cross-sectional area and high air velocity, the c</w:t>
      </w:r>
      <w:r w:rsidR="00361C8C">
        <w:t>o</w:t>
      </w:r>
      <w:r w:rsidR="00B26AF4">
        <w:t>ncentration of CO</w:t>
      </w:r>
      <w:r w:rsidR="00B26AF4" w:rsidRPr="00361C8C">
        <w:rPr>
          <w:vertAlign w:val="subscript"/>
        </w:rPr>
        <w:t>2</w:t>
      </w:r>
      <w:r w:rsidR="00B26AF4">
        <w:t xml:space="preserve"> in both phases is uniform. </w:t>
      </w:r>
      <w:r w:rsidR="00CE76CD">
        <w:t xml:space="preserve">As a result of </w:t>
      </w:r>
      <w:r w:rsidR="00A41508">
        <w:t>a</w:t>
      </w:r>
      <w:r w:rsidR="00CE76CD">
        <w:t xml:space="preserve"> uniform concentration gradient, the mass transfer rate is uniform as well,</w:t>
      </w:r>
      <w:r w:rsidR="00280E70">
        <w:t xml:space="preserve"> see</w:t>
      </w:r>
      <w:r w:rsidR="00CE76CD">
        <w:t xml:space="preserve"> </w:t>
      </w:r>
      <w:r w:rsidR="00CE76CD">
        <w:fldChar w:fldCharType="begin"/>
      </w:r>
      <w:r w:rsidR="00CE76CD">
        <w:instrText xml:space="preserve"> REF _Ref94538082 \h </w:instrText>
      </w:r>
      <w:r w:rsidR="00CE76CD">
        <w:fldChar w:fldCharType="separate"/>
      </w:r>
      <w:r w:rsidR="00CB2A3F">
        <w:t xml:space="preserve">Figure </w:t>
      </w:r>
      <w:r w:rsidR="00CB2A3F">
        <w:rPr>
          <w:noProof/>
        </w:rPr>
        <w:t>4</w:t>
      </w:r>
      <w:r w:rsidR="00CE76CD">
        <w:fldChar w:fldCharType="end"/>
      </w:r>
      <w:r w:rsidR="00CE76CD">
        <w:t>.</w:t>
      </w:r>
      <w:r w:rsidR="00C539EC">
        <w:t xml:space="preserve"> </w:t>
      </w:r>
      <w:r w:rsidR="0020125F">
        <w:t>A n</w:t>
      </w:r>
      <w:r w:rsidR="00C539EC">
        <w:t xml:space="preserve">oticeable difference </w:t>
      </w:r>
      <w:r w:rsidR="00164761">
        <w:t xml:space="preserve">in the region close to the inlet is </w:t>
      </w:r>
      <w:r w:rsidR="00C539EC">
        <w:t xml:space="preserve">observable only in the first </w:t>
      </w:r>
      <w:r w:rsidR="00D44482">
        <w:t>6</w:t>
      </w:r>
      <w:r w:rsidR="008E4A24">
        <w:t xml:space="preserve"> minutes.</w:t>
      </w:r>
      <w:r w:rsidR="00BF32FA">
        <w:t xml:space="preserve"> After this point,</w:t>
      </w:r>
      <w:r w:rsidR="00D44482">
        <w:t xml:space="preserve"> it is diminished and</w:t>
      </w:r>
      <w:r w:rsidR="00BF32FA">
        <w:t xml:space="preserve"> the </w:t>
      </w:r>
      <w:r w:rsidR="009B08E3">
        <w:t>liquid phase saturation becomes the limiting factor a</w:t>
      </w:r>
      <w:r w:rsidR="000B2548">
        <w:t xml:space="preserve">nd the mass transfer is not </w:t>
      </w:r>
      <w:r w:rsidR="004B5941">
        <w:t xml:space="preserve">affected by the concentration gradient to such extent. </w:t>
      </w:r>
      <w:r w:rsidR="007162EF">
        <w:t>After 30 min, the CO</w:t>
      </w:r>
      <w:r w:rsidR="007162EF" w:rsidRPr="0083227B">
        <w:rPr>
          <w:vertAlign w:val="subscript"/>
        </w:rPr>
        <w:t>2</w:t>
      </w:r>
      <w:r w:rsidR="007162EF">
        <w:t xml:space="preserve"> concentration in the liquid phase is between 0.16</w:t>
      </w:r>
      <w:r w:rsidR="00E21C42">
        <w:t>0</w:t>
      </w:r>
      <w:r w:rsidR="007162EF">
        <w:t xml:space="preserve"> to 0.165</w:t>
      </w:r>
      <w:r w:rsidR="007235D0">
        <w:t> </w:t>
      </w:r>
      <w:r w:rsidR="007162EF">
        <w:t>kg/m</w:t>
      </w:r>
      <w:r w:rsidR="007162EF" w:rsidRPr="0083227B">
        <w:rPr>
          <w:vertAlign w:val="superscript"/>
        </w:rPr>
        <w:t>3</w:t>
      </w:r>
      <w:r w:rsidR="005335E2">
        <w:t xml:space="preserve"> and the mass transfer rate is </w:t>
      </w:r>
      <w:r w:rsidR="00607895">
        <w:t>in the order of 2</w:t>
      </w:r>
      <w:r w:rsidR="00F14C04">
        <w:t>.0</w:t>
      </w:r>
      <w:r w:rsidR="00F5559B">
        <w:t> </w:t>
      </w:r>
      <w:r w:rsidR="00F14C04">
        <w:t>10</w:t>
      </w:r>
      <w:r w:rsidR="00F14C04" w:rsidRPr="00F14C04">
        <w:rPr>
          <w:vertAlign w:val="superscript"/>
        </w:rPr>
        <w:t>-5</w:t>
      </w:r>
      <w:r w:rsidR="00607895">
        <w:t> </w:t>
      </w:r>
      <w:r w:rsidR="00F14C04">
        <w:t>k</w:t>
      </w:r>
      <w:r w:rsidR="00607895">
        <w:t>g</w:t>
      </w:r>
      <w:proofErr w:type="gramStart"/>
      <w:r w:rsidR="00607895">
        <w:t>/</w:t>
      </w:r>
      <w:r w:rsidR="00B26AF4">
        <w:t>(</w:t>
      </w:r>
      <w:proofErr w:type="gramEnd"/>
      <w:r w:rsidR="00B26AF4">
        <w:t>m</w:t>
      </w:r>
      <w:r w:rsidR="00827797">
        <w:rPr>
          <w:vertAlign w:val="superscript"/>
        </w:rPr>
        <w:t>3</w:t>
      </w:r>
      <w:r w:rsidR="00F5559B">
        <w:t> </w:t>
      </w:r>
      <w:r w:rsidR="00B26AF4">
        <w:t>s).</w:t>
      </w:r>
    </w:p>
    <w:p w14:paraId="5527B39E" w14:textId="77777777" w:rsidR="006671AD" w:rsidRDefault="006671AD" w:rsidP="00500003">
      <w:pPr>
        <w:pStyle w:val="CETBodytext"/>
        <w:tabs>
          <w:tab w:val="clear" w:pos="7100"/>
        </w:tabs>
      </w:pPr>
    </w:p>
    <w:p w14:paraId="4B29F20A" w14:textId="3BD1FD9D" w:rsidR="00A913BC" w:rsidRDefault="00BF1166" w:rsidP="00EC4D37">
      <w:pPr>
        <w:pStyle w:val="CETBodytext"/>
        <w:keepNext/>
        <w:tabs>
          <w:tab w:val="clear" w:pos="7100"/>
        </w:tabs>
      </w:pPr>
      <w:r>
        <w:rPr>
          <w:noProof/>
          <w:lang w:val="sk-SK" w:eastAsia="sk-SK"/>
        </w:rPr>
        <w:drawing>
          <wp:inline distT="0" distB="0" distL="0" distR="0" wp14:anchorId="423CED13" wp14:editId="4AC498D4">
            <wp:extent cx="4968000" cy="2995404"/>
            <wp:effectExtent l="0" t="0" r="444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2-vol.emf"/>
                    <pic:cNvPicPr/>
                  </pic:nvPicPr>
                  <pic:blipFill>
                    <a:blip r:embed="rId16">
                      <a:extLst>
                        <a:ext uri="{28A0092B-C50C-407E-A947-70E740481C1C}">
                          <a14:useLocalDpi xmlns:a14="http://schemas.microsoft.com/office/drawing/2010/main" val="0"/>
                        </a:ext>
                      </a:extLst>
                    </a:blip>
                    <a:stretch>
                      <a:fillRect/>
                    </a:stretch>
                  </pic:blipFill>
                  <pic:spPr>
                    <a:xfrm>
                      <a:off x="0" y="0"/>
                      <a:ext cx="4968000" cy="2995404"/>
                    </a:xfrm>
                    <a:prstGeom prst="rect">
                      <a:avLst/>
                    </a:prstGeom>
                  </pic:spPr>
                </pic:pic>
              </a:graphicData>
            </a:graphic>
          </wp:inline>
        </w:drawing>
      </w:r>
    </w:p>
    <w:p w14:paraId="607EFEC5" w14:textId="71F0D586" w:rsidR="00B44742" w:rsidRDefault="00EC4D37" w:rsidP="00500003">
      <w:pPr>
        <w:pStyle w:val="CETCaption"/>
      </w:pPr>
      <w:bookmarkStart w:id="6" w:name="_Ref94445100"/>
      <w:r>
        <w:t xml:space="preserve">Figure </w:t>
      </w:r>
      <w:r>
        <w:fldChar w:fldCharType="begin"/>
      </w:r>
      <w:r>
        <w:instrText xml:space="preserve"> SEQ Figure \* ARABIC </w:instrText>
      </w:r>
      <w:r>
        <w:fldChar w:fldCharType="separate"/>
      </w:r>
      <w:r w:rsidR="00CB2A3F">
        <w:rPr>
          <w:noProof/>
        </w:rPr>
        <w:t>3</w:t>
      </w:r>
      <w:r>
        <w:fldChar w:fldCharType="end"/>
      </w:r>
      <w:bookmarkEnd w:id="6"/>
      <w:r>
        <w:rPr>
          <w:noProof/>
        </w:rPr>
        <w:t xml:space="preserve"> Volume fraction of CO</w:t>
      </w:r>
      <w:r w:rsidRPr="00EC4D37">
        <w:rPr>
          <w:noProof/>
          <w:vertAlign w:val="subscript"/>
        </w:rPr>
        <w:t>2</w:t>
      </w:r>
      <w:r>
        <w:rPr>
          <w:noProof/>
        </w:rPr>
        <w:t xml:space="preserve"> </w:t>
      </w:r>
      <w:r w:rsidR="009C4C44">
        <w:rPr>
          <w:noProof/>
        </w:rPr>
        <w:t xml:space="preserve">and mass transfer rate </w:t>
      </w:r>
      <w:r>
        <w:rPr>
          <w:noProof/>
        </w:rPr>
        <w:t>in the aerat</w:t>
      </w:r>
      <w:r w:rsidR="00410B54">
        <w:rPr>
          <w:noProof/>
        </w:rPr>
        <w:t>ion</w:t>
      </w:r>
      <w:r>
        <w:rPr>
          <w:noProof/>
        </w:rPr>
        <w:t xml:space="preserve"> gas</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1068"/>
        <w:gridCol w:w="1068"/>
        <w:gridCol w:w="1068"/>
        <w:gridCol w:w="1068"/>
        <w:gridCol w:w="1069"/>
      </w:tblGrid>
      <w:tr w:rsidR="00D61A7D" w14:paraId="00EA6B9E" w14:textId="2AF95E52" w:rsidTr="00BB6E07">
        <w:trPr>
          <w:trHeight w:val="7200"/>
        </w:trPr>
        <w:tc>
          <w:tcPr>
            <w:tcW w:w="3436" w:type="dxa"/>
          </w:tcPr>
          <w:p w14:paraId="2134833A" w14:textId="3DC90AF3" w:rsidR="00F2245E" w:rsidRDefault="00F2245E" w:rsidP="0083227B">
            <w:pPr>
              <w:pStyle w:val="CETBodytext"/>
              <w:jc w:val="center"/>
            </w:pPr>
            <w:r>
              <w:rPr>
                <w:noProof/>
                <w:lang w:val="sk-SK" w:eastAsia="sk-SK"/>
              </w:rPr>
              <w:lastRenderedPageBreak/>
              <w:drawing>
                <wp:inline distT="0" distB="0" distL="0" distR="0" wp14:anchorId="64B5D016" wp14:editId="073E87DD">
                  <wp:extent cx="2014408" cy="3456000"/>
                  <wp:effectExtent l="0" t="0" r="508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r_3min.png"/>
                          <pic:cNvPicPr/>
                        </pic:nvPicPr>
                        <pic:blipFill rotWithShape="1">
                          <a:blip r:embed="rId17">
                            <a:extLst>
                              <a:ext uri="{28A0092B-C50C-407E-A947-70E740481C1C}">
                                <a14:useLocalDpi xmlns:a14="http://schemas.microsoft.com/office/drawing/2010/main" val="0"/>
                              </a:ext>
                            </a:extLst>
                          </a:blip>
                          <a:srcRect t="3755" r="63981" b="34448"/>
                          <a:stretch/>
                        </pic:blipFill>
                        <pic:spPr bwMode="auto">
                          <a:xfrm>
                            <a:off x="0" y="0"/>
                            <a:ext cx="2014408" cy="345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68" w:type="dxa"/>
          </w:tcPr>
          <w:p w14:paraId="769B1C96" w14:textId="4DFD49C3" w:rsidR="00F2245E" w:rsidRDefault="00F2245E" w:rsidP="0083227B">
            <w:pPr>
              <w:pStyle w:val="CETBodytext"/>
              <w:jc w:val="center"/>
            </w:pPr>
            <w:r>
              <w:rPr>
                <w:noProof/>
                <w:lang w:val="sk-SK" w:eastAsia="sk-SK"/>
              </w:rPr>
              <w:drawing>
                <wp:inline distT="0" distB="0" distL="0" distR="0" wp14:anchorId="09039AFB" wp14:editId="3B80DB1E">
                  <wp:extent cx="327343" cy="4572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r_3min.png"/>
                          <pic:cNvPicPr/>
                        </pic:nvPicPr>
                        <pic:blipFill rotWithShape="1">
                          <a:blip r:embed="rId17">
                            <a:extLst>
                              <a:ext uri="{28A0092B-C50C-407E-A947-70E740481C1C}">
                                <a14:useLocalDpi xmlns:a14="http://schemas.microsoft.com/office/drawing/2010/main" val="0"/>
                              </a:ext>
                            </a:extLst>
                          </a:blip>
                          <a:srcRect l="46732" t="4351" r="46732" b="4351"/>
                          <a:stretch/>
                        </pic:blipFill>
                        <pic:spPr bwMode="auto">
                          <a:xfrm>
                            <a:off x="0" y="0"/>
                            <a:ext cx="327343" cy="4572000"/>
                          </a:xfrm>
                          <a:prstGeom prst="rect">
                            <a:avLst/>
                          </a:prstGeom>
                          <a:ln>
                            <a:noFill/>
                          </a:ln>
                          <a:extLst>
                            <a:ext uri="{53640926-AAD7-44D8-BBD7-CCE9431645EC}">
                              <a14:shadowObscured xmlns:a14="http://schemas.microsoft.com/office/drawing/2010/main"/>
                            </a:ext>
                          </a:extLst>
                        </pic:spPr>
                      </pic:pic>
                    </a:graphicData>
                  </a:graphic>
                </wp:inline>
              </w:drawing>
            </w:r>
          </w:p>
        </w:tc>
        <w:tc>
          <w:tcPr>
            <w:tcW w:w="1068" w:type="dxa"/>
          </w:tcPr>
          <w:p w14:paraId="37A4A280" w14:textId="72AACC9A" w:rsidR="00F2245E" w:rsidRDefault="00F2245E" w:rsidP="0083227B">
            <w:pPr>
              <w:pStyle w:val="CETBodytext"/>
              <w:jc w:val="center"/>
            </w:pPr>
            <w:r>
              <w:rPr>
                <w:noProof/>
                <w:lang w:val="sk-SK" w:eastAsia="sk-SK"/>
              </w:rPr>
              <w:drawing>
                <wp:inline distT="0" distB="0" distL="0" distR="0" wp14:anchorId="1D782B0E" wp14:editId="3EB95EDE">
                  <wp:extent cx="323127" cy="4572000"/>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r_6min.png"/>
                          <pic:cNvPicPr/>
                        </pic:nvPicPr>
                        <pic:blipFill rotWithShape="1">
                          <a:blip r:embed="rId18">
                            <a:extLst>
                              <a:ext uri="{28A0092B-C50C-407E-A947-70E740481C1C}">
                                <a14:useLocalDpi xmlns:a14="http://schemas.microsoft.com/office/drawing/2010/main" val="0"/>
                              </a:ext>
                            </a:extLst>
                          </a:blip>
                          <a:srcRect l="46772" t="4330" r="46772" b="4330"/>
                          <a:stretch/>
                        </pic:blipFill>
                        <pic:spPr bwMode="auto">
                          <a:xfrm>
                            <a:off x="0" y="0"/>
                            <a:ext cx="323127" cy="4572000"/>
                          </a:xfrm>
                          <a:prstGeom prst="rect">
                            <a:avLst/>
                          </a:prstGeom>
                          <a:ln>
                            <a:noFill/>
                          </a:ln>
                          <a:extLst>
                            <a:ext uri="{53640926-AAD7-44D8-BBD7-CCE9431645EC}">
                              <a14:shadowObscured xmlns:a14="http://schemas.microsoft.com/office/drawing/2010/main"/>
                            </a:ext>
                          </a:extLst>
                        </pic:spPr>
                      </pic:pic>
                    </a:graphicData>
                  </a:graphic>
                </wp:inline>
              </w:drawing>
            </w:r>
          </w:p>
        </w:tc>
        <w:tc>
          <w:tcPr>
            <w:tcW w:w="1068" w:type="dxa"/>
          </w:tcPr>
          <w:p w14:paraId="41FAD3A7" w14:textId="3158F663" w:rsidR="00F2245E" w:rsidRDefault="00F2245E" w:rsidP="0083227B">
            <w:pPr>
              <w:pStyle w:val="CETBodytext"/>
              <w:jc w:val="center"/>
            </w:pPr>
            <w:r>
              <w:rPr>
                <w:noProof/>
                <w:lang w:val="sk-SK" w:eastAsia="sk-SK"/>
              </w:rPr>
              <w:drawing>
                <wp:inline distT="0" distB="0" distL="0" distR="0" wp14:anchorId="3CF1044A" wp14:editId="59452198">
                  <wp:extent cx="323083" cy="4572000"/>
                  <wp:effectExtent l="0" t="0" r="127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r_9min.png"/>
                          <pic:cNvPicPr/>
                        </pic:nvPicPr>
                        <pic:blipFill rotWithShape="1">
                          <a:blip r:embed="rId19">
                            <a:extLst>
                              <a:ext uri="{28A0092B-C50C-407E-A947-70E740481C1C}">
                                <a14:useLocalDpi xmlns:a14="http://schemas.microsoft.com/office/drawing/2010/main" val="0"/>
                              </a:ext>
                            </a:extLst>
                          </a:blip>
                          <a:srcRect l="46773" t="4330" r="46773" b="4330"/>
                          <a:stretch/>
                        </pic:blipFill>
                        <pic:spPr bwMode="auto">
                          <a:xfrm>
                            <a:off x="0" y="0"/>
                            <a:ext cx="323083" cy="4572000"/>
                          </a:xfrm>
                          <a:prstGeom prst="rect">
                            <a:avLst/>
                          </a:prstGeom>
                          <a:ln>
                            <a:noFill/>
                          </a:ln>
                          <a:extLst>
                            <a:ext uri="{53640926-AAD7-44D8-BBD7-CCE9431645EC}">
                              <a14:shadowObscured xmlns:a14="http://schemas.microsoft.com/office/drawing/2010/main"/>
                            </a:ext>
                          </a:extLst>
                        </pic:spPr>
                      </pic:pic>
                    </a:graphicData>
                  </a:graphic>
                </wp:inline>
              </w:drawing>
            </w:r>
          </w:p>
        </w:tc>
        <w:tc>
          <w:tcPr>
            <w:tcW w:w="1068" w:type="dxa"/>
          </w:tcPr>
          <w:p w14:paraId="4E968EA0" w14:textId="7EADCF66" w:rsidR="00F2245E" w:rsidRDefault="00F2245E" w:rsidP="0083227B">
            <w:pPr>
              <w:pStyle w:val="CETBodytext"/>
              <w:jc w:val="center"/>
            </w:pPr>
            <w:r>
              <w:rPr>
                <w:noProof/>
                <w:lang w:val="sk-SK" w:eastAsia="sk-SK"/>
              </w:rPr>
              <w:drawing>
                <wp:inline distT="0" distB="0" distL="0" distR="0" wp14:anchorId="6CFA7BF4" wp14:editId="056EBC83">
                  <wp:extent cx="343980" cy="4572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r_12min.png"/>
                          <pic:cNvPicPr/>
                        </pic:nvPicPr>
                        <pic:blipFill rotWithShape="1">
                          <a:blip r:embed="rId20">
                            <a:extLst>
                              <a:ext uri="{28A0092B-C50C-407E-A947-70E740481C1C}">
                                <a14:useLocalDpi xmlns:a14="http://schemas.microsoft.com/office/drawing/2010/main" val="0"/>
                              </a:ext>
                            </a:extLst>
                          </a:blip>
                          <a:srcRect l="46562" t="4307" r="46562" b="4307"/>
                          <a:stretch/>
                        </pic:blipFill>
                        <pic:spPr bwMode="auto">
                          <a:xfrm>
                            <a:off x="0" y="0"/>
                            <a:ext cx="343980" cy="4572000"/>
                          </a:xfrm>
                          <a:prstGeom prst="rect">
                            <a:avLst/>
                          </a:prstGeom>
                          <a:ln>
                            <a:noFill/>
                          </a:ln>
                          <a:extLst>
                            <a:ext uri="{53640926-AAD7-44D8-BBD7-CCE9431645EC}">
                              <a14:shadowObscured xmlns:a14="http://schemas.microsoft.com/office/drawing/2010/main"/>
                            </a:ext>
                          </a:extLst>
                        </pic:spPr>
                      </pic:pic>
                    </a:graphicData>
                  </a:graphic>
                </wp:inline>
              </w:drawing>
            </w:r>
          </w:p>
        </w:tc>
        <w:tc>
          <w:tcPr>
            <w:tcW w:w="1069" w:type="dxa"/>
          </w:tcPr>
          <w:p w14:paraId="3BA44236" w14:textId="5DFD43F5" w:rsidR="00F2245E" w:rsidRDefault="00DB75FC" w:rsidP="00F2245E">
            <w:pPr>
              <w:pStyle w:val="CETBodytext"/>
              <w:jc w:val="center"/>
              <w:rPr>
                <w:noProof/>
                <w:lang w:val="sk-SK" w:eastAsia="sk-SK"/>
              </w:rPr>
            </w:pPr>
            <w:r>
              <w:rPr>
                <w:noProof/>
                <w:lang w:val="sk-SK" w:eastAsia="sk-SK"/>
              </w:rPr>
              <w:drawing>
                <wp:inline distT="0" distB="0" distL="0" distR="0" wp14:anchorId="5824E452" wp14:editId="3BB09EDB">
                  <wp:extent cx="322136" cy="4572000"/>
                  <wp:effectExtent l="0" t="0" r="190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r_15min.png"/>
                          <pic:cNvPicPr/>
                        </pic:nvPicPr>
                        <pic:blipFill rotWithShape="1">
                          <a:blip r:embed="rId21">
                            <a:extLst>
                              <a:ext uri="{28A0092B-C50C-407E-A947-70E740481C1C}">
                                <a14:useLocalDpi xmlns:a14="http://schemas.microsoft.com/office/drawing/2010/main" val="0"/>
                              </a:ext>
                            </a:extLst>
                          </a:blip>
                          <a:srcRect l="46782" t="4322" r="46782" b="4322"/>
                          <a:stretch/>
                        </pic:blipFill>
                        <pic:spPr bwMode="auto">
                          <a:xfrm>
                            <a:off x="0" y="0"/>
                            <a:ext cx="322136"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944FBB" w14:paraId="064BDD83" w14:textId="77777777" w:rsidTr="00BB6E07">
        <w:trPr>
          <w:trHeight w:val="283"/>
        </w:trPr>
        <w:tc>
          <w:tcPr>
            <w:tcW w:w="3436" w:type="dxa"/>
            <w:vAlign w:val="center"/>
          </w:tcPr>
          <w:p w14:paraId="521C8503" w14:textId="77777777" w:rsidR="00944FBB" w:rsidRDefault="00944FBB" w:rsidP="00944FBB">
            <w:pPr>
              <w:pStyle w:val="CETBodytext"/>
              <w:jc w:val="center"/>
              <w:rPr>
                <w:noProof/>
                <w:lang w:val="sk-SK" w:eastAsia="sk-SK"/>
              </w:rPr>
            </w:pPr>
          </w:p>
        </w:tc>
        <w:tc>
          <w:tcPr>
            <w:tcW w:w="1068" w:type="dxa"/>
            <w:vAlign w:val="center"/>
          </w:tcPr>
          <w:p w14:paraId="2B27B6CF" w14:textId="2CC4A282" w:rsidR="00944FBB" w:rsidRDefault="00944FBB" w:rsidP="00944FBB">
            <w:pPr>
              <w:pStyle w:val="CETBodytext"/>
              <w:jc w:val="center"/>
              <w:rPr>
                <w:noProof/>
                <w:lang w:val="sk-SK" w:eastAsia="sk-SK"/>
              </w:rPr>
            </w:pPr>
            <w:r>
              <w:rPr>
                <w:noProof/>
                <w:lang w:val="sk-SK" w:eastAsia="sk-SK"/>
              </w:rPr>
              <w:t>3 min</w:t>
            </w:r>
          </w:p>
        </w:tc>
        <w:tc>
          <w:tcPr>
            <w:tcW w:w="1068" w:type="dxa"/>
            <w:vAlign w:val="center"/>
          </w:tcPr>
          <w:p w14:paraId="2D9CF133" w14:textId="477C27C2" w:rsidR="00944FBB" w:rsidRDefault="00944FBB" w:rsidP="00944FBB">
            <w:pPr>
              <w:pStyle w:val="CETBodytext"/>
              <w:jc w:val="center"/>
              <w:rPr>
                <w:noProof/>
                <w:lang w:val="sk-SK" w:eastAsia="sk-SK"/>
              </w:rPr>
            </w:pPr>
            <w:r>
              <w:rPr>
                <w:noProof/>
                <w:lang w:val="sk-SK" w:eastAsia="sk-SK"/>
              </w:rPr>
              <w:t>6 min</w:t>
            </w:r>
          </w:p>
        </w:tc>
        <w:tc>
          <w:tcPr>
            <w:tcW w:w="1068" w:type="dxa"/>
            <w:vAlign w:val="center"/>
          </w:tcPr>
          <w:p w14:paraId="78DE0EBC" w14:textId="5710FA67" w:rsidR="00944FBB" w:rsidRDefault="00944FBB" w:rsidP="00944FBB">
            <w:pPr>
              <w:pStyle w:val="CETBodytext"/>
              <w:jc w:val="center"/>
              <w:rPr>
                <w:noProof/>
                <w:lang w:val="sk-SK" w:eastAsia="sk-SK"/>
              </w:rPr>
            </w:pPr>
            <w:r>
              <w:rPr>
                <w:noProof/>
                <w:lang w:val="sk-SK" w:eastAsia="sk-SK"/>
              </w:rPr>
              <w:t>9 min</w:t>
            </w:r>
          </w:p>
        </w:tc>
        <w:tc>
          <w:tcPr>
            <w:tcW w:w="1068" w:type="dxa"/>
            <w:vAlign w:val="center"/>
          </w:tcPr>
          <w:p w14:paraId="79E840FF" w14:textId="7AAA1A48" w:rsidR="00944FBB" w:rsidRDefault="00944FBB" w:rsidP="00944FBB">
            <w:pPr>
              <w:pStyle w:val="CETBodytext"/>
              <w:jc w:val="center"/>
              <w:rPr>
                <w:noProof/>
                <w:lang w:val="sk-SK" w:eastAsia="sk-SK"/>
              </w:rPr>
            </w:pPr>
            <w:r>
              <w:rPr>
                <w:noProof/>
                <w:lang w:val="sk-SK" w:eastAsia="sk-SK"/>
              </w:rPr>
              <w:t>12 min</w:t>
            </w:r>
          </w:p>
        </w:tc>
        <w:tc>
          <w:tcPr>
            <w:tcW w:w="1069" w:type="dxa"/>
            <w:vAlign w:val="center"/>
          </w:tcPr>
          <w:p w14:paraId="5E127CD5" w14:textId="16AE7A6D" w:rsidR="00944FBB" w:rsidRDefault="00944FBB" w:rsidP="00944FBB">
            <w:pPr>
              <w:pStyle w:val="CETBodytext"/>
              <w:jc w:val="center"/>
              <w:rPr>
                <w:noProof/>
                <w:lang w:val="sk-SK" w:eastAsia="sk-SK"/>
              </w:rPr>
            </w:pPr>
            <w:r>
              <w:rPr>
                <w:noProof/>
                <w:lang w:val="sk-SK" w:eastAsia="sk-SK"/>
              </w:rPr>
              <w:t>15 min</w:t>
            </w:r>
          </w:p>
        </w:tc>
      </w:tr>
    </w:tbl>
    <w:p w14:paraId="6E2187A7" w14:textId="53462F70" w:rsidR="00FE37D4" w:rsidRPr="004E560E" w:rsidRDefault="007C080F" w:rsidP="004E560E">
      <w:pPr>
        <w:pStyle w:val="CETCaption"/>
      </w:pPr>
      <w:bookmarkStart w:id="7" w:name="_Ref94538082"/>
      <w:r>
        <w:t xml:space="preserve">Figure </w:t>
      </w:r>
      <w:r>
        <w:fldChar w:fldCharType="begin"/>
      </w:r>
      <w:r>
        <w:instrText xml:space="preserve"> SEQ Figure \* ARABIC </w:instrText>
      </w:r>
      <w:r>
        <w:fldChar w:fldCharType="separate"/>
      </w:r>
      <w:r w:rsidR="00CB2A3F">
        <w:rPr>
          <w:noProof/>
        </w:rPr>
        <w:t>4</w:t>
      </w:r>
      <w:r>
        <w:fldChar w:fldCharType="end"/>
      </w:r>
      <w:bookmarkEnd w:id="7"/>
      <w:r w:rsidR="007331B0">
        <w:rPr>
          <w:noProof/>
        </w:rPr>
        <w:t xml:space="preserve"> </w:t>
      </w:r>
      <w:r w:rsidR="005958C0">
        <w:rPr>
          <w:noProof/>
        </w:rPr>
        <w:t xml:space="preserve">Contours of instanteneuos </w:t>
      </w:r>
      <w:r w:rsidR="007331B0">
        <w:rPr>
          <w:noProof/>
        </w:rPr>
        <w:t xml:space="preserve">mass transfer rate </w:t>
      </w:r>
      <w:r w:rsidR="005958C0">
        <w:rPr>
          <w:noProof/>
        </w:rPr>
        <w:t xml:space="preserve">at 3 minute intervals. Displayed on the mid-plane. </w:t>
      </w:r>
    </w:p>
    <w:p w14:paraId="2A4BCFEC" w14:textId="3974642B" w:rsidR="00CB2A3F" w:rsidRDefault="00CB2A3F">
      <w:pPr>
        <w:tabs>
          <w:tab w:val="clear" w:pos="7100"/>
        </w:tabs>
        <w:spacing w:after="200" w:line="276" w:lineRule="auto"/>
        <w:jc w:val="left"/>
      </w:pPr>
    </w:p>
    <w:p w14:paraId="41339622" w14:textId="77777777" w:rsidR="00CB2A3F" w:rsidRDefault="00CB2A3F">
      <w:pPr>
        <w:tabs>
          <w:tab w:val="clear" w:pos="7100"/>
        </w:tabs>
        <w:spacing w:after="200" w:line="276" w:lineRule="auto"/>
        <w:jc w:val="left"/>
      </w:pPr>
    </w:p>
    <w:p w14:paraId="00BB55E1" w14:textId="2DDA49BE" w:rsidR="00CB2A3F" w:rsidRDefault="00CB2A3F">
      <w:pPr>
        <w:tabs>
          <w:tab w:val="clear" w:pos="7100"/>
        </w:tabs>
        <w:spacing w:after="200" w:line="276" w:lineRule="auto"/>
        <w:jc w:val="left"/>
        <w:rPr>
          <w:b/>
          <w:sz w:val="20"/>
          <w:lang w:val="en-US"/>
        </w:rPr>
      </w:pPr>
      <w:r>
        <w:br w:type="page"/>
      </w:r>
    </w:p>
    <w:p w14:paraId="031F9277" w14:textId="506D008F" w:rsidR="00117349" w:rsidRDefault="002253EF" w:rsidP="002253EF">
      <w:pPr>
        <w:pStyle w:val="CETHeading1"/>
      </w:pPr>
      <w:r>
        <w:lastRenderedPageBreak/>
        <w:t>Conclusions</w:t>
      </w:r>
    </w:p>
    <w:p w14:paraId="5C18A44C" w14:textId="7204E910" w:rsidR="70F09B8D" w:rsidRDefault="70F09B8D" w:rsidP="233DE6FB">
      <w:pPr>
        <w:pStyle w:val="CETBodytext"/>
        <w:tabs>
          <w:tab w:val="clear" w:pos="7100"/>
        </w:tabs>
        <w:rPr>
          <w:szCs w:val="18"/>
        </w:rPr>
      </w:pPr>
      <w:r w:rsidRPr="233DE6FB">
        <w:rPr>
          <w:szCs w:val="18"/>
        </w:rPr>
        <w:t>The following conclusions can be drawn from the</w:t>
      </w:r>
      <w:r w:rsidR="7591402D" w:rsidRPr="233DE6FB">
        <w:rPr>
          <w:szCs w:val="18"/>
        </w:rPr>
        <w:t xml:space="preserve"> study:</w:t>
      </w:r>
    </w:p>
    <w:p w14:paraId="5E755312" w14:textId="7AF510C5" w:rsidR="7591402D" w:rsidRDefault="2CE4C941" w:rsidP="76EC64A3">
      <w:pPr>
        <w:pStyle w:val="CETBodytext"/>
        <w:numPr>
          <w:ilvl w:val="0"/>
          <w:numId w:val="25"/>
        </w:numPr>
        <w:tabs>
          <w:tab w:val="clear" w:pos="7100"/>
        </w:tabs>
        <w:rPr>
          <w:rFonts w:asciiTheme="minorHAnsi" w:eastAsiaTheme="minorEastAsia" w:hAnsiTheme="minorHAnsi" w:cstheme="minorBidi"/>
          <w:szCs w:val="18"/>
        </w:rPr>
      </w:pPr>
      <w:r>
        <w:t>Time evolution of CO</w:t>
      </w:r>
      <w:r w:rsidRPr="358ABF28">
        <w:rPr>
          <w:vertAlign w:val="subscript"/>
        </w:rPr>
        <w:t>2</w:t>
      </w:r>
      <w:r>
        <w:t xml:space="preserve"> concentration in flue gas </w:t>
      </w:r>
      <w:r w:rsidR="43D89630">
        <w:t>s</w:t>
      </w:r>
      <w:r w:rsidR="198F172F">
        <w:t>hows</w:t>
      </w:r>
      <w:r w:rsidR="43D89630">
        <w:t xml:space="preserve"> a</w:t>
      </w:r>
      <w:r w:rsidR="7591402D">
        <w:t xml:space="preserve"> good qualitative agreement of </w:t>
      </w:r>
      <w:r w:rsidR="0F01D63B">
        <w:t>the CFD model</w:t>
      </w:r>
      <w:r w:rsidR="7591402D">
        <w:t xml:space="preserve"> with exper</w:t>
      </w:r>
      <w:r w:rsidR="14E43A7D">
        <w:t>imental data</w:t>
      </w:r>
      <w:r w:rsidR="28788D39">
        <w:t>.</w:t>
      </w:r>
    </w:p>
    <w:p w14:paraId="483A6112" w14:textId="3530FF59" w:rsidR="00604660" w:rsidRPr="00604660" w:rsidRDefault="28788D39" w:rsidP="00604660">
      <w:pPr>
        <w:pStyle w:val="CETBodytext"/>
        <w:numPr>
          <w:ilvl w:val="0"/>
          <w:numId w:val="25"/>
        </w:numPr>
        <w:tabs>
          <w:tab w:val="clear" w:pos="7100"/>
        </w:tabs>
      </w:pPr>
      <w:r>
        <w:t>The time to reach saturated state is predicted correctly by the CFD model.</w:t>
      </w:r>
    </w:p>
    <w:p w14:paraId="0E943538" w14:textId="61941925" w:rsidR="002409D2" w:rsidRPr="002409D2" w:rsidRDefault="0C4497E2" w:rsidP="002409D2">
      <w:pPr>
        <w:pStyle w:val="CETBodytext"/>
        <w:numPr>
          <w:ilvl w:val="0"/>
          <w:numId w:val="25"/>
        </w:numPr>
        <w:tabs>
          <w:tab w:val="clear" w:pos="7100"/>
        </w:tabs>
        <w:rPr>
          <w:rFonts w:asciiTheme="minorHAnsi" w:eastAsiaTheme="minorEastAsia" w:hAnsiTheme="minorHAnsi" w:cstheme="minorBidi"/>
          <w:szCs w:val="18"/>
        </w:rPr>
      </w:pPr>
      <w:r>
        <w:t>L</w:t>
      </w:r>
      <w:r w:rsidR="65AD75DA">
        <w:t xml:space="preserve">ocal minimum </w:t>
      </w:r>
      <w:r w:rsidR="1286AD8C">
        <w:t>during the initial drop of CO</w:t>
      </w:r>
      <w:r w:rsidR="1286AD8C" w:rsidRPr="00D22696">
        <w:rPr>
          <w:vertAlign w:val="subscript"/>
        </w:rPr>
        <w:t>2</w:t>
      </w:r>
      <w:r w:rsidR="1286AD8C">
        <w:t xml:space="preserve"> in </w:t>
      </w:r>
      <w:r w:rsidR="003A5FE3">
        <w:t xml:space="preserve">the </w:t>
      </w:r>
      <w:r w:rsidR="1286AD8C">
        <w:t xml:space="preserve">gas phase </w:t>
      </w:r>
      <w:r w:rsidR="42CDE4F8">
        <w:t>is overestimated</w:t>
      </w:r>
      <w:r w:rsidR="2B410B5A">
        <w:t>.</w:t>
      </w:r>
      <w:r w:rsidR="3BBF82EE">
        <w:t xml:space="preserve"> </w:t>
      </w:r>
      <w:r w:rsidR="2B410B5A">
        <w:t>Th</w:t>
      </w:r>
      <w:r w:rsidR="10679AF3">
        <w:t>e difference</w:t>
      </w:r>
      <w:r w:rsidR="42CDE4F8">
        <w:t xml:space="preserve"> can </w:t>
      </w:r>
      <w:r w:rsidR="2B410B5A">
        <w:t>be</w:t>
      </w:r>
      <w:r w:rsidR="1286AD8C">
        <w:t xml:space="preserve"> </w:t>
      </w:r>
      <w:r w:rsidR="4F017626">
        <w:t>caused by the underestimated mass transfer in the bottom part</w:t>
      </w:r>
      <w:r w:rsidR="4E99DDDA">
        <w:t xml:space="preserve">, where turbulence is the most intensive. </w:t>
      </w:r>
    </w:p>
    <w:p w14:paraId="0FA081AE" w14:textId="2ECDAEF2" w:rsidR="00545BCD" w:rsidRPr="00545BCD" w:rsidRDefault="51C60C7F" w:rsidP="00545BCD">
      <w:pPr>
        <w:pStyle w:val="CETBodytext"/>
        <w:numPr>
          <w:ilvl w:val="0"/>
          <w:numId w:val="25"/>
        </w:numPr>
        <w:tabs>
          <w:tab w:val="clear" w:pos="7100"/>
        </w:tabs>
      </w:pPr>
      <w:r>
        <w:t>Predicted mass transfer rate is sensitive to the estimate of the average bubble diameter and slip velocity of the bubbles through the penetration model and surface-to-volume ratio of the bubble.</w:t>
      </w:r>
    </w:p>
    <w:p w14:paraId="145434C5" w14:textId="0FD0A9F7" w:rsidR="0050517E" w:rsidRPr="0050517E" w:rsidRDefault="3EE3D2BC" w:rsidP="0050517E">
      <w:pPr>
        <w:pStyle w:val="CETBodytext"/>
        <w:numPr>
          <w:ilvl w:val="0"/>
          <w:numId w:val="25"/>
        </w:numPr>
        <w:tabs>
          <w:tab w:val="clear" w:pos="7100"/>
        </w:tabs>
        <w:rPr>
          <w:rFonts w:asciiTheme="minorHAnsi" w:eastAsiaTheme="minorEastAsia" w:hAnsiTheme="minorHAnsi" w:cstheme="minorBidi"/>
        </w:rPr>
      </w:pPr>
      <w:r>
        <w:t>The concentration of CO</w:t>
      </w:r>
      <w:r w:rsidRPr="1CF0BAC1">
        <w:rPr>
          <w:vertAlign w:val="subscript"/>
        </w:rPr>
        <w:t>2</w:t>
      </w:r>
      <w:r>
        <w:t xml:space="preserve"> in saturated liquid mixture is slightly underestimated</w:t>
      </w:r>
      <w:r w:rsidR="751FFF58">
        <w:t xml:space="preserve">, which can be caused by </w:t>
      </w:r>
      <w:r w:rsidR="212DB9B1">
        <w:t>the</w:t>
      </w:r>
      <w:r w:rsidR="751FFF58">
        <w:t xml:space="preserve"> simplified </w:t>
      </w:r>
      <w:r w:rsidR="132EA03F">
        <w:t xml:space="preserve">(binary) </w:t>
      </w:r>
      <w:r w:rsidR="751FFF58">
        <w:t>model</w:t>
      </w:r>
      <w:r w:rsidR="5BC9096D">
        <w:t xml:space="preserve">. </w:t>
      </w:r>
    </w:p>
    <w:p w14:paraId="3FB62136" w14:textId="6BDBECCE" w:rsidR="51C60C7F" w:rsidRDefault="51C60C7F" w:rsidP="1A504CFA">
      <w:pPr>
        <w:pStyle w:val="CETBodytext"/>
        <w:numPr>
          <w:ilvl w:val="0"/>
          <w:numId w:val="25"/>
        </w:numPr>
        <w:tabs>
          <w:tab w:val="clear" w:pos="7100"/>
        </w:tabs>
        <w:rPr>
          <w:rFonts w:asciiTheme="minorHAnsi" w:eastAsiaTheme="minorEastAsia" w:hAnsiTheme="minorHAnsi" w:cstheme="minorBidi"/>
          <w:szCs w:val="18"/>
        </w:rPr>
      </w:pPr>
      <w:r>
        <w:t xml:space="preserve">The study reveals that the </w:t>
      </w:r>
      <w:r w:rsidR="6BC4D297">
        <w:t>CO</w:t>
      </w:r>
      <w:r w:rsidR="6BC4D297" w:rsidRPr="1CF0BAC1">
        <w:rPr>
          <w:vertAlign w:val="subscript"/>
        </w:rPr>
        <w:t>2</w:t>
      </w:r>
      <w:r w:rsidR="6BC4D297">
        <w:t xml:space="preserve"> </w:t>
      </w:r>
      <w:r>
        <w:t xml:space="preserve">concentration field is homogeneous </w:t>
      </w:r>
      <w:r w:rsidR="0C51E931">
        <w:t>in the entire tube volume.</w:t>
      </w:r>
    </w:p>
    <w:p w14:paraId="6BA7DC69" w14:textId="09959C9A" w:rsidR="0012193B" w:rsidRPr="0012193B" w:rsidRDefault="783454E4" w:rsidP="0012193B">
      <w:pPr>
        <w:pStyle w:val="CETBodytext"/>
        <w:numPr>
          <w:ilvl w:val="0"/>
          <w:numId w:val="25"/>
        </w:numPr>
        <w:tabs>
          <w:tab w:val="clear" w:pos="7100"/>
        </w:tabs>
      </w:pPr>
      <w:r>
        <w:t>The well-mixed reactor condition supports the</w:t>
      </w:r>
      <w:r w:rsidR="0C51E931">
        <w:t xml:space="preserve"> </w:t>
      </w:r>
      <w:r w:rsidR="36A09C5D">
        <w:t>sampling methodology during the experiments so that the samples taken from the bottom of the reactor are representative of its volume.</w:t>
      </w:r>
    </w:p>
    <w:p w14:paraId="33665B6F" w14:textId="379815D8" w:rsidR="00A84F6D" w:rsidRPr="00A84F6D" w:rsidRDefault="6A17CE71" w:rsidP="00A84F6D">
      <w:pPr>
        <w:pStyle w:val="CETBodytext"/>
        <w:numPr>
          <w:ilvl w:val="0"/>
          <w:numId w:val="25"/>
        </w:numPr>
        <w:tabs>
          <w:tab w:val="clear" w:pos="7100"/>
        </w:tabs>
      </w:pPr>
      <w:r>
        <w:t xml:space="preserve">The model may serve </w:t>
      </w:r>
      <w:r w:rsidR="39D660F9">
        <w:t xml:space="preserve">to supplement the real experiment </w:t>
      </w:r>
      <w:r w:rsidR="007FEEDC">
        <w:t>in</w:t>
      </w:r>
      <w:r>
        <w:t xml:space="preserve"> a preliminary analysis of mass transfer in the reactor</w:t>
      </w:r>
      <w:r w:rsidR="1B178F82">
        <w:t>.</w:t>
      </w:r>
      <w:r>
        <w:t xml:space="preserve"> </w:t>
      </w:r>
      <w:r w:rsidR="3DEA04F0">
        <w:t xml:space="preserve">It </w:t>
      </w:r>
      <w:r>
        <w:t>offer</w:t>
      </w:r>
      <w:r w:rsidR="5615D388">
        <w:t>s</w:t>
      </w:r>
      <w:r>
        <w:t xml:space="preserve"> relatively short turnaround times</w:t>
      </w:r>
      <w:r w:rsidR="22385BF8">
        <w:t xml:space="preserve"> comparable to </w:t>
      </w:r>
      <w:r w:rsidR="634EA24C">
        <w:t>experiments.</w:t>
      </w:r>
    </w:p>
    <w:p w14:paraId="3C6F8F53" w14:textId="2A214FF8" w:rsidR="002253EF" w:rsidRDefault="002253EF" w:rsidP="002253EF">
      <w:pPr>
        <w:pStyle w:val="CETHeading1"/>
        <w:numPr>
          <w:ilvl w:val="0"/>
          <w:numId w:val="0"/>
        </w:numPr>
      </w:pPr>
      <w:r w:rsidRPr="002253EF">
        <w:t>Acknowledgments</w:t>
      </w:r>
    </w:p>
    <w:p w14:paraId="73DB3C5A" w14:textId="2EB89AC9" w:rsidR="002253EF" w:rsidRDefault="002253EF" w:rsidP="002253EF">
      <w:pPr>
        <w:pStyle w:val="CETBodytext"/>
        <w:tabs>
          <w:tab w:val="clear" w:pos="7100"/>
        </w:tabs>
      </w:pPr>
      <w:r>
        <w:t xml:space="preserve">This research was supported by the </w:t>
      </w:r>
      <w:bookmarkStart w:id="8" w:name="_Hlk94514353"/>
      <w:r>
        <w:t>EU project Strategic Partnership for Environmental Technologies and Energy Production</w:t>
      </w:r>
      <w:bookmarkEnd w:id="8"/>
      <w:r>
        <w:t xml:space="preserve">, funded as project No. CZ.02.1.01/0.0/0.0/16_026/0008413 by Czech Republic Operational </w:t>
      </w:r>
      <w:proofErr w:type="spellStart"/>
      <w:r>
        <w:t>Programme</w:t>
      </w:r>
      <w:proofErr w:type="spellEnd"/>
      <w:r>
        <w:t xml:space="preserve"> Research, Development and Education, Priority Axis 1: S</w:t>
      </w:r>
      <w:r w:rsidR="00886C9C">
        <w:t>trengthening capacity for high-</w:t>
      </w:r>
      <w:r>
        <w:t>quality research.</w:t>
      </w:r>
    </w:p>
    <w:p w14:paraId="760C6F19" w14:textId="77777777" w:rsidR="002253EF" w:rsidRDefault="002253EF" w:rsidP="002253EF">
      <w:pPr>
        <w:pStyle w:val="CETBodytext"/>
        <w:tabs>
          <w:tab w:val="clear" w:pos="7100"/>
        </w:tabs>
      </w:pPr>
    </w:p>
    <w:p w14:paraId="5CF99193" w14:textId="3189FFF7" w:rsidR="002253EF" w:rsidRDefault="005948C2" w:rsidP="002253EF">
      <w:pPr>
        <w:pStyle w:val="CETBodytext"/>
        <w:tabs>
          <w:tab w:val="clear" w:pos="7100"/>
        </w:tabs>
      </w:pPr>
      <w:r>
        <w:t xml:space="preserve">Miroslav Rebej is the </w:t>
      </w:r>
      <w:r w:rsidR="002253EF">
        <w:t>Brno Ph.D. Talent Scholarship Holder – Funded by the Brno City Municipality.</w:t>
      </w:r>
    </w:p>
    <w:p w14:paraId="4DA4CFFB" w14:textId="18883540" w:rsidR="002253EF" w:rsidRDefault="002253EF" w:rsidP="002253EF">
      <w:pPr>
        <w:pStyle w:val="CETHeading1"/>
        <w:numPr>
          <w:ilvl w:val="0"/>
          <w:numId w:val="0"/>
        </w:numPr>
      </w:pPr>
      <w:r>
        <w:t>References</w:t>
      </w:r>
    </w:p>
    <w:p w14:paraId="4B9C40A0" w14:textId="77777777" w:rsidR="00194DA1" w:rsidRPr="00194DA1" w:rsidRDefault="0086048E" w:rsidP="00194DA1">
      <w:pPr>
        <w:pStyle w:val="Bibliografie"/>
        <w:rPr>
          <w:rFonts w:cs="Arial"/>
        </w:rPr>
      </w:pPr>
      <w:r>
        <w:fldChar w:fldCharType="begin"/>
      </w:r>
      <w:r w:rsidR="00B25F5E">
        <w:instrText xml:space="preserve"> ADDIN ZOTERO_BIBL {"uncited":[],"omitted":[],"custom":[]} CSL_BIBLIOGRAPHY </w:instrText>
      </w:r>
      <w:r>
        <w:fldChar w:fldCharType="separate"/>
      </w:r>
      <w:r w:rsidR="00194DA1" w:rsidRPr="00194DA1">
        <w:rPr>
          <w:rFonts w:cs="Arial"/>
        </w:rPr>
        <w:t>ANSYS Inc., 2021. ANSYS Fluent Theory Guide, Release 2021 R2. ANSYS Inc., Canonsburg, PA, USA.</w:t>
      </w:r>
    </w:p>
    <w:p w14:paraId="4468232D" w14:textId="77777777" w:rsidR="00194DA1" w:rsidRPr="00194DA1" w:rsidRDefault="00194DA1" w:rsidP="00194DA1">
      <w:pPr>
        <w:pStyle w:val="Bibliografie"/>
        <w:rPr>
          <w:rFonts w:cs="Arial"/>
        </w:rPr>
      </w:pPr>
      <w:r w:rsidRPr="00194DA1">
        <w:rPr>
          <w:rFonts w:cs="Arial"/>
        </w:rPr>
        <w:t>Cussler, E.L., 2009. Diffusion: Mass Transfer in Fluid Systems, Cambridge Series in Chemical Engineering. Cambridge University Press.</w:t>
      </w:r>
    </w:p>
    <w:p w14:paraId="6A1A4226" w14:textId="77777777" w:rsidR="00194DA1" w:rsidRPr="00194DA1" w:rsidRDefault="00194DA1" w:rsidP="00194DA1">
      <w:pPr>
        <w:pStyle w:val="Bibliografie"/>
        <w:rPr>
          <w:rFonts w:cs="Arial"/>
        </w:rPr>
      </w:pPr>
      <w:r w:rsidRPr="00194DA1">
        <w:rPr>
          <w:rFonts w:cs="Arial"/>
        </w:rPr>
        <w:t>Gao, X., Kong, B., Ramezani, M., Olsen, M.G., Vigil, R.D., 2015. An adaptive model for gas-liquid mass transfer in a Taylor vortex reactor. International Journal of Heat and Mass Transfer 91, 433–445. https://doi.org/10.1016/j.ijheatmasstransfer.2015.07.125</w:t>
      </w:r>
    </w:p>
    <w:p w14:paraId="0C688C9E" w14:textId="77777777" w:rsidR="00194DA1" w:rsidRPr="00194DA1" w:rsidRDefault="00194DA1" w:rsidP="00194DA1">
      <w:pPr>
        <w:pStyle w:val="Bibliografie"/>
        <w:rPr>
          <w:rFonts w:cs="Arial"/>
        </w:rPr>
      </w:pPr>
      <w:r w:rsidRPr="00194DA1">
        <w:rPr>
          <w:rFonts w:cs="Arial"/>
        </w:rPr>
        <w:t>Geng Shigang, Meng Weidong, 2018. Chemical absorption and mass transfer of greenhouse gas carbon dioxide. Chemical Engineering Transactions 71, 1–6. https://doi.org/10.3303/CET1871001</w:t>
      </w:r>
    </w:p>
    <w:p w14:paraId="21E73097" w14:textId="77777777" w:rsidR="00194DA1" w:rsidRPr="00194DA1" w:rsidRDefault="00194DA1" w:rsidP="00194DA1">
      <w:pPr>
        <w:pStyle w:val="Bibliografie"/>
        <w:rPr>
          <w:rFonts w:cs="Arial"/>
        </w:rPr>
      </w:pPr>
      <w:r w:rsidRPr="00194DA1">
        <w:rPr>
          <w:rFonts w:cs="Arial"/>
        </w:rPr>
        <w:t>Higbie, R., 1935. The rate of absorption of a pure gas into still liquid during short periods of exposure. Transactions of the American Institute of Chemical Engineers 31, 365–377.</w:t>
      </w:r>
    </w:p>
    <w:p w14:paraId="3D3FC442" w14:textId="77777777" w:rsidR="00194DA1" w:rsidRPr="00194DA1" w:rsidRDefault="00194DA1" w:rsidP="00194DA1">
      <w:pPr>
        <w:pStyle w:val="Bibliografie"/>
        <w:rPr>
          <w:rFonts w:cs="Arial"/>
        </w:rPr>
      </w:pPr>
      <w:r w:rsidRPr="00194DA1">
        <w:rPr>
          <w:rFonts w:cs="Arial"/>
        </w:rPr>
        <w:t>Kraakman, N.J.R., Rocha-Rios, J., van Loosdrecht, M.C.M., 2011. Review of mass transfer aspects for biological gas treatment. Appl Microbiol Biotechnol 91, 873–886. https://doi.org/10.1007/s00253-011-3365-5</w:t>
      </w:r>
    </w:p>
    <w:p w14:paraId="5258E2AE" w14:textId="77777777" w:rsidR="00194DA1" w:rsidRPr="00194DA1" w:rsidRDefault="00194DA1" w:rsidP="00194DA1">
      <w:pPr>
        <w:pStyle w:val="Bibliografie"/>
        <w:rPr>
          <w:rFonts w:cs="Arial"/>
        </w:rPr>
      </w:pPr>
      <w:r w:rsidRPr="00194DA1">
        <w:rPr>
          <w:rFonts w:cs="Arial"/>
        </w:rPr>
        <w:t>Sander, R., 2015. Compilation of Henry’s law constants (version 4.0) for water as solvent. Atmospheric Chemistry &amp; Physics 15, 4399–4981. https://doi.org/10.5194/acp-15-4399-2015</w:t>
      </w:r>
    </w:p>
    <w:p w14:paraId="36FD0AB9" w14:textId="77777777" w:rsidR="00194DA1" w:rsidRPr="00194DA1" w:rsidRDefault="00194DA1" w:rsidP="00194DA1">
      <w:pPr>
        <w:pStyle w:val="Bibliografie"/>
        <w:rPr>
          <w:rFonts w:cs="Arial"/>
        </w:rPr>
      </w:pPr>
      <w:r w:rsidRPr="00194DA1">
        <w:rPr>
          <w:rFonts w:cs="Arial"/>
        </w:rPr>
        <w:t>Vassilev, S.V., Vassileva, C.G., 2016. Composition, properties and challenges of algae biomass for biofuel application: An overview. Fuel 181, 1–33. https://doi.org/10.1016/j.fuel.2016.04.106</w:t>
      </w:r>
    </w:p>
    <w:p w14:paraId="48916DA9" w14:textId="6FE0F3B9" w:rsidR="002253EF" w:rsidRDefault="0086048E" w:rsidP="00041F6A">
      <w:pPr>
        <w:pStyle w:val="CETBodytext"/>
        <w:tabs>
          <w:tab w:val="clear" w:pos="7100"/>
        </w:tabs>
      </w:pPr>
      <w:r>
        <w:fldChar w:fldCharType="end"/>
      </w:r>
    </w:p>
    <w:sectPr w:rsidR="002253EF"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70F9A1E" w16cex:dateUtc="2022-03-18T15:18:14.726Z"/>
  <w16cex:commentExtensible w16cex:durableId="240B350A" w16cex:dateUtc="2022-03-18T15:18:32.428Z"/>
  <w16cex:commentExtensible w16cex:durableId="1EC772C9" w16cex:dateUtc="2022-03-18T15:21:43.411Z"/>
  <w16cex:commentExtensible w16cex:durableId="428D1847" w16cex:dateUtc="2022-03-18T15:23:13.093Z"/>
  <w16cex:commentExtensible w16cex:durableId="384D2D32" w16cex:dateUtc="2022-03-18T15:26:22.2Z"/>
  <w16cex:commentExtensible w16cex:durableId="275DCF5A" w16cex:dateUtc="2022-03-18T15:28:07.572Z"/>
  <w16cex:commentExtensible w16cex:durableId="136F35B7" w16cex:dateUtc="2022-03-18T15:58:36.65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DC4A2" w14:textId="77777777" w:rsidR="00635007" w:rsidRDefault="00635007" w:rsidP="004F5E36">
      <w:r>
        <w:separator/>
      </w:r>
    </w:p>
  </w:endnote>
  <w:endnote w:type="continuationSeparator" w:id="0">
    <w:p w14:paraId="3EA1FA08" w14:textId="77777777" w:rsidR="00635007" w:rsidRDefault="00635007" w:rsidP="004F5E36">
      <w:r>
        <w:continuationSeparator/>
      </w:r>
    </w:p>
  </w:endnote>
  <w:endnote w:type="continuationNotice" w:id="1">
    <w:p w14:paraId="4FF8BDF8" w14:textId="77777777" w:rsidR="00635007" w:rsidRDefault="006350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03366" w14:textId="77777777" w:rsidR="00635007" w:rsidRDefault="00635007" w:rsidP="004F5E36">
      <w:r>
        <w:separator/>
      </w:r>
    </w:p>
  </w:footnote>
  <w:footnote w:type="continuationSeparator" w:id="0">
    <w:p w14:paraId="38127D76" w14:textId="77777777" w:rsidR="00635007" w:rsidRDefault="00635007" w:rsidP="004F5E36">
      <w:r>
        <w:continuationSeparator/>
      </w:r>
    </w:p>
  </w:footnote>
  <w:footnote w:type="continuationNotice" w:id="1">
    <w:p w14:paraId="6CD22335" w14:textId="77777777" w:rsidR="00635007" w:rsidRDefault="0063500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15C558F3"/>
    <w:multiLevelType w:val="hybridMultilevel"/>
    <w:tmpl w:val="370E846C"/>
    <w:lvl w:ilvl="0" w:tplc="89E69EDC">
      <w:start w:val="1"/>
      <w:numFmt w:val="bullet"/>
      <w:lvlText w:val=""/>
      <w:lvlJc w:val="left"/>
      <w:pPr>
        <w:ind w:left="720" w:hanging="360"/>
      </w:pPr>
      <w:rPr>
        <w:rFonts w:ascii="Symbol" w:hAnsi="Symbol" w:hint="default"/>
      </w:rPr>
    </w:lvl>
    <w:lvl w:ilvl="1" w:tplc="0D5A980E">
      <w:start w:val="1"/>
      <w:numFmt w:val="bullet"/>
      <w:lvlText w:val="o"/>
      <w:lvlJc w:val="left"/>
      <w:pPr>
        <w:ind w:left="1440" w:hanging="360"/>
      </w:pPr>
      <w:rPr>
        <w:rFonts w:ascii="Courier New" w:hAnsi="Courier New" w:hint="default"/>
      </w:rPr>
    </w:lvl>
    <w:lvl w:ilvl="2" w:tplc="F3582350">
      <w:start w:val="1"/>
      <w:numFmt w:val="bullet"/>
      <w:lvlText w:val=""/>
      <w:lvlJc w:val="left"/>
      <w:pPr>
        <w:ind w:left="2160" w:hanging="360"/>
      </w:pPr>
      <w:rPr>
        <w:rFonts w:ascii="Wingdings" w:hAnsi="Wingdings" w:hint="default"/>
      </w:rPr>
    </w:lvl>
    <w:lvl w:ilvl="3" w:tplc="1258218A">
      <w:start w:val="1"/>
      <w:numFmt w:val="bullet"/>
      <w:lvlText w:val=""/>
      <w:lvlJc w:val="left"/>
      <w:pPr>
        <w:ind w:left="2880" w:hanging="360"/>
      </w:pPr>
      <w:rPr>
        <w:rFonts w:ascii="Symbol" w:hAnsi="Symbol" w:hint="default"/>
      </w:rPr>
    </w:lvl>
    <w:lvl w:ilvl="4" w:tplc="1766282E">
      <w:start w:val="1"/>
      <w:numFmt w:val="bullet"/>
      <w:lvlText w:val="o"/>
      <w:lvlJc w:val="left"/>
      <w:pPr>
        <w:ind w:left="3600" w:hanging="360"/>
      </w:pPr>
      <w:rPr>
        <w:rFonts w:ascii="Courier New" w:hAnsi="Courier New" w:hint="default"/>
      </w:rPr>
    </w:lvl>
    <w:lvl w:ilvl="5" w:tplc="B874BBDC">
      <w:start w:val="1"/>
      <w:numFmt w:val="bullet"/>
      <w:lvlText w:val=""/>
      <w:lvlJc w:val="left"/>
      <w:pPr>
        <w:ind w:left="4320" w:hanging="360"/>
      </w:pPr>
      <w:rPr>
        <w:rFonts w:ascii="Wingdings" w:hAnsi="Wingdings" w:hint="default"/>
      </w:rPr>
    </w:lvl>
    <w:lvl w:ilvl="6" w:tplc="88C8028C">
      <w:start w:val="1"/>
      <w:numFmt w:val="bullet"/>
      <w:lvlText w:val=""/>
      <w:lvlJc w:val="left"/>
      <w:pPr>
        <w:ind w:left="5040" w:hanging="360"/>
      </w:pPr>
      <w:rPr>
        <w:rFonts w:ascii="Symbol" w:hAnsi="Symbol" w:hint="default"/>
      </w:rPr>
    </w:lvl>
    <w:lvl w:ilvl="7" w:tplc="27288BD8">
      <w:start w:val="1"/>
      <w:numFmt w:val="bullet"/>
      <w:lvlText w:val="o"/>
      <w:lvlJc w:val="left"/>
      <w:pPr>
        <w:ind w:left="5760" w:hanging="360"/>
      </w:pPr>
      <w:rPr>
        <w:rFonts w:ascii="Courier New" w:hAnsi="Courier New" w:hint="default"/>
      </w:rPr>
    </w:lvl>
    <w:lvl w:ilvl="8" w:tplc="52D04E62">
      <w:start w:val="1"/>
      <w:numFmt w:val="bullet"/>
      <w:lvlText w:val=""/>
      <w:lvlJc w:val="left"/>
      <w:pPr>
        <w:ind w:left="6480" w:hanging="360"/>
      </w:pPr>
      <w:rPr>
        <w:rFonts w:ascii="Wingdings" w:hAnsi="Wingdings" w:hint="default"/>
      </w:rPr>
    </w:lvl>
  </w:abstractNum>
  <w:abstractNum w:abstractNumId="11" w15:restartNumberingAfterBreak="0">
    <w:nsid w:val="21AC055E"/>
    <w:multiLevelType w:val="hybridMultilevel"/>
    <w:tmpl w:val="213EAB3A"/>
    <w:lvl w:ilvl="0" w:tplc="7FF088FA">
      <w:start w:val="1"/>
      <w:numFmt w:val="bullet"/>
      <w:lvlText w:val=""/>
      <w:lvlJc w:val="left"/>
      <w:pPr>
        <w:ind w:left="720" w:hanging="360"/>
      </w:pPr>
      <w:rPr>
        <w:rFonts w:ascii="Symbol" w:hAnsi="Symbol" w:hint="default"/>
      </w:rPr>
    </w:lvl>
    <w:lvl w:ilvl="1" w:tplc="6946303C">
      <w:start w:val="1"/>
      <w:numFmt w:val="bullet"/>
      <w:lvlText w:val="o"/>
      <w:lvlJc w:val="left"/>
      <w:pPr>
        <w:ind w:left="1440" w:hanging="360"/>
      </w:pPr>
      <w:rPr>
        <w:rFonts w:ascii="Courier New" w:hAnsi="Courier New" w:hint="default"/>
      </w:rPr>
    </w:lvl>
    <w:lvl w:ilvl="2" w:tplc="EC46B946">
      <w:start w:val="1"/>
      <w:numFmt w:val="bullet"/>
      <w:lvlText w:val=""/>
      <w:lvlJc w:val="left"/>
      <w:pPr>
        <w:ind w:left="2160" w:hanging="360"/>
      </w:pPr>
      <w:rPr>
        <w:rFonts w:ascii="Wingdings" w:hAnsi="Wingdings" w:hint="default"/>
      </w:rPr>
    </w:lvl>
    <w:lvl w:ilvl="3" w:tplc="320C7C34">
      <w:start w:val="1"/>
      <w:numFmt w:val="bullet"/>
      <w:lvlText w:val=""/>
      <w:lvlJc w:val="left"/>
      <w:pPr>
        <w:ind w:left="2880" w:hanging="360"/>
      </w:pPr>
      <w:rPr>
        <w:rFonts w:ascii="Symbol" w:hAnsi="Symbol" w:hint="default"/>
      </w:rPr>
    </w:lvl>
    <w:lvl w:ilvl="4" w:tplc="7C762A34">
      <w:start w:val="1"/>
      <w:numFmt w:val="bullet"/>
      <w:lvlText w:val="o"/>
      <w:lvlJc w:val="left"/>
      <w:pPr>
        <w:ind w:left="3600" w:hanging="360"/>
      </w:pPr>
      <w:rPr>
        <w:rFonts w:ascii="Courier New" w:hAnsi="Courier New" w:hint="default"/>
      </w:rPr>
    </w:lvl>
    <w:lvl w:ilvl="5" w:tplc="8236E1C6">
      <w:start w:val="1"/>
      <w:numFmt w:val="bullet"/>
      <w:lvlText w:val=""/>
      <w:lvlJc w:val="left"/>
      <w:pPr>
        <w:ind w:left="4320" w:hanging="360"/>
      </w:pPr>
      <w:rPr>
        <w:rFonts w:ascii="Wingdings" w:hAnsi="Wingdings" w:hint="default"/>
      </w:rPr>
    </w:lvl>
    <w:lvl w:ilvl="6" w:tplc="1876D34A">
      <w:start w:val="1"/>
      <w:numFmt w:val="bullet"/>
      <w:lvlText w:val=""/>
      <w:lvlJc w:val="left"/>
      <w:pPr>
        <w:ind w:left="5040" w:hanging="360"/>
      </w:pPr>
      <w:rPr>
        <w:rFonts w:ascii="Symbol" w:hAnsi="Symbol" w:hint="default"/>
      </w:rPr>
    </w:lvl>
    <w:lvl w:ilvl="7" w:tplc="79ECC2B4">
      <w:start w:val="1"/>
      <w:numFmt w:val="bullet"/>
      <w:lvlText w:val="o"/>
      <w:lvlJc w:val="left"/>
      <w:pPr>
        <w:ind w:left="5760" w:hanging="360"/>
      </w:pPr>
      <w:rPr>
        <w:rFonts w:ascii="Courier New" w:hAnsi="Courier New" w:hint="default"/>
      </w:rPr>
    </w:lvl>
    <w:lvl w:ilvl="8" w:tplc="1A72DA40">
      <w:start w:val="1"/>
      <w:numFmt w:val="bullet"/>
      <w:lvlText w:val=""/>
      <w:lvlJc w:val="left"/>
      <w:pPr>
        <w:ind w:left="6480" w:hanging="360"/>
      </w:pPr>
      <w:rPr>
        <w:rFonts w:ascii="Wingdings" w:hAnsi="Wingdings" w:hint="default"/>
      </w:rPr>
    </w:lvl>
  </w:abstractNum>
  <w:abstractNum w:abstractNumId="12" w15:restartNumberingAfterBreak="0">
    <w:nsid w:val="223E4CE1"/>
    <w:multiLevelType w:val="hybridMultilevel"/>
    <w:tmpl w:val="1B82A51E"/>
    <w:lvl w:ilvl="0" w:tplc="14E26436">
      <w:start w:val="1"/>
      <w:numFmt w:val="bullet"/>
      <w:lvlText w:val=""/>
      <w:lvlJc w:val="left"/>
      <w:pPr>
        <w:ind w:left="720" w:hanging="360"/>
      </w:pPr>
      <w:rPr>
        <w:rFonts w:ascii="Symbol" w:hAnsi="Symbol" w:hint="default"/>
      </w:rPr>
    </w:lvl>
    <w:lvl w:ilvl="1" w:tplc="D4D2076E">
      <w:start w:val="1"/>
      <w:numFmt w:val="bullet"/>
      <w:lvlText w:val="o"/>
      <w:lvlJc w:val="left"/>
      <w:pPr>
        <w:ind w:left="1440" w:hanging="360"/>
      </w:pPr>
      <w:rPr>
        <w:rFonts w:ascii="Courier New" w:hAnsi="Courier New" w:hint="default"/>
      </w:rPr>
    </w:lvl>
    <w:lvl w:ilvl="2" w:tplc="43EC4AB0">
      <w:start w:val="1"/>
      <w:numFmt w:val="bullet"/>
      <w:lvlText w:val=""/>
      <w:lvlJc w:val="left"/>
      <w:pPr>
        <w:ind w:left="2160" w:hanging="360"/>
      </w:pPr>
      <w:rPr>
        <w:rFonts w:ascii="Wingdings" w:hAnsi="Wingdings" w:hint="default"/>
      </w:rPr>
    </w:lvl>
    <w:lvl w:ilvl="3" w:tplc="BDACE3B6">
      <w:start w:val="1"/>
      <w:numFmt w:val="bullet"/>
      <w:lvlText w:val=""/>
      <w:lvlJc w:val="left"/>
      <w:pPr>
        <w:ind w:left="2880" w:hanging="360"/>
      </w:pPr>
      <w:rPr>
        <w:rFonts w:ascii="Symbol" w:hAnsi="Symbol" w:hint="default"/>
      </w:rPr>
    </w:lvl>
    <w:lvl w:ilvl="4" w:tplc="4350AC66">
      <w:start w:val="1"/>
      <w:numFmt w:val="bullet"/>
      <w:lvlText w:val="o"/>
      <w:lvlJc w:val="left"/>
      <w:pPr>
        <w:ind w:left="3600" w:hanging="360"/>
      </w:pPr>
      <w:rPr>
        <w:rFonts w:ascii="Courier New" w:hAnsi="Courier New" w:hint="default"/>
      </w:rPr>
    </w:lvl>
    <w:lvl w:ilvl="5" w:tplc="5FF0D944">
      <w:start w:val="1"/>
      <w:numFmt w:val="bullet"/>
      <w:lvlText w:val=""/>
      <w:lvlJc w:val="left"/>
      <w:pPr>
        <w:ind w:left="4320" w:hanging="360"/>
      </w:pPr>
      <w:rPr>
        <w:rFonts w:ascii="Wingdings" w:hAnsi="Wingdings" w:hint="default"/>
      </w:rPr>
    </w:lvl>
    <w:lvl w:ilvl="6" w:tplc="AD10E5A6">
      <w:start w:val="1"/>
      <w:numFmt w:val="bullet"/>
      <w:lvlText w:val=""/>
      <w:lvlJc w:val="left"/>
      <w:pPr>
        <w:ind w:left="5040" w:hanging="360"/>
      </w:pPr>
      <w:rPr>
        <w:rFonts w:ascii="Symbol" w:hAnsi="Symbol" w:hint="default"/>
      </w:rPr>
    </w:lvl>
    <w:lvl w:ilvl="7" w:tplc="A348A53C">
      <w:start w:val="1"/>
      <w:numFmt w:val="bullet"/>
      <w:lvlText w:val="o"/>
      <w:lvlJc w:val="left"/>
      <w:pPr>
        <w:ind w:left="5760" w:hanging="360"/>
      </w:pPr>
      <w:rPr>
        <w:rFonts w:ascii="Courier New" w:hAnsi="Courier New" w:hint="default"/>
      </w:rPr>
    </w:lvl>
    <w:lvl w:ilvl="8" w:tplc="762C1B34">
      <w:start w:val="1"/>
      <w:numFmt w:val="bullet"/>
      <w:lvlText w:val=""/>
      <w:lvlJc w:val="left"/>
      <w:pPr>
        <w:ind w:left="6480" w:hanging="360"/>
      </w:pPr>
      <w:rPr>
        <w:rFonts w:ascii="Wingdings" w:hAnsi="Wingding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C30795"/>
    <w:multiLevelType w:val="hybridMultilevel"/>
    <w:tmpl w:val="FB1059C4"/>
    <w:lvl w:ilvl="0" w:tplc="49D61AAA">
      <w:start w:val="1"/>
      <w:numFmt w:val="bullet"/>
      <w:lvlText w:val=""/>
      <w:lvlJc w:val="left"/>
      <w:pPr>
        <w:ind w:left="720" w:hanging="360"/>
      </w:pPr>
      <w:rPr>
        <w:rFonts w:ascii="Symbol" w:hAnsi="Symbol" w:hint="default"/>
      </w:rPr>
    </w:lvl>
    <w:lvl w:ilvl="1" w:tplc="66400650">
      <w:start w:val="1"/>
      <w:numFmt w:val="bullet"/>
      <w:lvlText w:val="o"/>
      <w:lvlJc w:val="left"/>
      <w:pPr>
        <w:ind w:left="1440" w:hanging="360"/>
      </w:pPr>
      <w:rPr>
        <w:rFonts w:ascii="Courier New" w:hAnsi="Courier New" w:hint="default"/>
      </w:rPr>
    </w:lvl>
    <w:lvl w:ilvl="2" w:tplc="8A14BC90">
      <w:start w:val="1"/>
      <w:numFmt w:val="bullet"/>
      <w:lvlText w:val=""/>
      <w:lvlJc w:val="left"/>
      <w:pPr>
        <w:ind w:left="2160" w:hanging="360"/>
      </w:pPr>
      <w:rPr>
        <w:rFonts w:ascii="Wingdings" w:hAnsi="Wingdings" w:hint="default"/>
      </w:rPr>
    </w:lvl>
    <w:lvl w:ilvl="3" w:tplc="7A0E0288">
      <w:start w:val="1"/>
      <w:numFmt w:val="bullet"/>
      <w:lvlText w:val=""/>
      <w:lvlJc w:val="left"/>
      <w:pPr>
        <w:ind w:left="2880" w:hanging="360"/>
      </w:pPr>
      <w:rPr>
        <w:rFonts w:ascii="Symbol" w:hAnsi="Symbol" w:hint="default"/>
      </w:rPr>
    </w:lvl>
    <w:lvl w:ilvl="4" w:tplc="7450C4BA">
      <w:start w:val="1"/>
      <w:numFmt w:val="bullet"/>
      <w:lvlText w:val="o"/>
      <w:lvlJc w:val="left"/>
      <w:pPr>
        <w:ind w:left="3600" w:hanging="360"/>
      </w:pPr>
      <w:rPr>
        <w:rFonts w:ascii="Courier New" w:hAnsi="Courier New" w:hint="default"/>
      </w:rPr>
    </w:lvl>
    <w:lvl w:ilvl="5" w:tplc="93A0DB2A">
      <w:start w:val="1"/>
      <w:numFmt w:val="bullet"/>
      <w:lvlText w:val=""/>
      <w:lvlJc w:val="left"/>
      <w:pPr>
        <w:ind w:left="4320" w:hanging="360"/>
      </w:pPr>
      <w:rPr>
        <w:rFonts w:ascii="Wingdings" w:hAnsi="Wingdings" w:hint="default"/>
      </w:rPr>
    </w:lvl>
    <w:lvl w:ilvl="6" w:tplc="884084CA">
      <w:start w:val="1"/>
      <w:numFmt w:val="bullet"/>
      <w:lvlText w:val=""/>
      <w:lvlJc w:val="left"/>
      <w:pPr>
        <w:ind w:left="5040" w:hanging="360"/>
      </w:pPr>
      <w:rPr>
        <w:rFonts w:ascii="Symbol" w:hAnsi="Symbol" w:hint="default"/>
      </w:rPr>
    </w:lvl>
    <w:lvl w:ilvl="7" w:tplc="CBB0D12E">
      <w:start w:val="1"/>
      <w:numFmt w:val="bullet"/>
      <w:lvlText w:val="o"/>
      <w:lvlJc w:val="left"/>
      <w:pPr>
        <w:ind w:left="5760" w:hanging="360"/>
      </w:pPr>
      <w:rPr>
        <w:rFonts w:ascii="Courier New" w:hAnsi="Courier New" w:hint="default"/>
      </w:rPr>
    </w:lvl>
    <w:lvl w:ilvl="8" w:tplc="67967342">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5"/>
  </w:num>
  <w:num w:numId="14">
    <w:abstractNumId w:val="22"/>
  </w:num>
  <w:num w:numId="15">
    <w:abstractNumId w:val="24"/>
  </w:num>
  <w:num w:numId="16">
    <w:abstractNumId w:val="23"/>
  </w:num>
  <w:num w:numId="17">
    <w:abstractNumId w:val="14"/>
  </w:num>
  <w:num w:numId="18">
    <w:abstractNumId w:val="15"/>
    <w:lvlOverride w:ilvl="0">
      <w:startOverride w:val="1"/>
    </w:lvlOverride>
  </w:num>
  <w:num w:numId="19">
    <w:abstractNumId w:val="20"/>
  </w:num>
  <w:num w:numId="20">
    <w:abstractNumId w:val="19"/>
  </w:num>
  <w:num w:numId="21">
    <w:abstractNumId w:val="17"/>
  </w:num>
  <w:num w:numId="22">
    <w:abstractNumId w:val="16"/>
  </w:num>
  <w:num w:numId="23">
    <w:abstractNumId w:val="10"/>
  </w:num>
  <w:num w:numId="24">
    <w:abstractNumId w:val="18"/>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A96"/>
    <w:rsid w:val="000052FB"/>
    <w:rsid w:val="00010847"/>
    <w:rsid w:val="000117CB"/>
    <w:rsid w:val="00021F2A"/>
    <w:rsid w:val="000235BC"/>
    <w:rsid w:val="0002503F"/>
    <w:rsid w:val="00027D0E"/>
    <w:rsid w:val="000312F4"/>
    <w:rsid w:val="0003148D"/>
    <w:rsid w:val="00031EEC"/>
    <w:rsid w:val="00041F6A"/>
    <w:rsid w:val="000471C9"/>
    <w:rsid w:val="00051566"/>
    <w:rsid w:val="00052B1D"/>
    <w:rsid w:val="00052F91"/>
    <w:rsid w:val="00054288"/>
    <w:rsid w:val="000565C6"/>
    <w:rsid w:val="00057F81"/>
    <w:rsid w:val="00062A9A"/>
    <w:rsid w:val="00065058"/>
    <w:rsid w:val="0006595F"/>
    <w:rsid w:val="00070FF1"/>
    <w:rsid w:val="00082179"/>
    <w:rsid w:val="00086C39"/>
    <w:rsid w:val="00086FD0"/>
    <w:rsid w:val="00087903"/>
    <w:rsid w:val="00092771"/>
    <w:rsid w:val="000A03B2"/>
    <w:rsid w:val="000A3146"/>
    <w:rsid w:val="000B2548"/>
    <w:rsid w:val="000B2DA4"/>
    <w:rsid w:val="000B35CB"/>
    <w:rsid w:val="000C0AAB"/>
    <w:rsid w:val="000C1988"/>
    <w:rsid w:val="000D0268"/>
    <w:rsid w:val="000D0311"/>
    <w:rsid w:val="000D0D50"/>
    <w:rsid w:val="000D31BC"/>
    <w:rsid w:val="000D34BE"/>
    <w:rsid w:val="000E010D"/>
    <w:rsid w:val="000E102F"/>
    <w:rsid w:val="000E36F1"/>
    <w:rsid w:val="000E398A"/>
    <w:rsid w:val="000E3A73"/>
    <w:rsid w:val="000E414A"/>
    <w:rsid w:val="000E6228"/>
    <w:rsid w:val="000F093C"/>
    <w:rsid w:val="000F2F3E"/>
    <w:rsid w:val="000F58B4"/>
    <w:rsid w:val="000F7349"/>
    <w:rsid w:val="000F787B"/>
    <w:rsid w:val="00104763"/>
    <w:rsid w:val="0011194C"/>
    <w:rsid w:val="00115909"/>
    <w:rsid w:val="00117349"/>
    <w:rsid w:val="00117506"/>
    <w:rsid w:val="0012091F"/>
    <w:rsid w:val="0012193B"/>
    <w:rsid w:val="0012274F"/>
    <w:rsid w:val="001235AD"/>
    <w:rsid w:val="00125FC6"/>
    <w:rsid w:val="00126895"/>
    <w:rsid w:val="00126BC2"/>
    <w:rsid w:val="001308B6"/>
    <w:rsid w:val="0013121F"/>
    <w:rsid w:val="00131FE6"/>
    <w:rsid w:val="0013263F"/>
    <w:rsid w:val="001331DF"/>
    <w:rsid w:val="00134DE4"/>
    <w:rsid w:val="001376B9"/>
    <w:rsid w:val="0014034D"/>
    <w:rsid w:val="00144D16"/>
    <w:rsid w:val="00150E59"/>
    <w:rsid w:val="00152DE3"/>
    <w:rsid w:val="00164761"/>
    <w:rsid w:val="00164CF9"/>
    <w:rsid w:val="001667A6"/>
    <w:rsid w:val="00177D81"/>
    <w:rsid w:val="00184AD6"/>
    <w:rsid w:val="00184BDE"/>
    <w:rsid w:val="00191F22"/>
    <w:rsid w:val="001941CC"/>
    <w:rsid w:val="001948BF"/>
    <w:rsid w:val="00194DA1"/>
    <w:rsid w:val="001A4AF7"/>
    <w:rsid w:val="001A5479"/>
    <w:rsid w:val="001A5A84"/>
    <w:rsid w:val="001B0349"/>
    <w:rsid w:val="001B068B"/>
    <w:rsid w:val="001B14B7"/>
    <w:rsid w:val="001B1E93"/>
    <w:rsid w:val="001B2EB9"/>
    <w:rsid w:val="001B65C1"/>
    <w:rsid w:val="001C2C59"/>
    <w:rsid w:val="001C3F0E"/>
    <w:rsid w:val="001C684B"/>
    <w:rsid w:val="001D0CFB"/>
    <w:rsid w:val="001D21AF"/>
    <w:rsid w:val="001D53FC"/>
    <w:rsid w:val="001E00D5"/>
    <w:rsid w:val="001E6E29"/>
    <w:rsid w:val="001E7236"/>
    <w:rsid w:val="001E75BB"/>
    <w:rsid w:val="001F42A5"/>
    <w:rsid w:val="001F7B9D"/>
    <w:rsid w:val="0020125F"/>
    <w:rsid w:val="00201C93"/>
    <w:rsid w:val="00203B44"/>
    <w:rsid w:val="00204ED9"/>
    <w:rsid w:val="00210B6F"/>
    <w:rsid w:val="00211766"/>
    <w:rsid w:val="002224B4"/>
    <w:rsid w:val="002253EF"/>
    <w:rsid w:val="00225D15"/>
    <w:rsid w:val="00231487"/>
    <w:rsid w:val="00237359"/>
    <w:rsid w:val="002409D2"/>
    <w:rsid w:val="002447EF"/>
    <w:rsid w:val="00244FFD"/>
    <w:rsid w:val="00251550"/>
    <w:rsid w:val="002635FC"/>
    <w:rsid w:val="00263B05"/>
    <w:rsid w:val="002665B3"/>
    <w:rsid w:val="0027221A"/>
    <w:rsid w:val="00275B61"/>
    <w:rsid w:val="0028074C"/>
    <w:rsid w:val="00280E70"/>
    <w:rsid w:val="00280FAF"/>
    <w:rsid w:val="0028110C"/>
    <w:rsid w:val="00282656"/>
    <w:rsid w:val="0029588F"/>
    <w:rsid w:val="00296B83"/>
    <w:rsid w:val="002A3059"/>
    <w:rsid w:val="002A3B67"/>
    <w:rsid w:val="002A5E08"/>
    <w:rsid w:val="002B27DE"/>
    <w:rsid w:val="002B32FD"/>
    <w:rsid w:val="002B4015"/>
    <w:rsid w:val="002B417D"/>
    <w:rsid w:val="002B78CE"/>
    <w:rsid w:val="002C2FB6"/>
    <w:rsid w:val="002D0161"/>
    <w:rsid w:val="002D2D45"/>
    <w:rsid w:val="002E3431"/>
    <w:rsid w:val="002E5FA7"/>
    <w:rsid w:val="002E753E"/>
    <w:rsid w:val="002F0366"/>
    <w:rsid w:val="002F044B"/>
    <w:rsid w:val="002F1B9F"/>
    <w:rsid w:val="002F3309"/>
    <w:rsid w:val="002F4969"/>
    <w:rsid w:val="002F71A9"/>
    <w:rsid w:val="003008CE"/>
    <w:rsid w:val="003009B7"/>
    <w:rsid w:val="00300E56"/>
    <w:rsid w:val="0030469C"/>
    <w:rsid w:val="00321CA6"/>
    <w:rsid w:val="00323763"/>
    <w:rsid w:val="00324949"/>
    <w:rsid w:val="00326928"/>
    <w:rsid w:val="0033039E"/>
    <w:rsid w:val="00332E75"/>
    <w:rsid w:val="00334C09"/>
    <w:rsid w:val="003370CA"/>
    <w:rsid w:val="0034052C"/>
    <w:rsid w:val="00342C0E"/>
    <w:rsid w:val="0035214B"/>
    <w:rsid w:val="00356412"/>
    <w:rsid w:val="003572FD"/>
    <w:rsid w:val="0036133D"/>
    <w:rsid w:val="003614FA"/>
    <w:rsid w:val="00361C8C"/>
    <w:rsid w:val="003620C7"/>
    <w:rsid w:val="0036397C"/>
    <w:rsid w:val="00365A25"/>
    <w:rsid w:val="0036780A"/>
    <w:rsid w:val="003723D4"/>
    <w:rsid w:val="003730DE"/>
    <w:rsid w:val="00373660"/>
    <w:rsid w:val="0037567B"/>
    <w:rsid w:val="00376012"/>
    <w:rsid w:val="0038084A"/>
    <w:rsid w:val="00381905"/>
    <w:rsid w:val="00384CC8"/>
    <w:rsid w:val="00384EF3"/>
    <w:rsid w:val="003871FD"/>
    <w:rsid w:val="00390C71"/>
    <w:rsid w:val="00397480"/>
    <w:rsid w:val="003A075C"/>
    <w:rsid w:val="003A1E30"/>
    <w:rsid w:val="003A2829"/>
    <w:rsid w:val="003A4FD7"/>
    <w:rsid w:val="003A5FE3"/>
    <w:rsid w:val="003A7D1C"/>
    <w:rsid w:val="003B208B"/>
    <w:rsid w:val="003B2D2E"/>
    <w:rsid w:val="003B304B"/>
    <w:rsid w:val="003B3146"/>
    <w:rsid w:val="003B547C"/>
    <w:rsid w:val="003B66A6"/>
    <w:rsid w:val="003C63CE"/>
    <w:rsid w:val="003C66E6"/>
    <w:rsid w:val="003D6321"/>
    <w:rsid w:val="003E5C06"/>
    <w:rsid w:val="003F015E"/>
    <w:rsid w:val="003F1924"/>
    <w:rsid w:val="00400414"/>
    <w:rsid w:val="004036C7"/>
    <w:rsid w:val="004073DC"/>
    <w:rsid w:val="00410B54"/>
    <w:rsid w:val="00413EC7"/>
    <w:rsid w:val="0041446B"/>
    <w:rsid w:val="00414EE9"/>
    <w:rsid w:val="00423868"/>
    <w:rsid w:val="00423EC8"/>
    <w:rsid w:val="00433E72"/>
    <w:rsid w:val="0044071E"/>
    <w:rsid w:val="0044329C"/>
    <w:rsid w:val="004452DC"/>
    <w:rsid w:val="0044719C"/>
    <w:rsid w:val="00450336"/>
    <w:rsid w:val="004526F6"/>
    <w:rsid w:val="00453E24"/>
    <w:rsid w:val="00454657"/>
    <w:rsid w:val="00457456"/>
    <w:rsid w:val="004577FE"/>
    <w:rsid w:val="00457B9C"/>
    <w:rsid w:val="00457CDD"/>
    <w:rsid w:val="004614DD"/>
    <w:rsid w:val="0046164A"/>
    <w:rsid w:val="004628D2"/>
    <w:rsid w:val="00462DCD"/>
    <w:rsid w:val="0046363C"/>
    <w:rsid w:val="004638C3"/>
    <w:rsid w:val="004648AD"/>
    <w:rsid w:val="004703A9"/>
    <w:rsid w:val="004760DE"/>
    <w:rsid w:val="004763D7"/>
    <w:rsid w:val="00476491"/>
    <w:rsid w:val="0047663D"/>
    <w:rsid w:val="00497286"/>
    <w:rsid w:val="004A004E"/>
    <w:rsid w:val="004A0ABF"/>
    <w:rsid w:val="004A24CF"/>
    <w:rsid w:val="004A2ED1"/>
    <w:rsid w:val="004B030D"/>
    <w:rsid w:val="004B5941"/>
    <w:rsid w:val="004B6E11"/>
    <w:rsid w:val="004C34A7"/>
    <w:rsid w:val="004C3D1D"/>
    <w:rsid w:val="004C5B18"/>
    <w:rsid w:val="004C7913"/>
    <w:rsid w:val="004E2280"/>
    <w:rsid w:val="004E2F70"/>
    <w:rsid w:val="004E47F1"/>
    <w:rsid w:val="004E4DD6"/>
    <w:rsid w:val="004E560E"/>
    <w:rsid w:val="004E5D99"/>
    <w:rsid w:val="004F1CB7"/>
    <w:rsid w:val="004F5E36"/>
    <w:rsid w:val="00500003"/>
    <w:rsid w:val="00504A25"/>
    <w:rsid w:val="0050517E"/>
    <w:rsid w:val="00506F3F"/>
    <w:rsid w:val="00507B47"/>
    <w:rsid w:val="00507BEF"/>
    <w:rsid w:val="00507CC9"/>
    <w:rsid w:val="005119A5"/>
    <w:rsid w:val="00514D9B"/>
    <w:rsid w:val="00516311"/>
    <w:rsid w:val="005268F6"/>
    <w:rsid w:val="005278B7"/>
    <w:rsid w:val="00530424"/>
    <w:rsid w:val="00532016"/>
    <w:rsid w:val="005335E2"/>
    <w:rsid w:val="005346C8"/>
    <w:rsid w:val="00543330"/>
    <w:rsid w:val="00543E7D"/>
    <w:rsid w:val="0054469C"/>
    <w:rsid w:val="00544834"/>
    <w:rsid w:val="00545BCD"/>
    <w:rsid w:val="00546514"/>
    <w:rsid w:val="00546DDF"/>
    <w:rsid w:val="00547A68"/>
    <w:rsid w:val="00552014"/>
    <w:rsid w:val="005531C9"/>
    <w:rsid w:val="00564925"/>
    <w:rsid w:val="00570C43"/>
    <w:rsid w:val="005733A8"/>
    <w:rsid w:val="00574096"/>
    <w:rsid w:val="00584AB8"/>
    <w:rsid w:val="00585BF3"/>
    <w:rsid w:val="005868E0"/>
    <w:rsid w:val="00587F82"/>
    <w:rsid w:val="00593BE8"/>
    <w:rsid w:val="005948C2"/>
    <w:rsid w:val="005958C0"/>
    <w:rsid w:val="005A2E3C"/>
    <w:rsid w:val="005B2110"/>
    <w:rsid w:val="005B61E6"/>
    <w:rsid w:val="005B67C0"/>
    <w:rsid w:val="005B7E8E"/>
    <w:rsid w:val="005C0944"/>
    <w:rsid w:val="005C2D3C"/>
    <w:rsid w:val="005C647B"/>
    <w:rsid w:val="005C77E1"/>
    <w:rsid w:val="005D668A"/>
    <w:rsid w:val="005D6A2F"/>
    <w:rsid w:val="005E1A82"/>
    <w:rsid w:val="005E794C"/>
    <w:rsid w:val="005F0A28"/>
    <w:rsid w:val="005F0E5E"/>
    <w:rsid w:val="005F2189"/>
    <w:rsid w:val="00600535"/>
    <w:rsid w:val="00601059"/>
    <w:rsid w:val="00604660"/>
    <w:rsid w:val="00604911"/>
    <w:rsid w:val="00607029"/>
    <w:rsid w:val="00607895"/>
    <w:rsid w:val="00607D48"/>
    <w:rsid w:val="00610CD6"/>
    <w:rsid w:val="00612A6E"/>
    <w:rsid w:val="00620DEE"/>
    <w:rsid w:val="00621F92"/>
    <w:rsid w:val="0062280A"/>
    <w:rsid w:val="00625639"/>
    <w:rsid w:val="00625833"/>
    <w:rsid w:val="00631B33"/>
    <w:rsid w:val="00635007"/>
    <w:rsid w:val="0064184D"/>
    <w:rsid w:val="00641BCC"/>
    <w:rsid w:val="006422CC"/>
    <w:rsid w:val="0065208C"/>
    <w:rsid w:val="00655A77"/>
    <w:rsid w:val="00660E3E"/>
    <w:rsid w:val="00662E74"/>
    <w:rsid w:val="00667012"/>
    <w:rsid w:val="006671AD"/>
    <w:rsid w:val="00670406"/>
    <w:rsid w:val="00675D51"/>
    <w:rsid w:val="00680C23"/>
    <w:rsid w:val="00687A0B"/>
    <w:rsid w:val="006910A5"/>
    <w:rsid w:val="0069186F"/>
    <w:rsid w:val="00693766"/>
    <w:rsid w:val="00696389"/>
    <w:rsid w:val="006A3281"/>
    <w:rsid w:val="006A340B"/>
    <w:rsid w:val="006B11F0"/>
    <w:rsid w:val="006B312F"/>
    <w:rsid w:val="006B38E7"/>
    <w:rsid w:val="006B4888"/>
    <w:rsid w:val="006B519D"/>
    <w:rsid w:val="006C0D04"/>
    <w:rsid w:val="006C2E45"/>
    <w:rsid w:val="006C359C"/>
    <w:rsid w:val="006C5579"/>
    <w:rsid w:val="006D0CA4"/>
    <w:rsid w:val="006D33DF"/>
    <w:rsid w:val="006D6E8B"/>
    <w:rsid w:val="006E4107"/>
    <w:rsid w:val="006E50F0"/>
    <w:rsid w:val="006E737D"/>
    <w:rsid w:val="006F49D7"/>
    <w:rsid w:val="00702918"/>
    <w:rsid w:val="00702DB8"/>
    <w:rsid w:val="00713973"/>
    <w:rsid w:val="007162EF"/>
    <w:rsid w:val="00720A24"/>
    <w:rsid w:val="007235D0"/>
    <w:rsid w:val="00725B90"/>
    <w:rsid w:val="00730F78"/>
    <w:rsid w:val="00732386"/>
    <w:rsid w:val="00732EA8"/>
    <w:rsid w:val="007331B0"/>
    <w:rsid w:val="0073514D"/>
    <w:rsid w:val="007378D5"/>
    <w:rsid w:val="00742DE8"/>
    <w:rsid w:val="007447F3"/>
    <w:rsid w:val="007527B4"/>
    <w:rsid w:val="007528ED"/>
    <w:rsid w:val="007548EF"/>
    <w:rsid w:val="0075499F"/>
    <w:rsid w:val="007621D2"/>
    <w:rsid w:val="007661C8"/>
    <w:rsid w:val="0077098D"/>
    <w:rsid w:val="007751CD"/>
    <w:rsid w:val="007754CD"/>
    <w:rsid w:val="007772A4"/>
    <w:rsid w:val="00784865"/>
    <w:rsid w:val="007900F5"/>
    <w:rsid w:val="00791774"/>
    <w:rsid w:val="007931FA"/>
    <w:rsid w:val="007956F0"/>
    <w:rsid w:val="00797E53"/>
    <w:rsid w:val="007A2791"/>
    <w:rsid w:val="007A40A1"/>
    <w:rsid w:val="007A4861"/>
    <w:rsid w:val="007A4FB4"/>
    <w:rsid w:val="007A7964"/>
    <w:rsid w:val="007A7BBA"/>
    <w:rsid w:val="007B0C50"/>
    <w:rsid w:val="007B3276"/>
    <w:rsid w:val="007B48F9"/>
    <w:rsid w:val="007C080F"/>
    <w:rsid w:val="007C1A43"/>
    <w:rsid w:val="007C4FB5"/>
    <w:rsid w:val="007C51EE"/>
    <w:rsid w:val="007E3DD0"/>
    <w:rsid w:val="007E5BD9"/>
    <w:rsid w:val="007E6C15"/>
    <w:rsid w:val="007F53CC"/>
    <w:rsid w:val="007F5845"/>
    <w:rsid w:val="007F72C1"/>
    <w:rsid w:val="007FEEDC"/>
    <w:rsid w:val="0080013E"/>
    <w:rsid w:val="0080021D"/>
    <w:rsid w:val="00801A02"/>
    <w:rsid w:val="008125AD"/>
    <w:rsid w:val="00813288"/>
    <w:rsid w:val="008156FF"/>
    <w:rsid w:val="008168FC"/>
    <w:rsid w:val="00816947"/>
    <w:rsid w:val="00827797"/>
    <w:rsid w:val="0082792E"/>
    <w:rsid w:val="00830996"/>
    <w:rsid w:val="0083227B"/>
    <w:rsid w:val="008345F1"/>
    <w:rsid w:val="00837774"/>
    <w:rsid w:val="008512EE"/>
    <w:rsid w:val="00851346"/>
    <w:rsid w:val="0086048E"/>
    <w:rsid w:val="00865B07"/>
    <w:rsid w:val="008667EA"/>
    <w:rsid w:val="00866D9F"/>
    <w:rsid w:val="008720C7"/>
    <w:rsid w:val="0087637F"/>
    <w:rsid w:val="00882CFF"/>
    <w:rsid w:val="00883B30"/>
    <w:rsid w:val="00886C9C"/>
    <w:rsid w:val="00887FC4"/>
    <w:rsid w:val="00892AD5"/>
    <w:rsid w:val="008A147F"/>
    <w:rsid w:val="008A1512"/>
    <w:rsid w:val="008A2E66"/>
    <w:rsid w:val="008A45B6"/>
    <w:rsid w:val="008C24AF"/>
    <w:rsid w:val="008D2C51"/>
    <w:rsid w:val="008D32B9"/>
    <w:rsid w:val="008D4055"/>
    <w:rsid w:val="008D433B"/>
    <w:rsid w:val="008D7A37"/>
    <w:rsid w:val="008E4A24"/>
    <w:rsid w:val="008E5592"/>
    <w:rsid w:val="008E566E"/>
    <w:rsid w:val="0090161A"/>
    <w:rsid w:val="00901EB6"/>
    <w:rsid w:val="00904C62"/>
    <w:rsid w:val="00913F0C"/>
    <w:rsid w:val="00914577"/>
    <w:rsid w:val="00922BA8"/>
    <w:rsid w:val="00924441"/>
    <w:rsid w:val="00924DAC"/>
    <w:rsid w:val="00927058"/>
    <w:rsid w:val="009323A5"/>
    <w:rsid w:val="00933FCE"/>
    <w:rsid w:val="00934B37"/>
    <w:rsid w:val="00942750"/>
    <w:rsid w:val="00943C0A"/>
    <w:rsid w:val="00944FBB"/>
    <w:rsid w:val="009450CE"/>
    <w:rsid w:val="00945AB6"/>
    <w:rsid w:val="00945BD5"/>
    <w:rsid w:val="00947179"/>
    <w:rsid w:val="00947C88"/>
    <w:rsid w:val="0095164B"/>
    <w:rsid w:val="00953D12"/>
    <w:rsid w:val="00954090"/>
    <w:rsid w:val="009573E7"/>
    <w:rsid w:val="00963E05"/>
    <w:rsid w:val="00964A45"/>
    <w:rsid w:val="00966565"/>
    <w:rsid w:val="00967843"/>
    <w:rsid w:val="00967D54"/>
    <w:rsid w:val="00971028"/>
    <w:rsid w:val="009739F1"/>
    <w:rsid w:val="00982465"/>
    <w:rsid w:val="00985230"/>
    <w:rsid w:val="00993B84"/>
    <w:rsid w:val="009947CE"/>
    <w:rsid w:val="00996483"/>
    <w:rsid w:val="00996F5A"/>
    <w:rsid w:val="00997C9C"/>
    <w:rsid w:val="009A6A0A"/>
    <w:rsid w:val="009B041A"/>
    <w:rsid w:val="009B08E3"/>
    <w:rsid w:val="009B2557"/>
    <w:rsid w:val="009B3874"/>
    <w:rsid w:val="009B59D3"/>
    <w:rsid w:val="009BA90B"/>
    <w:rsid w:val="009C1401"/>
    <w:rsid w:val="009C37C3"/>
    <w:rsid w:val="009C4C44"/>
    <w:rsid w:val="009C7C86"/>
    <w:rsid w:val="009D0AA0"/>
    <w:rsid w:val="009D1988"/>
    <w:rsid w:val="009D2FF7"/>
    <w:rsid w:val="009E4B08"/>
    <w:rsid w:val="009E7884"/>
    <w:rsid w:val="009E788A"/>
    <w:rsid w:val="009F0E08"/>
    <w:rsid w:val="009F242A"/>
    <w:rsid w:val="009F653D"/>
    <w:rsid w:val="00A07668"/>
    <w:rsid w:val="00A1341B"/>
    <w:rsid w:val="00A14F39"/>
    <w:rsid w:val="00A16CD9"/>
    <w:rsid w:val="00A16F62"/>
    <w:rsid w:val="00A1763D"/>
    <w:rsid w:val="00A17CEC"/>
    <w:rsid w:val="00A20D2C"/>
    <w:rsid w:val="00A27A1C"/>
    <w:rsid w:val="00A27EF0"/>
    <w:rsid w:val="00A32B19"/>
    <w:rsid w:val="00A3D0BA"/>
    <w:rsid w:val="00A41508"/>
    <w:rsid w:val="00A42361"/>
    <w:rsid w:val="00A45CD7"/>
    <w:rsid w:val="00A5014E"/>
    <w:rsid w:val="00A50B20"/>
    <w:rsid w:val="00A51390"/>
    <w:rsid w:val="00A57BAF"/>
    <w:rsid w:val="00A60D13"/>
    <w:rsid w:val="00A612D2"/>
    <w:rsid w:val="00A651D0"/>
    <w:rsid w:val="00A72745"/>
    <w:rsid w:val="00A7337F"/>
    <w:rsid w:val="00A76EFC"/>
    <w:rsid w:val="00A81464"/>
    <w:rsid w:val="00A840C6"/>
    <w:rsid w:val="00A84F6D"/>
    <w:rsid w:val="00A91010"/>
    <w:rsid w:val="00A913BC"/>
    <w:rsid w:val="00A97869"/>
    <w:rsid w:val="00A97F29"/>
    <w:rsid w:val="00AA11F6"/>
    <w:rsid w:val="00AA702E"/>
    <w:rsid w:val="00AB0964"/>
    <w:rsid w:val="00AB0965"/>
    <w:rsid w:val="00AB25E4"/>
    <w:rsid w:val="00AB5011"/>
    <w:rsid w:val="00AB6DE3"/>
    <w:rsid w:val="00AC2778"/>
    <w:rsid w:val="00AC3D2D"/>
    <w:rsid w:val="00AC7368"/>
    <w:rsid w:val="00AD16B9"/>
    <w:rsid w:val="00AD5D4C"/>
    <w:rsid w:val="00AE377D"/>
    <w:rsid w:val="00AE72A5"/>
    <w:rsid w:val="00AF0EBA"/>
    <w:rsid w:val="00AF210E"/>
    <w:rsid w:val="00AF6775"/>
    <w:rsid w:val="00AF73D3"/>
    <w:rsid w:val="00B02C8A"/>
    <w:rsid w:val="00B13657"/>
    <w:rsid w:val="00B17FBD"/>
    <w:rsid w:val="00B22662"/>
    <w:rsid w:val="00B24051"/>
    <w:rsid w:val="00B25F5E"/>
    <w:rsid w:val="00B26329"/>
    <w:rsid w:val="00B26A73"/>
    <w:rsid w:val="00B26AF4"/>
    <w:rsid w:val="00B27D87"/>
    <w:rsid w:val="00B30F6E"/>
    <w:rsid w:val="00B315A6"/>
    <w:rsid w:val="00B315DC"/>
    <w:rsid w:val="00B317A3"/>
    <w:rsid w:val="00B31813"/>
    <w:rsid w:val="00B33365"/>
    <w:rsid w:val="00B41F47"/>
    <w:rsid w:val="00B44742"/>
    <w:rsid w:val="00B45E3C"/>
    <w:rsid w:val="00B46D34"/>
    <w:rsid w:val="00B53190"/>
    <w:rsid w:val="00B54A46"/>
    <w:rsid w:val="00B56408"/>
    <w:rsid w:val="00B57B36"/>
    <w:rsid w:val="00B57E6F"/>
    <w:rsid w:val="00B61147"/>
    <w:rsid w:val="00B70237"/>
    <w:rsid w:val="00B74D55"/>
    <w:rsid w:val="00B7742F"/>
    <w:rsid w:val="00B81BEA"/>
    <w:rsid w:val="00B83863"/>
    <w:rsid w:val="00B8686D"/>
    <w:rsid w:val="00B9330F"/>
    <w:rsid w:val="00B93F69"/>
    <w:rsid w:val="00BA1FE2"/>
    <w:rsid w:val="00BA2DE9"/>
    <w:rsid w:val="00BA3D54"/>
    <w:rsid w:val="00BB1DDC"/>
    <w:rsid w:val="00BB51A0"/>
    <w:rsid w:val="00BB6E07"/>
    <w:rsid w:val="00BC0495"/>
    <w:rsid w:val="00BC30C9"/>
    <w:rsid w:val="00BD077D"/>
    <w:rsid w:val="00BD473F"/>
    <w:rsid w:val="00BE3E58"/>
    <w:rsid w:val="00BF1166"/>
    <w:rsid w:val="00BF32FA"/>
    <w:rsid w:val="00BF5C27"/>
    <w:rsid w:val="00BF7A0D"/>
    <w:rsid w:val="00C00E44"/>
    <w:rsid w:val="00C01616"/>
    <w:rsid w:val="00C0162B"/>
    <w:rsid w:val="00C068ED"/>
    <w:rsid w:val="00C07844"/>
    <w:rsid w:val="00C149F5"/>
    <w:rsid w:val="00C22E0C"/>
    <w:rsid w:val="00C248BD"/>
    <w:rsid w:val="00C345B1"/>
    <w:rsid w:val="00C3775D"/>
    <w:rsid w:val="00C40142"/>
    <w:rsid w:val="00C44EE6"/>
    <w:rsid w:val="00C5063C"/>
    <w:rsid w:val="00C52C3C"/>
    <w:rsid w:val="00C538C2"/>
    <w:rsid w:val="00C539EC"/>
    <w:rsid w:val="00C57182"/>
    <w:rsid w:val="00C57863"/>
    <w:rsid w:val="00C64742"/>
    <w:rsid w:val="00C655FD"/>
    <w:rsid w:val="00C6582F"/>
    <w:rsid w:val="00C66598"/>
    <w:rsid w:val="00C675E6"/>
    <w:rsid w:val="00C710FC"/>
    <w:rsid w:val="00C75407"/>
    <w:rsid w:val="00C870A8"/>
    <w:rsid w:val="00C94434"/>
    <w:rsid w:val="00CA0D75"/>
    <w:rsid w:val="00CA1A60"/>
    <w:rsid w:val="00CA1C95"/>
    <w:rsid w:val="00CA2664"/>
    <w:rsid w:val="00CA5A9C"/>
    <w:rsid w:val="00CB2A3F"/>
    <w:rsid w:val="00CB3CF7"/>
    <w:rsid w:val="00CB6E2C"/>
    <w:rsid w:val="00CC4C20"/>
    <w:rsid w:val="00CD3517"/>
    <w:rsid w:val="00CD5FE2"/>
    <w:rsid w:val="00CE76CD"/>
    <w:rsid w:val="00CE7C68"/>
    <w:rsid w:val="00CF0EE2"/>
    <w:rsid w:val="00CF16A7"/>
    <w:rsid w:val="00CF369B"/>
    <w:rsid w:val="00CF69A7"/>
    <w:rsid w:val="00CF7F1A"/>
    <w:rsid w:val="00D02B4C"/>
    <w:rsid w:val="00D040C4"/>
    <w:rsid w:val="00D04DF9"/>
    <w:rsid w:val="00D11974"/>
    <w:rsid w:val="00D16DE4"/>
    <w:rsid w:val="00D22696"/>
    <w:rsid w:val="00D30C79"/>
    <w:rsid w:val="00D3326C"/>
    <w:rsid w:val="00D34CBF"/>
    <w:rsid w:val="00D35C4E"/>
    <w:rsid w:val="00D423DE"/>
    <w:rsid w:val="00D42F39"/>
    <w:rsid w:val="00D44482"/>
    <w:rsid w:val="00D44C4E"/>
    <w:rsid w:val="00D46B7E"/>
    <w:rsid w:val="00D47052"/>
    <w:rsid w:val="00D505F5"/>
    <w:rsid w:val="00D53C80"/>
    <w:rsid w:val="00D54F31"/>
    <w:rsid w:val="00D57C84"/>
    <w:rsid w:val="00D6057D"/>
    <w:rsid w:val="00D61A7D"/>
    <w:rsid w:val="00D71640"/>
    <w:rsid w:val="00D77560"/>
    <w:rsid w:val="00D81641"/>
    <w:rsid w:val="00D836C5"/>
    <w:rsid w:val="00D84576"/>
    <w:rsid w:val="00D852AB"/>
    <w:rsid w:val="00D86B9A"/>
    <w:rsid w:val="00DA1399"/>
    <w:rsid w:val="00DA1933"/>
    <w:rsid w:val="00DA24C6"/>
    <w:rsid w:val="00DA3D65"/>
    <w:rsid w:val="00DA4D7B"/>
    <w:rsid w:val="00DB1BD2"/>
    <w:rsid w:val="00DB743F"/>
    <w:rsid w:val="00DB75FC"/>
    <w:rsid w:val="00DD4561"/>
    <w:rsid w:val="00DE264A"/>
    <w:rsid w:val="00DE585D"/>
    <w:rsid w:val="00DF08AB"/>
    <w:rsid w:val="00DF0FA0"/>
    <w:rsid w:val="00DF22BE"/>
    <w:rsid w:val="00DF323F"/>
    <w:rsid w:val="00DF4FFF"/>
    <w:rsid w:val="00DF5072"/>
    <w:rsid w:val="00E02D18"/>
    <w:rsid w:val="00E041E7"/>
    <w:rsid w:val="00E13885"/>
    <w:rsid w:val="00E21C42"/>
    <w:rsid w:val="00E23CA1"/>
    <w:rsid w:val="00E33DF1"/>
    <w:rsid w:val="00E33E48"/>
    <w:rsid w:val="00E4038F"/>
    <w:rsid w:val="00E409A8"/>
    <w:rsid w:val="00E47AC4"/>
    <w:rsid w:val="00E50C12"/>
    <w:rsid w:val="00E50D86"/>
    <w:rsid w:val="00E5729E"/>
    <w:rsid w:val="00E572F9"/>
    <w:rsid w:val="00E57DDA"/>
    <w:rsid w:val="00E65B91"/>
    <w:rsid w:val="00E66597"/>
    <w:rsid w:val="00E67444"/>
    <w:rsid w:val="00E7209D"/>
    <w:rsid w:val="00E72EAD"/>
    <w:rsid w:val="00E76EC1"/>
    <w:rsid w:val="00E77223"/>
    <w:rsid w:val="00E8528B"/>
    <w:rsid w:val="00E85B94"/>
    <w:rsid w:val="00E91FF5"/>
    <w:rsid w:val="00E9456B"/>
    <w:rsid w:val="00E978D0"/>
    <w:rsid w:val="00EA0D23"/>
    <w:rsid w:val="00EA180A"/>
    <w:rsid w:val="00EA4613"/>
    <w:rsid w:val="00EA7F91"/>
    <w:rsid w:val="00EB1523"/>
    <w:rsid w:val="00EB357F"/>
    <w:rsid w:val="00EB4038"/>
    <w:rsid w:val="00EB54BA"/>
    <w:rsid w:val="00EC0E49"/>
    <w:rsid w:val="00EC101F"/>
    <w:rsid w:val="00EC1D9F"/>
    <w:rsid w:val="00EC4D37"/>
    <w:rsid w:val="00ED26EA"/>
    <w:rsid w:val="00EE0131"/>
    <w:rsid w:val="00EE17B0"/>
    <w:rsid w:val="00EE3095"/>
    <w:rsid w:val="00EE3BC8"/>
    <w:rsid w:val="00EF06D9"/>
    <w:rsid w:val="00EF0819"/>
    <w:rsid w:val="00EF7B7B"/>
    <w:rsid w:val="00F0250E"/>
    <w:rsid w:val="00F027FE"/>
    <w:rsid w:val="00F05D84"/>
    <w:rsid w:val="00F10012"/>
    <w:rsid w:val="00F10DD8"/>
    <w:rsid w:val="00F14C04"/>
    <w:rsid w:val="00F170F0"/>
    <w:rsid w:val="00F2082F"/>
    <w:rsid w:val="00F2245E"/>
    <w:rsid w:val="00F236B3"/>
    <w:rsid w:val="00F30C64"/>
    <w:rsid w:val="00F3243F"/>
    <w:rsid w:val="00F324AD"/>
    <w:rsid w:val="00F32BA2"/>
    <w:rsid w:val="00F32CDB"/>
    <w:rsid w:val="00F36D37"/>
    <w:rsid w:val="00F378D5"/>
    <w:rsid w:val="00F3796E"/>
    <w:rsid w:val="00F47875"/>
    <w:rsid w:val="00F513CD"/>
    <w:rsid w:val="00F5233F"/>
    <w:rsid w:val="00F5559B"/>
    <w:rsid w:val="00F565FE"/>
    <w:rsid w:val="00F60A38"/>
    <w:rsid w:val="00F60D17"/>
    <w:rsid w:val="00F63A70"/>
    <w:rsid w:val="00F658DC"/>
    <w:rsid w:val="00F71519"/>
    <w:rsid w:val="00F73A9D"/>
    <w:rsid w:val="00F7534E"/>
    <w:rsid w:val="00F946BF"/>
    <w:rsid w:val="00FA1802"/>
    <w:rsid w:val="00FA21D0"/>
    <w:rsid w:val="00FA5F5F"/>
    <w:rsid w:val="00FB1487"/>
    <w:rsid w:val="00FB23F7"/>
    <w:rsid w:val="00FB2BB7"/>
    <w:rsid w:val="00FB6CEC"/>
    <w:rsid w:val="00FB730C"/>
    <w:rsid w:val="00FC2695"/>
    <w:rsid w:val="00FC3E03"/>
    <w:rsid w:val="00FC3FC1"/>
    <w:rsid w:val="00FD7B0A"/>
    <w:rsid w:val="00FE37D4"/>
    <w:rsid w:val="00FE7CD7"/>
    <w:rsid w:val="00FF1638"/>
    <w:rsid w:val="00FF1897"/>
    <w:rsid w:val="0119C9C2"/>
    <w:rsid w:val="020DC4FA"/>
    <w:rsid w:val="020EC66E"/>
    <w:rsid w:val="0231B0D8"/>
    <w:rsid w:val="025CD6C3"/>
    <w:rsid w:val="025FDB2D"/>
    <w:rsid w:val="02A44734"/>
    <w:rsid w:val="03259213"/>
    <w:rsid w:val="032A3390"/>
    <w:rsid w:val="03A9955B"/>
    <w:rsid w:val="03B7DB4F"/>
    <w:rsid w:val="03CAE7AC"/>
    <w:rsid w:val="03FA2D45"/>
    <w:rsid w:val="043106F4"/>
    <w:rsid w:val="04319C0E"/>
    <w:rsid w:val="04D9A97C"/>
    <w:rsid w:val="05014126"/>
    <w:rsid w:val="0579CCBD"/>
    <w:rsid w:val="069D1187"/>
    <w:rsid w:val="077810D5"/>
    <w:rsid w:val="07E6D97F"/>
    <w:rsid w:val="0809A9B2"/>
    <w:rsid w:val="08B00A5B"/>
    <w:rsid w:val="0978F365"/>
    <w:rsid w:val="098017C0"/>
    <w:rsid w:val="0A9E6E9F"/>
    <w:rsid w:val="0AA85463"/>
    <w:rsid w:val="0B5DB63E"/>
    <w:rsid w:val="0C3CADF3"/>
    <w:rsid w:val="0C4497E2"/>
    <w:rsid w:val="0C4B1D40"/>
    <w:rsid w:val="0C51E931"/>
    <w:rsid w:val="0D101C49"/>
    <w:rsid w:val="0D291B2C"/>
    <w:rsid w:val="0D49228E"/>
    <w:rsid w:val="0E6D87D2"/>
    <w:rsid w:val="0EB2BF2F"/>
    <w:rsid w:val="0ED2C30E"/>
    <w:rsid w:val="0F01D63B"/>
    <w:rsid w:val="0F5949D6"/>
    <w:rsid w:val="0FBB4E84"/>
    <w:rsid w:val="0FF33D84"/>
    <w:rsid w:val="10015D46"/>
    <w:rsid w:val="10679AF3"/>
    <w:rsid w:val="11101F16"/>
    <w:rsid w:val="114A230F"/>
    <w:rsid w:val="1235F013"/>
    <w:rsid w:val="126DEC0C"/>
    <w:rsid w:val="1286AD8C"/>
    <w:rsid w:val="132EA03F"/>
    <w:rsid w:val="136C2ED2"/>
    <w:rsid w:val="1433B382"/>
    <w:rsid w:val="14B37C18"/>
    <w:rsid w:val="14E43A7D"/>
    <w:rsid w:val="151764F0"/>
    <w:rsid w:val="15D8D729"/>
    <w:rsid w:val="1617F4ED"/>
    <w:rsid w:val="1692F613"/>
    <w:rsid w:val="169A0CF4"/>
    <w:rsid w:val="170B175B"/>
    <w:rsid w:val="17122017"/>
    <w:rsid w:val="171F7166"/>
    <w:rsid w:val="176C6A68"/>
    <w:rsid w:val="17808D37"/>
    <w:rsid w:val="17C5A1D4"/>
    <w:rsid w:val="17CA9F6A"/>
    <w:rsid w:val="18349220"/>
    <w:rsid w:val="183AA38B"/>
    <w:rsid w:val="18B47C99"/>
    <w:rsid w:val="191077EB"/>
    <w:rsid w:val="197C0AD2"/>
    <w:rsid w:val="198F172F"/>
    <w:rsid w:val="19D493C6"/>
    <w:rsid w:val="1A2FC65E"/>
    <w:rsid w:val="1A499CFB"/>
    <w:rsid w:val="1A504CFA"/>
    <w:rsid w:val="1B178F82"/>
    <w:rsid w:val="1C52D1BD"/>
    <w:rsid w:val="1CF0BAC1"/>
    <w:rsid w:val="1E4F7BF5"/>
    <w:rsid w:val="1EC93CB4"/>
    <w:rsid w:val="1F7FB96F"/>
    <w:rsid w:val="1FEBD936"/>
    <w:rsid w:val="20CD2BFF"/>
    <w:rsid w:val="212DB9B1"/>
    <w:rsid w:val="218EE294"/>
    <w:rsid w:val="21A2169A"/>
    <w:rsid w:val="21AEC02F"/>
    <w:rsid w:val="22385BF8"/>
    <w:rsid w:val="2244105B"/>
    <w:rsid w:val="233DE6FB"/>
    <w:rsid w:val="2362CB9C"/>
    <w:rsid w:val="25EEFAF3"/>
    <w:rsid w:val="26201EBF"/>
    <w:rsid w:val="2658ED7C"/>
    <w:rsid w:val="266D9A37"/>
    <w:rsid w:val="2769E63D"/>
    <w:rsid w:val="2779907D"/>
    <w:rsid w:val="2801483C"/>
    <w:rsid w:val="28788D39"/>
    <w:rsid w:val="28CC7A3C"/>
    <w:rsid w:val="29C0D249"/>
    <w:rsid w:val="2A6F617E"/>
    <w:rsid w:val="2AE4232A"/>
    <w:rsid w:val="2AF256E0"/>
    <w:rsid w:val="2AF280B6"/>
    <w:rsid w:val="2B410B5A"/>
    <w:rsid w:val="2BAFAD42"/>
    <w:rsid w:val="2BBE1C8F"/>
    <w:rsid w:val="2BECABE0"/>
    <w:rsid w:val="2C7142DF"/>
    <w:rsid w:val="2CE4C941"/>
    <w:rsid w:val="2E5F4751"/>
    <w:rsid w:val="2ED63691"/>
    <w:rsid w:val="2F4BF19F"/>
    <w:rsid w:val="2F52B73A"/>
    <w:rsid w:val="2F9DCABF"/>
    <w:rsid w:val="2FA8E3A1"/>
    <w:rsid w:val="2FF7B295"/>
    <w:rsid w:val="3041D388"/>
    <w:rsid w:val="3094593C"/>
    <w:rsid w:val="30F96F07"/>
    <w:rsid w:val="31116E5C"/>
    <w:rsid w:val="3462CC95"/>
    <w:rsid w:val="34668C91"/>
    <w:rsid w:val="34694E5C"/>
    <w:rsid w:val="3538C77C"/>
    <w:rsid w:val="358ABF28"/>
    <w:rsid w:val="36466ACC"/>
    <w:rsid w:val="369993A1"/>
    <w:rsid w:val="36A09C5D"/>
    <w:rsid w:val="3700CF36"/>
    <w:rsid w:val="37C44F89"/>
    <w:rsid w:val="38735858"/>
    <w:rsid w:val="39D660F9"/>
    <w:rsid w:val="3A873FD8"/>
    <w:rsid w:val="3AEBDC23"/>
    <w:rsid w:val="3BBF82EE"/>
    <w:rsid w:val="3BF19506"/>
    <w:rsid w:val="3C75AF50"/>
    <w:rsid w:val="3DEA04F0"/>
    <w:rsid w:val="3E3C9EEB"/>
    <w:rsid w:val="3E8A58E5"/>
    <w:rsid w:val="3EAB5487"/>
    <w:rsid w:val="3ED03889"/>
    <w:rsid w:val="3EE3D2BC"/>
    <w:rsid w:val="3EF2B8BE"/>
    <w:rsid w:val="41736610"/>
    <w:rsid w:val="4274E490"/>
    <w:rsid w:val="42CDE4F8"/>
    <w:rsid w:val="4342DA6B"/>
    <w:rsid w:val="43641AE2"/>
    <w:rsid w:val="43D89630"/>
    <w:rsid w:val="47747C61"/>
    <w:rsid w:val="47B17D03"/>
    <w:rsid w:val="47BF006E"/>
    <w:rsid w:val="483A5032"/>
    <w:rsid w:val="48872CED"/>
    <w:rsid w:val="4965C64D"/>
    <w:rsid w:val="49A6E2EB"/>
    <w:rsid w:val="49E403AA"/>
    <w:rsid w:val="4A18A6D0"/>
    <w:rsid w:val="4ACAF0E3"/>
    <w:rsid w:val="4ADE2ED4"/>
    <w:rsid w:val="4B3E42CD"/>
    <w:rsid w:val="4CF7E878"/>
    <w:rsid w:val="4DD89F0E"/>
    <w:rsid w:val="4E99DDDA"/>
    <w:rsid w:val="4EC64601"/>
    <w:rsid w:val="4F017626"/>
    <w:rsid w:val="4F04406B"/>
    <w:rsid w:val="4F7FBE7F"/>
    <w:rsid w:val="4F8213CA"/>
    <w:rsid w:val="4F91A2BA"/>
    <w:rsid w:val="506C3D50"/>
    <w:rsid w:val="50963D9C"/>
    <w:rsid w:val="50CAC302"/>
    <w:rsid w:val="50FE1BCB"/>
    <w:rsid w:val="519E246A"/>
    <w:rsid w:val="51C60C7F"/>
    <w:rsid w:val="524E97B1"/>
    <w:rsid w:val="529E8056"/>
    <w:rsid w:val="52BA263E"/>
    <w:rsid w:val="53B45168"/>
    <w:rsid w:val="5453D906"/>
    <w:rsid w:val="54A878F4"/>
    <w:rsid w:val="54B5D162"/>
    <w:rsid w:val="55426821"/>
    <w:rsid w:val="55781E0C"/>
    <w:rsid w:val="5615D388"/>
    <w:rsid w:val="5652B8A2"/>
    <w:rsid w:val="569C9B92"/>
    <w:rsid w:val="570D6CA6"/>
    <w:rsid w:val="571F75F0"/>
    <w:rsid w:val="580CC836"/>
    <w:rsid w:val="58BE4DF6"/>
    <w:rsid w:val="5929CCD0"/>
    <w:rsid w:val="592EF82B"/>
    <w:rsid w:val="5BC9096D"/>
    <w:rsid w:val="5BDD3AD2"/>
    <w:rsid w:val="5C72DF70"/>
    <w:rsid w:val="5CB38AD9"/>
    <w:rsid w:val="5CB6F884"/>
    <w:rsid w:val="5EC95D6E"/>
    <w:rsid w:val="60C53CC2"/>
    <w:rsid w:val="60D7997B"/>
    <w:rsid w:val="61F8F732"/>
    <w:rsid w:val="62977B70"/>
    <w:rsid w:val="634EA24C"/>
    <w:rsid w:val="637639DD"/>
    <w:rsid w:val="64894343"/>
    <w:rsid w:val="652525D7"/>
    <w:rsid w:val="6560426A"/>
    <w:rsid w:val="658E41D6"/>
    <w:rsid w:val="65AD75DA"/>
    <w:rsid w:val="65E441DC"/>
    <w:rsid w:val="67446C0C"/>
    <w:rsid w:val="680E9291"/>
    <w:rsid w:val="68C5E298"/>
    <w:rsid w:val="693649F7"/>
    <w:rsid w:val="69EC8F4A"/>
    <w:rsid w:val="6A17CE71"/>
    <w:rsid w:val="6A777B8C"/>
    <w:rsid w:val="6A8DBE5A"/>
    <w:rsid w:val="6BC4D297"/>
    <w:rsid w:val="6C3146B6"/>
    <w:rsid w:val="6CDBBE5B"/>
    <w:rsid w:val="6D9D3C9C"/>
    <w:rsid w:val="6DBD7196"/>
    <w:rsid w:val="6EEE4337"/>
    <w:rsid w:val="6F5941F7"/>
    <w:rsid w:val="6FA28889"/>
    <w:rsid w:val="70601781"/>
    <w:rsid w:val="70F09B8D"/>
    <w:rsid w:val="71237829"/>
    <w:rsid w:val="719D1FC6"/>
    <w:rsid w:val="72906C04"/>
    <w:rsid w:val="72D23BC5"/>
    <w:rsid w:val="73266158"/>
    <w:rsid w:val="741B7843"/>
    <w:rsid w:val="751FFF58"/>
    <w:rsid w:val="7591402D"/>
    <w:rsid w:val="76EC64A3"/>
    <w:rsid w:val="783454E4"/>
    <w:rsid w:val="7871B033"/>
    <w:rsid w:val="78761ED9"/>
    <w:rsid w:val="79564B6B"/>
    <w:rsid w:val="79A56621"/>
    <w:rsid w:val="7AFCCE75"/>
    <w:rsid w:val="7B30F7CA"/>
    <w:rsid w:val="7C985325"/>
    <w:rsid w:val="7CDC66D5"/>
    <w:rsid w:val="7DB697F7"/>
    <w:rsid w:val="7E51D80D"/>
    <w:rsid w:val="7F4D137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character" w:styleId="Zstupntext">
    <w:name w:val="Placeholder Text"/>
    <w:basedOn w:val="Standardnpsmoodstavce"/>
    <w:uiPriority w:val="99"/>
    <w:semiHidden/>
    <w:rsid w:val="00330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779294b024d34a1d"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FD10F9122599E40845D1D1C3AE7D962" ma:contentTypeVersion="11" ma:contentTypeDescription="Vytvoří nový dokument" ma:contentTypeScope="" ma:versionID="bd23c8d68ad4b0d5c74b1e28eb8f0660">
  <xsd:schema xmlns:xsd="http://www.w3.org/2001/XMLSchema" xmlns:xs="http://www.w3.org/2001/XMLSchema" xmlns:p="http://schemas.microsoft.com/office/2006/metadata/properties" xmlns:ns2="27d065f4-554c-400c-bd82-ce47aea91a28" xmlns:ns3="e617c4fa-0403-465e-8857-1fd9186098f5" targetNamespace="http://schemas.microsoft.com/office/2006/metadata/properties" ma:root="true" ma:fieldsID="d9dab3c1d5fa0f1f39229143c58f5278" ns2:_="" ns3:_="">
    <xsd:import namespace="27d065f4-554c-400c-bd82-ce47aea91a28"/>
    <xsd:import namespace="e617c4fa-0403-465e-8857-1fd9186098f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065f4-554c-400c-bd82-ce47aea91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ddc0c66c-3bbb-45c0-81fe-e66ee927fa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17c4fa-0403-465e-8857-1fd9186098f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6072767-0d4a-4734-ad48-61f47e350d8b}" ma:internalName="TaxCatchAll" ma:showField="CatchAllData" ma:web="e617c4fa-0403-465e-8857-1fd918609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d065f4-554c-400c-bd82-ce47aea91a28">
      <Terms xmlns="http://schemas.microsoft.com/office/infopath/2007/PartnerControls"/>
    </lcf76f155ced4ddcb4097134ff3c332f>
    <TaxCatchAll xmlns="e617c4fa-0403-465e-8857-1fd9186098f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D7EBB-D69B-4B39-ADD7-FFAC85386A1C}">
  <ds:schemaRefs>
    <ds:schemaRef ds:uri="http://schemas.microsoft.com/sharepoint/v3/contenttype/forms"/>
  </ds:schemaRefs>
</ds:datastoreItem>
</file>

<file path=customXml/itemProps2.xml><?xml version="1.0" encoding="utf-8"?>
<ds:datastoreItem xmlns:ds="http://schemas.openxmlformats.org/officeDocument/2006/customXml" ds:itemID="{AEFD3CB0-CCD8-448B-A779-0D8604B3D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065f4-554c-400c-bd82-ce47aea91a28"/>
    <ds:schemaRef ds:uri="e617c4fa-0403-465e-8857-1fd91860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A9D8A-B4CD-4A39-9500-AB52F4458EEB}">
  <ds:schemaRefs>
    <ds:schemaRef ds:uri="http://schemas.microsoft.com/office/2006/metadata/properties"/>
    <ds:schemaRef ds:uri="http://schemas.microsoft.com/office/infopath/2007/PartnerControls"/>
    <ds:schemaRef ds:uri="27d065f4-554c-400c-bd82-ce47aea91a28"/>
    <ds:schemaRef ds:uri="e617c4fa-0403-465e-8857-1fd9186098f5"/>
  </ds:schemaRefs>
</ds:datastoreItem>
</file>

<file path=customXml/itemProps4.xml><?xml version="1.0" encoding="utf-8"?>
<ds:datastoreItem xmlns:ds="http://schemas.openxmlformats.org/officeDocument/2006/customXml" ds:itemID="{CE86D969-882B-4955-8522-38E16507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3982</Words>
  <Characters>22701</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Dipartimento CMIC - Politecnico di Milano</Company>
  <LinksUpToDate>false</LinksUpToDate>
  <CharactersWithSpaces>26630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Rebej Miroslav (160715)</cp:lastModifiedBy>
  <cp:revision>3</cp:revision>
  <cp:lastPrinted>2015-05-12T18:31:00Z</cp:lastPrinted>
  <dcterms:created xsi:type="dcterms:W3CDTF">2022-03-22T08:35:00Z</dcterms:created>
  <dcterms:modified xsi:type="dcterms:W3CDTF">2022-05-05T08:23:00Z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zotero-version="6.0"&gt;&lt;session id="QxhH1ZDt"/&gt;&lt;style id="http://www.zotero.org/styles/elsevier-harvard" hasBibliography="1" bibliographyStyleHasBeenSet="1"/&gt;&lt;prefs&gt;&lt;pref name="fieldType" value="Field"/&gt;&lt;pref name="storeReferences" va</vt:lpwstr>
  </property>
  <property fmtid="{D5CDD505-2E9C-101B-9397-08002B2CF9AE}" pid="3" name="ZOTERO_PREF_2">
    <vt:lpwstr>lue="true"/&gt;&lt;/prefs&gt;&lt;/data&gt;</vt:lpwstr>
  </property>
  <property fmtid="{D5CDD505-2E9C-101B-9397-08002B2CF9AE}" pid="4" name="ContentTypeId">
    <vt:lpwstr>0x010100CFD10F9122599E40845D1D1C3AE7D962</vt:lpwstr>
  </property>
  <property fmtid="{D5CDD505-2E9C-101B-9397-08002B2CF9AE}" pid="5" name="MediaServiceImageTags">
    <vt:lpwstr/>
  </property>
</Properties>
</file>