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C29D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AC29DA" w:rsidRDefault="000A03B2" w:rsidP="00DE264A">
            <w:pPr>
              <w:tabs>
                <w:tab w:val="left" w:pos="-108"/>
              </w:tabs>
              <w:ind w:left="-108"/>
              <w:jc w:val="left"/>
              <w:rPr>
                <w:rFonts w:cs="Arial"/>
                <w:b/>
                <w:bCs/>
                <w:i/>
                <w:iCs/>
                <w:color w:val="000066"/>
                <w:sz w:val="12"/>
                <w:szCs w:val="12"/>
                <w:lang w:eastAsia="it-IT"/>
              </w:rPr>
            </w:pPr>
            <w:r w:rsidRPr="00AC29DA">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C29DA">
              <w:rPr>
                <w:rFonts w:ascii="AdvP6960" w:hAnsi="AdvP6960" w:cs="AdvP6960"/>
                <w:color w:val="241F20"/>
                <w:szCs w:val="18"/>
                <w:lang w:eastAsia="it-IT"/>
              </w:rPr>
              <w:t xml:space="preserve"> </w:t>
            </w:r>
            <w:r w:rsidRPr="00AC29DA">
              <w:rPr>
                <w:rFonts w:cs="Arial"/>
                <w:b/>
                <w:bCs/>
                <w:i/>
                <w:iCs/>
                <w:color w:val="000066"/>
                <w:sz w:val="24"/>
                <w:szCs w:val="24"/>
                <w:lang w:eastAsia="it-IT"/>
              </w:rPr>
              <w:t>CHEMICAL ENGINEERING</w:t>
            </w:r>
            <w:r w:rsidRPr="00AC29DA">
              <w:rPr>
                <w:rFonts w:cs="Arial"/>
                <w:b/>
                <w:bCs/>
                <w:i/>
                <w:iCs/>
                <w:color w:val="0033FF"/>
                <w:sz w:val="24"/>
                <w:szCs w:val="24"/>
                <w:lang w:eastAsia="it-IT"/>
              </w:rPr>
              <w:t xml:space="preserve"> </w:t>
            </w:r>
            <w:r w:rsidRPr="00AC29DA">
              <w:rPr>
                <w:rFonts w:cs="Arial"/>
                <w:b/>
                <w:bCs/>
                <w:i/>
                <w:iCs/>
                <w:color w:val="666666"/>
                <w:sz w:val="24"/>
                <w:szCs w:val="24"/>
                <w:lang w:eastAsia="it-IT"/>
              </w:rPr>
              <w:t>TRANSACTIONS</w:t>
            </w:r>
            <w:r w:rsidRPr="00AC29DA">
              <w:rPr>
                <w:color w:val="333333"/>
                <w:sz w:val="24"/>
                <w:szCs w:val="24"/>
                <w:lang w:eastAsia="it-IT"/>
              </w:rPr>
              <w:t xml:space="preserve"> </w:t>
            </w:r>
            <w:r w:rsidRPr="00AC29DA">
              <w:rPr>
                <w:rFonts w:cs="Arial"/>
                <w:b/>
                <w:bCs/>
                <w:i/>
                <w:iCs/>
                <w:color w:val="000066"/>
                <w:sz w:val="27"/>
                <w:szCs w:val="27"/>
                <w:lang w:eastAsia="it-IT"/>
              </w:rPr>
              <w:br/>
            </w:r>
          </w:p>
          <w:p w14:paraId="4B780582" w14:textId="254CE268" w:rsidR="000A03B2" w:rsidRPr="00AC29DA" w:rsidRDefault="00A76EFC" w:rsidP="00604911">
            <w:pPr>
              <w:tabs>
                <w:tab w:val="left" w:pos="-108"/>
              </w:tabs>
              <w:ind w:left="-108"/>
              <w:rPr>
                <w:rFonts w:cs="Arial"/>
                <w:b/>
                <w:bCs/>
                <w:i/>
                <w:iCs/>
                <w:color w:val="000066"/>
                <w:sz w:val="22"/>
                <w:szCs w:val="22"/>
                <w:lang w:eastAsia="it-IT"/>
              </w:rPr>
            </w:pPr>
            <w:r w:rsidRPr="00AC29DA">
              <w:rPr>
                <w:rFonts w:cs="Arial"/>
                <w:b/>
                <w:bCs/>
                <w:i/>
                <w:iCs/>
                <w:color w:val="000066"/>
                <w:sz w:val="22"/>
                <w:szCs w:val="22"/>
                <w:lang w:eastAsia="it-IT"/>
              </w:rPr>
              <w:t xml:space="preserve">VOL. </w:t>
            </w:r>
            <w:r w:rsidR="00D46B7E" w:rsidRPr="00AC29DA">
              <w:rPr>
                <w:rFonts w:cs="Arial"/>
                <w:b/>
                <w:bCs/>
                <w:i/>
                <w:iCs/>
                <w:color w:val="000066"/>
                <w:sz w:val="22"/>
                <w:szCs w:val="22"/>
                <w:lang w:eastAsia="it-IT"/>
              </w:rPr>
              <w:t>9</w:t>
            </w:r>
            <w:r w:rsidR="00604911" w:rsidRPr="00AC29DA">
              <w:rPr>
                <w:rFonts w:cs="Arial"/>
                <w:b/>
                <w:bCs/>
                <w:i/>
                <w:iCs/>
                <w:color w:val="000066"/>
                <w:sz w:val="22"/>
                <w:szCs w:val="22"/>
                <w:lang w:eastAsia="it-IT"/>
              </w:rPr>
              <w:t>3</w:t>
            </w:r>
            <w:r w:rsidR="007B48F9" w:rsidRPr="00AC29DA">
              <w:rPr>
                <w:rFonts w:cs="Arial"/>
                <w:b/>
                <w:bCs/>
                <w:i/>
                <w:iCs/>
                <w:color w:val="000066"/>
                <w:sz w:val="22"/>
                <w:szCs w:val="22"/>
                <w:lang w:eastAsia="it-IT"/>
              </w:rPr>
              <w:t>,</w:t>
            </w:r>
            <w:r w:rsidR="00FA5F5F" w:rsidRPr="00AC29DA">
              <w:rPr>
                <w:rFonts w:cs="Arial"/>
                <w:b/>
                <w:bCs/>
                <w:i/>
                <w:iCs/>
                <w:color w:val="000066"/>
                <w:sz w:val="22"/>
                <w:szCs w:val="22"/>
                <w:lang w:eastAsia="it-IT"/>
              </w:rPr>
              <w:t xml:space="preserve"> 20</w:t>
            </w:r>
            <w:r w:rsidR="00DF5072" w:rsidRPr="00AC29DA">
              <w:rPr>
                <w:rFonts w:cs="Arial"/>
                <w:b/>
                <w:bCs/>
                <w:i/>
                <w:iCs/>
                <w:color w:val="000066"/>
                <w:sz w:val="22"/>
                <w:szCs w:val="22"/>
                <w:lang w:eastAsia="it-IT"/>
              </w:rPr>
              <w:t>2</w:t>
            </w:r>
            <w:r w:rsidR="007B48F9" w:rsidRPr="00AC29DA">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AC29DA" w:rsidRDefault="000A03B2" w:rsidP="00CD5FE2">
            <w:pPr>
              <w:spacing w:line="140" w:lineRule="atLeast"/>
              <w:jc w:val="right"/>
              <w:rPr>
                <w:rFonts w:cs="Arial"/>
                <w:sz w:val="14"/>
                <w:szCs w:val="14"/>
              </w:rPr>
            </w:pPr>
            <w:r w:rsidRPr="00AC29DA">
              <w:rPr>
                <w:rFonts w:cs="Arial"/>
                <w:sz w:val="14"/>
                <w:szCs w:val="14"/>
              </w:rPr>
              <w:t>A publication of</w:t>
            </w:r>
          </w:p>
          <w:p w14:paraId="599E5441" w14:textId="77777777" w:rsidR="000A03B2" w:rsidRPr="00AC29DA" w:rsidRDefault="000A03B2" w:rsidP="00CD5FE2">
            <w:pPr>
              <w:jc w:val="right"/>
            </w:pPr>
            <w:r w:rsidRPr="00AC29DA">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C29DA" w14:paraId="380FA3CD" w14:textId="77777777" w:rsidTr="00DE264A">
        <w:trPr>
          <w:trHeight w:val="567"/>
          <w:jc w:val="center"/>
        </w:trPr>
        <w:tc>
          <w:tcPr>
            <w:tcW w:w="6946" w:type="dxa"/>
            <w:vMerge/>
            <w:tcBorders>
              <w:right w:val="single" w:sz="4" w:space="0" w:color="auto"/>
            </w:tcBorders>
          </w:tcPr>
          <w:p w14:paraId="39E5E4C1" w14:textId="77777777" w:rsidR="000A03B2" w:rsidRPr="00AC29DA"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AC29DA" w:rsidRDefault="000A03B2" w:rsidP="00CD5FE2">
            <w:pPr>
              <w:spacing w:line="140" w:lineRule="atLeast"/>
              <w:jc w:val="right"/>
              <w:rPr>
                <w:rFonts w:cs="Arial"/>
                <w:sz w:val="14"/>
                <w:szCs w:val="14"/>
              </w:rPr>
            </w:pPr>
            <w:r w:rsidRPr="00AC29DA">
              <w:rPr>
                <w:rFonts w:cs="Arial"/>
                <w:sz w:val="14"/>
                <w:szCs w:val="14"/>
              </w:rPr>
              <w:t>The Italian Association</w:t>
            </w:r>
          </w:p>
          <w:p w14:paraId="7522B1D2" w14:textId="77777777" w:rsidR="000A03B2" w:rsidRPr="00AC29DA" w:rsidRDefault="000A03B2" w:rsidP="00CD5FE2">
            <w:pPr>
              <w:spacing w:line="140" w:lineRule="atLeast"/>
              <w:jc w:val="right"/>
              <w:rPr>
                <w:rFonts w:cs="Arial"/>
                <w:sz w:val="14"/>
                <w:szCs w:val="14"/>
              </w:rPr>
            </w:pPr>
            <w:r w:rsidRPr="00AC29DA">
              <w:rPr>
                <w:rFonts w:cs="Arial"/>
                <w:sz w:val="14"/>
                <w:szCs w:val="14"/>
              </w:rPr>
              <w:t>of Chemical Engineering</w:t>
            </w:r>
          </w:p>
          <w:p w14:paraId="4F0CC5DE" w14:textId="47FDB2FC" w:rsidR="000A03B2" w:rsidRPr="00AC29DA" w:rsidRDefault="000D0268" w:rsidP="00CD5FE2">
            <w:pPr>
              <w:spacing w:line="140" w:lineRule="atLeast"/>
              <w:jc w:val="right"/>
              <w:rPr>
                <w:rFonts w:cs="Arial"/>
                <w:sz w:val="13"/>
                <w:szCs w:val="13"/>
              </w:rPr>
            </w:pPr>
            <w:r w:rsidRPr="00AC29DA">
              <w:rPr>
                <w:rFonts w:cs="Arial"/>
                <w:sz w:val="13"/>
                <w:szCs w:val="13"/>
              </w:rPr>
              <w:t>Online at www.cetjournal.it</w:t>
            </w:r>
          </w:p>
        </w:tc>
      </w:tr>
      <w:tr w:rsidR="000A03B2" w:rsidRPr="00AC29DA" w14:paraId="2D1B7169" w14:textId="77777777" w:rsidTr="00DE264A">
        <w:trPr>
          <w:trHeight w:val="68"/>
          <w:jc w:val="center"/>
        </w:trPr>
        <w:tc>
          <w:tcPr>
            <w:tcW w:w="8789" w:type="dxa"/>
            <w:gridSpan w:val="2"/>
          </w:tcPr>
          <w:p w14:paraId="4B0BB442" w14:textId="73B2847B" w:rsidR="00300E56" w:rsidRPr="00AC29DA" w:rsidRDefault="00300E56" w:rsidP="00B57E6F">
            <w:pPr>
              <w:ind w:left="-107"/>
              <w:outlineLvl w:val="2"/>
              <w:rPr>
                <w:rFonts w:ascii="Tahoma" w:hAnsi="Tahoma" w:cs="Tahoma"/>
                <w:bCs/>
                <w:color w:val="000000"/>
                <w:sz w:val="14"/>
                <w:szCs w:val="14"/>
                <w:lang w:val="it-IT" w:eastAsia="it-IT"/>
              </w:rPr>
            </w:pPr>
            <w:r w:rsidRPr="00AC29DA">
              <w:rPr>
                <w:rFonts w:ascii="Tahoma" w:hAnsi="Tahoma" w:cs="Tahoma"/>
                <w:iCs/>
                <w:color w:val="333333"/>
                <w:sz w:val="14"/>
                <w:szCs w:val="14"/>
                <w:lang w:val="it-IT" w:eastAsia="it-IT"/>
              </w:rPr>
              <w:t>Guest Editors:</w:t>
            </w:r>
            <w:r w:rsidR="001D21AF" w:rsidRPr="00AC29DA">
              <w:rPr>
                <w:rFonts w:ascii="Tahoma" w:hAnsi="Tahoma" w:cs="Tahoma"/>
                <w:color w:val="000000"/>
                <w:sz w:val="14"/>
                <w:szCs w:val="14"/>
                <w:shd w:val="clear" w:color="auto" w:fill="FFFFFF"/>
                <w:lang w:val="it-IT"/>
              </w:rPr>
              <w:t xml:space="preserve"> </w:t>
            </w:r>
            <w:r w:rsidR="00AF6775" w:rsidRPr="00AC29DA">
              <w:rPr>
                <w:rFonts w:ascii="Tahoma" w:hAnsi="Tahoma" w:cs="Tahoma"/>
                <w:color w:val="000000"/>
                <w:sz w:val="14"/>
                <w:szCs w:val="14"/>
                <w:shd w:val="clear" w:color="auto" w:fill="FFFFFF"/>
                <w:lang w:val="it-IT"/>
              </w:rPr>
              <w:t>Marco Bravi,</w:t>
            </w:r>
            <w:r w:rsidR="00945AB6" w:rsidRPr="00AC29DA">
              <w:rPr>
                <w:rFonts w:ascii="Tahoma" w:hAnsi="Tahoma" w:cs="Tahoma"/>
                <w:color w:val="000000"/>
                <w:sz w:val="14"/>
                <w:szCs w:val="14"/>
                <w:shd w:val="clear" w:color="auto" w:fill="FFFFFF"/>
                <w:lang w:val="it-IT"/>
              </w:rPr>
              <w:t xml:space="preserve"> Alberto Brucato, Antonio </w:t>
            </w:r>
            <w:proofErr w:type="spellStart"/>
            <w:r w:rsidR="00945AB6" w:rsidRPr="00AC29DA">
              <w:rPr>
                <w:rFonts w:ascii="Tahoma" w:hAnsi="Tahoma" w:cs="Tahoma"/>
                <w:color w:val="000000"/>
                <w:sz w:val="14"/>
                <w:szCs w:val="14"/>
                <w:shd w:val="clear" w:color="auto" w:fill="FFFFFF"/>
                <w:lang w:val="it-IT"/>
              </w:rPr>
              <w:t>Marzocchella</w:t>
            </w:r>
            <w:proofErr w:type="spellEnd"/>
          </w:p>
          <w:p w14:paraId="1B0F1814" w14:textId="5B50B5BE" w:rsidR="000A03B2" w:rsidRPr="00AC29DA" w:rsidRDefault="00FA5F5F" w:rsidP="00604911">
            <w:pPr>
              <w:tabs>
                <w:tab w:val="left" w:pos="-108"/>
              </w:tabs>
              <w:spacing w:line="140" w:lineRule="atLeast"/>
              <w:ind w:left="-107"/>
              <w:jc w:val="left"/>
            </w:pPr>
            <w:r w:rsidRPr="00AC29DA">
              <w:rPr>
                <w:rFonts w:ascii="Tahoma" w:hAnsi="Tahoma" w:cs="Tahoma"/>
                <w:iCs/>
                <w:color w:val="333333"/>
                <w:sz w:val="14"/>
                <w:szCs w:val="14"/>
                <w:lang w:eastAsia="it-IT"/>
              </w:rPr>
              <w:t>Copyright © 20</w:t>
            </w:r>
            <w:r w:rsidR="00DF5072" w:rsidRPr="00AC29DA">
              <w:rPr>
                <w:rFonts w:ascii="Tahoma" w:hAnsi="Tahoma" w:cs="Tahoma"/>
                <w:iCs/>
                <w:color w:val="333333"/>
                <w:sz w:val="14"/>
                <w:szCs w:val="14"/>
                <w:lang w:eastAsia="it-IT"/>
              </w:rPr>
              <w:t>2</w:t>
            </w:r>
            <w:r w:rsidR="00E72EAD" w:rsidRPr="00AC29DA">
              <w:rPr>
                <w:rFonts w:ascii="Tahoma" w:hAnsi="Tahoma" w:cs="Tahoma"/>
                <w:iCs/>
                <w:color w:val="333333"/>
                <w:sz w:val="14"/>
                <w:szCs w:val="14"/>
                <w:lang w:eastAsia="it-IT"/>
              </w:rPr>
              <w:t>2</w:t>
            </w:r>
            <w:r w:rsidR="00904C62" w:rsidRPr="00AC29DA">
              <w:rPr>
                <w:rFonts w:ascii="Tahoma" w:hAnsi="Tahoma" w:cs="Tahoma"/>
                <w:iCs/>
                <w:color w:val="333333"/>
                <w:sz w:val="14"/>
                <w:szCs w:val="14"/>
                <w:lang w:eastAsia="it-IT"/>
              </w:rPr>
              <w:t xml:space="preserve">, AIDIC </w:t>
            </w:r>
            <w:proofErr w:type="spellStart"/>
            <w:r w:rsidR="00904C62" w:rsidRPr="00AC29DA">
              <w:rPr>
                <w:rFonts w:ascii="Tahoma" w:hAnsi="Tahoma" w:cs="Tahoma"/>
                <w:iCs/>
                <w:color w:val="333333"/>
                <w:sz w:val="14"/>
                <w:szCs w:val="14"/>
                <w:lang w:eastAsia="it-IT"/>
              </w:rPr>
              <w:t>Servizi</w:t>
            </w:r>
            <w:proofErr w:type="spellEnd"/>
            <w:r w:rsidR="00904C62" w:rsidRPr="00AC29DA">
              <w:rPr>
                <w:rFonts w:ascii="Tahoma" w:hAnsi="Tahoma" w:cs="Tahoma"/>
                <w:iCs/>
                <w:color w:val="333333"/>
                <w:sz w:val="14"/>
                <w:szCs w:val="14"/>
                <w:lang w:eastAsia="it-IT"/>
              </w:rPr>
              <w:t xml:space="preserve"> </w:t>
            </w:r>
            <w:proofErr w:type="spellStart"/>
            <w:r w:rsidR="00904C62" w:rsidRPr="00AC29DA">
              <w:rPr>
                <w:rFonts w:ascii="Tahoma" w:hAnsi="Tahoma" w:cs="Tahoma"/>
                <w:iCs/>
                <w:color w:val="333333"/>
                <w:sz w:val="14"/>
                <w:szCs w:val="14"/>
                <w:lang w:eastAsia="it-IT"/>
              </w:rPr>
              <w:t>S.r.l</w:t>
            </w:r>
            <w:proofErr w:type="spellEnd"/>
            <w:r w:rsidR="00904C62" w:rsidRPr="00AC29DA">
              <w:rPr>
                <w:rFonts w:ascii="Tahoma" w:hAnsi="Tahoma" w:cs="Tahoma"/>
                <w:iCs/>
                <w:color w:val="333333"/>
                <w:sz w:val="14"/>
                <w:szCs w:val="14"/>
                <w:lang w:eastAsia="it-IT"/>
              </w:rPr>
              <w:t>.</w:t>
            </w:r>
            <w:r w:rsidR="00300E56" w:rsidRPr="00AC29DA">
              <w:rPr>
                <w:rFonts w:ascii="Tahoma" w:hAnsi="Tahoma" w:cs="Tahoma"/>
                <w:iCs/>
                <w:color w:val="333333"/>
                <w:sz w:val="14"/>
                <w:szCs w:val="14"/>
                <w:lang w:eastAsia="it-IT"/>
              </w:rPr>
              <w:br/>
            </w:r>
            <w:r w:rsidR="00300E56" w:rsidRPr="00AC29DA">
              <w:rPr>
                <w:rFonts w:ascii="Tahoma" w:hAnsi="Tahoma" w:cs="Tahoma"/>
                <w:b/>
                <w:iCs/>
                <w:color w:val="000000"/>
                <w:sz w:val="14"/>
                <w:szCs w:val="14"/>
                <w:lang w:eastAsia="it-IT"/>
              </w:rPr>
              <w:t>ISBN</w:t>
            </w:r>
            <w:r w:rsidR="00300E56" w:rsidRPr="00AC29DA">
              <w:rPr>
                <w:rFonts w:ascii="Tahoma" w:hAnsi="Tahoma" w:cs="Tahoma"/>
                <w:iCs/>
                <w:color w:val="000000"/>
                <w:sz w:val="14"/>
                <w:szCs w:val="14"/>
                <w:lang w:eastAsia="it-IT"/>
              </w:rPr>
              <w:t xml:space="preserve"> </w:t>
            </w:r>
            <w:r w:rsidR="008D32B9" w:rsidRPr="00AC29DA">
              <w:rPr>
                <w:rFonts w:ascii="Tahoma" w:hAnsi="Tahoma" w:cs="Tahoma"/>
                <w:sz w:val="14"/>
                <w:szCs w:val="14"/>
              </w:rPr>
              <w:t>978-88-95608</w:t>
            </w:r>
            <w:r w:rsidR="00D46B7E" w:rsidRPr="00AC29DA">
              <w:rPr>
                <w:rFonts w:ascii="Tahoma" w:hAnsi="Tahoma" w:cs="Tahoma"/>
                <w:sz w:val="14"/>
                <w:szCs w:val="14"/>
              </w:rPr>
              <w:t>-</w:t>
            </w:r>
            <w:r w:rsidR="001D21AF" w:rsidRPr="00AC29DA">
              <w:rPr>
                <w:rFonts w:ascii="Tahoma" w:hAnsi="Tahoma" w:cs="Tahoma"/>
                <w:sz w:val="14"/>
                <w:szCs w:val="14"/>
              </w:rPr>
              <w:t>9</w:t>
            </w:r>
            <w:r w:rsidR="00604911" w:rsidRPr="00AC29DA">
              <w:rPr>
                <w:rFonts w:ascii="Tahoma" w:hAnsi="Tahoma" w:cs="Tahoma"/>
                <w:sz w:val="14"/>
                <w:szCs w:val="14"/>
              </w:rPr>
              <w:t>1</w:t>
            </w:r>
            <w:r w:rsidR="00D46B7E" w:rsidRPr="00AC29DA">
              <w:rPr>
                <w:rFonts w:ascii="Tahoma" w:hAnsi="Tahoma" w:cs="Tahoma"/>
                <w:sz w:val="14"/>
                <w:szCs w:val="14"/>
              </w:rPr>
              <w:t>-</w:t>
            </w:r>
            <w:r w:rsidR="00604911" w:rsidRPr="00AC29DA">
              <w:rPr>
                <w:rFonts w:ascii="Tahoma" w:hAnsi="Tahoma" w:cs="Tahoma"/>
                <w:sz w:val="14"/>
                <w:szCs w:val="14"/>
              </w:rPr>
              <w:t>4</w:t>
            </w:r>
            <w:r w:rsidR="007B48F9" w:rsidRPr="00AC29DA">
              <w:rPr>
                <w:rFonts w:ascii="Tahoma" w:hAnsi="Tahoma" w:cs="Tahoma"/>
                <w:iCs/>
                <w:color w:val="333333"/>
                <w:sz w:val="14"/>
                <w:szCs w:val="14"/>
                <w:lang w:eastAsia="it-IT"/>
              </w:rPr>
              <w:t>;</w:t>
            </w:r>
            <w:r w:rsidR="00300E56" w:rsidRPr="00AC29DA">
              <w:rPr>
                <w:rFonts w:ascii="Tahoma" w:hAnsi="Tahoma" w:cs="Tahoma"/>
                <w:iCs/>
                <w:color w:val="333333"/>
                <w:sz w:val="14"/>
                <w:szCs w:val="14"/>
                <w:lang w:eastAsia="it-IT"/>
              </w:rPr>
              <w:t xml:space="preserve"> </w:t>
            </w:r>
            <w:r w:rsidR="00300E56" w:rsidRPr="00AC29DA">
              <w:rPr>
                <w:rFonts w:ascii="Tahoma" w:hAnsi="Tahoma" w:cs="Tahoma"/>
                <w:b/>
                <w:iCs/>
                <w:color w:val="333333"/>
                <w:sz w:val="14"/>
                <w:szCs w:val="14"/>
                <w:lang w:eastAsia="it-IT"/>
              </w:rPr>
              <w:t>ISSN</w:t>
            </w:r>
            <w:r w:rsidR="00300E56" w:rsidRPr="00AC29DA">
              <w:rPr>
                <w:rFonts w:ascii="Tahoma" w:hAnsi="Tahoma" w:cs="Tahoma"/>
                <w:iCs/>
                <w:color w:val="333333"/>
                <w:sz w:val="14"/>
                <w:szCs w:val="14"/>
                <w:lang w:eastAsia="it-IT"/>
              </w:rPr>
              <w:t xml:space="preserve"> 2283-9216</w:t>
            </w:r>
          </w:p>
        </w:tc>
      </w:tr>
    </w:tbl>
    <w:p w14:paraId="10DAA130" w14:textId="77777777" w:rsidR="000A03B2" w:rsidRPr="00AC29DA" w:rsidRDefault="000A03B2" w:rsidP="000A03B2">
      <w:pPr>
        <w:pStyle w:val="CETAuthors"/>
        <w:rPr>
          <w:noProof w:val="0"/>
        </w:rPr>
        <w:sectPr w:rsidR="000A03B2" w:rsidRPr="00AC29DA" w:rsidSect="00CD5FE2">
          <w:type w:val="continuous"/>
          <w:pgSz w:w="11906" w:h="16838" w:code="9"/>
          <w:pgMar w:top="1701" w:right="1418" w:bottom="1701" w:left="1701" w:header="1701" w:footer="0" w:gutter="0"/>
          <w:cols w:space="708"/>
          <w:titlePg/>
          <w:docGrid w:linePitch="360"/>
        </w:sectPr>
      </w:pPr>
    </w:p>
    <w:p w14:paraId="2E667253" w14:textId="3A9B283B" w:rsidR="00E978D0" w:rsidRPr="00AC29DA" w:rsidRDefault="00656D01" w:rsidP="00E978D0">
      <w:pPr>
        <w:pStyle w:val="CETTitle"/>
      </w:pPr>
      <w:r w:rsidRPr="00AC29DA">
        <w:t>Enhancing Poly(3-hydroxybutyrate) production through the optimization of reactor geometry</w:t>
      </w:r>
    </w:p>
    <w:p w14:paraId="0488FED2" w14:textId="76B95213" w:rsidR="00B57E6F" w:rsidRPr="00AC29DA" w:rsidRDefault="00656D01" w:rsidP="00B57E6F">
      <w:pPr>
        <w:pStyle w:val="CETAuthors"/>
        <w:rPr>
          <w:noProof w:val="0"/>
          <w:lang w:val="it-IT"/>
        </w:rPr>
      </w:pPr>
      <w:r w:rsidRPr="00AC29DA">
        <w:rPr>
          <w:noProof w:val="0"/>
          <w:lang w:val="it-IT"/>
        </w:rPr>
        <w:t xml:space="preserve">Claudia </w:t>
      </w:r>
      <w:proofErr w:type="spellStart"/>
      <w:r w:rsidRPr="00AC29DA">
        <w:rPr>
          <w:noProof w:val="0"/>
          <w:lang w:val="it-IT"/>
        </w:rPr>
        <w:t>Amabile</w:t>
      </w:r>
      <w:r w:rsidRPr="00AC29DA">
        <w:rPr>
          <w:noProof w:val="0"/>
          <w:vertAlign w:val="superscript"/>
          <w:lang w:val="it-IT"/>
        </w:rPr>
        <w:t>a</w:t>
      </w:r>
      <w:proofErr w:type="spellEnd"/>
      <w:r w:rsidR="00B57E6F" w:rsidRPr="00AC29DA">
        <w:rPr>
          <w:noProof w:val="0"/>
          <w:lang w:val="it-IT"/>
        </w:rPr>
        <w:t xml:space="preserve">, </w:t>
      </w:r>
      <w:r w:rsidRPr="00AC29DA">
        <w:rPr>
          <w:noProof w:val="0"/>
          <w:lang w:val="it-IT"/>
        </w:rPr>
        <w:t xml:space="preserve">Teresa </w:t>
      </w:r>
      <w:proofErr w:type="spellStart"/>
      <w:r w:rsidRPr="00AC29DA">
        <w:rPr>
          <w:noProof w:val="0"/>
          <w:lang w:val="it-IT"/>
        </w:rPr>
        <w:t>Abate</w:t>
      </w:r>
      <w:r w:rsidRPr="00AC29DA">
        <w:rPr>
          <w:noProof w:val="0"/>
          <w:vertAlign w:val="superscript"/>
          <w:lang w:val="it-IT"/>
        </w:rPr>
        <w:t>a</w:t>
      </w:r>
      <w:proofErr w:type="spellEnd"/>
      <w:r w:rsidRPr="00AC29DA">
        <w:rPr>
          <w:noProof w:val="0"/>
          <w:lang w:val="it-IT"/>
        </w:rPr>
        <w:t xml:space="preserve">, Carmen De </w:t>
      </w:r>
      <w:proofErr w:type="spellStart"/>
      <w:proofErr w:type="gramStart"/>
      <w:r w:rsidRPr="00AC29DA">
        <w:rPr>
          <w:noProof w:val="0"/>
          <w:lang w:val="it-IT"/>
        </w:rPr>
        <w:t>Crescenzo</w:t>
      </w:r>
      <w:r w:rsidRPr="00AC29DA">
        <w:rPr>
          <w:noProof w:val="0"/>
          <w:vertAlign w:val="superscript"/>
          <w:lang w:val="it-IT"/>
        </w:rPr>
        <w:t>a</w:t>
      </w:r>
      <w:proofErr w:type="spellEnd"/>
      <w:r w:rsidRPr="00AC29DA">
        <w:rPr>
          <w:noProof w:val="0"/>
          <w:vertAlign w:val="superscript"/>
          <w:lang w:val="it-IT"/>
        </w:rPr>
        <w:t>,*</w:t>
      </w:r>
      <w:proofErr w:type="gramEnd"/>
      <w:r w:rsidRPr="00AC29DA">
        <w:rPr>
          <w:noProof w:val="0"/>
          <w:lang w:val="it-IT"/>
        </w:rPr>
        <w:t xml:space="preserve">, Simona </w:t>
      </w:r>
      <w:proofErr w:type="spellStart"/>
      <w:r w:rsidRPr="00AC29DA">
        <w:rPr>
          <w:noProof w:val="0"/>
          <w:lang w:val="it-IT"/>
        </w:rPr>
        <w:t>Sabbarese</w:t>
      </w:r>
      <w:r w:rsidRPr="00AC29DA">
        <w:rPr>
          <w:noProof w:val="0"/>
          <w:vertAlign w:val="superscript"/>
          <w:lang w:val="it-IT"/>
        </w:rPr>
        <w:t>a</w:t>
      </w:r>
      <w:proofErr w:type="spellEnd"/>
      <w:r w:rsidRPr="00AC29DA">
        <w:rPr>
          <w:noProof w:val="0"/>
          <w:lang w:val="it-IT"/>
        </w:rPr>
        <w:t xml:space="preserve">, Giuseppe </w:t>
      </w:r>
      <w:proofErr w:type="spellStart"/>
      <w:r w:rsidRPr="00AC29DA">
        <w:rPr>
          <w:noProof w:val="0"/>
          <w:lang w:val="it-IT"/>
        </w:rPr>
        <w:t>Capece</w:t>
      </w:r>
      <w:r w:rsidRPr="00AC29DA">
        <w:rPr>
          <w:noProof w:val="0"/>
          <w:vertAlign w:val="superscript"/>
          <w:lang w:val="it-IT"/>
        </w:rPr>
        <w:t>b</w:t>
      </w:r>
      <w:proofErr w:type="spellEnd"/>
      <w:r w:rsidRPr="00AC29DA">
        <w:rPr>
          <w:noProof w:val="0"/>
          <w:lang w:val="it-IT"/>
        </w:rPr>
        <w:t xml:space="preserve">, Renato </w:t>
      </w:r>
      <w:proofErr w:type="spellStart"/>
      <w:r w:rsidRPr="00AC29DA">
        <w:rPr>
          <w:noProof w:val="0"/>
          <w:lang w:val="it-IT"/>
        </w:rPr>
        <w:t>Ciampa</w:t>
      </w:r>
      <w:r w:rsidRPr="00AC29DA">
        <w:rPr>
          <w:noProof w:val="0"/>
          <w:vertAlign w:val="superscript"/>
          <w:lang w:val="it-IT"/>
        </w:rPr>
        <w:t>c</w:t>
      </w:r>
      <w:proofErr w:type="spellEnd"/>
      <w:r w:rsidRPr="00AC29DA">
        <w:rPr>
          <w:noProof w:val="0"/>
          <w:lang w:val="it-IT"/>
        </w:rPr>
        <w:t xml:space="preserve">, Simeone </w:t>
      </w:r>
      <w:proofErr w:type="spellStart"/>
      <w:r w:rsidRPr="00AC29DA">
        <w:rPr>
          <w:noProof w:val="0"/>
          <w:lang w:val="it-IT"/>
        </w:rPr>
        <w:t>Chianese</w:t>
      </w:r>
      <w:r w:rsidRPr="00AC29DA">
        <w:rPr>
          <w:noProof w:val="0"/>
          <w:vertAlign w:val="superscript"/>
          <w:lang w:val="it-IT"/>
        </w:rPr>
        <w:t>a</w:t>
      </w:r>
      <w:proofErr w:type="spellEnd"/>
      <w:r w:rsidRPr="00AC29DA">
        <w:rPr>
          <w:noProof w:val="0"/>
          <w:lang w:val="it-IT"/>
        </w:rPr>
        <w:t xml:space="preserve">, Dino </w:t>
      </w:r>
      <w:proofErr w:type="spellStart"/>
      <w:r w:rsidRPr="00AC29DA">
        <w:rPr>
          <w:noProof w:val="0"/>
          <w:lang w:val="it-IT"/>
        </w:rPr>
        <w:t>Musmarra</w:t>
      </w:r>
      <w:r w:rsidRPr="00AC29DA">
        <w:rPr>
          <w:noProof w:val="0"/>
          <w:vertAlign w:val="superscript"/>
          <w:lang w:val="it-IT"/>
        </w:rPr>
        <w:t>a</w:t>
      </w:r>
      <w:proofErr w:type="spellEnd"/>
    </w:p>
    <w:p w14:paraId="6B2D21B3" w14:textId="2FC6F8AE" w:rsidR="00B57E6F" w:rsidRPr="00AC29DA" w:rsidRDefault="00B57E6F" w:rsidP="00B57E6F">
      <w:pPr>
        <w:pStyle w:val="CETAddress"/>
        <w:rPr>
          <w:noProof w:val="0"/>
          <w:lang w:val="it-IT"/>
        </w:rPr>
      </w:pPr>
      <w:proofErr w:type="spellStart"/>
      <w:r w:rsidRPr="00AC29DA">
        <w:rPr>
          <w:noProof w:val="0"/>
          <w:vertAlign w:val="superscript"/>
          <w:lang w:val="it-IT"/>
        </w:rPr>
        <w:t>a</w:t>
      </w:r>
      <w:r w:rsidR="00656D01" w:rsidRPr="00AC29DA">
        <w:rPr>
          <w:noProof w:val="0"/>
          <w:lang w:val="it-IT"/>
        </w:rPr>
        <w:t>Department</w:t>
      </w:r>
      <w:proofErr w:type="spellEnd"/>
      <w:r w:rsidR="00656D01" w:rsidRPr="00AC29DA">
        <w:rPr>
          <w:noProof w:val="0"/>
          <w:lang w:val="it-IT"/>
        </w:rPr>
        <w:t xml:space="preserve"> of Engineering, University of Campania “Luigi Vanvitelli”, Via Roma 29, 81031, Aversa, </w:t>
      </w:r>
      <w:proofErr w:type="spellStart"/>
      <w:r w:rsidR="00656D01" w:rsidRPr="00AC29DA">
        <w:rPr>
          <w:noProof w:val="0"/>
          <w:lang w:val="it-IT"/>
        </w:rPr>
        <w:t>Italy</w:t>
      </w:r>
      <w:proofErr w:type="spellEnd"/>
      <w:r w:rsidRPr="00AC29DA">
        <w:rPr>
          <w:noProof w:val="0"/>
          <w:lang w:val="it-IT"/>
        </w:rPr>
        <w:t xml:space="preserve"> </w:t>
      </w:r>
    </w:p>
    <w:p w14:paraId="7EF67B00" w14:textId="77777777" w:rsidR="006C2144" w:rsidRPr="00AC29DA" w:rsidRDefault="00656D01" w:rsidP="006C2144">
      <w:pPr>
        <w:pStyle w:val="CETemail"/>
        <w:spacing w:after="0"/>
        <w:rPr>
          <w:rStyle w:val="CETAddressCarattere"/>
          <w:noProof w:val="0"/>
          <w:lang w:val="it-IT"/>
        </w:rPr>
      </w:pPr>
      <w:proofErr w:type="spellStart"/>
      <w:r w:rsidRPr="00AC29DA">
        <w:rPr>
          <w:rStyle w:val="CETAddressCarattere"/>
          <w:noProof w:val="0"/>
          <w:vertAlign w:val="superscript"/>
          <w:lang w:val="it-IT"/>
        </w:rPr>
        <w:t>b</w:t>
      </w:r>
      <w:r w:rsidRPr="00AC29DA">
        <w:rPr>
          <w:rStyle w:val="CETAddressCarattere"/>
          <w:noProof w:val="0"/>
          <w:lang w:val="it-IT"/>
        </w:rPr>
        <w:t>Progest</w:t>
      </w:r>
      <w:proofErr w:type="spellEnd"/>
      <w:r w:rsidRPr="00AC29DA">
        <w:rPr>
          <w:rStyle w:val="CETAddressCarattere"/>
          <w:noProof w:val="0"/>
          <w:lang w:val="it-IT"/>
        </w:rPr>
        <w:t xml:space="preserve"> S.r.l., Zona ASI Aversa-Nord, Via della Stazione s.n.c., CE, Gricignano d'Aversa, 81030, </w:t>
      </w:r>
      <w:proofErr w:type="spellStart"/>
      <w:r w:rsidRPr="00AC29DA">
        <w:rPr>
          <w:rStyle w:val="CETAddressCarattere"/>
          <w:noProof w:val="0"/>
          <w:lang w:val="it-IT"/>
        </w:rPr>
        <w:t>Italy</w:t>
      </w:r>
      <w:proofErr w:type="spellEnd"/>
    </w:p>
    <w:p w14:paraId="222729FE" w14:textId="7B6A8CE7" w:rsidR="006C2144" w:rsidRPr="00AC29DA" w:rsidRDefault="006C2144" w:rsidP="006C2144">
      <w:pPr>
        <w:pStyle w:val="CETemail"/>
        <w:spacing w:after="0"/>
        <w:rPr>
          <w:noProof w:val="0"/>
          <w:lang w:val="it-IT"/>
        </w:rPr>
      </w:pPr>
      <w:proofErr w:type="spellStart"/>
      <w:r w:rsidRPr="00AC29DA">
        <w:rPr>
          <w:noProof w:val="0"/>
          <w:szCs w:val="16"/>
          <w:vertAlign w:val="superscript"/>
          <w:lang w:val="it-IT"/>
        </w:rPr>
        <w:t>c</w:t>
      </w:r>
      <w:r w:rsidRPr="00AC29DA">
        <w:rPr>
          <w:noProof w:val="0"/>
          <w:lang w:val="it-IT"/>
        </w:rPr>
        <w:t>Centro</w:t>
      </w:r>
      <w:proofErr w:type="spellEnd"/>
      <w:r w:rsidRPr="00AC29DA">
        <w:rPr>
          <w:noProof w:val="0"/>
          <w:lang w:val="it-IT"/>
        </w:rPr>
        <w:t xml:space="preserve"> Diagnostico Baronia S.r.l., Località Taverna Annibale SNC, Area PIP, Lotto n°7, AV, Frigento, 83040, </w:t>
      </w:r>
      <w:proofErr w:type="spellStart"/>
      <w:r w:rsidRPr="00AC29DA">
        <w:rPr>
          <w:noProof w:val="0"/>
          <w:lang w:val="it-IT"/>
        </w:rPr>
        <w:t>Italy</w:t>
      </w:r>
      <w:proofErr w:type="spellEnd"/>
      <w:r w:rsidRPr="00AC29DA">
        <w:rPr>
          <w:noProof w:val="0"/>
          <w:lang w:val="it-IT"/>
        </w:rPr>
        <w:t xml:space="preserve">  </w:t>
      </w:r>
    </w:p>
    <w:p w14:paraId="05F7BADE" w14:textId="05115207" w:rsidR="006C2144" w:rsidRPr="00AC29DA" w:rsidRDefault="006C2144" w:rsidP="006C2144">
      <w:pPr>
        <w:pStyle w:val="CETemail"/>
        <w:rPr>
          <w:noProof w:val="0"/>
        </w:rPr>
      </w:pPr>
      <w:r w:rsidRPr="00AC29DA">
        <w:rPr>
          <w:noProof w:val="0"/>
        </w:rPr>
        <w:t>*carmen.decrescenzo@unicampania.it</w:t>
      </w:r>
    </w:p>
    <w:p w14:paraId="6893AF25" w14:textId="6600715D" w:rsidR="00600535" w:rsidRPr="00AC29DA" w:rsidRDefault="006C2144" w:rsidP="00600535">
      <w:pPr>
        <w:pStyle w:val="CETBodytext"/>
        <w:rPr>
          <w:lang w:val="en-GB"/>
        </w:rPr>
      </w:pPr>
      <w:r w:rsidRPr="00AC29DA">
        <w:rPr>
          <w:lang w:val="en-GB"/>
        </w:rPr>
        <w:t xml:space="preserve">Poly(3-hydroxybutyrate) (PHB) is a thermoplastic polyester that can be </w:t>
      </w:r>
      <w:r w:rsidR="005E2311" w:rsidRPr="00AC29DA">
        <w:rPr>
          <w:lang w:val="en-GB"/>
        </w:rPr>
        <w:t xml:space="preserve">synthesised </w:t>
      </w:r>
      <w:r w:rsidRPr="00AC29DA">
        <w:rPr>
          <w:lang w:val="en-GB"/>
        </w:rPr>
        <w:t xml:space="preserve">by many bacteria under </w:t>
      </w:r>
      <w:r w:rsidR="003D6B7F" w:rsidRPr="00AC29DA">
        <w:rPr>
          <w:lang w:val="en-GB"/>
        </w:rPr>
        <w:t>unfavo</w:t>
      </w:r>
      <w:r w:rsidR="005E2311" w:rsidRPr="00AC29DA">
        <w:rPr>
          <w:lang w:val="en-GB"/>
        </w:rPr>
        <w:t>u</w:t>
      </w:r>
      <w:r w:rsidR="003D6B7F" w:rsidRPr="00AC29DA">
        <w:rPr>
          <w:lang w:val="en-GB"/>
        </w:rPr>
        <w:t>rable</w:t>
      </w:r>
      <w:r w:rsidRPr="00AC29DA">
        <w:rPr>
          <w:lang w:val="en-GB"/>
        </w:rPr>
        <w:t xml:space="preserve"> growth conditions. Among all its properties, biodegradability is the most attractive since it makes PHB a potential alternative to non-biodegradable plastics. However, the current market penetration of this polymer is limited by the high production costs, which accounts for approximately 40% of the total price, and the complexity in scaling-up the biological process. In this work, an innovative approach is presented, simulating the production of PHB through a double stage aerobic fermentation in which a </w:t>
      </w:r>
      <w:proofErr w:type="spellStart"/>
      <w:r w:rsidRPr="00AC29DA">
        <w:rPr>
          <w:i/>
          <w:iCs/>
          <w:lang w:val="en-GB"/>
        </w:rPr>
        <w:t>Methylocystis</w:t>
      </w:r>
      <w:proofErr w:type="spellEnd"/>
      <w:r w:rsidRPr="00AC29DA">
        <w:rPr>
          <w:lang w:val="en-GB"/>
        </w:rPr>
        <w:t xml:space="preserve"> strain grows and accumulates PHB granules. The effects of the reactor geometry on PHB yields were investigated in terms of aspect ratio (</w:t>
      </w:r>
      <w:r w:rsidRPr="00AC29DA">
        <w:rPr>
          <w:i/>
          <w:iCs/>
          <w:lang w:val="en-GB"/>
        </w:rPr>
        <w:t>A</w:t>
      </w:r>
      <w:r w:rsidRPr="00AC29DA">
        <w:rPr>
          <w:lang w:val="en-GB"/>
        </w:rPr>
        <w:t>), which was varied in the range 5-16 both at constant volume and variable volume: in the first case, the working volume was kept constant at 100 L and the diameter of the reactor was varied in the range 0.2-0.3 m; in the second case, the working volume was varied between 100 and 340L, keeping constant the diameter at 0.</w:t>
      </w:r>
      <w:r w:rsidR="00556D38" w:rsidRPr="00AC29DA">
        <w:rPr>
          <w:lang w:val="en-GB"/>
        </w:rPr>
        <w:t>3</w:t>
      </w:r>
      <w:r w:rsidRPr="00AC29DA">
        <w:rPr>
          <w:lang w:val="en-GB"/>
        </w:rPr>
        <w:t xml:space="preserve"> m.</w:t>
      </w:r>
      <w:r w:rsidR="009F02A8" w:rsidRPr="00AC29DA">
        <w:rPr>
          <w:lang w:val="en-GB"/>
        </w:rPr>
        <w:t xml:space="preserve"> The effect of the geometry on transition parameters was evaluated as well.</w:t>
      </w:r>
      <w:r w:rsidRPr="00AC29DA">
        <w:rPr>
          <w:lang w:val="en-GB"/>
        </w:rPr>
        <w:t xml:space="preserve"> Results show that</w:t>
      </w:r>
      <w:r w:rsidR="00331EB1" w:rsidRPr="00AC29DA">
        <w:rPr>
          <w:lang w:val="en-GB"/>
        </w:rPr>
        <w:t xml:space="preserve"> a maximum transition superficial gas velocity (</w:t>
      </w:r>
      <w:r w:rsidR="00331EB1" w:rsidRPr="00AC29DA">
        <w:rPr>
          <w:i/>
          <w:iCs/>
          <w:lang w:val="en-GB"/>
        </w:rPr>
        <w:t>U</w:t>
      </w:r>
      <w:r w:rsidR="00331EB1" w:rsidRPr="00AC29DA">
        <w:rPr>
          <w:i/>
          <w:iCs/>
          <w:vertAlign w:val="subscript"/>
          <w:lang w:val="en-GB"/>
        </w:rPr>
        <w:t>t</w:t>
      </w:r>
      <w:r w:rsidR="00331EB1" w:rsidRPr="00AC29DA">
        <w:rPr>
          <w:lang w:val="en-GB"/>
        </w:rPr>
        <w:t>) of 0.05 ms</w:t>
      </w:r>
      <w:r w:rsidR="00331EB1" w:rsidRPr="00AC29DA">
        <w:rPr>
          <w:vertAlign w:val="superscript"/>
          <w:lang w:val="en-GB"/>
        </w:rPr>
        <w:t>-1</w:t>
      </w:r>
      <w:r w:rsidR="00331EB1" w:rsidRPr="00AC29DA">
        <w:rPr>
          <w:lang w:val="en-GB"/>
        </w:rPr>
        <w:t xml:space="preserve"> was obtained at </w:t>
      </w:r>
      <w:r w:rsidR="00331EB1" w:rsidRPr="00AC29DA">
        <w:rPr>
          <w:i/>
          <w:iCs/>
          <w:lang w:val="en-GB"/>
        </w:rPr>
        <w:t>A</w:t>
      </w:r>
      <w:r w:rsidR="00331EB1" w:rsidRPr="00AC29DA">
        <w:rPr>
          <w:lang w:val="en-GB"/>
        </w:rPr>
        <w:t>=16; while the productivity of PHB ranged between 0.1</w:t>
      </w:r>
      <w:r w:rsidR="00DB0BAE" w:rsidRPr="00AC29DA">
        <w:rPr>
          <w:lang w:val="en-GB"/>
        </w:rPr>
        <w:t>2</w:t>
      </w:r>
      <w:r w:rsidR="00331EB1" w:rsidRPr="00AC29DA">
        <w:rPr>
          <w:lang w:val="en-GB"/>
        </w:rPr>
        <w:t xml:space="preserve"> and 0.</w:t>
      </w:r>
      <w:r w:rsidR="00DB0BAE" w:rsidRPr="00AC29DA">
        <w:rPr>
          <w:lang w:val="en-GB"/>
        </w:rPr>
        <w:t>25</w:t>
      </w:r>
      <w:r w:rsidR="00331EB1" w:rsidRPr="00AC29DA">
        <w:rPr>
          <w:lang w:val="en-GB"/>
        </w:rPr>
        <w:t xml:space="preserve"> kgm</w:t>
      </w:r>
      <w:r w:rsidR="00331EB1" w:rsidRPr="00AC29DA">
        <w:rPr>
          <w:vertAlign w:val="superscript"/>
          <w:lang w:val="en-GB"/>
        </w:rPr>
        <w:t>-3</w:t>
      </w:r>
      <w:r w:rsidR="00556D38" w:rsidRPr="00AC29DA">
        <w:rPr>
          <w:lang w:val="en-GB"/>
        </w:rPr>
        <w:t>d</w:t>
      </w:r>
      <w:r w:rsidR="00331EB1" w:rsidRPr="00AC29DA">
        <w:rPr>
          <w:vertAlign w:val="superscript"/>
          <w:lang w:val="en-GB"/>
        </w:rPr>
        <w:t>-1</w:t>
      </w:r>
      <w:r w:rsidR="009F02A8" w:rsidRPr="00AC29DA">
        <w:rPr>
          <w:lang w:val="en-GB"/>
        </w:rPr>
        <w:t>.</w:t>
      </w:r>
    </w:p>
    <w:p w14:paraId="476B2F2E" w14:textId="77777777" w:rsidR="00600535" w:rsidRPr="00AC29DA" w:rsidRDefault="00600535" w:rsidP="00600535">
      <w:pPr>
        <w:pStyle w:val="CETHeading1"/>
        <w:rPr>
          <w:lang w:val="en-GB"/>
        </w:rPr>
      </w:pPr>
      <w:r w:rsidRPr="00AC29DA">
        <w:rPr>
          <w:lang w:val="en-GB"/>
        </w:rPr>
        <w:t>Introduction</w:t>
      </w:r>
    </w:p>
    <w:p w14:paraId="48E93856" w14:textId="3BE318D8" w:rsidR="00BA6250" w:rsidRPr="00AC29DA" w:rsidRDefault="005F5C53" w:rsidP="00E66B30">
      <w:pPr>
        <w:rPr>
          <w:rFonts w:eastAsiaTheme="minorHAnsi" w:cs="Arial"/>
          <w:szCs w:val="18"/>
        </w:rPr>
      </w:pPr>
      <w:r w:rsidRPr="00AC29DA">
        <w:t>Fossil-based plastics are considered something that is destroying the planet since the disposal of single-use products has detrimental effects on the environmental matri</w:t>
      </w:r>
      <w:r w:rsidR="00D50B14" w:rsidRPr="00AC29DA">
        <w:t>c</w:t>
      </w:r>
      <w:r w:rsidRPr="00AC29DA">
        <w:t>es</w:t>
      </w:r>
      <w:r w:rsidR="001E6024" w:rsidRPr="00AC29DA">
        <w:t xml:space="preserve">, </w:t>
      </w:r>
      <w:r w:rsidRPr="00AC29DA">
        <w:t>affects the ecosystem and is responsible for health</w:t>
      </w:r>
      <w:r w:rsidR="006602BA" w:rsidRPr="00AC29DA">
        <w:t>-</w:t>
      </w:r>
      <w:r w:rsidRPr="00AC29DA">
        <w:t>related problems.</w:t>
      </w:r>
      <w:r w:rsidR="0002692C" w:rsidRPr="00AC29DA">
        <w:t xml:space="preserve"> Due to all </w:t>
      </w:r>
      <w:r w:rsidR="0016470B" w:rsidRPr="00AC29DA">
        <w:t xml:space="preserve">the </w:t>
      </w:r>
      <w:r w:rsidR="0002692C" w:rsidRPr="00AC29DA">
        <w:t>above-mentioned problems, today</w:t>
      </w:r>
      <w:r w:rsidR="0016470B" w:rsidRPr="00AC29DA">
        <w:t>,</w:t>
      </w:r>
      <w:r w:rsidR="0002692C" w:rsidRPr="00AC29DA">
        <w:t xml:space="preserve"> the attention is addressed to </w:t>
      </w:r>
      <w:r w:rsidR="0016470B" w:rsidRPr="00AC29DA">
        <w:t>discovering</w:t>
      </w:r>
      <w:r w:rsidR="0002692C" w:rsidRPr="00AC29DA">
        <w:t xml:space="preserve"> an effective solution to plastic pollution.</w:t>
      </w:r>
      <w:r w:rsidR="006602BA" w:rsidRPr="00AC29DA">
        <w:t xml:space="preserve"> </w:t>
      </w:r>
      <w:r w:rsidR="00D81D01" w:rsidRPr="00AC29DA">
        <w:t>Poly</w:t>
      </w:r>
      <w:r w:rsidR="002709A6" w:rsidRPr="00AC29DA">
        <w:t>(3-hydroxybutyrate) (PHB) is a biobased and biodegradable polymer that</w:t>
      </w:r>
      <w:r w:rsidR="001F1AB1" w:rsidRPr="00AC29DA">
        <w:t xml:space="preserve"> shows good barrier properties to gases and water</w:t>
      </w:r>
      <w:r w:rsidR="002709A6" w:rsidRPr="00AC29DA">
        <w:t>,</w:t>
      </w:r>
      <w:r w:rsidR="001F1AB1" w:rsidRPr="00AC29DA">
        <w:t xml:space="preserve"> is highly crystalline </w:t>
      </w:r>
      <w:r w:rsidR="001057F6" w:rsidRPr="00AC29DA">
        <w:fldChar w:fldCharType="begin" w:fldLock="1"/>
      </w:r>
      <w:r w:rsidR="009B0DE6" w:rsidRPr="00AC29DA">
        <w:instrText>ADDIN CSL_CITATION {"citationItems":[{"id":"ITEM-1","itemData":{"DOI":"10.1016/j.saa.2004.05.004","ISSN":"13861425","PMID":"15649782","abstract":"The melting behavior of a bacterially synthesized biodegradable polymer, poly(3-hydroxybutyrate) (PHB), was investigated by using generalized two-dimensional infrared (2D IR) correlation spectroscopy. Temperature-dependent spectral variations in the regions of the C-H stretching (3100-2850 cm -1), C=O stretching (1800-1680 cm-1), and C-O-C stretching (1320-1120 cm-1) bands were monitored during the melting process. The asynchronous 2D correlation spectrum for the C=O stretching band region resolved two crystalline bands at 1731 and 1723 cm-1. The intense band at 1723 cm-1 may be due to the highly ordered crystalline part of PHB, and the weak band at 1731 cm-1 possibly arises from the crystalline part with a less ordered structure. These crystalline bands at 1731 and 1723 cm-1 share asynchronous cross peaks with a band at around 1740 cm-1 assignable to the C=O band due to the amorphous component. This observation indicates that the decreases in the crystalline components do not proceed simultaneously with the increase in the amorphous component. In the 3020-2915 cm-1 region where bands due to the asymmetric CH 3 stretching and antisymmetric CH2 stretching modes are expected to appear, eight bands are identified at 3007, 2995, 2985, 2975, 2967, 2938, 2934, and 2929 cm-1. The bands at 2985 and 2938 cm-1 are ascribed to the amorphous part while the rest come from crystal field splitting, which is a characteristic of polymers with a helical structure. © 2004 Elsevier B.V. All rights reserved.","author":[{"dropping-particle":"","family":"Padermshoke","given":"Adchara","non-dropping-particle":"","parse-names":false,"suffix":""},{"dropping-particle":"","family":"Katsumoto","given":"Yukiteru","non-dropping-particle":"","parse-names":false,"suffix":""},{"dropping-particle":"","family":"Sato","given":"Harumi","non-dropping-particle":"","parse-names":false,"suffix":""},{"dropping-particle":"","family":"Ekgasit","given":"Sanong","non-dropping-particle":"","parse-names":false,"suffix":""},{"dropping-particle":"","family":"Noda","given":"Isao","non-dropping-particle":"","parse-names":false,"suffix":""},{"dropping-particle":"","family":"Ozaki","given":"Yukihiro","non-dropping-particle":"","parse-names":false,"suffix":""}],"container-title":"Spectrochimica Acta - Part A: Molecular and Biomolecular Spectroscopy","id":"ITEM-1","issue":"4","issued":{"date-parts":[["2005"]]},"page":"541-550","title":"Melting behavior of poly(3-hydroxybutyrate) investigated by two-dimensional infrared correlation spectroscopy","type":"article-journal","volume":"61"},"uris":["http://www.mendeley.com/documents/?uuid=0de97606-2186-47a1-b237-1a4a74d21a93"]}],"mendeley":{"formattedCitation":"(Padermshoke et al., 2005)","manualFormatting":"(Padermshoke et al., 2005)","plainTextFormattedCitation":"(Padermshoke et al., 2005)","previouslyFormattedCitation":"(Padermshoke et al., 2005)"},"properties":{"noteIndex":0},"schema":"https://github.com/citation-style-language/schema/raw/master/csl-citation.json"}</w:instrText>
      </w:r>
      <w:r w:rsidR="001057F6" w:rsidRPr="00AC29DA">
        <w:fldChar w:fldCharType="separate"/>
      </w:r>
      <w:r w:rsidR="001057F6" w:rsidRPr="00AC29DA">
        <w:rPr>
          <w:noProof/>
        </w:rPr>
        <w:t>(Padermshoke et al.</w:t>
      </w:r>
      <w:r w:rsidR="003D6B7F" w:rsidRPr="00AC29DA">
        <w:rPr>
          <w:noProof/>
        </w:rPr>
        <w:t>,</w:t>
      </w:r>
      <w:r w:rsidR="001057F6" w:rsidRPr="00AC29DA">
        <w:rPr>
          <w:noProof/>
        </w:rPr>
        <w:t xml:space="preserve"> 2005)</w:t>
      </w:r>
      <w:r w:rsidR="001057F6" w:rsidRPr="00AC29DA">
        <w:fldChar w:fldCharType="end"/>
      </w:r>
      <w:r w:rsidR="001057F6" w:rsidRPr="00AC29DA">
        <w:t>,</w:t>
      </w:r>
      <w:r w:rsidR="001F1AB1" w:rsidRPr="00AC29DA">
        <w:t xml:space="preserve"> stiff but also relatively brittle </w:t>
      </w:r>
      <w:r w:rsidR="000B3477" w:rsidRPr="00AC29DA">
        <w:t>(</w:t>
      </w:r>
      <w:r w:rsidR="00030EAE" w:rsidRPr="00AC29DA">
        <w:fldChar w:fldCharType="begin" w:fldLock="1"/>
      </w:r>
      <w:r w:rsidR="009B0DE6" w:rsidRPr="00AC29DA">
        <w:instrText>ADDIN CSL_CITATION {"citationItems":[{"id":"ITEM-1","itemData":{"DOI":"10.1021/ma00118a007","ISSN":"15205835","abstract":"Aeromonas caviae produced a random copolymer of 3-hydroxybutyric acid (3HB) and 3-hydroxyhexanoic acid (3HH) under aerobic conditions when sodium salts of alkanoic acids of even carbon numbers ranging from C12 to C18 and olive oil were fed as the sole carbon source. On the other hand, a copolymer of 3HB and 3-hydroxyvaleric acid (3HV) was produced by A. caviae from alkanoic acids of odd carbon numbers from C11 to C17. The weight-average molecular weights of P(3HB-co-3HH) were in the range (2-11) × 105. The structure and physical properties of P(3HB-co-3HH) with compositions of 5-25 mol % 3HH were characterized by 1H and 13C NMR spectroscopy, X-ray diffraction, differential scanning calorimetry, mechanical tensile measurement, and optical microscopy. The degree of X-ray crystallinity of solvent-cast P(3HB-co-3HH) films decreased from 60 to 18% as the 3HH fraction was increased from 0 to 25 mol %, suggesting that 3HH units are excluded from the P(3HB) crystalline phase. The isothermal radial growth rates of spherulites of P(3HB-co-3HH) were markedly reduced with an increase in the 3HH fraction. Enzymatic degradations of P(3HB-co-3HH) films were carried out at 37 °C in an aqueous solution of P(3HB) depolymerase from Alcaligenes faecalis. The rates of enzymatic erosion increased markedly with an increase in the 3HH fraction to reach a maximum value at 15 mol % 3HH, followed by a decrease in the erosion rate. The above results were compared with the solid-state properties of two other microbial copolymers, P(3HB-co-3HV) and P(3HB-co-3HP) (3HP: 3-hydroxypropionic acid). © 1995, American Chemical Society. All rights reserved.","author":[{"dropping-particle":"","family":"Doi","given":"Yoshiharu","non-dropping-particle":"","parse-names":false,"suffix":""},{"dropping-particle":"","family":"Kitamura","given":"Shiro","non-dropping-particle":"","parse-names":false,"suffix":""},{"dropping-particle":"","family":"Abe","given":"Hideki","non-dropping-particle":"","parse-names":false,"suffix":""}],"container-title":"Macromolecules","id":"ITEM-1","issue":"14","issued":{"date-parts":[["1995"]]},"page":"4822-4828","title":"Microbial Synthesis and Characterization of Poly(3-hydroxybutyrate-co-3-hydroxyhexanoate)","type":"article-journal","volume":"28"},"uris":["http://www.mendeley.com/documents/?uuid=84482b0a-69b4-42a2-b49b-a33e1f8eeff4"]}],"mendeley":{"formattedCitation":"(Doi et al., 1995)","manualFormatting":"Doi et al.1995)","plainTextFormattedCitation":"(Doi et al., 1995)","previouslyFormattedCitation":"(Doi et al., 1995)"},"properties":{"noteIndex":0},"schema":"https://github.com/citation-style-language/schema/raw/master/csl-citation.json"}</w:instrText>
      </w:r>
      <w:r w:rsidR="00030EAE" w:rsidRPr="00AC29DA">
        <w:fldChar w:fldCharType="separate"/>
      </w:r>
      <w:r w:rsidR="00030EAE" w:rsidRPr="00AC29DA">
        <w:rPr>
          <w:noProof/>
        </w:rPr>
        <w:t>Doi et al.1995)</w:t>
      </w:r>
      <w:r w:rsidR="00030EAE" w:rsidRPr="00AC29DA">
        <w:fldChar w:fldCharType="end"/>
      </w:r>
      <w:r w:rsidR="000B3477" w:rsidRPr="00AC29DA">
        <w:t xml:space="preserve"> </w:t>
      </w:r>
      <w:r w:rsidR="001F1AB1" w:rsidRPr="00AC29DA">
        <w:t>and</w:t>
      </w:r>
      <w:r w:rsidR="00D71F59" w:rsidRPr="00AC29DA">
        <w:t xml:space="preserve"> </w:t>
      </w:r>
      <w:r w:rsidR="005B3BCF" w:rsidRPr="00AC29DA">
        <w:t>can be</w:t>
      </w:r>
      <w:r w:rsidR="00D71F59" w:rsidRPr="00AC29DA">
        <w:t xml:space="preserve"> produced biologically by many microorganisms when the macronutrients </w:t>
      </w:r>
      <w:r w:rsidR="00E66B30" w:rsidRPr="00AC29DA">
        <w:t>essential</w:t>
      </w:r>
      <w:r w:rsidR="005B3BCF" w:rsidRPr="00AC29DA">
        <w:t xml:space="preserve"> for their growth are not included in the culture medium</w:t>
      </w:r>
      <w:r w:rsidR="00363462" w:rsidRPr="00AC29DA">
        <w:t xml:space="preserve"> </w:t>
      </w:r>
      <w:r w:rsidR="00363462" w:rsidRPr="00AC29DA">
        <w:fldChar w:fldCharType="begin" w:fldLock="1"/>
      </w:r>
      <w:r w:rsidR="009B0DE6" w:rsidRPr="00AC29DA">
        <w:instrText>ADDIN CSL_CITATION {"citationItems":[{"id":"ITEM-1","itemData":{"ISSN":"13309862","abstract":"The industrial implementation of cost- and eco-efficient production of bio-based polymeric materials such as polyhydroxyalkanoates (PHAs) or polylactic acid (PLA) requires the comprehension of all process steps. The article at hand provides an insight into recent advances in allocation, pretreatment and utilization of raw materials available for biopolymer production in different areas of the world. Further, the high potential and risks of applying continuous process conduction in comparison with batch and fed-batch fermentation mode are elucidated. It is shown that the process design for continuous PHA production strongly depends on the kinetic characteristics for growth and product formation of the applied production strain. In addition, the triggering of the biopolymer properties by fine-tuning of the polyester composition during biosynthesis is demonstrated. Here, the impact of certain process parameters like the partial oxygen tension on the intracellular metabolic fluxes and the supplementation of cosubstrates on the polyester composition are discussed. In addition, such specialists among microbes are presented that possess the metabolic prerequisites to accumulate high-quality copolyesters merely from cheap unrelated carbon sources without the necessity for supplying expensive cosubstrates. In the field of downstream processing, sustainable methods for product isolation during biopolymer production that do not have a negative influence on the environment are presented.","author":[{"dropping-particle":"","family":"Koller","given":"Martin","non-dropping-particle":"","parse-names":false,"suffix":""},{"dropping-particle":"","family":"Salerno","given":"Anna","non-dropping-particle":"","parse-names":false,"suffix":""},{"dropping-particle":"","family":"Dias","given":"Miguel","non-dropping-particle":"","parse-names":false,"suffix":""},{"dropping-particle":"","family":"Reiterer","given":"Angelika","non-dropping-particle":"","parse-names":false,"suffix":""},{"dropping-particle":"","family":"Braunegg","given":"Gerhart","non-dropping-particle":"","parse-names":false,"suffix":""}],"container-title":"Food Technology and Biotechnology","id":"ITEM-1","issue":"3","issued":{"date-parts":[["2010"]]},"page":"255-269","title":"Modern biotechnological polymer synthesis: A review","type":"article-journal","volume":"48"},"uris":["http://www.mendeley.com/documents/?uuid=de9e7fa6-e36a-4ace-bfb8-1d18e810de8d"]}],"mendeley":{"formattedCitation":"(Koller et al., 2010)","manualFormatting":"(Koller et al., 2010)","plainTextFormattedCitation":"(Koller et al., 2010)","previouslyFormattedCitation":"(Koller et al., 2010)"},"properties":{"noteIndex":0},"schema":"https://github.com/citation-style-language/schema/raw/master/csl-citation.json"}</w:instrText>
      </w:r>
      <w:r w:rsidR="00363462" w:rsidRPr="00AC29DA">
        <w:fldChar w:fldCharType="separate"/>
      </w:r>
      <w:r w:rsidR="00363462" w:rsidRPr="00AC29DA">
        <w:rPr>
          <w:noProof/>
        </w:rPr>
        <w:t>(Koller et al.</w:t>
      </w:r>
      <w:r w:rsidR="003D6B7F" w:rsidRPr="00AC29DA">
        <w:rPr>
          <w:noProof/>
        </w:rPr>
        <w:t>,</w:t>
      </w:r>
      <w:r w:rsidR="00363462" w:rsidRPr="00AC29DA">
        <w:rPr>
          <w:noProof/>
        </w:rPr>
        <w:t xml:space="preserve"> 2010)</w:t>
      </w:r>
      <w:r w:rsidR="00363462" w:rsidRPr="00AC29DA">
        <w:fldChar w:fldCharType="end"/>
      </w:r>
      <w:r w:rsidR="001F1AB1" w:rsidRPr="00AC29DA">
        <w:t xml:space="preserve">. </w:t>
      </w:r>
      <w:r w:rsidR="007D31E6" w:rsidRPr="00AC29DA">
        <w:t>However, d</w:t>
      </w:r>
      <w:r w:rsidR="001F1AB1" w:rsidRPr="00AC29DA">
        <w:t xml:space="preserve">espite </w:t>
      </w:r>
      <w:r w:rsidR="00E66B30" w:rsidRPr="00AC29DA">
        <w:t>the</w:t>
      </w:r>
      <w:r w:rsidR="001F1AB1" w:rsidRPr="00AC29DA">
        <w:t xml:space="preserve"> attractive properties, </w:t>
      </w:r>
      <w:r w:rsidR="0016470B" w:rsidRPr="00AC29DA">
        <w:t xml:space="preserve">the </w:t>
      </w:r>
      <w:r w:rsidR="001F1AB1" w:rsidRPr="00AC29DA">
        <w:t xml:space="preserve">PHB </w:t>
      </w:r>
      <w:r w:rsidR="00E66B30" w:rsidRPr="00AC29DA">
        <w:t>market spread</w:t>
      </w:r>
      <w:r w:rsidR="001F1AB1" w:rsidRPr="00AC29DA">
        <w:t xml:space="preserve"> is still </w:t>
      </w:r>
      <w:r w:rsidR="00E66B30" w:rsidRPr="00AC29DA">
        <w:t>hampered by</w:t>
      </w:r>
      <w:r w:rsidR="001F1AB1" w:rsidRPr="00AC29DA">
        <w:t xml:space="preserve"> the high </w:t>
      </w:r>
      <w:r w:rsidR="007D31E6" w:rsidRPr="00AC29DA">
        <w:t xml:space="preserve">production costs, </w:t>
      </w:r>
      <w:r w:rsidR="001F1AB1" w:rsidRPr="00AC29DA">
        <w:t xml:space="preserve">the 40% </w:t>
      </w:r>
      <w:r w:rsidR="007D31E6" w:rsidRPr="00AC29DA">
        <w:t>being related to</w:t>
      </w:r>
      <w:r w:rsidR="001F1AB1" w:rsidRPr="00AC29DA">
        <w:t xml:space="preserve"> the expensive carbon sources </w:t>
      </w:r>
      <w:r w:rsidR="00E66B30" w:rsidRPr="00AC29DA">
        <w:t>employed</w:t>
      </w:r>
      <w:r w:rsidR="001F1AB1" w:rsidRPr="00AC29DA">
        <w:t xml:space="preserve"> in the process</w:t>
      </w:r>
      <w:r w:rsidR="001057F6" w:rsidRPr="00AC29DA">
        <w:t xml:space="preserve"> </w:t>
      </w:r>
      <w:r w:rsidR="001057F6" w:rsidRPr="00AC29DA">
        <w:fldChar w:fldCharType="begin" w:fldLock="1"/>
      </w:r>
      <w:r w:rsidR="009B0DE6" w:rsidRPr="00AC29DA">
        <w:instrText>ADDIN CSL_CITATION {"citationItems":[{"id":"ITEM-1","itemData":{"DOI":"10.1007/s00253-012-4649-0","ISBN":"0025301246490","ISSN":"14320614","PMID":"23306640","abstract":"Polyhydroxybutyrate (PHB) is an attractive substitute for petrochemical plastic due to its similar properties, biocompatibility, and biodegradability. The cost of scaled-up PHB production inhibits its widespread usage. Intensive researches are growing to reduce costs and improve thermomechanical, physical, and processing properties of this green biopolymer. Among cheap substrates which are used for reducing total cost of PHB production, some C1 carbon sources, e.g.; methane, methanol, and CO2 have received a great deal of attention due to their serious role in greenhouse problem. This article reviews the fundamentals of strategies for reducing PHA production and moves on to the applications of several cheap substrates with a special emphasis on methane, methanol, and CO2. Also, some explanation for involved microorganisms including the hydrogen-oxidizing bacteria and methanotrophs, their history, culture condition, and nutritional requirements are given. After description of some important strains among the hydrogen-oxidizing and methanotrophic producers of PHB, the article is focused on limitations, threats, and opportunities for application and their future trends. © 2013 Springer-Verlag Berlin Heidelberg.","author":[{"dropping-particle":"","family":"Khosravi-Darani","given":"Kianoush","non-dropping-particle":"","parse-names":false,"suffix":""},{"dropping-particle":"","family":"Mokhtari","given":"Zahra Beigom","non-dropping-particle":"","parse-names":false,"suffix":""},{"dropping-particle":"","family":"Amai","given":"Tomohito","non-dropping-particle":"","parse-names":false,"suffix":""},{"dropping-particle":"","family":"Tanaka","given":"Kenji","non-dropping-particle":"","parse-names":false,"suffix":""}],"container-title":"Applied Microbiology and Biotechnology","id":"ITEM-1","issue":"4","issued":{"date-parts":[["2013"]]},"page":"1407-1424","title":"Microbial production of poly(hydroxybutyrate) from C1 carbon sources","type":"article-journal","volume":"97"},"uris":["http://www.mendeley.com/documents/?uuid=ebcfa6e9-2610-4e87-b340-ca1dc4db3a76"]}],"mendeley":{"formattedCitation":"(Khosravi-Darani et al., 2013)","manualFormatting":"(Khosravi-Darani et al., 2013)","plainTextFormattedCitation":"(Khosravi-Darani et al., 2013)","previouslyFormattedCitation":"(Khosravi-Darani et al., 2013)"},"properties":{"noteIndex":0},"schema":"https://github.com/citation-style-language/schema/raw/master/csl-citation.json"}</w:instrText>
      </w:r>
      <w:r w:rsidR="001057F6" w:rsidRPr="00AC29DA">
        <w:fldChar w:fldCharType="separate"/>
      </w:r>
      <w:r w:rsidR="001057F6" w:rsidRPr="00AC29DA">
        <w:rPr>
          <w:noProof/>
        </w:rPr>
        <w:t>(Khosravi-Darani et al.</w:t>
      </w:r>
      <w:r w:rsidR="003D6B7F" w:rsidRPr="00AC29DA">
        <w:rPr>
          <w:noProof/>
        </w:rPr>
        <w:t>,</w:t>
      </w:r>
      <w:r w:rsidR="001057F6" w:rsidRPr="00AC29DA">
        <w:rPr>
          <w:noProof/>
        </w:rPr>
        <w:t xml:space="preserve"> 2013)</w:t>
      </w:r>
      <w:r w:rsidR="001057F6" w:rsidRPr="00AC29DA">
        <w:fldChar w:fldCharType="end"/>
      </w:r>
      <w:r w:rsidR="001F1AB1" w:rsidRPr="00AC29DA">
        <w:t xml:space="preserve">. </w:t>
      </w:r>
      <w:r w:rsidR="007D31E6" w:rsidRPr="00AC29DA">
        <w:t xml:space="preserve">Moreover, </w:t>
      </w:r>
      <w:r w:rsidR="00136A38" w:rsidRPr="00AC29DA">
        <w:t>for PHB to replace</w:t>
      </w:r>
      <w:r w:rsidR="007D31E6" w:rsidRPr="00AC29DA">
        <w:t xml:space="preserve"> fossil-based plastics</w:t>
      </w:r>
      <w:r w:rsidR="0016470B" w:rsidRPr="00AC29DA">
        <w:t>,</w:t>
      </w:r>
      <w:r w:rsidR="00136A38" w:rsidRPr="00AC29DA">
        <w:t xml:space="preserve"> it is necessary to ensure high </w:t>
      </w:r>
      <w:r w:rsidR="006C4311" w:rsidRPr="00AC29DA">
        <w:t>production capacities</w:t>
      </w:r>
      <w:r w:rsidR="003A584C" w:rsidRPr="00AC29DA">
        <w:t>. In this context,</w:t>
      </w:r>
      <w:r w:rsidR="006C4311" w:rsidRPr="00AC29DA">
        <w:t xml:space="preserve"> </w:t>
      </w:r>
      <w:r w:rsidR="00D81D01" w:rsidRPr="00AC29DA">
        <w:t>design</w:t>
      </w:r>
      <w:r w:rsidR="00136A38" w:rsidRPr="00AC29DA">
        <w:t xml:space="preserve"> and scale-</w:t>
      </w:r>
      <w:r w:rsidR="007D31E6" w:rsidRPr="00AC29DA">
        <w:t xml:space="preserve">related effects </w:t>
      </w:r>
      <w:r w:rsidR="006E1EFC" w:rsidRPr="00AC29DA">
        <w:t xml:space="preserve">in bioreactors </w:t>
      </w:r>
      <w:r w:rsidR="00E84E30" w:rsidRPr="00AC29DA">
        <w:t>are not negligible</w:t>
      </w:r>
      <w:r w:rsidR="008D43BF" w:rsidRPr="00AC29DA">
        <w:t xml:space="preserve"> and should be carefully evaluated </w:t>
      </w:r>
      <w:r w:rsidR="00E84E30" w:rsidRPr="00AC29DA">
        <w:t>since they</w:t>
      </w:r>
      <w:r w:rsidR="00B47EFE" w:rsidRPr="00AC29DA">
        <w:t xml:space="preserve"> </w:t>
      </w:r>
      <w:r w:rsidR="005E3DBE" w:rsidRPr="00AC29DA">
        <w:t>may</w:t>
      </w:r>
      <w:r w:rsidR="00100B95" w:rsidRPr="00AC29DA">
        <w:t xml:space="preserve"> </w:t>
      </w:r>
      <w:r w:rsidR="00136A38" w:rsidRPr="00AC29DA">
        <w:t>have a strong influence on</w:t>
      </w:r>
      <w:r w:rsidR="00100B95" w:rsidRPr="00AC29DA">
        <w:t xml:space="preserve"> the viability of the biomas</w:t>
      </w:r>
      <w:r w:rsidR="00E84E30" w:rsidRPr="00AC29DA">
        <w:t xml:space="preserve">s </w:t>
      </w:r>
      <w:r w:rsidR="00242862" w:rsidRPr="00AC29DA">
        <w:fldChar w:fldCharType="begin" w:fldLock="1"/>
      </w:r>
      <w:r w:rsidR="009B0DE6" w:rsidRPr="00AC29DA">
        <w:instrText>ADDIN CSL_CITATION {"citationItems":[{"id":"ITEM-1","itemData":{"DOI":"10.1016/j.petlm.2017.12.005","ISSN":"24055816","abstract":"It is generally admitted that experimental data obtained in “laboratory-scale” bubble columns are representative of “industrial-scale” reactors if the well-known three “Wilkinson et al. scale-up criteria” are satisfied: (a) the diameter of the bubble column is larger than 0.15 m, (b) the sparger openings are larger than 1–2 mm and (c) the aspect ratio is larger than 5. The aim of this communication is to contribute to the existing discussion. To this end, this communication collects relevant experimental investigation and include new experimental data: in particular, we have experimentally studied the combined effect of the aspect ratio (within the range of 1–15) and the sparger design (considering both “coarse” and “fine” spargers) on the gas holdup in a large-diameter and large-scale gas-liquid bubble column. The bubble column has been operated both in the batch mode and in the counter-current mode. Filtered air has been used as the gaseous phase in all the experiments, while the liquid phase has included deionized water and different aqueous solutions of organic (i.e., ethanol) and inorganic (i.e., sodium chloride, NaCl) active agents. It is found that the “Wilkinson et al. scale-up criteria” are valid for the air-water case in the batch mode for “very-coarse” spargers. Conversely, they are no more valid when considering different liquid velocity, and/or aqueous solutions of active agents, and other sparger openings.","author":[{"dropping-particle":"","family":"Besagni","given":"Giorgio","non-dropping-particle":"","parse-names":false,"suffix":""},{"dropping-particle":"","family":"Gallazzini","given":"Lorenzo","non-dropping-particle":"","parse-names":false,"suffix":""},{"dropping-particle":"","family":"Inzoli","given":"Fabio","non-dropping-particle":"","parse-names":false,"suffix":""}],"container-title":"Petroleum","id":"ITEM-1","issue":"2","issued":{"date-parts":[["2019"]]},"page":"114-122","publisher":"Elsevier Taiwan LLC","title":"On the scale-up criteria for bubble columns","type":"article-journal","volume":"5"},"uris":["http://www.mendeley.com/documents/?uuid=68ae58cb-add7-46f1-90e3-a2e591c23b61"]}],"mendeley":{"formattedCitation":"(Besagni et al., 2019)","manualFormatting":"(Besagni et al., 2019)","plainTextFormattedCitation":"(Besagni et al., 2019)","previouslyFormattedCitation":"(Besagni et al., 2019)"},"properties":{"noteIndex":0},"schema":"https://github.com/citation-style-language/schema/raw/master/csl-citation.json"}</w:instrText>
      </w:r>
      <w:r w:rsidR="00242862" w:rsidRPr="00AC29DA">
        <w:fldChar w:fldCharType="separate"/>
      </w:r>
      <w:r w:rsidR="00242862" w:rsidRPr="00AC29DA">
        <w:rPr>
          <w:noProof/>
        </w:rPr>
        <w:t>(Besagni</w:t>
      </w:r>
      <w:r w:rsidR="003E3F0A" w:rsidRPr="00AC29DA">
        <w:rPr>
          <w:noProof/>
        </w:rPr>
        <w:t xml:space="preserve"> et al.</w:t>
      </w:r>
      <w:r w:rsidR="003D6B7F" w:rsidRPr="00AC29DA">
        <w:rPr>
          <w:noProof/>
        </w:rPr>
        <w:t>,</w:t>
      </w:r>
      <w:r w:rsidR="00242862" w:rsidRPr="00AC29DA">
        <w:rPr>
          <w:noProof/>
        </w:rPr>
        <w:t xml:space="preserve"> 2019)</w:t>
      </w:r>
      <w:r w:rsidR="00242862" w:rsidRPr="00AC29DA">
        <w:fldChar w:fldCharType="end"/>
      </w:r>
      <w:r w:rsidR="00B47EFE" w:rsidRPr="00AC29DA">
        <w:t xml:space="preserve">. </w:t>
      </w:r>
      <w:r w:rsidR="00100B95" w:rsidRPr="00AC29DA">
        <w:t xml:space="preserve">For instance, </w:t>
      </w:r>
      <w:r w:rsidR="00AA74EB" w:rsidRPr="00AC29DA">
        <w:t>if</w:t>
      </w:r>
      <w:r w:rsidR="00100B95" w:rsidRPr="00AC29DA">
        <w:rPr>
          <w:rFonts w:eastAsiaTheme="minorHAnsi" w:cs="Arial"/>
          <w:szCs w:val="18"/>
        </w:rPr>
        <w:t xml:space="preserve"> </w:t>
      </w:r>
      <w:r w:rsidR="0016470B" w:rsidRPr="00AC29DA">
        <w:rPr>
          <w:rFonts w:eastAsiaTheme="minorHAnsi" w:cs="Arial"/>
          <w:szCs w:val="18"/>
        </w:rPr>
        <w:t xml:space="preserve">the </w:t>
      </w:r>
      <w:r w:rsidR="00100B95" w:rsidRPr="00AC29DA">
        <w:rPr>
          <w:rFonts w:eastAsiaTheme="minorHAnsi" w:cs="Arial"/>
          <w:szCs w:val="18"/>
        </w:rPr>
        <w:t>aeration</w:t>
      </w:r>
      <w:r w:rsidR="00AA74EB" w:rsidRPr="00AC29DA">
        <w:rPr>
          <w:rFonts w:eastAsiaTheme="minorHAnsi" w:cs="Arial"/>
          <w:szCs w:val="18"/>
        </w:rPr>
        <w:t xml:space="preserve"> </w:t>
      </w:r>
      <w:r w:rsidR="006E1EFC" w:rsidRPr="00AC29DA">
        <w:rPr>
          <w:rFonts w:eastAsiaTheme="minorHAnsi" w:cs="Arial"/>
          <w:szCs w:val="18"/>
        </w:rPr>
        <w:t xml:space="preserve">rate </w:t>
      </w:r>
      <w:r w:rsidR="00AA74EB" w:rsidRPr="00AC29DA">
        <w:rPr>
          <w:rFonts w:eastAsiaTheme="minorHAnsi" w:cs="Arial"/>
          <w:szCs w:val="18"/>
        </w:rPr>
        <w:t>increases</w:t>
      </w:r>
      <w:r w:rsidR="00100B95" w:rsidRPr="00AC29DA">
        <w:rPr>
          <w:rFonts w:eastAsiaTheme="minorHAnsi" w:cs="Arial"/>
          <w:szCs w:val="18"/>
        </w:rPr>
        <w:t xml:space="preserve"> beyond a certain limit</w:t>
      </w:r>
      <w:r w:rsidR="008D43BF" w:rsidRPr="00AC29DA">
        <w:rPr>
          <w:rFonts w:eastAsiaTheme="minorHAnsi" w:cs="Arial"/>
          <w:szCs w:val="18"/>
        </w:rPr>
        <w:t>,</w:t>
      </w:r>
      <w:r w:rsidR="00100B95" w:rsidRPr="00AC29DA">
        <w:rPr>
          <w:rFonts w:eastAsiaTheme="minorHAnsi" w:cs="Arial"/>
          <w:szCs w:val="18"/>
        </w:rPr>
        <w:t xml:space="preserve"> </w:t>
      </w:r>
      <w:r w:rsidR="0016470B" w:rsidRPr="00AC29DA">
        <w:rPr>
          <w:rFonts w:eastAsiaTheme="minorHAnsi" w:cs="Arial"/>
          <w:szCs w:val="18"/>
        </w:rPr>
        <w:t xml:space="preserve">the </w:t>
      </w:r>
      <w:r w:rsidR="00100B95" w:rsidRPr="00AC29DA">
        <w:rPr>
          <w:rFonts w:eastAsiaTheme="minorHAnsi" w:cs="Arial"/>
          <w:szCs w:val="18"/>
        </w:rPr>
        <w:t xml:space="preserve">turbulent flow </w:t>
      </w:r>
      <w:r w:rsidR="006E1EFC" w:rsidRPr="00AC29DA">
        <w:rPr>
          <w:rFonts w:eastAsiaTheme="minorHAnsi" w:cs="Arial"/>
          <w:szCs w:val="18"/>
        </w:rPr>
        <w:t xml:space="preserve">may </w:t>
      </w:r>
      <w:r w:rsidR="00E84E30" w:rsidRPr="00AC29DA">
        <w:rPr>
          <w:rFonts w:eastAsiaTheme="minorHAnsi" w:cs="Arial"/>
          <w:szCs w:val="18"/>
        </w:rPr>
        <w:t>occur</w:t>
      </w:r>
      <w:r w:rsidR="0016470B" w:rsidRPr="00AC29DA">
        <w:rPr>
          <w:rFonts w:eastAsiaTheme="minorHAnsi" w:cs="Arial"/>
          <w:szCs w:val="18"/>
        </w:rPr>
        <w:t>,</w:t>
      </w:r>
      <w:r w:rsidR="00E84E30" w:rsidRPr="00AC29DA">
        <w:rPr>
          <w:rFonts w:eastAsiaTheme="minorHAnsi" w:cs="Arial"/>
          <w:szCs w:val="18"/>
        </w:rPr>
        <w:t xml:space="preserve"> and the shear stress caused by the high superficial gas velocity</w:t>
      </w:r>
      <w:r w:rsidR="00AA7BD8" w:rsidRPr="00AC29DA">
        <w:rPr>
          <w:rFonts w:eastAsiaTheme="minorHAnsi" w:cs="Arial"/>
          <w:szCs w:val="18"/>
        </w:rPr>
        <w:t xml:space="preserve"> </w:t>
      </w:r>
      <w:r w:rsidR="003E3F0A" w:rsidRPr="00AC29DA">
        <w:rPr>
          <w:rFonts w:eastAsiaTheme="minorHAnsi" w:cs="Arial"/>
          <w:szCs w:val="18"/>
        </w:rPr>
        <w:t>(</w:t>
      </w:r>
      <w:r w:rsidR="003E3F0A" w:rsidRPr="00AC29DA">
        <w:rPr>
          <w:rFonts w:eastAsiaTheme="minorHAnsi" w:cs="Arial"/>
          <w:i/>
          <w:iCs/>
          <w:szCs w:val="18"/>
        </w:rPr>
        <w:t>U</w:t>
      </w:r>
      <w:r w:rsidR="003E3F0A" w:rsidRPr="00AC29DA">
        <w:rPr>
          <w:rFonts w:eastAsiaTheme="minorHAnsi" w:cs="Arial"/>
          <w:i/>
          <w:iCs/>
          <w:szCs w:val="18"/>
          <w:vertAlign w:val="subscript"/>
        </w:rPr>
        <w:t>g</w:t>
      </w:r>
      <w:r w:rsidR="003E3F0A" w:rsidRPr="00AC29DA">
        <w:rPr>
          <w:rFonts w:eastAsiaTheme="minorHAnsi" w:cs="Arial"/>
          <w:szCs w:val="18"/>
        </w:rPr>
        <w:t xml:space="preserve">) </w:t>
      </w:r>
      <w:r w:rsidR="00E84E30" w:rsidRPr="00AC29DA">
        <w:rPr>
          <w:rFonts w:eastAsiaTheme="minorHAnsi" w:cs="Arial"/>
          <w:szCs w:val="18"/>
        </w:rPr>
        <w:t xml:space="preserve">can damage the cell structure </w:t>
      </w:r>
      <w:r w:rsidR="00D80A9B" w:rsidRPr="00AC29DA">
        <w:rPr>
          <w:rFonts w:eastAsiaTheme="minorHAnsi" w:cs="Arial"/>
          <w:szCs w:val="18"/>
        </w:rPr>
        <w:t>and reduce</w:t>
      </w:r>
      <w:r w:rsidR="00E84E30" w:rsidRPr="00AC29DA">
        <w:rPr>
          <w:rFonts w:eastAsiaTheme="minorHAnsi" w:cs="Arial"/>
          <w:szCs w:val="18"/>
        </w:rPr>
        <w:t xml:space="preserve"> the concentration of the living biomass</w:t>
      </w:r>
      <w:r w:rsidR="00242862" w:rsidRPr="00AC29DA">
        <w:rPr>
          <w:rFonts w:eastAsiaTheme="minorHAnsi" w:cs="Arial"/>
          <w:szCs w:val="18"/>
        </w:rPr>
        <w:t xml:space="preserve"> </w:t>
      </w:r>
      <w:r w:rsidR="00242862" w:rsidRPr="00AC29DA">
        <w:fldChar w:fldCharType="begin" w:fldLock="1"/>
      </w:r>
      <w:r w:rsidR="00CC7F36" w:rsidRPr="00AC29DA">
        <w:instrText>ADDIN CSL_CITATION {"citationItems":[{"id":"ITEM-1","itemData":{"author":[{"dropping-particle":"","family":"Toma","given":"M K","non-dropping-particle":"","parse-names":false,"suffix":""},{"dropping-particle":"","family":"Systems","given":"Fermentation","non-dropping-particle":"","parse-names":false,"suffix":""}],"id":"ITEM-1","issued":{"date-parts":[["1991"]]},"page":"552-556","title":"Inhibition of microbial growth and metabolism by excess turbulence","type":"article-journal","volume":"38"},"uris":["http://www.mendeley.com/documents/?uuid=c5c3276f-89b3-4562-b62f-001ab9468a60"]}],"mendeley":{"formattedCitation":"(Toma and Systems, 1991)","manualFormatting":"(Toma and Systems, 1991)","plainTextFormattedCitation":"(Toma and Systems, 1991)","previouslyFormattedCitation":"(Toma and Systems, 1991)"},"properties":{"noteIndex":0},"schema":"https://github.com/citation-style-language/schema/raw/master/csl-citation.json"}</w:instrText>
      </w:r>
      <w:r w:rsidR="00242862" w:rsidRPr="00AC29DA">
        <w:fldChar w:fldCharType="separate"/>
      </w:r>
      <w:r w:rsidR="00242862" w:rsidRPr="00AC29DA">
        <w:rPr>
          <w:noProof/>
        </w:rPr>
        <w:t>(Toma and Systems</w:t>
      </w:r>
      <w:r w:rsidR="003D6B7F" w:rsidRPr="00AC29DA">
        <w:rPr>
          <w:noProof/>
        </w:rPr>
        <w:t>,</w:t>
      </w:r>
      <w:r w:rsidR="00242862" w:rsidRPr="00AC29DA">
        <w:rPr>
          <w:noProof/>
        </w:rPr>
        <w:t xml:space="preserve"> 1991)</w:t>
      </w:r>
      <w:r w:rsidR="00242862" w:rsidRPr="00AC29DA">
        <w:fldChar w:fldCharType="end"/>
      </w:r>
      <w:r w:rsidR="00E84E30" w:rsidRPr="00AC29DA">
        <w:rPr>
          <w:rFonts w:eastAsiaTheme="minorHAnsi" w:cs="Arial"/>
          <w:szCs w:val="18"/>
        </w:rPr>
        <w:t xml:space="preserve">. </w:t>
      </w:r>
      <w:r w:rsidR="00370B89" w:rsidRPr="00AC29DA">
        <w:rPr>
          <w:rFonts w:eastAsiaTheme="minorHAnsi" w:cs="Arial"/>
          <w:szCs w:val="18"/>
        </w:rPr>
        <w:t>Since t</w:t>
      </w:r>
      <w:r w:rsidR="000166AE" w:rsidRPr="00AC29DA">
        <w:rPr>
          <w:rFonts w:eastAsiaTheme="minorHAnsi" w:cs="Arial"/>
          <w:szCs w:val="18"/>
        </w:rPr>
        <w:t>his</w:t>
      </w:r>
      <w:r w:rsidR="00E84E30" w:rsidRPr="00AC29DA">
        <w:rPr>
          <w:rFonts w:eastAsiaTheme="minorHAnsi" w:cs="Arial"/>
          <w:szCs w:val="18"/>
        </w:rPr>
        <w:t xml:space="preserve"> phenomenon</w:t>
      </w:r>
      <w:r w:rsidR="002709A6" w:rsidRPr="00AC29DA">
        <w:rPr>
          <w:rFonts w:eastAsiaTheme="minorHAnsi" w:cs="Arial"/>
          <w:szCs w:val="18"/>
        </w:rPr>
        <w:t>,</w:t>
      </w:r>
      <w:r w:rsidR="00E84E30" w:rsidRPr="00AC29DA">
        <w:rPr>
          <w:rFonts w:eastAsiaTheme="minorHAnsi" w:cs="Arial"/>
          <w:szCs w:val="18"/>
        </w:rPr>
        <w:t xml:space="preserve"> </w:t>
      </w:r>
      <w:r w:rsidR="00F73682" w:rsidRPr="00AC29DA">
        <w:rPr>
          <w:rFonts w:eastAsiaTheme="minorHAnsi" w:cs="Arial"/>
          <w:szCs w:val="18"/>
        </w:rPr>
        <w:t xml:space="preserve">known as </w:t>
      </w:r>
      <w:proofErr w:type="spellStart"/>
      <w:r w:rsidR="00E84E30" w:rsidRPr="00AC29DA">
        <w:rPr>
          <w:rFonts w:eastAsiaTheme="minorHAnsi" w:cs="Arial"/>
          <w:szCs w:val="18"/>
        </w:rPr>
        <w:t>turbohypobiosis</w:t>
      </w:r>
      <w:proofErr w:type="spellEnd"/>
      <w:r w:rsidR="002709A6" w:rsidRPr="00AC29DA">
        <w:rPr>
          <w:rFonts w:eastAsiaTheme="minorHAnsi" w:cs="Arial"/>
          <w:szCs w:val="18"/>
        </w:rPr>
        <w:t>,</w:t>
      </w:r>
      <w:r w:rsidR="00370B89" w:rsidRPr="00AC29DA">
        <w:rPr>
          <w:rFonts w:eastAsiaTheme="minorHAnsi" w:cs="Arial"/>
          <w:szCs w:val="18"/>
        </w:rPr>
        <w:t xml:space="preserve"> may </w:t>
      </w:r>
      <w:r w:rsidR="00D80A9B" w:rsidRPr="00AC29DA">
        <w:rPr>
          <w:rFonts w:eastAsiaTheme="minorHAnsi" w:cs="Arial"/>
          <w:szCs w:val="18"/>
        </w:rPr>
        <w:t>adversely affect</w:t>
      </w:r>
      <w:r w:rsidR="00370B89" w:rsidRPr="00AC29DA">
        <w:rPr>
          <w:rFonts w:eastAsiaTheme="minorHAnsi" w:cs="Arial"/>
          <w:szCs w:val="18"/>
        </w:rPr>
        <w:t xml:space="preserve"> processes involving bacteri</w:t>
      </w:r>
      <w:r w:rsidR="005C4F8D" w:rsidRPr="00AC29DA">
        <w:rPr>
          <w:rFonts w:eastAsiaTheme="minorHAnsi" w:cs="Arial"/>
          <w:szCs w:val="18"/>
        </w:rPr>
        <w:t xml:space="preserve">a </w:t>
      </w:r>
      <w:r w:rsidR="005C4F8D" w:rsidRPr="00AC29DA">
        <w:rPr>
          <w:rFonts w:eastAsiaTheme="minorHAnsi" w:cs="Arial"/>
          <w:szCs w:val="18"/>
        </w:rPr>
        <w:fldChar w:fldCharType="begin" w:fldLock="1"/>
      </w:r>
      <w:r w:rsidR="009B0DE6" w:rsidRPr="00AC29DA">
        <w:rPr>
          <w:rFonts w:eastAsiaTheme="minorHAnsi" w:cs="Arial"/>
          <w:szCs w:val="18"/>
        </w:rPr>
        <w:instrText>ADDIN CSL_CITATION {"citationItems":[{"id":"ITEM-1","itemData":{"DOI":"10.2478/s11535-007-0038-6","ISSN":"1895104X","abstract":"The present review describes the influence of different types of mixing systems under excess turbulence conditions on microorganisms. Turbohypobiosis phenomena were described by applying a method for measurement of the kinetic energy of flow fluctuations based on the piezoeffect. It can be assumed that the shear stress effect (the state of turbohypobiosis) plays a role mainly when alternative mechanisms in cells cannot ensure a normal physiological state under stress conditions. Practically any system (inner construction of a bioreactor, culture and cultivation conditions, including mixing) requires its own optimisation to achieve the final goal, namely, the maximum product and/or biomass yields from substrate (Y P/S or/and Y X/S ), respectively. Data on the biotechnological performance of cultivation as well as power input, kinetic energy (e) of flow fluctuations, air consumption rate, rotational speed, tip speed, etc. do not correlate directly if the mixing systems (impellers-baffles) are dissimilar. Even the widely used specific power consumption cannot be relied upon for scaling up the cultivation performance using dissimilar mixing systems. A biochemical explanation for substrate and product transport via cell walls, carbon pathways, energy generation and utilisation, etc. furnishes insight into cellular interactions with turbulence of different origin for different types of microorganisms (single cells, mycelia forming cells, etc.). © 2007 Versita Warsaw and Springer-Verlag Berlin Heidelberg.","author":[{"dropping-particle":"","family":"Rikmanis","given":"Maris","non-dropping-particle":"","parse-names":false,"suffix":""},{"dropping-particle":"","family":"Berzinš","given":"Andrejs","non-dropping-particle":"","parse-names":false,"suffix":""},{"dropping-particle":"","family":"Viesturs","given":"Uldis","non-dropping-particle":"","parse-names":false,"suffix":""}],"container-title":"Central European Journal of Biology","id":"ITEM-1","issue":"4","issued":{"date-parts":[["2007"]]},"page":"481-501","title":"Excess turbulence as a cause of turbohypobiosis in cultivation of microorganisms","type":"article-journal","volume":"2"},"uris":["http://www.mendeley.com/documents/?uuid=cdc0a676-d4c3-424d-9436-60dd6ed2f7ba"]}],"mendeley":{"formattedCitation":"(Rikmanis et al., 2007)","manualFormatting":"(Rikmanis et al., 2007)","plainTextFormattedCitation":"(Rikmanis et al., 2007)","previouslyFormattedCitation":"(Rikmanis et al., 2007)"},"properties":{"noteIndex":0},"schema":"https://github.com/citation-style-language/schema/raw/master/csl-citation.json"}</w:instrText>
      </w:r>
      <w:r w:rsidR="005C4F8D" w:rsidRPr="00AC29DA">
        <w:rPr>
          <w:rFonts w:eastAsiaTheme="minorHAnsi" w:cs="Arial"/>
          <w:szCs w:val="18"/>
        </w:rPr>
        <w:fldChar w:fldCharType="separate"/>
      </w:r>
      <w:r w:rsidR="005C4F8D" w:rsidRPr="00AC29DA">
        <w:rPr>
          <w:rFonts w:eastAsiaTheme="minorHAnsi" w:cs="Arial"/>
          <w:noProof/>
          <w:szCs w:val="18"/>
        </w:rPr>
        <w:t>(Rikmanis</w:t>
      </w:r>
      <w:r w:rsidR="008F5BDD" w:rsidRPr="00AC29DA">
        <w:rPr>
          <w:rFonts w:eastAsiaTheme="minorHAnsi" w:cs="Arial"/>
          <w:noProof/>
          <w:szCs w:val="18"/>
        </w:rPr>
        <w:t xml:space="preserve"> et al.</w:t>
      </w:r>
      <w:r w:rsidR="003D6B7F" w:rsidRPr="00AC29DA">
        <w:rPr>
          <w:rFonts w:eastAsiaTheme="minorHAnsi" w:cs="Arial"/>
          <w:noProof/>
          <w:szCs w:val="18"/>
        </w:rPr>
        <w:t>,</w:t>
      </w:r>
      <w:r w:rsidR="005C4F8D" w:rsidRPr="00AC29DA">
        <w:rPr>
          <w:rFonts w:eastAsiaTheme="minorHAnsi" w:cs="Arial"/>
          <w:noProof/>
          <w:szCs w:val="18"/>
        </w:rPr>
        <w:t xml:space="preserve"> 2007)</w:t>
      </w:r>
      <w:r w:rsidR="005C4F8D" w:rsidRPr="00AC29DA">
        <w:rPr>
          <w:rFonts w:eastAsiaTheme="minorHAnsi" w:cs="Arial"/>
          <w:szCs w:val="18"/>
        </w:rPr>
        <w:fldChar w:fldCharType="end"/>
      </w:r>
      <w:r w:rsidR="00370B89" w:rsidRPr="00AC29DA">
        <w:rPr>
          <w:rFonts w:eastAsiaTheme="minorHAnsi" w:cs="Arial"/>
          <w:szCs w:val="18"/>
        </w:rPr>
        <w:t>, such as PHB production, the</w:t>
      </w:r>
      <w:r w:rsidR="000166AE" w:rsidRPr="00AC29DA">
        <w:rPr>
          <w:rFonts w:eastAsiaTheme="minorHAnsi" w:cs="Arial"/>
          <w:szCs w:val="18"/>
        </w:rPr>
        <w:t xml:space="preserve"> </w:t>
      </w:r>
      <w:r w:rsidR="00E84E30" w:rsidRPr="00AC29DA">
        <w:rPr>
          <w:rFonts w:eastAsiaTheme="minorHAnsi" w:cs="Arial"/>
          <w:szCs w:val="18"/>
        </w:rPr>
        <w:t>fluid</w:t>
      </w:r>
      <w:r w:rsidR="008F5156" w:rsidRPr="00AC29DA">
        <w:rPr>
          <w:rFonts w:eastAsiaTheme="minorHAnsi" w:cs="Arial"/>
          <w:szCs w:val="18"/>
        </w:rPr>
        <w:t xml:space="preserve"> </w:t>
      </w:r>
      <w:r w:rsidR="00E84E30" w:rsidRPr="00AC29DA">
        <w:rPr>
          <w:rFonts w:eastAsiaTheme="minorHAnsi" w:cs="Arial"/>
          <w:szCs w:val="18"/>
        </w:rPr>
        <w:t>dynamic</w:t>
      </w:r>
      <w:r w:rsidR="008F5156" w:rsidRPr="00AC29DA">
        <w:rPr>
          <w:rFonts w:eastAsiaTheme="minorHAnsi" w:cs="Arial"/>
          <w:szCs w:val="18"/>
        </w:rPr>
        <w:t>s</w:t>
      </w:r>
      <w:r w:rsidR="00E84E30" w:rsidRPr="00AC29DA">
        <w:rPr>
          <w:rFonts w:eastAsiaTheme="minorHAnsi" w:cs="Arial"/>
          <w:szCs w:val="18"/>
        </w:rPr>
        <w:t xml:space="preserve"> of the system</w:t>
      </w:r>
      <w:r w:rsidR="00EA2396" w:rsidRPr="00AC29DA">
        <w:rPr>
          <w:rFonts w:eastAsiaTheme="minorHAnsi" w:cs="Arial"/>
          <w:szCs w:val="18"/>
        </w:rPr>
        <w:t xml:space="preserve"> </w:t>
      </w:r>
      <w:r w:rsidR="00370B89" w:rsidRPr="00AC29DA">
        <w:rPr>
          <w:rFonts w:eastAsiaTheme="minorHAnsi" w:cs="Arial"/>
          <w:szCs w:val="18"/>
        </w:rPr>
        <w:t>should be controlled</w:t>
      </w:r>
      <w:r w:rsidR="00D80A9B" w:rsidRPr="00AC29DA">
        <w:rPr>
          <w:rFonts w:eastAsiaTheme="minorHAnsi" w:cs="Arial"/>
          <w:szCs w:val="18"/>
        </w:rPr>
        <w:t xml:space="preserve"> to</w:t>
      </w:r>
      <w:r w:rsidR="00370B89" w:rsidRPr="00AC29DA">
        <w:rPr>
          <w:rFonts w:eastAsiaTheme="minorHAnsi" w:cs="Arial"/>
          <w:szCs w:val="18"/>
        </w:rPr>
        <w:t xml:space="preserve"> avoid a turbulent regime</w:t>
      </w:r>
      <w:r w:rsidR="00EA2396" w:rsidRPr="00AC29DA">
        <w:rPr>
          <w:rFonts w:eastAsiaTheme="minorHAnsi" w:cs="Arial"/>
          <w:szCs w:val="18"/>
        </w:rPr>
        <w:t xml:space="preserve">. In bubble column reactors, </w:t>
      </w:r>
      <w:r w:rsidR="008E3B5C" w:rsidRPr="00AC29DA">
        <w:rPr>
          <w:rFonts w:eastAsiaTheme="minorHAnsi" w:cs="Arial"/>
          <w:szCs w:val="18"/>
        </w:rPr>
        <w:t>which are commonly used bioreactors</w:t>
      </w:r>
      <w:r w:rsidR="00496413" w:rsidRPr="00AC29DA">
        <w:rPr>
          <w:rFonts w:eastAsiaTheme="minorHAnsi" w:cs="Arial"/>
          <w:szCs w:val="18"/>
        </w:rPr>
        <w:t xml:space="preserve"> </w:t>
      </w:r>
      <w:r w:rsidR="00496413" w:rsidRPr="00AC29DA">
        <w:rPr>
          <w:rFonts w:eastAsiaTheme="minorHAnsi" w:cs="Arial"/>
          <w:szCs w:val="18"/>
        </w:rPr>
        <w:fldChar w:fldCharType="begin" w:fldLock="1"/>
      </w:r>
      <w:r w:rsidR="009B0DE6" w:rsidRPr="00AC29DA">
        <w:rPr>
          <w:rFonts w:eastAsiaTheme="minorHAnsi" w:cs="Arial"/>
          <w:szCs w:val="18"/>
        </w:rPr>
        <w:instrText>ADDIN CSL_CITATION {"citationItems":[{"id":"ITEM-1","itemData":{"DOI":"10.3390/chemengineering2020013","ISSN":"23057084","abstract":"We present a comprehensive literature review on the two-phase bubble column; in this review we deeply analyze the flow regimes, the flow regime transitions, the local and global fluid dynamics parameters, and the mass transfer phenomena. First, we discuss the flow regimes, the flow regime transitions, the local and global fluid dynamics parameters, and the mass transfer. We also discuss how the operating parameters (i.e., pressure, temperature, and gas and liquid flow rates), the operating modes (i.e., the co-current, the counter-current and the batch modes), the liquid and gas phase properties, and the design parameters (i.e., gas sparger design, column diameter and aspect ratio) influence the flow regime transitions and the fluid dynamics parameters. Secondly, we present the experimental techniques for studying the global and local fluid dynamic properties. Finally, we present the modeling approaches to study the global and local bubble column fluid dynamics, and we outline the major issues to be solved in future studies.","author":[{"dropping-particle":"","family":"Besagni","given":"Giorgio","non-dropping-particle":"","parse-names":false,"suffix":""},{"dropping-particle":"","family":"Inzoli","given":"Fabio","non-dropping-particle":"","parse-names":false,"suffix":""},{"dropping-particle":"","family":"Ziegenhein","given":"Thomas","non-dropping-particle":"","parse-names":false,"suffix":""}],"container-title":"ChemEngineering","id":"ITEM-1","issue":"2","issued":{"date-parts":[["2018"]]},"page":"1-80","title":"Two-phase bubble columns: A comprehensive review","type":"article-journal","volume":"2"},"uris":["http://www.mendeley.com/documents/?uuid=b5d3ed85-b0e0-49d1-b4fd-8ba2d709e235"]}],"mendeley":{"formattedCitation":"(Besagni et al., 2018)","manualFormatting":"(Besagni et al., 2018)","plainTextFormattedCitation":"(Besagni et al., 2018)","previouslyFormattedCitation":"(Besagni et al., 2018)"},"properties":{"noteIndex":0},"schema":"https://github.com/citation-style-language/schema/raw/master/csl-citation.json"}</w:instrText>
      </w:r>
      <w:r w:rsidR="00496413" w:rsidRPr="00AC29DA">
        <w:rPr>
          <w:rFonts w:eastAsiaTheme="minorHAnsi" w:cs="Arial"/>
          <w:szCs w:val="18"/>
        </w:rPr>
        <w:fldChar w:fldCharType="separate"/>
      </w:r>
      <w:r w:rsidR="00496413" w:rsidRPr="00AC29DA">
        <w:rPr>
          <w:rFonts w:eastAsiaTheme="minorHAnsi" w:cs="Arial"/>
          <w:noProof/>
          <w:szCs w:val="18"/>
        </w:rPr>
        <w:t>(Besagni</w:t>
      </w:r>
      <w:r w:rsidR="008F5BDD" w:rsidRPr="00AC29DA">
        <w:rPr>
          <w:rFonts w:eastAsiaTheme="minorHAnsi" w:cs="Arial"/>
          <w:noProof/>
          <w:szCs w:val="18"/>
        </w:rPr>
        <w:t xml:space="preserve"> et al.</w:t>
      </w:r>
      <w:r w:rsidR="003D6B7F" w:rsidRPr="00AC29DA">
        <w:rPr>
          <w:rFonts w:eastAsiaTheme="minorHAnsi" w:cs="Arial"/>
          <w:noProof/>
          <w:szCs w:val="18"/>
        </w:rPr>
        <w:t>,</w:t>
      </w:r>
      <w:r w:rsidR="008F5BDD" w:rsidRPr="00AC29DA">
        <w:rPr>
          <w:rFonts w:eastAsiaTheme="minorHAnsi" w:cs="Arial"/>
          <w:noProof/>
          <w:szCs w:val="18"/>
        </w:rPr>
        <w:t xml:space="preserve"> </w:t>
      </w:r>
      <w:r w:rsidR="00496413" w:rsidRPr="00AC29DA">
        <w:rPr>
          <w:rFonts w:eastAsiaTheme="minorHAnsi" w:cs="Arial"/>
          <w:noProof/>
          <w:szCs w:val="18"/>
        </w:rPr>
        <w:t>2018)</w:t>
      </w:r>
      <w:r w:rsidR="00496413" w:rsidRPr="00AC29DA">
        <w:rPr>
          <w:rFonts w:eastAsiaTheme="minorHAnsi" w:cs="Arial"/>
          <w:szCs w:val="18"/>
        </w:rPr>
        <w:fldChar w:fldCharType="end"/>
      </w:r>
      <w:r w:rsidR="008E3B5C" w:rsidRPr="00AC29DA">
        <w:rPr>
          <w:rFonts w:eastAsiaTheme="minorHAnsi" w:cs="Arial"/>
          <w:szCs w:val="18"/>
        </w:rPr>
        <w:t>, turbulent conditions are</w:t>
      </w:r>
      <w:r w:rsidR="00EA2396" w:rsidRPr="00AC29DA">
        <w:rPr>
          <w:rFonts w:eastAsiaTheme="minorHAnsi" w:cs="Arial"/>
          <w:szCs w:val="18"/>
        </w:rPr>
        <w:t xml:space="preserve"> represented by the </w:t>
      </w:r>
      <w:r w:rsidR="0016470B" w:rsidRPr="00AC29DA">
        <w:rPr>
          <w:rFonts w:eastAsiaTheme="minorHAnsi" w:cs="Arial"/>
          <w:szCs w:val="18"/>
        </w:rPr>
        <w:t>so-</w:t>
      </w:r>
      <w:r w:rsidR="00EA2396" w:rsidRPr="00AC29DA">
        <w:rPr>
          <w:rFonts w:eastAsiaTheme="minorHAnsi" w:cs="Arial"/>
          <w:szCs w:val="18"/>
        </w:rPr>
        <w:t>called “heterogeneous regime”, which start</w:t>
      </w:r>
      <w:r w:rsidR="00B6115F" w:rsidRPr="00AC29DA">
        <w:rPr>
          <w:rFonts w:eastAsiaTheme="minorHAnsi" w:cs="Arial"/>
          <w:szCs w:val="18"/>
        </w:rPr>
        <w:t>s</w:t>
      </w:r>
      <w:r w:rsidR="00EA2396" w:rsidRPr="00AC29DA">
        <w:rPr>
          <w:rFonts w:eastAsiaTheme="minorHAnsi" w:cs="Arial"/>
          <w:szCs w:val="18"/>
        </w:rPr>
        <w:t xml:space="preserve"> when the transition gas hold</w:t>
      </w:r>
      <w:r w:rsidR="008E3B5C" w:rsidRPr="00AC29DA">
        <w:rPr>
          <w:rFonts w:eastAsiaTheme="minorHAnsi" w:cs="Arial"/>
          <w:szCs w:val="18"/>
        </w:rPr>
        <w:t>-</w:t>
      </w:r>
      <w:r w:rsidR="00EA2396" w:rsidRPr="00AC29DA">
        <w:rPr>
          <w:rFonts w:eastAsiaTheme="minorHAnsi" w:cs="Arial"/>
          <w:szCs w:val="18"/>
        </w:rPr>
        <w:t>up</w:t>
      </w:r>
      <w:r w:rsidR="008E3B5C" w:rsidRPr="00AC29DA">
        <w:rPr>
          <w:rFonts w:eastAsiaTheme="minorHAnsi" w:cs="Arial"/>
          <w:szCs w:val="18"/>
        </w:rPr>
        <w:t xml:space="preserve"> (</w:t>
      </w:r>
      <w:proofErr w:type="spellStart"/>
      <w:r w:rsidR="008E3B5C" w:rsidRPr="00AC29DA">
        <w:rPr>
          <w:rFonts w:eastAsiaTheme="minorHAnsi" w:cs="Arial"/>
          <w:i/>
          <w:iCs/>
          <w:szCs w:val="18"/>
        </w:rPr>
        <w:t>ε</w:t>
      </w:r>
      <w:r w:rsidR="008E3B5C" w:rsidRPr="00AC29DA">
        <w:rPr>
          <w:rFonts w:eastAsiaTheme="minorHAnsi" w:cs="Arial"/>
          <w:i/>
          <w:iCs/>
          <w:szCs w:val="18"/>
          <w:vertAlign w:val="subscript"/>
        </w:rPr>
        <w:t>t</w:t>
      </w:r>
      <w:proofErr w:type="spellEnd"/>
      <w:r w:rsidR="008E3B5C" w:rsidRPr="00AC29DA">
        <w:rPr>
          <w:rFonts w:eastAsiaTheme="minorHAnsi" w:cs="Arial"/>
          <w:szCs w:val="18"/>
        </w:rPr>
        <w:t>)</w:t>
      </w:r>
      <w:r w:rsidR="00EA2396" w:rsidRPr="00AC29DA">
        <w:rPr>
          <w:rFonts w:eastAsiaTheme="minorHAnsi" w:cs="Arial"/>
          <w:szCs w:val="18"/>
        </w:rPr>
        <w:t xml:space="preserve"> and superficial gas </w:t>
      </w:r>
      <w:r w:rsidR="00EA2396" w:rsidRPr="00AC29DA">
        <w:rPr>
          <w:rFonts w:eastAsiaTheme="minorHAnsi" w:cs="Arial"/>
          <w:szCs w:val="18"/>
        </w:rPr>
        <w:lastRenderedPageBreak/>
        <w:t>velocity</w:t>
      </w:r>
      <w:r w:rsidR="008E3B5C" w:rsidRPr="00AC29DA">
        <w:rPr>
          <w:rFonts w:eastAsiaTheme="minorHAnsi" w:cs="Arial"/>
          <w:szCs w:val="18"/>
        </w:rPr>
        <w:t xml:space="preserve"> (</w:t>
      </w:r>
      <w:r w:rsidR="008E3B5C" w:rsidRPr="00AC29DA">
        <w:rPr>
          <w:rFonts w:eastAsiaTheme="minorHAnsi" w:cs="Arial"/>
          <w:i/>
          <w:iCs/>
          <w:szCs w:val="18"/>
        </w:rPr>
        <w:t>U</w:t>
      </w:r>
      <w:r w:rsidR="008E3B5C" w:rsidRPr="00AC29DA">
        <w:rPr>
          <w:rFonts w:eastAsiaTheme="minorHAnsi" w:cs="Arial"/>
          <w:i/>
          <w:iCs/>
          <w:szCs w:val="18"/>
          <w:vertAlign w:val="subscript"/>
        </w:rPr>
        <w:t>t</w:t>
      </w:r>
      <w:r w:rsidR="008E3B5C" w:rsidRPr="00AC29DA">
        <w:rPr>
          <w:rFonts w:eastAsiaTheme="minorHAnsi" w:cs="Arial"/>
          <w:szCs w:val="18"/>
        </w:rPr>
        <w:t>)</w:t>
      </w:r>
      <w:r w:rsidR="00EA2396" w:rsidRPr="00AC29DA">
        <w:rPr>
          <w:rFonts w:eastAsiaTheme="minorHAnsi" w:cs="Arial"/>
          <w:szCs w:val="18"/>
        </w:rPr>
        <w:t xml:space="preserve"> are overcome</w:t>
      </w:r>
      <w:r w:rsidR="005C4F8D" w:rsidRPr="00AC29DA">
        <w:rPr>
          <w:rFonts w:eastAsiaTheme="minorHAnsi" w:cs="Arial"/>
          <w:szCs w:val="18"/>
        </w:rPr>
        <w:t xml:space="preserve"> </w:t>
      </w:r>
      <w:r w:rsidR="005C4F8D" w:rsidRPr="00AC29DA">
        <w:rPr>
          <w:rFonts w:eastAsiaTheme="minorHAnsi" w:cs="Arial"/>
          <w:szCs w:val="18"/>
        </w:rPr>
        <w:fldChar w:fldCharType="begin" w:fldLock="1"/>
      </w:r>
      <w:r w:rsidR="00CC7F36" w:rsidRPr="00AC29DA">
        <w:rPr>
          <w:rFonts w:eastAsiaTheme="minorHAnsi" w:cs="Arial"/>
          <w:szCs w:val="18"/>
        </w:rPr>
        <w:instrText>ADDIN CSL_CITATION {"citationItems":[{"id":"ITEM-1","itemData":{"DOI":"10.1016/j.cesx.2019.100023","ISSN":"25901400","abstract":"In the present work, a data-driven model for identification of flow regime in a bubble column is developed by combining data from optical probe technique and machine learning. Optical probe data from previous work was combined with new data in the present work to expand the database for model development. A novel methodology for determination of two key parameters from the optical probe signal, bubble time and characteristic time of the signal, is presented. The significance of these two parameters is that they contain rich information on operating flow regime in the bubble column. A map of these two parameters for various operating conditions is created, showing points belonging to identical flow regime lie in a cluster. A machine learning methodology based on support vector analysis was developed to identify flow regime using map developed in this work. This approach was able to uniquely classify flow regimes for various experimental conditions on single map, which is the highlight of this work.","author":[{"dropping-particle":"","family":"Manjrekar","given":"Onkar N.","non-dropping-particle":"","parse-names":false,"suffix":""},{"dropping-particle":"","family":"Dudukovic","given":"Milorad P.","non-dropping-particle":"","parse-names":false,"suffix":""}],"container-title":"Chemical Engineering Science: X","id":"ITEM-1","issued":{"date-parts":[["2019"]]},"page":"100023","publisher":"Elsevier LTD","title":"Identification of flow regime in a bubble column reactor with a combination of optical probe data and machine learning technique","type":"article-journal","volume":"2"},"uris":["http://www.mendeley.com/documents/?uuid=b3f18462-7d33-49a2-99af-7d247c8287be"]}],"mendeley":{"formattedCitation":"(Manjrekar and Dudukovic, 2019)","manualFormatting":"(Manjrekar and Dudukovic, 2019)","plainTextFormattedCitation":"(Manjrekar and Dudukovic, 2019)","previouslyFormattedCitation":"(Manjrekar and Dudukovic, 2019)"},"properties":{"noteIndex":0},"schema":"https://github.com/citation-style-language/schema/raw/master/csl-citation.json"}</w:instrText>
      </w:r>
      <w:r w:rsidR="005C4F8D" w:rsidRPr="00AC29DA">
        <w:rPr>
          <w:rFonts w:eastAsiaTheme="minorHAnsi" w:cs="Arial"/>
          <w:szCs w:val="18"/>
        </w:rPr>
        <w:fldChar w:fldCharType="separate"/>
      </w:r>
      <w:r w:rsidR="005C4F8D" w:rsidRPr="00AC29DA">
        <w:rPr>
          <w:rFonts w:eastAsiaTheme="minorHAnsi" w:cs="Arial"/>
          <w:noProof/>
          <w:szCs w:val="18"/>
        </w:rPr>
        <w:t>(Manjrekar and Dudukovic</w:t>
      </w:r>
      <w:r w:rsidR="003D6B7F" w:rsidRPr="00AC29DA">
        <w:rPr>
          <w:rFonts w:eastAsiaTheme="minorHAnsi" w:cs="Arial"/>
          <w:noProof/>
          <w:szCs w:val="18"/>
        </w:rPr>
        <w:t>,</w:t>
      </w:r>
      <w:r w:rsidR="005C4F8D" w:rsidRPr="00AC29DA">
        <w:rPr>
          <w:rFonts w:eastAsiaTheme="minorHAnsi" w:cs="Arial"/>
          <w:noProof/>
          <w:szCs w:val="18"/>
        </w:rPr>
        <w:t xml:space="preserve"> 2019)</w:t>
      </w:r>
      <w:r w:rsidR="005C4F8D" w:rsidRPr="00AC29DA">
        <w:rPr>
          <w:rFonts w:eastAsiaTheme="minorHAnsi" w:cs="Arial"/>
          <w:szCs w:val="18"/>
        </w:rPr>
        <w:fldChar w:fldCharType="end"/>
      </w:r>
      <w:r w:rsidR="00EA2396" w:rsidRPr="00AC29DA">
        <w:rPr>
          <w:rFonts w:eastAsiaTheme="minorHAnsi" w:cs="Arial"/>
          <w:szCs w:val="18"/>
        </w:rPr>
        <w:t>.</w:t>
      </w:r>
      <w:r w:rsidR="00AA7BD8" w:rsidRPr="00AC29DA">
        <w:rPr>
          <w:rFonts w:eastAsiaTheme="minorHAnsi" w:cs="Arial"/>
          <w:szCs w:val="18"/>
        </w:rPr>
        <w:t xml:space="preserve"> Therefore, </w:t>
      </w:r>
      <w:r w:rsidR="00496413" w:rsidRPr="00AC29DA">
        <w:rPr>
          <w:rFonts w:eastAsiaTheme="minorHAnsi" w:cs="Arial"/>
          <w:szCs w:val="18"/>
        </w:rPr>
        <w:t>to</w:t>
      </w:r>
      <w:r w:rsidR="00370B89" w:rsidRPr="00AC29DA">
        <w:rPr>
          <w:rFonts w:eastAsiaTheme="minorHAnsi" w:cs="Arial"/>
          <w:szCs w:val="18"/>
        </w:rPr>
        <w:t xml:space="preserve"> guarantee </w:t>
      </w:r>
      <w:r w:rsidR="003E3F0A" w:rsidRPr="00AC29DA">
        <w:rPr>
          <w:rFonts w:eastAsiaTheme="minorHAnsi" w:cs="Arial"/>
          <w:szCs w:val="18"/>
        </w:rPr>
        <w:t>the permanence of the</w:t>
      </w:r>
      <w:r w:rsidR="00370B89" w:rsidRPr="00AC29DA">
        <w:rPr>
          <w:rFonts w:eastAsiaTheme="minorHAnsi" w:cs="Arial"/>
          <w:szCs w:val="18"/>
        </w:rPr>
        <w:t xml:space="preserve"> homogeneous regime (Figure </w:t>
      </w:r>
      <w:r w:rsidR="00AA7BD8" w:rsidRPr="00AC29DA">
        <w:rPr>
          <w:rFonts w:eastAsiaTheme="minorHAnsi" w:cs="Arial"/>
          <w:szCs w:val="18"/>
        </w:rPr>
        <w:t>1</w:t>
      </w:r>
      <w:r w:rsidR="00370B89" w:rsidRPr="00AC29DA">
        <w:rPr>
          <w:rFonts w:eastAsiaTheme="minorHAnsi" w:cs="Arial"/>
          <w:szCs w:val="18"/>
        </w:rPr>
        <w:t xml:space="preserve">), a </w:t>
      </w:r>
      <w:r w:rsidR="0016470B" w:rsidRPr="00AC29DA">
        <w:rPr>
          <w:rFonts w:eastAsiaTheme="minorHAnsi" w:cs="Arial"/>
          <w:szCs w:val="18"/>
        </w:rPr>
        <w:t xml:space="preserve">proper </w:t>
      </w:r>
      <w:r w:rsidR="00370B89" w:rsidRPr="00AC29DA">
        <w:rPr>
          <w:rFonts w:eastAsiaTheme="minorHAnsi" w:cs="Arial"/>
          <w:szCs w:val="18"/>
        </w:rPr>
        <w:t xml:space="preserve">estimation of the transition parameters is required. </w:t>
      </w:r>
    </w:p>
    <w:p w14:paraId="7DF889E0" w14:textId="34A35F46" w:rsidR="00BA6250" w:rsidRPr="00AC29DA" w:rsidRDefault="00BA6250" w:rsidP="001E6024">
      <w:pPr>
        <w:jc w:val="left"/>
        <w:rPr>
          <w:rFonts w:eastAsiaTheme="minorHAnsi" w:cs="Arial"/>
          <w:szCs w:val="18"/>
        </w:rPr>
      </w:pPr>
      <w:r w:rsidRPr="00AC29DA">
        <w:rPr>
          <w:rFonts w:eastAsiaTheme="minorHAnsi" w:cs="Arial"/>
          <w:noProof/>
          <w:szCs w:val="18"/>
          <w:lang w:val="it-IT" w:eastAsia="it-IT"/>
        </w:rPr>
        <w:drawing>
          <wp:inline distT="0" distB="0" distL="0" distR="0" wp14:anchorId="5F2B86D2" wp14:editId="3A497156">
            <wp:extent cx="3009900" cy="275243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stretch>
                      <a:fillRect/>
                    </a:stretch>
                  </pic:blipFill>
                  <pic:spPr>
                    <a:xfrm>
                      <a:off x="0" y="0"/>
                      <a:ext cx="3052967" cy="2791816"/>
                    </a:xfrm>
                    <a:prstGeom prst="rect">
                      <a:avLst/>
                    </a:prstGeom>
                  </pic:spPr>
                </pic:pic>
              </a:graphicData>
            </a:graphic>
          </wp:inline>
        </w:drawing>
      </w:r>
    </w:p>
    <w:p w14:paraId="7A8AC848" w14:textId="7FAEA39D" w:rsidR="00BA6250" w:rsidRPr="00AC29DA" w:rsidRDefault="00BA6250" w:rsidP="002709A6">
      <w:pPr>
        <w:pStyle w:val="CETCaption"/>
        <w:spacing w:before="0" w:after="0"/>
      </w:pPr>
      <w:r w:rsidRPr="00AC29DA">
        <w:rPr>
          <w:rStyle w:val="CETCaptionCarattere"/>
          <w:i/>
        </w:rPr>
        <w:t>Figure 1: Flow regimes in bubble columns</w:t>
      </w:r>
      <w:r w:rsidRPr="00AC29DA">
        <w:t xml:space="preserve"> </w:t>
      </w:r>
    </w:p>
    <w:p w14:paraId="7C84C5EF" w14:textId="77777777" w:rsidR="00BA6250" w:rsidRPr="00AC29DA" w:rsidRDefault="00BA6250" w:rsidP="00E66B30">
      <w:pPr>
        <w:rPr>
          <w:rFonts w:eastAsiaTheme="minorHAnsi" w:cs="Arial"/>
          <w:szCs w:val="18"/>
        </w:rPr>
      </w:pPr>
    </w:p>
    <w:p w14:paraId="32A865CD" w14:textId="01563DEC" w:rsidR="0016470B" w:rsidRPr="00AC29DA" w:rsidRDefault="0016470B" w:rsidP="00E66B30">
      <w:pPr>
        <w:rPr>
          <w:rFonts w:eastAsiaTheme="minorHAnsi" w:cs="Arial"/>
          <w:szCs w:val="18"/>
        </w:rPr>
      </w:pPr>
      <w:r w:rsidRPr="00AC29DA">
        <w:rPr>
          <w:rFonts w:eastAsiaTheme="minorHAnsi" w:cs="Arial"/>
          <w:szCs w:val="18"/>
        </w:rPr>
        <w:t>When the reactor diameter (</w:t>
      </w:r>
      <w:r w:rsidRPr="00AC29DA">
        <w:rPr>
          <w:rFonts w:eastAsiaTheme="minorHAnsi" w:cs="Arial"/>
          <w:i/>
          <w:iCs/>
          <w:szCs w:val="18"/>
        </w:rPr>
        <w:t>D</w:t>
      </w:r>
      <w:r w:rsidRPr="00AC29DA">
        <w:rPr>
          <w:rFonts w:eastAsiaTheme="minorHAnsi" w:cs="Arial"/>
          <w:szCs w:val="18"/>
        </w:rPr>
        <w:t>), the height of the liquid (</w:t>
      </w:r>
      <w:r w:rsidRPr="00AC29DA">
        <w:rPr>
          <w:rFonts w:eastAsiaTheme="minorHAnsi" w:cs="Arial"/>
          <w:i/>
          <w:iCs/>
          <w:szCs w:val="18"/>
        </w:rPr>
        <w:t>H</w:t>
      </w:r>
      <w:r w:rsidRPr="00AC29DA">
        <w:rPr>
          <w:rFonts w:eastAsiaTheme="minorHAnsi" w:cs="Arial"/>
          <w:szCs w:val="18"/>
        </w:rPr>
        <w:t>) and the superficial gas velocity change, some alterations can be observed in flow regime, phase hold-up and mass transfer characteristics.</w:t>
      </w:r>
    </w:p>
    <w:p w14:paraId="0CEABFF1" w14:textId="1D6A9A6C" w:rsidR="00AA74EB" w:rsidRPr="00AC29DA" w:rsidRDefault="00370B89" w:rsidP="00E66B30">
      <w:pPr>
        <w:rPr>
          <w:rFonts w:eastAsiaTheme="minorHAnsi" w:cs="Arial"/>
          <w:szCs w:val="18"/>
        </w:rPr>
      </w:pPr>
      <w:r w:rsidRPr="00AC29DA">
        <w:rPr>
          <w:rFonts w:eastAsiaTheme="minorHAnsi" w:cs="Arial"/>
          <w:szCs w:val="18"/>
        </w:rPr>
        <w:t xml:space="preserve">Many authors developed correlations for the calculation of </w:t>
      </w:r>
      <w:proofErr w:type="spellStart"/>
      <w:r w:rsidR="00AA7BD8" w:rsidRPr="00AC29DA">
        <w:rPr>
          <w:rFonts w:eastAsiaTheme="minorHAnsi" w:cs="Arial"/>
          <w:i/>
          <w:iCs/>
          <w:szCs w:val="18"/>
        </w:rPr>
        <w:t>ε</w:t>
      </w:r>
      <w:r w:rsidR="00AA7BD8" w:rsidRPr="00AC29DA">
        <w:rPr>
          <w:rFonts w:eastAsiaTheme="minorHAnsi" w:cs="Arial"/>
          <w:i/>
          <w:iCs/>
          <w:szCs w:val="18"/>
          <w:vertAlign w:val="subscript"/>
        </w:rPr>
        <w:t>t</w:t>
      </w:r>
      <w:proofErr w:type="spellEnd"/>
      <w:r w:rsidRPr="00AC29DA">
        <w:rPr>
          <w:rFonts w:eastAsiaTheme="minorHAnsi" w:cs="Arial"/>
          <w:szCs w:val="18"/>
        </w:rPr>
        <w:t xml:space="preserve"> and </w:t>
      </w:r>
      <w:r w:rsidR="00AA7BD8" w:rsidRPr="00AC29DA">
        <w:rPr>
          <w:rFonts w:eastAsiaTheme="minorHAnsi" w:cs="Arial"/>
          <w:i/>
          <w:iCs/>
          <w:szCs w:val="18"/>
        </w:rPr>
        <w:t>U</w:t>
      </w:r>
      <w:r w:rsidR="00AA7BD8" w:rsidRPr="00AC29DA">
        <w:rPr>
          <w:rFonts w:eastAsiaTheme="minorHAnsi" w:cs="Arial"/>
          <w:i/>
          <w:iCs/>
          <w:szCs w:val="18"/>
          <w:vertAlign w:val="subscript"/>
        </w:rPr>
        <w:t>t</w:t>
      </w:r>
      <w:r w:rsidR="005C4F8D" w:rsidRPr="00AC29DA">
        <w:rPr>
          <w:rFonts w:eastAsiaTheme="minorHAnsi" w:cs="Arial"/>
          <w:szCs w:val="18"/>
          <w:vertAlign w:val="subscript"/>
        </w:rPr>
        <w:t xml:space="preserve"> </w:t>
      </w:r>
      <w:r w:rsidR="005C4F8D" w:rsidRPr="00AC29DA">
        <w:rPr>
          <w:rFonts w:eastAsiaTheme="minorHAnsi" w:cs="Arial"/>
          <w:szCs w:val="18"/>
          <w:vertAlign w:val="subscript"/>
        </w:rPr>
        <w:fldChar w:fldCharType="begin" w:fldLock="1"/>
      </w:r>
      <w:r w:rsidR="00CC7F36" w:rsidRPr="00AC29DA">
        <w:rPr>
          <w:rFonts w:eastAsiaTheme="minorHAnsi" w:cs="Arial"/>
          <w:szCs w:val="18"/>
          <w:vertAlign w:val="subscript"/>
        </w:rPr>
        <w:instrText>ADDIN CSL_CITATION {"citationItems":[{"id":"ITEM-1","itemData":{"author":[{"dropping-particle":"","family":"Urseanu","given":"M. I.","non-dropping-particle":"","parse-names":false,"suffix":""}],"id":"ITEM-1","issued":{"date-parts":[["2000"]]},"number-of-pages":"1-179","publisher":"University of Amsterdam","title":"Scaling up bubble column reactors","type":"thesis"},"uris":["http://www.mendeley.com/documents/?uuid=16464266-d821-4521-b75a-8ab042038947"]}],"mendeley":{"formattedCitation":"(Urseanu, 2000)","manualFormatting":"(Urseanu, 2000)","plainTextFormattedCitation":"(Urseanu, 2000)","previouslyFormattedCitation":"(Urseanu, 2000)"},"properties":{"noteIndex":0},"schema":"https://github.com/citation-style-language/schema/raw/master/csl-citation.json"}</w:instrText>
      </w:r>
      <w:r w:rsidR="005C4F8D" w:rsidRPr="00AC29DA">
        <w:rPr>
          <w:rFonts w:eastAsiaTheme="minorHAnsi" w:cs="Arial"/>
          <w:szCs w:val="18"/>
          <w:vertAlign w:val="subscript"/>
        </w:rPr>
        <w:fldChar w:fldCharType="separate"/>
      </w:r>
      <w:r w:rsidR="005C4F8D" w:rsidRPr="00AC29DA">
        <w:rPr>
          <w:rFonts w:eastAsiaTheme="minorHAnsi" w:cs="Arial"/>
          <w:noProof/>
          <w:szCs w:val="18"/>
        </w:rPr>
        <w:t>(Urseanu</w:t>
      </w:r>
      <w:r w:rsidR="003D6B7F" w:rsidRPr="00AC29DA">
        <w:rPr>
          <w:rFonts w:eastAsiaTheme="minorHAnsi" w:cs="Arial"/>
          <w:noProof/>
          <w:szCs w:val="18"/>
        </w:rPr>
        <w:t>,</w:t>
      </w:r>
      <w:r w:rsidR="005C4F8D" w:rsidRPr="00AC29DA">
        <w:rPr>
          <w:rFonts w:eastAsiaTheme="minorHAnsi" w:cs="Arial"/>
          <w:noProof/>
          <w:szCs w:val="18"/>
        </w:rPr>
        <w:t xml:space="preserve"> 2000)</w:t>
      </w:r>
      <w:r w:rsidR="005C4F8D" w:rsidRPr="00AC29DA">
        <w:rPr>
          <w:rFonts w:eastAsiaTheme="minorHAnsi" w:cs="Arial"/>
          <w:szCs w:val="18"/>
          <w:vertAlign w:val="subscript"/>
        </w:rPr>
        <w:fldChar w:fldCharType="end"/>
      </w:r>
      <w:r w:rsidRPr="00AC29DA">
        <w:rPr>
          <w:rFonts w:eastAsiaTheme="minorHAnsi" w:cs="Arial"/>
          <w:szCs w:val="18"/>
        </w:rPr>
        <w:t>, some of them relating t</w:t>
      </w:r>
      <w:r w:rsidR="00D11FC7" w:rsidRPr="00AC29DA">
        <w:rPr>
          <w:rFonts w:eastAsiaTheme="minorHAnsi" w:cs="Arial"/>
          <w:szCs w:val="18"/>
        </w:rPr>
        <w:t>hese parameters to</w:t>
      </w:r>
      <w:r w:rsidR="006E0EA4" w:rsidRPr="00AC29DA">
        <w:rPr>
          <w:rFonts w:eastAsiaTheme="minorHAnsi" w:cs="Arial"/>
          <w:szCs w:val="18"/>
        </w:rPr>
        <w:t xml:space="preserve"> the geometry of the reactors</w:t>
      </w:r>
      <w:r w:rsidR="005C4F8D" w:rsidRPr="00AC29DA">
        <w:rPr>
          <w:rFonts w:eastAsiaTheme="minorHAnsi" w:cs="Arial"/>
          <w:szCs w:val="18"/>
        </w:rPr>
        <w:t xml:space="preserve"> </w:t>
      </w:r>
      <w:r w:rsidR="005C4F8D" w:rsidRPr="00AC29DA">
        <w:rPr>
          <w:rFonts w:eastAsiaTheme="minorHAnsi" w:cs="Arial"/>
          <w:szCs w:val="18"/>
        </w:rPr>
        <w:fldChar w:fldCharType="begin" w:fldLock="1"/>
      </w:r>
      <w:r w:rsidR="009B0DE6" w:rsidRPr="00AC29DA">
        <w:rPr>
          <w:rFonts w:eastAsiaTheme="minorHAnsi" w:cs="Arial"/>
          <w:szCs w:val="18"/>
        </w:rPr>
        <w:instrText>ADDIN CSL_CITATION {"citationItems":[{"id":"ITEM-1","itemData":{"DOI":"10.1016/S0009-2509(01)00215-9","ISSN":"00092509","abstract":"For the first time, detailed and consistent experimental data are presented on the effect of column size on the homogeneous-heterogeneous regime transition in bubble columns. Systematic measurements were performed in air-water bubble columns of diameters 0.14, 0.29 and 0.4 m and heights between 0.1 and 1.2 m. The critical point where the homogeneous regime looses stability and the transition begins was evaluated from the drift-flux plot. The results show that both the column height and width destabilize the homogeneous regime and advance the transition. Our data were compared with predictions of two available stability theories. Both the theories agree with the data relatively well. Our results also suggest that the column aspect ratio alone cannot replace the simultaneous effect of the column height and width. © 2001 Elsevier Science Ltd. All rights reserved.","author":[{"dropping-particle":"","family":"Ruzicka","given":"M. C.","non-dropping-particle":"","parse-names":false,"suffix":""},{"dropping-particle":"","family":"Drahoš","given":"J.","non-dropping-particle":"","parse-names":false,"suffix":""},{"dropping-particle":"","family":"Fialová","given":"M.","non-dropping-particle":"","parse-names":false,"suffix":""},{"dropping-particle":"","family":"Thomas","given":"N. H.","non-dropping-particle":"","parse-names":false,"suffix":""}],"container-title":"Chemical Engineering Science","id":"ITEM-1","issue":"21-22","issued":{"date-parts":[["2001"]]},"page":"6117-6124","title":"Effect of bubble column dimensions on flow regime transition","type":"article-journal","volume":"56"},"uris":["http://www.mendeley.com/documents/?uuid=be8c3a45-4024-4242-bca7-ce59a92cac68"]}],"mendeley":{"formattedCitation":"(Ruzicka et al., 2001)","manualFormatting":"(Ruzicka et al., 2001)","plainTextFormattedCitation":"(Ruzicka et al., 2001)","previouslyFormattedCitation":"(Ruzicka et al., 2001)"},"properties":{"noteIndex":0},"schema":"https://github.com/citation-style-language/schema/raw/master/csl-citation.json"}</w:instrText>
      </w:r>
      <w:r w:rsidR="005C4F8D" w:rsidRPr="00AC29DA">
        <w:rPr>
          <w:rFonts w:eastAsiaTheme="minorHAnsi" w:cs="Arial"/>
          <w:szCs w:val="18"/>
        </w:rPr>
        <w:fldChar w:fldCharType="separate"/>
      </w:r>
      <w:r w:rsidR="005C4F8D" w:rsidRPr="00AC29DA">
        <w:rPr>
          <w:rFonts w:eastAsiaTheme="minorHAnsi" w:cs="Arial"/>
          <w:noProof/>
          <w:szCs w:val="18"/>
        </w:rPr>
        <w:t>(Ruzicka et al.</w:t>
      </w:r>
      <w:r w:rsidR="003D6B7F" w:rsidRPr="00AC29DA">
        <w:rPr>
          <w:rFonts w:eastAsiaTheme="minorHAnsi" w:cs="Arial"/>
          <w:noProof/>
          <w:szCs w:val="18"/>
        </w:rPr>
        <w:t>,</w:t>
      </w:r>
      <w:r w:rsidR="005C4F8D" w:rsidRPr="00AC29DA">
        <w:rPr>
          <w:rFonts w:eastAsiaTheme="minorHAnsi" w:cs="Arial"/>
          <w:noProof/>
          <w:szCs w:val="18"/>
        </w:rPr>
        <w:t xml:space="preserve"> 2001)</w:t>
      </w:r>
      <w:r w:rsidR="005C4F8D" w:rsidRPr="00AC29DA">
        <w:rPr>
          <w:rFonts w:eastAsiaTheme="minorHAnsi" w:cs="Arial"/>
          <w:szCs w:val="18"/>
        </w:rPr>
        <w:fldChar w:fldCharType="end"/>
      </w:r>
      <w:r w:rsidR="0016470B" w:rsidRPr="00AC29DA">
        <w:rPr>
          <w:rFonts w:eastAsiaTheme="minorHAnsi" w:cs="Arial"/>
          <w:szCs w:val="18"/>
        </w:rPr>
        <w:t>, such as the reactor diameter, the height of the liquid and the</w:t>
      </w:r>
      <w:r w:rsidR="0016470B" w:rsidRPr="00AC29DA">
        <w:rPr>
          <w:rFonts w:cs="Arial"/>
          <w:szCs w:val="18"/>
        </w:rPr>
        <w:t xml:space="preserve"> aspect ratio (</w:t>
      </w:r>
      <w:r w:rsidR="0016470B" w:rsidRPr="00AC29DA">
        <w:rPr>
          <w:rFonts w:cs="Arial"/>
          <w:i/>
          <w:iCs/>
          <w:szCs w:val="18"/>
        </w:rPr>
        <w:t>A</w:t>
      </w:r>
      <w:r w:rsidR="0016470B" w:rsidRPr="00AC29DA">
        <w:rPr>
          <w:rFonts w:cs="Arial"/>
          <w:szCs w:val="18"/>
        </w:rPr>
        <w:t>) (the ratio between the height of the liquid and the diameter of the reactor)</w:t>
      </w:r>
      <w:r w:rsidR="000166AE" w:rsidRPr="00AC29DA">
        <w:rPr>
          <w:rFonts w:eastAsiaTheme="minorHAnsi" w:cs="Arial"/>
          <w:szCs w:val="18"/>
        </w:rPr>
        <w:t xml:space="preserve">. </w:t>
      </w:r>
    </w:p>
    <w:p w14:paraId="006CB394" w14:textId="77777777" w:rsidR="00CE343B" w:rsidRPr="00AC29DA" w:rsidRDefault="00CE343B" w:rsidP="00281C47">
      <w:pPr>
        <w:tabs>
          <w:tab w:val="clear" w:pos="7100"/>
        </w:tabs>
        <w:autoSpaceDE w:val="0"/>
        <w:autoSpaceDN w:val="0"/>
        <w:adjustRightInd w:val="0"/>
        <w:spacing w:line="240" w:lineRule="auto"/>
        <w:rPr>
          <w:rFonts w:eastAsiaTheme="minorHAnsi" w:cs="Arial"/>
          <w:szCs w:val="18"/>
        </w:rPr>
      </w:pPr>
    </w:p>
    <w:p w14:paraId="23F86FEF" w14:textId="47A01F2B" w:rsidR="00600535" w:rsidRPr="00AC29DA" w:rsidRDefault="006C4311" w:rsidP="008F5BDD">
      <w:pPr>
        <w:rPr>
          <w:rFonts w:cs="Arial"/>
          <w:szCs w:val="18"/>
        </w:rPr>
      </w:pPr>
      <w:r w:rsidRPr="00AC29DA">
        <w:rPr>
          <w:rFonts w:cs="Arial"/>
          <w:szCs w:val="18"/>
        </w:rPr>
        <w:t xml:space="preserve">This study aims </w:t>
      </w:r>
      <w:r w:rsidR="008F5156" w:rsidRPr="00AC29DA">
        <w:rPr>
          <w:rFonts w:cs="Arial"/>
          <w:szCs w:val="18"/>
        </w:rPr>
        <w:t xml:space="preserve">at </w:t>
      </w:r>
      <w:r w:rsidR="00AA7BD8" w:rsidRPr="00AC29DA">
        <w:rPr>
          <w:rFonts w:cs="Arial"/>
          <w:szCs w:val="18"/>
        </w:rPr>
        <w:t>analys</w:t>
      </w:r>
      <w:r w:rsidR="008F5156" w:rsidRPr="00AC29DA">
        <w:rPr>
          <w:rFonts w:cs="Arial"/>
          <w:szCs w:val="18"/>
        </w:rPr>
        <w:t>ing</w:t>
      </w:r>
      <w:r w:rsidRPr="00AC29DA">
        <w:rPr>
          <w:rFonts w:cs="Arial"/>
          <w:szCs w:val="18"/>
        </w:rPr>
        <w:t xml:space="preserve"> the PHB production from a cheap and renewable substrate, such as methane, </w:t>
      </w:r>
      <w:r w:rsidR="0016470B" w:rsidRPr="00AC29DA">
        <w:rPr>
          <w:rFonts w:cs="Arial"/>
          <w:szCs w:val="18"/>
        </w:rPr>
        <w:t>emphasising</w:t>
      </w:r>
      <w:r w:rsidR="00B91057" w:rsidRPr="00AC29DA">
        <w:rPr>
          <w:rFonts w:cs="Arial"/>
          <w:szCs w:val="18"/>
        </w:rPr>
        <w:t xml:space="preserve"> scale</w:t>
      </w:r>
      <w:r w:rsidR="00D11FC7" w:rsidRPr="00AC29DA">
        <w:rPr>
          <w:rFonts w:cs="Arial"/>
          <w:szCs w:val="18"/>
        </w:rPr>
        <w:t xml:space="preserve"> and design</w:t>
      </w:r>
      <w:r w:rsidR="00B91057" w:rsidRPr="00AC29DA">
        <w:rPr>
          <w:rFonts w:cs="Arial"/>
          <w:szCs w:val="18"/>
        </w:rPr>
        <w:t xml:space="preserve"> effects. </w:t>
      </w:r>
      <w:r w:rsidR="00700E25" w:rsidRPr="00AC29DA">
        <w:rPr>
          <w:rFonts w:cs="Arial"/>
          <w:szCs w:val="18"/>
        </w:rPr>
        <w:t>Three</w:t>
      </w:r>
      <w:r w:rsidR="00B91057" w:rsidRPr="00AC29DA">
        <w:rPr>
          <w:rFonts w:cs="Arial"/>
          <w:szCs w:val="18"/>
        </w:rPr>
        <w:t xml:space="preserve"> </w:t>
      </w:r>
      <w:r w:rsidR="008906A2" w:rsidRPr="00AC29DA">
        <w:rPr>
          <w:rFonts w:cs="Arial"/>
          <w:szCs w:val="18"/>
        </w:rPr>
        <w:t>representative geometries</w:t>
      </w:r>
      <w:r w:rsidR="00B91057" w:rsidRPr="00AC29DA">
        <w:rPr>
          <w:rFonts w:cs="Arial"/>
          <w:szCs w:val="18"/>
        </w:rPr>
        <w:t xml:space="preserve"> </w:t>
      </w:r>
      <w:r w:rsidR="003E3F0A" w:rsidRPr="00AC29DA">
        <w:rPr>
          <w:rFonts w:cs="Arial"/>
          <w:szCs w:val="18"/>
        </w:rPr>
        <w:t>were</w:t>
      </w:r>
      <w:r w:rsidR="00B91057" w:rsidRPr="00AC29DA">
        <w:rPr>
          <w:rFonts w:cs="Arial"/>
          <w:szCs w:val="18"/>
        </w:rPr>
        <w:t xml:space="preserve"> evaluated</w:t>
      </w:r>
      <w:r w:rsidR="00D11FC7" w:rsidRPr="00AC29DA">
        <w:rPr>
          <w:rFonts w:cs="Arial"/>
          <w:szCs w:val="18"/>
        </w:rPr>
        <w:t xml:space="preserve"> at constant and variable volume</w:t>
      </w:r>
      <w:r w:rsidR="0016470B" w:rsidRPr="00AC29DA">
        <w:rPr>
          <w:rFonts w:cs="Arial"/>
          <w:szCs w:val="18"/>
        </w:rPr>
        <w:t>s</w:t>
      </w:r>
      <w:r w:rsidR="00B6115F" w:rsidRPr="00AC29DA">
        <w:rPr>
          <w:rFonts w:cs="Arial"/>
          <w:szCs w:val="18"/>
        </w:rPr>
        <w:t>.</w:t>
      </w:r>
      <w:r w:rsidR="00B91057" w:rsidRPr="00AC29DA">
        <w:rPr>
          <w:rFonts w:cs="Arial"/>
          <w:szCs w:val="18"/>
        </w:rPr>
        <w:t xml:space="preserve"> </w:t>
      </w:r>
      <w:r w:rsidR="00B6115F" w:rsidRPr="00AC29DA">
        <w:rPr>
          <w:rFonts w:cs="Arial"/>
          <w:szCs w:val="18"/>
        </w:rPr>
        <w:t>F</w:t>
      </w:r>
      <w:r w:rsidR="00B91057" w:rsidRPr="00AC29DA">
        <w:rPr>
          <w:rFonts w:cs="Arial"/>
          <w:szCs w:val="18"/>
        </w:rPr>
        <w:t xml:space="preserve">or each case </w:t>
      </w:r>
      <w:r w:rsidR="00D11FC7" w:rsidRPr="00AC29DA">
        <w:rPr>
          <w:rFonts w:cs="Arial"/>
          <w:szCs w:val="18"/>
        </w:rPr>
        <w:t>studied</w:t>
      </w:r>
      <w:r w:rsidR="00B91057" w:rsidRPr="00AC29DA">
        <w:rPr>
          <w:rFonts w:cs="Arial"/>
          <w:szCs w:val="18"/>
        </w:rPr>
        <w:t xml:space="preserve">, </w:t>
      </w:r>
      <w:r w:rsidR="00AA7BD8" w:rsidRPr="00AC29DA">
        <w:rPr>
          <w:rFonts w:cs="Arial"/>
          <w:szCs w:val="18"/>
        </w:rPr>
        <w:t xml:space="preserve">the </w:t>
      </w:r>
      <w:r w:rsidR="004E76EE" w:rsidRPr="00AC29DA">
        <w:rPr>
          <w:rFonts w:cs="Arial"/>
          <w:szCs w:val="18"/>
        </w:rPr>
        <w:t>transition</w:t>
      </w:r>
      <w:r w:rsidR="00B91057" w:rsidRPr="00AC29DA">
        <w:rPr>
          <w:rFonts w:cs="Arial"/>
          <w:szCs w:val="18"/>
        </w:rPr>
        <w:t xml:space="preserve"> parameters</w:t>
      </w:r>
      <w:r w:rsidR="004E76EE" w:rsidRPr="00AC29DA">
        <w:rPr>
          <w:rFonts w:cs="Arial"/>
          <w:szCs w:val="18"/>
        </w:rPr>
        <w:t xml:space="preserve"> </w:t>
      </w:r>
      <w:r w:rsidR="003E3F0A" w:rsidRPr="00AC29DA">
        <w:rPr>
          <w:rFonts w:cs="Arial"/>
          <w:szCs w:val="18"/>
        </w:rPr>
        <w:t>were</w:t>
      </w:r>
      <w:r w:rsidR="00B91057" w:rsidRPr="00AC29DA">
        <w:rPr>
          <w:rFonts w:cs="Arial"/>
          <w:szCs w:val="18"/>
        </w:rPr>
        <w:t xml:space="preserve"> estimated as </w:t>
      </w:r>
      <w:r w:rsidR="0016470B" w:rsidRPr="00AC29DA">
        <w:rPr>
          <w:rFonts w:cs="Arial"/>
          <w:szCs w:val="18"/>
        </w:rPr>
        <w:t xml:space="preserve">a </w:t>
      </w:r>
      <w:r w:rsidR="00B91057" w:rsidRPr="00AC29DA">
        <w:rPr>
          <w:rFonts w:cs="Arial"/>
          <w:szCs w:val="18"/>
        </w:rPr>
        <w:t>function of the geometr</w:t>
      </w:r>
      <w:r w:rsidR="00AA7BD8" w:rsidRPr="00AC29DA">
        <w:rPr>
          <w:rFonts w:cs="Arial"/>
          <w:szCs w:val="18"/>
        </w:rPr>
        <w:t>y of the reactors</w:t>
      </w:r>
      <w:r w:rsidR="004E76EE" w:rsidRPr="00AC29DA">
        <w:rPr>
          <w:rFonts w:cs="Arial"/>
          <w:szCs w:val="18"/>
        </w:rPr>
        <w:t xml:space="preserve"> to</w:t>
      </w:r>
      <w:r w:rsidR="00323ECE" w:rsidRPr="00AC29DA">
        <w:rPr>
          <w:rFonts w:cs="Arial"/>
          <w:szCs w:val="18"/>
        </w:rPr>
        <w:t xml:space="preserve"> assure </w:t>
      </w:r>
      <w:r w:rsidR="00B6115F" w:rsidRPr="00AC29DA">
        <w:rPr>
          <w:rFonts w:cs="Arial"/>
          <w:szCs w:val="18"/>
        </w:rPr>
        <w:t xml:space="preserve">the </w:t>
      </w:r>
      <w:r w:rsidR="00323ECE" w:rsidRPr="00AC29DA">
        <w:rPr>
          <w:rFonts w:cs="Arial"/>
          <w:szCs w:val="18"/>
        </w:rPr>
        <w:t>homogeneous regime and high cell viability</w:t>
      </w:r>
      <w:r w:rsidR="00D11FC7" w:rsidRPr="00AC29DA">
        <w:rPr>
          <w:rFonts w:cs="Arial"/>
          <w:szCs w:val="18"/>
        </w:rPr>
        <w:t xml:space="preserve"> during the whole process</w:t>
      </w:r>
      <w:r w:rsidR="008F5BDD" w:rsidRPr="00AC29DA">
        <w:rPr>
          <w:rFonts w:cs="Arial"/>
          <w:szCs w:val="18"/>
        </w:rPr>
        <w:t>.</w:t>
      </w:r>
    </w:p>
    <w:p w14:paraId="5741900F" w14:textId="3B6CFD5A" w:rsidR="00453E24" w:rsidRPr="00AC29DA" w:rsidRDefault="004743CD" w:rsidP="00453E24">
      <w:pPr>
        <w:pStyle w:val="CETHeading1"/>
        <w:rPr>
          <w:lang w:val="en-GB"/>
        </w:rPr>
      </w:pPr>
      <w:r w:rsidRPr="00AC29DA">
        <w:rPr>
          <w:lang w:val="en-GB"/>
        </w:rPr>
        <w:t>Materials and Methods</w:t>
      </w:r>
    </w:p>
    <w:p w14:paraId="09406386" w14:textId="31170595" w:rsidR="00453E24" w:rsidRPr="00AC29DA" w:rsidRDefault="00453E24" w:rsidP="00453E24">
      <w:pPr>
        <w:pStyle w:val="CETBodytext"/>
        <w:rPr>
          <w:lang w:val="en-GB"/>
        </w:rPr>
      </w:pPr>
      <w:r w:rsidRPr="00AC29DA">
        <w:rPr>
          <w:lang w:val="en-GB"/>
        </w:rPr>
        <w:t>Th</w:t>
      </w:r>
      <w:r w:rsidR="00A81ED1" w:rsidRPr="00AC29DA">
        <w:rPr>
          <w:lang w:val="en-GB"/>
        </w:rPr>
        <w:t>is section describes the</w:t>
      </w:r>
      <w:r w:rsidRPr="00AC29DA">
        <w:rPr>
          <w:lang w:val="en-GB"/>
        </w:rPr>
        <w:t xml:space="preserve"> </w:t>
      </w:r>
      <w:r w:rsidR="00A81ED1" w:rsidRPr="00AC29DA">
        <w:rPr>
          <w:lang w:val="en-GB"/>
        </w:rPr>
        <w:t xml:space="preserve">method used to simulate the process </w:t>
      </w:r>
      <w:r w:rsidR="0085173F" w:rsidRPr="00AC29DA">
        <w:rPr>
          <w:lang w:val="en-GB"/>
        </w:rPr>
        <w:t>for producing</w:t>
      </w:r>
      <w:r w:rsidR="00A81ED1" w:rsidRPr="00AC29DA">
        <w:rPr>
          <w:lang w:val="en-GB"/>
        </w:rPr>
        <w:t xml:space="preserve"> Poly(3-hydroxybutyrate) </w:t>
      </w:r>
      <w:r w:rsidR="008D48E6" w:rsidRPr="00AC29DA">
        <w:rPr>
          <w:lang w:val="en-GB"/>
        </w:rPr>
        <w:t>from methane in bubble column bioreactors</w:t>
      </w:r>
      <w:r w:rsidR="003E3F0A" w:rsidRPr="00AC29DA">
        <w:rPr>
          <w:lang w:val="en-GB"/>
        </w:rPr>
        <w:t xml:space="preserve">, </w:t>
      </w:r>
      <w:r w:rsidR="00CC7F36" w:rsidRPr="00AC29DA">
        <w:rPr>
          <w:lang w:val="en-GB"/>
        </w:rPr>
        <w:t>which are commonly used reactors in biological processes, and</w:t>
      </w:r>
      <w:r w:rsidR="003E3F0A" w:rsidRPr="00AC29DA">
        <w:rPr>
          <w:lang w:val="en-GB"/>
        </w:rPr>
        <w:t xml:space="preserve"> the strategy used</w:t>
      </w:r>
      <w:r w:rsidR="007C7FD2" w:rsidRPr="00AC29DA">
        <w:rPr>
          <w:lang w:val="en-GB"/>
        </w:rPr>
        <w:t xml:space="preserve"> to enhance the</w:t>
      </w:r>
      <w:r w:rsidR="006B1F86" w:rsidRPr="00AC29DA">
        <w:rPr>
          <w:lang w:val="en-GB"/>
        </w:rPr>
        <w:t xml:space="preserve"> process</w:t>
      </w:r>
      <w:r w:rsidR="007C7FD2" w:rsidRPr="00AC29DA">
        <w:rPr>
          <w:lang w:val="en-GB"/>
        </w:rPr>
        <w:t xml:space="preserve"> performance</w:t>
      </w:r>
      <w:r w:rsidR="00A81ED1" w:rsidRPr="00AC29DA">
        <w:rPr>
          <w:lang w:val="en-GB"/>
        </w:rPr>
        <w:t>. All the</w:t>
      </w:r>
      <w:r w:rsidR="007C7FD2" w:rsidRPr="00AC29DA">
        <w:rPr>
          <w:lang w:val="en-GB"/>
        </w:rPr>
        <w:t xml:space="preserve"> </w:t>
      </w:r>
      <w:r w:rsidR="00A81ED1" w:rsidRPr="00AC29DA">
        <w:rPr>
          <w:lang w:val="en-GB"/>
        </w:rPr>
        <w:t>data for the simulations</w:t>
      </w:r>
      <w:r w:rsidR="008906A2" w:rsidRPr="00AC29DA">
        <w:rPr>
          <w:lang w:val="en-GB"/>
        </w:rPr>
        <w:t xml:space="preserve">, such as </w:t>
      </w:r>
      <w:r w:rsidR="00A81ED1" w:rsidRPr="00AC29DA">
        <w:rPr>
          <w:lang w:val="en-GB"/>
        </w:rPr>
        <w:t xml:space="preserve">reactions, bacteria strain, kinetic </w:t>
      </w:r>
      <w:proofErr w:type="gramStart"/>
      <w:r w:rsidR="0085173F" w:rsidRPr="00AC29DA">
        <w:rPr>
          <w:lang w:val="en-GB"/>
        </w:rPr>
        <w:t>parameter</w:t>
      </w:r>
      <w:r w:rsidR="006B1F86" w:rsidRPr="00AC29DA">
        <w:rPr>
          <w:lang w:val="en-GB"/>
        </w:rPr>
        <w:t>s</w:t>
      </w:r>
      <w:proofErr w:type="gramEnd"/>
      <w:r w:rsidR="008906A2" w:rsidRPr="00AC29DA">
        <w:rPr>
          <w:lang w:val="en-GB"/>
        </w:rPr>
        <w:t xml:space="preserve"> and</w:t>
      </w:r>
      <w:r w:rsidR="000F3025" w:rsidRPr="00AC29DA">
        <w:rPr>
          <w:lang w:val="en-GB"/>
        </w:rPr>
        <w:t xml:space="preserve"> </w:t>
      </w:r>
      <w:r w:rsidR="00A81ED1" w:rsidRPr="00AC29DA">
        <w:rPr>
          <w:lang w:val="en-GB"/>
        </w:rPr>
        <w:t>duration of the process</w:t>
      </w:r>
      <w:r w:rsidR="006B1F86" w:rsidRPr="00AC29DA">
        <w:rPr>
          <w:lang w:val="en-GB"/>
        </w:rPr>
        <w:t xml:space="preserve"> </w:t>
      </w:r>
      <w:r w:rsidR="00A81ED1" w:rsidRPr="00AC29DA">
        <w:rPr>
          <w:lang w:val="en-GB"/>
        </w:rPr>
        <w:t>were taken from</w:t>
      </w:r>
      <w:r w:rsidR="007C7FD2" w:rsidRPr="00AC29DA">
        <w:rPr>
          <w:lang w:val="en-GB"/>
        </w:rPr>
        <w:t xml:space="preserve"> some</w:t>
      </w:r>
      <w:r w:rsidR="00A81ED1" w:rsidRPr="00AC29DA">
        <w:rPr>
          <w:lang w:val="en-GB"/>
        </w:rPr>
        <w:t xml:space="preserve"> experimental works reported in the literature.</w:t>
      </w:r>
    </w:p>
    <w:p w14:paraId="18BAFA6F" w14:textId="4495E348" w:rsidR="00453E24" w:rsidRPr="00AC29DA" w:rsidRDefault="004743CD" w:rsidP="004743CD">
      <w:pPr>
        <w:pStyle w:val="CETheadingx"/>
        <w:rPr>
          <w:lang w:val="en-GB"/>
        </w:rPr>
      </w:pPr>
      <w:r w:rsidRPr="00AC29DA">
        <w:rPr>
          <w:lang w:val="en-GB"/>
        </w:rPr>
        <w:t>Process setup</w:t>
      </w:r>
    </w:p>
    <w:p w14:paraId="3BACA404" w14:textId="24C16916" w:rsidR="008D48E6" w:rsidRPr="00AC29DA" w:rsidRDefault="00D80515" w:rsidP="00A81ED1">
      <w:pPr>
        <w:pStyle w:val="CETBodytext"/>
        <w:rPr>
          <w:lang w:val="en-GB"/>
        </w:rPr>
      </w:pPr>
      <w:r w:rsidRPr="00AC29DA">
        <w:rPr>
          <w:lang w:val="en-GB"/>
        </w:rPr>
        <w:t>In this work</w:t>
      </w:r>
      <w:r w:rsidR="00503883" w:rsidRPr="00AC29DA">
        <w:rPr>
          <w:lang w:val="en-GB"/>
        </w:rPr>
        <w:t>,</w:t>
      </w:r>
      <w:r w:rsidRPr="00AC29DA">
        <w:rPr>
          <w:lang w:val="en-GB"/>
        </w:rPr>
        <w:t xml:space="preserve"> t</w:t>
      </w:r>
      <w:r w:rsidR="0085173F" w:rsidRPr="00AC29DA">
        <w:rPr>
          <w:lang w:val="en-GB"/>
        </w:rPr>
        <w:t xml:space="preserve">he process </w:t>
      </w:r>
      <w:r w:rsidRPr="00AC29DA">
        <w:rPr>
          <w:lang w:val="en-GB"/>
        </w:rPr>
        <w:t xml:space="preserve">was </w:t>
      </w:r>
      <w:r w:rsidR="0085173F" w:rsidRPr="00AC29DA">
        <w:rPr>
          <w:lang w:val="en-GB"/>
        </w:rPr>
        <w:t xml:space="preserve">simulated </w:t>
      </w:r>
      <w:r w:rsidR="00A76568" w:rsidRPr="00AC29DA">
        <w:rPr>
          <w:lang w:val="en-GB"/>
        </w:rPr>
        <w:t xml:space="preserve">in </w:t>
      </w:r>
      <w:proofErr w:type="spellStart"/>
      <w:r w:rsidR="00A76568" w:rsidRPr="00AC29DA">
        <w:rPr>
          <w:lang w:val="en-GB"/>
        </w:rPr>
        <w:t>AspenPlus</w:t>
      </w:r>
      <w:proofErr w:type="spellEnd"/>
      <w:r w:rsidR="00A76568" w:rsidRPr="00AC29DA">
        <w:rPr>
          <w:lang w:val="en-GB"/>
        </w:rPr>
        <w:t xml:space="preserve"> </w:t>
      </w:r>
      <w:r w:rsidRPr="00AC29DA">
        <w:rPr>
          <w:lang w:val="en-GB"/>
        </w:rPr>
        <w:t>following</w:t>
      </w:r>
      <w:r w:rsidR="0085173F" w:rsidRPr="00AC29DA">
        <w:rPr>
          <w:lang w:val="en-GB"/>
        </w:rPr>
        <w:t xml:space="preserve"> a double stage fermentation. </w:t>
      </w:r>
      <w:r w:rsidR="008D48E6" w:rsidRPr="00AC29DA">
        <w:rPr>
          <w:lang w:val="en-GB"/>
        </w:rPr>
        <w:t xml:space="preserve">Firstly, </w:t>
      </w:r>
      <w:proofErr w:type="spellStart"/>
      <w:r w:rsidR="0085173F" w:rsidRPr="00AC29DA">
        <w:rPr>
          <w:i/>
          <w:iCs/>
          <w:lang w:val="en-GB"/>
        </w:rPr>
        <w:t>Methylocystis</w:t>
      </w:r>
      <w:proofErr w:type="spellEnd"/>
      <w:r w:rsidR="0085173F" w:rsidRPr="00AC29DA">
        <w:rPr>
          <w:i/>
          <w:iCs/>
          <w:lang w:val="en-GB"/>
        </w:rPr>
        <w:t xml:space="preserve"> </w:t>
      </w:r>
      <w:proofErr w:type="spellStart"/>
      <w:r w:rsidR="0085173F" w:rsidRPr="00AC29DA">
        <w:rPr>
          <w:i/>
          <w:iCs/>
          <w:lang w:val="en-GB"/>
        </w:rPr>
        <w:t>parvus</w:t>
      </w:r>
      <w:proofErr w:type="spellEnd"/>
      <w:r w:rsidR="0085173F" w:rsidRPr="00AC29DA">
        <w:rPr>
          <w:i/>
          <w:iCs/>
          <w:lang w:val="en-GB"/>
        </w:rPr>
        <w:t xml:space="preserve"> OBBP</w:t>
      </w:r>
      <w:r w:rsidR="0085173F" w:rsidRPr="00AC29DA">
        <w:rPr>
          <w:lang w:val="en-GB"/>
        </w:rPr>
        <w:t xml:space="preserve"> </w:t>
      </w:r>
      <w:r w:rsidR="008D48E6" w:rsidRPr="00AC29DA">
        <w:rPr>
          <w:lang w:val="en-GB"/>
        </w:rPr>
        <w:t>was</w:t>
      </w:r>
      <w:r w:rsidR="0085173F" w:rsidRPr="00AC29DA">
        <w:rPr>
          <w:lang w:val="en-GB"/>
        </w:rPr>
        <w:t xml:space="preserve"> grown in a </w:t>
      </w:r>
      <w:r w:rsidR="003051A2" w:rsidRPr="00AC29DA">
        <w:rPr>
          <w:lang w:val="en-GB"/>
        </w:rPr>
        <w:t>semi</w:t>
      </w:r>
      <w:r w:rsidR="0085173F" w:rsidRPr="00AC29DA">
        <w:rPr>
          <w:lang w:val="en-GB"/>
        </w:rPr>
        <w:t xml:space="preserve">continuous </w:t>
      </w:r>
      <w:r w:rsidR="007C7FD2" w:rsidRPr="00AC29DA">
        <w:rPr>
          <w:lang w:val="en-GB"/>
        </w:rPr>
        <w:t>bubble column bio</w:t>
      </w:r>
      <w:r w:rsidR="0085173F" w:rsidRPr="00AC29DA">
        <w:rPr>
          <w:lang w:val="en-GB"/>
        </w:rPr>
        <w:t xml:space="preserve">reactor </w:t>
      </w:r>
      <w:r w:rsidR="007C7FD2" w:rsidRPr="00AC29DA">
        <w:rPr>
          <w:lang w:val="en-GB"/>
        </w:rPr>
        <w:t>under optimal metabolic conditions</w:t>
      </w:r>
      <w:r w:rsidR="0085173F" w:rsidRPr="00AC29DA">
        <w:rPr>
          <w:lang w:val="en-GB"/>
        </w:rPr>
        <w:t xml:space="preserve">. A gas stream containing methane and </w:t>
      </w:r>
      <w:r w:rsidR="00D64B4F" w:rsidRPr="00AC29DA">
        <w:rPr>
          <w:lang w:val="en-GB"/>
        </w:rPr>
        <w:t>oxygen</w:t>
      </w:r>
      <w:r w:rsidR="0085173F" w:rsidRPr="00AC29DA">
        <w:rPr>
          <w:lang w:val="en-GB"/>
        </w:rPr>
        <w:t xml:space="preserve"> </w:t>
      </w:r>
      <w:r w:rsidR="006B1F86" w:rsidRPr="00AC29DA">
        <w:rPr>
          <w:lang w:val="en-GB"/>
        </w:rPr>
        <w:t>(pCH</w:t>
      </w:r>
      <w:r w:rsidR="006B1F86" w:rsidRPr="00AC29DA">
        <w:rPr>
          <w:vertAlign w:val="subscript"/>
          <w:lang w:val="en-GB"/>
        </w:rPr>
        <w:t>4</w:t>
      </w:r>
      <w:r w:rsidR="006B1F86" w:rsidRPr="00AC29DA">
        <w:rPr>
          <w:lang w:val="en-GB"/>
        </w:rPr>
        <w:t xml:space="preserve">=0.4 </w:t>
      </w:r>
      <w:proofErr w:type="spellStart"/>
      <w:r w:rsidR="006B1F86" w:rsidRPr="00AC29DA">
        <w:rPr>
          <w:lang w:val="en-GB"/>
        </w:rPr>
        <w:t>atm</w:t>
      </w:r>
      <w:proofErr w:type="spellEnd"/>
      <w:r w:rsidR="006B1F86" w:rsidRPr="00AC29DA">
        <w:rPr>
          <w:lang w:val="en-GB"/>
        </w:rPr>
        <w:t xml:space="preserve">) </w:t>
      </w:r>
      <w:r w:rsidR="0085173F" w:rsidRPr="00AC29DA">
        <w:rPr>
          <w:lang w:val="en-GB"/>
        </w:rPr>
        <w:t xml:space="preserve">was fed </w:t>
      </w:r>
      <w:r w:rsidR="00862AFE" w:rsidRPr="00AC29DA">
        <w:rPr>
          <w:lang w:val="en-GB"/>
        </w:rPr>
        <w:t>to</w:t>
      </w:r>
      <w:r w:rsidR="0085173F" w:rsidRPr="00AC29DA">
        <w:rPr>
          <w:lang w:val="en-GB"/>
        </w:rPr>
        <w:t xml:space="preserve"> guarantee</w:t>
      </w:r>
      <w:r w:rsidR="006B1F86" w:rsidRPr="00AC29DA">
        <w:rPr>
          <w:lang w:val="en-GB"/>
        </w:rPr>
        <w:t xml:space="preserve"> aerobic conditions and</w:t>
      </w:r>
      <w:r w:rsidR="0085173F" w:rsidRPr="00AC29DA">
        <w:rPr>
          <w:lang w:val="en-GB"/>
        </w:rPr>
        <w:t xml:space="preserve"> the </w:t>
      </w:r>
      <w:r w:rsidR="006B1F86" w:rsidRPr="00AC29DA">
        <w:rPr>
          <w:lang w:val="en-GB"/>
        </w:rPr>
        <w:t>supply</w:t>
      </w:r>
      <w:r w:rsidR="0085173F" w:rsidRPr="00AC29DA">
        <w:rPr>
          <w:lang w:val="en-GB"/>
        </w:rPr>
        <w:t xml:space="preserve"> of a carbon source</w:t>
      </w:r>
      <w:r w:rsidR="006B1F86" w:rsidRPr="00AC29DA">
        <w:rPr>
          <w:lang w:val="en-GB"/>
        </w:rPr>
        <w:t xml:space="preserve"> as well</w:t>
      </w:r>
      <w:r w:rsidR="0085173F" w:rsidRPr="00AC29DA">
        <w:rPr>
          <w:lang w:val="en-GB"/>
        </w:rPr>
        <w:t xml:space="preserve">. After 10 days of cultivation, the grown biomass </w:t>
      </w:r>
      <w:r w:rsidR="006B1F86" w:rsidRPr="00AC29DA">
        <w:rPr>
          <w:lang w:val="en-GB"/>
        </w:rPr>
        <w:t>was</w:t>
      </w:r>
      <w:r w:rsidR="0085173F" w:rsidRPr="00AC29DA">
        <w:rPr>
          <w:lang w:val="en-GB"/>
        </w:rPr>
        <w:t xml:space="preserve"> moved to </w:t>
      </w:r>
      <w:r w:rsidR="007C7FD2" w:rsidRPr="00AC29DA">
        <w:rPr>
          <w:lang w:val="en-GB"/>
        </w:rPr>
        <w:t>the</w:t>
      </w:r>
      <w:r w:rsidR="0085173F" w:rsidRPr="00AC29DA">
        <w:rPr>
          <w:lang w:val="en-GB"/>
        </w:rPr>
        <w:t xml:space="preserve"> second bioreactor</w:t>
      </w:r>
      <w:r w:rsidR="008D48E6" w:rsidRPr="00AC29DA">
        <w:rPr>
          <w:lang w:val="en-GB"/>
        </w:rPr>
        <w:t xml:space="preserve"> </w:t>
      </w:r>
      <w:r w:rsidR="00862AFE" w:rsidRPr="00AC29DA">
        <w:rPr>
          <w:lang w:val="en-GB"/>
        </w:rPr>
        <w:t xml:space="preserve">for </w:t>
      </w:r>
      <w:r w:rsidR="00896DAC" w:rsidRPr="00AC29DA">
        <w:rPr>
          <w:lang w:val="en-GB"/>
        </w:rPr>
        <w:t xml:space="preserve">a </w:t>
      </w:r>
      <w:r w:rsidR="00862AFE" w:rsidRPr="00AC29DA">
        <w:rPr>
          <w:lang w:val="en-GB"/>
        </w:rPr>
        <w:t xml:space="preserve">7 </w:t>
      </w:r>
      <w:proofErr w:type="gramStart"/>
      <w:r w:rsidR="00896DAC" w:rsidRPr="00AC29DA">
        <w:rPr>
          <w:lang w:val="en-GB"/>
        </w:rPr>
        <w:t>days</w:t>
      </w:r>
      <w:proofErr w:type="gramEnd"/>
      <w:r w:rsidR="00896DAC" w:rsidRPr="00AC29DA">
        <w:rPr>
          <w:lang w:val="en-GB"/>
        </w:rPr>
        <w:t xml:space="preserve"> Poly(3-hydroxybutyrate) accumulation</w:t>
      </w:r>
      <w:r w:rsidR="008D48E6" w:rsidRPr="00AC29DA">
        <w:rPr>
          <w:lang w:val="en-GB"/>
        </w:rPr>
        <w:t xml:space="preserve">. Here, </w:t>
      </w:r>
      <w:r w:rsidR="0085173F" w:rsidRPr="00AC29DA">
        <w:rPr>
          <w:lang w:val="en-GB"/>
        </w:rPr>
        <w:t xml:space="preserve">the culture medium </w:t>
      </w:r>
      <w:r w:rsidR="00896DAC" w:rsidRPr="00AC29DA">
        <w:rPr>
          <w:lang w:val="en-GB"/>
        </w:rPr>
        <w:t>was</w:t>
      </w:r>
      <w:r w:rsidR="008D48E6" w:rsidRPr="00AC29DA">
        <w:rPr>
          <w:lang w:val="en-GB"/>
        </w:rPr>
        <w:t xml:space="preserve"> nitrogen-</w:t>
      </w:r>
      <w:r w:rsidR="0085173F" w:rsidRPr="00AC29DA">
        <w:rPr>
          <w:lang w:val="en-GB"/>
        </w:rPr>
        <w:t>deprive</w:t>
      </w:r>
      <w:r w:rsidR="008D48E6" w:rsidRPr="00AC29DA">
        <w:rPr>
          <w:lang w:val="en-GB"/>
        </w:rPr>
        <w:t>d</w:t>
      </w:r>
      <w:r w:rsidR="00D64B4F" w:rsidRPr="00AC29DA">
        <w:rPr>
          <w:lang w:val="en-GB"/>
        </w:rPr>
        <w:t>,</w:t>
      </w:r>
      <w:r w:rsidR="00862AFE" w:rsidRPr="00AC29DA">
        <w:rPr>
          <w:lang w:val="en-GB"/>
        </w:rPr>
        <w:t xml:space="preserve"> but the carbon source </w:t>
      </w:r>
      <w:r w:rsidR="00896DAC" w:rsidRPr="00AC29DA">
        <w:rPr>
          <w:lang w:val="en-GB"/>
        </w:rPr>
        <w:t>was</w:t>
      </w:r>
      <w:r w:rsidR="00862AFE" w:rsidRPr="00AC29DA">
        <w:rPr>
          <w:lang w:val="en-GB"/>
        </w:rPr>
        <w:t xml:space="preserve"> still </w:t>
      </w:r>
      <w:r w:rsidR="00896DAC" w:rsidRPr="00AC29DA">
        <w:rPr>
          <w:lang w:val="en-GB"/>
        </w:rPr>
        <w:t>supplied at 0.4</w:t>
      </w:r>
      <w:r w:rsidR="006B1F86" w:rsidRPr="00AC29DA">
        <w:rPr>
          <w:lang w:val="en-GB"/>
        </w:rPr>
        <w:t xml:space="preserve"> </w:t>
      </w:r>
      <w:proofErr w:type="spellStart"/>
      <w:r w:rsidR="00896DAC" w:rsidRPr="00AC29DA">
        <w:rPr>
          <w:lang w:val="en-GB"/>
        </w:rPr>
        <w:t>atm</w:t>
      </w:r>
      <w:proofErr w:type="spellEnd"/>
      <w:r w:rsidR="00896DAC" w:rsidRPr="00AC29DA">
        <w:rPr>
          <w:lang w:val="en-GB"/>
        </w:rPr>
        <w:t xml:space="preserve"> in </w:t>
      </w:r>
      <w:r w:rsidR="006B1F86" w:rsidRPr="00AC29DA">
        <w:rPr>
          <w:lang w:val="en-GB"/>
        </w:rPr>
        <w:t>a</w:t>
      </w:r>
      <w:r w:rsidR="00896DAC" w:rsidRPr="00AC29DA">
        <w:rPr>
          <w:lang w:val="en-GB"/>
        </w:rPr>
        <w:t xml:space="preserve"> continuous</w:t>
      </w:r>
      <w:r w:rsidR="006B1F86" w:rsidRPr="00AC29DA">
        <w:rPr>
          <w:lang w:val="en-GB"/>
        </w:rPr>
        <w:t xml:space="preserve">ly fed </w:t>
      </w:r>
      <w:r w:rsidR="00896DAC" w:rsidRPr="00AC29DA">
        <w:rPr>
          <w:lang w:val="en-GB"/>
        </w:rPr>
        <w:t>gas stream</w:t>
      </w:r>
      <w:r w:rsidR="00862AFE" w:rsidRPr="00AC29DA">
        <w:rPr>
          <w:lang w:val="en-GB"/>
        </w:rPr>
        <w:t xml:space="preserve">. </w:t>
      </w:r>
      <w:r w:rsidR="004D7C8A" w:rsidRPr="00AC29DA">
        <w:rPr>
          <w:lang w:val="en-GB"/>
        </w:rPr>
        <w:t xml:space="preserve">The process </w:t>
      </w:r>
      <w:r w:rsidR="00862AFE" w:rsidRPr="00AC29DA">
        <w:rPr>
          <w:lang w:val="en-GB"/>
        </w:rPr>
        <w:t xml:space="preserve">scheme </w:t>
      </w:r>
      <w:r w:rsidR="008D48E6" w:rsidRPr="00AC29DA">
        <w:rPr>
          <w:lang w:val="en-GB"/>
        </w:rPr>
        <w:t>is sketched</w:t>
      </w:r>
      <w:r w:rsidR="00862AFE" w:rsidRPr="00AC29DA">
        <w:rPr>
          <w:lang w:val="en-GB"/>
        </w:rPr>
        <w:t xml:space="preserve"> in Figure 2.</w:t>
      </w:r>
      <w:r w:rsidR="002709A6" w:rsidRPr="00AC29DA">
        <w:rPr>
          <w:lang w:val="en-GB"/>
        </w:rPr>
        <w:t xml:space="preserve"> </w:t>
      </w:r>
    </w:p>
    <w:p w14:paraId="7F674CC3" w14:textId="77777777" w:rsidR="00E175E2" w:rsidRPr="00AC29DA" w:rsidRDefault="00E175E2" w:rsidP="00E175E2">
      <w:pPr>
        <w:pStyle w:val="CETBodytext"/>
        <w:rPr>
          <w:lang w:val="en-GB"/>
        </w:rPr>
      </w:pPr>
    </w:p>
    <w:p w14:paraId="3950B057" w14:textId="01CFACEA" w:rsidR="00E175E2" w:rsidRPr="00AC29DA" w:rsidRDefault="00E175E2" w:rsidP="00E175E2">
      <w:pPr>
        <w:pStyle w:val="CETBodytext"/>
        <w:rPr>
          <w:lang w:val="en-GB"/>
        </w:rPr>
      </w:pPr>
      <w:r w:rsidRPr="00AC29DA">
        <w:rPr>
          <w:lang w:val="en-GB"/>
        </w:rPr>
        <w:t xml:space="preserve">After defining the flowsheet, a reaction was assigned to both reactors: the first for the growth of </w:t>
      </w:r>
      <w:proofErr w:type="spellStart"/>
      <w:r w:rsidRPr="00AC29DA">
        <w:rPr>
          <w:i/>
          <w:iCs/>
          <w:lang w:val="en-GB"/>
        </w:rPr>
        <w:t>Methylocystis</w:t>
      </w:r>
      <w:proofErr w:type="spellEnd"/>
      <w:r w:rsidRPr="00AC29DA">
        <w:rPr>
          <w:i/>
          <w:iCs/>
          <w:lang w:val="en-GB"/>
        </w:rPr>
        <w:t xml:space="preserve"> </w:t>
      </w:r>
      <w:proofErr w:type="spellStart"/>
      <w:r w:rsidRPr="00AC29DA">
        <w:rPr>
          <w:i/>
          <w:iCs/>
          <w:lang w:val="en-GB"/>
        </w:rPr>
        <w:t>parvus</w:t>
      </w:r>
      <w:proofErr w:type="spellEnd"/>
      <w:r w:rsidRPr="00AC29DA">
        <w:rPr>
          <w:i/>
          <w:iCs/>
          <w:lang w:val="en-GB"/>
        </w:rPr>
        <w:t xml:space="preserve"> OBBP</w:t>
      </w:r>
      <w:r w:rsidRPr="00AC29DA">
        <w:rPr>
          <w:lang w:val="en-GB"/>
        </w:rPr>
        <w:t xml:space="preserve">; the second for the accumulation of the biopolymer (Eq.1 and 2). Data were collected from </w:t>
      </w:r>
      <w:r w:rsidRPr="00AC29DA">
        <w:rPr>
          <w:lang w:val="en-GB"/>
        </w:rPr>
        <w:fldChar w:fldCharType="begin" w:fldLock="1"/>
      </w:r>
      <w:r w:rsidR="009B0DE6" w:rsidRPr="00AC29DA">
        <w:rPr>
          <w:lang w:val="en-GB"/>
        </w:rPr>
        <w:instrText>ADDIN CSL_CITATION {"citationItems":[{"id":"ITEM-1","itemData":{"DOI":"10.1016/j.biortech.2012.12.129","ISSN":"18732976","abstract":"In this study, modeling is used to describe how oxygen and nitrogen source affect the stoichiometry and kinetics of growth and PHB production in the Type II methanotrophs Methylosinus trichosporium OB3b and Methylocystis parvus OBBP. Significant differences were observed, with major implications for the use of these species in biotechnology applications. Such analyses can better inform bioreactor design, scale-up models, and life cycle assessments (LCAs). © 2012 .","author":[{"dropping-particle":"","family":"Rostkowski","given":"Katherine H.","non-dropping-particle":"","parse-names":false,"suffix":""},{"dropping-particle":"","family":"Pfluger","given":"Andrew R.","non-dropping-particle":"","parse-names":false,"suffix":""},{"dropping-particle":"","family":"Criddle","given":"Craig S.","non-dropping-particle":"","parse-names":false,"suffix":""}],"container-title":"Bioresource Technology","id":"ITEM-1","issued":{"date-parts":[["2013"]]},"page":"71-77","title":"Stoichiometry and kinetics of the PHB-producing Type II methanotrophs Methylosinus trichosporium OB3b and Methylocystis parvus OBBP","type":"article-journal","volume":"132"},"uris":["http://www.mendeley.com/documents/?uuid=c1d42080-ea64-4fb3-b5f2-fb55b7af72d6"]}],"mendeley":{"formattedCitation":"(Rostkowski et al., 2013)","manualFormatting":"Rostkowski et al. (2013)","plainTextFormattedCitation":"(Rostkowski et al., 2013)","previouslyFormattedCitation":"(Rostkowski et al., 2013)"},"properties":{"noteIndex":0},"schema":"https://github.com/citation-style-language/schema/raw/master/csl-citation.json"}</w:instrText>
      </w:r>
      <w:r w:rsidRPr="00AC29DA">
        <w:rPr>
          <w:lang w:val="en-GB"/>
        </w:rPr>
        <w:fldChar w:fldCharType="separate"/>
      </w:r>
      <w:r w:rsidRPr="00AC29DA">
        <w:rPr>
          <w:noProof/>
          <w:lang w:val="en-GB"/>
        </w:rPr>
        <w:t>Rostkowski et al. (2013)</w:t>
      </w:r>
      <w:r w:rsidRPr="00AC29DA">
        <w:rPr>
          <w:lang w:val="en-GB"/>
        </w:rPr>
        <w:fldChar w:fldCharType="end"/>
      </w:r>
      <w:r w:rsidRPr="00AC29DA">
        <w:rPr>
          <w:lang w:val="en-GB"/>
        </w:rPr>
        <w:t xml:space="preserve"> and </w:t>
      </w:r>
      <w:r w:rsidRPr="00AC29DA">
        <w:rPr>
          <w:lang w:val="en-GB"/>
        </w:rPr>
        <w:fldChar w:fldCharType="begin" w:fldLock="1"/>
      </w:r>
      <w:r w:rsidR="009B0DE6" w:rsidRPr="00AC29DA">
        <w:rPr>
          <w:lang w:val="en-GB"/>
        </w:rPr>
        <w:instrText>ADDIN CSL_CITATION {"citationItems":[{"id":"ITEM-1","itemData":{"DOI":"10.1016/j.biortech.2015.09.094","ISSN":"18732976","PMID":"26454368","abstract":"Methane (CH4) is a readily available feedstock for production of polyhydroxyalkanoates (PHAs). The structure and PHA production capacity of a Methylocystis-dominated methanotrophic enrichment was stable in long-term operation (&gt;175days) when grown exponentially under non-aseptic conditions in fill-and-draw batch cultures with ammonium as nitrogen source. Cells harvested in the draw step were incubated in the absence of nitrogen with various combinations of CH4 and valerate to assess capacity for synthesis of poly(3-hydroxybutyrate) (P3HB) and poly(3-hydroxybutyrate-co-3-hydroxyvalerate) (PHBV). When fed CH4 alone, only P3HB was produced. When fed CH4 plus valerate, PHBV was synthesized. The mol% of 3-hydroxyvalerate (3HV) increased with added valerate. Oxidation of CH4 was required for valerate assimilation, and the fraction of CH4 oxidized increased with increased mol% 3HV. By separating PHA accumulation from cell replication, tailored PHA-rich biomass can be generated by addition of co-substrate, while retaining a large inoculum for the next cycle of cell division.","author":[{"dropping-particle":"","family":"Myung","given":"Jaewook","non-dropping-particle":"","parse-names":false,"suffix":""},{"dropping-particle":"","family":"Galega","given":"Wakuna M.","non-dropping-particle":"","parse-names":false,"suffix":""},{"dropping-particle":"","family":"Nostrand","given":"Joy D.","non-dropping-particle":"Van","parse-names":false,"suffix":""},{"dropping-particle":"","family":"Yuan","given":"Tong","non-dropping-particle":"","parse-names":false,"suffix":""},{"dropping-particle":"","family":"Zhou","given":"Jizhong","non-dropping-particle":"","parse-names":false,"suffix":""},{"dropping-particle":"","family":"Criddle","given":"Craig S.","non-dropping-particle":"","parse-names":false,"suffix":""}],"container-title":"Bioresource Technology","id":"ITEM-1","issued":{"date-parts":[["2015"]]},"page":"811-818","publisher":"Elsevier Ltd","title":"Long-term cultivation of a stable Methylocystis-dominated methanotrophic enrichment enabling tailored production of poly(3-hydroxybutyrate-co-3-hydroxyvalerate)","type":"article-journal","volume":"198"},"uris":["http://www.mendeley.com/documents/?uuid=4c87ea9b-f439-407b-aebd-28677d315172"]}],"mendeley":{"formattedCitation":"(Myung et al., 2015)","manualFormatting":"Myung et al. (2015)","plainTextFormattedCitation":"(Myung et al., 2015)","previouslyFormattedCitation":"(Myung et al., 2015)"},"properties":{"noteIndex":0},"schema":"https://github.com/citation-style-language/schema/raw/master/csl-citation.json"}</w:instrText>
      </w:r>
      <w:r w:rsidRPr="00AC29DA">
        <w:rPr>
          <w:lang w:val="en-GB"/>
        </w:rPr>
        <w:fldChar w:fldCharType="separate"/>
      </w:r>
      <w:r w:rsidRPr="00AC29DA">
        <w:rPr>
          <w:noProof/>
          <w:lang w:val="en-GB"/>
        </w:rPr>
        <w:t>Myung et al. (2015)</w:t>
      </w:r>
      <w:r w:rsidRPr="00AC29DA">
        <w:rPr>
          <w:lang w:val="en-GB"/>
        </w:rPr>
        <w:fldChar w:fldCharType="end"/>
      </w:r>
      <w:r w:rsidR="008906A2" w:rsidRPr="00AC29DA">
        <w:rPr>
          <w:lang w:val="en-GB"/>
        </w:rPr>
        <w:t xml:space="preserve"> </w:t>
      </w:r>
      <w:r w:rsidRPr="00AC29DA">
        <w:rPr>
          <w:lang w:val="en-GB"/>
        </w:rPr>
        <w:t>for the growth phase and the accumulation phase, respectively.</w:t>
      </w:r>
    </w:p>
    <w:p w14:paraId="6789BED6" w14:textId="77777777" w:rsidR="00E175E2" w:rsidRPr="00AC29DA" w:rsidRDefault="00E175E2" w:rsidP="00E175E2">
      <w:pPr>
        <w:pStyle w:val="CETBodytext"/>
        <w:rPr>
          <w:lang w:val="en-GB"/>
        </w:rPr>
      </w:pPr>
    </w:p>
    <w:p w14:paraId="2A6B11A7" w14:textId="77777777" w:rsidR="00E175E2" w:rsidRPr="00AC29DA" w:rsidRDefault="00515725" w:rsidP="00E175E2">
      <w:pPr>
        <w:pStyle w:val="CETEquation"/>
      </w:pPr>
      <m:oMath>
        <m:f>
          <m:fPr>
            <m:ctrlPr>
              <w:rPr>
                <w:rFonts w:ascii="Cambria Math" w:hAnsi="Cambria Math"/>
                <w:i/>
                <w:iCs/>
              </w:rPr>
            </m:ctrlPr>
          </m:fPr>
          <m:num>
            <m:r>
              <m:rPr>
                <m:nor/>
              </m:rPr>
              <w:rPr>
                <w:i/>
                <w:iCs/>
              </w:rPr>
              <m:t>1</m:t>
            </m:r>
          </m:num>
          <m:den>
            <m:r>
              <m:rPr>
                <m:nor/>
              </m:rPr>
              <w:rPr>
                <w:i/>
                <w:iCs/>
              </w:rPr>
              <m:t>4</m:t>
            </m:r>
          </m:den>
        </m:f>
        <m:r>
          <m:rPr>
            <m:nor/>
          </m:rPr>
          <w:rPr>
            <w:i/>
            <w:iCs/>
          </w:rPr>
          <m:t>C</m:t>
        </m:r>
        <m:sSub>
          <m:sSubPr>
            <m:ctrlPr>
              <w:rPr>
                <w:rFonts w:ascii="Cambria Math" w:hAnsi="Cambria Math"/>
                <w:i/>
                <w:iCs/>
              </w:rPr>
            </m:ctrlPr>
          </m:sSubPr>
          <m:e>
            <m:r>
              <m:rPr>
                <m:nor/>
              </m:rPr>
              <w:rPr>
                <w:i/>
                <w:iCs/>
              </w:rPr>
              <m:t>H</m:t>
            </m:r>
          </m:e>
          <m:sub>
            <m:r>
              <m:rPr>
                <m:nor/>
              </m:rPr>
              <w:rPr>
                <w:i/>
                <w:iCs/>
              </w:rPr>
              <m:t>4</m:t>
            </m:r>
          </m:sub>
        </m:sSub>
        <m:r>
          <m:rPr>
            <m:nor/>
          </m:rPr>
          <w:rPr>
            <w:i/>
            <w:iCs/>
          </w:rPr>
          <m:t>+</m:t>
        </m:r>
        <m:d>
          <m:dPr>
            <m:ctrlPr>
              <w:rPr>
                <w:rFonts w:ascii="Cambria Math" w:hAnsi="Cambria Math"/>
                <w:i/>
                <w:iCs/>
              </w:rPr>
            </m:ctrlPr>
          </m:dPr>
          <m:e>
            <m:f>
              <m:fPr>
                <m:ctrlPr>
                  <w:rPr>
                    <w:rFonts w:ascii="Cambria Math" w:hAnsi="Cambria Math"/>
                    <w:i/>
                    <w:iCs/>
                  </w:rPr>
                </m:ctrlPr>
              </m:fPr>
              <m:num>
                <m:r>
                  <m:rPr>
                    <m:nor/>
                  </m:rPr>
                  <w:rPr>
                    <w:i/>
                    <w:iCs/>
                  </w:rPr>
                  <m:t>1</m:t>
                </m:r>
              </m:num>
              <m:den>
                <m:r>
                  <m:rPr>
                    <m:nor/>
                  </m:rPr>
                  <w:rPr>
                    <w:i/>
                    <w:iCs/>
                  </w:rPr>
                  <m:t>4</m:t>
                </m:r>
              </m:den>
            </m:f>
            <m:r>
              <m:rPr>
                <m:nor/>
              </m:rPr>
              <w:rPr>
                <w:i/>
                <w:iCs/>
              </w:rPr>
              <m:t>+</m:t>
            </m:r>
            <m:f>
              <m:fPr>
                <m:ctrlPr>
                  <w:rPr>
                    <w:rFonts w:ascii="Cambria Math" w:hAnsi="Cambria Math"/>
                    <w:i/>
                    <w:iCs/>
                  </w:rPr>
                </m:ctrlPr>
              </m:fPr>
              <m:num>
                <m:sSub>
                  <m:sSubPr>
                    <m:ctrlPr>
                      <w:rPr>
                        <w:rFonts w:ascii="Cambria Math" w:hAnsi="Cambria Math"/>
                        <w:i/>
                        <w:iCs/>
                      </w:rPr>
                    </m:ctrlPr>
                  </m:sSubPr>
                  <m:e>
                    <m:r>
                      <m:rPr>
                        <m:nor/>
                      </m:rPr>
                      <w:rPr>
                        <w:i/>
                        <w:iCs/>
                      </w:rPr>
                      <m:t>f</m:t>
                    </m:r>
                  </m:e>
                  <m:sub>
                    <m:r>
                      <m:rPr>
                        <m:nor/>
                      </m:rPr>
                      <w:rPr>
                        <w:i/>
                        <w:iCs/>
                      </w:rPr>
                      <m:t>e</m:t>
                    </m:r>
                  </m:sub>
                </m:sSub>
              </m:num>
              <m:den>
                <m:r>
                  <m:rPr>
                    <m:nor/>
                  </m:rPr>
                  <w:rPr>
                    <w:i/>
                    <w:iCs/>
                  </w:rPr>
                  <m:t>4</m:t>
                </m:r>
              </m:den>
            </m:f>
          </m:e>
        </m:d>
        <m:sSub>
          <m:sSubPr>
            <m:ctrlPr>
              <w:rPr>
                <w:rFonts w:ascii="Cambria Math" w:hAnsi="Cambria Math"/>
                <w:i/>
                <w:iCs/>
              </w:rPr>
            </m:ctrlPr>
          </m:sSubPr>
          <m:e>
            <m:r>
              <m:rPr>
                <m:nor/>
              </m:rPr>
              <w:rPr>
                <w:i/>
                <w:iCs/>
              </w:rPr>
              <m:t>O</m:t>
            </m:r>
          </m:e>
          <m:sub>
            <m:r>
              <m:rPr>
                <m:nor/>
              </m:rPr>
              <w:rPr>
                <w:i/>
                <w:iCs/>
              </w:rPr>
              <m:t>2</m:t>
            </m:r>
          </m:sub>
        </m:sSub>
        <m:r>
          <m:rPr>
            <m:nor/>
          </m:rPr>
          <w:rPr>
            <w:i/>
            <w:iCs/>
          </w:rPr>
          <m:t>+</m:t>
        </m:r>
        <m:f>
          <m:fPr>
            <m:ctrlPr>
              <w:rPr>
                <w:rFonts w:ascii="Cambria Math" w:hAnsi="Cambria Math"/>
                <w:i/>
                <w:iCs/>
              </w:rPr>
            </m:ctrlPr>
          </m:fPr>
          <m:num>
            <m:sSub>
              <m:sSubPr>
                <m:ctrlPr>
                  <w:rPr>
                    <w:rFonts w:ascii="Cambria Math" w:hAnsi="Cambria Math"/>
                    <w:i/>
                    <w:iCs/>
                  </w:rPr>
                </m:ctrlPr>
              </m:sSubPr>
              <m:e>
                <m:r>
                  <m:rPr>
                    <m:nor/>
                  </m:rPr>
                  <w:rPr>
                    <w:i/>
                    <w:iCs/>
                  </w:rPr>
                  <m:t>f</m:t>
                </m:r>
              </m:e>
              <m:sub>
                <m:r>
                  <m:rPr>
                    <m:nor/>
                  </m:rPr>
                  <w:rPr>
                    <w:i/>
                    <w:iCs/>
                  </w:rPr>
                  <m:t>s</m:t>
                </m:r>
              </m:sub>
            </m:sSub>
          </m:num>
          <m:den>
            <m:r>
              <m:rPr>
                <m:nor/>
              </m:rPr>
              <w:rPr>
                <w:i/>
                <w:iCs/>
              </w:rPr>
              <m:t>28</m:t>
            </m:r>
          </m:den>
        </m:f>
        <m:r>
          <m:rPr>
            <m:nor/>
          </m:rPr>
          <w:rPr>
            <w:i/>
            <w:iCs/>
          </w:rPr>
          <m:t>N</m:t>
        </m:r>
        <m:sSubSup>
          <m:sSubSupPr>
            <m:ctrlPr>
              <w:rPr>
                <w:rFonts w:ascii="Cambria Math" w:hAnsi="Cambria Math"/>
                <w:i/>
                <w:iCs/>
              </w:rPr>
            </m:ctrlPr>
          </m:sSubSupPr>
          <m:e>
            <m:r>
              <m:rPr>
                <m:nor/>
              </m:rPr>
              <w:rPr>
                <w:i/>
                <w:iCs/>
              </w:rPr>
              <m:t>O</m:t>
            </m:r>
          </m:e>
          <m:sub>
            <m:r>
              <m:rPr>
                <m:nor/>
              </m:rPr>
              <w:rPr>
                <w:i/>
                <w:iCs/>
              </w:rPr>
              <m:t>3</m:t>
            </m:r>
          </m:sub>
          <m:sup>
            <m:r>
              <m:rPr>
                <m:nor/>
              </m:rPr>
              <w:rPr>
                <w:i/>
                <w:iCs/>
              </w:rPr>
              <m:t>-</m:t>
            </m:r>
          </m:sup>
        </m:sSubSup>
        <m:r>
          <m:rPr>
            <m:nor/>
          </m:rPr>
          <w:rPr>
            <w:i/>
            <w:iCs/>
          </w:rPr>
          <m:t>+</m:t>
        </m:r>
        <m:d>
          <m:dPr>
            <m:ctrlPr>
              <w:rPr>
                <w:rFonts w:ascii="Cambria Math" w:hAnsi="Cambria Math"/>
                <w:i/>
                <w:iCs/>
              </w:rPr>
            </m:ctrlPr>
          </m:dPr>
          <m:e>
            <m:f>
              <m:fPr>
                <m:ctrlPr>
                  <w:rPr>
                    <w:rFonts w:ascii="Cambria Math" w:hAnsi="Cambria Math"/>
                    <w:i/>
                    <w:iCs/>
                  </w:rPr>
                </m:ctrlPr>
              </m:fPr>
              <m:num>
                <m:r>
                  <m:rPr>
                    <m:nor/>
                  </m:rPr>
                  <w:rPr>
                    <w:i/>
                    <w:iCs/>
                  </w:rPr>
                  <m:t>29</m:t>
                </m:r>
              </m:num>
              <m:den>
                <m:r>
                  <m:rPr>
                    <m:nor/>
                  </m:rPr>
                  <w:rPr>
                    <w:i/>
                    <w:iCs/>
                  </w:rPr>
                  <m:t>28</m:t>
                </m:r>
              </m:den>
            </m:f>
            <m:sSub>
              <m:sSubPr>
                <m:ctrlPr>
                  <w:rPr>
                    <w:rFonts w:ascii="Cambria Math" w:hAnsi="Cambria Math"/>
                    <w:i/>
                    <w:iCs/>
                  </w:rPr>
                </m:ctrlPr>
              </m:sSubPr>
              <m:e>
                <m:r>
                  <m:rPr>
                    <m:nor/>
                  </m:rPr>
                  <w:rPr>
                    <w:i/>
                    <w:iCs/>
                  </w:rPr>
                  <m:t>f</m:t>
                </m:r>
              </m:e>
              <m:sub>
                <m:r>
                  <m:rPr>
                    <m:nor/>
                  </m:rPr>
                  <w:rPr>
                    <w:i/>
                    <w:iCs/>
                  </w:rPr>
                  <m:t>s</m:t>
                </m:r>
              </m:sub>
            </m:sSub>
            <m:r>
              <m:rPr>
                <m:nor/>
              </m:rPr>
              <w:rPr>
                <w:i/>
                <w:iCs/>
              </w:rPr>
              <m:t>+</m:t>
            </m:r>
            <m:sSub>
              <m:sSubPr>
                <m:ctrlPr>
                  <w:rPr>
                    <w:rFonts w:ascii="Cambria Math" w:hAnsi="Cambria Math"/>
                    <w:i/>
                    <w:iCs/>
                  </w:rPr>
                </m:ctrlPr>
              </m:sSubPr>
              <m:e>
                <m:r>
                  <m:rPr>
                    <m:nor/>
                  </m:rPr>
                  <w:rPr>
                    <w:i/>
                    <w:iCs/>
                  </w:rPr>
                  <m:t>f</m:t>
                </m:r>
              </m:e>
              <m:sub>
                <m:r>
                  <m:rPr>
                    <m:nor/>
                  </m:rPr>
                  <w:rPr>
                    <w:i/>
                    <w:iCs/>
                  </w:rPr>
                  <m:t>e</m:t>
                </m:r>
              </m:sub>
            </m:sSub>
            <m:r>
              <m:rPr>
                <m:nor/>
              </m:rPr>
              <w:rPr>
                <w:i/>
                <w:iCs/>
              </w:rPr>
              <m:t>-1</m:t>
            </m:r>
          </m:e>
        </m:d>
        <m:sSup>
          <m:sSupPr>
            <m:ctrlPr>
              <w:rPr>
                <w:rFonts w:ascii="Cambria Math" w:hAnsi="Cambria Math"/>
                <w:i/>
                <w:iCs/>
              </w:rPr>
            </m:ctrlPr>
          </m:sSupPr>
          <m:e>
            <m:r>
              <m:rPr>
                <m:nor/>
              </m:rPr>
              <w:rPr>
                <w:i/>
                <w:iCs/>
              </w:rPr>
              <m:t>H</m:t>
            </m:r>
          </m:e>
          <m:sup>
            <m:r>
              <m:rPr>
                <m:nor/>
              </m:rPr>
              <w:rPr>
                <w:i/>
                <w:iCs/>
              </w:rPr>
              <m:t>+</m:t>
            </m:r>
          </m:sup>
        </m:sSup>
        <m:r>
          <m:rPr>
            <m:nor/>
          </m:rPr>
          <w:rPr>
            <w:i/>
            <w:iCs/>
          </w:rPr>
          <m:t>→</m:t>
        </m:r>
        <m:d>
          <m:dPr>
            <m:ctrlPr>
              <w:rPr>
                <w:rFonts w:ascii="Cambria Math" w:hAnsi="Cambria Math"/>
                <w:i/>
                <w:iCs/>
              </w:rPr>
            </m:ctrlPr>
          </m:dPr>
          <m:e>
            <m:f>
              <m:fPr>
                <m:ctrlPr>
                  <w:rPr>
                    <w:rFonts w:ascii="Cambria Math" w:hAnsi="Cambria Math"/>
                    <w:i/>
                    <w:iCs/>
                  </w:rPr>
                </m:ctrlPr>
              </m:fPr>
              <m:num>
                <m:r>
                  <m:rPr>
                    <m:nor/>
                  </m:rPr>
                  <w:rPr>
                    <w:i/>
                    <w:iCs/>
                  </w:rPr>
                  <m:t>1</m:t>
                </m:r>
              </m:num>
              <m:den>
                <m:r>
                  <m:rPr>
                    <m:nor/>
                  </m:rPr>
                  <w:rPr>
                    <w:i/>
                    <w:iCs/>
                  </w:rPr>
                  <m:t>4</m:t>
                </m:r>
              </m:den>
            </m:f>
            <m:r>
              <m:rPr>
                <m:nor/>
              </m:rPr>
              <w:rPr>
                <w:i/>
                <w:iCs/>
              </w:rPr>
              <m:t>-</m:t>
            </m:r>
            <m:f>
              <m:fPr>
                <m:ctrlPr>
                  <w:rPr>
                    <w:rFonts w:ascii="Cambria Math" w:hAnsi="Cambria Math"/>
                    <w:i/>
                    <w:iCs/>
                  </w:rPr>
                </m:ctrlPr>
              </m:fPr>
              <m:num>
                <m:r>
                  <m:rPr>
                    <m:nor/>
                  </m:rPr>
                  <w:rPr>
                    <w:i/>
                    <w:iCs/>
                  </w:rPr>
                  <m:t>5</m:t>
                </m:r>
                <m:sSub>
                  <m:sSubPr>
                    <m:ctrlPr>
                      <w:rPr>
                        <w:rFonts w:ascii="Cambria Math" w:hAnsi="Cambria Math"/>
                        <w:i/>
                        <w:iCs/>
                      </w:rPr>
                    </m:ctrlPr>
                  </m:sSubPr>
                  <m:e>
                    <m:r>
                      <m:rPr>
                        <m:nor/>
                      </m:rPr>
                      <w:rPr>
                        <w:i/>
                        <w:iCs/>
                      </w:rPr>
                      <m:t>f</m:t>
                    </m:r>
                  </m:e>
                  <m:sub>
                    <m:r>
                      <m:rPr>
                        <m:nor/>
                      </m:rPr>
                      <w:rPr>
                        <w:i/>
                        <w:iCs/>
                      </w:rPr>
                      <m:t>e</m:t>
                    </m:r>
                  </m:sub>
                </m:sSub>
              </m:num>
              <m:den>
                <m:r>
                  <m:rPr>
                    <m:nor/>
                  </m:rPr>
                  <w:rPr>
                    <w:i/>
                    <w:iCs/>
                  </w:rPr>
                  <m:t>28</m:t>
                </m:r>
              </m:den>
            </m:f>
          </m:e>
        </m:d>
        <m:r>
          <m:rPr>
            <m:nor/>
          </m:rPr>
          <w:rPr>
            <w:i/>
            <w:iCs/>
          </w:rPr>
          <m:t>C</m:t>
        </m:r>
        <m:sSub>
          <m:sSubPr>
            <m:ctrlPr>
              <w:rPr>
                <w:rFonts w:ascii="Cambria Math" w:hAnsi="Cambria Math"/>
                <w:i/>
                <w:iCs/>
              </w:rPr>
            </m:ctrlPr>
          </m:sSubPr>
          <m:e>
            <m:r>
              <m:rPr>
                <m:nor/>
              </m:rPr>
              <w:rPr>
                <w:i/>
                <w:iCs/>
              </w:rPr>
              <m:t>O</m:t>
            </m:r>
          </m:e>
          <m:sub>
            <m:r>
              <m:rPr>
                <m:nor/>
              </m:rPr>
              <w:rPr>
                <w:i/>
                <w:iCs/>
              </w:rPr>
              <m:t>2</m:t>
            </m:r>
          </m:sub>
        </m:sSub>
        <m:r>
          <m:rPr>
            <m:nor/>
          </m:rPr>
          <w:rPr>
            <w:i/>
            <w:iCs/>
          </w:rPr>
          <m:t>+(</m:t>
        </m:r>
        <m:f>
          <m:fPr>
            <m:ctrlPr>
              <w:rPr>
                <w:rFonts w:ascii="Cambria Math" w:hAnsi="Cambria Math"/>
                <w:i/>
                <w:iCs/>
              </w:rPr>
            </m:ctrlPr>
          </m:fPr>
          <m:num>
            <m:sSub>
              <m:sSubPr>
                <m:ctrlPr>
                  <w:rPr>
                    <w:rFonts w:ascii="Cambria Math" w:hAnsi="Cambria Math"/>
                    <w:i/>
                    <w:iCs/>
                  </w:rPr>
                </m:ctrlPr>
              </m:sSubPr>
              <m:e>
                <m:r>
                  <m:rPr>
                    <m:nor/>
                  </m:rPr>
                  <w:rPr>
                    <w:i/>
                    <w:iCs/>
                  </w:rPr>
                  <m:t>f</m:t>
                </m:r>
              </m:e>
              <m:sub>
                <m:r>
                  <m:rPr>
                    <m:nor/>
                  </m:rPr>
                  <w:rPr>
                    <w:i/>
                    <w:iCs/>
                  </w:rPr>
                  <m:t>e</m:t>
                </m:r>
              </m:sub>
            </m:sSub>
          </m:num>
          <m:den>
            <m:r>
              <m:rPr>
                <m:nor/>
              </m:rPr>
              <w:rPr>
                <w:i/>
                <w:iCs/>
              </w:rPr>
              <m:t>2</m:t>
            </m:r>
          </m:den>
        </m:f>
        <m:r>
          <m:rPr>
            <m:nor/>
          </m:rPr>
          <w:rPr>
            <w:i/>
            <w:iCs/>
          </w:rPr>
          <m:t>+</m:t>
        </m:r>
        <m:f>
          <m:fPr>
            <m:ctrlPr>
              <w:rPr>
                <w:rFonts w:ascii="Cambria Math" w:hAnsi="Cambria Math"/>
                <w:i/>
                <w:iCs/>
              </w:rPr>
            </m:ctrlPr>
          </m:fPr>
          <m:num>
            <m:r>
              <m:rPr>
                <m:nor/>
              </m:rPr>
              <w:rPr>
                <w:i/>
                <w:iCs/>
              </w:rPr>
              <m:t>11</m:t>
            </m:r>
            <m:sSub>
              <m:sSubPr>
                <m:ctrlPr>
                  <w:rPr>
                    <w:rFonts w:ascii="Cambria Math" w:hAnsi="Cambria Math"/>
                    <w:i/>
                    <w:iCs/>
                  </w:rPr>
                </m:ctrlPr>
              </m:sSubPr>
              <m:e>
                <m:r>
                  <m:rPr>
                    <m:nor/>
                  </m:rPr>
                  <w:rPr>
                    <w:i/>
                    <w:iCs/>
                  </w:rPr>
                  <m:t>f</m:t>
                </m:r>
              </m:e>
              <m:sub>
                <m:r>
                  <m:rPr>
                    <m:nor/>
                  </m:rPr>
                  <w:rPr>
                    <w:i/>
                    <w:iCs/>
                  </w:rPr>
                  <m:t>s</m:t>
                </m:r>
              </m:sub>
            </m:sSub>
          </m:num>
          <m:den>
            <m:r>
              <m:rPr>
                <m:nor/>
              </m:rPr>
              <w:rPr>
                <w:i/>
                <w:iCs/>
              </w:rPr>
              <m:t>28</m:t>
            </m:r>
          </m:den>
        </m:f>
        <m:sSub>
          <m:sSubPr>
            <m:ctrlPr>
              <w:rPr>
                <w:rFonts w:ascii="Cambria Math" w:hAnsi="Cambria Math"/>
                <w:i/>
                <w:iCs/>
              </w:rPr>
            </m:ctrlPr>
          </m:sSubPr>
          <m:e>
            <m:r>
              <m:rPr>
                <m:nor/>
              </m:rPr>
              <w:rPr>
                <w:i/>
                <w:iCs/>
              </w:rPr>
              <m:t>)H</m:t>
            </m:r>
          </m:e>
          <m:sub>
            <m:r>
              <m:rPr>
                <m:nor/>
              </m:rPr>
              <w:rPr>
                <w:i/>
                <w:iCs/>
              </w:rPr>
              <m:t>2</m:t>
            </m:r>
          </m:sub>
        </m:sSub>
        <m:r>
          <m:rPr>
            <m:nor/>
          </m:rPr>
          <w:rPr>
            <w:i/>
            <w:iCs/>
          </w:rPr>
          <m:t>O+</m:t>
        </m: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m:rPr>
                        <m:nor/>
                      </m:rPr>
                      <w:rPr>
                        <w:i/>
                        <w:iCs/>
                      </w:rPr>
                      <m:t>f</m:t>
                    </m:r>
                  </m:e>
                  <m:sub>
                    <m:r>
                      <m:rPr>
                        <m:nor/>
                      </m:rPr>
                      <w:rPr>
                        <w:i/>
                        <w:iCs/>
                      </w:rPr>
                      <m:t>s</m:t>
                    </m:r>
                  </m:sub>
                </m:sSub>
              </m:num>
              <m:den>
                <m:r>
                  <m:rPr>
                    <m:nor/>
                  </m:rPr>
                  <w:rPr>
                    <w:i/>
                    <w:iCs/>
                  </w:rPr>
                  <m:t>28</m:t>
                </m:r>
              </m:den>
            </m:f>
          </m:e>
        </m:d>
        <m:sSub>
          <m:sSubPr>
            <m:ctrlPr>
              <w:rPr>
                <w:rFonts w:ascii="Cambria Math" w:hAnsi="Cambria Math"/>
                <w:i/>
                <w:iCs/>
              </w:rPr>
            </m:ctrlPr>
          </m:sSubPr>
          <m:e>
            <m:r>
              <m:rPr>
                <m:nor/>
              </m:rPr>
              <w:rPr>
                <w:i/>
                <w:iCs/>
              </w:rPr>
              <m:t>C</m:t>
            </m:r>
          </m:e>
          <m:sub>
            <m:r>
              <m:rPr>
                <m:nor/>
              </m:rPr>
              <w:rPr>
                <w:i/>
                <w:iCs/>
              </w:rPr>
              <m:t>5</m:t>
            </m:r>
          </m:sub>
        </m:sSub>
        <m:sSub>
          <m:sSubPr>
            <m:ctrlPr>
              <w:rPr>
                <w:rFonts w:ascii="Cambria Math" w:hAnsi="Cambria Math"/>
                <w:i/>
                <w:iCs/>
              </w:rPr>
            </m:ctrlPr>
          </m:sSubPr>
          <m:e>
            <m:r>
              <m:rPr>
                <m:nor/>
              </m:rPr>
              <w:rPr>
                <w:i/>
                <w:iCs/>
              </w:rPr>
              <m:t>H</m:t>
            </m:r>
          </m:e>
          <m:sub>
            <m:r>
              <m:rPr>
                <m:nor/>
              </m:rPr>
              <w:rPr>
                <w:i/>
                <w:iCs/>
              </w:rPr>
              <m:t>7</m:t>
            </m:r>
          </m:sub>
        </m:sSub>
        <m:sSub>
          <m:sSubPr>
            <m:ctrlPr>
              <w:rPr>
                <w:rFonts w:ascii="Cambria Math" w:hAnsi="Cambria Math"/>
                <w:i/>
                <w:iCs/>
              </w:rPr>
            </m:ctrlPr>
          </m:sSubPr>
          <m:e>
            <m:r>
              <m:rPr>
                <m:nor/>
              </m:rPr>
              <w:rPr>
                <w:i/>
                <w:iCs/>
              </w:rPr>
              <m:t>O</m:t>
            </m:r>
          </m:e>
          <m:sub>
            <m:r>
              <m:rPr>
                <m:nor/>
              </m:rPr>
              <w:rPr>
                <w:i/>
                <w:iCs/>
              </w:rPr>
              <m:t>2</m:t>
            </m:r>
          </m:sub>
        </m:sSub>
        <m:r>
          <m:rPr>
            <m:nor/>
          </m:rPr>
          <w:rPr>
            <w:i/>
            <w:iCs/>
          </w:rPr>
          <m:t xml:space="preserve">N          </m:t>
        </m:r>
      </m:oMath>
      <w:r w:rsidR="00E175E2" w:rsidRPr="00AC29DA">
        <w:t xml:space="preserve">                          (1)              </w:t>
      </w:r>
    </w:p>
    <w:p w14:paraId="2ADF4484" w14:textId="77777777" w:rsidR="00E175E2" w:rsidRPr="00AC29DA" w:rsidRDefault="00515725" w:rsidP="00E175E2">
      <w:pPr>
        <w:pStyle w:val="CETEquation"/>
        <w:rPr>
          <w:lang w:val="it-IT"/>
        </w:rPr>
      </w:pPr>
      <m:oMath>
        <m:f>
          <m:fPr>
            <m:ctrlPr>
              <w:rPr>
                <w:rFonts w:ascii="Cambria Math" w:hAnsi="Cambria Math"/>
                <w:i/>
                <w:iCs/>
              </w:rPr>
            </m:ctrlPr>
          </m:fPr>
          <m:num>
            <m:r>
              <m:rPr>
                <m:nor/>
              </m:rPr>
              <w:rPr>
                <w:i/>
                <w:iCs/>
                <w:lang w:val="it-IT"/>
              </w:rPr>
              <m:t>1</m:t>
            </m:r>
          </m:num>
          <m:den>
            <m:r>
              <m:rPr>
                <m:nor/>
              </m:rPr>
              <w:rPr>
                <w:i/>
                <w:iCs/>
                <w:lang w:val="it-IT"/>
              </w:rPr>
              <m:t>4</m:t>
            </m:r>
          </m:den>
        </m:f>
        <m:r>
          <m:rPr>
            <m:nor/>
          </m:rPr>
          <w:rPr>
            <w:i/>
            <w:iCs/>
            <w:lang w:val="it-IT"/>
          </w:rPr>
          <m:t>C</m:t>
        </m:r>
        <m:sSub>
          <m:sSubPr>
            <m:ctrlPr>
              <w:rPr>
                <w:rFonts w:ascii="Cambria Math" w:hAnsi="Cambria Math"/>
                <w:i/>
                <w:iCs/>
              </w:rPr>
            </m:ctrlPr>
          </m:sSubPr>
          <m:e>
            <m:r>
              <m:rPr>
                <m:nor/>
              </m:rPr>
              <w:rPr>
                <w:i/>
                <w:iCs/>
                <w:lang w:val="it-IT"/>
              </w:rPr>
              <m:t>H</m:t>
            </m:r>
          </m:e>
          <m:sub>
            <m:r>
              <m:rPr>
                <m:nor/>
              </m:rPr>
              <w:rPr>
                <w:i/>
                <w:iCs/>
                <w:lang w:val="it-IT"/>
              </w:rPr>
              <m:t>4</m:t>
            </m:r>
          </m:sub>
        </m:sSub>
        <m:r>
          <m:rPr>
            <m:nor/>
          </m:rPr>
          <w:rPr>
            <w:i/>
            <w:iCs/>
            <w:lang w:val="it-IT"/>
          </w:rPr>
          <m:t>+</m:t>
        </m:r>
        <m:d>
          <m:dPr>
            <m:ctrlPr>
              <w:rPr>
                <w:rFonts w:ascii="Cambria Math" w:hAnsi="Cambria Math"/>
                <w:i/>
                <w:iCs/>
              </w:rPr>
            </m:ctrlPr>
          </m:dPr>
          <m:e>
            <m:f>
              <m:fPr>
                <m:ctrlPr>
                  <w:rPr>
                    <w:rFonts w:ascii="Cambria Math" w:hAnsi="Cambria Math"/>
                    <w:i/>
                    <w:iCs/>
                  </w:rPr>
                </m:ctrlPr>
              </m:fPr>
              <m:num>
                <m:r>
                  <m:rPr>
                    <m:nor/>
                  </m:rPr>
                  <w:rPr>
                    <w:i/>
                    <w:iCs/>
                    <w:lang w:val="it-IT"/>
                  </w:rPr>
                  <m:t>1</m:t>
                </m:r>
              </m:num>
              <m:den>
                <m:r>
                  <m:rPr>
                    <m:nor/>
                  </m:rPr>
                  <w:rPr>
                    <w:i/>
                    <w:iCs/>
                    <w:lang w:val="it-IT"/>
                  </w:rPr>
                  <m:t>4</m:t>
                </m:r>
              </m:den>
            </m:f>
            <m:r>
              <m:rPr>
                <m:nor/>
              </m:rPr>
              <w:rPr>
                <w:i/>
                <w:iCs/>
                <w:lang w:val="it-IT"/>
              </w:rPr>
              <m:t>+</m:t>
            </m:r>
            <m:f>
              <m:fPr>
                <m:ctrlPr>
                  <w:rPr>
                    <w:rFonts w:ascii="Cambria Math" w:hAnsi="Cambria Math"/>
                    <w:i/>
                    <w:iCs/>
                  </w:rPr>
                </m:ctrlPr>
              </m:fPr>
              <m:num>
                <m:sSub>
                  <m:sSubPr>
                    <m:ctrlPr>
                      <w:rPr>
                        <w:rFonts w:ascii="Cambria Math" w:hAnsi="Cambria Math"/>
                        <w:i/>
                        <w:iCs/>
                      </w:rPr>
                    </m:ctrlPr>
                  </m:sSubPr>
                  <m:e>
                    <m:r>
                      <m:rPr>
                        <m:nor/>
                      </m:rPr>
                      <w:rPr>
                        <w:i/>
                        <w:iCs/>
                        <w:lang w:val="it-IT"/>
                      </w:rPr>
                      <m:t>f</m:t>
                    </m:r>
                  </m:e>
                  <m:sub>
                    <m:r>
                      <m:rPr>
                        <m:nor/>
                      </m:rPr>
                      <w:rPr>
                        <w:i/>
                        <w:iCs/>
                        <w:lang w:val="it-IT"/>
                      </w:rPr>
                      <m:t>e</m:t>
                    </m:r>
                  </m:sub>
                </m:sSub>
              </m:num>
              <m:den>
                <m:r>
                  <m:rPr>
                    <m:nor/>
                  </m:rPr>
                  <w:rPr>
                    <w:i/>
                    <w:iCs/>
                    <w:lang w:val="it-IT"/>
                  </w:rPr>
                  <m:t>4</m:t>
                </m:r>
              </m:den>
            </m:f>
          </m:e>
        </m:d>
        <m:sSub>
          <m:sSubPr>
            <m:ctrlPr>
              <w:rPr>
                <w:rFonts w:ascii="Cambria Math" w:hAnsi="Cambria Math"/>
                <w:i/>
                <w:iCs/>
              </w:rPr>
            </m:ctrlPr>
          </m:sSubPr>
          <m:e>
            <m:r>
              <m:rPr>
                <m:nor/>
              </m:rPr>
              <w:rPr>
                <w:i/>
                <w:iCs/>
                <w:lang w:val="it-IT"/>
              </w:rPr>
              <m:t>O</m:t>
            </m:r>
          </m:e>
          <m:sub>
            <m:r>
              <m:rPr>
                <m:nor/>
              </m:rPr>
              <w:rPr>
                <w:i/>
                <w:iCs/>
                <w:lang w:val="it-IT"/>
              </w:rPr>
              <m:t>2</m:t>
            </m:r>
          </m:sub>
        </m:sSub>
        <m:r>
          <m:rPr>
            <m:nor/>
          </m:rPr>
          <w:rPr>
            <w:i/>
            <w:iCs/>
            <w:lang w:val="it-IT"/>
          </w:rPr>
          <m:t>→</m:t>
        </m:r>
        <m:d>
          <m:dPr>
            <m:ctrlPr>
              <w:rPr>
                <w:rFonts w:ascii="Cambria Math" w:hAnsi="Cambria Math"/>
                <w:i/>
                <w:iCs/>
              </w:rPr>
            </m:ctrlPr>
          </m:dPr>
          <m:e>
            <m:f>
              <m:fPr>
                <m:ctrlPr>
                  <w:rPr>
                    <w:rFonts w:ascii="Cambria Math" w:hAnsi="Cambria Math"/>
                    <w:i/>
                    <w:iCs/>
                  </w:rPr>
                </m:ctrlPr>
              </m:fPr>
              <m:num>
                <m:r>
                  <m:rPr>
                    <m:nor/>
                  </m:rPr>
                  <w:rPr>
                    <w:i/>
                    <w:iCs/>
                    <w:lang w:val="it-IT"/>
                  </w:rPr>
                  <m:t>1</m:t>
                </m:r>
              </m:num>
              <m:den>
                <m:r>
                  <m:rPr>
                    <m:nor/>
                  </m:rPr>
                  <w:rPr>
                    <w:i/>
                    <w:iCs/>
                    <w:lang w:val="it-IT"/>
                  </w:rPr>
                  <m:t>4</m:t>
                </m:r>
              </m:den>
            </m:f>
            <m:r>
              <m:rPr>
                <m:nor/>
              </m:rPr>
              <w:rPr>
                <w:i/>
                <w:iCs/>
                <w:lang w:val="it-IT"/>
              </w:rPr>
              <m:t>-</m:t>
            </m:r>
            <m:f>
              <m:fPr>
                <m:ctrlPr>
                  <w:rPr>
                    <w:rFonts w:ascii="Cambria Math" w:hAnsi="Cambria Math"/>
                    <w:i/>
                    <w:iCs/>
                  </w:rPr>
                </m:ctrlPr>
              </m:fPr>
              <m:num>
                <m:r>
                  <m:rPr>
                    <m:nor/>
                  </m:rPr>
                  <w:rPr>
                    <w:i/>
                    <w:iCs/>
                    <w:lang w:val="it-IT"/>
                  </w:rPr>
                  <m:t>4</m:t>
                </m:r>
                <m:sSub>
                  <m:sSubPr>
                    <m:ctrlPr>
                      <w:rPr>
                        <w:rFonts w:ascii="Cambria Math" w:hAnsi="Cambria Math"/>
                        <w:i/>
                        <w:iCs/>
                      </w:rPr>
                    </m:ctrlPr>
                  </m:sSubPr>
                  <m:e>
                    <m:r>
                      <m:rPr>
                        <m:nor/>
                      </m:rPr>
                      <w:rPr>
                        <w:i/>
                        <w:iCs/>
                        <w:lang w:val="it-IT"/>
                      </w:rPr>
                      <m:t>f</m:t>
                    </m:r>
                  </m:e>
                  <m:sub>
                    <m:r>
                      <m:rPr>
                        <m:nor/>
                      </m:rPr>
                      <w:rPr>
                        <w:i/>
                        <w:iCs/>
                        <w:lang w:val="it-IT"/>
                      </w:rPr>
                      <m:t>s</m:t>
                    </m:r>
                  </m:sub>
                </m:sSub>
              </m:num>
              <m:den>
                <m:r>
                  <m:rPr>
                    <m:nor/>
                  </m:rPr>
                  <w:rPr>
                    <w:i/>
                    <w:iCs/>
                    <w:lang w:val="it-IT"/>
                  </w:rPr>
                  <m:t>18</m:t>
                </m:r>
              </m:den>
            </m:f>
          </m:e>
        </m:d>
        <m:r>
          <m:rPr>
            <m:nor/>
          </m:rPr>
          <w:rPr>
            <w:i/>
            <w:iCs/>
            <w:lang w:val="it-IT"/>
          </w:rPr>
          <m:t>C</m:t>
        </m:r>
        <m:sSub>
          <m:sSubPr>
            <m:ctrlPr>
              <w:rPr>
                <w:rFonts w:ascii="Cambria Math" w:hAnsi="Cambria Math"/>
                <w:i/>
                <w:iCs/>
              </w:rPr>
            </m:ctrlPr>
          </m:sSubPr>
          <m:e>
            <m:r>
              <m:rPr>
                <m:nor/>
              </m:rPr>
              <w:rPr>
                <w:i/>
                <w:iCs/>
                <w:lang w:val="it-IT"/>
              </w:rPr>
              <m:t>O</m:t>
            </m:r>
          </m:e>
          <m:sub>
            <m:r>
              <m:rPr>
                <m:nor/>
              </m:rPr>
              <w:rPr>
                <w:i/>
                <w:iCs/>
                <w:lang w:val="it-IT"/>
              </w:rPr>
              <m:t>2</m:t>
            </m:r>
          </m:sub>
        </m:sSub>
        <m:r>
          <m:rPr>
            <m:nor/>
          </m:rPr>
          <w:rPr>
            <w:i/>
            <w:iCs/>
            <w:lang w:val="it-IT"/>
          </w:rPr>
          <m:t>+</m:t>
        </m: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m:rPr>
                        <m:nor/>
                      </m:rPr>
                      <w:rPr>
                        <w:i/>
                        <w:iCs/>
                        <w:lang w:val="it-IT"/>
                      </w:rPr>
                      <m:t>f</m:t>
                    </m:r>
                  </m:e>
                  <m:sub>
                    <m:r>
                      <m:rPr>
                        <m:nor/>
                      </m:rPr>
                      <w:rPr>
                        <w:i/>
                        <w:iCs/>
                        <w:lang w:val="it-IT"/>
                      </w:rPr>
                      <m:t>e</m:t>
                    </m:r>
                  </m:sub>
                </m:sSub>
              </m:num>
              <m:den>
                <m:r>
                  <m:rPr>
                    <m:nor/>
                  </m:rPr>
                  <w:rPr>
                    <w:i/>
                    <w:iCs/>
                    <w:lang w:val="it-IT"/>
                  </w:rPr>
                  <m:t>2</m:t>
                </m:r>
              </m:den>
            </m:f>
            <m:r>
              <m:rPr>
                <m:nor/>
              </m:rPr>
              <w:rPr>
                <w:i/>
                <w:iCs/>
                <w:lang w:val="it-IT"/>
              </w:rPr>
              <m:t>+</m:t>
            </m:r>
            <m:f>
              <m:fPr>
                <m:ctrlPr>
                  <w:rPr>
                    <w:rFonts w:ascii="Cambria Math" w:hAnsi="Cambria Math"/>
                    <w:i/>
                    <w:iCs/>
                  </w:rPr>
                </m:ctrlPr>
              </m:fPr>
              <m:num>
                <m:sSub>
                  <m:sSubPr>
                    <m:ctrlPr>
                      <w:rPr>
                        <w:rFonts w:ascii="Cambria Math" w:hAnsi="Cambria Math"/>
                        <w:i/>
                        <w:iCs/>
                      </w:rPr>
                    </m:ctrlPr>
                  </m:sSubPr>
                  <m:e>
                    <m:r>
                      <m:rPr>
                        <m:nor/>
                      </m:rPr>
                      <w:rPr>
                        <w:i/>
                        <w:iCs/>
                        <w:lang w:val="it-IT"/>
                      </w:rPr>
                      <m:t>f</m:t>
                    </m:r>
                  </m:e>
                  <m:sub>
                    <m:r>
                      <m:rPr>
                        <m:nor/>
                      </m:rPr>
                      <w:rPr>
                        <w:i/>
                        <w:iCs/>
                        <w:lang w:val="it-IT"/>
                      </w:rPr>
                      <m:t>s</m:t>
                    </m:r>
                  </m:sub>
                </m:sSub>
              </m:num>
              <m:den>
                <m:r>
                  <m:rPr>
                    <m:nor/>
                  </m:rPr>
                  <w:rPr>
                    <w:i/>
                    <w:iCs/>
                    <w:lang w:val="it-IT"/>
                  </w:rPr>
                  <m:t>3</m:t>
                </m:r>
              </m:den>
            </m:f>
          </m:e>
        </m:d>
        <m:sSub>
          <m:sSubPr>
            <m:ctrlPr>
              <w:rPr>
                <w:rFonts w:ascii="Cambria Math" w:hAnsi="Cambria Math"/>
                <w:i/>
                <w:iCs/>
              </w:rPr>
            </m:ctrlPr>
          </m:sSubPr>
          <m:e>
            <m:r>
              <m:rPr>
                <m:nor/>
              </m:rPr>
              <w:rPr>
                <w:i/>
                <w:iCs/>
                <w:lang w:val="it-IT"/>
              </w:rPr>
              <m:t>H</m:t>
            </m:r>
          </m:e>
          <m:sub>
            <m:r>
              <m:rPr>
                <m:nor/>
              </m:rPr>
              <w:rPr>
                <w:i/>
                <w:iCs/>
                <w:lang w:val="it-IT"/>
              </w:rPr>
              <m:t>2</m:t>
            </m:r>
          </m:sub>
        </m:sSub>
        <m:r>
          <m:rPr>
            <m:nor/>
          </m:rPr>
          <w:rPr>
            <w:i/>
            <w:iCs/>
            <w:lang w:val="it-IT"/>
          </w:rPr>
          <m:t>O+</m:t>
        </m: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m:rPr>
                        <m:nor/>
                      </m:rPr>
                      <w:rPr>
                        <w:i/>
                        <w:iCs/>
                        <w:lang w:val="it-IT"/>
                      </w:rPr>
                      <m:t>f</m:t>
                    </m:r>
                  </m:e>
                  <m:sub>
                    <m:r>
                      <m:rPr>
                        <m:nor/>
                      </m:rPr>
                      <w:rPr>
                        <w:i/>
                        <w:iCs/>
                        <w:lang w:val="it-IT"/>
                      </w:rPr>
                      <m:t>s</m:t>
                    </m:r>
                  </m:sub>
                </m:sSub>
              </m:num>
              <m:den>
                <m:r>
                  <m:rPr>
                    <m:nor/>
                  </m:rPr>
                  <w:rPr>
                    <w:i/>
                    <w:iCs/>
                    <w:lang w:val="it-IT"/>
                  </w:rPr>
                  <m:t>18</m:t>
                </m:r>
              </m:den>
            </m:f>
          </m:e>
        </m:d>
        <m:sSub>
          <m:sSubPr>
            <m:ctrlPr>
              <w:rPr>
                <w:rFonts w:ascii="Cambria Math" w:hAnsi="Cambria Math"/>
                <w:i/>
                <w:iCs/>
              </w:rPr>
            </m:ctrlPr>
          </m:sSubPr>
          <m:e>
            <m:r>
              <m:rPr>
                <m:nor/>
              </m:rPr>
              <w:rPr>
                <w:i/>
                <w:iCs/>
                <w:lang w:val="it-IT"/>
              </w:rPr>
              <m:t>C</m:t>
            </m:r>
          </m:e>
          <m:sub>
            <m:r>
              <m:rPr>
                <m:nor/>
              </m:rPr>
              <w:rPr>
                <w:i/>
                <w:iCs/>
                <w:lang w:val="it-IT"/>
              </w:rPr>
              <m:t>4</m:t>
            </m:r>
          </m:sub>
        </m:sSub>
        <m:sSub>
          <m:sSubPr>
            <m:ctrlPr>
              <w:rPr>
                <w:rFonts w:ascii="Cambria Math" w:hAnsi="Cambria Math"/>
                <w:i/>
                <w:iCs/>
              </w:rPr>
            </m:ctrlPr>
          </m:sSubPr>
          <m:e>
            <m:r>
              <m:rPr>
                <m:nor/>
              </m:rPr>
              <w:rPr>
                <w:i/>
                <w:iCs/>
                <w:lang w:val="it-IT"/>
              </w:rPr>
              <m:t>H</m:t>
            </m:r>
          </m:e>
          <m:sub>
            <m:r>
              <m:rPr>
                <m:nor/>
              </m:rPr>
              <w:rPr>
                <w:i/>
                <w:iCs/>
                <w:lang w:val="it-IT"/>
              </w:rPr>
              <m:t>6</m:t>
            </m:r>
          </m:sub>
        </m:sSub>
        <m:sSub>
          <m:sSubPr>
            <m:ctrlPr>
              <w:rPr>
                <w:rFonts w:ascii="Cambria Math" w:hAnsi="Cambria Math"/>
                <w:i/>
                <w:iCs/>
              </w:rPr>
            </m:ctrlPr>
          </m:sSubPr>
          <m:e>
            <m:r>
              <m:rPr>
                <m:nor/>
              </m:rPr>
              <w:rPr>
                <w:i/>
                <w:iCs/>
                <w:lang w:val="it-IT"/>
              </w:rPr>
              <m:t>O</m:t>
            </m:r>
          </m:e>
          <m:sub>
            <m:r>
              <m:rPr>
                <m:nor/>
              </m:rPr>
              <w:rPr>
                <w:i/>
                <w:iCs/>
                <w:lang w:val="it-IT"/>
              </w:rPr>
              <m:t xml:space="preserve">2  </m:t>
            </m:r>
          </m:sub>
        </m:sSub>
        <m:r>
          <w:rPr>
            <w:rFonts w:ascii="Cambria Math" w:hAnsi="Cambria Math"/>
            <w:lang w:val="it-IT"/>
          </w:rPr>
          <m:t xml:space="preserve"> </m:t>
        </m:r>
      </m:oMath>
      <w:r w:rsidR="00E175E2" w:rsidRPr="00AC29DA">
        <w:rPr>
          <w:lang w:val="it-IT"/>
        </w:rPr>
        <w:t xml:space="preserve">                                                                            (2)</w:t>
      </w:r>
    </w:p>
    <w:p w14:paraId="6413759E" w14:textId="0A7AFA41" w:rsidR="00A02C89" w:rsidRPr="00AC29DA" w:rsidRDefault="00EF58ED" w:rsidP="00E175E2">
      <w:pPr>
        <w:pStyle w:val="CETEquation"/>
        <w:rPr>
          <w:lang w:val="it-IT"/>
        </w:rPr>
      </w:pPr>
      <w:r w:rsidRPr="00AC29DA">
        <w:rPr>
          <w:noProof/>
          <w:lang w:val="it-IT" w:eastAsia="it-IT"/>
        </w:rPr>
        <w:lastRenderedPageBreak/>
        <w:drawing>
          <wp:inline distT="0" distB="0" distL="0" distR="0" wp14:anchorId="4C24EE91" wp14:editId="4BE7C176">
            <wp:extent cx="3446645" cy="2529555"/>
            <wp:effectExtent l="0" t="0" r="1905" b="4445"/>
            <wp:docPr id="65"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magine 0"/>
                    <pic:cNvPicPr>
                      <a:picLocks noChangeAspect="1"/>
                    </pic:cNvPicPr>
                  </pic:nvPicPr>
                  <pic:blipFill>
                    <a:blip r:embed="rId11"/>
                    <a:stretch>
                      <a:fillRect/>
                    </a:stretch>
                  </pic:blipFill>
                  <pic:spPr>
                    <a:xfrm>
                      <a:off x="0" y="0"/>
                      <a:ext cx="3452846" cy="2534106"/>
                    </a:xfrm>
                    <a:prstGeom prst="rect">
                      <a:avLst/>
                    </a:prstGeom>
                  </pic:spPr>
                </pic:pic>
              </a:graphicData>
            </a:graphic>
          </wp:inline>
        </w:drawing>
      </w:r>
      <w:r w:rsidR="00A02C89" w:rsidRPr="00AC29DA">
        <w:t xml:space="preserve"> </w:t>
      </w:r>
    </w:p>
    <w:p w14:paraId="220D6520" w14:textId="5D1BE6B0" w:rsidR="00911F1E" w:rsidRPr="00AC29DA" w:rsidRDefault="00911F1E" w:rsidP="00911F1E">
      <w:pPr>
        <w:pStyle w:val="CETBodytext"/>
        <w:rPr>
          <w:rStyle w:val="CETCaptionCarattere"/>
        </w:rPr>
      </w:pPr>
      <w:r w:rsidRPr="00AC29DA">
        <w:rPr>
          <w:rStyle w:val="CETCaptionCarattere"/>
        </w:rPr>
        <w:t xml:space="preserve">Figure </w:t>
      </w:r>
      <w:r w:rsidR="000F3025" w:rsidRPr="00AC29DA">
        <w:rPr>
          <w:rStyle w:val="CETCaptionCarattere"/>
        </w:rPr>
        <w:t>2</w:t>
      </w:r>
      <w:r w:rsidRPr="00AC29DA">
        <w:rPr>
          <w:rStyle w:val="CETCaptionCarattere"/>
        </w:rPr>
        <w:t xml:space="preserve">: </w:t>
      </w:r>
      <w:r w:rsidR="00267AFF" w:rsidRPr="00AC29DA">
        <w:rPr>
          <w:rStyle w:val="CETCaptionCarattere"/>
        </w:rPr>
        <w:t>Process simulation flowsheet</w:t>
      </w:r>
    </w:p>
    <w:p w14:paraId="272A6FBD" w14:textId="77777777" w:rsidR="00911F1E" w:rsidRPr="00AC29DA" w:rsidRDefault="00911F1E" w:rsidP="00A81ED1">
      <w:pPr>
        <w:pStyle w:val="CETBodytext"/>
        <w:rPr>
          <w:lang w:val="en-GB"/>
        </w:rPr>
      </w:pPr>
    </w:p>
    <w:p w14:paraId="39C9024B" w14:textId="1A942EA8" w:rsidR="00EF58ED" w:rsidRPr="00AC29DA" w:rsidRDefault="000B51BE" w:rsidP="00EF58ED">
      <w:pPr>
        <w:pStyle w:val="CETheadingx"/>
        <w:rPr>
          <w:lang w:val="en-GB"/>
        </w:rPr>
      </w:pPr>
      <w:r w:rsidRPr="00AC29DA">
        <w:rPr>
          <w:lang w:val="en-GB"/>
        </w:rPr>
        <w:t xml:space="preserve">PHB production </w:t>
      </w:r>
      <w:r w:rsidR="005E2311" w:rsidRPr="00AC29DA">
        <w:rPr>
          <w:lang w:val="en-GB"/>
        </w:rPr>
        <w:t xml:space="preserve">optimisation </w:t>
      </w:r>
    </w:p>
    <w:p w14:paraId="0D902313" w14:textId="6E405CB4" w:rsidR="00EF58ED" w:rsidRPr="00AC29DA" w:rsidRDefault="004D7C8A" w:rsidP="00A15954">
      <w:pPr>
        <w:pStyle w:val="CETBodytext"/>
        <w:rPr>
          <w:lang w:val="en-GB"/>
        </w:rPr>
      </w:pPr>
      <w:r w:rsidRPr="00AC29DA">
        <w:rPr>
          <w:lang w:val="en-GB"/>
        </w:rPr>
        <w:t>The</w:t>
      </w:r>
      <w:r w:rsidR="00EF58ED" w:rsidRPr="00AC29DA">
        <w:rPr>
          <w:lang w:val="en-GB"/>
        </w:rPr>
        <w:t xml:space="preserve"> effects </w:t>
      </w:r>
      <w:r w:rsidR="0062100F" w:rsidRPr="00AC29DA">
        <w:rPr>
          <w:lang w:val="en-GB"/>
        </w:rPr>
        <w:t>of the geometry of the reactors</w:t>
      </w:r>
      <w:r w:rsidR="00EF58ED" w:rsidRPr="00AC29DA">
        <w:rPr>
          <w:lang w:val="en-GB"/>
        </w:rPr>
        <w:t xml:space="preserve"> </w:t>
      </w:r>
      <w:r w:rsidR="005360BE" w:rsidRPr="00AC29DA">
        <w:rPr>
          <w:lang w:val="en-GB"/>
        </w:rPr>
        <w:t>on</w:t>
      </w:r>
      <w:r w:rsidR="00EF58ED" w:rsidRPr="00AC29DA">
        <w:rPr>
          <w:lang w:val="en-GB"/>
        </w:rPr>
        <w:t xml:space="preserve"> PHB</w:t>
      </w:r>
      <w:r w:rsidR="00896DAC" w:rsidRPr="00AC29DA">
        <w:rPr>
          <w:lang w:val="en-GB"/>
        </w:rPr>
        <w:t xml:space="preserve"> yields</w:t>
      </w:r>
      <w:r w:rsidRPr="00AC29DA">
        <w:rPr>
          <w:lang w:val="en-GB"/>
        </w:rPr>
        <w:t xml:space="preserve"> </w:t>
      </w:r>
      <w:r w:rsidR="000F7820" w:rsidRPr="00AC29DA">
        <w:rPr>
          <w:lang w:val="en-GB"/>
        </w:rPr>
        <w:t>were</w:t>
      </w:r>
      <w:r w:rsidRPr="00AC29DA">
        <w:rPr>
          <w:lang w:val="en-GB"/>
        </w:rPr>
        <w:t xml:space="preserve"> </w:t>
      </w:r>
      <w:r w:rsidR="0062100F" w:rsidRPr="00AC29DA">
        <w:rPr>
          <w:lang w:val="en-GB"/>
        </w:rPr>
        <w:t>simulated</w:t>
      </w:r>
      <w:r w:rsidRPr="00AC29DA">
        <w:rPr>
          <w:lang w:val="en-GB"/>
        </w:rPr>
        <w:t xml:space="preserve"> using</w:t>
      </w:r>
      <w:r w:rsidR="00EF58ED" w:rsidRPr="00AC29DA">
        <w:rPr>
          <w:lang w:val="en-GB"/>
        </w:rPr>
        <w:t xml:space="preserve"> </w:t>
      </w:r>
      <w:r w:rsidR="005360BE" w:rsidRPr="00AC29DA">
        <w:rPr>
          <w:lang w:val="en-GB"/>
        </w:rPr>
        <w:t>three</w:t>
      </w:r>
      <w:r w:rsidR="00EF58ED" w:rsidRPr="00AC29DA">
        <w:rPr>
          <w:lang w:val="en-GB"/>
        </w:rPr>
        <w:t xml:space="preserve"> </w:t>
      </w:r>
      <w:r w:rsidR="008906A2" w:rsidRPr="00AC29DA">
        <w:rPr>
          <w:lang w:val="en-GB"/>
        </w:rPr>
        <w:t>representative conditions</w:t>
      </w:r>
      <w:r w:rsidR="00264190">
        <w:rPr>
          <w:lang w:val="en-GB"/>
        </w:rPr>
        <w:t xml:space="preserve"> in terms of aspect ratio </w:t>
      </w:r>
      <w:r w:rsidR="00264190" w:rsidRPr="00AC29DA">
        <w:rPr>
          <w:lang w:val="en-GB"/>
        </w:rPr>
        <w:t xml:space="preserve">(low, </w:t>
      </w:r>
      <w:proofErr w:type="gramStart"/>
      <w:r w:rsidR="00264190" w:rsidRPr="00AC29DA">
        <w:rPr>
          <w:lang w:val="en-GB"/>
        </w:rPr>
        <w:t>medium</w:t>
      </w:r>
      <w:proofErr w:type="gramEnd"/>
      <w:r w:rsidR="00264190" w:rsidRPr="00AC29DA">
        <w:rPr>
          <w:lang w:val="en-GB"/>
        </w:rPr>
        <w:t xml:space="preserve"> and high aspect ratio</w:t>
      </w:r>
      <w:r w:rsidR="00264190">
        <w:rPr>
          <w:lang w:val="en-GB"/>
        </w:rPr>
        <w:t>), corresponding to</w:t>
      </w:r>
      <w:r w:rsidR="00264190" w:rsidRPr="00AC29DA">
        <w:rPr>
          <w:lang w:val="en-GB"/>
        </w:rPr>
        <w:t xml:space="preserve"> </w:t>
      </w:r>
      <w:r w:rsidR="00264190" w:rsidRPr="00AC29DA">
        <w:rPr>
          <w:i/>
          <w:iCs/>
          <w:lang w:val="en-GB"/>
        </w:rPr>
        <w:t>A</w:t>
      </w:r>
      <w:r w:rsidR="00264190" w:rsidRPr="00AC29DA">
        <w:rPr>
          <w:lang w:val="en-GB"/>
        </w:rPr>
        <w:t>=5; 8; 16</w:t>
      </w:r>
      <w:r w:rsidR="00264190">
        <w:rPr>
          <w:lang w:val="en-GB"/>
        </w:rPr>
        <w:t xml:space="preserve">, which are in the range commonly reported in the literature (Table 2). </w:t>
      </w:r>
      <w:r w:rsidR="006745B5" w:rsidRPr="00AC29DA">
        <w:rPr>
          <w:lang w:val="en-GB"/>
        </w:rPr>
        <w:t xml:space="preserve">For </w:t>
      </w:r>
      <w:r w:rsidR="00EF58ED" w:rsidRPr="00AC29DA">
        <w:rPr>
          <w:lang w:val="en-GB"/>
        </w:rPr>
        <w:t xml:space="preserve">the first case study, </w:t>
      </w:r>
      <w:r w:rsidR="00700E25" w:rsidRPr="00AC29DA">
        <w:rPr>
          <w:lang w:val="en-GB"/>
        </w:rPr>
        <w:t>three reactors with a working volume of 100 L and diameters of 0.2, 0.25 and 0.3 m were considered; while</w:t>
      </w:r>
      <w:r w:rsidRPr="00AC29DA">
        <w:rPr>
          <w:lang w:val="en-GB"/>
        </w:rPr>
        <w:t xml:space="preserve"> </w:t>
      </w:r>
      <w:r w:rsidR="00700E25" w:rsidRPr="00AC29DA">
        <w:rPr>
          <w:lang w:val="en-GB"/>
        </w:rPr>
        <w:t>in</w:t>
      </w:r>
      <w:r w:rsidR="00EF58ED" w:rsidRPr="00AC29DA">
        <w:rPr>
          <w:lang w:val="en-GB"/>
        </w:rPr>
        <w:t xml:space="preserve"> the second </w:t>
      </w:r>
      <w:r w:rsidR="003F7880" w:rsidRPr="00AC29DA">
        <w:rPr>
          <w:lang w:val="en-GB"/>
        </w:rPr>
        <w:t>group of simulations the diameter was 0.3</w:t>
      </w:r>
      <w:r w:rsidR="00D42AC3" w:rsidRPr="00AC29DA">
        <w:rPr>
          <w:lang w:val="en-GB"/>
        </w:rPr>
        <w:t xml:space="preserve"> </w:t>
      </w:r>
      <w:r w:rsidR="003F7880" w:rsidRPr="00AC29DA">
        <w:rPr>
          <w:lang w:val="en-GB"/>
        </w:rPr>
        <w:t>m</w:t>
      </w:r>
      <w:r w:rsidR="00700E25" w:rsidRPr="00AC29DA">
        <w:rPr>
          <w:lang w:val="en-GB"/>
        </w:rPr>
        <w:t xml:space="preserve"> </w:t>
      </w:r>
      <w:r w:rsidR="00D42AC3" w:rsidRPr="00AC29DA">
        <w:rPr>
          <w:lang w:val="en-GB"/>
        </w:rPr>
        <w:t>and</w:t>
      </w:r>
      <w:r w:rsidR="003F7880" w:rsidRPr="00AC29DA">
        <w:rPr>
          <w:lang w:val="en-GB"/>
        </w:rPr>
        <w:t xml:space="preserve"> the volume varied between 100 and 3</w:t>
      </w:r>
      <w:r w:rsidR="003810DB" w:rsidRPr="00AC29DA">
        <w:rPr>
          <w:lang w:val="en-GB"/>
        </w:rPr>
        <w:t>4</w:t>
      </w:r>
      <w:r w:rsidR="003F7880" w:rsidRPr="00AC29DA">
        <w:rPr>
          <w:lang w:val="en-GB"/>
        </w:rPr>
        <w:t>0</w:t>
      </w:r>
      <w:r w:rsidR="00D42AC3" w:rsidRPr="00AC29DA">
        <w:rPr>
          <w:lang w:val="en-GB"/>
        </w:rPr>
        <w:t xml:space="preserve"> </w:t>
      </w:r>
      <w:r w:rsidR="003F7880" w:rsidRPr="00AC29DA">
        <w:rPr>
          <w:lang w:val="en-GB"/>
        </w:rPr>
        <w:t>L</w:t>
      </w:r>
      <w:r w:rsidR="00A21DA2" w:rsidRPr="00AC29DA">
        <w:rPr>
          <w:lang w:val="en-GB"/>
        </w:rPr>
        <w:t xml:space="preserve">. </w:t>
      </w:r>
      <w:r w:rsidR="003F7880" w:rsidRPr="00AC29DA">
        <w:rPr>
          <w:lang w:val="en-GB"/>
        </w:rPr>
        <w:t xml:space="preserve">Details of the cases are reported in Table </w:t>
      </w:r>
      <w:r w:rsidR="00700E25" w:rsidRPr="00AC29DA">
        <w:rPr>
          <w:lang w:val="en-GB"/>
        </w:rPr>
        <w:t>1</w:t>
      </w:r>
      <w:r w:rsidR="003F7880" w:rsidRPr="00AC29DA">
        <w:rPr>
          <w:lang w:val="en-GB"/>
        </w:rPr>
        <w:t>.</w:t>
      </w:r>
    </w:p>
    <w:p w14:paraId="2C22F712" w14:textId="3720FADA" w:rsidR="00A15954" w:rsidRPr="00AC29DA" w:rsidRDefault="00A15954" w:rsidP="00A15954">
      <w:pPr>
        <w:pStyle w:val="CETTabletitle"/>
      </w:pPr>
      <w:r w:rsidRPr="00AC29DA">
        <w:t xml:space="preserve">Table </w:t>
      </w:r>
      <w:r w:rsidRPr="00AC29DA">
        <w:fldChar w:fldCharType="begin"/>
      </w:r>
      <w:r w:rsidRPr="00AC29DA">
        <w:instrText xml:space="preserve"> SEQ Table \* ARABIC </w:instrText>
      </w:r>
      <w:r w:rsidRPr="00AC29DA">
        <w:fldChar w:fldCharType="separate"/>
      </w:r>
      <w:r w:rsidRPr="00AC29DA">
        <w:rPr>
          <w:noProof/>
        </w:rPr>
        <w:t>1</w:t>
      </w:r>
      <w:r w:rsidRPr="00AC29DA">
        <w:fldChar w:fldCharType="end"/>
      </w:r>
      <w:r w:rsidRPr="00AC29DA">
        <w:t xml:space="preserve"> - Summary of the geometry configurations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1"/>
        <w:gridCol w:w="850"/>
        <w:gridCol w:w="993"/>
        <w:gridCol w:w="708"/>
      </w:tblGrid>
      <w:tr w:rsidR="00AB7F3A" w:rsidRPr="00AC29DA" w14:paraId="6D2710EB" w14:textId="103F0825" w:rsidTr="00BC42A7">
        <w:tc>
          <w:tcPr>
            <w:tcW w:w="1134" w:type="dxa"/>
            <w:tcBorders>
              <w:top w:val="single" w:sz="12" w:space="0" w:color="008000"/>
              <w:bottom w:val="single" w:sz="6" w:space="0" w:color="008000"/>
            </w:tcBorders>
            <w:shd w:val="clear" w:color="auto" w:fill="FFFFFF"/>
          </w:tcPr>
          <w:p w14:paraId="2A4C92F2" w14:textId="4D8707AE" w:rsidR="00AB7F3A" w:rsidRPr="00AC29DA" w:rsidRDefault="00AB7F3A" w:rsidP="00496A7D">
            <w:pPr>
              <w:pStyle w:val="CETBodytext"/>
              <w:rPr>
                <w:lang w:val="en-GB"/>
              </w:rPr>
            </w:pPr>
            <w:r w:rsidRPr="00AC29DA">
              <w:rPr>
                <w:lang w:val="en-GB"/>
              </w:rPr>
              <w:t>Case study</w:t>
            </w:r>
          </w:p>
        </w:tc>
        <w:tc>
          <w:tcPr>
            <w:tcW w:w="851" w:type="dxa"/>
            <w:tcBorders>
              <w:top w:val="single" w:sz="12" w:space="0" w:color="008000"/>
              <w:bottom w:val="single" w:sz="6" w:space="0" w:color="008000"/>
            </w:tcBorders>
            <w:shd w:val="clear" w:color="auto" w:fill="FFFFFF"/>
          </w:tcPr>
          <w:p w14:paraId="7E79AAA1" w14:textId="2B850CE6" w:rsidR="00AB7F3A" w:rsidRPr="00AC29DA" w:rsidRDefault="00AB7F3A" w:rsidP="00496A7D">
            <w:pPr>
              <w:pStyle w:val="CETBodytext"/>
              <w:rPr>
                <w:lang w:val="en-GB"/>
              </w:rPr>
            </w:pPr>
            <w:r w:rsidRPr="00AC29DA">
              <w:rPr>
                <w:i/>
                <w:iCs/>
                <w:lang w:val="en-GB"/>
              </w:rPr>
              <w:t>A</w:t>
            </w:r>
            <w:r w:rsidRPr="00AC29DA">
              <w:rPr>
                <w:lang w:val="en-GB"/>
              </w:rPr>
              <w:t xml:space="preserve"> [-]</w:t>
            </w:r>
          </w:p>
        </w:tc>
        <w:tc>
          <w:tcPr>
            <w:tcW w:w="850" w:type="dxa"/>
            <w:tcBorders>
              <w:top w:val="single" w:sz="12" w:space="0" w:color="008000"/>
              <w:bottom w:val="single" w:sz="6" w:space="0" w:color="008000"/>
            </w:tcBorders>
            <w:shd w:val="clear" w:color="auto" w:fill="FFFFFF"/>
          </w:tcPr>
          <w:p w14:paraId="1C93ED2F" w14:textId="77777777" w:rsidR="00AB7F3A" w:rsidRPr="00AC29DA" w:rsidRDefault="00AB7F3A" w:rsidP="00496A7D">
            <w:pPr>
              <w:pStyle w:val="CETBodytext"/>
              <w:rPr>
                <w:lang w:val="en-GB"/>
              </w:rPr>
            </w:pPr>
            <w:r w:rsidRPr="00AC29DA">
              <w:rPr>
                <w:i/>
                <w:iCs/>
                <w:lang w:val="en-GB"/>
              </w:rPr>
              <w:t>D</w:t>
            </w:r>
            <w:r w:rsidRPr="00AC29DA">
              <w:rPr>
                <w:lang w:val="en-GB"/>
              </w:rPr>
              <w:t xml:space="preserve"> [m]</w:t>
            </w:r>
          </w:p>
        </w:tc>
        <w:tc>
          <w:tcPr>
            <w:tcW w:w="993" w:type="dxa"/>
            <w:tcBorders>
              <w:top w:val="single" w:sz="12" w:space="0" w:color="008000"/>
              <w:bottom w:val="single" w:sz="6" w:space="0" w:color="008000"/>
            </w:tcBorders>
            <w:shd w:val="clear" w:color="auto" w:fill="FFFFFF"/>
          </w:tcPr>
          <w:p w14:paraId="71FEDFF0" w14:textId="401266D4" w:rsidR="00AB7F3A" w:rsidRPr="00AC29DA" w:rsidRDefault="00AB7F3A" w:rsidP="00496A7D">
            <w:pPr>
              <w:pStyle w:val="CETBodytext"/>
              <w:rPr>
                <w:lang w:val="en-GB"/>
              </w:rPr>
            </w:pPr>
            <w:r w:rsidRPr="00AC29DA">
              <w:rPr>
                <w:i/>
                <w:iCs/>
                <w:lang w:val="en-GB"/>
              </w:rPr>
              <w:t>H</w:t>
            </w:r>
            <w:r w:rsidRPr="00AC29DA">
              <w:rPr>
                <w:lang w:val="en-GB"/>
              </w:rPr>
              <w:t xml:space="preserve"> [m]</w:t>
            </w:r>
          </w:p>
        </w:tc>
        <w:tc>
          <w:tcPr>
            <w:tcW w:w="708" w:type="dxa"/>
            <w:tcBorders>
              <w:top w:val="single" w:sz="12" w:space="0" w:color="008000"/>
              <w:bottom w:val="single" w:sz="6" w:space="0" w:color="008000"/>
            </w:tcBorders>
            <w:shd w:val="clear" w:color="auto" w:fill="FFFFFF"/>
          </w:tcPr>
          <w:p w14:paraId="59E1FF69" w14:textId="49D93EE9" w:rsidR="00AB7F3A" w:rsidRPr="00AC29DA" w:rsidRDefault="00AB7F3A" w:rsidP="00496A7D">
            <w:pPr>
              <w:pStyle w:val="CETBodytext"/>
              <w:ind w:right="-1"/>
              <w:rPr>
                <w:rFonts w:cs="Arial"/>
                <w:szCs w:val="18"/>
                <w:lang w:val="en-GB"/>
              </w:rPr>
            </w:pPr>
            <w:r w:rsidRPr="00AC29DA">
              <w:rPr>
                <w:rFonts w:eastAsiaTheme="minorHAnsi" w:cs="Arial"/>
                <w:i/>
                <w:iCs/>
                <w:szCs w:val="18"/>
                <w:lang w:val="en-GB"/>
              </w:rPr>
              <w:t>V</w:t>
            </w:r>
            <w:r w:rsidRPr="00AC29DA">
              <w:rPr>
                <w:rFonts w:eastAsiaTheme="minorHAnsi" w:cs="Arial"/>
                <w:szCs w:val="18"/>
                <w:lang w:val="en-GB"/>
              </w:rPr>
              <w:t xml:space="preserve"> [L]</w:t>
            </w:r>
          </w:p>
        </w:tc>
      </w:tr>
      <w:tr w:rsidR="00AB7F3A" w:rsidRPr="00AC29DA" w14:paraId="0DEB5F64" w14:textId="77777777" w:rsidTr="00BC42A7">
        <w:tc>
          <w:tcPr>
            <w:tcW w:w="1134" w:type="dxa"/>
            <w:vMerge w:val="restart"/>
            <w:shd w:val="clear" w:color="auto" w:fill="FFFFFF"/>
            <w:vAlign w:val="center"/>
          </w:tcPr>
          <w:p w14:paraId="692C2EA3" w14:textId="69997D20" w:rsidR="00AB7F3A" w:rsidRPr="00AC29DA" w:rsidRDefault="00AB7F3A" w:rsidP="00BC42A7">
            <w:pPr>
              <w:pStyle w:val="CETBodytext"/>
              <w:ind w:right="-1"/>
              <w:jc w:val="center"/>
              <w:rPr>
                <w:rFonts w:cs="Arial"/>
                <w:szCs w:val="18"/>
                <w:lang w:val="en-GB"/>
              </w:rPr>
            </w:pPr>
            <w:r w:rsidRPr="00AC29DA">
              <w:rPr>
                <w:rFonts w:cs="Arial"/>
                <w:szCs w:val="18"/>
                <w:lang w:val="en-GB"/>
              </w:rPr>
              <w:t>1</w:t>
            </w:r>
          </w:p>
        </w:tc>
        <w:tc>
          <w:tcPr>
            <w:tcW w:w="851" w:type="dxa"/>
            <w:tcBorders>
              <w:top w:val="nil"/>
              <w:bottom w:val="nil"/>
            </w:tcBorders>
            <w:shd w:val="clear" w:color="auto" w:fill="FFFFFF"/>
          </w:tcPr>
          <w:p w14:paraId="5F060FEF" w14:textId="74297E70" w:rsidR="00AB7F3A" w:rsidRPr="00AC29DA" w:rsidRDefault="00AB7F3A" w:rsidP="00BC42A7">
            <w:pPr>
              <w:pStyle w:val="CETBodytext"/>
              <w:ind w:right="-1"/>
              <w:rPr>
                <w:rFonts w:cs="Arial"/>
                <w:szCs w:val="18"/>
                <w:lang w:val="en-GB"/>
              </w:rPr>
            </w:pPr>
            <w:r w:rsidRPr="00AC29DA">
              <w:rPr>
                <w:rFonts w:cs="Arial"/>
                <w:szCs w:val="18"/>
                <w:lang w:val="en-GB"/>
              </w:rPr>
              <w:t>5</w:t>
            </w:r>
          </w:p>
        </w:tc>
        <w:tc>
          <w:tcPr>
            <w:tcW w:w="850" w:type="dxa"/>
            <w:tcBorders>
              <w:top w:val="nil"/>
              <w:bottom w:val="nil"/>
            </w:tcBorders>
            <w:shd w:val="clear" w:color="auto" w:fill="FFFFFF"/>
          </w:tcPr>
          <w:p w14:paraId="069E332C" w14:textId="76E48CF1" w:rsidR="00AB7F3A" w:rsidRPr="00AC29DA" w:rsidRDefault="00AB7F3A" w:rsidP="00BC42A7">
            <w:pPr>
              <w:pStyle w:val="CETBodytext"/>
              <w:ind w:right="-1"/>
              <w:rPr>
                <w:rFonts w:cs="Arial"/>
                <w:szCs w:val="18"/>
                <w:lang w:val="en-GB"/>
              </w:rPr>
            </w:pPr>
            <w:r w:rsidRPr="00AC29DA">
              <w:rPr>
                <w:rFonts w:cs="Arial"/>
                <w:szCs w:val="18"/>
                <w:lang w:val="en-GB"/>
              </w:rPr>
              <w:t>0.30</w:t>
            </w:r>
          </w:p>
        </w:tc>
        <w:tc>
          <w:tcPr>
            <w:tcW w:w="993" w:type="dxa"/>
            <w:tcBorders>
              <w:top w:val="nil"/>
              <w:bottom w:val="nil"/>
            </w:tcBorders>
            <w:shd w:val="clear" w:color="auto" w:fill="FFFFFF"/>
          </w:tcPr>
          <w:p w14:paraId="7E1DCF4F" w14:textId="38FFECDE" w:rsidR="00AB7F3A" w:rsidRPr="00AC29DA" w:rsidRDefault="00AB7F3A" w:rsidP="00BC42A7">
            <w:pPr>
              <w:pStyle w:val="CETBodytext"/>
              <w:ind w:right="-1"/>
              <w:rPr>
                <w:rFonts w:cs="Arial"/>
                <w:szCs w:val="18"/>
                <w:lang w:val="en-GB"/>
              </w:rPr>
            </w:pPr>
            <w:r w:rsidRPr="00AC29DA">
              <w:rPr>
                <w:rFonts w:cs="Arial"/>
                <w:szCs w:val="18"/>
                <w:lang w:val="en-GB"/>
              </w:rPr>
              <w:t>1.4</w:t>
            </w:r>
          </w:p>
        </w:tc>
        <w:tc>
          <w:tcPr>
            <w:tcW w:w="708" w:type="dxa"/>
            <w:tcBorders>
              <w:top w:val="nil"/>
              <w:bottom w:val="nil"/>
            </w:tcBorders>
            <w:shd w:val="clear" w:color="auto" w:fill="FFFFFF"/>
          </w:tcPr>
          <w:p w14:paraId="58A70FF8" w14:textId="4D2EC91B" w:rsidR="00AB7F3A" w:rsidRPr="00AC29DA" w:rsidRDefault="00AB7F3A" w:rsidP="00BC42A7">
            <w:pPr>
              <w:pStyle w:val="CETBodytext"/>
              <w:ind w:right="-1"/>
              <w:rPr>
                <w:rFonts w:cs="Arial"/>
                <w:szCs w:val="18"/>
                <w:lang w:val="en-GB"/>
              </w:rPr>
            </w:pPr>
            <w:r w:rsidRPr="00AC29DA">
              <w:rPr>
                <w:rFonts w:cs="Arial"/>
                <w:szCs w:val="18"/>
                <w:lang w:val="en-GB"/>
              </w:rPr>
              <w:t>100</w:t>
            </w:r>
          </w:p>
        </w:tc>
      </w:tr>
      <w:tr w:rsidR="00AB7F3A" w:rsidRPr="00AC29DA" w14:paraId="3A659CF0" w14:textId="41B5D083" w:rsidTr="00BC42A7">
        <w:tc>
          <w:tcPr>
            <w:tcW w:w="1134" w:type="dxa"/>
            <w:vMerge/>
            <w:shd w:val="clear" w:color="auto" w:fill="FFFFFF"/>
            <w:vAlign w:val="center"/>
          </w:tcPr>
          <w:p w14:paraId="360887FA" w14:textId="77777777" w:rsidR="00AB7F3A" w:rsidRPr="00AC29DA" w:rsidRDefault="00AB7F3A" w:rsidP="00BC42A7">
            <w:pPr>
              <w:pStyle w:val="CETBodytext"/>
              <w:ind w:right="-1"/>
              <w:jc w:val="center"/>
              <w:rPr>
                <w:rFonts w:cs="Arial"/>
                <w:szCs w:val="18"/>
                <w:lang w:val="en-GB"/>
              </w:rPr>
            </w:pPr>
          </w:p>
        </w:tc>
        <w:tc>
          <w:tcPr>
            <w:tcW w:w="851" w:type="dxa"/>
            <w:tcBorders>
              <w:top w:val="nil"/>
              <w:bottom w:val="nil"/>
            </w:tcBorders>
            <w:shd w:val="clear" w:color="auto" w:fill="FFFFFF"/>
          </w:tcPr>
          <w:p w14:paraId="30FEEA13" w14:textId="2B27EEFF" w:rsidR="00AB7F3A" w:rsidRPr="00AC29DA" w:rsidRDefault="00AB7F3A" w:rsidP="00BC42A7">
            <w:pPr>
              <w:pStyle w:val="CETBodytext"/>
              <w:ind w:right="-1"/>
              <w:rPr>
                <w:rFonts w:cs="Arial"/>
                <w:szCs w:val="18"/>
                <w:lang w:val="en-GB"/>
              </w:rPr>
            </w:pPr>
            <w:r w:rsidRPr="00AC29DA">
              <w:rPr>
                <w:rFonts w:cs="Arial"/>
                <w:szCs w:val="18"/>
                <w:lang w:val="en-GB"/>
              </w:rPr>
              <w:t>8</w:t>
            </w:r>
          </w:p>
        </w:tc>
        <w:tc>
          <w:tcPr>
            <w:tcW w:w="850" w:type="dxa"/>
            <w:tcBorders>
              <w:top w:val="nil"/>
              <w:bottom w:val="nil"/>
            </w:tcBorders>
            <w:shd w:val="clear" w:color="auto" w:fill="FFFFFF"/>
          </w:tcPr>
          <w:p w14:paraId="3E66A981" w14:textId="37532A6F" w:rsidR="00AB7F3A" w:rsidRPr="00AC29DA" w:rsidRDefault="00AB7F3A" w:rsidP="00BC42A7">
            <w:pPr>
              <w:pStyle w:val="CETBodytext"/>
              <w:ind w:right="-1"/>
              <w:rPr>
                <w:rFonts w:cs="Arial"/>
                <w:szCs w:val="18"/>
                <w:lang w:val="en-GB"/>
              </w:rPr>
            </w:pPr>
            <w:r w:rsidRPr="00AC29DA">
              <w:rPr>
                <w:rFonts w:cs="Arial"/>
                <w:szCs w:val="18"/>
                <w:lang w:val="en-GB"/>
              </w:rPr>
              <w:t>0.25</w:t>
            </w:r>
          </w:p>
        </w:tc>
        <w:tc>
          <w:tcPr>
            <w:tcW w:w="993" w:type="dxa"/>
            <w:tcBorders>
              <w:top w:val="nil"/>
              <w:bottom w:val="nil"/>
            </w:tcBorders>
            <w:shd w:val="clear" w:color="auto" w:fill="FFFFFF"/>
          </w:tcPr>
          <w:p w14:paraId="03818219" w14:textId="502D8AA4" w:rsidR="00AB7F3A" w:rsidRPr="00AC29DA" w:rsidRDefault="00AB7F3A" w:rsidP="00BC42A7">
            <w:pPr>
              <w:pStyle w:val="CETBodytext"/>
              <w:ind w:right="-1"/>
              <w:rPr>
                <w:rFonts w:cs="Arial"/>
                <w:szCs w:val="18"/>
                <w:lang w:val="en-GB"/>
              </w:rPr>
            </w:pPr>
            <w:r w:rsidRPr="00AC29DA">
              <w:rPr>
                <w:rFonts w:cs="Arial"/>
                <w:szCs w:val="18"/>
                <w:lang w:val="en-GB"/>
              </w:rPr>
              <w:t>2.0</w:t>
            </w:r>
          </w:p>
        </w:tc>
        <w:tc>
          <w:tcPr>
            <w:tcW w:w="708" w:type="dxa"/>
            <w:tcBorders>
              <w:top w:val="nil"/>
              <w:bottom w:val="nil"/>
            </w:tcBorders>
            <w:shd w:val="clear" w:color="auto" w:fill="FFFFFF"/>
          </w:tcPr>
          <w:p w14:paraId="1A68B075" w14:textId="24831B76" w:rsidR="00AB7F3A" w:rsidRPr="00AC29DA" w:rsidRDefault="00AB7F3A" w:rsidP="00BC42A7">
            <w:pPr>
              <w:pStyle w:val="CETBodytext"/>
              <w:ind w:right="-1"/>
              <w:rPr>
                <w:rFonts w:cs="Arial"/>
                <w:szCs w:val="18"/>
                <w:lang w:val="en-GB"/>
              </w:rPr>
            </w:pPr>
            <w:r w:rsidRPr="00AC29DA">
              <w:rPr>
                <w:rFonts w:cs="Arial"/>
                <w:szCs w:val="18"/>
                <w:lang w:val="en-GB"/>
              </w:rPr>
              <w:t>100</w:t>
            </w:r>
          </w:p>
        </w:tc>
      </w:tr>
      <w:tr w:rsidR="00AB7F3A" w:rsidRPr="00AC29DA" w14:paraId="35003303" w14:textId="4BA73F2F" w:rsidTr="00BC42A7">
        <w:tc>
          <w:tcPr>
            <w:tcW w:w="1134" w:type="dxa"/>
            <w:vMerge/>
            <w:tcBorders>
              <w:bottom w:val="single" w:sz="4" w:space="0" w:color="auto"/>
            </w:tcBorders>
            <w:shd w:val="clear" w:color="auto" w:fill="FFFFFF"/>
            <w:vAlign w:val="center"/>
          </w:tcPr>
          <w:p w14:paraId="62547A79" w14:textId="77777777" w:rsidR="00AB7F3A" w:rsidRPr="00AC29DA" w:rsidRDefault="00AB7F3A" w:rsidP="00BC42A7">
            <w:pPr>
              <w:pStyle w:val="CETBodytext"/>
              <w:ind w:right="-1"/>
              <w:jc w:val="center"/>
              <w:rPr>
                <w:rFonts w:cs="Arial"/>
                <w:szCs w:val="18"/>
                <w:lang w:val="en-GB"/>
              </w:rPr>
            </w:pPr>
          </w:p>
        </w:tc>
        <w:tc>
          <w:tcPr>
            <w:tcW w:w="851" w:type="dxa"/>
            <w:tcBorders>
              <w:top w:val="nil"/>
              <w:bottom w:val="single" w:sz="4" w:space="0" w:color="auto"/>
            </w:tcBorders>
            <w:shd w:val="clear" w:color="auto" w:fill="FFFFFF"/>
          </w:tcPr>
          <w:p w14:paraId="674277A1" w14:textId="3E5484E2" w:rsidR="00AB7F3A" w:rsidRPr="00AC29DA" w:rsidRDefault="00AB7F3A" w:rsidP="00BC42A7">
            <w:pPr>
              <w:pStyle w:val="CETBodytext"/>
              <w:ind w:right="-1"/>
              <w:rPr>
                <w:rFonts w:cs="Arial"/>
                <w:szCs w:val="18"/>
                <w:lang w:val="en-GB"/>
              </w:rPr>
            </w:pPr>
            <w:r w:rsidRPr="00AC29DA">
              <w:rPr>
                <w:lang w:val="en-GB"/>
              </w:rPr>
              <w:t>16</w:t>
            </w:r>
          </w:p>
        </w:tc>
        <w:tc>
          <w:tcPr>
            <w:tcW w:w="850" w:type="dxa"/>
            <w:tcBorders>
              <w:top w:val="nil"/>
              <w:bottom w:val="single" w:sz="4" w:space="0" w:color="auto"/>
            </w:tcBorders>
            <w:shd w:val="clear" w:color="auto" w:fill="FFFFFF"/>
          </w:tcPr>
          <w:p w14:paraId="7BF45086" w14:textId="4B7A9743" w:rsidR="00AB7F3A" w:rsidRPr="00AC29DA" w:rsidRDefault="00AB7F3A" w:rsidP="00BC42A7">
            <w:pPr>
              <w:pStyle w:val="CETBodytext"/>
              <w:ind w:right="-1"/>
              <w:rPr>
                <w:rFonts w:cs="Arial"/>
                <w:szCs w:val="18"/>
                <w:lang w:val="en-GB"/>
              </w:rPr>
            </w:pPr>
            <w:r w:rsidRPr="00AC29DA">
              <w:rPr>
                <w:lang w:val="en-GB"/>
              </w:rPr>
              <w:t>0.20</w:t>
            </w:r>
          </w:p>
        </w:tc>
        <w:tc>
          <w:tcPr>
            <w:tcW w:w="993" w:type="dxa"/>
            <w:tcBorders>
              <w:top w:val="nil"/>
              <w:bottom w:val="single" w:sz="4" w:space="0" w:color="auto"/>
            </w:tcBorders>
            <w:shd w:val="clear" w:color="auto" w:fill="FFFFFF"/>
          </w:tcPr>
          <w:p w14:paraId="66C21A3D" w14:textId="3909B1EB" w:rsidR="00AB7F3A" w:rsidRPr="00AC29DA" w:rsidRDefault="00AB7F3A" w:rsidP="00BC42A7">
            <w:pPr>
              <w:pStyle w:val="CETBodytext"/>
              <w:ind w:right="-1"/>
              <w:rPr>
                <w:rFonts w:cs="Arial"/>
                <w:szCs w:val="18"/>
                <w:lang w:val="en-GB"/>
              </w:rPr>
            </w:pPr>
            <w:r w:rsidRPr="00AC29DA">
              <w:rPr>
                <w:lang w:val="en-GB"/>
              </w:rPr>
              <w:t>3.2</w:t>
            </w:r>
          </w:p>
        </w:tc>
        <w:tc>
          <w:tcPr>
            <w:tcW w:w="708" w:type="dxa"/>
            <w:tcBorders>
              <w:top w:val="nil"/>
              <w:bottom w:val="single" w:sz="4" w:space="0" w:color="auto"/>
            </w:tcBorders>
            <w:shd w:val="clear" w:color="auto" w:fill="FFFFFF"/>
          </w:tcPr>
          <w:p w14:paraId="3F759637" w14:textId="43FB5046" w:rsidR="00AB7F3A" w:rsidRPr="00AC29DA" w:rsidRDefault="00AB7F3A" w:rsidP="00BC42A7">
            <w:pPr>
              <w:pStyle w:val="CETBodytext"/>
              <w:ind w:right="-1"/>
              <w:rPr>
                <w:rFonts w:cs="Arial"/>
                <w:szCs w:val="18"/>
                <w:lang w:val="en-GB"/>
              </w:rPr>
            </w:pPr>
            <w:r w:rsidRPr="00AC29DA">
              <w:rPr>
                <w:rFonts w:cs="Arial"/>
                <w:szCs w:val="18"/>
                <w:lang w:val="en-GB"/>
              </w:rPr>
              <w:t>100</w:t>
            </w:r>
          </w:p>
        </w:tc>
      </w:tr>
      <w:tr w:rsidR="00AB7F3A" w:rsidRPr="00AC29DA" w14:paraId="75698BF7" w14:textId="450CB994" w:rsidTr="00BC42A7">
        <w:tc>
          <w:tcPr>
            <w:tcW w:w="1134" w:type="dxa"/>
            <w:vMerge w:val="restart"/>
            <w:tcBorders>
              <w:top w:val="single" w:sz="4" w:space="0" w:color="auto"/>
            </w:tcBorders>
            <w:shd w:val="clear" w:color="auto" w:fill="FFFFFF"/>
            <w:vAlign w:val="center"/>
          </w:tcPr>
          <w:p w14:paraId="2C361011" w14:textId="4ADE7681" w:rsidR="00AB7F3A" w:rsidRPr="00AC29DA" w:rsidRDefault="00AB7F3A" w:rsidP="00BC42A7">
            <w:pPr>
              <w:pStyle w:val="CETBodytext"/>
              <w:ind w:right="-1"/>
              <w:jc w:val="center"/>
              <w:rPr>
                <w:rFonts w:cs="Arial"/>
                <w:szCs w:val="18"/>
                <w:lang w:val="en-GB"/>
              </w:rPr>
            </w:pPr>
            <w:r w:rsidRPr="00AC29DA">
              <w:rPr>
                <w:rFonts w:cs="Arial"/>
                <w:szCs w:val="18"/>
                <w:lang w:val="en-GB"/>
              </w:rPr>
              <w:t>2</w:t>
            </w:r>
          </w:p>
        </w:tc>
        <w:tc>
          <w:tcPr>
            <w:tcW w:w="851" w:type="dxa"/>
            <w:tcBorders>
              <w:top w:val="single" w:sz="4" w:space="0" w:color="auto"/>
            </w:tcBorders>
            <w:shd w:val="clear" w:color="auto" w:fill="FFFFFF"/>
          </w:tcPr>
          <w:p w14:paraId="63B1CCE2" w14:textId="1B436759" w:rsidR="00AB7F3A" w:rsidRPr="00AC29DA" w:rsidRDefault="00AB7F3A" w:rsidP="00BC42A7">
            <w:pPr>
              <w:pStyle w:val="CETBodytext"/>
              <w:ind w:right="-1"/>
              <w:rPr>
                <w:rFonts w:cs="Arial"/>
                <w:szCs w:val="18"/>
                <w:lang w:val="en-GB"/>
              </w:rPr>
            </w:pPr>
            <w:r w:rsidRPr="00AC29DA">
              <w:rPr>
                <w:rFonts w:cs="Arial"/>
                <w:szCs w:val="18"/>
                <w:lang w:val="en-GB"/>
              </w:rPr>
              <w:t>5</w:t>
            </w:r>
          </w:p>
        </w:tc>
        <w:tc>
          <w:tcPr>
            <w:tcW w:w="850" w:type="dxa"/>
            <w:tcBorders>
              <w:top w:val="single" w:sz="4" w:space="0" w:color="auto"/>
            </w:tcBorders>
            <w:shd w:val="clear" w:color="auto" w:fill="FFFFFF"/>
          </w:tcPr>
          <w:p w14:paraId="370DEF4A" w14:textId="03E0739D" w:rsidR="00AB7F3A" w:rsidRPr="00AC29DA" w:rsidRDefault="00AB7F3A" w:rsidP="00BC42A7">
            <w:pPr>
              <w:pStyle w:val="CETBodytext"/>
              <w:ind w:right="-1"/>
              <w:rPr>
                <w:rFonts w:cs="Arial"/>
                <w:szCs w:val="18"/>
                <w:lang w:val="en-GB"/>
              </w:rPr>
            </w:pPr>
            <w:r w:rsidRPr="00AC29DA">
              <w:rPr>
                <w:rFonts w:cs="Arial"/>
                <w:szCs w:val="18"/>
                <w:lang w:val="en-GB"/>
              </w:rPr>
              <w:t>0.30</w:t>
            </w:r>
          </w:p>
        </w:tc>
        <w:tc>
          <w:tcPr>
            <w:tcW w:w="993" w:type="dxa"/>
            <w:tcBorders>
              <w:top w:val="single" w:sz="4" w:space="0" w:color="auto"/>
            </w:tcBorders>
            <w:shd w:val="clear" w:color="auto" w:fill="FFFFFF"/>
          </w:tcPr>
          <w:p w14:paraId="2CA1C705" w14:textId="54BFFCF0" w:rsidR="00AB7F3A" w:rsidRPr="00AC29DA" w:rsidRDefault="00AB7F3A" w:rsidP="00BC42A7">
            <w:pPr>
              <w:pStyle w:val="CETBodytext"/>
              <w:ind w:right="-1"/>
              <w:rPr>
                <w:rFonts w:cs="Arial"/>
                <w:szCs w:val="18"/>
                <w:lang w:val="en-GB"/>
              </w:rPr>
            </w:pPr>
            <w:r w:rsidRPr="00AC29DA">
              <w:rPr>
                <w:rFonts w:cs="Arial"/>
                <w:szCs w:val="18"/>
                <w:lang w:val="en-GB"/>
              </w:rPr>
              <w:t>1.4</w:t>
            </w:r>
          </w:p>
        </w:tc>
        <w:tc>
          <w:tcPr>
            <w:tcW w:w="708" w:type="dxa"/>
            <w:tcBorders>
              <w:top w:val="single" w:sz="4" w:space="0" w:color="auto"/>
            </w:tcBorders>
            <w:shd w:val="clear" w:color="auto" w:fill="FFFFFF"/>
          </w:tcPr>
          <w:p w14:paraId="555CDC30" w14:textId="64577826" w:rsidR="00AB7F3A" w:rsidRPr="00AC29DA" w:rsidRDefault="00AB7F3A" w:rsidP="00BC42A7">
            <w:pPr>
              <w:pStyle w:val="CETBodytext"/>
              <w:ind w:right="-1"/>
              <w:rPr>
                <w:rFonts w:cs="Arial"/>
                <w:szCs w:val="18"/>
                <w:lang w:val="en-GB"/>
              </w:rPr>
            </w:pPr>
            <w:r w:rsidRPr="00AC29DA">
              <w:rPr>
                <w:rFonts w:cs="Arial"/>
                <w:szCs w:val="18"/>
                <w:lang w:val="en-GB"/>
              </w:rPr>
              <w:t>100</w:t>
            </w:r>
          </w:p>
        </w:tc>
      </w:tr>
      <w:tr w:rsidR="00AB7F3A" w:rsidRPr="00AC29DA" w14:paraId="56DBADBE" w14:textId="77777777" w:rsidTr="00BC42A7">
        <w:tc>
          <w:tcPr>
            <w:tcW w:w="1134" w:type="dxa"/>
            <w:vMerge/>
            <w:shd w:val="clear" w:color="auto" w:fill="FFFFFF"/>
          </w:tcPr>
          <w:p w14:paraId="51DA0B01" w14:textId="77777777" w:rsidR="00AB7F3A" w:rsidRPr="00AC29DA" w:rsidRDefault="00AB7F3A" w:rsidP="00BC42A7">
            <w:pPr>
              <w:pStyle w:val="CETBodytext"/>
              <w:ind w:right="-1"/>
              <w:rPr>
                <w:rFonts w:cs="Arial"/>
                <w:szCs w:val="18"/>
                <w:lang w:val="en-GB"/>
              </w:rPr>
            </w:pPr>
          </w:p>
        </w:tc>
        <w:tc>
          <w:tcPr>
            <w:tcW w:w="851" w:type="dxa"/>
            <w:shd w:val="clear" w:color="auto" w:fill="FFFFFF"/>
          </w:tcPr>
          <w:p w14:paraId="34E50798" w14:textId="12F68154" w:rsidR="00AB7F3A" w:rsidRPr="00AC29DA" w:rsidRDefault="00AB7F3A" w:rsidP="00BC42A7">
            <w:pPr>
              <w:pStyle w:val="CETBodytext"/>
              <w:ind w:right="-1"/>
              <w:rPr>
                <w:rFonts w:cs="Arial"/>
                <w:szCs w:val="18"/>
                <w:lang w:val="en-GB"/>
              </w:rPr>
            </w:pPr>
            <w:r w:rsidRPr="00AC29DA">
              <w:rPr>
                <w:rFonts w:cs="Arial"/>
                <w:szCs w:val="18"/>
                <w:lang w:val="en-GB"/>
              </w:rPr>
              <w:t>8</w:t>
            </w:r>
          </w:p>
        </w:tc>
        <w:tc>
          <w:tcPr>
            <w:tcW w:w="850" w:type="dxa"/>
            <w:shd w:val="clear" w:color="auto" w:fill="FFFFFF"/>
          </w:tcPr>
          <w:p w14:paraId="51613114" w14:textId="15CC2785" w:rsidR="00AB7F3A" w:rsidRPr="00AC29DA" w:rsidRDefault="00AB7F3A" w:rsidP="00BC42A7">
            <w:pPr>
              <w:pStyle w:val="CETBodytext"/>
              <w:ind w:right="-1"/>
              <w:rPr>
                <w:rFonts w:cs="Arial"/>
                <w:szCs w:val="18"/>
                <w:lang w:val="en-GB"/>
              </w:rPr>
            </w:pPr>
            <w:r w:rsidRPr="00AC29DA">
              <w:rPr>
                <w:rFonts w:cs="Arial"/>
                <w:szCs w:val="18"/>
                <w:lang w:val="en-GB"/>
              </w:rPr>
              <w:t>0.30</w:t>
            </w:r>
          </w:p>
        </w:tc>
        <w:tc>
          <w:tcPr>
            <w:tcW w:w="993" w:type="dxa"/>
            <w:shd w:val="clear" w:color="auto" w:fill="FFFFFF"/>
          </w:tcPr>
          <w:p w14:paraId="18A4A475" w14:textId="5414CF0A" w:rsidR="00AB7F3A" w:rsidRPr="00AC29DA" w:rsidRDefault="00AB7F3A" w:rsidP="00BC42A7">
            <w:pPr>
              <w:pStyle w:val="CETBodytext"/>
              <w:ind w:right="-1"/>
              <w:rPr>
                <w:rFonts w:cs="Arial"/>
                <w:szCs w:val="18"/>
                <w:lang w:val="en-GB"/>
              </w:rPr>
            </w:pPr>
            <w:r w:rsidRPr="00AC29DA">
              <w:rPr>
                <w:rFonts w:cs="Arial"/>
                <w:szCs w:val="18"/>
                <w:lang w:val="en-GB"/>
              </w:rPr>
              <w:t>2.4</w:t>
            </w:r>
          </w:p>
        </w:tc>
        <w:tc>
          <w:tcPr>
            <w:tcW w:w="708" w:type="dxa"/>
            <w:shd w:val="clear" w:color="auto" w:fill="FFFFFF"/>
          </w:tcPr>
          <w:p w14:paraId="7F45EE52" w14:textId="3D57958A" w:rsidR="00AB7F3A" w:rsidRPr="00AC29DA" w:rsidRDefault="00AB7F3A" w:rsidP="00BC42A7">
            <w:pPr>
              <w:pStyle w:val="CETBodytext"/>
              <w:ind w:right="-1"/>
              <w:rPr>
                <w:rFonts w:cs="Arial"/>
                <w:szCs w:val="18"/>
                <w:lang w:val="en-GB"/>
              </w:rPr>
            </w:pPr>
            <w:r w:rsidRPr="00AC29DA">
              <w:rPr>
                <w:rFonts w:cs="Arial"/>
                <w:szCs w:val="18"/>
                <w:lang w:val="en-GB"/>
              </w:rPr>
              <w:t>170</w:t>
            </w:r>
          </w:p>
        </w:tc>
      </w:tr>
      <w:tr w:rsidR="00AB7F3A" w:rsidRPr="00AC29DA" w14:paraId="6FD76C6E" w14:textId="08B3D540" w:rsidTr="00BC42A7">
        <w:tc>
          <w:tcPr>
            <w:tcW w:w="1134" w:type="dxa"/>
            <w:vMerge/>
            <w:shd w:val="clear" w:color="auto" w:fill="FFFFFF"/>
          </w:tcPr>
          <w:p w14:paraId="012BC1F5" w14:textId="77777777" w:rsidR="00AB7F3A" w:rsidRPr="00AC29DA" w:rsidRDefault="00AB7F3A" w:rsidP="00BC42A7">
            <w:pPr>
              <w:pStyle w:val="CETBodytext"/>
              <w:ind w:right="-1"/>
              <w:rPr>
                <w:rFonts w:cs="Arial"/>
                <w:szCs w:val="18"/>
                <w:lang w:val="en-GB"/>
              </w:rPr>
            </w:pPr>
          </w:p>
        </w:tc>
        <w:tc>
          <w:tcPr>
            <w:tcW w:w="851" w:type="dxa"/>
            <w:shd w:val="clear" w:color="auto" w:fill="FFFFFF"/>
          </w:tcPr>
          <w:p w14:paraId="086EDFE4" w14:textId="0AA93867" w:rsidR="00AB7F3A" w:rsidRPr="00AC29DA" w:rsidRDefault="00AB7F3A" w:rsidP="00BC42A7">
            <w:pPr>
              <w:pStyle w:val="CETBodytext"/>
              <w:ind w:right="-1"/>
              <w:rPr>
                <w:rFonts w:cs="Arial"/>
                <w:szCs w:val="18"/>
                <w:lang w:val="en-GB"/>
              </w:rPr>
            </w:pPr>
            <w:r w:rsidRPr="00AC29DA">
              <w:rPr>
                <w:rFonts w:cs="Arial"/>
                <w:szCs w:val="18"/>
                <w:lang w:val="en-GB"/>
              </w:rPr>
              <w:t>16</w:t>
            </w:r>
          </w:p>
        </w:tc>
        <w:tc>
          <w:tcPr>
            <w:tcW w:w="850" w:type="dxa"/>
            <w:shd w:val="clear" w:color="auto" w:fill="FFFFFF"/>
          </w:tcPr>
          <w:p w14:paraId="208FE055" w14:textId="18E57ECB" w:rsidR="00AB7F3A" w:rsidRPr="00AC29DA" w:rsidRDefault="00AB7F3A" w:rsidP="00BC42A7">
            <w:pPr>
              <w:pStyle w:val="CETBodytext"/>
              <w:ind w:right="-1"/>
              <w:rPr>
                <w:rFonts w:cs="Arial"/>
                <w:szCs w:val="18"/>
                <w:lang w:val="en-GB"/>
              </w:rPr>
            </w:pPr>
            <w:r w:rsidRPr="00AC29DA">
              <w:rPr>
                <w:rFonts w:cs="Arial"/>
                <w:szCs w:val="18"/>
                <w:lang w:val="en-GB"/>
              </w:rPr>
              <w:t>0.30</w:t>
            </w:r>
          </w:p>
        </w:tc>
        <w:tc>
          <w:tcPr>
            <w:tcW w:w="993" w:type="dxa"/>
            <w:shd w:val="clear" w:color="auto" w:fill="FFFFFF"/>
          </w:tcPr>
          <w:p w14:paraId="4A9DE0B0" w14:textId="373DEE24" w:rsidR="00AB7F3A" w:rsidRPr="00AC29DA" w:rsidRDefault="00AB7F3A" w:rsidP="00BC42A7">
            <w:pPr>
              <w:pStyle w:val="CETBodytext"/>
              <w:ind w:right="-1"/>
              <w:rPr>
                <w:rFonts w:cs="Arial"/>
                <w:szCs w:val="18"/>
                <w:lang w:val="en-GB"/>
              </w:rPr>
            </w:pPr>
            <w:r w:rsidRPr="00AC29DA">
              <w:rPr>
                <w:rFonts w:cs="Arial"/>
                <w:szCs w:val="18"/>
                <w:lang w:val="en-GB"/>
              </w:rPr>
              <w:t>4.8</w:t>
            </w:r>
          </w:p>
        </w:tc>
        <w:tc>
          <w:tcPr>
            <w:tcW w:w="708" w:type="dxa"/>
            <w:shd w:val="clear" w:color="auto" w:fill="FFFFFF"/>
          </w:tcPr>
          <w:p w14:paraId="25C1A88A" w14:textId="5DE59DFD" w:rsidR="00AB7F3A" w:rsidRPr="00AC29DA" w:rsidRDefault="00AB7F3A" w:rsidP="00BC42A7">
            <w:pPr>
              <w:pStyle w:val="CETBodytext"/>
              <w:ind w:right="-1"/>
              <w:rPr>
                <w:rFonts w:cs="Arial"/>
                <w:szCs w:val="18"/>
                <w:lang w:val="en-GB"/>
              </w:rPr>
            </w:pPr>
            <w:r w:rsidRPr="00AC29DA">
              <w:rPr>
                <w:rFonts w:cs="Arial"/>
                <w:szCs w:val="18"/>
                <w:lang w:val="en-GB"/>
              </w:rPr>
              <w:t>340</w:t>
            </w:r>
          </w:p>
        </w:tc>
      </w:tr>
    </w:tbl>
    <w:p w14:paraId="0CA9A842" w14:textId="77777777" w:rsidR="00E65C85" w:rsidRPr="00AC29DA" w:rsidRDefault="00E65C85" w:rsidP="00A81ED1">
      <w:pPr>
        <w:pStyle w:val="CETBodytext"/>
        <w:rPr>
          <w:lang w:val="en-GB"/>
        </w:rPr>
      </w:pPr>
    </w:p>
    <w:p w14:paraId="58C02261" w14:textId="12DC20F3" w:rsidR="00E65C85" w:rsidRPr="00AC29DA" w:rsidRDefault="00E65C85" w:rsidP="00E65C85">
      <w:pPr>
        <w:pStyle w:val="CETheadingx"/>
        <w:rPr>
          <w:lang w:val="en-GB"/>
        </w:rPr>
      </w:pPr>
      <w:r w:rsidRPr="00AC29DA">
        <w:rPr>
          <w:lang w:val="en-GB"/>
        </w:rPr>
        <w:t>Transition parameters estimation</w:t>
      </w:r>
    </w:p>
    <w:p w14:paraId="2E659577" w14:textId="3A2B1C1B" w:rsidR="00EF58ED" w:rsidRPr="00AC29DA" w:rsidRDefault="00E65C85" w:rsidP="00E65C85">
      <w:pPr>
        <w:pStyle w:val="CETBodytext"/>
        <w:rPr>
          <w:lang w:val="en-GB"/>
        </w:rPr>
      </w:pPr>
      <w:r w:rsidRPr="00AC29DA">
        <w:rPr>
          <w:lang w:val="en-GB"/>
        </w:rPr>
        <w:t>As stated before,</w:t>
      </w:r>
      <w:r w:rsidR="002B43D5" w:rsidRPr="00AC29DA">
        <w:rPr>
          <w:lang w:val="en-GB"/>
        </w:rPr>
        <w:t xml:space="preserve"> the performance of biochemical processes is affected by the hydrodynamic</w:t>
      </w:r>
      <w:r w:rsidR="00133722" w:rsidRPr="00AC29DA">
        <w:rPr>
          <w:lang w:val="en-GB"/>
        </w:rPr>
        <w:t>s</w:t>
      </w:r>
      <w:r w:rsidR="002B43D5" w:rsidRPr="00AC29DA">
        <w:rPr>
          <w:lang w:val="en-GB"/>
        </w:rPr>
        <w:t xml:space="preserve"> of the system</w:t>
      </w:r>
      <w:r w:rsidR="00D613A4" w:rsidRPr="00AC29DA">
        <w:rPr>
          <w:lang w:val="en-GB"/>
        </w:rPr>
        <w:t>,</w:t>
      </w:r>
      <w:r w:rsidR="002B43D5" w:rsidRPr="00AC29DA">
        <w:rPr>
          <w:lang w:val="en-GB"/>
        </w:rPr>
        <w:t xml:space="preserve"> since high turbulence can </w:t>
      </w:r>
      <w:r w:rsidR="00D42AC3" w:rsidRPr="00AC29DA">
        <w:rPr>
          <w:lang w:val="en-GB"/>
        </w:rPr>
        <w:t xml:space="preserve">impair </w:t>
      </w:r>
      <w:r w:rsidR="002B43D5" w:rsidRPr="00AC29DA">
        <w:rPr>
          <w:lang w:val="en-GB"/>
        </w:rPr>
        <w:t xml:space="preserve">the effectiveness of the process. Therefore, it is important to evaluate the </w:t>
      </w:r>
      <w:r w:rsidR="00745766" w:rsidRPr="00AC29DA">
        <w:rPr>
          <w:lang w:val="en-GB"/>
        </w:rPr>
        <w:t>condition</w:t>
      </w:r>
      <w:r w:rsidR="002B43D5" w:rsidRPr="00AC29DA">
        <w:rPr>
          <w:lang w:val="en-GB"/>
        </w:rPr>
        <w:t xml:space="preserve"> </w:t>
      </w:r>
      <w:r w:rsidR="00D42AC3" w:rsidRPr="00AC29DA">
        <w:rPr>
          <w:lang w:val="en-GB"/>
        </w:rPr>
        <w:t>that marks the passage</w:t>
      </w:r>
      <w:r w:rsidR="002B43D5" w:rsidRPr="00AC29DA">
        <w:rPr>
          <w:lang w:val="en-GB"/>
        </w:rPr>
        <w:t xml:space="preserve"> from</w:t>
      </w:r>
      <w:r w:rsidR="00D42AC3" w:rsidRPr="00AC29DA">
        <w:rPr>
          <w:lang w:val="en-GB"/>
        </w:rPr>
        <w:t xml:space="preserve"> the</w:t>
      </w:r>
      <w:r w:rsidR="002B43D5" w:rsidRPr="00AC29DA">
        <w:rPr>
          <w:lang w:val="en-GB"/>
        </w:rPr>
        <w:t xml:space="preserve"> homogeneous to </w:t>
      </w:r>
      <w:r w:rsidR="00D42AC3" w:rsidRPr="00AC29DA">
        <w:rPr>
          <w:lang w:val="en-GB"/>
        </w:rPr>
        <w:t xml:space="preserve">the </w:t>
      </w:r>
      <w:r w:rsidR="002B43D5" w:rsidRPr="00AC29DA">
        <w:rPr>
          <w:lang w:val="en-GB"/>
        </w:rPr>
        <w:t>heterogeneous regime, identified through the transition gas hold</w:t>
      </w:r>
      <w:r w:rsidR="0016470B" w:rsidRPr="00AC29DA">
        <w:rPr>
          <w:lang w:val="en-GB"/>
        </w:rPr>
        <w:t>-</w:t>
      </w:r>
      <w:r w:rsidR="002B43D5" w:rsidRPr="00AC29DA">
        <w:rPr>
          <w:lang w:val="en-GB"/>
        </w:rPr>
        <w:t>up and superficial gas velocity</w:t>
      </w:r>
      <w:r w:rsidRPr="00AC29DA">
        <w:rPr>
          <w:lang w:val="en-GB"/>
        </w:rPr>
        <w:t xml:space="preserve">. </w:t>
      </w:r>
    </w:p>
    <w:p w14:paraId="21235073" w14:textId="36E60888" w:rsidR="008C0EA8" w:rsidRPr="00AC29DA" w:rsidRDefault="00D42AC3" w:rsidP="00922108">
      <w:pPr>
        <w:pStyle w:val="CETBodytext"/>
        <w:spacing w:after="240"/>
        <w:rPr>
          <w:lang w:val="en-GB"/>
        </w:rPr>
      </w:pPr>
      <w:r w:rsidRPr="00AC29DA">
        <w:rPr>
          <w:lang w:val="en-GB"/>
        </w:rPr>
        <w:fldChar w:fldCharType="begin" w:fldLock="1"/>
      </w:r>
      <w:r w:rsidR="009B0DE6" w:rsidRPr="00AC29DA">
        <w:rPr>
          <w:lang w:val="en-GB"/>
        </w:rPr>
        <w:instrText>ADDIN CSL_CITATION {"citationItems":[{"id":"ITEM-1","itemData":{"DOI":"10.1016/S0009-2509(01)00215-9","ISSN":"00092509","abstract":"For the first time, detailed and consistent experimental data are presented on the effect of column size on the homogeneous-heterogeneous regime transition in bubble columns. Systematic measurements were performed in air-water bubble columns of diameters 0.14, 0.29 and 0.4 m and heights between 0.1 and 1.2 m. The critical point where the homogeneous regime looses stability and the transition begins was evaluated from the drift-flux plot. The results show that both the column height and width destabilize the homogeneous regime and advance the transition. Our data were compared with predictions of two available stability theories. Both the theories agree with the data relatively well. Our results also suggest that the column aspect ratio alone cannot replace the simultaneous effect of the column height and width. © 2001 Elsevier Science Ltd. All rights reserved.","author":[{"dropping-particle":"","family":"Ruzicka","given":"M. C.","non-dropping-particle":"","parse-names":false,"suffix":""},{"dropping-particle":"","family":"Drahoš","given":"J.","non-dropping-particle":"","parse-names":false,"suffix":""},{"dropping-particle":"","family":"Fialová","given":"M.","non-dropping-particle":"","parse-names":false,"suffix":""},{"dropping-particle":"","family":"Thomas","given":"N. H.","non-dropping-particle":"","parse-names":false,"suffix":""}],"container-title":"Chemical Engineering Science","id":"ITEM-1","issue":"21-22","issued":{"date-parts":[["2001"]]},"page":"6117-6124","title":"Effect of bubble column dimensions on flow regime transition","type":"article-journal","volume":"56"},"uris":["http://www.mendeley.com/documents/?uuid=be8c3a45-4024-4242-bca7-ce59a92cac68"]}],"mendeley":{"formattedCitation":"(Ruzicka et al., 2001)","manualFormatting":"Ruzicka et al. (2001)","plainTextFormattedCitation":"(Ruzicka et al., 2001)","previouslyFormattedCitation":"(Ruzicka et al., 2001)"},"properties":{"noteIndex":0},"schema":"https://github.com/citation-style-language/schema/raw/master/csl-citation.json"}</w:instrText>
      </w:r>
      <w:r w:rsidRPr="00AC29DA">
        <w:rPr>
          <w:lang w:val="en-GB"/>
        </w:rPr>
        <w:fldChar w:fldCharType="separate"/>
      </w:r>
      <w:r w:rsidRPr="00AC29DA">
        <w:rPr>
          <w:noProof/>
          <w:lang w:val="en-GB"/>
        </w:rPr>
        <w:t xml:space="preserve">Ruzicka et al. </w:t>
      </w:r>
      <w:r w:rsidR="00E9355C" w:rsidRPr="00AC29DA">
        <w:rPr>
          <w:noProof/>
          <w:lang w:val="en-GB"/>
        </w:rPr>
        <w:t>(</w:t>
      </w:r>
      <w:r w:rsidRPr="00AC29DA">
        <w:rPr>
          <w:noProof/>
          <w:lang w:val="en-GB"/>
        </w:rPr>
        <w:t>2001)</w:t>
      </w:r>
      <w:r w:rsidRPr="00AC29DA">
        <w:rPr>
          <w:lang w:val="en-GB"/>
        </w:rPr>
        <w:fldChar w:fldCharType="end"/>
      </w:r>
      <w:r w:rsidR="00E9355C" w:rsidRPr="00AC29DA">
        <w:rPr>
          <w:lang w:val="en-GB"/>
        </w:rPr>
        <w:t xml:space="preserve"> </w:t>
      </w:r>
      <w:r w:rsidR="008C0EA8" w:rsidRPr="00AC29DA">
        <w:rPr>
          <w:lang w:val="en-GB"/>
        </w:rPr>
        <w:t xml:space="preserve">proposed a theoretical equation </w:t>
      </w:r>
      <w:r w:rsidR="00745766" w:rsidRPr="00AC29DA">
        <w:rPr>
          <w:lang w:val="en-GB"/>
        </w:rPr>
        <w:t xml:space="preserve">(Eq.3) </w:t>
      </w:r>
      <w:r w:rsidR="008C0EA8" w:rsidRPr="00AC29DA">
        <w:rPr>
          <w:lang w:val="en-GB"/>
        </w:rPr>
        <w:t xml:space="preserve">for </w:t>
      </w:r>
      <w:r w:rsidR="002B43D5" w:rsidRPr="00AC29DA">
        <w:rPr>
          <w:lang w:val="en-GB"/>
        </w:rPr>
        <w:t>calculating</w:t>
      </w:r>
      <w:r w:rsidR="007C7FD2" w:rsidRPr="00AC29DA">
        <w:rPr>
          <w:lang w:val="en-GB"/>
        </w:rPr>
        <w:t xml:space="preserve"> </w:t>
      </w:r>
      <w:r w:rsidR="008C0EA8" w:rsidRPr="00AC29DA">
        <w:rPr>
          <w:lang w:val="en-GB"/>
        </w:rPr>
        <w:t>the transition gas hold</w:t>
      </w:r>
      <w:r w:rsidR="0016470B" w:rsidRPr="00AC29DA">
        <w:rPr>
          <w:lang w:val="en-GB"/>
        </w:rPr>
        <w:t>-</w:t>
      </w:r>
      <w:r w:rsidR="008C0EA8" w:rsidRPr="00AC29DA">
        <w:rPr>
          <w:lang w:val="en-GB"/>
        </w:rPr>
        <w:t>up that well matche</w:t>
      </w:r>
      <w:r w:rsidR="00133722" w:rsidRPr="00AC29DA">
        <w:rPr>
          <w:lang w:val="en-GB"/>
        </w:rPr>
        <w:t>d</w:t>
      </w:r>
      <w:r w:rsidR="008C0EA8" w:rsidRPr="00AC29DA">
        <w:rPr>
          <w:lang w:val="en-GB"/>
        </w:rPr>
        <w:t xml:space="preserve"> the experimental results. </w:t>
      </w:r>
    </w:p>
    <w:p w14:paraId="62D21402" w14:textId="4671535E" w:rsidR="008C0EA8" w:rsidRPr="00AC29DA" w:rsidRDefault="00267AFF" w:rsidP="00267AFF">
      <w:pPr>
        <w:pStyle w:val="CETEquation"/>
      </w:pPr>
      <w:proofErr w:type="spellStart"/>
      <m:oMath>
        <m:r>
          <m:rPr>
            <m:nor/>
          </m:rPr>
          <w:rPr>
            <w:i/>
            <w:iCs/>
          </w:rPr>
          <m:t>ε</m:t>
        </m:r>
        <m:r>
          <m:rPr>
            <m:nor/>
          </m:rPr>
          <w:rPr>
            <w:rFonts w:ascii="Cambria Math" w:hAnsi="Cambria Math"/>
            <w:i/>
            <w:iCs/>
            <w:vertAlign w:val="subscript"/>
          </w:rPr>
          <m:t>g</m:t>
        </m:r>
        <w:proofErr w:type="spellEnd"/>
        <m:r>
          <m:rPr>
            <m:nor/>
          </m:rPr>
          <w:rPr>
            <w:i/>
            <w:iCs/>
          </w:rPr>
          <m:t>&lt;</m:t>
        </m:r>
        <w:proofErr w:type="spellStart"/>
        <m:r>
          <m:rPr>
            <m:nor/>
          </m:rPr>
          <w:rPr>
            <w:i/>
            <w:iCs/>
          </w:rPr>
          <m:t>ε</m:t>
        </m:r>
        <m:r>
          <m:rPr>
            <m:nor/>
          </m:rPr>
          <w:rPr>
            <w:i/>
            <w:iCs/>
            <w:vertAlign w:val="subscript"/>
          </w:rPr>
          <m:t>t</m:t>
        </m:r>
        <w:proofErr w:type="spellEnd"/>
        <m:r>
          <m:rPr>
            <m:nor/>
          </m:rPr>
          <w:rPr>
            <w:i/>
            <w:iCs/>
          </w:rPr>
          <m:t>=</m:t>
        </m:r>
        <m:f>
          <m:fPr>
            <m:ctrlPr>
              <w:rPr>
                <w:rFonts w:ascii="Cambria Math" w:hAnsi="Cambria Math"/>
                <w:i/>
                <w:iCs/>
              </w:rPr>
            </m:ctrlPr>
          </m:fPr>
          <m:num>
            <w:proofErr w:type="spellStart"/>
            <m:r>
              <m:rPr>
                <m:nor/>
              </m:rPr>
              <w:rPr>
                <w:i/>
                <w:iCs/>
              </w:rPr>
              <m:t>νk</m:t>
            </m:r>
            <w:proofErr w:type="spellEnd"/>
          </m:num>
          <m:den>
            <m:r>
              <m:rPr>
                <m:nor/>
              </m:rPr>
              <w:rPr>
                <w:i/>
                <w:iCs/>
              </w:rPr>
              <m:t>g</m:t>
            </m:r>
          </m:den>
        </m:f>
        <m:f>
          <m:fPr>
            <m:ctrlPr>
              <w:rPr>
                <w:rFonts w:ascii="Cambria Math" w:hAnsi="Cambria Math"/>
                <w:i/>
                <w:iCs/>
              </w:rPr>
            </m:ctrlPr>
          </m:fPr>
          <m:num>
            <m:r>
              <m:rPr>
                <m:nor/>
              </m:rPr>
              <w:rPr>
                <w:i/>
                <w:iCs/>
              </w:rPr>
              <m:t>R</m:t>
            </m:r>
            <m:sSubSup>
              <m:sSubSupPr>
                <m:ctrlPr>
                  <w:rPr>
                    <w:rFonts w:ascii="Cambria Math" w:hAnsi="Cambria Math"/>
                    <w:i/>
                    <w:iCs/>
                  </w:rPr>
                </m:ctrlPr>
              </m:sSubSupPr>
              <m:e>
                <m:r>
                  <m:rPr>
                    <m:nor/>
                  </m:rPr>
                  <w:rPr>
                    <w:i/>
                    <w:iCs/>
                  </w:rPr>
                  <m:t>a</m:t>
                </m:r>
              </m:e>
              <m:sub>
                <m:r>
                  <m:rPr>
                    <m:nor/>
                  </m:rPr>
                  <w:rPr>
                    <w:i/>
                    <w:iCs/>
                  </w:rPr>
                  <m:t>c</m:t>
                </m:r>
              </m:sub>
              <m:sup>
                <m:r>
                  <m:rPr>
                    <m:nor/>
                  </m:rPr>
                  <w:rPr>
                    <w:i/>
                    <w:iCs/>
                  </w:rPr>
                  <m:t>∞</m:t>
                </m:r>
              </m:sup>
            </m:sSubSup>
            <m:r>
              <m:rPr>
                <m:nor/>
              </m:rPr>
              <w:rPr>
                <w:i/>
                <w:iCs/>
              </w:rPr>
              <m:t>+f</m:t>
            </m:r>
            <m:d>
              <m:dPr>
                <m:ctrlPr>
                  <w:rPr>
                    <w:rFonts w:ascii="Cambria Math" w:hAnsi="Cambria Math"/>
                    <w:i/>
                    <w:iCs/>
                  </w:rPr>
                </m:ctrlPr>
              </m:dPr>
              <m:e>
                <m:r>
                  <m:rPr>
                    <m:nor/>
                  </m:rPr>
                  <w:rPr>
                    <w:i/>
                    <w:iCs/>
                  </w:rPr>
                  <m:t>A</m:t>
                </m:r>
              </m:e>
            </m:d>
          </m:num>
          <m:den>
            <m:sSup>
              <m:sSupPr>
                <m:ctrlPr>
                  <w:rPr>
                    <w:rFonts w:ascii="Cambria Math" w:hAnsi="Cambria Math"/>
                    <w:i/>
                    <w:iCs/>
                  </w:rPr>
                </m:ctrlPr>
              </m:sSupPr>
              <m:e>
                <m:r>
                  <m:rPr>
                    <m:nor/>
                  </m:rPr>
                  <w:rPr>
                    <w:i/>
                    <w:iCs/>
                  </w:rPr>
                  <m:t>H</m:t>
                </m:r>
              </m:e>
              <m:sup>
                <m:r>
                  <m:rPr>
                    <m:nor/>
                  </m:rPr>
                  <w:rPr>
                    <w:i/>
                    <w:iCs/>
                  </w:rPr>
                  <m:t>3</m:t>
                </m:r>
              </m:sup>
            </m:sSup>
          </m:den>
        </m:f>
        <m:r>
          <m:rPr>
            <m:nor/>
          </m:rPr>
          <m:t xml:space="preserve">         </m:t>
        </m:r>
      </m:oMath>
      <w:r w:rsidRPr="00AC29DA">
        <w:t xml:space="preserve">                                                                                                                                         (3)</w:t>
      </w:r>
    </w:p>
    <w:p w14:paraId="30566E77" w14:textId="538B03A1" w:rsidR="008C0EA8" w:rsidRPr="00AC29DA" w:rsidRDefault="00133722" w:rsidP="008C0EA8">
      <w:pPr>
        <w:pStyle w:val="CETBodytext"/>
        <w:rPr>
          <w:lang w:val="en-GB"/>
        </w:rPr>
      </w:pPr>
      <w:r w:rsidRPr="00AC29DA">
        <w:rPr>
          <w:lang w:val="en-GB"/>
        </w:rPr>
        <w:t>w</w:t>
      </w:r>
      <w:r w:rsidR="00922108" w:rsidRPr="00AC29DA">
        <w:rPr>
          <w:lang w:val="en-GB"/>
        </w:rPr>
        <w:t xml:space="preserve">here </w:t>
      </w:r>
      <w:r w:rsidR="00922108" w:rsidRPr="00AC29DA">
        <w:rPr>
          <w:i/>
          <w:iCs/>
          <w:lang w:val="en-GB"/>
        </w:rPr>
        <w:t>f(A)</w:t>
      </w:r>
      <w:r w:rsidR="00922108" w:rsidRPr="00AC29DA">
        <w:rPr>
          <w:lang w:val="en-GB"/>
        </w:rPr>
        <w:t xml:space="preserve"> is a function of the aspect ratio</w:t>
      </w:r>
      <w:r w:rsidR="000757D8" w:rsidRPr="00AC29DA">
        <w:rPr>
          <w:lang w:val="en-GB"/>
        </w:rPr>
        <w:t xml:space="preserve"> (</w:t>
      </w:r>
      <w:proofErr w:type="spellStart"/>
      <w:r w:rsidR="000757D8" w:rsidRPr="00AC29DA">
        <w:rPr>
          <w:lang w:val="en-GB"/>
        </w:rPr>
        <w:fldChar w:fldCharType="begin" w:fldLock="1"/>
      </w:r>
      <w:r w:rsidR="009B0DE6" w:rsidRPr="00AC29DA">
        <w:rPr>
          <w:lang w:val="en-GB"/>
        </w:rPr>
        <w:instrText>ADDIN CSL_CITATION {"citationItems":[{"id":"ITEM-1","itemData":{"DOI":"10.1016/S0009-2509(01)00215-9","ISSN":"00092509","abstract":"For the first time, detailed and consistent experimental data are presented on the effect of column size on the homogeneous-heterogeneous regime transition in bubble columns. Systematic measurements were performed in air-water bubble columns of diameters 0.14, 0.29 and 0.4 m and heights between 0.1 and 1.2 m. The critical point where the homogeneous regime looses stability and the transition begins was evaluated from the drift-flux plot. The results show that both the column height and width destabilize the homogeneous regime and advance the transition. Our data were compared with predictions of two available stability theories. Both the theories agree with the data relatively well. Our results also suggest that the column aspect ratio alone cannot replace the simultaneous effect of the column height and width. © 2001 Elsevier Science Ltd. All rights reserved.","author":[{"dropping-particle":"","family":"Ruzicka","given":"M. C.","non-dropping-particle":"","parse-names":false,"suffix":""},{"dropping-particle":"","family":"Drahoš","given":"J.","non-dropping-particle":"","parse-names":false,"suffix":""},{"dropping-particle":"","family":"Fialová","given":"M.","non-dropping-particle":"","parse-names":false,"suffix":""},{"dropping-particle":"","family":"Thomas","given":"N. H.","non-dropping-particle":"","parse-names":false,"suffix":""}],"container-title":"Chemical Engineering Science","id":"ITEM-1","issue":"21-22","issued":{"date-parts":[["2001"]]},"page":"6117-6124","title":"Effect of bubble column dimensions on flow regime transition","type":"article-journal","volume":"56"},"uris":["http://www.mendeley.com/documents/?uuid=be8c3a45-4024-4242-bca7-ce59a92cac68"]}],"mendeley":{"formattedCitation":"(Ruzicka et al., 2001)","manualFormatting":"Ruzicka et al., 2001)","plainTextFormattedCitation":"(Ruzicka et al., 2001)","previouslyFormattedCitation":"(Ruzicka et al., 2001)"},"properties":{"noteIndex":0},"schema":"https://github.com/citation-style-language/schema/raw/master/csl-citation.json"}</w:instrText>
      </w:r>
      <w:r w:rsidR="000757D8" w:rsidRPr="00AC29DA">
        <w:rPr>
          <w:lang w:val="en-GB"/>
        </w:rPr>
        <w:fldChar w:fldCharType="separate"/>
      </w:r>
      <w:r w:rsidR="000757D8" w:rsidRPr="00AC29DA">
        <w:rPr>
          <w:noProof/>
          <w:lang w:val="en-GB"/>
        </w:rPr>
        <w:t>Ruzicka</w:t>
      </w:r>
      <w:proofErr w:type="spellEnd"/>
      <w:r w:rsidR="000757D8" w:rsidRPr="00AC29DA">
        <w:rPr>
          <w:noProof/>
          <w:lang w:val="en-GB"/>
        </w:rPr>
        <w:t xml:space="preserve"> et al., 2001)</w:t>
      </w:r>
      <w:r w:rsidR="000757D8" w:rsidRPr="00AC29DA">
        <w:rPr>
          <w:lang w:val="en-GB"/>
        </w:rPr>
        <w:fldChar w:fldCharType="end"/>
      </w:r>
      <w:r w:rsidR="00922108" w:rsidRPr="00AC29DA">
        <w:rPr>
          <w:lang w:val="en-GB"/>
        </w:rPr>
        <w:t>.</w:t>
      </w:r>
    </w:p>
    <w:p w14:paraId="468CA809" w14:textId="0D0A742E" w:rsidR="00267AFF" w:rsidRPr="00AC29DA" w:rsidRDefault="00745766" w:rsidP="00E65C85">
      <w:pPr>
        <w:pStyle w:val="CETBodytext"/>
        <w:rPr>
          <w:lang w:val="en-GB"/>
        </w:rPr>
      </w:pPr>
      <w:r w:rsidRPr="00AC29DA">
        <w:rPr>
          <w:lang w:val="en-GB"/>
        </w:rPr>
        <w:t>T</w:t>
      </w:r>
      <w:r w:rsidR="00922108" w:rsidRPr="00AC29DA">
        <w:rPr>
          <w:lang w:val="en-GB"/>
        </w:rPr>
        <w:t>he transition superficial gas velocity</w:t>
      </w:r>
      <w:r w:rsidRPr="00AC29DA">
        <w:rPr>
          <w:lang w:val="en-GB"/>
        </w:rPr>
        <w:t xml:space="preserve"> </w:t>
      </w:r>
      <w:r w:rsidR="00922108" w:rsidRPr="00AC29DA">
        <w:rPr>
          <w:lang w:val="en-GB"/>
        </w:rPr>
        <w:t xml:space="preserve">was estimated as </w:t>
      </w:r>
      <w:r w:rsidR="00133722" w:rsidRPr="00AC29DA">
        <w:rPr>
          <w:lang w:val="en-GB"/>
        </w:rPr>
        <w:t xml:space="preserve">a </w:t>
      </w:r>
      <w:r w:rsidR="00922108" w:rsidRPr="00AC29DA">
        <w:rPr>
          <w:lang w:val="en-GB"/>
        </w:rPr>
        <w:t>function of</w:t>
      </w:r>
      <w:r w:rsidRPr="00AC29DA">
        <w:rPr>
          <w:lang w:val="en-GB"/>
        </w:rPr>
        <w:t xml:space="preserve"> </w:t>
      </w:r>
      <w:proofErr w:type="spellStart"/>
      <w:r w:rsidR="00E9355C" w:rsidRPr="00AC29DA">
        <w:rPr>
          <w:rFonts w:cs="Arial"/>
          <w:i/>
          <w:iCs/>
          <w:lang w:val="en-GB"/>
        </w:rPr>
        <w:t>ε</w:t>
      </w:r>
      <w:r w:rsidR="00E9355C" w:rsidRPr="00AC29DA">
        <w:rPr>
          <w:i/>
          <w:iCs/>
          <w:vertAlign w:val="subscript"/>
          <w:lang w:val="en-GB"/>
        </w:rPr>
        <w:t>g</w:t>
      </w:r>
      <w:proofErr w:type="spellEnd"/>
      <w:r w:rsidR="00922108" w:rsidRPr="00AC29DA">
        <w:rPr>
          <w:lang w:val="en-GB"/>
        </w:rPr>
        <w:t xml:space="preserve">, as reported by </w:t>
      </w:r>
      <w:r w:rsidR="00556D38" w:rsidRPr="00AC29DA">
        <w:rPr>
          <w:lang w:val="en-GB"/>
        </w:rPr>
        <w:fldChar w:fldCharType="begin" w:fldLock="1"/>
      </w:r>
      <w:r w:rsidR="009B0DE6" w:rsidRPr="00AC29DA">
        <w:rPr>
          <w:lang w:val="en-GB"/>
        </w:rPr>
        <w:instrText>ADDIN CSL_CITATION {"citationItems":[{"id":"ITEM-1","itemData":{"DOI":"10.1002/cjce.5450720102","ISSN":"1939019X","abstract":"Experiments conducted in 0.15 m diameter bubble columns using water and non</w:instrText>
      </w:r>
      <w:r w:rsidR="009B0DE6" w:rsidRPr="00AC29DA">
        <w:rPr>
          <w:rFonts w:ascii="Cambria Math" w:hAnsi="Cambria Math" w:cs="Cambria Math"/>
          <w:lang w:val="en-GB"/>
        </w:rPr>
        <w:instrText>‐</w:instrText>
      </w:r>
      <w:r w:rsidR="009B0DE6" w:rsidRPr="00AC29DA">
        <w:rPr>
          <w:lang w:val="en-GB"/>
        </w:rPr>
        <w:instrText>aqueous liquids have shown that the gas velocity at which transition from the bubbly flow to the churn</w:instrText>
      </w:r>
      <w:r w:rsidR="009B0DE6" w:rsidRPr="00AC29DA">
        <w:rPr>
          <w:rFonts w:ascii="Cambria Math" w:hAnsi="Cambria Math" w:cs="Cambria Math"/>
          <w:lang w:val="en-GB"/>
        </w:rPr>
        <w:instrText>‐</w:instrText>
      </w:r>
      <w:r w:rsidR="009B0DE6" w:rsidRPr="00AC29DA">
        <w:rPr>
          <w:lang w:val="en-GB"/>
        </w:rPr>
        <w:instrText>turbulent flow regime occurs is a function of gas density. The transition velocity increased with increasing gas density. The direct effect of gas density on gas holdup in the bubbly flow regime is small with only a slight increase in holdup being observed at higher densities (ϵG α ρg0.04). In the churnturbulent region a much greater effect of gas density on gas holdup was observed. These differences were found to be a direct function of the differences in holdup values at the transition points. Gas holdup was found to be a function of the gas phase momentum. In the bubbly flow regime holdup was directly proportional to momentum while in the churn</w:instrText>
      </w:r>
      <w:r w:rsidR="009B0DE6" w:rsidRPr="00AC29DA">
        <w:rPr>
          <w:rFonts w:ascii="Cambria Math" w:hAnsi="Cambria Math" w:cs="Cambria Math"/>
          <w:lang w:val="en-GB"/>
        </w:rPr>
        <w:instrText>‐</w:instrText>
      </w:r>
      <w:r w:rsidR="009B0DE6" w:rsidRPr="00AC29DA">
        <w:rPr>
          <w:lang w:val="en-GB"/>
        </w:rPr>
        <w:instrText>turbulent regime holdup was proportional to momentum to the one third power. Reasons for this behaviour are discussed, as well as the implied effects on liquid mixing in bubble column slurry reactors. The effects of gas density may offer an explanation for some apparently anomalous published results. Copyright © 1994 Canadian Society for Chemical Engineering","author":[{"dropping-particle":"","family":"Reilly","given":"I. G.","non-dropping-particle":"","parse-names":false,"suffix":""},{"dropping-particle":"","family":"Scott","given":"D. S.","non-dropping-particle":"","parse-names":false,"suffix":""},{"dropping-particle":"","family":"Debruijn","given":"T. J.W.","non-dropping-particle":"","parse-names":false,"suffix":""},{"dropping-particle":"","family":"Macintyre","given":"D.","non-dropping-particle":"","parse-names":false,"suffix":""}],"container-title":"The Canadian Journal of Chemical Engineering","id":"ITEM-1","issue":"1","issued":{"date-parts":[["1994"]]},"page":"3-12","title":"The role of gas phase momentum in determining gas holdup and hydrodynamic flow regimes in bubble column operations","type":"article-journal","volume":"72"},"uris":["http://www.mendeley.com/documents/?uuid=d778e885-f781-412c-9b42-eae9cff9c55e"]}],"mendeley":{"formattedCitation":"(Reilly et al., 1994)","manualFormatting":"Reilly et al. (1994)","plainTextFormattedCitation":"(Reilly et al., 1994)","previouslyFormattedCitation":"(Reilly et al., 1994)"},"properties":{"noteIndex":0},"schema":"https://github.com/citation-style-language/schema/raw/master/csl-citation.json"}</w:instrText>
      </w:r>
      <w:r w:rsidR="00556D38" w:rsidRPr="00AC29DA">
        <w:rPr>
          <w:lang w:val="en-GB"/>
        </w:rPr>
        <w:fldChar w:fldCharType="separate"/>
      </w:r>
      <w:r w:rsidR="00556D38" w:rsidRPr="00AC29DA">
        <w:rPr>
          <w:noProof/>
          <w:lang w:val="en-GB"/>
        </w:rPr>
        <w:t>Reilly et al. (1994)</w:t>
      </w:r>
      <w:r w:rsidR="00556D38" w:rsidRPr="00AC29DA">
        <w:rPr>
          <w:lang w:val="en-GB"/>
        </w:rPr>
        <w:fldChar w:fldCharType="end"/>
      </w:r>
      <w:r w:rsidR="00556D38" w:rsidRPr="00AC29DA">
        <w:rPr>
          <w:lang w:val="en-GB"/>
        </w:rPr>
        <w:t xml:space="preserve"> </w:t>
      </w:r>
      <w:r w:rsidRPr="00AC29DA">
        <w:rPr>
          <w:lang w:val="en-GB"/>
        </w:rPr>
        <w:t>(Eq.4)</w:t>
      </w:r>
      <w:r w:rsidR="00922108" w:rsidRPr="00AC29DA">
        <w:rPr>
          <w:lang w:val="en-GB"/>
        </w:rPr>
        <w:t>:</w:t>
      </w:r>
    </w:p>
    <w:p w14:paraId="2FA0277C" w14:textId="3C38666D" w:rsidR="00267AFF" w:rsidRPr="00AC29DA" w:rsidRDefault="00515725" w:rsidP="00267AFF">
      <w:pPr>
        <w:pStyle w:val="CETEquation"/>
      </w:pPr>
      <m:oMath>
        <m:sSub>
          <m:sSubPr>
            <m:ctrlPr>
              <w:rPr>
                <w:rFonts w:ascii="Cambria Math" w:hAnsi="Cambria Math"/>
                <w:i/>
              </w:rPr>
            </m:ctrlPr>
          </m:sSubPr>
          <m:e>
            <m:r>
              <m:rPr>
                <m:nor/>
              </m:rPr>
              <w:rPr>
                <w:i/>
              </w:rPr>
              <m:t>U</m:t>
            </m:r>
          </m:e>
          <m:sub>
            <m:r>
              <m:rPr>
                <m:nor/>
              </m:rPr>
              <w:rPr>
                <w:i/>
              </w:rPr>
              <m:t>t</m:t>
            </m:r>
          </m:sub>
        </m:sSub>
        <m:r>
          <m:rPr>
            <m:nor/>
          </m:rPr>
          <w:rPr>
            <w:i/>
          </w:rPr>
          <m:t>=</m:t>
        </m:r>
        <m:sSub>
          <m:sSubPr>
            <m:ctrlPr>
              <w:rPr>
                <w:rFonts w:ascii="Cambria Math" w:hAnsi="Cambria Math"/>
                <w:i/>
              </w:rPr>
            </m:ctrlPr>
          </m:sSubPr>
          <m:e>
            <m:r>
              <m:rPr>
                <m:nor/>
              </m:rPr>
              <w:rPr>
                <w:i/>
              </w:rPr>
              <m:t>V</m:t>
            </m:r>
          </m:e>
          <m:sub>
            <m:r>
              <m:rPr>
                <m:nor/>
              </m:rPr>
              <w:rPr>
                <w:i/>
              </w:rPr>
              <m:t>small</m:t>
            </m:r>
          </m:sub>
        </m:sSub>
        <m:sSub>
          <m:sSubPr>
            <m:ctrlPr>
              <w:rPr>
                <w:rFonts w:ascii="Cambria Math" w:hAnsi="Cambria Math"/>
                <w:i/>
              </w:rPr>
            </m:ctrlPr>
          </m:sSubPr>
          <m:e>
            <m:r>
              <m:rPr>
                <m:nor/>
              </m:rPr>
              <w:rPr>
                <w:i/>
              </w:rPr>
              <m:t>ε</m:t>
            </m:r>
          </m:e>
          <m:sub>
            <m:r>
              <m:rPr>
                <m:nor/>
              </m:rPr>
              <w:rPr>
                <w:i/>
              </w:rPr>
              <m:t>t</m:t>
            </m:r>
          </m:sub>
        </m:sSub>
        <m:d>
          <m:dPr>
            <m:ctrlPr>
              <w:rPr>
                <w:rFonts w:ascii="Cambria Math" w:hAnsi="Cambria Math"/>
                <w:i/>
              </w:rPr>
            </m:ctrlPr>
          </m:dPr>
          <m:e>
            <m:r>
              <m:rPr>
                <m:nor/>
              </m:rPr>
              <w:rPr>
                <w:i/>
              </w:rPr>
              <m:t>1-</m:t>
            </m:r>
            <m:sSub>
              <m:sSubPr>
                <m:ctrlPr>
                  <w:rPr>
                    <w:rFonts w:ascii="Cambria Math" w:hAnsi="Cambria Math"/>
                    <w:i/>
                  </w:rPr>
                </m:ctrlPr>
              </m:sSubPr>
              <m:e>
                <m:r>
                  <m:rPr>
                    <m:nor/>
                  </m:rPr>
                  <w:rPr>
                    <w:i/>
                  </w:rPr>
                  <m:t>ε</m:t>
                </m:r>
              </m:e>
              <m:sub>
                <m:r>
                  <m:rPr>
                    <m:nor/>
                  </m:rPr>
                  <w:rPr>
                    <w:i/>
                  </w:rPr>
                  <m:t>t</m:t>
                </m:r>
              </m:sub>
            </m:sSub>
          </m:e>
        </m:d>
        <m:r>
          <m:rPr>
            <m:nor/>
          </m:rPr>
          <m:t xml:space="preserve">         </m:t>
        </m:r>
      </m:oMath>
      <w:r w:rsidR="00267AFF" w:rsidRPr="00AC29DA">
        <w:t xml:space="preserve">                                                                                                                                      </w:t>
      </w:r>
      <w:r w:rsidR="00A76568" w:rsidRPr="00AC29DA">
        <w:t xml:space="preserve"> </w:t>
      </w:r>
      <w:r w:rsidR="00267AFF" w:rsidRPr="00AC29DA">
        <w:t xml:space="preserve">  (4)</w:t>
      </w:r>
    </w:p>
    <w:p w14:paraId="1F4398B5" w14:textId="5B6CD545" w:rsidR="00014123" w:rsidRPr="00AC29DA" w:rsidRDefault="000F3025" w:rsidP="00A81ED1">
      <w:pPr>
        <w:pStyle w:val="CETBodytext"/>
        <w:rPr>
          <w:lang w:val="en-GB"/>
        </w:rPr>
      </w:pPr>
      <w:r w:rsidRPr="00AC29DA">
        <w:rPr>
          <w:lang w:val="en-GB"/>
        </w:rPr>
        <w:t xml:space="preserve">In Eq.4, </w:t>
      </w:r>
      <w:proofErr w:type="spellStart"/>
      <w:r w:rsidR="00014123" w:rsidRPr="00AC29DA">
        <w:rPr>
          <w:lang w:val="en-GB"/>
        </w:rPr>
        <w:t>V</w:t>
      </w:r>
      <w:r w:rsidR="00014123" w:rsidRPr="00AC29DA">
        <w:rPr>
          <w:vertAlign w:val="subscript"/>
          <w:lang w:val="en-GB"/>
        </w:rPr>
        <w:t>small</w:t>
      </w:r>
      <w:proofErr w:type="spellEnd"/>
      <w:r w:rsidR="00014123" w:rsidRPr="00AC29DA">
        <w:rPr>
          <w:lang w:val="en-GB"/>
        </w:rPr>
        <w:t xml:space="preserve"> </w:t>
      </w:r>
      <w:r w:rsidR="00E9355C" w:rsidRPr="00AC29DA">
        <w:rPr>
          <w:lang w:val="en-GB"/>
        </w:rPr>
        <w:t xml:space="preserve">is the velocity of small bubbles and can be </w:t>
      </w:r>
      <w:r w:rsidR="00745766" w:rsidRPr="00AC29DA">
        <w:rPr>
          <w:lang w:val="en-GB"/>
        </w:rPr>
        <w:t xml:space="preserve">calculated </w:t>
      </w:r>
      <w:r w:rsidR="00E9355C" w:rsidRPr="00AC29DA">
        <w:rPr>
          <w:lang w:val="en-GB"/>
        </w:rPr>
        <w:t>according to</w:t>
      </w:r>
      <w:r w:rsidR="00745766" w:rsidRPr="00AC29DA">
        <w:rPr>
          <w:lang w:val="en-GB"/>
        </w:rPr>
        <w:t xml:space="preserve"> Eq.5</w:t>
      </w:r>
      <w:r w:rsidR="00E9355C" w:rsidRPr="00AC29DA">
        <w:rPr>
          <w:lang w:val="en-GB"/>
        </w:rPr>
        <w:t>.</w:t>
      </w:r>
    </w:p>
    <w:p w14:paraId="069C4525" w14:textId="4652B1FA" w:rsidR="00922108" w:rsidRPr="00AC29DA" w:rsidRDefault="00515725" w:rsidP="00E41CE7">
      <w:pPr>
        <w:pStyle w:val="CETEquation"/>
      </w:pPr>
      <m:oMath>
        <m:sSub>
          <m:sSubPr>
            <m:ctrlPr>
              <w:rPr>
                <w:rFonts w:ascii="Cambria Math" w:hAnsi="Cambria Math"/>
                <w:i/>
              </w:rPr>
            </m:ctrlPr>
          </m:sSubPr>
          <m:e>
            <m:r>
              <m:rPr>
                <m:nor/>
              </m:rPr>
              <w:rPr>
                <w:i/>
              </w:rPr>
              <m:t>V</m:t>
            </m:r>
          </m:e>
          <m:sub>
            <m:r>
              <m:rPr>
                <m:nor/>
              </m:rPr>
              <w:rPr>
                <w:i/>
              </w:rPr>
              <m:t>small</m:t>
            </m:r>
          </m:sub>
        </m:sSub>
        <m:r>
          <m:rPr>
            <m:nor/>
          </m:rPr>
          <w:rPr>
            <w:i/>
          </w:rPr>
          <m:t>=</m:t>
        </m:r>
        <m:f>
          <m:fPr>
            <m:ctrlPr>
              <w:rPr>
                <w:rFonts w:ascii="Cambria Math" w:hAnsi="Cambria Math"/>
                <w:i/>
              </w:rPr>
            </m:ctrlPr>
          </m:fPr>
          <m:num>
            <m:r>
              <m:rPr>
                <m:nor/>
              </m:rPr>
              <w:rPr>
                <w:i/>
              </w:rPr>
              <m:t>1</m:t>
            </m:r>
          </m:num>
          <m:den>
            <m:r>
              <m:rPr>
                <m:nor/>
              </m:rPr>
              <w:rPr>
                <w:i/>
              </w:rPr>
              <m:t>2.84</m:t>
            </m:r>
          </m:den>
        </m:f>
        <m:f>
          <m:fPr>
            <m:ctrlPr>
              <w:rPr>
                <w:rFonts w:ascii="Cambria Math" w:hAnsi="Cambria Math"/>
                <w:i/>
              </w:rPr>
            </m:ctrlPr>
          </m:fPr>
          <m:num>
            <m:r>
              <m:rPr>
                <m:nor/>
              </m:rPr>
              <w:rPr>
                <w:i/>
              </w:rPr>
              <m:t>1</m:t>
            </m:r>
          </m:num>
          <m:den>
            <m:sSubSup>
              <m:sSubSupPr>
                <m:ctrlPr>
                  <w:rPr>
                    <w:rFonts w:ascii="Cambria Math" w:hAnsi="Cambria Math"/>
                    <w:i/>
                  </w:rPr>
                </m:ctrlPr>
              </m:sSubSupPr>
              <m:e>
                <m:r>
                  <m:rPr>
                    <m:nor/>
                  </m:rPr>
                  <w:rPr>
                    <w:i/>
                  </w:rPr>
                  <m:t>ρ</m:t>
                </m:r>
              </m:e>
              <m:sub>
                <m:r>
                  <m:rPr>
                    <m:nor/>
                  </m:rPr>
                  <w:rPr>
                    <w:i/>
                  </w:rPr>
                  <m:t>g</m:t>
                </m:r>
              </m:sub>
              <m:sup>
                <m:r>
                  <m:rPr>
                    <m:nor/>
                  </m:rPr>
                  <w:rPr>
                    <w:i/>
                  </w:rPr>
                  <m:t>0.04</m:t>
                </m:r>
              </m:sup>
            </m:sSubSup>
          </m:den>
        </m:f>
        <m:sSup>
          <m:sSupPr>
            <m:ctrlPr>
              <w:rPr>
                <w:rFonts w:ascii="Cambria Math" w:hAnsi="Cambria Math"/>
                <w:i/>
              </w:rPr>
            </m:ctrlPr>
          </m:sSupPr>
          <m:e>
            <m:r>
              <m:rPr>
                <m:nor/>
              </m:rPr>
              <w:rPr>
                <w:i/>
              </w:rPr>
              <m:t>σ</m:t>
            </m:r>
          </m:e>
          <m:sup>
            <m:r>
              <m:rPr>
                <m:nor/>
              </m:rPr>
              <w:rPr>
                <w:i/>
              </w:rPr>
              <m:t>0.12</m:t>
            </m:r>
          </m:sup>
        </m:sSup>
      </m:oMath>
      <w:r w:rsidR="00267AFF" w:rsidRPr="00AC29DA">
        <w:t xml:space="preserve">                                                                                                                                            (5)</w:t>
      </w:r>
    </w:p>
    <w:p w14:paraId="31452A7D" w14:textId="5AC50C08" w:rsidR="00922108" w:rsidRPr="00AC29DA" w:rsidRDefault="00922108" w:rsidP="00A81ED1">
      <w:pPr>
        <w:pStyle w:val="CETBodytext"/>
        <w:rPr>
          <w:lang w:val="en-GB"/>
        </w:rPr>
      </w:pPr>
      <w:r w:rsidRPr="00AC29DA">
        <w:rPr>
          <w:lang w:val="en-GB"/>
        </w:rPr>
        <w:lastRenderedPageBreak/>
        <w:t xml:space="preserve">After </w:t>
      </w:r>
      <w:r w:rsidR="00816712" w:rsidRPr="00AC29DA">
        <w:rPr>
          <w:lang w:val="en-GB"/>
        </w:rPr>
        <w:t xml:space="preserve">the assessment of </w:t>
      </w:r>
      <w:proofErr w:type="spellStart"/>
      <w:r w:rsidR="00E9355C" w:rsidRPr="00AC29DA">
        <w:rPr>
          <w:rFonts w:cs="Arial"/>
          <w:i/>
          <w:iCs/>
          <w:lang w:val="en-GB"/>
        </w:rPr>
        <w:t>ε</w:t>
      </w:r>
      <w:r w:rsidR="00E9355C" w:rsidRPr="00AC29DA">
        <w:rPr>
          <w:i/>
          <w:iCs/>
          <w:vertAlign w:val="subscript"/>
          <w:lang w:val="en-GB"/>
        </w:rPr>
        <w:t>t</w:t>
      </w:r>
      <w:proofErr w:type="spellEnd"/>
      <w:r w:rsidRPr="00AC29DA">
        <w:rPr>
          <w:lang w:val="en-GB"/>
        </w:rPr>
        <w:t xml:space="preserve"> and </w:t>
      </w:r>
      <w:r w:rsidRPr="00AC29DA">
        <w:rPr>
          <w:i/>
          <w:iCs/>
          <w:lang w:val="en-GB"/>
        </w:rPr>
        <w:t>U</w:t>
      </w:r>
      <w:r w:rsidRPr="00AC29DA">
        <w:rPr>
          <w:i/>
          <w:iCs/>
          <w:vertAlign w:val="subscript"/>
          <w:lang w:val="en-GB"/>
        </w:rPr>
        <w:t>t</w:t>
      </w:r>
      <w:r w:rsidRPr="00AC29DA">
        <w:rPr>
          <w:lang w:val="en-GB"/>
        </w:rPr>
        <w:t xml:space="preserve"> for each case</w:t>
      </w:r>
      <w:r w:rsidR="00816712" w:rsidRPr="00AC29DA">
        <w:rPr>
          <w:lang w:val="en-GB"/>
        </w:rPr>
        <w:t xml:space="preserve"> study</w:t>
      </w:r>
      <w:r w:rsidRPr="00AC29DA">
        <w:rPr>
          <w:lang w:val="en-GB"/>
        </w:rPr>
        <w:t xml:space="preserve">, the superficial gas velocity </w:t>
      </w:r>
      <w:r w:rsidR="000F3025" w:rsidRPr="00AC29DA">
        <w:rPr>
          <w:lang w:val="en-GB"/>
        </w:rPr>
        <w:t>was</w:t>
      </w:r>
      <w:r w:rsidRPr="00AC29DA">
        <w:rPr>
          <w:lang w:val="en-GB"/>
        </w:rPr>
        <w:t xml:space="preserve"> set below the transition </w:t>
      </w:r>
      <w:r w:rsidR="0075036C" w:rsidRPr="00AC29DA">
        <w:rPr>
          <w:lang w:val="en-GB"/>
        </w:rPr>
        <w:t>value.</w:t>
      </w:r>
    </w:p>
    <w:p w14:paraId="68F9BFA5" w14:textId="06247C4A" w:rsidR="00AF6775" w:rsidRPr="00AC29DA" w:rsidRDefault="00A81ED1" w:rsidP="00BD077D">
      <w:pPr>
        <w:pStyle w:val="CETHeading1"/>
        <w:tabs>
          <w:tab w:val="clear" w:pos="360"/>
          <w:tab w:val="right" w:pos="7100"/>
        </w:tabs>
        <w:jc w:val="both"/>
        <w:rPr>
          <w:lang w:val="en-GB"/>
        </w:rPr>
      </w:pPr>
      <w:r w:rsidRPr="00AC29DA">
        <w:rPr>
          <w:lang w:val="en-GB"/>
        </w:rPr>
        <w:t>Results</w:t>
      </w:r>
    </w:p>
    <w:p w14:paraId="69D81560" w14:textId="0B11D045" w:rsidR="002B09BE" w:rsidRPr="00AC29DA" w:rsidRDefault="00014123" w:rsidP="002709A6">
      <w:pPr>
        <w:pStyle w:val="CETBodytext"/>
        <w:rPr>
          <w:lang w:val="en-GB"/>
        </w:rPr>
      </w:pPr>
      <w:r w:rsidRPr="00AC29DA">
        <w:rPr>
          <w:lang w:val="en-GB"/>
        </w:rPr>
        <w:t xml:space="preserve">This section reports the </w:t>
      </w:r>
      <w:r w:rsidR="00133722" w:rsidRPr="00AC29DA">
        <w:rPr>
          <w:lang w:val="en-GB"/>
        </w:rPr>
        <w:t xml:space="preserve">values </w:t>
      </w:r>
      <w:r w:rsidR="000B51BE" w:rsidRPr="00AC29DA">
        <w:rPr>
          <w:lang w:val="en-GB"/>
        </w:rPr>
        <w:t>o</w:t>
      </w:r>
      <w:r w:rsidR="00E9355C" w:rsidRPr="00AC29DA">
        <w:rPr>
          <w:lang w:val="en-GB"/>
        </w:rPr>
        <w:t xml:space="preserve">f </w:t>
      </w:r>
      <w:r w:rsidR="00E9355C" w:rsidRPr="00AC29DA">
        <w:rPr>
          <w:i/>
          <w:iCs/>
          <w:lang w:val="en-GB"/>
        </w:rPr>
        <w:t>U</w:t>
      </w:r>
      <w:r w:rsidR="00E9355C" w:rsidRPr="00AC29DA">
        <w:rPr>
          <w:i/>
          <w:iCs/>
          <w:vertAlign w:val="subscript"/>
          <w:lang w:val="en-GB"/>
        </w:rPr>
        <w:t>t</w:t>
      </w:r>
      <w:r w:rsidR="000B51BE" w:rsidRPr="00AC29DA">
        <w:rPr>
          <w:lang w:val="en-GB"/>
        </w:rPr>
        <w:t xml:space="preserve"> and the results</w:t>
      </w:r>
      <w:r w:rsidRPr="00AC29DA">
        <w:rPr>
          <w:lang w:val="en-GB"/>
        </w:rPr>
        <w:t xml:space="preserve"> </w:t>
      </w:r>
      <w:r w:rsidR="0075036C" w:rsidRPr="00AC29DA">
        <w:rPr>
          <w:lang w:val="en-GB"/>
        </w:rPr>
        <w:t xml:space="preserve">of the </w:t>
      </w:r>
      <w:r w:rsidRPr="00AC29DA">
        <w:rPr>
          <w:lang w:val="en-GB"/>
        </w:rPr>
        <w:t xml:space="preserve">simulations in terms of </w:t>
      </w:r>
      <w:r w:rsidR="0075036C" w:rsidRPr="00AC29DA">
        <w:rPr>
          <w:lang w:val="en-GB"/>
        </w:rPr>
        <w:t xml:space="preserve">biomass and PHB </w:t>
      </w:r>
      <w:r w:rsidR="000F3025" w:rsidRPr="00AC29DA">
        <w:rPr>
          <w:lang w:val="en-GB"/>
        </w:rPr>
        <w:t>productivit</w:t>
      </w:r>
      <w:r w:rsidR="00133722" w:rsidRPr="00AC29DA">
        <w:rPr>
          <w:lang w:val="en-GB"/>
        </w:rPr>
        <w:t>ies</w:t>
      </w:r>
      <w:r w:rsidR="0075036C" w:rsidRPr="00AC29DA">
        <w:rPr>
          <w:lang w:val="en-GB"/>
        </w:rPr>
        <w:t xml:space="preserve"> </w:t>
      </w:r>
      <w:r w:rsidRPr="00AC29DA">
        <w:rPr>
          <w:lang w:val="en-GB"/>
        </w:rPr>
        <w:t>(</w:t>
      </w:r>
      <w:proofErr w:type="spellStart"/>
      <w:r w:rsidR="00E41CE7" w:rsidRPr="00AC29DA">
        <w:rPr>
          <w:i/>
          <w:iCs/>
          <w:lang w:val="en-GB"/>
        </w:rPr>
        <w:t>BIO</w:t>
      </w:r>
      <w:r w:rsidR="00E41CE7" w:rsidRPr="00AC29DA">
        <w:rPr>
          <w:i/>
          <w:iCs/>
          <w:vertAlign w:val="subscript"/>
          <w:lang w:val="en-GB"/>
        </w:rPr>
        <w:t>prod</w:t>
      </w:r>
      <w:proofErr w:type="spellEnd"/>
      <w:r w:rsidR="00E41CE7" w:rsidRPr="00AC29DA">
        <w:rPr>
          <w:i/>
          <w:iCs/>
          <w:lang w:val="en-GB"/>
        </w:rPr>
        <w:t xml:space="preserve"> </w:t>
      </w:r>
      <w:r w:rsidR="0075036C" w:rsidRPr="00AC29DA">
        <w:rPr>
          <w:i/>
          <w:iCs/>
          <w:lang w:val="en-GB"/>
        </w:rPr>
        <w:t xml:space="preserve">and </w:t>
      </w:r>
      <w:proofErr w:type="spellStart"/>
      <w:r w:rsidR="00E41CE7" w:rsidRPr="00AC29DA">
        <w:rPr>
          <w:i/>
          <w:iCs/>
          <w:lang w:val="en-GB"/>
        </w:rPr>
        <w:t>PHB</w:t>
      </w:r>
      <w:r w:rsidR="00E41CE7" w:rsidRPr="00AC29DA">
        <w:rPr>
          <w:i/>
          <w:iCs/>
          <w:vertAlign w:val="subscript"/>
          <w:lang w:val="en-GB"/>
        </w:rPr>
        <w:t>prod</w:t>
      </w:r>
      <w:proofErr w:type="spellEnd"/>
      <w:r w:rsidR="00321526" w:rsidRPr="00AC29DA">
        <w:rPr>
          <w:i/>
          <w:iCs/>
          <w:lang w:val="en-GB"/>
        </w:rPr>
        <w:t>, respectively)</w:t>
      </w:r>
      <w:r w:rsidR="0075036C" w:rsidRPr="00AC29DA">
        <w:rPr>
          <w:lang w:val="en-GB"/>
        </w:rPr>
        <w:t>.</w:t>
      </w:r>
    </w:p>
    <w:p w14:paraId="37BF77CF" w14:textId="1476435B" w:rsidR="002B09BE" w:rsidRPr="00AC29DA" w:rsidRDefault="002B09BE" w:rsidP="002B09BE">
      <w:pPr>
        <w:pStyle w:val="CETheadingx"/>
        <w:rPr>
          <w:lang w:val="en-GB"/>
        </w:rPr>
      </w:pPr>
      <w:r w:rsidRPr="00AC29DA">
        <w:rPr>
          <w:lang w:val="en-GB"/>
        </w:rPr>
        <w:t xml:space="preserve">Transition </w:t>
      </w:r>
      <w:r w:rsidR="002B477C" w:rsidRPr="00AC29DA">
        <w:rPr>
          <w:lang w:val="en-GB"/>
        </w:rPr>
        <w:t>gas velocity</w:t>
      </w:r>
      <w:r w:rsidRPr="00AC29DA">
        <w:rPr>
          <w:lang w:val="en-GB"/>
        </w:rPr>
        <w:t xml:space="preserve"> as </w:t>
      </w:r>
      <w:r w:rsidR="00133722" w:rsidRPr="00AC29DA">
        <w:rPr>
          <w:lang w:val="en-GB"/>
        </w:rPr>
        <w:t xml:space="preserve">a </w:t>
      </w:r>
      <w:r w:rsidRPr="00AC29DA">
        <w:rPr>
          <w:lang w:val="en-GB"/>
        </w:rPr>
        <w:t>function of the reactor geometry</w:t>
      </w:r>
    </w:p>
    <w:p w14:paraId="439C3A25" w14:textId="6CFF2FA0" w:rsidR="00A15954" w:rsidRPr="00AC29DA" w:rsidRDefault="0075036C" w:rsidP="00A15954">
      <w:pPr>
        <w:pStyle w:val="CETBodytext"/>
        <w:rPr>
          <w:rStyle w:val="CETCaptionCarattere"/>
          <w:i w:val="0"/>
        </w:rPr>
      </w:pPr>
      <w:r w:rsidRPr="00AC29DA">
        <w:rPr>
          <w:lang w:val="en-GB"/>
        </w:rPr>
        <w:t>The transition superficial gas velocity was calculated according to</w:t>
      </w:r>
      <w:r w:rsidR="00E9355C" w:rsidRPr="00AC29DA">
        <w:rPr>
          <w:lang w:val="en-GB"/>
        </w:rPr>
        <w:fldChar w:fldCharType="begin" w:fldLock="1"/>
      </w:r>
      <w:r w:rsidR="009B0DE6" w:rsidRPr="00AC29DA">
        <w:rPr>
          <w:lang w:val="en-GB"/>
        </w:rPr>
        <w:instrText>ADDIN CSL_CITATION {"citationItems":[{"id":"ITEM-1","itemData":{"DOI":"10.1002/cjce.5450720102","ISSN":"1939019X","abstract":"Experiments conducted in 0.15 m diameter bubble columns using water and non</w:instrText>
      </w:r>
      <w:r w:rsidR="009B0DE6" w:rsidRPr="00AC29DA">
        <w:rPr>
          <w:rFonts w:ascii="Cambria Math" w:hAnsi="Cambria Math" w:cs="Cambria Math"/>
          <w:lang w:val="en-GB"/>
        </w:rPr>
        <w:instrText>‐</w:instrText>
      </w:r>
      <w:r w:rsidR="009B0DE6" w:rsidRPr="00AC29DA">
        <w:rPr>
          <w:lang w:val="en-GB"/>
        </w:rPr>
        <w:instrText>aqueous liquids have shown that the gas velocity at which transition from the bubbly flow to the churn</w:instrText>
      </w:r>
      <w:r w:rsidR="009B0DE6" w:rsidRPr="00AC29DA">
        <w:rPr>
          <w:rFonts w:ascii="Cambria Math" w:hAnsi="Cambria Math" w:cs="Cambria Math"/>
          <w:lang w:val="en-GB"/>
        </w:rPr>
        <w:instrText>‐</w:instrText>
      </w:r>
      <w:r w:rsidR="009B0DE6" w:rsidRPr="00AC29DA">
        <w:rPr>
          <w:lang w:val="en-GB"/>
        </w:rPr>
        <w:instrText>turbulent flow regime occurs is a function of gas density. The transition velocity increased with increasing gas density. The direct effect of gas density on gas holdup in the bubbly flow regime is small with only a slight increase in holdup being observed at higher densities (ϵG α ρg0.04). In the churnturbulent region a much greater effect of gas density on gas holdup was observed. These differences were found to be a direct function of the differences in holdup values at the transition points. Gas holdup was found to be a function of the gas phase momentum. In the bubbly flow regime holdup was directly proportional to momentum while in the churn</w:instrText>
      </w:r>
      <w:r w:rsidR="009B0DE6" w:rsidRPr="00AC29DA">
        <w:rPr>
          <w:rFonts w:ascii="Cambria Math" w:hAnsi="Cambria Math" w:cs="Cambria Math"/>
          <w:lang w:val="en-GB"/>
        </w:rPr>
        <w:instrText>‐</w:instrText>
      </w:r>
      <w:r w:rsidR="009B0DE6" w:rsidRPr="00AC29DA">
        <w:rPr>
          <w:lang w:val="en-GB"/>
        </w:rPr>
        <w:instrText>turbulent regime holdup was proportional to momentum to the one third power. Reasons for this behaviour are discussed, as well as the implied effects on liquid mixing in bubble column slurry reactors. The effects of gas density may offer an explanation for some apparently anomalous published results. Copyright © 1994 Canadian Society for Chemical Engineering","author":[{"dropping-particle":"","family":"Reilly","given":"I. G.","non-dropping-particle":"","parse-names":false,"suffix":""},{"dropping-particle":"","family":"Scott","given":"D. S.","non-dropping-particle":"","parse-names":false,"suffix":""},{"dropping-particle":"","family":"Debruijn","given":"T. J.W.","non-dropping-particle":"","parse-names":false,"suffix":""},{"dropping-particle":"","family":"Macintyre","given":"D.","non-dropping-particle":"","parse-names":false,"suffix":""}],"container-title":"The Canadian Journal of Chemical Engineering","id":"ITEM-1","issue":"1","issued":{"date-parts":[["1994"]]},"page":"3-12","title":"The role of gas phase momentum in determining gas holdup and hydrodynamic flow regimes in bubble column operations","type":"article-journal","volume":"72"},"uris":["http://www.mendeley.com/documents/?uuid=d778e885-f781-412c-9b42-eae9cff9c55e"]}],"mendeley":{"formattedCitation":"(Reilly et al., 1994)","manualFormatting":" Reilly et al. (1994)","plainTextFormattedCitation":"(Reilly et al., 1994)","previouslyFormattedCitation":"(Reilly et al., 1994)"},"properties":{"noteIndex":0},"schema":"https://github.com/citation-style-language/schema/raw/master/csl-citation.json"}</w:instrText>
      </w:r>
      <w:r w:rsidR="00E9355C" w:rsidRPr="00AC29DA">
        <w:rPr>
          <w:lang w:val="en-GB"/>
        </w:rPr>
        <w:fldChar w:fldCharType="separate"/>
      </w:r>
      <w:r w:rsidR="00E9355C" w:rsidRPr="00AC29DA">
        <w:rPr>
          <w:noProof/>
          <w:lang w:val="en-GB"/>
        </w:rPr>
        <w:t xml:space="preserve"> Reilly et al. (1994)</w:t>
      </w:r>
      <w:r w:rsidR="00E9355C" w:rsidRPr="00AC29DA">
        <w:rPr>
          <w:lang w:val="en-GB"/>
        </w:rPr>
        <w:fldChar w:fldCharType="end"/>
      </w:r>
      <w:r w:rsidR="00E9355C" w:rsidRPr="00AC29DA">
        <w:rPr>
          <w:lang w:val="en-GB"/>
        </w:rPr>
        <w:t xml:space="preserve"> as </w:t>
      </w:r>
      <w:r w:rsidR="00CC1B05" w:rsidRPr="00AC29DA">
        <w:rPr>
          <w:lang w:val="en-GB"/>
        </w:rPr>
        <w:t xml:space="preserve">a </w:t>
      </w:r>
      <w:r w:rsidRPr="00AC29DA">
        <w:rPr>
          <w:lang w:val="en-GB"/>
        </w:rPr>
        <w:t>function of the transition gas hold</w:t>
      </w:r>
      <w:r w:rsidR="0016470B" w:rsidRPr="00AC29DA">
        <w:rPr>
          <w:lang w:val="en-GB"/>
        </w:rPr>
        <w:t>-</w:t>
      </w:r>
      <w:r w:rsidRPr="00AC29DA">
        <w:rPr>
          <w:lang w:val="en-GB"/>
        </w:rPr>
        <w:t>up, which depends on some geometrical features (</w:t>
      </w:r>
      <w:r w:rsidRPr="00AC29DA">
        <w:rPr>
          <w:i/>
          <w:iCs/>
          <w:lang w:val="en-GB"/>
        </w:rPr>
        <w:t>D,</w:t>
      </w:r>
      <w:r w:rsidR="00E9355C" w:rsidRPr="00AC29DA">
        <w:rPr>
          <w:i/>
          <w:iCs/>
          <w:lang w:val="en-GB"/>
        </w:rPr>
        <w:t xml:space="preserve"> </w:t>
      </w:r>
      <w:r w:rsidRPr="00AC29DA">
        <w:rPr>
          <w:i/>
          <w:iCs/>
          <w:lang w:val="en-GB"/>
        </w:rPr>
        <w:t>A</w:t>
      </w:r>
      <w:r w:rsidRPr="00AC29DA">
        <w:rPr>
          <w:lang w:val="en-GB"/>
        </w:rPr>
        <w:t xml:space="preserve">). The results of the calculation </w:t>
      </w:r>
      <w:r w:rsidR="00E175E2" w:rsidRPr="00AC29DA">
        <w:rPr>
          <w:lang w:val="en-GB"/>
        </w:rPr>
        <w:t xml:space="preserve">(Table </w:t>
      </w:r>
      <w:r w:rsidR="00A15954" w:rsidRPr="00AC29DA">
        <w:rPr>
          <w:lang w:val="en-GB"/>
        </w:rPr>
        <w:t>3</w:t>
      </w:r>
      <w:r w:rsidR="00E175E2" w:rsidRPr="00AC29DA">
        <w:rPr>
          <w:lang w:val="en-GB"/>
        </w:rPr>
        <w:t xml:space="preserve">) </w:t>
      </w:r>
      <w:r w:rsidRPr="00AC29DA">
        <w:rPr>
          <w:lang w:val="en-GB"/>
        </w:rPr>
        <w:t xml:space="preserve">show that </w:t>
      </w:r>
      <w:proofErr w:type="gramStart"/>
      <w:r w:rsidRPr="00AC29DA">
        <w:rPr>
          <w:i/>
          <w:iCs/>
          <w:lang w:val="en-GB"/>
        </w:rPr>
        <w:t>U</w:t>
      </w:r>
      <w:r w:rsidRPr="00AC29DA">
        <w:rPr>
          <w:i/>
          <w:iCs/>
          <w:vertAlign w:val="subscript"/>
          <w:lang w:val="en-GB"/>
        </w:rPr>
        <w:t>t</w:t>
      </w:r>
      <w:r w:rsidRPr="00AC29DA">
        <w:rPr>
          <w:vertAlign w:val="subscript"/>
          <w:lang w:val="en-GB"/>
        </w:rPr>
        <w:t xml:space="preserve"> </w:t>
      </w:r>
      <w:r w:rsidR="00E175E2" w:rsidRPr="00AC29DA">
        <w:rPr>
          <w:vertAlign w:val="subscript"/>
          <w:lang w:val="en-GB"/>
        </w:rPr>
        <w:t xml:space="preserve"> </w:t>
      </w:r>
      <w:r w:rsidRPr="00AC29DA">
        <w:rPr>
          <w:lang w:val="en-GB"/>
        </w:rPr>
        <w:t>increase</w:t>
      </w:r>
      <w:r w:rsidR="00700E25" w:rsidRPr="00AC29DA">
        <w:rPr>
          <w:lang w:val="en-GB"/>
        </w:rPr>
        <w:t>d</w:t>
      </w:r>
      <w:proofErr w:type="gramEnd"/>
      <w:r w:rsidRPr="00AC29DA">
        <w:rPr>
          <w:lang w:val="en-GB"/>
        </w:rPr>
        <w:t xml:space="preserve"> with the aspect ratio, both when the volume </w:t>
      </w:r>
      <w:r w:rsidR="001F3DC1" w:rsidRPr="00AC29DA">
        <w:rPr>
          <w:lang w:val="en-GB"/>
        </w:rPr>
        <w:t>was</w:t>
      </w:r>
      <w:r w:rsidRPr="00AC29DA">
        <w:rPr>
          <w:lang w:val="en-GB"/>
        </w:rPr>
        <w:t xml:space="preserve"> kept constant and when </w:t>
      </w:r>
      <w:r w:rsidR="00321526" w:rsidRPr="00AC29DA">
        <w:rPr>
          <w:lang w:val="en-GB"/>
        </w:rPr>
        <w:t xml:space="preserve">it </w:t>
      </w:r>
      <w:r w:rsidR="001F3DC1" w:rsidRPr="00AC29DA">
        <w:rPr>
          <w:lang w:val="en-GB"/>
        </w:rPr>
        <w:t>was</w:t>
      </w:r>
      <w:r w:rsidRPr="00AC29DA">
        <w:rPr>
          <w:lang w:val="en-GB"/>
        </w:rPr>
        <w:t xml:space="preserve"> varie</w:t>
      </w:r>
      <w:r w:rsidR="001F3DC1" w:rsidRPr="00AC29DA">
        <w:rPr>
          <w:lang w:val="en-GB"/>
        </w:rPr>
        <w:t>d</w:t>
      </w:r>
      <w:r w:rsidRPr="00AC29DA">
        <w:rPr>
          <w:lang w:val="en-GB"/>
        </w:rPr>
        <w:t xml:space="preserve"> </w:t>
      </w:r>
      <w:r w:rsidR="001F3DC1" w:rsidRPr="00AC29DA">
        <w:rPr>
          <w:lang w:val="en-GB"/>
        </w:rPr>
        <w:t>between</w:t>
      </w:r>
      <w:r w:rsidRPr="00AC29DA">
        <w:rPr>
          <w:lang w:val="en-GB"/>
        </w:rPr>
        <w:t xml:space="preserve"> 100 to 340L</w:t>
      </w:r>
      <w:r w:rsidR="00063D58" w:rsidRPr="00AC29DA">
        <w:rPr>
          <w:lang w:val="en-GB"/>
        </w:rPr>
        <w:t>; however, by keeping constant the volume, the transition superficial gas velocity resulted slightly higher</w:t>
      </w:r>
      <w:r w:rsidRPr="00AC29DA">
        <w:rPr>
          <w:lang w:val="en-GB"/>
        </w:rPr>
        <w:t>.</w:t>
      </w:r>
      <w:r w:rsidR="00EE30A7" w:rsidRPr="00AC29DA">
        <w:rPr>
          <w:lang w:val="en-GB"/>
        </w:rPr>
        <w:t xml:space="preserve"> </w:t>
      </w:r>
      <w:r w:rsidRPr="00AC29DA">
        <w:rPr>
          <w:lang w:val="en-GB"/>
        </w:rPr>
        <w:t>A maximum value of 0.05 ms</w:t>
      </w:r>
      <w:r w:rsidRPr="00AC29DA">
        <w:rPr>
          <w:vertAlign w:val="superscript"/>
          <w:lang w:val="en-GB"/>
        </w:rPr>
        <w:t>-1</w:t>
      </w:r>
      <w:r w:rsidRPr="00AC29DA">
        <w:rPr>
          <w:lang w:val="en-GB"/>
        </w:rPr>
        <w:t xml:space="preserve"> was obtained with an aspect ratio of 16</w:t>
      </w:r>
      <w:r w:rsidR="00063D58" w:rsidRPr="00AC29DA">
        <w:rPr>
          <w:lang w:val="en-GB"/>
        </w:rPr>
        <w:t xml:space="preserve"> (case study 1)</w:t>
      </w:r>
      <w:r w:rsidRPr="00AC29DA">
        <w:rPr>
          <w:lang w:val="en-GB"/>
        </w:rPr>
        <w:t xml:space="preserve">. </w:t>
      </w:r>
      <w:r w:rsidR="00A15954" w:rsidRPr="00AC29DA">
        <w:rPr>
          <w:rStyle w:val="CETCaptionCarattere"/>
          <w:i w:val="0"/>
        </w:rPr>
        <w:t xml:space="preserve">Some data of the transition parameters were reported in the literature with regards to different geometries (Table 2). It can be noted that a difference </w:t>
      </w:r>
      <w:r w:rsidR="00700E25" w:rsidRPr="00AC29DA">
        <w:rPr>
          <w:rStyle w:val="CETCaptionCarattere"/>
          <w:i w:val="0"/>
        </w:rPr>
        <w:t>has</w:t>
      </w:r>
      <w:r w:rsidR="00A15954" w:rsidRPr="00AC29DA">
        <w:rPr>
          <w:rStyle w:val="CETCaptionCarattere"/>
          <w:i w:val="0"/>
        </w:rPr>
        <w:t xml:space="preserve"> always</w:t>
      </w:r>
      <w:r w:rsidR="00700E25" w:rsidRPr="00AC29DA">
        <w:rPr>
          <w:rStyle w:val="CETCaptionCarattere"/>
          <w:i w:val="0"/>
        </w:rPr>
        <w:t xml:space="preserve"> been</w:t>
      </w:r>
      <w:r w:rsidR="00A15954" w:rsidRPr="00AC29DA">
        <w:rPr>
          <w:rStyle w:val="CETCaptionCarattere"/>
          <w:i w:val="0"/>
        </w:rPr>
        <w:t xml:space="preserve"> measured </w:t>
      </w:r>
      <w:r w:rsidR="00700E25" w:rsidRPr="00AC29DA">
        <w:rPr>
          <w:rStyle w:val="CETCaptionCarattere"/>
          <w:i w:val="0"/>
        </w:rPr>
        <w:t>when working</w:t>
      </w:r>
      <w:r w:rsidR="00A15954" w:rsidRPr="00AC29DA">
        <w:rPr>
          <w:rStyle w:val="CETCaptionCarattere"/>
          <w:i w:val="0"/>
        </w:rPr>
        <w:t xml:space="preserve"> different configurations, thus implying the </w:t>
      </w:r>
      <w:r w:rsidR="00700E25" w:rsidRPr="00AC29DA">
        <w:rPr>
          <w:rStyle w:val="CETCaptionCarattere"/>
          <w:i w:val="0"/>
        </w:rPr>
        <w:t>need for</w:t>
      </w:r>
      <w:r w:rsidR="00A15954" w:rsidRPr="00AC29DA">
        <w:rPr>
          <w:rStyle w:val="CETCaptionCarattere"/>
          <w:i w:val="0"/>
        </w:rPr>
        <w:t xml:space="preserve"> testing several geometries to find the one that allows to work at higher superficial gas velocities, </w:t>
      </w:r>
      <w:r w:rsidR="00700E25" w:rsidRPr="00AC29DA">
        <w:rPr>
          <w:rStyle w:val="CETCaptionCarattere"/>
          <w:i w:val="0"/>
        </w:rPr>
        <w:t>and to obtain</w:t>
      </w:r>
      <w:r w:rsidR="00A15954" w:rsidRPr="00AC29DA">
        <w:rPr>
          <w:rStyle w:val="CETCaptionCarattere"/>
          <w:i w:val="0"/>
        </w:rPr>
        <w:t xml:space="preserve"> higher mass transfer rates.</w:t>
      </w:r>
    </w:p>
    <w:p w14:paraId="0F355EB6" w14:textId="4C85FC5C" w:rsidR="00A15954" w:rsidRPr="00AC29DA" w:rsidRDefault="00A15954" w:rsidP="00A15954">
      <w:pPr>
        <w:pStyle w:val="CETTabletitle"/>
      </w:pPr>
      <w:r w:rsidRPr="00AC29DA">
        <w:t xml:space="preserve">Table </w:t>
      </w:r>
      <w:r w:rsidRPr="00AC29DA">
        <w:fldChar w:fldCharType="begin"/>
      </w:r>
      <w:r w:rsidRPr="00AC29DA">
        <w:instrText xml:space="preserve"> SEQ Table \* ARABIC </w:instrText>
      </w:r>
      <w:r w:rsidRPr="00AC29DA">
        <w:fldChar w:fldCharType="separate"/>
      </w:r>
      <w:r w:rsidRPr="00AC29DA">
        <w:rPr>
          <w:noProof/>
        </w:rPr>
        <w:t>2</w:t>
      </w:r>
      <w:r w:rsidRPr="00AC29DA">
        <w:fldChar w:fldCharType="end"/>
      </w:r>
      <w:r w:rsidRPr="00AC29DA">
        <w:t xml:space="preserve"> - transition parameters as function of the reactor geometry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851"/>
        <w:gridCol w:w="992"/>
        <w:gridCol w:w="851"/>
        <w:gridCol w:w="1134"/>
        <w:gridCol w:w="2126"/>
      </w:tblGrid>
      <w:tr w:rsidR="00A15954" w:rsidRPr="00AC29DA" w14:paraId="1B4DE176" w14:textId="77777777" w:rsidTr="009C7FE8">
        <w:tc>
          <w:tcPr>
            <w:tcW w:w="851" w:type="dxa"/>
            <w:tcBorders>
              <w:top w:val="single" w:sz="12" w:space="0" w:color="008000"/>
              <w:bottom w:val="single" w:sz="6" w:space="0" w:color="008000"/>
            </w:tcBorders>
            <w:shd w:val="clear" w:color="auto" w:fill="FFFFFF"/>
          </w:tcPr>
          <w:p w14:paraId="5B6F710F" w14:textId="77777777" w:rsidR="00A15954" w:rsidRPr="00AC29DA" w:rsidRDefault="00A15954" w:rsidP="009C7FE8">
            <w:pPr>
              <w:pStyle w:val="CETBodytext"/>
              <w:rPr>
                <w:lang w:val="en-GB"/>
              </w:rPr>
            </w:pPr>
            <w:r w:rsidRPr="00AC29DA">
              <w:rPr>
                <w:i/>
                <w:iCs/>
                <w:lang w:val="en-GB"/>
              </w:rPr>
              <w:t>A</w:t>
            </w:r>
            <w:r w:rsidRPr="00AC29DA">
              <w:rPr>
                <w:lang w:val="en-GB"/>
              </w:rPr>
              <w:t xml:space="preserve"> [-]</w:t>
            </w:r>
          </w:p>
        </w:tc>
        <w:tc>
          <w:tcPr>
            <w:tcW w:w="851" w:type="dxa"/>
            <w:tcBorders>
              <w:top w:val="single" w:sz="12" w:space="0" w:color="008000"/>
              <w:bottom w:val="single" w:sz="6" w:space="0" w:color="008000"/>
            </w:tcBorders>
            <w:shd w:val="clear" w:color="auto" w:fill="FFFFFF"/>
          </w:tcPr>
          <w:p w14:paraId="5D514190" w14:textId="77777777" w:rsidR="00A15954" w:rsidRPr="00AC29DA" w:rsidRDefault="00A15954" w:rsidP="009C7FE8">
            <w:pPr>
              <w:pStyle w:val="CETBodytext"/>
              <w:rPr>
                <w:lang w:val="en-GB"/>
              </w:rPr>
            </w:pPr>
            <w:r w:rsidRPr="00AC29DA">
              <w:rPr>
                <w:i/>
                <w:iCs/>
                <w:lang w:val="en-GB"/>
              </w:rPr>
              <w:t>D</w:t>
            </w:r>
            <w:r w:rsidRPr="00AC29DA">
              <w:rPr>
                <w:lang w:val="en-GB"/>
              </w:rPr>
              <w:t xml:space="preserve"> [m]</w:t>
            </w:r>
          </w:p>
        </w:tc>
        <w:tc>
          <w:tcPr>
            <w:tcW w:w="992" w:type="dxa"/>
            <w:tcBorders>
              <w:top w:val="single" w:sz="12" w:space="0" w:color="008000"/>
              <w:bottom w:val="single" w:sz="6" w:space="0" w:color="008000"/>
            </w:tcBorders>
            <w:shd w:val="clear" w:color="auto" w:fill="FFFFFF"/>
          </w:tcPr>
          <w:p w14:paraId="114D077C" w14:textId="77777777" w:rsidR="00A15954" w:rsidRPr="00AC29DA" w:rsidRDefault="00A15954" w:rsidP="009C7FE8">
            <w:pPr>
              <w:pStyle w:val="CETBodytext"/>
              <w:rPr>
                <w:lang w:val="en-GB"/>
              </w:rPr>
            </w:pPr>
            <w:r w:rsidRPr="00AC29DA">
              <w:rPr>
                <w:i/>
                <w:iCs/>
                <w:lang w:val="en-GB"/>
              </w:rPr>
              <w:t>H</w:t>
            </w:r>
            <w:r w:rsidRPr="00AC29DA">
              <w:rPr>
                <w:lang w:val="en-GB"/>
              </w:rPr>
              <w:t xml:space="preserve"> [m]</w:t>
            </w:r>
          </w:p>
        </w:tc>
        <w:tc>
          <w:tcPr>
            <w:tcW w:w="851" w:type="dxa"/>
            <w:tcBorders>
              <w:top w:val="single" w:sz="12" w:space="0" w:color="008000"/>
              <w:bottom w:val="single" w:sz="6" w:space="0" w:color="008000"/>
            </w:tcBorders>
            <w:shd w:val="clear" w:color="auto" w:fill="FFFFFF"/>
          </w:tcPr>
          <w:p w14:paraId="5324CF2D" w14:textId="77777777" w:rsidR="00A15954" w:rsidRPr="00AC29DA" w:rsidRDefault="00A15954" w:rsidP="009C7FE8">
            <w:pPr>
              <w:pStyle w:val="CETBodytext"/>
              <w:ind w:right="-1"/>
              <w:rPr>
                <w:rFonts w:cs="Arial"/>
                <w:szCs w:val="18"/>
                <w:lang w:val="en-GB"/>
              </w:rPr>
            </w:pPr>
            <w:proofErr w:type="spellStart"/>
            <w:r w:rsidRPr="00AC29DA">
              <w:rPr>
                <w:rFonts w:eastAsiaTheme="minorHAnsi" w:cs="Arial"/>
                <w:i/>
                <w:iCs/>
                <w:szCs w:val="18"/>
                <w:lang w:val="en-GB"/>
              </w:rPr>
              <w:t>ε</w:t>
            </w:r>
            <w:r w:rsidRPr="00AC29DA">
              <w:rPr>
                <w:rFonts w:eastAsiaTheme="minorHAnsi" w:cs="Arial"/>
                <w:i/>
                <w:iCs/>
                <w:szCs w:val="18"/>
                <w:vertAlign w:val="subscript"/>
                <w:lang w:val="en-GB"/>
              </w:rPr>
              <w:t>t</w:t>
            </w:r>
            <w:proofErr w:type="spellEnd"/>
            <w:r w:rsidRPr="00AC29DA">
              <w:rPr>
                <w:rFonts w:eastAsiaTheme="minorHAnsi" w:cs="Arial"/>
                <w:szCs w:val="18"/>
                <w:vertAlign w:val="subscript"/>
                <w:lang w:val="en-GB"/>
              </w:rPr>
              <w:t xml:space="preserve"> </w:t>
            </w:r>
            <w:r w:rsidRPr="00AC29DA">
              <w:rPr>
                <w:rFonts w:eastAsiaTheme="minorHAnsi" w:cs="Arial"/>
                <w:szCs w:val="18"/>
                <w:lang w:val="en-GB"/>
              </w:rPr>
              <w:t>[-]</w:t>
            </w:r>
          </w:p>
        </w:tc>
        <w:tc>
          <w:tcPr>
            <w:tcW w:w="1134" w:type="dxa"/>
            <w:tcBorders>
              <w:top w:val="single" w:sz="12" w:space="0" w:color="008000"/>
              <w:bottom w:val="single" w:sz="6" w:space="0" w:color="008000"/>
            </w:tcBorders>
            <w:shd w:val="clear" w:color="auto" w:fill="FFFFFF"/>
          </w:tcPr>
          <w:p w14:paraId="462CD4DA" w14:textId="77777777" w:rsidR="00A15954" w:rsidRPr="00AC29DA" w:rsidRDefault="00A15954" w:rsidP="009C7FE8">
            <w:pPr>
              <w:pStyle w:val="CETBodytext"/>
              <w:ind w:right="-1"/>
              <w:rPr>
                <w:rFonts w:cs="Arial"/>
                <w:szCs w:val="18"/>
                <w:lang w:val="en-GB"/>
              </w:rPr>
            </w:pPr>
            <w:r w:rsidRPr="00AC29DA">
              <w:rPr>
                <w:rFonts w:eastAsiaTheme="minorHAnsi" w:cs="Arial"/>
                <w:i/>
                <w:iCs/>
                <w:szCs w:val="18"/>
                <w:lang w:val="en-GB"/>
              </w:rPr>
              <w:t>U</w:t>
            </w:r>
            <w:r w:rsidRPr="00AC29DA">
              <w:rPr>
                <w:rFonts w:eastAsiaTheme="minorHAnsi" w:cs="Arial"/>
                <w:i/>
                <w:iCs/>
                <w:szCs w:val="18"/>
                <w:vertAlign w:val="subscript"/>
                <w:lang w:val="en-GB"/>
              </w:rPr>
              <w:t>t</w:t>
            </w:r>
            <w:r w:rsidRPr="00AC29DA">
              <w:rPr>
                <w:rFonts w:eastAsiaTheme="minorHAnsi" w:cs="Arial"/>
                <w:szCs w:val="18"/>
                <w:vertAlign w:val="subscript"/>
                <w:lang w:val="en-GB"/>
              </w:rPr>
              <w:t xml:space="preserve"> </w:t>
            </w:r>
            <w:r w:rsidRPr="00AC29DA">
              <w:rPr>
                <w:rFonts w:eastAsiaTheme="minorHAnsi" w:cs="Arial"/>
                <w:szCs w:val="18"/>
                <w:lang w:val="en-GB"/>
              </w:rPr>
              <w:t>[m s</w:t>
            </w:r>
            <w:r w:rsidRPr="00AC29DA">
              <w:rPr>
                <w:rFonts w:eastAsiaTheme="minorHAnsi" w:cs="Arial"/>
                <w:szCs w:val="18"/>
                <w:vertAlign w:val="superscript"/>
                <w:lang w:val="en-GB"/>
              </w:rPr>
              <w:t>-1</w:t>
            </w:r>
            <w:r w:rsidRPr="00AC29DA">
              <w:rPr>
                <w:rFonts w:eastAsiaTheme="minorHAnsi" w:cs="Arial"/>
                <w:szCs w:val="18"/>
                <w:lang w:val="en-GB"/>
              </w:rPr>
              <w:t>]</w:t>
            </w:r>
          </w:p>
        </w:tc>
        <w:tc>
          <w:tcPr>
            <w:tcW w:w="2126" w:type="dxa"/>
            <w:tcBorders>
              <w:top w:val="single" w:sz="12" w:space="0" w:color="008000"/>
              <w:bottom w:val="single" w:sz="6" w:space="0" w:color="008000"/>
            </w:tcBorders>
            <w:shd w:val="clear" w:color="auto" w:fill="FFFFFF"/>
          </w:tcPr>
          <w:p w14:paraId="40EE916D" w14:textId="77777777" w:rsidR="00A15954" w:rsidRPr="00AC29DA" w:rsidRDefault="00A15954" w:rsidP="009C7FE8">
            <w:pPr>
              <w:pStyle w:val="CETBodytext"/>
              <w:ind w:right="-1"/>
              <w:rPr>
                <w:rFonts w:eastAsiaTheme="minorHAnsi" w:cs="Arial"/>
                <w:szCs w:val="18"/>
                <w:lang w:val="en-GB"/>
              </w:rPr>
            </w:pPr>
            <w:r w:rsidRPr="00AC29DA">
              <w:rPr>
                <w:rFonts w:eastAsiaTheme="minorHAnsi" w:cs="Arial"/>
                <w:szCs w:val="18"/>
                <w:lang w:val="en-GB"/>
              </w:rPr>
              <w:t>Reference</w:t>
            </w:r>
          </w:p>
        </w:tc>
      </w:tr>
      <w:tr w:rsidR="00A15954" w:rsidRPr="00AC29DA" w14:paraId="6D9BFB9C" w14:textId="77777777" w:rsidTr="009C7FE8">
        <w:tc>
          <w:tcPr>
            <w:tcW w:w="851" w:type="dxa"/>
            <w:shd w:val="clear" w:color="auto" w:fill="FFFFFF"/>
          </w:tcPr>
          <w:p w14:paraId="15CF1DB3" w14:textId="77777777" w:rsidR="00A15954" w:rsidRPr="00AC29DA" w:rsidRDefault="00A15954" w:rsidP="009C7FE8">
            <w:pPr>
              <w:pStyle w:val="CETBodytext"/>
              <w:ind w:right="-1"/>
              <w:rPr>
                <w:rFonts w:cs="Arial"/>
                <w:szCs w:val="18"/>
                <w:lang w:val="en-GB"/>
              </w:rPr>
            </w:pPr>
            <w:r w:rsidRPr="00AC29DA">
              <w:rPr>
                <w:rFonts w:cs="Arial"/>
                <w:szCs w:val="18"/>
                <w:lang w:val="en-GB"/>
              </w:rPr>
              <w:t>5</w:t>
            </w:r>
          </w:p>
        </w:tc>
        <w:tc>
          <w:tcPr>
            <w:tcW w:w="851" w:type="dxa"/>
            <w:shd w:val="clear" w:color="auto" w:fill="FFFFFF"/>
          </w:tcPr>
          <w:p w14:paraId="45B3077C" w14:textId="77777777" w:rsidR="00A15954" w:rsidRPr="00AC29DA" w:rsidRDefault="00A15954" w:rsidP="009C7FE8">
            <w:pPr>
              <w:pStyle w:val="CETBodytext"/>
              <w:ind w:right="-1"/>
              <w:rPr>
                <w:rFonts w:cs="Arial"/>
                <w:szCs w:val="18"/>
                <w:lang w:val="en-GB"/>
              </w:rPr>
            </w:pPr>
            <w:r w:rsidRPr="00AC29DA">
              <w:rPr>
                <w:rFonts w:cs="Arial"/>
                <w:szCs w:val="18"/>
                <w:lang w:val="en-GB"/>
              </w:rPr>
              <w:t>0.630</w:t>
            </w:r>
          </w:p>
        </w:tc>
        <w:tc>
          <w:tcPr>
            <w:tcW w:w="992" w:type="dxa"/>
            <w:shd w:val="clear" w:color="auto" w:fill="FFFFFF"/>
          </w:tcPr>
          <w:p w14:paraId="00330761" w14:textId="77777777" w:rsidR="00A15954" w:rsidRPr="00AC29DA" w:rsidRDefault="00A15954" w:rsidP="009C7FE8">
            <w:pPr>
              <w:pStyle w:val="CETBodytext"/>
              <w:ind w:right="-1"/>
              <w:rPr>
                <w:rFonts w:cs="Arial"/>
                <w:szCs w:val="18"/>
                <w:lang w:val="en-GB"/>
              </w:rPr>
            </w:pPr>
            <w:r w:rsidRPr="00AC29DA">
              <w:rPr>
                <w:rFonts w:cs="Arial"/>
                <w:szCs w:val="18"/>
                <w:lang w:val="en-GB"/>
              </w:rPr>
              <w:t>1.90</w:t>
            </w:r>
          </w:p>
        </w:tc>
        <w:tc>
          <w:tcPr>
            <w:tcW w:w="851" w:type="dxa"/>
            <w:shd w:val="clear" w:color="auto" w:fill="FFFFFF"/>
          </w:tcPr>
          <w:p w14:paraId="40AEB3DC" w14:textId="77777777" w:rsidR="00A15954" w:rsidRPr="00AC29DA" w:rsidRDefault="00A15954" w:rsidP="009C7FE8">
            <w:pPr>
              <w:pStyle w:val="CETBodytext"/>
              <w:ind w:right="-1"/>
              <w:rPr>
                <w:rFonts w:cs="Arial"/>
                <w:szCs w:val="18"/>
                <w:lang w:val="en-GB"/>
              </w:rPr>
            </w:pPr>
            <w:r w:rsidRPr="00AC29DA">
              <w:rPr>
                <w:rFonts w:cs="Arial"/>
                <w:szCs w:val="18"/>
                <w:lang w:val="en-GB"/>
              </w:rPr>
              <w:t>0.098</w:t>
            </w:r>
          </w:p>
        </w:tc>
        <w:tc>
          <w:tcPr>
            <w:tcW w:w="1134" w:type="dxa"/>
            <w:shd w:val="clear" w:color="auto" w:fill="FFFFFF"/>
          </w:tcPr>
          <w:p w14:paraId="0936CB6E" w14:textId="77777777" w:rsidR="00A15954" w:rsidRPr="00AC29DA" w:rsidRDefault="00A15954" w:rsidP="009C7FE8">
            <w:pPr>
              <w:pStyle w:val="CETBodytext"/>
              <w:ind w:right="-1"/>
              <w:rPr>
                <w:rFonts w:cs="Arial"/>
                <w:szCs w:val="18"/>
                <w:lang w:val="en-GB"/>
              </w:rPr>
            </w:pPr>
            <w:r w:rsidRPr="00AC29DA">
              <w:rPr>
                <w:rFonts w:cs="Arial"/>
                <w:szCs w:val="18"/>
                <w:lang w:val="en-GB"/>
              </w:rPr>
              <w:t>0.036</w:t>
            </w:r>
          </w:p>
        </w:tc>
        <w:tc>
          <w:tcPr>
            <w:tcW w:w="2126" w:type="dxa"/>
            <w:shd w:val="clear" w:color="auto" w:fill="FFFFFF"/>
          </w:tcPr>
          <w:p w14:paraId="1626E7EC" w14:textId="77777777" w:rsidR="00A15954" w:rsidRPr="00AC29DA" w:rsidRDefault="00A15954" w:rsidP="009C7FE8">
            <w:pPr>
              <w:pStyle w:val="CETBodytext"/>
              <w:ind w:right="-1"/>
              <w:rPr>
                <w:rFonts w:cs="Arial"/>
                <w:szCs w:val="18"/>
                <w:lang w:val="en-GB"/>
              </w:rPr>
            </w:pPr>
            <w:r w:rsidRPr="00AC29DA">
              <w:rPr>
                <w:rFonts w:cs="Arial"/>
                <w:szCs w:val="18"/>
                <w:lang w:val="en-GB"/>
              </w:rPr>
              <w:fldChar w:fldCharType="begin" w:fldLock="1"/>
            </w:r>
            <w:r w:rsidRPr="00AC29DA">
              <w:rPr>
                <w:rFonts w:cs="Arial"/>
                <w:szCs w:val="18"/>
                <w:lang w:val="en-GB"/>
              </w:rPr>
              <w:instrText>ADDIN CSL_CITATION {"citationItems":[{"id":"ITEM-1","itemData":{"author":[{"dropping-particle":"","family":"Urseanu","given":"M. I.","non-dropping-particle":"","parse-names":false,"suffix":""}],"id":"ITEM-1","issued":{"date-parts":[["2000"]]},"number-of-pages":"1-179","publisher":"University of Amsterdam","title":"Scaling up bubble column reactors","type":"thesis"},"uris":["http://www.mendeley.com/documents/?uuid=16464266-d821-4521-b75a-8ab042038947"]}],"mendeley":{"formattedCitation":"(Urseanu, 2000)","manualFormatting":"(Urseanu, 2000)","plainTextFormattedCitation":"(Urseanu, 2000)","previouslyFormattedCitation":"(Urseanu, 2000)"},"properties":{"noteIndex":0},"schema":"https://github.com/citation-style-language/schema/raw/master/csl-citation.json"}</w:instrText>
            </w:r>
            <w:r w:rsidRPr="00AC29DA">
              <w:rPr>
                <w:rFonts w:cs="Arial"/>
                <w:szCs w:val="18"/>
                <w:lang w:val="en-GB"/>
              </w:rPr>
              <w:fldChar w:fldCharType="separate"/>
            </w:r>
            <w:r w:rsidRPr="00AC29DA">
              <w:rPr>
                <w:rFonts w:cs="Arial"/>
                <w:noProof/>
                <w:szCs w:val="18"/>
                <w:lang w:val="en-GB"/>
              </w:rPr>
              <w:t>(Urseanu, 2000)</w:t>
            </w:r>
            <w:r w:rsidRPr="00AC29DA">
              <w:rPr>
                <w:rFonts w:cs="Arial"/>
                <w:szCs w:val="18"/>
                <w:lang w:val="en-GB"/>
              </w:rPr>
              <w:fldChar w:fldCharType="end"/>
            </w:r>
          </w:p>
        </w:tc>
      </w:tr>
      <w:tr w:rsidR="00A15954" w:rsidRPr="00AC29DA" w14:paraId="73DFA643" w14:textId="77777777" w:rsidTr="009C7FE8">
        <w:tc>
          <w:tcPr>
            <w:tcW w:w="851" w:type="dxa"/>
            <w:shd w:val="clear" w:color="auto" w:fill="FFFFFF"/>
          </w:tcPr>
          <w:p w14:paraId="14107654" w14:textId="77777777" w:rsidR="00A15954" w:rsidRPr="00AC29DA" w:rsidRDefault="00A15954" w:rsidP="009C7FE8">
            <w:pPr>
              <w:pStyle w:val="CETBodytext"/>
              <w:ind w:right="-1"/>
              <w:rPr>
                <w:rFonts w:cs="Arial"/>
                <w:szCs w:val="18"/>
                <w:lang w:val="en-GB"/>
              </w:rPr>
            </w:pPr>
            <w:r w:rsidRPr="00AC29DA">
              <w:rPr>
                <w:rFonts w:cs="Arial"/>
                <w:szCs w:val="18"/>
                <w:lang w:val="en-GB"/>
              </w:rPr>
              <w:t>5</w:t>
            </w:r>
          </w:p>
        </w:tc>
        <w:tc>
          <w:tcPr>
            <w:tcW w:w="851" w:type="dxa"/>
            <w:shd w:val="clear" w:color="auto" w:fill="FFFFFF"/>
          </w:tcPr>
          <w:p w14:paraId="5698224C" w14:textId="77777777" w:rsidR="00A15954" w:rsidRPr="00AC29DA" w:rsidRDefault="00A15954" w:rsidP="009C7FE8">
            <w:pPr>
              <w:pStyle w:val="CETBodytext"/>
              <w:ind w:right="-1"/>
              <w:rPr>
                <w:rFonts w:cs="Arial"/>
                <w:szCs w:val="18"/>
                <w:lang w:val="en-GB"/>
              </w:rPr>
            </w:pPr>
            <w:r w:rsidRPr="00AC29DA">
              <w:rPr>
                <w:rFonts w:cs="Arial"/>
                <w:szCs w:val="18"/>
                <w:lang w:val="en-GB"/>
              </w:rPr>
              <w:t>0.380</w:t>
            </w:r>
          </w:p>
        </w:tc>
        <w:tc>
          <w:tcPr>
            <w:tcW w:w="992" w:type="dxa"/>
            <w:shd w:val="clear" w:color="auto" w:fill="FFFFFF"/>
          </w:tcPr>
          <w:p w14:paraId="256896C7" w14:textId="77777777" w:rsidR="00A15954" w:rsidRPr="00AC29DA" w:rsidRDefault="00A15954" w:rsidP="009C7FE8">
            <w:pPr>
              <w:pStyle w:val="CETBodytext"/>
              <w:ind w:right="-1"/>
              <w:rPr>
                <w:rFonts w:cs="Arial"/>
                <w:szCs w:val="18"/>
                <w:lang w:val="en-GB"/>
              </w:rPr>
            </w:pPr>
            <w:r w:rsidRPr="00AC29DA">
              <w:rPr>
                <w:rFonts w:cs="Arial"/>
                <w:szCs w:val="18"/>
                <w:lang w:val="en-GB"/>
              </w:rPr>
              <w:t>1.95</w:t>
            </w:r>
          </w:p>
        </w:tc>
        <w:tc>
          <w:tcPr>
            <w:tcW w:w="851" w:type="dxa"/>
            <w:shd w:val="clear" w:color="auto" w:fill="FFFFFF"/>
          </w:tcPr>
          <w:p w14:paraId="386D099D" w14:textId="77777777" w:rsidR="00A15954" w:rsidRPr="00AC29DA" w:rsidRDefault="00A15954" w:rsidP="009C7FE8">
            <w:pPr>
              <w:pStyle w:val="CETBodytext"/>
              <w:ind w:right="-1"/>
              <w:rPr>
                <w:rFonts w:cs="Arial"/>
                <w:szCs w:val="18"/>
                <w:lang w:val="en-GB"/>
              </w:rPr>
            </w:pPr>
            <w:r w:rsidRPr="00AC29DA">
              <w:rPr>
                <w:rFonts w:cs="Arial"/>
                <w:szCs w:val="18"/>
                <w:lang w:val="en-GB"/>
              </w:rPr>
              <w:t>0.137</w:t>
            </w:r>
          </w:p>
        </w:tc>
        <w:tc>
          <w:tcPr>
            <w:tcW w:w="1134" w:type="dxa"/>
            <w:shd w:val="clear" w:color="auto" w:fill="FFFFFF"/>
          </w:tcPr>
          <w:p w14:paraId="4A16A427" w14:textId="77777777" w:rsidR="00A15954" w:rsidRPr="00AC29DA" w:rsidRDefault="00A15954" w:rsidP="009C7FE8">
            <w:pPr>
              <w:pStyle w:val="CETBodytext"/>
              <w:ind w:right="-1"/>
              <w:rPr>
                <w:rFonts w:cs="Arial"/>
                <w:szCs w:val="18"/>
                <w:lang w:val="en-GB"/>
              </w:rPr>
            </w:pPr>
            <w:r w:rsidRPr="00AC29DA">
              <w:rPr>
                <w:rFonts w:cs="Arial"/>
                <w:szCs w:val="18"/>
                <w:lang w:val="en-GB"/>
              </w:rPr>
              <w:t>0.048</w:t>
            </w:r>
          </w:p>
        </w:tc>
        <w:tc>
          <w:tcPr>
            <w:tcW w:w="2126" w:type="dxa"/>
            <w:shd w:val="clear" w:color="auto" w:fill="FFFFFF"/>
          </w:tcPr>
          <w:p w14:paraId="61A43705" w14:textId="77777777" w:rsidR="00A15954" w:rsidRPr="00AC29DA" w:rsidRDefault="00A15954" w:rsidP="009C7FE8">
            <w:pPr>
              <w:pStyle w:val="CETBodytext"/>
              <w:ind w:right="-1"/>
              <w:rPr>
                <w:rFonts w:cs="Arial"/>
                <w:szCs w:val="18"/>
                <w:lang w:val="en-GB"/>
              </w:rPr>
            </w:pPr>
            <w:r w:rsidRPr="00AC29DA">
              <w:rPr>
                <w:rFonts w:cs="Arial"/>
                <w:szCs w:val="18"/>
                <w:lang w:val="en-GB"/>
              </w:rPr>
              <w:fldChar w:fldCharType="begin" w:fldLock="1"/>
            </w:r>
            <w:r w:rsidRPr="00AC29DA">
              <w:rPr>
                <w:rFonts w:cs="Arial"/>
                <w:szCs w:val="18"/>
                <w:lang w:val="en-GB"/>
              </w:rPr>
              <w:instrText>ADDIN CSL_CITATION {"citationItems":[{"id":"ITEM-1","itemData":{"author":[{"dropping-particle":"","family":"Urseanu","given":"M. I.","non-dropping-particle":"","parse-names":false,"suffix":""}],"id":"ITEM-1","issued":{"date-parts":[["2000"]]},"number-of-pages":"1-179","publisher":"University of Amsterdam","title":"Scaling up bubble column reactors","type":"thesis"},"uris":["http://www.mendeley.com/documents/?uuid=16464266-d821-4521-b75a-8ab042038947"]}],"mendeley":{"formattedCitation":"(Urseanu, 2000)","manualFormatting":"(Urseanu, 2000)","plainTextFormattedCitation":"(Urseanu, 2000)","previouslyFormattedCitation":"(Urseanu, 2000)"},"properties":{"noteIndex":0},"schema":"https://github.com/citation-style-language/schema/raw/master/csl-citation.json"}</w:instrText>
            </w:r>
            <w:r w:rsidRPr="00AC29DA">
              <w:rPr>
                <w:rFonts w:cs="Arial"/>
                <w:szCs w:val="18"/>
                <w:lang w:val="en-GB"/>
              </w:rPr>
              <w:fldChar w:fldCharType="separate"/>
            </w:r>
            <w:r w:rsidRPr="00AC29DA">
              <w:rPr>
                <w:rFonts w:cs="Arial"/>
                <w:noProof/>
                <w:szCs w:val="18"/>
                <w:lang w:val="en-GB"/>
              </w:rPr>
              <w:t>(Urseanu, 2000)</w:t>
            </w:r>
            <w:r w:rsidRPr="00AC29DA">
              <w:rPr>
                <w:rFonts w:cs="Arial"/>
                <w:szCs w:val="18"/>
                <w:lang w:val="en-GB"/>
              </w:rPr>
              <w:fldChar w:fldCharType="end"/>
            </w:r>
          </w:p>
        </w:tc>
      </w:tr>
      <w:tr w:rsidR="00A15954" w:rsidRPr="00AC29DA" w14:paraId="56639C16" w14:textId="77777777" w:rsidTr="009C7FE8">
        <w:tc>
          <w:tcPr>
            <w:tcW w:w="851" w:type="dxa"/>
            <w:shd w:val="clear" w:color="auto" w:fill="FFFFFF"/>
          </w:tcPr>
          <w:p w14:paraId="51DB9498" w14:textId="77777777" w:rsidR="00A15954" w:rsidRPr="00AC29DA" w:rsidRDefault="00A15954" w:rsidP="009C7FE8">
            <w:pPr>
              <w:pStyle w:val="CETBodytext"/>
              <w:ind w:right="-1"/>
              <w:rPr>
                <w:rFonts w:cs="Arial"/>
                <w:szCs w:val="18"/>
                <w:lang w:val="en-GB"/>
              </w:rPr>
            </w:pPr>
            <w:r w:rsidRPr="00AC29DA">
              <w:rPr>
                <w:rFonts w:cs="Arial"/>
                <w:szCs w:val="18"/>
                <w:lang w:val="en-GB"/>
              </w:rPr>
              <w:t>10</w:t>
            </w:r>
          </w:p>
        </w:tc>
        <w:tc>
          <w:tcPr>
            <w:tcW w:w="851" w:type="dxa"/>
            <w:shd w:val="clear" w:color="auto" w:fill="FFFFFF"/>
          </w:tcPr>
          <w:p w14:paraId="6FE0753D" w14:textId="77777777" w:rsidR="00A15954" w:rsidRPr="00AC29DA" w:rsidRDefault="00A15954" w:rsidP="009C7FE8">
            <w:pPr>
              <w:pStyle w:val="CETBodytext"/>
              <w:ind w:right="-1"/>
              <w:rPr>
                <w:rFonts w:cs="Arial"/>
                <w:szCs w:val="18"/>
                <w:lang w:val="en-GB"/>
              </w:rPr>
            </w:pPr>
            <w:r w:rsidRPr="00AC29DA">
              <w:rPr>
                <w:rFonts w:cs="Arial"/>
                <w:szCs w:val="18"/>
                <w:lang w:val="en-GB"/>
              </w:rPr>
              <w:t>0.240</w:t>
            </w:r>
          </w:p>
        </w:tc>
        <w:tc>
          <w:tcPr>
            <w:tcW w:w="992" w:type="dxa"/>
            <w:shd w:val="clear" w:color="auto" w:fill="FFFFFF"/>
          </w:tcPr>
          <w:p w14:paraId="10FEA631" w14:textId="77777777" w:rsidR="00A15954" w:rsidRPr="00AC29DA" w:rsidRDefault="00A15954" w:rsidP="009C7FE8">
            <w:pPr>
              <w:pStyle w:val="CETBodytext"/>
              <w:ind w:right="-1"/>
              <w:rPr>
                <w:rFonts w:cs="Arial"/>
                <w:szCs w:val="18"/>
                <w:lang w:val="en-GB"/>
              </w:rPr>
            </w:pPr>
            <w:r w:rsidRPr="00AC29DA">
              <w:rPr>
                <w:rFonts w:cs="Arial"/>
                <w:szCs w:val="18"/>
                <w:lang w:val="en-GB"/>
              </w:rPr>
              <w:t>2.40</w:t>
            </w:r>
          </w:p>
        </w:tc>
        <w:tc>
          <w:tcPr>
            <w:tcW w:w="851" w:type="dxa"/>
            <w:shd w:val="clear" w:color="auto" w:fill="FFFFFF"/>
          </w:tcPr>
          <w:p w14:paraId="143A5130" w14:textId="77777777" w:rsidR="00A15954" w:rsidRPr="00AC29DA" w:rsidRDefault="00A15954" w:rsidP="009C7FE8">
            <w:pPr>
              <w:pStyle w:val="CETBodytext"/>
              <w:ind w:right="-1"/>
              <w:rPr>
                <w:rFonts w:cs="Arial"/>
                <w:szCs w:val="18"/>
                <w:lang w:val="en-GB"/>
              </w:rPr>
            </w:pPr>
            <w:r w:rsidRPr="00AC29DA">
              <w:rPr>
                <w:rFonts w:cs="Arial"/>
                <w:szCs w:val="18"/>
                <w:lang w:val="en-GB"/>
              </w:rPr>
              <w:t>0.176</w:t>
            </w:r>
          </w:p>
        </w:tc>
        <w:tc>
          <w:tcPr>
            <w:tcW w:w="1134" w:type="dxa"/>
            <w:shd w:val="clear" w:color="auto" w:fill="FFFFFF"/>
          </w:tcPr>
          <w:p w14:paraId="1C49586F" w14:textId="77777777" w:rsidR="00A15954" w:rsidRPr="00AC29DA" w:rsidRDefault="00A15954" w:rsidP="009C7FE8">
            <w:pPr>
              <w:pStyle w:val="CETBodytext"/>
              <w:ind w:right="-1"/>
              <w:rPr>
                <w:rFonts w:cs="Arial"/>
                <w:szCs w:val="18"/>
                <w:lang w:val="en-GB"/>
              </w:rPr>
            </w:pPr>
            <w:r w:rsidRPr="00AC29DA">
              <w:rPr>
                <w:rFonts w:cs="Arial"/>
                <w:szCs w:val="18"/>
                <w:lang w:val="en-GB"/>
              </w:rPr>
              <w:t>0.032</w:t>
            </w:r>
          </w:p>
        </w:tc>
        <w:tc>
          <w:tcPr>
            <w:tcW w:w="2126" w:type="dxa"/>
            <w:shd w:val="clear" w:color="auto" w:fill="FFFFFF"/>
          </w:tcPr>
          <w:p w14:paraId="44D2646E" w14:textId="77777777" w:rsidR="00A15954" w:rsidRPr="00AC29DA" w:rsidRDefault="00A15954" w:rsidP="009C7FE8">
            <w:pPr>
              <w:pStyle w:val="CETBodytext"/>
              <w:ind w:right="-1"/>
              <w:rPr>
                <w:rFonts w:cs="Arial"/>
                <w:szCs w:val="18"/>
                <w:lang w:val="en-GB"/>
              </w:rPr>
            </w:pPr>
            <w:r w:rsidRPr="00AC29DA">
              <w:rPr>
                <w:rFonts w:cs="Arial"/>
                <w:szCs w:val="18"/>
                <w:lang w:val="en-GB"/>
              </w:rPr>
              <w:fldChar w:fldCharType="begin" w:fldLock="1"/>
            </w:r>
            <w:r w:rsidRPr="00AC29DA">
              <w:rPr>
                <w:rFonts w:cs="Arial"/>
                <w:szCs w:val="18"/>
                <w:lang w:val="en-GB"/>
              </w:rPr>
              <w:instrText>ADDIN CSL_CITATION {"citationItems":[{"id":"ITEM-1","itemData":{"DOI":"10.1016/j.ijmultiphaseflow.2020.103510","ISSN":"03019322","abstract":"When a gas phase is injected into a liquid phase, it gives rise to a rich, fascinating and mysterious fluid dynamic phenomenology. The lack of knowledge regarding this phenomenology, a shortcoming in the design and operation of multi-phase reactors, is related to the absence of an unique definition of the flow regimes. To date, different studies gave different definitions of the flow patterns and, subsequently they experimentally obtained some global and local flow properties, with no physical-based description of the flow patterns. Is there a theory able to determine a-priori the boundaries of different flow regimes (and, thus, the flow regime for a given set of boundary conditions, given the phases and the system design)? Answering this question requires changing the present point of view in defining and describing the flow regimes and it is the primary motivation of this paper. To achieve this goal, a new theory has been formulated, which changes the present way of approaching bubble columns and which is based on the following statement: the fluid dynamics in gas-liquid bubble columns is interpreted by means of a general relationship―built upon five flow regime transitions―between two global fluid dynamic parameters. The strategic path to formulate this theory is, first, to go back to the pioneering studies and formulate basic relationships on the basis of a general principle. Subsequently, in order to support and verify the theory a comprehensive and multi-scale experimental investigation has been performed and coupled with previous experimental studies. The different experimental studies have been conducted in a gas-liquid large-scale bubble column (height of 5.3 m; inner diameter of 0.24 m) operated in the batch and in counter-current modes; to study all flow regimes, the bubble column was tested with five gas spargers (viz., pipe sparger in open tube and annular gap configuration, spider sparger, two different perforated plates and needle spargers) with different values of the aspect ratios and different liquid phases. It was found that, in an air-water bubble column, the gas velocity is approximately 0.03 m/s either in the case of the destabilization of the mono-dispersed homogeneous flow regimes or in the case of the destabilization of the pseudo-homogeneous flow regimes. Increasing the gas sparger opening induces a narrowing of the boundaries between the transitional flow regimes; conversely, increasing the bubble column aspect ratio destabili…","author":[{"dropping-particle":"","family":"Besagni","given":"Giorgio","non-dropping-particle":"","parse-names":false,"suffix":""}],"container-title":"International Journal of Multiphase Flow","id":"ITEM-1","issued":{"date-parts":[["2021"]]},"publisher":"Elsevier Ltd","title":"Bubble column fluid dynamics: A novel perspective for flow regimes and comprehensive experimental investigations","type":"article-journal","volume":"135"},"uris":["http://www.mendeley.com/documents/?uuid=e35b82b8-7aa1-4acb-b456-d72fd5e74e5f"]}],"mendeley":{"formattedCitation":"(Besagni, 2021)","manualFormatting":"(Besagni, 2021)","plainTextFormattedCitation":"(Besagni, 2021)","previouslyFormattedCitation":"(Besagni, 2021)"},"properties":{"noteIndex":0},"schema":"https://github.com/citation-style-language/schema/raw/master/csl-citation.json"}</w:instrText>
            </w:r>
            <w:r w:rsidRPr="00AC29DA">
              <w:rPr>
                <w:rFonts w:cs="Arial"/>
                <w:szCs w:val="18"/>
                <w:lang w:val="en-GB"/>
              </w:rPr>
              <w:fldChar w:fldCharType="separate"/>
            </w:r>
            <w:r w:rsidRPr="00AC29DA">
              <w:rPr>
                <w:rFonts w:cs="Arial"/>
                <w:noProof/>
                <w:szCs w:val="18"/>
                <w:lang w:val="en-GB"/>
              </w:rPr>
              <w:t>(Besagni, 2021)</w:t>
            </w:r>
            <w:r w:rsidRPr="00AC29DA">
              <w:rPr>
                <w:rFonts w:cs="Arial"/>
                <w:szCs w:val="18"/>
                <w:lang w:val="en-GB"/>
              </w:rPr>
              <w:fldChar w:fldCharType="end"/>
            </w:r>
          </w:p>
        </w:tc>
      </w:tr>
      <w:tr w:rsidR="00A15954" w:rsidRPr="00AC29DA" w14:paraId="44CEC14B" w14:textId="77777777" w:rsidTr="009C7FE8">
        <w:tc>
          <w:tcPr>
            <w:tcW w:w="851" w:type="dxa"/>
            <w:shd w:val="clear" w:color="auto" w:fill="FFFFFF"/>
          </w:tcPr>
          <w:p w14:paraId="4667E6D0" w14:textId="77777777" w:rsidR="00A15954" w:rsidRPr="00AC29DA" w:rsidRDefault="00A15954" w:rsidP="009C7FE8">
            <w:pPr>
              <w:pStyle w:val="CETBodytext"/>
              <w:ind w:right="-1"/>
              <w:rPr>
                <w:rFonts w:cs="Arial"/>
                <w:szCs w:val="18"/>
                <w:lang w:val="en-GB"/>
              </w:rPr>
            </w:pPr>
            <w:r w:rsidRPr="00AC29DA">
              <w:rPr>
                <w:rFonts w:cs="Arial"/>
                <w:szCs w:val="18"/>
                <w:lang w:val="en-GB"/>
              </w:rPr>
              <w:t>10</w:t>
            </w:r>
          </w:p>
        </w:tc>
        <w:tc>
          <w:tcPr>
            <w:tcW w:w="851" w:type="dxa"/>
            <w:shd w:val="clear" w:color="auto" w:fill="FFFFFF"/>
          </w:tcPr>
          <w:p w14:paraId="1B0E85D8" w14:textId="77777777" w:rsidR="00A15954" w:rsidRPr="00AC29DA" w:rsidRDefault="00A15954" w:rsidP="009C7FE8">
            <w:pPr>
              <w:pStyle w:val="CETBodytext"/>
              <w:ind w:right="-1"/>
              <w:rPr>
                <w:rFonts w:cs="Arial"/>
                <w:szCs w:val="18"/>
                <w:lang w:val="en-GB"/>
              </w:rPr>
            </w:pPr>
            <w:r w:rsidRPr="00AC29DA">
              <w:rPr>
                <w:rFonts w:cs="Arial"/>
                <w:szCs w:val="18"/>
                <w:lang w:val="en-GB"/>
              </w:rPr>
              <w:t>0.190</w:t>
            </w:r>
          </w:p>
        </w:tc>
        <w:tc>
          <w:tcPr>
            <w:tcW w:w="992" w:type="dxa"/>
            <w:shd w:val="clear" w:color="auto" w:fill="FFFFFF"/>
          </w:tcPr>
          <w:p w14:paraId="17315F80" w14:textId="77777777" w:rsidR="00A15954" w:rsidRPr="00AC29DA" w:rsidRDefault="00A15954" w:rsidP="009C7FE8">
            <w:pPr>
              <w:pStyle w:val="CETBodytext"/>
              <w:ind w:right="-1"/>
              <w:rPr>
                <w:rFonts w:cs="Arial"/>
                <w:szCs w:val="18"/>
                <w:lang w:val="en-GB"/>
              </w:rPr>
            </w:pPr>
            <w:r w:rsidRPr="00AC29DA">
              <w:rPr>
                <w:rFonts w:cs="Arial"/>
                <w:szCs w:val="18"/>
                <w:lang w:val="en-GB"/>
              </w:rPr>
              <w:t>1.90</w:t>
            </w:r>
          </w:p>
        </w:tc>
        <w:tc>
          <w:tcPr>
            <w:tcW w:w="851" w:type="dxa"/>
            <w:shd w:val="clear" w:color="auto" w:fill="FFFFFF"/>
          </w:tcPr>
          <w:p w14:paraId="5C297589" w14:textId="77777777" w:rsidR="00A15954" w:rsidRPr="00AC29DA" w:rsidRDefault="00A15954" w:rsidP="009C7FE8">
            <w:pPr>
              <w:pStyle w:val="CETBodytext"/>
              <w:ind w:right="-1"/>
              <w:rPr>
                <w:rFonts w:cs="Arial"/>
                <w:szCs w:val="18"/>
                <w:lang w:val="en-GB"/>
              </w:rPr>
            </w:pPr>
            <w:r w:rsidRPr="00AC29DA">
              <w:rPr>
                <w:rFonts w:cs="Arial"/>
                <w:szCs w:val="18"/>
                <w:lang w:val="en-GB"/>
              </w:rPr>
              <w:t>0.148</w:t>
            </w:r>
          </w:p>
        </w:tc>
        <w:tc>
          <w:tcPr>
            <w:tcW w:w="1134" w:type="dxa"/>
            <w:shd w:val="clear" w:color="auto" w:fill="FFFFFF"/>
          </w:tcPr>
          <w:p w14:paraId="3D8EDFE9" w14:textId="77777777" w:rsidR="00A15954" w:rsidRPr="00AC29DA" w:rsidRDefault="00A15954" w:rsidP="009C7FE8">
            <w:pPr>
              <w:pStyle w:val="CETBodytext"/>
              <w:ind w:right="-1"/>
              <w:rPr>
                <w:rFonts w:cs="Arial"/>
                <w:szCs w:val="18"/>
                <w:lang w:val="en-GB"/>
              </w:rPr>
            </w:pPr>
            <w:r w:rsidRPr="00AC29DA">
              <w:rPr>
                <w:rFonts w:cs="Arial"/>
                <w:szCs w:val="18"/>
                <w:lang w:val="en-GB"/>
              </w:rPr>
              <w:t>0.034</w:t>
            </w:r>
          </w:p>
        </w:tc>
        <w:tc>
          <w:tcPr>
            <w:tcW w:w="2126" w:type="dxa"/>
            <w:shd w:val="clear" w:color="auto" w:fill="FFFFFF"/>
          </w:tcPr>
          <w:p w14:paraId="2D30D100" w14:textId="77777777" w:rsidR="00A15954" w:rsidRPr="00AC29DA" w:rsidRDefault="00A15954" w:rsidP="009C7FE8">
            <w:pPr>
              <w:pStyle w:val="CETBodytext"/>
              <w:ind w:right="-1"/>
              <w:rPr>
                <w:rFonts w:cs="Arial"/>
                <w:szCs w:val="18"/>
                <w:lang w:val="en-GB"/>
              </w:rPr>
            </w:pPr>
            <w:r w:rsidRPr="00AC29DA">
              <w:rPr>
                <w:rFonts w:cs="Arial"/>
                <w:szCs w:val="18"/>
                <w:lang w:val="en-GB"/>
              </w:rPr>
              <w:fldChar w:fldCharType="begin" w:fldLock="1"/>
            </w:r>
            <w:r w:rsidRPr="00AC29DA">
              <w:rPr>
                <w:rFonts w:cs="Arial"/>
                <w:szCs w:val="18"/>
                <w:lang w:val="en-GB"/>
              </w:rPr>
              <w:instrText>ADDIN CSL_CITATION {"citationItems":[{"id":"ITEM-1","itemData":{"author":[{"dropping-particle":"","family":"Urseanu","given":"M. I.","non-dropping-particle":"","parse-names":false,"suffix":""}],"id":"ITEM-1","issued":{"date-parts":[["2000"]]},"number-of-pages":"1-179","publisher":"University of Amsterdam","title":"Scaling up bubble column reactors","type":"thesis"},"uris":["http://www.mendeley.com/documents/?uuid=16464266-d821-4521-b75a-8ab042038947"]}],"mendeley":{"formattedCitation":"(Urseanu, 2000)","manualFormatting":"(Urseanu, 2000)","plainTextFormattedCitation":"(Urseanu, 2000)","previouslyFormattedCitation":"(Urseanu, 2000)"},"properties":{"noteIndex":0},"schema":"https://github.com/citation-style-language/schema/raw/master/csl-citation.json"}</w:instrText>
            </w:r>
            <w:r w:rsidRPr="00AC29DA">
              <w:rPr>
                <w:rFonts w:cs="Arial"/>
                <w:szCs w:val="18"/>
                <w:lang w:val="en-GB"/>
              </w:rPr>
              <w:fldChar w:fldCharType="separate"/>
            </w:r>
            <w:r w:rsidRPr="00AC29DA">
              <w:rPr>
                <w:rFonts w:cs="Arial"/>
                <w:noProof/>
                <w:szCs w:val="18"/>
                <w:lang w:val="en-GB"/>
              </w:rPr>
              <w:t>(Urseanu, 2000)</w:t>
            </w:r>
            <w:r w:rsidRPr="00AC29DA">
              <w:rPr>
                <w:rFonts w:cs="Arial"/>
                <w:szCs w:val="18"/>
                <w:lang w:val="en-GB"/>
              </w:rPr>
              <w:fldChar w:fldCharType="end"/>
            </w:r>
          </w:p>
        </w:tc>
      </w:tr>
      <w:tr w:rsidR="00A15954" w:rsidRPr="00AC29DA" w14:paraId="763AF0BC" w14:textId="77777777" w:rsidTr="009C7FE8">
        <w:tc>
          <w:tcPr>
            <w:tcW w:w="851" w:type="dxa"/>
            <w:shd w:val="clear" w:color="auto" w:fill="FFFFFF"/>
          </w:tcPr>
          <w:p w14:paraId="4ADA4159" w14:textId="77777777" w:rsidR="00A15954" w:rsidRPr="00AC29DA" w:rsidRDefault="00A15954" w:rsidP="009C7FE8">
            <w:pPr>
              <w:pStyle w:val="CETBodytext"/>
              <w:ind w:right="-1"/>
              <w:rPr>
                <w:rFonts w:cs="Arial"/>
                <w:szCs w:val="18"/>
                <w:lang w:val="en-GB"/>
              </w:rPr>
            </w:pPr>
            <w:r w:rsidRPr="00AC29DA">
              <w:rPr>
                <w:rFonts w:cs="Arial"/>
                <w:szCs w:val="18"/>
                <w:lang w:val="en-GB"/>
              </w:rPr>
              <w:t>12.5</w:t>
            </w:r>
          </w:p>
        </w:tc>
        <w:tc>
          <w:tcPr>
            <w:tcW w:w="851" w:type="dxa"/>
            <w:shd w:val="clear" w:color="auto" w:fill="FFFFFF"/>
          </w:tcPr>
          <w:p w14:paraId="3209CAC6" w14:textId="77777777" w:rsidR="00A15954" w:rsidRPr="00AC29DA" w:rsidRDefault="00A15954" w:rsidP="009C7FE8">
            <w:pPr>
              <w:pStyle w:val="CETBodytext"/>
              <w:ind w:right="-1"/>
              <w:rPr>
                <w:rFonts w:cs="Arial"/>
                <w:szCs w:val="18"/>
                <w:lang w:val="en-GB"/>
              </w:rPr>
            </w:pPr>
            <w:r w:rsidRPr="00AC29DA">
              <w:rPr>
                <w:rFonts w:cs="Arial"/>
                <w:szCs w:val="18"/>
                <w:lang w:val="en-GB"/>
              </w:rPr>
              <w:t>0.240</w:t>
            </w:r>
          </w:p>
        </w:tc>
        <w:tc>
          <w:tcPr>
            <w:tcW w:w="992" w:type="dxa"/>
            <w:shd w:val="clear" w:color="auto" w:fill="FFFFFF"/>
          </w:tcPr>
          <w:p w14:paraId="3CB4E6CC" w14:textId="77777777" w:rsidR="00A15954" w:rsidRPr="00AC29DA" w:rsidRDefault="00A15954" w:rsidP="009C7FE8">
            <w:pPr>
              <w:pStyle w:val="CETBodytext"/>
              <w:ind w:right="-1"/>
              <w:rPr>
                <w:rFonts w:cs="Arial"/>
                <w:szCs w:val="18"/>
                <w:lang w:val="en-GB"/>
              </w:rPr>
            </w:pPr>
            <w:r w:rsidRPr="00AC29DA">
              <w:rPr>
                <w:rFonts w:cs="Arial"/>
                <w:szCs w:val="18"/>
                <w:lang w:val="en-GB"/>
              </w:rPr>
              <w:t>3.00</w:t>
            </w:r>
          </w:p>
        </w:tc>
        <w:tc>
          <w:tcPr>
            <w:tcW w:w="851" w:type="dxa"/>
            <w:shd w:val="clear" w:color="auto" w:fill="FFFFFF"/>
          </w:tcPr>
          <w:p w14:paraId="0306E3EC" w14:textId="77777777" w:rsidR="00A15954" w:rsidRPr="00AC29DA" w:rsidRDefault="00A15954" w:rsidP="009C7FE8">
            <w:pPr>
              <w:pStyle w:val="CETBodytext"/>
              <w:ind w:right="-1"/>
              <w:rPr>
                <w:rFonts w:cs="Arial"/>
                <w:szCs w:val="18"/>
                <w:lang w:val="en-GB"/>
              </w:rPr>
            </w:pPr>
            <w:r w:rsidRPr="00AC29DA">
              <w:rPr>
                <w:rFonts w:cs="Arial"/>
                <w:szCs w:val="18"/>
                <w:lang w:val="en-GB"/>
              </w:rPr>
              <w:t>0.181</w:t>
            </w:r>
          </w:p>
        </w:tc>
        <w:tc>
          <w:tcPr>
            <w:tcW w:w="1134" w:type="dxa"/>
            <w:shd w:val="clear" w:color="auto" w:fill="FFFFFF"/>
          </w:tcPr>
          <w:p w14:paraId="3A6296F9" w14:textId="77777777" w:rsidR="00A15954" w:rsidRPr="00AC29DA" w:rsidRDefault="00A15954" w:rsidP="009C7FE8">
            <w:pPr>
              <w:pStyle w:val="CETBodytext"/>
              <w:ind w:right="-1"/>
              <w:rPr>
                <w:rFonts w:cs="Arial"/>
                <w:szCs w:val="18"/>
                <w:lang w:val="en-GB"/>
              </w:rPr>
            </w:pPr>
            <w:r w:rsidRPr="00AC29DA">
              <w:rPr>
                <w:rFonts w:cs="Arial"/>
                <w:szCs w:val="18"/>
                <w:lang w:val="en-GB"/>
              </w:rPr>
              <w:t>0.035</w:t>
            </w:r>
          </w:p>
        </w:tc>
        <w:tc>
          <w:tcPr>
            <w:tcW w:w="2126" w:type="dxa"/>
            <w:shd w:val="clear" w:color="auto" w:fill="FFFFFF"/>
          </w:tcPr>
          <w:p w14:paraId="734697D0" w14:textId="77777777" w:rsidR="00A15954" w:rsidRPr="00AC29DA" w:rsidRDefault="00A15954" w:rsidP="009C7FE8">
            <w:pPr>
              <w:pStyle w:val="CETBodytext"/>
              <w:ind w:right="-1"/>
              <w:rPr>
                <w:rFonts w:cs="Arial"/>
                <w:szCs w:val="18"/>
                <w:lang w:val="en-GB"/>
              </w:rPr>
            </w:pPr>
            <w:r w:rsidRPr="00AC29DA">
              <w:rPr>
                <w:rFonts w:cs="Arial"/>
                <w:szCs w:val="18"/>
                <w:lang w:val="en-GB"/>
              </w:rPr>
              <w:fldChar w:fldCharType="begin" w:fldLock="1"/>
            </w:r>
            <w:r w:rsidRPr="00AC29DA">
              <w:rPr>
                <w:rFonts w:cs="Arial"/>
                <w:szCs w:val="18"/>
                <w:lang w:val="en-GB"/>
              </w:rPr>
              <w:instrText>ADDIN CSL_CITATION {"citationItems":[{"id":"ITEM-1","itemData":{"DOI":"10.1016/j.ijmultiphaseflow.2020.103510","ISSN":"03019322","abstract":"When a gas phase is injected into a liquid phase, it gives rise to a rich, fascinating and mysterious fluid dynamic phenomenology. The lack of knowledge regarding this phenomenology, a shortcoming in the design and operation of multi-phase reactors, is related to the absence of an unique definition of the flow regimes. To date, different studies gave different definitions of the flow patterns and, subsequently they experimentally obtained some global and local flow properties, with no physical-based description of the flow patterns. Is there a theory able to determine a-priori the boundaries of different flow regimes (and, thus, the flow regime for a given set of boundary conditions, given the phases and the system design)? Answering this question requires changing the present point of view in defining and describing the flow regimes and it is the primary motivation of this paper. To achieve this goal, a new theory has been formulated, which changes the present way of approaching bubble columns and which is based on the following statement: the fluid dynamics in gas-liquid bubble columns is interpreted by means of a general relationship―built upon five flow regime transitions―between two global fluid dynamic parameters. The strategic path to formulate this theory is, first, to go back to the pioneering studies and formulate basic relationships on the basis of a general principle. Subsequently, in order to support and verify the theory a comprehensive and multi-scale experimental investigation has been performed and coupled with previous experimental studies. The different experimental studies have been conducted in a gas-liquid large-scale bubble column (height of 5.3 m; inner diameter of 0.24 m) operated in the batch and in counter-current modes; to study all flow regimes, the bubble column was tested with five gas spargers (viz., pipe sparger in open tube and annular gap configuration, spider sparger, two different perforated plates and needle spargers) with different values of the aspect ratios and different liquid phases. It was found that, in an air-water bubble column, the gas velocity is approximately 0.03 m/s either in the case of the destabilization of the mono-dispersed homogeneous flow regimes or in the case of the destabilization of the pseudo-homogeneous flow regimes. Increasing the gas sparger opening induces a narrowing of the boundaries between the transitional flow regimes; conversely, increasing the bubble column aspect ratio destabili…","author":[{"dropping-particle":"","family":"Besagni","given":"Giorgio","non-dropping-particle":"","parse-names":false,"suffix":""}],"container-title":"International Journal of Multiphase Flow","id":"ITEM-1","issued":{"date-parts":[["2021"]]},"publisher":"Elsevier Ltd","title":"Bubble column fluid dynamics: A novel perspective for flow regimes and comprehensive experimental investigations","type":"article-journal","volume":"135"},"uris":["http://www.mendeley.com/documents/?uuid=e35b82b8-7aa1-4acb-b456-d72fd5e74e5f"]}],"mendeley":{"formattedCitation":"(Besagni, 2021)","manualFormatting":"(Besagni, 2021)","plainTextFormattedCitation":"(Besagni, 2021)","previouslyFormattedCitation":"(Besagni, 2021)"},"properties":{"noteIndex":0},"schema":"https://github.com/citation-style-language/schema/raw/master/csl-citation.json"}</w:instrText>
            </w:r>
            <w:r w:rsidRPr="00AC29DA">
              <w:rPr>
                <w:rFonts w:cs="Arial"/>
                <w:szCs w:val="18"/>
                <w:lang w:val="en-GB"/>
              </w:rPr>
              <w:fldChar w:fldCharType="separate"/>
            </w:r>
            <w:r w:rsidRPr="00AC29DA">
              <w:rPr>
                <w:rFonts w:cs="Arial"/>
                <w:noProof/>
                <w:szCs w:val="18"/>
                <w:lang w:val="en-GB"/>
              </w:rPr>
              <w:t>(Besagni, 2021)</w:t>
            </w:r>
            <w:r w:rsidRPr="00AC29DA">
              <w:rPr>
                <w:rFonts w:cs="Arial"/>
                <w:szCs w:val="18"/>
                <w:lang w:val="en-GB"/>
              </w:rPr>
              <w:fldChar w:fldCharType="end"/>
            </w:r>
          </w:p>
        </w:tc>
      </w:tr>
      <w:tr w:rsidR="00A15954" w:rsidRPr="00AC29DA" w14:paraId="1958A33B" w14:textId="77777777" w:rsidTr="009C7FE8">
        <w:tc>
          <w:tcPr>
            <w:tcW w:w="851" w:type="dxa"/>
            <w:shd w:val="clear" w:color="auto" w:fill="FFFFFF"/>
          </w:tcPr>
          <w:p w14:paraId="4E3244F9" w14:textId="77777777" w:rsidR="00A15954" w:rsidRPr="00AC29DA" w:rsidRDefault="00A15954" w:rsidP="009C7FE8">
            <w:pPr>
              <w:pStyle w:val="CETBodytext"/>
              <w:ind w:right="-1"/>
              <w:rPr>
                <w:rFonts w:cs="Arial"/>
                <w:szCs w:val="18"/>
                <w:lang w:val="en-GB"/>
              </w:rPr>
            </w:pPr>
            <w:r w:rsidRPr="00AC29DA">
              <w:rPr>
                <w:rFonts w:cs="Arial"/>
                <w:szCs w:val="18"/>
                <w:lang w:val="en-GB"/>
              </w:rPr>
              <w:t>12.6</w:t>
            </w:r>
          </w:p>
        </w:tc>
        <w:tc>
          <w:tcPr>
            <w:tcW w:w="851" w:type="dxa"/>
            <w:shd w:val="clear" w:color="auto" w:fill="FFFFFF"/>
          </w:tcPr>
          <w:p w14:paraId="798CD4DA" w14:textId="77777777" w:rsidR="00A15954" w:rsidRPr="00AC29DA" w:rsidRDefault="00A15954" w:rsidP="009C7FE8">
            <w:pPr>
              <w:pStyle w:val="CETBodytext"/>
              <w:ind w:right="-1"/>
              <w:rPr>
                <w:rFonts w:cs="Arial"/>
                <w:szCs w:val="18"/>
                <w:lang w:val="en-GB"/>
              </w:rPr>
            </w:pPr>
            <w:r w:rsidRPr="00AC29DA">
              <w:rPr>
                <w:rFonts w:cs="Arial"/>
                <w:szCs w:val="18"/>
                <w:lang w:val="en-GB"/>
              </w:rPr>
              <w:t>0.174</w:t>
            </w:r>
          </w:p>
        </w:tc>
        <w:tc>
          <w:tcPr>
            <w:tcW w:w="992" w:type="dxa"/>
            <w:shd w:val="clear" w:color="auto" w:fill="FFFFFF"/>
          </w:tcPr>
          <w:p w14:paraId="2ACEAB94" w14:textId="77777777" w:rsidR="00A15954" w:rsidRPr="00AC29DA" w:rsidRDefault="00A15954" w:rsidP="009C7FE8">
            <w:pPr>
              <w:pStyle w:val="CETBodytext"/>
              <w:ind w:right="-1"/>
              <w:rPr>
                <w:rFonts w:cs="Arial"/>
                <w:szCs w:val="18"/>
                <w:lang w:val="en-GB"/>
              </w:rPr>
            </w:pPr>
            <w:r w:rsidRPr="00AC29DA">
              <w:rPr>
                <w:rFonts w:cs="Arial"/>
                <w:szCs w:val="18"/>
                <w:lang w:val="en-GB"/>
              </w:rPr>
              <w:t>2.20</w:t>
            </w:r>
          </w:p>
        </w:tc>
        <w:tc>
          <w:tcPr>
            <w:tcW w:w="851" w:type="dxa"/>
            <w:shd w:val="clear" w:color="auto" w:fill="FFFFFF"/>
          </w:tcPr>
          <w:p w14:paraId="55991452" w14:textId="77777777" w:rsidR="00A15954" w:rsidRPr="00AC29DA" w:rsidRDefault="00A15954" w:rsidP="009C7FE8">
            <w:pPr>
              <w:pStyle w:val="CETBodytext"/>
              <w:ind w:right="-1"/>
              <w:rPr>
                <w:rFonts w:cs="Arial"/>
                <w:szCs w:val="18"/>
                <w:lang w:val="en-GB"/>
              </w:rPr>
            </w:pPr>
            <w:r w:rsidRPr="00AC29DA">
              <w:rPr>
                <w:rFonts w:cs="Arial"/>
                <w:szCs w:val="18"/>
                <w:lang w:val="en-GB"/>
              </w:rPr>
              <w:t>0.081</w:t>
            </w:r>
          </w:p>
        </w:tc>
        <w:tc>
          <w:tcPr>
            <w:tcW w:w="1134" w:type="dxa"/>
            <w:shd w:val="clear" w:color="auto" w:fill="FFFFFF"/>
          </w:tcPr>
          <w:p w14:paraId="6CAD7989" w14:textId="77777777" w:rsidR="00A15954" w:rsidRPr="00AC29DA" w:rsidRDefault="00A15954" w:rsidP="009C7FE8">
            <w:pPr>
              <w:pStyle w:val="CETBodytext"/>
              <w:ind w:right="-1"/>
              <w:rPr>
                <w:rFonts w:cs="Arial"/>
                <w:szCs w:val="18"/>
                <w:lang w:val="en-GB"/>
              </w:rPr>
            </w:pPr>
            <w:r w:rsidRPr="00AC29DA">
              <w:rPr>
                <w:rFonts w:cs="Arial"/>
                <w:szCs w:val="18"/>
                <w:lang w:val="en-GB"/>
              </w:rPr>
              <w:t>0.023</w:t>
            </w:r>
          </w:p>
        </w:tc>
        <w:tc>
          <w:tcPr>
            <w:tcW w:w="2126" w:type="dxa"/>
            <w:shd w:val="clear" w:color="auto" w:fill="FFFFFF"/>
          </w:tcPr>
          <w:p w14:paraId="561C5E40" w14:textId="77777777" w:rsidR="00A15954" w:rsidRPr="00AC29DA" w:rsidRDefault="00A15954" w:rsidP="009C7FE8">
            <w:pPr>
              <w:pStyle w:val="CETBodytext"/>
              <w:ind w:right="-1"/>
              <w:rPr>
                <w:rFonts w:cs="Arial"/>
                <w:szCs w:val="18"/>
                <w:lang w:val="en-GB"/>
              </w:rPr>
            </w:pPr>
            <w:r w:rsidRPr="00AC29DA">
              <w:rPr>
                <w:rFonts w:cs="Arial"/>
                <w:szCs w:val="18"/>
                <w:lang w:val="en-GB"/>
              </w:rPr>
              <w:fldChar w:fldCharType="begin" w:fldLock="1"/>
            </w:r>
            <w:r w:rsidRPr="00AC29DA">
              <w:rPr>
                <w:rFonts w:cs="Arial"/>
                <w:szCs w:val="18"/>
                <w:lang w:val="en-GB"/>
              </w:rPr>
              <w:instrText>ADDIN CSL_CITATION {"citationItems":[{"id":"ITEM-1","itemData":{"author":[{"dropping-particle":"","family":"Urseanu","given":"M. I.","non-dropping-particle":"","parse-names":false,"suffix":""}],"id":"ITEM-1","issued":{"date-parts":[["2000"]]},"number-of-pages":"1-179","publisher":"University of Amsterdam","title":"Scaling up bubble column reactors","type":"thesis"},"uris":["http://www.mendeley.com/documents/?uuid=16464266-d821-4521-b75a-8ab042038947"]}],"mendeley":{"formattedCitation":"(Urseanu, 2000)","manualFormatting":"(Urseanu, 2000)","plainTextFormattedCitation":"(Urseanu, 2000)","previouslyFormattedCitation":"(Urseanu, 2000)"},"properties":{"noteIndex":0},"schema":"https://github.com/citation-style-language/schema/raw/master/csl-citation.json"}</w:instrText>
            </w:r>
            <w:r w:rsidRPr="00AC29DA">
              <w:rPr>
                <w:rFonts w:cs="Arial"/>
                <w:szCs w:val="18"/>
                <w:lang w:val="en-GB"/>
              </w:rPr>
              <w:fldChar w:fldCharType="separate"/>
            </w:r>
            <w:r w:rsidRPr="00AC29DA">
              <w:rPr>
                <w:rFonts w:cs="Arial"/>
                <w:noProof/>
                <w:szCs w:val="18"/>
                <w:lang w:val="en-GB"/>
              </w:rPr>
              <w:t>(Urseanu, 2000)</w:t>
            </w:r>
            <w:r w:rsidRPr="00AC29DA">
              <w:rPr>
                <w:rFonts w:cs="Arial"/>
                <w:szCs w:val="18"/>
                <w:lang w:val="en-GB"/>
              </w:rPr>
              <w:fldChar w:fldCharType="end"/>
            </w:r>
          </w:p>
        </w:tc>
      </w:tr>
      <w:tr w:rsidR="004D2AE2" w:rsidRPr="00AC29DA" w14:paraId="4AA6A501" w14:textId="77777777" w:rsidTr="009C7FE8">
        <w:tc>
          <w:tcPr>
            <w:tcW w:w="851" w:type="dxa"/>
            <w:shd w:val="clear" w:color="auto" w:fill="FFFFFF"/>
          </w:tcPr>
          <w:p w14:paraId="2F38BFA0" w14:textId="1CC0E634" w:rsidR="004D2AE2" w:rsidRPr="00AC29DA" w:rsidRDefault="004D2AE2" w:rsidP="009C7FE8">
            <w:pPr>
              <w:pStyle w:val="CETBodytext"/>
              <w:ind w:right="-1"/>
              <w:rPr>
                <w:rFonts w:cs="Arial"/>
                <w:szCs w:val="18"/>
                <w:lang w:val="en-GB"/>
              </w:rPr>
            </w:pPr>
            <w:r>
              <w:rPr>
                <w:rFonts w:cs="Arial"/>
                <w:szCs w:val="18"/>
                <w:lang w:val="en-GB"/>
              </w:rPr>
              <w:t>15</w:t>
            </w:r>
          </w:p>
        </w:tc>
        <w:tc>
          <w:tcPr>
            <w:tcW w:w="851" w:type="dxa"/>
            <w:shd w:val="clear" w:color="auto" w:fill="FFFFFF"/>
          </w:tcPr>
          <w:p w14:paraId="2F1C25E2" w14:textId="415F6896" w:rsidR="004D2AE2" w:rsidRPr="00AC29DA" w:rsidRDefault="00F70DAE" w:rsidP="009C7FE8">
            <w:pPr>
              <w:pStyle w:val="CETBodytext"/>
              <w:ind w:right="-1"/>
              <w:rPr>
                <w:rFonts w:cs="Arial"/>
                <w:szCs w:val="18"/>
                <w:lang w:val="en-GB"/>
              </w:rPr>
            </w:pPr>
            <w:r>
              <w:rPr>
                <w:rFonts w:cs="Arial"/>
                <w:szCs w:val="18"/>
                <w:lang w:val="en-GB"/>
              </w:rPr>
              <w:t>0.240</w:t>
            </w:r>
          </w:p>
        </w:tc>
        <w:tc>
          <w:tcPr>
            <w:tcW w:w="992" w:type="dxa"/>
            <w:shd w:val="clear" w:color="auto" w:fill="FFFFFF"/>
          </w:tcPr>
          <w:p w14:paraId="65E610E3" w14:textId="1FA63D8B" w:rsidR="004D2AE2" w:rsidRPr="00AC29DA" w:rsidRDefault="00F70DAE" w:rsidP="009C7FE8">
            <w:pPr>
              <w:pStyle w:val="CETBodytext"/>
              <w:ind w:right="-1"/>
              <w:rPr>
                <w:rFonts w:cs="Arial"/>
                <w:szCs w:val="18"/>
                <w:lang w:val="en-GB"/>
              </w:rPr>
            </w:pPr>
            <w:r>
              <w:rPr>
                <w:rFonts w:cs="Arial"/>
                <w:szCs w:val="18"/>
                <w:lang w:val="en-GB"/>
              </w:rPr>
              <w:t>3.6</w:t>
            </w:r>
          </w:p>
        </w:tc>
        <w:tc>
          <w:tcPr>
            <w:tcW w:w="851" w:type="dxa"/>
            <w:shd w:val="clear" w:color="auto" w:fill="FFFFFF"/>
          </w:tcPr>
          <w:p w14:paraId="4622C0BC" w14:textId="363EDE87" w:rsidR="004D2AE2" w:rsidRPr="00AC29DA" w:rsidRDefault="00F70DAE" w:rsidP="009C7FE8">
            <w:pPr>
              <w:pStyle w:val="CETBodytext"/>
              <w:ind w:right="-1"/>
              <w:rPr>
                <w:rFonts w:cs="Arial"/>
                <w:szCs w:val="18"/>
                <w:lang w:val="en-GB"/>
              </w:rPr>
            </w:pPr>
            <w:r>
              <w:rPr>
                <w:rFonts w:cs="Arial"/>
                <w:szCs w:val="18"/>
                <w:lang w:val="en-GB"/>
              </w:rPr>
              <w:t>0.183</w:t>
            </w:r>
          </w:p>
        </w:tc>
        <w:tc>
          <w:tcPr>
            <w:tcW w:w="1134" w:type="dxa"/>
            <w:shd w:val="clear" w:color="auto" w:fill="FFFFFF"/>
          </w:tcPr>
          <w:p w14:paraId="3E48D832" w14:textId="2F921320" w:rsidR="004D2AE2" w:rsidRPr="00AC29DA" w:rsidRDefault="00F70DAE" w:rsidP="009C7FE8">
            <w:pPr>
              <w:pStyle w:val="CETBodytext"/>
              <w:ind w:right="-1"/>
              <w:rPr>
                <w:rFonts w:cs="Arial"/>
                <w:szCs w:val="18"/>
                <w:lang w:val="en-GB"/>
              </w:rPr>
            </w:pPr>
            <w:r>
              <w:rPr>
                <w:rFonts w:cs="Arial"/>
                <w:szCs w:val="18"/>
                <w:lang w:val="en-GB"/>
              </w:rPr>
              <w:t>0.039</w:t>
            </w:r>
          </w:p>
        </w:tc>
        <w:tc>
          <w:tcPr>
            <w:tcW w:w="2126" w:type="dxa"/>
            <w:shd w:val="clear" w:color="auto" w:fill="FFFFFF"/>
          </w:tcPr>
          <w:p w14:paraId="0B9ABF39" w14:textId="4B03EAC4" w:rsidR="004D2AE2" w:rsidRPr="00AC29DA" w:rsidRDefault="00F70DAE" w:rsidP="009C7FE8">
            <w:pPr>
              <w:pStyle w:val="CETBodytext"/>
              <w:ind w:right="-1"/>
              <w:rPr>
                <w:rFonts w:cs="Arial"/>
                <w:szCs w:val="18"/>
                <w:lang w:val="en-GB"/>
              </w:rPr>
            </w:pPr>
            <w:r w:rsidRPr="00AC29DA">
              <w:rPr>
                <w:rFonts w:cs="Arial"/>
                <w:szCs w:val="18"/>
                <w:lang w:val="en-GB"/>
              </w:rPr>
              <w:fldChar w:fldCharType="begin" w:fldLock="1"/>
            </w:r>
            <w:r w:rsidRPr="00AC29DA">
              <w:rPr>
                <w:rFonts w:cs="Arial"/>
                <w:szCs w:val="18"/>
                <w:lang w:val="en-GB"/>
              </w:rPr>
              <w:instrText>ADDIN CSL_CITATION {"citationItems":[{"id":"ITEM-1","itemData":{"DOI":"10.1016/j.ijmultiphaseflow.2020.103510","ISSN":"03019322","abstract":"When a gas phase is injected into a liquid phase, it gives rise to a rich, fascinating and mysterious fluid dynamic phenomenology. The lack of knowledge regarding this phenomenology, a shortcoming in the design and operation of multi-phase reactors, is related to the absence of an unique definition of the flow regimes. To date, different studies gave different definitions of the flow patterns and, subsequently they experimentally obtained some global and local flow properties, with no physical-based description of the flow patterns. Is there a theory able to determine a-priori the boundaries of different flow regimes (and, thus, the flow regime for a given set of boundary conditions, given the phases and the system design)? Answering this question requires changing the present point of view in defining and describing the flow regimes and it is the primary motivation of this paper. To achieve this goal, a new theory has been formulated, which changes the present way of approaching bubble columns and which is based on the following statement: the fluid dynamics in gas-liquid bubble columns is interpreted by means of a general relationship―built upon five flow regime transitions―between two global fluid dynamic parameters. The strategic path to formulate this theory is, first, to go back to the pioneering studies and formulate basic relationships on the basis of a general principle. Subsequently, in order to support and verify the theory a comprehensive and multi-scale experimental investigation has been performed and coupled with previous experimental studies. The different experimental studies have been conducted in a gas-liquid large-scale bubble column (height of 5.3 m; inner diameter of 0.24 m) operated in the batch and in counter-current modes; to study all flow regimes, the bubble column was tested with five gas spargers (viz., pipe sparger in open tube and annular gap configuration, spider sparger, two different perforated plates and needle spargers) with different values of the aspect ratios and different liquid phases. It was found that, in an air-water bubble column, the gas velocity is approximately 0.03 m/s either in the case of the destabilization of the mono-dispersed homogeneous flow regimes or in the case of the destabilization of the pseudo-homogeneous flow regimes. Increasing the gas sparger opening induces a narrowing of the boundaries between the transitional flow regimes; conversely, increasing the bubble column aspect ratio destabili…","author":[{"dropping-particle":"","family":"Besagni","given":"Giorgio","non-dropping-particle":"","parse-names":false,"suffix":""}],"container-title":"International Journal of Multiphase Flow","id":"ITEM-1","issued":{"date-parts":[["2021"]]},"publisher":"Elsevier Ltd","title":"Bubble column fluid dynamics: A novel perspective for flow regimes and comprehensive experimental investigations","type":"article-journal","volume":"135"},"uris":["http://www.mendeley.com/documents/?uuid=e35b82b8-7aa1-4acb-b456-d72fd5e74e5f"]}],"mendeley":{"formattedCitation":"(Besagni, 2021)","manualFormatting":"(Besagni, 2021)","plainTextFormattedCitation":"(Besagni, 2021)","previouslyFormattedCitation":"(Besagni, 2021)"},"properties":{"noteIndex":0},"schema":"https://github.com/citation-style-language/schema/raw/master/csl-citation.json"}</w:instrText>
            </w:r>
            <w:r w:rsidRPr="00AC29DA">
              <w:rPr>
                <w:rFonts w:cs="Arial"/>
                <w:szCs w:val="18"/>
                <w:lang w:val="en-GB"/>
              </w:rPr>
              <w:fldChar w:fldCharType="separate"/>
            </w:r>
            <w:r w:rsidRPr="00AC29DA">
              <w:rPr>
                <w:rFonts w:cs="Arial"/>
                <w:noProof/>
                <w:szCs w:val="18"/>
                <w:lang w:val="en-GB"/>
              </w:rPr>
              <w:t>(Besagni, 2021)</w:t>
            </w:r>
            <w:r w:rsidRPr="00AC29DA">
              <w:rPr>
                <w:rFonts w:cs="Arial"/>
                <w:szCs w:val="18"/>
                <w:lang w:val="en-GB"/>
              </w:rPr>
              <w:fldChar w:fldCharType="end"/>
            </w:r>
          </w:p>
        </w:tc>
      </w:tr>
    </w:tbl>
    <w:p w14:paraId="787ACA13" w14:textId="77777777" w:rsidR="00A15954" w:rsidRPr="00AC29DA" w:rsidRDefault="00A15954" w:rsidP="00A15954">
      <w:pPr>
        <w:pStyle w:val="CETBodytext"/>
        <w:rPr>
          <w:rStyle w:val="CETCaptionCarattere"/>
          <w:i w:val="0"/>
        </w:rPr>
      </w:pPr>
    </w:p>
    <w:p w14:paraId="33949693" w14:textId="16A8CEA3" w:rsidR="0075036C" w:rsidRPr="00AC29DA" w:rsidRDefault="00A15954" w:rsidP="0075036C">
      <w:pPr>
        <w:pStyle w:val="CETBodytext"/>
        <w:rPr>
          <w:lang w:val="en-GB"/>
        </w:rPr>
      </w:pPr>
      <w:r w:rsidRPr="00AC29DA">
        <w:rPr>
          <w:lang w:val="en-GB"/>
        </w:rPr>
        <w:t xml:space="preserve">Note that the values estimated are consistent with the literature, in which </w:t>
      </w:r>
      <w:r w:rsidRPr="00AC29DA">
        <w:rPr>
          <w:i/>
          <w:iCs/>
          <w:lang w:val="en-GB"/>
        </w:rPr>
        <w:t>U</w:t>
      </w:r>
      <w:r w:rsidRPr="00AC29DA">
        <w:rPr>
          <w:i/>
          <w:iCs/>
          <w:vertAlign w:val="subscript"/>
          <w:lang w:val="en-GB"/>
        </w:rPr>
        <w:t>t</w:t>
      </w:r>
      <w:r w:rsidRPr="00AC29DA">
        <w:rPr>
          <w:lang w:val="en-GB"/>
        </w:rPr>
        <w:t xml:space="preserve"> is often reported in the order of 10</w:t>
      </w:r>
      <w:r w:rsidRPr="00AC29DA">
        <w:rPr>
          <w:vertAlign w:val="superscript"/>
          <w:lang w:val="en-GB"/>
        </w:rPr>
        <w:t>-3</w:t>
      </w:r>
      <w:r w:rsidRPr="00AC29DA">
        <w:rPr>
          <w:lang w:val="en-GB"/>
        </w:rPr>
        <w:t xml:space="preserve"> ms</w:t>
      </w:r>
      <w:r w:rsidRPr="00AC29DA">
        <w:rPr>
          <w:vertAlign w:val="superscript"/>
          <w:lang w:val="en-GB"/>
        </w:rPr>
        <w:t>-1</w:t>
      </w:r>
      <w:r w:rsidRPr="00AC29DA">
        <w:rPr>
          <w:lang w:val="en-GB"/>
        </w:rPr>
        <w:t xml:space="preserve"> (Table 2).</w:t>
      </w:r>
      <w:r w:rsidRPr="00AC29DA">
        <w:rPr>
          <w:rStyle w:val="CETCaptionCarattere"/>
          <w:i w:val="0"/>
        </w:rPr>
        <w:t xml:space="preserve"> Moreover, since each case study was simulated using a superficial gas velocity lower than th</w:t>
      </w:r>
      <w:r w:rsidRPr="00AC29DA">
        <w:rPr>
          <w:lang w:val="en-GB"/>
        </w:rPr>
        <w:t>e transition value,</w:t>
      </w:r>
      <w:r w:rsidRPr="00AC29DA" w:rsidDel="00816712">
        <w:rPr>
          <w:rStyle w:val="CETCaptionCarattere"/>
          <w:i w:val="0"/>
        </w:rPr>
        <w:t xml:space="preserve"> </w:t>
      </w:r>
      <w:r w:rsidRPr="00AC29DA">
        <w:rPr>
          <w:rStyle w:val="CETCaptionCarattere"/>
          <w:i w:val="0"/>
        </w:rPr>
        <w:t>the homogenous regime was respected.</w:t>
      </w:r>
    </w:p>
    <w:p w14:paraId="546B3A5F" w14:textId="6358C317" w:rsidR="006C7B0D" w:rsidRPr="00AC29DA" w:rsidRDefault="006C7B0D" w:rsidP="006C7B0D">
      <w:pPr>
        <w:pStyle w:val="CETTabletitle"/>
      </w:pPr>
      <w:r w:rsidRPr="00AC29DA">
        <w:t xml:space="preserve">Table </w:t>
      </w:r>
      <w:r w:rsidR="00BC42A7" w:rsidRPr="00AC29DA">
        <w:t>3</w:t>
      </w:r>
      <w:r w:rsidRPr="00AC29DA">
        <w:t xml:space="preserve">: </w:t>
      </w:r>
      <w:r w:rsidR="00BC42A7" w:rsidRPr="00AC29DA">
        <w:t>Superficial gas velocities</w:t>
      </w:r>
      <w:r w:rsidRPr="00AC29DA">
        <w:t xml:space="preserve"> </w:t>
      </w:r>
      <w:r w:rsidR="00BC42A7" w:rsidRPr="00AC29DA">
        <w:t>comparison</w:t>
      </w:r>
      <w:r w:rsidRPr="00AC29DA">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1"/>
        <w:gridCol w:w="851"/>
        <w:gridCol w:w="851"/>
      </w:tblGrid>
      <w:tr w:rsidR="00BC42A7" w:rsidRPr="00AC29DA" w14:paraId="313760EA" w14:textId="1B558C8A" w:rsidTr="00816712">
        <w:tc>
          <w:tcPr>
            <w:tcW w:w="1134" w:type="dxa"/>
            <w:tcBorders>
              <w:top w:val="single" w:sz="12" w:space="0" w:color="008000"/>
              <w:bottom w:val="single" w:sz="6" w:space="0" w:color="008000"/>
            </w:tcBorders>
            <w:shd w:val="clear" w:color="auto" w:fill="FFFFFF"/>
          </w:tcPr>
          <w:p w14:paraId="30AB2C2C" w14:textId="77777777" w:rsidR="00BC42A7" w:rsidRPr="00AC29DA" w:rsidRDefault="00BC42A7" w:rsidP="00BC42A7">
            <w:pPr>
              <w:pStyle w:val="CETBodytext"/>
              <w:rPr>
                <w:lang w:val="en-GB"/>
              </w:rPr>
            </w:pPr>
            <w:r w:rsidRPr="00AC29DA">
              <w:rPr>
                <w:lang w:val="en-GB"/>
              </w:rPr>
              <w:t>Case study</w:t>
            </w:r>
          </w:p>
        </w:tc>
        <w:tc>
          <w:tcPr>
            <w:tcW w:w="851" w:type="dxa"/>
            <w:tcBorders>
              <w:top w:val="single" w:sz="12" w:space="0" w:color="008000"/>
              <w:bottom w:val="single" w:sz="6" w:space="0" w:color="008000"/>
            </w:tcBorders>
            <w:shd w:val="clear" w:color="auto" w:fill="FFFFFF"/>
          </w:tcPr>
          <w:p w14:paraId="6D57B2EF" w14:textId="4DC2F72F" w:rsidR="00BC42A7" w:rsidRPr="00AC29DA" w:rsidRDefault="00BC42A7" w:rsidP="00BC42A7">
            <w:pPr>
              <w:pStyle w:val="CETBodytext"/>
              <w:ind w:right="-1"/>
              <w:rPr>
                <w:rFonts w:eastAsiaTheme="minorHAnsi" w:cs="Arial"/>
                <w:i/>
                <w:iCs/>
                <w:szCs w:val="18"/>
                <w:lang w:val="en-GB"/>
              </w:rPr>
            </w:pPr>
            <w:r w:rsidRPr="00AC29DA">
              <w:rPr>
                <w:i/>
                <w:iCs/>
                <w:lang w:val="en-GB"/>
              </w:rPr>
              <w:t>A</w:t>
            </w:r>
            <w:r w:rsidRPr="00AC29DA">
              <w:rPr>
                <w:lang w:val="en-GB"/>
              </w:rPr>
              <w:t xml:space="preserve"> [-]</w:t>
            </w:r>
          </w:p>
        </w:tc>
        <w:tc>
          <w:tcPr>
            <w:tcW w:w="851" w:type="dxa"/>
            <w:tcBorders>
              <w:top w:val="single" w:sz="12" w:space="0" w:color="008000"/>
              <w:bottom w:val="single" w:sz="6" w:space="0" w:color="008000"/>
            </w:tcBorders>
            <w:shd w:val="clear" w:color="auto" w:fill="FFFFFF"/>
          </w:tcPr>
          <w:p w14:paraId="75919159" w14:textId="2BC19CDD" w:rsidR="00BC42A7" w:rsidRPr="00AC29DA" w:rsidRDefault="00BC42A7" w:rsidP="00BC42A7">
            <w:pPr>
              <w:pStyle w:val="CETBodytext"/>
              <w:ind w:right="-1"/>
              <w:rPr>
                <w:rFonts w:eastAsiaTheme="minorHAnsi" w:cs="Arial"/>
                <w:i/>
                <w:iCs/>
                <w:szCs w:val="18"/>
                <w:lang w:val="en-GB"/>
              </w:rPr>
            </w:pPr>
            <w:r w:rsidRPr="00AC29DA">
              <w:rPr>
                <w:rFonts w:eastAsiaTheme="minorHAnsi" w:cs="Arial"/>
                <w:i/>
                <w:iCs/>
                <w:szCs w:val="18"/>
                <w:lang w:val="en-GB"/>
              </w:rPr>
              <w:t>U</w:t>
            </w:r>
            <w:r w:rsidRPr="00AC29DA">
              <w:rPr>
                <w:rFonts w:eastAsiaTheme="minorHAnsi" w:cs="Arial"/>
                <w:i/>
                <w:iCs/>
                <w:szCs w:val="18"/>
                <w:vertAlign w:val="subscript"/>
                <w:lang w:val="en-GB"/>
              </w:rPr>
              <w:t>t</w:t>
            </w:r>
            <w:r w:rsidRPr="00AC29DA">
              <w:rPr>
                <w:rFonts w:eastAsiaTheme="minorHAnsi" w:cs="Arial"/>
                <w:szCs w:val="18"/>
                <w:vertAlign w:val="subscript"/>
                <w:lang w:val="en-GB"/>
              </w:rPr>
              <w:t xml:space="preserve"> </w:t>
            </w:r>
            <w:r w:rsidRPr="00AC29DA">
              <w:rPr>
                <w:rFonts w:eastAsiaTheme="minorHAnsi" w:cs="Arial"/>
                <w:szCs w:val="18"/>
                <w:lang w:val="en-GB"/>
              </w:rPr>
              <w:t>[ms</w:t>
            </w:r>
            <w:r w:rsidRPr="00AC29DA">
              <w:rPr>
                <w:rFonts w:eastAsiaTheme="minorHAnsi" w:cs="Arial"/>
                <w:szCs w:val="18"/>
                <w:vertAlign w:val="superscript"/>
                <w:lang w:val="en-GB"/>
              </w:rPr>
              <w:t>-1</w:t>
            </w:r>
            <w:r w:rsidRPr="00AC29DA">
              <w:rPr>
                <w:rFonts w:eastAsiaTheme="minorHAnsi" w:cs="Arial"/>
                <w:szCs w:val="18"/>
                <w:lang w:val="en-GB"/>
              </w:rPr>
              <w:t>]</w:t>
            </w:r>
          </w:p>
        </w:tc>
        <w:tc>
          <w:tcPr>
            <w:tcW w:w="851" w:type="dxa"/>
            <w:tcBorders>
              <w:top w:val="single" w:sz="12" w:space="0" w:color="008000"/>
              <w:bottom w:val="single" w:sz="6" w:space="0" w:color="008000"/>
            </w:tcBorders>
            <w:shd w:val="clear" w:color="auto" w:fill="FFFFFF"/>
          </w:tcPr>
          <w:p w14:paraId="50FDBC8D" w14:textId="555FC7A0" w:rsidR="00BC42A7" w:rsidRPr="00AC29DA" w:rsidRDefault="00BC42A7" w:rsidP="00BC42A7">
            <w:pPr>
              <w:pStyle w:val="CETBodytext"/>
              <w:ind w:right="-1"/>
              <w:rPr>
                <w:rFonts w:eastAsiaTheme="minorHAnsi" w:cs="Arial"/>
                <w:szCs w:val="18"/>
                <w:lang w:val="en-GB"/>
              </w:rPr>
            </w:pPr>
            <w:r w:rsidRPr="00AC29DA">
              <w:rPr>
                <w:rFonts w:eastAsiaTheme="minorHAnsi" w:cs="Arial"/>
                <w:i/>
                <w:iCs/>
                <w:szCs w:val="18"/>
                <w:lang w:val="en-GB"/>
              </w:rPr>
              <w:t>U</w:t>
            </w:r>
            <w:r w:rsidRPr="00AC29DA">
              <w:rPr>
                <w:rFonts w:eastAsiaTheme="minorHAnsi" w:cs="Arial"/>
                <w:i/>
                <w:iCs/>
                <w:szCs w:val="18"/>
                <w:vertAlign w:val="subscript"/>
                <w:lang w:val="en-GB"/>
              </w:rPr>
              <w:t>g</w:t>
            </w:r>
            <w:r w:rsidRPr="00AC29DA">
              <w:rPr>
                <w:rFonts w:eastAsiaTheme="minorHAnsi" w:cs="Arial"/>
                <w:szCs w:val="18"/>
                <w:vertAlign w:val="subscript"/>
                <w:lang w:val="en-GB"/>
              </w:rPr>
              <w:t xml:space="preserve"> </w:t>
            </w:r>
            <w:r w:rsidRPr="00AC29DA">
              <w:rPr>
                <w:rFonts w:eastAsiaTheme="minorHAnsi" w:cs="Arial"/>
                <w:szCs w:val="18"/>
                <w:lang w:val="en-GB"/>
              </w:rPr>
              <w:t>[ms</w:t>
            </w:r>
            <w:r w:rsidRPr="00AC29DA">
              <w:rPr>
                <w:rFonts w:eastAsiaTheme="minorHAnsi" w:cs="Arial"/>
                <w:szCs w:val="18"/>
                <w:vertAlign w:val="superscript"/>
                <w:lang w:val="en-GB"/>
              </w:rPr>
              <w:t>-1</w:t>
            </w:r>
            <w:r w:rsidRPr="00AC29DA">
              <w:rPr>
                <w:rFonts w:eastAsiaTheme="minorHAnsi" w:cs="Arial"/>
                <w:szCs w:val="18"/>
                <w:lang w:val="en-GB"/>
              </w:rPr>
              <w:t>]</w:t>
            </w:r>
          </w:p>
        </w:tc>
      </w:tr>
      <w:tr w:rsidR="00BC42A7" w:rsidRPr="00AC29DA" w14:paraId="3286FC57" w14:textId="01AF279E" w:rsidTr="00816712">
        <w:tc>
          <w:tcPr>
            <w:tcW w:w="1134" w:type="dxa"/>
            <w:vMerge w:val="restart"/>
            <w:tcBorders>
              <w:top w:val="single" w:sz="6" w:space="0" w:color="008000"/>
            </w:tcBorders>
            <w:shd w:val="clear" w:color="auto" w:fill="FFFFFF"/>
            <w:vAlign w:val="center"/>
          </w:tcPr>
          <w:p w14:paraId="348DB5DE" w14:textId="77777777" w:rsidR="00BC42A7" w:rsidRPr="00AC29DA" w:rsidRDefault="00BC42A7" w:rsidP="00BC42A7">
            <w:pPr>
              <w:pStyle w:val="CETBodytext"/>
              <w:jc w:val="center"/>
              <w:rPr>
                <w:lang w:val="en-GB"/>
              </w:rPr>
            </w:pPr>
            <w:r w:rsidRPr="00AC29DA">
              <w:rPr>
                <w:lang w:val="en-GB"/>
              </w:rPr>
              <w:t>1</w:t>
            </w:r>
          </w:p>
        </w:tc>
        <w:tc>
          <w:tcPr>
            <w:tcW w:w="851" w:type="dxa"/>
            <w:tcBorders>
              <w:top w:val="single" w:sz="6" w:space="0" w:color="008000"/>
            </w:tcBorders>
            <w:shd w:val="clear" w:color="auto" w:fill="FFFFFF"/>
          </w:tcPr>
          <w:p w14:paraId="219BA74A" w14:textId="5DC524EE" w:rsidR="00BC42A7" w:rsidRPr="00AC29DA" w:rsidRDefault="00BC42A7" w:rsidP="00BC42A7">
            <w:pPr>
              <w:pStyle w:val="CETBodytext"/>
              <w:ind w:right="-1"/>
              <w:rPr>
                <w:rFonts w:cs="Arial"/>
                <w:szCs w:val="18"/>
                <w:lang w:val="en-GB"/>
              </w:rPr>
            </w:pPr>
            <w:r w:rsidRPr="00AC29DA">
              <w:rPr>
                <w:rFonts w:cs="Arial"/>
                <w:szCs w:val="18"/>
                <w:lang w:val="en-GB"/>
              </w:rPr>
              <w:t>5</w:t>
            </w:r>
          </w:p>
        </w:tc>
        <w:tc>
          <w:tcPr>
            <w:tcW w:w="851" w:type="dxa"/>
            <w:tcBorders>
              <w:top w:val="single" w:sz="6" w:space="0" w:color="008000"/>
            </w:tcBorders>
            <w:shd w:val="clear" w:color="auto" w:fill="FFFFFF"/>
          </w:tcPr>
          <w:p w14:paraId="4F255AAD" w14:textId="5CD0E3D3" w:rsidR="00BC42A7" w:rsidRPr="00AC29DA" w:rsidRDefault="00440E11" w:rsidP="00BC42A7">
            <w:pPr>
              <w:pStyle w:val="CETBodytext"/>
              <w:ind w:right="-1"/>
              <w:rPr>
                <w:rFonts w:cs="Arial"/>
                <w:szCs w:val="18"/>
                <w:lang w:val="en-GB"/>
              </w:rPr>
            </w:pPr>
            <w:r w:rsidRPr="00AC29DA">
              <w:rPr>
                <w:rFonts w:cs="Arial"/>
                <w:szCs w:val="18"/>
                <w:lang w:val="en-GB"/>
              </w:rPr>
              <w:t>0.0</w:t>
            </w:r>
            <w:r w:rsidR="00556D38" w:rsidRPr="00AC29DA">
              <w:rPr>
                <w:rFonts w:cs="Arial"/>
                <w:szCs w:val="18"/>
                <w:lang w:val="en-GB"/>
              </w:rPr>
              <w:t>30</w:t>
            </w:r>
          </w:p>
        </w:tc>
        <w:tc>
          <w:tcPr>
            <w:tcW w:w="851" w:type="dxa"/>
            <w:tcBorders>
              <w:top w:val="single" w:sz="6" w:space="0" w:color="008000"/>
              <w:bottom w:val="nil"/>
            </w:tcBorders>
            <w:shd w:val="clear" w:color="auto" w:fill="FFFFFF"/>
          </w:tcPr>
          <w:p w14:paraId="6E3CEE18" w14:textId="2E98D05D" w:rsidR="00BC42A7" w:rsidRPr="00AC29DA" w:rsidRDefault="00BC42A7" w:rsidP="00BC42A7">
            <w:pPr>
              <w:pStyle w:val="CETBodytext"/>
              <w:ind w:right="-1"/>
              <w:rPr>
                <w:rFonts w:cs="Arial"/>
                <w:szCs w:val="18"/>
                <w:lang w:val="en-GB"/>
              </w:rPr>
            </w:pPr>
            <w:r w:rsidRPr="00AC29DA">
              <w:rPr>
                <w:rFonts w:cs="Arial"/>
                <w:szCs w:val="18"/>
                <w:lang w:val="en-GB"/>
              </w:rPr>
              <w:t>0.027</w:t>
            </w:r>
          </w:p>
        </w:tc>
      </w:tr>
      <w:tr w:rsidR="00BC42A7" w:rsidRPr="00AC29DA" w14:paraId="1C52F883" w14:textId="1912A0C2" w:rsidTr="00816712">
        <w:tc>
          <w:tcPr>
            <w:tcW w:w="1134" w:type="dxa"/>
            <w:vMerge/>
            <w:shd w:val="clear" w:color="auto" w:fill="FFFFFF"/>
            <w:vAlign w:val="center"/>
          </w:tcPr>
          <w:p w14:paraId="7F8B658D" w14:textId="77777777" w:rsidR="00BC42A7" w:rsidRPr="00AC29DA" w:rsidRDefault="00BC42A7" w:rsidP="00BC42A7">
            <w:pPr>
              <w:pStyle w:val="CETBodytext"/>
              <w:ind w:right="-1"/>
              <w:jc w:val="center"/>
              <w:rPr>
                <w:rFonts w:cs="Arial"/>
                <w:szCs w:val="18"/>
                <w:lang w:val="en-GB"/>
              </w:rPr>
            </w:pPr>
          </w:p>
        </w:tc>
        <w:tc>
          <w:tcPr>
            <w:tcW w:w="851" w:type="dxa"/>
            <w:shd w:val="clear" w:color="auto" w:fill="FFFFFF"/>
          </w:tcPr>
          <w:p w14:paraId="62F9A80C" w14:textId="3B2B5FEA" w:rsidR="00BC42A7" w:rsidRPr="00AC29DA" w:rsidRDefault="00BC42A7" w:rsidP="00BC42A7">
            <w:pPr>
              <w:pStyle w:val="CETBodytext"/>
              <w:ind w:right="-1"/>
              <w:rPr>
                <w:rFonts w:cs="Arial"/>
                <w:szCs w:val="18"/>
                <w:lang w:val="en-GB"/>
              </w:rPr>
            </w:pPr>
            <w:r w:rsidRPr="00AC29DA">
              <w:rPr>
                <w:rFonts w:cs="Arial"/>
                <w:szCs w:val="18"/>
                <w:lang w:val="en-GB"/>
              </w:rPr>
              <w:t>8</w:t>
            </w:r>
          </w:p>
        </w:tc>
        <w:tc>
          <w:tcPr>
            <w:tcW w:w="851" w:type="dxa"/>
            <w:shd w:val="clear" w:color="auto" w:fill="FFFFFF"/>
          </w:tcPr>
          <w:p w14:paraId="18807CF0" w14:textId="2021FF27" w:rsidR="00BC42A7" w:rsidRPr="00AC29DA" w:rsidRDefault="00440E11" w:rsidP="00BC42A7">
            <w:pPr>
              <w:pStyle w:val="CETBodytext"/>
              <w:ind w:right="-1"/>
              <w:rPr>
                <w:rFonts w:cs="Arial"/>
                <w:szCs w:val="18"/>
                <w:lang w:val="en-GB"/>
              </w:rPr>
            </w:pPr>
            <w:r w:rsidRPr="00AC29DA">
              <w:rPr>
                <w:rFonts w:cs="Arial"/>
                <w:szCs w:val="18"/>
                <w:lang w:val="en-GB"/>
              </w:rPr>
              <w:t>0.041</w:t>
            </w:r>
          </w:p>
        </w:tc>
        <w:tc>
          <w:tcPr>
            <w:tcW w:w="851" w:type="dxa"/>
            <w:tcBorders>
              <w:top w:val="nil"/>
              <w:bottom w:val="nil"/>
            </w:tcBorders>
            <w:shd w:val="clear" w:color="auto" w:fill="FFFFFF"/>
          </w:tcPr>
          <w:p w14:paraId="3AA9BA0B" w14:textId="04C5865D" w:rsidR="00BC42A7" w:rsidRPr="00AC29DA" w:rsidRDefault="00BC42A7" w:rsidP="00BC42A7">
            <w:pPr>
              <w:pStyle w:val="CETBodytext"/>
              <w:ind w:right="-1"/>
              <w:rPr>
                <w:rFonts w:cs="Arial"/>
                <w:szCs w:val="18"/>
                <w:lang w:val="en-GB"/>
              </w:rPr>
            </w:pPr>
            <w:r w:rsidRPr="00AC29DA">
              <w:rPr>
                <w:rFonts w:cs="Arial"/>
                <w:szCs w:val="18"/>
                <w:lang w:val="en-GB"/>
              </w:rPr>
              <w:t>0.036</w:t>
            </w:r>
          </w:p>
        </w:tc>
      </w:tr>
      <w:tr w:rsidR="00BC42A7" w:rsidRPr="00AC29DA" w14:paraId="658F5E06" w14:textId="7F4F914C" w:rsidTr="00816712">
        <w:tc>
          <w:tcPr>
            <w:tcW w:w="1134" w:type="dxa"/>
            <w:vMerge/>
            <w:tcBorders>
              <w:bottom w:val="single" w:sz="4" w:space="0" w:color="auto"/>
            </w:tcBorders>
            <w:shd w:val="clear" w:color="auto" w:fill="FFFFFF"/>
            <w:vAlign w:val="center"/>
          </w:tcPr>
          <w:p w14:paraId="36147C21" w14:textId="77777777" w:rsidR="00BC42A7" w:rsidRPr="00AC29DA" w:rsidRDefault="00BC42A7" w:rsidP="00BC42A7">
            <w:pPr>
              <w:pStyle w:val="CETBodytext"/>
              <w:ind w:right="-1"/>
              <w:jc w:val="center"/>
              <w:rPr>
                <w:rFonts w:cs="Arial"/>
                <w:szCs w:val="18"/>
                <w:lang w:val="en-GB"/>
              </w:rPr>
            </w:pPr>
          </w:p>
        </w:tc>
        <w:tc>
          <w:tcPr>
            <w:tcW w:w="851" w:type="dxa"/>
            <w:tcBorders>
              <w:bottom w:val="single" w:sz="4" w:space="0" w:color="auto"/>
            </w:tcBorders>
            <w:shd w:val="clear" w:color="auto" w:fill="FFFFFF"/>
          </w:tcPr>
          <w:p w14:paraId="7D0BD5B1" w14:textId="73A46DF3" w:rsidR="00BC42A7" w:rsidRPr="00AC29DA" w:rsidRDefault="00BC42A7" w:rsidP="00BC42A7">
            <w:pPr>
              <w:pStyle w:val="CETBodytext"/>
              <w:ind w:right="-1"/>
              <w:rPr>
                <w:rFonts w:cs="Arial"/>
                <w:szCs w:val="18"/>
                <w:lang w:val="en-GB"/>
              </w:rPr>
            </w:pPr>
            <w:r w:rsidRPr="00AC29DA">
              <w:rPr>
                <w:rFonts w:cs="Arial"/>
                <w:szCs w:val="18"/>
                <w:lang w:val="en-GB"/>
              </w:rPr>
              <w:t>16</w:t>
            </w:r>
          </w:p>
        </w:tc>
        <w:tc>
          <w:tcPr>
            <w:tcW w:w="851" w:type="dxa"/>
            <w:tcBorders>
              <w:bottom w:val="single" w:sz="4" w:space="0" w:color="auto"/>
            </w:tcBorders>
            <w:shd w:val="clear" w:color="auto" w:fill="FFFFFF"/>
          </w:tcPr>
          <w:p w14:paraId="5423CAE8" w14:textId="53464E56" w:rsidR="00BC42A7" w:rsidRPr="00AC29DA" w:rsidRDefault="00440E11" w:rsidP="00BC42A7">
            <w:pPr>
              <w:pStyle w:val="CETBodytext"/>
              <w:ind w:right="-1"/>
              <w:rPr>
                <w:rFonts w:cs="Arial"/>
                <w:szCs w:val="18"/>
                <w:lang w:val="en-GB"/>
              </w:rPr>
            </w:pPr>
            <w:r w:rsidRPr="00AC29DA">
              <w:rPr>
                <w:rFonts w:cs="Arial"/>
                <w:szCs w:val="18"/>
                <w:lang w:val="en-GB"/>
              </w:rPr>
              <w:t>0.050</w:t>
            </w:r>
          </w:p>
        </w:tc>
        <w:tc>
          <w:tcPr>
            <w:tcW w:w="851" w:type="dxa"/>
            <w:tcBorders>
              <w:top w:val="nil"/>
              <w:bottom w:val="single" w:sz="4" w:space="0" w:color="auto"/>
            </w:tcBorders>
            <w:shd w:val="clear" w:color="auto" w:fill="FFFFFF"/>
          </w:tcPr>
          <w:p w14:paraId="3935F1F0" w14:textId="72B88301" w:rsidR="00BC42A7" w:rsidRPr="00AC29DA" w:rsidRDefault="00BC42A7" w:rsidP="00BC42A7">
            <w:pPr>
              <w:pStyle w:val="CETBodytext"/>
              <w:ind w:right="-1"/>
              <w:rPr>
                <w:rFonts w:cs="Arial"/>
                <w:szCs w:val="18"/>
                <w:lang w:val="en-GB"/>
              </w:rPr>
            </w:pPr>
            <w:r w:rsidRPr="00AC29DA">
              <w:rPr>
                <w:rFonts w:cs="Arial"/>
                <w:szCs w:val="18"/>
                <w:lang w:val="en-GB"/>
              </w:rPr>
              <w:t>0.047</w:t>
            </w:r>
          </w:p>
        </w:tc>
      </w:tr>
      <w:tr w:rsidR="00BC42A7" w:rsidRPr="00AC29DA" w14:paraId="0F370CFC" w14:textId="72BE9EA3" w:rsidTr="00816712">
        <w:tc>
          <w:tcPr>
            <w:tcW w:w="1134" w:type="dxa"/>
            <w:vMerge w:val="restart"/>
            <w:tcBorders>
              <w:top w:val="single" w:sz="4" w:space="0" w:color="auto"/>
            </w:tcBorders>
            <w:shd w:val="clear" w:color="auto" w:fill="FFFFFF"/>
            <w:vAlign w:val="center"/>
          </w:tcPr>
          <w:p w14:paraId="48170437" w14:textId="77777777" w:rsidR="00BC42A7" w:rsidRPr="00AC29DA" w:rsidRDefault="00BC42A7" w:rsidP="00BC42A7">
            <w:pPr>
              <w:pStyle w:val="CETBodytext"/>
              <w:ind w:right="-1"/>
              <w:jc w:val="center"/>
              <w:rPr>
                <w:rFonts w:cs="Arial"/>
                <w:szCs w:val="18"/>
                <w:lang w:val="en-GB"/>
              </w:rPr>
            </w:pPr>
            <w:r w:rsidRPr="00AC29DA">
              <w:rPr>
                <w:rFonts w:cs="Arial"/>
                <w:szCs w:val="18"/>
                <w:lang w:val="en-GB"/>
              </w:rPr>
              <w:t>2</w:t>
            </w:r>
          </w:p>
        </w:tc>
        <w:tc>
          <w:tcPr>
            <w:tcW w:w="851" w:type="dxa"/>
            <w:tcBorders>
              <w:top w:val="single" w:sz="4" w:space="0" w:color="auto"/>
            </w:tcBorders>
            <w:shd w:val="clear" w:color="auto" w:fill="FFFFFF"/>
          </w:tcPr>
          <w:p w14:paraId="2D9FFDF4" w14:textId="07BE1E32" w:rsidR="00BC42A7" w:rsidRPr="00AC29DA" w:rsidRDefault="00BC42A7" w:rsidP="00BC42A7">
            <w:pPr>
              <w:pStyle w:val="CETBodytext"/>
              <w:ind w:right="-1"/>
              <w:rPr>
                <w:rFonts w:cs="Arial"/>
                <w:szCs w:val="18"/>
                <w:lang w:val="en-GB"/>
              </w:rPr>
            </w:pPr>
            <w:r w:rsidRPr="00AC29DA">
              <w:rPr>
                <w:rFonts w:cs="Arial"/>
                <w:szCs w:val="18"/>
                <w:lang w:val="en-GB"/>
              </w:rPr>
              <w:t>5</w:t>
            </w:r>
          </w:p>
        </w:tc>
        <w:tc>
          <w:tcPr>
            <w:tcW w:w="851" w:type="dxa"/>
            <w:tcBorders>
              <w:top w:val="single" w:sz="4" w:space="0" w:color="auto"/>
            </w:tcBorders>
            <w:shd w:val="clear" w:color="auto" w:fill="FFFFFF"/>
          </w:tcPr>
          <w:p w14:paraId="42B68CC6" w14:textId="4B382AE8" w:rsidR="00BC42A7" w:rsidRPr="00AC29DA" w:rsidRDefault="00440E11" w:rsidP="00BC42A7">
            <w:pPr>
              <w:pStyle w:val="CETBodytext"/>
              <w:ind w:right="-1"/>
              <w:rPr>
                <w:rFonts w:cs="Arial"/>
                <w:szCs w:val="18"/>
                <w:lang w:val="en-GB"/>
              </w:rPr>
            </w:pPr>
            <w:r w:rsidRPr="00AC29DA">
              <w:rPr>
                <w:rFonts w:cs="Arial"/>
                <w:szCs w:val="18"/>
                <w:lang w:val="en-GB"/>
              </w:rPr>
              <w:t>0.030</w:t>
            </w:r>
          </w:p>
        </w:tc>
        <w:tc>
          <w:tcPr>
            <w:tcW w:w="851" w:type="dxa"/>
            <w:tcBorders>
              <w:top w:val="single" w:sz="4" w:space="0" w:color="auto"/>
            </w:tcBorders>
            <w:shd w:val="clear" w:color="auto" w:fill="FFFFFF"/>
          </w:tcPr>
          <w:p w14:paraId="00DBE6EF" w14:textId="1D10D8E0" w:rsidR="00BC42A7" w:rsidRPr="00AC29DA" w:rsidRDefault="00BC42A7" w:rsidP="00BC42A7">
            <w:pPr>
              <w:pStyle w:val="CETBodytext"/>
              <w:ind w:right="-1"/>
              <w:rPr>
                <w:rFonts w:cs="Arial"/>
                <w:szCs w:val="18"/>
                <w:lang w:val="en-GB"/>
              </w:rPr>
            </w:pPr>
            <w:r w:rsidRPr="00AC29DA">
              <w:rPr>
                <w:rFonts w:cs="Arial"/>
                <w:szCs w:val="18"/>
                <w:lang w:val="en-GB"/>
              </w:rPr>
              <w:t>0.027</w:t>
            </w:r>
          </w:p>
        </w:tc>
      </w:tr>
      <w:tr w:rsidR="00BC42A7" w:rsidRPr="00AC29DA" w14:paraId="16889788" w14:textId="37B27E62" w:rsidTr="00816712">
        <w:tc>
          <w:tcPr>
            <w:tcW w:w="1134" w:type="dxa"/>
            <w:vMerge/>
            <w:shd w:val="clear" w:color="auto" w:fill="FFFFFF"/>
          </w:tcPr>
          <w:p w14:paraId="4DF9CED4" w14:textId="77777777" w:rsidR="00BC42A7" w:rsidRPr="00AC29DA" w:rsidRDefault="00BC42A7" w:rsidP="00BC42A7">
            <w:pPr>
              <w:pStyle w:val="CETBodytext"/>
              <w:ind w:right="-1"/>
              <w:rPr>
                <w:rFonts w:cs="Arial"/>
                <w:szCs w:val="18"/>
                <w:lang w:val="en-GB"/>
              </w:rPr>
            </w:pPr>
          </w:p>
        </w:tc>
        <w:tc>
          <w:tcPr>
            <w:tcW w:w="851" w:type="dxa"/>
            <w:shd w:val="clear" w:color="auto" w:fill="FFFFFF"/>
          </w:tcPr>
          <w:p w14:paraId="044C91D6" w14:textId="23992B20" w:rsidR="00BC42A7" w:rsidRPr="00AC29DA" w:rsidRDefault="00BC42A7" w:rsidP="00BC42A7">
            <w:pPr>
              <w:pStyle w:val="CETBodytext"/>
              <w:ind w:right="-1"/>
              <w:rPr>
                <w:rFonts w:cs="Arial"/>
                <w:szCs w:val="18"/>
                <w:lang w:val="en-GB"/>
              </w:rPr>
            </w:pPr>
            <w:r w:rsidRPr="00AC29DA">
              <w:rPr>
                <w:rFonts w:cs="Arial"/>
                <w:szCs w:val="18"/>
                <w:lang w:val="en-GB"/>
              </w:rPr>
              <w:t>8</w:t>
            </w:r>
          </w:p>
        </w:tc>
        <w:tc>
          <w:tcPr>
            <w:tcW w:w="851" w:type="dxa"/>
            <w:shd w:val="clear" w:color="auto" w:fill="FFFFFF"/>
          </w:tcPr>
          <w:p w14:paraId="63DC964E" w14:textId="6D3C586C" w:rsidR="00BC42A7" w:rsidRPr="00AC29DA" w:rsidRDefault="00440E11" w:rsidP="00BC42A7">
            <w:pPr>
              <w:pStyle w:val="CETBodytext"/>
              <w:ind w:right="-1"/>
              <w:rPr>
                <w:rFonts w:cs="Arial"/>
                <w:szCs w:val="18"/>
                <w:lang w:val="en-GB"/>
              </w:rPr>
            </w:pPr>
            <w:r w:rsidRPr="00AC29DA">
              <w:rPr>
                <w:rFonts w:cs="Arial"/>
                <w:szCs w:val="18"/>
                <w:lang w:val="en-GB"/>
              </w:rPr>
              <w:t>0.036</w:t>
            </w:r>
          </w:p>
        </w:tc>
        <w:tc>
          <w:tcPr>
            <w:tcW w:w="851" w:type="dxa"/>
            <w:shd w:val="clear" w:color="auto" w:fill="FFFFFF"/>
          </w:tcPr>
          <w:p w14:paraId="5A1FF1B5" w14:textId="472C962C" w:rsidR="00BC42A7" w:rsidRPr="00AC29DA" w:rsidRDefault="00BC42A7" w:rsidP="00BC42A7">
            <w:pPr>
              <w:pStyle w:val="CETBodytext"/>
              <w:ind w:right="-1"/>
              <w:rPr>
                <w:rFonts w:cs="Arial"/>
                <w:szCs w:val="18"/>
                <w:lang w:val="en-GB"/>
              </w:rPr>
            </w:pPr>
            <w:r w:rsidRPr="00AC29DA">
              <w:rPr>
                <w:rFonts w:cs="Arial"/>
                <w:szCs w:val="18"/>
                <w:lang w:val="en-GB"/>
              </w:rPr>
              <w:t>0.034</w:t>
            </w:r>
          </w:p>
        </w:tc>
      </w:tr>
      <w:tr w:rsidR="00BC42A7" w:rsidRPr="00AC29DA" w14:paraId="3C82C892" w14:textId="0E4C177A" w:rsidTr="00816712">
        <w:tc>
          <w:tcPr>
            <w:tcW w:w="1134" w:type="dxa"/>
            <w:vMerge/>
            <w:shd w:val="clear" w:color="auto" w:fill="FFFFFF"/>
          </w:tcPr>
          <w:p w14:paraId="1129E9AB" w14:textId="77777777" w:rsidR="00BC42A7" w:rsidRPr="00AC29DA" w:rsidRDefault="00BC42A7" w:rsidP="00BC42A7">
            <w:pPr>
              <w:pStyle w:val="CETBodytext"/>
              <w:ind w:right="-1"/>
              <w:rPr>
                <w:rFonts w:cs="Arial"/>
                <w:szCs w:val="18"/>
                <w:lang w:val="en-GB"/>
              </w:rPr>
            </w:pPr>
          </w:p>
        </w:tc>
        <w:tc>
          <w:tcPr>
            <w:tcW w:w="851" w:type="dxa"/>
            <w:shd w:val="clear" w:color="auto" w:fill="FFFFFF"/>
          </w:tcPr>
          <w:p w14:paraId="33FB7473" w14:textId="46181EA0" w:rsidR="00BC42A7" w:rsidRPr="00AC29DA" w:rsidRDefault="00BC42A7" w:rsidP="00BC42A7">
            <w:pPr>
              <w:pStyle w:val="CETBodytext"/>
              <w:ind w:right="-1"/>
              <w:rPr>
                <w:rFonts w:cs="Arial"/>
                <w:szCs w:val="18"/>
                <w:lang w:val="en-GB"/>
              </w:rPr>
            </w:pPr>
            <w:r w:rsidRPr="00AC29DA">
              <w:rPr>
                <w:rFonts w:cs="Arial"/>
                <w:szCs w:val="18"/>
                <w:lang w:val="en-GB"/>
              </w:rPr>
              <w:t>16</w:t>
            </w:r>
          </w:p>
        </w:tc>
        <w:tc>
          <w:tcPr>
            <w:tcW w:w="851" w:type="dxa"/>
            <w:shd w:val="clear" w:color="auto" w:fill="FFFFFF"/>
          </w:tcPr>
          <w:p w14:paraId="487FC8F2" w14:textId="7447F14B" w:rsidR="00BC42A7" w:rsidRPr="00AC29DA" w:rsidRDefault="00440E11" w:rsidP="00BC42A7">
            <w:pPr>
              <w:pStyle w:val="CETBodytext"/>
              <w:ind w:right="-1"/>
              <w:rPr>
                <w:rFonts w:cs="Arial"/>
                <w:szCs w:val="18"/>
                <w:lang w:val="en-GB"/>
              </w:rPr>
            </w:pPr>
            <w:r w:rsidRPr="00AC29DA">
              <w:rPr>
                <w:rFonts w:cs="Arial"/>
                <w:szCs w:val="18"/>
                <w:lang w:val="en-GB"/>
              </w:rPr>
              <w:t>0.043</w:t>
            </w:r>
          </w:p>
        </w:tc>
        <w:tc>
          <w:tcPr>
            <w:tcW w:w="851" w:type="dxa"/>
            <w:shd w:val="clear" w:color="auto" w:fill="FFFFFF"/>
          </w:tcPr>
          <w:p w14:paraId="01CD5000" w14:textId="0A100B59" w:rsidR="00BC42A7" w:rsidRPr="00AC29DA" w:rsidRDefault="00BC42A7" w:rsidP="00BC42A7">
            <w:pPr>
              <w:pStyle w:val="CETBodytext"/>
              <w:ind w:right="-1"/>
              <w:rPr>
                <w:rFonts w:cs="Arial"/>
                <w:szCs w:val="18"/>
                <w:lang w:val="en-GB"/>
              </w:rPr>
            </w:pPr>
            <w:r w:rsidRPr="00AC29DA">
              <w:rPr>
                <w:rFonts w:cs="Arial"/>
                <w:szCs w:val="18"/>
                <w:lang w:val="en-GB"/>
              </w:rPr>
              <w:t>0.040</w:t>
            </w:r>
          </w:p>
        </w:tc>
      </w:tr>
    </w:tbl>
    <w:p w14:paraId="3D5C8C73" w14:textId="4CB9B2EB" w:rsidR="00092D40" w:rsidRPr="00AC29DA" w:rsidRDefault="00092D40" w:rsidP="00A366B8">
      <w:pPr>
        <w:pStyle w:val="CETBodytext"/>
        <w:rPr>
          <w:lang w:val="en-GB"/>
        </w:rPr>
      </w:pPr>
    </w:p>
    <w:p w14:paraId="47640775" w14:textId="0150F377" w:rsidR="002B09BE" w:rsidRPr="00AC29DA" w:rsidRDefault="00A32B35" w:rsidP="002B09BE">
      <w:pPr>
        <w:pStyle w:val="CETheadingx"/>
        <w:rPr>
          <w:lang w:val="en-GB"/>
        </w:rPr>
      </w:pPr>
      <w:r w:rsidRPr="00AC29DA">
        <w:rPr>
          <w:lang w:val="en-GB"/>
        </w:rPr>
        <w:t xml:space="preserve">Biomass and </w:t>
      </w:r>
      <w:r w:rsidR="002B09BE" w:rsidRPr="00AC29DA">
        <w:rPr>
          <w:lang w:val="en-GB"/>
        </w:rPr>
        <w:t>PHB product</w:t>
      </w:r>
      <w:r w:rsidR="0050037F" w:rsidRPr="00AC29DA">
        <w:rPr>
          <w:lang w:val="en-GB"/>
        </w:rPr>
        <w:t>ivities</w:t>
      </w:r>
      <w:r w:rsidR="002B09BE" w:rsidRPr="00AC29DA">
        <w:rPr>
          <w:lang w:val="en-GB"/>
        </w:rPr>
        <w:t xml:space="preserve"> as </w:t>
      </w:r>
      <w:r w:rsidR="0050037F" w:rsidRPr="00AC29DA">
        <w:rPr>
          <w:lang w:val="en-GB"/>
        </w:rPr>
        <w:t xml:space="preserve">a </w:t>
      </w:r>
      <w:r w:rsidR="002B09BE" w:rsidRPr="00AC29DA">
        <w:rPr>
          <w:lang w:val="en-GB"/>
        </w:rPr>
        <w:t>function of the reactor geometry</w:t>
      </w:r>
    </w:p>
    <w:p w14:paraId="2893EB8B" w14:textId="3818C5F1" w:rsidR="0065753E" w:rsidRPr="00AC29DA" w:rsidRDefault="00A32B35" w:rsidP="00A32B35">
      <w:pPr>
        <w:pStyle w:val="CETBodytext"/>
        <w:rPr>
          <w:lang w:val="en-GB"/>
        </w:rPr>
      </w:pPr>
      <w:r w:rsidRPr="00AC29DA">
        <w:rPr>
          <w:lang w:val="en-GB"/>
        </w:rPr>
        <w:t>The productivity of both biomass and PHB was evaluated</w:t>
      </w:r>
      <w:r w:rsidR="0065753E" w:rsidRPr="00AC29DA">
        <w:rPr>
          <w:lang w:val="en-GB"/>
        </w:rPr>
        <w:t xml:space="preserve"> as </w:t>
      </w:r>
      <w:r w:rsidR="0050037F" w:rsidRPr="00AC29DA">
        <w:rPr>
          <w:lang w:val="en-GB"/>
        </w:rPr>
        <w:t xml:space="preserve">a </w:t>
      </w:r>
      <w:r w:rsidR="0065753E" w:rsidRPr="00AC29DA">
        <w:rPr>
          <w:lang w:val="en-GB"/>
        </w:rPr>
        <w:t xml:space="preserve">function of the aspect ratio </w:t>
      </w:r>
      <w:proofErr w:type="gramStart"/>
      <w:r w:rsidR="0065753E" w:rsidRPr="00AC29DA">
        <w:rPr>
          <w:lang w:val="en-GB"/>
        </w:rPr>
        <w:t>in order to</w:t>
      </w:r>
      <w:proofErr w:type="gramEnd"/>
      <w:r w:rsidR="0065753E" w:rsidRPr="00AC29DA">
        <w:rPr>
          <w:lang w:val="en-GB"/>
        </w:rPr>
        <w:t xml:space="preserve"> assess the effect of the geometry</w:t>
      </w:r>
      <w:r w:rsidR="001F3DC1" w:rsidRPr="00AC29DA">
        <w:rPr>
          <w:lang w:val="en-GB"/>
        </w:rPr>
        <w:t xml:space="preserve"> of the reactors</w:t>
      </w:r>
      <w:r w:rsidR="0065753E" w:rsidRPr="00AC29DA">
        <w:rPr>
          <w:lang w:val="en-GB"/>
        </w:rPr>
        <w:t xml:space="preserve"> on process yields</w:t>
      </w:r>
      <w:r w:rsidRPr="00AC29DA">
        <w:rPr>
          <w:lang w:val="en-GB"/>
        </w:rPr>
        <w:t>.</w:t>
      </w:r>
      <w:r w:rsidR="00A925B6" w:rsidRPr="00AC29DA">
        <w:rPr>
          <w:lang w:val="en-GB"/>
        </w:rPr>
        <w:t xml:space="preserve"> </w:t>
      </w:r>
    </w:p>
    <w:p w14:paraId="0B36B1BA" w14:textId="54EF4596" w:rsidR="00A32B35" w:rsidRPr="00AC29DA" w:rsidRDefault="00911F1E" w:rsidP="00A32B35">
      <w:pPr>
        <w:pStyle w:val="CETBodytext"/>
        <w:rPr>
          <w:lang w:val="en-GB"/>
        </w:rPr>
      </w:pPr>
      <w:r w:rsidRPr="00AC29DA">
        <w:rPr>
          <w:lang w:val="en-GB"/>
        </w:rPr>
        <w:t>It can be observed that</w:t>
      </w:r>
      <w:r w:rsidR="001F3DC1" w:rsidRPr="00AC29DA">
        <w:rPr>
          <w:lang w:val="en-GB"/>
        </w:rPr>
        <w:t xml:space="preserve"> </w:t>
      </w:r>
      <w:proofErr w:type="spellStart"/>
      <w:r w:rsidR="0065753E" w:rsidRPr="00AC29DA">
        <w:rPr>
          <w:i/>
          <w:iCs/>
          <w:lang w:val="en-GB"/>
        </w:rPr>
        <w:t>PHB</w:t>
      </w:r>
      <w:r w:rsidR="0065753E" w:rsidRPr="00AC29DA">
        <w:rPr>
          <w:i/>
          <w:iCs/>
          <w:vertAlign w:val="subscript"/>
          <w:lang w:val="en-GB"/>
        </w:rPr>
        <w:t>prod</w:t>
      </w:r>
      <w:proofErr w:type="spellEnd"/>
      <w:r w:rsidR="0065753E" w:rsidRPr="00AC29DA">
        <w:rPr>
          <w:lang w:val="en-GB"/>
        </w:rPr>
        <w:t xml:space="preserve"> and </w:t>
      </w:r>
      <w:proofErr w:type="spellStart"/>
      <w:r w:rsidR="0065753E" w:rsidRPr="00AC29DA">
        <w:rPr>
          <w:i/>
          <w:iCs/>
          <w:lang w:val="en-GB"/>
        </w:rPr>
        <w:t>BIO</w:t>
      </w:r>
      <w:r w:rsidR="0065753E" w:rsidRPr="00AC29DA">
        <w:rPr>
          <w:i/>
          <w:iCs/>
          <w:vertAlign w:val="subscript"/>
          <w:lang w:val="en-GB"/>
        </w:rPr>
        <w:t>prod</w:t>
      </w:r>
      <w:proofErr w:type="spellEnd"/>
      <w:r w:rsidR="0065753E" w:rsidRPr="00AC29DA">
        <w:rPr>
          <w:lang w:val="en-GB"/>
        </w:rPr>
        <w:t xml:space="preserve"> tend to decrease with </w:t>
      </w:r>
      <w:r w:rsidR="0065753E" w:rsidRPr="00AC29DA">
        <w:rPr>
          <w:i/>
          <w:iCs/>
          <w:lang w:val="en-GB"/>
        </w:rPr>
        <w:t>A</w:t>
      </w:r>
      <w:r w:rsidR="0065753E" w:rsidRPr="00AC29DA">
        <w:rPr>
          <w:lang w:val="en-GB"/>
        </w:rPr>
        <w:t xml:space="preserve"> (Figure </w:t>
      </w:r>
      <w:r w:rsidR="00331EB1" w:rsidRPr="00AC29DA">
        <w:rPr>
          <w:lang w:val="en-GB"/>
        </w:rPr>
        <w:t>4</w:t>
      </w:r>
      <w:r w:rsidR="0065753E" w:rsidRPr="00AC29DA">
        <w:rPr>
          <w:lang w:val="en-GB"/>
        </w:rPr>
        <w:t xml:space="preserve"> and </w:t>
      </w:r>
      <w:r w:rsidR="00331EB1" w:rsidRPr="00AC29DA">
        <w:rPr>
          <w:lang w:val="en-GB"/>
        </w:rPr>
        <w:t>5</w:t>
      </w:r>
      <w:r w:rsidR="0065753E" w:rsidRPr="00AC29DA">
        <w:rPr>
          <w:lang w:val="en-GB"/>
        </w:rPr>
        <w:t>)</w:t>
      </w:r>
      <w:r w:rsidRPr="00AC29DA">
        <w:rPr>
          <w:lang w:val="en-GB"/>
        </w:rPr>
        <w:t xml:space="preserve"> and, the higher the aspect ratio, the higher the </w:t>
      </w:r>
      <w:r w:rsidR="001F3DC1" w:rsidRPr="00AC29DA">
        <w:rPr>
          <w:lang w:val="en-GB"/>
        </w:rPr>
        <w:t xml:space="preserve">gap </w:t>
      </w:r>
      <w:r w:rsidRPr="00AC29DA">
        <w:rPr>
          <w:lang w:val="en-GB"/>
        </w:rPr>
        <w:t>between the two cases simulated</w:t>
      </w:r>
      <w:r w:rsidR="0065753E" w:rsidRPr="00AC29DA">
        <w:rPr>
          <w:lang w:val="en-GB"/>
        </w:rPr>
        <w:t xml:space="preserve">. </w:t>
      </w:r>
      <w:r w:rsidRPr="00AC29DA">
        <w:rPr>
          <w:lang w:val="en-GB"/>
        </w:rPr>
        <w:t>However,</w:t>
      </w:r>
      <w:r w:rsidR="002B477C" w:rsidRPr="00AC29DA">
        <w:rPr>
          <w:lang w:val="en-GB"/>
        </w:rPr>
        <w:t xml:space="preserve"> it appears that to parity of aspect ratio, higher productivities </w:t>
      </w:r>
      <w:r w:rsidR="0065753E" w:rsidRPr="00AC29DA">
        <w:rPr>
          <w:lang w:val="en-GB"/>
        </w:rPr>
        <w:t>can be</w:t>
      </w:r>
      <w:r w:rsidR="002B477C" w:rsidRPr="00AC29DA">
        <w:rPr>
          <w:lang w:val="en-GB"/>
        </w:rPr>
        <w:t xml:space="preserve"> obtained when the volume is kept </w:t>
      </w:r>
      <w:r w:rsidR="008230BB" w:rsidRPr="00AC29DA">
        <w:rPr>
          <w:lang w:val="en-GB"/>
        </w:rPr>
        <w:t>constant,</w:t>
      </w:r>
      <w:r w:rsidR="002B477C" w:rsidRPr="00AC29DA">
        <w:rPr>
          <w:lang w:val="en-GB"/>
        </w:rPr>
        <w:t xml:space="preserve"> and the diameter of the reactor is varied</w:t>
      </w:r>
      <w:r w:rsidR="00ED72E4" w:rsidRPr="00AC29DA">
        <w:rPr>
          <w:lang w:val="en-GB"/>
        </w:rPr>
        <w:t xml:space="preserve">, with values of </w:t>
      </w:r>
      <w:proofErr w:type="spellStart"/>
      <w:r w:rsidR="00ED72E4" w:rsidRPr="00AC29DA">
        <w:rPr>
          <w:i/>
          <w:iCs/>
          <w:lang w:val="en-GB"/>
        </w:rPr>
        <w:t>BIO</w:t>
      </w:r>
      <w:r w:rsidR="00ED72E4" w:rsidRPr="00AC29DA">
        <w:rPr>
          <w:i/>
          <w:iCs/>
          <w:vertAlign w:val="subscript"/>
          <w:lang w:val="en-GB"/>
        </w:rPr>
        <w:t>prod</w:t>
      </w:r>
      <w:proofErr w:type="spellEnd"/>
      <w:r w:rsidR="00ED72E4" w:rsidRPr="00AC29DA">
        <w:rPr>
          <w:lang w:val="en-GB"/>
        </w:rPr>
        <w:t xml:space="preserve"> and </w:t>
      </w:r>
      <w:proofErr w:type="spellStart"/>
      <w:r w:rsidR="00ED72E4" w:rsidRPr="00AC29DA">
        <w:rPr>
          <w:i/>
          <w:iCs/>
          <w:lang w:val="en-GB"/>
        </w:rPr>
        <w:t>PHB</w:t>
      </w:r>
      <w:r w:rsidR="00ED72E4" w:rsidRPr="00AC29DA">
        <w:rPr>
          <w:i/>
          <w:iCs/>
          <w:vertAlign w:val="subscript"/>
          <w:lang w:val="en-GB"/>
        </w:rPr>
        <w:t>prod</w:t>
      </w:r>
      <w:proofErr w:type="spellEnd"/>
      <w:r w:rsidR="00ED72E4" w:rsidRPr="00AC29DA">
        <w:rPr>
          <w:vertAlign w:val="subscript"/>
          <w:lang w:val="en-GB"/>
        </w:rPr>
        <w:t xml:space="preserve"> </w:t>
      </w:r>
      <w:r w:rsidR="00ED72E4" w:rsidRPr="00AC29DA">
        <w:rPr>
          <w:lang w:val="en-GB"/>
        </w:rPr>
        <w:t xml:space="preserve">in the ranges </w:t>
      </w:r>
      <w:r w:rsidR="000D37A8" w:rsidRPr="00AC29DA">
        <w:rPr>
          <w:lang w:val="en-GB"/>
        </w:rPr>
        <w:t>0.</w:t>
      </w:r>
      <w:r w:rsidR="00DB0BAE" w:rsidRPr="00AC29DA">
        <w:rPr>
          <w:lang w:val="en-GB"/>
        </w:rPr>
        <w:t>07-0.15 kg m</w:t>
      </w:r>
      <w:r w:rsidR="00DB0BAE" w:rsidRPr="00AC29DA">
        <w:rPr>
          <w:vertAlign w:val="superscript"/>
          <w:lang w:val="en-GB"/>
        </w:rPr>
        <w:t>-3</w:t>
      </w:r>
      <w:r w:rsidR="009B0DE6" w:rsidRPr="00AC29DA">
        <w:rPr>
          <w:lang w:val="en-GB"/>
        </w:rPr>
        <w:t>d</w:t>
      </w:r>
      <w:r w:rsidR="00DB0BAE" w:rsidRPr="00AC29DA">
        <w:rPr>
          <w:vertAlign w:val="superscript"/>
          <w:lang w:val="en-GB"/>
        </w:rPr>
        <w:t>-1</w:t>
      </w:r>
      <w:r w:rsidR="00ED72E4" w:rsidRPr="00AC29DA">
        <w:rPr>
          <w:lang w:val="en-GB"/>
        </w:rPr>
        <w:t xml:space="preserve"> and </w:t>
      </w:r>
      <w:r w:rsidR="000D37A8" w:rsidRPr="00AC29DA">
        <w:rPr>
          <w:lang w:val="en-GB"/>
        </w:rPr>
        <w:t>0.1</w:t>
      </w:r>
      <w:r w:rsidR="00DB0BAE" w:rsidRPr="00AC29DA">
        <w:rPr>
          <w:lang w:val="en-GB"/>
        </w:rPr>
        <w:t>2</w:t>
      </w:r>
      <w:r w:rsidR="000D37A8" w:rsidRPr="00AC29DA">
        <w:rPr>
          <w:lang w:val="en-GB"/>
        </w:rPr>
        <w:t>-0.</w:t>
      </w:r>
      <w:r w:rsidR="00DB0BAE" w:rsidRPr="00AC29DA">
        <w:rPr>
          <w:lang w:val="en-GB"/>
        </w:rPr>
        <w:t>25</w:t>
      </w:r>
      <w:r w:rsidR="000D37A8" w:rsidRPr="00AC29DA">
        <w:rPr>
          <w:lang w:val="en-GB"/>
        </w:rPr>
        <w:t xml:space="preserve"> kg m</w:t>
      </w:r>
      <w:r w:rsidR="000D37A8" w:rsidRPr="00AC29DA">
        <w:rPr>
          <w:vertAlign w:val="superscript"/>
          <w:lang w:val="en-GB"/>
        </w:rPr>
        <w:t>-3</w:t>
      </w:r>
      <w:r w:rsidR="009B0DE6" w:rsidRPr="00AC29DA">
        <w:rPr>
          <w:lang w:val="en-GB"/>
        </w:rPr>
        <w:t>d</w:t>
      </w:r>
      <w:r w:rsidR="000D37A8" w:rsidRPr="00AC29DA">
        <w:rPr>
          <w:vertAlign w:val="superscript"/>
          <w:lang w:val="en-GB"/>
        </w:rPr>
        <w:t>-1</w:t>
      </w:r>
      <w:r w:rsidR="00ED72E4" w:rsidRPr="00AC29DA">
        <w:rPr>
          <w:lang w:val="en-GB"/>
        </w:rPr>
        <w:t>, respectively</w:t>
      </w:r>
      <w:r w:rsidR="002B477C" w:rsidRPr="00AC29DA">
        <w:rPr>
          <w:lang w:val="en-GB"/>
        </w:rPr>
        <w:t>.</w:t>
      </w:r>
      <w:r w:rsidR="00A925B6" w:rsidRPr="00AC29DA">
        <w:rPr>
          <w:lang w:val="en-GB"/>
        </w:rPr>
        <w:t xml:space="preserve"> </w:t>
      </w:r>
      <w:r w:rsidR="00A10DAE" w:rsidRPr="00AC29DA">
        <w:rPr>
          <w:lang w:val="en-GB"/>
        </w:rPr>
        <w:t>Note that, to the author’s knowledge, there are no similar studies with focus on the assessment of the reactor geometry during the production of PHB. However, t</w:t>
      </w:r>
      <w:r w:rsidR="009B0DE6" w:rsidRPr="00AC29DA">
        <w:rPr>
          <w:lang w:val="en-GB"/>
        </w:rPr>
        <w:t xml:space="preserve">he values achieved in this work are coherent with the theoretical productivities of </w:t>
      </w:r>
      <w:r w:rsidR="009B0DE6" w:rsidRPr="00AC29DA">
        <w:rPr>
          <w:rFonts w:cs="Arial"/>
          <w:lang w:val="en-GB"/>
        </w:rPr>
        <w:t>≈</w:t>
      </w:r>
      <w:r w:rsidR="009B0DE6" w:rsidRPr="00AC29DA">
        <w:rPr>
          <w:lang w:val="en-GB"/>
        </w:rPr>
        <w:t>10</w:t>
      </w:r>
      <w:r w:rsidR="009B0DE6" w:rsidRPr="00AC29DA">
        <w:rPr>
          <w:vertAlign w:val="superscript"/>
          <w:lang w:val="en-GB"/>
        </w:rPr>
        <w:t>-2</w:t>
      </w:r>
      <w:r w:rsidR="009B0DE6" w:rsidRPr="00AC29DA">
        <w:rPr>
          <w:lang w:val="en-GB"/>
        </w:rPr>
        <w:t xml:space="preserve"> kg m</w:t>
      </w:r>
      <w:r w:rsidR="009B0DE6" w:rsidRPr="00AC29DA">
        <w:rPr>
          <w:vertAlign w:val="superscript"/>
          <w:lang w:val="en-GB"/>
        </w:rPr>
        <w:t>-3</w:t>
      </w:r>
      <w:r w:rsidR="009B0DE6" w:rsidRPr="00AC29DA">
        <w:rPr>
          <w:lang w:val="en-GB"/>
        </w:rPr>
        <w:t>d</w:t>
      </w:r>
      <w:r w:rsidR="009B0DE6" w:rsidRPr="00AC29DA">
        <w:rPr>
          <w:vertAlign w:val="superscript"/>
          <w:lang w:val="en-GB"/>
        </w:rPr>
        <w:t xml:space="preserve">-1 </w:t>
      </w:r>
      <w:r w:rsidR="009B0DE6" w:rsidRPr="00AC29DA">
        <w:rPr>
          <w:lang w:val="en-GB"/>
        </w:rPr>
        <w:t>of PHAs. Moreover, s</w:t>
      </w:r>
      <w:r w:rsidR="00A15954" w:rsidRPr="00AC29DA">
        <w:rPr>
          <w:lang w:val="en-GB"/>
        </w:rPr>
        <w:t xml:space="preserve">imilar productivities were previously reported in the literature, thus being consistent with the results achieved experimentally. </w:t>
      </w:r>
      <w:r w:rsidR="009B0DE6" w:rsidRPr="00AC29DA">
        <w:rPr>
          <w:lang w:val="en-GB"/>
        </w:rPr>
        <w:fldChar w:fldCharType="begin" w:fldLock="1"/>
      </w:r>
      <w:r w:rsidR="009B0DE6" w:rsidRPr="00AC29DA">
        <w:rPr>
          <w:lang w:val="en-GB"/>
        </w:rPr>
        <w:instrText>ADDIN CSL_CITATION {"citationItems":[{"id":"ITEM-1","itemData":{"DOI":"10.1016/j.wasman.2020.06.009","ISSN":"18792456","PMID":"32585559","abstract":"Creating additional value out of biogas during waste treatment has become a priority in past years. Biogas bioconversion into valuable bioproducts such as biopolymers has emerged as a promising strategy. This work assessed the operational feasibility of a bubble column bioreactor (BCB) implemented with gas recirculation and inoculated with a polyhydroxybutyrate (PHB)-producing strain using biogas as substrate. The BCB was initially operated at empty bed residence times (EBRTs) ranging from 30 to 120 min and gas recirculation ratios (R) from 0 to 30 to assess the gas-to-liquid mass transfer and bioconversion of CH4. Subsequently, the BCB was continuously operated at a R of 30 and an EBRT of 60 min under excess of nitrogen and nitrogen feast-famine cycles of 24 h:24 h to trigger PHB synthesis. Gas recirculation played a major role in CH4 gas–liquid transfer, providing almost fourfold higher CH4 elimination capacities (~41 g CH4 m−3 h−1) at the highest R and EBRT of 60 min. The long-term operation under N excess conditions entailed nitrite accumulation (induced by O2 limiting conditions) and concurrent methanotrophic activity inhibition above ~60 mg N-NO2− L−1. Adjusting the N-NO3− supply to match microbial N demand successfully prevented nitrite accumulation. Finally, the N feast-famine 24 h:24 h strategy supported a stable CH4 conversion with a removal efficiency of 70% along with a continuous PHB production, which yielded PHB accumulations of 14.5 ± 2.9% (mg PHB mg−1 total suspended solids × 100). These outcomes represent the first step towards the integration of biogas biorefineries into conventional anaerobic digestion plants.","author":[{"dropping-particle":"","family":"Rodríguez","given":"Yadira","non-dropping-particle":"","parse-names":false,"suffix":""},{"dropping-particle":"","family":"Firmino","given":"Paulo Igor Milen","non-dropping-particle":"","parse-names":false,"suffix":""},{"dropping-particle":"","family":"Pérez","given":"Víctor","non-dropping-particle":"","parse-names":false,"suffix":""},{"dropping-particle":"","family":"Lebrero","given":"Raquel","non-dropping-particle":"","parse-names":false,"suffix":""},{"dropping-particle":"","family":"Muñoz","given":"Raúl","non-dropping-particle":"","parse-names":false,"suffix":""}],"container-title":"Waste Management","id":"ITEM-1","issued":{"date-parts":[["2020"]]},"page":"395-403","title":"Biogas valorization via continuous polyhydroxybutyrate production by Methylocystis hirsuta in a bubble column bioreactor","type":"article-journal","volume":"113"},"uris":["http://www.mendeley.com/documents/?uuid=707d8c8f-bd01-45a2-af29-f4c1e1948bd4"]}],"mendeley":{"formattedCitation":"(Rodríguez et al., 2020)","manualFormatting":"Rodríguez et al. (2020)","plainTextFormattedCitation":"(Rodríguez et al., 2020)","previouslyFormattedCitation":"(Rodríguez et al., 2020)"},"properties":{"noteIndex":0},"schema":"https://github.com/citation-style-language/schema/raw/master/csl-citation.json"}</w:instrText>
      </w:r>
      <w:r w:rsidR="009B0DE6" w:rsidRPr="00AC29DA">
        <w:rPr>
          <w:lang w:val="en-GB"/>
        </w:rPr>
        <w:fldChar w:fldCharType="separate"/>
      </w:r>
      <w:r w:rsidR="009B0DE6" w:rsidRPr="00AC29DA">
        <w:rPr>
          <w:noProof/>
          <w:lang w:val="en-GB"/>
        </w:rPr>
        <w:t>Rodríguez et al. (2020)</w:t>
      </w:r>
      <w:r w:rsidR="009B0DE6" w:rsidRPr="00AC29DA">
        <w:rPr>
          <w:lang w:val="en-GB"/>
        </w:rPr>
        <w:fldChar w:fldCharType="end"/>
      </w:r>
      <w:r w:rsidR="009B0DE6" w:rsidRPr="00AC29DA">
        <w:rPr>
          <w:lang w:val="en-GB"/>
        </w:rPr>
        <w:t xml:space="preserve">, for instance, obtained 0.04-0.06 </w:t>
      </w:r>
      <w:proofErr w:type="spellStart"/>
      <w:r w:rsidR="009B0DE6" w:rsidRPr="00AC29DA">
        <w:rPr>
          <w:lang w:val="en-GB"/>
        </w:rPr>
        <w:t>kgPHAs</w:t>
      </w:r>
      <w:proofErr w:type="spellEnd"/>
      <w:r w:rsidR="009B0DE6" w:rsidRPr="00AC29DA">
        <w:rPr>
          <w:lang w:val="en-GB"/>
        </w:rPr>
        <w:t xml:space="preserve"> m</w:t>
      </w:r>
      <w:r w:rsidR="009B0DE6" w:rsidRPr="00AC29DA">
        <w:rPr>
          <w:vertAlign w:val="superscript"/>
          <w:lang w:val="en-GB"/>
        </w:rPr>
        <w:t>-3</w:t>
      </w:r>
      <w:r w:rsidR="009B0DE6" w:rsidRPr="00AC29DA">
        <w:rPr>
          <w:lang w:val="en-GB"/>
        </w:rPr>
        <w:t>d</w:t>
      </w:r>
      <w:r w:rsidR="009B0DE6" w:rsidRPr="00AC29DA">
        <w:rPr>
          <w:vertAlign w:val="superscript"/>
          <w:lang w:val="en-GB"/>
        </w:rPr>
        <w:t xml:space="preserve">-1 </w:t>
      </w:r>
      <w:r w:rsidR="009B0DE6" w:rsidRPr="00AC29DA">
        <w:rPr>
          <w:lang w:val="en-GB"/>
        </w:rPr>
        <w:t xml:space="preserve">when producing PHAs from biogas in a bubble column bioreactor, despite the theoretical production resulted in 0.26 </w:t>
      </w:r>
      <w:proofErr w:type="spellStart"/>
      <w:r w:rsidR="009B0DE6" w:rsidRPr="00AC29DA">
        <w:rPr>
          <w:lang w:val="en-GB"/>
        </w:rPr>
        <w:t>kgPHAs</w:t>
      </w:r>
      <w:proofErr w:type="spellEnd"/>
      <w:r w:rsidR="009B0DE6" w:rsidRPr="00AC29DA">
        <w:rPr>
          <w:lang w:val="en-GB"/>
        </w:rPr>
        <w:t xml:space="preserve"> m</w:t>
      </w:r>
      <w:r w:rsidR="009B0DE6" w:rsidRPr="00AC29DA">
        <w:rPr>
          <w:vertAlign w:val="superscript"/>
          <w:lang w:val="en-GB"/>
        </w:rPr>
        <w:t>-3</w:t>
      </w:r>
      <w:r w:rsidR="009B0DE6" w:rsidRPr="00AC29DA">
        <w:rPr>
          <w:lang w:val="en-GB"/>
        </w:rPr>
        <w:t>d</w:t>
      </w:r>
      <w:r w:rsidR="009B0DE6" w:rsidRPr="00AC29DA">
        <w:rPr>
          <w:vertAlign w:val="superscript"/>
          <w:lang w:val="en-GB"/>
        </w:rPr>
        <w:t>-1</w:t>
      </w:r>
      <w:r w:rsidR="009B0DE6" w:rsidRPr="00AC29DA">
        <w:rPr>
          <w:lang w:val="en-GB"/>
        </w:rPr>
        <w:t xml:space="preserve">. Higher values where obtained by </w:t>
      </w:r>
      <w:r w:rsidR="009B0DE6" w:rsidRPr="00AC29DA">
        <w:rPr>
          <w:lang w:val="en-GB"/>
        </w:rPr>
        <w:fldChar w:fldCharType="begin" w:fldLock="1"/>
      </w:r>
      <w:r w:rsidR="004D2AE2">
        <w:rPr>
          <w:lang w:val="en-GB"/>
        </w:rPr>
        <w:instrText>ADDIN CSL_CITATION {"citationItems":[{"id":"ITEM-1","itemData":{"DOI":"10.3303/CET1868074","ISBN":"9788895608655","ISSN":"22839216","abstract":"This work aimed at optimizing the removal of diluted CH4 emissions (4 % v/v) by decoupling the actual gas residence time from the overall empty bed residence time (EBRT) in a continuous bubble column bioreactor (BCB) inoculated with Methylocystis hirsuta. Different EBRTs (120, 60, 30 and 15 min) were tested along with six internal gas-recycling ratios (QR/Q = 0, 2, 3, 6, 10 and 15, where QR is the recycling gas flow rate and Q the inlet gas flow rate treated). The results showed a CH4 elimination capacity of 35.2 ± 0.4 g m-3 h-1 (RE=72.9 ± 0.5 %) at an EBRT of 30 min and QR/Q of 15, which was identified as the optimum operating conditions in terms of CH4 abatement. The production of poly-3-hydroxybutyrate (PHB) was initially evaluated batchwise, in experiments limiting micro and macro nutrients such as K, Mn, N, and N with excess of Fe. Nitrogen starvation resulted in the highest PHB accumulation (28.0 ± 1.2 %) batchwise. Based on these results, nine sequential N feast-famine cycles were implemented in the BCB operating at an EBRT of 30 min and a QR/Q of 15. N starvation resulted in a gradual increase in the PHB content from 0.4 ± 0.0 % to 25.7 ± 0.1 % in the first cycle and up to 37.2 ± 2.0 % from the fifth cycle onwards. PHB productivities remained roughly constant during operation under N feast-famine cycles at 1.82-2.23 kg m-3 d-1, which corresponded to specific PHB productivities ranging from 15.9 to 21.6 mg PHB gX-1 h-1.","author":[{"dropping-particle":"","family":"García-Pérez","given":"Teresa","non-dropping-particle":"","parse-names":false,"suffix":""},{"dropping-particle":"","family":"López","given":"Juan C.","non-dropping-particle":"","parse-names":false,"suffix":""},{"dropping-particle":"","family":"Passos","given":"Fabiana","non-dropping-particle":"","parse-names":false,"suffix":""},{"dropping-particle":"","family":"Lebrero","given":"Raquel","non-dropping-particle":"","parse-names":false,"suffix":""},{"dropping-particle":"","family":"Revah","given":"Sergio","non-dropping-particle":"","parse-names":false,"suffix":""},{"dropping-particle":"","family":"Muñoz","given":"Raúl","non-dropping-particle":"","parse-names":false,"suffix":""}],"container-title":"Chemical Engineering Transactions","id":"ITEM-1","issued":{"date-parts":[["2018"]]},"page":"439-444","title":"Optimization of CH4 removal from diluted emissions and continuous PHB production by methylocystis hirsuta: Towards GHG biorefineries","type":"article-journal","volume":"68"},"uris":["http://www.mendeley.com/documents/?uuid=accb8699-a99b-4e43-8ff6-a117aa396fdd"]}],"mendeley":{"formattedCitation":"(García-Pérez et al., 2018)","manualFormatting":"García-Pérez et al. (2018)","plainTextFormattedCitation":"(García-Pérez et al., 2018)","previouslyFormattedCitation":"(García-Pérez et al., 2018)"},"properties":{"noteIndex":0},"schema":"https://github.com/citation-style-language/schema/raw/master/csl-citation.json"}</w:instrText>
      </w:r>
      <w:r w:rsidR="009B0DE6" w:rsidRPr="00AC29DA">
        <w:rPr>
          <w:lang w:val="en-GB"/>
        </w:rPr>
        <w:fldChar w:fldCharType="separate"/>
      </w:r>
      <w:r w:rsidR="009B0DE6" w:rsidRPr="00AC29DA">
        <w:rPr>
          <w:noProof/>
          <w:lang w:val="en-GB"/>
        </w:rPr>
        <w:t>García-Pérez et al. (2018)</w:t>
      </w:r>
      <w:r w:rsidR="009B0DE6" w:rsidRPr="00AC29DA">
        <w:rPr>
          <w:lang w:val="en-GB"/>
        </w:rPr>
        <w:fldChar w:fldCharType="end"/>
      </w:r>
      <w:r w:rsidR="009B0DE6" w:rsidRPr="00AC29DA">
        <w:rPr>
          <w:lang w:val="en-GB"/>
        </w:rPr>
        <w:t xml:space="preserve"> in a bubble column bioreactor.</w:t>
      </w:r>
    </w:p>
    <w:p w14:paraId="309ADDCE" w14:textId="77777777" w:rsidR="002B477C" w:rsidRPr="00AC29DA" w:rsidRDefault="002B477C" w:rsidP="00A32B35">
      <w:pPr>
        <w:pStyle w:val="CETBodytext"/>
        <w:rPr>
          <w:lang w:val="en-GB"/>
        </w:rPr>
      </w:pPr>
    </w:p>
    <w:p w14:paraId="77EBE4B1" w14:textId="456B4924" w:rsidR="00A32B35" w:rsidRPr="00AC29DA" w:rsidRDefault="00AA3DE6" w:rsidP="00A32B35">
      <w:pPr>
        <w:pStyle w:val="CETBodytext"/>
        <w:rPr>
          <w:lang w:val="en-GB"/>
        </w:rPr>
      </w:pPr>
      <w:r w:rsidRPr="00AC29DA">
        <w:rPr>
          <w:noProof/>
          <w:lang w:val="en-GB"/>
        </w:rPr>
        <w:drawing>
          <wp:inline distT="0" distB="0" distL="0" distR="0" wp14:anchorId="3FE1D407" wp14:editId="79AC62A0">
            <wp:extent cx="4282440" cy="3131820"/>
            <wp:effectExtent l="0" t="0" r="0" b="0"/>
            <wp:docPr id="2" name="Immagine 1">
              <a:extLst xmlns:a="http://schemas.openxmlformats.org/drawingml/2006/main">
                <a:ext uri="{FF2B5EF4-FFF2-40B4-BE49-F238E27FC236}">
                  <a16:creationId xmlns:a16="http://schemas.microsoft.com/office/drawing/2014/main" id="{94EDDDE6-CF9B-410E-B0D8-62C357F290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4EDDDE6-CF9B-410E-B0D8-62C357F29005}"/>
                        </a:ext>
                      </a:extLst>
                    </pic:cNvPr>
                    <pic:cNvPicPr>
                      <a:picLocks noChangeAspect="1"/>
                    </pic:cNvPicPr>
                  </pic:nvPicPr>
                  <pic:blipFill rotWithShape="1">
                    <a:blip r:embed="rId12"/>
                    <a:srcRect t="7576" r="6954" b="3462"/>
                    <a:stretch/>
                  </pic:blipFill>
                  <pic:spPr bwMode="auto">
                    <a:xfrm>
                      <a:off x="0" y="0"/>
                      <a:ext cx="4290781" cy="3137920"/>
                    </a:xfrm>
                    <a:prstGeom prst="rect">
                      <a:avLst/>
                    </a:prstGeom>
                    <a:ln>
                      <a:noFill/>
                    </a:ln>
                    <a:extLst>
                      <a:ext uri="{53640926-AAD7-44D8-BBD7-CCE9431645EC}">
                        <a14:shadowObscured xmlns:a14="http://schemas.microsoft.com/office/drawing/2010/main"/>
                      </a:ext>
                    </a:extLst>
                  </pic:spPr>
                </pic:pic>
              </a:graphicData>
            </a:graphic>
          </wp:inline>
        </w:drawing>
      </w:r>
    </w:p>
    <w:p w14:paraId="3ADEF274" w14:textId="78676448" w:rsidR="00092D40" w:rsidRPr="00AC29DA" w:rsidRDefault="00092D40" w:rsidP="00A366B8">
      <w:pPr>
        <w:pStyle w:val="CETBodytext"/>
        <w:rPr>
          <w:lang w:val="en-GB"/>
        </w:rPr>
      </w:pPr>
      <w:r w:rsidRPr="00AC29DA">
        <w:rPr>
          <w:rStyle w:val="CETCaptionCarattere"/>
        </w:rPr>
        <w:t xml:space="preserve">Figure </w:t>
      </w:r>
      <w:r w:rsidR="00331EB1" w:rsidRPr="00AC29DA">
        <w:rPr>
          <w:rStyle w:val="CETCaptionCarattere"/>
        </w:rPr>
        <w:t>4</w:t>
      </w:r>
      <w:r w:rsidRPr="00AC29DA">
        <w:rPr>
          <w:rStyle w:val="CETCaptionCarattere"/>
        </w:rPr>
        <w:t xml:space="preserve">: </w:t>
      </w:r>
      <w:r w:rsidR="00267AFF" w:rsidRPr="00AC29DA">
        <w:rPr>
          <w:rStyle w:val="CETCaptionCarattere"/>
        </w:rPr>
        <w:t>Productivity of biomass at constant volume (</w:t>
      </w:r>
      <w:r w:rsidR="00C8169F" w:rsidRPr="00AC29DA">
        <w:rPr>
          <w:rStyle w:val="CETCaptionCarattere"/>
          <w:rFonts w:cs="Arial"/>
          <w:color w:val="4F81BD" w:themeColor="accent1"/>
        </w:rPr>
        <w:t>●</w:t>
      </w:r>
      <w:r w:rsidR="00267AFF" w:rsidRPr="00AC29DA">
        <w:rPr>
          <w:rStyle w:val="CETCaptionCarattere"/>
        </w:rPr>
        <w:t>) and variable volume (</w:t>
      </w:r>
      <w:r w:rsidR="00C8169F" w:rsidRPr="00AC29DA">
        <w:rPr>
          <w:rStyle w:val="CETCaptionCarattere"/>
          <w:rFonts w:cs="Arial"/>
          <w:color w:val="E36C0A" w:themeColor="accent6" w:themeShade="BF"/>
        </w:rPr>
        <w:t>■</w:t>
      </w:r>
      <w:r w:rsidR="00267AFF" w:rsidRPr="00AC29DA">
        <w:rPr>
          <w:rStyle w:val="CETCaptionCarattere"/>
        </w:rPr>
        <w:t xml:space="preserve">) as </w:t>
      </w:r>
      <w:r w:rsidR="0050037F" w:rsidRPr="00AC29DA">
        <w:rPr>
          <w:rStyle w:val="CETCaptionCarattere"/>
        </w:rPr>
        <w:t xml:space="preserve">a </w:t>
      </w:r>
      <w:r w:rsidR="00267AFF" w:rsidRPr="00AC29DA">
        <w:rPr>
          <w:rStyle w:val="CETCaptionCarattere"/>
        </w:rPr>
        <w:t>function of the aspect ratio</w:t>
      </w:r>
    </w:p>
    <w:p w14:paraId="17BA6612" w14:textId="794B6889" w:rsidR="00A366B8" w:rsidRPr="00AC29DA" w:rsidRDefault="00AA3DE6" w:rsidP="00A366B8">
      <w:pPr>
        <w:pStyle w:val="CETBodytext"/>
        <w:rPr>
          <w:lang w:val="en-GB"/>
        </w:rPr>
      </w:pPr>
      <w:r w:rsidRPr="00AC29DA">
        <w:rPr>
          <w:noProof/>
          <w:lang w:val="en-GB"/>
        </w:rPr>
        <w:drawing>
          <wp:inline distT="0" distB="0" distL="0" distR="0" wp14:anchorId="449EF692" wp14:editId="3801A4CD">
            <wp:extent cx="4655820" cy="3126556"/>
            <wp:effectExtent l="0" t="0" r="0" b="0"/>
            <wp:docPr id="1" name="Immagine 1">
              <a:extLst xmlns:a="http://schemas.openxmlformats.org/drawingml/2006/main">
                <a:ext uri="{FF2B5EF4-FFF2-40B4-BE49-F238E27FC236}">
                  <a16:creationId xmlns:a16="http://schemas.microsoft.com/office/drawing/2014/main" id="{0A75FF5E-559C-4AF8-A99F-08B8F28C0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0A75FF5E-559C-4AF8-A99F-08B8F28C0D52}"/>
                        </a:ext>
                      </a:extLst>
                    </pic:cNvPr>
                    <pic:cNvPicPr>
                      <a:picLocks noChangeAspect="1"/>
                    </pic:cNvPicPr>
                  </pic:nvPicPr>
                  <pic:blipFill rotWithShape="1">
                    <a:blip r:embed="rId13"/>
                    <a:srcRect t="8482" b="3722"/>
                    <a:stretch/>
                  </pic:blipFill>
                  <pic:spPr bwMode="auto">
                    <a:xfrm>
                      <a:off x="0" y="0"/>
                      <a:ext cx="4668643" cy="3135167"/>
                    </a:xfrm>
                    <a:prstGeom prst="rect">
                      <a:avLst/>
                    </a:prstGeom>
                    <a:ln>
                      <a:noFill/>
                    </a:ln>
                    <a:extLst>
                      <a:ext uri="{53640926-AAD7-44D8-BBD7-CCE9431645EC}">
                        <a14:shadowObscured xmlns:a14="http://schemas.microsoft.com/office/drawing/2010/main"/>
                      </a:ext>
                    </a:extLst>
                  </pic:spPr>
                </pic:pic>
              </a:graphicData>
            </a:graphic>
          </wp:inline>
        </w:drawing>
      </w:r>
    </w:p>
    <w:p w14:paraId="00D9436C" w14:textId="691708FA" w:rsidR="00A02C89" w:rsidRPr="00AC29DA" w:rsidRDefault="00092D40" w:rsidP="00A366B8">
      <w:pPr>
        <w:pStyle w:val="CETBodytext"/>
        <w:rPr>
          <w:i/>
          <w:lang w:val="en-GB"/>
        </w:rPr>
      </w:pPr>
      <w:r w:rsidRPr="00AC29DA">
        <w:rPr>
          <w:rStyle w:val="CETCaptionCarattere"/>
        </w:rPr>
        <w:t xml:space="preserve">Figure </w:t>
      </w:r>
      <w:r w:rsidR="00331EB1" w:rsidRPr="00AC29DA">
        <w:rPr>
          <w:rStyle w:val="CETCaptionCarattere"/>
        </w:rPr>
        <w:t>5</w:t>
      </w:r>
      <w:r w:rsidRPr="00AC29DA">
        <w:rPr>
          <w:rStyle w:val="CETCaptionCarattere"/>
        </w:rPr>
        <w:t xml:space="preserve">: </w:t>
      </w:r>
      <w:r w:rsidR="00267AFF" w:rsidRPr="00AC29DA">
        <w:rPr>
          <w:rStyle w:val="CETCaptionCarattere"/>
        </w:rPr>
        <w:t xml:space="preserve">Productivity of </w:t>
      </w:r>
      <w:r w:rsidR="00C8169F" w:rsidRPr="00AC29DA">
        <w:rPr>
          <w:rStyle w:val="CETCaptionCarattere"/>
        </w:rPr>
        <w:t>PHB</w:t>
      </w:r>
      <w:r w:rsidR="00267AFF" w:rsidRPr="00AC29DA">
        <w:rPr>
          <w:rStyle w:val="CETCaptionCarattere"/>
        </w:rPr>
        <w:t xml:space="preserve"> at </w:t>
      </w:r>
      <w:r w:rsidR="00C8169F" w:rsidRPr="00AC29DA">
        <w:rPr>
          <w:rStyle w:val="CETCaptionCarattere"/>
        </w:rPr>
        <w:t>constant volume (</w:t>
      </w:r>
      <w:r w:rsidR="00C8169F" w:rsidRPr="00AC29DA">
        <w:rPr>
          <w:rStyle w:val="CETCaptionCarattere"/>
          <w:rFonts w:cs="Arial"/>
          <w:color w:val="4F81BD" w:themeColor="accent1"/>
        </w:rPr>
        <w:t>●</w:t>
      </w:r>
      <w:r w:rsidR="00C8169F" w:rsidRPr="00AC29DA">
        <w:rPr>
          <w:rStyle w:val="CETCaptionCarattere"/>
        </w:rPr>
        <w:t>) and variable volume (</w:t>
      </w:r>
      <w:r w:rsidR="00C8169F" w:rsidRPr="00AC29DA">
        <w:rPr>
          <w:rStyle w:val="CETCaptionCarattere"/>
          <w:rFonts w:cs="Arial"/>
          <w:color w:val="E36C0A" w:themeColor="accent6" w:themeShade="BF"/>
        </w:rPr>
        <w:t>■</w:t>
      </w:r>
      <w:r w:rsidR="00C8169F" w:rsidRPr="00AC29DA">
        <w:rPr>
          <w:rStyle w:val="CETCaptionCarattere"/>
        </w:rPr>
        <w:t xml:space="preserve">) </w:t>
      </w:r>
      <w:r w:rsidR="00267AFF" w:rsidRPr="00AC29DA">
        <w:rPr>
          <w:rStyle w:val="CETCaptionCarattere"/>
        </w:rPr>
        <w:t xml:space="preserve">as </w:t>
      </w:r>
      <w:r w:rsidR="0050037F" w:rsidRPr="00AC29DA">
        <w:rPr>
          <w:rStyle w:val="CETCaptionCarattere"/>
        </w:rPr>
        <w:t xml:space="preserve">a </w:t>
      </w:r>
      <w:r w:rsidR="00267AFF" w:rsidRPr="00AC29DA">
        <w:rPr>
          <w:rStyle w:val="CETCaptionCarattere"/>
        </w:rPr>
        <w:t>function of the aspect ratio</w:t>
      </w:r>
    </w:p>
    <w:p w14:paraId="637EE360" w14:textId="77777777" w:rsidR="002B09BE" w:rsidRPr="00AC29DA" w:rsidRDefault="002B09BE" w:rsidP="002B09BE">
      <w:pPr>
        <w:pStyle w:val="CETHeading1"/>
        <w:rPr>
          <w:lang w:val="en-GB"/>
        </w:rPr>
      </w:pPr>
      <w:r w:rsidRPr="00AC29DA">
        <w:rPr>
          <w:lang w:val="en-GB"/>
        </w:rPr>
        <w:t>Conclusions</w:t>
      </w:r>
    </w:p>
    <w:p w14:paraId="3D3BB197" w14:textId="0D0BD445" w:rsidR="00EE30A7" w:rsidRPr="00AC29DA" w:rsidRDefault="0050037F" w:rsidP="00E41CE7">
      <w:pPr>
        <w:pStyle w:val="CETBodytext"/>
        <w:rPr>
          <w:lang w:val="en-GB"/>
        </w:rPr>
      </w:pPr>
      <w:r w:rsidRPr="00AC29DA">
        <w:rPr>
          <w:lang w:val="en-GB"/>
        </w:rPr>
        <w:t>In this work, t</w:t>
      </w:r>
      <w:r w:rsidR="00A32B35" w:rsidRPr="00AC29DA">
        <w:rPr>
          <w:lang w:val="en-GB"/>
        </w:rPr>
        <w:t xml:space="preserve">he </w:t>
      </w:r>
      <w:r w:rsidR="00E72B31" w:rsidRPr="00AC29DA">
        <w:rPr>
          <w:lang w:val="en-GB"/>
        </w:rPr>
        <w:t>P</w:t>
      </w:r>
      <w:r w:rsidR="0075036C" w:rsidRPr="00AC29DA">
        <w:rPr>
          <w:lang w:val="en-GB"/>
        </w:rPr>
        <w:t xml:space="preserve">oly(3-hydroxybutyrate) production process was </w:t>
      </w:r>
      <w:r w:rsidR="00A32B35" w:rsidRPr="00AC29DA">
        <w:rPr>
          <w:lang w:val="en-GB"/>
        </w:rPr>
        <w:t>simulated,</w:t>
      </w:r>
      <w:r w:rsidR="0075036C" w:rsidRPr="00AC29DA">
        <w:rPr>
          <w:lang w:val="en-GB"/>
        </w:rPr>
        <w:t xml:space="preserve"> and the effect of some geometrical features</w:t>
      </w:r>
      <w:r w:rsidR="00A32B35" w:rsidRPr="00AC29DA">
        <w:rPr>
          <w:lang w:val="en-GB"/>
        </w:rPr>
        <w:t xml:space="preserve"> on process yields</w:t>
      </w:r>
      <w:r w:rsidR="0075036C" w:rsidRPr="00AC29DA">
        <w:rPr>
          <w:lang w:val="en-GB"/>
        </w:rPr>
        <w:t xml:space="preserve"> </w:t>
      </w:r>
      <w:r w:rsidRPr="00AC29DA">
        <w:rPr>
          <w:lang w:val="en-GB"/>
        </w:rPr>
        <w:t xml:space="preserve">was </w:t>
      </w:r>
      <w:r w:rsidR="0075036C" w:rsidRPr="00AC29DA">
        <w:rPr>
          <w:lang w:val="en-GB"/>
        </w:rPr>
        <w:t xml:space="preserve">investigated. </w:t>
      </w:r>
      <w:proofErr w:type="spellStart"/>
      <w:r w:rsidR="008977D9" w:rsidRPr="00AC29DA">
        <w:rPr>
          <w:i/>
          <w:iCs/>
          <w:lang w:val="en-GB"/>
        </w:rPr>
        <w:t>Methylocystis</w:t>
      </w:r>
      <w:proofErr w:type="spellEnd"/>
      <w:r w:rsidR="008977D9" w:rsidRPr="00AC29DA">
        <w:rPr>
          <w:i/>
          <w:iCs/>
          <w:lang w:val="en-GB"/>
        </w:rPr>
        <w:t xml:space="preserve"> </w:t>
      </w:r>
      <w:proofErr w:type="spellStart"/>
      <w:r w:rsidR="008977D9" w:rsidRPr="00AC29DA">
        <w:rPr>
          <w:i/>
          <w:iCs/>
          <w:lang w:val="en-GB"/>
        </w:rPr>
        <w:t>parvus</w:t>
      </w:r>
      <w:proofErr w:type="spellEnd"/>
      <w:r w:rsidR="008977D9" w:rsidRPr="00AC29DA">
        <w:rPr>
          <w:i/>
          <w:iCs/>
          <w:lang w:val="en-GB"/>
        </w:rPr>
        <w:t xml:space="preserve"> OBBP</w:t>
      </w:r>
      <w:r w:rsidR="008977D9" w:rsidRPr="00AC29DA">
        <w:rPr>
          <w:lang w:val="en-GB"/>
        </w:rPr>
        <w:t xml:space="preserve"> was grown on nitrate for 10 days</w:t>
      </w:r>
      <w:r w:rsidR="005B28ED" w:rsidRPr="00AC29DA">
        <w:rPr>
          <w:lang w:val="en-GB"/>
        </w:rPr>
        <w:t>,</w:t>
      </w:r>
      <w:r w:rsidR="008977D9" w:rsidRPr="00AC29DA">
        <w:rPr>
          <w:lang w:val="en-GB"/>
        </w:rPr>
        <w:t xml:space="preserve"> and PHB</w:t>
      </w:r>
      <w:r w:rsidRPr="00AC29DA">
        <w:rPr>
          <w:lang w:val="en-GB"/>
        </w:rPr>
        <w:t xml:space="preserve"> was accumulated</w:t>
      </w:r>
      <w:r w:rsidR="008977D9" w:rsidRPr="00AC29DA">
        <w:rPr>
          <w:lang w:val="en-GB"/>
        </w:rPr>
        <w:t xml:space="preserve"> within 7 days in</w:t>
      </w:r>
      <w:r w:rsidRPr="00AC29DA">
        <w:rPr>
          <w:lang w:val="en-GB"/>
        </w:rPr>
        <w:t xml:space="preserve"> the</w:t>
      </w:r>
      <w:r w:rsidR="008977D9" w:rsidRPr="00AC29DA">
        <w:rPr>
          <w:lang w:val="en-GB"/>
        </w:rPr>
        <w:t xml:space="preserve"> absence of nitrogen in the culture medium. The process was simulated </w:t>
      </w:r>
      <w:r w:rsidR="00E72B31" w:rsidRPr="00AC29DA">
        <w:rPr>
          <w:lang w:val="en-GB"/>
        </w:rPr>
        <w:t>employing</w:t>
      </w:r>
      <w:r w:rsidR="008977D9" w:rsidRPr="00AC29DA">
        <w:rPr>
          <w:lang w:val="en-GB"/>
        </w:rPr>
        <w:t xml:space="preserve"> </w:t>
      </w:r>
      <w:r w:rsidR="003C04F6" w:rsidRPr="00AC29DA">
        <w:rPr>
          <w:lang w:val="en-GB"/>
        </w:rPr>
        <w:t xml:space="preserve">three </w:t>
      </w:r>
      <w:r w:rsidR="008977D9" w:rsidRPr="00AC29DA">
        <w:rPr>
          <w:lang w:val="en-GB"/>
        </w:rPr>
        <w:t>couples of bioreactors</w:t>
      </w:r>
      <w:r w:rsidR="00EE30A7" w:rsidRPr="00AC29DA">
        <w:rPr>
          <w:lang w:val="en-GB"/>
        </w:rPr>
        <w:t xml:space="preserve"> with 100L capacity and variable aspect ratio</w:t>
      </w:r>
      <w:r w:rsidR="008977D9" w:rsidRPr="00AC29DA">
        <w:rPr>
          <w:lang w:val="en-GB"/>
        </w:rPr>
        <w:t xml:space="preserve"> </w:t>
      </w:r>
      <w:r w:rsidR="00E72B31" w:rsidRPr="00AC29DA">
        <w:rPr>
          <w:lang w:val="en-GB"/>
        </w:rPr>
        <w:t xml:space="preserve">(case study 1) </w:t>
      </w:r>
      <w:r w:rsidR="008977D9" w:rsidRPr="00AC29DA">
        <w:rPr>
          <w:lang w:val="en-GB"/>
        </w:rPr>
        <w:t xml:space="preserve">and </w:t>
      </w:r>
      <w:r w:rsidR="003C04F6" w:rsidRPr="00AC29DA">
        <w:rPr>
          <w:lang w:val="en-GB"/>
        </w:rPr>
        <w:t xml:space="preserve">three </w:t>
      </w:r>
      <w:r w:rsidR="008977D9" w:rsidRPr="00AC29DA">
        <w:rPr>
          <w:lang w:val="en-GB"/>
        </w:rPr>
        <w:t xml:space="preserve">couples of bioreactors </w:t>
      </w:r>
      <w:r w:rsidR="00EE30A7" w:rsidRPr="00AC29DA">
        <w:rPr>
          <w:lang w:val="en-GB"/>
        </w:rPr>
        <w:t xml:space="preserve">with </w:t>
      </w:r>
      <w:r w:rsidR="005B28ED" w:rsidRPr="00AC29DA">
        <w:rPr>
          <w:lang w:val="en-GB"/>
        </w:rPr>
        <w:t xml:space="preserve">a </w:t>
      </w:r>
      <w:r w:rsidR="00EE30A7" w:rsidRPr="00AC29DA">
        <w:rPr>
          <w:lang w:val="en-GB"/>
        </w:rPr>
        <w:t xml:space="preserve">constant diameter of 0.3 m and variable working volume </w:t>
      </w:r>
      <w:r w:rsidR="00E72B31" w:rsidRPr="00AC29DA">
        <w:rPr>
          <w:lang w:val="en-GB"/>
        </w:rPr>
        <w:t>(case study 2)</w:t>
      </w:r>
      <w:r w:rsidR="008977D9" w:rsidRPr="00AC29DA">
        <w:rPr>
          <w:lang w:val="en-GB"/>
        </w:rPr>
        <w:t xml:space="preserve">. The transition point was calculated for each case </w:t>
      </w:r>
      <w:r w:rsidR="00A32B35" w:rsidRPr="00AC29DA">
        <w:rPr>
          <w:lang w:val="en-GB"/>
        </w:rPr>
        <w:t>to</w:t>
      </w:r>
      <w:r w:rsidR="008977D9" w:rsidRPr="00AC29DA">
        <w:rPr>
          <w:lang w:val="en-GB"/>
        </w:rPr>
        <w:t xml:space="preserve"> assure that the </w:t>
      </w:r>
      <w:r w:rsidR="00331EB1" w:rsidRPr="00AC29DA">
        <w:rPr>
          <w:lang w:val="en-GB"/>
        </w:rPr>
        <w:t>hydrodynamic conditions</w:t>
      </w:r>
      <w:r w:rsidR="008977D9" w:rsidRPr="00AC29DA">
        <w:rPr>
          <w:lang w:val="en-GB"/>
        </w:rPr>
        <w:t xml:space="preserve"> fell into the homogeneous regime. </w:t>
      </w:r>
    </w:p>
    <w:p w14:paraId="041E82E3" w14:textId="116BDBE5" w:rsidR="002709A6" w:rsidRPr="00AC29DA" w:rsidRDefault="008977D9" w:rsidP="00E41CE7">
      <w:pPr>
        <w:pStyle w:val="CETBodytext"/>
        <w:rPr>
          <w:lang w:val="en-GB"/>
        </w:rPr>
      </w:pPr>
      <w:r w:rsidRPr="00AC29DA">
        <w:rPr>
          <w:lang w:val="en-GB"/>
        </w:rPr>
        <w:t xml:space="preserve">Results showed that the transition </w:t>
      </w:r>
      <w:r w:rsidR="00A32B35" w:rsidRPr="00AC29DA">
        <w:rPr>
          <w:lang w:val="en-GB"/>
        </w:rPr>
        <w:t>superficial gas velocity</w:t>
      </w:r>
      <w:r w:rsidRPr="00AC29DA">
        <w:rPr>
          <w:lang w:val="en-GB"/>
        </w:rPr>
        <w:t xml:space="preserve"> grows with the aspect ratio, </w:t>
      </w:r>
      <w:r w:rsidR="00A32B35" w:rsidRPr="00AC29DA">
        <w:rPr>
          <w:lang w:val="en-GB"/>
        </w:rPr>
        <w:t>regardless</w:t>
      </w:r>
      <w:r w:rsidRPr="00AC29DA">
        <w:rPr>
          <w:lang w:val="en-GB"/>
        </w:rPr>
        <w:t xml:space="preserve"> of how it is increased (i.e., </w:t>
      </w:r>
      <w:proofErr w:type="gramStart"/>
      <w:r w:rsidRPr="00AC29DA">
        <w:rPr>
          <w:lang w:val="en-GB"/>
        </w:rPr>
        <w:t>constant</w:t>
      </w:r>
      <w:proofErr w:type="gramEnd"/>
      <w:r w:rsidRPr="00AC29DA">
        <w:rPr>
          <w:lang w:val="en-GB"/>
        </w:rPr>
        <w:t xml:space="preserve"> or variable volume). The productivit</w:t>
      </w:r>
      <w:r w:rsidR="00ED72E4" w:rsidRPr="00AC29DA">
        <w:rPr>
          <w:lang w:val="en-GB"/>
        </w:rPr>
        <w:t>ies</w:t>
      </w:r>
      <w:r w:rsidRPr="00AC29DA">
        <w:rPr>
          <w:lang w:val="en-GB"/>
        </w:rPr>
        <w:t xml:space="preserve"> of biomass and PHB </w:t>
      </w:r>
      <w:r w:rsidR="00A32B35" w:rsidRPr="00AC29DA">
        <w:rPr>
          <w:lang w:val="en-GB"/>
        </w:rPr>
        <w:t xml:space="preserve">follow </w:t>
      </w:r>
      <w:r w:rsidR="00E72B31" w:rsidRPr="00AC29DA">
        <w:rPr>
          <w:lang w:val="en-GB"/>
        </w:rPr>
        <w:t>a downward</w:t>
      </w:r>
      <w:r w:rsidR="00A32B35" w:rsidRPr="00AC29DA">
        <w:rPr>
          <w:lang w:val="en-GB"/>
        </w:rPr>
        <w:t xml:space="preserve"> trend</w:t>
      </w:r>
      <w:r w:rsidRPr="00AC29DA">
        <w:rPr>
          <w:lang w:val="en-GB"/>
        </w:rPr>
        <w:t xml:space="preserve"> </w:t>
      </w:r>
      <w:r w:rsidRPr="00AC29DA">
        <w:rPr>
          <w:lang w:val="en-GB"/>
        </w:rPr>
        <w:lastRenderedPageBreak/>
        <w:t>when the aspect ratio is increased</w:t>
      </w:r>
      <w:r w:rsidR="00E72B31" w:rsidRPr="00AC29DA">
        <w:rPr>
          <w:lang w:val="en-GB"/>
        </w:rPr>
        <w:t>.</w:t>
      </w:r>
      <w:r w:rsidR="00ED72E4" w:rsidRPr="00AC29DA">
        <w:rPr>
          <w:lang w:val="en-GB"/>
        </w:rPr>
        <w:t xml:space="preserve"> Moreover, the higher the aspect ratio, the higher the gap between the two conditions considered. Furthermore, under the same aspect ratio, higher productivities can be achieved when the volume is kept constant</w:t>
      </w:r>
      <w:r w:rsidR="005B28ED" w:rsidRPr="00AC29DA">
        <w:rPr>
          <w:lang w:val="en-GB"/>
        </w:rPr>
        <w:t>,</w:t>
      </w:r>
      <w:r w:rsidR="00ED72E4" w:rsidRPr="00AC29DA">
        <w:rPr>
          <w:lang w:val="en-GB"/>
        </w:rPr>
        <w:t xml:space="preserve"> and the diameter of the reactor is varied</w:t>
      </w:r>
      <w:r w:rsidR="00EC011B" w:rsidRPr="00AC29DA">
        <w:rPr>
          <w:lang w:val="en-GB"/>
        </w:rPr>
        <w:t>.</w:t>
      </w:r>
    </w:p>
    <w:p w14:paraId="07A6D20F" w14:textId="4659750B" w:rsidR="00280FAF" w:rsidRPr="00AC29DA" w:rsidRDefault="00280FAF" w:rsidP="00280FAF">
      <w:pPr>
        <w:pStyle w:val="CETHeadingxx"/>
        <w:rPr>
          <w:lang w:val="en-GB"/>
        </w:rPr>
        <w:sectPr w:rsidR="00280FAF" w:rsidRPr="00AC29DA" w:rsidSect="00B57E6F">
          <w:type w:val="continuous"/>
          <w:pgSz w:w="11906" w:h="16838" w:code="9"/>
          <w:pgMar w:top="1701" w:right="1418" w:bottom="1701" w:left="1701" w:header="1701" w:footer="0" w:gutter="0"/>
          <w:cols w:space="708"/>
          <w:formProt w:val="0"/>
          <w:titlePg/>
          <w:docGrid w:linePitch="360"/>
        </w:sectPr>
      </w:pPr>
      <w:r w:rsidRPr="00AC29DA">
        <w:rPr>
          <w:lang w:val="en-GB"/>
        </w:rPr>
        <w:t>Nomenclature</w:t>
      </w:r>
    </w:p>
    <w:p w14:paraId="7B0665F3" w14:textId="27D99F81" w:rsidR="00366658" w:rsidRPr="00AC29DA" w:rsidRDefault="00366658" w:rsidP="00366658">
      <w:pPr>
        <w:spacing w:line="276" w:lineRule="auto"/>
        <w:rPr>
          <w:rFonts w:cs="Arial"/>
          <w:szCs w:val="18"/>
        </w:rPr>
      </w:pPr>
      <w:r w:rsidRPr="00AC29DA">
        <w:rPr>
          <w:rFonts w:cs="Arial"/>
          <w:i/>
          <w:iCs/>
          <w:szCs w:val="18"/>
        </w:rPr>
        <w:t>A</w:t>
      </w:r>
      <w:r w:rsidRPr="00AC29DA">
        <w:rPr>
          <w:rFonts w:cs="Arial"/>
          <w:szCs w:val="18"/>
        </w:rPr>
        <w:t xml:space="preserve"> - aspect ratio</w:t>
      </w:r>
      <w:r w:rsidR="00A76568" w:rsidRPr="00AC29DA">
        <w:rPr>
          <w:rFonts w:cs="Arial"/>
          <w:szCs w:val="18"/>
        </w:rPr>
        <w:t xml:space="preserve"> [-]</w:t>
      </w:r>
    </w:p>
    <w:p w14:paraId="3F821017" w14:textId="15161E3F" w:rsidR="00366658" w:rsidRPr="00AC29DA" w:rsidRDefault="00366658" w:rsidP="00366658">
      <w:pPr>
        <w:spacing w:line="276" w:lineRule="auto"/>
        <w:rPr>
          <w:rFonts w:cs="Arial"/>
          <w:szCs w:val="18"/>
          <w:shd w:val="clear" w:color="auto" w:fill="FFFFFF"/>
        </w:rPr>
      </w:pPr>
      <w:r w:rsidRPr="00AC29DA">
        <w:rPr>
          <w:rFonts w:cs="Arial"/>
          <w:i/>
          <w:iCs/>
          <w:szCs w:val="18"/>
          <w:shd w:val="clear" w:color="auto" w:fill="FFFFFF"/>
        </w:rPr>
        <w:t>D</w:t>
      </w:r>
      <w:r w:rsidRPr="00AC29DA">
        <w:rPr>
          <w:rFonts w:cs="Arial"/>
          <w:szCs w:val="18"/>
          <w:shd w:val="clear" w:color="auto" w:fill="FFFFFF"/>
        </w:rPr>
        <w:t xml:space="preserve"> </w:t>
      </w:r>
      <w:r w:rsidR="00A76568" w:rsidRPr="00AC29DA">
        <w:rPr>
          <w:rFonts w:cs="Arial"/>
          <w:szCs w:val="18"/>
          <w:shd w:val="clear" w:color="auto" w:fill="FFFFFF"/>
        </w:rPr>
        <w:t>–</w:t>
      </w:r>
      <w:r w:rsidRPr="00AC29DA">
        <w:rPr>
          <w:rFonts w:cs="Arial"/>
          <w:szCs w:val="18"/>
          <w:shd w:val="clear" w:color="auto" w:fill="FFFFFF"/>
        </w:rPr>
        <w:t xml:space="preserve"> diameter</w:t>
      </w:r>
      <w:r w:rsidR="00A76568" w:rsidRPr="00AC29DA">
        <w:rPr>
          <w:rFonts w:cs="Arial"/>
          <w:szCs w:val="18"/>
          <w:shd w:val="clear" w:color="auto" w:fill="FFFFFF"/>
        </w:rPr>
        <w:t xml:space="preserve"> [m]</w:t>
      </w:r>
    </w:p>
    <w:p w14:paraId="7BB02316" w14:textId="71E45BCE" w:rsidR="00366658" w:rsidRPr="00AC29DA" w:rsidRDefault="00366658" w:rsidP="00366658">
      <w:pPr>
        <w:spacing w:line="276" w:lineRule="auto"/>
        <w:rPr>
          <w:rFonts w:cs="Arial"/>
          <w:szCs w:val="18"/>
          <w:shd w:val="clear" w:color="auto" w:fill="FFFFFF"/>
        </w:rPr>
      </w:pPr>
      <w:proofErr w:type="spellStart"/>
      <w:r w:rsidRPr="00AC29DA">
        <w:rPr>
          <w:rFonts w:cs="Arial"/>
          <w:i/>
          <w:iCs/>
          <w:szCs w:val="18"/>
          <w:shd w:val="clear" w:color="auto" w:fill="FFFFFF"/>
        </w:rPr>
        <w:t>d</w:t>
      </w:r>
      <w:r w:rsidRPr="00AC29DA">
        <w:rPr>
          <w:rFonts w:cs="Arial"/>
          <w:i/>
          <w:iCs/>
          <w:szCs w:val="18"/>
          <w:shd w:val="clear" w:color="auto" w:fill="FFFFFF"/>
          <w:vertAlign w:val="subscript"/>
        </w:rPr>
        <w:t>b</w:t>
      </w:r>
      <w:proofErr w:type="spellEnd"/>
      <w:r w:rsidRPr="00AC29DA">
        <w:rPr>
          <w:rFonts w:cs="Arial"/>
          <w:szCs w:val="18"/>
          <w:shd w:val="clear" w:color="auto" w:fill="FFFFFF"/>
        </w:rPr>
        <w:t xml:space="preserve"> - bubble mean dimension</w:t>
      </w:r>
      <w:r w:rsidR="00A76568" w:rsidRPr="00AC29DA">
        <w:rPr>
          <w:rFonts w:cs="Arial"/>
          <w:szCs w:val="18"/>
          <w:shd w:val="clear" w:color="auto" w:fill="FFFFFF"/>
        </w:rPr>
        <w:t xml:space="preserve"> [mm]</w:t>
      </w:r>
    </w:p>
    <w:p w14:paraId="2F3EEFF0" w14:textId="1595EC9C" w:rsidR="00366658" w:rsidRPr="00AC29DA" w:rsidRDefault="00366658" w:rsidP="00366658">
      <w:pPr>
        <w:spacing w:line="276" w:lineRule="auto"/>
        <w:rPr>
          <w:rFonts w:cs="Arial"/>
          <w:i/>
          <w:iCs/>
          <w:szCs w:val="18"/>
          <w:shd w:val="clear" w:color="auto" w:fill="FFFFFF"/>
        </w:rPr>
      </w:pPr>
      <w:proofErr w:type="spellStart"/>
      <w:r w:rsidRPr="00AC29DA">
        <w:rPr>
          <w:rFonts w:cs="Arial"/>
          <w:i/>
          <w:iCs/>
          <w:szCs w:val="18"/>
          <w:shd w:val="clear" w:color="auto" w:fill="FFFFFF"/>
        </w:rPr>
        <w:t>f</w:t>
      </w:r>
      <w:r w:rsidRPr="00AC29DA">
        <w:rPr>
          <w:rFonts w:cs="Arial"/>
          <w:i/>
          <w:iCs/>
          <w:szCs w:val="18"/>
          <w:shd w:val="clear" w:color="auto" w:fill="FFFFFF"/>
          <w:vertAlign w:val="subscript"/>
        </w:rPr>
        <w:t>e</w:t>
      </w:r>
      <w:proofErr w:type="spellEnd"/>
      <w:r w:rsidRPr="00AC29DA">
        <w:rPr>
          <w:rFonts w:cs="Arial"/>
          <w:i/>
          <w:iCs/>
          <w:szCs w:val="18"/>
          <w:shd w:val="clear" w:color="auto" w:fill="FFFFFF"/>
        </w:rPr>
        <w:t>, f</w:t>
      </w:r>
      <w:r w:rsidRPr="00AC29DA">
        <w:rPr>
          <w:rFonts w:cs="Arial"/>
          <w:i/>
          <w:iCs/>
          <w:szCs w:val="18"/>
          <w:shd w:val="clear" w:color="auto" w:fill="FFFFFF"/>
          <w:vertAlign w:val="subscript"/>
        </w:rPr>
        <w:t>s</w:t>
      </w:r>
      <w:r w:rsidRPr="00AC29DA">
        <w:rPr>
          <w:rFonts w:cs="Arial"/>
          <w:i/>
          <w:iCs/>
          <w:szCs w:val="18"/>
          <w:shd w:val="clear" w:color="auto" w:fill="FFFFFF"/>
        </w:rPr>
        <w:t xml:space="preserve"> -</w:t>
      </w:r>
      <w:r w:rsidRPr="00AC29DA">
        <w:rPr>
          <w:rFonts w:cs="Arial"/>
          <w:szCs w:val="18"/>
          <w:shd w:val="clear" w:color="auto" w:fill="FFFFFF"/>
          <w:vertAlign w:val="subscript"/>
        </w:rPr>
        <w:t xml:space="preserve"> </w:t>
      </w:r>
      <w:r w:rsidRPr="00AC29DA">
        <w:rPr>
          <w:rFonts w:cs="Arial"/>
          <w:szCs w:val="18"/>
          <w:shd w:val="clear" w:color="auto" w:fill="FFFFFF"/>
        </w:rPr>
        <w:t>partition coefficients</w:t>
      </w:r>
      <w:r w:rsidR="00A76568" w:rsidRPr="00AC29DA">
        <w:rPr>
          <w:rFonts w:cs="Arial"/>
          <w:szCs w:val="18"/>
          <w:shd w:val="clear" w:color="auto" w:fill="FFFFFF"/>
        </w:rPr>
        <w:t xml:space="preserve"> [-]</w:t>
      </w:r>
    </w:p>
    <w:p w14:paraId="1C87A83A" w14:textId="4EF61A5F" w:rsidR="00366658" w:rsidRPr="00AC29DA" w:rsidRDefault="00366658" w:rsidP="00366658">
      <w:pPr>
        <w:spacing w:line="276" w:lineRule="auto"/>
        <w:rPr>
          <w:rFonts w:cs="Arial"/>
          <w:szCs w:val="18"/>
        </w:rPr>
      </w:pPr>
      <w:r w:rsidRPr="00AC29DA">
        <w:rPr>
          <w:rFonts w:cs="Arial"/>
          <w:i/>
          <w:iCs/>
          <w:szCs w:val="18"/>
        </w:rPr>
        <w:t>H</w:t>
      </w:r>
      <w:r w:rsidRPr="00AC29DA">
        <w:rPr>
          <w:rFonts w:cs="Arial"/>
          <w:szCs w:val="18"/>
        </w:rPr>
        <w:t xml:space="preserve"> - liquid height</w:t>
      </w:r>
      <w:r w:rsidR="00A76568" w:rsidRPr="00AC29DA">
        <w:rPr>
          <w:rFonts w:cs="Arial"/>
          <w:szCs w:val="18"/>
        </w:rPr>
        <w:t xml:space="preserve"> [m]</w:t>
      </w:r>
    </w:p>
    <w:p w14:paraId="1B4D6AFA" w14:textId="3C3AC352" w:rsidR="00366658" w:rsidRPr="00AC29DA" w:rsidRDefault="00366658" w:rsidP="00366658">
      <w:pPr>
        <w:spacing w:line="276" w:lineRule="auto"/>
        <w:rPr>
          <w:rFonts w:cs="Arial"/>
          <w:szCs w:val="18"/>
          <w:shd w:val="clear" w:color="auto" w:fill="FFFFFF"/>
        </w:rPr>
      </w:pPr>
      <w:r w:rsidRPr="00AC29DA">
        <w:rPr>
          <w:rFonts w:cs="Arial"/>
          <w:i/>
          <w:iCs/>
          <w:szCs w:val="18"/>
          <w:shd w:val="clear" w:color="auto" w:fill="FFFFFF"/>
        </w:rPr>
        <w:t>k</w:t>
      </w:r>
      <w:r w:rsidRPr="00AC29DA">
        <w:rPr>
          <w:rFonts w:cs="Arial"/>
          <w:szCs w:val="18"/>
          <w:shd w:val="clear" w:color="auto" w:fill="FFFFFF"/>
        </w:rPr>
        <w:t xml:space="preserve"> -</w:t>
      </w:r>
      <w:r w:rsidRPr="00AC29DA">
        <w:rPr>
          <w:rFonts w:cs="Arial"/>
          <w:szCs w:val="18"/>
          <w:shd w:val="clear" w:color="auto" w:fill="FFFFFF"/>
          <w:vertAlign w:val="superscript"/>
        </w:rPr>
        <w:t xml:space="preserve"> </w:t>
      </w:r>
      <w:r w:rsidRPr="00AC29DA">
        <w:rPr>
          <w:rFonts w:cs="Arial"/>
          <w:szCs w:val="18"/>
          <w:shd w:val="clear" w:color="auto" w:fill="FFFFFF"/>
        </w:rPr>
        <w:t>hydrodynamic diffusivity of the bubbles</w:t>
      </w:r>
      <w:r w:rsidR="00A76568" w:rsidRPr="00AC29DA">
        <w:rPr>
          <w:rFonts w:cs="Arial"/>
          <w:szCs w:val="18"/>
          <w:shd w:val="clear" w:color="auto" w:fill="FFFFFF"/>
        </w:rPr>
        <w:t xml:space="preserve"> [m</w:t>
      </w:r>
      <w:r w:rsidR="00A76568" w:rsidRPr="00AC29DA">
        <w:rPr>
          <w:rFonts w:cs="Arial"/>
          <w:szCs w:val="18"/>
          <w:shd w:val="clear" w:color="auto" w:fill="FFFFFF"/>
          <w:vertAlign w:val="superscript"/>
        </w:rPr>
        <w:t>2</w:t>
      </w:r>
      <w:r w:rsidR="00A76568" w:rsidRPr="00AC29DA">
        <w:rPr>
          <w:rFonts w:cs="Arial"/>
          <w:szCs w:val="18"/>
          <w:shd w:val="clear" w:color="auto" w:fill="FFFFFF"/>
        </w:rPr>
        <w:t xml:space="preserve"> s</w:t>
      </w:r>
      <w:r w:rsidR="00A76568" w:rsidRPr="00AC29DA">
        <w:rPr>
          <w:rFonts w:cs="Arial"/>
          <w:szCs w:val="18"/>
          <w:shd w:val="clear" w:color="auto" w:fill="FFFFFF"/>
          <w:vertAlign w:val="superscript"/>
        </w:rPr>
        <w:t>-1</w:t>
      </w:r>
      <w:r w:rsidR="00A76568" w:rsidRPr="00AC29DA">
        <w:rPr>
          <w:rFonts w:cs="Arial"/>
          <w:szCs w:val="18"/>
          <w:shd w:val="clear" w:color="auto" w:fill="FFFFFF"/>
        </w:rPr>
        <w:t>]</w:t>
      </w:r>
    </w:p>
    <w:p w14:paraId="259DE64B" w14:textId="603CD726" w:rsidR="00556D38" w:rsidRPr="00AC29DA" w:rsidRDefault="00556D38" w:rsidP="00366658">
      <w:pPr>
        <w:spacing w:line="276" w:lineRule="auto"/>
        <w:rPr>
          <w:rFonts w:cs="Arial"/>
          <w:szCs w:val="18"/>
          <w:shd w:val="clear" w:color="auto" w:fill="FFFFFF"/>
        </w:rPr>
      </w:pPr>
      <w:r w:rsidRPr="00AC29DA">
        <w:rPr>
          <w:rFonts w:cs="Arial"/>
          <w:szCs w:val="18"/>
          <w:shd w:val="clear" w:color="auto" w:fill="FFFFFF"/>
        </w:rPr>
        <w:t>pCH</w:t>
      </w:r>
      <w:r w:rsidRPr="00AC29DA">
        <w:rPr>
          <w:rFonts w:cs="Arial"/>
          <w:szCs w:val="18"/>
          <w:shd w:val="clear" w:color="auto" w:fill="FFFFFF"/>
          <w:vertAlign w:val="subscript"/>
        </w:rPr>
        <w:t>4</w:t>
      </w:r>
      <w:r w:rsidRPr="00AC29DA">
        <w:rPr>
          <w:rFonts w:cs="Arial"/>
          <w:szCs w:val="18"/>
          <w:shd w:val="clear" w:color="auto" w:fill="FFFFFF"/>
        </w:rPr>
        <w:t xml:space="preserve"> – methane partial pressure</w:t>
      </w:r>
      <w:r w:rsidR="00A76568" w:rsidRPr="00AC29DA">
        <w:rPr>
          <w:rFonts w:cs="Arial"/>
          <w:szCs w:val="18"/>
          <w:shd w:val="clear" w:color="auto" w:fill="FFFFFF"/>
        </w:rPr>
        <w:t xml:space="preserve"> [</w:t>
      </w:r>
      <w:proofErr w:type="spellStart"/>
      <w:r w:rsidR="00A76568" w:rsidRPr="00AC29DA">
        <w:rPr>
          <w:rFonts w:cs="Arial"/>
          <w:szCs w:val="18"/>
          <w:shd w:val="clear" w:color="auto" w:fill="FFFFFF"/>
        </w:rPr>
        <w:t>atm</w:t>
      </w:r>
      <w:proofErr w:type="spellEnd"/>
      <w:r w:rsidR="00A76568" w:rsidRPr="00AC29DA">
        <w:rPr>
          <w:rFonts w:cs="Arial"/>
          <w:szCs w:val="18"/>
          <w:shd w:val="clear" w:color="auto" w:fill="FFFFFF"/>
        </w:rPr>
        <w:t>]</w:t>
      </w:r>
    </w:p>
    <w:p w14:paraId="040DAB40" w14:textId="550E001A" w:rsidR="00366658" w:rsidRPr="00AC29DA" w:rsidRDefault="00366658" w:rsidP="00366658">
      <w:pPr>
        <w:spacing w:line="276" w:lineRule="auto"/>
        <w:rPr>
          <w:rFonts w:cs="Arial"/>
          <w:szCs w:val="18"/>
          <w:shd w:val="clear" w:color="auto" w:fill="FFFFFF"/>
        </w:rPr>
      </w:pPr>
      <w:proofErr w:type="spellStart"/>
      <w:r w:rsidRPr="00AC29DA">
        <w:rPr>
          <w:rFonts w:cs="Arial"/>
          <w:i/>
          <w:iCs/>
          <w:szCs w:val="18"/>
          <w:shd w:val="clear" w:color="auto" w:fill="FFFFFF"/>
        </w:rPr>
        <w:t>Ra</w:t>
      </w:r>
      <w:r w:rsidRPr="00AC29DA">
        <w:rPr>
          <w:rFonts w:cs="Arial"/>
          <w:i/>
          <w:iCs/>
          <w:szCs w:val="18"/>
          <w:shd w:val="clear" w:color="auto" w:fill="FFFFFF"/>
          <w:vertAlign w:val="subscript"/>
        </w:rPr>
        <w:t>c</w:t>
      </w:r>
      <w:proofErr w:type="spellEnd"/>
      <w:r w:rsidRPr="00AC29DA">
        <w:rPr>
          <w:rFonts w:cs="Arial"/>
          <w:szCs w:val="18"/>
          <w:shd w:val="clear" w:color="auto" w:fill="FFFFFF"/>
          <w:vertAlign w:val="superscript"/>
        </w:rPr>
        <w:t>∞</w:t>
      </w:r>
      <w:r w:rsidRPr="00AC29DA">
        <w:rPr>
          <w:rFonts w:cs="Arial"/>
          <w:szCs w:val="18"/>
          <w:shd w:val="clear" w:color="auto" w:fill="FFFFFF"/>
        </w:rPr>
        <w:t xml:space="preserve"> - critical Rayleigh number</w:t>
      </w:r>
      <w:r w:rsidR="00A76568" w:rsidRPr="00AC29DA">
        <w:rPr>
          <w:rFonts w:cs="Arial"/>
          <w:szCs w:val="18"/>
          <w:shd w:val="clear" w:color="auto" w:fill="FFFFFF"/>
        </w:rPr>
        <w:t xml:space="preserve"> [-]</w:t>
      </w:r>
    </w:p>
    <w:p w14:paraId="1D9F2614" w14:textId="267F5AB6" w:rsidR="00366658" w:rsidRPr="00AC29DA" w:rsidRDefault="00366658" w:rsidP="00366658">
      <w:pPr>
        <w:spacing w:line="276" w:lineRule="auto"/>
        <w:rPr>
          <w:rFonts w:cs="Arial"/>
          <w:szCs w:val="18"/>
        </w:rPr>
      </w:pPr>
      <w:r w:rsidRPr="00AC29DA">
        <w:rPr>
          <w:rFonts w:cs="Arial"/>
          <w:i/>
          <w:iCs/>
          <w:szCs w:val="18"/>
        </w:rPr>
        <w:t>U</w:t>
      </w:r>
      <w:r w:rsidRPr="00AC29DA">
        <w:rPr>
          <w:rFonts w:cs="Arial"/>
          <w:i/>
          <w:iCs/>
          <w:szCs w:val="18"/>
          <w:vertAlign w:val="subscript"/>
        </w:rPr>
        <w:t>g</w:t>
      </w:r>
      <w:r w:rsidRPr="00AC29DA">
        <w:rPr>
          <w:rFonts w:cs="Arial"/>
          <w:szCs w:val="18"/>
        </w:rPr>
        <w:t xml:space="preserve"> - superficial gas velocity</w:t>
      </w:r>
      <w:r w:rsidR="00A76568" w:rsidRPr="00AC29DA">
        <w:rPr>
          <w:rFonts w:cs="Arial"/>
          <w:szCs w:val="18"/>
        </w:rPr>
        <w:t xml:space="preserve"> [m s</w:t>
      </w:r>
      <w:r w:rsidR="00A76568" w:rsidRPr="00AC29DA">
        <w:rPr>
          <w:rFonts w:cs="Arial"/>
          <w:szCs w:val="18"/>
          <w:vertAlign w:val="superscript"/>
        </w:rPr>
        <w:t>-1</w:t>
      </w:r>
      <w:r w:rsidR="00A76568" w:rsidRPr="00AC29DA">
        <w:rPr>
          <w:rFonts w:cs="Arial"/>
          <w:szCs w:val="18"/>
        </w:rPr>
        <w:t>]</w:t>
      </w:r>
    </w:p>
    <w:p w14:paraId="63AB7028" w14:textId="7CE558C3" w:rsidR="00280FAF" w:rsidRPr="00AC29DA" w:rsidRDefault="00366658" w:rsidP="00366658">
      <w:pPr>
        <w:spacing w:line="276" w:lineRule="auto"/>
        <w:rPr>
          <w:rFonts w:cs="Arial"/>
          <w:szCs w:val="18"/>
          <w:shd w:val="clear" w:color="auto" w:fill="FFFFFF"/>
        </w:rPr>
      </w:pPr>
      <w:r w:rsidRPr="00AC29DA">
        <w:rPr>
          <w:rFonts w:cs="Arial"/>
          <w:i/>
          <w:iCs/>
          <w:szCs w:val="18"/>
          <w:shd w:val="clear" w:color="auto" w:fill="FFFFFF"/>
        </w:rPr>
        <w:t>U</w:t>
      </w:r>
      <w:r w:rsidRPr="00AC29DA">
        <w:rPr>
          <w:rFonts w:cs="Arial"/>
          <w:i/>
          <w:iCs/>
          <w:szCs w:val="18"/>
          <w:shd w:val="clear" w:color="auto" w:fill="FFFFFF"/>
          <w:vertAlign w:val="subscript"/>
        </w:rPr>
        <w:t>t</w:t>
      </w:r>
      <w:r w:rsidRPr="00AC29DA">
        <w:rPr>
          <w:rFonts w:cs="Arial"/>
          <w:szCs w:val="18"/>
          <w:shd w:val="clear" w:color="auto" w:fill="FFFFFF"/>
        </w:rPr>
        <w:t xml:space="preserve"> - transition superficial gas velocity</w:t>
      </w:r>
      <w:r w:rsidR="00A76568" w:rsidRPr="00AC29DA">
        <w:rPr>
          <w:rFonts w:cs="Arial"/>
          <w:szCs w:val="18"/>
          <w:shd w:val="clear" w:color="auto" w:fill="FFFFFF"/>
        </w:rPr>
        <w:t xml:space="preserve"> </w:t>
      </w:r>
      <w:r w:rsidR="00A76568" w:rsidRPr="00AC29DA">
        <w:rPr>
          <w:rFonts w:cs="Arial"/>
          <w:szCs w:val="18"/>
        </w:rPr>
        <w:t>[m s</w:t>
      </w:r>
      <w:r w:rsidR="00A76568" w:rsidRPr="00AC29DA">
        <w:rPr>
          <w:rFonts w:cs="Arial"/>
          <w:szCs w:val="18"/>
          <w:vertAlign w:val="superscript"/>
        </w:rPr>
        <w:t>-1</w:t>
      </w:r>
      <w:r w:rsidR="00A76568" w:rsidRPr="00AC29DA">
        <w:rPr>
          <w:rFonts w:cs="Arial"/>
          <w:szCs w:val="18"/>
        </w:rPr>
        <w:t>]</w:t>
      </w:r>
    </w:p>
    <w:p w14:paraId="29815F58" w14:textId="51609F4C" w:rsidR="00366658" w:rsidRPr="00AC29DA" w:rsidRDefault="00366658" w:rsidP="00366658">
      <w:pPr>
        <w:spacing w:line="276" w:lineRule="auto"/>
        <w:rPr>
          <w:rFonts w:cs="Arial"/>
          <w:szCs w:val="18"/>
        </w:rPr>
      </w:pPr>
      <w:r w:rsidRPr="00AC29DA">
        <w:rPr>
          <w:rFonts w:cs="Arial"/>
          <w:i/>
          <w:iCs/>
          <w:szCs w:val="18"/>
        </w:rPr>
        <w:t>V</w:t>
      </w:r>
      <w:r w:rsidRPr="00AC29DA">
        <w:rPr>
          <w:rFonts w:cs="Arial"/>
          <w:szCs w:val="18"/>
        </w:rPr>
        <w:t xml:space="preserve"> – reactor volume</w:t>
      </w:r>
      <w:r w:rsidR="00A76568" w:rsidRPr="00AC29DA">
        <w:rPr>
          <w:rFonts w:cs="Arial"/>
          <w:szCs w:val="18"/>
        </w:rPr>
        <w:t xml:space="preserve"> m</w:t>
      </w:r>
      <w:r w:rsidR="00A76568" w:rsidRPr="00AC29DA">
        <w:rPr>
          <w:rFonts w:cs="Arial"/>
          <w:szCs w:val="18"/>
          <w:vertAlign w:val="superscript"/>
        </w:rPr>
        <w:t>3</w:t>
      </w:r>
    </w:p>
    <w:p w14:paraId="633385EA" w14:textId="53C7996B" w:rsidR="00366658" w:rsidRPr="00AC29DA" w:rsidRDefault="00366658" w:rsidP="00366658">
      <w:pPr>
        <w:spacing w:line="276" w:lineRule="auto"/>
        <w:rPr>
          <w:rFonts w:cs="Arial"/>
          <w:szCs w:val="18"/>
          <w:shd w:val="clear" w:color="auto" w:fill="FFFFFF"/>
        </w:rPr>
      </w:pPr>
      <w:proofErr w:type="spellStart"/>
      <w:r w:rsidRPr="00AC29DA">
        <w:rPr>
          <w:rFonts w:cs="Arial"/>
          <w:i/>
          <w:iCs/>
          <w:szCs w:val="18"/>
          <w:shd w:val="clear" w:color="auto" w:fill="FFFFFF"/>
        </w:rPr>
        <w:t>V</w:t>
      </w:r>
      <w:r w:rsidRPr="00AC29DA">
        <w:rPr>
          <w:rFonts w:cs="Arial"/>
          <w:i/>
          <w:iCs/>
          <w:szCs w:val="18"/>
          <w:shd w:val="clear" w:color="auto" w:fill="FFFFFF"/>
          <w:vertAlign w:val="subscript"/>
        </w:rPr>
        <w:t>small</w:t>
      </w:r>
      <w:proofErr w:type="spellEnd"/>
      <w:r w:rsidRPr="00AC29DA">
        <w:rPr>
          <w:rFonts w:cs="Arial"/>
          <w:szCs w:val="18"/>
          <w:shd w:val="clear" w:color="auto" w:fill="FFFFFF"/>
        </w:rPr>
        <w:t xml:space="preserve"> - velocity of small bubbles</w:t>
      </w:r>
      <w:r w:rsidR="00A76568" w:rsidRPr="00AC29DA">
        <w:rPr>
          <w:rFonts w:cs="Arial"/>
          <w:szCs w:val="18"/>
          <w:shd w:val="clear" w:color="auto" w:fill="FFFFFF"/>
        </w:rPr>
        <w:t xml:space="preserve"> </w:t>
      </w:r>
      <w:r w:rsidR="00A76568" w:rsidRPr="00AC29DA">
        <w:rPr>
          <w:rFonts w:cs="Arial"/>
          <w:szCs w:val="18"/>
        </w:rPr>
        <w:t>[m s</w:t>
      </w:r>
      <w:r w:rsidR="00A76568" w:rsidRPr="00AC29DA">
        <w:rPr>
          <w:rFonts w:cs="Arial"/>
          <w:szCs w:val="18"/>
          <w:vertAlign w:val="superscript"/>
        </w:rPr>
        <w:t>-1</w:t>
      </w:r>
      <w:r w:rsidR="00A76568" w:rsidRPr="00AC29DA">
        <w:rPr>
          <w:rFonts w:cs="Arial"/>
          <w:szCs w:val="18"/>
        </w:rPr>
        <w:t>]</w:t>
      </w:r>
    </w:p>
    <w:p w14:paraId="4AA53EC5" w14:textId="514A2B8E" w:rsidR="00366658" w:rsidRPr="00AC29DA" w:rsidRDefault="00366658" w:rsidP="00366658">
      <w:pPr>
        <w:spacing w:line="276" w:lineRule="auto"/>
        <w:rPr>
          <w:rFonts w:cs="Arial"/>
          <w:szCs w:val="18"/>
          <w:shd w:val="clear" w:color="auto" w:fill="FFFFFF"/>
        </w:rPr>
      </w:pPr>
      <w:proofErr w:type="spellStart"/>
      <w:r w:rsidRPr="00AC29DA">
        <w:rPr>
          <w:rFonts w:cs="Arial"/>
          <w:i/>
          <w:iCs/>
          <w:szCs w:val="18"/>
          <w:shd w:val="clear" w:color="auto" w:fill="FFFFFF"/>
        </w:rPr>
        <w:t>ε</w:t>
      </w:r>
      <w:r w:rsidRPr="00AC29DA">
        <w:rPr>
          <w:rFonts w:cs="Arial"/>
          <w:i/>
          <w:iCs/>
          <w:szCs w:val="18"/>
          <w:shd w:val="clear" w:color="auto" w:fill="FFFFFF"/>
          <w:vertAlign w:val="subscript"/>
        </w:rPr>
        <w:t>g</w:t>
      </w:r>
      <w:proofErr w:type="spellEnd"/>
      <w:r w:rsidRPr="00AC29DA">
        <w:rPr>
          <w:rFonts w:cs="Arial"/>
          <w:szCs w:val="18"/>
          <w:shd w:val="clear" w:color="auto" w:fill="FFFFFF"/>
        </w:rPr>
        <w:t xml:space="preserve"> - gas hold-up</w:t>
      </w:r>
      <w:r w:rsidR="00A76568" w:rsidRPr="00AC29DA">
        <w:rPr>
          <w:rFonts w:cs="Arial"/>
          <w:szCs w:val="18"/>
          <w:shd w:val="clear" w:color="auto" w:fill="FFFFFF"/>
        </w:rPr>
        <w:t xml:space="preserve"> [-]</w:t>
      </w:r>
    </w:p>
    <w:p w14:paraId="4065E076" w14:textId="6D0EAF7F" w:rsidR="00366658" w:rsidRPr="00AC29DA" w:rsidRDefault="00366658" w:rsidP="00366658">
      <w:pPr>
        <w:spacing w:line="276" w:lineRule="auto"/>
        <w:rPr>
          <w:rFonts w:cs="Arial"/>
          <w:szCs w:val="18"/>
          <w:shd w:val="clear" w:color="auto" w:fill="FFFFFF"/>
        </w:rPr>
      </w:pPr>
      <w:proofErr w:type="spellStart"/>
      <w:r w:rsidRPr="00AC29DA">
        <w:rPr>
          <w:rFonts w:cs="Arial"/>
          <w:i/>
          <w:iCs/>
          <w:szCs w:val="18"/>
          <w:shd w:val="clear" w:color="auto" w:fill="FFFFFF"/>
        </w:rPr>
        <w:t>ε</w:t>
      </w:r>
      <w:r w:rsidRPr="00AC29DA">
        <w:rPr>
          <w:rFonts w:cs="Arial"/>
          <w:i/>
          <w:iCs/>
          <w:szCs w:val="18"/>
          <w:shd w:val="clear" w:color="auto" w:fill="FFFFFF"/>
          <w:vertAlign w:val="subscript"/>
        </w:rPr>
        <w:t>t</w:t>
      </w:r>
      <w:proofErr w:type="spellEnd"/>
      <w:r w:rsidRPr="00AC29DA">
        <w:rPr>
          <w:rFonts w:cs="Arial"/>
          <w:szCs w:val="18"/>
          <w:shd w:val="clear" w:color="auto" w:fill="FFFFFF"/>
        </w:rPr>
        <w:t xml:space="preserve"> - transition gas hold-up</w:t>
      </w:r>
      <w:r w:rsidR="00A76568" w:rsidRPr="00AC29DA">
        <w:rPr>
          <w:rFonts w:cs="Arial"/>
          <w:szCs w:val="18"/>
          <w:shd w:val="clear" w:color="auto" w:fill="FFFFFF"/>
        </w:rPr>
        <w:t xml:space="preserve"> [-]</w:t>
      </w:r>
    </w:p>
    <w:p w14:paraId="1F60E0FE" w14:textId="64F23D8E" w:rsidR="00366658" w:rsidRPr="00AC29DA" w:rsidRDefault="00366658" w:rsidP="00366658">
      <w:pPr>
        <w:spacing w:line="276" w:lineRule="auto"/>
        <w:rPr>
          <w:rFonts w:cs="Arial"/>
          <w:szCs w:val="18"/>
          <w:shd w:val="clear" w:color="auto" w:fill="FFFFFF"/>
        </w:rPr>
      </w:pPr>
      <w:r w:rsidRPr="00AC29DA">
        <w:rPr>
          <w:rFonts w:cs="Arial"/>
          <w:i/>
          <w:iCs/>
          <w:szCs w:val="18"/>
          <w:shd w:val="clear" w:color="auto" w:fill="FFFFFF"/>
        </w:rPr>
        <w:t>ν</w:t>
      </w:r>
      <w:r w:rsidRPr="00AC29DA">
        <w:rPr>
          <w:rFonts w:cs="Arial"/>
          <w:szCs w:val="18"/>
          <w:shd w:val="clear" w:color="auto" w:fill="FFFFFF"/>
        </w:rPr>
        <w:t xml:space="preserve"> - kinematic viscosity of the bubbly mixture</w:t>
      </w:r>
      <w:r w:rsidR="00A76568" w:rsidRPr="00AC29DA">
        <w:rPr>
          <w:rFonts w:cs="Arial"/>
          <w:szCs w:val="18"/>
          <w:shd w:val="clear" w:color="auto" w:fill="FFFFFF"/>
        </w:rPr>
        <w:t xml:space="preserve"> [m</w:t>
      </w:r>
      <w:r w:rsidR="00A76568" w:rsidRPr="00AC29DA">
        <w:rPr>
          <w:rFonts w:cs="Arial"/>
          <w:szCs w:val="18"/>
          <w:shd w:val="clear" w:color="auto" w:fill="FFFFFF"/>
          <w:vertAlign w:val="superscript"/>
        </w:rPr>
        <w:t>2</w:t>
      </w:r>
      <w:r w:rsidR="00A76568" w:rsidRPr="00AC29DA">
        <w:rPr>
          <w:rFonts w:cs="Arial"/>
          <w:szCs w:val="18"/>
          <w:shd w:val="clear" w:color="auto" w:fill="FFFFFF"/>
        </w:rPr>
        <w:t xml:space="preserve"> s</w:t>
      </w:r>
      <w:r w:rsidR="00A76568" w:rsidRPr="00AC29DA">
        <w:rPr>
          <w:rFonts w:cs="Arial"/>
          <w:szCs w:val="18"/>
          <w:shd w:val="clear" w:color="auto" w:fill="FFFFFF"/>
          <w:vertAlign w:val="superscript"/>
        </w:rPr>
        <w:t>-1</w:t>
      </w:r>
      <w:r w:rsidR="00A76568" w:rsidRPr="00AC29DA">
        <w:rPr>
          <w:rFonts w:cs="Arial"/>
          <w:szCs w:val="18"/>
          <w:shd w:val="clear" w:color="auto" w:fill="FFFFFF"/>
        </w:rPr>
        <w:t>]</w:t>
      </w:r>
    </w:p>
    <w:p w14:paraId="62A426BF" w14:textId="781413D8" w:rsidR="00366658" w:rsidRPr="00AC29DA" w:rsidRDefault="00366658" w:rsidP="00366658">
      <w:pPr>
        <w:spacing w:line="276" w:lineRule="auto"/>
        <w:rPr>
          <w:rFonts w:cs="Arial"/>
          <w:szCs w:val="18"/>
          <w:shd w:val="clear" w:color="auto" w:fill="FFFFFF"/>
        </w:rPr>
      </w:pPr>
      <w:proofErr w:type="spellStart"/>
      <w:r w:rsidRPr="00AC29DA">
        <w:rPr>
          <w:rFonts w:cs="Arial"/>
          <w:i/>
          <w:iCs/>
          <w:szCs w:val="18"/>
          <w:shd w:val="clear" w:color="auto" w:fill="FFFFFF"/>
        </w:rPr>
        <w:t>ρ</w:t>
      </w:r>
      <w:r w:rsidRPr="00AC29DA">
        <w:rPr>
          <w:rFonts w:cs="Arial"/>
          <w:i/>
          <w:iCs/>
          <w:szCs w:val="18"/>
          <w:shd w:val="clear" w:color="auto" w:fill="FFFFFF"/>
          <w:vertAlign w:val="subscript"/>
        </w:rPr>
        <w:t>g</w:t>
      </w:r>
      <w:proofErr w:type="spellEnd"/>
      <w:r w:rsidRPr="00AC29DA">
        <w:rPr>
          <w:rFonts w:cs="Arial"/>
          <w:szCs w:val="18"/>
          <w:shd w:val="clear" w:color="auto" w:fill="FFFFFF"/>
        </w:rPr>
        <w:t xml:space="preserve"> - gas density</w:t>
      </w:r>
      <w:r w:rsidR="00A76568" w:rsidRPr="00AC29DA">
        <w:rPr>
          <w:rFonts w:cs="Arial"/>
          <w:szCs w:val="18"/>
          <w:shd w:val="clear" w:color="auto" w:fill="FFFFFF"/>
        </w:rPr>
        <w:t xml:space="preserve"> [kg m</w:t>
      </w:r>
      <w:r w:rsidR="00A76568" w:rsidRPr="00AC29DA">
        <w:rPr>
          <w:rFonts w:cs="Arial"/>
          <w:szCs w:val="18"/>
          <w:shd w:val="clear" w:color="auto" w:fill="FFFFFF"/>
          <w:vertAlign w:val="superscript"/>
        </w:rPr>
        <w:t>-3</w:t>
      </w:r>
      <w:r w:rsidR="00A76568" w:rsidRPr="00AC29DA">
        <w:rPr>
          <w:rFonts w:cs="Arial"/>
          <w:szCs w:val="18"/>
          <w:shd w:val="clear" w:color="auto" w:fill="FFFFFF"/>
        </w:rPr>
        <w:t>]</w:t>
      </w:r>
    </w:p>
    <w:p w14:paraId="38BFE636" w14:textId="371480E8" w:rsidR="00366658" w:rsidRPr="00AC29DA" w:rsidRDefault="00366658" w:rsidP="00366658">
      <w:pPr>
        <w:spacing w:line="276" w:lineRule="auto"/>
        <w:rPr>
          <w:rFonts w:cs="Arial"/>
          <w:szCs w:val="18"/>
          <w:shd w:val="clear" w:color="auto" w:fill="FFFFFF"/>
        </w:rPr>
        <w:sectPr w:rsidR="00366658" w:rsidRPr="00AC29DA" w:rsidSect="00496A7D">
          <w:type w:val="continuous"/>
          <w:pgSz w:w="11906" w:h="16838" w:code="9"/>
          <w:pgMar w:top="1701" w:right="1418" w:bottom="1701" w:left="1701" w:header="1701" w:footer="0" w:gutter="0"/>
          <w:cols w:num="2" w:space="708"/>
          <w:formProt w:val="0"/>
          <w:titlePg/>
          <w:docGrid w:linePitch="360"/>
        </w:sectPr>
      </w:pPr>
      <w:r w:rsidRPr="00AC29DA">
        <w:rPr>
          <w:rFonts w:cs="Arial"/>
          <w:szCs w:val="18"/>
          <w:shd w:val="clear" w:color="auto" w:fill="FFFFFF"/>
        </w:rPr>
        <w:t xml:space="preserve">σ - </w:t>
      </w:r>
      <w:r w:rsidR="005B28ED" w:rsidRPr="00AC29DA">
        <w:rPr>
          <w:rFonts w:cs="Arial"/>
          <w:szCs w:val="18"/>
          <w:shd w:val="clear" w:color="auto" w:fill="FFFFFF"/>
        </w:rPr>
        <w:t>superficial water</w:t>
      </w:r>
      <w:r w:rsidRPr="00AC29DA">
        <w:rPr>
          <w:rFonts w:cs="Arial"/>
          <w:szCs w:val="18"/>
          <w:shd w:val="clear" w:color="auto" w:fill="FFFFFF"/>
        </w:rPr>
        <w:t xml:space="preserve"> tension</w:t>
      </w:r>
      <w:r w:rsidR="00A76568" w:rsidRPr="00AC29DA">
        <w:rPr>
          <w:rFonts w:cs="Arial"/>
          <w:szCs w:val="18"/>
          <w:shd w:val="clear" w:color="auto" w:fill="FFFFFF"/>
        </w:rPr>
        <w:t xml:space="preserve"> [N m</w:t>
      </w:r>
      <w:r w:rsidR="00A76568" w:rsidRPr="00AC29DA">
        <w:rPr>
          <w:rFonts w:cs="Arial"/>
          <w:szCs w:val="18"/>
          <w:shd w:val="clear" w:color="auto" w:fill="FFFFFF"/>
          <w:vertAlign w:val="superscript"/>
        </w:rPr>
        <w:t>-1</w:t>
      </w:r>
      <w:r w:rsidR="00A76568" w:rsidRPr="00AC29DA">
        <w:rPr>
          <w:rFonts w:cs="Arial"/>
          <w:szCs w:val="18"/>
          <w:shd w:val="clear" w:color="auto" w:fill="FFFFFF"/>
        </w:rPr>
        <w:t>]</w:t>
      </w:r>
    </w:p>
    <w:p w14:paraId="459D05E6" w14:textId="4A1577B8" w:rsidR="00600535" w:rsidRPr="00AC29DA" w:rsidRDefault="00600535" w:rsidP="00600535">
      <w:pPr>
        <w:pStyle w:val="CETAcknowledgementstitle"/>
        <w:rPr>
          <w:lang w:val="it-IT"/>
        </w:rPr>
      </w:pPr>
      <w:proofErr w:type="spellStart"/>
      <w:r w:rsidRPr="00AC29DA">
        <w:rPr>
          <w:lang w:val="it-IT"/>
        </w:rPr>
        <w:t>Acknowledg</w:t>
      </w:r>
      <w:r w:rsidR="00133722" w:rsidRPr="00AC29DA">
        <w:rPr>
          <w:lang w:val="it-IT"/>
        </w:rPr>
        <w:t>e</w:t>
      </w:r>
      <w:r w:rsidRPr="00AC29DA">
        <w:rPr>
          <w:lang w:val="it-IT"/>
        </w:rPr>
        <w:t>ments</w:t>
      </w:r>
      <w:proofErr w:type="spellEnd"/>
    </w:p>
    <w:p w14:paraId="3A7C952E" w14:textId="77777777" w:rsidR="00911F1E" w:rsidRPr="00AC29DA" w:rsidRDefault="00911F1E" w:rsidP="00911F1E">
      <w:pPr>
        <w:pStyle w:val="CETBodytext"/>
        <w:rPr>
          <w:lang w:val="en-GB"/>
        </w:rPr>
      </w:pPr>
      <w:proofErr w:type="spellStart"/>
      <w:r w:rsidRPr="00AC29DA">
        <w:rPr>
          <w:lang w:val="it-IT"/>
        </w:rPr>
        <w:t>This</w:t>
      </w:r>
      <w:proofErr w:type="spellEnd"/>
      <w:r w:rsidRPr="00AC29DA">
        <w:rPr>
          <w:lang w:val="it-IT"/>
        </w:rPr>
        <w:t xml:space="preserve"> work </w:t>
      </w:r>
      <w:proofErr w:type="spellStart"/>
      <w:r w:rsidRPr="00AC29DA">
        <w:rPr>
          <w:lang w:val="it-IT"/>
        </w:rPr>
        <w:t>was</w:t>
      </w:r>
      <w:proofErr w:type="spellEnd"/>
      <w:r w:rsidRPr="00AC29DA">
        <w:rPr>
          <w:lang w:val="it-IT"/>
        </w:rPr>
        <w:t xml:space="preserve"> </w:t>
      </w:r>
      <w:proofErr w:type="spellStart"/>
      <w:r w:rsidRPr="00AC29DA">
        <w:rPr>
          <w:lang w:val="it-IT"/>
        </w:rPr>
        <w:t>supported</w:t>
      </w:r>
      <w:proofErr w:type="spellEnd"/>
      <w:r w:rsidRPr="00AC29DA">
        <w:rPr>
          <w:lang w:val="it-IT"/>
        </w:rPr>
        <w:t xml:space="preserve"> by “Fondo per la Crescita Sostenibile – Sportello “Agrifood” PON I&amp;C 2014-2020”, di cui al D.M. 5 marzo 2018 Capo III. </w:t>
      </w:r>
      <w:r w:rsidRPr="00AC29DA">
        <w:rPr>
          <w:lang w:val="en-GB"/>
        </w:rPr>
        <w:t>Prog. n. F/200125/01-03/X45.</w:t>
      </w:r>
    </w:p>
    <w:p w14:paraId="5873D13D" w14:textId="77777777" w:rsidR="00911F1E" w:rsidRPr="00AC29DA" w:rsidRDefault="00911F1E" w:rsidP="00911F1E">
      <w:pPr>
        <w:pStyle w:val="CETBodytext"/>
        <w:rPr>
          <w:lang w:val="en-GB"/>
        </w:rPr>
      </w:pPr>
      <w:r w:rsidRPr="00AC29DA">
        <w:rPr>
          <w:lang w:val="en-GB"/>
        </w:rPr>
        <w:t>Authors would like to thank VALERE “</w:t>
      </w:r>
      <w:proofErr w:type="spellStart"/>
      <w:r w:rsidRPr="00AC29DA">
        <w:rPr>
          <w:lang w:val="en-GB"/>
        </w:rPr>
        <w:t>VAnviteLli</w:t>
      </w:r>
      <w:proofErr w:type="spellEnd"/>
      <w:r w:rsidRPr="00AC29DA">
        <w:rPr>
          <w:lang w:val="en-GB"/>
        </w:rPr>
        <w:t xml:space="preserve"> </w:t>
      </w:r>
      <w:proofErr w:type="spellStart"/>
      <w:r w:rsidRPr="00AC29DA">
        <w:rPr>
          <w:lang w:val="en-GB"/>
        </w:rPr>
        <w:t>pEr</w:t>
      </w:r>
      <w:proofErr w:type="spellEnd"/>
      <w:r w:rsidRPr="00AC29DA">
        <w:rPr>
          <w:lang w:val="en-GB"/>
        </w:rPr>
        <w:t xml:space="preserve"> la </w:t>
      </w:r>
      <w:proofErr w:type="spellStart"/>
      <w:r w:rsidRPr="00AC29DA">
        <w:rPr>
          <w:lang w:val="en-GB"/>
        </w:rPr>
        <w:t>RicErca</w:t>
      </w:r>
      <w:proofErr w:type="spellEnd"/>
      <w:r w:rsidRPr="00AC29DA">
        <w:rPr>
          <w:lang w:val="en-GB"/>
        </w:rPr>
        <w:t xml:space="preserve">” PROGRAMME by the University of Campania Luigi </w:t>
      </w:r>
      <w:proofErr w:type="spellStart"/>
      <w:r w:rsidRPr="00AC29DA">
        <w:rPr>
          <w:lang w:val="en-GB"/>
        </w:rPr>
        <w:t>Vanvitelli</w:t>
      </w:r>
      <w:proofErr w:type="spellEnd"/>
      <w:r w:rsidRPr="00AC29DA">
        <w:rPr>
          <w:lang w:val="en-GB"/>
        </w:rPr>
        <w:t>.</w:t>
      </w:r>
    </w:p>
    <w:p w14:paraId="03507984" w14:textId="7E5DEAC6" w:rsidR="00600535" w:rsidRPr="00AC29DA" w:rsidRDefault="00600535" w:rsidP="00911F1E">
      <w:pPr>
        <w:pStyle w:val="CETReference"/>
      </w:pPr>
      <w:r w:rsidRPr="00AC29DA">
        <w:t>References</w:t>
      </w:r>
    </w:p>
    <w:p w14:paraId="428B022A" w14:textId="77777777" w:rsidR="00E65B91" w:rsidRPr="00AC29DA" w:rsidRDefault="00E65B91" w:rsidP="00600535">
      <w:pPr>
        <w:pStyle w:val="CETReferencetext"/>
      </w:pPr>
    </w:p>
    <w:p w14:paraId="247195D4" w14:textId="08A4D6A0" w:rsidR="004D2AE2" w:rsidRPr="004D2AE2" w:rsidRDefault="004743CD" w:rsidP="004D2AE2">
      <w:pPr>
        <w:widowControl w:val="0"/>
        <w:autoSpaceDE w:val="0"/>
        <w:autoSpaceDN w:val="0"/>
        <w:adjustRightInd w:val="0"/>
        <w:spacing w:line="240" w:lineRule="auto"/>
        <w:ind w:left="480" w:hanging="480"/>
        <w:rPr>
          <w:rFonts w:cs="Arial"/>
          <w:noProof/>
          <w:szCs w:val="24"/>
        </w:rPr>
      </w:pPr>
      <w:r w:rsidRPr="00AC29DA">
        <w:fldChar w:fldCharType="begin" w:fldLock="1"/>
      </w:r>
      <w:r w:rsidRPr="00AC29DA">
        <w:instrText xml:space="preserve">ADDIN Mendeley Bibliography CSL_BIBLIOGRAPHY </w:instrText>
      </w:r>
      <w:r w:rsidRPr="00AC29DA">
        <w:fldChar w:fldCharType="separate"/>
      </w:r>
      <w:r w:rsidR="004D2AE2" w:rsidRPr="004D2AE2">
        <w:rPr>
          <w:rFonts w:cs="Arial"/>
          <w:noProof/>
          <w:szCs w:val="24"/>
        </w:rPr>
        <w:t>Besagni, G., 2021. Bubble column fluid dynamics: A novel perspective for flow regimes and comprehensive experimental investigations. Int. J. Multiph. Flow 135.</w:t>
      </w:r>
    </w:p>
    <w:p w14:paraId="348DAAA7"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Besagni, G., Gallazzini, L., Inzoli, F., 2019. On the scale-up criteria for bubble columns. Petroleum 5, 114–122.</w:t>
      </w:r>
    </w:p>
    <w:p w14:paraId="39D88AD5"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Besagni, G., Inzoli, F., Ziegenhein, T., 2018. Two-phase bubble columns: A comprehensive review. ChemEngineering 2, 1–80.</w:t>
      </w:r>
    </w:p>
    <w:p w14:paraId="4352CFC4"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Doi, Y., Kitamura, S., Abe, H., 1995. Microbial Synthesis and Characterization of Poly(3-hydroxybutyrate-co-3-hydroxyhexanoate). Macromolecules 28, 4822–4828.</w:t>
      </w:r>
    </w:p>
    <w:p w14:paraId="5AF9697E"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García-Pérez, T., López, J.C., Passos, F., Lebrero, R., Revah, S., Muñoz, R., 2018. Optimization of CH4 removal from diluted emissions and continuous PHB production by methylocystis hirsuta: Towards GHG biorefineries. Chem. Eng. Trans. 68, 439–444.</w:t>
      </w:r>
    </w:p>
    <w:p w14:paraId="2D50F811"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Khosravi-Darani, K., Mokhtari, Z.B., Amai, T., Tanaka, K., 2013. Microbial production of poly(hydroxybutyrate) from C1 carbon sources. Appl. Microbiol. Biotechnol. 97, 1407–1424.</w:t>
      </w:r>
    </w:p>
    <w:p w14:paraId="1649703B"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Koller, M., Salerno, A., Dias, M., Reiterer, A., Braunegg, G., 2010. Modern biotechnological polymer synthesis: A review. Food Technol. Biotechnol. 48, 255–269.</w:t>
      </w:r>
    </w:p>
    <w:p w14:paraId="1A6348EC"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Manjrekar, O.N., Dudukovic, M.P., 2019. Identification of flow regime in a bubble column reactor with a combination of optical probe data and machine learning technique. Chem. Eng. Sci. X 2, 100023.</w:t>
      </w:r>
    </w:p>
    <w:p w14:paraId="6DF15621"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Myung, J., Galega, W.M., Van Nostrand, J.D., Yuan, T., Zhou, J., Criddle, C.S., 2015. Long-term cultivation of a stable Methylocystis-dominated methanotrophic enrichment enabling tailored production of poly(3-hydroxybutyrate-co-3-hydroxyvalerate). Bioresour. Technol. 198, 811–818.</w:t>
      </w:r>
    </w:p>
    <w:p w14:paraId="5E822C5E"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Padermshoke, A., Katsumoto, Y., Sato, H., Ekgasit, S., Noda, I., Ozaki, Y., 2005. Melting behavior of poly(3-hydroxybutyrate) investigated by two-dimensional infrared correlation spectroscopy. Spectrochim. Acta - Part A Mol. Biomol. Spectrosc. 61, 541–550.</w:t>
      </w:r>
    </w:p>
    <w:p w14:paraId="42ED0012"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Reilly, I.G., Scott, D.S., Debruijn, T.J.W., Macintyre, D., 1994. The role of gas phase momentum in determining gas holdup and hydrodynamic flow regimes in bubble column operations. Can. J. Chem. Eng. 72, 3–12.</w:t>
      </w:r>
    </w:p>
    <w:p w14:paraId="192877ED"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Rikmanis, M., Berzinš, A., Viesturs, U., 2007. Excess turbulence as a cause of turbohypobiosis in cultivation of microorganisms. Cent. Eur. J. Biol. 2, 481–501.</w:t>
      </w:r>
    </w:p>
    <w:p w14:paraId="408D7A37"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Rodríguez, Y., Firmino, P.I.M., Pérez, V., Lebrero, R., Muñoz, R., 2020. Biogas valorization via continuous polyhydroxybutyrate production by Methylocystis hirsuta in a bubble column bioreactor. Waste Manag. 113, 395–403.</w:t>
      </w:r>
    </w:p>
    <w:p w14:paraId="0E9675E3"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Rostkowski, K.H., Pfluger, A.R., Criddle, C.S., 2013. Stoichiometry and kinetics of the PHB-producing Type II methanotrophs Methylosinus trichosporium OB3b and Methylocystis parvus OBBP. Bioresour. Technol. 132, 71–77.</w:t>
      </w:r>
    </w:p>
    <w:p w14:paraId="3D353A24"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Ruzicka, M.C., Drahoš, J., Fialová, M., Thomas, N.H., 2001. Effect of bubble column dimensions on flow regime transition. Chem. Eng. Sci. 56, 6117–6124.</w:t>
      </w:r>
    </w:p>
    <w:p w14:paraId="3E044527" w14:textId="77777777" w:rsidR="004D2AE2" w:rsidRPr="004D2AE2" w:rsidRDefault="004D2AE2" w:rsidP="004D2AE2">
      <w:pPr>
        <w:widowControl w:val="0"/>
        <w:autoSpaceDE w:val="0"/>
        <w:autoSpaceDN w:val="0"/>
        <w:adjustRightInd w:val="0"/>
        <w:spacing w:line="240" w:lineRule="auto"/>
        <w:ind w:left="480" w:hanging="480"/>
        <w:rPr>
          <w:rFonts w:cs="Arial"/>
          <w:noProof/>
          <w:szCs w:val="24"/>
        </w:rPr>
      </w:pPr>
      <w:r w:rsidRPr="004D2AE2">
        <w:rPr>
          <w:rFonts w:cs="Arial"/>
          <w:noProof/>
          <w:szCs w:val="24"/>
        </w:rPr>
        <w:t>Toma, M.K., Systems, F., 1991. Inhibition of microbial growth and metabolism by excess turbulence 38, 552–556.</w:t>
      </w:r>
    </w:p>
    <w:p w14:paraId="44DDCD59" w14:textId="77777777" w:rsidR="004D2AE2" w:rsidRPr="004D2AE2" w:rsidRDefault="004D2AE2" w:rsidP="004D2AE2">
      <w:pPr>
        <w:widowControl w:val="0"/>
        <w:autoSpaceDE w:val="0"/>
        <w:autoSpaceDN w:val="0"/>
        <w:adjustRightInd w:val="0"/>
        <w:spacing w:line="240" w:lineRule="auto"/>
        <w:ind w:left="480" w:hanging="480"/>
        <w:rPr>
          <w:rFonts w:cs="Arial"/>
          <w:noProof/>
        </w:rPr>
      </w:pPr>
      <w:r w:rsidRPr="004D2AE2">
        <w:rPr>
          <w:rFonts w:cs="Arial"/>
          <w:noProof/>
          <w:szCs w:val="24"/>
        </w:rPr>
        <w:t>Urseanu, M.I., 2000. Scaling up bubble column reactors. University of Amsterdam.</w:t>
      </w:r>
    </w:p>
    <w:p w14:paraId="19C4FC68" w14:textId="7BEC8A7C" w:rsidR="004628D2" w:rsidRPr="00503883" w:rsidRDefault="004743CD" w:rsidP="004743CD">
      <w:pPr>
        <w:pStyle w:val="CETReferencetext"/>
        <w:ind w:left="0" w:firstLine="0"/>
      </w:pPr>
      <w:r w:rsidRPr="00AC29DA">
        <w:fldChar w:fldCharType="end"/>
      </w:r>
    </w:p>
    <w:sectPr w:rsidR="004628D2" w:rsidRPr="0050388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959D" w14:textId="77777777" w:rsidR="00515725" w:rsidRDefault="00515725" w:rsidP="004F5E36">
      <w:r>
        <w:separator/>
      </w:r>
    </w:p>
  </w:endnote>
  <w:endnote w:type="continuationSeparator" w:id="0">
    <w:p w14:paraId="6A89F14D" w14:textId="77777777" w:rsidR="00515725" w:rsidRDefault="0051572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0CB3" w14:textId="77777777" w:rsidR="00515725" w:rsidRDefault="00515725" w:rsidP="004F5E36">
      <w:r>
        <w:separator/>
      </w:r>
    </w:p>
  </w:footnote>
  <w:footnote w:type="continuationSeparator" w:id="0">
    <w:p w14:paraId="26230293" w14:textId="77777777" w:rsidR="00515725" w:rsidRDefault="0051572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A933400"/>
    <w:multiLevelType w:val="hybridMultilevel"/>
    <w:tmpl w:val="2B561008"/>
    <w:lvl w:ilvl="0" w:tplc="90520B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69" w:hanging="227"/>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27C0"/>
    <w:rsid w:val="000052FB"/>
    <w:rsid w:val="000117CB"/>
    <w:rsid w:val="00014123"/>
    <w:rsid w:val="000166AE"/>
    <w:rsid w:val="00024EE7"/>
    <w:rsid w:val="0002692C"/>
    <w:rsid w:val="00030EAE"/>
    <w:rsid w:val="0003148D"/>
    <w:rsid w:val="00031EEC"/>
    <w:rsid w:val="00034834"/>
    <w:rsid w:val="00040618"/>
    <w:rsid w:val="00051566"/>
    <w:rsid w:val="00060F0C"/>
    <w:rsid w:val="00062A9A"/>
    <w:rsid w:val="00063D58"/>
    <w:rsid w:val="00065058"/>
    <w:rsid w:val="00065B20"/>
    <w:rsid w:val="000757D8"/>
    <w:rsid w:val="00086C39"/>
    <w:rsid w:val="00092D40"/>
    <w:rsid w:val="000A03B2"/>
    <w:rsid w:val="000A049F"/>
    <w:rsid w:val="000A2E89"/>
    <w:rsid w:val="000B3477"/>
    <w:rsid w:val="000B51BE"/>
    <w:rsid w:val="000D0268"/>
    <w:rsid w:val="000D34BE"/>
    <w:rsid w:val="000D37A8"/>
    <w:rsid w:val="000E102F"/>
    <w:rsid w:val="000E36F1"/>
    <w:rsid w:val="000E3A73"/>
    <w:rsid w:val="000E414A"/>
    <w:rsid w:val="000F093C"/>
    <w:rsid w:val="000F3025"/>
    <w:rsid w:val="000F7820"/>
    <w:rsid w:val="000F787B"/>
    <w:rsid w:val="00100B95"/>
    <w:rsid w:val="001057F6"/>
    <w:rsid w:val="0012091F"/>
    <w:rsid w:val="00126BC2"/>
    <w:rsid w:val="001308B6"/>
    <w:rsid w:val="0013121F"/>
    <w:rsid w:val="00131FE6"/>
    <w:rsid w:val="0013263F"/>
    <w:rsid w:val="001331DF"/>
    <w:rsid w:val="00133722"/>
    <w:rsid w:val="00134DE4"/>
    <w:rsid w:val="00136A38"/>
    <w:rsid w:val="0014034D"/>
    <w:rsid w:val="00144B2D"/>
    <w:rsid w:val="00144D16"/>
    <w:rsid w:val="00150E59"/>
    <w:rsid w:val="0015294F"/>
    <w:rsid w:val="00152DE3"/>
    <w:rsid w:val="0016470B"/>
    <w:rsid w:val="00164CF9"/>
    <w:rsid w:val="001667A6"/>
    <w:rsid w:val="001750DF"/>
    <w:rsid w:val="00184AD6"/>
    <w:rsid w:val="001A42FC"/>
    <w:rsid w:val="001A4AF7"/>
    <w:rsid w:val="001B0349"/>
    <w:rsid w:val="001B1E93"/>
    <w:rsid w:val="001B65C1"/>
    <w:rsid w:val="001C42C6"/>
    <w:rsid w:val="001C59E1"/>
    <w:rsid w:val="001C684B"/>
    <w:rsid w:val="001D0CFB"/>
    <w:rsid w:val="001D21AF"/>
    <w:rsid w:val="001D53FC"/>
    <w:rsid w:val="001E6024"/>
    <w:rsid w:val="001F1AB1"/>
    <w:rsid w:val="001F3DC1"/>
    <w:rsid w:val="001F42A5"/>
    <w:rsid w:val="001F7B9D"/>
    <w:rsid w:val="00201C93"/>
    <w:rsid w:val="002224B4"/>
    <w:rsid w:val="0023603A"/>
    <w:rsid w:val="0024085F"/>
    <w:rsid w:val="00242862"/>
    <w:rsid w:val="002447EF"/>
    <w:rsid w:val="00251550"/>
    <w:rsid w:val="00261291"/>
    <w:rsid w:val="002614F0"/>
    <w:rsid w:val="00263B05"/>
    <w:rsid w:val="00264190"/>
    <w:rsid w:val="002661C1"/>
    <w:rsid w:val="00267AFF"/>
    <w:rsid w:val="002709A6"/>
    <w:rsid w:val="0027221A"/>
    <w:rsid w:val="002722B9"/>
    <w:rsid w:val="00275B61"/>
    <w:rsid w:val="00280FAF"/>
    <w:rsid w:val="00281C47"/>
    <w:rsid w:val="00282656"/>
    <w:rsid w:val="00295370"/>
    <w:rsid w:val="00296B83"/>
    <w:rsid w:val="002B09BE"/>
    <w:rsid w:val="002B4015"/>
    <w:rsid w:val="002B43D5"/>
    <w:rsid w:val="002B477C"/>
    <w:rsid w:val="002B78CE"/>
    <w:rsid w:val="002C26D7"/>
    <w:rsid w:val="002C2FB6"/>
    <w:rsid w:val="002E4ADE"/>
    <w:rsid w:val="002E5FA7"/>
    <w:rsid w:val="002F3309"/>
    <w:rsid w:val="00300563"/>
    <w:rsid w:val="003008CE"/>
    <w:rsid w:val="003009B7"/>
    <w:rsid w:val="00300E56"/>
    <w:rsid w:val="0030469C"/>
    <w:rsid w:val="003051A2"/>
    <w:rsid w:val="00321526"/>
    <w:rsid w:val="00321CA6"/>
    <w:rsid w:val="00323763"/>
    <w:rsid w:val="00323ECE"/>
    <w:rsid w:val="00331EB1"/>
    <w:rsid w:val="00334C09"/>
    <w:rsid w:val="003531F0"/>
    <w:rsid w:val="0035530D"/>
    <w:rsid w:val="00363462"/>
    <w:rsid w:val="00366658"/>
    <w:rsid w:val="00370B89"/>
    <w:rsid w:val="003723D4"/>
    <w:rsid w:val="003810DB"/>
    <w:rsid w:val="00381905"/>
    <w:rsid w:val="00384CC8"/>
    <w:rsid w:val="003871FD"/>
    <w:rsid w:val="003944D3"/>
    <w:rsid w:val="003A1B8F"/>
    <w:rsid w:val="003A1E30"/>
    <w:rsid w:val="003A2829"/>
    <w:rsid w:val="003A584C"/>
    <w:rsid w:val="003A7D1C"/>
    <w:rsid w:val="003B2005"/>
    <w:rsid w:val="003B304B"/>
    <w:rsid w:val="003B3146"/>
    <w:rsid w:val="003C04F6"/>
    <w:rsid w:val="003C6B1A"/>
    <w:rsid w:val="003D6B7F"/>
    <w:rsid w:val="003E3F0A"/>
    <w:rsid w:val="003F015E"/>
    <w:rsid w:val="003F7880"/>
    <w:rsid w:val="00400414"/>
    <w:rsid w:val="00414022"/>
    <w:rsid w:val="0041446B"/>
    <w:rsid w:val="0044071E"/>
    <w:rsid w:val="00440E11"/>
    <w:rsid w:val="0044329C"/>
    <w:rsid w:val="00453E24"/>
    <w:rsid w:val="00454E7D"/>
    <w:rsid w:val="00457456"/>
    <w:rsid w:val="004577FE"/>
    <w:rsid w:val="00457B9C"/>
    <w:rsid w:val="0046164A"/>
    <w:rsid w:val="004628D2"/>
    <w:rsid w:val="00462DCD"/>
    <w:rsid w:val="004638CE"/>
    <w:rsid w:val="004648AD"/>
    <w:rsid w:val="004703A9"/>
    <w:rsid w:val="004743CD"/>
    <w:rsid w:val="004760DE"/>
    <w:rsid w:val="004763D7"/>
    <w:rsid w:val="0048047E"/>
    <w:rsid w:val="004826E0"/>
    <w:rsid w:val="00491F27"/>
    <w:rsid w:val="00496413"/>
    <w:rsid w:val="00496A7D"/>
    <w:rsid w:val="004A004E"/>
    <w:rsid w:val="004A24CF"/>
    <w:rsid w:val="004B68ED"/>
    <w:rsid w:val="004C3D1D"/>
    <w:rsid w:val="004C7913"/>
    <w:rsid w:val="004D2AE2"/>
    <w:rsid w:val="004D7C8A"/>
    <w:rsid w:val="004E18CC"/>
    <w:rsid w:val="004E4DD6"/>
    <w:rsid w:val="004E76EE"/>
    <w:rsid w:val="004F368B"/>
    <w:rsid w:val="004F3BC6"/>
    <w:rsid w:val="004F5E36"/>
    <w:rsid w:val="00500285"/>
    <w:rsid w:val="0050037F"/>
    <w:rsid w:val="0050261D"/>
    <w:rsid w:val="00503883"/>
    <w:rsid w:val="00507B47"/>
    <w:rsid w:val="00507BEF"/>
    <w:rsid w:val="00507CC9"/>
    <w:rsid w:val="005119A5"/>
    <w:rsid w:val="00515725"/>
    <w:rsid w:val="0052428B"/>
    <w:rsid w:val="005278B7"/>
    <w:rsid w:val="00532016"/>
    <w:rsid w:val="005346C8"/>
    <w:rsid w:val="005360BE"/>
    <w:rsid w:val="00543E7D"/>
    <w:rsid w:val="00547A68"/>
    <w:rsid w:val="005531C9"/>
    <w:rsid w:val="00556D38"/>
    <w:rsid w:val="005571D5"/>
    <w:rsid w:val="00570C43"/>
    <w:rsid w:val="005B2110"/>
    <w:rsid w:val="005B28ED"/>
    <w:rsid w:val="005B3BCF"/>
    <w:rsid w:val="005B58EA"/>
    <w:rsid w:val="005B61E6"/>
    <w:rsid w:val="005C4F8D"/>
    <w:rsid w:val="005C77E1"/>
    <w:rsid w:val="005D668A"/>
    <w:rsid w:val="005D6A2F"/>
    <w:rsid w:val="005E1A82"/>
    <w:rsid w:val="005E2311"/>
    <w:rsid w:val="005E3DBE"/>
    <w:rsid w:val="005E794C"/>
    <w:rsid w:val="005F0A28"/>
    <w:rsid w:val="005F0E5E"/>
    <w:rsid w:val="005F5C53"/>
    <w:rsid w:val="00600535"/>
    <w:rsid w:val="00604911"/>
    <w:rsid w:val="00610CD6"/>
    <w:rsid w:val="00620DEE"/>
    <w:rsid w:val="0062100F"/>
    <w:rsid w:val="00621F92"/>
    <w:rsid w:val="0062280A"/>
    <w:rsid w:val="00625639"/>
    <w:rsid w:val="00631B33"/>
    <w:rsid w:val="00633D40"/>
    <w:rsid w:val="00634B8F"/>
    <w:rsid w:val="0064184D"/>
    <w:rsid w:val="006422CC"/>
    <w:rsid w:val="00656D01"/>
    <w:rsid w:val="0065753E"/>
    <w:rsid w:val="006602BA"/>
    <w:rsid w:val="00660E3E"/>
    <w:rsid w:val="00662E74"/>
    <w:rsid w:val="006745B5"/>
    <w:rsid w:val="00680C23"/>
    <w:rsid w:val="00683BA3"/>
    <w:rsid w:val="0068685A"/>
    <w:rsid w:val="00693766"/>
    <w:rsid w:val="006A3281"/>
    <w:rsid w:val="006B16F0"/>
    <w:rsid w:val="006B1F86"/>
    <w:rsid w:val="006B4888"/>
    <w:rsid w:val="006B5536"/>
    <w:rsid w:val="006C2144"/>
    <w:rsid w:val="006C2E45"/>
    <w:rsid w:val="006C359C"/>
    <w:rsid w:val="006C4311"/>
    <w:rsid w:val="006C5579"/>
    <w:rsid w:val="006C7B0D"/>
    <w:rsid w:val="006D6E8B"/>
    <w:rsid w:val="006E0EA4"/>
    <w:rsid w:val="006E1EFC"/>
    <w:rsid w:val="006E737D"/>
    <w:rsid w:val="00700E25"/>
    <w:rsid w:val="00702DB8"/>
    <w:rsid w:val="00713973"/>
    <w:rsid w:val="00720A24"/>
    <w:rsid w:val="00732386"/>
    <w:rsid w:val="0073514D"/>
    <w:rsid w:val="0073539A"/>
    <w:rsid w:val="007447F3"/>
    <w:rsid w:val="00745766"/>
    <w:rsid w:val="0075036C"/>
    <w:rsid w:val="0075499F"/>
    <w:rsid w:val="007661C8"/>
    <w:rsid w:val="0077098D"/>
    <w:rsid w:val="007931FA"/>
    <w:rsid w:val="00794B4A"/>
    <w:rsid w:val="00795F6C"/>
    <w:rsid w:val="007A4861"/>
    <w:rsid w:val="007A7BBA"/>
    <w:rsid w:val="007B0C50"/>
    <w:rsid w:val="007B2FA0"/>
    <w:rsid w:val="007B48F9"/>
    <w:rsid w:val="007C1A43"/>
    <w:rsid w:val="007C7FD2"/>
    <w:rsid w:val="007D31E6"/>
    <w:rsid w:val="0080013E"/>
    <w:rsid w:val="00813288"/>
    <w:rsid w:val="00816712"/>
    <w:rsid w:val="008168FC"/>
    <w:rsid w:val="008230BB"/>
    <w:rsid w:val="00830996"/>
    <w:rsid w:val="00833520"/>
    <w:rsid w:val="008345F1"/>
    <w:rsid w:val="008515B7"/>
    <w:rsid w:val="0085173F"/>
    <w:rsid w:val="00862AFE"/>
    <w:rsid w:val="00865B07"/>
    <w:rsid w:val="008667EA"/>
    <w:rsid w:val="0087637F"/>
    <w:rsid w:val="008830E3"/>
    <w:rsid w:val="008906A2"/>
    <w:rsid w:val="00892AD5"/>
    <w:rsid w:val="00896DAC"/>
    <w:rsid w:val="008977D9"/>
    <w:rsid w:val="008A1512"/>
    <w:rsid w:val="008A6B67"/>
    <w:rsid w:val="008C0EA8"/>
    <w:rsid w:val="008C305F"/>
    <w:rsid w:val="008D32B9"/>
    <w:rsid w:val="008D433B"/>
    <w:rsid w:val="008D43BF"/>
    <w:rsid w:val="008D48E6"/>
    <w:rsid w:val="008E1435"/>
    <w:rsid w:val="008E3B5C"/>
    <w:rsid w:val="008E566E"/>
    <w:rsid w:val="008F33C3"/>
    <w:rsid w:val="008F39B5"/>
    <w:rsid w:val="008F5156"/>
    <w:rsid w:val="008F5BDD"/>
    <w:rsid w:val="0090161A"/>
    <w:rsid w:val="00901EB6"/>
    <w:rsid w:val="00904C62"/>
    <w:rsid w:val="00911D7D"/>
    <w:rsid w:val="00911F1E"/>
    <w:rsid w:val="00922108"/>
    <w:rsid w:val="00922BA8"/>
    <w:rsid w:val="00924DAC"/>
    <w:rsid w:val="00927058"/>
    <w:rsid w:val="00942750"/>
    <w:rsid w:val="009450CE"/>
    <w:rsid w:val="00945AB6"/>
    <w:rsid w:val="00947179"/>
    <w:rsid w:val="0095164B"/>
    <w:rsid w:val="00954090"/>
    <w:rsid w:val="009573E7"/>
    <w:rsid w:val="00963E05"/>
    <w:rsid w:val="00964A45"/>
    <w:rsid w:val="00967843"/>
    <w:rsid w:val="00967D54"/>
    <w:rsid w:val="00971028"/>
    <w:rsid w:val="00993B84"/>
    <w:rsid w:val="00996483"/>
    <w:rsid w:val="00996F5A"/>
    <w:rsid w:val="009A1CD1"/>
    <w:rsid w:val="009B041A"/>
    <w:rsid w:val="009B0DE6"/>
    <w:rsid w:val="009B18EE"/>
    <w:rsid w:val="009B7A0C"/>
    <w:rsid w:val="009C37C3"/>
    <w:rsid w:val="009C7C86"/>
    <w:rsid w:val="009D2FF7"/>
    <w:rsid w:val="009D66A5"/>
    <w:rsid w:val="009E7884"/>
    <w:rsid w:val="009E788A"/>
    <w:rsid w:val="009F02A8"/>
    <w:rsid w:val="009F0E08"/>
    <w:rsid w:val="00A02C89"/>
    <w:rsid w:val="00A10DAE"/>
    <w:rsid w:val="00A15954"/>
    <w:rsid w:val="00A1763D"/>
    <w:rsid w:val="00A17CEC"/>
    <w:rsid w:val="00A21DA2"/>
    <w:rsid w:val="00A27EF0"/>
    <w:rsid w:val="00A32B35"/>
    <w:rsid w:val="00A366B8"/>
    <w:rsid w:val="00A42361"/>
    <w:rsid w:val="00A43790"/>
    <w:rsid w:val="00A50B20"/>
    <w:rsid w:val="00A51390"/>
    <w:rsid w:val="00A529B3"/>
    <w:rsid w:val="00A548A7"/>
    <w:rsid w:val="00A60D13"/>
    <w:rsid w:val="00A72745"/>
    <w:rsid w:val="00A76568"/>
    <w:rsid w:val="00A76EFC"/>
    <w:rsid w:val="00A81ED1"/>
    <w:rsid w:val="00A91010"/>
    <w:rsid w:val="00A925B6"/>
    <w:rsid w:val="00A97F29"/>
    <w:rsid w:val="00AA3DE6"/>
    <w:rsid w:val="00AA702E"/>
    <w:rsid w:val="00AA74EB"/>
    <w:rsid w:val="00AA7BD8"/>
    <w:rsid w:val="00AB0964"/>
    <w:rsid w:val="00AB5011"/>
    <w:rsid w:val="00AB7F3A"/>
    <w:rsid w:val="00AC29DA"/>
    <w:rsid w:val="00AC7368"/>
    <w:rsid w:val="00AD16B9"/>
    <w:rsid w:val="00AD6127"/>
    <w:rsid w:val="00AE377D"/>
    <w:rsid w:val="00AF0EBA"/>
    <w:rsid w:val="00AF6775"/>
    <w:rsid w:val="00B02C8A"/>
    <w:rsid w:val="00B17FBD"/>
    <w:rsid w:val="00B244FB"/>
    <w:rsid w:val="00B315A6"/>
    <w:rsid w:val="00B31813"/>
    <w:rsid w:val="00B33365"/>
    <w:rsid w:val="00B368B4"/>
    <w:rsid w:val="00B47EFE"/>
    <w:rsid w:val="00B57B36"/>
    <w:rsid w:val="00B57E6F"/>
    <w:rsid w:val="00B6115F"/>
    <w:rsid w:val="00B64F1D"/>
    <w:rsid w:val="00B8686D"/>
    <w:rsid w:val="00B91057"/>
    <w:rsid w:val="00B93F69"/>
    <w:rsid w:val="00BA6250"/>
    <w:rsid w:val="00BB13C7"/>
    <w:rsid w:val="00BB1DDC"/>
    <w:rsid w:val="00BC30C9"/>
    <w:rsid w:val="00BC42A7"/>
    <w:rsid w:val="00BD077D"/>
    <w:rsid w:val="00BD5CFF"/>
    <w:rsid w:val="00BE3E58"/>
    <w:rsid w:val="00BE502A"/>
    <w:rsid w:val="00BF01E4"/>
    <w:rsid w:val="00C01616"/>
    <w:rsid w:val="00C0162B"/>
    <w:rsid w:val="00C068ED"/>
    <w:rsid w:val="00C125D6"/>
    <w:rsid w:val="00C15D54"/>
    <w:rsid w:val="00C22E0C"/>
    <w:rsid w:val="00C345B1"/>
    <w:rsid w:val="00C40142"/>
    <w:rsid w:val="00C52C3C"/>
    <w:rsid w:val="00C57182"/>
    <w:rsid w:val="00C57863"/>
    <w:rsid w:val="00C655FD"/>
    <w:rsid w:val="00C67B9F"/>
    <w:rsid w:val="00C710FF"/>
    <w:rsid w:val="00C75407"/>
    <w:rsid w:val="00C8169F"/>
    <w:rsid w:val="00C870A8"/>
    <w:rsid w:val="00C94434"/>
    <w:rsid w:val="00C95278"/>
    <w:rsid w:val="00CA0D75"/>
    <w:rsid w:val="00CA1C95"/>
    <w:rsid w:val="00CA5A9C"/>
    <w:rsid w:val="00CC1B05"/>
    <w:rsid w:val="00CC4C20"/>
    <w:rsid w:val="00CC7F36"/>
    <w:rsid w:val="00CD3517"/>
    <w:rsid w:val="00CD5FE2"/>
    <w:rsid w:val="00CE343B"/>
    <w:rsid w:val="00CE7C68"/>
    <w:rsid w:val="00D02B4C"/>
    <w:rsid w:val="00D040C4"/>
    <w:rsid w:val="00D11FC7"/>
    <w:rsid w:val="00D42AC3"/>
    <w:rsid w:val="00D44C4E"/>
    <w:rsid w:val="00D46B7E"/>
    <w:rsid w:val="00D50B14"/>
    <w:rsid w:val="00D57C84"/>
    <w:rsid w:val="00D6057D"/>
    <w:rsid w:val="00D613A4"/>
    <w:rsid w:val="00D64B4F"/>
    <w:rsid w:val="00D71640"/>
    <w:rsid w:val="00D71F59"/>
    <w:rsid w:val="00D8030B"/>
    <w:rsid w:val="00D80515"/>
    <w:rsid w:val="00D80A9B"/>
    <w:rsid w:val="00D81965"/>
    <w:rsid w:val="00D81D01"/>
    <w:rsid w:val="00D836C5"/>
    <w:rsid w:val="00D84576"/>
    <w:rsid w:val="00DA1399"/>
    <w:rsid w:val="00DA24C6"/>
    <w:rsid w:val="00DA4D7B"/>
    <w:rsid w:val="00DB0BAE"/>
    <w:rsid w:val="00DC46B4"/>
    <w:rsid w:val="00DE200C"/>
    <w:rsid w:val="00DE264A"/>
    <w:rsid w:val="00DF5072"/>
    <w:rsid w:val="00E02D18"/>
    <w:rsid w:val="00E041E7"/>
    <w:rsid w:val="00E0501E"/>
    <w:rsid w:val="00E06BC7"/>
    <w:rsid w:val="00E175E2"/>
    <w:rsid w:val="00E22572"/>
    <w:rsid w:val="00E23CA1"/>
    <w:rsid w:val="00E409A8"/>
    <w:rsid w:val="00E41CE7"/>
    <w:rsid w:val="00E50C12"/>
    <w:rsid w:val="00E65B91"/>
    <w:rsid w:val="00E65C85"/>
    <w:rsid w:val="00E66B30"/>
    <w:rsid w:val="00E67E4E"/>
    <w:rsid w:val="00E7209D"/>
    <w:rsid w:val="00E72B31"/>
    <w:rsid w:val="00E72EAD"/>
    <w:rsid w:val="00E77223"/>
    <w:rsid w:val="00E84E30"/>
    <w:rsid w:val="00E8528B"/>
    <w:rsid w:val="00E85B94"/>
    <w:rsid w:val="00E93471"/>
    <w:rsid w:val="00E9355C"/>
    <w:rsid w:val="00E978D0"/>
    <w:rsid w:val="00EA2396"/>
    <w:rsid w:val="00EA4613"/>
    <w:rsid w:val="00EA7F91"/>
    <w:rsid w:val="00EB1523"/>
    <w:rsid w:val="00EB557C"/>
    <w:rsid w:val="00EB5BD6"/>
    <w:rsid w:val="00EC011B"/>
    <w:rsid w:val="00EC0E49"/>
    <w:rsid w:val="00EC101F"/>
    <w:rsid w:val="00EC1D9F"/>
    <w:rsid w:val="00ED72E4"/>
    <w:rsid w:val="00EE0131"/>
    <w:rsid w:val="00EE17B0"/>
    <w:rsid w:val="00EE30A7"/>
    <w:rsid w:val="00EF06D9"/>
    <w:rsid w:val="00EF3F66"/>
    <w:rsid w:val="00EF58ED"/>
    <w:rsid w:val="00F07CDB"/>
    <w:rsid w:val="00F15167"/>
    <w:rsid w:val="00F204FC"/>
    <w:rsid w:val="00F30C64"/>
    <w:rsid w:val="00F31503"/>
    <w:rsid w:val="00F32BA2"/>
    <w:rsid w:val="00F32CDB"/>
    <w:rsid w:val="00F369E6"/>
    <w:rsid w:val="00F565FE"/>
    <w:rsid w:val="00F62E2D"/>
    <w:rsid w:val="00F63A70"/>
    <w:rsid w:val="00F70DAE"/>
    <w:rsid w:val="00F719F2"/>
    <w:rsid w:val="00F73682"/>
    <w:rsid w:val="00F7534E"/>
    <w:rsid w:val="00FA1802"/>
    <w:rsid w:val="00FA21D0"/>
    <w:rsid w:val="00FA5F5F"/>
    <w:rsid w:val="00FB730C"/>
    <w:rsid w:val="00FC1760"/>
    <w:rsid w:val="00FC2695"/>
    <w:rsid w:val="00FC3E03"/>
    <w:rsid w:val="00FC3FC1"/>
    <w:rsid w:val="00FE2334"/>
    <w:rsid w:val="00FF23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64319E90-0FCC-4053-A065-1834B834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656D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6C2144"/>
    <w:rPr>
      <w:color w:val="605E5C"/>
      <w:shd w:val="clear" w:color="auto" w:fill="E1DFDD"/>
    </w:rPr>
  </w:style>
  <w:style w:type="paragraph" w:styleId="Revisione">
    <w:name w:val="Revision"/>
    <w:hidden/>
    <w:uiPriority w:val="99"/>
    <w:semiHidden/>
    <w:rsid w:val="00496A7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4298-0A1F-48F0-AA2F-BD4CB83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11504</Words>
  <Characters>65574</Characters>
  <Application>Microsoft Office Word</Application>
  <DocSecurity>0</DocSecurity>
  <Lines>546</Lines>
  <Paragraphs>153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Claudia Amabile</cp:lastModifiedBy>
  <cp:revision>14</cp:revision>
  <cp:lastPrinted>2015-05-12T18:31:00Z</cp:lastPrinted>
  <dcterms:created xsi:type="dcterms:W3CDTF">2022-01-26T14:20:00Z</dcterms:created>
  <dcterms:modified xsi:type="dcterms:W3CDTF">2022-02-22T12:39:00Z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94ff78b2-1262-36cb-8649-3925b4fff616</vt:lpwstr>
  </property>
  <property fmtid="{D5CDD505-2E9C-101B-9397-08002B2CF9AE}" pid="6" name="Mendeley Citation Style_1">
    <vt:lpwstr>http://www.zotero.org/styles/elsevier-harvard2</vt:lpwstr>
  </property>
  <property fmtid="{D5CDD505-2E9C-101B-9397-08002B2CF9AE}" pid="7" name="Mendeley Recent Style Id 0_1">
    <vt:lpwstr>http://www.zotero.org/styles/acs-sustainable-chemistry-and-engineering</vt:lpwstr>
  </property>
  <property fmtid="{D5CDD505-2E9C-101B-9397-08002B2CF9AE}" pid="8" name="Mendeley Recent Style Name 0_1">
    <vt:lpwstr>ACS Sustainable Chemistry &amp; Engineering</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 6th edition</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http://www.zotero.org/styles/elsevier-harvard</vt:lpwstr>
  </property>
  <property fmtid="{D5CDD505-2E9C-101B-9397-08002B2CF9AE}" pid="16" name="Mendeley Recent Style Name 4_1">
    <vt:lpwstr>Elsevier - Harvard (with titles)</vt:lpwstr>
  </property>
  <property fmtid="{D5CDD505-2E9C-101B-9397-08002B2CF9AE}" pid="17" name="Mendeley Recent Style Id 5_1">
    <vt:lpwstr>http://www.zotero.org/styles/elsevier-harvard-without-titles</vt:lpwstr>
  </property>
  <property fmtid="{D5CDD505-2E9C-101B-9397-08002B2CF9AE}" pid="18" name="Mendeley Recent Style Name 5_1">
    <vt:lpwstr>Elsevier - Harvard (without titles)</vt:lpwstr>
  </property>
  <property fmtid="{D5CDD505-2E9C-101B-9397-08002B2CF9AE}" pid="19" name="Mendeley Recent Style Id 6_1">
    <vt:lpwstr>http://www.zotero.org/styles/elsevier-harvard2</vt:lpwstr>
  </property>
  <property fmtid="{D5CDD505-2E9C-101B-9397-08002B2CF9AE}" pid="20" name="Mendeley Recent Style Name 6_1">
    <vt:lpwstr>Elsevier - Harvard 2</vt:lpwstr>
  </property>
  <property fmtid="{D5CDD505-2E9C-101B-9397-08002B2CF9AE}" pid="21" name="Mendeley Recent Style Id 7_1">
    <vt:lpwstr>http://www.zotero.org/styles/harvard1</vt:lpwstr>
  </property>
  <property fmtid="{D5CDD505-2E9C-101B-9397-08002B2CF9AE}" pid="22" name="Mendeley Recent Style Name 7_1">
    <vt:lpwstr>Harvard reference format 1 (deprecated)</vt:lpwstr>
  </property>
  <property fmtid="{D5CDD505-2E9C-101B-9397-08002B2CF9AE}" pid="23" name="Mendeley Recent Style Id 8_1">
    <vt:lpwstr>http://www.zotero.org/styles/ieee</vt:lpwstr>
  </property>
  <property fmtid="{D5CDD505-2E9C-101B-9397-08002B2CF9AE}" pid="24" name="Mendeley Recent Style Name 8_1">
    <vt:lpwstr>IEEE</vt:lpwstr>
  </property>
  <property fmtid="{D5CDD505-2E9C-101B-9397-08002B2CF9AE}" pid="25" name="Mendeley Recent Style Id 9_1">
    <vt:lpwstr>http://www.zotero.org/styles/modern-humanities-research-association</vt:lpwstr>
  </property>
  <property fmtid="{D5CDD505-2E9C-101B-9397-08002B2CF9AE}" pid="26" name="Mendeley Recent Style Name 9_1">
    <vt:lpwstr>Modern Humanities Research Association 3rd edition (note with bibliography)</vt:lpwstr>
  </property>
</Properties>
</file>