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rFonts w:ascii="Times New Roman" w:hAnsi="Times New Roman" w:eastAsia="MS PGothic"/>
          <w:b/>
          <w:b/>
          <w:bCs/>
          <w:sz w:val="24"/>
          <w:szCs w:val="24"/>
          <w:lang w:val="en-US"/>
        </w:rPr>
      </w:pPr>
      <w:r>
        <w:rPr>
          <w:rFonts w:eastAsia="MS PGothic" w:ascii="Times New Roman" w:hAnsi="Times New Roman"/>
          <w:b/>
          <w:bCs/>
          <w:sz w:val="24"/>
          <w:szCs w:val="24"/>
          <w:lang w:val="en-US"/>
        </w:rPr>
        <w:t>Slippage at the solid-liquid interfaces: implications for colloidal transport</w:t>
      </w:r>
    </w:p>
    <w:p>
      <w:pPr>
        <w:pStyle w:val="Normal"/>
        <w:snapToGrid w:val="false"/>
        <w:jc w:val="center"/>
        <w:rPr>
          <w:rFonts w:ascii="Times New Roman" w:hAnsi="Times New Roman" w:eastAsia="MS PGothic"/>
          <w:b/>
          <w:b/>
          <w:bCs/>
          <w:sz w:val="24"/>
          <w:szCs w:val="24"/>
          <w:lang w:val="en-US"/>
        </w:rPr>
      </w:pPr>
      <w:r>
        <w:rPr>
          <w:rFonts w:eastAsia="MS PGothic" w:ascii="Times New Roman" w:hAnsi="Times New Roman"/>
          <w:b/>
          <w:bCs/>
          <w:sz w:val="24"/>
          <w:szCs w:val="24"/>
          <w:lang w:val="en-US"/>
        </w:rPr>
        <w:t xml:space="preserve"> </w:t>
      </w:r>
      <w:r>
        <w:rPr>
          <w:rFonts w:eastAsia="MS PGothic" w:ascii="Times New Roman" w:hAnsi="Times New Roman"/>
          <w:b/>
          <w:bCs/>
          <w:sz w:val="24"/>
          <w:szCs w:val="24"/>
          <w:lang w:val="en-US"/>
        </w:rPr>
        <w:t xml:space="preserve">in confined geometries </w:t>
      </w:r>
    </w:p>
    <w:p>
      <w:pPr>
        <w:pStyle w:val="Normal"/>
        <w:snapToGrid w:val="false"/>
        <w:jc w:val="center"/>
        <w:rPr>
          <w:rFonts w:ascii="Times New Roman" w:hAnsi="Times New Roman" w:eastAsia="MS PGothic"/>
          <w:b/>
          <w:b/>
          <w:bCs/>
          <w:sz w:val="24"/>
          <w:szCs w:val="24"/>
          <w:lang w:val="en-US" w:eastAsia="ko-KR"/>
        </w:rPr>
      </w:pPr>
      <w:r>
        <w:rPr>
          <w:rFonts w:eastAsia="MS PGothic" w:ascii="Times New Roman" w:hAnsi="Times New Roman"/>
          <w:b/>
          <w:bCs/>
          <w:sz w:val="24"/>
          <w:szCs w:val="24"/>
          <w:lang w:val="en-US" w:eastAsia="ko-KR"/>
        </w:rPr>
      </w:r>
    </w:p>
    <w:p>
      <w:pPr>
        <w:pStyle w:val="Normal"/>
        <w:snapToGrid w:val="false"/>
        <w:jc w:val="center"/>
        <w:rPr>
          <w:rFonts w:ascii="Times New Roman" w:hAnsi="Times New Roman" w:eastAsia="MS PGothic"/>
          <w:sz w:val="24"/>
          <w:szCs w:val="24"/>
          <w:lang w:val="en-US"/>
        </w:rPr>
      </w:pPr>
      <w:r>
        <w:rPr>
          <w:rFonts w:eastAsia="SimSun" w:ascii="Times New Roman" w:hAnsi="Times New Roman"/>
          <w:sz w:val="24"/>
          <w:szCs w:val="24"/>
          <w:u w:val="single"/>
          <w:lang w:val="en-US" w:eastAsia="zh-CN"/>
        </w:rPr>
        <w:t>Giuseppe Procopio</w:t>
      </w:r>
      <w:r>
        <w:rPr>
          <w:rFonts w:eastAsia="SimSun" w:ascii="Times New Roman" w:hAnsi="Times New Roman"/>
          <w:sz w:val="24"/>
          <w:szCs w:val="24"/>
          <w:u w:val="single"/>
          <w:vertAlign w:val="superscript"/>
          <w:lang w:val="en-US" w:eastAsia="zh-CN"/>
        </w:rPr>
        <w:t>1</w:t>
      </w:r>
      <w:r>
        <w:rPr>
          <w:rFonts w:eastAsia="SimSun" w:ascii="Times New Roman" w:hAnsi="Times New Roman"/>
          <w:sz w:val="24"/>
          <w:szCs w:val="24"/>
          <w:lang w:val="en-US" w:eastAsia="zh-CN"/>
        </w:rPr>
        <w:t>, Massimiliano Giona</w:t>
      </w:r>
      <w:r>
        <w:rPr>
          <w:rFonts w:eastAsia="SimSun" w:ascii="Times New Roman" w:hAnsi="Times New Roman"/>
          <w:sz w:val="24"/>
          <w:szCs w:val="24"/>
          <w:vertAlign w:val="superscript"/>
          <w:lang w:val="en-US" w:eastAsia="zh-CN"/>
        </w:rPr>
        <w:t>1</w:t>
      </w:r>
      <w:r>
        <w:rPr>
          <w:rFonts w:eastAsia="SimSun" w:ascii="Times New Roman" w:hAnsi="Times New Roman"/>
          <w:sz w:val="24"/>
          <w:szCs w:val="24"/>
          <w:lang w:val="en-US" w:eastAsia="zh-CN"/>
        </w:rPr>
        <w:t>*</w:t>
      </w:r>
    </w:p>
    <w:p>
      <w:pPr>
        <w:pStyle w:val="Normal"/>
        <w:snapToGrid w:val="false"/>
        <w:spacing w:before="0" w:after="120"/>
        <w:jc w:val="center"/>
        <w:rPr>
          <w:rFonts w:ascii="Times New Roman" w:hAnsi="Times New Roman" w:eastAsia="MS PGothic"/>
          <w:i/>
          <w:i/>
          <w:iCs/>
          <w:sz w:val="20"/>
          <w:lang w:val="en-US"/>
        </w:rPr>
      </w:pPr>
      <w:r>
        <w:rPr>
          <w:rFonts w:eastAsia="MS PGothic" w:ascii="Times New Roman" w:hAnsi="Times New Roman"/>
          <w:i/>
          <w:iCs/>
          <w:sz w:val="20"/>
          <w:lang w:val="en-US"/>
        </w:rPr>
        <w:t xml:space="preserve">1 DICMA, La Sapienza Università di Roma, via Eudossiana 18, 00184 Roma, Italy; </w:t>
      </w:r>
    </w:p>
    <w:p>
      <w:pPr>
        <w:pStyle w:val="Normal"/>
        <w:snapToGrid w:val="false"/>
        <w:jc w:val="center"/>
        <w:rPr>
          <w:rFonts w:ascii="Times New Roman" w:hAnsi="Times New Roman" w:eastAsia="MS PGothic"/>
          <w:bCs/>
          <w:i/>
          <w:i/>
          <w:iCs/>
          <w:sz w:val="20"/>
          <w:lang w:val="en-US"/>
        </w:rPr>
      </w:pPr>
      <w:r>
        <w:rPr>
          <w:rFonts w:eastAsia="MS PGothic" w:ascii="Times New Roman" w:hAnsi="Times New Roman"/>
          <w:bCs/>
          <w:i/>
          <w:iCs/>
          <w:sz w:val="20"/>
          <w:lang w:val="en-US"/>
        </w:rPr>
        <w:t>*Corresponding author</w:t>
      </w:r>
      <w:r>
        <w:rPr>
          <w:rFonts w:eastAsia="MS PGothic" w:ascii="Times New Roman" w:hAnsi="Times New Roman"/>
          <w:bCs/>
          <w:i/>
          <w:iCs/>
          <w:sz w:val="20"/>
          <w:lang w:val="en-US" w:eastAsia="ko-KR"/>
        </w:rPr>
        <w:t xml:space="preserve"> E-Mail: </w:t>
      </w:r>
      <w:r>
        <w:rPr>
          <w:rFonts w:eastAsia="MS PGothic" w:ascii="Times New Roman" w:hAnsi="Times New Roman"/>
          <w:bCs/>
          <w:i/>
          <w:iCs/>
          <w:sz w:val="20"/>
          <w:lang w:val="en-US"/>
        </w:rPr>
        <w:t xml:space="preserve"> massimiliano.giona@uniroma1.it</w:t>
      </w:r>
    </w:p>
    <w:p>
      <w:pPr>
        <w:pStyle w:val="Normal"/>
        <w:snapToGrid w:val="false"/>
        <w:spacing w:lineRule="auto" w:line="300"/>
        <w:rPr>
          <w:rFonts w:ascii="Times New Roman" w:hAnsi="Times New Roman" w:eastAsia="MS PGothic"/>
          <w:b/>
          <w:b/>
          <w:bCs/>
          <w:lang w:val="en-US" w:eastAsia="ko-KR"/>
        </w:rPr>
      </w:pPr>
      <w:r>
        <w:rPr>
          <w:rFonts w:eastAsia="MS PGothic" w:ascii="Times New Roman" w:hAnsi="Times New Roman"/>
          <w:b/>
          <w:bCs/>
          <w:lang w:val="en-US"/>
        </w:rPr>
        <w:t>1.Introduction</w:t>
      </w:r>
    </w:p>
    <w:p>
      <w:pPr>
        <w:pStyle w:val="Normal"/>
        <w:snapToGrid w:val="false"/>
        <w:spacing w:before="0" w:after="120"/>
        <w:jc w:val="both"/>
        <w:rPr/>
      </w:pPr>
      <w:r>
        <w:rPr>
          <w:rFonts w:eastAsia="MS PGothic" w:ascii="Times New Roman" w:hAnsi="Times New Roman"/>
          <w:lang w:val="en-US"/>
        </w:rPr>
        <w:t>Transport of colloidal systems in viscous flows plays an important role in chemical engineering  problems involving microfluidic devices,  biochemical reactors, sol-gel processes, filtration, sedimentation and other separation operations.</w:t>
      </w:r>
    </w:p>
    <w:p>
      <w:pPr>
        <w:pStyle w:val="Normal"/>
        <w:snapToGrid w:val="false"/>
        <w:spacing w:before="0" w:after="120"/>
        <w:jc w:val="both"/>
        <w:rPr/>
      </w:pPr>
      <w:r>
        <w:rPr>
          <w:rFonts w:eastAsia="MS PGothic" w:ascii="Times New Roman" w:hAnsi="Times New Roman"/>
          <w:lang w:val="en-US"/>
        </w:rPr>
        <w:t xml:space="preserve">The characteristic sizes of  colloids (typically order of 1-1000 nm), much greater than that of the fluid  molecules is however small enough to  consider valid  low Reynolds-number hydrodynamics for colloidal systems, making the Stokes equations, with no-slip boundary conditions at the solid (particle, wall) surfaces, the natural candidate  for  describing  colloidal hydrodynamics and transport, and predicting the relevant emerging parameters: the resistance coefficient </w:t>
      </w:r>
      <w:r>
        <w:rPr>
          <w:rFonts w:eastAsia="MS PGothic" w:ascii="Latin Modern Math" w:hAnsi="Latin Modern Math"/>
          <w:lang w:val="en-US"/>
        </w:rPr>
        <w:t xml:space="preserve">η </w:t>
      </w:r>
      <w:r>
        <w:rPr>
          <w:rFonts w:eastAsia="MS PGothic" w:ascii="Times New Roman" w:hAnsi="Times New Roman"/>
          <w:lang w:val="en-US"/>
        </w:rPr>
        <w:t xml:space="preserve"> (friction factor) characterizing  the dissipation properties as regards momentum balance,  and the diffusion coefficient</w:t>
      </w:r>
      <w:r>
        <w:rPr>
          <w:rFonts w:eastAsia="MS PGothic" w:ascii="Times New Roman" w:hAnsi="Times New Roman"/>
          <w:u w:val="none"/>
          <w:lang w:val="en-US"/>
        </w:rPr>
        <w:t xml:space="preserve"> D accounting for the intensity of fluctuations in particle motion.</w:t>
      </w:r>
      <w:r>
        <w:rPr>
          <w:rFonts w:eastAsia="MS PGothic" w:ascii="Times New Roman" w:hAnsi="Times New Roman"/>
          <w:lang w:val="en-US"/>
        </w:rPr>
        <w:t xml:space="preserve"> These two parameters are, for isothermal systems, related to each other by the simplest form of fluctuation-dissipation relation, namely </w:t>
      </w:r>
      <w:r>
        <w:rPr>
          <w:rFonts w:eastAsia="MS PGothic" w:ascii="Latin Modern Math" w:hAnsi="Latin Modern Math"/>
          <w:lang w:val="en-US"/>
        </w:rPr>
        <w:t>η</w:t>
      </w:r>
      <w:r>
        <w:rPr>
          <w:rFonts w:eastAsia="MS PGothic" w:ascii="Times New Roman" w:hAnsi="Times New Roman"/>
          <w:lang w:val="en-US"/>
        </w:rPr>
        <w:t>D=k</w:t>
      </w:r>
      <w:r>
        <w:rPr>
          <w:rFonts w:eastAsia="MS PGothic" w:ascii="Times New Roman" w:hAnsi="Times New Roman"/>
          <w:vertAlign w:val="subscript"/>
          <w:lang w:val="en-US"/>
        </w:rPr>
        <w:t>B</w:t>
      </w:r>
      <w:r>
        <w:rPr>
          <w:rFonts w:eastAsia="MS PGothic" w:ascii="Times New Roman" w:hAnsi="Times New Roman"/>
          <w:lang w:val="en-US"/>
        </w:rPr>
        <w:t>T, where k</w:t>
      </w:r>
      <w:r>
        <w:rPr>
          <w:rFonts w:eastAsia="MS PGothic" w:ascii="Times New Roman" w:hAnsi="Times New Roman"/>
          <w:vertAlign w:val="subscript"/>
          <w:lang w:val="en-US"/>
        </w:rPr>
        <w:t xml:space="preserve">B </w:t>
      </w:r>
      <w:r>
        <w:rPr>
          <w:rFonts w:eastAsia="MS PGothic" w:ascii="Times New Roman" w:hAnsi="Times New Roman"/>
          <w:position w:val="0"/>
          <w:sz w:val="22"/>
          <w:sz w:val="22"/>
          <w:vertAlign w:val="baseline"/>
          <w:lang w:val="en-US"/>
        </w:rPr>
        <w:t xml:space="preserve"> is the Boltzmann  constant and T the temperature of the system.  The simplest approximation as regards diffusive transport properties consists in considering  the system isotropic and diluted so that both η and D are scalar constant quantities (specifically, η=6πμR</w:t>
      </w:r>
      <w:r>
        <w:rPr>
          <w:rFonts w:eastAsia="MS PGothic" w:ascii="Times New Roman" w:hAnsi="Times New Roman"/>
          <w:vertAlign w:val="subscript"/>
          <w:lang w:val="en-US"/>
        </w:rPr>
        <w:t>p</w:t>
      </w:r>
      <w:r>
        <w:rPr>
          <w:rFonts w:eastAsia="MS PGothic" w:ascii="Times New Roman" w:hAnsi="Times New Roman"/>
          <w:position w:val="0"/>
          <w:sz w:val="22"/>
          <w:sz w:val="22"/>
          <w:vertAlign w:val="baseline"/>
          <w:lang w:val="en-US"/>
        </w:rPr>
        <w:t xml:space="preserve"> for spherical  particles   with radius R</w:t>
      </w:r>
      <w:r>
        <w:rPr>
          <w:rFonts w:eastAsia="MS PGothic" w:ascii="Times New Roman" w:hAnsi="Times New Roman"/>
          <w:vertAlign w:val="subscript"/>
          <w:lang w:val="en-US"/>
        </w:rPr>
        <w:t>p</w:t>
      </w:r>
      <w:r>
        <w:rPr>
          <w:rFonts w:eastAsia="MS PGothic" w:ascii="Times New Roman" w:hAnsi="Times New Roman"/>
          <w:position w:val="0"/>
          <w:sz w:val="22"/>
          <w:sz w:val="22"/>
          <w:vertAlign w:val="baseline"/>
          <w:lang w:val="en-US"/>
        </w:rPr>
        <w:t xml:space="preserve"> translating  in a fluid with viscosity μ). However, in dealing with  colloidal systems in a confined fluids, whenever the characteristic size of the particle L</w:t>
      </w:r>
      <w:r>
        <w:rPr>
          <w:rFonts w:eastAsia="MS PGothic" w:ascii="Times New Roman" w:hAnsi="Times New Roman"/>
          <w:position w:val="0"/>
          <w:sz w:val="22"/>
          <w:sz w:val="22"/>
          <w:u w:val="single"/>
          <w:vertAlign w:val="baseline"/>
          <w:lang w:val="en-US"/>
        </w:rPr>
        <w:t>p</w:t>
      </w:r>
      <w:r>
        <w:rPr>
          <w:rFonts w:eastAsia="MS PGothic" w:ascii="Times New Roman" w:hAnsi="Times New Roman"/>
          <w:position w:val="0"/>
          <w:sz w:val="22"/>
          <w:sz w:val="22"/>
          <w:vertAlign w:val="baseline"/>
          <w:lang w:val="en-US"/>
        </w:rPr>
        <w:t xml:space="preserve"> is comparable with the characteristic size of the system L, both η and D become position-dependent tensorial quantities. This is the case of  particle transport in microfluidic devices,  micro/nano-particle motion in porous media, chromatographic analytical methods,  colloidal dynamics near a solid collector,  dynamics of concentrated suspensions etc. . However, since the Stokes equations in the presence of  no-slip boundary conditions at solid boundaries predict a singular behavior of the resistance of two surfaces getting in touch, i.e.,   η</w:t>
      </w:r>
      <w:r>
        <w:rPr>
          <w:rFonts w:eastAsia="Latin Modern Math" w:cs="Latin Modern Math" w:ascii="Times New Roman" w:hAnsi="Times New Roman"/>
          <w:position w:val="0"/>
          <w:sz w:val="22"/>
          <w:sz w:val="22"/>
          <w:vertAlign w:val="baseline"/>
          <w:lang w:val="en-US"/>
        </w:rPr>
        <w:t>∼</w:t>
      </w:r>
      <w:r>
        <w:rPr>
          <w:rFonts w:eastAsia="MS PGothic" w:cs="" w:ascii="Times New Roman" w:hAnsi="Times New Roman"/>
          <w:position w:val="0"/>
          <w:sz w:val="22"/>
          <w:sz w:val="22"/>
          <w:vertAlign w:val="baseline"/>
          <w:lang w:val="en-US"/>
        </w:rPr>
        <w:t>1/h, h being  the distance between the surfaces, thus implying that D=0 at the solid surface,  many paradoxes and difficulties arise in modeling surface phenomena. Specifically, since η(h) is characterized by a non-integrable singularity at the touching point,  Stokes hydrodynamics with no-slip boundary conditions predicts an infinite ``touching time’’, for a particle to reach  the surface, and similar paradoxes arise in dealing with surface che</w:t>
      </w:r>
      <w:r>
        <w:rPr>
          <w:rFonts w:eastAsia="MS PGothic" w:cs="" w:ascii="Times New Roman" w:hAnsi="Times New Roman"/>
          <w:position w:val="0"/>
          <w:sz w:val="22"/>
          <w:sz w:val="22"/>
          <w:vertAlign w:val="baseline"/>
          <w:lang w:val="en-US"/>
        </w:rPr>
        <w:t>m</w:t>
      </w:r>
      <w:r>
        <w:rPr>
          <w:rFonts w:eastAsia="MS PGothic" w:cs="" w:ascii="Times New Roman" w:hAnsi="Times New Roman"/>
          <w:position w:val="0"/>
          <w:sz w:val="22"/>
          <w:sz w:val="22"/>
          <w:vertAlign w:val="baseline"/>
          <w:lang w:val="en-US"/>
        </w:rPr>
        <w:t>ical reactions or coalescence phenomena.  Moreover, since D=0 for h=0, mixed boundary conditions accounting for surface chemical reactions cease to be valid. A way for overcoming these difficulties is to eliminate or mollify the singularity at the touching point by introducing slippage at the surfaces by  means of the Navier slip boundary conditions. In fact, as shown in [1], if the slip length is the same at both the surfaces the singularity of the resistance coefficient becomes integrable as it is characterized by a logarithmic scaling η</w:t>
      </w:r>
      <w:r>
        <w:rPr>
          <w:rFonts w:eastAsia="Latin Modern Math" w:cs="Latin Modern Math" w:ascii="Times New Roman" w:hAnsi="Times New Roman"/>
          <w:position w:val="0"/>
          <w:sz w:val="22"/>
          <w:sz w:val="22"/>
          <w:vertAlign w:val="baseline"/>
          <w:lang w:val="en-US"/>
        </w:rPr>
        <w:t>∼-ln(h</w:t>
      </w:r>
      <w:r>
        <w:rPr>
          <w:rFonts w:eastAsia="MS PGothic" w:cs="" w:ascii="Times New Roman" w:hAnsi="Times New Roman"/>
          <w:position w:val="0"/>
          <w:sz w:val="22"/>
          <w:sz w:val="22"/>
          <w:vertAlign w:val="baseline"/>
          <w:lang w:val="en-US"/>
        </w:rPr>
        <w:t>), providing a finite touching time. Starting  from numerical  simulations and using also the semianalytical approach proposed by  Goren [2] we investigate in this presentation the quantitative behavior of  the transport parameters η(h) and D(h) of a  spherical particle close to a planar surface, proposing also solutions for solving the above mentioned paradoxes.</w:t>
      </w:r>
    </w:p>
    <w:p>
      <w:pPr>
        <w:pStyle w:val="Normal"/>
        <w:snapToGrid w:val="false"/>
        <w:spacing w:lineRule="auto" w:line="300" w:before="240" w:after="160"/>
        <w:rPr/>
      </w:pPr>
      <w:r>
        <w:rPr>
          <w:rFonts w:eastAsia="MS PGothic" w:ascii="Times New Roman" w:hAnsi="Times New Roman"/>
          <w:b/>
          <w:bCs/>
          <w:lang w:val="en-US"/>
        </w:rPr>
        <w:t>2. Methods</w:t>
      </w:r>
    </w:p>
    <w:p>
      <w:pPr>
        <w:pStyle w:val="Normal"/>
        <w:snapToGrid w:val="false"/>
        <w:spacing w:lineRule="auto" w:line="300" w:before="240" w:after="160"/>
        <w:jc w:val="both"/>
        <w:rPr/>
      </w:pPr>
      <w:r>
        <w:rPr>
          <w:rFonts w:eastAsia="MS PGothic" w:ascii="Times New Roman" w:hAnsi="Times New Roman"/>
          <w:lang w:val="en-US"/>
        </w:rPr>
        <w:t>Hydrodynamic Finite Element Simulations have been used to characterize the scaling of the resistance matrix near a planar surface. In order take computational advantage from the axial symmetry of the problem of a sphere translating perpendicularly to a planar wall, cylindrical coordinates ( r, φ, z ) have been used reducing the computation to a two dimensional ( r, z ) domain representing the flow region, with an empty disk, representing the spherical particle placed at distance h from planar wall. A finer mesh has been  adopted  along the perimeter of the disk representing the sphere, and the maximal length of the elements has been imposed to be less than 0.1 R</w:t>
      </w:r>
      <w:r>
        <w:rPr>
          <w:rFonts w:eastAsia="MS PGothic" w:ascii="Times New Roman" w:hAnsi="Times New Roman"/>
          <w:vertAlign w:val="subscript"/>
          <w:lang w:val="en-US"/>
        </w:rPr>
        <w:t>p</w:t>
      </w:r>
      <w:r>
        <w:rPr>
          <w:rFonts w:eastAsia="MS PGothic" w:ascii="Times New Roman" w:hAnsi="Times New Roman"/>
          <w:lang w:val="en-US"/>
        </w:rPr>
        <w:t xml:space="preserve">. Both P2P1 and P3P2 finite elements have been used depending on the position of the particle. </w:t>
      </w:r>
      <w:r>
        <w:rPr>
          <w:rFonts w:eastAsia="MS PGothic" w:cs="" w:ascii="Times New Roman" w:hAnsi="Times New Roman" w:cstheme="minorBidi"/>
          <w:color w:val="auto"/>
          <w:kern w:val="0"/>
          <w:sz w:val="22"/>
          <w:szCs w:val="22"/>
          <w:lang w:val="en-US" w:eastAsia="en-US" w:bidi="ar-SA"/>
        </w:rPr>
        <w:t>Furthermore, w</w:t>
      </w:r>
      <w:r>
        <w:rPr>
          <w:rFonts w:eastAsia="MS PGothic" w:ascii="Times New Roman" w:hAnsi="Times New Roman"/>
          <w:lang w:val="en-US"/>
        </w:rPr>
        <w:t>e solved the infinite system of Goren’s equations furnishing the drag force on the particle [2] over the entire range of positions and for any values of the slip length at the wall λ</w:t>
      </w:r>
      <w:r>
        <w:rPr>
          <w:rFonts w:eastAsia="MS PGothic" w:ascii="Times New Roman" w:hAnsi="Times New Roman"/>
          <w:vertAlign w:val="subscript"/>
          <w:lang w:val="en-US"/>
        </w:rPr>
        <w:t>w</w:t>
      </w:r>
      <w:r>
        <w:rPr>
          <w:rFonts w:eastAsia="MS PGothic" w:ascii="Times New Roman" w:hAnsi="Times New Roman"/>
          <w:lang w:val="en-US"/>
        </w:rPr>
        <w:t xml:space="preserve"> and at the particle λ</w:t>
      </w:r>
      <w:r>
        <w:rPr>
          <w:rFonts w:eastAsia="MS PGothic" w:ascii="Times New Roman" w:hAnsi="Times New Roman"/>
          <w:vertAlign w:val="subscript"/>
          <w:lang w:val="en-US"/>
        </w:rPr>
        <w:t>p</w:t>
      </w:r>
      <w:r>
        <w:rPr>
          <w:rFonts w:eastAsia="MS PGothic" w:ascii="Times New Roman" w:hAnsi="Times New Roman"/>
          <w:position w:val="0"/>
          <w:sz w:val="22"/>
          <w:sz w:val="22"/>
          <w:vertAlign w:val="baseline"/>
          <w:lang w:val="en-US"/>
        </w:rPr>
        <w:t>, truncating it to 500 equations (that was sufficient for the h-values considered to achieve convergence).</w:t>
      </w:r>
    </w:p>
    <w:p>
      <w:pPr>
        <w:pStyle w:val="Normal"/>
        <w:snapToGrid w:val="false"/>
        <w:spacing w:lineRule="auto" w:line="300" w:before="240" w:after="160"/>
        <w:jc w:val="both"/>
        <w:rPr/>
      </w:pPr>
      <w:r>
        <w:rPr>
          <w:rFonts w:eastAsia="MS PGothic" w:ascii="Times New Roman" w:hAnsi="Times New Roman"/>
          <w:b/>
          <w:bCs/>
          <w:lang w:val="en-US"/>
        </w:rPr>
        <w:t>3. Results and discussion</w:t>
      </w:r>
    </w:p>
    <w:p>
      <w:pPr>
        <w:pStyle w:val="Normal"/>
        <w:snapToGrid w:val="false"/>
        <w:spacing w:before="0" w:after="120"/>
        <w:jc w:val="both"/>
        <w:rPr/>
      </w:pPr>
      <w:r>
        <w:rPr>
          <w:rFonts w:eastAsia="MS PGothic" w:ascii="Times New Roman" w:hAnsi="Times New Roman"/>
          <w:lang w:val="en-US"/>
        </w:rPr>
        <w:t>If the no-slip boundary condition is imposed on just one of the two surfaces (particle or wall)  the singular scaling η∼ 1/ h is preserved independently of  the value of the slip length imposed on the other surface. In the latter case, we can distinguish  among three different regimes: (i) the scaling η∼ 1/ h for λ&lt;h&lt;10</w:t>
      </w:r>
      <w:r>
        <w:rPr>
          <w:rFonts w:eastAsia="MS PGothic" w:ascii="Times New Roman" w:hAnsi="Times New Roman"/>
          <w:vertAlign w:val="superscript"/>
          <w:lang w:val="en-US"/>
        </w:rPr>
        <w:t xml:space="preserve">-1 </w:t>
      </w:r>
      <w:r>
        <w:rPr>
          <w:rFonts w:eastAsia="MS PGothic" w:ascii="Times New Roman" w:hAnsi="Times New Roman"/>
          <w:position w:val="0"/>
          <w:sz w:val="22"/>
          <w:sz w:val="22"/>
          <w:vertAlign w:val="baseline"/>
          <w:lang w:val="en-US"/>
        </w:rPr>
        <w:t>λ</w:t>
      </w:r>
      <w:r>
        <w:rPr>
          <w:rFonts w:eastAsia="MS PGothic" w:ascii="Times New Roman" w:hAnsi="Times New Roman"/>
          <w:lang w:val="en-US"/>
        </w:rPr>
        <w:t>, (ii) an apparent logarithmic behavior for 10</w:t>
      </w:r>
      <w:r>
        <w:rPr>
          <w:rFonts w:eastAsia="MS PGothic" w:ascii="Times New Roman" w:hAnsi="Times New Roman"/>
          <w:vertAlign w:val="superscript"/>
          <w:lang w:val="en-US"/>
        </w:rPr>
        <w:t xml:space="preserve">− 2 </w:t>
      </w:r>
      <w:r>
        <w:rPr>
          <w:rFonts w:eastAsia="MS PGothic" w:ascii="Times New Roman" w:hAnsi="Times New Roman"/>
          <w:lang w:val="en-US"/>
        </w:rPr>
        <w:t xml:space="preserve">λ&lt; </w:t>
      </w:r>
      <w:r>
        <w:rPr>
          <w:rFonts w:eastAsia="MS PGothic" w:cs="" w:ascii="Times New Roman" w:hAnsi="Times New Roman" w:cstheme="minorBidi"/>
          <w:color w:val="auto"/>
          <w:kern w:val="0"/>
          <w:sz w:val="22"/>
          <w:szCs w:val="22"/>
          <w:lang w:val="en-US" w:eastAsia="en-US" w:bidi="ar-SA"/>
        </w:rPr>
        <w:t>h</w:t>
      </w:r>
      <w:r>
        <w:rPr>
          <w:rFonts w:eastAsia="MS PGothic" w:ascii="Times New Roman" w:hAnsi="Times New Roman"/>
          <w:lang w:val="en-US"/>
        </w:rPr>
        <w:t xml:space="preserve"> &lt;λ and  (iii) the asymptotic regime where η ∼ 1/h for </w:t>
      </w:r>
      <w:r>
        <w:rPr>
          <w:rFonts w:eastAsia="MS PGothic" w:cs="" w:ascii="Times New Roman" w:hAnsi="Times New Roman" w:cstheme="minorBidi"/>
          <w:color w:val="auto"/>
          <w:kern w:val="0"/>
          <w:sz w:val="22"/>
          <w:szCs w:val="22"/>
          <w:lang w:val="en-US" w:eastAsia="en-US" w:bidi="ar-SA"/>
        </w:rPr>
        <w:t>h</w:t>
      </w:r>
      <w:r>
        <w:rPr>
          <w:rFonts w:eastAsia="MS PGothic" w:ascii="Times New Roman" w:hAnsi="Times New Roman"/>
          <w:lang w:val="en-US"/>
        </w:rPr>
        <w:t xml:space="preserve"> &lt;10</w:t>
      </w:r>
      <w:r>
        <w:rPr>
          <w:rFonts w:eastAsia="MS PGothic" w:ascii="Times New Roman" w:hAnsi="Times New Roman"/>
          <w:vertAlign w:val="superscript"/>
          <w:lang w:val="en-US"/>
        </w:rPr>
        <w:t xml:space="preserve">− 2 </w:t>
      </w:r>
      <w:r>
        <w:rPr>
          <w:rFonts w:eastAsia="MS PGothic" w:ascii="Times New Roman" w:hAnsi="Times New Roman"/>
          <w:lang w:val="en-US"/>
        </w:rPr>
        <w:t>λ.</w:t>
      </w:r>
    </w:p>
    <w:p>
      <w:pPr>
        <w:pStyle w:val="Normal"/>
        <w:snapToGrid w:val="false"/>
        <w:spacing w:before="0" w:after="120"/>
        <w:jc w:val="both"/>
        <w:rPr>
          <w:rFonts w:ascii="Times New Roman" w:hAnsi="Times New Roman" w:eastAsia="MS PGothic"/>
        </w:rPr>
      </w:pPr>
      <w:r>
        <w:rPr>
          <w:rFonts w:eastAsia="MS PGothic" w:ascii="Times New Roman" w:hAnsi="Times New Roman"/>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2566670" cy="177482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566670" cy="1774825"/>
                    </a:xfrm>
                    <a:prstGeom prst="rect">
                      <a:avLst/>
                    </a:prstGeom>
                  </pic:spPr>
                </pic:pic>
              </a:graphicData>
            </a:graphic>
          </wp:anchor>
        </w:drawing>
      </w:r>
    </w:p>
    <w:p>
      <w:pPr>
        <w:pStyle w:val="Normal"/>
        <w:snapToGrid w:val="false"/>
        <w:spacing w:before="0" w:after="120"/>
        <w:jc w:val="both"/>
        <w:rPr>
          <w:rFonts w:ascii="Times New Roman" w:hAnsi="Times New Roman" w:eastAsia="MS PGothic"/>
        </w:rPr>
      </w:pPr>
      <w:r>
        <w:rPr>
          <w:rFonts w:eastAsia="MS PGothic" w:ascii="Times New Roman" w:hAnsi="Times New Roman"/>
        </w:rPr>
      </w:r>
    </w:p>
    <w:p>
      <w:pPr>
        <w:pStyle w:val="Normal"/>
        <w:snapToGrid w:val="false"/>
        <w:spacing w:before="0" w:after="120"/>
        <w:jc w:val="both"/>
        <w:rPr>
          <w:rFonts w:ascii="Times New Roman" w:hAnsi="Times New Roman" w:eastAsia="MS PGothic"/>
        </w:rPr>
      </w:pPr>
      <w:r>
        <w:rPr>
          <w:rFonts w:eastAsia="MS PGothic" w:ascii="Times New Roman" w:hAnsi="Times New Roman"/>
        </w:rPr>
      </w:r>
    </w:p>
    <w:p>
      <w:pPr>
        <w:pStyle w:val="Normal"/>
        <w:snapToGrid w:val="false"/>
        <w:spacing w:before="0" w:after="120"/>
        <w:jc w:val="both"/>
        <w:rPr>
          <w:rFonts w:ascii="Times New Roman" w:hAnsi="Times New Roman" w:eastAsia="MS PGothic"/>
        </w:rPr>
      </w:pPr>
      <w:r>
        <w:rPr>
          <w:rFonts w:eastAsia="MS PGothic" w:ascii="Times New Roman" w:hAnsi="Times New Roman"/>
        </w:rPr>
      </w:r>
    </w:p>
    <w:p>
      <w:pPr>
        <w:pStyle w:val="Normal"/>
        <w:snapToGrid w:val="false"/>
        <w:spacing w:before="0" w:after="120"/>
        <w:jc w:val="both"/>
        <w:rPr>
          <w:rFonts w:ascii="Times New Roman" w:hAnsi="Times New Roman" w:eastAsia="MS PGothic"/>
        </w:rPr>
      </w:pPr>
      <w:r>
        <w:rPr>
          <w:rFonts w:eastAsia="MS PGothic" w:ascii="Times New Roman" w:hAnsi="Times New Roman"/>
        </w:rPr>
      </w:r>
    </w:p>
    <w:p>
      <w:pPr>
        <w:pStyle w:val="Normal"/>
        <w:snapToGrid w:val="false"/>
        <w:spacing w:before="0" w:after="120"/>
        <w:jc w:val="both"/>
        <w:rPr>
          <w:rFonts w:ascii="Times New Roman" w:hAnsi="Times New Roman" w:eastAsia="MS PGothic"/>
        </w:rPr>
      </w:pPr>
      <w:r>
        <w:rPr>
          <w:rFonts w:eastAsia="MS PGothic" w:ascii="Times New Roman" w:hAnsi="Times New Roman"/>
        </w:rPr>
      </w:r>
    </w:p>
    <w:p>
      <w:pPr>
        <w:pStyle w:val="Normal"/>
        <w:snapToGrid w:val="false"/>
        <w:spacing w:before="0" w:after="120"/>
        <w:jc w:val="both"/>
        <w:rPr>
          <w:rFonts w:ascii="Times New Roman" w:hAnsi="Times New Roman" w:eastAsia="MS PGothic"/>
        </w:rPr>
      </w:pPr>
      <w:r>
        <w:rPr>
          <w:rFonts w:eastAsia="MS PGothic" w:ascii="Times New Roman" w:hAnsi="Times New Roman"/>
        </w:rPr>
      </w:r>
    </w:p>
    <w:p>
      <w:pPr>
        <w:pStyle w:val="Normal"/>
        <w:snapToGrid w:val="false"/>
        <w:spacing w:before="0" w:after="120"/>
        <w:jc w:val="both"/>
        <w:rPr>
          <w:rFonts w:ascii="Times New Roman" w:hAnsi="Times New Roman" w:eastAsia="MS PGothic"/>
        </w:rPr>
      </w:pPr>
      <w:r>
        <w:rPr>
          <w:rFonts w:eastAsia="MS PGothic" w:ascii="Times New Roman" w:hAnsi="Times New Roman"/>
        </w:rPr>
      </w:r>
    </w:p>
    <w:p>
      <w:pPr>
        <w:pStyle w:val="Normal"/>
        <w:snapToGrid w:val="false"/>
        <w:spacing w:before="0" w:after="120"/>
        <w:jc w:val="center"/>
        <w:rPr/>
      </w:pPr>
      <w:r>
        <w:rPr>
          <w:rFonts w:eastAsia="MS PGothic" w:ascii="Times New Roman" w:hAnsi="Times New Roman"/>
          <w:b/>
          <w:szCs w:val="18"/>
          <w:lang w:val="en-US"/>
        </w:rPr>
        <w:t>Figure 1</w:t>
      </w:r>
      <w:r>
        <w:rPr>
          <w:rFonts w:eastAsia="MS PGothic" w:ascii="Times New Roman" w:hAnsi="Times New Roman"/>
          <w:b/>
          <w:szCs w:val="18"/>
          <w:lang w:val="en-US" w:eastAsia="ko-KR"/>
        </w:rPr>
        <w:t>.</w:t>
      </w:r>
      <w:r>
        <w:rPr>
          <w:rFonts w:eastAsia="MS PGothic" w:ascii="Times New Roman" w:hAnsi="Times New Roman"/>
          <w:szCs w:val="18"/>
          <w:lang w:val="en-US"/>
        </w:rPr>
        <w:t xml:space="preserve"> </w:t>
      </w:r>
      <w:r>
        <w:rPr>
          <w:rFonts w:ascii="Times New Roman" w:hAnsi="Times New Roman"/>
          <w:lang w:val="en-US"/>
        </w:rPr>
        <w:t xml:space="preserve"> Dimensionless hydrodynamics resistance coefficient η(h)/ ( 6 π µ R p ) vs h/R</w:t>
      </w:r>
      <w:r>
        <w:rPr>
          <w:rFonts w:ascii="Times New Roman" w:hAnsi="Times New Roman"/>
          <w:vertAlign w:val="subscript"/>
          <w:lang w:val="en-US"/>
        </w:rPr>
        <w:t>p</w:t>
      </w:r>
      <w:r>
        <w:rPr>
          <w:rFonts w:ascii="Times New Roman" w:hAnsi="Times New Roman"/>
          <w:lang w:val="en-US"/>
        </w:rPr>
        <w:t xml:space="preserve"> obtained by </w:t>
      </w:r>
      <w:r>
        <w:rPr>
          <w:rFonts w:eastAsia="MS PGothic" w:ascii="Times New Roman" w:hAnsi="Times New Roman"/>
          <w:szCs w:val="18"/>
          <w:lang w:val="en-US"/>
        </w:rPr>
        <w:t>keeping fixed the slip length λ</w:t>
      </w:r>
      <w:r>
        <w:rPr>
          <w:rFonts w:eastAsia="MS PGothic" w:ascii="Times New Roman" w:hAnsi="Times New Roman"/>
          <w:szCs w:val="18"/>
          <w:vertAlign w:val="subscript"/>
          <w:lang w:val="en-US"/>
        </w:rPr>
        <w:t xml:space="preserve">i </w:t>
      </w:r>
      <w:r>
        <w:rPr>
          <w:rFonts w:eastAsia="MS PGothic" w:ascii="Times New Roman" w:hAnsi="Times New Roman"/>
          <w:szCs w:val="18"/>
          <w:lang w:val="en-US"/>
        </w:rPr>
        <w:t>/R p = 10</w:t>
      </w:r>
      <w:r>
        <w:rPr>
          <w:rFonts w:eastAsia="MS PGothic" w:ascii="Times New Roman" w:hAnsi="Times New Roman"/>
          <w:szCs w:val="18"/>
          <w:vertAlign w:val="superscript"/>
          <w:lang w:val="en-US"/>
        </w:rPr>
        <w:t>− 3</w:t>
      </w:r>
      <w:r>
        <w:rPr>
          <w:rFonts w:eastAsia="MS PGothic" w:ascii="Times New Roman" w:hAnsi="Times New Roman"/>
          <w:szCs w:val="18"/>
          <w:lang w:val="en-US"/>
        </w:rPr>
        <w:t xml:space="preserve"> on the i-th surface (i = w, p) and varying the slip length on the other obtained by solving the Goren’s equations.</w:t>
      </w:r>
    </w:p>
    <w:p>
      <w:pPr>
        <w:pStyle w:val="Normal"/>
        <w:snapToGrid w:val="false"/>
        <w:spacing w:lineRule="auto" w:line="300" w:before="240" w:after="160"/>
        <w:jc w:val="both"/>
        <w:rPr/>
      </w:pPr>
      <w:r>
        <w:rPr>
          <w:rFonts w:ascii="Times New Roman" w:hAnsi="Times New Roman"/>
          <w:lang w:val="en-US"/>
        </w:rPr>
        <w:t>Keeping fixed the slip length at one of the surfaces ( λ</w:t>
      </w:r>
      <w:r>
        <w:rPr>
          <w:rFonts w:ascii="Times New Roman" w:hAnsi="Times New Roman"/>
          <w:vertAlign w:val="subscript"/>
          <w:lang w:val="en-US"/>
        </w:rPr>
        <w:t>i</w:t>
      </w:r>
      <w:r>
        <w:rPr>
          <w:rFonts w:ascii="Times New Roman" w:hAnsi="Times New Roman"/>
          <w:lang w:val="en-US"/>
        </w:rPr>
        <w:t>= 10</w:t>
      </w:r>
      <w:r>
        <w:rPr>
          <w:rFonts w:ascii="Times New Roman" w:hAnsi="Times New Roman"/>
          <w:vertAlign w:val="superscript"/>
          <w:lang w:val="en-US"/>
        </w:rPr>
        <w:t xml:space="preserve">− 3 </w:t>
      </w:r>
      <w:r>
        <w:rPr>
          <w:rFonts w:ascii="Times New Roman" w:hAnsi="Times New Roman"/>
          <w:lang w:val="en-US"/>
        </w:rPr>
        <w:t>, i = w, p) and increasing the slip length on the other λ</w:t>
      </w:r>
      <w:r>
        <w:rPr>
          <w:rFonts w:ascii="Times New Roman" w:hAnsi="Times New Roman"/>
          <w:vertAlign w:val="subscript"/>
          <w:lang w:val="en-US"/>
        </w:rPr>
        <w:t>j</w:t>
      </w:r>
      <w:r>
        <w:rPr>
          <w:rFonts w:ascii="Times New Roman" w:hAnsi="Times New Roman"/>
          <w:lang w:val="en-US"/>
        </w:rPr>
        <w:t xml:space="preserve"> , j = p, w, the logarithmic scaling occurs for </w:t>
      </w:r>
      <w:r>
        <w:rPr>
          <w:rFonts w:eastAsia="Calibri" w:cs="" w:ascii="Times New Roman" w:hAnsi="Times New Roman" w:cstheme="minorBidi" w:eastAsiaTheme="minorHAnsi"/>
          <w:color w:val="auto"/>
          <w:kern w:val="0"/>
          <w:sz w:val="22"/>
          <w:szCs w:val="22"/>
          <w:lang w:val="en-US" w:eastAsia="en-US" w:bidi="ar-SA"/>
        </w:rPr>
        <w:t>d</w:t>
      </w:r>
      <w:r>
        <w:rPr>
          <w:rFonts w:ascii="Times New Roman" w:hAnsi="Times New Roman"/>
          <w:lang w:val="en-US"/>
        </w:rPr>
        <w:t xml:space="preserve"> &lt; λ</w:t>
      </w:r>
      <w:r>
        <w:rPr>
          <w:rFonts w:ascii="Times New Roman" w:hAnsi="Times New Roman"/>
          <w:vertAlign w:val="subscript"/>
          <w:lang w:val="en-US"/>
        </w:rPr>
        <w:t>j</w:t>
      </w:r>
      <w:r>
        <w:rPr>
          <w:rFonts w:ascii="Times New Roman" w:hAnsi="Times New Roman"/>
          <w:lang w:val="en-US"/>
        </w:rPr>
        <w:t xml:space="preserve"> , see Figure 1. This means that an arbitrarily small slip on both the surfaces is sufficient to determine an asymptotic logarithmic scaling of the transversal resistance and thus the occurrence of a finite value of the touching time [3].</w:t>
      </w:r>
    </w:p>
    <w:p>
      <w:pPr>
        <w:pStyle w:val="Normal"/>
        <w:snapToGrid w:val="false"/>
        <w:spacing w:lineRule="auto" w:line="300" w:before="240" w:after="160"/>
        <w:jc w:val="both"/>
        <w:rPr/>
      </w:pPr>
      <w:r>
        <w:rPr>
          <w:rFonts w:eastAsia="MS PGothic" w:ascii="Times New Roman" w:hAnsi="Times New Roman"/>
          <w:b/>
          <w:bCs/>
          <w:lang w:val="en-US"/>
        </w:rPr>
        <w:t>4. Conclusion</w:t>
      </w:r>
      <w:r>
        <w:rPr>
          <w:rFonts w:eastAsia="MS PGothic" w:ascii="Times New Roman" w:hAnsi="Times New Roman"/>
          <w:b/>
          <w:bCs/>
          <w:lang w:val="en-US" w:eastAsia="ko-KR"/>
        </w:rPr>
        <w:t>s</w:t>
      </w:r>
    </w:p>
    <w:p>
      <w:pPr>
        <w:pStyle w:val="Normal"/>
        <w:snapToGrid w:val="false"/>
        <w:spacing w:before="0" w:after="120"/>
        <w:jc w:val="both"/>
        <w:rPr/>
      </w:pPr>
      <w:r>
        <w:rPr>
          <w:rFonts w:eastAsia="MS PGothic" w:ascii="Times New Roman" w:hAnsi="Times New Roman"/>
          <w:lang w:val="en-US"/>
        </w:rPr>
        <w:t>We have thoroughly analyzed how the lack of integrability of mass-transport models (diffusion equation) in the presence of a surface chemical reaction depend on the simplifying assumption of no-slip boundary conditions. The inclusion of slippage effects at all the solid surfaces (walls and particle) transforms the non-integrable 1/h-singularity in the transversal resistance coefficient η(h) near a planar wall into a logarithmic singularity ( η∼− ln(h)) resolving the above mentioned integrability problem. However, there are physical reasons to conjecture that a more refined modeling of fluid-particle interactions (including compressibility and acoustic effects) could completely eliminate the singularity occurring  for η(h) at the wall [3].</w:t>
      </w:r>
    </w:p>
    <w:p>
      <w:pPr>
        <w:pStyle w:val="Normal"/>
        <w:snapToGrid w:val="false"/>
        <w:spacing w:lineRule="auto" w:line="300" w:before="240" w:after="160"/>
        <w:jc w:val="both"/>
        <w:rPr/>
      </w:pPr>
      <w:r>
        <w:rPr>
          <w:rFonts w:eastAsia="MS PGothic" w:ascii="Times New Roman" w:hAnsi="Times New Roman"/>
          <w:b/>
          <w:bCs/>
          <w:lang w:val="en-US"/>
        </w:rPr>
        <w:t xml:space="preserve">References </w:t>
      </w:r>
    </w:p>
    <w:p>
      <w:pPr>
        <w:pStyle w:val="FirstParagraph"/>
        <w:numPr>
          <w:ilvl w:val="0"/>
          <w:numId w:val="1"/>
        </w:numPr>
        <w:tabs>
          <w:tab w:val="clear" w:pos="708"/>
          <w:tab w:val="left" w:pos="426" w:leader="none"/>
        </w:tabs>
        <w:spacing w:lineRule="auto" w:line="240"/>
        <w:ind w:left="426" w:hanging="426"/>
        <w:jc w:val="both"/>
        <w:rPr/>
      </w:pPr>
      <w:r>
        <w:rPr>
          <w:rFonts w:ascii="Times New Roman" w:hAnsi="Times New Roman"/>
        </w:rPr>
        <w:t xml:space="preserve">L. M. Hocking,  J. Eng. Math. 7 (1973) 207–221. </w:t>
      </w:r>
    </w:p>
    <w:p>
      <w:pPr>
        <w:pStyle w:val="FirstParagraph"/>
        <w:numPr>
          <w:ilvl w:val="0"/>
          <w:numId w:val="1"/>
        </w:numPr>
        <w:tabs>
          <w:tab w:val="clear" w:pos="708"/>
          <w:tab w:val="left" w:pos="426" w:leader="none"/>
        </w:tabs>
        <w:spacing w:lineRule="auto" w:line="240"/>
        <w:ind w:left="426" w:hanging="426"/>
        <w:jc w:val="both"/>
        <w:rPr/>
      </w:pPr>
      <w:r>
        <w:rPr>
          <w:rFonts w:ascii="Times New Roman" w:hAnsi="Times New Roman"/>
        </w:rPr>
        <w:t xml:space="preserve">S. L. Goren, J. Colloid Interface Sci. 69 (1979) 78-85. </w:t>
      </w:r>
    </w:p>
    <w:p>
      <w:pPr>
        <w:pStyle w:val="FirstParagraph"/>
        <w:numPr>
          <w:ilvl w:val="0"/>
          <w:numId w:val="1"/>
        </w:numPr>
        <w:tabs>
          <w:tab w:val="clear" w:pos="708"/>
          <w:tab w:val="left" w:pos="426" w:leader="none"/>
        </w:tabs>
        <w:spacing w:lineRule="auto" w:line="240"/>
        <w:ind w:left="426" w:hanging="426"/>
        <w:rPr>
          <w:rFonts w:ascii="Times New Roman" w:hAnsi="Times New Roman"/>
        </w:rPr>
      </w:pPr>
      <w:r>
        <w:rPr>
          <w:rFonts w:ascii="Times New Roman" w:hAnsi="Times New Roman"/>
        </w:rPr>
        <w:t>G. Procopio and M. Giona, Fluids 7 (2022) 105.</w:t>
      </w:r>
    </w:p>
    <w:sectPr>
      <w:headerReference w:type="default" r:id="rId3"/>
      <w:headerReference w:type="first" r:id="rId4"/>
      <w:footerReference w:type="default" r:id="rId5"/>
      <w:footerReference w:type="first" r:id="rId6"/>
      <w:type w:val="nextPage"/>
      <w:pgSz w:w="11906" w:h="16838"/>
      <w:pgMar w:left="1134" w:right="1134" w:header="708" w:top="1417"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Times New Roman">
    <w:charset w:val="01"/>
    <w:family w:val="roman"/>
    <w:pitch w:val="variable"/>
  </w:font>
  <w:font w:name="Latin Modern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b/>
        <w:i/>
        <w:color w:val="2E74B5" w:themeColor="accent5" w:themeShade="bf"/>
        <w:sz w:val="24"/>
        <w:szCs w:val="24"/>
      </w:rPr>
      <w:t>GRICU 20</w:t>
    </w:r>
    <w:bookmarkStart w:id="0" w:name="_GoBack"/>
    <w:bookmarkEnd w:id="0"/>
    <w:r>
      <w:rPr>
        <w:b/>
        <w:i/>
        <w:color w:val="2E74B5" w:themeColor="accent5" w:themeShade="bf"/>
        <w:sz w:val="24"/>
        <w:szCs w:val="24"/>
      </w:rPr>
      <w:t>22, Ischia, (Italy), July 3-6, 2022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1188" w:leader="none"/>
        <w:tab w:val="center" w:pos="4819" w:leader="none"/>
        <w:tab w:val="right" w:pos="9638" w:leader="none"/>
      </w:tabs>
      <w:jc w:val="center"/>
      <w:rPr>
        <w:b/>
        <w:b/>
        <w:i/>
        <w:i/>
        <w:color w:val="2E74B5" w:themeColor="accent5" w:themeShade="bf"/>
        <w:sz w:val="24"/>
        <w:szCs w:val="24"/>
      </w:rPr>
    </w:pPr>
    <w:r>
      <w:drawing>
        <wp:anchor behindDoc="1" distT="0" distB="0" distL="0" distR="0" simplePos="0" locked="0" layoutInCell="1" allowOverlap="1" relativeHeight="3">
          <wp:simplePos x="0" y="0"/>
          <wp:positionH relativeFrom="column">
            <wp:posOffset>614045</wp:posOffset>
          </wp:positionH>
          <wp:positionV relativeFrom="paragraph">
            <wp:posOffset>-170180</wp:posOffset>
          </wp:positionV>
          <wp:extent cx="1494155" cy="528955"/>
          <wp:effectExtent l="0" t="0" r="0" b="0"/>
          <wp:wrapNone/>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1"/>
                  <a:stretch>
                    <a:fillRect/>
                  </a:stretch>
                </pic:blipFill>
                <pic:spPr bwMode="auto">
                  <a:xfrm>
                    <a:off x="0" y="0"/>
                    <a:ext cx="1494155" cy="528955"/>
                  </a:xfrm>
                  <a:prstGeom prst="rect">
                    <a:avLst/>
                  </a:prstGeom>
                </pic:spPr>
              </pic:pic>
            </a:graphicData>
          </a:graphic>
        </wp:anchor>
      </w:drawing>
    </w:r>
    <w:r>
      <w:rPr>
        <w:b/>
        <w:i/>
        <w:color w:val="2E74B5" w:themeColor="accent5" w:themeShade="bf"/>
        <w:sz w:val="24"/>
        <w:szCs w:val="24"/>
      </w:rPr>
      <w:t xml:space="preserve"> </w:t>
    </w:r>
    <w:r>
      <w:rPr>
        <w:b/>
        <w:i/>
        <w:color w:val="2E74B5" w:themeColor="accent5" w:themeShade="bf"/>
        <w:sz w:val="24"/>
        <w:szCs w:val="24"/>
      </w:rPr>
      <w:tab/>
      <w:t>GRICU 2022, Ischia, (Italy), July 3-6, 2022</w:t>
    </w:r>
  </w:p>
  <w:p>
    <w:pPr>
      <w:pStyle w:val="Intestazione"/>
      <w:tabs>
        <w:tab w:val="left" w:pos="1188" w:leader="none"/>
        <w:tab w:val="center" w:pos="4819" w:leader="none"/>
        <w:tab w:val="right" w:pos="9638" w:leader="none"/>
      </w:tabs>
      <w:jc w:val="center"/>
      <w:rPr>
        <w:b/>
        <w:b/>
        <w:i/>
        <w:i/>
        <w:color w:val="2E74B5" w:themeColor="accent5" w:themeShade="bf"/>
        <w:sz w:val="24"/>
        <w:szCs w:val="24"/>
      </w:rPr>
    </w:pPr>
    <w:r>
      <w:rPr>
        <w:b/>
        <w:i/>
        <w:color w:val="2E74B5" w:themeColor="accent5" w:themeShade="bf"/>
        <w:sz w:val="24"/>
        <w:szCs w:val="24"/>
      </w:rPr>
    </w:r>
  </w:p>
  <w:p>
    <w:pPr>
      <w:pStyle w:val="Intestazione"/>
      <w:jc w:val="center"/>
      <w:rPr/>
    </w:pPr>
    <w:r>
      <w:rPr/>
      <mc:AlternateContent>
        <mc:Choice Requires="wps">
          <w:drawing>
            <wp:anchor behindDoc="1" distT="0" distB="0" distL="0" distR="0" simplePos="0" locked="0" layoutInCell="1" allowOverlap="1" relativeHeight="2" wp14:anchorId="2FAF1E66">
              <wp:simplePos x="0" y="0"/>
              <wp:positionH relativeFrom="column">
                <wp:posOffset>57150</wp:posOffset>
              </wp:positionH>
              <wp:positionV relativeFrom="paragraph">
                <wp:posOffset>109855</wp:posOffset>
              </wp:positionV>
              <wp:extent cx="5636260" cy="12700"/>
              <wp:effectExtent l="0" t="0" r="26670" b="30480"/>
              <wp:wrapNone/>
              <wp:docPr id="3" name="Connettore diritto 1"/>
              <a:graphic xmlns:a="http://schemas.openxmlformats.org/drawingml/2006/main">
                <a:graphicData uri="http://schemas.microsoft.com/office/word/2010/wordprocessingShape">
                  <wps:wsp>
                    <wps:cNvSpPr/>
                    <wps:spPr>
                      <a:xfrm>
                        <a:off x="0" y="0"/>
                        <a:ext cx="5635800" cy="8280"/>
                      </a:xfrm>
                      <a:prstGeom prst="line">
                        <a:avLst/>
                      </a:prstGeom>
                      <a:ln>
                        <a:solidFill>
                          <a:srgbClr val="0070c0"/>
                        </a:solidFill>
                      </a:ln>
                    </wps:spPr>
                    <wps:style>
                      <a:lnRef idx="3">
                        <a:schemeClr val="accent1"/>
                      </a:lnRef>
                      <a:fillRef idx="0">
                        <a:schemeClr val="accent1"/>
                      </a:fillRef>
                      <a:effectRef idx="2">
                        <a:schemeClr val="accent1"/>
                      </a:effectRef>
                      <a:fontRef idx="minor"/>
                    </wps:style>
                    <wps:bodyPr/>
                  </wps:wsp>
                </a:graphicData>
              </a:graphic>
            </wp:anchor>
          </w:drawing>
        </mc:Choice>
        <mc:Fallback>
          <w:pict>
            <v:line id="shape_0" from="4.5pt,8.65pt" to="448.2pt,9.25pt" ID="Connettore diritto 1" stroked="t" style="position:absolute" wp14:anchorId="2FAF1E66">
              <v:stroke color="#0070c0" weight="19080" joinstyle="miter" endcap="flat"/>
              <v:fill o:detectmouseclick="t" on="fals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3510" w:hanging="360"/>
      </w:pPr>
    </w:lvl>
    <w:lvl w:ilvl="2">
      <w:start w:val="1"/>
      <w:numFmt w:val="lowerRoman"/>
      <w:lvlText w:val="%3."/>
      <w:lvlJc w:val="right"/>
      <w:pPr>
        <w:tabs>
          <w:tab w:val="num" w:pos="0"/>
        </w:tabs>
        <w:ind w:left="4230" w:hanging="180"/>
      </w:pPr>
    </w:lvl>
    <w:lvl w:ilvl="3">
      <w:start w:val="1"/>
      <w:numFmt w:val="decimal"/>
      <w:lvlText w:val="%4."/>
      <w:lvlJc w:val="left"/>
      <w:pPr>
        <w:tabs>
          <w:tab w:val="num" w:pos="0"/>
        </w:tabs>
        <w:ind w:left="4950" w:hanging="360"/>
      </w:pPr>
    </w:lvl>
    <w:lvl w:ilvl="4">
      <w:start w:val="1"/>
      <w:numFmt w:val="lowerLetter"/>
      <w:lvlText w:val="%5."/>
      <w:lvlJc w:val="left"/>
      <w:pPr>
        <w:tabs>
          <w:tab w:val="num" w:pos="0"/>
        </w:tabs>
        <w:ind w:left="5670" w:hanging="360"/>
      </w:pPr>
    </w:lvl>
    <w:lvl w:ilvl="5">
      <w:start w:val="1"/>
      <w:numFmt w:val="lowerRoman"/>
      <w:lvlText w:val="%6."/>
      <w:lvlJc w:val="right"/>
      <w:pPr>
        <w:tabs>
          <w:tab w:val="num" w:pos="0"/>
        </w:tabs>
        <w:ind w:left="6390" w:hanging="180"/>
      </w:pPr>
    </w:lvl>
    <w:lvl w:ilvl="6">
      <w:start w:val="1"/>
      <w:numFmt w:val="decimal"/>
      <w:lvlText w:val="%7."/>
      <w:lvlJc w:val="left"/>
      <w:pPr>
        <w:tabs>
          <w:tab w:val="num" w:pos="0"/>
        </w:tabs>
        <w:ind w:left="7110" w:hanging="360"/>
      </w:pPr>
    </w:lvl>
    <w:lvl w:ilvl="7">
      <w:start w:val="1"/>
      <w:numFmt w:val="lowerLetter"/>
      <w:lvlText w:val="%8."/>
      <w:lvlJc w:val="left"/>
      <w:pPr>
        <w:tabs>
          <w:tab w:val="num" w:pos="0"/>
        </w:tabs>
        <w:ind w:left="7830" w:hanging="360"/>
      </w:pPr>
    </w:lvl>
    <w:lvl w:ilvl="8">
      <w:start w:val="1"/>
      <w:numFmt w:val="lowerRoman"/>
      <w:lvlText w:val="%9."/>
      <w:lvlJc w:val="right"/>
      <w:pPr>
        <w:tabs>
          <w:tab w:val="num" w:pos="0"/>
        </w:tabs>
        <w:ind w:left="855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51a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d0e0c"/>
    <w:rPr/>
  </w:style>
  <w:style w:type="character" w:styleId="PidipaginaCarattere" w:customStyle="1">
    <w:name w:val="Piè di pagina Carattere"/>
    <w:basedOn w:val="DefaultParagraphFont"/>
    <w:link w:val="Pidipagina"/>
    <w:uiPriority w:val="99"/>
    <w:qFormat/>
    <w:rsid w:val="001d0e0c"/>
    <w:rPr/>
  </w:style>
  <w:style w:type="character" w:styleId="TestofumettoCarattere" w:customStyle="1">
    <w:name w:val="Testo fumetto Carattere"/>
    <w:basedOn w:val="DefaultParagraphFont"/>
    <w:link w:val="Testofumetto"/>
    <w:uiPriority w:val="99"/>
    <w:semiHidden/>
    <w:qFormat/>
    <w:rsid w:val="003f160a"/>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FirstParagraph" w:customStyle="1">
    <w:name w:val="First Paragraph"/>
    <w:basedOn w:val="Normal"/>
    <w:qFormat/>
    <w:rsid w:val="00da51a3"/>
    <w:pPr>
      <w:spacing w:lineRule="atLeast" w:line="240" w:before="0" w:after="0"/>
      <w:jc w:val="both"/>
    </w:pPr>
    <w:rPr>
      <w:rFonts w:ascii="Times" w:hAnsi="Times" w:eastAsia="Times New Roman" w:cs="Times New Roman"/>
      <w:sz w:val="20"/>
      <w:szCs w:val="20"/>
      <w:lang w:val="en-U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0e0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d0e0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3f160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Application>LibreOffice/6.4.7.2$Linux_X86_64 LibreOffice_project/40$Build-2</Application>
  <Pages>2</Pages>
  <Words>1078</Words>
  <Characters>5900</Characters>
  <CharactersWithSpaces>7009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2022-02-01T10:57:00Z</dcterms:created>
  <dc:creator>Sauro Pierucci</dc:creator>
  <dc:description/>
  <dc:language>it-IT</dc:language>
  <cp:lastModifiedBy/>
  <cp:lastPrinted>2022-01-31T11:56:00Z</cp:lastPrinted>
  <dcterms:modified xsi:type="dcterms:W3CDTF">2022-03-21T18:24:18Z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