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16C4" w14:textId="132E6D91" w:rsidR="007836F8" w:rsidRPr="007836F8" w:rsidRDefault="007836F8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 w:rsidRPr="007836F8">
        <w:rPr>
          <w:rFonts w:ascii="Times New Roman" w:eastAsia="MS PGothic" w:hAnsi="Times New Roman"/>
          <w:b/>
          <w:bCs/>
          <w:sz w:val="24"/>
          <w:szCs w:val="24"/>
          <w:lang w:val="en-US"/>
        </w:rPr>
        <w:t>Electrification of methane steam r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eforming </w:t>
      </w:r>
      <w:r w:rsidR="001A5C65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on 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Joule-heated </w:t>
      </w:r>
      <w:proofErr w:type="spellStart"/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SiSiC</w:t>
      </w:r>
      <w:proofErr w:type="spellEnd"/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foams </w:t>
      </w:r>
      <w:proofErr w:type="spellStart"/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washcoated</w:t>
      </w:r>
      <w:proofErr w:type="spellEnd"/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</w:t>
      </w:r>
      <w:r w:rsidR="001A5C65">
        <w:rPr>
          <w:rFonts w:ascii="Times New Roman" w:eastAsia="MS PGothic" w:hAnsi="Times New Roman"/>
          <w:b/>
          <w:bCs/>
          <w:sz w:val="24"/>
          <w:szCs w:val="24"/>
          <w:lang w:val="en-US"/>
        </w:rPr>
        <w:br/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with </w:t>
      </w:r>
      <w:r w:rsidR="001A5C65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a 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Rh/Al</w:t>
      </w:r>
      <w:r w:rsidRPr="008161D6">
        <w:rPr>
          <w:rFonts w:ascii="Times New Roman" w:eastAsia="MS PGothic" w:hAnsi="Times New Roman"/>
          <w:b/>
          <w:bCs/>
          <w:sz w:val="24"/>
          <w:szCs w:val="24"/>
          <w:vertAlign w:val="subscript"/>
          <w:lang w:val="en-US"/>
        </w:rPr>
        <w:t>2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O</w:t>
      </w:r>
      <w:r w:rsidRPr="008161D6">
        <w:rPr>
          <w:rFonts w:ascii="Times New Roman" w:eastAsia="MS PGothic" w:hAnsi="Times New Roman"/>
          <w:b/>
          <w:bCs/>
          <w:sz w:val="24"/>
          <w:szCs w:val="24"/>
          <w:vertAlign w:val="subscript"/>
          <w:lang w:val="en-US"/>
        </w:rPr>
        <w:t>3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catalyst</w:t>
      </w:r>
    </w:p>
    <w:p w14:paraId="243AAF34" w14:textId="66759B92" w:rsidR="00DA51A3" w:rsidRPr="00CB4996" w:rsidRDefault="00CB4996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CB4996">
        <w:rPr>
          <w:rFonts w:ascii="Times New Roman" w:eastAsia="SimSun" w:hAnsi="Times New Roman"/>
          <w:sz w:val="24"/>
          <w:szCs w:val="24"/>
          <w:u w:val="single"/>
          <w:lang w:eastAsia="zh-CN"/>
        </w:rPr>
        <w:t>Matteo Ambrosetti, Lei Zheng, Fra</w:t>
      </w:r>
      <w:r>
        <w:rPr>
          <w:rFonts w:ascii="Times New Roman" w:eastAsia="SimSun" w:hAnsi="Times New Roman"/>
          <w:sz w:val="24"/>
          <w:szCs w:val="24"/>
          <w:u w:val="single"/>
          <w:lang w:eastAsia="zh-CN"/>
        </w:rPr>
        <w:t xml:space="preserve">ncesca </w:t>
      </w:r>
      <w:proofErr w:type="spellStart"/>
      <w:r>
        <w:rPr>
          <w:rFonts w:ascii="Times New Roman" w:eastAsia="SimSun" w:hAnsi="Times New Roman"/>
          <w:sz w:val="24"/>
          <w:szCs w:val="24"/>
          <w:u w:val="single"/>
          <w:lang w:eastAsia="zh-CN"/>
        </w:rPr>
        <w:t>Zaio</w:t>
      </w:r>
      <w:proofErr w:type="spellEnd"/>
      <w:r>
        <w:rPr>
          <w:rFonts w:ascii="Times New Roman" w:eastAsia="SimSun" w:hAnsi="Times New Roman"/>
          <w:sz w:val="24"/>
          <w:szCs w:val="24"/>
          <w:u w:val="single"/>
          <w:lang w:eastAsia="zh-CN"/>
        </w:rPr>
        <w:t>, Alessandra Beretta, Gianpiero Groppi and Enrico Tronconi</w:t>
      </w:r>
      <w:r w:rsidRPr="00CB4996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DA51A3" w:rsidRPr="00CB4996">
        <w:rPr>
          <w:rFonts w:ascii="Times New Roman" w:eastAsia="SimSun" w:hAnsi="Times New Roman"/>
          <w:sz w:val="24"/>
          <w:szCs w:val="24"/>
          <w:lang w:eastAsia="zh-CN"/>
        </w:rPr>
        <w:t>*</w:t>
      </w:r>
    </w:p>
    <w:p w14:paraId="7A602332" w14:textId="50439D41" w:rsidR="00DA51A3" w:rsidRPr="001F59F5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</w:rPr>
      </w:pPr>
      <w:r w:rsidRPr="001F59F5">
        <w:rPr>
          <w:rFonts w:ascii="Times New Roman" w:eastAsia="MS PGothic" w:hAnsi="Times New Roman"/>
          <w:i/>
          <w:iCs/>
          <w:sz w:val="20"/>
        </w:rPr>
        <w:t xml:space="preserve">1 </w:t>
      </w:r>
      <w:proofErr w:type="spellStart"/>
      <w:r w:rsidR="00CB4996" w:rsidRPr="001F59F5">
        <w:rPr>
          <w:rFonts w:ascii="Times New Roman" w:eastAsia="MS PGothic" w:hAnsi="Times New Roman"/>
          <w:i/>
          <w:iCs/>
          <w:sz w:val="20"/>
        </w:rPr>
        <w:t>Laboratory</w:t>
      </w:r>
      <w:proofErr w:type="spellEnd"/>
      <w:r w:rsidR="00CB4996" w:rsidRPr="001F59F5">
        <w:rPr>
          <w:rFonts w:ascii="Times New Roman" w:eastAsia="MS PGothic" w:hAnsi="Times New Roman"/>
          <w:i/>
          <w:iCs/>
          <w:sz w:val="20"/>
        </w:rPr>
        <w:t xml:space="preserve"> of </w:t>
      </w:r>
      <w:proofErr w:type="spellStart"/>
      <w:r w:rsidR="00CB4996" w:rsidRPr="001F59F5">
        <w:rPr>
          <w:rFonts w:ascii="Times New Roman" w:eastAsia="MS PGothic" w:hAnsi="Times New Roman"/>
          <w:i/>
          <w:iCs/>
          <w:sz w:val="20"/>
        </w:rPr>
        <w:t>Catalysis</w:t>
      </w:r>
      <w:proofErr w:type="spellEnd"/>
      <w:r w:rsidR="00CB4996" w:rsidRPr="001F59F5">
        <w:rPr>
          <w:rFonts w:ascii="Times New Roman" w:eastAsia="MS PGothic" w:hAnsi="Times New Roman"/>
          <w:i/>
          <w:iCs/>
          <w:sz w:val="20"/>
        </w:rPr>
        <w:t xml:space="preserve"> and </w:t>
      </w:r>
      <w:proofErr w:type="spellStart"/>
      <w:r w:rsidR="00CB4996" w:rsidRPr="001F59F5">
        <w:rPr>
          <w:rFonts w:ascii="Times New Roman" w:eastAsia="MS PGothic" w:hAnsi="Times New Roman"/>
          <w:i/>
          <w:iCs/>
          <w:sz w:val="20"/>
        </w:rPr>
        <w:t>Catalytic</w:t>
      </w:r>
      <w:proofErr w:type="spellEnd"/>
      <w:r w:rsidR="00CB4996" w:rsidRPr="001F59F5">
        <w:rPr>
          <w:rFonts w:ascii="Times New Roman" w:eastAsia="MS PGothic" w:hAnsi="Times New Roman"/>
          <w:i/>
          <w:iCs/>
          <w:sz w:val="20"/>
        </w:rPr>
        <w:t xml:space="preserve"> </w:t>
      </w:r>
      <w:proofErr w:type="spellStart"/>
      <w:r w:rsidR="00CB4996" w:rsidRPr="001F59F5">
        <w:rPr>
          <w:rFonts w:ascii="Times New Roman" w:eastAsia="MS PGothic" w:hAnsi="Times New Roman"/>
          <w:i/>
          <w:iCs/>
          <w:sz w:val="20"/>
        </w:rPr>
        <w:t>Processes</w:t>
      </w:r>
      <w:proofErr w:type="spellEnd"/>
      <w:r w:rsidR="00CB4996" w:rsidRPr="001F59F5">
        <w:rPr>
          <w:rFonts w:ascii="Times New Roman" w:eastAsia="MS PGothic" w:hAnsi="Times New Roman"/>
          <w:i/>
          <w:iCs/>
          <w:sz w:val="20"/>
        </w:rPr>
        <w:t>, Dipartimento di Energia, Politecnico di Milano</w:t>
      </w:r>
      <w:r w:rsidR="001F59F5" w:rsidRPr="001F59F5">
        <w:rPr>
          <w:rFonts w:ascii="Times New Roman" w:eastAsia="MS PGothic" w:hAnsi="Times New Roman"/>
          <w:i/>
          <w:iCs/>
          <w:sz w:val="20"/>
        </w:rPr>
        <w:t>,</w:t>
      </w:r>
      <w:r w:rsidR="001F59F5">
        <w:rPr>
          <w:rFonts w:ascii="Times New Roman" w:eastAsia="MS PGothic" w:hAnsi="Times New Roman"/>
          <w:i/>
          <w:iCs/>
          <w:sz w:val="20"/>
        </w:rPr>
        <w:t xml:space="preserve"> </w:t>
      </w:r>
      <w:proofErr w:type="spellStart"/>
      <w:r w:rsidR="001F59F5">
        <w:rPr>
          <w:rFonts w:ascii="Times New Roman" w:eastAsia="MS PGothic" w:hAnsi="Times New Roman"/>
          <w:i/>
          <w:iCs/>
          <w:sz w:val="20"/>
        </w:rPr>
        <w:t>Italy</w:t>
      </w:r>
      <w:proofErr w:type="spellEnd"/>
    </w:p>
    <w:p w14:paraId="5533360A" w14:textId="09A02192" w:rsidR="00DA51A3" w:rsidRPr="0037577B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</w:rPr>
      </w:pPr>
      <w:r w:rsidRPr="0037577B">
        <w:rPr>
          <w:rFonts w:ascii="Times New Roman" w:eastAsia="MS PGothic" w:hAnsi="Times New Roman"/>
          <w:bCs/>
          <w:i/>
          <w:iCs/>
          <w:sz w:val="20"/>
        </w:rPr>
        <w:t>*Corresponding author</w:t>
      </w:r>
      <w:r w:rsidRPr="0037577B">
        <w:rPr>
          <w:rFonts w:ascii="Times New Roman" w:eastAsia="MS PGothic" w:hAnsi="Times New Roman"/>
          <w:bCs/>
          <w:i/>
          <w:iCs/>
          <w:sz w:val="20"/>
          <w:lang w:eastAsia="ko-KR"/>
        </w:rPr>
        <w:t xml:space="preserve"> E-Mail: </w:t>
      </w:r>
      <w:r w:rsidR="001F59F5" w:rsidRPr="0037577B">
        <w:rPr>
          <w:rFonts w:ascii="Times New Roman" w:eastAsia="MS PGothic" w:hAnsi="Times New Roman"/>
          <w:bCs/>
          <w:i/>
          <w:iCs/>
          <w:sz w:val="20"/>
        </w:rPr>
        <w:t>enrico.tronconi@polimi.it</w:t>
      </w:r>
    </w:p>
    <w:p w14:paraId="28AD07A8" w14:textId="77777777" w:rsidR="00DA51A3" w:rsidRPr="0037577B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eastAsia="zh-CN"/>
        </w:rPr>
      </w:pPr>
    </w:p>
    <w:p w14:paraId="110B92B3" w14:textId="77777777" w:rsidR="00DA51A3" w:rsidRPr="00466FFD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0C1E52AD" w14:textId="0934C2A1" w:rsidR="008161D6" w:rsidRDefault="008D2F5B" w:rsidP="007C13C8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8D2F5B">
        <w:rPr>
          <w:rFonts w:ascii="Times New Roman" w:eastAsia="MS PGothic" w:hAnsi="Times New Roman"/>
          <w:lang w:val="en-US"/>
        </w:rPr>
        <w:t xml:space="preserve">Methane steam reforming (MSR) </w:t>
      </w:r>
      <w:r>
        <w:rPr>
          <w:rFonts w:ascii="Times New Roman" w:eastAsia="MS PGothic" w:hAnsi="Times New Roman"/>
          <w:lang w:val="en-US"/>
        </w:rPr>
        <w:t xml:space="preserve">is the process of choice for more than </w:t>
      </w:r>
      <w:r w:rsidRPr="008D2F5B">
        <w:rPr>
          <w:rFonts w:ascii="Times New Roman" w:eastAsia="MS PGothic" w:hAnsi="Times New Roman"/>
          <w:lang w:val="en-US"/>
        </w:rPr>
        <w:t xml:space="preserve">half of the global hydrogen production. </w:t>
      </w:r>
      <w:r w:rsidR="00E71530">
        <w:rPr>
          <w:rFonts w:ascii="Times New Roman" w:eastAsia="MS PGothic" w:hAnsi="Times New Roman"/>
          <w:lang w:val="en-US"/>
        </w:rPr>
        <w:t>I</w:t>
      </w:r>
      <w:r w:rsidRPr="008D2F5B">
        <w:rPr>
          <w:rFonts w:ascii="Times New Roman" w:eastAsia="MS PGothic" w:hAnsi="Times New Roman"/>
          <w:lang w:val="en-US"/>
        </w:rPr>
        <w:t xml:space="preserve">ndustrial scale MSR </w:t>
      </w:r>
      <w:r w:rsidR="006E7F56">
        <w:rPr>
          <w:rFonts w:ascii="Times New Roman" w:eastAsia="MS PGothic" w:hAnsi="Times New Roman"/>
          <w:lang w:val="en-US"/>
        </w:rPr>
        <w:t xml:space="preserve">is </w:t>
      </w:r>
      <w:r w:rsidRPr="008D2F5B">
        <w:rPr>
          <w:rFonts w:ascii="Times New Roman" w:eastAsia="MS PGothic" w:hAnsi="Times New Roman"/>
          <w:lang w:val="en-US"/>
        </w:rPr>
        <w:t>typically carried out in multi</w:t>
      </w:r>
      <w:r w:rsidRPr="008D2F5B">
        <w:rPr>
          <w:rFonts w:ascii="Times New Roman" w:eastAsia="MS PGothic" w:hAnsi="Times New Roman" w:hint="eastAsia"/>
          <w:lang w:val="en-US"/>
        </w:rPr>
        <w:t>-</w:t>
      </w:r>
      <w:r w:rsidRPr="008D2F5B">
        <w:rPr>
          <w:rFonts w:ascii="Times New Roman" w:eastAsia="MS PGothic" w:hAnsi="Times New Roman"/>
          <w:lang w:val="en-US"/>
        </w:rPr>
        <w:t>tubular reactors</w:t>
      </w:r>
      <w:r w:rsidR="006E7F56">
        <w:rPr>
          <w:rFonts w:ascii="Times New Roman" w:eastAsia="MS PGothic" w:hAnsi="Times New Roman"/>
          <w:lang w:val="en-US"/>
        </w:rPr>
        <w:t xml:space="preserve"> operated</w:t>
      </w:r>
      <w:r w:rsidRPr="008D2F5B">
        <w:rPr>
          <w:rFonts w:ascii="Times New Roman" w:eastAsia="MS PGothic" w:hAnsi="Times New Roman"/>
          <w:lang w:val="en-US"/>
        </w:rPr>
        <w:t xml:space="preserve"> at high flow rates and externally heated by burning an additional amount of methane, which is responsible for roughly half of the CO2 emission of the process.[1] In view of largely accessible renewable electricity, the so-called power-to-X (P2X) represents a promising way to address the challenge of decarbonization</w:t>
      </w:r>
      <w:r w:rsidR="006E7F56">
        <w:rPr>
          <w:rFonts w:ascii="Times New Roman" w:eastAsia="MS PGothic" w:hAnsi="Times New Roman"/>
          <w:lang w:val="en-US"/>
        </w:rPr>
        <w:t xml:space="preserve"> and provide an option </w:t>
      </w:r>
      <w:r w:rsidR="001A5C65">
        <w:rPr>
          <w:rFonts w:ascii="Times New Roman" w:eastAsia="MS PGothic" w:hAnsi="Times New Roman"/>
          <w:lang w:val="en-US"/>
        </w:rPr>
        <w:t xml:space="preserve">for </w:t>
      </w:r>
      <w:r w:rsidR="006E7F56">
        <w:rPr>
          <w:rFonts w:ascii="Times New Roman" w:eastAsia="MS PGothic" w:hAnsi="Times New Roman"/>
          <w:lang w:val="en-US"/>
        </w:rPr>
        <w:t>chemical storage of the excess energy</w:t>
      </w:r>
      <w:r w:rsidRPr="008D2F5B">
        <w:rPr>
          <w:rFonts w:ascii="Times New Roman" w:eastAsia="MS PGothic" w:hAnsi="Times New Roman"/>
          <w:lang w:val="en-US"/>
        </w:rPr>
        <w:t>. Electricity can be converted into heat and transferred to thermally driven chemical reactors</w:t>
      </w:r>
      <w:r w:rsidRPr="008D2F5B">
        <w:rPr>
          <w:rFonts w:ascii="Times New Roman" w:eastAsia="MS PGothic" w:hAnsi="Times New Roman" w:hint="eastAsia"/>
          <w:lang w:val="en-US"/>
        </w:rPr>
        <w:t>.</w:t>
      </w:r>
      <w:r w:rsidRPr="008D2F5B">
        <w:rPr>
          <w:rFonts w:ascii="Times New Roman" w:eastAsia="MS PGothic" w:hAnsi="Times New Roman"/>
          <w:lang w:val="en-US"/>
        </w:rPr>
        <w:t xml:space="preserve"> Recently, </w:t>
      </w:r>
      <w:proofErr w:type="spellStart"/>
      <w:r w:rsidRPr="008D2F5B">
        <w:rPr>
          <w:rFonts w:ascii="Times New Roman" w:eastAsia="MS PGothic" w:hAnsi="Times New Roman"/>
          <w:lang w:val="en-US"/>
        </w:rPr>
        <w:t>Wismann</w:t>
      </w:r>
      <w:proofErr w:type="spellEnd"/>
      <w:r w:rsidRPr="008D2F5B">
        <w:rPr>
          <w:rFonts w:ascii="Times New Roman" w:eastAsia="MS PGothic" w:hAnsi="Times New Roman"/>
          <w:lang w:val="en-US"/>
        </w:rPr>
        <w:t xml:space="preserve"> et. </w:t>
      </w:r>
      <w:r w:rsidR="008161D6">
        <w:rPr>
          <w:rFonts w:ascii="Times New Roman" w:eastAsia="MS PGothic" w:hAnsi="Times New Roman"/>
          <w:lang w:val="en-US"/>
        </w:rPr>
        <w:t>a</w:t>
      </w:r>
      <w:r w:rsidRPr="008D2F5B">
        <w:rPr>
          <w:rFonts w:ascii="Times New Roman" w:eastAsia="MS PGothic" w:hAnsi="Times New Roman"/>
          <w:lang w:val="en-US"/>
        </w:rPr>
        <w:t xml:space="preserve">l. [2] proposed an innovative reactor concept for direct Joule heating of a </w:t>
      </w:r>
      <w:proofErr w:type="spellStart"/>
      <w:r w:rsidRPr="008D2F5B">
        <w:rPr>
          <w:rFonts w:ascii="Times New Roman" w:eastAsia="MS PGothic" w:hAnsi="Times New Roman"/>
          <w:lang w:val="en-US"/>
        </w:rPr>
        <w:t>washcoated</w:t>
      </w:r>
      <w:proofErr w:type="spellEnd"/>
      <w:r w:rsidRPr="008D2F5B">
        <w:rPr>
          <w:rFonts w:ascii="Times New Roman" w:eastAsia="MS PGothic" w:hAnsi="Times New Roman"/>
          <w:lang w:val="en-US"/>
        </w:rPr>
        <w:t xml:space="preserve"> </w:t>
      </w:r>
      <w:proofErr w:type="spellStart"/>
      <w:r w:rsidRPr="008D2F5B">
        <w:rPr>
          <w:rFonts w:ascii="Times New Roman" w:eastAsia="MS PGothic" w:hAnsi="Times New Roman"/>
          <w:lang w:val="en-US"/>
        </w:rPr>
        <w:t>FeCrAl</w:t>
      </w:r>
      <w:proofErr w:type="spellEnd"/>
      <w:r w:rsidRPr="008D2F5B">
        <w:rPr>
          <w:rFonts w:ascii="Times New Roman" w:eastAsia="MS PGothic" w:hAnsi="Times New Roman"/>
          <w:lang w:val="en-US"/>
        </w:rPr>
        <w:t xml:space="preserve">-alloy tube for methane steam reforming. CH4 conversion close to 87% </w:t>
      </w:r>
      <w:r w:rsidRPr="008D2F5B">
        <w:rPr>
          <w:rFonts w:ascii="Times New Roman" w:eastAsia="MS PGothic" w:hAnsi="Times New Roman" w:hint="eastAsia"/>
          <w:lang w:val="en-US"/>
        </w:rPr>
        <w:t>was</w:t>
      </w:r>
      <w:r w:rsidRPr="008D2F5B">
        <w:rPr>
          <w:rFonts w:ascii="Times New Roman" w:eastAsia="MS PGothic" w:hAnsi="Times New Roman"/>
          <w:lang w:val="en-US"/>
        </w:rPr>
        <w:t xml:space="preserve"> obtained with outlet temperature up to 900 °C.</w:t>
      </w:r>
      <w:r w:rsidRPr="008D2F5B">
        <w:rPr>
          <w:rFonts w:ascii="Times New Roman" w:eastAsia="MS PGothic" w:hAnsi="Times New Roman" w:hint="eastAsia"/>
          <w:lang w:val="en-US"/>
        </w:rPr>
        <w:t xml:space="preserve"> </w:t>
      </w:r>
      <w:r w:rsidRPr="008D2F5B">
        <w:rPr>
          <w:rFonts w:ascii="Times New Roman" w:eastAsia="MS PGothic" w:hAnsi="Times New Roman"/>
          <w:lang w:val="en-US"/>
        </w:rPr>
        <w:t>As</w:t>
      </w:r>
      <w:r w:rsidR="001A5C65">
        <w:rPr>
          <w:rFonts w:ascii="Times New Roman" w:eastAsia="MS PGothic" w:hAnsi="Times New Roman"/>
          <w:lang w:val="en-US"/>
        </w:rPr>
        <w:t xml:space="preserve"> an</w:t>
      </w:r>
      <w:r w:rsidRPr="008D2F5B">
        <w:rPr>
          <w:rFonts w:ascii="Times New Roman" w:eastAsia="MS PGothic" w:hAnsi="Times New Roman"/>
          <w:lang w:val="en-US"/>
        </w:rPr>
        <w:t xml:space="preserve"> environmental benefit, a CO2 reduction of 20-50% was achieved when compared with industrial reformers.</w:t>
      </w:r>
      <w:r w:rsidR="006E7F56">
        <w:rPr>
          <w:rFonts w:ascii="Times New Roman" w:eastAsia="MS PGothic" w:hAnsi="Times New Roman"/>
          <w:lang w:val="en-US"/>
        </w:rPr>
        <w:t xml:space="preserve"> </w:t>
      </w:r>
    </w:p>
    <w:p w14:paraId="5C125EAA" w14:textId="20AF0981" w:rsidR="008D2F5B" w:rsidRPr="008D2F5B" w:rsidRDefault="008D2F5B" w:rsidP="007C13C8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8D2F5B">
        <w:rPr>
          <w:rFonts w:ascii="Times New Roman" w:eastAsia="MS PGothic" w:hAnsi="Times New Roman"/>
          <w:lang w:val="en-US"/>
        </w:rPr>
        <w:t xml:space="preserve">Open cell foam-based substrates can be also </w:t>
      </w:r>
      <w:r w:rsidR="001A5C65">
        <w:rPr>
          <w:rFonts w:ascii="Times New Roman" w:eastAsia="MS PGothic" w:hAnsi="Times New Roman"/>
          <w:lang w:val="en-US"/>
        </w:rPr>
        <w:t>conceived</w:t>
      </w:r>
      <w:r w:rsidR="001A5C65" w:rsidRPr="008D2F5B">
        <w:rPr>
          <w:rFonts w:ascii="Times New Roman" w:eastAsia="MS PGothic" w:hAnsi="Times New Roman"/>
          <w:lang w:val="en-US"/>
        </w:rPr>
        <w:t xml:space="preserve"> </w:t>
      </w:r>
      <w:r w:rsidRPr="008D2F5B">
        <w:rPr>
          <w:rFonts w:ascii="Times New Roman" w:eastAsia="MS PGothic" w:hAnsi="Times New Roman"/>
          <w:lang w:val="en-US"/>
        </w:rPr>
        <w:t>as heating resistances for the electrification of catalytic processes.[3]</w:t>
      </w:r>
      <w:r w:rsidRPr="008D2F5B">
        <w:rPr>
          <w:rFonts w:ascii="Times New Roman" w:eastAsia="MS PGothic" w:hAnsi="Times New Roman" w:hint="eastAsia"/>
          <w:lang w:val="en-US"/>
        </w:rPr>
        <w:t xml:space="preserve"> </w:t>
      </w:r>
      <w:r w:rsidRPr="008D2F5B">
        <w:rPr>
          <w:rFonts w:ascii="Times New Roman" w:eastAsia="MS PGothic" w:hAnsi="Times New Roman"/>
          <w:lang w:val="en-US"/>
        </w:rPr>
        <w:t xml:space="preserve">The porous structure of foams enables a higher catalyst inventory </w:t>
      </w:r>
      <w:r w:rsidR="001A5C65">
        <w:rPr>
          <w:rFonts w:ascii="Times New Roman" w:eastAsia="MS PGothic" w:hAnsi="Times New Roman"/>
          <w:lang w:val="en-US"/>
        </w:rPr>
        <w:t xml:space="preserve">than </w:t>
      </w:r>
      <w:proofErr w:type="spellStart"/>
      <w:r w:rsidR="001A5C65">
        <w:rPr>
          <w:rFonts w:ascii="Times New Roman" w:eastAsia="MS PGothic" w:hAnsi="Times New Roman"/>
          <w:lang w:val="en-US"/>
        </w:rPr>
        <w:t>washcoated</w:t>
      </w:r>
      <w:proofErr w:type="spellEnd"/>
      <w:r w:rsidR="001A5C65">
        <w:rPr>
          <w:rFonts w:ascii="Times New Roman" w:eastAsia="MS PGothic" w:hAnsi="Times New Roman"/>
          <w:lang w:val="en-US"/>
        </w:rPr>
        <w:t xml:space="preserve"> tubes </w:t>
      </w:r>
      <w:r w:rsidR="001A5C65" w:rsidRPr="008D2F5B">
        <w:rPr>
          <w:rFonts w:ascii="Times New Roman" w:eastAsia="MS PGothic" w:hAnsi="Times New Roman"/>
          <w:lang w:val="en-US"/>
        </w:rPr>
        <w:t>thanks to the</w:t>
      </w:r>
      <w:r w:rsidR="001A5C65">
        <w:rPr>
          <w:rFonts w:ascii="Times New Roman" w:eastAsia="MS PGothic" w:hAnsi="Times New Roman"/>
          <w:lang w:val="en-US"/>
        </w:rPr>
        <w:t>ir</w:t>
      </w:r>
      <w:r w:rsidR="001A5C65" w:rsidRPr="008D2F5B">
        <w:rPr>
          <w:rFonts w:ascii="Times New Roman" w:eastAsia="MS PGothic" w:hAnsi="Times New Roman"/>
          <w:lang w:val="en-US"/>
        </w:rPr>
        <w:t xml:space="preserve"> high specific surface area </w:t>
      </w:r>
      <w:r w:rsidR="00975228">
        <w:rPr>
          <w:rFonts w:ascii="Times New Roman" w:eastAsia="MS PGothic" w:hAnsi="Times New Roman"/>
          <w:lang w:val="en-US"/>
        </w:rPr>
        <w:t>and allows uniform heating inside the reactor tubes</w:t>
      </w:r>
      <w:r w:rsidR="001A5C65">
        <w:rPr>
          <w:rFonts w:ascii="Times New Roman" w:eastAsia="MS PGothic" w:hAnsi="Times New Roman"/>
          <w:lang w:val="en-US"/>
        </w:rPr>
        <w:t>.</w:t>
      </w:r>
      <w:r w:rsidR="00E71530">
        <w:rPr>
          <w:rFonts w:ascii="Times New Roman" w:eastAsia="MS PGothic" w:hAnsi="Times New Roman"/>
          <w:lang w:val="en-US"/>
        </w:rPr>
        <w:t xml:space="preserve"> </w:t>
      </w:r>
      <w:r w:rsidRPr="008D2F5B">
        <w:rPr>
          <w:rFonts w:ascii="Times New Roman" w:eastAsia="MS PGothic" w:hAnsi="Times New Roman"/>
          <w:lang w:val="en-US"/>
        </w:rPr>
        <w:t>Therefore, the application of foams has the potential to overcome heat and mass transfer limitations in electrified methane steam reforming (</w:t>
      </w:r>
      <w:proofErr w:type="spellStart"/>
      <w:r w:rsidRPr="008D2F5B">
        <w:rPr>
          <w:rFonts w:ascii="Times New Roman" w:eastAsia="MS PGothic" w:hAnsi="Times New Roman"/>
          <w:lang w:val="en-US"/>
        </w:rPr>
        <w:t>eMSR</w:t>
      </w:r>
      <w:proofErr w:type="spellEnd"/>
      <w:r w:rsidRPr="008D2F5B">
        <w:rPr>
          <w:rFonts w:ascii="Times New Roman" w:eastAsia="MS PGothic" w:hAnsi="Times New Roman"/>
          <w:lang w:val="en-US"/>
        </w:rPr>
        <w:t xml:space="preserve">), being the external mass transfer one of the limiting factors in the configuration proposed by </w:t>
      </w:r>
      <w:proofErr w:type="spellStart"/>
      <w:r w:rsidRPr="008D2F5B">
        <w:rPr>
          <w:rFonts w:ascii="Times New Roman" w:eastAsia="MS PGothic" w:hAnsi="Times New Roman"/>
          <w:lang w:val="en-US"/>
        </w:rPr>
        <w:t>Wismann</w:t>
      </w:r>
      <w:proofErr w:type="spellEnd"/>
      <w:r w:rsidRPr="008D2F5B">
        <w:rPr>
          <w:rFonts w:ascii="Times New Roman" w:eastAsia="MS PGothic" w:hAnsi="Times New Roman"/>
          <w:lang w:val="en-US"/>
        </w:rPr>
        <w:t xml:space="preserve"> and coworkers.[2]</w:t>
      </w:r>
      <w:r w:rsidRPr="008D2F5B">
        <w:rPr>
          <w:rFonts w:ascii="Times New Roman" w:eastAsia="MS PGothic" w:hAnsi="Times New Roman" w:hint="eastAsia"/>
          <w:lang w:val="en-US"/>
        </w:rPr>
        <w:t xml:space="preserve"> </w:t>
      </w:r>
      <w:r w:rsidRPr="008D2F5B">
        <w:rPr>
          <w:rFonts w:ascii="Times New Roman" w:eastAsia="MS PGothic" w:hAnsi="Times New Roman"/>
          <w:lang w:val="en-US"/>
        </w:rPr>
        <w:t xml:space="preserve">In this work, a novel reactor configuration is proposed and experimentally demonstrated for the electrification of MSR using direct Joule heating of a </w:t>
      </w:r>
      <w:proofErr w:type="spellStart"/>
      <w:r w:rsidRPr="008D2F5B">
        <w:rPr>
          <w:rFonts w:ascii="Times New Roman" w:eastAsia="MS PGothic" w:hAnsi="Times New Roman"/>
          <w:lang w:val="en-US"/>
        </w:rPr>
        <w:t>washcoated</w:t>
      </w:r>
      <w:proofErr w:type="spellEnd"/>
      <w:r w:rsidRPr="008D2F5B">
        <w:rPr>
          <w:rFonts w:ascii="Times New Roman" w:eastAsia="MS PGothic" w:hAnsi="Times New Roman"/>
          <w:lang w:val="en-US"/>
        </w:rPr>
        <w:t xml:space="preserve"> foam. A cylindrical Si-infiltrated silicon carbide foam was </w:t>
      </w:r>
      <w:proofErr w:type="spellStart"/>
      <w:r w:rsidRPr="008D2F5B">
        <w:rPr>
          <w:rFonts w:ascii="Times New Roman" w:eastAsia="MS PGothic" w:hAnsi="Times New Roman"/>
          <w:lang w:val="en-US"/>
        </w:rPr>
        <w:t>washcoated</w:t>
      </w:r>
      <w:proofErr w:type="spellEnd"/>
      <w:r w:rsidRPr="008D2F5B">
        <w:rPr>
          <w:rFonts w:ascii="Times New Roman" w:eastAsia="MS PGothic" w:hAnsi="Times New Roman"/>
          <w:lang w:val="en-US"/>
        </w:rPr>
        <w:t xml:space="preserve"> with Rh/Al2O3 catalyst and electrically connected to power supply</w:t>
      </w:r>
      <w:r w:rsidR="00134ED8">
        <w:rPr>
          <w:rFonts w:ascii="Times New Roman" w:eastAsia="MS PGothic" w:hAnsi="Times New Roman"/>
          <w:lang w:val="en-US"/>
        </w:rPr>
        <w:t xml:space="preserve"> as shown in Figure 1a</w:t>
      </w:r>
      <w:r w:rsidRPr="008D2F5B">
        <w:rPr>
          <w:rFonts w:ascii="Times New Roman" w:eastAsia="MS PGothic" w:hAnsi="Times New Roman"/>
          <w:lang w:val="en-US"/>
        </w:rPr>
        <w:t>.</w:t>
      </w:r>
      <w:r w:rsidR="001A5C65">
        <w:rPr>
          <w:rFonts w:ascii="Times New Roman" w:eastAsia="MS PGothic" w:hAnsi="Times New Roman"/>
          <w:lang w:val="en-US"/>
        </w:rPr>
        <w:t xml:space="preserve"> We show that</w:t>
      </w:r>
      <w:r w:rsidRPr="008D2F5B">
        <w:rPr>
          <w:rFonts w:ascii="Times New Roman" w:eastAsia="MS PGothic" w:hAnsi="Times New Roman"/>
          <w:lang w:val="en-US"/>
        </w:rPr>
        <w:t xml:space="preserve"> it provided optimal heat and mass transfer properties and efficient inner heating for the steam reforming reaction</w:t>
      </w:r>
      <w:r w:rsidR="00134ED8">
        <w:rPr>
          <w:rFonts w:ascii="Times New Roman" w:eastAsia="MS PGothic" w:hAnsi="Times New Roman"/>
          <w:lang w:val="en-US"/>
        </w:rPr>
        <w:t>.</w:t>
      </w:r>
    </w:p>
    <w:p w14:paraId="0871BF31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4D9884BC" w14:textId="5D9A3E18" w:rsidR="008D2F5B" w:rsidRPr="008D2F5B" w:rsidRDefault="008D2F5B" w:rsidP="007C13C8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8D2F5B">
        <w:rPr>
          <w:rFonts w:ascii="Times New Roman" w:eastAsia="MS PGothic" w:hAnsi="Times New Roman"/>
          <w:lang w:val="en-US"/>
        </w:rPr>
        <w:t xml:space="preserve">A commercial </w:t>
      </w:r>
      <w:proofErr w:type="spellStart"/>
      <w:r w:rsidRPr="008D2F5B">
        <w:rPr>
          <w:rFonts w:ascii="Times New Roman" w:eastAsia="MS PGothic" w:hAnsi="Times New Roman"/>
          <w:lang w:val="en-US"/>
        </w:rPr>
        <w:t>SiSiC</w:t>
      </w:r>
      <w:proofErr w:type="spellEnd"/>
      <w:r w:rsidRPr="008D2F5B">
        <w:rPr>
          <w:rFonts w:ascii="Times New Roman" w:eastAsia="MS PGothic" w:hAnsi="Times New Roman"/>
          <w:lang w:val="en-US"/>
        </w:rPr>
        <w:t xml:space="preserve"> foam (</w:t>
      </w:r>
      <w:proofErr w:type="spellStart"/>
      <w:r w:rsidRPr="008D2F5B">
        <w:rPr>
          <w:rFonts w:ascii="Times New Roman" w:eastAsia="MS PGothic" w:hAnsi="Times New Roman"/>
          <w:lang w:val="en-US"/>
        </w:rPr>
        <w:t>Erbicol</w:t>
      </w:r>
      <w:proofErr w:type="spellEnd"/>
      <w:r w:rsidRPr="008D2F5B">
        <w:rPr>
          <w:rFonts w:ascii="Times New Roman" w:eastAsia="MS PGothic" w:hAnsi="Times New Roman"/>
          <w:lang w:val="en-US"/>
        </w:rPr>
        <w:t>, CH) with cylindrical geometry (</w:t>
      </w:r>
      <w:proofErr w:type="spellStart"/>
      <w:r w:rsidRPr="008D2F5B">
        <w:rPr>
          <w:rFonts w:ascii="Times New Roman" w:eastAsia="MS PGothic" w:hAnsi="Times New Roman"/>
          <w:lang w:val="en-US"/>
        </w:rPr>
        <w:t>dfoam</w:t>
      </w:r>
      <w:proofErr w:type="spellEnd"/>
      <w:r w:rsidRPr="008D2F5B">
        <w:rPr>
          <w:rFonts w:ascii="Times New Roman" w:eastAsia="MS PGothic" w:hAnsi="Times New Roman"/>
          <w:lang w:val="en-US"/>
        </w:rPr>
        <w:t xml:space="preserve"> = 3.2 cm, </w:t>
      </w:r>
      <w:proofErr w:type="spellStart"/>
      <w:r w:rsidRPr="008D2F5B">
        <w:rPr>
          <w:rFonts w:ascii="Times New Roman" w:eastAsia="MS PGothic" w:hAnsi="Times New Roman"/>
          <w:lang w:val="en-US"/>
        </w:rPr>
        <w:t>Lfoam</w:t>
      </w:r>
      <w:proofErr w:type="spellEnd"/>
      <w:r w:rsidRPr="008D2F5B">
        <w:rPr>
          <w:rFonts w:ascii="Times New Roman" w:eastAsia="MS PGothic" w:hAnsi="Times New Roman"/>
          <w:lang w:val="en-US"/>
        </w:rPr>
        <w:t xml:space="preserve"> = 9.9 cm) was adopted in the present work.</w:t>
      </w:r>
      <w:r w:rsidRPr="008D2F5B">
        <w:rPr>
          <w:rFonts w:ascii="Times New Roman" w:eastAsia="MS PGothic" w:hAnsi="Times New Roman" w:hint="eastAsia"/>
          <w:lang w:val="en-US"/>
        </w:rPr>
        <w:t xml:space="preserve"> </w:t>
      </w:r>
      <w:r w:rsidR="00134ED8">
        <w:rPr>
          <w:rFonts w:ascii="Times New Roman" w:eastAsia="MS PGothic" w:hAnsi="Times New Roman"/>
          <w:lang w:val="en-US"/>
        </w:rPr>
        <w:t>A</w:t>
      </w:r>
      <w:r w:rsidRPr="008D2F5B">
        <w:rPr>
          <w:rFonts w:ascii="Times New Roman" w:eastAsia="MS PGothic" w:hAnsi="Times New Roman"/>
          <w:lang w:val="en-US"/>
        </w:rPr>
        <w:t xml:space="preserve">1%Rh/Al2O3 catalyst was prepared via an incipient-wet impregnation method by using Al2O3 powder (Sasol, PURALOX) and rhodium precursor (Rhodium (III) nitrate solution, Alfa </w:t>
      </w:r>
      <w:proofErr w:type="spellStart"/>
      <w:r w:rsidRPr="008D2F5B">
        <w:rPr>
          <w:rFonts w:ascii="Times New Roman" w:eastAsia="MS PGothic" w:hAnsi="Times New Roman"/>
          <w:lang w:val="en-US"/>
        </w:rPr>
        <w:t>Aesar</w:t>
      </w:r>
      <w:proofErr w:type="spellEnd"/>
      <w:r w:rsidRPr="008D2F5B">
        <w:rPr>
          <w:rFonts w:ascii="Times New Roman" w:eastAsia="MS PGothic" w:hAnsi="Times New Roman"/>
          <w:lang w:val="en-US"/>
        </w:rPr>
        <w:t xml:space="preserve">). The </w:t>
      </w:r>
      <w:proofErr w:type="spellStart"/>
      <w:r w:rsidRPr="008D2F5B">
        <w:rPr>
          <w:rFonts w:ascii="Times New Roman" w:eastAsia="MS PGothic" w:hAnsi="Times New Roman"/>
          <w:lang w:val="en-US"/>
        </w:rPr>
        <w:t>washcoating</w:t>
      </w:r>
      <w:proofErr w:type="spellEnd"/>
      <w:r w:rsidRPr="008D2F5B">
        <w:rPr>
          <w:rFonts w:ascii="Times New Roman" w:eastAsia="MS PGothic" w:hAnsi="Times New Roman"/>
          <w:lang w:val="en-US"/>
        </w:rPr>
        <w:t xml:space="preserve"> of the </w:t>
      </w:r>
      <w:proofErr w:type="spellStart"/>
      <w:r w:rsidRPr="008D2F5B">
        <w:rPr>
          <w:rFonts w:ascii="Times New Roman" w:eastAsia="MS PGothic" w:hAnsi="Times New Roman"/>
          <w:lang w:val="en-US"/>
        </w:rPr>
        <w:t>SiSiC</w:t>
      </w:r>
      <w:proofErr w:type="spellEnd"/>
      <w:r w:rsidRPr="008D2F5B">
        <w:rPr>
          <w:rFonts w:ascii="Times New Roman" w:eastAsia="MS PGothic" w:hAnsi="Times New Roman"/>
          <w:lang w:val="en-US"/>
        </w:rPr>
        <w:t xml:space="preserve"> foam was obtained by dipping, spinning and flash drying processes. </w:t>
      </w:r>
      <w:r w:rsidR="00134ED8">
        <w:rPr>
          <w:rFonts w:ascii="Times New Roman" w:eastAsia="MS PGothic" w:hAnsi="Times New Roman"/>
          <w:lang w:val="en-US"/>
        </w:rPr>
        <w:t xml:space="preserve">Foams with different loadings, from 2.2 up to 4 g of catalyst over ½ and ¾ of the foam </w:t>
      </w:r>
      <w:r w:rsidR="00B12C7F">
        <w:rPr>
          <w:rFonts w:ascii="Times New Roman" w:eastAsia="MS PGothic" w:hAnsi="Times New Roman"/>
          <w:lang w:val="en-US"/>
        </w:rPr>
        <w:t xml:space="preserve">length </w:t>
      </w:r>
      <w:r w:rsidR="00134ED8">
        <w:rPr>
          <w:rFonts w:ascii="Times New Roman" w:eastAsia="MS PGothic" w:hAnsi="Times New Roman"/>
          <w:lang w:val="en-US"/>
        </w:rPr>
        <w:t xml:space="preserve">were </w:t>
      </w:r>
      <w:r w:rsidR="00B12C7F">
        <w:rPr>
          <w:rFonts w:ascii="Times New Roman" w:eastAsia="MS PGothic" w:hAnsi="Times New Roman"/>
          <w:lang w:val="en-US"/>
        </w:rPr>
        <w:t>prepared</w:t>
      </w:r>
      <w:r w:rsidR="00134ED8">
        <w:rPr>
          <w:rFonts w:ascii="Times New Roman" w:eastAsia="MS PGothic" w:hAnsi="Times New Roman"/>
          <w:lang w:val="en-US"/>
        </w:rPr>
        <w:t>, corresponding to a catalyst inventory in the range of 4</w:t>
      </w:r>
      <w:r w:rsidR="002A3B91">
        <w:rPr>
          <w:rFonts w:ascii="Times New Roman" w:eastAsia="MS PGothic" w:hAnsi="Times New Roman"/>
          <w:lang w:val="en-US"/>
        </w:rPr>
        <w:t>0</w:t>
      </w:r>
      <w:r w:rsidR="00134ED8">
        <w:rPr>
          <w:rFonts w:ascii="Times New Roman" w:eastAsia="MS PGothic" w:hAnsi="Times New Roman"/>
          <w:lang w:val="en-US"/>
        </w:rPr>
        <w:t>-8</w:t>
      </w:r>
      <w:r w:rsidR="002A3B91">
        <w:rPr>
          <w:rFonts w:ascii="Times New Roman" w:eastAsia="MS PGothic" w:hAnsi="Times New Roman"/>
          <w:lang w:val="en-US"/>
        </w:rPr>
        <w:t>5</w:t>
      </w:r>
      <w:r w:rsidR="00134ED8">
        <w:rPr>
          <w:rFonts w:ascii="Times New Roman" w:eastAsia="MS PGothic" w:hAnsi="Times New Roman"/>
          <w:lang w:val="en-US"/>
        </w:rPr>
        <w:t xml:space="preserve"> g/lit.</w:t>
      </w:r>
    </w:p>
    <w:p w14:paraId="15527CE3" w14:textId="39C8120A" w:rsidR="008D2F5B" w:rsidRDefault="008D2F5B" w:rsidP="007C13C8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8D2F5B">
        <w:rPr>
          <w:rFonts w:ascii="Times New Roman" w:eastAsia="MS PGothic" w:hAnsi="Times New Roman"/>
          <w:lang w:val="en-US"/>
        </w:rPr>
        <w:t xml:space="preserve">Catalytic tests were performed at </w:t>
      </w:r>
      <w:r w:rsidR="008161D6">
        <w:rPr>
          <w:rFonts w:ascii="Times New Roman" w:eastAsia="MS PGothic" w:hAnsi="Times New Roman"/>
          <w:lang w:val="en-US"/>
        </w:rPr>
        <w:t xml:space="preserve">different GHSV up to 200.000 </w:t>
      </w:r>
      <w:r w:rsidRPr="008D2F5B">
        <w:rPr>
          <w:rFonts w:ascii="Times New Roman" w:eastAsia="MS PGothic" w:hAnsi="Times New Roman"/>
          <w:lang w:val="en-US"/>
        </w:rPr>
        <w:t>cm</w:t>
      </w:r>
      <w:r w:rsidRPr="008161D6">
        <w:rPr>
          <w:rFonts w:ascii="Times New Roman" w:eastAsia="MS PGothic" w:hAnsi="Times New Roman"/>
          <w:vertAlign w:val="superscript"/>
          <w:lang w:val="en-US"/>
        </w:rPr>
        <w:t>3</w:t>
      </w:r>
      <w:r w:rsidRPr="008D2F5B">
        <w:rPr>
          <w:rFonts w:ascii="Times New Roman" w:eastAsia="MS PGothic" w:hAnsi="Times New Roman"/>
          <w:lang w:val="en-US"/>
        </w:rPr>
        <w:t>/h/</w:t>
      </w:r>
      <w:proofErr w:type="spellStart"/>
      <w:r w:rsidRPr="008D2F5B">
        <w:rPr>
          <w:rFonts w:ascii="Times New Roman" w:eastAsia="MS PGothic" w:hAnsi="Times New Roman"/>
          <w:lang w:val="en-US"/>
        </w:rPr>
        <w:t>gcat</w:t>
      </w:r>
      <w:proofErr w:type="spellEnd"/>
      <w:r w:rsidRPr="008D2F5B">
        <w:rPr>
          <w:rFonts w:ascii="Times New Roman" w:eastAsia="MS PGothic" w:hAnsi="Times New Roman"/>
          <w:lang w:val="en-US"/>
        </w:rPr>
        <w:t xml:space="preserve"> (STP) with a non-diluted gas feed of CH4 and H2O (steam to carbon ratio of 4.1) at ambient pressure. Downstream from the reactor, water was removed from the products by a condenser and the dry gas mixture was analyzed using an online micro-GC (Agilent, 900 Micro GC). </w:t>
      </w:r>
    </w:p>
    <w:p w14:paraId="0528A46E" w14:textId="77777777" w:rsidR="00DA51A3" w:rsidRPr="008D2F5B" w:rsidRDefault="00DA51A3" w:rsidP="008D2F5B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/>
        </w:rPr>
      </w:pPr>
      <w:r w:rsidRPr="008D2F5B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6BA5A061" w14:textId="7C73C4D9" w:rsidR="008D2F5B" w:rsidRPr="008D2F5B" w:rsidRDefault="008D2F5B" w:rsidP="007C13C8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8D2F5B">
        <w:rPr>
          <w:rFonts w:ascii="Times New Roman" w:eastAsia="MS PGothic" w:hAnsi="Times New Roman"/>
          <w:lang w:val="en-US"/>
        </w:rPr>
        <w:t xml:space="preserve">Figure 1shows the schematic representation of the electrified methane steam reforming reactor layout proposed in the present work. The </w:t>
      </w:r>
      <w:proofErr w:type="spellStart"/>
      <w:r w:rsidRPr="008D2F5B">
        <w:rPr>
          <w:rFonts w:ascii="Times New Roman" w:eastAsia="MS PGothic" w:hAnsi="Times New Roman"/>
          <w:lang w:val="en-US"/>
        </w:rPr>
        <w:t>washcoated</w:t>
      </w:r>
      <w:proofErr w:type="spellEnd"/>
      <w:r w:rsidRPr="008D2F5B">
        <w:rPr>
          <w:rFonts w:ascii="Times New Roman" w:eastAsia="MS PGothic" w:hAnsi="Times New Roman"/>
          <w:lang w:val="en-US"/>
        </w:rPr>
        <w:t xml:space="preserve"> </w:t>
      </w:r>
      <w:proofErr w:type="spellStart"/>
      <w:r w:rsidRPr="008D2F5B">
        <w:rPr>
          <w:rFonts w:ascii="Times New Roman" w:eastAsia="MS PGothic" w:hAnsi="Times New Roman"/>
          <w:lang w:val="en-US"/>
        </w:rPr>
        <w:t>SiSiC</w:t>
      </w:r>
      <w:proofErr w:type="spellEnd"/>
      <w:r w:rsidRPr="008D2F5B">
        <w:rPr>
          <w:rFonts w:ascii="Times New Roman" w:eastAsia="MS PGothic" w:hAnsi="Times New Roman"/>
          <w:lang w:val="en-US"/>
        </w:rPr>
        <w:t xml:space="preserve"> foam was placed in a tubular stainless-steel tube reactor (OD = 5 cm). A ceramic tube </w:t>
      </w:r>
      <w:r w:rsidR="00B12C7F">
        <w:rPr>
          <w:rFonts w:ascii="Times New Roman" w:eastAsia="MS PGothic" w:hAnsi="Times New Roman"/>
          <w:lang w:val="en-US"/>
        </w:rPr>
        <w:t>wa</w:t>
      </w:r>
      <w:r w:rsidRPr="008D2F5B">
        <w:rPr>
          <w:rFonts w:ascii="Times New Roman" w:eastAsia="MS PGothic" w:hAnsi="Times New Roman"/>
          <w:lang w:val="en-US"/>
        </w:rPr>
        <w:t xml:space="preserve">s inserted between the foam and the stainless-steel tube to avoid electric contact. To connect the foam with the power generator, home-made electric </w:t>
      </w:r>
      <w:r w:rsidR="00B12C7F">
        <w:rPr>
          <w:rFonts w:ascii="Times New Roman" w:eastAsia="MS PGothic" w:hAnsi="Times New Roman"/>
          <w:lang w:val="en-US"/>
        </w:rPr>
        <w:t>sockets</w:t>
      </w:r>
      <w:r w:rsidR="00B12C7F" w:rsidRPr="008D2F5B">
        <w:rPr>
          <w:rFonts w:ascii="Times New Roman" w:eastAsia="MS PGothic" w:hAnsi="Times New Roman"/>
          <w:lang w:val="en-US"/>
        </w:rPr>
        <w:t xml:space="preserve"> </w:t>
      </w:r>
      <w:r w:rsidRPr="008D2F5B">
        <w:rPr>
          <w:rFonts w:ascii="Times New Roman" w:eastAsia="MS PGothic" w:hAnsi="Times New Roman"/>
          <w:lang w:val="en-US"/>
        </w:rPr>
        <w:t xml:space="preserve">were adopted. A thin layer of copper </w:t>
      </w:r>
      <w:r w:rsidRPr="008D2F5B">
        <w:rPr>
          <w:rFonts w:ascii="Times New Roman" w:eastAsia="MS PGothic" w:hAnsi="Times New Roman"/>
          <w:lang w:val="en-US"/>
        </w:rPr>
        <w:lastRenderedPageBreak/>
        <w:t xml:space="preserve">foam </w:t>
      </w:r>
      <w:r w:rsidR="00B12C7F">
        <w:rPr>
          <w:rFonts w:ascii="Times New Roman" w:eastAsia="MS PGothic" w:hAnsi="Times New Roman"/>
          <w:lang w:val="en-US"/>
        </w:rPr>
        <w:t>wa</w:t>
      </w:r>
      <w:r w:rsidRPr="008D2F5B">
        <w:rPr>
          <w:rFonts w:ascii="Times New Roman" w:eastAsia="MS PGothic" w:hAnsi="Times New Roman"/>
          <w:lang w:val="en-US"/>
        </w:rPr>
        <w:t xml:space="preserve">s placed between the foam and the electric plate to ensure a good electrical contact. The electric plates are connected to a </w:t>
      </w:r>
      <w:r w:rsidR="00B12C7F">
        <w:rPr>
          <w:rFonts w:ascii="Times New Roman" w:eastAsia="MS PGothic" w:hAnsi="Times New Roman"/>
          <w:lang w:val="en-US"/>
        </w:rPr>
        <w:t xml:space="preserve">DC </w:t>
      </w:r>
      <w:r w:rsidRPr="008D2F5B">
        <w:rPr>
          <w:rFonts w:ascii="Times New Roman" w:eastAsia="MS PGothic" w:hAnsi="Times New Roman"/>
          <w:lang w:val="en-US"/>
        </w:rPr>
        <w:t xml:space="preserve">power generator. K-type thermocouples, electrically insulated by ceramic thermocouple wells, are placed inside the electric contactors to measure the temperatures at the upper side and </w:t>
      </w:r>
      <w:r w:rsidR="00B12C7F">
        <w:rPr>
          <w:rFonts w:ascii="Times New Roman" w:eastAsia="MS PGothic" w:hAnsi="Times New Roman"/>
          <w:lang w:val="en-US"/>
        </w:rPr>
        <w:t xml:space="preserve">at the </w:t>
      </w:r>
      <w:r w:rsidRPr="008D2F5B">
        <w:rPr>
          <w:rFonts w:ascii="Times New Roman" w:eastAsia="MS PGothic" w:hAnsi="Times New Roman"/>
          <w:lang w:val="en-US"/>
        </w:rPr>
        <w:t>bottom of the foam.</w:t>
      </w:r>
    </w:p>
    <w:p w14:paraId="66035F1E" w14:textId="57382666" w:rsidR="008D2F5B" w:rsidRPr="008D2F5B" w:rsidRDefault="008D2F5B" w:rsidP="007C13C8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8D2F5B">
        <w:rPr>
          <w:rFonts w:ascii="Times New Roman" w:eastAsia="MS PGothic" w:hAnsi="Times New Roman"/>
          <w:lang w:val="en-US"/>
        </w:rPr>
        <w:t xml:space="preserve">Thanks to the interconnected geometry and the proper bulk resistivity of the </w:t>
      </w:r>
      <w:proofErr w:type="spellStart"/>
      <w:r w:rsidRPr="008D2F5B">
        <w:rPr>
          <w:rFonts w:ascii="Times New Roman" w:eastAsia="MS PGothic" w:hAnsi="Times New Roman"/>
          <w:lang w:val="en-US"/>
        </w:rPr>
        <w:t>SiSiC</w:t>
      </w:r>
      <w:proofErr w:type="spellEnd"/>
      <w:r w:rsidRPr="008D2F5B">
        <w:rPr>
          <w:rFonts w:ascii="Times New Roman" w:eastAsia="MS PGothic" w:hAnsi="Times New Roman"/>
          <w:lang w:val="en-US"/>
        </w:rPr>
        <w:t xml:space="preserve"> foam, the structured catalyst could be directly heated by the Joule effect (ohmic heating). </w:t>
      </w:r>
      <w:r w:rsidR="008161D6">
        <w:rPr>
          <w:rFonts w:ascii="Times New Roman" w:eastAsia="MS PGothic" w:hAnsi="Times New Roman"/>
          <w:lang w:val="en-US"/>
        </w:rPr>
        <w:t>M</w:t>
      </w:r>
      <w:r w:rsidRPr="008D2F5B">
        <w:rPr>
          <w:rFonts w:ascii="Times New Roman" w:eastAsia="MS PGothic" w:hAnsi="Times New Roman"/>
          <w:lang w:val="en-US"/>
        </w:rPr>
        <w:t xml:space="preserve">ethane conversions approaching equilibrium were obtained across a range of conditions, with almost full methane conversion achieved above 700 °C, as shown in Figure </w:t>
      </w:r>
      <w:r w:rsidR="008161D6">
        <w:rPr>
          <w:rFonts w:ascii="Times New Roman" w:eastAsia="MS PGothic" w:hAnsi="Times New Roman"/>
          <w:lang w:val="en-US"/>
        </w:rPr>
        <w:t>2</w:t>
      </w:r>
      <w:r w:rsidRPr="008D2F5B">
        <w:rPr>
          <w:rFonts w:ascii="Times New Roman" w:eastAsia="MS PGothic" w:hAnsi="Times New Roman"/>
          <w:lang w:val="en-US"/>
        </w:rPr>
        <w:t>(</w:t>
      </w:r>
      <w:r w:rsidR="008161D6">
        <w:rPr>
          <w:rFonts w:ascii="Times New Roman" w:eastAsia="MS PGothic" w:hAnsi="Times New Roman"/>
          <w:lang w:val="en-US"/>
        </w:rPr>
        <w:t>a</w:t>
      </w:r>
      <w:r w:rsidRPr="008D2F5B">
        <w:rPr>
          <w:rFonts w:ascii="Times New Roman" w:eastAsia="MS PGothic" w:hAnsi="Times New Roman"/>
          <w:lang w:val="en-US"/>
        </w:rPr>
        <w:t xml:space="preserve">). The foam-based </w:t>
      </w:r>
      <w:proofErr w:type="spellStart"/>
      <w:r w:rsidRPr="008D2F5B">
        <w:rPr>
          <w:rFonts w:ascii="Times New Roman" w:eastAsia="MS PGothic" w:hAnsi="Times New Roman"/>
          <w:lang w:val="en-US"/>
        </w:rPr>
        <w:t>eMSR</w:t>
      </w:r>
      <w:proofErr w:type="spellEnd"/>
      <w:r w:rsidRPr="008D2F5B">
        <w:rPr>
          <w:rFonts w:ascii="Times New Roman" w:eastAsia="MS PGothic" w:hAnsi="Times New Roman"/>
          <w:lang w:val="en-US"/>
        </w:rPr>
        <w:t xml:space="preserve"> system showed a high energy efficienc</w:t>
      </w:r>
      <w:r w:rsidR="008161D6">
        <w:rPr>
          <w:rFonts w:ascii="Times New Roman" w:eastAsia="MS PGothic" w:hAnsi="Times New Roman"/>
          <w:lang w:val="en-US"/>
        </w:rPr>
        <w:t xml:space="preserve">y, which </w:t>
      </w:r>
      <w:r w:rsidR="00B12C7F">
        <w:rPr>
          <w:rFonts w:ascii="Times New Roman" w:eastAsia="MS PGothic" w:hAnsi="Times New Roman"/>
          <w:lang w:val="en-US"/>
        </w:rPr>
        <w:t xml:space="preserve">was found to be </w:t>
      </w:r>
      <w:r w:rsidR="008161D6">
        <w:rPr>
          <w:rFonts w:ascii="Times New Roman" w:eastAsia="MS PGothic" w:hAnsi="Times New Roman"/>
          <w:lang w:val="en-US"/>
        </w:rPr>
        <w:t>a strong function of the space velocity and reache</w:t>
      </w:r>
      <w:r w:rsidR="00B12C7F">
        <w:rPr>
          <w:rFonts w:ascii="Times New Roman" w:eastAsia="MS PGothic" w:hAnsi="Times New Roman"/>
          <w:lang w:val="en-US"/>
        </w:rPr>
        <w:t>d</w:t>
      </w:r>
      <w:r w:rsidR="008161D6">
        <w:rPr>
          <w:rFonts w:ascii="Times New Roman" w:eastAsia="MS PGothic" w:hAnsi="Times New Roman"/>
          <w:lang w:val="en-US"/>
        </w:rPr>
        <w:t xml:space="preserve"> a maximum of nearly 70% at lab-scale conditions. </w:t>
      </w:r>
    </w:p>
    <w:p w14:paraId="4947E405" w14:textId="77777777" w:rsidR="008D2F5B" w:rsidRDefault="008D2F5B" w:rsidP="008D2F5B">
      <w:pPr>
        <w:pStyle w:val="BodyTextNACS"/>
        <w:ind w:firstLineChars="550" w:firstLine="880"/>
      </w:pPr>
    </w:p>
    <w:p w14:paraId="22BEF5B5" w14:textId="22B05E9D" w:rsidR="008D2F5B" w:rsidRDefault="00E17023" w:rsidP="008D2F5B">
      <w:pPr>
        <w:pStyle w:val="BodyTextNACS"/>
        <w:jc w:val="center"/>
      </w:pPr>
      <w:r w:rsidRPr="0014636C">
        <w:rPr>
          <w:noProof/>
          <w:sz w:val="22"/>
          <w:lang w:val="it-IT"/>
        </w:rPr>
        <w:drawing>
          <wp:inline distT="0" distB="0" distL="0" distR="0" wp14:anchorId="632A68D3" wp14:editId="7093447F">
            <wp:extent cx="3721131" cy="1852950"/>
            <wp:effectExtent l="0" t="0" r="0" b="0"/>
            <wp:docPr id="7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FCC95876-2AC3-4BC3-8692-65957BC75C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id="{FCC95876-2AC3-4BC3-8692-65957BC75C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5371" cy="188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363DB" w14:textId="37E4392E" w:rsidR="00DA51A3" w:rsidRDefault="008D2F5B" w:rsidP="008D2F5B">
      <w:pPr>
        <w:snapToGrid w:val="0"/>
        <w:spacing w:after="120"/>
        <w:jc w:val="center"/>
        <w:rPr>
          <w:rFonts w:ascii="Times New Roman" w:eastAsia="MS PGothic" w:hAnsi="Times New Roman"/>
          <w:sz w:val="18"/>
          <w:szCs w:val="14"/>
          <w:lang w:val="en-US"/>
        </w:rPr>
      </w:pPr>
      <w:r w:rsidRPr="008D2F5B">
        <w:rPr>
          <w:rFonts w:ascii="Times New Roman" w:eastAsia="MS PGothic" w:hAnsi="Times New Roman" w:hint="eastAsia"/>
          <w:b/>
          <w:bCs/>
          <w:sz w:val="18"/>
          <w:szCs w:val="14"/>
          <w:lang w:val="en-US"/>
        </w:rPr>
        <w:t>F</w:t>
      </w:r>
      <w:r w:rsidRPr="008D2F5B">
        <w:rPr>
          <w:rFonts w:ascii="Times New Roman" w:eastAsia="MS PGothic" w:hAnsi="Times New Roman"/>
          <w:b/>
          <w:bCs/>
          <w:sz w:val="18"/>
          <w:szCs w:val="14"/>
          <w:lang w:val="en-US"/>
        </w:rPr>
        <w:t>igure 1</w:t>
      </w:r>
      <w:r w:rsidR="00092B30">
        <w:rPr>
          <w:rFonts w:ascii="Times New Roman" w:eastAsia="MS PGothic" w:hAnsi="Times New Roman"/>
          <w:b/>
          <w:bCs/>
          <w:sz w:val="18"/>
          <w:szCs w:val="14"/>
          <w:lang w:val="en-US"/>
        </w:rPr>
        <w:t xml:space="preserve"> </w:t>
      </w:r>
      <w:r w:rsidRPr="008D2F5B">
        <w:rPr>
          <w:rFonts w:ascii="Times New Roman" w:eastAsia="MS PGothic" w:hAnsi="Times New Roman"/>
          <w:sz w:val="18"/>
          <w:szCs w:val="14"/>
          <w:lang w:val="en-US"/>
        </w:rPr>
        <w:t xml:space="preserve">Schematic representation of the electrified methane steam reforming reactor layout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17023" w14:paraId="430A6033" w14:textId="77777777" w:rsidTr="00092B30">
        <w:tc>
          <w:tcPr>
            <w:tcW w:w="4814" w:type="dxa"/>
          </w:tcPr>
          <w:p w14:paraId="4BD9BC7F" w14:textId="13284FD2" w:rsidR="00E17023" w:rsidRDefault="00E17023" w:rsidP="008D2F5B">
            <w:pPr>
              <w:snapToGrid w:val="0"/>
              <w:spacing w:after="120"/>
              <w:jc w:val="center"/>
              <w:rPr>
                <w:rFonts w:ascii="Times New Roman" w:eastAsia="MS PGothic" w:hAnsi="Times New Roman"/>
                <w:sz w:val="18"/>
                <w:szCs w:val="14"/>
                <w:lang w:val="en-US"/>
              </w:rPr>
            </w:pPr>
            <w:r w:rsidRPr="0014636C">
              <w:rPr>
                <w:noProof/>
              </w:rPr>
              <w:drawing>
                <wp:inline distT="0" distB="0" distL="0" distR="0" wp14:anchorId="0C8AE1FD" wp14:editId="52B80FD8">
                  <wp:extent cx="2618740" cy="1816100"/>
                  <wp:effectExtent l="0" t="0" r="0" b="0"/>
                  <wp:docPr id="12" name="图片 12" descr="C:\Users\Daimler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imler\Desktop\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13"/>
                          <a:stretch/>
                        </pic:blipFill>
                        <pic:spPr bwMode="auto">
                          <a:xfrm>
                            <a:off x="0" y="0"/>
                            <a:ext cx="261874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B212EB9" w14:textId="0D1A0826" w:rsidR="00E17023" w:rsidRDefault="00092B30" w:rsidP="008D2F5B">
            <w:pPr>
              <w:snapToGrid w:val="0"/>
              <w:spacing w:after="120"/>
              <w:jc w:val="center"/>
              <w:rPr>
                <w:rFonts w:ascii="Times New Roman" w:eastAsia="MS PGothic" w:hAnsi="Times New Roman"/>
                <w:sz w:val="18"/>
                <w:szCs w:val="14"/>
                <w:lang w:val="en-US"/>
              </w:rPr>
            </w:pPr>
            <w:r w:rsidRPr="0014636C">
              <w:rPr>
                <w:noProof/>
              </w:rPr>
              <w:drawing>
                <wp:inline distT="0" distB="0" distL="0" distR="0" wp14:anchorId="3AB75E4A" wp14:editId="27A91779">
                  <wp:extent cx="2911289" cy="1816925"/>
                  <wp:effectExtent l="0" t="0" r="3810" b="0"/>
                  <wp:docPr id="24" name="图片 24" descr="C:\Users\Daimler\Desktop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aimler\Desktop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180" cy="1827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0B5366" w14:textId="2954577D" w:rsidR="00E17023" w:rsidRPr="008D2F5B" w:rsidRDefault="00092B30" w:rsidP="008D2F5B">
      <w:pPr>
        <w:snapToGrid w:val="0"/>
        <w:spacing w:after="120"/>
        <w:jc w:val="center"/>
        <w:rPr>
          <w:rFonts w:ascii="Times New Roman" w:eastAsia="MS PGothic" w:hAnsi="Times New Roman"/>
          <w:sz w:val="18"/>
          <w:szCs w:val="14"/>
          <w:lang w:val="en-US"/>
        </w:rPr>
      </w:pPr>
      <w:r w:rsidRPr="008D2F5B">
        <w:rPr>
          <w:rFonts w:ascii="Times New Roman" w:eastAsia="MS PGothic" w:hAnsi="Times New Roman" w:hint="eastAsia"/>
          <w:b/>
          <w:bCs/>
          <w:sz w:val="18"/>
          <w:szCs w:val="14"/>
          <w:lang w:val="en-US"/>
        </w:rPr>
        <w:t>F</w:t>
      </w:r>
      <w:r w:rsidRPr="008D2F5B">
        <w:rPr>
          <w:rFonts w:ascii="Times New Roman" w:eastAsia="MS PGothic" w:hAnsi="Times New Roman"/>
          <w:b/>
          <w:bCs/>
          <w:sz w:val="18"/>
          <w:szCs w:val="14"/>
          <w:lang w:val="en-US"/>
        </w:rPr>
        <w:t xml:space="preserve">igure </w:t>
      </w:r>
      <w:r>
        <w:rPr>
          <w:rFonts w:ascii="Times New Roman" w:eastAsia="MS PGothic" w:hAnsi="Times New Roman"/>
          <w:b/>
          <w:bCs/>
          <w:sz w:val="18"/>
          <w:szCs w:val="14"/>
          <w:lang w:val="en-US"/>
        </w:rPr>
        <w:t>2</w:t>
      </w:r>
      <w:r w:rsidRPr="008D2F5B">
        <w:rPr>
          <w:rFonts w:ascii="Times New Roman" w:eastAsia="MS PGothic" w:hAnsi="Times New Roman"/>
          <w:b/>
          <w:bCs/>
          <w:sz w:val="18"/>
          <w:szCs w:val="14"/>
          <w:lang w:val="en-US"/>
        </w:rPr>
        <w:t>.</w:t>
      </w:r>
      <w:r w:rsidRPr="008D2F5B">
        <w:rPr>
          <w:rFonts w:ascii="Times New Roman" w:eastAsia="MS PGothic" w:hAnsi="Times New Roman"/>
          <w:sz w:val="18"/>
          <w:szCs w:val="14"/>
          <w:lang w:val="en-US"/>
        </w:rPr>
        <w:t xml:space="preserve"> (a) </w:t>
      </w:r>
      <w:r w:rsidR="00492639">
        <w:rPr>
          <w:rFonts w:ascii="Times New Roman" w:eastAsia="MS PGothic" w:hAnsi="Times New Roman"/>
          <w:sz w:val="18"/>
          <w:szCs w:val="14"/>
          <w:lang w:val="en-US"/>
        </w:rPr>
        <w:t>CH</w:t>
      </w:r>
      <w:r w:rsidR="00492639" w:rsidRPr="00B21CB6">
        <w:rPr>
          <w:rFonts w:ascii="Times New Roman" w:eastAsia="MS PGothic" w:hAnsi="Times New Roman"/>
          <w:sz w:val="18"/>
          <w:szCs w:val="14"/>
          <w:vertAlign w:val="subscript"/>
          <w:lang w:val="en-US"/>
        </w:rPr>
        <w:t>4</w:t>
      </w:r>
      <w:r w:rsidR="00492639">
        <w:rPr>
          <w:rFonts w:ascii="Times New Roman" w:eastAsia="MS PGothic" w:hAnsi="Times New Roman"/>
          <w:sz w:val="18"/>
          <w:szCs w:val="14"/>
          <w:lang w:val="en-US"/>
        </w:rPr>
        <w:t xml:space="preserve"> c</w:t>
      </w:r>
      <w:r>
        <w:rPr>
          <w:rFonts w:ascii="Times New Roman" w:eastAsia="MS PGothic" w:hAnsi="Times New Roman"/>
          <w:sz w:val="18"/>
          <w:szCs w:val="14"/>
          <w:lang w:val="en-US"/>
        </w:rPr>
        <w:t xml:space="preserve">onversion and (b) thermal efficiencies as a function of GHSV for </w:t>
      </w:r>
      <w:r w:rsidR="008161D6">
        <w:rPr>
          <w:rFonts w:ascii="Times New Roman" w:eastAsia="MS PGothic" w:hAnsi="Times New Roman"/>
          <w:sz w:val="18"/>
          <w:szCs w:val="14"/>
          <w:lang w:val="en-US"/>
        </w:rPr>
        <w:t>different space velocities</w:t>
      </w:r>
    </w:p>
    <w:p w14:paraId="0DE817AB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75AC421F" w14:textId="5D219E76" w:rsidR="008D2F5B" w:rsidRPr="007C13C8" w:rsidRDefault="008D2F5B" w:rsidP="007C13C8">
      <w:pPr>
        <w:snapToGrid w:val="0"/>
        <w:spacing w:after="120"/>
        <w:rPr>
          <w:rFonts w:ascii="Times New Roman" w:eastAsia="MS PGothic" w:hAnsi="Times New Roman"/>
          <w:lang w:val="en-US"/>
        </w:rPr>
      </w:pPr>
      <w:r w:rsidRPr="007C13C8">
        <w:rPr>
          <w:rFonts w:ascii="Times New Roman" w:eastAsia="MS PGothic" w:hAnsi="Times New Roman"/>
          <w:lang w:val="en-US"/>
        </w:rPr>
        <w:t>When driven by renewable electricity, such a reactor configuration promises a high potential to reduce CO</w:t>
      </w:r>
      <w:r w:rsidRPr="008161D6">
        <w:rPr>
          <w:rFonts w:ascii="Times New Roman" w:eastAsia="MS PGothic" w:hAnsi="Times New Roman"/>
          <w:vertAlign w:val="subscript"/>
          <w:lang w:val="en-US"/>
        </w:rPr>
        <w:t>2</w:t>
      </w:r>
      <w:r w:rsidRPr="007C13C8">
        <w:rPr>
          <w:rFonts w:ascii="Times New Roman" w:eastAsia="MS PGothic" w:hAnsi="Times New Roman"/>
          <w:lang w:val="en-US"/>
        </w:rPr>
        <w:t xml:space="preserve"> emissions in hydrogen production</w:t>
      </w:r>
      <w:r w:rsidR="008161D6">
        <w:rPr>
          <w:rFonts w:ascii="Times New Roman" w:eastAsia="MS PGothic" w:hAnsi="Times New Roman"/>
          <w:lang w:val="en-US"/>
        </w:rPr>
        <w:t xml:space="preserve"> providing potential for process intensification</w:t>
      </w:r>
      <w:r w:rsidR="00B21CB6">
        <w:rPr>
          <w:rFonts w:ascii="Times New Roman" w:eastAsia="MS PGothic" w:hAnsi="Times New Roman"/>
          <w:lang w:val="en-US"/>
        </w:rPr>
        <w:t xml:space="preserve"> with high H2 productivities per volume and per kg of catalyst. S</w:t>
      </w:r>
      <w:r w:rsidR="008161D6">
        <w:rPr>
          <w:rFonts w:ascii="Times New Roman" w:eastAsia="MS PGothic" w:hAnsi="Times New Roman"/>
          <w:lang w:val="en-US"/>
        </w:rPr>
        <w:t xml:space="preserve">uch </w:t>
      </w:r>
      <w:r w:rsidR="00B12C7F">
        <w:rPr>
          <w:rFonts w:ascii="Times New Roman" w:eastAsia="MS PGothic" w:hAnsi="Times New Roman"/>
          <w:lang w:val="en-US"/>
        </w:rPr>
        <w:t xml:space="preserve">a </w:t>
      </w:r>
      <w:r w:rsidR="008161D6">
        <w:rPr>
          <w:rFonts w:ascii="Times New Roman" w:eastAsia="MS PGothic" w:hAnsi="Times New Roman"/>
          <w:lang w:val="en-US"/>
        </w:rPr>
        <w:t>concept can be exploited also for many other endothermic processes</w:t>
      </w:r>
      <w:r w:rsidR="00B12C7F">
        <w:rPr>
          <w:rFonts w:ascii="Times New Roman" w:eastAsia="MS PGothic" w:hAnsi="Times New Roman"/>
          <w:lang w:val="en-US"/>
        </w:rPr>
        <w:t>,</w:t>
      </w:r>
      <w:r w:rsidR="008161D6">
        <w:rPr>
          <w:rFonts w:ascii="Times New Roman" w:eastAsia="MS PGothic" w:hAnsi="Times New Roman"/>
          <w:lang w:val="en-US"/>
        </w:rPr>
        <w:t xml:space="preserve"> granting CO2 savings.</w:t>
      </w:r>
    </w:p>
    <w:p w14:paraId="1845F659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62304B24" w14:textId="77777777" w:rsidR="007C13C8" w:rsidRPr="007C13C8" w:rsidRDefault="007C13C8" w:rsidP="007C13C8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7C13C8">
        <w:rPr>
          <w:rFonts w:ascii="Times New Roman" w:hAnsi="Times New Roman"/>
        </w:rPr>
        <w:t>Holladay J.D., Hu J. et. al., Catalysis Today 139, 244 (2009).</w:t>
      </w:r>
    </w:p>
    <w:p w14:paraId="71BF92D2" w14:textId="77777777" w:rsidR="007C13C8" w:rsidRPr="007C13C8" w:rsidRDefault="007C13C8" w:rsidP="007C13C8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proofErr w:type="spellStart"/>
      <w:r w:rsidRPr="007C13C8">
        <w:rPr>
          <w:rFonts w:ascii="Times New Roman" w:hAnsi="Times New Roman"/>
        </w:rPr>
        <w:t>Wismann</w:t>
      </w:r>
      <w:proofErr w:type="spellEnd"/>
      <w:r w:rsidRPr="007C13C8">
        <w:rPr>
          <w:rFonts w:ascii="Times New Roman" w:hAnsi="Times New Roman"/>
        </w:rPr>
        <w:t xml:space="preserve"> S.T., </w:t>
      </w:r>
      <w:proofErr w:type="spellStart"/>
      <w:r w:rsidRPr="007C13C8">
        <w:rPr>
          <w:rFonts w:ascii="Times New Roman" w:hAnsi="Times New Roman"/>
        </w:rPr>
        <w:t>Engbæk</w:t>
      </w:r>
      <w:proofErr w:type="spellEnd"/>
      <w:r w:rsidRPr="007C13C8">
        <w:rPr>
          <w:rFonts w:ascii="Times New Roman" w:hAnsi="Times New Roman"/>
        </w:rPr>
        <w:t xml:space="preserve"> J.S. et al, Science 364, 756 (2019).</w:t>
      </w:r>
    </w:p>
    <w:p w14:paraId="5D706DF6" w14:textId="77777777" w:rsidR="007C13C8" w:rsidRPr="007C13C8" w:rsidRDefault="007C13C8" w:rsidP="007C13C8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proofErr w:type="spellStart"/>
      <w:r w:rsidRPr="007C13C8">
        <w:rPr>
          <w:rFonts w:ascii="Times New Roman" w:hAnsi="Times New Roman"/>
        </w:rPr>
        <w:t>Badakhsh</w:t>
      </w:r>
      <w:proofErr w:type="spellEnd"/>
      <w:r w:rsidRPr="007C13C8">
        <w:rPr>
          <w:rFonts w:ascii="Times New Roman" w:hAnsi="Times New Roman"/>
        </w:rPr>
        <w:t xml:space="preserve"> A., Kwak Y. et al, Chemical Engineering Journal, 426, 130802 (2021).</w:t>
      </w:r>
    </w:p>
    <w:p w14:paraId="04F911E6" w14:textId="77777777" w:rsidR="007C13C8" w:rsidRPr="00466FFD" w:rsidRDefault="007C13C8" w:rsidP="007C13C8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640"/>
        <w:rPr>
          <w:rFonts w:ascii="Times New Roman" w:eastAsia="SimSun" w:hAnsi="Times New Roman"/>
          <w:sz w:val="22"/>
          <w:szCs w:val="22"/>
          <w:lang w:eastAsia="zh-CN"/>
        </w:rPr>
      </w:pPr>
    </w:p>
    <w:p w14:paraId="5A650773" w14:textId="672DDB44" w:rsidR="005B71B2" w:rsidRDefault="008161D6" w:rsidP="008161D6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/>
        </w:rPr>
      </w:pPr>
      <w:r w:rsidRPr="008161D6">
        <w:rPr>
          <w:rFonts w:ascii="Times New Roman" w:eastAsia="MS PGothic" w:hAnsi="Times New Roman"/>
          <w:b/>
          <w:bCs/>
          <w:lang w:val="en-US"/>
        </w:rPr>
        <w:t>Acknowledgements</w:t>
      </w:r>
    </w:p>
    <w:p w14:paraId="231FC200" w14:textId="57664634" w:rsidR="00492639" w:rsidRPr="00B21CB6" w:rsidRDefault="00492639" w:rsidP="00B21CB6">
      <w:pPr>
        <w:snapToGrid w:val="0"/>
        <w:spacing w:after="120"/>
        <w:rPr>
          <w:rFonts w:ascii="Times New Roman" w:eastAsia="MS PGothic" w:hAnsi="Times New Roman"/>
          <w:lang w:val="en-US"/>
        </w:rPr>
      </w:pPr>
      <w:r w:rsidRPr="00B21CB6">
        <w:rPr>
          <w:rFonts w:ascii="Times New Roman" w:eastAsia="MS PGothic" w:hAnsi="Times New Roman"/>
          <w:lang w:val="en-US"/>
        </w:rPr>
        <w:t>We acknowledge financial support from M</w:t>
      </w:r>
      <w:r w:rsidR="00B21CB6">
        <w:rPr>
          <w:rFonts w:ascii="Times New Roman" w:eastAsia="MS PGothic" w:hAnsi="Times New Roman"/>
          <w:lang w:val="en-US"/>
        </w:rPr>
        <w:t>I</w:t>
      </w:r>
      <w:r w:rsidRPr="00B21CB6">
        <w:rPr>
          <w:rFonts w:ascii="Times New Roman" w:eastAsia="MS PGothic" w:hAnsi="Times New Roman"/>
          <w:lang w:val="en-US"/>
        </w:rPr>
        <w:t>UR - Progetto PRIN 2020N38E75 “PLUG-IN”.</w:t>
      </w:r>
    </w:p>
    <w:sectPr w:rsidR="00492639" w:rsidRPr="00B21CB6" w:rsidSect="001D0E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3282" w14:textId="77777777" w:rsidR="00357306" w:rsidRDefault="00357306" w:rsidP="001D0E0C">
      <w:pPr>
        <w:spacing w:after="0" w:line="240" w:lineRule="auto"/>
      </w:pPr>
      <w:r>
        <w:separator/>
      </w:r>
    </w:p>
  </w:endnote>
  <w:endnote w:type="continuationSeparator" w:id="0">
    <w:p w14:paraId="4F440784" w14:textId="77777777" w:rsidR="00357306" w:rsidRDefault="00357306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B03" w14:textId="77777777" w:rsidR="005C2A12" w:rsidRDefault="005C2A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72D2" w14:textId="77777777" w:rsidR="005C2A12" w:rsidRDefault="005C2A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FF87" w14:textId="77777777" w:rsidR="005C2A12" w:rsidRDefault="005C2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6B9B" w14:textId="77777777" w:rsidR="00357306" w:rsidRDefault="00357306" w:rsidP="001D0E0C">
      <w:pPr>
        <w:spacing w:after="0" w:line="240" w:lineRule="auto"/>
      </w:pPr>
      <w:r>
        <w:separator/>
      </w:r>
    </w:p>
  </w:footnote>
  <w:footnote w:type="continuationSeparator" w:id="0">
    <w:p w14:paraId="09490F11" w14:textId="77777777" w:rsidR="00357306" w:rsidRDefault="00357306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8880" w14:textId="77777777" w:rsidR="005C2A12" w:rsidRDefault="005C2A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88BB02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59EE5B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3"/>
    <w:rsid w:val="000517B4"/>
    <w:rsid w:val="00092B30"/>
    <w:rsid w:val="00134ED8"/>
    <w:rsid w:val="0018667F"/>
    <w:rsid w:val="001A5C65"/>
    <w:rsid w:val="001B060D"/>
    <w:rsid w:val="001D0E0C"/>
    <w:rsid w:val="001F59F5"/>
    <w:rsid w:val="002A3B91"/>
    <w:rsid w:val="00357306"/>
    <w:rsid w:val="0037577B"/>
    <w:rsid w:val="003F160A"/>
    <w:rsid w:val="00402674"/>
    <w:rsid w:val="00492639"/>
    <w:rsid w:val="004C56B4"/>
    <w:rsid w:val="005B71B2"/>
    <w:rsid w:val="005C2A12"/>
    <w:rsid w:val="00697CD6"/>
    <w:rsid w:val="006E7F56"/>
    <w:rsid w:val="007836F8"/>
    <w:rsid w:val="007C13C8"/>
    <w:rsid w:val="008161D6"/>
    <w:rsid w:val="0086796C"/>
    <w:rsid w:val="008871B1"/>
    <w:rsid w:val="008D2F5B"/>
    <w:rsid w:val="00975228"/>
    <w:rsid w:val="00AB1801"/>
    <w:rsid w:val="00B12C7F"/>
    <w:rsid w:val="00B21CB6"/>
    <w:rsid w:val="00BD687D"/>
    <w:rsid w:val="00C40840"/>
    <w:rsid w:val="00CB4996"/>
    <w:rsid w:val="00D03DB3"/>
    <w:rsid w:val="00D322F1"/>
    <w:rsid w:val="00D412A9"/>
    <w:rsid w:val="00DA51A3"/>
    <w:rsid w:val="00DD2D8C"/>
    <w:rsid w:val="00E17023"/>
    <w:rsid w:val="00E71530"/>
    <w:rsid w:val="00F20891"/>
    <w:rsid w:val="00F24290"/>
    <w:rsid w:val="00F9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paragraph" w:customStyle="1" w:styleId="BodyTextNACS">
    <w:name w:val="Body Text NACS"/>
    <w:basedOn w:val="Corpotesto"/>
    <w:rsid w:val="008D2F5B"/>
    <w:pPr>
      <w:spacing w:after="0" w:line="240" w:lineRule="auto"/>
      <w:jc w:val="both"/>
    </w:pPr>
    <w:rPr>
      <w:rFonts w:ascii="Times New Roman" w:eastAsia="DengXian" w:hAnsi="Times New Roman" w:cs="Times New Roman"/>
      <w:sz w:val="16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2F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D2F5B"/>
  </w:style>
  <w:style w:type="paragraph" w:styleId="Revisione">
    <w:name w:val="Revision"/>
    <w:hidden/>
    <w:uiPriority w:val="99"/>
    <w:semiHidden/>
    <w:rsid w:val="007C13C8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E1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4926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26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26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26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26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Matteo Ambrosetti</cp:lastModifiedBy>
  <cp:revision>2</cp:revision>
  <cp:lastPrinted>2022-01-31T11:56:00Z</cp:lastPrinted>
  <dcterms:created xsi:type="dcterms:W3CDTF">2022-03-15T18:50:00Z</dcterms:created>
  <dcterms:modified xsi:type="dcterms:W3CDTF">2022-03-15T18:50:00Z</dcterms:modified>
</cp:coreProperties>
</file>