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28D08D94" w:rsidR="00DA51A3" w:rsidRPr="00466FFD" w:rsidRDefault="002C1F1C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One-way vs </w:t>
      </w:r>
      <w:r w:rsidR="0072255F">
        <w:rPr>
          <w:rFonts w:ascii="Times New Roman" w:eastAsia="MS PGothic" w:hAnsi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wo-way coupling approach</w:t>
      </w:r>
      <w:r w:rsidR="00DA51A3" w:rsidRPr="00466FF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BA7EF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for predicting </w:t>
      </w:r>
      <w:r w:rsidR="00BA7EFB" w:rsidRPr="00BA7EFB">
        <w:rPr>
          <w:rFonts w:ascii="Times New Roman" w:eastAsia="MS PGothic" w:hAnsi="Times New Roman"/>
          <w:b/>
          <w:bCs/>
          <w:sz w:val="24"/>
          <w:szCs w:val="24"/>
          <w:lang w:val="en-US"/>
        </w:rPr>
        <w:t>Brownian-Sieving Hydrodynamic Chromatography</w:t>
      </w:r>
      <w:r w:rsidR="00BA7EF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separation performance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5B1FAF76" w:rsidR="00DA51A3" w:rsidRPr="002C1F1C" w:rsidRDefault="002C1F1C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2C1F1C">
        <w:rPr>
          <w:rFonts w:ascii="Times New Roman" w:eastAsia="SimSun" w:hAnsi="Times New Roman"/>
          <w:sz w:val="24"/>
          <w:szCs w:val="24"/>
          <w:u w:val="single"/>
          <w:lang w:eastAsia="zh-CN"/>
        </w:rPr>
        <w:t>Claudia</w:t>
      </w:r>
      <w:r w:rsidR="00DA51A3" w:rsidRPr="002C1F1C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</w:t>
      </w:r>
      <w:r w:rsidRPr="002C1F1C">
        <w:rPr>
          <w:rFonts w:ascii="Times New Roman" w:eastAsia="SimSun" w:hAnsi="Times New Roman"/>
          <w:sz w:val="24"/>
          <w:szCs w:val="24"/>
          <w:u w:val="single"/>
          <w:lang w:eastAsia="zh-CN"/>
        </w:rPr>
        <w:t>Venditti</w:t>
      </w:r>
      <w:r w:rsidR="00DA51A3" w:rsidRPr="002C1F1C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BA7EFB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Pr="002C1F1C">
        <w:rPr>
          <w:rFonts w:ascii="Times New Roman" w:eastAsia="SimSun" w:hAnsi="Times New Roman"/>
          <w:sz w:val="24"/>
          <w:szCs w:val="24"/>
          <w:lang w:eastAsia="zh-CN"/>
        </w:rPr>
        <w:t>, Stefa</w:t>
      </w:r>
      <w:r>
        <w:rPr>
          <w:rFonts w:ascii="Times New Roman" w:eastAsia="SimSun" w:hAnsi="Times New Roman"/>
          <w:sz w:val="24"/>
          <w:szCs w:val="24"/>
          <w:lang w:eastAsia="zh-CN"/>
        </w:rPr>
        <w:t>no Cerbelli</w:t>
      </w:r>
      <w:r w:rsidRPr="002C1F1C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2C1F1C">
        <w:rPr>
          <w:rFonts w:ascii="Times New Roman" w:eastAsia="SimSun" w:hAnsi="Times New Roman"/>
          <w:sz w:val="24"/>
          <w:szCs w:val="24"/>
          <w:lang w:eastAsia="zh-CN"/>
        </w:rPr>
        <w:t>, Alessandra Adrover</w:t>
      </w:r>
      <w:r w:rsidRPr="002C1F1C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7A602332" w14:textId="0E8FFEEF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806D50">
        <w:rPr>
          <w:rFonts w:ascii="Times New Roman" w:eastAsia="MS PGothic" w:hAnsi="Times New Roman"/>
          <w:i/>
          <w:iCs/>
          <w:sz w:val="20"/>
          <w:vertAlign w:val="superscript"/>
          <w:lang w:val="en-US"/>
        </w:rPr>
        <w:t>1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806D50" w:rsidRPr="00806D50">
        <w:rPr>
          <w:rFonts w:ascii="Times New Roman" w:eastAsia="MS PGothic" w:hAnsi="Times New Roman"/>
          <w:i/>
          <w:iCs/>
          <w:sz w:val="20"/>
          <w:lang w:val="en-US"/>
        </w:rPr>
        <w:t xml:space="preserve">Sapienza University of Rome, Dept. Chemical Engineering, Materials, Environment, Via </w:t>
      </w:r>
      <w:proofErr w:type="spellStart"/>
      <w:r w:rsidR="00806D50" w:rsidRPr="00806D50">
        <w:rPr>
          <w:rFonts w:ascii="Times New Roman" w:eastAsia="MS PGothic" w:hAnsi="Times New Roman"/>
          <w:i/>
          <w:iCs/>
          <w:sz w:val="20"/>
          <w:lang w:val="en-US"/>
        </w:rPr>
        <w:t>Eudossiana</w:t>
      </w:r>
      <w:proofErr w:type="spellEnd"/>
      <w:r w:rsidR="00806D50" w:rsidRPr="00806D50">
        <w:rPr>
          <w:rFonts w:ascii="Times New Roman" w:eastAsia="MS PGothic" w:hAnsi="Times New Roman"/>
          <w:i/>
          <w:iCs/>
          <w:sz w:val="20"/>
          <w:lang w:val="en-US"/>
        </w:rPr>
        <w:t xml:space="preserve"> 18, 00184 Rome, Italy.</w:t>
      </w:r>
    </w:p>
    <w:p w14:paraId="5533360A" w14:textId="3B2548F3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892A94">
        <w:rPr>
          <w:rFonts w:ascii="Times New Roman" w:eastAsia="MS PGothic" w:hAnsi="Times New Roman"/>
          <w:bCs/>
          <w:i/>
          <w:iCs/>
          <w:sz w:val="20"/>
          <w:lang w:val="en-US"/>
        </w:rPr>
        <w:t>c</w:t>
      </w:r>
      <w:r w:rsidR="00BA7EFB">
        <w:rPr>
          <w:rFonts w:ascii="Times New Roman" w:eastAsia="MS PGothic" w:hAnsi="Times New Roman"/>
          <w:bCs/>
          <w:i/>
          <w:iCs/>
          <w:sz w:val="20"/>
          <w:lang w:val="en-US"/>
        </w:rPr>
        <w:t>laudia.venditti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BA7EFB">
        <w:rPr>
          <w:rFonts w:ascii="Times New Roman" w:eastAsia="MS PGothic" w:hAnsi="Times New Roman"/>
          <w:bCs/>
          <w:i/>
          <w:iCs/>
          <w:sz w:val="20"/>
          <w:lang w:val="en-US"/>
        </w:rPr>
        <w:t>uniroma1.it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5872C77" w14:textId="7D4BDCA8" w:rsidR="00033D47" w:rsidRDefault="00E00A75" w:rsidP="00D82FC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E00A75">
        <w:rPr>
          <w:rFonts w:ascii="Times New Roman" w:eastAsia="MS PGothic" w:hAnsi="Times New Roman"/>
          <w:lang w:val="en-US"/>
        </w:rPr>
        <w:t xml:space="preserve">Recently, a one-way coupling approach was exploited to optimize the geometry and the operating conditions of </w:t>
      </w:r>
      <w:r w:rsidR="000816D1">
        <w:rPr>
          <w:rFonts w:ascii="Times New Roman" w:eastAsia="MS PGothic" w:hAnsi="Times New Roman"/>
          <w:lang w:val="en-US"/>
        </w:rPr>
        <w:t>a Brownian Sieving M</w:t>
      </w:r>
      <w:r w:rsidR="00033D47">
        <w:rPr>
          <w:rFonts w:ascii="Times New Roman" w:eastAsia="MS PGothic" w:hAnsi="Times New Roman"/>
          <w:lang w:val="en-US"/>
        </w:rPr>
        <w:t xml:space="preserve">icrocapillary </w:t>
      </w:r>
      <w:r w:rsidR="00CC5FC0">
        <w:rPr>
          <w:rFonts w:ascii="Times New Roman" w:eastAsia="MS PGothic" w:hAnsi="Times New Roman"/>
          <w:lang w:val="en-US"/>
        </w:rPr>
        <w:t>Hydrodynamic</w:t>
      </w:r>
      <w:r w:rsidR="00033D47">
        <w:rPr>
          <w:rFonts w:ascii="Times New Roman" w:eastAsia="MS PGothic" w:hAnsi="Times New Roman"/>
          <w:lang w:val="en-US"/>
        </w:rPr>
        <w:t xml:space="preserve"> </w:t>
      </w:r>
      <w:r w:rsidR="000816D1">
        <w:rPr>
          <w:rFonts w:ascii="Times New Roman" w:eastAsia="MS PGothic" w:hAnsi="Times New Roman"/>
          <w:lang w:val="en-US"/>
        </w:rPr>
        <w:t>C</w:t>
      </w:r>
      <w:r w:rsidR="00033D47">
        <w:rPr>
          <w:rFonts w:ascii="Times New Roman" w:eastAsia="MS PGothic" w:hAnsi="Times New Roman"/>
          <w:lang w:val="en-US"/>
        </w:rPr>
        <w:t>hromatography</w:t>
      </w:r>
      <w:r w:rsidR="000816D1">
        <w:rPr>
          <w:rFonts w:ascii="Times New Roman" w:eastAsia="MS PGothic" w:hAnsi="Times New Roman"/>
          <w:lang w:val="en-US"/>
        </w:rPr>
        <w:t xml:space="preserve"> device (BS-MHDC), </w:t>
      </w:r>
      <w:r w:rsidRPr="00E00A75">
        <w:rPr>
          <w:rFonts w:ascii="Times New Roman" w:eastAsia="MS PGothic" w:hAnsi="Times New Roman"/>
          <w:lang w:val="en-US"/>
        </w:rPr>
        <w:t xml:space="preserve">an unconventional </w:t>
      </w:r>
      <w:r w:rsidR="0072255F">
        <w:rPr>
          <w:rFonts w:ascii="Times New Roman" w:eastAsia="MS PGothic" w:hAnsi="Times New Roman"/>
          <w:lang w:val="en-US"/>
        </w:rPr>
        <w:t xml:space="preserve">MHDC </w:t>
      </w:r>
      <w:r w:rsidRPr="00E00A75">
        <w:rPr>
          <w:rFonts w:ascii="Times New Roman" w:eastAsia="MS PGothic" w:hAnsi="Times New Roman"/>
          <w:lang w:val="en-US"/>
        </w:rPr>
        <w:t xml:space="preserve">double-channel </w:t>
      </w:r>
      <w:r w:rsidR="00033D47">
        <w:rPr>
          <w:rFonts w:ascii="Times New Roman" w:eastAsia="MS PGothic" w:hAnsi="Times New Roman"/>
          <w:lang w:val="en-US"/>
        </w:rPr>
        <w:t>device</w:t>
      </w:r>
      <w:r w:rsidRPr="00E00A75">
        <w:rPr>
          <w:rFonts w:ascii="Times New Roman" w:eastAsia="MS PGothic" w:hAnsi="Times New Roman"/>
          <w:lang w:val="en-US"/>
        </w:rPr>
        <w:t>, where a Brownian sieving mechanism acting alongside the MHDC separation drive is enforced to boost separation resolution</w:t>
      </w:r>
      <w:r w:rsidR="00620DBA">
        <w:rPr>
          <w:rFonts w:ascii="Times New Roman" w:eastAsia="MS PGothic" w:hAnsi="Times New Roman"/>
          <w:lang w:val="en-US"/>
        </w:rPr>
        <w:t xml:space="preserve"> [1</w:t>
      </w:r>
      <w:r w:rsidR="007D7E62">
        <w:rPr>
          <w:rFonts w:ascii="Times New Roman" w:eastAsia="MS PGothic" w:hAnsi="Times New Roman"/>
          <w:lang w:val="en-US"/>
        </w:rPr>
        <w:t>-2]</w:t>
      </w:r>
      <w:r w:rsidRPr="00E00A75">
        <w:rPr>
          <w:rFonts w:ascii="Times New Roman" w:eastAsia="MS PGothic" w:hAnsi="Times New Roman"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</w:t>
      </w:r>
    </w:p>
    <w:p w14:paraId="336610DC" w14:textId="77777777" w:rsidR="008B3990" w:rsidRDefault="00E00A75" w:rsidP="00D82FC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E00A75">
        <w:rPr>
          <w:rFonts w:ascii="Times New Roman" w:eastAsia="MS PGothic" w:hAnsi="Times New Roman"/>
          <w:lang w:val="en-US"/>
        </w:rPr>
        <w:t>The</w:t>
      </w:r>
      <w:r w:rsidR="000816D1">
        <w:rPr>
          <w:rFonts w:ascii="Times New Roman" w:eastAsia="MS PGothic" w:hAnsi="Times New Roman"/>
          <w:lang w:val="en-US"/>
        </w:rPr>
        <w:t xml:space="preserve"> </w:t>
      </w:r>
      <w:r w:rsidRPr="00E00A75">
        <w:rPr>
          <w:rFonts w:ascii="Times New Roman" w:eastAsia="MS PGothic" w:hAnsi="Times New Roman"/>
          <w:lang w:val="en-US"/>
        </w:rPr>
        <w:t>BS-MHDC consists of a two-channel coaxial annular structure, wher</w:t>
      </w:r>
      <w:r w:rsidR="00620B18">
        <w:rPr>
          <w:rFonts w:ascii="Times New Roman" w:eastAsia="MS PGothic" w:hAnsi="Times New Roman"/>
          <w:lang w:val="en-US"/>
        </w:rPr>
        <w:t>e</w:t>
      </w:r>
      <w:r w:rsidRPr="00E00A75">
        <w:rPr>
          <w:rFonts w:ascii="Times New Roman" w:eastAsia="MS PGothic" w:hAnsi="Times New Roman"/>
          <w:lang w:val="en-US"/>
        </w:rPr>
        <w:t xml:space="preserve"> the core and the annular channel communicate through slit openings of assigned cut-off length A</w:t>
      </w:r>
      <w:r w:rsidR="00142105">
        <w:rPr>
          <w:rFonts w:ascii="Times New Roman" w:eastAsia="MS PGothic" w:hAnsi="Times New Roman"/>
          <w:lang w:val="en-US"/>
        </w:rPr>
        <w:t xml:space="preserve">. </w:t>
      </w:r>
      <w:r w:rsidR="00142105" w:rsidRPr="00142105">
        <w:rPr>
          <w:rFonts w:ascii="Times New Roman" w:eastAsia="MS PGothic" w:hAnsi="Times New Roman"/>
          <w:lang w:val="en-US"/>
        </w:rPr>
        <w:t>The geometry is designed so that the core and the annular channel are characterized by significantly different average</w:t>
      </w:r>
      <w:r w:rsidR="00142105">
        <w:rPr>
          <w:rFonts w:ascii="Times New Roman" w:eastAsia="MS PGothic" w:hAnsi="Times New Roman"/>
          <w:lang w:val="en-US"/>
        </w:rPr>
        <w:t xml:space="preserve"> </w:t>
      </w:r>
      <w:r w:rsidR="00142105" w:rsidRPr="00142105">
        <w:rPr>
          <w:rFonts w:ascii="Times New Roman" w:eastAsia="MS PGothic" w:hAnsi="Times New Roman"/>
          <w:lang w:val="en-US"/>
        </w:rPr>
        <w:t>velocities of the eluent</w:t>
      </w:r>
      <w:r w:rsidR="00620B18">
        <w:rPr>
          <w:rFonts w:ascii="Times New Roman" w:eastAsia="MS PGothic" w:hAnsi="Times New Roman"/>
          <w:lang w:val="en-US"/>
        </w:rPr>
        <w:t>.</w:t>
      </w:r>
      <w:r w:rsidR="00142105" w:rsidRPr="00142105">
        <w:rPr>
          <w:rFonts w:ascii="Times New Roman" w:eastAsia="MS PGothic" w:hAnsi="Times New Roman"/>
          <w:lang w:val="en-US"/>
        </w:rPr>
        <w:t xml:space="preserve"> When a mixture of particles of two characteristic sizes, say d</w:t>
      </w:r>
      <w:r w:rsidR="00142105" w:rsidRPr="00713520">
        <w:rPr>
          <w:rFonts w:ascii="Times New Roman" w:eastAsia="MS PGothic" w:hAnsi="Times New Roman"/>
          <w:vertAlign w:val="superscript"/>
          <w:lang w:val="en-US"/>
        </w:rPr>
        <w:t>1</w:t>
      </w:r>
      <w:r w:rsidR="00142105" w:rsidRPr="00713520">
        <w:rPr>
          <w:rFonts w:ascii="Times New Roman" w:eastAsia="MS PGothic" w:hAnsi="Times New Roman"/>
          <w:vertAlign w:val="subscript"/>
          <w:lang w:val="en-US"/>
        </w:rPr>
        <w:t>p</w:t>
      </w:r>
      <w:r w:rsidR="00142105" w:rsidRPr="00142105">
        <w:rPr>
          <w:rFonts w:ascii="Times New Roman" w:eastAsia="MS PGothic" w:hAnsi="Times New Roman"/>
          <w:lang w:val="en-US"/>
        </w:rPr>
        <w:t xml:space="preserve"> and d</w:t>
      </w:r>
      <w:r w:rsidR="00142105" w:rsidRPr="00713520">
        <w:rPr>
          <w:rFonts w:ascii="Times New Roman" w:eastAsia="MS PGothic" w:hAnsi="Times New Roman"/>
          <w:vertAlign w:val="superscript"/>
          <w:lang w:val="en-US"/>
        </w:rPr>
        <w:t>2</w:t>
      </w:r>
      <w:r w:rsidR="00142105" w:rsidRPr="00713520">
        <w:rPr>
          <w:rFonts w:ascii="Times New Roman" w:eastAsia="MS PGothic" w:hAnsi="Times New Roman"/>
          <w:vertAlign w:val="subscript"/>
          <w:lang w:val="en-US"/>
        </w:rPr>
        <w:t>p</w:t>
      </w:r>
      <w:r w:rsidR="00142105" w:rsidRPr="00142105">
        <w:rPr>
          <w:rFonts w:ascii="Times New Roman" w:eastAsia="MS PGothic" w:hAnsi="Times New Roman"/>
          <w:lang w:val="en-US"/>
        </w:rPr>
        <w:t xml:space="preserve"> with d</w:t>
      </w:r>
      <w:r w:rsidR="00142105" w:rsidRPr="00713520">
        <w:rPr>
          <w:rFonts w:ascii="Times New Roman" w:eastAsia="MS PGothic" w:hAnsi="Times New Roman"/>
          <w:vertAlign w:val="superscript"/>
          <w:lang w:val="en-US"/>
        </w:rPr>
        <w:t>1</w:t>
      </w:r>
      <w:r w:rsidR="00142105" w:rsidRPr="00713520">
        <w:rPr>
          <w:rFonts w:ascii="Times New Roman" w:eastAsia="MS PGothic" w:hAnsi="Times New Roman"/>
          <w:vertAlign w:val="subscript"/>
          <w:lang w:val="en-US"/>
        </w:rPr>
        <w:t>p</w:t>
      </w:r>
      <w:r w:rsidR="00142105" w:rsidRPr="00142105">
        <w:rPr>
          <w:rFonts w:ascii="Times New Roman" w:eastAsia="MS PGothic" w:hAnsi="Times New Roman"/>
          <w:lang w:val="en-US"/>
        </w:rPr>
        <w:t xml:space="preserve"> &gt; A &gt; d</w:t>
      </w:r>
      <w:r w:rsidR="00142105" w:rsidRPr="00713520">
        <w:rPr>
          <w:rFonts w:ascii="Times New Roman" w:eastAsia="MS PGothic" w:hAnsi="Times New Roman"/>
          <w:vertAlign w:val="superscript"/>
          <w:lang w:val="en-US"/>
        </w:rPr>
        <w:t>2</w:t>
      </w:r>
      <w:r w:rsidR="00142105" w:rsidRPr="00713520">
        <w:rPr>
          <w:rFonts w:ascii="Times New Roman" w:eastAsia="MS PGothic" w:hAnsi="Times New Roman"/>
          <w:vertAlign w:val="subscript"/>
          <w:lang w:val="en-US"/>
        </w:rPr>
        <w:t>p</w:t>
      </w:r>
      <w:r w:rsidR="00142105" w:rsidRPr="00142105">
        <w:rPr>
          <w:rFonts w:ascii="Times New Roman" w:eastAsia="MS PGothic" w:hAnsi="Times New Roman"/>
          <w:lang w:val="en-US"/>
        </w:rPr>
        <w:t>, is initially injected only within the core channel</w:t>
      </w:r>
      <w:r w:rsidR="000E6259">
        <w:rPr>
          <w:rFonts w:ascii="Times New Roman" w:eastAsia="MS PGothic" w:hAnsi="Times New Roman"/>
          <w:lang w:val="en-US"/>
        </w:rPr>
        <w:t>,</w:t>
      </w:r>
      <w:r w:rsidR="00142105" w:rsidRPr="00142105">
        <w:rPr>
          <w:rFonts w:ascii="Times New Roman" w:eastAsia="MS PGothic" w:hAnsi="Times New Roman"/>
          <w:lang w:val="en-US"/>
        </w:rPr>
        <w:t xml:space="preserve"> both large and small particles </w:t>
      </w:r>
      <w:r w:rsidR="000115C9">
        <w:rPr>
          <w:rFonts w:ascii="Times New Roman" w:eastAsia="MS PGothic" w:hAnsi="Times New Roman"/>
          <w:lang w:val="en-US"/>
        </w:rPr>
        <w:t>flow downstream the channel under the action of the eluent pressure-driven laminar flow</w:t>
      </w:r>
      <w:r w:rsidR="000E6259">
        <w:rPr>
          <w:rFonts w:ascii="Times New Roman" w:eastAsia="MS PGothic" w:hAnsi="Times New Roman"/>
          <w:lang w:val="en-US"/>
        </w:rPr>
        <w:t>.</w:t>
      </w:r>
      <w:r w:rsidR="000115C9" w:rsidRPr="00142105">
        <w:rPr>
          <w:rFonts w:ascii="Times New Roman" w:eastAsia="MS PGothic" w:hAnsi="Times New Roman"/>
          <w:lang w:val="en-US"/>
        </w:rPr>
        <w:t xml:space="preserve"> </w:t>
      </w:r>
      <w:r w:rsidR="000115C9">
        <w:rPr>
          <w:rFonts w:ascii="Times New Roman" w:eastAsia="MS PGothic" w:hAnsi="Times New Roman"/>
          <w:lang w:val="en-US"/>
        </w:rPr>
        <w:t xml:space="preserve"> </w:t>
      </w:r>
      <w:r w:rsidR="00BC4D89">
        <w:rPr>
          <w:rFonts w:ascii="Times New Roman" w:eastAsia="MS PGothic" w:hAnsi="Times New Roman"/>
          <w:lang w:val="en-US"/>
        </w:rPr>
        <w:t>P</w:t>
      </w:r>
      <w:r w:rsidR="00142105" w:rsidRPr="00142105">
        <w:rPr>
          <w:rFonts w:ascii="Times New Roman" w:eastAsia="MS PGothic" w:hAnsi="Times New Roman"/>
          <w:lang w:val="en-US"/>
        </w:rPr>
        <w:t>articles</w:t>
      </w:r>
      <w:r w:rsidR="00BC4D89">
        <w:rPr>
          <w:rFonts w:ascii="Times New Roman" w:eastAsia="MS PGothic" w:hAnsi="Times New Roman"/>
          <w:lang w:val="en-US"/>
        </w:rPr>
        <w:t xml:space="preserve"> of diameter </w:t>
      </w:r>
      <w:r w:rsidR="00BC4D89" w:rsidRPr="00142105">
        <w:rPr>
          <w:rFonts w:ascii="Times New Roman" w:eastAsia="MS PGothic" w:hAnsi="Times New Roman"/>
          <w:lang w:val="en-US"/>
        </w:rPr>
        <w:t>d</w:t>
      </w:r>
      <w:r w:rsidR="00BC4D89">
        <w:rPr>
          <w:rFonts w:ascii="Times New Roman" w:eastAsia="MS PGothic" w:hAnsi="Times New Roman"/>
          <w:vertAlign w:val="superscript"/>
          <w:lang w:val="en-US"/>
        </w:rPr>
        <w:t>2</w:t>
      </w:r>
      <w:r w:rsidR="00BC4D89" w:rsidRPr="00713520">
        <w:rPr>
          <w:rFonts w:ascii="Times New Roman" w:eastAsia="MS PGothic" w:hAnsi="Times New Roman"/>
          <w:vertAlign w:val="subscript"/>
          <w:lang w:val="en-US"/>
        </w:rPr>
        <w:t>p</w:t>
      </w:r>
      <w:r w:rsidR="00BC4D89">
        <w:rPr>
          <w:rFonts w:ascii="Times New Roman" w:eastAsia="MS PGothic" w:hAnsi="Times New Roman"/>
          <w:lang w:val="en-US"/>
        </w:rPr>
        <w:t xml:space="preserve">, smaller than A, </w:t>
      </w:r>
      <w:r w:rsidR="00142105" w:rsidRPr="00142105">
        <w:rPr>
          <w:rFonts w:ascii="Times New Roman" w:eastAsia="MS PGothic" w:hAnsi="Times New Roman"/>
          <w:lang w:val="en-US"/>
        </w:rPr>
        <w:t xml:space="preserve">can diffuse through the openings and </w:t>
      </w:r>
      <w:r w:rsidR="00C062DD">
        <w:rPr>
          <w:rFonts w:ascii="Times New Roman" w:eastAsia="MS PGothic" w:hAnsi="Times New Roman"/>
          <w:lang w:val="en-US"/>
        </w:rPr>
        <w:t>eventually attain a uniform distribution onto the entire accessible cross-section</w:t>
      </w:r>
      <w:r w:rsidR="00142105" w:rsidRPr="00142105">
        <w:rPr>
          <w:rFonts w:ascii="Times New Roman" w:eastAsia="MS PGothic" w:hAnsi="Times New Roman"/>
          <w:lang w:val="en-US"/>
        </w:rPr>
        <w:t xml:space="preserve">, </w:t>
      </w:r>
      <w:r w:rsidR="00C062DD">
        <w:rPr>
          <w:rFonts w:ascii="Times New Roman" w:eastAsia="MS PGothic" w:hAnsi="Times New Roman"/>
          <w:lang w:val="en-US"/>
        </w:rPr>
        <w:t xml:space="preserve">so </w:t>
      </w:r>
      <w:r w:rsidR="00142105" w:rsidRPr="00142105">
        <w:rPr>
          <w:rFonts w:ascii="Times New Roman" w:eastAsia="MS PGothic" w:hAnsi="Times New Roman"/>
          <w:lang w:val="en-US"/>
        </w:rPr>
        <w:t>their effective velocity will be affected by the average eluent velocity in both the core and annular channel.</w:t>
      </w:r>
      <w:r w:rsidR="006445BD">
        <w:rPr>
          <w:rFonts w:ascii="Times New Roman" w:eastAsia="MS PGothic" w:hAnsi="Times New Roman"/>
          <w:lang w:val="en-US"/>
        </w:rPr>
        <w:t xml:space="preserve"> </w:t>
      </w:r>
      <w:r w:rsidR="00BC4D89">
        <w:rPr>
          <w:rFonts w:ascii="Times New Roman" w:eastAsia="MS PGothic" w:hAnsi="Times New Roman"/>
          <w:lang w:val="en-US"/>
        </w:rPr>
        <w:t>On the contrary, p</w:t>
      </w:r>
      <w:r w:rsidR="00BC4D89" w:rsidRPr="00142105">
        <w:rPr>
          <w:rFonts w:ascii="Times New Roman" w:eastAsia="MS PGothic" w:hAnsi="Times New Roman"/>
          <w:lang w:val="en-US"/>
        </w:rPr>
        <w:t>articles of diameter d</w:t>
      </w:r>
      <w:r w:rsidR="00BC4D89" w:rsidRPr="00713520">
        <w:rPr>
          <w:rFonts w:ascii="Times New Roman" w:eastAsia="MS PGothic" w:hAnsi="Times New Roman"/>
          <w:vertAlign w:val="superscript"/>
          <w:lang w:val="en-US"/>
        </w:rPr>
        <w:t>1</w:t>
      </w:r>
      <w:r w:rsidR="00BC4D89" w:rsidRPr="00713520">
        <w:rPr>
          <w:rFonts w:ascii="Times New Roman" w:eastAsia="MS PGothic" w:hAnsi="Times New Roman"/>
          <w:vertAlign w:val="subscript"/>
          <w:lang w:val="en-US"/>
        </w:rPr>
        <w:t>p</w:t>
      </w:r>
      <w:r w:rsidR="00BC4D89" w:rsidRPr="00142105">
        <w:rPr>
          <w:rFonts w:ascii="Times New Roman" w:eastAsia="MS PGothic" w:hAnsi="Times New Roman"/>
          <w:lang w:val="en-US"/>
        </w:rPr>
        <w:t>, bigger than A, are confined to the core region so that their effective velocity is influenced only by the average eluent velocity within this region.</w:t>
      </w:r>
    </w:p>
    <w:p w14:paraId="694C6F9A" w14:textId="69BE44B8" w:rsidR="008B3990" w:rsidRDefault="00454B7D" w:rsidP="00454B7D">
      <w:pPr>
        <w:snapToGrid w:val="0"/>
        <w:spacing w:before="240" w:line="300" w:lineRule="auto"/>
        <w:jc w:val="center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noProof/>
          <w:lang w:val="en-US"/>
        </w:rPr>
        <w:drawing>
          <wp:inline distT="0" distB="0" distL="0" distR="0" wp14:anchorId="435F3404" wp14:editId="6FB76B54">
            <wp:extent cx="3639600" cy="2160000"/>
            <wp:effectExtent l="0" t="0" r="5715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3C90" w14:textId="625D06F3" w:rsidR="00033D47" w:rsidRPr="00224E25" w:rsidRDefault="00BC4D89" w:rsidP="00CC5FC0">
      <w:pPr>
        <w:snapToGrid w:val="0"/>
        <w:spacing w:after="120"/>
        <w:jc w:val="center"/>
        <w:rPr>
          <w:rFonts w:ascii="Times New Roman" w:eastAsia="MS PGothic" w:hAnsi="Times New Roman"/>
          <w:lang w:val="en-IT"/>
        </w:rPr>
      </w:pPr>
      <w:r>
        <w:rPr>
          <w:rFonts w:ascii="Times New Roman" w:eastAsia="MS PGothic" w:hAnsi="Times New Roman"/>
          <w:lang w:val="en-US"/>
        </w:rPr>
        <w:t xml:space="preserve"> </w:t>
      </w:r>
      <w:r w:rsidR="00224E25" w:rsidRPr="00450515">
        <w:rPr>
          <w:rFonts w:ascii="Times New Roman" w:eastAsia="MS PGothic" w:hAnsi="Times New Roman"/>
          <w:b/>
          <w:bCs/>
          <w:lang w:val="en-IT"/>
        </w:rPr>
        <w:t>Figure 1</w:t>
      </w:r>
      <w:r w:rsidR="00224E25" w:rsidRPr="00450515">
        <w:rPr>
          <w:rFonts w:ascii="Times New Roman" w:eastAsia="MS PGothic" w:hAnsi="Times New Roman"/>
          <w:lang w:val="en-IT"/>
        </w:rPr>
        <w:t xml:space="preserve">.  </w:t>
      </w:r>
      <w:r w:rsidR="00224E25" w:rsidRPr="00CC5FC0">
        <w:rPr>
          <w:rFonts w:ascii="Times New Roman" w:eastAsia="MS PGothic" w:hAnsi="Times New Roman"/>
          <w:sz w:val="18"/>
          <w:szCs w:val="18"/>
          <w:lang w:val="en-IT"/>
        </w:rPr>
        <w:t>Schematic representation of the</w:t>
      </w:r>
      <w:r w:rsidR="00CC5FC0" w:rsidRPr="00CC5FC0">
        <w:rPr>
          <w:rFonts w:ascii="Times New Roman" w:eastAsia="MS PGothic" w:hAnsi="Times New Roman"/>
          <w:sz w:val="18"/>
          <w:szCs w:val="18"/>
          <w:lang w:val="en-IT"/>
        </w:rPr>
        <w:t xml:space="preserve"> double-channel BS-MHDC device</w:t>
      </w:r>
      <w:r w:rsidR="00224E25" w:rsidRPr="00450515">
        <w:rPr>
          <w:rFonts w:ascii="Times New Roman" w:eastAsia="MS PGothic" w:hAnsi="Times New Roman"/>
          <w:sz w:val="18"/>
          <w:szCs w:val="18"/>
          <w:lang w:val="en-IT"/>
        </w:rPr>
        <w:t>.</w:t>
      </w:r>
      <w:r w:rsidR="00224E25" w:rsidRPr="00450515">
        <w:rPr>
          <w:rFonts w:ascii="Times New Roman" w:eastAsia="MS PGothic" w:hAnsi="Times New Roman"/>
          <w:lang w:val="en-IT"/>
        </w:rPr>
        <w:t xml:space="preserve"> </w:t>
      </w:r>
    </w:p>
    <w:p w14:paraId="0A043B37" w14:textId="77777777" w:rsidR="00033D47" w:rsidRDefault="00713520" w:rsidP="00D82FC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713520">
        <w:rPr>
          <w:rFonts w:ascii="Times New Roman" w:eastAsia="MS PGothic" w:hAnsi="Times New Roman"/>
          <w:lang w:val="en-US"/>
        </w:rPr>
        <w:t>Previous approaches for quantifying the device performance hinged on the so-called one-way coupling excluded-volume approximation</w:t>
      </w:r>
      <w:r w:rsidR="00086865">
        <w:rPr>
          <w:rFonts w:ascii="Times New Roman" w:eastAsia="MS PGothic" w:hAnsi="Times New Roman"/>
          <w:lang w:val="en-US"/>
        </w:rPr>
        <w:t>, in which t</w:t>
      </w:r>
      <w:r w:rsidR="00086865" w:rsidRPr="00086865">
        <w:rPr>
          <w:rFonts w:ascii="Times New Roman" w:eastAsia="MS PGothic" w:hAnsi="Times New Roman"/>
          <w:lang w:val="en-US"/>
        </w:rPr>
        <w:t>he eluent flow is computed as a single-phase Stokes problem, and the particle-wall interactions are crudely simplified by only considering hindrance effects due to the finite size of the particle</w:t>
      </w:r>
      <w:r w:rsidR="00086865">
        <w:rPr>
          <w:rFonts w:ascii="Times New Roman" w:eastAsia="MS PGothic" w:hAnsi="Times New Roman"/>
          <w:lang w:val="en-US"/>
        </w:rPr>
        <w:t>.</w:t>
      </w:r>
      <w:r w:rsidR="00D82FC1">
        <w:rPr>
          <w:rFonts w:ascii="Times New Roman" w:eastAsia="MS PGothic" w:hAnsi="Times New Roman"/>
          <w:lang w:val="en-US"/>
        </w:rPr>
        <w:t xml:space="preserve"> </w:t>
      </w:r>
    </w:p>
    <w:p w14:paraId="66C50B85" w14:textId="5BE05D5F" w:rsidR="008B3990" w:rsidRDefault="00D82FC1" w:rsidP="00D82FC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086865">
        <w:rPr>
          <w:rFonts w:ascii="Times New Roman" w:eastAsia="MS PGothic" w:hAnsi="Times New Roman"/>
          <w:lang w:val="en-US"/>
        </w:rPr>
        <w:lastRenderedPageBreak/>
        <w:t>Bounds for the accuracy of the one-way coupling approach have been investigated in the literature only in single-channel geometries</w:t>
      </w:r>
      <w:r w:rsidR="00454B7D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[3]</w:t>
      </w:r>
      <w:r w:rsidRPr="00086865">
        <w:rPr>
          <w:rFonts w:ascii="Times New Roman" w:eastAsia="MS PGothic" w:hAnsi="Times New Roman"/>
          <w:lang w:val="en-US"/>
        </w:rPr>
        <w:t xml:space="preserve">, where it is possible to single out a unique characteristic dimension of the cross-section which constitutes the reference length for scaling the particle size. </w:t>
      </w:r>
      <w:r w:rsidR="0072255F">
        <w:rPr>
          <w:rFonts w:ascii="Times New Roman" w:eastAsia="MS PGothic" w:hAnsi="Times New Roman"/>
          <w:lang w:val="en-US"/>
        </w:rPr>
        <w:t>On the contrary</w:t>
      </w:r>
      <w:r w:rsidRPr="00086865">
        <w:rPr>
          <w:rFonts w:ascii="Times New Roman" w:eastAsia="MS PGothic" w:hAnsi="Times New Roman"/>
          <w:lang w:val="en-US"/>
        </w:rPr>
        <w:t>, the Brownian sieving device considered here possesses multiple reference lengths of the cross-section (the diameter of the core channel, the thickness of the annular channel and the slit opening A), which make the limits of validity of the one-phase approach uncertain.</w:t>
      </w:r>
      <w:r>
        <w:rPr>
          <w:rFonts w:ascii="Times New Roman" w:eastAsia="MS PGothic" w:hAnsi="Times New Roman"/>
          <w:lang w:val="en-US"/>
        </w:rPr>
        <w:t xml:space="preserve"> </w:t>
      </w:r>
    </w:p>
    <w:p w14:paraId="2C28634A" w14:textId="43F6FECC" w:rsidR="00D82FC1" w:rsidRPr="00701733" w:rsidRDefault="00D82FC1" w:rsidP="00D82FC1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086865">
        <w:rPr>
          <w:rFonts w:ascii="Times New Roman" w:eastAsia="MS PGothic" w:hAnsi="Times New Roman"/>
          <w:lang w:val="en-US"/>
        </w:rPr>
        <w:t>The scope of th</w:t>
      </w:r>
      <w:r w:rsidR="0072255F">
        <w:rPr>
          <w:rFonts w:ascii="Times New Roman" w:eastAsia="MS PGothic" w:hAnsi="Times New Roman"/>
          <w:lang w:val="en-US"/>
        </w:rPr>
        <w:t>is work</w:t>
      </w:r>
      <w:r w:rsidRPr="00086865">
        <w:rPr>
          <w:rFonts w:ascii="Times New Roman" w:eastAsia="MS PGothic" w:hAnsi="Times New Roman"/>
          <w:lang w:val="en-US"/>
        </w:rPr>
        <w:t xml:space="preserve"> is to explore these limits</w:t>
      </w:r>
      <w:r>
        <w:rPr>
          <w:rFonts w:ascii="Times New Roman" w:eastAsia="MS PGothic" w:hAnsi="Times New Roman"/>
          <w:lang w:val="en-US"/>
        </w:rPr>
        <w:t>, comparing the prediction</w:t>
      </w:r>
      <w:r w:rsidR="00355563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 of the separation performance obtained with the one-way coupling approach with those obtained </w:t>
      </w:r>
      <w:r w:rsidRPr="00086865">
        <w:rPr>
          <w:rFonts w:ascii="Times New Roman" w:eastAsia="MS PGothic" w:hAnsi="Times New Roman"/>
          <w:lang w:val="en-US"/>
        </w:rPr>
        <w:t>from a fully three-dimensional two-way coupling approach</w:t>
      </w:r>
      <w:r>
        <w:rPr>
          <w:rFonts w:ascii="Times New Roman" w:eastAsia="MS PGothic" w:hAnsi="Times New Roman"/>
          <w:lang w:val="en-US"/>
        </w:rPr>
        <w:t xml:space="preserve">. </w:t>
      </w:r>
      <w:r w:rsidRPr="00701733">
        <w:rPr>
          <w:rFonts w:ascii="Times New Roman" w:eastAsia="MS PGothic" w:hAnsi="Times New Roman"/>
          <w:lang w:val="en-US"/>
        </w:rPr>
        <w:t>Brenner's macro-transport theory</w:t>
      </w:r>
      <w:r w:rsidR="0072255F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[</w:t>
      </w:r>
      <w:r w:rsidR="00355563">
        <w:rPr>
          <w:rFonts w:ascii="Times New Roman" w:eastAsia="MS PGothic" w:hAnsi="Times New Roman"/>
          <w:lang w:val="en-US"/>
        </w:rPr>
        <w:t>3-</w:t>
      </w:r>
      <w:r>
        <w:rPr>
          <w:rFonts w:ascii="Times New Roman" w:eastAsia="MS PGothic" w:hAnsi="Times New Roman"/>
          <w:lang w:val="en-US"/>
        </w:rPr>
        <w:t>4]</w:t>
      </w:r>
      <w:r w:rsidRPr="00701733">
        <w:rPr>
          <w:rFonts w:ascii="Times New Roman" w:eastAsia="MS PGothic" w:hAnsi="Times New Roman"/>
          <w:lang w:val="en-US"/>
        </w:rPr>
        <w:t xml:space="preserve"> is used in both cases for obtaining the effective transport parameters, namely the effective particle velocity and the dispersion coefficient.</w:t>
      </w:r>
    </w:p>
    <w:p w14:paraId="1845F659" w14:textId="21F46837" w:rsidR="00DA51A3" w:rsidRPr="00466FFD" w:rsidRDefault="00DA51A3" w:rsidP="00553761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42B5CA08" w14:textId="77777777" w:rsidR="00620DBA" w:rsidRPr="00620DBA" w:rsidRDefault="00620DBA" w:rsidP="00620DB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Biagioni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A. L. Sow, A.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Adrover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S.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Cerbelli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“Brownian sieving effect for boosting the performance of microcapillary hydrodynamic chromatography. proof of concept,” Analytical Chemistry 93, 6808–6816 (2021). </w:t>
      </w:r>
    </w:p>
    <w:p w14:paraId="0A0F9288" w14:textId="222D4165" w:rsidR="00963B0D" w:rsidRPr="00620DBA" w:rsidRDefault="00963B0D" w:rsidP="00963B0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Biagioni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A. L. Sow, A. G. Fagiolo, A.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Adrover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S.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Cerbelli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“Brownian sieving enhancement of microcapillary hydrodynamic chromatography. analysis of the separation performance based on </w:t>
      </w:r>
      <w:r w:rsidR="00355563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renner’s macro-transport theory,” Journal of Chromatography </w:t>
      </w:r>
      <w:proofErr w:type="gram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A ,</w:t>
      </w:r>
      <w:proofErr w:type="gram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462652 (2021). </w:t>
      </w:r>
    </w:p>
    <w:p w14:paraId="490C6B4A" w14:textId="4B46BD88" w:rsidR="00DA51A3" w:rsidRDefault="00963B0D" w:rsidP="00963B0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sz w:val="20"/>
          <w:szCs w:val="20"/>
          <w:lang w:val="en-US" w:eastAsia="zh-CN"/>
        </w:rPr>
      </w:pPr>
      <w:r w:rsidRPr="00620DBA">
        <w:rPr>
          <w:rFonts w:ascii="Times New Roman" w:eastAsia="SimSun" w:hAnsi="Times New Roman"/>
          <w:sz w:val="20"/>
          <w:szCs w:val="20"/>
          <w:lang w:val="en-US" w:eastAsia="zh-CN"/>
        </w:rPr>
        <w:t xml:space="preserve">H. Brenner and L. J. Gaydos, “The constrained </w:t>
      </w:r>
      <w:proofErr w:type="spellStart"/>
      <w:r w:rsidRPr="00620DBA">
        <w:rPr>
          <w:rFonts w:ascii="Times New Roman" w:eastAsia="SimSun" w:hAnsi="Times New Roman"/>
          <w:sz w:val="20"/>
          <w:szCs w:val="20"/>
          <w:lang w:val="en-US" w:eastAsia="zh-CN"/>
        </w:rPr>
        <w:t>brownian</w:t>
      </w:r>
      <w:proofErr w:type="spellEnd"/>
      <w:r w:rsidRPr="00620DBA">
        <w:rPr>
          <w:rFonts w:ascii="Times New Roman" w:eastAsia="SimSun" w:hAnsi="Times New Roman"/>
          <w:sz w:val="20"/>
          <w:szCs w:val="20"/>
          <w:lang w:val="en-US" w:eastAsia="zh-CN"/>
        </w:rPr>
        <w:t xml:space="preserve"> movement of spherical particles in cylindrical pores of comparable radius: models of the diffusive and convective transport of solute molecules in membranes and porous media,” Journal of Colloid and Interface Science 58, 312–356 (1977).</w:t>
      </w:r>
    </w:p>
    <w:p w14:paraId="3DCA01DE" w14:textId="77777777" w:rsidR="00D82FC1" w:rsidRPr="00620DBA" w:rsidRDefault="00D82FC1" w:rsidP="00D82FC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sz w:val="20"/>
          <w:szCs w:val="20"/>
          <w:lang w:val="en-US" w:eastAsia="zh-CN"/>
        </w:rPr>
      </w:pPr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Adrover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C.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Passaretti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C.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Venditti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M. </w:t>
      </w:r>
      <w:proofErr w:type="spellStart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>Giona</w:t>
      </w:r>
      <w:proofErr w:type="spellEnd"/>
      <w:r w:rsidRPr="00620D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“Exact moment analysis of transient dispersion properties in periodic media,” Physics of Fluids 31, 112002 (2019). </w:t>
      </w:r>
    </w:p>
    <w:p w14:paraId="73E1F03B" w14:textId="77777777" w:rsidR="00D82FC1" w:rsidRPr="00D82FC1" w:rsidRDefault="00D82FC1" w:rsidP="00D82FC1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sz w:val="20"/>
          <w:szCs w:val="20"/>
          <w:lang w:val="en-US" w:eastAsia="zh-CN"/>
        </w:rPr>
      </w:pPr>
    </w:p>
    <w:p w14:paraId="072A86A6" w14:textId="77777777" w:rsidR="00962A4C" w:rsidRDefault="00962A4C" w:rsidP="00DA51A3">
      <w:pPr>
        <w:rPr>
          <w:lang w:val="en-US"/>
        </w:rPr>
      </w:pPr>
    </w:p>
    <w:p w14:paraId="5A650773" w14:textId="77777777" w:rsidR="005B71B2" w:rsidRPr="00DA51A3" w:rsidRDefault="005B71B2">
      <w:pPr>
        <w:rPr>
          <w:lang w:val="en-US"/>
        </w:rPr>
      </w:pPr>
    </w:p>
    <w:sectPr w:rsidR="005B71B2" w:rsidRPr="00DA51A3" w:rsidSect="001D0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4786" w14:textId="77777777" w:rsidR="00055035" w:rsidRDefault="00055035" w:rsidP="001D0E0C">
      <w:pPr>
        <w:spacing w:after="0" w:line="240" w:lineRule="auto"/>
      </w:pPr>
      <w:r>
        <w:separator/>
      </w:r>
    </w:p>
  </w:endnote>
  <w:endnote w:type="continuationSeparator" w:id="0">
    <w:p w14:paraId="523B5340" w14:textId="77777777" w:rsidR="00055035" w:rsidRDefault="00055035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921D" w14:textId="77777777" w:rsidR="00055035" w:rsidRDefault="00055035" w:rsidP="001D0E0C">
      <w:pPr>
        <w:spacing w:after="0" w:line="240" w:lineRule="auto"/>
      </w:pPr>
      <w:r>
        <w:separator/>
      </w:r>
    </w:p>
  </w:footnote>
  <w:footnote w:type="continuationSeparator" w:id="0">
    <w:p w14:paraId="494D98F9" w14:textId="77777777" w:rsidR="00055035" w:rsidRDefault="00055035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Header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115C9"/>
    <w:rsid w:val="0002531A"/>
    <w:rsid w:val="00033D47"/>
    <w:rsid w:val="000505FF"/>
    <w:rsid w:val="000517B4"/>
    <w:rsid w:val="00055035"/>
    <w:rsid w:val="000816D1"/>
    <w:rsid w:val="00086865"/>
    <w:rsid w:val="0009358B"/>
    <w:rsid w:val="000C5E69"/>
    <w:rsid w:val="000D73F7"/>
    <w:rsid w:val="000E1692"/>
    <w:rsid w:val="000E6259"/>
    <w:rsid w:val="001023C9"/>
    <w:rsid w:val="00142105"/>
    <w:rsid w:val="00143ADB"/>
    <w:rsid w:val="0018667F"/>
    <w:rsid w:val="0019264D"/>
    <w:rsid w:val="001A01BB"/>
    <w:rsid w:val="001A3291"/>
    <w:rsid w:val="001B060D"/>
    <w:rsid w:val="001D0E0C"/>
    <w:rsid w:val="00224E25"/>
    <w:rsid w:val="002634EC"/>
    <w:rsid w:val="00292CD4"/>
    <w:rsid w:val="002A119D"/>
    <w:rsid w:val="002C118C"/>
    <w:rsid w:val="002C1F1C"/>
    <w:rsid w:val="002C6C01"/>
    <w:rsid w:val="002E31BC"/>
    <w:rsid w:val="00350374"/>
    <w:rsid w:val="00355563"/>
    <w:rsid w:val="003617E0"/>
    <w:rsid w:val="003618D8"/>
    <w:rsid w:val="003848A6"/>
    <w:rsid w:val="0039756D"/>
    <w:rsid w:val="003977B4"/>
    <w:rsid w:val="003F160A"/>
    <w:rsid w:val="00402674"/>
    <w:rsid w:val="00427AB9"/>
    <w:rsid w:val="00430818"/>
    <w:rsid w:val="0043432E"/>
    <w:rsid w:val="00454B7D"/>
    <w:rsid w:val="004674E2"/>
    <w:rsid w:val="004A0277"/>
    <w:rsid w:val="004B6A02"/>
    <w:rsid w:val="004C0430"/>
    <w:rsid w:val="004C56B4"/>
    <w:rsid w:val="005060FE"/>
    <w:rsid w:val="00525C41"/>
    <w:rsid w:val="005270BD"/>
    <w:rsid w:val="00544970"/>
    <w:rsid w:val="00553761"/>
    <w:rsid w:val="00590942"/>
    <w:rsid w:val="005A4E02"/>
    <w:rsid w:val="005B71B2"/>
    <w:rsid w:val="005C2A12"/>
    <w:rsid w:val="006208E1"/>
    <w:rsid w:val="00620B18"/>
    <w:rsid w:val="00620DBA"/>
    <w:rsid w:val="006445BD"/>
    <w:rsid w:val="00691282"/>
    <w:rsid w:val="00697CD6"/>
    <w:rsid w:val="00701733"/>
    <w:rsid w:val="00713520"/>
    <w:rsid w:val="0072255F"/>
    <w:rsid w:val="00763893"/>
    <w:rsid w:val="00793D6C"/>
    <w:rsid w:val="007A1AB7"/>
    <w:rsid w:val="007D7E62"/>
    <w:rsid w:val="00806C1F"/>
    <w:rsid w:val="00806D50"/>
    <w:rsid w:val="00821BAD"/>
    <w:rsid w:val="00857519"/>
    <w:rsid w:val="0087656A"/>
    <w:rsid w:val="008871B1"/>
    <w:rsid w:val="00892A94"/>
    <w:rsid w:val="008B18B3"/>
    <w:rsid w:val="008B3990"/>
    <w:rsid w:val="008C7E81"/>
    <w:rsid w:val="008E42BE"/>
    <w:rsid w:val="009053F9"/>
    <w:rsid w:val="00962A4C"/>
    <w:rsid w:val="00963B0D"/>
    <w:rsid w:val="00982E2C"/>
    <w:rsid w:val="009B4896"/>
    <w:rsid w:val="009E4BCC"/>
    <w:rsid w:val="00A64110"/>
    <w:rsid w:val="00A90B27"/>
    <w:rsid w:val="00AB1801"/>
    <w:rsid w:val="00AB5A8A"/>
    <w:rsid w:val="00B30E29"/>
    <w:rsid w:val="00B53FFF"/>
    <w:rsid w:val="00B90109"/>
    <w:rsid w:val="00BA7EFB"/>
    <w:rsid w:val="00BB26F9"/>
    <w:rsid w:val="00BC4D89"/>
    <w:rsid w:val="00BF4C3C"/>
    <w:rsid w:val="00C062DD"/>
    <w:rsid w:val="00C34194"/>
    <w:rsid w:val="00C40840"/>
    <w:rsid w:val="00CC5FC0"/>
    <w:rsid w:val="00CD3445"/>
    <w:rsid w:val="00D03DB3"/>
    <w:rsid w:val="00D06528"/>
    <w:rsid w:val="00D31223"/>
    <w:rsid w:val="00D322F1"/>
    <w:rsid w:val="00D3706B"/>
    <w:rsid w:val="00D412A9"/>
    <w:rsid w:val="00D51B70"/>
    <w:rsid w:val="00D539E6"/>
    <w:rsid w:val="00D82FC1"/>
    <w:rsid w:val="00D9373C"/>
    <w:rsid w:val="00DA0ECF"/>
    <w:rsid w:val="00DA51A3"/>
    <w:rsid w:val="00DC64AC"/>
    <w:rsid w:val="00DD2D8C"/>
    <w:rsid w:val="00DE14E9"/>
    <w:rsid w:val="00E00A75"/>
    <w:rsid w:val="00E40BDE"/>
    <w:rsid w:val="00E40CE0"/>
    <w:rsid w:val="00E77BEC"/>
    <w:rsid w:val="00E92156"/>
    <w:rsid w:val="00EC599F"/>
    <w:rsid w:val="00F24290"/>
    <w:rsid w:val="00F70825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B6A02"/>
    <w:rPr>
      <w:color w:val="808080"/>
    </w:rPr>
  </w:style>
  <w:style w:type="paragraph" w:customStyle="1" w:styleId="CHISA">
    <w:name w:val="CHISA"/>
    <w:rsid w:val="00962A4C"/>
    <w:pPr>
      <w:spacing w:after="0" w:line="240" w:lineRule="auto"/>
    </w:pPr>
    <w:rPr>
      <w:rFonts w:ascii="Arial" w:eastAsia="Times New Roman" w:hAnsi="Arial" w:cs="Arial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6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D38C-731C-4075-91CB-DF8825D4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Alessandra Adrover</cp:lastModifiedBy>
  <cp:revision>39</cp:revision>
  <cp:lastPrinted>2022-01-31T11:56:00Z</cp:lastPrinted>
  <dcterms:created xsi:type="dcterms:W3CDTF">2022-03-09T11:49:00Z</dcterms:created>
  <dcterms:modified xsi:type="dcterms:W3CDTF">2022-03-10T13:27:00Z</dcterms:modified>
</cp:coreProperties>
</file>