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E7BE" w14:textId="414A530C" w:rsidR="00DA51A3" w:rsidRPr="00466FFD" w:rsidRDefault="005F2B5E" w:rsidP="00DA51A3">
      <w:pPr>
        <w:snapToGrid w:val="0"/>
        <w:jc w:val="center"/>
        <w:rPr>
          <w:rFonts w:ascii="Times New Roman" w:eastAsia="MS PGothic" w:hAnsi="Times New Roman"/>
          <w:b/>
          <w:bCs/>
          <w:sz w:val="24"/>
          <w:szCs w:val="24"/>
          <w:lang w:val="en-US"/>
        </w:rPr>
      </w:pPr>
      <w:r w:rsidRPr="005F2B5E">
        <w:rPr>
          <w:rFonts w:ascii="Times New Roman" w:eastAsia="MS PGothic" w:hAnsi="Times New Roman"/>
          <w:b/>
          <w:bCs/>
          <w:sz w:val="24"/>
          <w:szCs w:val="24"/>
          <w:lang w:val="en-US"/>
        </w:rPr>
        <w:t>From N</w:t>
      </w:r>
      <w:r w:rsidRPr="005F2B5E">
        <w:rPr>
          <w:rFonts w:ascii="Times New Roman" w:eastAsia="MS PGothic" w:hAnsi="Times New Roman"/>
          <w:b/>
          <w:bCs/>
          <w:sz w:val="24"/>
          <w:szCs w:val="24"/>
          <w:vertAlign w:val="subscript"/>
          <w:lang w:val="en-US"/>
        </w:rPr>
        <w:t>2</w:t>
      </w:r>
      <w:r w:rsidRPr="005F2B5E">
        <w:rPr>
          <w:rFonts w:ascii="Times New Roman" w:eastAsia="MS PGothic" w:hAnsi="Times New Roman"/>
          <w:b/>
          <w:bCs/>
          <w:sz w:val="24"/>
          <w:szCs w:val="24"/>
          <w:lang w:val="en-US"/>
        </w:rPr>
        <w:t xml:space="preserve"> to cyanophycin: high-value compound production through biological nitrogen fixation in continuous systems</w:t>
      </w:r>
    </w:p>
    <w:p w14:paraId="5DC330F9" w14:textId="77777777" w:rsidR="00DA51A3" w:rsidRPr="00466FFD" w:rsidRDefault="00DA51A3" w:rsidP="00DA51A3">
      <w:pPr>
        <w:snapToGrid w:val="0"/>
        <w:jc w:val="center"/>
        <w:rPr>
          <w:rFonts w:ascii="Times New Roman" w:eastAsia="MS PGothic" w:hAnsi="Times New Roman"/>
          <w:b/>
          <w:bCs/>
          <w:sz w:val="24"/>
          <w:szCs w:val="24"/>
          <w:lang w:val="en-US" w:eastAsia="ko-KR"/>
        </w:rPr>
      </w:pPr>
    </w:p>
    <w:p w14:paraId="243AAF34" w14:textId="580B4F61" w:rsidR="00DA51A3" w:rsidRPr="008126B7" w:rsidRDefault="004C225C" w:rsidP="00DA51A3">
      <w:pPr>
        <w:snapToGrid w:val="0"/>
        <w:jc w:val="center"/>
        <w:rPr>
          <w:rFonts w:ascii="Times New Roman" w:eastAsia="SimSun" w:hAnsi="Times New Roman"/>
          <w:sz w:val="24"/>
          <w:szCs w:val="24"/>
          <w:lang w:eastAsia="zh-CN"/>
        </w:rPr>
      </w:pPr>
      <w:r w:rsidRPr="008126B7">
        <w:rPr>
          <w:rFonts w:ascii="Times New Roman" w:eastAsia="SimSun" w:hAnsi="Times New Roman"/>
          <w:sz w:val="24"/>
          <w:szCs w:val="24"/>
          <w:u w:val="single"/>
          <w:lang w:eastAsia="zh-CN"/>
        </w:rPr>
        <w:t>Giulia Trentin</w:t>
      </w:r>
      <w:r w:rsidR="00DA51A3" w:rsidRPr="008126B7">
        <w:rPr>
          <w:rFonts w:ascii="Times New Roman" w:eastAsia="SimSun" w:hAnsi="Times New Roman"/>
          <w:sz w:val="24"/>
          <w:szCs w:val="24"/>
          <w:u w:val="single"/>
          <w:vertAlign w:val="superscript"/>
          <w:lang w:eastAsia="zh-CN"/>
        </w:rPr>
        <w:t>1</w:t>
      </w:r>
      <w:r w:rsidR="00007847" w:rsidRPr="008126B7">
        <w:rPr>
          <w:rFonts w:ascii="Times New Roman" w:eastAsia="SimSun" w:hAnsi="Times New Roman"/>
          <w:sz w:val="24"/>
          <w:szCs w:val="24"/>
          <w:vertAlign w:val="superscript"/>
          <w:lang w:eastAsia="zh-CN"/>
        </w:rPr>
        <w:t>*</w:t>
      </w:r>
      <w:r w:rsidR="00DA51A3" w:rsidRPr="008126B7">
        <w:rPr>
          <w:rFonts w:ascii="Times New Roman" w:eastAsia="SimSun" w:hAnsi="Times New Roman"/>
          <w:sz w:val="24"/>
          <w:szCs w:val="24"/>
          <w:lang w:eastAsia="zh-CN"/>
        </w:rPr>
        <w:t xml:space="preserve">, </w:t>
      </w:r>
      <w:r w:rsidRPr="008126B7">
        <w:rPr>
          <w:rFonts w:ascii="Times New Roman" w:eastAsia="SimSun" w:hAnsi="Times New Roman"/>
          <w:sz w:val="24"/>
          <w:szCs w:val="24"/>
          <w:lang w:eastAsia="zh-CN"/>
        </w:rPr>
        <w:t>Boris Zorin</w:t>
      </w:r>
      <w:r w:rsidRPr="008126B7">
        <w:rPr>
          <w:rFonts w:ascii="Times New Roman" w:eastAsia="SimSun" w:hAnsi="Times New Roman"/>
          <w:sz w:val="24"/>
          <w:szCs w:val="24"/>
          <w:vertAlign w:val="superscript"/>
          <w:lang w:eastAsia="zh-CN"/>
        </w:rPr>
        <w:t>2</w:t>
      </w:r>
      <w:r w:rsidRPr="008126B7">
        <w:rPr>
          <w:rFonts w:ascii="Times New Roman" w:eastAsia="SimSun" w:hAnsi="Times New Roman"/>
          <w:sz w:val="24"/>
          <w:szCs w:val="24"/>
          <w:lang w:eastAsia="zh-CN"/>
        </w:rPr>
        <w:t>, Inna Khozin-Goldberg</w:t>
      </w:r>
      <w:r w:rsidRPr="008126B7">
        <w:rPr>
          <w:rFonts w:ascii="Times New Roman" w:eastAsia="SimSun" w:hAnsi="Times New Roman"/>
          <w:sz w:val="24"/>
          <w:szCs w:val="24"/>
          <w:vertAlign w:val="superscript"/>
          <w:lang w:eastAsia="zh-CN"/>
        </w:rPr>
        <w:t>3</w:t>
      </w:r>
      <w:r w:rsidRPr="008126B7">
        <w:rPr>
          <w:rFonts w:ascii="Times New Roman" w:eastAsia="SimSun" w:hAnsi="Times New Roman"/>
          <w:sz w:val="24"/>
          <w:szCs w:val="24"/>
          <w:lang w:eastAsia="zh-CN"/>
        </w:rPr>
        <w:t>, Alberto Bertucco</w:t>
      </w:r>
      <w:r w:rsidRPr="008126B7">
        <w:rPr>
          <w:rFonts w:ascii="Times New Roman" w:eastAsia="SimSun" w:hAnsi="Times New Roman"/>
          <w:sz w:val="24"/>
          <w:szCs w:val="24"/>
          <w:vertAlign w:val="superscript"/>
          <w:lang w:eastAsia="zh-CN"/>
        </w:rPr>
        <w:t>1</w:t>
      </w:r>
      <w:r w:rsidRPr="008126B7">
        <w:rPr>
          <w:rFonts w:ascii="Times New Roman" w:eastAsia="SimSun" w:hAnsi="Times New Roman"/>
          <w:sz w:val="24"/>
          <w:szCs w:val="24"/>
          <w:lang w:eastAsia="zh-CN"/>
        </w:rPr>
        <w:t>, Eleonora Sforza</w:t>
      </w:r>
      <w:r w:rsidRPr="008126B7">
        <w:rPr>
          <w:rFonts w:ascii="Times New Roman" w:eastAsia="SimSun" w:hAnsi="Times New Roman"/>
          <w:sz w:val="24"/>
          <w:szCs w:val="24"/>
          <w:vertAlign w:val="superscript"/>
          <w:lang w:eastAsia="zh-CN"/>
        </w:rPr>
        <w:t>1</w:t>
      </w:r>
    </w:p>
    <w:p w14:paraId="36D6D00F" w14:textId="5EE552B1" w:rsidR="004C225C" w:rsidRPr="004C225C" w:rsidRDefault="004C225C" w:rsidP="004C225C">
      <w:pPr>
        <w:snapToGrid w:val="0"/>
        <w:spacing w:after="120"/>
        <w:jc w:val="center"/>
        <w:rPr>
          <w:rFonts w:ascii="Times New Roman" w:eastAsia="MS PGothic" w:hAnsi="Times New Roman"/>
          <w:i/>
          <w:iCs/>
          <w:sz w:val="20"/>
          <w:lang w:val="en-US"/>
        </w:rPr>
      </w:pPr>
      <w:r w:rsidRPr="004C225C">
        <w:rPr>
          <w:rFonts w:ascii="Times New Roman" w:eastAsia="MS PGothic" w:hAnsi="Times New Roman"/>
          <w:i/>
          <w:iCs/>
          <w:sz w:val="20"/>
          <w:lang w:val="en-US"/>
        </w:rPr>
        <w:t xml:space="preserve">1 Department of Industrial Engineering DII, University of </w:t>
      </w:r>
      <w:proofErr w:type="spellStart"/>
      <w:r w:rsidRPr="004C225C">
        <w:rPr>
          <w:rFonts w:ascii="Times New Roman" w:eastAsia="MS PGothic" w:hAnsi="Times New Roman"/>
          <w:i/>
          <w:iCs/>
          <w:sz w:val="20"/>
          <w:lang w:val="en-US"/>
        </w:rPr>
        <w:t>Padova</w:t>
      </w:r>
      <w:proofErr w:type="spellEnd"/>
      <w:r w:rsidRPr="004C225C">
        <w:rPr>
          <w:rFonts w:ascii="Times New Roman" w:eastAsia="MS PGothic" w:hAnsi="Times New Roman"/>
          <w:i/>
          <w:iCs/>
          <w:sz w:val="20"/>
          <w:lang w:val="en-US"/>
        </w:rPr>
        <w:t xml:space="preserve">, Via </w:t>
      </w:r>
      <w:proofErr w:type="spellStart"/>
      <w:r w:rsidRPr="004C225C">
        <w:rPr>
          <w:rFonts w:ascii="Times New Roman" w:eastAsia="MS PGothic" w:hAnsi="Times New Roman"/>
          <w:i/>
          <w:iCs/>
          <w:sz w:val="20"/>
          <w:lang w:val="en-US"/>
        </w:rPr>
        <w:t>Marzolo</w:t>
      </w:r>
      <w:proofErr w:type="spellEnd"/>
      <w:r w:rsidRPr="004C225C">
        <w:rPr>
          <w:rFonts w:ascii="Times New Roman" w:eastAsia="MS PGothic" w:hAnsi="Times New Roman"/>
          <w:i/>
          <w:iCs/>
          <w:sz w:val="20"/>
          <w:lang w:val="en-US"/>
        </w:rPr>
        <w:t xml:space="preserve"> 9, 35131 </w:t>
      </w:r>
      <w:proofErr w:type="spellStart"/>
      <w:r w:rsidRPr="004C225C">
        <w:rPr>
          <w:rFonts w:ascii="Times New Roman" w:eastAsia="MS PGothic" w:hAnsi="Times New Roman"/>
          <w:i/>
          <w:iCs/>
          <w:sz w:val="20"/>
          <w:lang w:val="en-US"/>
        </w:rPr>
        <w:t>Padova</w:t>
      </w:r>
      <w:proofErr w:type="spellEnd"/>
      <w:r w:rsidRPr="004C225C">
        <w:rPr>
          <w:rFonts w:ascii="Times New Roman" w:eastAsia="MS PGothic" w:hAnsi="Times New Roman"/>
          <w:i/>
          <w:iCs/>
          <w:sz w:val="20"/>
          <w:lang w:val="en-US"/>
        </w:rPr>
        <w:t xml:space="preserve">, Italy; 2 The Albert Katz International School for Desert Studies, Jacob </w:t>
      </w:r>
      <w:proofErr w:type="spellStart"/>
      <w:r w:rsidRPr="004C225C">
        <w:rPr>
          <w:rFonts w:ascii="Times New Roman" w:eastAsia="MS PGothic" w:hAnsi="Times New Roman"/>
          <w:i/>
          <w:iCs/>
          <w:sz w:val="20"/>
          <w:lang w:val="en-US"/>
        </w:rPr>
        <w:t>Blaustein</w:t>
      </w:r>
      <w:proofErr w:type="spellEnd"/>
      <w:r w:rsidRPr="004C225C">
        <w:rPr>
          <w:rFonts w:ascii="Times New Roman" w:eastAsia="MS PGothic" w:hAnsi="Times New Roman"/>
          <w:i/>
          <w:iCs/>
          <w:sz w:val="20"/>
          <w:lang w:val="en-US"/>
        </w:rPr>
        <w:t xml:space="preserve"> Institutes for Desert Research, Ben-Gurion University of the Negev, </w:t>
      </w:r>
      <w:proofErr w:type="spellStart"/>
      <w:r w:rsidRPr="004C225C">
        <w:rPr>
          <w:rFonts w:ascii="Times New Roman" w:eastAsia="MS PGothic" w:hAnsi="Times New Roman"/>
          <w:i/>
          <w:iCs/>
          <w:sz w:val="20"/>
          <w:lang w:val="en-US"/>
        </w:rPr>
        <w:t>Sede</w:t>
      </w:r>
      <w:proofErr w:type="spellEnd"/>
      <w:r w:rsidRPr="004C225C">
        <w:rPr>
          <w:rFonts w:ascii="Times New Roman" w:eastAsia="MS PGothic" w:hAnsi="Times New Roman"/>
          <w:i/>
          <w:iCs/>
          <w:sz w:val="20"/>
          <w:lang w:val="en-US"/>
        </w:rPr>
        <w:t xml:space="preserve"> </w:t>
      </w:r>
      <w:proofErr w:type="spellStart"/>
      <w:r w:rsidRPr="004C225C">
        <w:rPr>
          <w:rFonts w:ascii="Times New Roman" w:eastAsia="MS PGothic" w:hAnsi="Times New Roman"/>
          <w:i/>
          <w:iCs/>
          <w:sz w:val="20"/>
          <w:lang w:val="en-US"/>
        </w:rPr>
        <w:t>Boqer</w:t>
      </w:r>
      <w:proofErr w:type="spellEnd"/>
      <w:r w:rsidRPr="004C225C">
        <w:rPr>
          <w:rFonts w:ascii="Times New Roman" w:eastAsia="MS PGothic" w:hAnsi="Times New Roman"/>
          <w:i/>
          <w:iCs/>
          <w:sz w:val="20"/>
          <w:lang w:val="en-US"/>
        </w:rPr>
        <w:t xml:space="preserve"> Campus, </w:t>
      </w:r>
      <w:proofErr w:type="spellStart"/>
      <w:r w:rsidRPr="004C225C">
        <w:rPr>
          <w:rFonts w:ascii="Times New Roman" w:eastAsia="MS PGothic" w:hAnsi="Times New Roman"/>
          <w:i/>
          <w:iCs/>
          <w:sz w:val="20"/>
          <w:lang w:val="en-US"/>
        </w:rPr>
        <w:t>Midreshet</w:t>
      </w:r>
      <w:proofErr w:type="spellEnd"/>
      <w:r w:rsidRPr="004C225C">
        <w:rPr>
          <w:rFonts w:ascii="Times New Roman" w:eastAsia="MS PGothic" w:hAnsi="Times New Roman"/>
          <w:i/>
          <w:iCs/>
          <w:sz w:val="20"/>
          <w:lang w:val="en-US"/>
        </w:rPr>
        <w:t xml:space="preserve"> Ben-Gurion, 8499000, Israel; 3</w:t>
      </w:r>
      <w:r>
        <w:rPr>
          <w:rFonts w:ascii="Times New Roman" w:eastAsia="MS PGothic" w:hAnsi="Times New Roman"/>
          <w:i/>
          <w:iCs/>
          <w:sz w:val="20"/>
          <w:lang w:val="en-US"/>
        </w:rPr>
        <w:t xml:space="preserve"> </w:t>
      </w:r>
      <w:r w:rsidRPr="004C225C">
        <w:rPr>
          <w:rFonts w:ascii="Times New Roman" w:eastAsia="MS PGothic" w:hAnsi="Times New Roman"/>
          <w:i/>
          <w:iCs/>
          <w:sz w:val="20"/>
          <w:lang w:val="en-US"/>
        </w:rPr>
        <w:t xml:space="preserve">The French Associates Institute for Agriculture and Biotechnology of Drylands, </w:t>
      </w:r>
      <w:proofErr w:type="spellStart"/>
      <w:r w:rsidRPr="004C225C">
        <w:rPr>
          <w:rFonts w:ascii="Times New Roman" w:eastAsia="MS PGothic" w:hAnsi="Times New Roman"/>
          <w:i/>
          <w:iCs/>
          <w:sz w:val="20"/>
          <w:lang w:val="en-US"/>
        </w:rPr>
        <w:t>Blaustein</w:t>
      </w:r>
      <w:proofErr w:type="spellEnd"/>
      <w:r w:rsidRPr="004C225C">
        <w:rPr>
          <w:rFonts w:ascii="Times New Roman" w:eastAsia="MS PGothic" w:hAnsi="Times New Roman"/>
          <w:i/>
          <w:iCs/>
          <w:sz w:val="20"/>
          <w:lang w:val="en-US"/>
        </w:rPr>
        <w:t xml:space="preserve"> Institutes for Desert Research, Ben-Gurion University of the Negev, </w:t>
      </w:r>
      <w:proofErr w:type="spellStart"/>
      <w:r w:rsidRPr="004C225C">
        <w:rPr>
          <w:rFonts w:ascii="Times New Roman" w:eastAsia="MS PGothic" w:hAnsi="Times New Roman"/>
          <w:i/>
          <w:iCs/>
          <w:sz w:val="20"/>
          <w:lang w:val="en-US"/>
        </w:rPr>
        <w:t>Midreshet</w:t>
      </w:r>
      <w:proofErr w:type="spellEnd"/>
      <w:r w:rsidRPr="004C225C">
        <w:rPr>
          <w:rFonts w:ascii="Times New Roman" w:eastAsia="MS PGothic" w:hAnsi="Times New Roman"/>
          <w:i/>
          <w:iCs/>
          <w:sz w:val="20"/>
          <w:lang w:val="en-US"/>
        </w:rPr>
        <w:t xml:space="preserve"> Ben </w:t>
      </w:r>
      <w:proofErr w:type="spellStart"/>
      <w:r w:rsidRPr="004C225C">
        <w:rPr>
          <w:rFonts w:ascii="Times New Roman" w:eastAsia="MS PGothic" w:hAnsi="Times New Roman"/>
          <w:i/>
          <w:iCs/>
          <w:sz w:val="20"/>
          <w:lang w:val="en-US"/>
        </w:rPr>
        <w:t>Gurion</w:t>
      </w:r>
      <w:proofErr w:type="spellEnd"/>
      <w:r w:rsidRPr="004C225C">
        <w:rPr>
          <w:rFonts w:ascii="Times New Roman" w:eastAsia="MS PGothic" w:hAnsi="Times New Roman"/>
          <w:i/>
          <w:iCs/>
          <w:sz w:val="20"/>
          <w:lang w:val="en-US"/>
        </w:rPr>
        <w:t>, 8499000, Israel</w:t>
      </w:r>
    </w:p>
    <w:p w14:paraId="5533360A" w14:textId="3DB331A1" w:rsidR="00DA51A3" w:rsidRPr="004C225C" w:rsidRDefault="00DA51A3" w:rsidP="00DA51A3">
      <w:pPr>
        <w:snapToGrid w:val="0"/>
        <w:jc w:val="center"/>
        <w:rPr>
          <w:rFonts w:ascii="Times New Roman" w:eastAsia="MS PGothic" w:hAnsi="Times New Roman"/>
          <w:bCs/>
          <w:i/>
          <w:iCs/>
          <w:sz w:val="20"/>
          <w:lang w:val="en-GB"/>
        </w:rPr>
      </w:pPr>
      <w:r w:rsidRPr="004C225C">
        <w:rPr>
          <w:rFonts w:ascii="Times New Roman" w:eastAsia="MS PGothic" w:hAnsi="Times New Roman"/>
          <w:bCs/>
          <w:i/>
          <w:iCs/>
          <w:sz w:val="20"/>
          <w:vertAlign w:val="superscript"/>
          <w:lang w:val="en-US"/>
        </w:rPr>
        <w:t>*</w:t>
      </w:r>
      <w:r w:rsidRPr="00466FFD">
        <w:rPr>
          <w:rFonts w:ascii="Times New Roman" w:eastAsia="MS PGothic" w:hAnsi="Times New Roman"/>
          <w:bCs/>
          <w:i/>
          <w:iCs/>
          <w:sz w:val="20"/>
          <w:lang w:val="en-US"/>
        </w:rPr>
        <w:t>Corresponding author</w:t>
      </w:r>
      <w:r w:rsidR="004C225C">
        <w:rPr>
          <w:rFonts w:ascii="Times New Roman" w:eastAsia="MS PGothic" w:hAnsi="Times New Roman"/>
          <w:bCs/>
          <w:i/>
          <w:iCs/>
          <w:sz w:val="20"/>
          <w:lang w:val="en-US" w:eastAsia="ko-KR"/>
        </w:rPr>
        <w:t xml:space="preserve"> E-Mail:</w:t>
      </w:r>
      <w:r w:rsidRPr="00466FFD">
        <w:rPr>
          <w:rFonts w:ascii="Times New Roman" w:eastAsia="MS PGothic" w:hAnsi="Times New Roman"/>
          <w:bCs/>
          <w:i/>
          <w:iCs/>
          <w:sz w:val="20"/>
          <w:lang w:val="en-US"/>
        </w:rPr>
        <w:t xml:space="preserve"> </w:t>
      </w:r>
      <w:r w:rsidR="00007847">
        <w:rPr>
          <w:rFonts w:ascii="Times New Roman" w:eastAsia="MS PGothic" w:hAnsi="Times New Roman"/>
          <w:bCs/>
          <w:i/>
          <w:iCs/>
          <w:sz w:val="20"/>
          <w:lang w:val="en-GB"/>
        </w:rPr>
        <w:t>giulia.trentin</w:t>
      </w:r>
      <w:bookmarkStart w:id="0" w:name="_GoBack"/>
      <w:bookmarkEnd w:id="0"/>
      <w:r w:rsidR="004C225C" w:rsidRPr="004C225C">
        <w:rPr>
          <w:rFonts w:ascii="Times New Roman" w:eastAsia="MS PGothic" w:hAnsi="Times New Roman"/>
          <w:bCs/>
          <w:i/>
          <w:iCs/>
          <w:sz w:val="20"/>
          <w:lang w:val="en-GB"/>
        </w:rPr>
        <w:t>@unipd.it</w:t>
      </w:r>
    </w:p>
    <w:p w14:paraId="28AD07A8" w14:textId="77777777" w:rsidR="00DA51A3" w:rsidRPr="00F20366" w:rsidRDefault="00DA51A3" w:rsidP="00DA51A3">
      <w:pPr>
        <w:snapToGrid w:val="0"/>
        <w:spacing w:after="120"/>
        <w:jc w:val="center"/>
        <w:rPr>
          <w:rFonts w:ascii="Times New Roman" w:eastAsia="SimSun" w:hAnsi="Times New Roman"/>
          <w:bCs/>
          <w:i/>
          <w:iCs/>
          <w:lang w:val="en-US" w:eastAsia="zh-CN"/>
        </w:rPr>
      </w:pPr>
    </w:p>
    <w:p w14:paraId="110B92B3" w14:textId="21404173" w:rsidR="00DA51A3" w:rsidRPr="00466FFD"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8126B7">
        <w:rPr>
          <w:rFonts w:ascii="Times New Roman" w:eastAsia="MS PGothic" w:hAnsi="Times New Roman"/>
          <w:b/>
          <w:bCs/>
          <w:lang w:val="en-US"/>
        </w:rPr>
        <w:t xml:space="preserve"> </w:t>
      </w:r>
      <w:r w:rsidR="003F160A">
        <w:rPr>
          <w:rFonts w:ascii="Times New Roman" w:eastAsia="MS PGothic" w:hAnsi="Times New Roman"/>
          <w:b/>
          <w:bCs/>
          <w:lang w:val="en-US"/>
        </w:rPr>
        <w:t>Introduction</w:t>
      </w:r>
    </w:p>
    <w:p w14:paraId="5B17AD0C" w14:textId="7E6F2F84" w:rsidR="00996A7F" w:rsidRDefault="00996A7F" w:rsidP="00996A7F">
      <w:pPr>
        <w:snapToGrid w:val="0"/>
        <w:spacing w:after="120"/>
        <w:jc w:val="both"/>
        <w:rPr>
          <w:rFonts w:ascii="Times New Roman" w:eastAsia="MS PGothic" w:hAnsi="Times New Roman"/>
          <w:lang w:val="en-GB"/>
        </w:rPr>
      </w:pPr>
      <w:r w:rsidRPr="00EB02F8">
        <w:rPr>
          <w:rFonts w:ascii="Times New Roman" w:eastAsia="MS PGothic" w:hAnsi="Times New Roman"/>
          <w:lang w:val="en-GB"/>
        </w:rPr>
        <w:t>Diazotrophic cyanobacteria ha</w:t>
      </w:r>
      <w:r>
        <w:rPr>
          <w:rFonts w:ascii="Times New Roman" w:eastAsia="MS PGothic" w:hAnsi="Times New Roman"/>
          <w:lang w:val="en-GB"/>
        </w:rPr>
        <w:t>ve</w:t>
      </w:r>
      <w:r w:rsidRPr="00EB02F8">
        <w:rPr>
          <w:rFonts w:ascii="Times New Roman" w:eastAsia="MS PGothic" w:hAnsi="Times New Roman"/>
          <w:lang w:val="en-GB"/>
        </w:rPr>
        <w:t xml:space="preserve"> the ability to fix atmospheric nitrogen in their biomass</w:t>
      </w:r>
      <w:r>
        <w:rPr>
          <w:rFonts w:ascii="Times New Roman" w:eastAsia="MS PGothic" w:hAnsi="Times New Roman"/>
          <w:lang w:val="en-GB"/>
        </w:rPr>
        <w:t xml:space="preserve"> </w:t>
      </w:r>
      <w:r>
        <w:rPr>
          <w:rFonts w:ascii="Times New Roman" w:eastAsia="MS PGothic" w:hAnsi="Times New Roman"/>
          <w:lang w:val="en-US"/>
        </w:rPr>
        <w:t>during photosynthetic growth</w:t>
      </w:r>
      <w:r w:rsidRPr="00EB02F8">
        <w:rPr>
          <w:rFonts w:ascii="Times New Roman" w:eastAsia="MS PGothic" w:hAnsi="Times New Roman"/>
          <w:lang w:val="en-GB"/>
        </w:rPr>
        <w:t xml:space="preserve">, so they could be a viable alternative to traditional and high energy demanding production processes, </w:t>
      </w:r>
      <w:r>
        <w:rPr>
          <w:rFonts w:ascii="Times New Roman" w:eastAsia="MS PGothic" w:hAnsi="Times New Roman"/>
          <w:lang w:val="en-GB"/>
        </w:rPr>
        <w:t xml:space="preserve">such </w:t>
      </w:r>
      <w:r w:rsidRPr="00EB02F8">
        <w:rPr>
          <w:rFonts w:ascii="Times New Roman" w:eastAsia="MS PGothic" w:hAnsi="Times New Roman"/>
          <w:lang w:val="en-GB"/>
        </w:rPr>
        <w:t xml:space="preserve">as ammonia production </w:t>
      </w:r>
      <w:r w:rsidRPr="00EB02F8">
        <w:rPr>
          <w:rFonts w:ascii="Times New Roman" w:eastAsia="MS PGothic" w:hAnsi="Times New Roman"/>
          <w:lang w:val="en-GB"/>
        </w:rPr>
        <w:fldChar w:fldCharType="begin" w:fldLock="1"/>
      </w:r>
      <w:r>
        <w:rPr>
          <w:rFonts w:ascii="Times New Roman" w:eastAsia="MS PGothic" w:hAnsi="Times New Roman"/>
          <w:lang w:val="en-GB"/>
        </w:rPr>
        <w:instrText>ADDIN CSL_CITATION {"citationItems":[{"id":"ITEM-1","itemData":{"author":[{"dropping-particle":"","family":"Nørskov","given":"Jens","non-dropping-particle":"","parse-names":false,"suffix":""},{"dropping-particle":"","family":"Chen","given":"Jingguang","non-dropping-particle":"","parse-names":false,"suffix":""},{"dropping-particle":"","family":"Al.","given":"Et","non-dropping-particle":"","parse-names":false,"suffix":""}],"id":"ITEM-1","issued":{"date-parts":[["2016"]]},"title":"DOE Roundtable Report","type":"report"},"uris":["http://www.mendeley.com/documents/?uuid=6d6eefdb-3498-4555-9dc7-3c9060ed8d2d"]},{"id":"ITEM-2","itemData":{"DOI":"10.1039/D0EE03808C","ISSN":"1754-5692","abstract":"As renewable electricity prices continue to decline, interest grows in alternative routes for the synthesis of sustainable fuels and chemicals, including ammonia. Considering demand for fertilizers, as well as its future potential as a dispatchable energy vector, sustainable synthesis of ammonia is being explored as an alternative to the capital- and carbon-intensive fossil-fuel-driven Haber–Bosch process. Here we assess stages along a transition to the sustainable synthesis of ammonia, looking at economic feasibility and climate impacts compared to the incumbent Haber–Bosch without and with CO2 capture. This analysis enables us to suggest technological thresholds for sustainable synthesis of ammonia to become economically and environmentally favourable. When driven by renewable energy sources, the water electrolyzer (near $400 per kW) coupled Haber–Bosch process will reach cost parity near 2.5 cents per kWh electricity. In the case of direct electrochemical ammonia synthesis, achieving cost-parity using the same 2.5 cents per kWh electricity will rely on achieving major advances in performance: an electrolysis full-cell energy efficiency exceeding 40% at a current density of 0.5 A cm−2. Once this operating performance is reached, electrically-powered ammonia synthesis will bring climate benefits when coupled with low-carbon electricity (&lt;180 gCO2e per kWh), achievable when over half of today's U.S. electricity generation is supplied by renewable energy sources. We conclude with a forward-looking perspective on the key challenges and opportunities for sustainable ammonia synthesis routes to be competitive with the incumbent Haber–Bosch process in the future.","author":[{"dropping-particle":"","family":"Wang","given":"Miao","non-dropping-particle":"","parse-names":false,"suffix":""},{"dropping-particle":"","family":"Khan","given":"Mohd A","non-dropping-particle":"","parse-names":false,"suffix":""},{"dropping-particle":"","family":"Mohsin","given":"Imtinan","non-dropping-particle":"","parse-names":false,"suffix":""},{"dropping-particle":"","family":"Wicks","given":"Joshua","non-dropping-particle":"","parse-names":false,"suffix":""},{"dropping-particle":"","family":"Ip","given":"Alexander H","non-dropping-particle":"","parse-names":false,"suffix":""},{"dropping-particle":"","family":"Sumon","given":"Kazi Z","non-dropping-particle":"","parse-names":false,"suffix":""},{"dropping-particle":"","family":"Dinh","given":"Cao-Thang","non-dropping-particle":"","parse-names":false,"suffix":""},{"dropping-particle":"","family":"Sargent","given":"Edward H","non-dropping-particle":"","parse-names":false,"suffix":""},{"dropping-particle":"","family":"Gates","given":"Ian D","non-dropping-particle":"","parse-names":false,"suffix":""},{"dropping-particle":"","family":"Kibria","given":"Md Golam","non-dropping-particle":"","parse-names":false,"suffix":""}],"container-title":"Energy &amp; Environmental Science","id":"ITEM-2","issue":"5","issued":{"date-parts":[["2021"]]},"page":"2535-2548","publisher":"The Royal Society of Chemistry","title":"Can sustainable ammonia synthesis pathways compete with fossil-fuel based Haber–Bosch processes?","type":"article-journal","volume":"14"},"uris":["http://www.mendeley.com/documents/?uuid=793776db-a1cd-443e-9188-8a22ec0e42d5"]},{"id":"ITEM-3","itemData":{"author":[{"dropping-particle":"","family":"Mariani","given":"E.","non-dropping-particle":"","parse-names":false,"suffix":""}],"container-title":"Trattato di chimica industriale e applicata vol. 1","edition":"Zanichelli","editor":[{"dropping-particle":"","family":"Girelli","given":"A.","non-dropping-particle":"","parse-names":false,"suffix":""},{"dropping-particle":"","family":"Matteoli","given":"L.","non-dropping-particle":"","parse-names":false,"suffix":""},{"dropping-particle":"","family":"Parisi","given":"F.","non-dropping-particle":"","parse-names":false,"suffix":""}],"id":"ITEM-3","issued":{"date-parts":[["1969"]]},"page":"521-590","title":"L'industria dell'azoto","type":"chapter"},"uris":["http://www.mendeley.com/documents/?uuid=a8349de5-03be-4e28-8b3d-a136e2acfc1e"]}],"mendeley":{"formattedCitation":"[1–3]","plainTextFormattedCitation":"[1–3]","previouslyFormattedCitation":"[1–3]"},"properties":{"noteIndex":0},"schema":"https://github.com/citation-style-language/schema/raw/master/csl-citation.json"}</w:instrText>
      </w:r>
      <w:r w:rsidRPr="00EB02F8">
        <w:rPr>
          <w:rFonts w:ascii="Times New Roman" w:eastAsia="MS PGothic" w:hAnsi="Times New Roman"/>
          <w:lang w:val="en-GB"/>
        </w:rPr>
        <w:fldChar w:fldCharType="separate"/>
      </w:r>
      <w:r w:rsidRPr="00B16AC2">
        <w:rPr>
          <w:rFonts w:ascii="Times New Roman" w:eastAsia="MS PGothic" w:hAnsi="Times New Roman"/>
          <w:noProof/>
          <w:lang w:val="en-GB"/>
        </w:rPr>
        <w:t>[1–3]</w:t>
      </w:r>
      <w:r w:rsidRPr="00EB02F8">
        <w:rPr>
          <w:rFonts w:ascii="Times New Roman" w:eastAsia="MS PGothic" w:hAnsi="Times New Roman"/>
          <w:lang w:val="en-GB"/>
        </w:rPr>
        <w:fldChar w:fldCharType="end"/>
      </w:r>
      <w:r w:rsidRPr="00EB02F8">
        <w:rPr>
          <w:rFonts w:ascii="Times New Roman" w:eastAsia="MS PGothic" w:hAnsi="Times New Roman"/>
          <w:lang w:val="en-GB"/>
        </w:rPr>
        <w:t xml:space="preserve">. </w:t>
      </w:r>
      <w:r>
        <w:rPr>
          <w:rFonts w:ascii="Times New Roman" w:eastAsia="MS PGothic" w:hAnsi="Times New Roman"/>
          <w:lang w:val="en-GB"/>
        </w:rPr>
        <w:t xml:space="preserve">However, photosynthetic cyanobacteria </w:t>
      </w:r>
      <w:r w:rsidRPr="00EB02F8">
        <w:rPr>
          <w:rFonts w:ascii="Times New Roman" w:eastAsia="MS PGothic" w:hAnsi="Times New Roman"/>
          <w:lang w:val="en-GB"/>
        </w:rPr>
        <w:t>catalyse the reaction of nitrogen fixation at ambient temperature and pressure</w:t>
      </w:r>
      <w:r>
        <w:rPr>
          <w:rFonts w:ascii="Times New Roman" w:eastAsia="MS PGothic" w:hAnsi="Times New Roman"/>
          <w:lang w:val="en-GB"/>
        </w:rPr>
        <w:t xml:space="preserve">, driven by sunlight energy </w:t>
      </w:r>
      <w:r>
        <w:rPr>
          <w:rFonts w:ascii="Times New Roman" w:eastAsia="MS PGothic" w:hAnsi="Times New Roman"/>
          <w:lang w:val="en-GB"/>
        </w:rPr>
        <w:fldChar w:fldCharType="begin" w:fldLock="1"/>
      </w:r>
      <w:r>
        <w:rPr>
          <w:rFonts w:ascii="Times New Roman" w:eastAsia="MS PGothic" w:hAnsi="Times New Roman"/>
          <w:lang w:val="en-GB"/>
        </w:rPr>
        <w:instrText>ADDIN CSL_CITATION {"citationItems":[{"id":"ITEM-1","itemData":{"DOI":"10.1016/B978-0-12-409548-9.00685-0","ISBN":"9780124095489","author":[{"dropping-particle":"","family":"Rascio","given":"N","non-dropping-particle":"","parse-names":false,"suffix":""},{"dropping-particle":"La","family":"Rocca","given":"N","non-dropping-particle":"","parse-names":false,"suffix":""}],"container-title":"Reference Module in Earth Systems and Environmental Sciences","id":"ITEM-1","issue":"3","issued":{"date-parts":[["2013"]]</w:instrText>
      </w:r>
      <w:r>
        <w:rPr>
          <w:rFonts w:ascii="Times New Roman" w:eastAsia="MS PGothic" w:hAnsi="Times New Roman" w:hint="eastAsia"/>
          <w:lang w:val="en-GB"/>
        </w:rPr>
        <w:instrText xml:space="preserve">},"number-of-pages":"1-16","publisher":"Elsevier Inc.","title":"Biological Nitrogen Fixation </w:instrText>
      </w:r>
      <w:r>
        <w:rPr>
          <w:rFonts w:ascii="Times New Roman" w:eastAsia="MS PGothic" w:hAnsi="Times New Roman" w:hint="eastAsia"/>
          <w:lang w:val="en-GB"/>
        </w:rPr>
        <w:instrText>☆</w:instrText>
      </w:r>
      <w:r>
        <w:rPr>
          <w:rFonts w:ascii="Times New Roman" w:eastAsia="MS PGothic" w:hAnsi="Times New Roman" w:hint="eastAsia"/>
          <w:lang w:val="en-GB"/>
        </w:rPr>
        <w:instrText>","type":"book"},"uris":["http://www.mendeley.com/documents/?uuid=851977a8-dd0e-4294-aea4-a311e335a13f"]},{"id":"ITEM-2","itemData":{"DOI":"https://doi.org/10.10</w:instrText>
      </w:r>
      <w:r>
        <w:rPr>
          <w:rFonts w:ascii="Times New Roman" w:eastAsia="MS PGothic" w:hAnsi="Times New Roman"/>
          <w:lang w:val="en-GB"/>
        </w:rPr>
        <w:instrText>02/9780470015902.a0021159.pub2","ISBN":"9780470015902","abstract":"Abstract Cyanobacteria are oxygenic photosynthetic bacteria that are widespread in marine, freshwater and terrestrial environments, and many of them are capable of fixing atmospheric nitrogen. However, ironically, nitrogenase, the enzyme that is responsible for the reduction of N2, is extremely sensitive to O2. Therefore, oxygenic photosynthesis and N2 fixation are not compatible. Hence, cyanobacteria had to evolve a variety of strategies circumventing this paradox, allowing them to grow at the expense of N2, a ubiquitous source of nitrogen. Some filamentous cyanobacteria differentiate heterocysts. These cells lack the oxygenic photosystem and possess a glycolipid cell wall that keeps the oxygen concentration sufficiently low for nitrogen fixation to take place. This strategy is known as spatial separation of oxygenic photosynthesis and nitrogen fixation. Nonheterocystous cyanobacteria may temporally separate these processes by fixing nitrogen during the night. Again others use a combination of these strategies. Key Concepts Cyanobacteria may fix the ubiquitously available CO2 and N2, and therefore cover the demand of the two most important elements. The fixation of N2 comes at a high metabolic energy cost, but cyanobacteria are phototrophic organisms that use sunlight to cover their energy demand. Nitrogenase, the enzyme complex responsible for the fixation of N2, is sensitive to oxygen and requires a near-to-anoxic environment. Cyanobacteria are phototrophic organisms evolving oxygen and they developed various strategies to combine this with N2 fixation. In order to fix N2, cyanobacteria separate the incompatible processes of oxygenic photosynthesis and N2 fixation spatially (in different cells) or temporally (during the night), or a combination of both. N2 fixation in the ocean is restricted to the (sub)tropics and carried out by free-living nonheterocystous filamentous and unicellular cyanobacteria and by symbiotic cyanobacteria living with microalgae. Heterocystous cyanobacteria are found in freshwater, brackish water, terrestrial environments and symbiotic in plants and algae. Cyanobacteria have a circadian clock that synchronises metabolic processes and allow for the fixation of N2.","author":[{"dropping-particle":"","family":"Stal","given":"Lucas J","non-dropping-particle":"","parse-names":false,"suffix":""}],"collection-title":"Major Reference Works","container-title":"eLS","id":"ITEM-2","issued":{"date-parts":[["2015","12","23"]]},"note":"https://doi.org/10.1002/9780470015902.a0021159.pub2","page":"1-9","title":"Nitrogen Fixation in Cyanobacteria","type":"article"},"uris":["http://www.mendeley.com/documents/?uuid=4e3e1a7a-feb3-47af-96cc-158b6b92f801"]}],"mendeley":{"formattedCitation":"[4,5]","plainTextFormattedCitation":"[4,5]","previouslyFormattedCitation":"[4,5]"},"properties":{"noteIndex":0},"schema":"https://github.com/citation-style-language/schema/raw/master/csl-citation.json"}</w:instrText>
      </w:r>
      <w:r>
        <w:rPr>
          <w:rFonts w:ascii="Times New Roman" w:eastAsia="MS PGothic" w:hAnsi="Times New Roman"/>
          <w:lang w:val="en-GB"/>
        </w:rPr>
        <w:fldChar w:fldCharType="separate"/>
      </w:r>
      <w:r w:rsidRPr="00B16AC2">
        <w:rPr>
          <w:rFonts w:ascii="Times New Roman" w:eastAsia="MS PGothic" w:hAnsi="Times New Roman"/>
          <w:noProof/>
          <w:lang w:val="en-GB"/>
        </w:rPr>
        <w:t>[4,5]</w:t>
      </w:r>
      <w:r>
        <w:rPr>
          <w:rFonts w:ascii="Times New Roman" w:eastAsia="MS PGothic" w:hAnsi="Times New Roman"/>
          <w:lang w:val="en-GB"/>
        </w:rPr>
        <w:fldChar w:fldCharType="end"/>
      </w:r>
      <w:r w:rsidRPr="00EB02F8">
        <w:rPr>
          <w:rFonts w:ascii="Times New Roman" w:eastAsia="MS PGothic" w:hAnsi="Times New Roman"/>
          <w:lang w:val="en-GB"/>
        </w:rPr>
        <w:t xml:space="preserve">. </w:t>
      </w:r>
      <w:r>
        <w:rPr>
          <w:rFonts w:ascii="Times New Roman" w:eastAsia="MS PGothic" w:hAnsi="Times New Roman"/>
          <w:lang w:val="en-GB"/>
        </w:rPr>
        <w:t xml:space="preserve">Cyanophycin is </w:t>
      </w:r>
      <w:r w:rsidRPr="00D51EEB">
        <w:rPr>
          <w:rFonts w:ascii="Times New Roman" w:eastAsia="MS PGothic" w:hAnsi="Times New Roman"/>
          <w:lang w:val="en-GB"/>
        </w:rPr>
        <w:t>non-protein, non-</w:t>
      </w:r>
      <w:proofErr w:type="spellStart"/>
      <w:r w:rsidRPr="00D51EEB">
        <w:rPr>
          <w:rFonts w:ascii="Times New Roman" w:eastAsia="MS PGothic" w:hAnsi="Times New Roman"/>
          <w:lang w:val="en-GB"/>
        </w:rPr>
        <w:t>ribosomally</w:t>
      </w:r>
      <w:proofErr w:type="spellEnd"/>
      <w:r w:rsidRPr="00D51EEB">
        <w:rPr>
          <w:rFonts w:ascii="Times New Roman" w:eastAsia="MS PGothic" w:hAnsi="Times New Roman"/>
          <w:lang w:val="en-GB"/>
        </w:rPr>
        <w:t xml:space="preserve"> produced amino acid copolymer, composed of </w:t>
      </w:r>
      <w:proofErr w:type="spellStart"/>
      <w:r w:rsidRPr="00D51EEB">
        <w:rPr>
          <w:rFonts w:ascii="Times New Roman" w:eastAsia="MS PGothic" w:hAnsi="Times New Roman"/>
          <w:lang w:val="en-GB"/>
        </w:rPr>
        <w:t>equimolar</w:t>
      </w:r>
      <w:proofErr w:type="spellEnd"/>
      <w:r w:rsidRPr="00D51EEB">
        <w:rPr>
          <w:rFonts w:ascii="Times New Roman" w:eastAsia="MS PGothic" w:hAnsi="Times New Roman"/>
          <w:lang w:val="en-GB"/>
        </w:rPr>
        <w:t xml:space="preserve"> amounts of aspartic acid and arginine</w:t>
      </w:r>
      <w:r>
        <w:rPr>
          <w:rFonts w:ascii="Times New Roman" w:eastAsia="MS PGothic" w:hAnsi="Times New Roman"/>
          <w:lang w:val="en-GB"/>
        </w:rPr>
        <w:t>, which</w:t>
      </w:r>
      <w:r w:rsidRPr="003A13DB">
        <w:rPr>
          <w:rFonts w:ascii="Times New Roman" w:eastAsia="MS PGothic" w:hAnsi="Times New Roman"/>
          <w:lang w:val="en-GB"/>
        </w:rPr>
        <w:t xml:space="preserve"> </w:t>
      </w:r>
      <w:r>
        <w:rPr>
          <w:rFonts w:ascii="Times New Roman" w:eastAsia="MS PGothic" w:hAnsi="Times New Roman"/>
          <w:lang w:val="en-GB"/>
        </w:rPr>
        <w:t>serves</w:t>
      </w:r>
      <w:r w:rsidRPr="00D51EEB">
        <w:rPr>
          <w:rFonts w:ascii="Times New Roman" w:eastAsia="MS PGothic" w:hAnsi="Times New Roman"/>
          <w:lang w:val="en-GB"/>
        </w:rPr>
        <w:t xml:space="preserve"> a temporary nitrogen reserve compound.</w:t>
      </w:r>
      <w:r>
        <w:rPr>
          <w:rFonts w:ascii="Times New Roman" w:eastAsia="MS PGothic" w:hAnsi="Times New Roman"/>
          <w:lang w:val="en-GB"/>
        </w:rPr>
        <w:t xml:space="preserve"> </w:t>
      </w:r>
      <w:r w:rsidRPr="00D51EEB">
        <w:rPr>
          <w:rFonts w:ascii="Times New Roman" w:eastAsia="MS PGothic" w:hAnsi="Times New Roman"/>
          <w:lang w:val="en-GB"/>
        </w:rPr>
        <w:t xml:space="preserve">The industrial application of cyanophycin is not </w:t>
      </w:r>
      <w:r>
        <w:rPr>
          <w:rFonts w:ascii="Times New Roman" w:eastAsia="MS PGothic" w:hAnsi="Times New Roman"/>
          <w:lang w:val="en-GB"/>
        </w:rPr>
        <w:t xml:space="preserve">still consolidated, but it is a promising </w:t>
      </w:r>
      <w:r w:rsidRPr="00D51EEB">
        <w:rPr>
          <w:rFonts w:ascii="Times New Roman" w:eastAsia="MS PGothic" w:hAnsi="Times New Roman"/>
          <w:lang w:val="en-GB"/>
        </w:rPr>
        <w:t xml:space="preserve">starting point for the synthesis of many important chemicals. Industrial application focuses on its chemical derivatives, </w:t>
      </w:r>
      <w:r>
        <w:rPr>
          <w:rFonts w:ascii="Times New Roman" w:eastAsia="MS PGothic" w:hAnsi="Times New Roman"/>
          <w:lang w:val="en-GB"/>
        </w:rPr>
        <w:t xml:space="preserve">as </w:t>
      </w:r>
      <w:r w:rsidRPr="00D51EEB">
        <w:rPr>
          <w:rFonts w:ascii="Times New Roman" w:eastAsia="MS PGothic" w:hAnsi="Times New Roman"/>
          <w:lang w:val="en-GB"/>
        </w:rPr>
        <w:t>cyanophycin can be chemically converted to poly</w:t>
      </w:r>
      <w:r>
        <w:rPr>
          <w:rFonts w:ascii="Times New Roman" w:eastAsia="MS PGothic" w:hAnsi="Times New Roman"/>
          <w:lang w:val="en-GB"/>
        </w:rPr>
        <w:t>-</w:t>
      </w:r>
      <w:r w:rsidRPr="00D51EEB">
        <w:rPr>
          <w:rFonts w:ascii="Times New Roman" w:eastAsia="MS PGothic" w:hAnsi="Times New Roman"/>
          <w:lang w:val="en-GB"/>
        </w:rPr>
        <w:t>aspartic acid (PASP) and arginine by β-hydrolytic cleavage</w:t>
      </w:r>
      <w:r>
        <w:rPr>
          <w:rFonts w:ascii="Times New Roman" w:eastAsia="MS PGothic" w:hAnsi="Times New Roman"/>
          <w:lang w:val="en-GB"/>
        </w:rPr>
        <w:t xml:space="preserve"> </w:t>
      </w:r>
      <w:r w:rsidRPr="00D51EEB">
        <w:rPr>
          <w:rFonts w:ascii="Times New Roman" w:eastAsia="MS PGothic" w:hAnsi="Times New Roman"/>
          <w:lang w:val="en-GB"/>
        </w:rPr>
        <w:fldChar w:fldCharType="begin" w:fldLock="1"/>
      </w:r>
      <w:r w:rsidR="003227BE">
        <w:rPr>
          <w:rFonts w:ascii="Times New Roman" w:eastAsia="MS PGothic" w:hAnsi="Times New Roman"/>
          <w:lang w:val="en-GB"/>
        </w:rPr>
        <w:instrText>ADDIN CSL_CITATION {"citationItems":[{"id":"ITEM-1","itemData":{"DOI":"10.1016/j.biotechadv.2019.05.006","ISSN":"07349750","PMID":"31095967","abstract":"Cyanophycin is an attractive biopolymer with chemical and material properties that are suitable for industrial applications in the fields of food, medicine, cosmetics, nutrition, and agriculture. For efficient production of cyanophycin, considerable efforts have been exerted to characterize cyanophycin synthetases (CphAs) and optimize fermentations and downstream processes. In this paper, we review the characteristics of diverse CphAs from cyanobacteria and non-cyanobacteria. Furthermore, strategies for cyanophycin production in microbial strains, including Escherichia coli, Pseudomonas putida, Ralstonia eutropha, Rhizopus oryzae, and Saccharomyces cerevisiae, heterologously expressing different cphA genes are reviewed. Additionally, chemical and material properties of cyanophycin and its derivatives produced through biological or chemical modifications are reviewed in the context of their industrial applications. Finally, future perspectives on microbial production of cyanophycin are provided to improve its cost-effectiveness.","author":[{"dropping-particle":"","family":"Du","given":"Jikun","non-dropping-particle":"","parse-names":false,"suffix":""},{"dropping-particle":"","family":"Li","given":"Li","non-dropping-particle":"","parse-names":false,"suffix":""},{"dropping-particle":"","family":"Zhou","given":"Shining","non-dropping-particle":"","parse-names":false,"suffix":""}],"container-title":"Biotechnology Advances","id":"ITEM-1","issue":"7","issued":{"date-parts":[["2019"]]},"title":"Microbial production of cyanophycin: From enzymes to biopolymers","type":"article-journal","volume":"37"},"uris":["http://www.mendeley.com/documents/?uuid=5ab0c8ce-d2c8-4728-8ccf-e3c1a46fb71b"]}],"mendeley":{"formattedCitation":"[6]","plainTextFormattedCitation":"[6]","previouslyFormattedCitation":"[6]"},"properties":{"noteIndex":0},"schema":"https://github.com/citation-style-language/schema/raw/master/csl-citation.json"}</w:instrText>
      </w:r>
      <w:r w:rsidRPr="00D51EEB">
        <w:rPr>
          <w:rFonts w:ascii="Times New Roman" w:eastAsia="MS PGothic" w:hAnsi="Times New Roman"/>
          <w:lang w:val="en-GB"/>
        </w:rPr>
        <w:fldChar w:fldCharType="separate"/>
      </w:r>
      <w:r w:rsidRPr="0049533F">
        <w:rPr>
          <w:rFonts w:ascii="Times New Roman" w:eastAsia="MS PGothic" w:hAnsi="Times New Roman"/>
          <w:noProof/>
          <w:lang w:val="en-GB"/>
        </w:rPr>
        <w:t>[6]</w:t>
      </w:r>
      <w:r w:rsidRPr="00D51EEB">
        <w:rPr>
          <w:rFonts w:ascii="Times New Roman" w:eastAsia="MS PGothic" w:hAnsi="Times New Roman"/>
          <w:lang w:val="en-GB"/>
        </w:rPr>
        <w:fldChar w:fldCharType="end"/>
      </w:r>
      <w:r w:rsidRPr="00D51EEB">
        <w:rPr>
          <w:rFonts w:ascii="Times New Roman" w:eastAsia="MS PGothic" w:hAnsi="Times New Roman"/>
          <w:lang w:val="en-GB"/>
        </w:rPr>
        <w:t>.</w:t>
      </w:r>
      <w:r>
        <w:rPr>
          <w:rFonts w:ascii="Times New Roman" w:eastAsia="MS PGothic" w:hAnsi="Times New Roman"/>
          <w:lang w:val="en-GB"/>
        </w:rPr>
        <w:t xml:space="preserve"> </w:t>
      </w:r>
      <w:r w:rsidRPr="00E00163">
        <w:rPr>
          <w:rFonts w:ascii="Times New Roman" w:eastAsia="MS PGothic" w:hAnsi="Times New Roman"/>
          <w:lang w:val="en-GB"/>
        </w:rPr>
        <w:t xml:space="preserve">In this work, two diazotrophic cyanobacteria </w:t>
      </w:r>
      <w:r>
        <w:rPr>
          <w:rFonts w:ascii="Times New Roman" w:eastAsia="MS PGothic" w:hAnsi="Times New Roman"/>
          <w:lang w:val="en-GB"/>
        </w:rPr>
        <w:t xml:space="preserve">of the genus </w:t>
      </w:r>
      <w:r w:rsidRPr="00E00163">
        <w:rPr>
          <w:rFonts w:ascii="Times New Roman" w:eastAsia="MS PGothic" w:hAnsi="Times New Roman"/>
          <w:i/>
          <w:lang w:val="en-GB"/>
        </w:rPr>
        <w:t>Anabaena</w:t>
      </w:r>
      <w:r>
        <w:rPr>
          <w:rFonts w:ascii="Times New Roman" w:eastAsia="MS PGothic" w:hAnsi="Times New Roman"/>
          <w:lang w:val="en-GB"/>
        </w:rPr>
        <w:t xml:space="preserve"> </w:t>
      </w:r>
      <w:r w:rsidRPr="00E00163">
        <w:rPr>
          <w:rFonts w:ascii="Times New Roman" w:eastAsia="MS PGothic" w:hAnsi="Times New Roman"/>
          <w:lang w:val="en-GB"/>
        </w:rPr>
        <w:t xml:space="preserve">were </w:t>
      </w:r>
      <w:proofErr w:type="spellStart"/>
      <w:r>
        <w:rPr>
          <w:rFonts w:ascii="Times New Roman" w:eastAsia="MS PGothic" w:hAnsi="Times New Roman"/>
          <w:lang w:val="en-GB"/>
        </w:rPr>
        <w:t>phototrophycally</w:t>
      </w:r>
      <w:proofErr w:type="spellEnd"/>
      <w:r>
        <w:rPr>
          <w:rFonts w:ascii="Times New Roman" w:eastAsia="MS PGothic" w:hAnsi="Times New Roman"/>
          <w:lang w:val="en-GB"/>
        </w:rPr>
        <w:t xml:space="preserve"> </w:t>
      </w:r>
      <w:r w:rsidRPr="00E00163">
        <w:rPr>
          <w:rFonts w:ascii="Times New Roman" w:eastAsia="MS PGothic" w:hAnsi="Times New Roman"/>
          <w:lang w:val="en-GB"/>
        </w:rPr>
        <w:t>cultivated in continuous system under N</w:t>
      </w:r>
      <w:r w:rsidRPr="00E00163">
        <w:rPr>
          <w:rFonts w:ascii="Times New Roman" w:eastAsia="MS PGothic" w:hAnsi="Times New Roman"/>
          <w:vertAlign w:val="subscript"/>
          <w:lang w:val="en-GB"/>
        </w:rPr>
        <w:t>2</w:t>
      </w:r>
      <w:r w:rsidRPr="00E00163">
        <w:rPr>
          <w:rFonts w:ascii="Times New Roman" w:eastAsia="MS PGothic" w:hAnsi="Times New Roman"/>
          <w:lang w:val="en-GB"/>
        </w:rPr>
        <w:t xml:space="preserve"> fixing conditions to assess the possible stable production of cyanophycin.</w:t>
      </w:r>
      <w:r>
        <w:rPr>
          <w:rFonts w:ascii="Times New Roman" w:eastAsia="MS PGothic" w:hAnsi="Times New Roman"/>
          <w:lang w:val="en-GB"/>
        </w:rPr>
        <w:t xml:space="preserve"> Indeed, </w:t>
      </w:r>
      <w:r w:rsidRPr="0007443E">
        <w:rPr>
          <w:rFonts w:ascii="Times New Roman" w:eastAsia="MS PGothic" w:hAnsi="Times New Roman"/>
          <w:i/>
          <w:lang w:val="en-GB"/>
        </w:rPr>
        <w:t>Anabaena</w:t>
      </w:r>
      <w:r>
        <w:rPr>
          <w:rFonts w:ascii="Times New Roman" w:eastAsia="MS PGothic" w:hAnsi="Times New Roman"/>
          <w:lang w:val="en-GB"/>
        </w:rPr>
        <w:t xml:space="preserve"> sp. was already cultivated in a continuous </w:t>
      </w:r>
      <w:r w:rsidRPr="00E00163">
        <w:rPr>
          <w:rFonts w:ascii="Times New Roman" w:eastAsia="MS PGothic" w:hAnsi="Times New Roman"/>
          <w:lang w:val="en-GB"/>
        </w:rPr>
        <w:t xml:space="preserve">cultivation system </w:t>
      </w:r>
      <w:proofErr w:type="spellStart"/>
      <w:r w:rsidRPr="00E00163">
        <w:rPr>
          <w:rFonts w:ascii="Times New Roman" w:eastAsia="MS PGothic" w:hAnsi="Times New Roman"/>
          <w:lang w:val="en-GB"/>
        </w:rPr>
        <w:t>diazotrophically</w:t>
      </w:r>
      <w:proofErr w:type="spellEnd"/>
      <w:r w:rsidRPr="00E00163">
        <w:rPr>
          <w:rFonts w:ascii="Times New Roman" w:eastAsia="MS PGothic" w:hAnsi="Times New Roman"/>
          <w:lang w:val="en-GB"/>
        </w:rPr>
        <w:t xml:space="preserve">, obtaining remarkable </w:t>
      </w:r>
      <w:r>
        <w:rPr>
          <w:rFonts w:ascii="Times New Roman" w:eastAsia="MS PGothic" w:hAnsi="Times New Roman"/>
          <w:lang w:val="en-GB"/>
        </w:rPr>
        <w:t xml:space="preserve">biomass </w:t>
      </w:r>
      <w:r w:rsidRPr="00E00163">
        <w:rPr>
          <w:rFonts w:ascii="Times New Roman" w:eastAsia="MS PGothic" w:hAnsi="Times New Roman"/>
          <w:lang w:val="en-GB"/>
        </w:rPr>
        <w:t>productivities</w:t>
      </w:r>
      <w:r>
        <w:rPr>
          <w:rFonts w:ascii="Times New Roman" w:eastAsia="MS PGothic" w:hAnsi="Times New Roman"/>
          <w:lang w:val="en-GB"/>
        </w:rPr>
        <w:t xml:space="preserve"> </w:t>
      </w:r>
      <w:r>
        <w:rPr>
          <w:rFonts w:ascii="Times New Roman" w:eastAsia="MS PGothic" w:hAnsi="Times New Roman"/>
          <w:lang w:val="en-GB"/>
        </w:rPr>
        <w:fldChar w:fldCharType="begin" w:fldLock="1"/>
      </w:r>
      <w:r w:rsidR="003227BE">
        <w:rPr>
          <w:rFonts w:ascii="Times New Roman" w:eastAsia="MS PGothic" w:hAnsi="Times New Roman"/>
          <w:lang w:val="en-GB"/>
        </w:rPr>
        <w:instrText>ADDIN CSL_CITATION {"citationItems":[{"id":"ITEM-1","itemData":{"DOI":"10.3389/fbioe.2019.00274","ISSN":"22964185","abstract":"Modeling the growth of photosynthetic organisms is challenging, due to the complex role of light, which can be limiting because of self-shading, or photoinhibiting in the case of high intensities. A case of particular interest is represented by nitrogen-fixing cyanobacteria, whose growth is controlled not only by the light intensity, but also by the availability of atmospheric nitrogen in the liquid medium. The determination of the maximum specific growth rate is often affected by many variables that, in batch growth systems, may change significantly. On the other hand, in a continuous system, once the steady state is reached the values of all the process variables remain constant, including the biomass concentration and the specific light supply rate. In this work, the diazotrophic cyanobacterium Anabaena PCC 7122 was cultivated in continuous photobioreactors, to investigate the role of nitrogen, light and residence time on growth kinetics, and to retrieve the value of the maximum specific growth rate of this organism. In addition, the kinetic parameters for temperature and the half saturation constant for nitrogen (3 mg L−1 ) were measured by respirometric tests. Based on the results of continuous experiments, the specific maintenance rate was found to depend on the light intensity supplied to the reactor, ranging between 0.5 and 0.8 d−1. All these parameters were used to develop a kinetic model able to describe the biomass growth in autotrophic conditions. The maximum specific growth rate could hence be determined by applying the kinetic model in the material balances of the continuous photobioreactor, and resulted equal to 8.22 ± 0.69 d−1.","author":[{"dropping-particle":"","family":"Barbera","given":"Elena","non-dropping-particle":"","parse-names":false,"suffix":""},{"dropping-particle":"","family":"Grandi","given":"Alessia","non-dropping-particle":"","parse-names":false,"suffix":""},{"dropping-particle":"","family":"Borella","given":"Lisa","non-dropping-particle":"","parse-names":false,"suffix":""},{"dropping-particle":"","family":"Bertucco","given":"Alberto","non-dropping-particle":"","parse-names":false,"suffix":""},{"dropping-particle":"","family":"Sforza","given":"Eleonora","non-dropping-particle":"","parse-names":false,"suffix":""}],"container-title":"Frontiers in Bioengineering and Biotechnology","id":"ITEM-1","issue":"OCT","issued":{"date-parts":[["2019"]]},"page":"1-12","title":"Continuous cultivation as a method to assess the maximum specific growth rate of photosynthetic organisms","type":"article-journal","volume":"7"},"uris":["http://www.mendeley.com/documents/?uuid=4471ad8f-7a2e-4650-8b1f-27c3be831c65"]}],"mendeley":{"formattedCitation":"[7]","plainTextFormattedCitation":"[7]","previouslyFormattedCitation":"[7]"},"properties":{"noteIndex":0},"schema":"https://github.com/citation-style-language/schema/raw/master/csl-citation.json"}</w:instrText>
      </w:r>
      <w:r>
        <w:rPr>
          <w:rFonts w:ascii="Times New Roman" w:eastAsia="MS PGothic" w:hAnsi="Times New Roman"/>
          <w:lang w:val="en-GB"/>
        </w:rPr>
        <w:fldChar w:fldCharType="separate"/>
      </w:r>
      <w:r w:rsidRPr="0049533F">
        <w:rPr>
          <w:rFonts w:ascii="Times New Roman" w:eastAsia="MS PGothic" w:hAnsi="Times New Roman"/>
          <w:noProof/>
          <w:lang w:val="en-GB"/>
        </w:rPr>
        <w:t>[7]</w:t>
      </w:r>
      <w:r>
        <w:rPr>
          <w:rFonts w:ascii="Times New Roman" w:eastAsia="MS PGothic" w:hAnsi="Times New Roman"/>
          <w:lang w:val="en-GB"/>
        </w:rPr>
        <w:fldChar w:fldCharType="end"/>
      </w:r>
      <w:r>
        <w:rPr>
          <w:rFonts w:ascii="Times New Roman" w:eastAsia="MS PGothic" w:hAnsi="Times New Roman"/>
          <w:lang w:val="en-GB"/>
        </w:rPr>
        <w:t>. T</w:t>
      </w:r>
      <w:r w:rsidRPr="007B54CC">
        <w:rPr>
          <w:rFonts w:ascii="Times New Roman" w:eastAsia="MS PGothic" w:hAnsi="Times New Roman"/>
          <w:lang w:val="en-GB"/>
        </w:rPr>
        <w:t>he effect of operating variables in continuous system as the inlet phosphorus concentration, the incident light intensity, the residence time, and the nitrogen availability, on biomass and cyanophycin productivities</w:t>
      </w:r>
      <w:r>
        <w:rPr>
          <w:rFonts w:ascii="Times New Roman" w:eastAsia="MS PGothic" w:hAnsi="Times New Roman"/>
          <w:lang w:val="en-GB"/>
        </w:rPr>
        <w:t xml:space="preserve"> were investigated</w:t>
      </w:r>
      <w:r w:rsidRPr="007B54CC">
        <w:rPr>
          <w:rFonts w:ascii="Times New Roman" w:eastAsia="MS PGothic" w:hAnsi="Times New Roman"/>
          <w:lang w:val="en-GB"/>
        </w:rPr>
        <w:t>. In this way, it is possible to produce biomass having specific composition and constant quality over time, obtaining high productivities and, at the same time, reducing the costs associated with the process, thus developing a system compatible with large-scale production.</w:t>
      </w:r>
    </w:p>
    <w:p w14:paraId="0A7EDE9B" w14:textId="77777777" w:rsidR="00F20366" w:rsidRPr="00EB02F8" w:rsidRDefault="00F20366" w:rsidP="00996A7F">
      <w:pPr>
        <w:snapToGrid w:val="0"/>
        <w:spacing w:after="120"/>
        <w:jc w:val="both"/>
        <w:rPr>
          <w:rFonts w:ascii="Times New Roman" w:eastAsia="MS PGothic" w:hAnsi="Times New Roman"/>
          <w:lang w:val="en-GB"/>
        </w:rPr>
      </w:pPr>
    </w:p>
    <w:p w14:paraId="0871BF31"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2. Methods</w:t>
      </w:r>
    </w:p>
    <w:p w14:paraId="369588B3" w14:textId="3B5356E6" w:rsidR="00571753" w:rsidRDefault="00571753" w:rsidP="00571753">
      <w:pPr>
        <w:snapToGrid w:val="0"/>
        <w:spacing w:after="0"/>
        <w:jc w:val="both"/>
        <w:rPr>
          <w:rFonts w:ascii="Times New Roman" w:eastAsia="MS PGothic" w:hAnsi="Times New Roman"/>
          <w:lang w:val="en-GB"/>
        </w:rPr>
      </w:pPr>
      <w:r w:rsidRPr="00024979">
        <w:rPr>
          <w:rFonts w:ascii="Times New Roman" w:eastAsia="MS PGothic" w:hAnsi="Times New Roman"/>
          <w:i/>
          <w:lang w:val="en-GB"/>
        </w:rPr>
        <w:t>Anabaena</w:t>
      </w:r>
      <w:r w:rsidRPr="00024979">
        <w:rPr>
          <w:rFonts w:ascii="Times New Roman" w:eastAsia="MS PGothic" w:hAnsi="Times New Roman"/>
          <w:lang w:val="en-GB"/>
        </w:rPr>
        <w:t xml:space="preserve"> sp. PCC 7122 (</w:t>
      </w:r>
      <w:r w:rsidRPr="00024979">
        <w:rPr>
          <w:rFonts w:ascii="Times New Roman" w:eastAsia="MS PGothic" w:hAnsi="Times New Roman"/>
          <w:i/>
          <w:lang w:val="en-GB"/>
        </w:rPr>
        <w:t>Anabaena cylindrica</w:t>
      </w:r>
      <w:r w:rsidRPr="00024979">
        <w:rPr>
          <w:rFonts w:ascii="Times New Roman" w:eastAsia="MS PGothic" w:hAnsi="Times New Roman"/>
          <w:lang w:val="en-GB"/>
        </w:rPr>
        <w:t xml:space="preserve">) and </w:t>
      </w:r>
      <w:r w:rsidRPr="00024979">
        <w:rPr>
          <w:rFonts w:ascii="Times New Roman" w:eastAsia="MS PGothic" w:hAnsi="Times New Roman"/>
          <w:i/>
          <w:lang w:val="en-GB"/>
        </w:rPr>
        <w:t>Nostoc</w:t>
      </w:r>
      <w:r w:rsidRPr="00024979">
        <w:rPr>
          <w:rFonts w:ascii="Times New Roman" w:eastAsia="MS PGothic" w:hAnsi="Times New Roman"/>
          <w:lang w:val="en-GB"/>
        </w:rPr>
        <w:t xml:space="preserve"> sp. PCC 7120 were purchased from Pasteur Culture of Cyanobacteria in France. Cyanobacteria were maintained </w:t>
      </w:r>
      <w:proofErr w:type="spellStart"/>
      <w:r>
        <w:rPr>
          <w:rFonts w:ascii="Times New Roman" w:eastAsia="MS PGothic" w:hAnsi="Times New Roman"/>
          <w:lang w:val="en-GB"/>
        </w:rPr>
        <w:t>phototrophycally</w:t>
      </w:r>
      <w:proofErr w:type="spellEnd"/>
      <w:r>
        <w:rPr>
          <w:rFonts w:ascii="Times New Roman" w:eastAsia="MS PGothic" w:hAnsi="Times New Roman"/>
          <w:lang w:val="en-GB"/>
        </w:rPr>
        <w:t xml:space="preserve"> </w:t>
      </w:r>
      <w:r w:rsidRPr="00024979">
        <w:rPr>
          <w:rFonts w:ascii="Times New Roman" w:eastAsia="MS PGothic" w:hAnsi="Times New Roman"/>
          <w:lang w:val="en-GB"/>
        </w:rPr>
        <w:t xml:space="preserve">in diazotrophic conditions at a constant temperature of 24±1°C in the BG11 medium </w:t>
      </w:r>
      <w:r w:rsidRPr="00024979">
        <w:rPr>
          <w:rFonts w:ascii="Times New Roman" w:eastAsia="MS PGothic" w:hAnsi="Times New Roman"/>
          <w:lang w:val="en-GB"/>
        </w:rPr>
        <w:fldChar w:fldCharType="begin" w:fldLock="1"/>
      </w:r>
      <w:r w:rsidR="003227BE">
        <w:rPr>
          <w:rFonts w:ascii="Times New Roman" w:eastAsia="MS PGothic" w:hAnsi="Times New Roman"/>
          <w:lang w:val="en-GB"/>
        </w:rPr>
        <w:instrText>ADDIN CSL_CITATION {"citationItems":[{"id":"ITEM-1","itemData":{"DOI":"10.1099/00221287-111-1-1","author":[{"dropping-particle":"","family":"Rippka","given":"Rosmarie","non-dropping-particle":"","parse-names":false,"suffix":""},{"dropping-particle":"","family":"Deruelles","given":"J.J.B.W.","non-dropping-particle":"","parse-names":false,"suffix":""},{"dropping-particle":"","family":"Waterbury","given":"J B","non-dropping-particle":"","parse-names":false,"suffix":""},{"dropping-particle":"","family":"A. Herdman","given":"M","non-dropping-particle":"","parse-names":false,"suffix":""},{"dropping-particle":"","family":"Stanier","given":"R Y","non-dropping-particle":"","parse-names":false,"suffix":""}],"container-title":"Microbiology-sgm","id":"ITEM-1","issued":{"date-parts":[["1979"]]},"page":"1-61","title":"Generic Assignments, Strain Histories and Properties of Pure Cultures of Cyanobacteria","type":"article-journal","volume":"111"},"uris":["http://www.mendeley.com/documents/?uuid=800ec0ac-0500-425e-9851-259ffac6024c"]}],"mendeley":{"formattedCitation":"[8]","plainTextFormattedCitation":"[8]","previouslyFormattedCitation":"[8]"},"properties":{"noteIndex":0},"schema":"https://github.com/citation-style-language/schema/raw/master/csl-citation.json"}</w:instrText>
      </w:r>
      <w:r w:rsidRPr="00024979">
        <w:rPr>
          <w:rFonts w:ascii="Times New Roman" w:eastAsia="MS PGothic" w:hAnsi="Times New Roman"/>
          <w:lang w:val="en-GB"/>
        </w:rPr>
        <w:fldChar w:fldCharType="separate"/>
      </w:r>
      <w:r w:rsidRPr="0049533F">
        <w:rPr>
          <w:rFonts w:ascii="Times New Roman" w:eastAsia="MS PGothic" w:hAnsi="Times New Roman"/>
          <w:noProof/>
          <w:lang w:val="en-GB"/>
        </w:rPr>
        <w:t>[8]</w:t>
      </w:r>
      <w:r w:rsidRPr="00024979">
        <w:rPr>
          <w:rFonts w:ascii="Times New Roman" w:eastAsia="MS PGothic" w:hAnsi="Times New Roman"/>
          <w:lang w:val="en-US"/>
        </w:rPr>
        <w:fldChar w:fldCharType="end"/>
      </w:r>
      <w:r w:rsidRPr="00024979">
        <w:rPr>
          <w:rFonts w:ascii="Times New Roman" w:eastAsia="MS PGothic" w:hAnsi="Times New Roman"/>
          <w:lang w:val="en-GB"/>
        </w:rPr>
        <w:t>, modified to remove all nitrogen compounds present</w:t>
      </w:r>
      <w:r>
        <w:rPr>
          <w:rFonts w:ascii="Times New Roman" w:eastAsia="MS PGothic" w:hAnsi="Times New Roman"/>
          <w:lang w:val="en-GB"/>
        </w:rPr>
        <w:t>. Continuous experiments were carried out in vertical flat-plate photobioreactors, irradiated by a white LED lamp.</w:t>
      </w:r>
      <w:r w:rsidRPr="00267F3A">
        <w:rPr>
          <w:rFonts w:ascii="Times New Roman" w:eastAsia="Calibri" w:hAnsi="Times New Roman" w:cs="Times New Roman"/>
          <w:sz w:val="24"/>
          <w:szCs w:val="24"/>
          <w:lang w:val="en-GB"/>
        </w:rPr>
        <w:t xml:space="preserve"> </w:t>
      </w:r>
      <w:r w:rsidRPr="00267F3A">
        <w:rPr>
          <w:rFonts w:ascii="Times New Roman" w:eastAsia="MS PGothic" w:hAnsi="Times New Roman"/>
          <w:lang w:val="en-GB"/>
        </w:rPr>
        <w:t>The mixing was ensured by both a stirring magnet placed at the bottom of the reactor and the bubbling of 1 L h</w:t>
      </w:r>
      <w:r w:rsidRPr="00267F3A">
        <w:rPr>
          <w:rFonts w:ascii="Times New Roman" w:eastAsia="MS PGothic" w:hAnsi="Times New Roman"/>
          <w:vertAlign w:val="superscript"/>
          <w:lang w:val="en-GB"/>
        </w:rPr>
        <w:t>-1</w:t>
      </w:r>
      <w:r w:rsidRPr="00267F3A">
        <w:rPr>
          <w:rFonts w:ascii="Times New Roman" w:eastAsia="MS PGothic" w:hAnsi="Times New Roman"/>
          <w:lang w:val="en-GB"/>
        </w:rPr>
        <w:t xml:space="preserve"> of </w:t>
      </w:r>
      <w:r>
        <w:rPr>
          <w:rFonts w:ascii="Times New Roman" w:eastAsia="MS PGothic" w:hAnsi="Times New Roman"/>
          <w:lang w:val="en-GB"/>
        </w:rPr>
        <w:t>an air-</w:t>
      </w:r>
      <w:r w:rsidRPr="00267F3A">
        <w:rPr>
          <w:rFonts w:ascii="Times New Roman" w:eastAsia="MS PGothic" w:hAnsi="Times New Roman"/>
          <w:lang w:val="en-GB"/>
        </w:rPr>
        <w:t>CO</w:t>
      </w:r>
      <w:r w:rsidRPr="00267F3A">
        <w:rPr>
          <w:rFonts w:ascii="Times New Roman" w:eastAsia="MS PGothic" w:hAnsi="Times New Roman"/>
          <w:vertAlign w:val="subscript"/>
          <w:lang w:val="en-GB"/>
        </w:rPr>
        <w:t>2</w:t>
      </w:r>
      <w:r>
        <w:rPr>
          <w:rFonts w:ascii="Times New Roman" w:eastAsia="MS PGothic" w:hAnsi="Times New Roman"/>
          <w:lang w:val="en-GB"/>
        </w:rPr>
        <w:t xml:space="preserve"> (5% v/v) mixture. Microalgae growth was monitored daily through optical density measurement.</w:t>
      </w:r>
      <w:r w:rsidRPr="00267F3A">
        <w:rPr>
          <w:rFonts w:ascii="Times New Roman" w:eastAsia="MS PGothic" w:hAnsi="Times New Roman"/>
          <w:lang w:val="en-GB"/>
        </w:rPr>
        <w:t xml:space="preserve"> </w:t>
      </w:r>
      <w:r>
        <w:rPr>
          <w:rFonts w:ascii="Times New Roman" w:eastAsia="MS PGothic" w:hAnsi="Times New Roman"/>
          <w:lang w:val="en-GB"/>
        </w:rPr>
        <w:t>At steady state, dry cell weight</w:t>
      </w:r>
      <w:r w:rsidRPr="005B4A9B">
        <w:rPr>
          <w:rFonts w:ascii="Times New Roman" w:eastAsia="MS PGothic" w:hAnsi="Times New Roman"/>
          <w:lang w:val="en-GB"/>
        </w:rPr>
        <w:t xml:space="preserve"> </w:t>
      </w:r>
      <w:r>
        <w:rPr>
          <w:rFonts w:ascii="Times New Roman" w:eastAsia="MS PGothic" w:hAnsi="Times New Roman"/>
          <w:lang w:val="en-GB"/>
        </w:rPr>
        <w:t xml:space="preserve">was measured, and biomass composition was characterized in terms of phosphorus, nitrogen and cyanophycin internal quotas, following the protocols reported in </w:t>
      </w:r>
      <w:r>
        <w:rPr>
          <w:rFonts w:ascii="Times New Roman" w:eastAsia="MS PGothic" w:hAnsi="Times New Roman"/>
          <w:lang w:val="en-GB"/>
        </w:rPr>
        <w:fldChar w:fldCharType="begin" w:fldLock="1"/>
      </w:r>
      <w:r w:rsidR="003227BE">
        <w:rPr>
          <w:rFonts w:ascii="Times New Roman" w:eastAsia="MS PGothic" w:hAnsi="Times New Roman"/>
          <w:lang w:val="en-GB"/>
        </w:rPr>
        <w:instrText>ADDIN CSL_CITATION {"citationItems":[{"id":"ITEM-1","itemData":{"DOI":"10.1016/j.algal.2021.102518","ISSN":"2211-9264","author":[{"dropping-particle":"","family":"Trentin","given":"Giulia","non-dropping-particle":"","parse-names":false,"suffix":""},{"dropping-particle":"","family":"Lucato","given":"Veronica","non-dropping-particle":"","parse-names":false,"suffix":""},{"dropping-particle":"","family":"Sforza","given":"Eleonora","non-dropping-particle":"","parse-names":false,"suffix":""},{"dropping-particle":"","family":"Bertucco","given":"Alberto","non-dropping-particle":"","parse-names":false,"suffix":""}],"container-title":"Algal Research","id":"ITEM-1","issue":"April","issued":{"date-parts":[["2021"]]},"page":"102518","publisher":"Elsevier B.V.","title":"Stabilizing autotrophic cyanophycin production in continuous photobioreactors","type":"article-journal","volume":"60"},"uris":["http://www.mendeley.com/documents/?uuid=1b9303f7-7b12-4929-be48-472e001cd229"]}],"mendeley":{"formattedCitation":"[9]","manualFormatting":"Trentin et al. (2021)","plainTextFormattedCitation":"[9]","previouslyFormattedCitation":"[9]"},"properties":{"noteIndex":0},"schema":"https://github.com/citation-style-language/schema/raw/master/csl-citation.json"}</w:instrText>
      </w:r>
      <w:r>
        <w:rPr>
          <w:rFonts w:ascii="Times New Roman" w:eastAsia="MS PGothic" w:hAnsi="Times New Roman"/>
          <w:lang w:val="en-GB"/>
        </w:rPr>
        <w:fldChar w:fldCharType="separate"/>
      </w:r>
      <w:r>
        <w:rPr>
          <w:rFonts w:ascii="Times New Roman" w:eastAsia="MS PGothic" w:hAnsi="Times New Roman"/>
          <w:noProof/>
          <w:lang w:val="en-GB"/>
        </w:rPr>
        <w:t>Trentin et al.</w:t>
      </w:r>
      <w:r w:rsidRPr="00B16AC2">
        <w:rPr>
          <w:rFonts w:ascii="Times New Roman" w:eastAsia="MS PGothic" w:hAnsi="Times New Roman"/>
          <w:noProof/>
          <w:lang w:val="en-GB"/>
        </w:rPr>
        <w:t xml:space="preserve"> </w:t>
      </w:r>
      <w:r>
        <w:rPr>
          <w:rFonts w:ascii="Times New Roman" w:eastAsia="MS PGothic" w:hAnsi="Times New Roman"/>
          <w:noProof/>
          <w:lang w:val="en-GB"/>
        </w:rPr>
        <w:t>(</w:t>
      </w:r>
      <w:r w:rsidRPr="00B16AC2">
        <w:rPr>
          <w:rFonts w:ascii="Times New Roman" w:eastAsia="MS PGothic" w:hAnsi="Times New Roman"/>
          <w:noProof/>
          <w:lang w:val="en-GB"/>
        </w:rPr>
        <w:t>2021)</w:t>
      </w:r>
      <w:r>
        <w:rPr>
          <w:rFonts w:ascii="Times New Roman" w:eastAsia="MS PGothic" w:hAnsi="Times New Roman"/>
          <w:lang w:val="en-GB"/>
        </w:rPr>
        <w:fldChar w:fldCharType="end"/>
      </w:r>
      <w:r>
        <w:rPr>
          <w:rFonts w:ascii="Times New Roman" w:eastAsia="MS PGothic" w:hAnsi="Times New Roman"/>
          <w:lang w:val="en-GB"/>
        </w:rPr>
        <w:t xml:space="preserve"> </w:t>
      </w:r>
      <w:r>
        <w:rPr>
          <w:rFonts w:ascii="Times New Roman" w:eastAsia="MS PGothic" w:hAnsi="Times New Roman"/>
          <w:lang w:val="en-GB"/>
        </w:rPr>
        <w:fldChar w:fldCharType="begin" w:fldLock="1"/>
      </w:r>
      <w:r w:rsidR="003227BE">
        <w:rPr>
          <w:rFonts w:ascii="Times New Roman" w:eastAsia="MS PGothic" w:hAnsi="Times New Roman"/>
          <w:lang w:val="en-GB"/>
        </w:rPr>
        <w:instrText>ADDIN CSL_CITATION {"citationItems":[{"id":"ITEM-1","itemData":{"DOI":"10.1016/j.algal.2021.102518","ISSN":"2211-9264","author":[{"dropping-particle":"","family":"Trentin","given":"Giulia","non-dropping-particle":"","parse-names":false,"suffix":""},{"dropping-particle":"","family":"Lucato","given":"Veronica","non-dropping-particle":"","parse-names":false,"suffix":""},{"dropping-particle":"","family":"Sforza","given":"Eleonora","non-dropping-particle":"","parse-names":false,"suffix":""},{"dropping-particle":"","family":"Bertucco","given":"Alberto","non-dropping-particle":"","parse-names":false,"suffix":""}],"container-title":"Algal Research","id":"ITEM-1","issue":"April","issued":{"date-parts":[["2021"]]},"page":"102518","publisher":"Elsevier B.V.","title":"Stabilizing autotrophic cyanophycin production in continuous photobioreactors","type":"article-journal","volume":"60"},"uris":["http://www.mendeley.com/documents/?uuid=1b9303f7-7b12-4929-be48-472e001cd229"]}],"mendeley":{"formattedCitation":"[9]","plainTextFormattedCitation":"[9]","previouslyFormattedCitation":"[9]"},"properties":{"noteIndex":0},"schema":"https://github.com/citation-style-language/schema/raw/master/csl-citation.json"}</w:instrText>
      </w:r>
      <w:r>
        <w:rPr>
          <w:rFonts w:ascii="Times New Roman" w:eastAsia="MS PGothic" w:hAnsi="Times New Roman"/>
          <w:lang w:val="en-GB"/>
        </w:rPr>
        <w:fldChar w:fldCharType="separate"/>
      </w:r>
      <w:r w:rsidRPr="0049533F">
        <w:rPr>
          <w:rFonts w:ascii="Times New Roman" w:eastAsia="MS PGothic" w:hAnsi="Times New Roman"/>
          <w:noProof/>
          <w:lang w:val="en-GB"/>
        </w:rPr>
        <w:t>[9]</w:t>
      </w:r>
      <w:r>
        <w:rPr>
          <w:rFonts w:ascii="Times New Roman" w:eastAsia="MS PGothic" w:hAnsi="Times New Roman"/>
          <w:lang w:val="en-GB"/>
        </w:rPr>
        <w:fldChar w:fldCharType="end"/>
      </w:r>
      <w:r>
        <w:rPr>
          <w:rFonts w:ascii="Times New Roman" w:eastAsia="MS PGothic" w:hAnsi="Times New Roman"/>
          <w:lang w:val="en-GB"/>
        </w:rPr>
        <w:t>.</w:t>
      </w:r>
    </w:p>
    <w:p w14:paraId="21AA0A01" w14:textId="4C6CDFF0" w:rsidR="00571753" w:rsidRPr="003576ED" w:rsidRDefault="00571753" w:rsidP="00571753">
      <w:pPr>
        <w:snapToGrid w:val="0"/>
        <w:spacing w:after="120"/>
        <w:jc w:val="both"/>
        <w:rPr>
          <w:rFonts w:ascii="Times New Roman" w:eastAsia="MS PGothic" w:hAnsi="Times New Roman"/>
          <w:lang w:val="en-US"/>
        </w:rPr>
      </w:pPr>
      <w:r w:rsidRPr="003576ED">
        <w:rPr>
          <w:rFonts w:ascii="Times New Roman" w:eastAsia="MS PGothic" w:hAnsi="Times New Roman"/>
          <w:lang w:val="en-GB"/>
        </w:rPr>
        <w:t>The effect of the inlet phosphorus concentration on cyanophycin productivity was investigated with both the cyanobacteri</w:t>
      </w:r>
      <w:r>
        <w:rPr>
          <w:rFonts w:ascii="Times New Roman" w:eastAsia="MS PGothic" w:hAnsi="Times New Roman"/>
          <w:lang w:val="en-GB"/>
        </w:rPr>
        <w:t xml:space="preserve">al species. The residence time </w:t>
      </w:r>
      <w:r w:rsidRPr="003576ED">
        <w:rPr>
          <w:rFonts w:ascii="Times New Roman" w:eastAsia="MS PGothic" w:hAnsi="Times New Roman"/>
          <w:lang w:val="en-GB"/>
        </w:rPr>
        <w:t>an</w:t>
      </w:r>
      <w:r>
        <w:rPr>
          <w:rFonts w:ascii="Times New Roman" w:eastAsia="MS PGothic" w:hAnsi="Times New Roman"/>
          <w:lang w:val="en-GB"/>
        </w:rPr>
        <w:t xml:space="preserve">d the incident light intensity </w:t>
      </w:r>
      <w:r w:rsidRPr="003576ED">
        <w:rPr>
          <w:rFonts w:ascii="Times New Roman" w:eastAsia="MS PGothic" w:hAnsi="Times New Roman"/>
          <w:lang w:val="en-GB"/>
        </w:rPr>
        <w:t xml:space="preserve">were kept constant, according to previous literature on cyanophycin production in continuous system </w:t>
      </w:r>
      <w:r w:rsidRPr="003576ED">
        <w:rPr>
          <w:rFonts w:ascii="Times New Roman" w:eastAsia="MS PGothic" w:hAnsi="Times New Roman"/>
          <w:lang w:val="en-GB"/>
        </w:rPr>
        <w:fldChar w:fldCharType="begin" w:fldLock="1"/>
      </w:r>
      <w:r w:rsidR="003227BE">
        <w:rPr>
          <w:rFonts w:ascii="Times New Roman" w:eastAsia="MS PGothic" w:hAnsi="Times New Roman"/>
          <w:lang w:val="en-GB"/>
        </w:rPr>
        <w:instrText>ADDIN CSL_CITATION {"citationItems":[{"id":"ITEM-1","itemData":{"DOI":"10.1016/j.algal.2021.102518","ISSN":"2211-9264","author":[{"dropping-particle":"","family":"Trentin","given":"Giulia","non-dropping-particle":"","parse-names":false,"suffix":""},{"dropping-particle":"","family":"Lucato","given":"Veronica","non-dropping-particle":"","parse-names":false,"suffix":""},{"dropping-particle":"","family":"Sforza","given":"Eleonora","non-dropping-particle":"","parse-names":false,"suffix":""},{"dropping-particle":"","family":"Bertucco","given":"Alberto","non-dropping-particle":"","parse-names":false,"suffix":""}],"container-title":"Algal Research","id":"ITEM-1","issue":"April","issued":{"date-parts":[["2021"]]},"page":"102518","publisher":"Elsevier B.V.","title":"Stabilizing autotrophic cyanophycin production in continuous photobioreactors","type":"article-journal","volume":"60"},"uris":["http://www.mendeley.com/documents/?uuid=1b9303f7-7b12-4929-be48-472e001cd229"]}],"mendeley":{"formattedCitation":"[9]","plainTextFormattedCitation":"[9]","previouslyFormattedCitation":"[9]"},"properties":{"noteIndex":0},"schema":"https://github.com/citation-style-language/schema/raw/master/csl-citation.json"}</w:instrText>
      </w:r>
      <w:r w:rsidRPr="003576ED">
        <w:rPr>
          <w:rFonts w:ascii="Times New Roman" w:eastAsia="MS PGothic" w:hAnsi="Times New Roman"/>
          <w:lang w:val="en-GB"/>
        </w:rPr>
        <w:fldChar w:fldCharType="separate"/>
      </w:r>
      <w:r w:rsidRPr="0049533F">
        <w:rPr>
          <w:rFonts w:ascii="Times New Roman" w:eastAsia="MS PGothic" w:hAnsi="Times New Roman"/>
          <w:noProof/>
          <w:lang w:val="en-GB"/>
        </w:rPr>
        <w:t>[9]</w:t>
      </w:r>
      <w:r w:rsidRPr="003576ED">
        <w:rPr>
          <w:rFonts w:ascii="Times New Roman" w:eastAsia="MS PGothic" w:hAnsi="Times New Roman"/>
          <w:lang w:val="en-GB"/>
        </w:rPr>
        <w:fldChar w:fldCharType="end"/>
      </w:r>
      <w:r w:rsidRPr="003576ED">
        <w:rPr>
          <w:rFonts w:ascii="Times New Roman" w:eastAsia="MS PGothic" w:hAnsi="Times New Roman"/>
          <w:lang w:val="en-GB"/>
        </w:rPr>
        <w:t xml:space="preserve"> and on continuous cultivation of diazotrophic cyanobacteria </w:t>
      </w:r>
      <w:r w:rsidRPr="003576ED">
        <w:rPr>
          <w:rFonts w:ascii="Times New Roman" w:eastAsia="MS PGothic" w:hAnsi="Times New Roman"/>
          <w:lang w:val="en-GB"/>
        </w:rPr>
        <w:fldChar w:fldCharType="begin" w:fldLock="1"/>
      </w:r>
      <w:r w:rsidR="003227BE">
        <w:rPr>
          <w:rFonts w:ascii="Times New Roman" w:eastAsia="MS PGothic" w:hAnsi="Times New Roman"/>
          <w:lang w:val="en-GB"/>
        </w:rPr>
        <w:instrText>ADDIN CSL_CITATION {"citationItems":[{"id":"ITEM-1","itemData":{"DOI":"10.3389/fbioe.2019.00274","ISSN":"22964185","abstract":"Modeling the growth of photosynthetic organisms is challenging, due to the complex role of light, which can be limiting because of self-shading, or photoinhibiting in the case of high intensities. A case of particular interest is represented by nitrogen-fixing cyanobacteria, whose growth is controlled not only by the light intensity, but also by the availability of atmospheric nitrogen in the liquid medium. The determination of the maximum specific growth rate is often affected by many variables that, in batch growth systems, may change significantly. On the other hand, in a continuous system, once the steady state is reached the values of all the process variables remain constant, including the biomass concentration and the specific light supply rate. In this work, the diazotrophic cyanobacterium Anabaena PCC 7122 was cultivated in continuous photobioreactors, to investigate the role of nitrogen, light and residence time on growth kinetics, and to retrieve the value of the maximum specific growth rate of this organism. In addition, the kinetic parameters for temperature and the half saturation constant for nitrogen (3 mg L−1 ) were measured by respirometric tests. Based on the results of continuous experiments, the specific maintenance rate was found to depend on the light intensity supplied to the reactor, ranging between 0.5 and 0.8 d−1. All these parameters were used to develop a kinetic model able to describe the biomass growth in autotrophic conditions. The maximum specific growth rate could hence be determined by applying the kinetic model in the material balances of the continuous photobioreactor, and resulted equal to 8.22 ± 0.69 d−1.","author":[{"dropping-particle":"","family":"Barbera","given":"Elena","non-dropping-particle":"","parse-names":false,"suffix":""},{"dropping-particle":"","family":"Grandi","given":"Alessia","non-dropping-particle":"","parse-names":false,"suffix":""},{"dropping-particle":"","family":"Borella","given":"Lisa","non-dropping-particle":"","parse-names":false,"suffix":""},{"dropping-particle":"","family":"Bertucco","given":"Alberto","non-dropping-particle":"","parse-names":false,"suffix":""},{"dropping-particle":"","family":"Sforza","given":"Eleonora","non-dropping-particle":"","parse-names":false,"suffix":""}],"container-title":"Frontiers in Bioengineering and Biotechnology","id":"ITEM-1","issue":"OCT","issued":{"date-parts":[["2019"]]},"page":"1-12","title":"Continuous cultivation as a method to assess the maximum specific growth rate of photosynthetic organisms","type":"article-journal","volume":"7"},"uris":["http://www.mendeley.com/documents/?uuid=4471ad8f-7a2e-4650-8b1f-27c3be831c65"]}],"mendeley":{"formattedCitation":"[7]","plainTextFormattedCitation":"[7]","previouslyFormattedCitation":"[7]"},"properties":{"noteIndex":0},"schema":"https://github.com/citation-style-language/schema/raw/master/csl-citation.json"}</w:instrText>
      </w:r>
      <w:r w:rsidRPr="003576ED">
        <w:rPr>
          <w:rFonts w:ascii="Times New Roman" w:eastAsia="MS PGothic" w:hAnsi="Times New Roman"/>
          <w:lang w:val="en-GB"/>
        </w:rPr>
        <w:fldChar w:fldCharType="separate"/>
      </w:r>
      <w:r w:rsidRPr="0049533F">
        <w:rPr>
          <w:rFonts w:ascii="Times New Roman" w:eastAsia="MS PGothic" w:hAnsi="Times New Roman"/>
          <w:noProof/>
          <w:lang w:val="en-GB"/>
        </w:rPr>
        <w:t>[7]</w:t>
      </w:r>
      <w:r w:rsidRPr="003576ED">
        <w:rPr>
          <w:rFonts w:ascii="Times New Roman" w:eastAsia="MS PGothic" w:hAnsi="Times New Roman"/>
          <w:lang w:val="en-GB"/>
        </w:rPr>
        <w:fldChar w:fldCharType="end"/>
      </w:r>
      <w:r w:rsidRPr="003576ED">
        <w:rPr>
          <w:rFonts w:ascii="Times New Roman" w:eastAsia="MS PGothic" w:hAnsi="Times New Roman"/>
          <w:lang w:val="en-GB"/>
        </w:rPr>
        <w:t>.</w:t>
      </w:r>
      <w:r>
        <w:rPr>
          <w:rFonts w:ascii="Times New Roman" w:eastAsia="MS PGothic" w:hAnsi="Times New Roman"/>
          <w:lang w:val="en-GB"/>
        </w:rPr>
        <w:t xml:space="preserve"> Then, a</w:t>
      </w:r>
      <w:r w:rsidRPr="00034CC9">
        <w:rPr>
          <w:rFonts w:ascii="Times New Roman" w:eastAsia="MS PGothic" w:hAnsi="Times New Roman"/>
          <w:lang w:val="en-GB"/>
        </w:rPr>
        <w:t xml:space="preserve"> second set of experiments was carried out with </w:t>
      </w:r>
      <w:r w:rsidRPr="00034CC9">
        <w:rPr>
          <w:rFonts w:ascii="Times New Roman" w:eastAsia="MS PGothic" w:hAnsi="Times New Roman"/>
          <w:i/>
          <w:iCs/>
          <w:lang w:val="en-GB"/>
        </w:rPr>
        <w:t>Nostoc</w:t>
      </w:r>
      <w:r w:rsidRPr="00034CC9">
        <w:rPr>
          <w:rFonts w:ascii="Times New Roman" w:eastAsia="MS PGothic" w:hAnsi="Times New Roman"/>
          <w:lang w:val="en-GB"/>
        </w:rPr>
        <w:t xml:space="preserve"> sp. PCC 7120 to test the effect of the incident light intensity, the residence time, and the nitrogen availability.</w:t>
      </w:r>
      <w:r>
        <w:rPr>
          <w:rFonts w:ascii="Times New Roman" w:eastAsia="MS PGothic" w:hAnsi="Times New Roman"/>
          <w:lang w:val="en-GB"/>
        </w:rPr>
        <w:t xml:space="preserve"> </w:t>
      </w:r>
      <w:r w:rsidRPr="0032179D">
        <w:rPr>
          <w:rFonts w:ascii="Times New Roman" w:eastAsia="MS PGothic" w:hAnsi="Times New Roman"/>
          <w:lang w:val="en-GB"/>
        </w:rPr>
        <w:t xml:space="preserve">Each </w:t>
      </w:r>
      <w:r>
        <w:rPr>
          <w:rFonts w:ascii="Times New Roman" w:eastAsia="MS PGothic" w:hAnsi="Times New Roman"/>
          <w:lang w:val="en-GB"/>
        </w:rPr>
        <w:t>variable</w:t>
      </w:r>
      <w:r w:rsidRPr="0032179D">
        <w:rPr>
          <w:rFonts w:ascii="Times New Roman" w:eastAsia="MS PGothic" w:hAnsi="Times New Roman"/>
          <w:lang w:val="en-GB"/>
        </w:rPr>
        <w:t xml:space="preserve"> was varied keeping the other at a constant value, to see their effect individually</w:t>
      </w:r>
      <w:r>
        <w:rPr>
          <w:rFonts w:ascii="Times New Roman" w:eastAsia="MS PGothic" w:hAnsi="Times New Roman"/>
          <w:lang w:val="en-GB"/>
        </w:rPr>
        <w:t xml:space="preserve">. As for nitrogen solubility, it </w:t>
      </w:r>
      <w:r>
        <w:rPr>
          <w:rFonts w:ascii="Times New Roman" w:eastAsia="MS PGothic" w:hAnsi="Times New Roman"/>
          <w:lang w:val="en-GB"/>
        </w:rPr>
        <w:lastRenderedPageBreak/>
        <w:t>was assessed how the pH could influence N</w:t>
      </w:r>
      <w:r w:rsidRPr="00196C91">
        <w:rPr>
          <w:rFonts w:ascii="Times New Roman" w:eastAsia="MS PGothic" w:hAnsi="Times New Roman"/>
          <w:vertAlign w:val="subscript"/>
          <w:lang w:val="en-GB"/>
        </w:rPr>
        <w:t>2</w:t>
      </w:r>
      <w:r>
        <w:rPr>
          <w:rFonts w:ascii="Times New Roman" w:eastAsia="MS PGothic" w:hAnsi="Times New Roman"/>
          <w:lang w:val="en-GB"/>
        </w:rPr>
        <w:t xml:space="preserve"> solubility in the cultivation medium. Thus,</w:t>
      </w:r>
      <w:r w:rsidRPr="003576ED">
        <w:rPr>
          <w:rFonts w:ascii="Times New Roman" w:eastAsia="MS PGothic" w:hAnsi="Times New Roman"/>
          <w:lang w:val="en-GB"/>
        </w:rPr>
        <w:t xml:space="preserve"> sensitivity </w:t>
      </w:r>
      <w:r>
        <w:rPr>
          <w:rFonts w:ascii="Times New Roman" w:eastAsia="MS PGothic" w:hAnsi="Times New Roman"/>
          <w:lang w:val="en-GB"/>
        </w:rPr>
        <w:t>analysis on N</w:t>
      </w:r>
      <w:r w:rsidRPr="0007443E">
        <w:rPr>
          <w:rFonts w:ascii="Times New Roman" w:eastAsia="MS PGothic" w:hAnsi="Times New Roman"/>
          <w:vertAlign w:val="subscript"/>
          <w:lang w:val="en-GB"/>
        </w:rPr>
        <w:t>2</w:t>
      </w:r>
      <w:r>
        <w:rPr>
          <w:rFonts w:ascii="Times New Roman" w:eastAsia="MS PGothic" w:hAnsi="Times New Roman"/>
          <w:lang w:val="en-GB"/>
        </w:rPr>
        <w:t xml:space="preserve"> solubility</w:t>
      </w:r>
      <w:r w:rsidRPr="003576ED">
        <w:rPr>
          <w:rFonts w:ascii="Times New Roman" w:eastAsia="MS PGothic" w:hAnsi="Times New Roman"/>
          <w:lang w:val="en-GB"/>
        </w:rPr>
        <w:t xml:space="preserve"> </w:t>
      </w:r>
      <w:r>
        <w:rPr>
          <w:rFonts w:ascii="Times New Roman" w:eastAsia="MS PGothic" w:hAnsi="Times New Roman"/>
          <w:lang w:val="en-GB"/>
        </w:rPr>
        <w:t xml:space="preserve">was carried out using </w:t>
      </w:r>
      <w:r w:rsidRPr="003576ED">
        <w:rPr>
          <w:rFonts w:ascii="Times New Roman" w:eastAsia="MS PGothic" w:hAnsi="Times New Roman"/>
          <w:lang w:val="en-GB"/>
        </w:rPr>
        <w:t>Aspen Plus™ process simulator (V12.1)</w:t>
      </w:r>
      <w:r>
        <w:rPr>
          <w:rFonts w:ascii="Times New Roman" w:eastAsia="MS PGothic" w:hAnsi="Times New Roman"/>
          <w:lang w:val="en-GB"/>
        </w:rPr>
        <w:t>.</w:t>
      </w:r>
    </w:p>
    <w:p w14:paraId="26E3D982" w14:textId="6A3962F0" w:rsidR="00513F16" w:rsidRPr="003576ED" w:rsidRDefault="00513F16" w:rsidP="00513F16">
      <w:pPr>
        <w:snapToGrid w:val="0"/>
        <w:spacing w:after="120"/>
        <w:jc w:val="both"/>
        <w:rPr>
          <w:rFonts w:ascii="Times New Roman" w:eastAsia="MS PGothic" w:hAnsi="Times New Roman"/>
          <w:lang w:val="en-US"/>
        </w:rPr>
      </w:pPr>
    </w:p>
    <w:p w14:paraId="0528A46E"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3. Results and discussion</w:t>
      </w:r>
    </w:p>
    <w:p w14:paraId="4C421970" w14:textId="1B8DA68A" w:rsidR="0095254B" w:rsidRDefault="00571753" w:rsidP="00DC390C">
      <w:pPr>
        <w:snapToGrid w:val="0"/>
        <w:spacing w:before="240" w:line="300" w:lineRule="auto"/>
        <w:jc w:val="both"/>
        <w:rPr>
          <w:rFonts w:ascii="Times New Roman" w:eastAsia="MS PGothic" w:hAnsi="Times New Roman"/>
          <w:iCs/>
          <w:lang w:val="en-GB"/>
        </w:rPr>
      </w:pPr>
      <w:r w:rsidRPr="00B135F5">
        <w:rPr>
          <w:rFonts w:ascii="Times New Roman" w:eastAsia="MS PGothic" w:hAnsi="Times New Roman"/>
          <w:lang w:val="en-GB"/>
        </w:rPr>
        <w:t>The effect of different inlet phosphorus concentrations on the growth of two diazotrophic species was addressed to identify which growth condition allows to obtain a higher cyanophycin productivity.</w:t>
      </w:r>
      <w:r>
        <w:rPr>
          <w:rFonts w:ascii="Times New Roman" w:eastAsia="MS PGothic" w:hAnsi="Times New Roman"/>
          <w:lang w:val="en-GB"/>
        </w:rPr>
        <w:t xml:space="preserve"> </w:t>
      </w:r>
      <w:r w:rsidRPr="003208AD">
        <w:rPr>
          <w:rFonts w:ascii="Times New Roman" w:eastAsia="MS PGothic" w:hAnsi="Times New Roman"/>
          <w:iCs/>
          <w:lang w:val="en-GB"/>
        </w:rPr>
        <w:t>For both species, the biomass concentration decreased at a d</w:t>
      </w:r>
      <w:r>
        <w:rPr>
          <w:rFonts w:ascii="Times New Roman" w:eastAsia="MS PGothic" w:hAnsi="Times New Roman"/>
          <w:iCs/>
          <w:lang w:val="en-GB"/>
        </w:rPr>
        <w:t xml:space="preserve">ecreasing inlet P concentration, whereas </w:t>
      </w:r>
      <w:r w:rsidRPr="003208AD">
        <w:rPr>
          <w:rFonts w:ascii="Times New Roman" w:eastAsia="MS PGothic" w:hAnsi="Times New Roman"/>
          <w:iCs/>
          <w:lang w:val="en-GB"/>
        </w:rPr>
        <w:t>the cyanophycin quota increased</w:t>
      </w:r>
      <w:r>
        <w:rPr>
          <w:rFonts w:ascii="Times New Roman" w:eastAsia="MS PGothic" w:hAnsi="Times New Roman"/>
          <w:iCs/>
          <w:lang w:val="en-GB"/>
        </w:rPr>
        <w:t xml:space="preserve">, even if a species specificity was identified. </w:t>
      </w:r>
      <w:r w:rsidR="000D49E3">
        <w:rPr>
          <w:rFonts w:ascii="Times New Roman" w:eastAsia="MS PGothic" w:hAnsi="Times New Roman"/>
          <w:iCs/>
          <w:lang w:val="en-GB"/>
        </w:rPr>
        <w:t>(Figure 1)</w:t>
      </w:r>
      <w:r w:rsidR="0095254B">
        <w:rPr>
          <w:rFonts w:ascii="Times New Roman" w:eastAsia="MS PGothic" w:hAnsi="Times New Roman"/>
          <w:iCs/>
          <w:lang w:val="en-GB"/>
        </w:rPr>
        <w:t>.</w:t>
      </w:r>
    </w:p>
    <w:p w14:paraId="3443F4B5" w14:textId="77777777" w:rsidR="00A90DA3" w:rsidRDefault="00A90DA3" w:rsidP="00DC390C">
      <w:pPr>
        <w:snapToGrid w:val="0"/>
        <w:spacing w:before="240" w:line="300" w:lineRule="auto"/>
        <w:jc w:val="both"/>
        <w:rPr>
          <w:rFonts w:ascii="Times New Roman" w:eastAsia="MS PGothic" w:hAnsi="Times New Roman"/>
          <w:iCs/>
          <w:lang w:val="en-GB"/>
        </w:rPr>
      </w:pPr>
    </w:p>
    <w:p w14:paraId="2C827C47" w14:textId="61096B1D" w:rsidR="0095254B" w:rsidRDefault="00A90DA3" w:rsidP="0095254B">
      <w:pPr>
        <w:snapToGrid w:val="0"/>
        <w:spacing w:before="240" w:line="300" w:lineRule="auto"/>
        <w:jc w:val="center"/>
        <w:rPr>
          <w:rFonts w:ascii="Times New Roman" w:eastAsia="MS PGothic" w:hAnsi="Times New Roman"/>
          <w:iCs/>
          <w:lang w:val="en-GB"/>
        </w:rPr>
      </w:pPr>
      <w:r w:rsidRPr="00A90DA3">
        <w:rPr>
          <w:rFonts w:ascii="Times New Roman" w:eastAsia="MS PGothic" w:hAnsi="Times New Roman"/>
          <w:iCs/>
          <w:noProof/>
          <w:lang w:eastAsia="it-IT"/>
        </w:rPr>
        <w:drawing>
          <wp:inline distT="0" distB="0" distL="0" distR="0" wp14:anchorId="3DF9AEFE" wp14:editId="56660AD3">
            <wp:extent cx="2984500" cy="4591050"/>
            <wp:effectExtent l="0" t="0" r="6350" b="0"/>
            <wp:docPr id="5" name="Immagine 5" descr="C:\Users\trengiu29252\Desktop\Layou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engiu29252\Desktop\Layout1.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1230"/>
                    <a:stretch/>
                  </pic:blipFill>
                  <pic:spPr bwMode="auto">
                    <a:xfrm>
                      <a:off x="0" y="0"/>
                      <a:ext cx="2984759" cy="4591448"/>
                    </a:xfrm>
                    <a:prstGeom prst="rect">
                      <a:avLst/>
                    </a:prstGeom>
                    <a:noFill/>
                    <a:ln>
                      <a:noFill/>
                    </a:ln>
                    <a:extLst>
                      <a:ext uri="{53640926-AAD7-44D8-BBD7-CCE9431645EC}">
                        <a14:shadowObscured xmlns:a14="http://schemas.microsoft.com/office/drawing/2010/main"/>
                      </a:ext>
                    </a:extLst>
                  </pic:spPr>
                </pic:pic>
              </a:graphicData>
            </a:graphic>
          </wp:inline>
        </w:drawing>
      </w:r>
    </w:p>
    <w:p w14:paraId="749F052C" w14:textId="3B4F64F5" w:rsidR="00D40965" w:rsidRPr="00D40965" w:rsidRDefault="00D40965" w:rsidP="00D40965">
      <w:pPr>
        <w:spacing w:after="0" w:line="276" w:lineRule="auto"/>
        <w:ind w:left="66"/>
        <w:jc w:val="both"/>
        <w:rPr>
          <w:rFonts w:ascii="Times New Roman" w:eastAsia="Calibri" w:hAnsi="Times New Roman" w:cs="Times New Roman"/>
          <w:sz w:val="18"/>
          <w:szCs w:val="18"/>
          <w:lang w:val="en-GB"/>
        </w:rPr>
      </w:pPr>
      <w:r w:rsidRPr="00D40965">
        <w:rPr>
          <w:rFonts w:ascii="Times New Roman" w:eastAsia="Calibri" w:hAnsi="Times New Roman" w:cs="Times New Roman"/>
          <w:b/>
          <w:bCs/>
          <w:sz w:val="18"/>
          <w:szCs w:val="18"/>
          <w:lang w:val="en-GB"/>
        </w:rPr>
        <w:t>Figure 1</w:t>
      </w:r>
      <w:r w:rsidRPr="00D40965">
        <w:rPr>
          <w:rFonts w:ascii="Times New Roman" w:eastAsia="Calibri" w:hAnsi="Times New Roman" w:cs="Times New Roman"/>
          <w:sz w:val="18"/>
          <w:szCs w:val="18"/>
          <w:lang w:val="en-GB"/>
        </w:rPr>
        <w:t>. Steady state biomass concentration (</w:t>
      </w:r>
      <w:r w:rsidRPr="00D40965">
        <w:rPr>
          <w:rFonts w:ascii="Times New Roman" w:eastAsia="Calibri" w:hAnsi="Times New Roman" w:cs="Times New Roman"/>
          <w:i/>
          <w:iCs/>
          <w:sz w:val="18"/>
          <w:szCs w:val="18"/>
          <w:lang w:val="en-GB"/>
        </w:rPr>
        <w:t>c</w:t>
      </w:r>
      <w:r w:rsidRPr="00D40965">
        <w:rPr>
          <w:rFonts w:ascii="Times New Roman" w:eastAsia="Calibri" w:hAnsi="Times New Roman" w:cs="Times New Roman"/>
          <w:i/>
          <w:iCs/>
          <w:sz w:val="18"/>
          <w:szCs w:val="18"/>
          <w:vertAlign w:val="subscript"/>
          <w:lang w:val="en-GB"/>
        </w:rPr>
        <w:t>x</w:t>
      </w:r>
      <w:r w:rsidRPr="00D40965">
        <w:rPr>
          <w:rFonts w:ascii="Times New Roman" w:eastAsia="Calibri" w:hAnsi="Times New Roman" w:cs="Times New Roman"/>
          <w:sz w:val="18"/>
          <w:szCs w:val="18"/>
          <w:lang w:val="en-GB"/>
        </w:rPr>
        <w:t>), cyanophycin concentration (</w:t>
      </w:r>
      <w:proofErr w:type="spellStart"/>
      <w:r w:rsidRPr="00D40965">
        <w:rPr>
          <w:rFonts w:ascii="Times New Roman" w:eastAsia="Calibri" w:hAnsi="Times New Roman" w:cs="Times New Roman"/>
          <w:i/>
          <w:iCs/>
          <w:sz w:val="18"/>
          <w:szCs w:val="18"/>
          <w:lang w:val="en-GB"/>
        </w:rPr>
        <w:t>c</w:t>
      </w:r>
      <w:r w:rsidRPr="00D40965">
        <w:rPr>
          <w:rFonts w:ascii="Times New Roman" w:eastAsia="Calibri" w:hAnsi="Times New Roman" w:cs="Times New Roman"/>
          <w:i/>
          <w:iCs/>
          <w:sz w:val="18"/>
          <w:szCs w:val="18"/>
          <w:vertAlign w:val="subscript"/>
          <w:lang w:val="en-GB"/>
        </w:rPr>
        <w:t>CGP</w:t>
      </w:r>
      <w:proofErr w:type="spellEnd"/>
      <w:r w:rsidRPr="00D40965">
        <w:rPr>
          <w:rFonts w:ascii="Times New Roman" w:eastAsia="Calibri" w:hAnsi="Times New Roman" w:cs="Times New Roman"/>
          <w:sz w:val="18"/>
          <w:szCs w:val="18"/>
          <w:lang w:val="en-GB"/>
        </w:rPr>
        <w:t>), biomass productivity (</w:t>
      </w:r>
      <w:proofErr w:type="spellStart"/>
      <w:r w:rsidRPr="00D40965">
        <w:rPr>
          <w:rFonts w:ascii="Times New Roman" w:eastAsia="Calibri" w:hAnsi="Times New Roman" w:cs="Times New Roman"/>
          <w:i/>
          <w:iCs/>
          <w:sz w:val="18"/>
          <w:szCs w:val="18"/>
          <w:lang w:val="en-GB"/>
        </w:rPr>
        <w:t>P</w:t>
      </w:r>
      <w:r w:rsidRPr="00D40965">
        <w:rPr>
          <w:rFonts w:ascii="Times New Roman" w:eastAsia="Calibri" w:hAnsi="Times New Roman" w:cs="Times New Roman"/>
          <w:i/>
          <w:iCs/>
          <w:sz w:val="18"/>
          <w:szCs w:val="18"/>
          <w:vertAlign w:val="subscript"/>
          <w:lang w:val="en-GB"/>
        </w:rPr>
        <w:t>x</w:t>
      </w:r>
      <w:proofErr w:type="spellEnd"/>
      <w:r w:rsidRPr="00D40965">
        <w:rPr>
          <w:rFonts w:ascii="Times New Roman" w:eastAsia="Calibri" w:hAnsi="Times New Roman" w:cs="Times New Roman"/>
          <w:sz w:val="18"/>
          <w:szCs w:val="18"/>
          <w:lang w:val="en-GB"/>
        </w:rPr>
        <w:t>) as function of the inlet phosphorus concentration (</w:t>
      </w:r>
      <w:proofErr w:type="spellStart"/>
      <w:r w:rsidRPr="00D40965">
        <w:rPr>
          <w:rFonts w:ascii="Times New Roman" w:eastAsia="Calibri" w:hAnsi="Times New Roman" w:cs="Times New Roman"/>
          <w:i/>
          <w:iCs/>
          <w:sz w:val="18"/>
          <w:szCs w:val="18"/>
          <w:lang w:val="en-GB"/>
        </w:rPr>
        <w:t>c</w:t>
      </w:r>
      <w:r w:rsidRPr="00D40965">
        <w:rPr>
          <w:rFonts w:ascii="Times New Roman" w:eastAsia="Calibri" w:hAnsi="Times New Roman" w:cs="Times New Roman"/>
          <w:i/>
          <w:iCs/>
          <w:sz w:val="18"/>
          <w:szCs w:val="18"/>
          <w:vertAlign w:val="subscript"/>
          <w:lang w:val="en-GB"/>
        </w:rPr>
        <w:t>P</w:t>
      </w:r>
      <w:proofErr w:type="spellEnd"/>
      <w:r w:rsidRPr="00D40965">
        <w:rPr>
          <w:rFonts w:ascii="Times New Roman" w:eastAsia="Calibri" w:hAnsi="Times New Roman" w:cs="Times New Roman"/>
          <w:sz w:val="18"/>
          <w:szCs w:val="18"/>
          <w:lang w:val="en-GB"/>
        </w:rPr>
        <w:t xml:space="preserve">) obtained with </w:t>
      </w:r>
      <w:r w:rsidRPr="00D40965">
        <w:rPr>
          <w:rFonts w:ascii="Times New Roman" w:eastAsia="Calibri" w:hAnsi="Times New Roman" w:cs="Times New Roman"/>
          <w:i/>
          <w:iCs/>
          <w:sz w:val="18"/>
          <w:szCs w:val="18"/>
          <w:lang w:val="en-GB"/>
        </w:rPr>
        <w:t>Anabaena cylindrica</w:t>
      </w:r>
      <w:r w:rsidRPr="00D40965">
        <w:rPr>
          <w:rFonts w:ascii="Times New Roman" w:eastAsia="Calibri" w:hAnsi="Times New Roman" w:cs="Times New Roman"/>
          <w:sz w:val="18"/>
          <w:szCs w:val="18"/>
          <w:lang w:val="en-GB"/>
        </w:rPr>
        <w:t xml:space="preserve"> (panel A) and with </w:t>
      </w:r>
      <w:r w:rsidRPr="00D40965">
        <w:rPr>
          <w:rFonts w:ascii="Times New Roman" w:eastAsia="Calibri" w:hAnsi="Times New Roman" w:cs="Times New Roman"/>
          <w:i/>
          <w:iCs/>
          <w:sz w:val="18"/>
          <w:szCs w:val="18"/>
          <w:lang w:val="en-GB"/>
        </w:rPr>
        <w:t>Nostoc</w:t>
      </w:r>
      <w:r w:rsidRPr="00D40965">
        <w:rPr>
          <w:rFonts w:ascii="Times New Roman" w:eastAsia="Calibri" w:hAnsi="Times New Roman" w:cs="Times New Roman"/>
          <w:sz w:val="18"/>
          <w:szCs w:val="18"/>
          <w:lang w:val="en-GB"/>
        </w:rPr>
        <w:t xml:space="preserve"> sp. PCC 7120 (panel </w:t>
      </w:r>
      <w:r>
        <w:rPr>
          <w:rFonts w:ascii="Times New Roman" w:eastAsia="Calibri" w:hAnsi="Times New Roman" w:cs="Times New Roman"/>
          <w:sz w:val="18"/>
          <w:szCs w:val="18"/>
          <w:lang w:val="en-GB"/>
        </w:rPr>
        <w:t>B</w:t>
      </w:r>
      <w:r w:rsidRPr="00D40965">
        <w:rPr>
          <w:rFonts w:ascii="Times New Roman" w:eastAsia="Calibri" w:hAnsi="Times New Roman" w:cs="Times New Roman"/>
          <w:sz w:val="18"/>
          <w:szCs w:val="18"/>
          <w:lang w:val="en-GB"/>
        </w:rPr>
        <w:t>). Error bars represent the standard deviation of at least 4 samples for each steady state (n≥4). Statistical analysis was conducted separately for each category of data. Data that do not share a letter are significantly different. Lines are just eye guides.</w:t>
      </w:r>
    </w:p>
    <w:p w14:paraId="3B9F78FF" w14:textId="702AE79A" w:rsidR="0095254B" w:rsidRDefault="0095254B" w:rsidP="00DC390C">
      <w:pPr>
        <w:snapToGrid w:val="0"/>
        <w:spacing w:before="240" w:line="300" w:lineRule="auto"/>
        <w:jc w:val="both"/>
        <w:rPr>
          <w:rFonts w:ascii="Times New Roman" w:eastAsia="MS PGothic" w:hAnsi="Times New Roman"/>
          <w:iCs/>
          <w:lang w:val="en-GB"/>
        </w:rPr>
      </w:pPr>
    </w:p>
    <w:p w14:paraId="2EF89B88" w14:textId="4747691B" w:rsidR="00571753" w:rsidRDefault="00571753" w:rsidP="00571753">
      <w:pPr>
        <w:snapToGrid w:val="0"/>
        <w:spacing w:before="240" w:line="300" w:lineRule="auto"/>
        <w:jc w:val="both"/>
        <w:rPr>
          <w:rFonts w:ascii="Times New Roman" w:eastAsia="MS PGothic" w:hAnsi="Times New Roman"/>
          <w:lang w:val="en-GB"/>
        </w:rPr>
      </w:pPr>
      <w:r>
        <w:rPr>
          <w:rFonts w:ascii="Times New Roman" w:eastAsia="MS PGothic" w:hAnsi="Times New Roman"/>
          <w:iCs/>
          <w:lang w:val="en-GB"/>
        </w:rPr>
        <w:t xml:space="preserve">As for nitrogen fixation, </w:t>
      </w:r>
      <w:r w:rsidRPr="00B44FBE">
        <w:rPr>
          <w:rFonts w:ascii="Times New Roman" w:eastAsia="MS PGothic" w:hAnsi="Times New Roman"/>
          <w:i/>
          <w:iCs/>
          <w:lang w:val="en-GB"/>
        </w:rPr>
        <w:t>Nostoc</w:t>
      </w:r>
      <w:r>
        <w:rPr>
          <w:rFonts w:ascii="Times New Roman" w:eastAsia="MS PGothic" w:hAnsi="Times New Roman"/>
          <w:iCs/>
          <w:lang w:val="en-GB"/>
        </w:rPr>
        <w:t xml:space="preserve"> sp. PCC 7120 was more efficient in all conditions. </w:t>
      </w:r>
      <w:r>
        <w:rPr>
          <w:rFonts w:ascii="Times New Roman" w:eastAsia="MS PGothic" w:hAnsi="Times New Roman"/>
          <w:lang w:val="en-GB"/>
        </w:rPr>
        <w:t>T</w:t>
      </w:r>
      <w:r w:rsidRPr="008E7A6C">
        <w:rPr>
          <w:rFonts w:ascii="Times New Roman" w:eastAsia="MS PGothic" w:hAnsi="Times New Roman"/>
          <w:lang w:val="en-GB"/>
        </w:rPr>
        <w:t xml:space="preserve">hese preliminary results confirmed that in a continuous system the amount of phosphorus fed at the inlet was a fundamental variable when studying cyanophycin production, but also suggested that other operating variables </w:t>
      </w:r>
      <w:r>
        <w:rPr>
          <w:rFonts w:ascii="Times New Roman" w:eastAsia="MS PGothic" w:hAnsi="Times New Roman"/>
          <w:lang w:val="en-GB"/>
        </w:rPr>
        <w:t xml:space="preserve">(incident light intensity, residence time, nitrogen availability) </w:t>
      </w:r>
      <w:r w:rsidRPr="008E7A6C">
        <w:rPr>
          <w:rFonts w:ascii="Times New Roman" w:eastAsia="MS PGothic" w:hAnsi="Times New Roman"/>
          <w:lang w:val="en-GB"/>
        </w:rPr>
        <w:t xml:space="preserve">can influence its accumulation and productivity in a continuous </w:t>
      </w:r>
      <w:r w:rsidRPr="008E7A6C">
        <w:rPr>
          <w:rFonts w:ascii="Times New Roman" w:eastAsia="MS PGothic" w:hAnsi="Times New Roman"/>
          <w:lang w:val="en-GB"/>
        </w:rPr>
        <w:lastRenderedPageBreak/>
        <w:t>system.</w:t>
      </w:r>
      <w:r>
        <w:rPr>
          <w:rFonts w:ascii="Times New Roman" w:eastAsia="MS PGothic" w:hAnsi="Times New Roman"/>
          <w:lang w:val="en-GB"/>
        </w:rPr>
        <w:t xml:space="preserve"> Thus, the subsequent studies were carried out with </w:t>
      </w:r>
      <w:r w:rsidRPr="00B44FBE">
        <w:rPr>
          <w:rFonts w:ascii="Times New Roman" w:eastAsia="MS PGothic" w:hAnsi="Times New Roman"/>
          <w:i/>
          <w:lang w:val="en-GB"/>
        </w:rPr>
        <w:t>Nostoc</w:t>
      </w:r>
      <w:r>
        <w:rPr>
          <w:rFonts w:ascii="Times New Roman" w:eastAsia="MS PGothic" w:hAnsi="Times New Roman"/>
          <w:lang w:val="en-GB"/>
        </w:rPr>
        <w:t xml:space="preserve"> sp. PCC 7120, because in the preliminary experiments was more efficient </w:t>
      </w:r>
      <w:r w:rsidRPr="00B44FBE">
        <w:rPr>
          <w:rFonts w:ascii="Times New Roman" w:eastAsia="MS PGothic" w:hAnsi="Times New Roman"/>
          <w:lang w:val="en-GB"/>
        </w:rPr>
        <w:t>both in biomass, nitrogen and cyanophycin productivity</w:t>
      </w:r>
      <w:r>
        <w:rPr>
          <w:rFonts w:ascii="Times New Roman" w:eastAsia="MS PGothic" w:hAnsi="Times New Roman"/>
          <w:lang w:val="en-GB"/>
        </w:rPr>
        <w:t xml:space="preserve">. In particular, a greater availability of nitrogen did not affect the internal quota of cyanophycin, but rather the growth of biomass. However, as a results, cyanophycin concentration and productivity increased. Overall, it was observed that the </w:t>
      </w:r>
      <w:r w:rsidRPr="00727B84">
        <w:rPr>
          <w:rFonts w:ascii="Times New Roman" w:eastAsia="MS PGothic" w:hAnsi="Times New Roman"/>
          <w:lang w:val="en-GB"/>
        </w:rPr>
        <w:t>production of cyanophycin was strictly dependent on the concentration of phosphorus present in the culture medium</w:t>
      </w:r>
      <w:r>
        <w:rPr>
          <w:rFonts w:ascii="Times New Roman" w:eastAsia="MS PGothic" w:hAnsi="Times New Roman"/>
          <w:lang w:val="en-GB"/>
        </w:rPr>
        <w:t>: o</w:t>
      </w:r>
      <w:r w:rsidRPr="00727B84">
        <w:rPr>
          <w:rFonts w:ascii="Times New Roman" w:eastAsia="MS PGothic" w:hAnsi="Times New Roman"/>
          <w:lang w:val="en-GB"/>
        </w:rPr>
        <w:t>nly decreasing the P quota, it was possible to measure a higher amount of cyanophycin in the biomass.</w:t>
      </w:r>
    </w:p>
    <w:p w14:paraId="199810CB" w14:textId="77777777" w:rsidR="007714C7" w:rsidRPr="00466FFD" w:rsidRDefault="007714C7" w:rsidP="00571753">
      <w:pPr>
        <w:snapToGrid w:val="0"/>
        <w:spacing w:before="240" w:line="300" w:lineRule="auto"/>
        <w:jc w:val="both"/>
        <w:rPr>
          <w:rFonts w:ascii="Times New Roman" w:eastAsia="MS PGothic" w:hAnsi="Times New Roman"/>
          <w:b/>
          <w:bCs/>
          <w:sz w:val="20"/>
          <w:lang w:val="en-US"/>
        </w:rPr>
      </w:pPr>
    </w:p>
    <w:p w14:paraId="0DE817AB" w14:textId="77777777" w:rsidR="00DA51A3" w:rsidRPr="00466FFD" w:rsidRDefault="00DA51A3" w:rsidP="00DA51A3">
      <w:pPr>
        <w:snapToGrid w:val="0"/>
        <w:spacing w:before="240" w:line="300" w:lineRule="auto"/>
        <w:rPr>
          <w:rFonts w:ascii="Times New Roman" w:eastAsia="MS PGothic" w:hAnsi="Times New Roman"/>
          <w:lang w:val="en-US" w:eastAsia="ko-KR"/>
        </w:rPr>
      </w:pPr>
      <w:r w:rsidRPr="00466FFD">
        <w:rPr>
          <w:rFonts w:ascii="Times New Roman" w:eastAsia="MS PGothic" w:hAnsi="Times New Roman"/>
          <w:b/>
          <w:bCs/>
          <w:lang w:val="en-US"/>
        </w:rPr>
        <w:t>4. Conclusion</w:t>
      </w:r>
      <w:r w:rsidRPr="00466FFD">
        <w:rPr>
          <w:rFonts w:ascii="Times New Roman" w:eastAsia="MS PGothic" w:hAnsi="Times New Roman"/>
          <w:b/>
          <w:bCs/>
          <w:lang w:val="en-US" w:eastAsia="ko-KR"/>
        </w:rPr>
        <w:t>s</w:t>
      </w:r>
    </w:p>
    <w:p w14:paraId="7C99E670" w14:textId="79C9095E" w:rsidR="00571753" w:rsidRDefault="00571753" w:rsidP="00571753">
      <w:pPr>
        <w:snapToGrid w:val="0"/>
        <w:spacing w:after="120"/>
        <w:jc w:val="both"/>
        <w:rPr>
          <w:rFonts w:ascii="Times New Roman" w:eastAsia="MS PGothic" w:hAnsi="Times New Roman"/>
          <w:lang w:val="en-GB"/>
        </w:rPr>
      </w:pPr>
      <w:r w:rsidRPr="00EB2997">
        <w:rPr>
          <w:rFonts w:ascii="Times New Roman" w:eastAsia="MS PGothic" w:hAnsi="Times New Roman"/>
          <w:lang w:val="en-GB"/>
        </w:rPr>
        <w:t xml:space="preserve">In this work, cyanophycin </w:t>
      </w:r>
      <w:r>
        <w:rPr>
          <w:rFonts w:ascii="Times New Roman" w:eastAsia="MS PGothic" w:hAnsi="Times New Roman"/>
          <w:lang w:val="en-GB"/>
        </w:rPr>
        <w:t xml:space="preserve">production </w:t>
      </w:r>
      <w:r w:rsidRPr="00EB2997">
        <w:rPr>
          <w:rFonts w:ascii="Times New Roman" w:eastAsia="MS PGothic" w:hAnsi="Times New Roman"/>
          <w:lang w:val="en-GB"/>
        </w:rPr>
        <w:t xml:space="preserve">by diazotrophic cyanobacteria </w:t>
      </w:r>
      <w:r>
        <w:rPr>
          <w:rFonts w:ascii="Times New Roman" w:eastAsia="MS PGothic" w:hAnsi="Times New Roman"/>
          <w:lang w:val="en-GB"/>
        </w:rPr>
        <w:t>(</w:t>
      </w:r>
      <w:r w:rsidRPr="00EB2997">
        <w:rPr>
          <w:rFonts w:ascii="Times New Roman" w:eastAsia="MS PGothic" w:hAnsi="Times New Roman"/>
          <w:i/>
          <w:lang w:val="en-GB"/>
        </w:rPr>
        <w:t>Anabaena cylindrica</w:t>
      </w:r>
      <w:r w:rsidRPr="00EB2997">
        <w:rPr>
          <w:rFonts w:ascii="Times New Roman" w:eastAsia="MS PGothic" w:hAnsi="Times New Roman"/>
          <w:lang w:val="en-GB"/>
        </w:rPr>
        <w:t xml:space="preserve"> and </w:t>
      </w:r>
      <w:r w:rsidRPr="00EB2997">
        <w:rPr>
          <w:rFonts w:ascii="Times New Roman" w:eastAsia="MS PGothic" w:hAnsi="Times New Roman"/>
          <w:i/>
          <w:lang w:val="en-GB"/>
        </w:rPr>
        <w:t>Nostoc</w:t>
      </w:r>
      <w:r>
        <w:rPr>
          <w:rFonts w:ascii="Times New Roman" w:eastAsia="MS PGothic" w:hAnsi="Times New Roman"/>
          <w:lang w:val="en-GB"/>
        </w:rPr>
        <w:t xml:space="preserve"> sp. PCC 7120) </w:t>
      </w:r>
      <w:r>
        <w:rPr>
          <w:rFonts w:ascii="Times New Roman" w:eastAsia="MS PGothic" w:hAnsi="Times New Roman"/>
          <w:lang w:val="en-US"/>
        </w:rPr>
        <w:t xml:space="preserve">during photosynthetic cultivation </w:t>
      </w:r>
      <w:r w:rsidRPr="00EB2997">
        <w:rPr>
          <w:rFonts w:ascii="Times New Roman" w:eastAsia="MS PGothic" w:hAnsi="Times New Roman"/>
          <w:lang w:val="en-GB"/>
        </w:rPr>
        <w:t xml:space="preserve">was </w:t>
      </w:r>
      <w:r>
        <w:rPr>
          <w:rFonts w:ascii="Times New Roman" w:eastAsia="MS PGothic" w:hAnsi="Times New Roman"/>
          <w:lang w:val="en-GB"/>
        </w:rPr>
        <w:t>investigated</w:t>
      </w:r>
      <w:r w:rsidRPr="00EB2997">
        <w:rPr>
          <w:rFonts w:ascii="Times New Roman" w:eastAsia="MS PGothic" w:hAnsi="Times New Roman"/>
          <w:lang w:val="en-GB"/>
        </w:rPr>
        <w:t xml:space="preserve"> in continuous experiments, with different inlet phosphorus concentration</w:t>
      </w:r>
      <w:r>
        <w:rPr>
          <w:rFonts w:ascii="Times New Roman" w:eastAsia="MS PGothic" w:hAnsi="Times New Roman"/>
          <w:lang w:val="en-GB"/>
        </w:rPr>
        <w:t xml:space="preserve">. </w:t>
      </w:r>
      <w:r w:rsidRPr="00EB2997">
        <w:rPr>
          <w:rFonts w:ascii="Times New Roman" w:eastAsia="MS PGothic" w:hAnsi="Times New Roman"/>
          <w:lang w:val="en-GB"/>
        </w:rPr>
        <w:t>The effect of other operating variables on biomass and cyanophycin accumulation was addressed</w:t>
      </w:r>
      <w:r>
        <w:rPr>
          <w:rFonts w:ascii="Times New Roman" w:eastAsia="MS PGothic" w:hAnsi="Times New Roman"/>
          <w:lang w:val="en-GB"/>
        </w:rPr>
        <w:t xml:space="preserve">, </w:t>
      </w:r>
      <w:r w:rsidRPr="00EB2997">
        <w:rPr>
          <w:rFonts w:ascii="Times New Roman" w:eastAsia="MS PGothic" w:hAnsi="Times New Roman"/>
          <w:lang w:val="en-GB"/>
        </w:rPr>
        <w:t>showing that</w:t>
      </w:r>
      <w:r>
        <w:rPr>
          <w:rFonts w:ascii="Times New Roman" w:eastAsia="MS PGothic" w:hAnsi="Times New Roman"/>
          <w:lang w:val="en-GB"/>
        </w:rPr>
        <w:t xml:space="preserve"> </w:t>
      </w:r>
      <w:r w:rsidRPr="00EB2997">
        <w:rPr>
          <w:rFonts w:ascii="Times New Roman" w:eastAsia="MS PGothic" w:hAnsi="Times New Roman"/>
          <w:lang w:val="en-GB"/>
        </w:rPr>
        <w:t xml:space="preserve">P limitation is the main variable affecting the cyanophycin accumulation, and the internal quota of P in the biomass is the trigger for </w:t>
      </w:r>
      <w:r>
        <w:rPr>
          <w:rFonts w:ascii="Times New Roman" w:eastAsia="MS PGothic" w:hAnsi="Times New Roman"/>
          <w:lang w:val="en-GB"/>
        </w:rPr>
        <w:t>cyanophycin</w:t>
      </w:r>
      <w:r w:rsidRPr="00EB2997">
        <w:rPr>
          <w:rFonts w:ascii="Times New Roman" w:eastAsia="MS PGothic" w:hAnsi="Times New Roman"/>
          <w:lang w:val="en-GB"/>
        </w:rPr>
        <w:t xml:space="preserve"> accumulation</w:t>
      </w:r>
      <w:r>
        <w:rPr>
          <w:rFonts w:ascii="Times New Roman" w:eastAsia="MS PGothic" w:hAnsi="Times New Roman"/>
          <w:lang w:val="en-GB"/>
        </w:rPr>
        <w:t>.</w:t>
      </w:r>
    </w:p>
    <w:p w14:paraId="3079623F" w14:textId="77777777" w:rsidR="007714C7" w:rsidRPr="00466FFD" w:rsidRDefault="007714C7" w:rsidP="00571753">
      <w:pPr>
        <w:snapToGrid w:val="0"/>
        <w:spacing w:after="120"/>
        <w:jc w:val="both"/>
        <w:rPr>
          <w:rFonts w:ascii="Times New Roman" w:eastAsia="MS PGothic" w:hAnsi="Times New Roman"/>
          <w:lang w:val="en-US"/>
        </w:rPr>
      </w:pPr>
    </w:p>
    <w:p w14:paraId="1845F659" w14:textId="77777777" w:rsidR="00DA51A3" w:rsidRPr="00466FFD" w:rsidRDefault="00DA51A3" w:rsidP="00DA51A3">
      <w:pPr>
        <w:snapToGrid w:val="0"/>
        <w:spacing w:before="240" w:line="300" w:lineRule="auto"/>
        <w:rPr>
          <w:rFonts w:ascii="Times New Roman" w:eastAsia="SimSun" w:hAnsi="Times New Roman"/>
          <w:b/>
          <w:bCs/>
          <w:lang w:val="en-US" w:eastAsia="zh-CN"/>
        </w:rPr>
      </w:pPr>
      <w:r w:rsidRPr="00466FFD">
        <w:rPr>
          <w:rFonts w:ascii="Times New Roman" w:eastAsia="MS PGothic" w:hAnsi="Times New Roman"/>
          <w:b/>
          <w:bCs/>
          <w:lang w:val="en-US"/>
        </w:rPr>
        <w:t xml:space="preserve">References </w:t>
      </w:r>
    </w:p>
    <w:p w14:paraId="5B608A6D" w14:textId="5DC49ED9" w:rsidR="003227BE" w:rsidRPr="00007847" w:rsidRDefault="00676F14"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lang w:val="en-GB"/>
        </w:rPr>
      </w:pPr>
      <w:r w:rsidRPr="00676F14">
        <w:rPr>
          <w:rFonts w:ascii="Times New Roman" w:hAnsi="Times New Roman" w:cs="Times New Roman"/>
          <w:sz w:val="20"/>
          <w:szCs w:val="20"/>
          <w:lang w:val="en-US"/>
        </w:rPr>
        <w:fldChar w:fldCharType="begin" w:fldLock="1"/>
      </w:r>
      <w:r w:rsidRPr="00676F14">
        <w:rPr>
          <w:rFonts w:ascii="Times New Roman" w:hAnsi="Times New Roman" w:cs="Times New Roman"/>
          <w:sz w:val="20"/>
          <w:szCs w:val="20"/>
          <w:lang w:val="en-US"/>
        </w:rPr>
        <w:instrText xml:space="preserve">ADDIN Mendeley Bibliography CSL_BIBLIOGRAPHY </w:instrText>
      </w:r>
      <w:r w:rsidRPr="00676F14">
        <w:rPr>
          <w:rFonts w:ascii="Times New Roman" w:hAnsi="Times New Roman" w:cs="Times New Roman"/>
          <w:sz w:val="20"/>
          <w:szCs w:val="20"/>
          <w:lang w:val="en-US"/>
        </w:rPr>
        <w:fldChar w:fldCharType="separate"/>
      </w:r>
      <w:r w:rsidR="003227BE" w:rsidRPr="00007847">
        <w:rPr>
          <w:rFonts w:ascii="Times New Roman" w:hAnsi="Times New Roman" w:cs="Times New Roman"/>
          <w:noProof/>
          <w:sz w:val="20"/>
          <w:szCs w:val="24"/>
          <w:lang w:val="en-GB"/>
        </w:rPr>
        <w:t>[1]</w:t>
      </w:r>
      <w:r w:rsidR="003227BE" w:rsidRPr="00007847">
        <w:rPr>
          <w:rFonts w:ascii="Times New Roman" w:hAnsi="Times New Roman" w:cs="Times New Roman"/>
          <w:noProof/>
          <w:sz w:val="20"/>
          <w:szCs w:val="24"/>
          <w:lang w:val="en-GB"/>
        </w:rPr>
        <w:tab/>
        <w:t>J. Nørskov, J. Chen, E. Al., DOE Roundtable Report, 2016.</w:t>
      </w:r>
    </w:p>
    <w:p w14:paraId="21AB6692" w14:textId="77777777" w:rsidR="003227BE" w:rsidRPr="003227BE"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007847">
        <w:rPr>
          <w:rFonts w:ascii="Times New Roman" w:hAnsi="Times New Roman" w:cs="Times New Roman"/>
          <w:noProof/>
          <w:sz w:val="20"/>
          <w:szCs w:val="24"/>
          <w:lang w:val="en-GB"/>
        </w:rPr>
        <w:t>[2]</w:t>
      </w:r>
      <w:r w:rsidRPr="00007847">
        <w:rPr>
          <w:rFonts w:ascii="Times New Roman" w:hAnsi="Times New Roman" w:cs="Times New Roman"/>
          <w:noProof/>
          <w:sz w:val="20"/>
          <w:szCs w:val="24"/>
          <w:lang w:val="en-GB"/>
        </w:rPr>
        <w:tab/>
        <w:t xml:space="preserve">M. Wang, M.A. Khan, I. Mohsin, J. Wicks, A.H. Ip, K.Z. Sumon, C.-T. Dinh, E.H. Sargent, I.D. Gates, M.G. Kibria, Can sustainable ammonia synthesis pathways compete with fossil-fuel based Haber–Bosch processes?, Energy Environ. </w:t>
      </w:r>
      <w:r w:rsidRPr="003227BE">
        <w:rPr>
          <w:rFonts w:ascii="Times New Roman" w:hAnsi="Times New Roman" w:cs="Times New Roman"/>
          <w:noProof/>
          <w:sz w:val="20"/>
          <w:szCs w:val="24"/>
        </w:rPr>
        <w:t>Sci. 14 (2021) 2535–2548. https://doi.org/10.1039/D0EE03808C.</w:t>
      </w:r>
    </w:p>
    <w:p w14:paraId="478AA2E4" w14:textId="77777777" w:rsidR="003227BE" w:rsidRPr="003227BE"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3227BE">
        <w:rPr>
          <w:rFonts w:ascii="Times New Roman" w:hAnsi="Times New Roman" w:cs="Times New Roman"/>
          <w:noProof/>
          <w:sz w:val="20"/>
          <w:szCs w:val="24"/>
        </w:rPr>
        <w:t>[3]</w:t>
      </w:r>
      <w:r w:rsidRPr="003227BE">
        <w:rPr>
          <w:rFonts w:ascii="Times New Roman" w:hAnsi="Times New Roman" w:cs="Times New Roman"/>
          <w:noProof/>
          <w:sz w:val="20"/>
          <w:szCs w:val="24"/>
        </w:rPr>
        <w:tab/>
        <w:t>E. Mariani, L’industria dell’azoto, in: A. Girelli, L. Matteoli, F. Parisi (Eds.), Trattato Di Chim. Ind. e Appl. Vol. 1, Zanichelli, 1969: pp. 521–590.</w:t>
      </w:r>
    </w:p>
    <w:p w14:paraId="2C97D2FB" w14:textId="77777777" w:rsidR="003227BE" w:rsidRPr="003227BE"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3227BE">
        <w:rPr>
          <w:rFonts w:ascii="Times New Roman" w:hAnsi="Times New Roman" w:cs="Times New Roman"/>
          <w:noProof/>
          <w:sz w:val="20"/>
          <w:szCs w:val="24"/>
        </w:rPr>
        <w:t>[4]</w:t>
      </w:r>
      <w:r w:rsidRPr="003227BE">
        <w:rPr>
          <w:rFonts w:ascii="Times New Roman" w:hAnsi="Times New Roman" w:cs="Times New Roman"/>
          <w:noProof/>
          <w:sz w:val="20"/>
          <w:szCs w:val="24"/>
        </w:rPr>
        <w:tab/>
        <w:t>N. Rascio, N. La Rocca, Biological Nitrogen Fixation ☆, Elsevier Inc., 2013. https://doi.org/10.1016/B978-0-12-409548-9.00685-0.</w:t>
      </w:r>
    </w:p>
    <w:p w14:paraId="5785ABF7" w14:textId="77777777" w:rsidR="003227BE" w:rsidRPr="00007847"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lang w:val="en-GB"/>
        </w:rPr>
      </w:pPr>
      <w:r w:rsidRPr="00007847">
        <w:rPr>
          <w:rFonts w:ascii="Times New Roman" w:hAnsi="Times New Roman" w:cs="Times New Roman"/>
          <w:noProof/>
          <w:sz w:val="20"/>
          <w:szCs w:val="24"/>
          <w:lang w:val="en-GB"/>
        </w:rPr>
        <w:t>[5]</w:t>
      </w:r>
      <w:r w:rsidRPr="00007847">
        <w:rPr>
          <w:rFonts w:ascii="Times New Roman" w:hAnsi="Times New Roman" w:cs="Times New Roman"/>
          <w:noProof/>
          <w:sz w:val="20"/>
          <w:szCs w:val="24"/>
          <w:lang w:val="en-GB"/>
        </w:rPr>
        <w:tab/>
        <w:t>L.J. Stal, Nitrogen Fixation in Cyanobacteria, ELS. (2015) 1–9. https://doi.org/https://doi.org/10.1002/9780470015902.a0021159.pub2.</w:t>
      </w:r>
    </w:p>
    <w:p w14:paraId="3E231931" w14:textId="77777777" w:rsidR="003227BE" w:rsidRPr="00007847"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lang w:val="en-GB"/>
        </w:rPr>
      </w:pPr>
      <w:r w:rsidRPr="00007847">
        <w:rPr>
          <w:rFonts w:ascii="Times New Roman" w:hAnsi="Times New Roman" w:cs="Times New Roman"/>
          <w:noProof/>
          <w:sz w:val="20"/>
          <w:szCs w:val="24"/>
          <w:lang w:val="en-GB"/>
        </w:rPr>
        <w:t>[6]</w:t>
      </w:r>
      <w:r w:rsidRPr="00007847">
        <w:rPr>
          <w:rFonts w:ascii="Times New Roman" w:hAnsi="Times New Roman" w:cs="Times New Roman"/>
          <w:noProof/>
          <w:sz w:val="20"/>
          <w:szCs w:val="24"/>
          <w:lang w:val="en-GB"/>
        </w:rPr>
        <w:tab/>
        <w:t>J. Du, L. Li, S. Zhou, Microbial production of cyanophycin: From enzymes to biopolymers, Biotechnol. Adv. 37 (2019). https://doi.org/10.1016/j.biotechadv.2019.05.006.</w:t>
      </w:r>
    </w:p>
    <w:p w14:paraId="638A4D4E" w14:textId="77777777" w:rsidR="003227BE" w:rsidRPr="00007847"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lang w:val="en-GB"/>
        </w:rPr>
      </w:pPr>
      <w:r w:rsidRPr="00007847">
        <w:rPr>
          <w:rFonts w:ascii="Times New Roman" w:hAnsi="Times New Roman" w:cs="Times New Roman"/>
          <w:noProof/>
          <w:sz w:val="20"/>
          <w:szCs w:val="24"/>
          <w:lang w:val="en-GB"/>
        </w:rPr>
        <w:t>[7]</w:t>
      </w:r>
      <w:r w:rsidRPr="00007847">
        <w:rPr>
          <w:rFonts w:ascii="Times New Roman" w:hAnsi="Times New Roman" w:cs="Times New Roman"/>
          <w:noProof/>
          <w:sz w:val="20"/>
          <w:szCs w:val="24"/>
          <w:lang w:val="en-GB"/>
        </w:rPr>
        <w:tab/>
        <w:t>E. Barbera, A. Grandi, L. Borella, A. Bertucco, E. Sforza, Continuous cultivation as a method to assess the maximum specific growth rate of photosynthetic organisms, Front. Bioeng. Biotechnol. 7 (2019) 1–12. https://doi.org/10.3389/fbioe.2019.00274.</w:t>
      </w:r>
    </w:p>
    <w:p w14:paraId="4BC4A7BD" w14:textId="77777777" w:rsidR="003227BE" w:rsidRPr="00007847"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szCs w:val="24"/>
          <w:lang w:val="en-GB"/>
        </w:rPr>
      </w:pPr>
      <w:r w:rsidRPr="00007847">
        <w:rPr>
          <w:rFonts w:ascii="Times New Roman" w:hAnsi="Times New Roman" w:cs="Times New Roman"/>
          <w:noProof/>
          <w:sz w:val="20"/>
          <w:szCs w:val="24"/>
          <w:lang w:val="en-GB"/>
        </w:rPr>
        <w:t>[8]</w:t>
      </w:r>
      <w:r w:rsidRPr="00007847">
        <w:rPr>
          <w:rFonts w:ascii="Times New Roman" w:hAnsi="Times New Roman" w:cs="Times New Roman"/>
          <w:noProof/>
          <w:sz w:val="20"/>
          <w:szCs w:val="24"/>
          <w:lang w:val="en-GB"/>
        </w:rPr>
        <w:tab/>
        <w:t>R. Rippka, J.J.B.W. Deruelles, J.B. Waterbury, M. A. Herdman, R.Y. Stanier, Generic Assignments, Strain Histories and Properties of Pure Cultures of Cyanobacteria, Microbiology-Sgm. 111 (1979) 1–61. https://doi.org/10.1099/00221287-111-1-1.</w:t>
      </w:r>
    </w:p>
    <w:p w14:paraId="5263E7E8" w14:textId="77777777" w:rsidR="003227BE" w:rsidRPr="00007847" w:rsidRDefault="003227BE" w:rsidP="003227BE">
      <w:pPr>
        <w:widowControl w:val="0"/>
        <w:autoSpaceDE w:val="0"/>
        <w:autoSpaceDN w:val="0"/>
        <w:adjustRightInd w:val="0"/>
        <w:spacing w:after="0" w:line="240" w:lineRule="auto"/>
        <w:ind w:left="640" w:hanging="640"/>
        <w:jc w:val="both"/>
        <w:rPr>
          <w:rFonts w:ascii="Times New Roman" w:hAnsi="Times New Roman" w:cs="Times New Roman"/>
          <w:noProof/>
          <w:sz w:val="20"/>
          <w:lang w:val="en-GB"/>
        </w:rPr>
      </w:pPr>
      <w:r w:rsidRPr="00007847">
        <w:rPr>
          <w:rFonts w:ascii="Times New Roman" w:hAnsi="Times New Roman" w:cs="Times New Roman"/>
          <w:noProof/>
          <w:sz w:val="20"/>
          <w:szCs w:val="24"/>
          <w:lang w:val="en-GB"/>
        </w:rPr>
        <w:t>[9]</w:t>
      </w:r>
      <w:r w:rsidRPr="00007847">
        <w:rPr>
          <w:rFonts w:ascii="Times New Roman" w:hAnsi="Times New Roman" w:cs="Times New Roman"/>
          <w:noProof/>
          <w:sz w:val="20"/>
          <w:szCs w:val="24"/>
          <w:lang w:val="en-GB"/>
        </w:rPr>
        <w:tab/>
        <w:t>G. Trentin, V. Lucato, E. Sforza, A. Bertucco, Stabilizing autotrophic cyanophycin production in continuous photobioreactors, Algal Res. 60 (2021) 102518. https://doi.org/10.1016/j.algal.2021.102518.</w:t>
      </w:r>
    </w:p>
    <w:p w14:paraId="35B6A13D" w14:textId="09010617" w:rsidR="008B2E8F" w:rsidRPr="00F9107F" w:rsidRDefault="00676F14" w:rsidP="00F9107F">
      <w:pPr>
        <w:snapToGrid w:val="0"/>
        <w:spacing w:before="240" w:line="300" w:lineRule="auto"/>
        <w:rPr>
          <w:rFonts w:ascii="Times New Roman" w:eastAsia="MS PGothic" w:hAnsi="Times New Roman"/>
          <w:b/>
          <w:bCs/>
          <w:lang w:val="en-US"/>
        </w:rPr>
      </w:pPr>
      <w:r w:rsidRPr="00676F14">
        <w:rPr>
          <w:rFonts w:ascii="Times New Roman" w:hAnsi="Times New Roman" w:cs="Times New Roman"/>
          <w:sz w:val="20"/>
          <w:szCs w:val="20"/>
          <w:lang w:val="en-US"/>
        </w:rPr>
        <w:fldChar w:fldCharType="end"/>
      </w:r>
      <w:r w:rsidR="008B2E8F">
        <w:rPr>
          <w:rFonts w:ascii="Times New Roman" w:eastAsia="MS PGothic" w:hAnsi="Times New Roman"/>
          <w:b/>
          <w:bCs/>
          <w:lang w:val="en-US"/>
        </w:rPr>
        <w:t>Acknowledgements</w:t>
      </w:r>
    </w:p>
    <w:p w14:paraId="6F0628D6" w14:textId="36E533D8" w:rsidR="008B2E8F" w:rsidRDefault="008B2E8F" w:rsidP="00374684">
      <w:pPr>
        <w:spacing w:after="0"/>
        <w:jc w:val="both"/>
        <w:rPr>
          <w:rFonts w:ascii="Times New Roman" w:hAnsi="Times New Roman" w:cs="Times New Roman"/>
          <w:sz w:val="20"/>
          <w:szCs w:val="20"/>
          <w:lang w:val="en-US"/>
        </w:rPr>
      </w:pPr>
      <w:r w:rsidRPr="008B2E8F">
        <w:rPr>
          <w:rFonts w:ascii="Times New Roman" w:hAnsi="Times New Roman" w:cs="Times New Roman"/>
          <w:sz w:val="20"/>
          <w:szCs w:val="20"/>
          <w:lang w:val="en-US"/>
        </w:rPr>
        <w:t>The authors greatly appreciated the financial support from the Ital</w:t>
      </w:r>
      <w:r>
        <w:rPr>
          <w:rFonts w:ascii="Times New Roman" w:hAnsi="Times New Roman" w:cs="Times New Roman"/>
          <w:sz w:val="20"/>
          <w:szCs w:val="20"/>
          <w:lang w:val="en-US"/>
        </w:rPr>
        <w:t xml:space="preserve">ian Ministry of Foreign Affairs </w:t>
      </w:r>
      <w:r w:rsidRPr="008B2E8F">
        <w:rPr>
          <w:rFonts w:ascii="Times New Roman" w:hAnsi="Times New Roman" w:cs="Times New Roman"/>
          <w:sz w:val="20"/>
          <w:szCs w:val="20"/>
          <w:lang w:val="en-US"/>
        </w:rPr>
        <w:t>and International Cooperation (MAECI) under award protocol number MAE01432042020-12-03, CUP C99C20001980005</w:t>
      </w:r>
    </w:p>
    <w:p w14:paraId="1202A5D6" w14:textId="52A67213" w:rsidR="000D49E3" w:rsidRDefault="000D49E3" w:rsidP="00374684">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56732B34" w14:textId="77777777" w:rsidR="000D49E3" w:rsidRPr="00374684" w:rsidRDefault="000D49E3" w:rsidP="00374684">
      <w:pPr>
        <w:spacing w:after="0"/>
        <w:jc w:val="both"/>
        <w:rPr>
          <w:rFonts w:ascii="Times New Roman" w:hAnsi="Times New Roman" w:cs="Times New Roman"/>
          <w:sz w:val="20"/>
          <w:szCs w:val="20"/>
          <w:lang w:val="en-US"/>
        </w:rPr>
      </w:pPr>
    </w:p>
    <w:sectPr w:rsidR="000D49E3" w:rsidRPr="00374684" w:rsidSect="001D0E0C">
      <w:head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B260B" w14:textId="77777777" w:rsidR="00167736" w:rsidRDefault="00167736" w:rsidP="001D0E0C">
      <w:pPr>
        <w:spacing w:after="0" w:line="240" w:lineRule="auto"/>
      </w:pPr>
      <w:r>
        <w:separator/>
      </w:r>
    </w:p>
  </w:endnote>
  <w:endnote w:type="continuationSeparator" w:id="0">
    <w:p w14:paraId="09FB78D0" w14:textId="77777777" w:rsidR="00167736" w:rsidRDefault="00167736"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D1B3E" w14:textId="77777777" w:rsidR="00167736" w:rsidRDefault="00167736" w:rsidP="001D0E0C">
      <w:pPr>
        <w:spacing w:after="0" w:line="240" w:lineRule="auto"/>
      </w:pPr>
      <w:r>
        <w:separator/>
      </w:r>
    </w:p>
  </w:footnote>
  <w:footnote w:type="continuationSeparator" w:id="0">
    <w:p w14:paraId="7901B049" w14:textId="77777777" w:rsidR="00167736" w:rsidRDefault="00167736"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BBF7" w14:textId="24434349" w:rsidR="001D0E0C" w:rsidRPr="001B060D" w:rsidRDefault="001B060D" w:rsidP="001B060D">
    <w:pPr>
      <w:pStyle w:val="Intestazione"/>
      <w:jc w:val="center"/>
    </w:pPr>
    <w:r w:rsidRPr="005C2A12">
      <w:rPr>
        <w:b/>
        <w:i/>
        <w:color w:val="2E74B5" w:themeColor="accent5" w:themeShade="BF"/>
        <w:sz w:val="24"/>
        <w:szCs w:val="24"/>
      </w:rPr>
      <w:t>GRICU 2022, Ischia, (</w:t>
    </w:r>
    <w:proofErr w:type="spellStart"/>
    <w:r w:rsidRPr="005C2A12">
      <w:rPr>
        <w:b/>
        <w:i/>
        <w:color w:val="2E74B5" w:themeColor="accent5" w:themeShade="BF"/>
        <w:sz w:val="24"/>
        <w:szCs w:val="24"/>
      </w:rPr>
      <w:t>Italy</w:t>
    </w:r>
    <w:proofErr w:type="spellEnd"/>
    <w:r w:rsidRPr="005C2A12">
      <w:rPr>
        <w:b/>
        <w:i/>
        <w:color w:val="2E74B5" w:themeColor="accent5" w:themeShade="BF"/>
        <w:sz w:val="24"/>
        <w:szCs w:val="24"/>
      </w:rPr>
      <w:t xml:space="preserve">), </w:t>
    </w:r>
    <w:proofErr w:type="spellStart"/>
    <w:r w:rsidRPr="005C2A12">
      <w:rPr>
        <w:b/>
        <w:i/>
        <w:color w:val="2E74B5" w:themeColor="accent5" w:themeShade="BF"/>
        <w:sz w:val="24"/>
        <w:szCs w:val="24"/>
      </w:rPr>
      <w:t>July</w:t>
    </w:r>
    <w:proofErr w:type="spellEnd"/>
    <w:r w:rsidRPr="005C2A12">
      <w:rPr>
        <w:b/>
        <w:i/>
        <w:color w:val="2E74B5" w:themeColor="accent5" w:themeShade="BF"/>
        <w:sz w:val="24"/>
        <w:szCs w:val="24"/>
      </w:rPr>
      <w:t xml:space="preserve"> 3-6,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5D5F" w14:textId="292CCFE8" w:rsidR="001D0E0C" w:rsidRDefault="00F24290" w:rsidP="000517B4">
    <w:pPr>
      <w:pStyle w:val="Intestazione"/>
      <w:tabs>
        <w:tab w:val="left" w:pos="1188"/>
      </w:tabs>
      <w:jc w:val="center"/>
      <w:rPr>
        <w:b/>
        <w:i/>
        <w:color w:val="2E74B5" w:themeColor="accent5" w:themeShade="BF"/>
        <w:sz w:val="24"/>
        <w:szCs w:val="24"/>
      </w:rPr>
    </w:pPr>
    <w:r>
      <w:rPr>
        <w:b/>
        <w:i/>
        <w:noProof/>
        <w:color w:val="2E74B5" w:themeColor="accent5" w:themeShade="BF"/>
        <w:sz w:val="24"/>
        <w:szCs w:val="24"/>
        <w:lang w:eastAsia="it-IT"/>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sidR="008871B1">
      <w:rPr>
        <w:b/>
        <w:i/>
        <w:color w:val="2E74B5" w:themeColor="accent5" w:themeShade="BF"/>
        <w:sz w:val="24"/>
        <w:szCs w:val="24"/>
      </w:rPr>
      <w:tab/>
    </w:r>
    <w:r w:rsidR="000517B4" w:rsidRPr="005C2A12">
      <w:rPr>
        <w:b/>
        <w:i/>
        <w:color w:val="2E74B5" w:themeColor="accent5" w:themeShade="BF"/>
        <w:sz w:val="24"/>
        <w:szCs w:val="24"/>
      </w:rPr>
      <w:t>GRICU 2022, Ischia, (</w:t>
    </w:r>
    <w:proofErr w:type="spellStart"/>
    <w:r w:rsidR="000517B4" w:rsidRPr="005C2A12">
      <w:rPr>
        <w:b/>
        <w:i/>
        <w:color w:val="2E74B5" w:themeColor="accent5" w:themeShade="BF"/>
        <w:sz w:val="24"/>
        <w:szCs w:val="24"/>
      </w:rPr>
      <w:t>Italy</w:t>
    </w:r>
    <w:proofErr w:type="spellEnd"/>
    <w:r w:rsidR="000517B4" w:rsidRPr="005C2A12">
      <w:rPr>
        <w:b/>
        <w:i/>
        <w:color w:val="2E74B5" w:themeColor="accent5" w:themeShade="BF"/>
        <w:sz w:val="24"/>
        <w:szCs w:val="24"/>
      </w:rPr>
      <w:t xml:space="preserve">), </w:t>
    </w:r>
    <w:proofErr w:type="spellStart"/>
    <w:r w:rsidR="000517B4" w:rsidRPr="005C2A12">
      <w:rPr>
        <w:b/>
        <w:i/>
        <w:color w:val="2E74B5" w:themeColor="accent5" w:themeShade="BF"/>
        <w:sz w:val="24"/>
        <w:szCs w:val="24"/>
      </w:rPr>
      <w:t>July</w:t>
    </w:r>
    <w:proofErr w:type="spellEnd"/>
    <w:r w:rsidR="000517B4" w:rsidRPr="005C2A12">
      <w:rPr>
        <w:b/>
        <w:i/>
        <w:color w:val="2E74B5" w:themeColor="accent5" w:themeShade="BF"/>
        <w:sz w:val="24"/>
        <w:szCs w:val="24"/>
      </w:rPr>
      <w:t xml:space="preserve"> 3-6, 2022</w:t>
    </w:r>
  </w:p>
  <w:p w14:paraId="14E4AC61" w14:textId="77777777" w:rsidR="008871B1" w:rsidRPr="005C2A12" w:rsidRDefault="008871B1" w:rsidP="000517B4">
    <w:pPr>
      <w:pStyle w:val="Intestazione"/>
      <w:tabs>
        <w:tab w:val="left" w:pos="1188"/>
      </w:tabs>
      <w:jc w:val="center"/>
      <w:rPr>
        <w:b/>
        <w:i/>
        <w:color w:val="2E74B5" w:themeColor="accent5" w:themeShade="BF"/>
        <w:sz w:val="24"/>
        <w:szCs w:val="24"/>
      </w:rPr>
    </w:pPr>
  </w:p>
  <w:p w14:paraId="2DF8C760" w14:textId="77777777" w:rsidR="001D0E0C" w:rsidRDefault="000517B4" w:rsidP="001D0E0C">
    <w:pPr>
      <w:pStyle w:val="Intestazione"/>
      <w:jc w:val="center"/>
    </w:pPr>
    <w:r w:rsidRPr="005C2A12">
      <w:rPr>
        <w:noProof/>
        <w:color w:val="00B0F0"/>
        <w:lang w:eastAsia="it-IT"/>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75DD1064"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3"/>
    <w:rsid w:val="00007847"/>
    <w:rsid w:val="00024979"/>
    <w:rsid w:val="00034CC9"/>
    <w:rsid w:val="0003725B"/>
    <w:rsid w:val="000517B4"/>
    <w:rsid w:val="00053AD0"/>
    <w:rsid w:val="000A75A7"/>
    <w:rsid w:val="000D49E3"/>
    <w:rsid w:val="00167736"/>
    <w:rsid w:val="0018667F"/>
    <w:rsid w:val="00196C91"/>
    <w:rsid w:val="001B060D"/>
    <w:rsid w:val="001D0E0C"/>
    <w:rsid w:val="0025325E"/>
    <w:rsid w:val="00267F3A"/>
    <w:rsid w:val="002F2AEF"/>
    <w:rsid w:val="003208AD"/>
    <w:rsid w:val="0032179D"/>
    <w:rsid w:val="003227BE"/>
    <w:rsid w:val="003576ED"/>
    <w:rsid w:val="00374684"/>
    <w:rsid w:val="00377D07"/>
    <w:rsid w:val="003F0236"/>
    <w:rsid w:val="003F160A"/>
    <w:rsid w:val="00402674"/>
    <w:rsid w:val="00410F54"/>
    <w:rsid w:val="004312ED"/>
    <w:rsid w:val="0047340C"/>
    <w:rsid w:val="0049533F"/>
    <w:rsid w:val="004C225C"/>
    <w:rsid w:val="004C56B4"/>
    <w:rsid w:val="00513F16"/>
    <w:rsid w:val="00571753"/>
    <w:rsid w:val="00573382"/>
    <w:rsid w:val="005B71B2"/>
    <w:rsid w:val="005C2A12"/>
    <w:rsid w:val="005C40F5"/>
    <w:rsid w:val="005C5989"/>
    <w:rsid w:val="005F2B5E"/>
    <w:rsid w:val="006316EB"/>
    <w:rsid w:val="00676F14"/>
    <w:rsid w:val="00697CD6"/>
    <w:rsid w:val="006E1A15"/>
    <w:rsid w:val="00727B84"/>
    <w:rsid w:val="007714C7"/>
    <w:rsid w:val="007B54CC"/>
    <w:rsid w:val="007F70A9"/>
    <w:rsid w:val="008052F3"/>
    <w:rsid w:val="008126B7"/>
    <w:rsid w:val="008871B1"/>
    <w:rsid w:val="008B2E8F"/>
    <w:rsid w:val="008E7A6C"/>
    <w:rsid w:val="0095254B"/>
    <w:rsid w:val="00986212"/>
    <w:rsid w:val="00996A7F"/>
    <w:rsid w:val="00A90DA3"/>
    <w:rsid w:val="00AB1801"/>
    <w:rsid w:val="00B135F5"/>
    <w:rsid w:val="00B16AC2"/>
    <w:rsid w:val="00B44FBE"/>
    <w:rsid w:val="00C40840"/>
    <w:rsid w:val="00CE5E08"/>
    <w:rsid w:val="00D03DB3"/>
    <w:rsid w:val="00D322F1"/>
    <w:rsid w:val="00D40965"/>
    <w:rsid w:val="00D412A9"/>
    <w:rsid w:val="00D45A3E"/>
    <w:rsid w:val="00D51EEB"/>
    <w:rsid w:val="00DA51A3"/>
    <w:rsid w:val="00DC390C"/>
    <w:rsid w:val="00DD2D8C"/>
    <w:rsid w:val="00DE2861"/>
    <w:rsid w:val="00E00163"/>
    <w:rsid w:val="00E8735B"/>
    <w:rsid w:val="00EB02F8"/>
    <w:rsid w:val="00EB2997"/>
    <w:rsid w:val="00F20366"/>
    <w:rsid w:val="00F24290"/>
    <w:rsid w:val="00F42191"/>
    <w:rsid w:val="00F91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12EF"/>
  <w15:chartTrackingRefBased/>
  <w15:docId w15:val="{703246FC-8267-4F37-8037-AA1D01B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51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rstParagraph">
    <w:name w:val="First Paragraph"/>
    <w:basedOn w:val="Normale"/>
    <w:rsid w:val="00DA51A3"/>
    <w:pPr>
      <w:spacing w:after="0" w:line="240" w:lineRule="atLeast"/>
      <w:jc w:val="both"/>
    </w:pPr>
    <w:rPr>
      <w:rFonts w:ascii="Times" w:eastAsia="Times New Roman" w:hAnsi="Times" w:cs="Times New Roman"/>
      <w:sz w:val="20"/>
      <w:szCs w:val="20"/>
      <w:lang w:val="en-US"/>
    </w:rPr>
  </w:style>
  <w:style w:type="paragraph" w:styleId="Intestazione">
    <w:name w:val="header"/>
    <w:basedOn w:val="Normale"/>
    <w:link w:val="IntestazioneCarattere"/>
    <w:uiPriority w:val="99"/>
    <w:unhideWhenUsed/>
    <w:rsid w:val="001D0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0E0C"/>
  </w:style>
  <w:style w:type="paragraph" w:styleId="Pidipagina">
    <w:name w:val="footer"/>
    <w:basedOn w:val="Normale"/>
    <w:link w:val="PidipaginaCarattere"/>
    <w:uiPriority w:val="99"/>
    <w:unhideWhenUsed/>
    <w:rsid w:val="001D0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E0C"/>
  </w:style>
  <w:style w:type="paragraph" w:styleId="Testofumetto">
    <w:name w:val="Balloon Text"/>
    <w:basedOn w:val="Normale"/>
    <w:link w:val="TestofumettoCarattere"/>
    <w:uiPriority w:val="99"/>
    <w:semiHidden/>
    <w:unhideWhenUsed/>
    <w:rsid w:val="003F16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60A"/>
    <w:rPr>
      <w:rFonts w:ascii="Segoe UI" w:hAnsi="Segoe UI" w:cs="Segoe UI"/>
      <w:sz w:val="18"/>
      <w:szCs w:val="18"/>
    </w:rPr>
  </w:style>
  <w:style w:type="character" w:styleId="Rimandocommento">
    <w:name w:val="annotation reference"/>
    <w:basedOn w:val="Carpredefinitoparagrafo"/>
    <w:uiPriority w:val="99"/>
    <w:semiHidden/>
    <w:unhideWhenUsed/>
    <w:rsid w:val="0025325E"/>
    <w:rPr>
      <w:sz w:val="16"/>
      <w:szCs w:val="16"/>
    </w:rPr>
  </w:style>
  <w:style w:type="paragraph" w:styleId="Testocommento">
    <w:name w:val="annotation text"/>
    <w:basedOn w:val="Normale"/>
    <w:link w:val="TestocommentoCarattere"/>
    <w:uiPriority w:val="99"/>
    <w:semiHidden/>
    <w:unhideWhenUsed/>
    <w:rsid w:val="0025325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5325E"/>
    <w:rPr>
      <w:sz w:val="20"/>
      <w:szCs w:val="20"/>
    </w:rPr>
  </w:style>
  <w:style w:type="character" w:styleId="Collegamentoipertestuale">
    <w:name w:val="Hyperlink"/>
    <w:basedOn w:val="Carpredefinitoparagrafo"/>
    <w:uiPriority w:val="99"/>
    <w:unhideWhenUsed/>
    <w:rsid w:val="0025325E"/>
    <w:rPr>
      <w:color w:val="0563C1" w:themeColor="hyperlink"/>
      <w:u w:val="single"/>
    </w:rPr>
  </w:style>
  <w:style w:type="table" w:styleId="Grigliatabella">
    <w:name w:val="Table Grid"/>
    <w:basedOn w:val="Tabellanormale"/>
    <w:uiPriority w:val="39"/>
    <w:rsid w:val="0051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E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81E9-11F2-426D-A6D0-4ADF398C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4580</Words>
  <Characters>26111</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Trentin Giulia</cp:lastModifiedBy>
  <cp:revision>42</cp:revision>
  <cp:lastPrinted>2022-01-31T11:56:00Z</cp:lastPrinted>
  <dcterms:created xsi:type="dcterms:W3CDTF">2022-02-01T10:57:00Z</dcterms:created>
  <dcterms:modified xsi:type="dcterms:W3CDTF">2022-03-17T09:11:00Z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http://www.zotero.org/styles/acs-sustainable-chemistry-and-engineering</vt:lpwstr>
  </property>
  <property fmtid="{D5CDD505-2E9C-101B-9397-08002B2CF9AE}" pid="3" name="Mendeley Recent Style Name 0_1">
    <vt:lpwstr>ACS Sustainable Chemistry &amp; Engineering</vt:lpwstr>
  </property>
  <property fmtid="{D5CDD505-2E9C-101B-9397-08002B2CF9AE}" pid="4" name="Mendeley Recent Style Id 1_1">
    <vt:lpwstr>http://www.zotero.org/styles/algal-research</vt:lpwstr>
  </property>
  <property fmtid="{D5CDD505-2E9C-101B-9397-08002B2CF9AE}" pid="5" name="Mendeley Recent Style Name 1_1">
    <vt:lpwstr>Algal Research</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http://www.zotero.org/styles/bioprocess-and-biosystems-engineering</vt:lpwstr>
  </property>
  <property fmtid="{D5CDD505-2E9C-101B-9397-08002B2CF9AE}" pid="9" name="Mendeley Recent Style Name 3_1">
    <vt:lpwstr>Bioprocess and Biosystems Engineering</vt:lpwstr>
  </property>
  <property fmtid="{D5CDD505-2E9C-101B-9397-08002B2CF9AE}" pid="10" name="Mendeley Recent Style Id 4_1">
    <vt:lpwstr>http://www.zotero.org/styles/bioresource-technology-reports</vt:lpwstr>
  </property>
  <property fmtid="{D5CDD505-2E9C-101B-9397-08002B2CF9AE}" pid="11" name="Mendeley Recent Style Name 4_1">
    <vt:lpwstr>Bioresource Technology Reports</vt:lpwstr>
  </property>
  <property fmtid="{D5CDD505-2E9C-101B-9397-08002B2CF9AE}" pid="12" name="Mendeley Recent Style Id 5_1">
    <vt:lpwstr>http://www.zotero.org/styles/chemical-engineering-science</vt:lpwstr>
  </property>
  <property fmtid="{D5CDD505-2E9C-101B-9397-08002B2CF9AE}" pid="13" name="Mendeley Recent Style Name 5_1">
    <vt:lpwstr>Chemical Engineering Science</vt:lpwstr>
  </property>
  <property fmtid="{D5CDD505-2E9C-101B-9397-08002B2CF9AE}" pid="14" name="Mendeley Recent Style Id 6_1">
    <vt:lpwstr>http://www.zotero.org/styles/chemical-engineering-and-processing-process-intensification</vt:lpwstr>
  </property>
  <property fmtid="{D5CDD505-2E9C-101B-9397-08002B2CF9AE}" pid="15" name="Mendeley Recent Style Name 6_1">
    <vt:lpwstr>Chemical Engineering and Processing - Process Intensification</vt:lpwstr>
  </property>
  <property fmtid="{D5CDD505-2E9C-101B-9397-08002B2CF9AE}" pid="16" name="Mendeley Recent Style Id 7_1">
    <vt:lpwstr>http://www.zotero.org/styles/chicago-author-date</vt:lpwstr>
  </property>
  <property fmtid="{D5CDD505-2E9C-101B-9397-08002B2CF9AE}" pid="17" name="Mendeley Recent Style Name 7_1">
    <vt:lpwstr>Chicago Manual of Style 17th edition (author-date)</vt:lpwstr>
  </property>
  <property fmtid="{D5CDD505-2E9C-101B-9397-08002B2CF9AE}" pid="18" name="Mendeley Recent Style Id 8_1">
    <vt:lpwstr>http://www.zotero.org/styles/journal-of-environmental-chemical-engineering</vt:lpwstr>
  </property>
  <property fmtid="{D5CDD505-2E9C-101B-9397-08002B2CF9AE}" pid="19" name="Mendeley Recent Style Name 8_1">
    <vt:lpwstr>Journal of Environmental Chemical Engineering</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http://www.zotero.org/styles/chemical-engineering-and-processing-process-intensification</vt:lpwstr>
  </property>
  <property fmtid="{D5CDD505-2E9C-101B-9397-08002B2CF9AE}" pid="23" name="Mendeley Document_1">
    <vt:lpwstr>True</vt:lpwstr>
  </property>
  <property fmtid="{D5CDD505-2E9C-101B-9397-08002B2CF9AE}" pid="24" name="Mendeley Unique User Id_1">
    <vt:lpwstr>b4aca68f-9e37-3872-937c-319adfa896e6</vt:lpwstr>
  </property>
</Properties>
</file>