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6CD31948" w:rsidR="00DA51A3" w:rsidRPr="00DF7C81" w:rsidRDefault="00783825" w:rsidP="00DA51A3">
      <w:pPr>
        <w:snapToGrid w:val="0"/>
        <w:jc w:val="center"/>
        <w:rPr>
          <w:rFonts w:ascii="Times New Roman" w:eastAsia="MS PGothic" w:hAnsi="Times New Roman"/>
          <w:b/>
          <w:bCs/>
          <w:sz w:val="24"/>
          <w:szCs w:val="24"/>
          <w:lang w:val="en-US"/>
        </w:rPr>
      </w:pPr>
      <w:r w:rsidRPr="00DF7C81">
        <w:rPr>
          <w:rFonts w:ascii="Times New Roman" w:eastAsia="MS PGothic" w:hAnsi="Times New Roman" w:cs="Times New Roman"/>
          <w:b/>
          <w:bCs/>
          <w:sz w:val="24"/>
          <w:szCs w:val="24"/>
          <w:lang w:val="en-US"/>
        </w:rPr>
        <w:t xml:space="preserve">Techno-economic and life cycle assessment for </w:t>
      </w:r>
      <w:r w:rsidR="00DF7C81" w:rsidRPr="00DF7C81">
        <w:rPr>
          <w:rFonts w:ascii="Times New Roman" w:eastAsia="MS PGothic" w:hAnsi="Times New Roman" w:cs="Times New Roman"/>
          <w:b/>
          <w:bCs/>
          <w:sz w:val="24"/>
          <w:szCs w:val="24"/>
          <w:lang w:val="en-US"/>
        </w:rPr>
        <w:t>the industrial implementation of hydrothermal liquefaction coupling with</w:t>
      </w:r>
      <w:r w:rsidR="00DF7C81">
        <w:rPr>
          <w:rFonts w:ascii="Times New Roman" w:eastAsia="MS PGothic" w:hAnsi="Times New Roman"/>
          <w:b/>
          <w:bCs/>
          <w:sz w:val="24"/>
          <w:szCs w:val="24"/>
          <w:lang w:val="en-US"/>
        </w:rPr>
        <w:t xml:space="preserve"> aqueous phase reforming</w:t>
      </w:r>
    </w:p>
    <w:p w14:paraId="62BDA665" w14:textId="4997F450" w:rsidR="00FA7571" w:rsidRPr="002D184A" w:rsidRDefault="00C1136A" w:rsidP="00FA7571">
      <w:pPr>
        <w:spacing w:line="480" w:lineRule="auto"/>
        <w:contextualSpacing/>
        <w:jc w:val="center"/>
        <w:rPr>
          <w:rFonts w:ascii="Times New Roman" w:eastAsia="SimSun" w:hAnsi="Times New Roman"/>
          <w:sz w:val="24"/>
          <w:szCs w:val="24"/>
          <w:lang w:eastAsia="zh-CN"/>
        </w:rPr>
      </w:pPr>
      <w:r w:rsidRPr="002D184A">
        <w:rPr>
          <w:rFonts w:ascii="Times New Roman" w:eastAsia="SimSun" w:hAnsi="Times New Roman"/>
          <w:sz w:val="24"/>
          <w:szCs w:val="24"/>
          <w:u w:val="single"/>
          <w:lang w:eastAsia="zh-CN"/>
        </w:rPr>
        <w:t>Edoardo Tito</w:t>
      </w:r>
      <w:r w:rsidRPr="002D184A">
        <w:rPr>
          <w:rFonts w:ascii="Times New Roman" w:eastAsia="SimSun" w:hAnsi="Times New Roman"/>
          <w:sz w:val="24"/>
          <w:szCs w:val="24"/>
          <w:u w:val="single"/>
          <w:vertAlign w:val="superscript"/>
          <w:lang w:eastAsia="zh-CN"/>
        </w:rPr>
        <w:t>1</w:t>
      </w:r>
      <w:r w:rsidRPr="002D184A">
        <w:rPr>
          <w:rFonts w:ascii="Times New Roman" w:eastAsia="SimSun" w:hAnsi="Times New Roman"/>
          <w:sz w:val="24"/>
          <w:szCs w:val="24"/>
          <w:lang w:eastAsia="zh-CN"/>
        </w:rPr>
        <w:t>, Giulia Zoppi</w:t>
      </w:r>
      <w:r w:rsidR="00FA7571" w:rsidRPr="002D184A">
        <w:rPr>
          <w:rFonts w:ascii="Times New Roman" w:eastAsia="SimSun" w:hAnsi="Times New Roman"/>
          <w:sz w:val="24"/>
          <w:szCs w:val="24"/>
          <w:vertAlign w:val="superscript"/>
          <w:lang w:eastAsia="zh-CN"/>
        </w:rPr>
        <w:t>1</w:t>
      </w:r>
      <w:r w:rsidRPr="002D184A">
        <w:rPr>
          <w:rFonts w:ascii="Times New Roman" w:eastAsia="SimSun" w:hAnsi="Times New Roman"/>
          <w:sz w:val="24"/>
          <w:szCs w:val="24"/>
          <w:lang w:eastAsia="zh-CN"/>
        </w:rPr>
        <w:t>, Giuseppe Pipitone</w:t>
      </w:r>
      <w:r w:rsidR="00FA7571" w:rsidRPr="002D184A">
        <w:rPr>
          <w:rFonts w:ascii="Times New Roman" w:eastAsia="SimSun" w:hAnsi="Times New Roman"/>
          <w:sz w:val="24"/>
          <w:szCs w:val="24"/>
          <w:vertAlign w:val="superscript"/>
          <w:lang w:eastAsia="zh-CN"/>
        </w:rPr>
        <w:t>1</w:t>
      </w:r>
      <w:r w:rsidR="00620817">
        <w:rPr>
          <w:rFonts w:ascii="Times New Roman" w:eastAsia="SimSun" w:hAnsi="Times New Roman"/>
          <w:sz w:val="24"/>
          <w:szCs w:val="24"/>
          <w:vertAlign w:val="superscript"/>
          <w:lang w:eastAsia="zh-CN"/>
        </w:rPr>
        <w:t>*</w:t>
      </w:r>
      <w:r w:rsidR="00FA7571" w:rsidRPr="002D184A">
        <w:rPr>
          <w:rFonts w:ascii="Times New Roman" w:eastAsia="SimSun" w:hAnsi="Times New Roman"/>
          <w:sz w:val="24"/>
          <w:szCs w:val="24"/>
          <w:lang w:eastAsia="zh-CN"/>
        </w:rPr>
        <w:t>,</w:t>
      </w:r>
      <w:r w:rsidRPr="002D184A">
        <w:rPr>
          <w:rFonts w:ascii="Times New Roman" w:eastAsia="SimSun" w:hAnsi="Times New Roman"/>
          <w:sz w:val="24"/>
          <w:szCs w:val="24"/>
          <w:lang w:eastAsia="zh-CN"/>
        </w:rPr>
        <w:t xml:space="preserve"> </w:t>
      </w:r>
      <w:r w:rsidR="00FA7571" w:rsidRPr="002D184A">
        <w:rPr>
          <w:rFonts w:ascii="Times New Roman" w:eastAsia="SimSun" w:hAnsi="Times New Roman"/>
          <w:sz w:val="24"/>
          <w:szCs w:val="24"/>
          <w:lang w:eastAsia="zh-CN"/>
        </w:rPr>
        <w:t>Edoardo Miliotti</w:t>
      </w:r>
      <w:r w:rsidR="00FA7571" w:rsidRPr="002D184A">
        <w:rPr>
          <w:rFonts w:ascii="Times New Roman" w:eastAsia="SimSun" w:hAnsi="Times New Roman"/>
          <w:sz w:val="24"/>
          <w:szCs w:val="24"/>
          <w:vertAlign w:val="superscript"/>
          <w:lang w:eastAsia="zh-CN"/>
        </w:rPr>
        <w:t>2</w:t>
      </w:r>
      <w:r w:rsidR="00FA7571" w:rsidRPr="002D184A">
        <w:rPr>
          <w:rFonts w:ascii="Times New Roman" w:eastAsia="SimSun" w:hAnsi="Times New Roman"/>
          <w:sz w:val="24"/>
          <w:szCs w:val="24"/>
          <w:lang w:eastAsia="zh-CN"/>
        </w:rPr>
        <w:t>, Arturo Di Fraia</w:t>
      </w:r>
      <w:r w:rsidR="00FA7571" w:rsidRPr="002D184A">
        <w:rPr>
          <w:rFonts w:ascii="Times New Roman" w:eastAsia="SimSun" w:hAnsi="Times New Roman"/>
          <w:sz w:val="24"/>
          <w:szCs w:val="24"/>
          <w:vertAlign w:val="superscript"/>
          <w:lang w:eastAsia="zh-CN"/>
        </w:rPr>
        <w:t>2</w:t>
      </w:r>
      <w:r w:rsidR="00FA7571" w:rsidRPr="002D184A">
        <w:rPr>
          <w:rFonts w:ascii="Times New Roman" w:eastAsia="SimSun" w:hAnsi="Times New Roman"/>
          <w:sz w:val="24"/>
          <w:szCs w:val="24"/>
          <w:lang w:eastAsia="zh-CN"/>
        </w:rPr>
        <w:t>, Andrea Maria Rizzo</w:t>
      </w:r>
      <w:r w:rsidR="00FA7571" w:rsidRPr="002D184A">
        <w:rPr>
          <w:rFonts w:ascii="Times New Roman" w:eastAsia="SimSun" w:hAnsi="Times New Roman"/>
          <w:sz w:val="24"/>
          <w:szCs w:val="24"/>
          <w:vertAlign w:val="superscript"/>
          <w:lang w:eastAsia="zh-CN"/>
        </w:rPr>
        <w:t>2</w:t>
      </w:r>
      <w:r w:rsidR="00FA7571" w:rsidRPr="002D184A">
        <w:rPr>
          <w:rFonts w:ascii="Times New Roman" w:eastAsia="SimSun" w:hAnsi="Times New Roman"/>
          <w:sz w:val="24"/>
          <w:szCs w:val="24"/>
          <w:lang w:eastAsia="zh-CN"/>
        </w:rPr>
        <w:t>, Samir Bensaid</w:t>
      </w:r>
      <w:r w:rsidR="00FA7571" w:rsidRPr="002D184A">
        <w:rPr>
          <w:rFonts w:ascii="Times New Roman" w:eastAsia="SimSun" w:hAnsi="Times New Roman"/>
          <w:sz w:val="24"/>
          <w:szCs w:val="24"/>
          <w:vertAlign w:val="superscript"/>
          <w:lang w:eastAsia="zh-CN"/>
        </w:rPr>
        <w:t>1</w:t>
      </w:r>
      <w:r w:rsidR="00FA7571" w:rsidRPr="002D184A">
        <w:rPr>
          <w:rFonts w:ascii="Times New Roman" w:eastAsia="SimSun" w:hAnsi="Times New Roman"/>
          <w:sz w:val="24"/>
          <w:szCs w:val="24"/>
          <w:lang w:eastAsia="zh-CN"/>
        </w:rPr>
        <w:t>, Raffaele Pirone</w:t>
      </w:r>
      <w:r w:rsidR="00FA7571" w:rsidRPr="002D184A">
        <w:rPr>
          <w:rFonts w:ascii="Times New Roman" w:eastAsia="SimSun" w:hAnsi="Times New Roman"/>
          <w:sz w:val="24"/>
          <w:szCs w:val="24"/>
          <w:vertAlign w:val="superscript"/>
          <w:lang w:eastAsia="zh-CN"/>
        </w:rPr>
        <w:t>1</w:t>
      </w:r>
      <w:r w:rsidR="00FA7571" w:rsidRPr="002D184A">
        <w:rPr>
          <w:rFonts w:ascii="Times New Roman" w:eastAsia="SimSun" w:hAnsi="Times New Roman"/>
          <w:sz w:val="24"/>
          <w:szCs w:val="24"/>
          <w:lang w:eastAsia="zh-CN"/>
        </w:rPr>
        <w:t>, David Chiaramonti</w:t>
      </w:r>
      <w:r w:rsidR="00FA7571" w:rsidRPr="002D184A">
        <w:rPr>
          <w:rFonts w:ascii="Times New Roman" w:eastAsia="SimSun" w:hAnsi="Times New Roman"/>
          <w:sz w:val="24"/>
          <w:szCs w:val="24"/>
          <w:vertAlign w:val="superscript"/>
          <w:lang w:eastAsia="zh-CN"/>
        </w:rPr>
        <w:t>2,3</w:t>
      </w:r>
    </w:p>
    <w:p w14:paraId="56283894" w14:textId="66EED90B" w:rsidR="00C1136A" w:rsidRDefault="00C1136A" w:rsidP="00C1136A">
      <w:pPr>
        <w:snapToGrid w:val="0"/>
        <w:spacing w:after="120"/>
        <w:jc w:val="center"/>
        <w:rPr>
          <w:rFonts w:ascii="Times New Roman" w:eastAsia="MS PGothic" w:hAnsi="Times New Roman"/>
          <w:bCs/>
          <w:i/>
          <w:iCs/>
          <w:sz w:val="20"/>
        </w:rPr>
      </w:pPr>
      <w:r w:rsidRPr="001C0206">
        <w:rPr>
          <w:rFonts w:ascii="Times New Roman" w:eastAsia="MS PGothic" w:hAnsi="Times New Roman"/>
          <w:bCs/>
          <w:i/>
          <w:iCs/>
          <w:sz w:val="20"/>
          <w:vertAlign w:val="superscript"/>
        </w:rPr>
        <w:t>1</w:t>
      </w:r>
      <w:r w:rsidRPr="002F7027">
        <w:rPr>
          <w:rFonts w:ascii="Times New Roman" w:eastAsia="MS PGothic" w:hAnsi="Times New Roman"/>
          <w:bCs/>
          <w:i/>
          <w:iCs/>
          <w:sz w:val="20"/>
        </w:rPr>
        <w:t xml:space="preserve"> Department of Applied Science and Technology, Politecnico di Torino, Corso Duca degli Abruzzi 24, 10129, Turin, </w:t>
      </w:r>
      <w:proofErr w:type="spellStart"/>
      <w:r w:rsidRPr="002F7027">
        <w:rPr>
          <w:rFonts w:ascii="Times New Roman" w:eastAsia="MS PGothic" w:hAnsi="Times New Roman"/>
          <w:bCs/>
          <w:i/>
          <w:iCs/>
          <w:sz w:val="20"/>
        </w:rPr>
        <w:t>Italy</w:t>
      </w:r>
      <w:proofErr w:type="spellEnd"/>
    </w:p>
    <w:p w14:paraId="4B0325FF" w14:textId="77777777" w:rsidR="001C0206" w:rsidRPr="008A1036" w:rsidRDefault="001C0206" w:rsidP="001C0206">
      <w:pPr>
        <w:snapToGrid w:val="0"/>
        <w:spacing w:after="120"/>
        <w:jc w:val="center"/>
        <w:rPr>
          <w:rFonts w:ascii="Times New Roman" w:eastAsia="MS PGothic" w:hAnsi="Times New Roman"/>
          <w:bCs/>
          <w:i/>
          <w:iCs/>
          <w:sz w:val="20"/>
        </w:rPr>
      </w:pPr>
      <w:r w:rsidRPr="008A1036">
        <w:rPr>
          <w:rFonts w:ascii="Times New Roman" w:eastAsia="MS PGothic" w:hAnsi="Times New Roman"/>
          <w:bCs/>
          <w:i/>
          <w:iCs/>
          <w:sz w:val="20"/>
          <w:vertAlign w:val="superscript"/>
        </w:rPr>
        <w:t>2</w:t>
      </w:r>
      <w:r w:rsidRPr="008A1036">
        <w:rPr>
          <w:rFonts w:ascii="Times New Roman" w:eastAsia="MS PGothic" w:hAnsi="Times New Roman"/>
          <w:bCs/>
          <w:i/>
          <w:iCs/>
          <w:sz w:val="20"/>
        </w:rPr>
        <w:t xml:space="preserve"> </w:t>
      </w:r>
      <w:proofErr w:type="spellStart"/>
      <w:r w:rsidRPr="008A1036">
        <w:rPr>
          <w:rFonts w:ascii="Times New Roman" w:eastAsia="MS PGothic" w:hAnsi="Times New Roman"/>
          <w:bCs/>
          <w:i/>
          <w:iCs/>
          <w:sz w:val="20"/>
        </w:rPr>
        <w:t>Renewable</w:t>
      </w:r>
      <w:proofErr w:type="spellEnd"/>
      <w:r w:rsidRPr="008A1036">
        <w:rPr>
          <w:rFonts w:ascii="Times New Roman" w:eastAsia="MS PGothic" w:hAnsi="Times New Roman"/>
          <w:bCs/>
          <w:i/>
          <w:iCs/>
          <w:sz w:val="20"/>
        </w:rPr>
        <w:t xml:space="preserve"> Energy Consortium for R&amp;D (RE-CORD), Viale Kennedy 182, 50038, Scarperia e S. Piero, Florence, </w:t>
      </w:r>
      <w:proofErr w:type="spellStart"/>
      <w:r w:rsidRPr="008A1036">
        <w:rPr>
          <w:rFonts w:ascii="Times New Roman" w:eastAsia="MS PGothic" w:hAnsi="Times New Roman"/>
          <w:bCs/>
          <w:i/>
          <w:iCs/>
          <w:sz w:val="20"/>
        </w:rPr>
        <w:t>Italy</w:t>
      </w:r>
      <w:proofErr w:type="spellEnd"/>
    </w:p>
    <w:p w14:paraId="52D58E36" w14:textId="77777777" w:rsidR="001C0206" w:rsidRPr="001C0206" w:rsidRDefault="001C0206" w:rsidP="001C0206">
      <w:pPr>
        <w:snapToGrid w:val="0"/>
        <w:spacing w:after="120"/>
        <w:jc w:val="center"/>
        <w:rPr>
          <w:rFonts w:ascii="Times New Roman" w:eastAsia="MS PGothic" w:hAnsi="Times New Roman"/>
          <w:bCs/>
          <w:i/>
          <w:iCs/>
          <w:sz w:val="20"/>
        </w:rPr>
      </w:pPr>
      <w:r w:rsidRPr="001C0206">
        <w:rPr>
          <w:rFonts w:ascii="Times New Roman" w:eastAsia="MS PGothic" w:hAnsi="Times New Roman"/>
          <w:bCs/>
          <w:i/>
          <w:iCs/>
          <w:sz w:val="20"/>
          <w:vertAlign w:val="superscript"/>
        </w:rPr>
        <w:t>3</w:t>
      </w:r>
      <w:r w:rsidRPr="001C0206">
        <w:rPr>
          <w:rFonts w:ascii="Times New Roman" w:eastAsia="MS PGothic" w:hAnsi="Times New Roman"/>
          <w:bCs/>
          <w:i/>
          <w:iCs/>
          <w:sz w:val="20"/>
        </w:rPr>
        <w:t xml:space="preserve"> Energy Department DENERG, Politecnico di Torino, Corso Duca degli Abruzzi 24, 10129, Turin, </w:t>
      </w:r>
      <w:proofErr w:type="spellStart"/>
      <w:r w:rsidRPr="001C0206">
        <w:rPr>
          <w:rFonts w:ascii="Times New Roman" w:eastAsia="MS PGothic" w:hAnsi="Times New Roman"/>
          <w:bCs/>
          <w:i/>
          <w:iCs/>
          <w:sz w:val="20"/>
        </w:rPr>
        <w:t>Italy</w:t>
      </w:r>
      <w:proofErr w:type="spellEnd"/>
    </w:p>
    <w:p w14:paraId="600F7B40" w14:textId="445BF724" w:rsidR="00C1136A" w:rsidRPr="00FA7571" w:rsidRDefault="00C1136A" w:rsidP="00C1136A">
      <w:pPr>
        <w:snapToGrid w:val="0"/>
        <w:jc w:val="center"/>
        <w:rPr>
          <w:rFonts w:ascii="Times New Roman" w:eastAsia="MS PGothic" w:hAnsi="Times New Roman"/>
          <w:bCs/>
          <w:i/>
          <w:iCs/>
          <w:sz w:val="20"/>
          <w:lang w:val="en-US"/>
        </w:rPr>
      </w:pPr>
      <w:r w:rsidRPr="00FA7571">
        <w:rPr>
          <w:rFonts w:ascii="Times New Roman" w:eastAsia="MS PGothic" w:hAnsi="Times New Roman"/>
          <w:bCs/>
          <w:i/>
          <w:iCs/>
          <w:sz w:val="20"/>
          <w:lang w:val="en-US"/>
        </w:rPr>
        <w:t>*Corresponding author</w:t>
      </w:r>
      <w:r w:rsidRPr="00FA7571">
        <w:rPr>
          <w:rFonts w:ascii="Times New Roman" w:eastAsia="MS PGothic" w:hAnsi="Times New Roman"/>
          <w:bCs/>
          <w:i/>
          <w:iCs/>
          <w:sz w:val="20"/>
          <w:lang w:val="en-US" w:eastAsia="ko-KR"/>
        </w:rPr>
        <w:t xml:space="preserve"> E-Mail:</w:t>
      </w:r>
      <w:r w:rsidRPr="00FA7571">
        <w:rPr>
          <w:rFonts w:ascii="Times New Roman" w:eastAsia="MS PGothic" w:hAnsi="Times New Roman"/>
          <w:bCs/>
          <w:i/>
          <w:iCs/>
          <w:sz w:val="20"/>
          <w:lang w:val="en-US"/>
        </w:rPr>
        <w:t xml:space="preserve"> </w:t>
      </w:r>
      <w:r w:rsidR="00620817">
        <w:rPr>
          <w:rFonts w:ascii="Times New Roman" w:eastAsia="MS PGothic" w:hAnsi="Times New Roman"/>
          <w:bCs/>
          <w:i/>
          <w:iCs/>
          <w:sz w:val="20"/>
          <w:lang w:val="en-US"/>
        </w:rPr>
        <w:t>giuseppe.pipitone</w:t>
      </w:r>
      <w:r w:rsidRPr="00FA7571">
        <w:rPr>
          <w:rFonts w:ascii="Times New Roman" w:eastAsia="MS PGothic" w:hAnsi="Times New Roman"/>
          <w:bCs/>
          <w:i/>
          <w:iCs/>
          <w:sz w:val="20"/>
          <w:lang w:val="en-US"/>
        </w:rPr>
        <w:t>@polito.it</w:t>
      </w:r>
    </w:p>
    <w:p w14:paraId="28AD07A8" w14:textId="77777777" w:rsidR="00DA51A3" w:rsidRPr="00466FFD" w:rsidRDefault="00DA51A3" w:rsidP="00384986">
      <w:pPr>
        <w:snapToGrid w:val="0"/>
        <w:spacing w:after="120" w:line="22" w:lineRule="atLeast"/>
        <w:jc w:val="center"/>
        <w:rPr>
          <w:rFonts w:ascii="Times New Roman" w:eastAsia="SimSun" w:hAnsi="Times New Roman"/>
          <w:bCs/>
          <w:i/>
          <w:iCs/>
          <w:sz w:val="20"/>
          <w:lang w:val="en-US" w:eastAsia="zh-CN"/>
        </w:rPr>
      </w:pPr>
    </w:p>
    <w:p w14:paraId="110B92B3" w14:textId="77777777" w:rsidR="00DA51A3" w:rsidRPr="00466FFD" w:rsidRDefault="00DA51A3" w:rsidP="00384986">
      <w:pPr>
        <w:snapToGrid w:val="0"/>
        <w:spacing w:after="120" w:line="22" w:lineRule="atLeast"/>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39D77CAE" w14:textId="10851DF9" w:rsidR="001C0206" w:rsidRPr="00E46C78" w:rsidRDefault="001C0206" w:rsidP="00384986">
      <w:pPr>
        <w:snapToGrid w:val="0"/>
        <w:spacing w:after="120" w:line="22" w:lineRule="atLeast"/>
        <w:jc w:val="both"/>
        <w:rPr>
          <w:rFonts w:ascii="Times New Roman" w:hAnsi="Times New Roman" w:cs="Times New Roman"/>
          <w:lang w:val="en-US"/>
        </w:rPr>
      </w:pPr>
      <w:r w:rsidRPr="001C0206">
        <w:rPr>
          <w:rFonts w:ascii="Times New Roman" w:hAnsi="Times New Roman" w:cs="Times New Roman"/>
          <w:lang w:val="en-US"/>
        </w:rPr>
        <w:t xml:space="preserve">Hydrothermal liquefaction </w:t>
      </w:r>
      <w:r w:rsidR="005824DD">
        <w:rPr>
          <w:rFonts w:ascii="Times New Roman" w:hAnsi="Times New Roman" w:cs="Times New Roman"/>
          <w:lang w:val="en-US"/>
        </w:rPr>
        <w:t xml:space="preserve">(HTL) </w:t>
      </w:r>
      <w:r w:rsidR="002A6463">
        <w:rPr>
          <w:rFonts w:ascii="Times New Roman" w:hAnsi="Times New Roman" w:cs="Times New Roman"/>
          <w:lang w:val="en-US"/>
        </w:rPr>
        <w:t xml:space="preserve">has shown to be </w:t>
      </w:r>
      <w:r w:rsidR="005824DD">
        <w:rPr>
          <w:rFonts w:ascii="Times New Roman" w:hAnsi="Times New Roman" w:cs="Times New Roman"/>
          <w:lang w:val="en-US"/>
        </w:rPr>
        <w:t xml:space="preserve">an interesting </w:t>
      </w:r>
      <w:r w:rsidRPr="001C0206">
        <w:rPr>
          <w:rFonts w:ascii="Times New Roman" w:hAnsi="Times New Roman" w:cs="Times New Roman"/>
          <w:lang w:val="en-US"/>
        </w:rPr>
        <w:t xml:space="preserve">technology for producing renewable advanced biofuels. </w:t>
      </w:r>
      <w:r w:rsidR="00E44DE0">
        <w:rPr>
          <w:rFonts w:ascii="Times New Roman" w:hAnsi="Times New Roman" w:cs="Times New Roman"/>
          <w:lang w:val="en-US"/>
        </w:rPr>
        <w:t xml:space="preserve">HTL works in aqueous environment </w:t>
      </w:r>
      <w:r w:rsidR="008A1036">
        <w:rPr>
          <w:rFonts w:ascii="Times New Roman" w:hAnsi="Times New Roman" w:cs="Times New Roman"/>
          <w:lang w:val="en-US"/>
        </w:rPr>
        <w:t>close</w:t>
      </w:r>
      <w:r w:rsidR="0083125D">
        <w:rPr>
          <w:rFonts w:ascii="Times New Roman" w:hAnsi="Times New Roman" w:cs="Times New Roman"/>
          <w:lang w:val="en-US"/>
        </w:rPr>
        <w:t xml:space="preserve"> to</w:t>
      </w:r>
      <w:r w:rsidR="00E44DE0">
        <w:rPr>
          <w:rFonts w:ascii="Times New Roman" w:hAnsi="Times New Roman" w:cs="Times New Roman"/>
          <w:lang w:val="en-US"/>
        </w:rPr>
        <w:t xml:space="preserve"> critical</w:t>
      </w:r>
      <w:r w:rsidR="0083125D">
        <w:rPr>
          <w:rFonts w:ascii="Times New Roman" w:hAnsi="Times New Roman" w:cs="Times New Roman"/>
          <w:lang w:val="en-US"/>
        </w:rPr>
        <w:t xml:space="preserve"> water</w:t>
      </w:r>
      <w:r w:rsidR="00E44DE0">
        <w:rPr>
          <w:rFonts w:ascii="Times New Roman" w:hAnsi="Times New Roman" w:cs="Times New Roman"/>
          <w:lang w:val="en-US"/>
        </w:rPr>
        <w:t xml:space="preserve"> conditions (374 °C, 22.1 MPa) </w:t>
      </w:r>
      <w:r w:rsidR="00996CA6">
        <w:rPr>
          <w:rFonts w:ascii="Times New Roman" w:hAnsi="Times New Roman" w:cs="Times New Roman"/>
          <w:lang w:val="en-US"/>
        </w:rPr>
        <w:t xml:space="preserve">and allows the conversion of waste biomass into an oil-like phase called biocrude. This phase is highly oxygenated and requires upgrading to produce a drop-in biofuel. Moreover, </w:t>
      </w:r>
      <w:r w:rsidR="0083125D">
        <w:rPr>
          <w:rFonts w:ascii="Times New Roman" w:hAnsi="Times New Roman" w:cs="Times New Roman"/>
          <w:lang w:val="en-US"/>
        </w:rPr>
        <w:t>in addition to</w:t>
      </w:r>
      <w:r w:rsidR="00996CA6">
        <w:rPr>
          <w:rFonts w:ascii="Times New Roman" w:hAnsi="Times New Roman" w:cs="Times New Roman"/>
          <w:lang w:val="en-US"/>
        </w:rPr>
        <w:t xml:space="preserve"> the biocrude,</w:t>
      </w:r>
      <w:r w:rsidR="00D85763">
        <w:rPr>
          <w:rFonts w:ascii="Times New Roman" w:hAnsi="Times New Roman" w:cs="Times New Roman"/>
          <w:lang w:val="en-US"/>
        </w:rPr>
        <w:t xml:space="preserve"> </w:t>
      </w:r>
      <w:r w:rsidR="00996CA6">
        <w:rPr>
          <w:rFonts w:ascii="Times New Roman" w:hAnsi="Times New Roman" w:cs="Times New Roman"/>
          <w:lang w:val="en-US"/>
        </w:rPr>
        <w:t xml:space="preserve">char, a gas </w:t>
      </w:r>
      <w:r w:rsidR="00D85763">
        <w:rPr>
          <w:rFonts w:ascii="Times New Roman" w:hAnsi="Times New Roman" w:cs="Times New Roman"/>
          <w:lang w:val="en-US"/>
        </w:rPr>
        <w:t xml:space="preserve">phase </w:t>
      </w:r>
      <w:r w:rsidR="00996CA6">
        <w:rPr>
          <w:rFonts w:ascii="Times New Roman" w:hAnsi="Times New Roman" w:cs="Times New Roman"/>
          <w:lang w:val="en-US"/>
        </w:rPr>
        <w:t xml:space="preserve">and an aqueous phase are </w:t>
      </w:r>
      <w:r w:rsidR="0083125D">
        <w:rPr>
          <w:rFonts w:ascii="Times New Roman" w:hAnsi="Times New Roman" w:cs="Times New Roman"/>
          <w:lang w:val="en-US"/>
        </w:rPr>
        <w:t xml:space="preserve">also </w:t>
      </w:r>
      <w:r w:rsidR="00996CA6">
        <w:rPr>
          <w:rFonts w:ascii="Times New Roman" w:hAnsi="Times New Roman" w:cs="Times New Roman"/>
          <w:lang w:val="en-US"/>
        </w:rPr>
        <w:t>produced as by-products</w:t>
      </w:r>
      <w:r w:rsidR="00E46C78">
        <w:rPr>
          <w:rFonts w:ascii="Times New Roman" w:hAnsi="Times New Roman" w:cs="Times New Roman"/>
          <w:lang w:val="en-US"/>
        </w:rPr>
        <w:t xml:space="preserve">, reducing the overall carbon </w:t>
      </w:r>
      <w:r w:rsidR="008A1036">
        <w:rPr>
          <w:rFonts w:ascii="Times New Roman" w:hAnsi="Times New Roman" w:cs="Times New Roman"/>
          <w:lang w:val="en-US"/>
        </w:rPr>
        <w:t xml:space="preserve">recovery </w:t>
      </w:r>
      <w:r w:rsidR="00E46C78">
        <w:rPr>
          <w:rFonts w:ascii="Times New Roman" w:hAnsi="Times New Roman" w:cs="Times New Roman"/>
          <w:lang w:val="en-US"/>
        </w:rPr>
        <w:t>of the process.</w:t>
      </w:r>
      <w:r w:rsidR="00DF37C2">
        <w:rPr>
          <w:rFonts w:ascii="Times New Roman" w:hAnsi="Times New Roman" w:cs="Times New Roman"/>
          <w:lang w:val="en-US"/>
        </w:rPr>
        <w:t xml:space="preserve"> Thus, f</w:t>
      </w:r>
      <w:r w:rsidR="00E46C78">
        <w:rPr>
          <w:rFonts w:ascii="Times New Roman" w:hAnsi="Times New Roman" w:cs="Times New Roman"/>
          <w:lang w:val="en-US"/>
        </w:rPr>
        <w:t>or an effective industrial application of HTL</w:t>
      </w:r>
      <w:r w:rsidR="00DF37C2">
        <w:rPr>
          <w:rFonts w:ascii="Times New Roman" w:hAnsi="Times New Roman" w:cs="Times New Roman"/>
          <w:lang w:val="en-US"/>
        </w:rPr>
        <w:t>, it is</w:t>
      </w:r>
      <w:r w:rsidR="00E46C78">
        <w:rPr>
          <w:rFonts w:ascii="Times New Roman" w:hAnsi="Times New Roman" w:cs="Times New Roman"/>
          <w:lang w:val="en-US"/>
        </w:rPr>
        <w:t xml:space="preserve"> critical to </w:t>
      </w:r>
      <w:r w:rsidR="00DF37C2">
        <w:rPr>
          <w:rFonts w:ascii="Times New Roman" w:hAnsi="Times New Roman" w:cs="Times New Roman"/>
          <w:lang w:val="en-US"/>
        </w:rPr>
        <w:t>address</w:t>
      </w:r>
      <w:r w:rsidR="00E46C78">
        <w:rPr>
          <w:rFonts w:ascii="Times New Roman" w:hAnsi="Times New Roman" w:cs="Times New Roman"/>
          <w:lang w:val="en-US"/>
        </w:rPr>
        <w:t xml:space="preserve"> the significant </w:t>
      </w:r>
      <w:r w:rsidRPr="001C0206">
        <w:rPr>
          <w:rFonts w:ascii="Times New Roman" w:hAnsi="Times New Roman" w:cs="Times New Roman"/>
          <w:lang w:val="en-US"/>
        </w:rPr>
        <w:t xml:space="preserve">carbon loss in the aqueous phase (AP) and the </w:t>
      </w:r>
      <w:r w:rsidR="00DF37C2">
        <w:rPr>
          <w:rFonts w:ascii="Times New Roman" w:hAnsi="Times New Roman" w:cs="Times New Roman"/>
          <w:lang w:val="en-US"/>
        </w:rPr>
        <w:t>need</w:t>
      </w:r>
      <w:r w:rsidRPr="001C0206">
        <w:rPr>
          <w:rFonts w:ascii="Times New Roman" w:hAnsi="Times New Roman" w:cs="Times New Roman"/>
          <w:lang w:val="en-US"/>
        </w:rPr>
        <w:t xml:space="preserve"> </w:t>
      </w:r>
      <w:r w:rsidR="00DF37C2">
        <w:rPr>
          <w:rFonts w:ascii="Times New Roman" w:hAnsi="Times New Roman" w:cs="Times New Roman"/>
          <w:lang w:val="en-US"/>
        </w:rPr>
        <w:t>for</w:t>
      </w:r>
      <w:r w:rsidRPr="001C0206">
        <w:rPr>
          <w:rFonts w:ascii="Times New Roman" w:hAnsi="Times New Roman" w:cs="Times New Roman"/>
          <w:lang w:val="en-US"/>
        </w:rPr>
        <w:t xml:space="preserve"> biocrude upgrading</w:t>
      </w:r>
      <w:r w:rsidR="00811F67">
        <w:rPr>
          <w:rFonts w:ascii="Times New Roman" w:hAnsi="Times New Roman" w:cs="Times New Roman"/>
          <w:lang w:val="en-US"/>
        </w:rPr>
        <w:t xml:space="preserve"> </w:t>
      </w:r>
      <w:r w:rsidR="00FE14D2">
        <w:rPr>
          <w:rFonts w:ascii="Times New Roman" w:hAnsi="Times New Roman" w:cs="Times New Roman"/>
          <w:lang w:val="en-US"/>
        </w:rPr>
        <w:fldChar w:fldCharType="begin" w:fldLock="1"/>
      </w:r>
      <w:r w:rsidR="00FA132B">
        <w:rPr>
          <w:rFonts w:ascii="Times New Roman" w:hAnsi="Times New Roman" w:cs="Times New Roman"/>
          <w:lang w:val="en-US"/>
        </w:rPr>
        <w:instrText>ADDIN CSL_CITATION {"citationItems":[{"id":"ITEM-1","itemData":{"DOI":"10.1016/j.pecs.2019.100819","ISSN":"03601285","abstract":"Hydrothermal liquefaction (HTL) is a thermochemical conversion technology that shows promising commercial potential for the production of biocrude oil from wet biomass. However, the inevitable production of the hydrothermal liquefaction aqueous phase (HTL-AP) acts as a double-edged sword: it is considered a waste stream that without additional treatment clouds the future scale-up prospects of HTL technology; on the other hand, it also offers potential as an untapped nutrient and energy resource that could be valorized. As more researchers turn to liquefaction as a means of producing renewable fuel, there is a growing need to better understand HTL-AP from a variety of vantage points. Specifically, the HTL-AP chemical composition, conversion pathways, energy valorization potential, and the interconnection of HTL-AP conversion with biofuel production technology are particularly worthy of investigation. This paper extensively reviews the impact of HTL conditions and the feedstock composition on the energy and elemental distribution of process outputs with specific emphasis on the HTL-AP. Moreover, this paper also compares and contrasts the current state of value-added products separation along with biological (biomass cultivation, anaerobic fermentation, and bioelectrochemical systems) and thermochemical (gasification and HTL) pathways to valorize HTL-AP. Furthermore, life cycle analysis (LCA) and techno-economic assessments (TEA) are performed to appraise the environmental sustainability and economic implications of these different valorization techniques. Finally, perspectives and challenges are presented and the integration approaches of HTL-AP valorization pathways with HTL and biorefining are explored.","author":[{"dropping-particle":"","family":"Watson","given":"Jamison","non-dropping-particle":"","parse-names":false,"suffix":""},{"dropping-particle":"","family":"Wang","given":"Tengfei","non-dropping-particle":"","parse-names":false,"suffix":""},{"dropping-particle":"","family":"Si","given":"Buchun","non-dropping-particle":"","parse-names":false,"suffix":""},{"dropping-particle":"","family":"Chen","given":"Wan Ting","non-dropping-particle":"","parse-names":false,"suffix":""},{"dropping-particle":"","family":"Aierzhati","given":"Aersi","non-dropping-particle":"","parse-names":false,"suffix":""},{"dropping-particle":"","family":"Zhang","given":"Yuanhui","non-dropping-particle":"","parse-names":false,"suffix":""}],"container-title":"Progress in Energy and Combustion Science","id":"ITEM-1","issued":{"date-parts":[["2020"]]},"page":"100819","publisher":"Elsevier Ltd","title":"Valorization of hydrothermal liquefaction aqueous phase: pathways towards commercial viability","type":"article-journal","volume":"77"},"uris":["http://www.mendeley.com/documents/?uuid=f256bb99-35a4-4a6e-afee-e71cdae49bce"]}],"mendeley":{"formattedCitation":"[1]","plainTextFormattedCitation":"[1]","previouslyFormattedCitation":"[1]"},"properties":{"noteIndex":0},"schema":"https://github.com/citation-style-language/schema/raw/master/csl-citation.json"}</w:instrText>
      </w:r>
      <w:r w:rsidR="00FE14D2">
        <w:rPr>
          <w:rFonts w:ascii="Times New Roman" w:hAnsi="Times New Roman" w:cs="Times New Roman"/>
          <w:lang w:val="en-US"/>
        </w:rPr>
        <w:fldChar w:fldCharType="separate"/>
      </w:r>
      <w:r w:rsidR="00E21161" w:rsidRPr="00E21161">
        <w:rPr>
          <w:rFonts w:ascii="Times New Roman" w:hAnsi="Times New Roman" w:cs="Times New Roman"/>
          <w:noProof/>
          <w:lang w:val="en-US"/>
        </w:rPr>
        <w:t>[1]</w:t>
      </w:r>
      <w:r w:rsidR="00FE14D2">
        <w:rPr>
          <w:rFonts w:ascii="Times New Roman" w:hAnsi="Times New Roman" w:cs="Times New Roman"/>
          <w:lang w:val="en-US"/>
        </w:rPr>
        <w:fldChar w:fldCharType="end"/>
      </w:r>
      <w:r w:rsidRPr="001C0206">
        <w:rPr>
          <w:rFonts w:ascii="Times New Roman" w:hAnsi="Times New Roman" w:cs="Times New Roman"/>
          <w:lang w:val="en-US"/>
        </w:rPr>
        <w:t>.</w:t>
      </w:r>
      <w:r w:rsidR="000527B6">
        <w:rPr>
          <w:rFonts w:ascii="Times New Roman" w:hAnsi="Times New Roman" w:cs="Times New Roman"/>
          <w:lang w:val="en-US"/>
        </w:rPr>
        <w:t xml:space="preserve"> </w:t>
      </w:r>
      <w:r w:rsidR="00E46C78">
        <w:rPr>
          <w:rFonts w:ascii="Times New Roman" w:hAnsi="Times New Roman" w:cs="Times New Roman"/>
          <w:lang w:val="en-US"/>
        </w:rPr>
        <w:t xml:space="preserve">In </w:t>
      </w:r>
      <w:r w:rsidR="008A1036">
        <w:rPr>
          <w:rFonts w:ascii="Times New Roman" w:hAnsi="Times New Roman" w:cs="Times New Roman"/>
          <w:lang w:val="en-US"/>
        </w:rPr>
        <w:t>this work</w:t>
      </w:r>
      <w:r w:rsidR="00E46C78">
        <w:rPr>
          <w:rFonts w:ascii="Times New Roman" w:hAnsi="Times New Roman" w:cs="Times New Roman"/>
          <w:lang w:val="en-US"/>
        </w:rPr>
        <w:t xml:space="preserve">, we evaluated </w:t>
      </w:r>
      <w:r w:rsidRPr="001C0206">
        <w:rPr>
          <w:rFonts w:ascii="Times New Roman" w:hAnsi="Times New Roman" w:cs="Times New Roman"/>
          <w:lang w:val="en-US"/>
        </w:rPr>
        <w:t>coupling hydrothermal liquefaction (HTL) with aqueous phase reforming (APR). APR is a catalytic process</w:t>
      </w:r>
      <w:r w:rsidR="006E0AC6">
        <w:rPr>
          <w:rFonts w:ascii="Times New Roman" w:hAnsi="Times New Roman" w:cs="Times New Roman"/>
          <w:lang w:val="en-US"/>
        </w:rPr>
        <w:t xml:space="preserve"> </w:t>
      </w:r>
      <w:r w:rsidR="00FC6435">
        <w:rPr>
          <w:rFonts w:ascii="Times New Roman" w:hAnsi="Times New Roman" w:cs="Times New Roman"/>
          <w:lang w:val="en-US"/>
        </w:rPr>
        <w:t xml:space="preserve">capable of </w:t>
      </w:r>
      <w:r w:rsidRPr="001C0206">
        <w:rPr>
          <w:rFonts w:ascii="Times New Roman" w:hAnsi="Times New Roman" w:cs="Times New Roman"/>
          <w:lang w:val="en-US"/>
        </w:rPr>
        <w:t>convert</w:t>
      </w:r>
      <w:r w:rsidR="00FC6435">
        <w:rPr>
          <w:rFonts w:ascii="Times New Roman" w:hAnsi="Times New Roman" w:cs="Times New Roman"/>
          <w:lang w:val="en-US"/>
        </w:rPr>
        <w:t>ing</w:t>
      </w:r>
      <w:r w:rsidRPr="001C0206">
        <w:rPr>
          <w:rFonts w:ascii="Times New Roman" w:hAnsi="Times New Roman" w:cs="Times New Roman"/>
          <w:lang w:val="en-US"/>
        </w:rPr>
        <w:t xml:space="preserve"> </w:t>
      </w:r>
      <w:r w:rsidR="006E0AC6">
        <w:rPr>
          <w:rFonts w:ascii="Times New Roman" w:hAnsi="Times New Roman" w:cs="Times New Roman"/>
          <w:lang w:val="en-US"/>
        </w:rPr>
        <w:t xml:space="preserve">the </w:t>
      </w:r>
      <w:r w:rsidRPr="001C0206">
        <w:rPr>
          <w:rFonts w:ascii="Times New Roman" w:hAnsi="Times New Roman" w:cs="Times New Roman"/>
          <w:lang w:val="en-US"/>
        </w:rPr>
        <w:t>oxygenates</w:t>
      </w:r>
      <w:r w:rsidR="006E0AC6">
        <w:rPr>
          <w:rFonts w:ascii="Times New Roman" w:hAnsi="Times New Roman" w:cs="Times New Roman"/>
          <w:lang w:val="en-US"/>
        </w:rPr>
        <w:t xml:space="preserve"> contained in </w:t>
      </w:r>
      <w:r w:rsidR="00D4706C">
        <w:rPr>
          <w:rFonts w:ascii="Times New Roman" w:hAnsi="Times New Roman" w:cs="Times New Roman"/>
          <w:lang w:val="en-US"/>
        </w:rPr>
        <w:t xml:space="preserve">the </w:t>
      </w:r>
      <w:r w:rsidR="006E0AC6">
        <w:rPr>
          <w:rFonts w:ascii="Times New Roman" w:hAnsi="Times New Roman" w:cs="Times New Roman"/>
          <w:lang w:val="en-US"/>
        </w:rPr>
        <w:t>aqueous stream</w:t>
      </w:r>
      <w:r w:rsidRPr="001C0206">
        <w:rPr>
          <w:rFonts w:ascii="Times New Roman" w:hAnsi="Times New Roman" w:cs="Times New Roman"/>
          <w:lang w:val="en-US"/>
        </w:rPr>
        <w:t xml:space="preserve"> into a hydrogen-rich gas</w:t>
      </w:r>
      <w:r w:rsidR="00FC6435">
        <w:rPr>
          <w:rFonts w:ascii="Times New Roman" w:hAnsi="Times New Roman" w:cs="Times New Roman"/>
          <w:lang w:val="en-US"/>
        </w:rPr>
        <w:t xml:space="preserve">, </w:t>
      </w:r>
      <w:r w:rsidR="006E0AC6">
        <w:rPr>
          <w:rFonts w:ascii="Times New Roman" w:hAnsi="Times New Roman" w:cs="Times New Roman"/>
          <w:lang w:val="en-US"/>
        </w:rPr>
        <w:t xml:space="preserve">without requiring </w:t>
      </w:r>
      <w:r w:rsidR="00D4706C">
        <w:rPr>
          <w:rFonts w:ascii="Times New Roman" w:hAnsi="Times New Roman" w:cs="Times New Roman"/>
          <w:lang w:val="en-US"/>
        </w:rPr>
        <w:t>the energy-</w:t>
      </w:r>
      <w:r w:rsidR="00FC6435">
        <w:rPr>
          <w:rFonts w:ascii="Times New Roman" w:hAnsi="Times New Roman" w:cs="Times New Roman"/>
          <w:lang w:val="en-US"/>
        </w:rPr>
        <w:t>intensive</w:t>
      </w:r>
      <w:r w:rsidR="00D4706C">
        <w:rPr>
          <w:rFonts w:ascii="Times New Roman" w:hAnsi="Times New Roman" w:cs="Times New Roman"/>
          <w:lang w:val="en-US"/>
        </w:rPr>
        <w:t xml:space="preserve"> </w:t>
      </w:r>
      <w:r w:rsidR="006E0AC6">
        <w:rPr>
          <w:rFonts w:ascii="Times New Roman" w:hAnsi="Times New Roman" w:cs="Times New Roman"/>
          <w:lang w:val="en-US"/>
        </w:rPr>
        <w:t xml:space="preserve">vaporization of the feed. </w:t>
      </w:r>
      <w:r w:rsidR="00D4706C">
        <w:rPr>
          <w:rFonts w:ascii="Times New Roman" w:hAnsi="Times New Roman" w:cs="Times New Roman"/>
          <w:lang w:val="en-US"/>
        </w:rPr>
        <w:t xml:space="preserve">The gas </w:t>
      </w:r>
      <w:r w:rsidR="00393D73">
        <w:rPr>
          <w:rFonts w:ascii="Times New Roman" w:hAnsi="Times New Roman" w:cs="Times New Roman"/>
          <w:lang w:val="en-US"/>
        </w:rPr>
        <w:t>thus</w:t>
      </w:r>
      <w:r w:rsidR="00D4706C">
        <w:rPr>
          <w:rFonts w:ascii="Times New Roman" w:hAnsi="Times New Roman" w:cs="Times New Roman"/>
          <w:lang w:val="en-US"/>
        </w:rPr>
        <w:t xml:space="preserve"> produced can be used as</w:t>
      </w:r>
      <w:r w:rsidR="00FC6435">
        <w:rPr>
          <w:rFonts w:ascii="Times New Roman" w:hAnsi="Times New Roman" w:cs="Times New Roman"/>
          <w:lang w:val="en-US"/>
        </w:rPr>
        <w:t xml:space="preserve"> an</w:t>
      </w:r>
      <w:r w:rsidR="00D4706C">
        <w:rPr>
          <w:rFonts w:ascii="Times New Roman" w:hAnsi="Times New Roman" w:cs="Times New Roman"/>
          <w:lang w:val="en-US"/>
        </w:rPr>
        <w:t xml:space="preserve"> internal hydrogen source for the biocrude upgrading. </w:t>
      </w:r>
      <w:r w:rsidR="004054E4">
        <w:rPr>
          <w:rFonts w:ascii="Times New Roman" w:hAnsi="Times New Roman" w:cs="Times New Roman"/>
          <w:lang w:val="en-US"/>
        </w:rPr>
        <w:t>In this work, a techno-economic assessment was performed for an HTL-APR integrated plant</w:t>
      </w:r>
      <w:r w:rsidR="00FC6435">
        <w:rPr>
          <w:rFonts w:ascii="Times New Roman" w:hAnsi="Times New Roman" w:cs="Times New Roman"/>
          <w:lang w:val="en-US"/>
        </w:rPr>
        <w:t xml:space="preserve"> </w:t>
      </w:r>
      <w:r w:rsidR="008A1036">
        <w:rPr>
          <w:rFonts w:ascii="Times New Roman" w:hAnsi="Times New Roman" w:cs="Times New Roman"/>
          <w:lang w:val="en-US"/>
        </w:rPr>
        <w:t>to produce</w:t>
      </w:r>
      <w:r w:rsidR="001C6E54">
        <w:rPr>
          <w:rFonts w:ascii="Times New Roman" w:hAnsi="Times New Roman" w:cs="Times New Roman"/>
          <w:lang w:val="en-US"/>
        </w:rPr>
        <w:t xml:space="preserve"> biofuel</w:t>
      </w:r>
      <w:r w:rsidR="004054E4">
        <w:rPr>
          <w:rFonts w:ascii="Times New Roman" w:hAnsi="Times New Roman" w:cs="Times New Roman"/>
          <w:lang w:val="en-US"/>
        </w:rPr>
        <w:t xml:space="preserve">. </w:t>
      </w:r>
      <w:r w:rsidR="001A35A7" w:rsidRPr="00E956CD">
        <w:rPr>
          <w:rFonts w:ascii="Times New Roman" w:hAnsi="Times New Roman" w:cs="Times New Roman"/>
          <w:lang w:val="en-US"/>
        </w:rPr>
        <w:t>This allows to assess the feasibility of this novel integration and identify weaknesses that must be overcome in order to move to commercial-scale implementation.</w:t>
      </w:r>
      <w:r w:rsidR="00811F67">
        <w:rPr>
          <w:rFonts w:ascii="Times New Roman" w:hAnsi="Times New Roman" w:cs="Times New Roman"/>
          <w:lang w:val="en-US"/>
        </w:rPr>
        <w:t xml:space="preserve"> </w:t>
      </w:r>
      <w:r w:rsidR="00D85763">
        <w:rPr>
          <w:rFonts w:ascii="Times New Roman" w:hAnsi="Times New Roman" w:cs="Times New Roman"/>
          <w:lang w:val="en-US"/>
        </w:rPr>
        <w:t>Finally, a l</w:t>
      </w:r>
      <w:r w:rsidR="00811F67" w:rsidRPr="00811F67">
        <w:rPr>
          <w:rFonts w:ascii="Times New Roman" w:hAnsi="Times New Roman" w:cs="Times New Roman"/>
          <w:lang w:val="en-US"/>
        </w:rPr>
        <w:t>ife cycle assessment (LCA) was performed to assess the environmental impact of this technology as well.</w:t>
      </w:r>
    </w:p>
    <w:p w14:paraId="0871BF31" w14:textId="3934CE34" w:rsidR="00DA51A3" w:rsidRPr="00466FFD" w:rsidRDefault="00DA51A3" w:rsidP="00384986">
      <w:pPr>
        <w:snapToGrid w:val="0"/>
        <w:spacing w:after="120" w:line="22" w:lineRule="atLeast"/>
        <w:rPr>
          <w:rFonts w:ascii="Times New Roman" w:eastAsia="MS PGothic" w:hAnsi="Times New Roman"/>
          <w:lang w:val="en-US"/>
        </w:rPr>
      </w:pPr>
      <w:r w:rsidRPr="00466FFD">
        <w:rPr>
          <w:rFonts w:ascii="Times New Roman" w:eastAsia="MS PGothic" w:hAnsi="Times New Roman"/>
          <w:b/>
          <w:bCs/>
          <w:lang w:val="en-US"/>
        </w:rPr>
        <w:t>2. Methods</w:t>
      </w:r>
    </w:p>
    <w:p w14:paraId="6DD2A374" w14:textId="53C773F7" w:rsidR="0090187B" w:rsidRDefault="00811F67" w:rsidP="00384986">
      <w:pPr>
        <w:snapToGrid w:val="0"/>
        <w:spacing w:after="120" w:line="22" w:lineRule="atLeast"/>
        <w:jc w:val="both"/>
        <w:rPr>
          <w:rFonts w:ascii="Times New Roman" w:hAnsi="Times New Roman" w:cs="Times New Roman"/>
          <w:lang w:val="en-US"/>
        </w:rPr>
      </w:pPr>
      <w:r w:rsidRPr="001C0206">
        <w:rPr>
          <w:rFonts w:ascii="Times New Roman" w:hAnsi="Times New Roman" w:cs="Times New Roman"/>
          <w:lang w:val="en-US"/>
        </w:rPr>
        <w:t>Two cases were proposed, based on different lignocellulosic feedstocks: corn stover (CS)</w:t>
      </w:r>
      <w:r>
        <w:rPr>
          <w:rFonts w:ascii="Times New Roman" w:hAnsi="Times New Roman" w:cs="Times New Roman"/>
          <w:lang w:val="en-US"/>
        </w:rPr>
        <w:t xml:space="preserve">, </w:t>
      </w:r>
      <w:r w:rsidRPr="00E956CD">
        <w:rPr>
          <w:rFonts w:ascii="Times New Roman" w:hAnsi="Times New Roman" w:cs="Times New Roman"/>
          <w:lang w:val="en-US"/>
        </w:rPr>
        <w:t>representative of several agricultural wastes that can be exploited</w:t>
      </w:r>
      <w:r>
        <w:rPr>
          <w:rFonts w:ascii="Times New Roman" w:hAnsi="Times New Roman" w:cs="Times New Roman"/>
          <w:lang w:val="en-US"/>
        </w:rPr>
        <w:t>,</w:t>
      </w:r>
      <w:r w:rsidRPr="001C0206">
        <w:rPr>
          <w:rFonts w:ascii="Times New Roman" w:hAnsi="Times New Roman" w:cs="Times New Roman"/>
          <w:lang w:val="en-US"/>
        </w:rPr>
        <w:t xml:space="preserve"> and lignin-rich stream (LRS)</w:t>
      </w:r>
      <w:r>
        <w:rPr>
          <w:rFonts w:ascii="Times New Roman" w:hAnsi="Times New Roman" w:cs="Times New Roman"/>
          <w:lang w:val="en-US"/>
        </w:rPr>
        <w:t xml:space="preserve">, as by-product </w:t>
      </w:r>
      <w:r w:rsidRPr="001C0206">
        <w:rPr>
          <w:rFonts w:ascii="Times New Roman" w:hAnsi="Times New Roman" w:cs="Times New Roman"/>
          <w:lang w:val="en-US"/>
        </w:rPr>
        <w:t>from cellulosic ethanol production</w:t>
      </w:r>
      <w:r>
        <w:rPr>
          <w:rFonts w:ascii="Times New Roman" w:hAnsi="Times New Roman" w:cs="Times New Roman"/>
          <w:lang w:val="en-US"/>
        </w:rPr>
        <w:t xml:space="preserve">. </w:t>
      </w:r>
      <w:r w:rsidR="0090187B">
        <w:rPr>
          <w:rFonts w:ascii="Times New Roman" w:hAnsi="Times New Roman" w:cs="Times New Roman"/>
          <w:lang w:val="en-US"/>
        </w:rPr>
        <w:t>HTL-APR integrated p</w:t>
      </w:r>
      <w:r w:rsidR="0090187B" w:rsidRPr="00393D73">
        <w:rPr>
          <w:rFonts w:ascii="Times New Roman" w:hAnsi="Times New Roman" w:cs="Times New Roman"/>
          <w:lang w:val="en-US"/>
        </w:rPr>
        <w:t xml:space="preserve">lants </w:t>
      </w:r>
      <w:r w:rsidR="0090187B">
        <w:rPr>
          <w:rFonts w:ascii="Times New Roman" w:hAnsi="Times New Roman" w:cs="Times New Roman"/>
          <w:lang w:val="en-US"/>
        </w:rPr>
        <w:t>were sized to work with a mass flow rate of 3.6 t/h</w:t>
      </w:r>
      <w:r w:rsidR="0090187B" w:rsidRPr="00393D73">
        <w:rPr>
          <w:rFonts w:ascii="Times New Roman" w:hAnsi="Times New Roman" w:cs="Times New Roman"/>
          <w:lang w:val="en-US"/>
        </w:rPr>
        <w:t xml:space="preserve"> </w:t>
      </w:r>
      <w:r w:rsidR="0090187B">
        <w:rPr>
          <w:rFonts w:ascii="Times New Roman" w:hAnsi="Times New Roman" w:cs="Times New Roman"/>
          <w:lang w:val="en-US"/>
        </w:rPr>
        <w:t>and 10 wt.% of solid loading (input nameplate capacity of 20 MW for LRS and 16.5 MW</w:t>
      </w:r>
      <w:r w:rsidR="008A1036">
        <w:rPr>
          <w:rFonts w:ascii="Times New Roman" w:hAnsi="Times New Roman" w:cs="Times New Roman"/>
          <w:lang w:val="en-US"/>
        </w:rPr>
        <w:t xml:space="preserve"> </w:t>
      </w:r>
      <w:r>
        <w:rPr>
          <w:rFonts w:ascii="Times New Roman" w:hAnsi="Times New Roman" w:cs="Times New Roman"/>
          <w:lang w:val="en-US"/>
        </w:rPr>
        <w:t xml:space="preserve">for </w:t>
      </w:r>
      <w:r w:rsidR="008A1036">
        <w:rPr>
          <w:rFonts w:ascii="Times New Roman" w:hAnsi="Times New Roman" w:cs="Times New Roman"/>
          <w:lang w:val="en-US"/>
        </w:rPr>
        <w:t>CS</w:t>
      </w:r>
      <w:r w:rsidR="0090187B">
        <w:rPr>
          <w:rFonts w:ascii="Times New Roman" w:hAnsi="Times New Roman" w:cs="Times New Roman"/>
          <w:lang w:val="en-US"/>
        </w:rPr>
        <w:t>)</w:t>
      </w:r>
      <w:r w:rsidR="001A35A7" w:rsidRPr="00393D73">
        <w:rPr>
          <w:rFonts w:ascii="Times New Roman" w:hAnsi="Times New Roman" w:cs="Times New Roman"/>
          <w:lang w:val="en-US"/>
        </w:rPr>
        <w:t xml:space="preserve">. </w:t>
      </w:r>
      <w:r w:rsidR="001A35A7">
        <w:rPr>
          <w:rFonts w:ascii="Times New Roman" w:hAnsi="Times New Roman" w:cs="Times New Roman"/>
          <w:lang w:val="en-US"/>
        </w:rPr>
        <w:t xml:space="preserve">Starting from mass and energy balances, the design of the main unit </w:t>
      </w:r>
      <w:r w:rsidR="008A1036">
        <w:rPr>
          <w:rFonts w:ascii="Times New Roman" w:hAnsi="Times New Roman" w:cs="Times New Roman"/>
          <w:lang w:val="en-US"/>
        </w:rPr>
        <w:t>was</w:t>
      </w:r>
      <w:r w:rsidR="001A35A7">
        <w:rPr>
          <w:rFonts w:ascii="Times New Roman" w:hAnsi="Times New Roman" w:cs="Times New Roman"/>
          <w:lang w:val="en-US"/>
        </w:rPr>
        <w:t xml:space="preserve"> performed</w:t>
      </w:r>
      <w:r w:rsidR="00FA132B">
        <w:rPr>
          <w:rFonts w:ascii="Times New Roman" w:hAnsi="Times New Roman" w:cs="Times New Roman"/>
          <w:lang w:val="en-US"/>
        </w:rPr>
        <w:t>; t</w:t>
      </w:r>
      <w:r w:rsidR="001A35A7" w:rsidRPr="00E956CD">
        <w:rPr>
          <w:rFonts w:ascii="Times New Roman" w:hAnsi="Times New Roman" w:cs="Times New Roman"/>
          <w:lang w:val="en-US"/>
        </w:rPr>
        <w:t>he calculations were based both on experimental data</w:t>
      </w:r>
      <w:r w:rsidR="001A35A7">
        <w:rPr>
          <w:rFonts w:ascii="Times New Roman" w:hAnsi="Times New Roman" w:cs="Times New Roman"/>
          <w:lang w:val="en-US"/>
        </w:rPr>
        <w:t xml:space="preserve"> </w:t>
      </w:r>
      <w:r w:rsidR="001A35A7" w:rsidRPr="00E956CD">
        <w:rPr>
          <w:rFonts w:ascii="Times New Roman" w:hAnsi="Times New Roman" w:cs="Times New Roman"/>
          <w:lang w:val="en-US"/>
        </w:rPr>
        <w:t xml:space="preserve">and </w:t>
      </w:r>
      <w:r w:rsidR="008A1036">
        <w:rPr>
          <w:rFonts w:ascii="Times New Roman" w:hAnsi="Times New Roman" w:cs="Times New Roman"/>
          <w:lang w:val="en-US"/>
        </w:rPr>
        <w:t xml:space="preserve">the </w:t>
      </w:r>
      <w:r w:rsidR="001A35A7" w:rsidRPr="00E956CD">
        <w:rPr>
          <w:rFonts w:ascii="Times New Roman" w:hAnsi="Times New Roman" w:cs="Times New Roman"/>
          <w:lang w:val="en-US"/>
        </w:rPr>
        <w:t>literature.</w:t>
      </w:r>
      <w:r w:rsidR="001A35A7">
        <w:rPr>
          <w:rFonts w:ascii="Times New Roman" w:hAnsi="Times New Roman" w:cs="Times New Roman"/>
          <w:lang w:val="en-US"/>
        </w:rPr>
        <w:t xml:space="preserve"> </w:t>
      </w:r>
      <w:r w:rsidR="00FA132B">
        <w:rPr>
          <w:rFonts w:ascii="Times New Roman" w:hAnsi="Times New Roman" w:cs="Times New Roman"/>
          <w:lang w:val="en-US"/>
        </w:rPr>
        <w:t>T</w:t>
      </w:r>
      <w:r w:rsidR="001A35A7">
        <w:rPr>
          <w:rFonts w:ascii="Times New Roman" w:hAnsi="Times New Roman" w:cs="Times New Roman"/>
          <w:lang w:val="en-US"/>
        </w:rPr>
        <w:t xml:space="preserve">he economic evaluation was carried out by </w:t>
      </w:r>
      <w:r w:rsidR="00FA132B">
        <w:rPr>
          <w:rFonts w:ascii="Times New Roman" w:hAnsi="Times New Roman" w:cs="Times New Roman"/>
          <w:lang w:val="en-US"/>
        </w:rPr>
        <w:t>calculating</w:t>
      </w:r>
      <w:r w:rsidR="001A35A7">
        <w:rPr>
          <w:rFonts w:ascii="Times New Roman" w:hAnsi="Times New Roman" w:cs="Times New Roman"/>
          <w:lang w:val="en-US"/>
        </w:rPr>
        <w:t xml:space="preserve"> economic indicators: </w:t>
      </w:r>
      <w:r w:rsidR="0090187B">
        <w:rPr>
          <w:rFonts w:ascii="Times New Roman" w:hAnsi="Times New Roman" w:cs="Times New Roman"/>
          <w:lang w:val="en-US"/>
        </w:rPr>
        <w:t xml:space="preserve">minimum selling prices (MSPs) </w:t>
      </w:r>
      <w:r w:rsidR="001A35A7">
        <w:rPr>
          <w:rFonts w:ascii="Times New Roman" w:hAnsi="Times New Roman" w:cs="Times New Roman"/>
          <w:lang w:val="en-US"/>
        </w:rPr>
        <w:t>and</w:t>
      </w:r>
      <w:r w:rsidR="0090187B">
        <w:rPr>
          <w:rFonts w:ascii="Times New Roman" w:hAnsi="Times New Roman" w:cs="Times New Roman"/>
          <w:lang w:val="en-US"/>
        </w:rPr>
        <w:t xml:space="preserve"> hydrogen production costs.</w:t>
      </w:r>
      <w:r w:rsidR="00FA132B">
        <w:rPr>
          <w:rFonts w:ascii="Times New Roman" w:hAnsi="Times New Roman" w:cs="Times New Roman"/>
          <w:lang w:val="en-US"/>
        </w:rPr>
        <w:t xml:space="preserve"> </w:t>
      </w:r>
      <w:r w:rsidR="00FA132B" w:rsidRPr="00FA132B">
        <w:rPr>
          <w:rFonts w:ascii="Times New Roman" w:hAnsi="Times New Roman" w:cs="Times New Roman"/>
          <w:lang w:val="en-US"/>
        </w:rPr>
        <w:t xml:space="preserve">The environmental analysis was carried out with LCA methodology (ISO 14040 and ISO 14044) </w:t>
      </w:r>
      <w:r w:rsidR="00FA132B" w:rsidRPr="00FA132B">
        <w:rPr>
          <w:rFonts w:ascii="Times New Roman" w:hAnsi="Times New Roman" w:cs="Times New Roman"/>
          <w:lang w:val="en-US"/>
        </w:rPr>
        <w:fldChar w:fldCharType="begin" w:fldLock="1"/>
      </w:r>
      <w:r w:rsidR="00FA132B">
        <w:rPr>
          <w:rFonts w:ascii="Times New Roman" w:hAnsi="Times New Roman" w:cs="Times New Roman"/>
          <w:lang w:val="en-US"/>
        </w:rPr>
        <w:instrText>ADDIN CSL_CITATION {"citationItems":[{"id":"ITEM-1","itemData":{"DOI":"10.2788/38479","ISBN":"9789279190926","author":[{"dropping-particle":"","family":"European Commission-Joint Research Center","given":"","non-dropping-particle":"","parse-names":false,"suffix":""}],"container-title":"Constraints","id":"ITEM-1","issued":{"date-parts":[["2010"]]},"number-of-pages":"1-5","title":"ILCD Handbook: General guide for Life Cycle Assessment - Detailed guidance","type":"book"},"uris":["http://www.mendeley.com/documents/?uuid=e5e80aaf-745b-42ea-82a5-168d9df7f142"]}],"mendeley":{"formattedCitation":"[2]","plainTextFormattedCitation":"[2]","previouslyFormattedCitation":"(European Commission-Joint Research Center, 2010)"},"properties":{"noteIndex":0},"schema":"https://github.com/citation-style-language/schema/raw/master/csl-citation.json"}</w:instrText>
      </w:r>
      <w:r w:rsidR="00FA132B" w:rsidRPr="00FA132B">
        <w:rPr>
          <w:rFonts w:ascii="Times New Roman" w:hAnsi="Times New Roman" w:cs="Times New Roman"/>
          <w:lang w:val="en-US"/>
        </w:rPr>
        <w:fldChar w:fldCharType="separate"/>
      </w:r>
      <w:r w:rsidR="00FA132B" w:rsidRPr="00FA132B">
        <w:rPr>
          <w:rFonts w:ascii="Times New Roman" w:hAnsi="Times New Roman" w:cs="Times New Roman"/>
          <w:noProof/>
          <w:lang w:val="en-US"/>
        </w:rPr>
        <w:t>[2]</w:t>
      </w:r>
      <w:r w:rsidR="00FA132B" w:rsidRPr="00FA132B">
        <w:rPr>
          <w:rFonts w:ascii="Times New Roman" w:hAnsi="Times New Roman" w:cs="Times New Roman"/>
          <w:lang w:val="en-US"/>
        </w:rPr>
        <w:fldChar w:fldCharType="end"/>
      </w:r>
      <w:r w:rsidR="00FA132B" w:rsidRPr="00FA132B">
        <w:rPr>
          <w:rFonts w:ascii="Times New Roman" w:hAnsi="Times New Roman" w:cs="Times New Roman"/>
          <w:lang w:val="en-US"/>
        </w:rPr>
        <w:t xml:space="preserve">. The software GABI was used, and the impacts </w:t>
      </w:r>
      <w:r w:rsidR="00AB117F">
        <w:rPr>
          <w:rFonts w:ascii="Times New Roman" w:hAnsi="Times New Roman" w:cs="Times New Roman"/>
          <w:lang w:val="en-US"/>
        </w:rPr>
        <w:t>w</w:t>
      </w:r>
      <w:r w:rsidR="00780244">
        <w:rPr>
          <w:rFonts w:ascii="Times New Roman" w:hAnsi="Times New Roman" w:cs="Times New Roman"/>
          <w:lang w:val="en-US"/>
        </w:rPr>
        <w:t>ere</w:t>
      </w:r>
      <w:r w:rsidR="00FA132B" w:rsidRPr="00FA132B">
        <w:rPr>
          <w:rFonts w:ascii="Times New Roman" w:hAnsi="Times New Roman" w:cs="Times New Roman"/>
          <w:lang w:val="en-US"/>
        </w:rPr>
        <w:t xml:space="preserve"> evaluated by ILCD v1.09 method </w:t>
      </w:r>
      <w:r w:rsidR="00780244">
        <w:rPr>
          <w:rFonts w:ascii="Times New Roman" w:hAnsi="Times New Roman" w:cs="Times New Roman"/>
          <w:lang w:val="en-US"/>
        </w:rPr>
        <w:t>through</w:t>
      </w:r>
      <w:r w:rsidR="00FA132B" w:rsidRPr="00FA132B">
        <w:rPr>
          <w:rFonts w:ascii="Times New Roman" w:hAnsi="Times New Roman" w:cs="Times New Roman"/>
          <w:lang w:val="en-US"/>
        </w:rPr>
        <w:t xml:space="preserve"> to </w:t>
      </w:r>
      <w:r w:rsidR="00AB117F">
        <w:rPr>
          <w:rFonts w:ascii="Times New Roman" w:hAnsi="Times New Roman" w:cs="Times New Roman"/>
          <w:lang w:val="en-US"/>
        </w:rPr>
        <w:t>the g</w:t>
      </w:r>
      <w:r w:rsidR="00FA132B" w:rsidRPr="00FA132B">
        <w:rPr>
          <w:rFonts w:ascii="Times New Roman" w:hAnsi="Times New Roman" w:cs="Times New Roman"/>
          <w:lang w:val="en-US"/>
        </w:rPr>
        <w:t>lobal warning potential (GWP</w:t>
      </w:r>
      <w:r w:rsidR="00AB117F">
        <w:rPr>
          <w:rFonts w:ascii="Times New Roman" w:hAnsi="Times New Roman" w:cs="Times New Roman"/>
          <w:lang w:val="en-US"/>
        </w:rPr>
        <w:t>).</w:t>
      </w:r>
    </w:p>
    <w:p w14:paraId="0528A46E" w14:textId="2F8D229F" w:rsidR="00DA51A3" w:rsidRDefault="00DA51A3" w:rsidP="00384986">
      <w:pPr>
        <w:snapToGrid w:val="0"/>
        <w:spacing w:after="120" w:line="22" w:lineRule="atLeast"/>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6CA75D88" w14:textId="3D72680D" w:rsidR="001C6E54" w:rsidRDefault="005B4536" w:rsidP="00887049">
      <w:pPr>
        <w:snapToGrid w:val="0"/>
        <w:spacing w:after="120" w:line="22" w:lineRule="atLeast"/>
        <w:jc w:val="both"/>
        <w:rPr>
          <w:rFonts w:ascii="Times New Roman" w:hAnsi="Times New Roman" w:cs="Times New Roman"/>
          <w:lang w:val="en-US"/>
        </w:rPr>
      </w:pPr>
      <w:r>
        <w:rPr>
          <w:rFonts w:ascii="Times New Roman" w:hAnsi="Times New Roman" w:cs="Times New Roman"/>
          <w:lang w:val="en-US"/>
        </w:rPr>
        <w:lastRenderedPageBreak/>
        <w:t>With the LRS case</w:t>
      </w:r>
      <w:r w:rsidR="00961753">
        <w:rPr>
          <w:rFonts w:ascii="Times New Roman" w:hAnsi="Times New Roman" w:cs="Times New Roman"/>
          <w:lang w:val="en-US"/>
        </w:rPr>
        <w:t xml:space="preserve">, </w:t>
      </w:r>
      <w:r>
        <w:rPr>
          <w:rFonts w:ascii="Times New Roman" w:hAnsi="Times New Roman" w:cs="Times New Roman"/>
          <w:lang w:val="en-US"/>
        </w:rPr>
        <w:t>APR was able to supply 21% of the H</w:t>
      </w:r>
      <w:r>
        <w:rPr>
          <w:rFonts w:ascii="Times New Roman" w:hAnsi="Times New Roman" w:cs="Times New Roman"/>
          <w:vertAlign w:val="subscript"/>
          <w:lang w:val="en-US"/>
        </w:rPr>
        <w:t>2</w:t>
      </w:r>
      <w:r>
        <w:rPr>
          <w:rFonts w:ascii="Times New Roman" w:hAnsi="Times New Roman" w:cs="Times New Roman"/>
          <w:lang w:val="en-US"/>
        </w:rPr>
        <w:t xml:space="preserve"> required for the biocrude upgrading</w:t>
      </w:r>
      <w:r w:rsidR="0083119D">
        <w:rPr>
          <w:rFonts w:ascii="Times New Roman" w:hAnsi="Times New Roman" w:cs="Times New Roman"/>
          <w:lang w:val="en-US"/>
        </w:rPr>
        <w:t xml:space="preserve">. On the other hand, </w:t>
      </w:r>
      <w:r>
        <w:rPr>
          <w:rFonts w:ascii="Times New Roman" w:hAnsi="Times New Roman" w:cs="Times New Roman"/>
          <w:lang w:val="en-US"/>
        </w:rPr>
        <w:t>with the CS case</w:t>
      </w:r>
      <w:r w:rsidR="0083119D">
        <w:rPr>
          <w:rFonts w:ascii="Times New Roman" w:hAnsi="Times New Roman" w:cs="Times New Roman"/>
          <w:lang w:val="en-US"/>
        </w:rPr>
        <w:t xml:space="preserve"> this value increased up to</w:t>
      </w:r>
      <w:r w:rsidR="007661F2">
        <w:rPr>
          <w:rFonts w:ascii="Times New Roman" w:hAnsi="Times New Roman" w:cs="Times New Roman"/>
          <w:lang w:val="en-US"/>
        </w:rPr>
        <w:t xml:space="preserve"> 165%. The </w:t>
      </w:r>
      <w:r w:rsidR="00961753">
        <w:rPr>
          <w:rFonts w:ascii="Times New Roman" w:hAnsi="Times New Roman" w:cs="Times New Roman"/>
          <w:lang w:val="en-US"/>
        </w:rPr>
        <w:t>improved</w:t>
      </w:r>
      <w:r w:rsidR="007661F2">
        <w:rPr>
          <w:rFonts w:ascii="Times New Roman" w:hAnsi="Times New Roman" w:cs="Times New Roman"/>
          <w:lang w:val="en-US"/>
        </w:rPr>
        <w:t xml:space="preserve"> coupling in the latter</w:t>
      </w:r>
      <w:r>
        <w:rPr>
          <w:rFonts w:ascii="Times New Roman" w:hAnsi="Times New Roman" w:cs="Times New Roman"/>
          <w:lang w:val="en-US"/>
        </w:rPr>
        <w:t xml:space="preserve"> was due to the </w:t>
      </w:r>
      <w:r w:rsidR="00F20515">
        <w:rPr>
          <w:rFonts w:ascii="Times New Roman" w:hAnsi="Times New Roman" w:cs="Times New Roman"/>
          <w:lang w:val="en-US"/>
        </w:rPr>
        <w:t>coexistence of</w:t>
      </w:r>
      <w:r w:rsidR="007661F2">
        <w:rPr>
          <w:rFonts w:ascii="Times New Roman" w:hAnsi="Times New Roman" w:cs="Times New Roman"/>
          <w:lang w:val="en-US"/>
        </w:rPr>
        <w:t xml:space="preserve"> some factors:</w:t>
      </w:r>
      <w:r w:rsidR="00F20515">
        <w:rPr>
          <w:rFonts w:ascii="Times New Roman" w:hAnsi="Times New Roman" w:cs="Times New Roman"/>
          <w:lang w:val="en-US"/>
        </w:rPr>
        <w:t xml:space="preserve"> </w:t>
      </w:r>
      <w:r>
        <w:rPr>
          <w:rFonts w:ascii="Times New Roman" w:hAnsi="Times New Roman" w:cs="Times New Roman"/>
          <w:lang w:val="en-US"/>
        </w:rPr>
        <w:t>high</w:t>
      </w:r>
      <w:r w:rsidR="00F20515">
        <w:rPr>
          <w:rFonts w:ascii="Times New Roman" w:hAnsi="Times New Roman" w:cs="Times New Roman"/>
          <w:lang w:val="en-US"/>
        </w:rPr>
        <w:t>er</w:t>
      </w:r>
      <w:r>
        <w:rPr>
          <w:rFonts w:ascii="Times New Roman" w:hAnsi="Times New Roman" w:cs="Times New Roman"/>
          <w:lang w:val="en-US"/>
        </w:rPr>
        <w:t xml:space="preserve"> hydrogen productivity </w:t>
      </w:r>
      <w:r w:rsidR="007661F2">
        <w:rPr>
          <w:rFonts w:ascii="Times New Roman" w:hAnsi="Times New Roman" w:cs="Times New Roman"/>
          <w:lang w:val="en-US"/>
        </w:rPr>
        <w:t>from</w:t>
      </w:r>
      <w:r>
        <w:rPr>
          <w:rFonts w:ascii="Times New Roman" w:hAnsi="Times New Roman" w:cs="Times New Roman"/>
          <w:lang w:val="en-US"/>
        </w:rPr>
        <w:t xml:space="preserve"> the organics dissolved in HT</w:t>
      </w:r>
      <w:r w:rsidR="00F20515">
        <w:rPr>
          <w:rFonts w:ascii="Times New Roman" w:hAnsi="Times New Roman" w:cs="Times New Roman"/>
          <w:lang w:val="en-US"/>
        </w:rPr>
        <w:t>L</w:t>
      </w:r>
      <w:r w:rsidR="007661F2">
        <w:rPr>
          <w:rFonts w:ascii="Times New Roman" w:hAnsi="Times New Roman" w:cs="Times New Roman"/>
          <w:lang w:val="en-US"/>
        </w:rPr>
        <w:t>-derived</w:t>
      </w:r>
      <w:r>
        <w:rPr>
          <w:rFonts w:ascii="Times New Roman" w:hAnsi="Times New Roman" w:cs="Times New Roman"/>
          <w:lang w:val="en-US"/>
        </w:rPr>
        <w:t xml:space="preserve"> wastewater</w:t>
      </w:r>
      <w:r w:rsidR="00F20515">
        <w:rPr>
          <w:rFonts w:ascii="Times New Roman" w:hAnsi="Times New Roman" w:cs="Times New Roman"/>
          <w:lang w:val="en-US"/>
        </w:rPr>
        <w:t>, lower biocrude production</w:t>
      </w:r>
      <w:r w:rsidR="00961753">
        <w:rPr>
          <w:rFonts w:ascii="Times New Roman" w:hAnsi="Times New Roman" w:cs="Times New Roman"/>
          <w:lang w:val="en-US"/>
        </w:rPr>
        <w:t xml:space="preserve">, </w:t>
      </w:r>
      <w:r w:rsidR="00F20515">
        <w:rPr>
          <w:rFonts w:ascii="Times New Roman" w:hAnsi="Times New Roman" w:cs="Times New Roman"/>
          <w:lang w:val="en-US"/>
        </w:rPr>
        <w:t xml:space="preserve">and lower </w:t>
      </w:r>
      <w:r w:rsidR="00961753">
        <w:rPr>
          <w:rFonts w:ascii="Times New Roman" w:hAnsi="Times New Roman" w:cs="Times New Roman"/>
          <w:lang w:val="en-US"/>
        </w:rPr>
        <w:t>oxygenation of the biocrude.</w:t>
      </w:r>
      <w:r w:rsidR="00430F95" w:rsidRPr="00430F95">
        <w:rPr>
          <w:rFonts w:ascii="Times New Roman" w:hAnsi="Times New Roman" w:cs="Times New Roman"/>
          <w:lang w:val="en-US"/>
        </w:rPr>
        <w:t xml:space="preserve"> </w:t>
      </w:r>
      <w:r w:rsidR="00430F95">
        <w:rPr>
          <w:rFonts w:ascii="Times New Roman" w:hAnsi="Times New Roman" w:cs="Times New Roman"/>
          <w:lang w:val="en-US"/>
        </w:rPr>
        <w:t xml:space="preserve">The minimum selling prices, (internal rate of return 0%), for the two biofuels were </w:t>
      </w:r>
      <w:r w:rsidR="00430F95" w:rsidRPr="001C6E54">
        <w:rPr>
          <w:rFonts w:ascii="Times New Roman" w:hAnsi="Times New Roman" w:cs="Times New Roman"/>
          <w:lang w:val="en-US"/>
        </w:rPr>
        <w:t>1.27 €/kg for LRS and 1.23</w:t>
      </w:r>
      <w:r w:rsidR="00430F95">
        <w:rPr>
          <w:rFonts w:ascii="Times New Roman" w:hAnsi="Times New Roman" w:cs="Times New Roman"/>
          <w:lang w:val="en-US"/>
        </w:rPr>
        <w:t xml:space="preserve"> </w:t>
      </w:r>
      <w:r w:rsidR="00430F95" w:rsidRPr="001C6E54">
        <w:rPr>
          <w:rFonts w:ascii="Times New Roman" w:hAnsi="Times New Roman" w:cs="Times New Roman"/>
          <w:lang w:val="en-US"/>
        </w:rPr>
        <w:t>€/kg for CS.</w:t>
      </w:r>
      <w:r w:rsidR="00430F95">
        <w:rPr>
          <w:rFonts w:ascii="Times New Roman" w:hAnsi="Times New Roman" w:cs="Times New Roman"/>
          <w:lang w:val="en-US"/>
        </w:rPr>
        <w:t xml:space="preserve"> Despite, the higher biofuel production rate of the former, the lower value of the latter was justified by the much lower H</w:t>
      </w:r>
      <w:r w:rsidR="00430F95">
        <w:rPr>
          <w:rFonts w:ascii="Times New Roman" w:hAnsi="Times New Roman" w:cs="Times New Roman"/>
          <w:vertAlign w:val="subscript"/>
          <w:lang w:val="en-US"/>
        </w:rPr>
        <w:t>2</w:t>
      </w:r>
      <w:r w:rsidR="00430F95">
        <w:rPr>
          <w:rFonts w:ascii="Times New Roman" w:hAnsi="Times New Roman" w:cs="Times New Roman"/>
          <w:lang w:val="en-US"/>
        </w:rPr>
        <w:t xml:space="preserve"> production cost through APR: 1.7 €/kg (CS) against </w:t>
      </w:r>
      <w:r w:rsidR="00CD0A6B">
        <w:rPr>
          <w:rFonts w:ascii="Times New Roman" w:hAnsi="Times New Roman" w:cs="Times New Roman"/>
          <w:lang w:val="en-US"/>
        </w:rPr>
        <w:t xml:space="preserve">7.6 </w:t>
      </w:r>
      <w:r w:rsidR="00430F95">
        <w:rPr>
          <w:rFonts w:ascii="Times New Roman" w:hAnsi="Times New Roman" w:cs="Times New Roman"/>
          <w:lang w:val="en-US"/>
        </w:rPr>
        <w:t xml:space="preserve">€/kg </w:t>
      </w:r>
      <w:r w:rsidR="00CD0A6B">
        <w:rPr>
          <w:rFonts w:ascii="Times New Roman" w:hAnsi="Times New Roman" w:cs="Times New Roman"/>
          <w:lang w:val="en-US"/>
        </w:rPr>
        <w:t>(LRS)</w:t>
      </w:r>
      <w:r w:rsidR="00430F95">
        <w:rPr>
          <w:rFonts w:ascii="Times New Roman" w:hAnsi="Times New Roman" w:cs="Times New Roman"/>
          <w:lang w:val="en-US"/>
        </w:rPr>
        <w:t xml:space="preserve">. </w:t>
      </w:r>
      <w:r w:rsidR="0067166D">
        <w:rPr>
          <w:rFonts w:ascii="Times New Roman" w:hAnsi="Times New Roman" w:cs="Times New Roman"/>
          <w:lang w:val="en-US"/>
        </w:rPr>
        <w:t>The e</w:t>
      </w:r>
      <w:r w:rsidR="00E10EBD">
        <w:rPr>
          <w:rFonts w:ascii="Times New Roman" w:hAnsi="Times New Roman" w:cs="Times New Roman"/>
          <w:lang w:val="en-US"/>
        </w:rPr>
        <w:t>conomic advantage deriving from the HTL-APR coupling was</w:t>
      </w:r>
      <w:r w:rsidR="0067166D">
        <w:rPr>
          <w:rFonts w:ascii="Times New Roman" w:hAnsi="Times New Roman" w:cs="Times New Roman"/>
          <w:lang w:val="en-US"/>
        </w:rPr>
        <w:t xml:space="preserve"> further</w:t>
      </w:r>
      <w:r w:rsidR="00E10EBD">
        <w:rPr>
          <w:rFonts w:ascii="Times New Roman" w:hAnsi="Times New Roman" w:cs="Times New Roman"/>
          <w:lang w:val="en-US"/>
        </w:rPr>
        <w:t xml:space="preserve"> </w:t>
      </w:r>
      <w:r w:rsidR="0067166D">
        <w:rPr>
          <w:rFonts w:ascii="Times New Roman" w:hAnsi="Times New Roman" w:cs="Times New Roman"/>
          <w:lang w:val="en-US"/>
        </w:rPr>
        <w:t>assessed</w:t>
      </w:r>
      <w:r w:rsidR="00E10EBD">
        <w:rPr>
          <w:rFonts w:ascii="Times New Roman" w:hAnsi="Times New Roman" w:cs="Times New Roman"/>
          <w:lang w:val="en-US"/>
        </w:rPr>
        <w:t xml:space="preserve"> by evaluating the variation on the MSPs </w:t>
      </w:r>
      <w:r w:rsidR="00686DE0" w:rsidRPr="00686DE0">
        <w:rPr>
          <w:rFonts w:ascii="Times New Roman" w:hAnsi="Times New Roman" w:cs="Times New Roman"/>
          <w:lang w:val="en-US"/>
        </w:rPr>
        <w:t xml:space="preserve">removing the </w:t>
      </w:r>
      <w:r w:rsidR="00686DE0">
        <w:rPr>
          <w:rFonts w:ascii="Times New Roman" w:hAnsi="Times New Roman" w:cs="Times New Roman"/>
          <w:lang w:val="en-US"/>
        </w:rPr>
        <w:t>APR</w:t>
      </w:r>
      <w:r w:rsidR="00686DE0" w:rsidRPr="00686DE0">
        <w:rPr>
          <w:rFonts w:ascii="Times New Roman" w:hAnsi="Times New Roman" w:cs="Times New Roman"/>
          <w:lang w:val="en-US"/>
        </w:rPr>
        <w:t xml:space="preserve"> section </w:t>
      </w:r>
      <w:r w:rsidR="00A903C6">
        <w:rPr>
          <w:rFonts w:ascii="Times New Roman" w:hAnsi="Times New Roman" w:cs="Times New Roman"/>
          <w:lang w:val="en-US"/>
        </w:rPr>
        <w:t xml:space="preserve">and using instead </w:t>
      </w:r>
      <w:r w:rsidR="00E10EBD">
        <w:rPr>
          <w:rFonts w:ascii="Times New Roman" w:hAnsi="Times New Roman" w:cs="Times New Roman"/>
          <w:lang w:val="en-US"/>
        </w:rPr>
        <w:t xml:space="preserve">two </w:t>
      </w:r>
      <w:r w:rsidR="0067166D">
        <w:rPr>
          <w:rFonts w:ascii="Times New Roman" w:hAnsi="Times New Roman" w:cs="Times New Roman"/>
          <w:lang w:val="en-US"/>
        </w:rPr>
        <w:t xml:space="preserve">established hydrogen production technologies: </w:t>
      </w:r>
      <w:r w:rsidR="00686DE0">
        <w:rPr>
          <w:rFonts w:ascii="Times New Roman" w:hAnsi="Times New Roman" w:cs="Times New Roman"/>
          <w:lang w:val="en-US"/>
        </w:rPr>
        <w:t xml:space="preserve">methane </w:t>
      </w:r>
      <w:r w:rsidR="0067166D">
        <w:rPr>
          <w:rFonts w:ascii="Times New Roman" w:hAnsi="Times New Roman" w:cs="Times New Roman"/>
          <w:lang w:val="en-US"/>
        </w:rPr>
        <w:t xml:space="preserve">steam reforming </w:t>
      </w:r>
      <w:r w:rsidR="007B6222">
        <w:rPr>
          <w:rFonts w:ascii="Times New Roman" w:hAnsi="Times New Roman" w:cs="Times New Roman"/>
          <w:lang w:val="en-US"/>
        </w:rPr>
        <w:t xml:space="preserve">(SR) </w:t>
      </w:r>
      <w:r w:rsidR="0067166D">
        <w:rPr>
          <w:rFonts w:ascii="Times New Roman" w:hAnsi="Times New Roman" w:cs="Times New Roman"/>
          <w:lang w:val="en-US"/>
        </w:rPr>
        <w:t xml:space="preserve">and </w:t>
      </w:r>
      <w:r w:rsidR="0067166D" w:rsidRPr="0067166D">
        <w:rPr>
          <w:rFonts w:ascii="Times New Roman" w:hAnsi="Times New Roman" w:cs="Times New Roman"/>
          <w:lang w:val="en-US"/>
        </w:rPr>
        <w:t>electrolysis (</w:t>
      </w:r>
      <w:r w:rsidR="0067166D" w:rsidRPr="0067166D">
        <w:rPr>
          <w:rFonts w:ascii="Times New Roman" w:hAnsi="Times New Roman" w:cs="Times New Roman"/>
          <w:lang w:val="en-US"/>
        </w:rPr>
        <w:fldChar w:fldCharType="begin"/>
      </w:r>
      <w:r w:rsidR="0067166D" w:rsidRPr="0067166D">
        <w:rPr>
          <w:rFonts w:ascii="Times New Roman" w:hAnsi="Times New Roman" w:cs="Times New Roman"/>
          <w:lang w:val="en-US"/>
        </w:rPr>
        <w:instrText xml:space="preserve"> REF _Ref98172442 \h  \* MERGEFORMAT </w:instrText>
      </w:r>
      <w:r w:rsidR="0067166D" w:rsidRPr="0067166D">
        <w:rPr>
          <w:rFonts w:ascii="Times New Roman" w:hAnsi="Times New Roman" w:cs="Times New Roman"/>
          <w:lang w:val="en-US"/>
        </w:rPr>
      </w:r>
      <w:r w:rsidR="0067166D" w:rsidRPr="0067166D">
        <w:rPr>
          <w:rFonts w:ascii="Times New Roman" w:hAnsi="Times New Roman" w:cs="Times New Roman"/>
          <w:lang w:val="en-US"/>
        </w:rPr>
        <w:fldChar w:fldCharType="separate"/>
      </w:r>
      <w:r w:rsidR="0067166D" w:rsidRPr="0067166D">
        <w:rPr>
          <w:rFonts w:ascii="Times New Roman" w:hAnsi="Times New Roman" w:cs="Times New Roman"/>
          <w:lang w:val="en-US"/>
        </w:rPr>
        <w:t xml:space="preserve">Figure </w:t>
      </w:r>
      <w:r w:rsidR="0067166D" w:rsidRPr="0067166D">
        <w:rPr>
          <w:rFonts w:ascii="Times New Roman" w:hAnsi="Times New Roman" w:cs="Times New Roman"/>
          <w:noProof/>
          <w:lang w:val="en-US"/>
        </w:rPr>
        <w:t>1</w:t>
      </w:r>
      <w:r w:rsidR="0067166D" w:rsidRPr="0067166D">
        <w:rPr>
          <w:rFonts w:ascii="Times New Roman" w:hAnsi="Times New Roman" w:cs="Times New Roman"/>
          <w:lang w:val="en-US"/>
        </w:rPr>
        <w:fldChar w:fldCharType="end"/>
      </w:r>
      <w:r w:rsidR="0067166D">
        <w:rPr>
          <w:rFonts w:ascii="Times New Roman" w:hAnsi="Times New Roman" w:cs="Times New Roman"/>
          <w:lang w:val="en-US"/>
        </w:rPr>
        <w:t>).</w:t>
      </w:r>
      <w:r w:rsidR="007B6222">
        <w:rPr>
          <w:rFonts w:ascii="Times New Roman" w:hAnsi="Times New Roman" w:cs="Times New Roman"/>
          <w:lang w:val="en-US"/>
        </w:rPr>
        <w:t xml:space="preserve"> </w:t>
      </w:r>
      <w:r w:rsidR="00686DE0">
        <w:rPr>
          <w:rFonts w:ascii="Times New Roman" w:hAnsi="Times New Roman" w:cs="Times New Roman"/>
          <w:lang w:val="en-US"/>
        </w:rPr>
        <w:t xml:space="preserve">Unlike </w:t>
      </w:r>
      <w:r w:rsidR="007B6222">
        <w:rPr>
          <w:rFonts w:ascii="Times New Roman" w:hAnsi="Times New Roman" w:cs="Times New Roman"/>
          <w:lang w:val="en-US"/>
        </w:rPr>
        <w:t xml:space="preserve">the LRS, </w:t>
      </w:r>
      <w:r w:rsidR="00686DE0">
        <w:rPr>
          <w:rFonts w:ascii="Times New Roman" w:hAnsi="Times New Roman" w:cs="Times New Roman"/>
          <w:lang w:val="en-US"/>
        </w:rPr>
        <w:t xml:space="preserve">with the CS </w:t>
      </w:r>
      <w:r w:rsidR="007B6222">
        <w:rPr>
          <w:rFonts w:ascii="Times New Roman" w:hAnsi="Times New Roman" w:cs="Times New Roman"/>
          <w:lang w:val="en-US"/>
        </w:rPr>
        <w:t xml:space="preserve">the </w:t>
      </w:r>
      <w:r w:rsidR="00686DE0">
        <w:rPr>
          <w:rFonts w:ascii="Times New Roman" w:hAnsi="Times New Roman" w:cs="Times New Roman"/>
          <w:lang w:val="en-US"/>
        </w:rPr>
        <w:t xml:space="preserve">use of </w:t>
      </w:r>
      <w:r w:rsidR="007B6222">
        <w:rPr>
          <w:rFonts w:ascii="Times New Roman" w:hAnsi="Times New Roman" w:cs="Times New Roman"/>
          <w:lang w:val="en-US"/>
        </w:rPr>
        <w:t xml:space="preserve">APR </w:t>
      </w:r>
      <w:r w:rsidR="00686DE0">
        <w:rPr>
          <w:rFonts w:ascii="Times New Roman" w:hAnsi="Times New Roman" w:cs="Times New Roman"/>
          <w:lang w:val="en-US"/>
        </w:rPr>
        <w:t xml:space="preserve">as hydrogen source </w:t>
      </w:r>
      <w:r w:rsidR="0049002F">
        <w:rPr>
          <w:rFonts w:ascii="Times New Roman" w:hAnsi="Times New Roman" w:cs="Times New Roman"/>
          <w:lang w:val="en-US"/>
        </w:rPr>
        <w:t>showed lower MSP than both SR and electrolysis.</w:t>
      </w:r>
      <w:r w:rsidR="00AB117F">
        <w:rPr>
          <w:rFonts w:ascii="Times New Roman" w:hAnsi="Times New Roman" w:cs="Times New Roman"/>
          <w:lang w:val="en-US"/>
        </w:rPr>
        <w:t xml:space="preserve"> </w:t>
      </w:r>
      <w:r w:rsidR="00780244">
        <w:rPr>
          <w:rFonts w:ascii="Times New Roman" w:hAnsi="Times New Roman" w:cs="Times New Roman"/>
          <w:lang w:val="en-US"/>
        </w:rPr>
        <w:t>Th</w:t>
      </w:r>
      <w:r w:rsidR="008C4BCF">
        <w:rPr>
          <w:rFonts w:ascii="Times New Roman" w:hAnsi="Times New Roman" w:cs="Times New Roman"/>
          <w:lang w:val="en-US"/>
        </w:rPr>
        <w:t>ese</w:t>
      </w:r>
      <w:r w:rsidR="00780244">
        <w:rPr>
          <w:rFonts w:ascii="Times New Roman" w:hAnsi="Times New Roman" w:cs="Times New Roman"/>
          <w:lang w:val="en-US"/>
        </w:rPr>
        <w:t xml:space="preserve"> result</w:t>
      </w:r>
      <w:r w:rsidR="008C4BCF">
        <w:rPr>
          <w:rFonts w:ascii="Times New Roman" w:hAnsi="Times New Roman" w:cs="Times New Roman"/>
          <w:lang w:val="en-US"/>
        </w:rPr>
        <w:t>s reveal that the HTL-APR integrated plant is a valid technology to internally produce the hydrogen required for biofuel upgrading, being the hydrogen production cost lower than that of electricity-intensive electrolysis and comparable to</w:t>
      </w:r>
      <w:r w:rsidR="00866585">
        <w:rPr>
          <w:rFonts w:ascii="Times New Roman" w:hAnsi="Times New Roman" w:cs="Times New Roman"/>
          <w:lang w:val="en-US"/>
        </w:rPr>
        <w:t xml:space="preserve"> that of</w:t>
      </w:r>
      <w:r w:rsidR="008C4BCF">
        <w:rPr>
          <w:rFonts w:ascii="Times New Roman" w:hAnsi="Times New Roman" w:cs="Times New Roman"/>
          <w:lang w:val="en-US"/>
        </w:rPr>
        <w:t xml:space="preserve"> fossil-based SR.</w:t>
      </w:r>
    </w:p>
    <w:p w14:paraId="7472ED19" w14:textId="7CCC004A" w:rsidR="00ED20A9" w:rsidRPr="009E1F06" w:rsidRDefault="000F4460" w:rsidP="00887049">
      <w:pPr>
        <w:snapToGrid w:val="0"/>
        <w:spacing w:after="120" w:line="22" w:lineRule="atLeast"/>
        <w:jc w:val="both"/>
        <w:rPr>
          <w:rFonts w:ascii="Times New Roman" w:hAnsi="Times New Roman" w:cs="Times New Roman"/>
          <w:lang w:val="en-US"/>
        </w:rPr>
      </w:pPr>
      <w:r>
        <w:rPr>
          <w:rFonts w:ascii="Times New Roman" w:hAnsi="Times New Roman" w:cs="Times New Roman"/>
          <w:lang w:val="en-US"/>
        </w:rPr>
        <w:t>Regarding the LCA, the</w:t>
      </w:r>
      <w:r w:rsidR="009F0C3C">
        <w:rPr>
          <w:rFonts w:ascii="Times New Roman" w:hAnsi="Times New Roman" w:cs="Times New Roman"/>
          <w:lang w:val="en-US"/>
        </w:rPr>
        <w:t xml:space="preserve"> two cases</w:t>
      </w:r>
      <w:r w:rsidR="0016425C">
        <w:rPr>
          <w:rFonts w:ascii="Times New Roman" w:hAnsi="Times New Roman" w:cs="Times New Roman"/>
          <w:lang w:val="en-US"/>
        </w:rPr>
        <w:t xml:space="preserve"> had similar impacts</w:t>
      </w:r>
      <w:r w:rsidRPr="000F4460">
        <w:rPr>
          <w:rFonts w:ascii="Times New Roman" w:hAnsi="Times New Roman" w:cs="Times New Roman"/>
          <w:lang w:val="en-US"/>
        </w:rPr>
        <w:t xml:space="preserve"> (</w:t>
      </w:r>
      <w:r w:rsidRPr="000F4460">
        <w:rPr>
          <w:rFonts w:ascii="Times New Roman" w:hAnsi="Times New Roman" w:cs="Times New Roman"/>
          <w:lang w:val="en-US"/>
        </w:rPr>
        <w:fldChar w:fldCharType="begin"/>
      </w:r>
      <w:r w:rsidRPr="000F4460">
        <w:rPr>
          <w:rFonts w:ascii="Times New Roman" w:hAnsi="Times New Roman" w:cs="Times New Roman"/>
          <w:lang w:val="en-US"/>
        </w:rPr>
        <w:instrText xml:space="preserve"> REF _Ref98180267 \h  \* MERGEFORMAT </w:instrText>
      </w:r>
      <w:r w:rsidRPr="000F4460">
        <w:rPr>
          <w:rFonts w:ascii="Times New Roman" w:hAnsi="Times New Roman" w:cs="Times New Roman"/>
          <w:lang w:val="en-US"/>
        </w:rPr>
      </w:r>
      <w:r w:rsidRPr="000F4460">
        <w:rPr>
          <w:rFonts w:ascii="Times New Roman" w:hAnsi="Times New Roman" w:cs="Times New Roman"/>
          <w:lang w:val="en-US"/>
        </w:rPr>
        <w:fldChar w:fldCharType="separate"/>
      </w:r>
      <w:r w:rsidRPr="000F4460">
        <w:rPr>
          <w:rFonts w:ascii="Times New Roman" w:hAnsi="Times New Roman" w:cs="Times New Roman"/>
          <w:lang w:val="en-US"/>
        </w:rPr>
        <w:t>Figur</w:t>
      </w:r>
      <w:r>
        <w:rPr>
          <w:rFonts w:ascii="Times New Roman" w:hAnsi="Times New Roman" w:cs="Times New Roman"/>
          <w:lang w:val="en-US"/>
        </w:rPr>
        <w:t>e</w:t>
      </w:r>
      <w:r w:rsidRPr="000F4460">
        <w:rPr>
          <w:rFonts w:ascii="Times New Roman" w:hAnsi="Times New Roman" w:cs="Times New Roman"/>
          <w:lang w:val="en-US"/>
        </w:rPr>
        <w:t xml:space="preserve"> </w:t>
      </w:r>
      <w:r w:rsidRPr="000F4460">
        <w:rPr>
          <w:rFonts w:ascii="Times New Roman" w:hAnsi="Times New Roman" w:cs="Times New Roman"/>
          <w:noProof/>
          <w:lang w:val="en-US"/>
        </w:rPr>
        <w:t>2</w:t>
      </w:r>
      <w:r w:rsidRPr="000F4460">
        <w:rPr>
          <w:rFonts w:ascii="Times New Roman" w:hAnsi="Times New Roman" w:cs="Times New Roman"/>
          <w:lang w:val="en-US"/>
        </w:rPr>
        <w:fldChar w:fldCharType="end"/>
      </w:r>
      <w:r w:rsidRPr="000F4460">
        <w:rPr>
          <w:rFonts w:ascii="Times New Roman" w:hAnsi="Times New Roman" w:cs="Times New Roman"/>
          <w:lang w:val="en-US"/>
        </w:rPr>
        <w:t>)</w:t>
      </w:r>
      <w:r>
        <w:rPr>
          <w:rFonts w:ascii="Times New Roman" w:hAnsi="Times New Roman" w:cs="Times New Roman"/>
          <w:lang w:val="en-US"/>
        </w:rPr>
        <w:t xml:space="preserve">. </w:t>
      </w:r>
      <w:r w:rsidR="009F0C3C">
        <w:rPr>
          <w:rFonts w:ascii="Times New Roman" w:hAnsi="Times New Roman" w:cs="Times New Roman"/>
          <w:lang w:val="en-US"/>
        </w:rPr>
        <w:t>Despite the lower thermal and electric</w:t>
      </w:r>
      <w:r w:rsidR="0016425C">
        <w:rPr>
          <w:rFonts w:ascii="Times New Roman" w:hAnsi="Times New Roman" w:cs="Times New Roman"/>
          <w:lang w:val="en-US"/>
        </w:rPr>
        <w:t xml:space="preserve">al </w:t>
      </w:r>
      <w:r w:rsidR="009F0C3C">
        <w:rPr>
          <w:rFonts w:ascii="Times New Roman" w:hAnsi="Times New Roman" w:cs="Times New Roman"/>
          <w:lang w:val="en-US"/>
        </w:rPr>
        <w:t>demand of the LRS case compared to the CS case, its impact</w:t>
      </w:r>
      <w:r w:rsidR="0016425C">
        <w:rPr>
          <w:rFonts w:ascii="Times New Roman" w:hAnsi="Times New Roman" w:cs="Times New Roman"/>
          <w:lang w:val="en-US"/>
        </w:rPr>
        <w:t xml:space="preserve"> was</w:t>
      </w:r>
      <w:r w:rsidR="009F0C3C">
        <w:rPr>
          <w:rFonts w:ascii="Times New Roman" w:hAnsi="Times New Roman" w:cs="Times New Roman"/>
          <w:lang w:val="en-US"/>
        </w:rPr>
        <w:t xml:space="preserve"> </w:t>
      </w:r>
      <w:r w:rsidR="0016425C">
        <w:rPr>
          <w:rFonts w:ascii="Times New Roman" w:hAnsi="Times New Roman" w:cs="Times New Roman"/>
          <w:lang w:val="en-US"/>
        </w:rPr>
        <w:t>highly</w:t>
      </w:r>
      <w:r w:rsidR="009F0C3C">
        <w:rPr>
          <w:rFonts w:ascii="Times New Roman" w:hAnsi="Times New Roman" w:cs="Times New Roman"/>
          <w:lang w:val="en-US"/>
        </w:rPr>
        <w:t xml:space="preserve"> depende</w:t>
      </w:r>
      <w:r w:rsidR="0016425C">
        <w:rPr>
          <w:rFonts w:ascii="Times New Roman" w:hAnsi="Times New Roman" w:cs="Times New Roman"/>
          <w:lang w:val="en-US"/>
        </w:rPr>
        <w:t>nt</w:t>
      </w:r>
      <w:r w:rsidR="009F0C3C">
        <w:rPr>
          <w:rFonts w:ascii="Times New Roman" w:hAnsi="Times New Roman" w:cs="Times New Roman"/>
          <w:lang w:val="en-US"/>
        </w:rPr>
        <w:t xml:space="preserve"> on the supply of the hydrogen missing </w:t>
      </w:r>
      <w:r w:rsidR="0016425C">
        <w:rPr>
          <w:rFonts w:ascii="Times New Roman" w:hAnsi="Times New Roman" w:cs="Times New Roman"/>
          <w:lang w:val="en-US"/>
        </w:rPr>
        <w:t>share</w:t>
      </w:r>
      <w:r w:rsidR="009F0C3C">
        <w:rPr>
          <w:rFonts w:ascii="Times New Roman" w:hAnsi="Times New Roman" w:cs="Times New Roman"/>
          <w:lang w:val="en-US"/>
        </w:rPr>
        <w:t xml:space="preserve">. </w:t>
      </w:r>
      <w:r w:rsidR="009E1F06">
        <w:rPr>
          <w:rFonts w:ascii="Times New Roman" w:hAnsi="Times New Roman" w:cs="Times New Roman"/>
          <w:lang w:val="en-US"/>
        </w:rPr>
        <w:t xml:space="preserve">To allow a comparison with other biofuels </w:t>
      </w:r>
      <w:r w:rsidR="009F0C3C">
        <w:rPr>
          <w:rFonts w:ascii="Times New Roman" w:hAnsi="Times New Roman" w:cs="Times New Roman"/>
          <w:lang w:val="en-US"/>
        </w:rPr>
        <w:t xml:space="preserve">the GWP was based on </w:t>
      </w:r>
      <w:r w:rsidR="009E1F06">
        <w:rPr>
          <w:rFonts w:ascii="Times New Roman" w:hAnsi="Times New Roman" w:cs="Times New Roman"/>
          <w:lang w:val="en-US"/>
        </w:rPr>
        <w:t>1 MJ of biofuel</w:t>
      </w:r>
      <w:r w:rsidR="009F0C3C">
        <w:rPr>
          <w:rFonts w:ascii="Times New Roman" w:hAnsi="Times New Roman" w:cs="Times New Roman"/>
          <w:lang w:val="en-US"/>
        </w:rPr>
        <w:t xml:space="preserve">; for this purpose the </w:t>
      </w:r>
      <w:r w:rsidR="009E1F06">
        <w:rPr>
          <w:rFonts w:ascii="Times New Roman" w:hAnsi="Times New Roman" w:cs="Times New Roman"/>
          <w:lang w:val="en-US"/>
        </w:rPr>
        <w:t>LHV was assumed as diesel (43 MJ/kg). The resulting CO</w:t>
      </w:r>
      <w:r w:rsidR="009E1F06">
        <w:rPr>
          <w:rFonts w:ascii="Times New Roman" w:hAnsi="Times New Roman" w:cs="Times New Roman"/>
          <w:vertAlign w:val="subscript"/>
          <w:lang w:val="en-US"/>
        </w:rPr>
        <w:t>2</w:t>
      </w:r>
      <w:r w:rsidR="009E1F06">
        <w:rPr>
          <w:rFonts w:ascii="Times New Roman" w:hAnsi="Times New Roman" w:cs="Times New Roman"/>
          <w:lang w:val="en-US"/>
        </w:rPr>
        <w:t>eq/MJ was comparable with values for other biofuels.</w:t>
      </w:r>
    </w:p>
    <w:p w14:paraId="4AB47CCC" w14:textId="29F07526" w:rsidR="00F20515" w:rsidRDefault="00ED20A9" w:rsidP="008321A9">
      <w:pPr>
        <w:keepNext/>
        <w:snapToGrid w:val="0"/>
        <w:spacing w:after="120" w:line="22" w:lineRule="atLeast"/>
        <w:jc w:val="center"/>
      </w:pPr>
      <w:r>
        <w:rPr>
          <w:noProof/>
        </w:rPr>
        <w:drawing>
          <wp:inline distT="0" distB="0" distL="0" distR="0" wp14:anchorId="08CB04A1" wp14:editId="6D1BB23D">
            <wp:extent cx="6383020" cy="2286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6926" cy="2301724"/>
                    </a:xfrm>
                    <a:prstGeom prst="rect">
                      <a:avLst/>
                    </a:prstGeom>
                  </pic:spPr>
                </pic:pic>
              </a:graphicData>
            </a:graphic>
          </wp:inline>
        </w:drawing>
      </w:r>
    </w:p>
    <w:p w14:paraId="55C7E852" w14:textId="5A91BC4E" w:rsidR="000B406A" w:rsidRPr="008321A9" w:rsidRDefault="00F20515" w:rsidP="008321A9">
      <w:pPr>
        <w:pStyle w:val="Didascalia"/>
        <w:spacing w:after="120" w:line="22" w:lineRule="atLeast"/>
        <w:jc w:val="center"/>
        <w:rPr>
          <w:rFonts w:ascii="Times New Roman" w:hAnsi="Times New Roman" w:cs="Times New Roman"/>
          <w:i w:val="0"/>
          <w:iCs w:val="0"/>
          <w:lang w:val="en-US"/>
        </w:rPr>
      </w:pPr>
      <w:bookmarkStart w:id="0" w:name="_Ref98172442"/>
      <w:r w:rsidRPr="000F4460">
        <w:rPr>
          <w:rFonts w:ascii="Times New Roman" w:hAnsi="Times New Roman" w:cs="Times New Roman"/>
          <w:b/>
          <w:bCs/>
          <w:i w:val="0"/>
          <w:iCs w:val="0"/>
          <w:lang w:val="en-US"/>
        </w:rPr>
        <w:t>Figur</w:t>
      </w:r>
      <w:r w:rsidR="0067166D" w:rsidRPr="000F4460">
        <w:rPr>
          <w:rFonts w:ascii="Times New Roman" w:hAnsi="Times New Roman" w:cs="Times New Roman"/>
          <w:b/>
          <w:bCs/>
          <w:i w:val="0"/>
          <w:iCs w:val="0"/>
          <w:lang w:val="en-US"/>
        </w:rPr>
        <w:t>e</w:t>
      </w:r>
      <w:r w:rsidRPr="000F4460">
        <w:rPr>
          <w:rFonts w:ascii="Times New Roman" w:hAnsi="Times New Roman" w:cs="Times New Roman"/>
          <w:b/>
          <w:bCs/>
          <w:i w:val="0"/>
          <w:iCs w:val="0"/>
          <w:lang w:val="en-US"/>
        </w:rPr>
        <w:t xml:space="preserve"> </w:t>
      </w:r>
      <w:r w:rsidRPr="000F4460">
        <w:rPr>
          <w:rFonts w:ascii="Times New Roman" w:hAnsi="Times New Roman" w:cs="Times New Roman"/>
          <w:b/>
          <w:bCs/>
          <w:i w:val="0"/>
          <w:iCs w:val="0"/>
        </w:rPr>
        <w:fldChar w:fldCharType="begin"/>
      </w:r>
      <w:r w:rsidRPr="000F4460">
        <w:rPr>
          <w:rFonts w:ascii="Times New Roman" w:hAnsi="Times New Roman" w:cs="Times New Roman"/>
          <w:b/>
          <w:bCs/>
          <w:i w:val="0"/>
          <w:iCs w:val="0"/>
          <w:lang w:val="en-US"/>
        </w:rPr>
        <w:instrText xml:space="preserve"> SEQ Figura \* ARABIC </w:instrText>
      </w:r>
      <w:r w:rsidRPr="000F4460">
        <w:rPr>
          <w:rFonts w:ascii="Times New Roman" w:hAnsi="Times New Roman" w:cs="Times New Roman"/>
          <w:b/>
          <w:bCs/>
          <w:i w:val="0"/>
          <w:iCs w:val="0"/>
        </w:rPr>
        <w:fldChar w:fldCharType="separate"/>
      </w:r>
      <w:r w:rsidR="0027551C" w:rsidRPr="000F4460">
        <w:rPr>
          <w:rFonts w:ascii="Times New Roman" w:hAnsi="Times New Roman" w:cs="Times New Roman"/>
          <w:b/>
          <w:bCs/>
          <w:i w:val="0"/>
          <w:iCs w:val="0"/>
          <w:noProof/>
          <w:lang w:val="en-US"/>
        </w:rPr>
        <w:t>1</w:t>
      </w:r>
      <w:r w:rsidRPr="000F4460">
        <w:rPr>
          <w:rFonts w:ascii="Times New Roman" w:hAnsi="Times New Roman" w:cs="Times New Roman"/>
          <w:b/>
          <w:bCs/>
          <w:i w:val="0"/>
          <w:iCs w:val="0"/>
        </w:rPr>
        <w:fldChar w:fldCharType="end"/>
      </w:r>
      <w:bookmarkEnd w:id="0"/>
      <w:r w:rsidRPr="000F4460">
        <w:rPr>
          <w:rFonts w:ascii="Times New Roman" w:hAnsi="Times New Roman" w:cs="Times New Roman"/>
          <w:i w:val="0"/>
          <w:iCs w:val="0"/>
          <w:lang w:val="en-US"/>
        </w:rPr>
        <w:t xml:space="preserve">. </w:t>
      </w:r>
      <w:r w:rsidRPr="000F4460">
        <w:rPr>
          <w:rFonts w:ascii="Times New Roman" w:eastAsia="MS PGothic" w:hAnsi="Times New Roman" w:cs="Times New Roman"/>
          <w:i w:val="0"/>
          <w:iCs w:val="0"/>
          <w:lang w:val="en-US"/>
        </w:rPr>
        <w:t>P</w:t>
      </w:r>
      <w:r w:rsidRPr="000F4460">
        <w:rPr>
          <w:rFonts w:ascii="Times New Roman" w:hAnsi="Times New Roman" w:cs="Times New Roman"/>
          <w:i w:val="0"/>
          <w:iCs w:val="0"/>
          <w:lang w:val="en-US"/>
        </w:rPr>
        <w:t xml:space="preserve">lant configurations for hydrogen supply. A) </w:t>
      </w:r>
      <w:proofErr w:type="spellStart"/>
      <w:r w:rsidRPr="000F4460">
        <w:rPr>
          <w:rFonts w:ascii="Times New Roman" w:hAnsi="Times New Roman" w:cs="Times New Roman"/>
          <w:i w:val="0"/>
          <w:iCs w:val="0"/>
          <w:lang w:val="en-US"/>
        </w:rPr>
        <w:t>APR+electrolysis</w:t>
      </w:r>
      <w:proofErr w:type="spellEnd"/>
      <w:r w:rsidRPr="000F4460">
        <w:rPr>
          <w:rFonts w:ascii="Times New Roman" w:hAnsi="Times New Roman" w:cs="Times New Roman"/>
          <w:i w:val="0"/>
          <w:iCs w:val="0"/>
          <w:lang w:val="en-US"/>
        </w:rPr>
        <w:t>, B) APR alone, C) APR+SR, D) SR alone, E) Electrolysis alone, F) No upgrading. The percentage values refer to the variation of the MSP of the considered configuration compared to the respective base case (A for LRS and B for CS).</w:t>
      </w:r>
    </w:p>
    <w:p w14:paraId="129EB237" w14:textId="617E2BCD" w:rsidR="0027551C" w:rsidRDefault="00152714" w:rsidP="00384986">
      <w:pPr>
        <w:keepNext/>
        <w:spacing w:after="120" w:line="22" w:lineRule="atLeast"/>
        <w:jc w:val="center"/>
      </w:pPr>
      <w:r>
        <w:rPr>
          <w:noProof/>
        </w:rPr>
        <w:lastRenderedPageBreak/>
        <w:drawing>
          <wp:inline distT="0" distB="0" distL="0" distR="0" wp14:anchorId="4063520E" wp14:editId="6BCB58D4">
            <wp:extent cx="5645150" cy="1661160"/>
            <wp:effectExtent l="0" t="0" r="12700" b="15240"/>
            <wp:docPr id="5" name="Grafico 5">
              <a:extLst xmlns:a="http://schemas.openxmlformats.org/drawingml/2006/main">
                <a:ext uri="{FF2B5EF4-FFF2-40B4-BE49-F238E27FC236}">
                  <a16:creationId xmlns:a16="http://schemas.microsoft.com/office/drawing/2014/main" id="{155C6DEF-6DB5-4C48-8654-6D102394C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E78072" w14:textId="71287345" w:rsidR="00A903C6" w:rsidRDefault="0027551C" w:rsidP="00384986">
      <w:pPr>
        <w:pStyle w:val="Didascalia"/>
        <w:spacing w:after="120" w:line="22" w:lineRule="atLeast"/>
        <w:jc w:val="center"/>
        <w:rPr>
          <w:rFonts w:ascii="Times New Roman" w:hAnsi="Times New Roman" w:cs="Times New Roman"/>
          <w:i w:val="0"/>
          <w:iCs w:val="0"/>
          <w:lang w:val="en-US"/>
        </w:rPr>
      </w:pPr>
      <w:bookmarkStart w:id="1" w:name="_Ref98180267"/>
      <w:r w:rsidRPr="000F4460">
        <w:rPr>
          <w:rFonts w:ascii="Times New Roman" w:hAnsi="Times New Roman" w:cs="Times New Roman"/>
          <w:b/>
          <w:bCs/>
          <w:i w:val="0"/>
          <w:iCs w:val="0"/>
          <w:lang w:val="en-US"/>
        </w:rPr>
        <w:t>Figur</w:t>
      </w:r>
      <w:r w:rsidR="000F4460">
        <w:rPr>
          <w:rFonts w:ascii="Times New Roman" w:hAnsi="Times New Roman" w:cs="Times New Roman"/>
          <w:b/>
          <w:bCs/>
          <w:i w:val="0"/>
          <w:iCs w:val="0"/>
          <w:lang w:val="en-US"/>
        </w:rPr>
        <w:t>e</w:t>
      </w:r>
      <w:r w:rsidRPr="000F4460">
        <w:rPr>
          <w:rFonts w:ascii="Times New Roman" w:hAnsi="Times New Roman" w:cs="Times New Roman"/>
          <w:b/>
          <w:bCs/>
          <w:i w:val="0"/>
          <w:iCs w:val="0"/>
          <w:lang w:val="en-US"/>
        </w:rPr>
        <w:t xml:space="preserve"> </w:t>
      </w:r>
      <w:r w:rsidRPr="000F4460">
        <w:rPr>
          <w:rFonts w:ascii="Times New Roman" w:hAnsi="Times New Roman" w:cs="Times New Roman"/>
          <w:b/>
          <w:bCs/>
          <w:i w:val="0"/>
          <w:iCs w:val="0"/>
        </w:rPr>
        <w:fldChar w:fldCharType="begin"/>
      </w:r>
      <w:r w:rsidRPr="000F4460">
        <w:rPr>
          <w:rFonts w:ascii="Times New Roman" w:hAnsi="Times New Roman" w:cs="Times New Roman"/>
          <w:b/>
          <w:bCs/>
          <w:i w:val="0"/>
          <w:iCs w:val="0"/>
          <w:lang w:val="en-US"/>
        </w:rPr>
        <w:instrText xml:space="preserve"> SEQ Figura \* ARABIC </w:instrText>
      </w:r>
      <w:r w:rsidRPr="000F4460">
        <w:rPr>
          <w:rFonts w:ascii="Times New Roman" w:hAnsi="Times New Roman" w:cs="Times New Roman"/>
          <w:b/>
          <w:bCs/>
          <w:i w:val="0"/>
          <w:iCs w:val="0"/>
        </w:rPr>
        <w:fldChar w:fldCharType="separate"/>
      </w:r>
      <w:r w:rsidRPr="000F4460">
        <w:rPr>
          <w:rFonts w:ascii="Times New Roman" w:hAnsi="Times New Roman" w:cs="Times New Roman"/>
          <w:b/>
          <w:bCs/>
          <w:i w:val="0"/>
          <w:iCs w:val="0"/>
          <w:noProof/>
          <w:lang w:val="en-US"/>
        </w:rPr>
        <w:t>2</w:t>
      </w:r>
      <w:r w:rsidRPr="000F4460">
        <w:rPr>
          <w:rFonts w:ascii="Times New Roman" w:hAnsi="Times New Roman" w:cs="Times New Roman"/>
          <w:b/>
          <w:bCs/>
          <w:i w:val="0"/>
          <w:iCs w:val="0"/>
        </w:rPr>
        <w:fldChar w:fldCharType="end"/>
      </w:r>
      <w:bookmarkEnd w:id="1"/>
      <w:r w:rsidRPr="000F4460">
        <w:rPr>
          <w:rFonts w:ascii="Times New Roman" w:hAnsi="Times New Roman" w:cs="Times New Roman"/>
          <w:b/>
          <w:bCs/>
          <w:i w:val="0"/>
          <w:iCs w:val="0"/>
          <w:lang w:val="en-US"/>
        </w:rPr>
        <w:t xml:space="preserve">. </w:t>
      </w:r>
      <w:r w:rsidR="00AB117F" w:rsidRPr="000F4460">
        <w:rPr>
          <w:rFonts w:ascii="Times New Roman" w:hAnsi="Times New Roman" w:cs="Times New Roman"/>
          <w:i w:val="0"/>
          <w:iCs w:val="0"/>
          <w:lang w:val="en-US"/>
        </w:rPr>
        <w:t xml:space="preserve">GWP </w:t>
      </w:r>
      <w:r w:rsidR="000F4460" w:rsidRPr="000F4460">
        <w:rPr>
          <w:rFonts w:ascii="Times New Roman" w:hAnsi="Times New Roman" w:cs="Times New Roman"/>
          <w:i w:val="0"/>
          <w:iCs w:val="0"/>
          <w:lang w:val="en-US"/>
        </w:rPr>
        <w:t>for the CS and the LRS case</w:t>
      </w:r>
      <w:r w:rsidR="00152714">
        <w:rPr>
          <w:rFonts w:ascii="Times New Roman" w:hAnsi="Times New Roman" w:cs="Times New Roman"/>
          <w:i w:val="0"/>
          <w:iCs w:val="0"/>
          <w:lang w:val="en-US"/>
        </w:rPr>
        <w:t xml:space="preserve"> based on 1 kg of biofuel</w:t>
      </w:r>
      <w:r w:rsidR="000F4460">
        <w:rPr>
          <w:rFonts w:ascii="Times New Roman" w:hAnsi="Times New Roman" w:cs="Times New Roman"/>
          <w:i w:val="0"/>
          <w:iCs w:val="0"/>
          <w:lang w:val="en-US"/>
        </w:rPr>
        <w:t>. Subdivision among the different impact items.</w:t>
      </w:r>
    </w:p>
    <w:p w14:paraId="37DB03F8" w14:textId="77777777" w:rsidR="000B406A" w:rsidRPr="000B406A" w:rsidRDefault="000B406A" w:rsidP="000B406A">
      <w:pPr>
        <w:rPr>
          <w:lang w:val="en-US"/>
        </w:rPr>
      </w:pPr>
    </w:p>
    <w:p w14:paraId="0DE817AB" w14:textId="77777777" w:rsidR="00DA51A3" w:rsidRPr="00466FFD" w:rsidRDefault="00DA51A3" w:rsidP="00384986">
      <w:pPr>
        <w:snapToGrid w:val="0"/>
        <w:spacing w:after="120" w:line="22" w:lineRule="atLeast"/>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0D2C5AE9" w:rsidR="00DA51A3" w:rsidRPr="00E21161" w:rsidRDefault="007B6222" w:rsidP="00384986">
      <w:pPr>
        <w:snapToGrid w:val="0"/>
        <w:spacing w:after="120" w:line="22" w:lineRule="atLeast"/>
        <w:jc w:val="both"/>
        <w:rPr>
          <w:rFonts w:ascii="Times New Roman" w:eastAsia="MS PGothic" w:hAnsi="Times New Roman"/>
          <w:lang w:val="en-US"/>
        </w:rPr>
      </w:pPr>
      <w:r>
        <w:rPr>
          <w:rFonts w:ascii="Times New Roman" w:eastAsia="MS PGothic" w:hAnsi="Times New Roman"/>
          <w:lang w:val="en-US"/>
        </w:rPr>
        <w:t xml:space="preserve">HTL-APR coupling has </w:t>
      </w:r>
      <w:r w:rsidR="0049002F">
        <w:rPr>
          <w:rFonts w:ascii="Times New Roman" w:eastAsia="MS PGothic" w:hAnsi="Times New Roman"/>
          <w:lang w:val="en-US"/>
        </w:rPr>
        <w:t>been proven</w:t>
      </w:r>
      <w:r>
        <w:rPr>
          <w:rFonts w:ascii="Times New Roman" w:eastAsia="MS PGothic" w:hAnsi="Times New Roman"/>
          <w:lang w:val="en-US"/>
        </w:rPr>
        <w:t xml:space="preserve"> to be a valuable technology for biofuel production </w:t>
      </w:r>
      <w:r w:rsidR="00961753">
        <w:rPr>
          <w:rFonts w:ascii="Times New Roman" w:eastAsia="MS PGothic" w:hAnsi="Times New Roman"/>
          <w:lang w:val="en-US"/>
        </w:rPr>
        <w:t>from</w:t>
      </w:r>
      <w:r>
        <w:rPr>
          <w:rFonts w:ascii="Times New Roman" w:eastAsia="MS PGothic" w:hAnsi="Times New Roman"/>
          <w:lang w:val="en-US"/>
        </w:rPr>
        <w:t xml:space="preserve"> an economic </w:t>
      </w:r>
      <w:r w:rsidR="00961753">
        <w:rPr>
          <w:rFonts w:ascii="Times New Roman" w:eastAsia="MS PGothic" w:hAnsi="Times New Roman"/>
          <w:lang w:val="en-US"/>
        </w:rPr>
        <w:t>standpoint</w:t>
      </w:r>
      <w:r>
        <w:rPr>
          <w:rFonts w:ascii="Times New Roman" w:eastAsia="MS PGothic" w:hAnsi="Times New Roman"/>
          <w:lang w:val="en-US"/>
        </w:rPr>
        <w:t xml:space="preserve">. </w:t>
      </w:r>
      <w:r w:rsidR="0049002F">
        <w:rPr>
          <w:rFonts w:ascii="Times New Roman" w:eastAsia="MS PGothic" w:hAnsi="Times New Roman"/>
          <w:lang w:val="en-US"/>
        </w:rPr>
        <w:t xml:space="preserve">In particular, this work has shown that the coupling is strongly dependent on the HTL carbon distribution and on the nature of the molecules dissolved in the HTL aqueous phase. </w:t>
      </w:r>
      <w:r w:rsidR="00E21161">
        <w:rPr>
          <w:rFonts w:ascii="Times New Roman" w:eastAsia="MS PGothic" w:hAnsi="Times New Roman"/>
          <w:lang w:val="en-US"/>
        </w:rPr>
        <w:t>H</w:t>
      </w:r>
      <w:r w:rsidR="00E21161">
        <w:rPr>
          <w:rFonts w:ascii="Times New Roman" w:eastAsia="MS PGothic" w:hAnsi="Times New Roman"/>
          <w:vertAlign w:val="subscript"/>
          <w:lang w:val="en-US"/>
        </w:rPr>
        <w:t>2</w:t>
      </w:r>
      <w:r w:rsidR="00E21161">
        <w:rPr>
          <w:rFonts w:ascii="Times New Roman" w:eastAsia="MS PGothic" w:hAnsi="Times New Roman"/>
          <w:lang w:val="en-US"/>
        </w:rPr>
        <w:t xml:space="preserve"> production cost</w:t>
      </w:r>
      <w:r w:rsidR="009D1C01">
        <w:rPr>
          <w:rFonts w:ascii="Times New Roman" w:eastAsia="MS PGothic" w:hAnsi="Times New Roman"/>
          <w:lang w:val="en-US"/>
        </w:rPr>
        <w:t xml:space="preserve"> through APR</w:t>
      </w:r>
      <w:r w:rsidR="00E21161">
        <w:rPr>
          <w:rFonts w:ascii="Times New Roman" w:eastAsia="MS PGothic" w:hAnsi="Times New Roman"/>
          <w:lang w:val="en-US"/>
        </w:rPr>
        <w:t xml:space="preserve"> was </w:t>
      </w:r>
      <w:r w:rsidR="00D56BE5">
        <w:rPr>
          <w:rFonts w:ascii="Times New Roman" w:eastAsia="MS PGothic" w:hAnsi="Times New Roman"/>
          <w:lang w:val="en-US"/>
        </w:rPr>
        <w:t xml:space="preserve">particularly interesting with corn stover, being it </w:t>
      </w:r>
      <w:r w:rsidR="00E21161">
        <w:rPr>
          <w:rFonts w:ascii="Times New Roman" w:eastAsia="MS PGothic" w:hAnsi="Times New Roman"/>
          <w:lang w:val="en-US"/>
        </w:rPr>
        <w:t>equal to 1.7 €/kg</w:t>
      </w:r>
      <w:r w:rsidR="009D1C01">
        <w:rPr>
          <w:rFonts w:ascii="Times New Roman" w:eastAsia="MS PGothic" w:hAnsi="Times New Roman"/>
          <w:lang w:val="en-US"/>
        </w:rPr>
        <w:t xml:space="preserve">, which is lower than </w:t>
      </w:r>
      <w:r w:rsidR="000F4460">
        <w:rPr>
          <w:rFonts w:ascii="Times New Roman" w:eastAsia="MS PGothic" w:hAnsi="Times New Roman"/>
          <w:lang w:val="en-US"/>
        </w:rPr>
        <w:t xml:space="preserve">production cost through </w:t>
      </w:r>
      <w:r w:rsidR="009D1C01">
        <w:rPr>
          <w:rFonts w:ascii="Times New Roman" w:eastAsia="MS PGothic" w:hAnsi="Times New Roman"/>
          <w:lang w:val="en-US"/>
        </w:rPr>
        <w:t>electrolysis.</w:t>
      </w:r>
      <w:r w:rsidR="009E1F06">
        <w:rPr>
          <w:rFonts w:ascii="Times New Roman" w:eastAsia="MS PGothic" w:hAnsi="Times New Roman"/>
          <w:lang w:val="en-US"/>
        </w:rPr>
        <w:t xml:space="preserve"> The GWPs for these two biofuels resulted in line with other biofuels.</w:t>
      </w:r>
    </w:p>
    <w:p w14:paraId="1845F659" w14:textId="19578678" w:rsidR="00DA51A3" w:rsidRDefault="00DA51A3" w:rsidP="00384986">
      <w:pPr>
        <w:snapToGrid w:val="0"/>
        <w:spacing w:after="120" w:line="22" w:lineRule="atLeast"/>
        <w:rPr>
          <w:rFonts w:ascii="Times New Roman" w:eastAsia="MS PGothic" w:hAnsi="Times New Roman"/>
          <w:b/>
          <w:bCs/>
          <w:lang w:val="en-US"/>
        </w:rPr>
      </w:pPr>
      <w:r w:rsidRPr="00466FFD">
        <w:rPr>
          <w:rFonts w:ascii="Times New Roman" w:eastAsia="MS PGothic" w:hAnsi="Times New Roman"/>
          <w:b/>
          <w:bCs/>
          <w:lang w:val="en-US"/>
        </w:rPr>
        <w:t xml:space="preserve">References </w:t>
      </w:r>
    </w:p>
    <w:p w14:paraId="1CF60A15" w14:textId="0377E818" w:rsidR="00FA132B" w:rsidRPr="00866585" w:rsidRDefault="00FE14D2" w:rsidP="00384986">
      <w:pPr>
        <w:widowControl w:val="0"/>
        <w:autoSpaceDE w:val="0"/>
        <w:autoSpaceDN w:val="0"/>
        <w:adjustRightInd w:val="0"/>
        <w:spacing w:after="120" w:line="22" w:lineRule="atLeast"/>
        <w:ind w:left="640" w:hanging="640"/>
        <w:rPr>
          <w:rFonts w:ascii="Times New Roman" w:hAnsi="Times New Roman" w:cs="Times New Roman"/>
          <w:noProof/>
          <w:sz w:val="20"/>
          <w:szCs w:val="24"/>
          <w:lang w:val="en-US"/>
        </w:rPr>
      </w:pPr>
      <w:r w:rsidRPr="00866585">
        <w:rPr>
          <w:rFonts w:ascii="Times New Roman" w:eastAsia="SimSun" w:hAnsi="Times New Roman" w:cs="Times New Roman"/>
          <w:b/>
          <w:bCs/>
          <w:sz w:val="20"/>
          <w:szCs w:val="20"/>
          <w:lang w:val="en-US" w:eastAsia="zh-CN"/>
        </w:rPr>
        <w:fldChar w:fldCharType="begin" w:fldLock="1"/>
      </w:r>
      <w:r w:rsidRPr="00866585">
        <w:rPr>
          <w:rFonts w:ascii="Times New Roman" w:eastAsia="SimSun" w:hAnsi="Times New Roman" w:cs="Times New Roman"/>
          <w:b/>
          <w:bCs/>
          <w:sz w:val="20"/>
          <w:szCs w:val="20"/>
          <w:lang w:val="en-US" w:eastAsia="zh-CN"/>
        </w:rPr>
        <w:instrText xml:space="preserve">ADDIN Mendeley Bibliography CSL_BIBLIOGRAPHY </w:instrText>
      </w:r>
      <w:r w:rsidRPr="00866585">
        <w:rPr>
          <w:rFonts w:ascii="Times New Roman" w:eastAsia="SimSun" w:hAnsi="Times New Roman" w:cs="Times New Roman"/>
          <w:b/>
          <w:bCs/>
          <w:sz w:val="20"/>
          <w:szCs w:val="20"/>
          <w:lang w:val="en-US" w:eastAsia="zh-CN"/>
        </w:rPr>
        <w:fldChar w:fldCharType="separate"/>
      </w:r>
      <w:r w:rsidR="00FA132B" w:rsidRPr="00866585">
        <w:rPr>
          <w:rFonts w:ascii="Times New Roman" w:hAnsi="Times New Roman" w:cs="Times New Roman"/>
          <w:noProof/>
          <w:sz w:val="20"/>
          <w:szCs w:val="24"/>
          <w:lang w:val="en-US"/>
        </w:rPr>
        <w:t>[1]</w:t>
      </w:r>
      <w:r w:rsidR="00FA132B" w:rsidRPr="00866585">
        <w:rPr>
          <w:rFonts w:ascii="Times New Roman" w:hAnsi="Times New Roman" w:cs="Times New Roman"/>
          <w:noProof/>
          <w:sz w:val="20"/>
          <w:szCs w:val="24"/>
          <w:lang w:val="en-US"/>
        </w:rPr>
        <w:tab/>
        <w:t>J. Watson, T. Wang, B. Si, W. T. Chen, A. Aierzhati, and Y. Zhang, Prog. Energy Combust. Sci.</w:t>
      </w:r>
      <w:r w:rsidR="0016425C" w:rsidRPr="00866585">
        <w:rPr>
          <w:rFonts w:ascii="Times New Roman" w:hAnsi="Times New Roman" w:cs="Times New Roman"/>
          <w:noProof/>
          <w:sz w:val="20"/>
          <w:szCs w:val="24"/>
          <w:lang w:val="en-US"/>
        </w:rPr>
        <w:t xml:space="preserve"> </w:t>
      </w:r>
      <w:r w:rsidR="00FA132B" w:rsidRPr="00866585">
        <w:rPr>
          <w:rFonts w:ascii="Times New Roman" w:hAnsi="Times New Roman" w:cs="Times New Roman"/>
          <w:noProof/>
          <w:sz w:val="20"/>
          <w:szCs w:val="24"/>
          <w:lang w:val="en-US"/>
        </w:rPr>
        <w:t>77</w:t>
      </w:r>
      <w:r w:rsidR="0016425C" w:rsidRPr="00866585">
        <w:rPr>
          <w:rFonts w:ascii="Times New Roman" w:hAnsi="Times New Roman" w:cs="Times New Roman"/>
          <w:noProof/>
          <w:sz w:val="20"/>
          <w:szCs w:val="24"/>
          <w:lang w:val="en-US"/>
        </w:rPr>
        <w:t xml:space="preserve"> (2020) 1-45</w:t>
      </w:r>
    </w:p>
    <w:p w14:paraId="25ED8B84" w14:textId="5562333E" w:rsidR="00FA132B" w:rsidRPr="00866585" w:rsidRDefault="00FA132B" w:rsidP="00384986">
      <w:pPr>
        <w:widowControl w:val="0"/>
        <w:autoSpaceDE w:val="0"/>
        <w:autoSpaceDN w:val="0"/>
        <w:adjustRightInd w:val="0"/>
        <w:spacing w:after="120" w:line="22" w:lineRule="atLeast"/>
        <w:ind w:left="640" w:hanging="640"/>
        <w:rPr>
          <w:rFonts w:ascii="Times New Roman" w:hAnsi="Times New Roman" w:cs="Times New Roman"/>
          <w:noProof/>
          <w:sz w:val="20"/>
          <w:lang w:val="en-US"/>
        </w:rPr>
      </w:pPr>
      <w:r w:rsidRPr="00866585">
        <w:rPr>
          <w:rFonts w:ascii="Times New Roman" w:hAnsi="Times New Roman" w:cs="Times New Roman"/>
          <w:noProof/>
          <w:sz w:val="20"/>
          <w:szCs w:val="24"/>
          <w:lang w:val="en-US"/>
        </w:rPr>
        <w:t>[2]</w:t>
      </w:r>
      <w:r w:rsidRPr="00866585">
        <w:rPr>
          <w:rFonts w:ascii="Times New Roman" w:hAnsi="Times New Roman" w:cs="Times New Roman"/>
          <w:noProof/>
          <w:sz w:val="20"/>
          <w:szCs w:val="24"/>
          <w:lang w:val="en-US"/>
        </w:rPr>
        <w:tab/>
        <w:t>European Commission-Joint Research Center, ILCD Handbook: General guide for Life Cycle Assessment - Detailed guidance</w:t>
      </w:r>
      <w:r w:rsidR="00887049" w:rsidRPr="00866585">
        <w:rPr>
          <w:rFonts w:ascii="Times New Roman" w:hAnsi="Times New Roman" w:cs="Times New Roman"/>
          <w:noProof/>
          <w:sz w:val="20"/>
          <w:szCs w:val="24"/>
          <w:lang w:val="en-US"/>
        </w:rPr>
        <w:t xml:space="preserve"> (</w:t>
      </w:r>
      <w:r w:rsidRPr="00866585">
        <w:rPr>
          <w:rFonts w:ascii="Times New Roman" w:hAnsi="Times New Roman" w:cs="Times New Roman"/>
          <w:noProof/>
          <w:sz w:val="20"/>
          <w:szCs w:val="24"/>
          <w:lang w:val="en-US"/>
        </w:rPr>
        <w:t>2010</w:t>
      </w:r>
      <w:r w:rsidR="00887049" w:rsidRPr="00866585">
        <w:rPr>
          <w:rFonts w:ascii="Times New Roman" w:hAnsi="Times New Roman" w:cs="Times New Roman"/>
          <w:noProof/>
          <w:sz w:val="20"/>
          <w:szCs w:val="24"/>
          <w:lang w:val="en-US"/>
        </w:rPr>
        <w:t>)</w:t>
      </w:r>
    </w:p>
    <w:p w14:paraId="5A650773" w14:textId="5FDC1D66" w:rsidR="005B71B2" w:rsidRPr="00866585" w:rsidRDefault="00FE14D2" w:rsidP="00384986">
      <w:pPr>
        <w:snapToGrid w:val="0"/>
        <w:spacing w:after="120" w:line="22" w:lineRule="atLeast"/>
        <w:rPr>
          <w:rFonts w:ascii="Times New Roman" w:eastAsia="SimSun" w:hAnsi="Times New Roman" w:cs="Times New Roman"/>
          <w:b/>
          <w:bCs/>
          <w:lang w:val="en-US" w:eastAsia="zh-CN"/>
        </w:rPr>
      </w:pPr>
      <w:r w:rsidRPr="00866585">
        <w:rPr>
          <w:rFonts w:ascii="Times New Roman" w:eastAsia="SimSun" w:hAnsi="Times New Roman" w:cs="Times New Roman"/>
          <w:b/>
          <w:bCs/>
          <w:sz w:val="20"/>
          <w:szCs w:val="20"/>
          <w:lang w:val="en-US" w:eastAsia="zh-CN"/>
        </w:rPr>
        <w:fldChar w:fldCharType="end"/>
      </w:r>
    </w:p>
    <w:sectPr w:rsidR="005B71B2" w:rsidRPr="00866585"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160C" w14:textId="77777777" w:rsidR="00084D01" w:rsidRDefault="00084D01" w:rsidP="001D0E0C">
      <w:pPr>
        <w:spacing w:after="0" w:line="240" w:lineRule="auto"/>
      </w:pPr>
      <w:r>
        <w:separator/>
      </w:r>
    </w:p>
  </w:endnote>
  <w:endnote w:type="continuationSeparator" w:id="0">
    <w:p w14:paraId="155EBA5E" w14:textId="77777777" w:rsidR="00084D01" w:rsidRDefault="00084D0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B48C" w14:textId="77777777" w:rsidR="00084D01" w:rsidRDefault="00084D01" w:rsidP="001D0E0C">
      <w:pPr>
        <w:spacing w:after="0" w:line="240" w:lineRule="auto"/>
      </w:pPr>
      <w:r>
        <w:separator/>
      </w:r>
    </w:p>
  </w:footnote>
  <w:footnote w:type="continuationSeparator" w:id="0">
    <w:p w14:paraId="4FD6F9A7" w14:textId="77777777" w:rsidR="00084D01" w:rsidRDefault="00084D0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527B6"/>
    <w:rsid w:val="00084D01"/>
    <w:rsid w:val="000B406A"/>
    <w:rsid w:val="000F4460"/>
    <w:rsid w:val="0010302B"/>
    <w:rsid w:val="00116A56"/>
    <w:rsid w:val="00152714"/>
    <w:rsid w:val="0016425C"/>
    <w:rsid w:val="0018667F"/>
    <w:rsid w:val="001A35A7"/>
    <w:rsid w:val="001B060D"/>
    <w:rsid w:val="001C0206"/>
    <w:rsid w:val="001C6E54"/>
    <w:rsid w:val="001D0E0C"/>
    <w:rsid w:val="002565F3"/>
    <w:rsid w:val="0027551C"/>
    <w:rsid w:val="002A6463"/>
    <w:rsid w:val="002C57AD"/>
    <w:rsid w:val="002D184A"/>
    <w:rsid w:val="0033220C"/>
    <w:rsid w:val="00384986"/>
    <w:rsid w:val="00393D73"/>
    <w:rsid w:val="003F160A"/>
    <w:rsid w:val="00402674"/>
    <w:rsid w:val="004054E4"/>
    <w:rsid w:val="00430F95"/>
    <w:rsid w:val="00447EE5"/>
    <w:rsid w:val="0049002F"/>
    <w:rsid w:val="004C56B4"/>
    <w:rsid w:val="005824DD"/>
    <w:rsid w:val="005B4536"/>
    <w:rsid w:val="005B71B2"/>
    <w:rsid w:val="005C2A12"/>
    <w:rsid w:val="005E744B"/>
    <w:rsid w:val="00620817"/>
    <w:rsid w:val="00657AAC"/>
    <w:rsid w:val="0067166D"/>
    <w:rsid w:val="00686DE0"/>
    <w:rsid w:val="00697CD6"/>
    <w:rsid w:val="006E0AC6"/>
    <w:rsid w:val="007023AE"/>
    <w:rsid w:val="007661F2"/>
    <w:rsid w:val="00780244"/>
    <w:rsid w:val="00783825"/>
    <w:rsid w:val="007A42DA"/>
    <w:rsid w:val="007B6222"/>
    <w:rsid w:val="00802B18"/>
    <w:rsid w:val="00811F67"/>
    <w:rsid w:val="0083119D"/>
    <w:rsid w:val="0083125D"/>
    <w:rsid w:val="008321A9"/>
    <w:rsid w:val="00866585"/>
    <w:rsid w:val="00887049"/>
    <w:rsid w:val="008871B1"/>
    <w:rsid w:val="008A1036"/>
    <w:rsid w:val="008C4BCF"/>
    <w:rsid w:val="0090187B"/>
    <w:rsid w:val="00961753"/>
    <w:rsid w:val="00996CA6"/>
    <w:rsid w:val="009D1C01"/>
    <w:rsid w:val="009E1F06"/>
    <w:rsid w:val="009F0C3C"/>
    <w:rsid w:val="00A22998"/>
    <w:rsid w:val="00A87884"/>
    <w:rsid w:val="00A903C6"/>
    <w:rsid w:val="00AB117F"/>
    <w:rsid w:val="00AB148B"/>
    <w:rsid w:val="00AB1801"/>
    <w:rsid w:val="00B346A0"/>
    <w:rsid w:val="00B56533"/>
    <w:rsid w:val="00C1136A"/>
    <w:rsid w:val="00C40840"/>
    <w:rsid w:val="00CD0A6B"/>
    <w:rsid w:val="00CF4A35"/>
    <w:rsid w:val="00D03DB3"/>
    <w:rsid w:val="00D322F1"/>
    <w:rsid w:val="00D412A9"/>
    <w:rsid w:val="00D4706C"/>
    <w:rsid w:val="00D56BE5"/>
    <w:rsid w:val="00D85763"/>
    <w:rsid w:val="00DA51A3"/>
    <w:rsid w:val="00DD2D8C"/>
    <w:rsid w:val="00DF37C2"/>
    <w:rsid w:val="00DF7C81"/>
    <w:rsid w:val="00E10EBD"/>
    <w:rsid w:val="00E21161"/>
    <w:rsid w:val="00E26024"/>
    <w:rsid w:val="00E44DE0"/>
    <w:rsid w:val="00E46C78"/>
    <w:rsid w:val="00E956CD"/>
    <w:rsid w:val="00ED20A9"/>
    <w:rsid w:val="00F20515"/>
    <w:rsid w:val="00F24290"/>
    <w:rsid w:val="00F53A4C"/>
    <w:rsid w:val="00F67558"/>
    <w:rsid w:val="00FA132B"/>
    <w:rsid w:val="00FA7571"/>
    <w:rsid w:val="00FC6435"/>
    <w:rsid w:val="00FE1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customStyle="1" w:styleId="DidascaliaCarattere">
    <w:name w:val="Didascalia Carattere"/>
    <w:aliases w:val="EX Caption Carattere,Exr Carattere,Figure Caption Carattere,~Caption Carattere"/>
    <w:link w:val="Didascalia"/>
    <w:uiPriority w:val="35"/>
    <w:locked/>
    <w:rsid w:val="004054E4"/>
    <w:rPr>
      <w:i/>
      <w:iCs/>
      <w:color w:val="000000" w:themeColor="text1"/>
      <w:sz w:val="18"/>
      <w:szCs w:val="18"/>
    </w:rPr>
  </w:style>
  <w:style w:type="paragraph" w:styleId="Didascalia">
    <w:name w:val="caption"/>
    <w:aliases w:val="EX Caption,Exr,Figure Caption,~Caption"/>
    <w:basedOn w:val="Normale"/>
    <w:next w:val="Normale"/>
    <w:link w:val="DidascaliaCarattere"/>
    <w:uiPriority w:val="35"/>
    <w:unhideWhenUsed/>
    <w:qFormat/>
    <w:rsid w:val="004054E4"/>
    <w:pPr>
      <w:spacing w:after="200" w:line="240" w:lineRule="auto"/>
      <w:jc w:val="both"/>
    </w:pPr>
    <w:rPr>
      <w:i/>
      <w:iCs/>
      <w:color w:val="000000" w:themeColor="text1"/>
      <w:sz w:val="18"/>
      <w:szCs w:val="18"/>
    </w:rPr>
  </w:style>
  <w:style w:type="paragraph" w:styleId="Revisione">
    <w:name w:val="Revision"/>
    <w:hidden/>
    <w:uiPriority w:val="99"/>
    <w:semiHidden/>
    <w:rsid w:val="008A1036"/>
    <w:pPr>
      <w:spacing w:after="0" w:line="240" w:lineRule="auto"/>
    </w:pPr>
  </w:style>
  <w:style w:type="character" w:styleId="Rimandocommento">
    <w:name w:val="annotation reference"/>
    <w:basedOn w:val="Carpredefinitoparagrafo"/>
    <w:uiPriority w:val="99"/>
    <w:semiHidden/>
    <w:unhideWhenUsed/>
    <w:rsid w:val="008A1036"/>
    <w:rPr>
      <w:sz w:val="16"/>
      <w:szCs w:val="16"/>
    </w:rPr>
  </w:style>
  <w:style w:type="paragraph" w:styleId="Testocommento">
    <w:name w:val="annotation text"/>
    <w:basedOn w:val="Normale"/>
    <w:link w:val="TestocommentoCarattere"/>
    <w:uiPriority w:val="99"/>
    <w:unhideWhenUsed/>
    <w:rsid w:val="008A1036"/>
    <w:pPr>
      <w:spacing w:line="240" w:lineRule="auto"/>
    </w:pPr>
    <w:rPr>
      <w:sz w:val="20"/>
      <w:szCs w:val="20"/>
    </w:rPr>
  </w:style>
  <w:style w:type="character" w:customStyle="1" w:styleId="TestocommentoCarattere">
    <w:name w:val="Testo commento Carattere"/>
    <w:basedOn w:val="Carpredefinitoparagrafo"/>
    <w:link w:val="Testocommento"/>
    <w:uiPriority w:val="99"/>
    <w:rsid w:val="008A1036"/>
    <w:rPr>
      <w:sz w:val="20"/>
      <w:szCs w:val="20"/>
    </w:rPr>
  </w:style>
  <w:style w:type="paragraph" w:styleId="Soggettocommento">
    <w:name w:val="annotation subject"/>
    <w:basedOn w:val="Testocommento"/>
    <w:next w:val="Testocommento"/>
    <w:link w:val="SoggettocommentoCarattere"/>
    <w:uiPriority w:val="99"/>
    <w:semiHidden/>
    <w:unhideWhenUsed/>
    <w:rsid w:val="008A1036"/>
    <w:rPr>
      <w:b/>
      <w:bCs/>
    </w:rPr>
  </w:style>
  <w:style w:type="character" w:customStyle="1" w:styleId="SoggettocommentoCarattere">
    <w:name w:val="Soggetto commento Carattere"/>
    <w:basedOn w:val="TestocommentoCarattere"/>
    <w:link w:val="Soggettocommento"/>
    <w:uiPriority w:val="99"/>
    <w:semiHidden/>
    <w:rsid w:val="008A10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G:\.shortcut-targets-by-id\1CJnyf0nB16sTX3RGW10J0lkweQUyt4OZ\Paper\In%20futuro\LCA\LC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9565973127529"/>
          <c:y val="5.2798310454065467E-2"/>
          <c:w val="0.87364429611861427"/>
          <c:h val="0.80084849307629669"/>
        </c:manualLayout>
      </c:layout>
      <c:barChart>
        <c:barDir val="col"/>
        <c:grouping val="clustered"/>
        <c:varyColors val="0"/>
        <c:ser>
          <c:idx val="0"/>
          <c:order val="0"/>
          <c:tx>
            <c:strRef>
              <c:f>Foglio2!$B$1</c:f>
              <c:strCache>
                <c:ptCount val="1"/>
                <c:pt idx="0">
                  <c:v>Lignin-rich stream</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cat>
            <c:strRef>
              <c:f>Foglio2!$A$2:$A$8</c:f>
              <c:strCache>
                <c:ptCount val="7"/>
                <c:pt idx="0">
                  <c:v>Total</c:v>
                </c:pt>
                <c:pt idx="1">
                  <c:v>Electrolysis</c:v>
                </c:pt>
                <c:pt idx="2">
                  <c:v>Electricity</c:v>
                </c:pt>
                <c:pt idx="3">
                  <c:v>Thermal energy</c:v>
                </c:pt>
                <c:pt idx="4">
                  <c:v>Waste disposal</c:v>
                </c:pt>
                <c:pt idx="5">
                  <c:v>Truck </c:v>
                </c:pt>
                <c:pt idx="6">
                  <c:v>Rest</c:v>
                </c:pt>
              </c:strCache>
            </c:strRef>
          </c:cat>
          <c:val>
            <c:numRef>
              <c:f>Foglio2!$B$2:$B$8</c:f>
              <c:numCache>
                <c:formatCode>General</c:formatCode>
                <c:ptCount val="7"/>
                <c:pt idx="0">
                  <c:v>1.78</c:v>
                </c:pt>
                <c:pt idx="1">
                  <c:v>1.31</c:v>
                </c:pt>
                <c:pt idx="2" formatCode="0.00">
                  <c:v>0.33160000000000001</c:v>
                </c:pt>
                <c:pt idx="3" formatCode="0.00">
                  <c:v>0.1203</c:v>
                </c:pt>
                <c:pt idx="4" formatCode="0.00">
                  <c:v>1.26E-2</c:v>
                </c:pt>
                <c:pt idx="5">
                  <c:v>0</c:v>
                </c:pt>
                <c:pt idx="6" formatCode="0.00">
                  <c:v>2.3199999999999998E-2</c:v>
                </c:pt>
              </c:numCache>
            </c:numRef>
          </c:val>
          <c:extLst>
            <c:ext xmlns:c16="http://schemas.microsoft.com/office/drawing/2014/chart" uri="{C3380CC4-5D6E-409C-BE32-E72D297353CC}">
              <c16:uniqueId val="{00000000-4339-4F91-9D7B-446899ECA81C}"/>
            </c:ext>
          </c:extLst>
        </c:ser>
        <c:ser>
          <c:idx val="1"/>
          <c:order val="1"/>
          <c:tx>
            <c:strRef>
              <c:f>Foglio2!$C$1</c:f>
              <c:strCache>
                <c:ptCount val="1"/>
                <c:pt idx="0">
                  <c:v>Corn stover</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elete val="1"/>
          </c:dLbls>
          <c:cat>
            <c:strRef>
              <c:f>Foglio2!$A$2:$A$8</c:f>
              <c:strCache>
                <c:ptCount val="7"/>
                <c:pt idx="0">
                  <c:v>Total</c:v>
                </c:pt>
                <c:pt idx="1">
                  <c:v>Electrolysis</c:v>
                </c:pt>
                <c:pt idx="2">
                  <c:v>Electricity</c:v>
                </c:pt>
                <c:pt idx="3">
                  <c:v>Thermal energy</c:v>
                </c:pt>
                <c:pt idx="4">
                  <c:v>Waste disposal</c:v>
                </c:pt>
                <c:pt idx="5">
                  <c:v>Truck </c:v>
                </c:pt>
                <c:pt idx="6">
                  <c:v>Rest</c:v>
                </c:pt>
              </c:strCache>
            </c:strRef>
          </c:cat>
          <c:val>
            <c:numRef>
              <c:f>Foglio2!$C$2:$C$8</c:f>
              <c:numCache>
                <c:formatCode>General</c:formatCode>
                <c:ptCount val="7"/>
                <c:pt idx="0">
                  <c:v>1.55</c:v>
                </c:pt>
                <c:pt idx="1">
                  <c:v>0</c:v>
                </c:pt>
                <c:pt idx="2" formatCode="0.00">
                  <c:v>0.505</c:v>
                </c:pt>
                <c:pt idx="3" formatCode="0.00">
                  <c:v>0.95499999999999996</c:v>
                </c:pt>
                <c:pt idx="4" formatCode="0.00">
                  <c:v>3.1199999999999999E-2</c:v>
                </c:pt>
                <c:pt idx="5" formatCode="0.00">
                  <c:v>3.0800000000000001E-2</c:v>
                </c:pt>
                <c:pt idx="6" formatCode="0.00">
                  <c:v>3.2000000000000001E-2</c:v>
                </c:pt>
              </c:numCache>
            </c:numRef>
          </c:val>
          <c:extLst>
            <c:ext xmlns:c16="http://schemas.microsoft.com/office/drawing/2014/chart" uri="{C3380CC4-5D6E-409C-BE32-E72D297353CC}">
              <c16:uniqueId val="{00000001-4339-4F91-9D7B-446899ECA81C}"/>
            </c:ext>
          </c:extLst>
        </c:ser>
        <c:dLbls>
          <c:dLblPos val="inEnd"/>
          <c:showLegendKey val="0"/>
          <c:showVal val="1"/>
          <c:showCatName val="0"/>
          <c:showSerName val="0"/>
          <c:showPercent val="0"/>
          <c:showBubbleSize val="0"/>
        </c:dLbls>
        <c:gapWidth val="100"/>
        <c:overlap val="-24"/>
        <c:axId val="383971023"/>
        <c:axId val="383978511"/>
      </c:barChart>
      <c:catAx>
        <c:axId val="383971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mn-lt"/>
                <a:ea typeface="+mn-ea"/>
                <a:cs typeface="+mn-cs"/>
              </a:defRPr>
            </a:pPr>
            <a:endParaRPr lang="it-IT"/>
          </a:p>
        </c:txPr>
        <c:crossAx val="383978511"/>
        <c:crosses val="autoZero"/>
        <c:auto val="1"/>
        <c:lblAlgn val="ctr"/>
        <c:lblOffset val="100"/>
        <c:noMultiLvlLbl val="0"/>
      </c:catAx>
      <c:valAx>
        <c:axId val="383978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it-IT" sz="900" b="0" i="0" cap="none" baseline="0">
                    <a:effectLst/>
                  </a:rPr>
                  <a:t>kg</a:t>
                </a:r>
                <a:r>
                  <a:rPr lang="it-IT" sz="900" b="0" i="0" baseline="0">
                    <a:effectLst/>
                  </a:rPr>
                  <a:t> CO</a:t>
                </a:r>
                <a:r>
                  <a:rPr lang="it-IT" sz="900" b="0" i="0" baseline="-25000">
                    <a:effectLst/>
                  </a:rPr>
                  <a:t>2</a:t>
                </a:r>
                <a:r>
                  <a:rPr lang="it-IT" sz="900" b="0" i="0" baseline="0">
                    <a:effectLst/>
                  </a:rPr>
                  <a:t> </a:t>
                </a:r>
                <a:r>
                  <a:rPr lang="it-IT" sz="900" b="0" i="0" cap="none" baseline="0">
                    <a:effectLst/>
                  </a:rPr>
                  <a:t>eq</a:t>
                </a:r>
                <a:endParaRPr lang="it-IT" sz="900" cap="none" baseline="0">
                  <a:effectLst/>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crossAx val="383971023"/>
        <c:crosses val="autoZero"/>
        <c:crossBetween val="between"/>
      </c:valAx>
      <c:spPr>
        <a:noFill/>
        <a:ln>
          <a:noFill/>
        </a:ln>
        <a:effectLst/>
      </c:spPr>
    </c:plotArea>
    <c:legend>
      <c:legendPos val="b"/>
      <c:layout>
        <c:manualLayout>
          <c:xMode val="edge"/>
          <c:yMode val="edge"/>
          <c:x val="0.72108712788854146"/>
          <c:y val="0.14637030089107197"/>
          <c:w val="0.2378041398037766"/>
          <c:h val="0.2373694244523159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B6D385-9862-4292-BDD3-E864B9CA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1553</Words>
  <Characters>8854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Tito  Edoardo</cp:lastModifiedBy>
  <cp:revision>2</cp:revision>
  <cp:lastPrinted>2022-01-31T11:56:00Z</cp:lastPrinted>
  <dcterms:created xsi:type="dcterms:W3CDTF">2022-03-15T19:33:00Z</dcterms:created>
  <dcterms:modified xsi:type="dcterms:W3CDTF">2022-03-15T19:33:00Z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http://www.zotero.org/styles/applied-energy</vt:lpwstr>
  </property>
  <property fmtid="{D5CDD505-2E9C-101B-9397-08002B2CF9AE}" pid="7" name="Mendeley Recent Style Name 2_1">
    <vt:lpwstr>Applied Energy</vt:lpwstr>
  </property>
  <property fmtid="{D5CDD505-2E9C-101B-9397-08002B2CF9AE}" pid="8" name="Mendeley Recent Style Id 3_1">
    <vt:lpwstr>http://www.zotero.org/styles/chemical-engineering-journal</vt:lpwstr>
  </property>
  <property fmtid="{D5CDD505-2E9C-101B-9397-08002B2CF9AE}" pid="9" name="Mendeley Recent Style Name 3_1">
    <vt:lpwstr>Chemical Engineering Journal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http://www.zotero.org/styles/energy</vt:lpwstr>
  </property>
  <property fmtid="{D5CDD505-2E9C-101B-9397-08002B2CF9AE}" pid="15" name="Mendeley Recent Style Name 6_1">
    <vt:lpwstr>Energy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4ef08b76-62ca-39e6-9017-a693fce2da52</vt:lpwstr>
  </property>
  <property fmtid="{D5CDD505-2E9C-101B-9397-08002B2CF9AE}" pid="24" name="Mendeley Citation Style_1">
    <vt:lpwstr>http://www.zotero.org/styles/ieee</vt:lpwstr>
  </property>
</Properties>
</file>