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0F234B3" w:rsidR="00DA51A3" w:rsidRPr="00466FFD" w:rsidRDefault="00A938B6"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A</w:t>
      </w:r>
      <w:r w:rsidRPr="00A938B6">
        <w:rPr>
          <w:rFonts w:ascii="Times New Roman" w:eastAsia="MS PGothic" w:hAnsi="Times New Roman"/>
          <w:b/>
          <w:bCs/>
          <w:sz w:val="24"/>
          <w:szCs w:val="24"/>
          <w:lang w:val="en-US"/>
        </w:rPr>
        <w:t xml:space="preserve">mmonia </w:t>
      </w:r>
      <w:r>
        <w:rPr>
          <w:rFonts w:ascii="Times New Roman" w:eastAsia="MS PGothic" w:hAnsi="Times New Roman"/>
          <w:b/>
          <w:bCs/>
          <w:sz w:val="24"/>
          <w:szCs w:val="24"/>
          <w:lang w:val="en-US"/>
        </w:rPr>
        <w:t>fuel cells onboard z</w:t>
      </w:r>
      <w:r w:rsidRPr="00A938B6">
        <w:rPr>
          <w:rFonts w:ascii="Times New Roman" w:eastAsia="MS PGothic" w:hAnsi="Times New Roman"/>
          <w:b/>
          <w:bCs/>
          <w:sz w:val="24"/>
          <w:szCs w:val="24"/>
          <w:lang w:val="en-US"/>
        </w:rPr>
        <w:t xml:space="preserve">ero-emission </w:t>
      </w:r>
      <w:r>
        <w:rPr>
          <w:rFonts w:ascii="Times New Roman" w:eastAsia="MS PGothic" w:hAnsi="Times New Roman"/>
          <w:b/>
          <w:bCs/>
          <w:sz w:val="24"/>
          <w:szCs w:val="24"/>
          <w:lang w:val="en-US"/>
        </w:rPr>
        <w:t>ships: a comparison of different solutions</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607492A2" w:rsidR="00DA51A3" w:rsidRPr="00084992" w:rsidRDefault="00A56779" w:rsidP="00DA51A3">
      <w:pPr>
        <w:snapToGrid w:val="0"/>
        <w:jc w:val="center"/>
        <w:rPr>
          <w:rFonts w:ascii="Times New Roman" w:eastAsia="MS PGothic" w:hAnsi="Times New Roman"/>
          <w:sz w:val="24"/>
          <w:szCs w:val="24"/>
          <w:lang w:val="it-IT"/>
        </w:rPr>
      </w:pPr>
      <w:r w:rsidRPr="00084992">
        <w:rPr>
          <w:rFonts w:ascii="Times New Roman" w:eastAsia="SimSun" w:hAnsi="Times New Roman"/>
          <w:sz w:val="24"/>
          <w:szCs w:val="24"/>
          <w:u w:val="single"/>
          <w:lang w:val="it-IT" w:eastAsia="zh-CN"/>
        </w:rPr>
        <w:t>Roberta Russo</w:t>
      </w:r>
      <w:r w:rsidRPr="00084992">
        <w:rPr>
          <w:rFonts w:ascii="Times New Roman" w:eastAsia="SimSun" w:hAnsi="Times New Roman"/>
          <w:sz w:val="24"/>
          <w:szCs w:val="24"/>
          <w:u w:val="single"/>
          <w:vertAlign w:val="superscript"/>
          <w:lang w:val="it-IT" w:eastAsia="zh-CN"/>
        </w:rPr>
        <w:t>1</w:t>
      </w:r>
      <w:r>
        <w:rPr>
          <w:rFonts w:ascii="Times New Roman" w:eastAsia="SimSun" w:hAnsi="Times New Roman"/>
          <w:sz w:val="24"/>
          <w:szCs w:val="24"/>
          <w:u w:val="single"/>
          <w:vertAlign w:val="superscript"/>
          <w:lang w:val="it-IT" w:eastAsia="zh-CN"/>
        </w:rPr>
        <w:t>*</w:t>
      </w:r>
      <w:r>
        <w:rPr>
          <w:rFonts w:ascii="Times New Roman" w:eastAsia="SimSun" w:hAnsi="Times New Roman"/>
          <w:sz w:val="24"/>
          <w:szCs w:val="24"/>
          <w:u w:val="single"/>
          <w:lang w:val="it-IT" w:eastAsia="zh-CN"/>
        </w:rPr>
        <w:t xml:space="preserve">, </w:t>
      </w:r>
      <w:r w:rsidR="00D3509A" w:rsidRPr="00084992">
        <w:rPr>
          <w:rFonts w:ascii="Times New Roman" w:eastAsia="SimSun" w:hAnsi="Times New Roman"/>
          <w:sz w:val="24"/>
          <w:szCs w:val="24"/>
          <w:u w:val="single"/>
          <w:lang w:val="it-IT" w:eastAsia="zh-CN"/>
        </w:rPr>
        <w:t>Tommaso Coppola</w:t>
      </w:r>
      <w:r w:rsidR="00874D8B" w:rsidRPr="00084992">
        <w:rPr>
          <w:rFonts w:ascii="Times New Roman" w:eastAsia="SimSun" w:hAnsi="Times New Roman"/>
          <w:sz w:val="24"/>
          <w:szCs w:val="24"/>
          <w:u w:val="single"/>
          <w:vertAlign w:val="superscript"/>
          <w:lang w:val="it-IT" w:eastAsia="zh-CN"/>
        </w:rPr>
        <w:t>1</w:t>
      </w:r>
      <w:r w:rsidR="00D3509A" w:rsidRPr="00084992">
        <w:rPr>
          <w:rFonts w:ascii="Times New Roman" w:eastAsia="SimSun" w:hAnsi="Times New Roman"/>
          <w:sz w:val="24"/>
          <w:szCs w:val="24"/>
          <w:u w:val="single"/>
          <w:lang w:val="it-IT" w:eastAsia="zh-CN"/>
        </w:rPr>
        <w:t>, Luca Micoli</w:t>
      </w:r>
      <w:r w:rsidR="006C0F2F" w:rsidRPr="00084992">
        <w:rPr>
          <w:rFonts w:ascii="Times New Roman" w:eastAsia="SimSun" w:hAnsi="Times New Roman"/>
          <w:sz w:val="24"/>
          <w:szCs w:val="24"/>
          <w:u w:val="single"/>
          <w:vertAlign w:val="superscript"/>
          <w:lang w:val="it-IT" w:eastAsia="zh-CN"/>
        </w:rPr>
        <w:t>1</w:t>
      </w:r>
    </w:p>
    <w:p w14:paraId="7A602332" w14:textId="21037A54" w:rsidR="00DA51A3" w:rsidRPr="00084992" w:rsidRDefault="00DA51A3" w:rsidP="00DA51A3">
      <w:pPr>
        <w:snapToGrid w:val="0"/>
        <w:jc w:val="center"/>
        <w:rPr>
          <w:rFonts w:ascii="Times New Roman" w:eastAsia="MS PGothic" w:hAnsi="Times New Roman"/>
          <w:i/>
          <w:iCs/>
          <w:sz w:val="20"/>
          <w:lang w:val="en-US"/>
        </w:rPr>
      </w:pPr>
      <w:r w:rsidRPr="00084992">
        <w:rPr>
          <w:rFonts w:ascii="Times New Roman" w:eastAsia="MS PGothic" w:hAnsi="Times New Roman"/>
          <w:i/>
          <w:iCs/>
          <w:sz w:val="20"/>
          <w:lang w:val="en-US"/>
        </w:rPr>
        <w:t xml:space="preserve">1 </w:t>
      </w:r>
      <w:r w:rsidR="009B0AC7" w:rsidRPr="00084992">
        <w:rPr>
          <w:rFonts w:ascii="Times New Roman" w:eastAsia="MS PGothic" w:hAnsi="Times New Roman"/>
          <w:i/>
          <w:iCs/>
          <w:sz w:val="20"/>
        </w:rPr>
        <w:t>Department of Industrial Engineering (DII), School of Polytechnic and Basic Sciences, University of Naples “Federico II”, 80125 Naples, Italy</w:t>
      </w:r>
    </w:p>
    <w:p w14:paraId="5533360A" w14:textId="5350535B" w:rsidR="00DA51A3" w:rsidRPr="00466FFD" w:rsidRDefault="00DA51A3" w:rsidP="00DA51A3">
      <w:pPr>
        <w:snapToGrid w:val="0"/>
        <w:jc w:val="center"/>
        <w:rPr>
          <w:rFonts w:ascii="Times New Roman" w:eastAsia="MS PGothic" w:hAnsi="Times New Roman"/>
          <w:bCs/>
          <w:i/>
          <w:iCs/>
          <w:sz w:val="20"/>
          <w:lang w:val="en-US"/>
        </w:rPr>
      </w:pPr>
      <w:r w:rsidRPr="00084992">
        <w:rPr>
          <w:rFonts w:ascii="Times New Roman" w:eastAsia="MS PGothic" w:hAnsi="Times New Roman"/>
          <w:bCs/>
          <w:i/>
          <w:iCs/>
          <w:sz w:val="20"/>
          <w:lang w:val="en-US"/>
        </w:rPr>
        <w:t>*Corresponding author</w:t>
      </w:r>
      <w:r w:rsidRPr="00084992">
        <w:rPr>
          <w:rFonts w:ascii="Times New Roman" w:eastAsia="MS PGothic" w:hAnsi="Times New Roman"/>
          <w:bCs/>
          <w:i/>
          <w:iCs/>
          <w:sz w:val="20"/>
          <w:lang w:val="en-US" w:eastAsia="ko-KR"/>
        </w:rPr>
        <w:t xml:space="preserve"> E-Mail:</w:t>
      </w:r>
      <w:r w:rsidRPr="00466FFD">
        <w:rPr>
          <w:rFonts w:ascii="Times New Roman" w:eastAsia="MS PGothic" w:hAnsi="Times New Roman"/>
          <w:bCs/>
          <w:i/>
          <w:iCs/>
          <w:sz w:val="20"/>
          <w:lang w:val="en-US" w:eastAsia="ko-KR"/>
        </w:rPr>
        <w:t xml:space="preserve"> </w:t>
      </w:r>
      <w:r w:rsidRPr="00466FFD">
        <w:rPr>
          <w:rFonts w:ascii="Times New Roman" w:eastAsia="MS PGothic" w:hAnsi="Times New Roman"/>
          <w:bCs/>
          <w:i/>
          <w:iCs/>
          <w:sz w:val="20"/>
          <w:lang w:val="en-US"/>
        </w:rPr>
        <w:t xml:space="preserve"> </w:t>
      </w:r>
      <w:r w:rsidR="00FB1072">
        <w:rPr>
          <w:rFonts w:ascii="Times New Roman" w:eastAsia="MS PGothic" w:hAnsi="Times New Roman"/>
          <w:bCs/>
          <w:i/>
          <w:iCs/>
          <w:sz w:val="20"/>
          <w:lang w:val="en-US"/>
        </w:rPr>
        <w:t>roberta.russo5@unina.it</w:t>
      </w:r>
    </w:p>
    <w:p w14:paraId="28AD07A8" w14:textId="77777777" w:rsidR="00DA51A3" w:rsidRPr="00466FFD" w:rsidRDefault="00DA51A3" w:rsidP="00DA51A3">
      <w:pPr>
        <w:snapToGrid w:val="0"/>
        <w:jc w:val="center"/>
        <w:rPr>
          <w:rFonts w:ascii="Times New Roman" w:eastAsia="SimSun" w:hAnsi="Times New Roman"/>
          <w:bCs/>
          <w:i/>
          <w:iCs/>
          <w:sz w:val="20"/>
          <w:lang w:val="en-US" w:eastAsia="zh-CN"/>
        </w:rPr>
      </w:pPr>
    </w:p>
    <w:p w14:paraId="110B92B3" w14:textId="77777777" w:rsidR="00DA51A3" w:rsidRPr="00466FFD" w:rsidRDefault="00DA51A3" w:rsidP="00EE60C5">
      <w:pPr>
        <w:snapToGrid w:val="0"/>
        <w:spacing w:after="160"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17088D6" w14:textId="777526BA" w:rsidR="001114A3"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 xml:space="preserve">The reduction of </w:t>
      </w:r>
      <w:r w:rsidR="003F7140" w:rsidRPr="0046474D">
        <w:rPr>
          <w:rFonts w:ascii="Times New Roman" w:eastAsia="MS PGothic" w:hAnsi="Times New Roman"/>
          <w:lang w:val="en-US"/>
        </w:rPr>
        <w:t xml:space="preserve">the </w:t>
      </w:r>
      <w:r w:rsidRPr="0046474D">
        <w:rPr>
          <w:rFonts w:ascii="Times New Roman" w:eastAsia="MS PGothic" w:hAnsi="Times New Roman"/>
          <w:lang w:val="en-US"/>
        </w:rPr>
        <w:t xml:space="preserve">carbon footprint of maritime shipping is currently a debated topic and a primary goal </w:t>
      </w:r>
      <w:r w:rsidRPr="0046474D">
        <w:rPr>
          <w:rFonts w:ascii="Times New Roman" w:eastAsia="MS PGothic" w:hAnsi="Times New Roman"/>
          <w:lang w:val="en-US"/>
        </w:rPr>
        <w:fldChar w:fldCharType="begin" w:fldLock="1"/>
      </w:r>
      <w:r w:rsidR="00FF5FD8">
        <w:rPr>
          <w:rFonts w:ascii="Times New Roman" w:eastAsia="MS PGothic" w:hAnsi="Times New Roman"/>
          <w:lang w:val="en-US"/>
        </w:rPr>
        <w:instrText>ADDIN CSL_CITATION {"citationItems":[{"id":"ITEM-1","itemData":{"URL":"https://www.imo.org/en/MediaCentre/PressBriefings/pages/DecadeOfGHGAction.aspx","accessed":{"date-parts":[["2022","2","1"]]},"id":"ITEM-1","issued":{"date-parts":[["0"]]},"title":"Cutting GHG emissions from shipping - 10 years of mandatory rules","type":"webpage"},"uris":["http://www.mendeley.com/documents/?uuid=18c943fc-7719-3985-9af7-c87dcb2c8aa2"]}],"mendeley":{"formattedCitation":"[1]","plainTextFormattedCitation":"[1]","previouslyFormattedCitation":"[1]"},"properties":{"noteIndex":0},"schema":"https://github.com/citation-style-language/schema/raw/master/csl-citation.json"}</w:instrText>
      </w:r>
      <w:r w:rsidRPr="0046474D">
        <w:rPr>
          <w:rFonts w:ascii="Times New Roman" w:eastAsia="MS PGothic" w:hAnsi="Times New Roman"/>
          <w:lang w:val="en-US"/>
        </w:rPr>
        <w:fldChar w:fldCharType="separate"/>
      </w:r>
      <w:r w:rsidR="00FF5FD8" w:rsidRPr="00FF5FD8">
        <w:rPr>
          <w:rFonts w:ascii="Times New Roman" w:eastAsia="MS PGothic" w:hAnsi="Times New Roman"/>
          <w:noProof/>
          <w:lang w:val="en-US"/>
        </w:rPr>
        <w:t>[1]</w:t>
      </w:r>
      <w:r w:rsidRPr="0046474D">
        <w:rPr>
          <w:rFonts w:ascii="Times New Roman" w:eastAsia="MS PGothic" w:hAnsi="Times New Roman"/>
          <w:lang w:val="en-US"/>
        </w:rPr>
        <w:fldChar w:fldCharType="end"/>
      </w:r>
      <w:r w:rsidRPr="0046474D">
        <w:rPr>
          <w:rFonts w:ascii="Times New Roman" w:eastAsia="MS PGothic" w:hAnsi="Times New Roman"/>
          <w:lang w:val="en-US"/>
        </w:rPr>
        <w:t>. In the last decades, the International Maritime Organization (IMO) has targeted greenhouse gas (GHGs) emissions on ships introducing several regulations aiming a 50% reduction in GHGs by 2050</w:t>
      </w:r>
      <w:r w:rsidR="009C7F9C" w:rsidRPr="0046474D">
        <w:rPr>
          <w:rFonts w:ascii="Times New Roman" w:eastAsia="MS PGothic" w:hAnsi="Times New Roman"/>
          <w:lang w:val="en-US"/>
        </w:rPr>
        <w:t xml:space="preserve"> </w:t>
      </w:r>
      <w:r w:rsidR="00B10E2A" w:rsidRPr="0046474D">
        <w:rPr>
          <w:rFonts w:ascii="Times New Roman" w:eastAsia="MS PGothic" w:hAnsi="Times New Roman"/>
          <w:lang w:val="en-US"/>
        </w:rPr>
        <w:t xml:space="preserve">up </w:t>
      </w:r>
      <w:r w:rsidR="009C7F9C" w:rsidRPr="0046474D">
        <w:rPr>
          <w:rFonts w:ascii="Times New Roman" w:eastAsia="MS PGothic" w:hAnsi="Times New Roman"/>
          <w:lang w:val="en-US"/>
        </w:rPr>
        <w:t>to</w:t>
      </w:r>
      <w:r w:rsidRPr="0046474D">
        <w:rPr>
          <w:rFonts w:ascii="Times New Roman" w:eastAsia="MS PGothic" w:hAnsi="Times New Roman"/>
          <w:lang w:val="en-US"/>
        </w:rPr>
        <w:t xml:space="preserve"> a </w:t>
      </w:r>
      <w:r w:rsidR="00B10E2A" w:rsidRPr="0046474D">
        <w:rPr>
          <w:rFonts w:ascii="Times New Roman" w:eastAsia="MS PGothic" w:hAnsi="Times New Roman"/>
          <w:lang w:val="en-US"/>
        </w:rPr>
        <w:t>c</w:t>
      </w:r>
      <w:r w:rsidRPr="0046474D">
        <w:rPr>
          <w:rFonts w:ascii="Times New Roman" w:eastAsia="MS PGothic" w:hAnsi="Times New Roman"/>
          <w:lang w:val="en-US"/>
        </w:rPr>
        <w:t xml:space="preserve">omplete elimination in this century </w:t>
      </w:r>
      <w:r w:rsidRPr="0046474D">
        <w:rPr>
          <w:rFonts w:ascii="Times New Roman" w:eastAsia="MS PGothic" w:hAnsi="Times New Roman"/>
          <w:lang w:val="en-US"/>
        </w:rPr>
        <w:fldChar w:fldCharType="begin" w:fldLock="1"/>
      </w:r>
      <w:r w:rsidR="00FF5FD8">
        <w:rPr>
          <w:rFonts w:ascii="Times New Roman" w:eastAsia="MS PGothic" w:hAnsi="Times New Roman"/>
          <w:lang w:val="en-US"/>
        </w:rPr>
        <w:instrText>ADDIN CSL_CITATION {"citationItems":[{"id":"ITEM-1","itemData":{"URL":"https://www.imo.org/en/MediaCentre/PressBriefings/pages/DecadeOfGHGAction.aspx","accessed":{"date-parts":[["2022","2","1"]]},"id":"ITEM-1","issued":{"date-parts":[["0"]]},"title":"Cutting GHG emissions from shipping - 10 years of mandatory rules","type":"webpage"},"uris":["http://www.mendeley.com/documents/?uuid=18c943fc-7719-3985-9af7-c87dcb2c8aa2"]},{"id":"ITEM-2","itemData":{"ISBN":"9781608760879","abstract":"This report provides information regarding pollution from ships and port facilities; discusses some of the measures being implemented and considered by local, state, and federal regulatory agencies; discusses the efforts to ratify and to strengthen Annex VI of the International Convention for the Prevention of Pollution from Ships (MARPOL); and describes legislation in Congress to control emissions from ships by amending the Clean Air Act (CAA). As pollution from cars, trucks, and land-based stationary sources has been more tightly controlled over the last 40 years, the contribution of ships and port operations to air pollution in port cities has become more important. In the same period, foreign trade has grown dramatically; thus, pollution from shipping and port operations would be growing as a percentage of total emissions, even if the emissions were regulated to the same degree as other sectors. In many cities, ships are now among the largest sources of air pollution. As Congress and the new Administration turn their attention to climate change, there is also a growing recognition that marine vessels are an important source of greenhouse gas (GHG) emissions. Controlling these sources of both conventional and greenhouse gas pollutants is complicated by the fact that most ocean-going ships are not registered in the United States and may not even purchase the fuel they are using here. Thus, controlling such pollution would seem to lend itself to an international approach. To date, such efforts have been of little avail. In 1997, the United States and most countries signed an international agreement known as MARPOL Annex VI, setting extremely modest controls on air pollution from ships. The agreement did not enter into force until 2005, and the United States took until July 21, 2008, to enact legislation to implement it (P.L. 110-280). Negotiations to strengthen Annex VI accelerated in 2008, however, and discussions regarding GHG emissions have also begun. While awaiting congressional action and international agreement, the Environmental Protection Agency (EPA), port cities, and states have begun to act on their own. In the 110th Congress, legislation was introduced (S. 1499 / H.R. 2548) to require EPA to dramatically strengthen ship emission standards under the Clean Air Act. S. 1499 was reported, but no further action was taken.","author":[{"dropping-particle":"","family":"McCarthy","given":"James E.","non-dropping-particle":"","parse-names":false,"suffix":""}],"container-title":"Air Pollution and Ship Emissions","id":"ITEM-2","issued":{"date-parts":[["2010"]]},"title":"Air pollution and greenhouse gas emissions from ships","type":"chapter"},"uris":["http://www.mendeley.com/documents/?uuid=c1855ea5-4713-4944-9b19-89547cc30609"]}],"mendeley":{"formattedCitation":"[1], [2]","plainTextFormattedCitation":"[1], [2]","previouslyFormattedCitation":"[1], [2]"},"properties":{"noteIndex":0},"schema":"https://github.com/citation-style-language/schema/raw/master/csl-citation.json"}</w:instrText>
      </w:r>
      <w:r w:rsidRPr="0046474D">
        <w:rPr>
          <w:rFonts w:ascii="Times New Roman" w:eastAsia="MS PGothic" w:hAnsi="Times New Roman"/>
          <w:lang w:val="en-US"/>
        </w:rPr>
        <w:fldChar w:fldCharType="separate"/>
      </w:r>
      <w:r w:rsidR="00FF5FD8" w:rsidRPr="00FF5FD8">
        <w:rPr>
          <w:rFonts w:ascii="Times New Roman" w:eastAsia="MS PGothic" w:hAnsi="Times New Roman"/>
          <w:noProof/>
          <w:lang w:val="en-US"/>
        </w:rPr>
        <w:t>[1</w:t>
      </w:r>
      <w:r w:rsidR="006A25D2">
        <w:rPr>
          <w:rFonts w:ascii="Times New Roman" w:eastAsia="MS PGothic" w:hAnsi="Times New Roman"/>
          <w:noProof/>
          <w:lang w:val="en-US"/>
        </w:rPr>
        <w:t xml:space="preserve"> </w:t>
      </w:r>
      <w:r w:rsidR="00C024C8">
        <w:rPr>
          <w:rFonts w:ascii="Times New Roman" w:eastAsia="MS PGothic" w:hAnsi="Times New Roman"/>
          <w:noProof/>
          <w:lang w:val="en-US"/>
        </w:rPr>
        <w:t>-</w:t>
      </w:r>
      <w:r w:rsidR="006A25D2">
        <w:rPr>
          <w:rFonts w:ascii="Times New Roman" w:eastAsia="MS PGothic" w:hAnsi="Times New Roman"/>
          <w:noProof/>
          <w:lang w:val="en-US"/>
        </w:rPr>
        <w:t xml:space="preserve"> </w:t>
      </w:r>
      <w:r w:rsidR="00FF5FD8" w:rsidRPr="00FF5FD8">
        <w:rPr>
          <w:rFonts w:ascii="Times New Roman" w:eastAsia="MS PGothic" w:hAnsi="Times New Roman"/>
          <w:noProof/>
          <w:lang w:val="en-US"/>
        </w:rPr>
        <w:t>2]</w:t>
      </w:r>
      <w:r w:rsidRPr="0046474D">
        <w:rPr>
          <w:rFonts w:ascii="Times New Roman" w:eastAsia="MS PGothic" w:hAnsi="Times New Roman"/>
          <w:lang w:val="en-US"/>
        </w:rPr>
        <w:fldChar w:fldCharType="end"/>
      </w:r>
      <w:r w:rsidRPr="0046474D">
        <w:rPr>
          <w:rFonts w:ascii="Times New Roman" w:eastAsia="MS PGothic" w:hAnsi="Times New Roman"/>
          <w:lang w:val="en-US"/>
        </w:rPr>
        <w:t>.</w:t>
      </w:r>
    </w:p>
    <w:p w14:paraId="453E50E2" w14:textId="524C3B22" w:rsidR="001114A3" w:rsidRPr="0046474D" w:rsidRDefault="003F7140"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Several</w:t>
      </w:r>
      <w:r w:rsidR="001114A3" w:rsidRPr="0046474D">
        <w:rPr>
          <w:rFonts w:ascii="Times New Roman" w:eastAsia="MS PGothic" w:hAnsi="Times New Roman"/>
          <w:lang w:val="en-US"/>
        </w:rPr>
        <w:t xml:space="preserve"> climate-friendly alternatives are being considered to reach that goal, these include both power energy technologies, such as fuel cells and batteries, and innovative fuels, </w:t>
      </w:r>
      <w:r w:rsidR="004F245A" w:rsidRPr="0046474D">
        <w:rPr>
          <w:rFonts w:ascii="Times New Roman" w:eastAsia="MS PGothic" w:hAnsi="Times New Roman"/>
          <w:lang w:val="en-US"/>
        </w:rPr>
        <w:t xml:space="preserve">like </w:t>
      </w:r>
      <w:r w:rsidR="001114A3" w:rsidRPr="0046474D">
        <w:rPr>
          <w:rFonts w:ascii="Times New Roman" w:eastAsia="MS PGothic" w:hAnsi="Times New Roman"/>
          <w:lang w:val="en-US"/>
        </w:rPr>
        <w:t xml:space="preserve">hydrogen and methanol </w:t>
      </w:r>
      <w:r w:rsidR="001114A3" w:rsidRPr="0046474D">
        <w:rPr>
          <w:rFonts w:ascii="Times New Roman" w:eastAsia="MS PGothic" w:hAnsi="Times New Roman"/>
          <w:lang w:val="en-US"/>
        </w:rPr>
        <w:fldChar w:fldCharType="begin" w:fldLock="1"/>
      </w:r>
      <w:r w:rsidR="003F121C">
        <w:rPr>
          <w:rFonts w:ascii="Times New Roman" w:eastAsia="MS PGothic" w:hAnsi="Times New Roman"/>
          <w:lang w:val="en-US"/>
        </w:rPr>
        <w:instrText>ADDIN CSL_CITATION {"citationItems":[{"id":"ITEM-1","itemData":{"ISSN":"2019-0567","author":[{"dropping-particle":"","family":"Anders","given":"Jon","non-dropping-particle":"","parse-names":false,"suffix":""}],"id":"ITEM-1","issued":{"date-parts":[["2019"]]},"title":"Comparison of Alternative Marine Fuels SEA\\LNG Ltd","type":"article-journal"},"uris":["http://www.mendeley.com/documents/?uuid=78629838-9f46-39a1-af66-15821ee53786"]},{"id":"ITEM-2","itemData":{"abstract":"Maritime Institute (SMI) and Nanyang Technological University (NTU). As the first maritime research centre supported by SMI, MESD is set up to deepen Singapore's maritime R&amp;D capability and Maritime Singapore's position as a global maritime knowledge and innovation hub to support Singapore's strategic maritime needs. With the focus on future port and shipping applications, MESD CoE aims to develop innovative and sustainable solutions by working closely with all the key stakeholders within the maritime cluster. the availability of methanol from a global perspective; the provisions provided by marine authorities; and the experience from early adopters/pilots using methanol fuel for marine vessels. Methanol has drawn much attention as a marine fuel due to its potential in GHG emission reduction, ease of handling, operational safety and engine compatibility. Methanol production from fossil feedstock (natural gas and coal) has reached a global scale that makes it a chemical commodity with established storage and distribution infrastructure. Used as fuel, methanol produced from fossil feedstock emits more life cycle GHG than direct burning of fossil fuel. It is, therefore, necessary to use low carbon feedstock such as biomass and renewable energies. Using global exergy flow as the basis, the authors identify several potential pathways, which are dependent on energy from solar PV, wind, and biomass. Furthermore, a hypothetical analysis of plant productivity reveals that plant biomass has enough potential to meet the entire marine energy demand in the next few decades. In Southeast Asia where biomass feedstock is abundant, a methanol pathway from this feedstock can be more favourable. The study also highlights that future unlimited methanol production relies on direct carbon capture from the air, with hydrogen generated from wind energy or solar PV. However, this technology has a high production cost and capital investment. The study identifies bunker tankers as an early adopter using methanol powered system on board, taking into consideration of several regulatory provisions, which include IGF code, CCC (Carriage of Cargoes and Containers) guidelines, and references from chemical cargo handling guidelines. The recommendation is also based on case studies of the two pioneering installations: Green Pilot and Stena Germanica. The study also presents a general observation on methanol engine retrofit. Several concepts have been implemented, such as changing ignitio…","author":[{"dropping-particle":"","family":"Ming Main Author","given":"Liu","non-dropping-particle":"","parse-names":false,"suffix":""},{"dropping-particle":"","family":"Ming","given":"Liu","non-dropping-particle":"","parse-names":false,"suffix":""},{"dropping-particle":"","family":"Chen","given":"Li","non-dropping-particle":"","parse-names":false,"suffix":""},{"dropping-particle":"","family":"Siu Lee Jasmine Sze Jia Yin Koh Eng Kiong Yang Mengyao Gou Xueni","given":"Lam","non-dropping-particle":"","parse-names":false,"suffix":""}],"id":"ITEM-2","issued":{"date-parts":[["2020"]]},"title":"Methanol as a Marine Fuel-Availability and Sea Trial Considerations Alternative Fuels for International Shipping A Study on the Future Energy Options of Singapore Harbour Craft Electrification of Singapore Harbour Craft-Shore and Vessel Power System Considerations Executive Summary","type":"article-journal"},"uris":["http://www.mendeley.com/documents/?uuid=6dcded04-e14e-38b5-954c-d04c03e974aa"]},{"id":"ITEM-3","itemData":{"DOI":"10.1016/j.trd.2017.03.022","ISSN":"13619209","abstract":"CO2 emissions from maritime transport represent around 3% of total annual anthropogenic greenhouse gas (GHG) emissions. These emissions are assumed to increase by 150–250% in 2050 in business-as-usual scenarios with a tripling of world trade, while achieving a 1.5–2 °C climate target requires net zero GHG emissions across all economic sectors. Consequentially, the maritime sector is facing the challenge to significantly reduce its GHG emissions as contribution to the international ambition to limit the effects of climate change. This article presents the results of a review of around 150 studies, to provide a comprehensive overview of the CO2 emissions reduction potentials and measures published in literature. It aims to identify the most promising areas, i.e. technologies and operational practices, and quantify the combined mitigation potential. Results show a significant variation in reported CO2 reduction potentials across reviewed studies. In addition, no single measure is sufficient to achieve meaningful GHG reductions. Emissions can be reduced by more than 75%, based on current technologies and by 2050, through a combination of measures if policies and regulations are focused on achieving these reductions. In terms of emissions per freight unit transported, it is possible to reduce emissions by a factor of 4–6.","author":[{"dropping-particle":"","family":"Bouman","given":"Evert A.","non-dropping-particle":"","parse-names":false,"suffix":""},{"dropping-particle":"","family":"Lindstad","given":"Elizabeth","non-dropping-particle":"","parse-names":false,"suffix":""},{"dropping-particle":"","family":"Rialland","given":"Agathe I.","non-dropping-particle":"","parse-names":false,"suffix":""},{"dropping-particle":"","family":"Strømman","given":"Anders H.","non-dropping-particle":"","parse-names":false,"suffix":""}],"container-title":"Transportation Research Part D: Transport and Environment","id":"ITEM-3","issued":{"date-parts":[["2017"]]},"title":"State-of-the-art technologies, measures, and potential for reducing GHG emissions from shipping – A review","type":"article-journal"},"uris":["http://www.mendeley.com/documents/?uuid=828362a9-59da-4fb4-949f-1cf30315721f"]}],"mendeley":{"formattedCitation":"[3]–[5]","plainTextFormattedCitation":"[3]–[5]","previouslyFormattedCitation":"[3]–[5]"},"properties":{"noteIndex":0},"schema":"https://github.com/citation-style-language/schema/raw/master/csl-citation.json"}</w:instrText>
      </w:r>
      <w:r w:rsidR="001114A3" w:rsidRPr="0046474D">
        <w:rPr>
          <w:rFonts w:ascii="Times New Roman" w:eastAsia="MS PGothic" w:hAnsi="Times New Roman"/>
          <w:lang w:val="en-US"/>
        </w:rPr>
        <w:fldChar w:fldCharType="separate"/>
      </w:r>
      <w:r w:rsidR="003F121C" w:rsidRPr="003F121C">
        <w:rPr>
          <w:rFonts w:ascii="Times New Roman" w:eastAsia="MS PGothic" w:hAnsi="Times New Roman"/>
          <w:noProof/>
          <w:lang w:val="en-US"/>
        </w:rPr>
        <w:t>[3</w:t>
      </w:r>
      <w:r w:rsidR="006A25D2">
        <w:rPr>
          <w:rFonts w:ascii="Times New Roman" w:eastAsia="MS PGothic" w:hAnsi="Times New Roman"/>
          <w:noProof/>
          <w:lang w:val="en-US"/>
        </w:rPr>
        <w:t xml:space="preserve"> - </w:t>
      </w:r>
      <w:r w:rsidR="003F121C" w:rsidRPr="003F121C">
        <w:rPr>
          <w:rFonts w:ascii="Times New Roman" w:eastAsia="MS PGothic" w:hAnsi="Times New Roman"/>
          <w:noProof/>
          <w:lang w:val="en-US"/>
        </w:rPr>
        <w:t>5]</w:t>
      </w:r>
      <w:r w:rsidR="001114A3" w:rsidRPr="0046474D">
        <w:rPr>
          <w:rFonts w:ascii="Times New Roman" w:eastAsia="MS PGothic" w:hAnsi="Times New Roman"/>
          <w:lang w:val="en-US"/>
        </w:rPr>
        <w:fldChar w:fldCharType="end"/>
      </w:r>
      <w:r w:rsidR="001114A3" w:rsidRPr="0046474D">
        <w:rPr>
          <w:rFonts w:ascii="Times New Roman" w:eastAsia="MS PGothic" w:hAnsi="Times New Roman"/>
          <w:lang w:val="en-US"/>
        </w:rPr>
        <w:t xml:space="preserve">. Ammonia has recently attracted wide interest as fuel for shipping </w:t>
      </w:r>
      <w:r w:rsidR="001114A3"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{"citationItems":[{"id":"ITEM-1","itemData":{"DOI":"10.3390/SU12083265","ISSN":"20711050","abstract":"To reduce the climate impact of shipping, the introduction of alternative fuels is required. There is a range of different marine fuel options but ammonia, a potential zero carbon fuel, has recently received a lot of attention. The purpose of this paper is to assess the prospects for ammonia as a future fuel for the shipping sector in relation to other marine fuels. The assessment is based on a synthesis of knowledge in combination with: (i) energy systems modeling including the cost-effectiveness of ammonia as marine fuel in relation to other fuels for reaching global climate targets; and (ii) a multi-criteria decision analysis (MCDA) approach ranking marine fuel options while considering estimated fuel performance and the importance of criteria based on maritime stakeholder preferences. In the long-term and to reach global GHG reduction, the energy systems modeled indicate that the use of hydrogen represents a more cost-effective marine fuel option than ammonia. However, in the MCDA covering more aspects, we find that ammonia may be almost as interesting for shipping related stakeholders as hydrogen and various biomass-based fuels. Ammonia may to some extent be an interesting future marine fuel option, but many issues remain to be solved before large-scale introduction.","author":[{"dropping-particle":"","family":"Hansson","given":"Julia","non-dropping-particle":"","parse-names":false,"suffix":""},{"dropping-particle":"","family":"Brynolf","given":"Selma","non-dropping-particle":"","parse-names":false,"suffix":""},{"dropping-particle":"","family":"Fridell","given":"Erik","non-dropping-particle":"","parse-names":false,"suffix":""},{"dropping-particle":"","family":"Lehtveer","given":"Mariliis","non-dropping-particle":"","parse-names":false,"suffix":""}],"container-title":"Sustainability (Switzerland)","id":"ITEM-1","issue":"8","issued":{"date-parts":[["2020","4","1"]]},"publisher":"MDPI","title":"The potential role of ammonia as marine fuel-based on energy systems modeling and multi-criteria decision analysis","type":"article-journal","volume":"12"},"uris":["http://www.mendeley.com/documents/?uuid=3fcbc72b-4a21-3ff9-a92b-374f755472c5"]},{"id":"ITEM-2","itemData":{"DOI":"10.3390/JMSE8030183","ISSN":"20771312","abstract":"The shipping industry is becoming increasingly aware of its environmental responsibilities in the long-term. In 2018, the International Maritime Organization (IMO) pledged to reduce greenhouse gas (GHG) emissions by at least 50% by the year 2050 as compared with a baseline value from 2008. Ammonia has been regarded as one of the potential carbon-free fuels for ships based on these environmental issues. In this paper, we propose four propulsion systems for a 2500 Twenty-foot Equivalent Unit (TEU) container feeder ship. All of the proposed systems are fueled by ammonia; however, different power systems are used: main engine, generators, polymer electrolyte membrane fuel cell (PEMFC), and solid oxide fuel cell (SOFC). Further, these systems are compared to the conventional main engine propulsion system that is fueled by heavy fuel oil, with a focus on the economic and environmental perspectives. By comparing the conventional and proposed systems, it is shown that ammonia can be a carbon-free fuel for ships. Moreover, among the proposed systems, the SOFC power system is the most eco-friendly alternative (up to 92.1%), even though it requires a high lifecycle cost than the others. Although this study has some limitations and assumptions, the results indicate a meaningful approach toward solving GHG problems in the maritime industry.","author":[{"dropping-particle":"","family":"Kim","given":"Kyunghwa","non-dropping-particle":"","parse-names":false,"suffix":""},{"dropping-particle":"","family":"Roh","given":"Gilltae","non-dropping-particle":"","parse-names":false,"suffix":""},{"dropping-particle":"","family":"Kim","given":"Wook","non-dropping-particle":"","parse-names":false,"suffix":""},{"dropping-particle":"","family":"Chun","given":"Kangwoo","non-dropping-particle":"","parse-names":false,"suffix":""}],"container-title":"Journal of Marine Science and Engineering 2020, Vol. 8, Page 183","id":"ITEM-2","issue":"3","issued":{"date-parts":[["2020","3","7"]]},"page":"183","publisher":"Multidisciplinary Digital Publishing Institute","title":"A Preliminary Study on an Alternative Ship Propulsion System Fueled by Ammonia: Environmental and Economic Assessments","type":"article-journal","volume":"8"},"uris":["http://www.mendeley.com/documents/?uuid=dace5f95-024e-3a89-a50e-c65f72ce7b8e"]}],"mendeley":{"formattedCitation":"[6], [7]","plainTextFormattedCitation":"[6], [7]","previouslyFormattedCitation":"[6]–[8]"},"properties":{"noteIndex":0},"schema":"https://github.com/citation-style-language/schema/raw/master/csl-citation.json"}</w:instrText>
      </w:r>
      <w:r w:rsidR="001114A3"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[6</w:t>
      </w:r>
      <w:r w:rsidR="006A25D2">
        <w:rPr>
          <w:rFonts w:ascii="Times New Roman" w:eastAsia="MS PGothic" w:hAnsi="Times New Roman"/>
          <w:noProof/>
          <w:lang w:val="en-US"/>
        </w:rPr>
        <w:t xml:space="preserve"> - </w:t>
      </w:r>
      <w:r w:rsidR="00621A79" w:rsidRPr="00621A79">
        <w:rPr>
          <w:rFonts w:ascii="Times New Roman" w:eastAsia="MS PGothic" w:hAnsi="Times New Roman"/>
          <w:noProof/>
          <w:lang w:val="en-US"/>
        </w:rPr>
        <w:t>7]</w:t>
      </w:r>
      <w:r w:rsidR="001114A3" w:rsidRPr="0046474D">
        <w:rPr>
          <w:rFonts w:ascii="Times New Roman" w:eastAsia="MS PGothic" w:hAnsi="Times New Roman"/>
          <w:lang w:val="en-US"/>
        </w:rPr>
        <w:fldChar w:fldCharType="end"/>
      </w:r>
      <w:r w:rsidR="001114A3" w:rsidRPr="0046474D">
        <w:rPr>
          <w:rFonts w:ascii="Times New Roman" w:eastAsia="MS PGothic" w:hAnsi="Times New Roman"/>
          <w:lang w:val="en-US"/>
        </w:rPr>
        <w:t xml:space="preserve">. </w:t>
      </w:r>
    </w:p>
    <w:p w14:paraId="7ABD49CC" w14:textId="57440FBF" w:rsidR="001114A3" w:rsidRPr="00FF5FD8" w:rsidRDefault="001114A3" w:rsidP="00FF5FD8">
      <w:pPr>
        <w:suppressAutoHyphens/>
        <w:spacing w:after="0"/>
        <w:rPr>
          <w:rFonts w:ascii="Times New Roman" w:eastAsia="MS PGothic" w:hAnsi="Times New Roman"/>
        </w:rPr>
      </w:pPr>
      <w:r w:rsidRPr="0046474D">
        <w:rPr>
          <w:rFonts w:ascii="Times New Roman" w:eastAsia="MS PGothic" w:hAnsi="Times New Roman"/>
          <w:lang w:val="en-US"/>
        </w:rPr>
        <w:t xml:space="preserve">Nowadays, ammonia is primarily used to produce fertilizers and other chemicals rather than for energetic </w:t>
      </w:r>
      <w:r w:rsidR="003F7140" w:rsidRPr="0046474D">
        <w:rPr>
          <w:rFonts w:ascii="Times New Roman" w:eastAsia="MS PGothic" w:hAnsi="Times New Roman"/>
          <w:lang w:val="en-US"/>
        </w:rPr>
        <w:t>purposes</w:t>
      </w:r>
      <w:r w:rsidRPr="0046474D">
        <w:rPr>
          <w:rFonts w:ascii="Times New Roman" w:eastAsia="MS PGothic" w:hAnsi="Times New Roman"/>
          <w:lang w:val="en-US"/>
        </w:rPr>
        <w:t>. Nevertheless, in the future</w:t>
      </w:r>
      <w:r w:rsidR="003F7140" w:rsidRPr="0046474D">
        <w:rPr>
          <w:rFonts w:ascii="Times New Roman" w:eastAsia="MS PGothic" w:hAnsi="Times New Roman"/>
          <w:lang w:val="en-US"/>
        </w:rPr>
        <w:t>,</w:t>
      </w:r>
      <w:r w:rsidRPr="0046474D">
        <w:rPr>
          <w:rFonts w:ascii="Times New Roman" w:eastAsia="MS PGothic" w:hAnsi="Times New Roman"/>
          <w:lang w:val="en-US"/>
        </w:rPr>
        <w:t xml:space="preserve"> there is potential for climate-friendlier production processes. Green ammonia can be synthesized by using green hydrogen coming from renewable or non-carbon sources, </w:t>
      </w:r>
      <w:r w:rsidR="00871434" w:rsidRPr="0046474D">
        <w:rPr>
          <w:rFonts w:ascii="Times New Roman" w:eastAsia="MS PGothic" w:hAnsi="Times New Roman"/>
          <w:lang w:val="en-US"/>
        </w:rPr>
        <w:t>like</w:t>
      </w:r>
      <w:r w:rsidRPr="0046474D">
        <w:rPr>
          <w:rFonts w:ascii="Times New Roman" w:eastAsia="MS PGothic" w:hAnsi="Times New Roman"/>
          <w:lang w:val="en-US"/>
        </w:rPr>
        <w:t xml:space="preserve"> wind or solar energy, and the so-called blue ammonia can be produced reducing the emission footprint of the production</w:t>
      </w:r>
      <w:r w:rsidR="00A8370E" w:rsidRPr="0046474D">
        <w:rPr>
          <w:rFonts w:ascii="Times New Roman" w:eastAsia="MS PGothic" w:hAnsi="Times New Roman"/>
          <w:lang w:val="en-US"/>
        </w:rPr>
        <w:t xml:space="preserve"> </w:t>
      </w:r>
      <w:r w:rsidRPr="0046474D">
        <w:rPr>
          <w:rFonts w:ascii="Times New Roman" w:eastAsia="MS PGothic" w:hAnsi="Times New Roman"/>
          <w:lang w:val="en-US"/>
        </w:rPr>
        <w:t xml:space="preserve">using carbon capture technologies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{"citationItems":[{"id":"ITEM-1","itemData":{"DOI":"10.1016/j.joule.2020.04.004","ISSN":"25424351","abstract":"Ammonia is increasingly recognized as an important, sustainable fuel for global use in the future. Applications of ammonia in heavy transport, power generation, and distributed energy storage are being actively developed. Produced at scale, ammonia could replace a substantial fraction of current-day liquid fuel consumption. This ammonia-based economy will emerge through multiple generations of technology development and scale-up. The pathways forward in regard to current-day technology (generation 1) and immediate future approaches (generation 2) that rely on Haber-Bosch process are discussed. Generation 3 technology breaks this nexus with the Haber-Bosch process and enables direct reduction of dinitrogen to ammonia electrochemically. However, the roadmap toward scale in this technology has become obscured by recent research missteps. Nevertheless, alternative generation 3 approaches are becoming viable. We conclude with perspectives on the broader scale sustainability of an ammonia economy and the need for further understanding of the planetary nitrogen cycles of which ammonia is an important part. It is increasingly clear that there is massive global potential to generate renewable energy at costs already competitive with fossil fuels. However, a means of storing and transporting this energy at a very large scale is a roadblock to further development and investment. Ammonia produced from renewables is widely seen as viable liquid fuel replacement for many current-day uses of fossil fuels, including as a shipping bunker fuel, as a diesel substitute in transportation, as a replacement fuel in power turbines, and even as a potential jet fuel. The global transportation of ammonia by pipeline and bulk carrier is already a well-developed technology. In this roadmap, we envisage renewable ammonia being produced in the future at a scale that is significant in terms of global fossil fuel use. This will emerge via three overlapping technology generations. Generation 1 is based on an expansion of current-day Haber-Bosch ammonia production using CO2 sequestration or offsets. Generation 2 moves the Haber-Bosch process to renewable sources of hydrogen, while generation 3 avoids the need for the Haber-Bosch process entirely by direct electrochemical conversion of N2 to NH3. One of the attractive features of generation 3 technology is that it can be implemented at any level of scale, from kW to GW, and in a highly distributed fashion. Ammonia produced sustainably and…","author":[{"dropping-particle":"","family":"MacFarlane","given":"Douglas R.","non-dropping-particle":"","parse-names":false,"suffix":""},{"dropping-particle":"V.","family":"Cherepanov","given":"Pavel","non-dropping-particle":"","parse-names":false,"suffix":""},{"dropping-particle":"","family":"Choi","given":"Jaecheol","non-dropping-particle":"","parse-names":false,"suffix":""},{"dropping-particle":"","family":"Suryanto","given":"Bryan H.R.","non-dropping-particle":"","parse-names":false,"suffix":""},{"dropping-particle":"","family":"Hodgetts","given":"Rebecca Y.","non-dropping-particle":"","parse-names":false,"suffix":""},{"dropping-particle":"","family":"Bakker","given":"Jacinta M.","non-dropping-particle":"","parse-names":false,"suffix":""},{"dropping-particle":"","family":"Ferrero Vallana","given":"Federico M.","non-dropping-particle":"","parse-names":false,"suffix":""},{"dropping-particle":"","family":"Simonov","given":"Alexandr N.","non-dropping-particle":"","parse-names":false,"suffix":""}],"container-title":"Joule","id":"ITEM-1","issue":"6","issued":{"date-parts":[["2020","6","17"]]},"page":"1186-1205","publisher":"Cell Press","title":"A Roadmap to the Ammonia Economy","type":"article-journal","volume":"4"},"uris":["http://www.mendeley.com/documents/?uuid=aa4234f1-6265-3352-b2fd-ecf44d60ac87"]},{"id":"ITEM-2","itemData":{"DOI":"10.1016/B978-0-12-820560-0.00009-6","ISBN":"978-0-12-820560-0","abstract":"Ammonia as an energy vector is an active topic in research, development and early commercial ventures across various sectors. In the power sector, ammonia is particularly relevant for long-term storage and energy import to achieve long-term, net-zero emission targets. Ammonia-derived electricity is being researched in gas turbines and steam turbines (coal co-firing) at power plant scale, and alkaline fuel cells fed with ammonia are being commercialized at smaller scales for off-grid power. In the mid to long term, the direct firing of ammonia in gas turbines seems to offer the lowest cost of electricity from ammonia in the power sector. In transport, ammonia has gained attention as the leading fuel for decarbonizing the maritime sector and shows commercial potential as a hydrogen carrier for refueling proton exchange membrane fuel cell vehicles. As a hydrogen carrier, the increased cost of ammonia cracking and purification must be offset by the reduced cost of storage, transport and other logistics costs compared to hydrogen. Finally, in industry, there are large demands for high-temperature heat that require combustible fuels, such as ammonia. The economic competitiveness of ammonia in providing industrial heat depends on the availability and cost of alternative fuels at the industrial user, including biomass and low-carbon hydrogen, as well as carbon capture and storage at the industrial site. Overall, ammonia is likely to be a competitive energy vector provided economic incentives (such as carbon prices) and a continual reduction in production cost. In looking towards a net-zero future, ammonia may have abundant applications for energy purposes, as there are few alternatives with the same scalability and economic competitiveness.","author":[{"dropping-particle":"","family":"Cesaro","given":"Z.","non-dropping-particle":"","parse-names":false,"suffix":""},{"dropping-particle":"","family":"Thatcher","given":"J.","non-dropping-particle":"","parse-names":false,"suffix":""},{"dropping-particle":"","family":"Bañares-Alcántara","given":"R.","non-dropping-particle":"","parse-names":false,"suffix":""}],"container-title":"Techno-Economic Challenges of Green Ammonia as an Energy Vector","id":"ITEM-2","issued":{"date-parts":[["2021","1","1"]]},"page":"209-219","publisher":"Academic Press","title":"Techno-Economic Aspects of the Use of Ammonia as Energy Vector","type":"article-journal"},"uris":["http://www.mendeley.com/documents/?uuid=dfe9989b-d9dc-391f-9884-5d3815b04f79"]},{"id":"ITEM-3","itemData":{"DOI":"10.3389/FENRG.2021.580808/FULL","ISSN":"2296598X","abstract":"Due to the important role of ammonia as a fertilizer in the agricultural industry and its promising prospects as an energy carrier, many studies have recently attempted to find the most environmentally benign, energy efficient, and economically viable production process for ammonia synthesis. The most commonly utilized ammonia production method is the Haber-Bosch process. The downside to this technology is the high greenhouse gas emissions, surpassing 2.16 kgCO2-eq/kg NH3 and high amounts of energy usage of over 30 GJ/tonne NH3 mainly due to the strict operational conditions at high temperature and pressure. The most widely adopted technology for sustainable hydrogen production used for ammonia synthesis is water electrolysis coupled with renewable technologies such as wind and solar. In general, a water electrolyzer requires a continuous supply of pretreated water with high purity levels for its operation. Moreover, for production of 1 tonne of hydrogen, 9 tonnes of water is required. Based on this data, for the production of the same amount of ammonia through water electrolysis, 233.6 million tonnes/yr of water is required. In this paper, a critical review of different sustainable hydrogen production processes and emerging technologies for sustainable ammonia synthesis along with a comparative life cycle assessment of various ammonia production methods has been carried out. We find that through the review of each of the studied technologies, either large amounts of GHG emissions are produced or high volumes of pretreated water is required or a combination of both these factors occur.","author":[{"dropping-particle":"","family":"Ghavam","given":"Seyedehhoma","non-dropping-particle":"","parse-names":false,"suffix":""},{"dropping-particle":"","family":"Vahdati","given":"Maria","non-dropping-particle":"","parse-names":false,"suffix":""},{"dropping-particle":"","family":"Wilson","given":"I. A.Grant","non-dropping-particle":"","parse-names":false,"suffix":""},{"dropping-particle":"","family":"Styring","given":"Peter","non-dropping-particle":"","parse-names":false,"suffix":""}],"container-title":"Frontiers in Energy Research","id":"ITEM-3","issued":{"date-parts":[["2021","3","29"]]},"publisher":"Frontiers Media S.A.","title":"Sustainable Ammonia Production Processes","type":"article-journal","volume":"9"},"uris":["http://www.mendeley.com/documents/?uuid=5fea94f9-9428-32ac-8522-f240b565a258"]}],"mendeley":{"formattedCitation":"[8]–[10]","plainTextFormattedCitation":"[8]–[10]","previouslyFormattedCitation":"[9]–[11]"},"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rPr>
        <w:t>[8</w:t>
      </w:r>
      <w:r w:rsidR="00C83CFC">
        <w:rPr>
          <w:rFonts w:ascii="Times New Roman" w:eastAsia="MS PGothic" w:hAnsi="Times New Roman"/>
          <w:noProof/>
        </w:rPr>
        <w:t xml:space="preserve"> - </w:t>
      </w:r>
      <w:r w:rsidR="00621A79" w:rsidRPr="00621A79">
        <w:rPr>
          <w:rFonts w:ascii="Times New Roman" w:eastAsia="MS PGothic" w:hAnsi="Times New Roman"/>
          <w:noProof/>
        </w:rPr>
        <w:t>10]</w:t>
      </w:r>
      <w:r w:rsidRPr="0046474D">
        <w:rPr>
          <w:rFonts w:ascii="Times New Roman" w:eastAsia="MS PGothic" w:hAnsi="Times New Roman"/>
          <w:lang w:val="en-US"/>
        </w:rPr>
        <w:fldChar w:fldCharType="end"/>
      </w:r>
      <w:r w:rsidRPr="00FF5FD8">
        <w:rPr>
          <w:rFonts w:ascii="Times New Roman" w:eastAsia="MS PGothic" w:hAnsi="Times New Roman"/>
        </w:rPr>
        <w:t>.</w:t>
      </w:r>
    </w:p>
    <w:p w14:paraId="4AC4FE36" w14:textId="27007EB6" w:rsidR="001114A3"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 xml:space="preserve">Ammonia certainly has the energy potential for an alternative marine fuel: it's abundant and common, it has an energy density of around 3 kWh/l, it does not have to be stored in high-pressure tanks or cryogenic </w:t>
      </w:r>
      <w:proofErr w:type="spellStart"/>
      <w:r w:rsidRPr="0046474D">
        <w:rPr>
          <w:rFonts w:ascii="Times New Roman" w:eastAsia="MS PGothic" w:hAnsi="Times New Roman"/>
          <w:lang w:val="en-US"/>
        </w:rPr>
        <w:t>dewars</w:t>
      </w:r>
      <w:proofErr w:type="spellEnd"/>
      <w:r w:rsidRPr="0046474D">
        <w:rPr>
          <w:rFonts w:ascii="Times New Roman" w:eastAsia="MS PGothic" w:hAnsi="Times New Roman"/>
          <w:lang w:val="en-US"/>
        </w:rPr>
        <w:t xml:space="preserve"> (unlike hydrogen and GNL)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{"citationItems":[{"id":"ITEM-1","itemData":{"DOI":"10.1016/B978-0-12-820560-0.00005-9","ISBN":"978-0-12-820560-0","abstract":"This chapter deals with the current practices, methods, and facilities used to safely store and distribute ammonia safely. As a commodity, ammonia is stored and posteriorly distributed on a global scale over a great variety of distances. It can be used either directly or as a raw material for downstream applications. The ammonia distribution system consists of sea and land transportation routes to and from large storage terminals and/or smaller storage systems at retailer or end-user locations. Ammonia is typically transported in liquid state and therefore needs to be compressed, cooled, or both. Stress corrosion cracking, which can occur under distribution and operating conditions, is a primary concern when storing and handling ammonia. The phenomenon is discussed in this chapter in relation to its impact on common service metals under operational conditions. Furthermore, different approaches to abate this phenomenon are outlined. Finally, a case study discussing the use of current natural gas lines for ammonia transport is also described, demonstrating some contemporary ideas on future utilization of natural gas lines as carriers of different compounds, including ammonia. These results suggest that although such repurposing is possible, several factors would need to be included and reconsidered to enable this distribution path.","author":[{"dropping-particle":"","family":"Elishav","given":"O.","non-dropping-particle":"","parse-names":false,"suffix":""},{"dropping-particle":"","family":"Mosevitzky Lis","given":"B.","non-dropping-particle":"","parse-names":false,"suffix":""},{"dropping-particle":"","family":"Valera-Medina","given":"A.","non-dropping-particle":"","parse-names":false,"suffix":""},{"dropping-particle":"","family":"Grader","given":"G.S.","non-dropping-particle":"","parse-names":false,"suffix":""}],"container-title":"Techno-Economic Challenges of Green Ammonia as an Energy Vector","id":"ITEM-1","issued":{"date-parts":[["2021","1","1"]]},"page":"85-103","publisher":"Academic Press","title":"Storage and Distribution of Ammonia","type":"article-journal"},"uris":["http://www.mendeley.com/documents/?uuid=8dae12c8-f4ea-3051-b67e-5541d1480d12"]}],"mendeley":{"formattedCitation":"[11]","plainTextFormattedCitation":"[11]","previouslyFormattedCitation":"[12]"},"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[11]</w:t>
      </w:r>
      <w:r w:rsidRPr="0046474D">
        <w:rPr>
          <w:rFonts w:ascii="Times New Roman" w:eastAsia="MS PGothic" w:hAnsi="Times New Roman"/>
          <w:lang w:val="en-US"/>
        </w:rPr>
        <w:fldChar w:fldCharType="end"/>
      </w:r>
      <w:r w:rsidRPr="0046474D">
        <w:rPr>
          <w:rFonts w:ascii="Times New Roman" w:eastAsia="MS PGothic" w:hAnsi="Times New Roman"/>
          <w:lang w:val="en-US"/>
        </w:rPr>
        <w:t>.</w:t>
      </w:r>
    </w:p>
    <w:p w14:paraId="7F1636A1" w14:textId="7F8E30FC" w:rsidR="0065153B"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The most relevant advantage of using ammonia in the marine sectors is that it does not release CO2 and other harmful compounds, such as Sulphur oxides (SO</w:t>
      </w:r>
      <w:r w:rsidRPr="00EB4203">
        <w:rPr>
          <w:rFonts w:ascii="Times New Roman" w:eastAsia="MS PGothic" w:hAnsi="Times New Roman"/>
          <w:vertAlign w:val="subscript"/>
          <w:lang w:val="en-US"/>
        </w:rPr>
        <w:t>X</w:t>
      </w:r>
      <w:r w:rsidRPr="0046474D">
        <w:rPr>
          <w:rFonts w:ascii="Times New Roman" w:eastAsia="MS PGothic" w:hAnsi="Times New Roman"/>
          <w:lang w:val="en-US"/>
        </w:rPr>
        <w:t xml:space="preserve">) and particulate matter (PM), allowing to comply </w:t>
      </w:r>
      <w:r w:rsidR="003F7140" w:rsidRPr="0046474D">
        <w:rPr>
          <w:rFonts w:ascii="Times New Roman" w:eastAsia="MS PGothic" w:hAnsi="Times New Roman"/>
          <w:lang w:val="en-US"/>
        </w:rPr>
        <w:t xml:space="preserve">with </w:t>
      </w:r>
      <w:r w:rsidRPr="0046474D">
        <w:rPr>
          <w:rFonts w:ascii="Times New Roman" w:eastAsia="MS PGothic" w:hAnsi="Times New Roman"/>
          <w:lang w:val="en-US"/>
        </w:rPr>
        <w:t xml:space="preserve">the stringent environmental regulations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{"citationItems":[{"id":"ITEM-1","itemData":{"DOI":"10.3390/SU12083265","ISSN":"20711050","abstract":"To reduce the climate impact of shipping, the introduction of alternative fuels is required. There is a range of different marine fuel options but ammonia, a potential zero carbon fuel, has recently received a lot of attention. The purpose of this paper is to assess the prospects for ammonia as a future fuel for the shipping sector in relation to other marine fuels. The assessment is based on a synthesis of knowledge in combination with: (i) energy systems modeling including the cost-effectiveness of ammonia as marine fuel in relation to other fuels for reaching global climate targets; and (ii) a multi-criteria decision analysis (MCDA) approach ranking marine fuel options while considering estimated fuel performance and the importance of criteria based on maritime stakeholder preferences. In the long-term and to reach global GHG reduction, the energy systems modeled indicate that the use of hydrogen represents a more cost-effective marine fuel option than ammonia. However, in the MCDA covering more aspects, we find that ammonia may be almost as interesting for shipping related stakeholders as hydrogen and various biomass-based fuels. Ammonia may to some extent be an interesting future marine fuel option, but many issues remain to be solved before large-scale introduction.","author":[{"dropping-particle":"","family":"Hansson","given":"Julia","non-dropping-particle":"","parse-names":false,"suffix":""},{"dropping-particle":"","family":"Brynolf","given":"Selma","non-dropping-particle":"","parse-names":false,"suffix":""},{"dropping-particle":"","family":"Fridell","given":"Erik","non-dropping-particle":"","parse-names":false,"suffix":""},{"dropping-particle":"","family":"Lehtveer","given":"Mariliis","non-dropping-particle":"","parse-names":false,"suffix":""}],"container-title":"Sustainability (Switzerland)","id":"ITEM-1","issue":"8","issued":{"date-parts":[["2020","4","1"]]},"publisher":"MDPI","title":"The potential role of ammonia as marine fuel-based on energy systems modeling and multi-criteria decision analysis","type":"article-journal","volume":"12"},"uris":["http://www.mendeley.com/documents/?uuid=3fcbc72b-4a21-3ff9-a92b-374f755472c5"]},{"id":"ITEM-2","itemData":{"DOI":"10.3390/JMSE8030183","ISSN":"20771312","abstract":"The shipping industry is becoming increasingly aware of its environmental responsibilities in the long-term. In 2018, the International Maritime Organization (IMO) pledged to reduce greenhouse gas (GHG) emissions by at least 50% by the year 2050 as compared with a baseline value from 2008. Ammonia has been regarded as one of the potential carbon-free fuels for ships based on these environmental issues. In this paper, we propose four propulsion systems for a 2500 Twenty-foot Equivalent Unit (TEU) container feeder ship. All of the proposed systems are fueled by ammonia; however, different power systems are used: main engine, generators, polymer electrolyte membrane fuel cell (PEMFC), and solid oxide fuel cell (SOFC). Further, these systems are compared to the conventional main engine propulsion system that is fueled by heavy fuel oil, with a focus on the economic and environmental perspectives. By comparing the conventional and proposed systems, it is shown that ammonia can be a carbon-free fuel for ships. Moreover, among the proposed systems, the SOFC power system is the most eco-friendly alternative (up to 92.1%), even though it requires a high lifecycle cost than the others. Although this study has some limitations and assumptions, the results indicate a meaningful approach toward solving GHG problems in the maritime industry.","author":[{"dropping-particle":"","family":"Kim","given":"Kyunghwa","non-dropping-particle":"","parse-names":false,"suffix":""},{"dropping-particle":"","family":"Roh","given":"Gilltae","non-dropping-particle":"","parse-names":false,"suffix":""},{"dropping-particle":"","family":"Kim","given":"Wook","non-dropping-particle":"","parse-names":false,"suffix":""},{"dropping-particle":"","family":"Chun","given":"Kangwoo","non-dropping-particle":"","parse-names":false,"suffix":""}],"container-title":"Journal of Marine Science and Engineering 2020, Vol. 8, Page 183","id":"ITEM-2","issue":"3","issued":{"date-parts":[["2020","3","7"]]},"page":"183","publisher":"Multidisciplinary Digital Publishing Institute","title":"A Preliminary Study on an Alternative Ship Propulsion System Fueled by Ammonia: Environmental and Economic Assessments","type":"article-journal","volume":"8"},"uris":["http://www.mendeley.com/documents/?uuid=dace5f95-024e-3a89-a50e-c65f72ce7b8e"]},{"id":"ITEM-3","itemData":{"DOI":"10.1109/MSPEC.2021.9370109","ISSN":"19399340","abstract":"This colorless fuel emits no carbon dioxide when burned. It's abundant and common, and it can be made using renewable electricity, water, and air. Both fuel cells and internal combustion engines can use it. Unlike hydrogen, it doesn't need to be stored in high-pressure tanks or cryogenic dewars. And it has 10 times the energy density of a lithium-ion battery. For all these reasons, ammonia (NH3) is gaining favor in the global shipping industry, a multitrillion-dollar machine in need of cleaner fuels to power the freighters and tankers that haul manufactured goods and bulk materials across the ocean. Shipping companies seek climate-friendlier alternatives to petroleum that can propel their behemoth vessels for days or weeks at sea and still leave room on board for cargo.","author":[{"dropping-particle":"","family":"Gallucci","given":"Maria","non-dropping-particle":"","parse-names":false,"suffix":""}],"container-title":"IEEE Spectrum","id":"ITEM-3","issue":"3","issued":{"date-parts":[["2021","3","1"]]},"page":"44-50","publisher":"Institute of Electrical and Electronics Engineers Inc.","title":"The ammonia solution: Ammonia engines and fuel cells in cargo ships could slash their carbon emissions","type":"article-journal","volume":"58"},"uris":["http://www.mendeley.com/documents/?uuid=2840ea56-49bd-31a3-9b3c-87f86858f648"]}],"mendeley":{"formattedCitation":"[6], [7], [12]","plainTextFormattedCitation":"[6], [7], [12]","previouslyFormattedCitation":"[6], [8], [13]"},"properties":{"noteIndex":0},"schema":"https://github.com/citation-style-language/schema/raw/master/csl-citation.json"}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[6</w:t>
      </w:r>
      <w:r w:rsidR="00C83CFC">
        <w:rPr>
          <w:rFonts w:ascii="Times New Roman" w:eastAsia="MS PGothic" w:hAnsi="Times New Roman"/>
          <w:noProof/>
          <w:lang w:val="en-US"/>
        </w:rPr>
        <w:t xml:space="preserve"> - </w:t>
      </w:r>
      <w:r w:rsidR="00621A79" w:rsidRPr="00621A79">
        <w:rPr>
          <w:rFonts w:ascii="Times New Roman" w:eastAsia="MS PGothic" w:hAnsi="Times New Roman"/>
          <w:noProof/>
          <w:lang w:val="en-US"/>
        </w:rPr>
        <w:t>7</w:t>
      </w:r>
      <w:r w:rsidR="00C4357D">
        <w:rPr>
          <w:rFonts w:ascii="Times New Roman" w:eastAsia="MS PGothic" w:hAnsi="Times New Roman"/>
          <w:noProof/>
          <w:lang w:val="en-US"/>
        </w:rPr>
        <w:t xml:space="preserve">, </w:t>
      </w:r>
      <w:r w:rsidR="00621A79" w:rsidRPr="00621A79">
        <w:rPr>
          <w:rFonts w:ascii="Times New Roman" w:eastAsia="MS PGothic" w:hAnsi="Times New Roman"/>
          <w:noProof/>
          <w:lang w:val="en-US"/>
        </w:rPr>
        <w:t>12]</w:t>
      </w:r>
      <w:r w:rsidRPr="0046474D">
        <w:rPr>
          <w:rFonts w:ascii="Times New Roman" w:eastAsia="MS PGothic" w:hAnsi="Times New Roman"/>
          <w:lang w:val="en-US"/>
        </w:rPr>
        <w:fldChar w:fldCharType="end"/>
      </w:r>
      <w:r w:rsidRPr="0046474D">
        <w:rPr>
          <w:rFonts w:ascii="Times New Roman" w:eastAsia="MS PGothic" w:hAnsi="Times New Roman"/>
          <w:lang w:val="en-US"/>
        </w:rPr>
        <w:t xml:space="preserve">. </w:t>
      </w:r>
    </w:p>
    <w:p w14:paraId="36CAB17C" w14:textId="70A2CF86" w:rsidR="001114A3"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Ship-owners and industry analysts state that ammonia will play a pivotal role in decarbonizing ships</w:t>
      </w:r>
      <w:r w:rsidR="00EF2307" w:rsidRPr="0046474D">
        <w:rPr>
          <w:rFonts w:ascii="Times New Roman" w:eastAsia="MS PGothic" w:hAnsi="Times New Roman"/>
          <w:lang w:val="en-US"/>
        </w:rPr>
        <w:t xml:space="preserve">, according to a DNV’s report (2019), ammonia could make up 25 % of the maritime fuel mix by 2050, with nearly all newly built ships running on ammonia from 2044 onward </w:t>
      </w:r>
      <w:r w:rsidR="00EF2307"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{"citationItems":[{"id":"ITEM-1","itemData":{"URL":"https://www.dnv.com/Publications/ammonia-as-a-marine-fuel-191385","accessed":{"date-parts":[["2022","2","1"]]},"id":"ITEM-1","issued":{"date-parts":[["0"]]},"title":"Ammonia as a marine fuel DNV","type":"webpage"},"uris":["http://www.mendeley.com/documents/?uuid=45db77ee-2164-3a95-b542-3a68d5f72c3f"]}],"mendeley":{"formattedCitation":"[13]","plainTextFormattedCitation":"[13]","previouslyFormattedCitation":"[14]"},"properties":{"noteIndex":0},"schema":"https://github.com/citation-style-language/schema/raw/master/csl-citation.json"}</w:instrText>
      </w:r>
      <w:r w:rsidR="00EF2307"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[13]</w:t>
      </w:r>
      <w:r w:rsidR="00EF2307" w:rsidRPr="0046474D">
        <w:rPr>
          <w:rFonts w:ascii="Times New Roman" w:eastAsia="MS PGothic" w:hAnsi="Times New Roman"/>
          <w:lang w:val="en-US"/>
        </w:rPr>
        <w:fldChar w:fldCharType="end"/>
      </w:r>
      <w:r w:rsidR="00EF2307" w:rsidRPr="0046474D">
        <w:rPr>
          <w:rFonts w:ascii="Times New Roman" w:eastAsia="MS PGothic" w:hAnsi="Times New Roman"/>
          <w:lang w:val="en-US"/>
        </w:rPr>
        <w:t xml:space="preserve">. </w:t>
      </w:r>
      <w:r w:rsidRPr="0046474D">
        <w:rPr>
          <w:rFonts w:ascii="Times New Roman" w:eastAsia="MS PGothic" w:hAnsi="Times New Roman"/>
          <w:lang w:val="en-US"/>
        </w:rPr>
        <w:t xml:space="preserve">However, the application of ammonia in the marine transportation sector is still at early stages: no vessels of any size today are equipped to use this fuel. Even if they were, the supply chain of green ammonia is almost virtually non-existent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{"citationItems":[{"id":"ITEM-1","itemData":{"DOI":"10.1016/j.joule.2020.04.004","ISSN":"25424351","abstract":"Ammonia is increasingly recognized as an important, sustainable fuel for global use in the future. Applications of ammonia in heavy transport, power generation, and distributed energy storage are being actively developed. Produced at scale, ammonia could replace a substantial fraction of current-day liquid fuel consumption. This ammonia-based economy will emerge through multiple generations of technology development and scale-up. The pathways forward in regard to current-day technology (generation 1) and immediate future approaches (generation 2) that rely on Haber-Bosch process are discussed. Generation 3 technology breaks this nexus with the Haber-Bosch process and enables direct reduction of dinitrogen to ammonia electrochemically. However, the roadmap toward scale in this technology has become obscured by recent research missteps. Nevertheless, alternative generation 3 approaches are becoming viable. We conclude with perspectives on the broader scale sustainability of an ammonia economy and the need for further understanding of the planetary nitrogen cycles of which ammonia is an important part. It is increasingly clear that there is massive global potential to generate renewable energy at costs already competitive with fossil fuels. However, a means of storing and transporting this energy at a very large scale is a roadblock to further development and investment. Ammonia produced from renewables is widely seen as viable liquid fuel replacement for many current-day uses of fossil fuels, including as a shipping bunker fuel, as a diesel substitute in transportation, as a replacement fuel in power turbines, and even as a potential jet fuel. The global transportation of ammonia by pipeline and bulk carrier is already a well-developed technology. In this roadmap, we envisage renewable ammonia being produced in the future at a scale that is significant in terms of global fossil fuel use. This will emerge via three overlapping technology generations. Generation 1 is based on an expansion of current-day Haber-Bosch ammonia production using CO2 sequestration or offsets. Generation 2 moves the Haber-Bosch process to renewable sources of hydrogen, while generation 3 avoids the need for the Haber-Bosch process entirely by direct electrochemical conversion of N2 to NH3. One of the attractive features of generation 3 technology is that it can be implemented at any level of scale, from kW to GW, and in a highly distributed fashion. Ammonia produced sustainably and…","author":[{"dropping-particle":"","family":"MacFarlane","given":"Douglas R.","non-dropping-particle":"","parse-names":false,"suffix":""},{"dropping-particle":"V.","family":"Cherepanov","given":"Pavel","non-dropping-particle":"","parse-names":false,"suffix":""},{"dropping-particle":"","family":"Choi","given":"Jaecheol","non-dropping-particle":"","parse-names":false,"suffix":""},{"dropping-particle":"","family":"Suryanto","given":"Bryan H.R.","non-dropping-particle":"","parse-names":false,"suffix":""},{"dropping-particle":"","family":"Hodgetts","given":"Rebecca Y.","non-dropping-particle":"","parse-names":false,"suffix":""},{"dropping-particle":"","family":"Bakker","given":"Jacinta M.","non-dropping-particle":"","parse-names":false,"suffix":""},{"dropping-particle":"","family":"Ferrero Vallana","given":"Federico M.","non-dropping-particle":"","parse-names":false,"suffix":""},{"dropping-particle":"","family":"Simonov","given":"Alexandr N.","non-dropping-particle":"","parse-names":false,"suffix":""}],"container-title":"Joule","id":"ITEM-1","issue":"6","issued":{"date-parts":[["2020","6","17"]]},"page":"1186-1205","publisher":"Cell Press","title":"A Roadmap to the Ammonia Economy","type":"article-journal","volume":"4"},"uris":["http://www.mendeley.com/documents/?uuid=aa4234f1-6265-3352-b2fd-ecf44d60ac87"]}],"mendeley":{"formattedCitation":"[8]","plainTextFormattedCitation":"[8]","previouslyFormattedCitation":"[9]"},"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[8]</w:t>
      </w:r>
      <w:r w:rsidRPr="0046474D">
        <w:rPr>
          <w:rFonts w:ascii="Times New Roman" w:eastAsia="MS PGothic" w:hAnsi="Times New Roman"/>
          <w:lang w:val="en-US"/>
        </w:rPr>
        <w:fldChar w:fldCharType="end"/>
      </w:r>
      <w:r w:rsidRPr="0046474D">
        <w:rPr>
          <w:rFonts w:ascii="Times New Roman" w:eastAsia="MS PGothic" w:hAnsi="Times New Roman"/>
          <w:lang w:val="en-US"/>
        </w:rPr>
        <w:t>. As green ammonia slowly scales up, the shipping industry will have to solve some other issues related to toxicity, corrosiveness, slow ignition and NO</w:t>
      </w:r>
      <w:r w:rsidRPr="005C0B5C">
        <w:rPr>
          <w:rFonts w:ascii="Times New Roman" w:eastAsia="MS PGothic" w:hAnsi="Times New Roman"/>
          <w:vertAlign w:val="subscript"/>
          <w:lang w:val="en-US"/>
        </w:rPr>
        <w:t>X</w:t>
      </w:r>
      <w:r w:rsidRPr="0046474D">
        <w:rPr>
          <w:rFonts w:ascii="Times New Roman" w:eastAsia="MS PGothic" w:hAnsi="Times New Roman"/>
          <w:lang w:val="en-US"/>
        </w:rPr>
        <w:t xml:space="preserve"> emissions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{"citationItems":[{"id":"ITEM-1","itemData":{"DOI":"10.1016/B978-0-12-820560-0.00005-9","ISBN":"978-0-12-820560-0","abstract":"This chapter deals with the current practices, methods, and facilities used to safely store and distribute ammonia safely. As a commodity, ammonia is stored and posteriorly distributed on a global scale over a great variety of distances. It can be used either directly or as a raw material for downstream applications. The ammonia distribution system consists of sea and land transportation routes to and from large storage terminals and/or smaller storage systems at retailer or end-user locations. Ammonia is typically transported in liquid state and therefore needs to be compressed, cooled, or both. Stress corrosion cracking, which can occur under distribution and operating conditions, is a primary concern when storing and handling ammonia. The phenomenon is discussed in this chapter in relation to its impact on common service metals under operational conditions. Furthermore, different approaches to abate this phenomenon are outlined. Finally, a case study discussing the use of current natural gas lines for ammonia transport is also described, demonstrating some contemporary ideas on future utilization of natural gas lines as carriers of different compounds, including ammonia. These results suggest that although such repurposing is possible, several factors would need to be included and reconsidered to enable this distribution path.","author":[{"dropping-particle":"","family":"Elishav","given":"O.","non-dropping-particle":"","parse-names":false,"suffix":""},{"dropping-particle":"","family":"Mosevitzky Lis","given":"B.","non-dropping-particle":"","parse-names":false,"suffix":""},{"dropping-particle":"","family":"Valera-Medina","given":"A.","non-dropping-particle":"","parse-names":false,"suffix":""},{"dropping-particle":"","family":"Grader","given":"G.S.","non-dropping-particle":"","parse-names":false,"suffix":""}],"container-title":"Techno-Economic Challenges of Green Ammonia as an Energy Vector","id":"ITEM-1","issued":{"date-parts":[["2021","1","1"]]},"page":"85-103","publisher":"Academic Press","title":"Storage and Distribution of Ammonia","type":"article-journal"},"uris":["http://www.mendeley.com/documents/?uuid=8dae12c8-f4ea-3051-b67e-5541d1480d12"]},{"id":"ITEM-2","itemData":{"DOI":"10.1016/J.PROCI.2018.09.029","ISSN":"1540-7489","abstract":"This paper focuses on the potential use of ammonia as a carbon-free fuel, and covers recent advances in the development of ammonia combustion technology and its underlying chemistry. Fulfilling the COP21 Paris Agreement requires the de-carbonization of energy generation, through utilization of carbon-neutral and overall carbon-free fuels produced from renewable sources. Hydrogen is one of such fuels, which is a potential energy carrier for reducing greenhouse-gas emissions. However, its shipment for long distances and storage for long times present challenges. Ammonia on the other hand, comprises 17.8% of hydrogen by mass and can be produced from renewable hydrogen and nitrogen separated from air. Furthermore, thermal properties of ammonia are similar to those of propane in terms of boiling temperature and condensation pressure, making it attractive as a hydrogen and energy carrier. Ammonia has been produced and utilized for the past 100 years as a fertilizer, chemical raw material, and refrigerant. Ammonia can be used as a fuel but there are several challenges in ammonia combustion, such as low flammability, high NOx emission, and low radiation intensity. Overcoming these challenges requires further research into ammonia flame dynamics and chemistry. This paper discusses recent successful applications of ammonia fuel, in gas turbines, co-fired with pulverize coal, and in industrial furnaces. These applications have been implemented under the Japanese 'Cross-ministerial Strategic Innovation Promotion Program (SIP): Energy Carriers'. In addition, fundamental aspects of ammonia combustion are discussed including characteristics of laminar premixed flames, counterflow twin-flames, and turbulent premixed flames stabilized by a nozzle burner at high pressure. Furthermore, this paper discusses details of the chemistry of ammonia combustion related to NOx production, processes for reducing NOx, and validation of several ammonia oxidation kinetics models. Finally, LES results for a gas-turbine-like swirl-burner are presented, for the purpose of developing low-NOx single-fuelled ammonia gas turbine combustors.","author":[{"dropping-particle":"","family":"Kobayashi","given":"Hideaki","non-dropping-particle":"","parse-names":false,"suffix":""},{"dropping-particle":"","family":"Hayakawa","given":"Akihiro","non-dropping-particle":"","parse-names":false,"suffix":""},{"dropping-particle":"","family":"Somarathne","given":"K. D.Kunkuma A.","non-dropping-particle":"","parse-names":false,"suffix":""},{"dropping-particle":"","family":"Okafor","given":"Ekenechukwu C.","non-dropping-particle":"","parse-names":false,"suffix":""}],"container-title":"Proceedings of the Combustion Institute","id":"ITEM-2","issue":"1","issued":{"date-parts":[["2019","1","1"]]},"page":"109-133","publisher":"Elsevier","title":"Science and technology of ammonia combustion","type":"article-journal","volume":"37"},"uris":["http://www.mendeley.com/documents/?uuid=52c15d57-8397-3d40-9cc9-e1a871ceb625"]}],"mendeley":{"formattedCitation":"[11], [14]","plainTextFormattedCitation":"[11], [14]","previouslyFormattedCitation":"[12], [15]"},"properties":{"noteIndex":0},"schema":"https://github.com/citation-style-language/schema/raw/master/csl-citation.json"}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[11</w:t>
      </w:r>
      <w:r w:rsidR="00C83CFC">
        <w:rPr>
          <w:rFonts w:ascii="Times New Roman" w:eastAsia="MS PGothic" w:hAnsi="Times New Roman"/>
          <w:noProof/>
          <w:lang w:val="en-US"/>
        </w:rPr>
        <w:t xml:space="preserve"> - </w:t>
      </w:r>
      <w:r w:rsidR="00621A79" w:rsidRPr="00621A79">
        <w:rPr>
          <w:rFonts w:ascii="Times New Roman" w:eastAsia="MS PGothic" w:hAnsi="Times New Roman"/>
          <w:noProof/>
          <w:lang w:val="en-US"/>
        </w:rPr>
        <w:t>14]</w:t>
      </w:r>
      <w:r w:rsidRPr="0046474D">
        <w:rPr>
          <w:rFonts w:ascii="Times New Roman" w:eastAsia="MS PGothic" w:hAnsi="Times New Roman"/>
          <w:lang w:val="en-US"/>
        </w:rPr>
        <w:fldChar w:fldCharType="end"/>
      </w:r>
      <w:r w:rsidRPr="0046474D">
        <w:rPr>
          <w:rFonts w:ascii="Times New Roman" w:eastAsia="MS PGothic" w:hAnsi="Times New Roman"/>
          <w:lang w:val="en-US"/>
        </w:rPr>
        <w:t xml:space="preserve">. Moreover, since ammonia's energy density is about half </w:t>
      </w:r>
      <w:r w:rsidR="003F7140" w:rsidRPr="0046474D">
        <w:rPr>
          <w:rFonts w:ascii="Times New Roman" w:eastAsia="MS PGothic" w:hAnsi="Times New Roman"/>
          <w:lang w:val="en-US"/>
        </w:rPr>
        <w:t>that</w:t>
      </w:r>
      <w:r w:rsidRPr="0046474D">
        <w:rPr>
          <w:rFonts w:ascii="Times New Roman" w:eastAsia="MS PGothic" w:hAnsi="Times New Roman"/>
          <w:lang w:val="en-US"/>
        </w:rPr>
        <w:t xml:space="preserve"> </w:t>
      </w:r>
      <w:r w:rsidR="003F7140" w:rsidRPr="0046474D">
        <w:rPr>
          <w:rFonts w:ascii="Times New Roman" w:eastAsia="MS PGothic" w:hAnsi="Times New Roman"/>
          <w:lang w:val="en-US"/>
        </w:rPr>
        <w:t xml:space="preserve">of </w:t>
      </w:r>
      <w:r w:rsidRPr="0046474D">
        <w:rPr>
          <w:rFonts w:ascii="Times New Roman" w:eastAsia="MS PGothic" w:hAnsi="Times New Roman"/>
          <w:lang w:val="en-US"/>
        </w:rPr>
        <w:t>diesel, if it is used as a direct fuel in ICE, ships will need to accommodate larger storage tanks or to reduce the operating range of vessels.</w:t>
      </w:r>
    </w:p>
    <w:p w14:paraId="3A75525C" w14:textId="17788C81" w:rsidR="001114A3"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Nevertheless, burning ammonia in ICE produces nitrogen dioxide (NO</w:t>
      </w:r>
      <w:r w:rsidR="009E1F08">
        <w:rPr>
          <w:rFonts w:ascii="Times New Roman" w:eastAsia="MS PGothic" w:hAnsi="Times New Roman"/>
          <w:lang w:val="en-US"/>
        </w:rPr>
        <w:t>x</w:t>
      </w:r>
      <w:r w:rsidRPr="0046474D">
        <w:rPr>
          <w:rFonts w:ascii="Times New Roman" w:eastAsia="MS PGothic" w:hAnsi="Times New Roman"/>
          <w:lang w:val="en-US"/>
        </w:rPr>
        <w:t>) which contributes to smog, acid rains and can harm people</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{"citationItems":[{"id":"ITEM-1","itemData":{"DOI":"10.1016/J.PROCI.2018.09.029","ISSN":"1540-7489","abstract":"This paper focuses on the potential use of ammonia as a carbon-free fuel, and covers recent advances in the development of ammonia combustion technology and its underlying chemistry. Fulfilling the COP21 Paris Agreement requires the de-carbonization of energy generation, through utilization of carbon-neutral and overall carbon-free fuels produced from renewable sources. Hydrogen is one of such fuels, which is a potential energy carrier for reducing greenhouse-gas emissions. However, its shipment for long distances and storage for long times present challenges. Ammonia on the other hand, comprises 17.8% of hydrogen by mass and can be produced from renewable hydrogen and nitrogen separated from air. Furthermore, thermal properties of ammonia are similar to those of propane in terms of boiling temperature and condensation pressure, making it attractive as a hydrogen and energy carrier. Ammonia has been produced and utilized for the past 100 years as a fertilizer, chemical raw material, and refrigerant. Ammonia can be used as a fuel but there are several challenges in ammonia combustion, such as low flammability, high NOx emission, and low radiation intensity. Overcoming these challenges requires further research into ammonia flame dynamics and chemistry. This paper discusses recent successful applications of ammonia fuel, in gas turbines, co-fired with pulverize coal, and in industrial furnaces. These applications have been implemented under the Japanese 'Cross-ministerial Strategic Innovation Promotion Program (SIP): Energy Carriers'. In addition, fundamental aspects of ammonia combustion are discussed including characteristics of laminar premixed flames, counterflow twin-flames, and turbulent premixed flames stabilized by a nozzle burner at high pressure. Furthermore, this paper discusses details of the chemistry of ammonia combustion related to NOx production, processes for reducing NOx, and validation of several ammonia oxidation kinetics models. Finally, LES results for a gas-turbine-like swirl-burner are presented, for the purpose of developing low-NOx single-fuelled ammonia gas turbine combustors.","author":[{"dropping-particle":"","family":"Kobayashi","given":"Hideaki","non-dropping-particle":"","parse-names":false,"suffix":""},{"dropping-particle":"","family":"Hayakawa","given":"Akihiro","non-dropping-particle":"","parse-names":false,"suffix":""},{"dropping-particle":"","family":"Somarathne","given":"K. D.Kunkuma A.","non-dropping-particle":"","parse-names":false,"suffix":""},{"dropping-particle":"","family":"Okafor","given":"Ekenechukwu C.","non-dropping-particle":"","parse-names":false,"suffix":""}],"container-title":"Proceedings of the Combustion Institute","id":"ITEM-1","issue":"1","issued":{"date-parts":[["2019","1","1"]]},"page":"109-133","publisher":"Elsevier","title":"Science and technology of ammonia combustion","type":"article-journal","volume":"37"},"uris":["http://www.mendeley.com/documents/?uuid=52c15d57-8397-3d40-9cc9-e1a871ceb625"]}],"mendeley":{"formattedCitation":"[14]","plainTextFormattedCitation":"[14]","previouslyFormattedCitation":"[15]"},"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[14]</w:t>
      </w:r>
      <w:r w:rsidRPr="0046474D">
        <w:rPr>
          <w:rFonts w:ascii="Times New Roman" w:eastAsia="MS PGothic" w:hAnsi="Times New Roman"/>
          <w:lang w:val="en-US"/>
        </w:rPr>
        <w:fldChar w:fldCharType="end"/>
      </w:r>
      <w:r w:rsidRPr="0046474D">
        <w:rPr>
          <w:rFonts w:ascii="Times New Roman" w:eastAsia="MS PGothic" w:hAnsi="Times New Roman"/>
          <w:lang w:val="en-US"/>
        </w:rPr>
        <w:t>. Combustion also yields small amounts of nitrous oxide (N</w:t>
      </w:r>
      <w:r w:rsidRPr="009E1F08">
        <w:rPr>
          <w:rFonts w:ascii="Times New Roman" w:eastAsia="MS PGothic" w:hAnsi="Times New Roman"/>
          <w:vertAlign w:val="subscript"/>
          <w:lang w:val="en-US"/>
        </w:rPr>
        <w:t>2</w:t>
      </w:r>
      <w:r w:rsidRPr="0046474D">
        <w:rPr>
          <w:rFonts w:ascii="Times New Roman" w:eastAsia="MS PGothic" w:hAnsi="Times New Roman"/>
          <w:lang w:val="en-US"/>
        </w:rPr>
        <w:t>O) is a GHG significantly more dangerous than CO</w:t>
      </w:r>
      <w:r w:rsidRPr="00124472">
        <w:rPr>
          <w:rFonts w:ascii="Times New Roman" w:eastAsia="MS PGothic" w:hAnsi="Times New Roman"/>
          <w:vertAlign w:val="subscript"/>
          <w:lang w:val="en-US"/>
        </w:rPr>
        <w:t>2</w:t>
      </w:r>
      <w:r w:rsidRPr="0046474D">
        <w:rPr>
          <w:rFonts w:ascii="Times New Roman" w:eastAsia="MS PGothic" w:hAnsi="Times New Roman"/>
          <w:lang w:val="en-US"/>
        </w:rPr>
        <w:t xml:space="preserve">. Therefore, shipbuilders have to consider special equipment to install </w:t>
      </w:r>
      <w:r w:rsidR="003F7140" w:rsidRPr="0046474D">
        <w:rPr>
          <w:rFonts w:ascii="Times New Roman" w:eastAsia="MS PGothic" w:hAnsi="Times New Roman"/>
          <w:lang w:val="en-US"/>
        </w:rPr>
        <w:t>onboard</w:t>
      </w:r>
      <w:r w:rsidRPr="0046474D">
        <w:rPr>
          <w:rFonts w:ascii="Times New Roman" w:eastAsia="MS PGothic" w:hAnsi="Times New Roman"/>
          <w:lang w:val="en-US"/>
        </w:rPr>
        <w:t xml:space="preserve"> to avoid such outcome, e.g. a selective catalytic reduction system (SCR)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{"citationItems":[{"id":"ITEM-1","itemData":{"DOI":"10.1016/j.promfg.2020.02.020","ISSN":"2351-9789","abstract":"Italy is a leader in the production of yachts, especially in the range between 50 and 70 m, but with the capability to deliver yachts of over 100 m Internationally this field of industry, internationally, has to deal with the environmental rules, and these have a severe impact on the project and the industrial choices. The paper aims at presenting a study about the main rules that became effective in last years, especially the ones becoming operational in 2020 and the consequent impacts in the methodology of project and construction. As a case study I examined a project, where the yachts examined are sister ships, delivered in last 5 years, where the ship and the project have been modified from the first yacht to the following, in order to already respect some of the criteria expected (exhaust pollution with SCR, ballast water treatment etc) in order to verify the changes in design and impact in the construction. This is an open access article under the CC BY-NC-ND license (http://creativecommons.org/licenses/by-nc-nd/4.0/) Peer-review under responsibility of the scientific committee of the International Conference on Industry 4.0 and Smart Manufacturing.","author":[{"dropping-particle":"","family":"Ruggiero","given":"Valerio","non-dropping-particle":"","parse-names":false,"suffix":""}],"id":"ITEM-1","issued":{"date-parts":[["2020"]]},"title":"ScienceDirect Peer-review under responsibility of the scientific committee of the International Conference on Industry 4.0 and Smart Manufacturing.-NC-ND license (http://creativecommons.org/licenses/by-nc-nd/4.0/) Peer-review under responsibility of the s","type":"article-journal"},"uris":["http://www.mendeley.com/documents/?uuid=5f463f84-6629-3770-a369-3e74a1047b1c"]}],"mendeley":{"formattedCitation":"[15]","plainTextFormattedCitation":"[15]","previouslyFormattedCitation":"[16]"},"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[15]</w:t>
      </w:r>
      <w:r w:rsidRPr="0046474D">
        <w:rPr>
          <w:rFonts w:ascii="Times New Roman" w:eastAsia="MS PGothic" w:hAnsi="Times New Roman"/>
          <w:lang w:val="en-US"/>
        </w:rPr>
        <w:fldChar w:fldCharType="end"/>
      </w:r>
      <w:r w:rsidRPr="0046474D">
        <w:rPr>
          <w:rFonts w:ascii="Times New Roman" w:eastAsia="MS PGothic" w:hAnsi="Times New Roman"/>
          <w:lang w:val="en-US"/>
        </w:rPr>
        <w:t>.</w:t>
      </w:r>
    </w:p>
    <w:p w14:paraId="2C618B17" w14:textId="08E26C5D" w:rsidR="0065153B"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 xml:space="preserve">An option to prevent air pollution with ammonia is to use the Fuel Cell (FC) technology instead of ICEs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{"citationItems":[{"id":"ITEM-1","itemData":{"DOI":"10.1016/J.RSER.2016.01.120","ISSN":"1364-0321","abstract":"The use of an ammonia-fed solid oxide fuel cell (SOFC) is the most efficient method of generating power. In terms of CO2 emission, ammonia is a good indirect hydrogen storage material because it does not contain carbon and therefore will not release CO2 when used as fuel in a fuel cell or gas turbine. Using ammonia like hydrogen directly in a fuel-cell system provides high power density. Compared with other fuel cells, the ammonia-fed SOFC has many advantages. The availability of NH3 is one of the main reasons for the high output. This paper presents a comparative study of the working principles, analyses, applications, advantages and disadvantages of various technologies available for ammonia fuel cells. The aim of the paper is to review and describe the suitability of ammonia as a fuel for the next generation of fuel cells, including direct ammonia-fed SOFCs, the development of different types of fuel cells using ammonia as a fuel, and the potential applications of ammonia-fed fuel cells.","author":[{"dropping-particle":"","family":"Afif","given":"Ahmed","non-dropping-particle":"","parse-names":false,"suffix":""},{"dropping-particle":"","family":"Radenahmad","given":"Nikdalila","non-dropping-particle":"","parse-names":false,"suffix":""},{"dropping-particle":"","family":"Cheok","given":"Quentin","non-dropping-particle":"","parse-names":false,"suffix":""},{"dropping-particle":"","family":"Shams","given":"Shahriar","non-dropping-particle":"","parse-names":false,"suffix":""},{"dropping-particle":"","family":"Kim","given":"Jung H.","non-dropping-particle":"","parse-names":false,"suffix":""},{"dropping-particle":"","family":"Azad","given":"Abul K.","non-dropping-particle":"","parse-names":false,"suffix":""}],"container-title":"Renewable and Sustainable Energy Reviews","id":"ITEM-1","issued":{"date-parts":[["2016","7","1"]]},"page":"822-835","publisher":"Pergamon","title":"Ammonia-fed fuel cells: a comprehensive review","type":"article-journal","volume":"60"},"uris":["http://www.mendeley.com/documents/?uuid=a0f81328-f3d2-3a64-a23a-9e500e5a266c"]},{"id":"ITEM-2","itemData":{"DOI":"10.5772/47759","ISBN":"978-953-51-0812-2","abstract":"The objectives of this paper are to identify, evaluate and summarize the key issues and advantages and disadvantages associated with ammonia as an energy carrier for on-board vehicular hydrogen storage. These issues have been investigated by the U.S. Department of Energy (DOE) with input from various sources including members of the Hydrogen Storage Technical Team of the FreedomCAR &amp; Fuel Partnership (a partnership among DOE, BP America, Chevron Corporation, ConocoPhillips, Exxon Mobil Corporation, Shell Hydrogen (U.S.), and the United States Council for Automotive Research (USCAR- a legal partnership among DaimlerChrysler Corporation, Ford Motor Company, and General Motors Corporation). The outcome of this investigation is a discussion of the potential roles that ammonia might play in a hydrogen economy, particularly with regard to the viability of ammonia as an on-board hydrogen carrier for fuel cell vehicles. Ammonia has a number of favorable attributes, the primary one being its high capacity for hydrogen storage, 17.6 wt.%, based on its molecular structure. However, in order to release hydrogen from ammonia, significant energy input as well as reactor mass and volume are required. Other considerations include safety and toxicity issues, both actual and perceived, as well as the incompatibility of polymer electrolyte membrane (PEM) fuel cells in the presence of even trace levels of ammonia (&gt; 0.1ppm). Given the state of the art in ‘cracking’ ammonia to produce hydrogen, there are many issues in the on-board use of ammonia similar to those identified for on-board fuel processors. Specifically, these include: high operating temperature (&gt;500° C); longevity and reliability of catalysts and other components (at high temperatures and in the presence of impurities); start-up time (to get the system up to operating temperature); purification requirements (to prevent ammonia poisoning of fuel cells); complexity of the overall system; energy efficiency (on-board ammonia would have to be burned in the cracking process); cost (currently ~$100K for 1-3 g H2/s stationary units); and reactor weight and volume (commercial units with sufficient throughput currently weigh about 2000-5000 kg and are about 3000-6000 liters in size). Simply stated, most of the performance parameters of ammonia reactors would need at least two orders- of-magnitude improvements in order to be used on-board commercially viable hydrogen- powered fuel cell vehicles. Due to the above reasons…","author":[{"dropping-particle":"","family":"Cheddie","given":"Denver","non-dropping-particle":"","parse-names":false,"suffix":""}],"container-title":"Hydrogen Energy - Challenges and Perspectives","id":"ITEM-2","issued":{"date-parts":[["2012","10","17"]]},"publisher":"IntechOpen","title":"Ammonia as a Hydrogen Source for Fuel Cells: A Review","type":"article-journal"},"uris":["http://www.mendeley.com/documents/?uuid=9cda60e2-73df-3891-beec-f1f258827c41"]},{"id":"ITEM-3","itemData":{"DOI":"10.1016/J.TSEP.2018.02.011","ISSN":"2451-9049","abstract":"In this study, we present a comparative assessment of direct ammonia fuel cells and a discussion of these from various perspectives by considering the effective criteria. The effect of electrolyte and electrode materials, electrolyte thicknesses and operating temperatures on the performance of direct ammonia fuel cells are studied and discussed comparatively for evaluation purposes. A comparison of which cell types and configurations provide the optimum performance is conducted by utilizing the experimental results reported in the literature. The results of this study are expedient to provide important inferences about the performances of direct ammonia fuel cells. Ammonia fed oxygen ion conducting Samarium doped ceria electrolyte based solid oxide fuel cells have comparatively the highest peak power density of 1190 mW/cm2 when operated at 650 °C with a 10 µm thick electrolyte. Direct ammonia proton conducting electrolyte based solid oxide fuel cells have lower cell performance than oxygen ion conducting fuel cells due to the dilution of hydrogen at the anode by undecomposed ammonia as well as formed nitrogen gas. The operating temperature of the fuel cell and electrolyte thickness affect the cell performance considerably. A 200 °C increase in operating temperature increases the peak power density by nearly three to four times for ammonia fed solid oxide fuel cells. The molten alkaline electrolyte based fuel cells can be a promising technology. Further research is required for these type of fuel cells to investigate their performance with low electrode separation distance and more conductive alkaline electrolytes.","author":[{"dropping-particle":"","family":"Siddiqui","given":"Osamah","non-dropping-particle":"","parse-names":false,"suffix":""},{"dropping-particle":"","family":"Dincer","given":"Ibrahim","non-dropping-particle":"","parse-names":false,"suffix":""}],"container-title":"Thermal Science and Engineering Progress","id":"ITEM-3","issued":{"date-parts":[["2018","3","1"]]},"page":"568-578","publisher":"Elsevier","title":"A review and comparative assessment of direct ammonia fuel cells","type":"article-journal","volume":"5"},"uris":["http://www.mendeley.com/documents/?uuid=4a669571-bed4-35c8-89df-1cba992a7f1a"]},{"id":"ITEM-4","itemData":{"DOI":"10.1007/S11804-021-00217-Y","ISSN":"19935048","abstract":"The work is a case study of a cruise ship supplied by liquefied natural gas (LNG) and equipped with a solid oxide fuel cell (SOFC). It is supposed that a 20 MW SOFC plant is installed on-board to supply hotel loads and assisting three dual-fuel (DF) diesel/LNG generator sets. LNG consumption and emissions are estimated both for the SOFC plant and DF generator sets. It results that the use of LNG-SOFC plant in comparison to DF generator sets allows to limit significantly the SOx, CO, NOx, PM emissions and to reduce the emission of CO2 by about 11%. A prediction of the weight and volume of the SOFC plant is conducted and a preliminary modification of the general arrangement of the cruise ship is suggested, according to the latest international rules. It results that the SOFC plant is heavier and occupies more volume on board than a DF gen-set; nevertheless, these features do not affect the floating and the stability of the cruise ship.","author":[{"dropping-particle":"","family":"Micoli","given":"Luca","non-dropping-particle":"","parse-names":false,"suffix":""},{"dropping-particle":"","family":"Coppola","given":"Tommaso","non-dropping-particle":"","parse-names":false,"suffix":""},{"dropping-particle":"","family":"Turco","given":"Maria","non-dropping-particle":"","parse-names":false,"suffix":""}],"container-title":"Journal of Marine Science and Application","id":"ITEM-4","issue":"3","issued":{"date-parts":[["2021","9","1"]]},"page":"524-533","publisher":"Editorial Board of Journal of Harbin Engineering","title":"A Case Study of a Solid Oxide Fuel Cell Plant on Board a Cruise Ship","type":"article-journal","volume":"20"},"uris":["http://www.mendeley.com/documents/?uuid=8faf0416-10b0-3bde-8f29-3c1ab994c723"]}],"mendeley":{"formattedCitation":"[16]–[19]","plainTextFormattedCitation":"[16]–[19]","previouslyFormattedCitation":"[17]–[20]"},"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[16</w:t>
      </w:r>
      <w:r w:rsidR="00C44ADA">
        <w:rPr>
          <w:rFonts w:ascii="Times New Roman" w:eastAsia="MS PGothic" w:hAnsi="Times New Roman"/>
          <w:noProof/>
          <w:lang w:val="en-US"/>
        </w:rPr>
        <w:t xml:space="preserve"> - </w:t>
      </w:r>
      <w:r w:rsidR="00621A79" w:rsidRPr="00621A79">
        <w:rPr>
          <w:rFonts w:ascii="Times New Roman" w:eastAsia="MS PGothic" w:hAnsi="Times New Roman"/>
          <w:noProof/>
          <w:lang w:val="en-US"/>
        </w:rPr>
        <w:t>19]</w:t>
      </w:r>
      <w:r w:rsidRPr="0046474D">
        <w:rPr>
          <w:rFonts w:ascii="Times New Roman" w:eastAsia="MS PGothic" w:hAnsi="Times New Roman"/>
          <w:lang w:val="en-US"/>
        </w:rPr>
        <w:fldChar w:fldCharType="end"/>
      </w:r>
      <w:r w:rsidRPr="0046474D">
        <w:rPr>
          <w:rFonts w:ascii="Times New Roman" w:eastAsia="MS PGothic" w:hAnsi="Times New Roman"/>
          <w:lang w:val="en-US"/>
        </w:rPr>
        <w:t xml:space="preserve">. </w:t>
      </w:r>
      <w:r w:rsidR="003F7140" w:rsidRPr="0046474D">
        <w:rPr>
          <w:rFonts w:ascii="Times New Roman" w:eastAsia="MS PGothic" w:hAnsi="Times New Roman"/>
          <w:lang w:val="en-US"/>
        </w:rPr>
        <w:t>An</w:t>
      </w:r>
      <w:r w:rsidRPr="0046474D">
        <w:rPr>
          <w:rFonts w:ascii="Times New Roman" w:eastAsia="MS PGothic" w:hAnsi="Times New Roman"/>
          <w:lang w:val="en-US"/>
        </w:rPr>
        <w:t xml:space="preserve"> FC is an electrochemical device that converts the chemical energy of a fuel directly into electrical energy with an efficiency higher than ICEs. Since no combustion process occurs </w:t>
      </w:r>
      <w:r w:rsidR="003F7140" w:rsidRPr="0046474D">
        <w:rPr>
          <w:rFonts w:ascii="Times New Roman" w:eastAsia="MS PGothic" w:hAnsi="Times New Roman"/>
          <w:lang w:val="en-US"/>
        </w:rPr>
        <w:t>in</w:t>
      </w:r>
      <w:r w:rsidRPr="0046474D">
        <w:rPr>
          <w:rFonts w:ascii="Times New Roman" w:eastAsia="MS PGothic" w:hAnsi="Times New Roman"/>
          <w:lang w:val="en-US"/>
        </w:rPr>
        <w:t xml:space="preserve"> </w:t>
      </w:r>
      <w:r w:rsidR="003F7140" w:rsidRPr="0046474D">
        <w:rPr>
          <w:rFonts w:ascii="Times New Roman" w:eastAsia="MS PGothic" w:hAnsi="Times New Roman"/>
          <w:lang w:val="en-US"/>
        </w:rPr>
        <w:t>an</w:t>
      </w:r>
      <w:r w:rsidRPr="0046474D">
        <w:rPr>
          <w:rFonts w:ascii="Times New Roman" w:eastAsia="MS PGothic" w:hAnsi="Times New Roman"/>
          <w:lang w:val="en-US"/>
        </w:rPr>
        <w:t xml:space="preserve"> FC, the release of harmful gases or particles in the air is avoided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{"citationItems":[{"id":"ITEM-1","itemData":{"DOI":"10.1016/s0378-7753(00)00571-1","ISSN":"03787753","abstract":"Building on the success of the first edition Fuel Cell Systems Explained presents a balanced introduction to this growing area. \"In summary, an altogether satisfying book that puts within its covers the academic tools necessary for explaining fuel cell systems on a multidisciplinary basis.\" Power Engineering Journal \"An excellent book.well written and produced.\" Journal of Power and Energy Fully revised and updated, the second edition: Provides an essential guide to the principles, design and application of fuel cell systems. Includes full and updated coverage of fuel processing and hydrogen generation and storage systems. Presents a full and clear explanation of the operation of all the major fuel cell types, and an introduction to possible future technology, such as biological fuel cells Features a new chapter on the direct methanol fuel cell. Now includes examples of the modelling, design and engineering of real fuel cell systems. A clear overview of fuel cell operation and thermodynamics Coverage of the complete fuel cell system including compressors, turbines, and the electrical and electronic sub-systems such as regulators, inverters, grid inter-ties, electric motors, and hybrid fuel cell/battery systems. Assuming no prior knowledge of fuel cell chemistry, this reference comprehensively brings together all of the key topics encompassed by this diverse field. Practitioners, researchers and students in electrical, power, chemical and automotive engineering will continue to benefit from this essential guide to the principles, design and application of fuel cell systems.","author":[{"dropping-particle":"","family":"Moseley","given":"P.T.","non-dropping-particle":"","parse-names":false,"suffix":""}],"container-title":"Journal of Power Sources","id":"ITEM-1","issued":{"date-parts":[["2001"]]},"title":"Fuel Cell Systems Explained","type":"article-journal"},"uris":["http://www.mendeley.com/documents/?uuid=9acbc780-304e-497b-b86a-4660954c54a3"]},{"id":"ITEM-2","itemData":{"DOI":"10.1016/B978-0-12-814251-6.00002-2","ISBN":"9780128142516","ISSN":"0916-8753","abstract":"Fuel cells (FCs) are electrochemical devices capable of converting the chemical energy of a fuel (usually hydrogen, but also hydrocarbons and alcohols) into electricity and heat. Positive characteristics such as high efficiency, low pollutant emissions, and few maintenance requirements motivated a strong interest in this technology during the last decades, with R&amp;D activities on different FC types and applications going on around the world. In this chapter, after an introduction regarding the general features of the technology and the main development focuses, a particular attention is devoted to the types that currently dominate the market and the research: the polymer electrolyte membrane FCs and the solid oxide FCs. The corresponding sections present the state of the art of these technologies, together with the technical targets for future developments, as well as existing and prospective applications.","author":[{"dropping-particle":"","family":"Coralli","given":"Alberto","non-dropping-particle":"","parse-names":false,"suffix":""},{"dropping-particle":"","family":"Sarruf","given":"Bernardo J.M.","non-dropping-particle":"","parse-names":false,"suffix":""},{"dropping-particle":"V.","family":"Miranda","given":"Paulo Emílio","non-dropping-particle":"De","parse-names":false,"suffix":""},{"dropping-particle":"","family":"Osmieri","given":"Luigi","non-dropping-particle":"","parse-names":false,"suffix":""},{"dropping-particle":"","family":"Specchia","given":"Stefania","non-dropping-particle":"","parse-names":false,"suffix":""},{"dropping-particle":"","family":"Minh","given":"Nguyen Q.","non-dropping-particle":"","parse-names":false,"suffix":""}],"container-title":"Science and Engineering of Hydrogen-Based Energy Technologies: Hydrogen Production and Practical Applications in Energy Generation","id":"ITEM-2","issued":{"date-parts":[["2018"]]},"title":"Fuel cells","type":"chapter"},"uris":["http://www.mendeley.com/documents/?uuid=760c87f2-463f-4a1b-b705-d9d436a1c031"]}],"mendeley":{"formattedCitation":"[20], [21]","plainTextFormattedCitation":"[20], [21]","previouslyFormattedCitation":"[21], [22]"},"properties":{"noteIndex":0},"schema":"https://github.com/citation-style-language/schema/raw/master/csl-citation.json"}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[20</w:t>
      </w:r>
      <w:r w:rsidR="00C44ADA">
        <w:rPr>
          <w:rFonts w:ascii="Times New Roman" w:eastAsia="MS PGothic" w:hAnsi="Times New Roman"/>
          <w:noProof/>
          <w:lang w:val="en-US"/>
        </w:rPr>
        <w:t xml:space="preserve"> - </w:t>
      </w:r>
      <w:r w:rsidR="00621A79" w:rsidRPr="00621A79">
        <w:rPr>
          <w:rFonts w:ascii="Times New Roman" w:eastAsia="MS PGothic" w:hAnsi="Times New Roman"/>
          <w:noProof/>
          <w:lang w:val="en-US"/>
        </w:rPr>
        <w:t>21]</w:t>
      </w:r>
      <w:r w:rsidRPr="0046474D">
        <w:rPr>
          <w:rFonts w:ascii="Times New Roman" w:eastAsia="MS PGothic" w:hAnsi="Times New Roman"/>
          <w:lang w:val="en-US"/>
        </w:rPr>
        <w:fldChar w:fldCharType="end"/>
      </w:r>
      <w:r w:rsidRPr="0046474D">
        <w:rPr>
          <w:rFonts w:ascii="Times New Roman" w:eastAsia="MS PGothic" w:hAnsi="Times New Roman"/>
          <w:lang w:val="en-US"/>
        </w:rPr>
        <w:t xml:space="preserve">. </w:t>
      </w:r>
    </w:p>
    <w:p w14:paraId="6AA78A0F" w14:textId="14D0E157" w:rsidR="001114A3" w:rsidRPr="0046474D" w:rsidRDefault="001114A3" w:rsidP="00FF5FD8">
      <w:pPr>
        <w:suppressAutoHyphens/>
        <w:spacing w:after="0"/>
        <w:rPr>
          <w:rFonts w:ascii="Times New Roman" w:eastAsia="MS PGothic" w:hAnsi="Times New Roman"/>
          <w:lang w:val="en-US"/>
        </w:rPr>
      </w:pPr>
      <w:r w:rsidRPr="0046474D">
        <w:rPr>
          <w:rFonts w:ascii="Times New Roman" w:eastAsia="MS PGothic" w:hAnsi="Times New Roman"/>
          <w:lang w:val="en-US"/>
        </w:rPr>
        <w:t xml:space="preserve">The mega-yacht is an interesting application for these technologies because it could </w:t>
      </w:r>
      <w:proofErr w:type="spellStart"/>
      <w:r w:rsidRPr="0046474D">
        <w:rPr>
          <w:rFonts w:ascii="Times New Roman" w:eastAsia="MS PGothic" w:hAnsi="Times New Roman"/>
          <w:lang w:val="en-US"/>
        </w:rPr>
        <w:t>favour</w:t>
      </w:r>
      <w:proofErr w:type="spellEnd"/>
      <w:r w:rsidRPr="0046474D">
        <w:rPr>
          <w:rFonts w:ascii="Times New Roman" w:eastAsia="MS PGothic" w:hAnsi="Times New Roman"/>
          <w:lang w:val="en-US"/>
        </w:rPr>
        <w:t xml:space="preserve"> a market in which passengers are allowed to enjoy a virtually silent and clean yachting experience.</w:t>
      </w:r>
    </w:p>
    <w:p w14:paraId="5EDE33F2" w14:textId="38229871" w:rsidR="000525B6" w:rsidRDefault="001114A3" w:rsidP="000525B6">
      <w:pPr>
        <w:spacing w:after="0"/>
        <w:rPr>
          <w:rFonts w:ascii="Times New Roman" w:eastAsia="MS PGothic" w:hAnsi="Times New Roman"/>
          <w:lang w:val="en-US"/>
        </w:rPr>
      </w:pPr>
      <w:r w:rsidRPr="0046474D">
        <w:rPr>
          <w:rFonts w:ascii="Times New Roman" w:eastAsia="MS PGothic" w:hAnsi="Times New Roman"/>
          <w:lang w:val="en-US"/>
        </w:rPr>
        <w:t xml:space="preserve">The construction of yachts had </w:t>
      </w:r>
      <w:r w:rsidR="003F7140" w:rsidRPr="0046474D">
        <w:rPr>
          <w:rFonts w:ascii="Times New Roman" w:eastAsia="MS PGothic" w:hAnsi="Times New Roman"/>
          <w:lang w:val="en-US"/>
        </w:rPr>
        <w:t>an</w:t>
      </w:r>
      <w:r w:rsidRPr="0046474D">
        <w:rPr>
          <w:rFonts w:ascii="Times New Roman" w:eastAsia="MS PGothic" w:hAnsi="Times New Roman"/>
          <w:lang w:val="en-US"/>
        </w:rPr>
        <w:t xml:space="preserve"> impressive growth in </w:t>
      </w:r>
      <w:r w:rsidR="003F7140" w:rsidRPr="0046474D">
        <w:rPr>
          <w:rFonts w:ascii="Times New Roman" w:eastAsia="MS PGothic" w:hAnsi="Times New Roman"/>
          <w:lang w:val="en-US"/>
        </w:rPr>
        <w:t xml:space="preserve">the </w:t>
      </w:r>
      <w:r w:rsidRPr="0046474D">
        <w:rPr>
          <w:rFonts w:ascii="Times New Roman" w:eastAsia="MS PGothic" w:hAnsi="Times New Roman"/>
          <w:lang w:val="en-US"/>
        </w:rPr>
        <w:t xml:space="preserve">last decades reaching </w:t>
      </w:r>
      <w:r w:rsidR="003F7140" w:rsidRPr="0046474D">
        <w:rPr>
          <w:rFonts w:ascii="Times New Roman" w:eastAsia="MS PGothic" w:hAnsi="Times New Roman"/>
          <w:lang w:val="en-US"/>
        </w:rPr>
        <w:t>an</w:t>
      </w:r>
      <w:r w:rsidRPr="0046474D">
        <w:rPr>
          <w:rFonts w:ascii="Times New Roman" w:eastAsia="MS PGothic" w:hAnsi="Times New Roman"/>
          <w:lang w:val="en-US"/>
        </w:rPr>
        <w:t xml:space="preserve"> industrial production scale, therefore they cannot be considered “private ships” anymore and have to be developed accordingly to </w:t>
      </w:r>
      <w:r w:rsidRPr="0046474D">
        <w:rPr>
          <w:rFonts w:ascii="Times New Roman" w:eastAsia="MS PGothic" w:hAnsi="Times New Roman"/>
          <w:lang w:val="en-US"/>
        </w:rPr>
        <w:lastRenderedPageBreak/>
        <w:t>commercial passenger ships rules (</w:t>
      </w:r>
      <w:proofErr w:type="gramStart"/>
      <w:r w:rsidRPr="0046474D">
        <w:rPr>
          <w:rFonts w:ascii="Times New Roman" w:eastAsia="MS PGothic" w:hAnsi="Times New Roman"/>
          <w:lang w:val="en-US"/>
        </w:rPr>
        <w:t>e.g.</w:t>
      </w:r>
      <w:proofErr w:type="gramEnd"/>
      <w:r w:rsidRPr="0046474D">
        <w:rPr>
          <w:rFonts w:ascii="Times New Roman" w:eastAsia="MS PGothic" w:hAnsi="Times New Roman"/>
          <w:lang w:val="en-US"/>
        </w:rPr>
        <w:t xml:space="preserve"> MARPOL). This means that yachts have to abide by the environmental rules as well</w:t>
      </w:r>
      <w:bookmarkStart w:id="0" w:name="_Hlk89766227"/>
      <w:r w:rsidRPr="0046474D">
        <w:rPr>
          <w:rFonts w:ascii="Times New Roman" w:eastAsia="MS PGothic" w:hAnsi="Times New Roman"/>
          <w:lang w:val="en-US"/>
        </w:rPr>
        <w:t xml:space="preserve"> </w:t>
      </w:r>
      <w:r w:rsidRPr="0046474D">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{"citationItems":[{"id":"ITEM-1","itemData":{"DOI":"10.1016/j.promfg.2020.02.020","ISSN":"2351-9789","abstract":"Italy is a leader in the production of yachts, especially in the range between 50 and 70 m, but with the capability to deliver yachts of over 100 m Internationally this field of industry, internationally, has to deal with the environmental rules, and these have a severe impact on the project and the industrial choices. The paper aims at presenting a study about the main rules that became effective in last years, especially the ones becoming operational in 2020 and the consequent impacts in the methodology of project and construction. As a case study I examined a project, where the yachts examined are sister ships, delivered in last 5 years, where the ship and the project have been modified from the first yacht to the following, in order to already respect some of the criteria expected (exhaust pollution with SCR, ballast water treatment etc) in order to verify the changes in design and impact in the construction. This is an open access article under the CC BY-NC-ND license (http://creativecommons.org/licenses/by-nc-nd/4.0/) Peer-review under responsibility of the scientific committee of the International Conference on Industry 4.0 and Smart Manufacturing.","author":[{"dropping-particle":"","family":"Ruggiero","given":"Valerio","non-dropping-particle":"","parse-names":false,"suffix":""}],"id":"ITEM-1","issued":{"date-parts":[["2020"]]},"title":"ScienceDirect Peer-review under responsibility of the scientific committee of the International Conference on Industry 4.0 and Smart Manufacturing.-NC-ND license (http://creativecommons.org/licenses/by-nc-nd/4.0/) Peer-review under responsibility of the s","type":"article-journal"},"uris":["http://www.mendeley.com/documents/?uuid=5f463f84-6629-3770-a369-3e74a1047b1c"]}],"mendeley":{"formattedCitation":"[15]","plainTextFormattedCitation":"[15]","previouslyFormattedCitation":"[16]"},"properties":{"noteIndex":0},"schema":"https://github.com/citation-style-language/schema/raw/master/csl-citation.json"}</w:instrText>
      </w:r>
      <w:r w:rsidRPr="0046474D">
        <w:rPr>
          <w:rFonts w:ascii="Times New Roman" w:eastAsia="MS PGothic" w:hAnsi="Times New Roman"/>
          <w:lang w:val="en-US"/>
        </w:rPr>
        <w:fldChar w:fldCharType="separate"/>
      </w:r>
      <w:r w:rsidR="00621A79" w:rsidRPr="00621A79">
        <w:rPr>
          <w:rFonts w:ascii="Times New Roman" w:eastAsia="MS PGothic" w:hAnsi="Times New Roman"/>
          <w:noProof/>
          <w:lang w:val="en-US"/>
        </w:rPr>
        <w:t>[15]</w:t>
      </w:r>
      <w:r w:rsidRPr="0046474D">
        <w:rPr>
          <w:rFonts w:ascii="Times New Roman" w:eastAsia="MS PGothic" w:hAnsi="Times New Roman"/>
          <w:lang w:val="en-US"/>
        </w:rPr>
        <w:fldChar w:fldCharType="end"/>
      </w:r>
      <w:bookmarkEnd w:id="0"/>
      <w:r w:rsidRPr="0046474D">
        <w:rPr>
          <w:rFonts w:ascii="Times New Roman" w:eastAsia="MS PGothic" w:hAnsi="Times New Roman"/>
          <w:lang w:val="en-US"/>
        </w:rPr>
        <w:t>.</w:t>
      </w:r>
    </w:p>
    <w:p w14:paraId="163DC370" w14:textId="2B49CE52" w:rsidR="001114A3" w:rsidRPr="00FF5FD8" w:rsidRDefault="00A232A8" w:rsidP="00FF5FD8">
      <w:pPr>
        <w:rPr>
          <w:rFonts w:ascii="Times New Roman" w:eastAsia="MS PGothic" w:hAnsi="Times New Roman"/>
          <w:lang w:val="en-US"/>
        </w:rPr>
      </w:pPr>
      <w:r>
        <w:rPr>
          <w:rFonts w:ascii="Times New Roman" w:eastAsia="MS PGothic" w:hAnsi="Times New Roman"/>
          <w:lang w:val="en-US"/>
        </w:rPr>
        <w:t xml:space="preserve">The </w:t>
      </w:r>
      <w:r w:rsidR="00A62C6B">
        <w:rPr>
          <w:rFonts w:ascii="Times New Roman" w:eastAsia="MS PGothic" w:hAnsi="Times New Roman"/>
          <w:lang w:val="en-US"/>
        </w:rPr>
        <w:t>present work investigate</w:t>
      </w:r>
      <w:r>
        <w:rPr>
          <w:rFonts w:ascii="Times New Roman" w:eastAsia="MS PGothic" w:hAnsi="Times New Roman"/>
          <w:lang w:val="en-US"/>
        </w:rPr>
        <w:t>s</w:t>
      </w:r>
      <w:r w:rsidR="00A62C6B">
        <w:rPr>
          <w:rFonts w:ascii="Times New Roman" w:eastAsia="MS PGothic" w:hAnsi="Times New Roman"/>
          <w:lang w:val="en-US"/>
        </w:rPr>
        <w:t xml:space="preserve"> the</w:t>
      </w:r>
      <w:r w:rsidR="004A78A0" w:rsidRPr="00BF72BE">
        <w:rPr>
          <w:rFonts w:ascii="Times New Roman" w:eastAsia="MS PGothic" w:hAnsi="Times New Roman"/>
          <w:lang w:val="en-US"/>
        </w:rPr>
        <w:t xml:space="preserve"> possibility of installing</w:t>
      </w:r>
      <w:r w:rsidR="00A62C6B">
        <w:rPr>
          <w:rFonts w:ascii="Times New Roman" w:eastAsia="MS PGothic" w:hAnsi="Times New Roman"/>
          <w:lang w:val="en-US"/>
        </w:rPr>
        <w:t xml:space="preserve"> ammonia FCs </w:t>
      </w:r>
      <w:r w:rsidR="004A78A0">
        <w:rPr>
          <w:rFonts w:ascii="Times New Roman" w:eastAsia="MS PGothic" w:hAnsi="Times New Roman"/>
          <w:lang w:val="en-US"/>
        </w:rPr>
        <w:t>onboard</w:t>
      </w:r>
      <w:r w:rsidR="004A78A0" w:rsidRPr="00BF72BE">
        <w:rPr>
          <w:rFonts w:ascii="Times New Roman" w:eastAsia="MS PGothic" w:hAnsi="Times New Roman"/>
          <w:lang w:val="en-US"/>
        </w:rPr>
        <w:t xml:space="preserve"> </w:t>
      </w:r>
      <w:r w:rsidR="004A78A0">
        <w:rPr>
          <w:rFonts w:ascii="Times New Roman" w:eastAsia="MS PGothic" w:hAnsi="Times New Roman"/>
          <w:lang w:val="en-US"/>
        </w:rPr>
        <w:t>ships</w:t>
      </w:r>
      <w:r>
        <w:rPr>
          <w:rFonts w:ascii="Times New Roman" w:eastAsia="MS PGothic" w:hAnsi="Times New Roman"/>
          <w:lang w:val="en-US"/>
        </w:rPr>
        <w:t xml:space="preserve"> aiming to supply</w:t>
      </w:r>
      <w:r w:rsidR="00A62C6B">
        <w:rPr>
          <w:rFonts w:ascii="Times New Roman" w:eastAsia="MS PGothic" w:hAnsi="Times New Roman"/>
          <w:lang w:val="en-US"/>
        </w:rPr>
        <w:t xml:space="preserve"> the</w:t>
      </w:r>
      <w:r w:rsidR="004A78A0" w:rsidRPr="00BF72BE">
        <w:rPr>
          <w:rFonts w:ascii="Times New Roman" w:eastAsia="MS PGothic" w:hAnsi="Times New Roman"/>
          <w:lang w:val="en-US"/>
        </w:rPr>
        <w:t xml:space="preserve"> </w:t>
      </w:r>
      <w:r w:rsidR="004A78A0">
        <w:rPr>
          <w:rFonts w:ascii="Times New Roman" w:eastAsia="MS PGothic" w:hAnsi="Times New Roman"/>
          <w:lang w:val="en-US"/>
        </w:rPr>
        <w:t>hotel loads</w:t>
      </w:r>
      <w:r w:rsidR="004A78A0" w:rsidRPr="00BF72BE">
        <w:rPr>
          <w:rFonts w:ascii="Times New Roman" w:eastAsia="MS PGothic" w:hAnsi="Times New Roman"/>
          <w:lang w:val="en-US"/>
        </w:rPr>
        <w:t xml:space="preserve"> </w:t>
      </w:r>
      <w:r>
        <w:rPr>
          <w:rFonts w:ascii="Times New Roman" w:eastAsia="MS PGothic" w:hAnsi="Times New Roman"/>
          <w:lang w:val="en-US"/>
        </w:rPr>
        <w:t xml:space="preserve">and </w:t>
      </w:r>
      <w:r w:rsidR="004A78A0" w:rsidRPr="00BF72BE">
        <w:rPr>
          <w:rFonts w:ascii="Times New Roman" w:eastAsia="MS PGothic" w:hAnsi="Times New Roman"/>
          <w:lang w:val="en-US"/>
        </w:rPr>
        <w:t>to</w:t>
      </w:r>
      <w:r>
        <w:rPr>
          <w:rFonts w:ascii="Times New Roman" w:eastAsia="MS PGothic" w:hAnsi="Times New Roman"/>
          <w:lang w:val="en-US"/>
        </w:rPr>
        <w:t xml:space="preserve"> support the </w:t>
      </w:r>
      <w:r w:rsidR="004A78A0" w:rsidRPr="00BF72BE">
        <w:rPr>
          <w:rFonts w:ascii="Times New Roman" w:eastAsia="MS PGothic" w:hAnsi="Times New Roman"/>
          <w:lang w:val="en-US"/>
        </w:rPr>
        <w:t>propulsion</w:t>
      </w:r>
      <w:r w:rsidR="00B0703B">
        <w:rPr>
          <w:rFonts w:ascii="Times New Roman" w:eastAsia="MS PGothic" w:hAnsi="Times New Roman"/>
          <w:lang w:val="en-US"/>
        </w:rPr>
        <w:t xml:space="preserve"> in different operating conditions. The main purpose is to reach the zero-emission condition and to allow the navigation in E</w:t>
      </w:r>
      <w:r w:rsidR="004A78A0" w:rsidRPr="00BF72BE">
        <w:rPr>
          <w:rFonts w:ascii="Times New Roman" w:eastAsia="MS PGothic" w:hAnsi="Times New Roman"/>
          <w:lang w:val="en-US"/>
        </w:rPr>
        <w:t>mission</w:t>
      </w:r>
      <w:r w:rsidR="004A78A0">
        <w:rPr>
          <w:rFonts w:ascii="Times New Roman" w:eastAsia="MS PGothic" w:hAnsi="Times New Roman"/>
          <w:lang w:val="en-US"/>
        </w:rPr>
        <w:t xml:space="preserve"> </w:t>
      </w:r>
      <w:r w:rsidR="00B0703B">
        <w:rPr>
          <w:rFonts w:ascii="Times New Roman" w:eastAsia="MS PGothic" w:hAnsi="Times New Roman"/>
          <w:lang w:val="en-US"/>
        </w:rPr>
        <w:t>C</w:t>
      </w:r>
      <w:r w:rsidR="004A78A0">
        <w:rPr>
          <w:rFonts w:ascii="Times New Roman" w:eastAsia="MS PGothic" w:hAnsi="Times New Roman"/>
          <w:lang w:val="en-US"/>
        </w:rPr>
        <w:t>ontrol</w:t>
      </w:r>
      <w:r w:rsidR="004A78A0" w:rsidRPr="00BF72BE">
        <w:rPr>
          <w:rFonts w:ascii="Times New Roman" w:eastAsia="MS PGothic" w:hAnsi="Times New Roman"/>
          <w:lang w:val="en-US"/>
        </w:rPr>
        <w:t xml:space="preserve"> </w:t>
      </w:r>
      <w:r w:rsidR="00B0703B">
        <w:rPr>
          <w:rFonts w:ascii="Times New Roman" w:eastAsia="MS PGothic" w:hAnsi="Times New Roman"/>
          <w:lang w:val="en-US"/>
        </w:rPr>
        <w:t>A</w:t>
      </w:r>
      <w:r w:rsidR="004A78A0" w:rsidRPr="00BF72BE">
        <w:rPr>
          <w:rFonts w:ascii="Times New Roman" w:eastAsia="MS PGothic" w:hAnsi="Times New Roman"/>
          <w:lang w:val="en-US"/>
        </w:rPr>
        <w:t>reas</w:t>
      </w:r>
      <w:r w:rsidR="004A78A0">
        <w:rPr>
          <w:rFonts w:ascii="Times New Roman" w:eastAsia="MS PGothic" w:hAnsi="Times New Roman"/>
          <w:lang w:val="en-US"/>
        </w:rPr>
        <w:t xml:space="preserve"> (ECA)</w:t>
      </w:r>
      <w:r w:rsidR="004A78A0" w:rsidRPr="00945056">
        <w:rPr>
          <w:rFonts w:ascii="Times New Roman" w:eastAsia="MS PGothic" w:hAnsi="Times New Roman"/>
          <w:lang w:val="en-US"/>
        </w:rPr>
        <w:t>.</w:t>
      </w:r>
      <w:r w:rsidR="004A78A0">
        <w:rPr>
          <w:rFonts w:ascii="Times New Roman" w:eastAsia="MS PGothic" w:hAnsi="Times New Roman"/>
          <w:lang w:val="en-US"/>
        </w:rPr>
        <w:t xml:space="preserve"> A</w:t>
      </w:r>
      <w:r w:rsidR="004A78A0" w:rsidRPr="00945056">
        <w:rPr>
          <w:rFonts w:ascii="Times New Roman" w:eastAsia="MS PGothic" w:hAnsi="Times New Roman"/>
          <w:lang w:val="en-US"/>
        </w:rPr>
        <w:t xml:space="preserve"> comparison </w:t>
      </w:r>
      <w:r w:rsidR="004A78A0">
        <w:rPr>
          <w:rFonts w:ascii="Times New Roman" w:eastAsia="MS PGothic" w:hAnsi="Times New Roman"/>
          <w:lang w:val="en-US"/>
        </w:rPr>
        <w:t>ha</w:t>
      </w:r>
      <w:r w:rsidR="004A78A0" w:rsidRPr="00945056">
        <w:rPr>
          <w:rFonts w:ascii="Times New Roman" w:eastAsia="MS PGothic" w:hAnsi="Times New Roman"/>
          <w:lang w:val="en-US"/>
        </w:rPr>
        <w:t xml:space="preserve">s </w:t>
      </w:r>
      <w:r w:rsidR="004A78A0">
        <w:rPr>
          <w:rFonts w:ascii="Times New Roman" w:eastAsia="MS PGothic" w:hAnsi="Times New Roman"/>
          <w:lang w:val="en-US"/>
        </w:rPr>
        <w:t xml:space="preserve">been </w:t>
      </w:r>
      <w:r w:rsidR="004A78A0" w:rsidRPr="00945056">
        <w:rPr>
          <w:rFonts w:ascii="Times New Roman" w:eastAsia="MS PGothic" w:hAnsi="Times New Roman"/>
          <w:lang w:val="en-US"/>
        </w:rPr>
        <w:t xml:space="preserve">made between three different </w:t>
      </w:r>
      <w:r w:rsidR="00B0703B">
        <w:rPr>
          <w:rFonts w:ascii="Times New Roman" w:eastAsia="MS PGothic" w:hAnsi="Times New Roman"/>
          <w:lang w:val="en-US"/>
        </w:rPr>
        <w:t>FC</w:t>
      </w:r>
      <w:r w:rsidR="004A78A0" w:rsidRPr="00945056">
        <w:rPr>
          <w:rFonts w:ascii="Times New Roman" w:eastAsia="MS PGothic" w:hAnsi="Times New Roman"/>
          <w:lang w:val="en-US"/>
        </w:rPr>
        <w:t xml:space="preserve"> technologies: </w:t>
      </w:r>
      <w:r w:rsidR="004A78A0" w:rsidRPr="00C3579C">
        <w:rPr>
          <w:rFonts w:ascii="Times New Roman" w:eastAsia="MS PGothic" w:hAnsi="Times New Roman"/>
        </w:rPr>
        <w:t>Proton Exchange Membrane</w:t>
      </w:r>
      <w:r w:rsidR="004A78A0">
        <w:rPr>
          <w:rFonts w:ascii="Times New Roman" w:eastAsia="MS PGothic" w:hAnsi="Times New Roman"/>
          <w:lang w:val="en-US"/>
        </w:rPr>
        <w:t xml:space="preserve"> Fuel Cell (PEMFC)</w:t>
      </w:r>
      <w:r w:rsidR="004A78A0" w:rsidRPr="00945056">
        <w:rPr>
          <w:rFonts w:ascii="Times New Roman" w:eastAsia="MS PGothic" w:hAnsi="Times New Roman"/>
          <w:lang w:val="en-US"/>
        </w:rPr>
        <w:t xml:space="preserve">, </w:t>
      </w:r>
      <w:r w:rsidR="004A78A0" w:rsidRPr="00BE1C42">
        <w:rPr>
          <w:rFonts w:ascii="Times New Roman" w:eastAsia="MS PGothic" w:hAnsi="Times New Roman"/>
        </w:rPr>
        <w:t>Solid</w:t>
      </w:r>
      <w:r w:rsidR="004A78A0">
        <w:rPr>
          <w:rFonts w:ascii="Times New Roman" w:eastAsia="MS PGothic" w:hAnsi="Times New Roman"/>
          <w:lang w:val="en-US"/>
        </w:rPr>
        <w:t xml:space="preserve"> Oxide Fuel Cell (SOFC) and Alkaline Fuel Cell (AFC).</w:t>
      </w:r>
    </w:p>
    <w:p w14:paraId="0871BF31" w14:textId="77777777" w:rsidR="00DA51A3" w:rsidRPr="00466FFD" w:rsidRDefault="00DA51A3" w:rsidP="0027364C">
      <w:pPr>
        <w:snapToGrid w:val="0"/>
        <w:spacing w:before="240" w:after="16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2752CED" w14:textId="77777777" w:rsidR="00B015D7" w:rsidRPr="00B015D7" w:rsidRDefault="00B015D7" w:rsidP="00B015D7">
      <w:pPr>
        <w:pStyle w:val="Paragrafoelenco"/>
        <w:numPr>
          <w:ilvl w:val="0"/>
          <w:numId w:val="3"/>
        </w:numPr>
        <w:snapToGrid w:val="0"/>
        <w:rPr>
          <w:rFonts w:ascii="Times New Roman" w:eastAsia="MS PGothic" w:hAnsi="Times New Roman"/>
          <w:b/>
          <w:vanish/>
        </w:rPr>
      </w:pPr>
    </w:p>
    <w:p w14:paraId="617FDA9E" w14:textId="77777777" w:rsidR="00B015D7" w:rsidRPr="00B015D7" w:rsidRDefault="00B015D7" w:rsidP="00B015D7">
      <w:pPr>
        <w:pStyle w:val="Paragrafoelenco"/>
        <w:numPr>
          <w:ilvl w:val="0"/>
          <w:numId w:val="3"/>
        </w:numPr>
        <w:snapToGrid w:val="0"/>
        <w:rPr>
          <w:rFonts w:ascii="Times New Roman" w:eastAsia="MS PGothic" w:hAnsi="Times New Roman"/>
          <w:b/>
          <w:vanish/>
        </w:rPr>
      </w:pPr>
    </w:p>
    <w:p w14:paraId="13035C84" w14:textId="77777777" w:rsidR="00CF068E" w:rsidRPr="00CF068E" w:rsidRDefault="00CF068E" w:rsidP="00CF068E">
      <w:pPr>
        <w:pStyle w:val="Paragrafoelenco"/>
        <w:numPr>
          <w:ilvl w:val="0"/>
          <w:numId w:val="4"/>
        </w:numPr>
        <w:snapToGrid w:val="0"/>
        <w:spacing w:before="240" w:after="160" w:line="300" w:lineRule="auto"/>
        <w:rPr>
          <w:rFonts w:ascii="Times New Roman" w:eastAsia="MS PGothic" w:hAnsi="Times New Roman"/>
          <w:b/>
          <w:vanish/>
        </w:rPr>
      </w:pPr>
    </w:p>
    <w:p w14:paraId="54AFB926" w14:textId="77777777" w:rsidR="00CF068E" w:rsidRPr="00CF068E" w:rsidRDefault="00CF068E" w:rsidP="00CF068E">
      <w:pPr>
        <w:pStyle w:val="Paragrafoelenco"/>
        <w:numPr>
          <w:ilvl w:val="0"/>
          <w:numId w:val="4"/>
        </w:numPr>
        <w:snapToGrid w:val="0"/>
        <w:spacing w:before="240" w:after="160" w:line="300" w:lineRule="auto"/>
        <w:rPr>
          <w:rFonts w:ascii="Times New Roman" w:eastAsia="MS PGothic" w:hAnsi="Times New Roman"/>
          <w:b/>
          <w:vanish/>
        </w:rPr>
      </w:pPr>
    </w:p>
    <w:p w14:paraId="1D350DBB" w14:textId="0300E722" w:rsidR="00ED2344" w:rsidRDefault="00DC465E" w:rsidP="0027364C">
      <w:pPr>
        <w:pStyle w:val="Paragrafoelenco"/>
        <w:numPr>
          <w:ilvl w:val="1"/>
          <w:numId w:val="4"/>
        </w:numPr>
        <w:snapToGrid w:val="0"/>
        <w:spacing w:before="240" w:after="160" w:line="300" w:lineRule="auto"/>
        <w:ind w:left="788" w:hanging="431"/>
        <w:rPr>
          <w:rFonts w:ascii="Times New Roman" w:eastAsia="MS PGothic" w:hAnsi="Times New Roman"/>
          <w:b/>
        </w:rPr>
      </w:pPr>
      <w:r>
        <w:rPr>
          <w:rFonts w:ascii="Times New Roman" w:eastAsia="MS PGothic" w:hAnsi="Times New Roman"/>
          <w:b/>
        </w:rPr>
        <w:t>Fuel Cell Systems</w:t>
      </w:r>
    </w:p>
    <w:p w14:paraId="6426C262" w14:textId="77777777" w:rsidR="006E3622" w:rsidRDefault="006E3622" w:rsidP="006E3622">
      <w:pPr>
        <w:snapToGrid w:val="0"/>
        <w:spacing w:after="0"/>
        <w:rPr>
          <w:rFonts w:ascii="Times New Roman" w:hAnsi="Times New Roman"/>
        </w:rPr>
      </w:pPr>
      <w:r w:rsidRPr="006E3622">
        <w:rPr>
          <w:rFonts w:ascii="Times New Roman" w:hAnsi="Times New Roman"/>
        </w:rPr>
        <w:t>FC technologies considered in the present work are PEMFC, SOFC, AFC.</w:t>
      </w:r>
      <w:r>
        <w:rPr>
          <w:rFonts w:ascii="Times New Roman" w:hAnsi="Times New Roman"/>
        </w:rPr>
        <w:t xml:space="preserve"> </w:t>
      </w:r>
    </w:p>
    <w:p w14:paraId="0473D4A2" w14:textId="2659D8BE" w:rsidR="003B7214" w:rsidRDefault="00A403C4" w:rsidP="006E3622">
      <w:pPr>
        <w:snapToGrid w:val="0"/>
        <w:spacing w:after="0"/>
        <w:rPr>
          <w:rFonts w:ascii="Times New Roman" w:hAnsi="Times New Roman"/>
        </w:rPr>
      </w:pPr>
      <w:r w:rsidRPr="00A30B42">
        <w:rPr>
          <w:rFonts w:ascii="Times New Roman" w:hAnsi="Times New Roman"/>
        </w:rPr>
        <w:t xml:space="preserve">Ammonia can be fed to </w:t>
      </w:r>
      <w:r w:rsidR="006E3622">
        <w:rPr>
          <w:rFonts w:ascii="Times New Roman" w:hAnsi="Times New Roman"/>
        </w:rPr>
        <w:t xml:space="preserve">the SOFC and AFC </w:t>
      </w:r>
      <w:r w:rsidRPr="00A30B42">
        <w:rPr>
          <w:rFonts w:ascii="Times New Roman" w:hAnsi="Times New Roman"/>
        </w:rPr>
        <w:t>directly</w:t>
      </w:r>
      <w:r w:rsidR="006E3622">
        <w:rPr>
          <w:rFonts w:ascii="Times New Roman" w:hAnsi="Times New Roman"/>
        </w:rPr>
        <w:t>, while to PEMFC is</w:t>
      </w:r>
      <w:r w:rsidRPr="00A30B42">
        <w:rPr>
          <w:rFonts w:ascii="Times New Roman" w:hAnsi="Times New Roman"/>
        </w:rPr>
        <w:t xml:space="preserve"> used as a hydrogen carrier </w:t>
      </w:r>
      <w:r w:rsidRPr="00A30B42">
        <w:rPr>
          <w:rFonts w:ascii="Times New Roman" w:hAnsi="Times New Roman"/>
        </w:rPr>
        <w:fldChar w:fldCharType="begin" w:fldLock="1"/>
      </w:r>
      <w:r w:rsidR="00621A79">
        <w:rPr>
          <w:rFonts w:ascii="Times New Roman" w:hAnsi="Times New Roman"/>
        </w:rPr>
        <w:instrText>ADDIN CSL_CITATION {"citationItems":[{"id":"ITEM-1","itemData":{"DOI":"10.1016/J.TSEP.2018.02.011","ISSN":"2451-9049","abstract":"In this study, we present a comparative assessment of direct ammonia fuel cells and a discussion of these from various perspectives by considering the effective criteria. The effect of electrolyte and electrode materials, electrolyte thicknesses and operating temperatures on the performance of direct ammonia fuel cells are studied and discussed comparatively for evaluation purposes. A comparison of which cell types and configurations provide the optimum performance is conducted by utilizing the experimental results reported in the literature. The results of this study are expedient to provide important inferences about the performances of direct ammonia fuel cells. Ammonia fed oxygen ion conducting Samarium doped ceria electrolyte based solid oxide fuel cells have comparatively the highest peak power density of 1190 mW/cm2 when operated at 650 °C with a 10 µm thick electrolyte. Direct ammonia proton conducting electrolyte based solid oxide fuel cells have lower cell performance than oxygen ion conducting fuel cells due to the dilution of hydrogen at the anode by undecomposed ammonia as well as formed nitrogen gas. The operating temperature of the fuel cell and electrolyte thickness affect the cell performance considerably. A 200 °C increase in operating temperature increases the peak power density by nearly three to four times for ammonia fed solid oxide fuel cells. The molten alkaline electrolyte based fuel cells can be a promising technology. Further research is required for these type of fuel cells to investigate their performance with low electrode separation distance and more conductive alkaline electrolytes.","author":[{"dropping-particle":"","family":"Siddiqui","given":"Osamah","non-dropping-particle":"","parse-names":false,"suffix":""},{"dropping-particle":"","family":"Dincer","given":"Ibrahim","non-dropping-particle":"","parse-names":false,"suffix":""}],"container-title":"Thermal Science and Engineering Progress","id":"ITEM-1","issued":{"date-parts":[["2018","3","1"]]},"page":"568-578","publisher":"Elsevier","title":"A review and comparative assessment of direct ammonia fuel cells","type":"article-journal","volume":"5"},"uris":["http://www.mendeley.com/documents/?uuid=4a669571-bed4-35c8-89df-1cba992a7f1a"]},{"id":"ITEM-2","itemData":{"DOI":"10.5772/47759","ISBN":"978-953-51-0812-2","abstract":"The objectives of this paper are to identify, evaluate and summarize the key issues and advantages and disadvantages associated with ammonia as an energy carrier for on-board vehicular hydrogen storage. These issues have been investigated by the U.S. Department of Energy (DOE) with input from various sources including members of the Hydrogen Storage Technical Team of the FreedomCAR &amp; Fuel Partnership (a partnership among DOE, BP America, Chevron Corporation, ConocoPhillips, Exxon Mobil Corporation, Shell Hydrogen (U.S.), and the United States Council for Automotive Research (USCAR- a legal partnership among DaimlerChrysler Corporation, Ford Motor Company, and General Motors Corporation). The outcome of this investigation is a discussion of the potential roles that ammonia might play in a hydrogen economy, particularly with regard to the viability of ammonia as an on-board hydrogen carrier for fuel cell vehicles. Ammonia has a number of favorable attributes, the primary one being its high capacity for hydrogen storage, 17.6 wt.%, based on its molecular structure. However, in order to release hydrogen from ammonia, significant energy input as well as reactor mass and volume are required. Other considerations include safety and toxicity issues, both actual and perceived, as well as the incompatibility of polymer electrolyte membrane (PEM) fuel cells in the presence of even trace levels of ammonia (&gt; 0.1ppm). Given the state of the art in ‘cracking’ ammonia to produce hydrogen, there are many issues in the on-board use of ammonia similar to those identified for on-board fuel processors. Specifically, these include: high operating temperature (&gt;500° C); longevity and reliability of catalysts and other components (at high temperatures and in the presence of impurities); start-up time (to get the system up to operating temperature); purification requirements (to prevent ammonia poisoning of fuel cells); complexity of the overall system; energy efficiency (on-board ammonia would have to be burned in the cracking process); cost (currently ~$100K for 1-3 g H2/s stationary units); and reactor weight and volume (commercial units with sufficient throughput currently weigh about 2000-5000 kg and are about 3000-6000 liters in size). Simply stated, most of the performance parameters of ammonia reactors would need at least two orders- of-magnitude improvements in order to be used on-board commercially viable hydrogen- powered fuel cell vehicles. Due to the above reasons…","author":[{"dropping-particle":"","family":"Cheddie","given":"Denver","non-dropping-particle":"","parse-names":false,"suffix":""}],"container-title":"Hydrogen Energy - Challenges and Perspectives","id":"ITEM-2","issued":{"date-parts":[["2012","10","17"]]},"publisher":"IntechOpen","title":"Ammonia as a Hydrogen Source for Fuel Cells: A Review","type":"article-journal"},"uris":["http://www.mendeley.com/documents/?uuid=9cda60e2-73df-3891-beec-f1f258827c41"]}],"mendeley":{"formattedCitation":"[17], [18]","plainTextFormattedCitation":"[17], [18]","previouslyFormattedCitation":"[18], [19]"},"properties":{"noteIndex":0},"schema":"https://github.com/citation-style-language/schema/raw/master/csl-citation.json"}</w:instrText>
      </w:r>
      <w:r w:rsidRPr="00A30B42">
        <w:rPr>
          <w:rFonts w:ascii="Times New Roman" w:hAnsi="Times New Roman"/>
        </w:rPr>
        <w:fldChar w:fldCharType="separate"/>
      </w:r>
      <w:r w:rsidR="00621A79" w:rsidRPr="00621A79">
        <w:rPr>
          <w:rFonts w:ascii="Times New Roman" w:hAnsi="Times New Roman"/>
          <w:noProof/>
        </w:rPr>
        <w:t>[17, 18]</w:t>
      </w:r>
      <w:r w:rsidRPr="00A30B42">
        <w:rPr>
          <w:rFonts w:ascii="Times New Roman" w:hAnsi="Times New Roman"/>
        </w:rPr>
        <w:fldChar w:fldCharType="end"/>
      </w:r>
      <w:r w:rsidRPr="00A30B42">
        <w:rPr>
          <w:rFonts w:ascii="Times New Roman" w:hAnsi="Times New Roman"/>
        </w:rPr>
        <w:t>. In the latter case, ammonia is dissociated easily into nitrogen (N</w:t>
      </w:r>
      <w:r w:rsidRPr="00A30B42">
        <w:rPr>
          <w:rFonts w:ascii="Times New Roman" w:hAnsi="Times New Roman"/>
          <w:vertAlign w:val="subscript"/>
        </w:rPr>
        <w:t>2</w:t>
      </w:r>
      <w:r w:rsidRPr="00A30B42">
        <w:rPr>
          <w:rFonts w:ascii="Times New Roman" w:hAnsi="Times New Roman"/>
        </w:rPr>
        <w:t>) and hydrogen (H</w:t>
      </w:r>
      <w:r w:rsidRPr="00A30B42">
        <w:rPr>
          <w:rFonts w:ascii="Times New Roman" w:hAnsi="Times New Roman"/>
          <w:vertAlign w:val="subscript"/>
        </w:rPr>
        <w:t>2</w:t>
      </w:r>
      <w:r w:rsidRPr="00A30B42">
        <w:rPr>
          <w:rFonts w:ascii="Times New Roman" w:hAnsi="Times New Roman"/>
        </w:rPr>
        <w:t xml:space="preserve">) through an endothermic reaction, then the produced hydrogen is concentrated before feeding </w:t>
      </w:r>
      <w:r w:rsidR="00113952" w:rsidRPr="00A30B42">
        <w:rPr>
          <w:rFonts w:ascii="Times New Roman" w:hAnsi="Times New Roman"/>
        </w:rPr>
        <w:t>an</w:t>
      </w:r>
      <w:r w:rsidRPr="00A30B42">
        <w:rPr>
          <w:rFonts w:ascii="Times New Roman" w:hAnsi="Times New Roman"/>
        </w:rPr>
        <w:t xml:space="preserve"> </w:t>
      </w:r>
      <w:r w:rsidR="00113952" w:rsidRPr="00A30B42">
        <w:rPr>
          <w:rFonts w:ascii="Times New Roman" w:hAnsi="Times New Roman"/>
        </w:rPr>
        <w:t>FC</w:t>
      </w:r>
      <w:r w:rsidRPr="00A30B42">
        <w:rPr>
          <w:rFonts w:ascii="Times New Roman" w:hAnsi="Times New Roman"/>
        </w:rPr>
        <w:t>.</w:t>
      </w:r>
    </w:p>
    <w:p w14:paraId="77814C55" w14:textId="77777777" w:rsidR="00F25603" w:rsidRPr="004E2690" w:rsidRDefault="00F25603" w:rsidP="00F25603">
      <w:pPr>
        <w:rPr>
          <w:rFonts w:ascii="Times New Roman" w:eastAsia="Calibri" w:hAnsi="Times New Roman" w:cs="Times New Roman"/>
          <w:iCs/>
        </w:rPr>
      </w:pPr>
      <w:r>
        <w:rPr>
          <w:rFonts w:ascii="Times New Roman" w:eastAsia="MS PGothic" w:hAnsi="Times New Roman"/>
          <w:lang w:val="en-US"/>
        </w:rPr>
        <w:t>F</w:t>
      </w:r>
      <w:r w:rsidRPr="000E3B84">
        <w:rPr>
          <w:rFonts w:ascii="Times New Roman" w:eastAsia="MS PGothic" w:hAnsi="Times New Roman"/>
          <w:lang w:val="en-US"/>
        </w:rPr>
        <w:t xml:space="preserve">or all cases under consideration, the flow rate of fuel to be treated </w:t>
      </w:r>
      <w:r>
        <w:rPr>
          <w:rFonts w:ascii="Times New Roman" w:eastAsia="MS PGothic" w:hAnsi="Times New Roman"/>
          <w:lang w:val="en-US"/>
        </w:rPr>
        <w:t>ha</w:t>
      </w:r>
      <w:r w:rsidRPr="000E3B84">
        <w:rPr>
          <w:rFonts w:ascii="Times New Roman" w:eastAsia="MS PGothic" w:hAnsi="Times New Roman"/>
          <w:lang w:val="en-US"/>
        </w:rPr>
        <w:t xml:space="preserve">s </w:t>
      </w:r>
      <w:r>
        <w:rPr>
          <w:rFonts w:ascii="Times New Roman" w:eastAsia="MS PGothic" w:hAnsi="Times New Roman"/>
          <w:lang w:val="en-US"/>
        </w:rPr>
        <w:t xml:space="preserve">been </w:t>
      </w:r>
      <w:r w:rsidRPr="000E3B84">
        <w:rPr>
          <w:rFonts w:ascii="Times New Roman" w:eastAsia="MS PGothic" w:hAnsi="Times New Roman"/>
          <w:lang w:val="en-US"/>
        </w:rPr>
        <w:t xml:space="preserve">estimated using relation </w:t>
      </w:r>
      <w:r>
        <w:rPr>
          <w:rFonts w:ascii="Times New Roman" w:eastAsia="MS PGothic" w:hAnsi="Times New Roman"/>
          <w:lang w:val="en-US"/>
        </w:rPr>
        <w:t xml:space="preserve">(1), </w:t>
      </w:r>
      <w:proofErr w:type="gramStart"/>
      <w:r w:rsidRPr="004E2690">
        <w:rPr>
          <w:rFonts w:ascii="Times New Roman" w:eastAsia="Calibri" w:hAnsi="Times New Roman" w:cs="Times New Roman"/>
          <w:iCs/>
        </w:rPr>
        <w:t>assuming that</w:t>
      </w:r>
      <w:proofErr w:type="gramEnd"/>
      <w:r w:rsidRPr="004E2690">
        <w:rPr>
          <w:rFonts w:ascii="Times New Roman" w:eastAsia="Calibri" w:hAnsi="Times New Roman" w:cs="Times New Roman"/>
          <w:iCs/>
        </w:rPr>
        <w:t xml:space="preserve"> the electrical efficiency (η) is constant:</w:t>
      </w:r>
    </w:p>
    <w:p w14:paraId="365A3D95" w14:textId="57804BEE" w:rsidR="00F25603" w:rsidRPr="003C3D76" w:rsidRDefault="00F25603" w:rsidP="00F25603">
      <w:pPr>
        <w:suppressAutoHyphens/>
        <w:spacing w:before="120"/>
        <w:rPr>
          <w:rFonts w:ascii="Cambria Math" w:eastAsia="Calibri" w:hAnsi="Cambria Math" w:cs="Cambria Math"/>
          <w:iCs/>
        </w:rPr>
      </w:pPr>
      <w:r w:rsidRPr="004E2690">
        <w:rPr>
          <w:rFonts w:ascii="Cambria Math" w:eastAsia="Calibri" w:hAnsi="Cambria Math" w:cs="Cambria Math"/>
          <w:iCs/>
        </w:rPr>
        <w:t>𝑚</w:t>
      </w:r>
      <w:r w:rsidRPr="004E2690">
        <w:rPr>
          <w:rFonts w:ascii="Times New Roman" w:eastAsia="Calibri" w:hAnsi="Times New Roman" w:cs="Times New Roman"/>
          <w:iCs/>
        </w:rPr>
        <w:t xml:space="preserve"> = </w:t>
      </w:r>
      <w:r w:rsidRPr="004E2690">
        <w:rPr>
          <w:rFonts w:ascii="Cambria Math" w:eastAsia="Calibri" w:hAnsi="Cambria Math" w:cs="Cambria Math"/>
          <w:iCs/>
        </w:rPr>
        <w:t>𝑃</w:t>
      </w:r>
      <w:r w:rsidRPr="004E2690">
        <w:rPr>
          <w:rFonts w:ascii="Times New Roman" w:eastAsia="Calibri" w:hAnsi="Times New Roman" w:cs="Times New Roman"/>
          <w:iCs/>
        </w:rPr>
        <w:t xml:space="preserve">/η </w:t>
      </w:r>
      <w:r w:rsidRPr="004E2690">
        <w:rPr>
          <w:rFonts w:ascii="Cambria Math" w:eastAsia="Calibri" w:hAnsi="Cambria Math" w:cs="Cambria Math"/>
          <w:iCs/>
        </w:rPr>
        <w:t>𝐿𝐻𝑉</w:t>
      </w:r>
      <w:r w:rsidRPr="004E2690">
        <w:rPr>
          <w:rFonts w:ascii="Cambria Math" w:eastAsia="Calibri" w:hAnsi="Cambria Math" w:cs="Cambria Math"/>
          <w:iCs/>
        </w:rPr>
        <w:tab/>
      </w:r>
      <w:r w:rsidRPr="004E2690">
        <w:rPr>
          <w:rFonts w:ascii="Cambria Math" w:eastAsia="Calibri" w:hAnsi="Cambria Math" w:cs="Cambria Math"/>
          <w:iCs/>
        </w:rPr>
        <w:tab/>
      </w:r>
      <w:r>
        <w:rPr>
          <w:rFonts w:ascii="Cambria Math" w:eastAsia="Calibri" w:hAnsi="Cambria Math" w:cs="Cambria Math"/>
          <w:iCs/>
        </w:rPr>
        <w:tab/>
      </w:r>
      <w:r>
        <w:rPr>
          <w:rFonts w:ascii="Cambria Math" w:eastAsia="Calibri" w:hAnsi="Cambria Math" w:cs="Cambria Math"/>
          <w:iCs/>
        </w:rPr>
        <w:tab/>
      </w:r>
      <w:r w:rsidR="00C315F1">
        <w:rPr>
          <w:rFonts w:ascii="Cambria Math" w:eastAsia="Calibri" w:hAnsi="Cambria Math" w:cs="Cambria Math"/>
          <w:iCs/>
        </w:rPr>
        <w:tab/>
      </w:r>
      <w:r w:rsidR="00C315F1">
        <w:rPr>
          <w:rFonts w:ascii="Cambria Math" w:eastAsia="Calibri" w:hAnsi="Cambria Math" w:cs="Cambria Math"/>
          <w:iCs/>
        </w:rPr>
        <w:tab/>
      </w:r>
      <w:r>
        <w:rPr>
          <w:rFonts w:ascii="Cambria Math" w:eastAsia="Calibri" w:hAnsi="Cambria Math" w:cs="Cambria Math"/>
          <w:iCs/>
        </w:rPr>
        <w:tab/>
      </w:r>
      <w:r w:rsidRPr="0027364C">
        <w:rPr>
          <w:rFonts w:ascii="Cambria Math" w:eastAsia="Calibri" w:hAnsi="Cambria Math" w:cs="Cambria Math"/>
          <w:iCs/>
        </w:rPr>
        <w:t>(1)</w:t>
      </w:r>
    </w:p>
    <w:p w14:paraId="6F2B7755" w14:textId="1E59D0F0" w:rsidR="00F25603" w:rsidRPr="006E3622" w:rsidRDefault="00F25603" w:rsidP="0027364C">
      <w:pPr>
        <w:suppressAutoHyphens/>
        <w:spacing w:after="0" w:line="240" w:lineRule="auto"/>
        <w:rPr>
          <w:rFonts w:ascii="Times New Roman" w:hAnsi="Times New Roman"/>
        </w:rPr>
      </w:pPr>
      <w:r w:rsidRPr="004E2690">
        <w:rPr>
          <w:rFonts w:ascii="Times New Roman" w:eastAsia="Calibri" w:hAnsi="Times New Roman" w:cs="Times New Roman"/>
          <w:iCs/>
        </w:rPr>
        <w:t xml:space="preserve">Where </w:t>
      </w:r>
      <w:r w:rsidRPr="004E2690">
        <w:rPr>
          <w:rFonts w:ascii="Times New Roman" w:eastAsia="Calibri" w:hAnsi="Times New Roman" w:cs="Times New Roman"/>
          <w:i/>
        </w:rPr>
        <w:t>P</w:t>
      </w:r>
      <w:r w:rsidRPr="004E2690">
        <w:rPr>
          <w:rFonts w:ascii="Times New Roman" w:eastAsia="Calibri" w:hAnsi="Times New Roman" w:cs="Times New Roman"/>
          <w:iCs/>
        </w:rPr>
        <w:t xml:space="preserve"> is the power generated</w:t>
      </w:r>
      <w:r>
        <w:rPr>
          <w:rFonts w:ascii="Times New Roman" w:eastAsia="Calibri" w:hAnsi="Times New Roman" w:cs="Times New Roman"/>
          <w:iCs/>
        </w:rPr>
        <w:t>,</w:t>
      </w:r>
      <w:r w:rsidRPr="004E2690">
        <w:rPr>
          <w:rFonts w:ascii="Times New Roman" w:eastAsia="Calibri" w:hAnsi="Times New Roman" w:cs="Times New Roman"/>
          <w:iCs/>
        </w:rPr>
        <w:t xml:space="preserve"> </w:t>
      </w:r>
      <w:r w:rsidRPr="004E2690">
        <w:rPr>
          <w:rFonts w:ascii="Times New Roman" w:eastAsia="Calibri" w:hAnsi="Times New Roman" w:cs="Times New Roman"/>
          <w:i/>
        </w:rPr>
        <w:t>LHV</w:t>
      </w:r>
      <w:r w:rsidRPr="004E2690">
        <w:rPr>
          <w:rFonts w:ascii="Times New Roman" w:eastAsia="Calibri" w:hAnsi="Times New Roman" w:cs="Times New Roman"/>
          <w:iCs/>
        </w:rPr>
        <w:t xml:space="preserve"> is the lower heating value of hydrogen (120 MJ/kg)</w:t>
      </w:r>
      <w:r>
        <w:rPr>
          <w:rFonts w:ascii="Times New Roman" w:eastAsia="Calibri" w:hAnsi="Times New Roman" w:cs="Times New Roman"/>
          <w:iCs/>
        </w:rPr>
        <w:t xml:space="preserve"> or ammonia (18.48 MJ/kg)</w:t>
      </w:r>
      <w:r w:rsidRPr="004E2690">
        <w:rPr>
          <w:rFonts w:ascii="Times New Roman" w:eastAsia="Calibri" w:hAnsi="Times New Roman" w:cs="Times New Roman"/>
          <w:iCs/>
        </w:rPr>
        <w:t>.</w:t>
      </w:r>
    </w:p>
    <w:p w14:paraId="79EDB774" w14:textId="3031EC5D" w:rsidR="00DE510E" w:rsidRDefault="00DE510E" w:rsidP="00133DC9">
      <w:pPr>
        <w:pStyle w:val="Paragrafoelenco"/>
        <w:numPr>
          <w:ilvl w:val="2"/>
          <w:numId w:val="4"/>
        </w:numPr>
        <w:snapToGrid w:val="0"/>
        <w:spacing w:before="240" w:after="160" w:line="300" w:lineRule="auto"/>
        <w:ind w:left="1225" w:hanging="505"/>
        <w:rPr>
          <w:rFonts w:ascii="Times New Roman" w:eastAsia="MS PGothic" w:hAnsi="Times New Roman"/>
          <w:b/>
        </w:rPr>
      </w:pPr>
      <w:r w:rsidRPr="00DE510E">
        <w:rPr>
          <w:rFonts w:ascii="Times New Roman" w:eastAsia="MS PGothic" w:hAnsi="Times New Roman"/>
          <w:b/>
        </w:rPr>
        <w:t>Proton Exchange Membrane Fuel Ce</w:t>
      </w:r>
      <w:r>
        <w:rPr>
          <w:rFonts w:ascii="Times New Roman" w:eastAsia="MS PGothic" w:hAnsi="Times New Roman"/>
          <w:b/>
        </w:rPr>
        <w:t>ll</w:t>
      </w:r>
    </w:p>
    <w:p w14:paraId="384E7370" w14:textId="0FF8A0F6" w:rsidR="00BE3BC0" w:rsidRPr="00BE3BC0" w:rsidRDefault="00053A95" w:rsidP="006E3622">
      <w:pPr>
        <w:snapToGrid w:val="0"/>
        <w:spacing w:after="0"/>
        <w:rPr>
          <w:rFonts w:ascii="Times New Roman" w:eastAsia="MS PGothic" w:hAnsi="Times New Roman"/>
        </w:rPr>
      </w:pPr>
      <w:r w:rsidRPr="00053A95">
        <w:rPr>
          <w:rFonts w:ascii="Times New Roman" w:eastAsia="MS PGothic" w:hAnsi="Times New Roman"/>
        </w:rPr>
        <w:t xml:space="preserve">PEMFCs use a polymer membrane with high proton conductivity as an electrolyte and operate at temperatures between 70 and 100 °C; they are mainly developed for </w:t>
      </w:r>
      <w:r w:rsidR="00113952">
        <w:rPr>
          <w:rFonts w:ascii="Times New Roman" w:eastAsia="MS PGothic" w:hAnsi="Times New Roman"/>
        </w:rPr>
        <w:t>automotive</w:t>
      </w:r>
      <w:r w:rsidRPr="00053A95">
        <w:rPr>
          <w:rFonts w:ascii="Times New Roman" w:eastAsia="MS PGothic" w:hAnsi="Times New Roman"/>
        </w:rPr>
        <w:t xml:space="preserve"> and small-scale </w:t>
      </w:r>
      <w:r w:rsidR="00113952">
        <w:rPr>
          <w:rFonts w:ascii="Times New Roman" w:eastAsia="MS PGothic" w:hAnsi="Times New Roman"/>
        </w:rPr>
        <w:t xml:space="preserve">power </w:t>
      </w:r>
      <w:r w:rsidRPr="00053A95">
        <w:rPr>
          <w:rFonts w:ascii="Times New Roman" w:eastAsia="MS PGothic" w:hAnsi="Times New Roman"/>
        </w:rPr>
        <w:t>generation (1-250 kW)</w:t>
      </w:r>
      <w:r w:rsidR="00113952">
        <w:rPr>
          <w:rFonts w:ascii="Times New Roman" w:eastAsia="MS PGothic" w:hAnsi="Times New Roman"/>
        </w:rPr>
        <w:t xml:space="preserve"> applications</w:t>
      </w:r>
      <w:r w:rsidR="00DB7E9B">
        <w:rPr>
          <w:rFonts w:ascii="Times New Roman" w:eastAsia="MS PGothic" w:hAnsi="Times New Roman"/>
        </w:rPr>
        <w:t>. T</w:t>
      </w:r>
      <w:r w:rsidR="0073463E" w:rsidRPr="00945056">
        <w:rPr>
          <w:rFonts w:ascii="Times New Roman" w:eastAsia="MS PGothic" w:hAnsi="Times New Roman"/>
          <w:lang w:val="en-US"/>
        </w:rPr>
        <w:t xml:space="preserve">he product </w:t>
      </w:r>
      <w:proofErr w:type="spellStart"/>
      <w:r w:rsidR="0073463E" w:rsidRPr="00945056">
        <w:rPr>
          <w:rFonts w:ascii="Times New Roman" w:eastAsia="MS PGothic" w:hAnsi="Times New Roman"/>
          <w:lang w:val="en-US"/>
        </w:rPr>
        <w:t>FCgen</w:t>
      </w:r>
      <w:proofErr w:type="spellEnd"/>
      <w:r w:rsidR="0073463E" w:rsidRPr="00945056">
        <w:rPr>
          <w:rFonts w:ascii="Times New Roman" w:eastAsia="MS PGothic" w:hAnsi="Times New Roman"/>
          <w:lang w:val="en-US"/>
        </w:rPr>
        <w:t xml:space="preserve">®-HPS provided by Ballard (Canada) has been assumed as </w:t>
      </w:r>
      <w:r w:rsidR="0073463E">
        <w:rPr>
          <w:rFonts w:ascii="Times New Roman" w:eastAsia="MS PGothic" w:hAnsi="Times New Roman"/>
          <w:lang w:val="en-US"/>
        </w:rPr>
        <w:t xml:space="preserve">a </w:t>
      </w:r>
      <w:r w:rsidR="0073463E" w:rsidRPr="00945056">
        <w:rPr>
          <w:rFonts w:ascii="Times New Roman" w:eastAsia="MS PGothic" w:hAnsi="Times New Roman"/>
          <w:lang w:val="en-US"/>
        </w:rPr>
        <w:t xml:space="preserve">reference </w:t>
      </w:r>
      <w:r w:rsidR="0073463E" w:rsidRPr="00945056">
        <w:rPr>
          <w:rFonts w:ascii="Times New Roman" w:eastAsia="MS PGothic" w:hAnsi="Times New Roman"/>
          <w:lang w:val="en-US"/>
        </w:rPr>
        <w:fldChar w:fldCharType="begin" w:fldLock="1"/>
      </w:r>
      <w:r w:rsidR="00621A79">
        <w:rPr>
          <w:rFonts w:ascii="Times New Roman" w:eastAsia="MS PGothic" w:hAnsi="Times New Roman"/>
          <w:lang w:val="en-US"/>
        </w:rPr>
        <w:instrText>ADDIN CSL_CITATION {"citationItems":[{"id":"ITEM-1","itemData":{"URL":"https://www.ballard.com/about-ballard/publication_library/product-specification-sheets/fcgen-hps-spec-sheet","accessed":{"date-parts":[["2022","2","24"]]},"id":"ITEM-1","issued":{"date-parts":[["0"]]},"title":"FCgen HPS Spec Sheet","type":"webpage"},"uris":["http://www.mendeley.com/documents/?uuid=f676c41d-b362-39b1-90c3-14ddb1019010"]}],"mendeley":{"formattedCitation":"[22]","plainTextFormattedCitation":"[22]","previouslyFormattedCitation":"[23]"},"properties":{"noteIndex":0},"schema":"https://github.com/citation-style-language/schema/raw/master/csl-citation.json"}</w:instrText>
      </w:r>
      <w:r w:rsidR="0073463E" w:rsidRPr="00945056">
        <w:rPr>
          <w:rFonts w:ascii="Times New Roman" w:eastAsia="MS PGothic" w:hAnsi="Times New Roman"/>
          <w:lang w:val="en-US"/>
        </w:rPr>
        <w:fldChar w:fldCharType="separate"/>
      </w:r>
      <w:r w:rsidR="00621A79" w:rsidRPr="00621A79">
        <w:rPr>
          <w:rFonts w:ascii="Times New Roman" w:eastAsia="MS PGothic" w:hAnsi="Times New Roman"/>
          <w:noProof/>
          <w:lang w:val="en-US"/>
        </w:rPr>
        <w:t>[22]</w:t>
      </w:r>
      <w:r w:rsidR="0073463E" w:rsidRPr="00945056">
        <w:rPr>
          <w:rFonts w:ascii="Times New Roman" w:eastAsia="MS PGothic" w:hAnsi="Times New Roman"/>
          <w:lang w:val="en-US"/>
        </w:rPr>
        <w:fldChar w:fldCharType="end"/>
      </w:r>
      <w:r w:rsidR="0073463E">
        <w:rPr>
          <w:rFonts w:ascii="Times New Roman" w:eastAsia="MS PGothic" w:hAnsi="Times New Roman"/>
          <w:lang w:val="en-US"/>
        </w:rPr>
        <w:t xml:space="preserve">, </w:t>
      </w:r>
      <w:r w:rsidR="0073463E" w:rsidRPr="00945056">
        <w:rPr>
          <w:rFonts w:ascii="Times New Roman" w:eastAsia="MS PGothic" w:hAnsi="Times New Roman"/>
          <w:lang w:val="en-US"/>
        </w:rPr>
        <w:t xml:space="preserve">which operates at low temperature (70-80 °C). This PEM module provides 140 kW power </w:t>
      </w:r>
      <w:r w:rsidR="0073463E" w:rsidRPr="00705A9A">
        <w:rPr>
          <w:rFonts w:ascii="Times New Roman" w:eastAsia="MS PGothic" w:hAnsi="Times New Roman"/>
        </w:rPr>
        <w:t xml:space="preserve">with </w:t>
      </w:r>
      <w:r w:rsidR="0073463E">
        <w:rPr>
          <w:rFonts w:ascii="Times New Roman" w:eastAsia="MS PGothic" w:hAnsi="Times New Roman"/>
        </w:rPr>
        <w:t>an</w:t>
      </w:r>
      <w:r w:rsidR="0073463E" w:rsidRPr="00705A9A">
        <w:rPr>
          <w:rFonts w:ascii="Times New Roman" w:eastAsia="MS PGothic" w:hAnsi="Times New Roman"/>
        </w:rPr>
        <w:t xml:space="preserve"> electrical efficiency of 55%</w:t>
      </w:r>
      <w:r w:rsidR="0073463E">
        <w:rPr>
          <w:rFonts w:ascii="Times New Roman" w:eastAsia="MS PGothic" w:hAnsi="Times New Roman"/>
        </w:rPr>
        <w:t>.</w:t>
      </w:r>
      <w:r w:rsidR="00386B02">
        <w:rPr>
          <w:rFonts w:ascii="Times New Roman" w:eastAsia="MS PGothic" w:hAnsi="Times New Roman"/>
        </w:rPr>
        <w:t xml:space="preserve"> </w:t>
      </w:r>
      <w:r w:rsidR="00386B02" w:rsidRPr="00692683">
        <w:rPr>
          <w:rFonts w:ascii="Times New Roman" w:eastAsia="MS PGothic" w:hAnsi="Times New Roman"/>
        </w:rPr>
        <w:t>The electrodes must be made of porous materials to allow diffusion of the reactant gases into the active zones, where the noble metal catalyst is in contact with the ionic and electronic conductor.</w:t>
      </w:r>
      <w:r w:rsidR="00386B02">
        <w:rPr>
          <w:rFonts w:ascii="Times New Roman" w:eastAsia="MS PGothic" w:hAnsi="Times New Roman"/>
        </w:rPr>
        <w:t xml:space="preserve"> </w:t>
      </w:r>
      <w:r w:rsidR="00BE3BC0" w:rsidRPr="00BE3BC0">
        <w:rPr>
          <w:rFonts w:ascii="Times New Roman" w:eastAsia="MS PGothic" w:hAnsi="Times New Roman"/>
        </w:rPr>
        <w:t>The membrane is semi-permeable, allowing positive ions to pass through, but providing electrical isolation by not allowing electrons to pass, which are forced to travel through the external circuit set up to transfer electrical energy from the fuel cell to the user. The membrane must be impregnated with a precise amount of water, which is controlled during operation by humidifying the hydrogen and air introduced.</w:t>
      </w:r>
      <w:r w:rsidR="00F25603">
        <w:rPr>
          <w:rFonts w:ascii="Times New Roman" w:eastAsia="MS PGothic" w:hAnsi="Times New Roman"/>
        </w:rPr>
        <w:t xml:space="preserve"> </w:t>
      </w:r>
      <w:r w:rsidR="00F25603" w:rsidRPr="001552C6">
        <w:rPr>
          <w:rFonts w:ascii="Times New Roman" w:eastAsia="MS PGothic" w:hAnsi="Times New Roman"/>
        </w:rPr>
        <w:t xml:space="preserve">A basic working scheme is shown in Figure </w:t>
      </w:r>
      <w:r w:rsidR="005C0B5C">
        <w:rPr>
          <w:rFonts w:ascii="Times New Roman" w:eastAsia="MS PGothic" w:hAnsi="Times New Roman"/>
        </w:rPr>
        <w:t>1</w:t>
      </w:r>
      <w:r w:rsidR="00982F73" w:rsidRPr="001552C6">
        <w:rPr>
          <w:rFonts w:ascii="Times New Roman" w:eastAsia="MS PGothic" w:hAnsi="Times New Roman"/>
        </w:rPr>
        <w:t xml:space="preserve"> and other main characteristics are reported in Table </w:t>
      </w:r>
      <w:r w:rsidR="005C0B5C">
        <w:rPr>
          <w:rFonts w:ascii="Times New Roman" w:eastAsia="MS PGothic" w:hAnsi="Times New Roman"/>
        </w:rPr>
        <w:t>1</w:t>
      </w:r>
      <w:r w:rsidR="00982F73" w:rsidRPr="001552C6">
        <w:rPr>
          <w:rFonts w:ascii="Times New Roman" w:eastAsia="MS PGothic" w:hAnsi="Times New Roman"/>
        </w:rPr>
        <w:t>.</w:t>
      </w:r>
    </w:p>
    <w:p w14:paraId="1A6C61E7" w14:textId="285B1B36" w:rsidR="00943AF8" w:rsidRDefault="00943AF8" w:rsidP="006E3622">
      <w:pPr>
        <w:snapToGrid w:val="0"/>
        <w:spacing w:after="0" w:line="300" w:lineRule="auto"/>
        <w:rPr>
          <w:rFonts w:ascii="Times New Roman" w:eastAsia="MS PGothic" w:hAnsi="Times New Roman"/>
        </w:rPr>
      </w:pPr>
      <w:r>
        <w:rPr>
          <w:rFonts w:ascii="Times New Roman" w:eastAsia="MS PGothic" w:hAnsi="Times New Roman"/>
        </w:rPr>
        <w:t>T</w:t>
      </w:r>
      <w:r w:rsidR="003F1879" w:rsidRPr="003F1879">
        <w:rPr>
          <w:rFonts w:ascii="Times New Roman" w:eastAsia="MS PGothic" w:hAnsi="Times New Roman"/>
        </w:rPr>
        <w:t>he characteristic reactions at the anode, cathode and overall reaction are</w:t>
      </w:r>
      <w:r>
        <w:rPr>
          <w:rFonts w:ascii="Times New Roman" w:eastAsia="MS PGothic" w:hAnsi="Times New Roman"/>
        </w:rPr>
        <w:t>:</w:t>
      </w:r>
    </w:p>
    <w:p w14:paraId="1CD794A8" w14:textId="2A16E9FC" w:rsidR="00BE3BC0" w:rsidRPr="003F7140" w:rsidRDefault="00F33C62" w:rsidP="006E3622">
      <w:pPr>
        <w:snapToGrid w:val="0"/>
        <w:spacing w:before="120"/>
        <w:jc w:val="both"/>
        <w:rPr>
          <w:rFonts w:ascii="Times New Roman" w:eastAsia="MS PGothic" w:hAnsi="Times New Roman"/>
        </w:rPr>
      </w:pPr>
      <w:r w:rsidRPr="000E4A1B">
        <w:rPr>
          <w:rFonts w:ascii="Times New Roman" w:eastAsia="MS PGothic" w:hAnsi="Times New Roman"/>
        </w:rPr>
        <w:t>Anode reaction:</w:t>
      </w:r>
      <w:r>
        <w:rPr>
          <w:rFonts w:eastAsiaTheme="minorEastAsia"/>
        </w:rPr>
        <w:t xml:space="preserve">   </w:t>
      </w:r>
      <m:oMath>
        <m:r>
          <w:rPr>
            <w:rFonts w:ascii="Cambria Math" w:eastAsiaTheme="minorEastAsia" w:hAnsi="Cambria Math"/>
          </w:rPr>
          <m:t xml:space="preserve"> </m:t>
        </m:r>
        <m:sSub>
          <m:sSubPr>
            <m:ctrlPr>
              <w:rPr>
                <w:rFonts w:ascii="Cambria Math" w:hAnsi="Cambria Math"/>
              </w:rPr>
            </m:ctrlPr>
          </m:sSubPr>
          <m:e>
            <m:r>
              <w:rPr>
                <w:rFonts w:ascii="Cambria Math" w:hAnsi="Cambria Math"/>
              </w:rPr>
              <m:t>H</m:t>
            </m:r>
          </m:e>
          <m:sub>
            <m:r>
              <w:rPr>
                <w:rFonts w:ascii="Cambria Math" w:hAnsi="Cambria Math"/>
              </w:rPr>
              <m:t>2</m:t>
            </m:r>
          </m:sub>
        </m:sSub>
        <m:r>
          <m:rPr>
            <m:sty m:val="p"/>
          </m:rPr>
          <w:rPr>
            <w:rFonts w:ascii="Cambria Math" w:hAnsi="Cambria Math"/>
          </w:rPr>
          <m:t>→2</m:t>
        </m:r>
        <m:sSup>
          <m:sSupPr>
            <m:ctrlPr>
              <w:rPr>
                <w:rFonts w:ascii="Cambria Math" w:hAnsi="Cambria Math" w:cs="Cambria Math"/>
              </w:rPr>
            </m:ctrlPr>
          </m:sSupPr>
          <m:e>
            <m:r>
              <m:rPr>
                <m:sty m:val="p"/>
              </m:rPr>
              <w:rPr>
                <w:rFonts w:ascii="Cambria Math" w:hAnsi="Cambria Math" w:cs="Cambria Math"/>
              </w:rPr>
              <m:t>H</m:t>
            </m:r>
          </m:e>
          <m:sup>
            <m:r>
              <w:rPr>
                <w:rFonts w:ascii="Cambria Math" w:hAnsi="Cambria Math" w:cs="Cambria Math"/>
              </w:rPr>
              <m:t>+</m:t>
            </m:r>
          </m:sup>
        </m:sSup>
        <m:r>
          <m:rPr>
            <m:sty m:val="p"/>
          </m:rPr>
          <w:rPr>
            <w:rFonts w:ascii="Cambria Math" w:hAnsi="Cambria Math"/>
          </w:rPr>
          <m:t>+2</m:t>
        </m:r>
        <m:sSup>
          <m:sSupPr>
            <m:ctrlPr>
              <w:rPr>
                <w:rFonts w:ascii="Cambria Math" w:hAnsi="Cambria Math" w:cs="Cambria Math"/>
              </w:rPr>
            </m:ctrlPr>
          </m:sSupPr>
          <m:e>
            <m:r>
              <m:rPr>
                <m:sty m:val="p"/>
              </m:rPr>
              <w:rPr>
                <w:rFonts w:ascii="Cambria Math" w:hAnsi="Cambria Math" w:cs="Cambria Math"/>
              </w:rPr>
              <m:t>e</m:t>
            </m:r>
          </m:e>
          <m:sup>
            <m:r>
              <w:rPr>
                <w:rFonts w:ascii="Cambria Math" w:hAnsi="Cambria Math" w:cs="Cambria Math"/>
              </w:rPr>
              <m:t>-</m:t>
            </m:r>
          </m:sup>
        </m:sSup>
      </m:oMath>
      <w:r w:rsidR="006E3622">
        <w:rPr>
          <w:rFonts w:ascii="Times New Roman" w:eastAsia="MS PGothic" w:hAnsi="Times New Roman"/>
        </w:rPr>
        <w:tab/>
      </w:r>
      <w:r w:rsidR="006E3622">
        <w:rPr>
          <w:rFonts w:ascii="Times New Roman" w:eastAsia="MS PGothic" w:hAnsi="Times New Roman"/>
        </w:rPr>
        <w:tab/>
      </w:r>
      <w:r w:rsidR="006E3622">
        <w:rPr>
          <w:rFonts w:ascii="Times New Roman" w:eastAsia="MS PGothic" w:hAnsi="Times New Roman"/>
        </w:rPr>
        <w:tab/>
      </w:r>
      <w:r w:rsidR="006E3622">
        <w:rPr>
          <w:rFonts w:ascii="Times New Roman" w:eastAsia="MS PGothic" w:hAnsi="Times New Roman"/>
        </w:rPr>
        <w:tab/>
      </w:r>
      <w:r w:rsidR="00E92C4B" w:rsidRPr="003F7140">
        <w:rPr>
          <w:rFonts w:ascii="Times New Roman" w:eastAsia="MS PGothic" w:hAnsi="Times New Roman"/>
        </w:rPr>
        <w:t>(</w:t>
      </w:r>
      <w:r w:rsidR="00982F73">
        <w:rPr>
          <w:rFonts w:ascii="Times New Roman" w:eastAsia="MS PGothic" w:hAnsi="Times New Roman"/>
        </w:rPr>
        <w:t>2)</w:t>
      </w:r>
    </w:p>
    <w:p w14:paraId="2ED9458E" w14:textId="48EEEE41" w:rsidR="003148D6" w:rsidRDefault="003148D6" w:rsidP="006E3622">
      <w:pPr>
        <w:snapToGrid w:val="0"/>
        <w:jc w:val="both"/>
        <w:rPr>
          <w:rFonts w:ascii="Times New Roman" w:eastAsia="MS PGothic" w:hAnsi="Times New Roman"/>
        </w:rPr>
      </w:pPr>
      <w:r>
        <w:rPr>
          <w:rFonts w:ascii="Times New Roman" w:eastAsia="MS PGothic" w:hAnsi="Times New Roman"/>
        </w:rPr>
        <w:t>Cath</w:t>
      </w:r>
      <w:r w:rsidRPr="000E4A1B">
        <w:rPr>
          <w:rFonts w:ascii="Times New Roman" w:eastAsia="MS PGothic" w:hAnsi="Times New Roman"/>
        </w:rPr>
        <w:t>ode reaction:</w:t>
      </w:r>
      <w:r w:rsidR="0021352E">
        <w:rPr>
          <w:rFonts w:ascii="Times New Roman" w:eastAsia="MS PGothic"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2</m:t>
            </m:r>
          </m:sub>
        </m:sSub>
        <m:r>
          <m:rPr>
            <m:sty m:val="p"/>
          </m:rPr>
          <w:rPr>
            <w:rFonts w:ascii="Cambria Math" w:hAnsi="Cambria Math"/>
          </w:rPr>
          <m:t>+2</m:t>
        </m:r>
        <m:sSup>
          <m:sSupPr>
            <m:ctrlPr>
              <w:rPr>
                <w:rFonts w:ascii="Cambria Math" w:hAnsi="Cambria Math" w:cs="Cambria Math"/>
              </w:rPr>
            </m:ctrlPr>
          </m:sSupPr>
          <m:e>
            <m:r>
              <m:rPr>
                <m:sty m:val="p"/>
              </m:rPr>
              <w:rPr>
                <w:rFonts w:ascii="Cambria Math" w:hAnsi="Cambria Math" w:cs="Cambria Math"/>
              </w:rPr>
              <m:t>H</m:t>
            </m:r>
          </m:e>
          <m:sup>
            <m:r>
              <w:rPr>
                <w:rFonts w:ascii="Cambria Math" w:hAnsi="Cambria Math" w:cs="Cambria Math"/>
              </w:rPr>
              <m:t>+</m:t>
            </m:r>
          </m:sup>
        </m:sSup>
        <m:r>
          <m:rPr>
            <m:sty m:val="p"/>
          </m:rPr>
          <w:rPr>
            <w:rFonts w:ascii="Cambria Math" w:hAnsi="Cambria Math"/>
          </w:rPr>
          <m:t>+2</m:t>
        </m:r>
        <m:sSup>
          <m:sSupPr>
            <m:ctrlPr>
              <w:rPr>
                <w:rFonts w:ascii="Cambria Math" w:hAnsi="Cambria Math" w:cs="Cambria Math"/>
              </w:rPr>
            </m:ctrlPr>
          </m:sSupPr>
          <m:e>
            <m:r>
              <m:rPr>
                <m:sty m:val="p"/>
              </m:rPr>
              <w:rPr>
                <w:rFonts w:ascii="Cambria Math" w:hAnsi="Cambria Math" w:cs="Cambria Math"/>
              </w:rPr>
              <m:t>e</m:t>
            </m:r>
          </m:e>
          <m:sup>
            <m:r>
              <w:rPr>
                <w:rFonts w:ascii="Cambria Math" w:hAnsi="Cambria Math" w:cs="Cambria Math"/>
              </w:rPr>
              <m:t>-</m:t>
            </m:r>
          </m:sup>
        </m:sSup>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006E3622">
        <w:rPr>
          <w:rFonts w:ascii="Times New Roman" w:eastAsia="MS PGothic" w:hAnsi="Times New Roman"/>
        </w:rPr>
        <w:tab/>
      </w:r>
      <w:r w:rsidR="006E3622">
        <w:rPr>
          <w:rFonts w:ascii="Times New Roman" w:eastAsia="MS PGothic" w:hAnsi="Times New Roman"/>
        </w:rPr>
        <w:tab/>
      </w:r>
      <w:r w:rsidR="006E3622">
        <w:rPr>
          <w:rFonts w:ascii="Times New Roman" w:eastAsia="MS PGothic" w:hAnsi="Times New Roman"/>
        </w:rPr>
        <w:tab/>
      </w:r>
      <w:r w:rsidRPr="00E92C4B">
        <w:rPr>
          <w:rFonts w:ascii="Times New Roman" w:eastAsia="MS PGothic" w:hAnsi="Times New Roman"/>
        </w:rPr>
        <w:t>(</w:t>
      </w:r>
      <w:r w:rsidR="00982F73">
        <w:rPr>
          <w:rFonts w:ascii="Times New Roman" w:eastAsia="MS PGothic" w:hAnsi="Times New Roman"/>
        </w:rPr>
        <w:t>3</w:t>
      </w:r>
      <w:r w:rsidRPr="00E92C4B">
        <w:rPr>
          <w:rFonts w:ascii="Times New Roman" w:eastAsia="MS PGothic" w:hAnsi="Times New Roman"/>
        </w:rPr>
        <w:t>)</w:t>
      </w:r>
    </w:p>
    <w:p w14:paraId="7A0C9FD9" w14:textId="07D2F3F0" w:rsidR="003148D6" w:rsidRDefault="00985755" w:rsidP="006E3622">
      <w:pPr>
        <w:snapToGrid w:val="0"/>
        <w:jc w:val="both"/>
        <w:rPr>
          <w:rFonts w:ascii="Times New Roman" w:eastAsia="MS PGothic" w:hAnsi="Times New Roman"/>
        </w:rPr>
      </w:pPr>
      <w:r>
        <w:rPr>
          <w:rFonts w:ascii="Times New Roman" w:eastAsia="MS PGothic" w:hAnsi="Times New Roman"/>
        </w:rPr>
        <w:t xml:space="preserve"> </w:t>
      </w:r>
      <w:r w:rsidR="003148D6">
        <w:rPr>
          <w:rFonts w:ascii="Times New Roman" w:eastAsia="MS PGothic" w:hAnsi="Times New Roman"/>
        </w:rPr>
        <w:t>Overall</w:t>
      </w:r>
      <w:r w:rsidR="003148D6" w:rsidRPr="000E4A1B">
        <w:rPr>
          <w:rFonts w:ascii="Times New Roman" w:eastAsia="MS PGothic" w:hAnsi="Times New Roman"/>
        </w:rPr>
        <w:t xml:space="preserve"> reaction:</w:t>
      </w:r>
      <w:r w:rsidR="003148D6">
        <w:rPr>
          <w:rFonts w:eastAsiaTheme="minorEastAsia"/>
        </w:rPr>
        <w:t xml:space="preserve">  </w:t>
      </w:r>
      <m:oMath>
        <m:sSub>
          <m:sSubPr>
            <m:ctrlPr>
              <w:rPr>
                <w:rFonts w:ascii="Cambria Math" w:hAnsi="Cambria Math"/>
              </w:rPr>
            </m:ctrlPr>
          </m:sSubPr>
          <m:e>
            <m:r>
              <w:rPr>
                <w:rFonts w:ascii="Cambria Math" w:hAnsi="Cambria Math"/>
              </w:rPr>
              <m:t>H</m:t>
            </m:r>
          </m:e>
          <m:sub>
            <m:r>
              <w:rPr>
                <w:rFonts w:ascii="Cambria Math" w:hAnsi="Cambria Math"/>
              </w:rPr>
              <m:t>2</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oMath>
      <w:r w:rsidR="006E3622">
        <w:rPr>
          <w:rFonts w:ascii="Times New Roman" w:eastAsia="MS PGothic" w:hAnsi="Times New Roman"/>
        </w:rPr>
        <w:tab/>
      </w:r>
      <w:r w:rsidR="006E3622">
        <w:rPr>
          <w:rFonts w:ascii="Times New Roman" w:eastAsia="MS PGothic" w:hAnsi="Times New Roman"/>
        </w:rPr>
        <w:tab/>
      </w:r>
      <w:r w:rsidR="006E3622">
        <w:rPr>
          <w:rFonts w:ascii="Times New Roman" w:eastAsia="MS PGothic" w:hAnsi="Times New Roman"/>
        </w:rPr>
        <w:tab/>
      </w:r>
      <w:r w:rsidR="006E3622">
        <w:rPr>
          <w:rFonts w:ascii="Times New Roman" w:eastAsia="MS PGothic" w:hAnsi="Times New Roman"/>
        </w:rPr>
        <w:tab/>
      </w:r>
      <w:r w:rsidR="003148D6" w:rsidRPr="00E92C4B">
        <w:rPr>
          <w:rFonts w:ascii="Times New Roman" w:eastAsia="MS PGothic" w:hAnsi="Times New Roman"/>
        </w:rPr>
        <w:t>(</w:t>
      </w:r>
      <w:r w:rsidR="00982F73">
        <w:rPr>
          <w:rFonts w:ascii="Times New Roman" w:eastAsia="MS PGothic" w:hAnsi="Times New Roman"/>
        </w:rPr>
        <w:t>4</w:t>
      </w:r>
      <w:r w:rsidR="003148D6" w:rsidRPr="00E92C4B">
        <w:rPr>
          <w:rFonts w:ascii="Times New Roman" w:eastAsia="MS PGothic" w:hAnsi="Times New Roman"/>
        </w:rPr>
        <w:t>)</w:t>
      </w:r>
    </w:p>
    <w:p w14:paraId="6321E26D" w14:textId="6E3FF266" w:rsidR="00F80A8A" w:rsidRPr="00963CF1" w:rsidRDefault="00F80A8A" w:rsidP="006E3622">
      <w:pPr>
        <w:snapToGrid w:val="0"/>
        <w:spacing w:after="0"/>
        <w:rPr>
          <w:rFonts w:ascii="Times New Roman" w:eastAsia="MS PGothic" w:hAnsi="Times New Roman"/>
        </w:rPr>
      </w:pPr>
      <w:r w:rsidRPr="00FD0C0D">
        <w:rPr>
          <w:rFonts w:ascii="Times New Roman" w:eastAsia="MS PGothic" w:hAnsi="Times New Roman"/>
          <w:lang w:val="en-US"/>
        </w:rPr>
        <w:t xml:space="preserve">The pure hydrogen required for </w:t>
      </w:r>
      <w:proofErr w:type="spellStart"/>
      <w:r w:rsidRPr="00FD0C0D">
        <w:rPr>
          <w:rFonts w:ascii="Times New Roman" w:eastAsia="MS PGothic" w:hAnsi="Times New Roman"/>
          <w:lang w:val="en-US"/>
        </w:rPr>
        <w:t>fue</w:t>
      </w:r>
      <w:r>
        <w:rPr>
          <w:rFonts w:ascii="Times New Roman" w:eastAsia="MS PGothic" w:hAnsi="Times New Roman"/>
          <w:lang w:val="en-US"/>
        </w:rPr>
        <w:t>l</w:t>
      </w:r>
      <w:r w:rsidRPr="00FD0C0D">
        <w:rPr>
          <w:rFonts w:ascii="Times New Roman" w:eastAsia="MS PGothic" w:hAnsi="Times New Roman"/>
          <w:lang w:val="en-US"/>
        </w:rPr>
        <w:t>ling</w:t>
      </w:r>
      <w:proofErr w:type="spellEnd"/>
      <w:r w:rsidRPr="00FD0C0D">
        <w:rPr>
          <w:rFonts w:ascii="Times New Roman" w:eastAsia="MS PGothic" w:hAnsi="Times New Roman"/>
          <w:lang w:val="en-US"/>
        </w:rPr>
        <w:t xml:space="preserve"> the PEM is supposed to be produced by the ammonia decomposition and purification systems, which constitute the ammonia processing system (AP). The ammonia is taken from the tanks</w:t>
      </w:r>
      <w:r>
        <w:rPr>
          <w:rFonts w:ascii="Times New Roman" w:eastAsia="MS PGothic" w:hAnsi="Times New Roman"/>
          <w:lang w:val="en-US"/>
        </w:rPr>
        <w:t xml:space="preserve">, </w:t>
      </w:r>
      <w:r w:rsidRPr="00FD0C0D">
        <w:rPr>
          <w:rFonts w:ascii="Times New Roman" w:eastAsia="MS PGothic" w:hAnsi="Times New Roman"/>
          <w:lang w:val="en-US"/>
        </w:rPr>
        <w:t xml:space="preserve">preheated in a heat exchanger (for better energy efficiency), </w:t>
      </w:r>
      <w:r w:rsidRPr="00113952">
        <w:rPr>
          <w:rFonts w:ascii="Times New Roman" w:eastAsia="MS PGothic" w:hAnsi="Times New Roman"/>
        </w:rPr>
        <w:t>vaporised</w:t>
      </w:r>
      <w:r w:rsidRPr="00FD0C0D">
        <w:rPr>
          <w:rFonts w:ascii="Times New Roman" w:eastAsia="MS PGothic" w:hAnsi="Times New Roman"/>
          <w:lang w:val="en-US"/>
        </w:rPr>
        <w:t xml:space="preserve"> and then separated in the main reactor.</w:t>
      </w:r>
      <w:r>
        <w:rPr>
          <w:rFonts w:ascii="Times New Roman" w:eastAsia="MS PGothic" w:hAnsi="Times New Roman"/>
          <w:lang w:val="en-US"/>
        </w:rPr>
        <w:t xml:space="preserve"> </w:t>
      </w:r>
      <w:r w:rsidRPr="00963CF1">
        <w:rPr>
          <w:rFonts w:ascii="Times New Roman" w:eastAsia="MS PGothic" w:hAnsi="Times New Roman"/>
        </w:rPr>
        <w:t xml:space="preserve">In this study, we referred to the specifics and performance of the </w:t>
      </w:r>
      <w:r>
        <w:rPr>
          <w:rFonts w:ascii="Times New Roman" w:eastAsia="MS PGothic" w:hAnsi="Times New Roman"/>
        </w:rPr>
        <w:t>reactor</w:t>
      </w:r>
      <w:r w:rsidRPr="00963CF1">
        <w:rPr>
          <w:rFonts w:ascii="Times New Roman" w:eastAsia="MS PGothic" w:hAnsi="Times New Roman"/>
        </w:rPr>
        <w:t xml:space="preserve"> supplied by </w:t>
      </w:r>
      <w:bookmarkStart w:id="1" w:name="_Hlk95553941"/>
      <w:r>
        <w:rPr>
          <w:rFonts w:ascii="Times New Roman" w:eastAsia="MS PGothic" w:hAnsi="Times New Roman"/>
        </w:rPr>
        <w:t xml:space="preserve">the </w:t>
      </w:r>
      <w:proofErr w:type="spellStart"/>
      <w:r w:rsidRPr="00963CF1">
        <w:rPr>
          <w:rFonts w:ascii="Times New Roman" w:eastAsia="MS PGothic" w:hAnsi="Times New Roman"/>
        </w:rPr>
        <w:t>SinceGas</w:t>
      </w:r>
      <w:proofErr w:type="spellEnd"/>
      <w:r w:rsidRPr="00963CF1">
        <w:rPr>
          <w:rFonts w:ascii="Times New Roman" w:eastAsia="MS PGothic" w:hAnsi="Times New Roman"/>
        </w:rPr>
        <w:t xml:space="preserve"> company </w:t>
      </w:r>
      <w:bookmarkEnd w:id="1"/>
      <w:r w:rsidRPr="00963CF1">
        <w:rPr>
          <w:rFonts w:ascii="Times New Roman" w:eastAsia="MS PGothic" w:hAnsi="Times New Roman"/>
        </w:rPr>
        <w:t xml:space="preserve">(China), which can process </w:t>
      </w:r>
      <w:r>
        <w:rPr>
          <w:rFonts w:ascii="Times New Roman" w:eastAsia="MS PGothic" w:hAnsi="Times New Roman"/>
        </w:rPr>
        <w:t>an</w:t>
      </w:r>
      <w:r w:rsidRPr="00963CF1">
        <w:rPr>
          <w:rFonts w:ascii="Times New Roman" w:eastAsia="MS PGothic" w:hAnsi="Times New Roman"/>
        </w:rPr>
        <w:t xml:space="preserve"> NH</w:t>
      </w:r>
      <w:r w:rsidRPr="00963CF1">
        <w:rPr>
          <w:rFonts w:ascii="Times New Roman" w:eastAsia="MS PGothic" w:hAnsi="Times New Roman"/>
          <w:vertAlign w:val="subscript"/>
        </w:rPr>
        <w:t>3</w:t>
      </w:r>
      <w:r w:rsidRPr="00963CF1">
        <w:rPr>
          <w:rFonts w:ascii="Times New Roman" w:eastAsia="MS PGothic" w:hAnsi="Times New Roman"/>
        </w:rPr>
        <w:t xml:space="preserve"> flow rate up to 250 Nm</w:t>
      </w:r>
      <w:r w:rsidRPr="00963CF1">
        <w:rPr>
          <w:rFonts w:ascii="Times New Roman" w:eastAsia="MS PGothic" w:hAnsi="Times New Roman"/>
          <w:vertAlign w:val="superscript"/>
        </w:rPr>
        <w:t>3</w:t>
      </w:r>
      <w:r w:rsidRPr="00963CF1">
        <w:rPr>
          <w:rFonts w:ascii="Times New Roman" w:eastAsia="MS PGothic" w:hAnsi="Times New Roman"/>
        </w:rPr>
        <w:t>/h. Within the reactor, ammonia can be dissociated into hydrogen and nitrogen (N</w:t>
      </w:r>
      <w:r w:rsidRPr="00963CF1">
        <w:rPr>
          <w:rFonts w:ascii="Times New Roman" w:eastAsia="MS PGothic" w:hAnsi="Times New Roman"/>
          <w:vertAlign w:val="subscript"/>
        </w:rPr>
        <w:t>2</w:t>
      </w:r>
      <w:r w:rsidRPr="00963CF1">
        <w:rPr>
          <w:rFonts w:ascii="Times New Roman" w:eastAsia="MS PGothic" w:hAnsi="Times New Roman"/>
        </w:rPr>
        <w:t>) via the endothermic reaction:</w:t>
      </w:r>
    </w:p>
    <w:p w14:paraId="25F86E01" w14:textId="2C12BD2D" w:rsidR="00F80A8A" w:rsidRPr="00963CF1" w:rsidRDefault="00FF694B" w:rsidP="006E3622">
      <w:pPr>
        <w:snapToGrid w:val="0"/>
        <w:spacing w:before="120"/>
        <w:rPr>
          <w:rFonts w:ascii="Times New Roman" w:eastAsia="MS PGothic" w:hAnsi="Times New Roman"/>
        </w:rPr>
      </w:pPr>
      <m:oMath>
        <m:r>
          <w:rPr>
            <w:rFonts w:ascii="Cambria Math" w:hAnsi="Cambria Math"/>
          </w:rPr>
          <m:t>N</m:t>
        </m:r>
        <m:sSub>
          <m:sSubPr>
            <m:ctrlPr>
              <w:rPr>
                <w:rFonts w:ascii="Cambria Math" w:hAnsi="Cambria Math"/>
              </w:rPr>
            </m:ctrlPr>
          </m:sSubPr>
          <m:e>
            <m:r>
              <w:rPr>
                <w:rFonts w:ascii="Cambria Math" w:hAnsi="Cambria Math"/>
              </w:rPr>
              <m:t>H</m:t>
            </m:r>
          </m:e>
          <m:sub>
            <m:r>
              <w:rPr>
                <w:rFonts w:ascii="Cambria Math" w:hAnsi="Cambria Math"/>
              </w:rPr>
              <m:t>3</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oMath>
      <w:r w:rsidR="00F80A8A" w:rsidRPr="00963CF1">
        <w:rPr>
          <w:rFonts w:ascii="Times New Roman" w:eastAsia="MS PGothic" w:hAnsi="Times New Roman"/>
        </w:rPr>
        <w:tab/>
      </w:r>
      <w:r w:rsidR="00C73D76">
        <w:rPr>
          <w:rFonts w:ascii="Times New Roman" w:eastAsia="MS PGothic" w:hAnsi="Times New Roman"/>
        </w:rPr>
        <w:tab/>
      </w:r>
      <w:r w:rsidR="00F80A8A" w:rsidRPr="00963CF1">
        <w:rPr>
          <w:rFonts w:ascii="Times New Roman" w:eastAsia="MS PGothic" w:hAnsi="Times New Roman"/>
        </w:rPr>
        <w:t xml:space="preserve">ΔH = 46.22 kJ/mol </w:t>
      </w:r>
      <w:r w:rsidR="006E3622">
        <w:rPr>
          <w:rFonts w:ascii="Times New Roman" w:eastAsia="MS PGothic" w:hAnsi="Times New Roman"/>
        </w:rPr>
        <w:tab/>
      </w:r>
      <w:r w:rsidR="006E3622">
        <w:rPr>
          <w:rFonts w:ascii="Times New Roman" w:eastAsia="MS PGothic" w:hAnsi="Times New Roman"/>
        </w:rPr>
        <w:tab/>
      </w:r>
      <w:r w:rsidR="00F80A8A" w:rsidRPr="00963CF1">
        <w:rPr>
          <w:rFonts w:ascii="Times New Roman" w:eastAsia="MS PGothic" w:hAnsi="Times New Roman"/>
        </w:rPr>
        <w:t>(</w:t>
      </w:r>
      <w:r w:rsidR="003120E4">
        <w:rPr>
          <w:rFonts w:ascii="Times New Roman" w:eastAsia="MS PGothic" w:hAnsi="Times New Roman"/>
        </w:rPr>
        <w:t>5</w:t>
      </w:r>
      <w:r w:rsidR="00F80A8A" w:rsidRPr="00963CF1">
        <w:rPr>
          <w:rFonts w:ascii="Times New Roman" w:eastAsia="MS PGothic" w:hAnsi="Times New Roman"/>
        </w:rPr>
        <w:t>)</w:t>
      </w:r>
    </w:p>
    <w:p w14:paraId="4E11BB21" w14:textId="5C898EBA" w:rsidR="00220D00" w:rsidRPr="00053A95" w:rsidRDefault="00F80A8A" w:rsidP="006E3622">
      <w:pPr>
        <w:snapToGrid w:val="0"/>
        <w:rPr>
          <w:rFonts w:ascii="Times New Roman" w:eastAsia="MS PGothic" w:hAnsi="Times New Roman"/>
        </w:rPr>
      </w:pPr>
      <w:r w:rsidRPr="00963CF1">
        <w:rPr>
          <w:rFonts w:ascii="Times New Roman" w:eastAsia="MS PGothic" w:hAnsi="Times New Roman"/>
        </w:rPr>
        <w:lastRenderedPageBreak/>
        <w:t>This reaction requires both a catalyst and a heat source, which is supposed to be produced electrically on board. Then, a</w:t>
      </w:r>
      <w:r>
        <w:rPr>
          <w:rFonts w:ascii="Times New Roman" w:eastAsia="MS PGothic" w:hAnsi="Times New Roman"/>
        </w:rPr>
        <w:t xml:space="preserve"> </w:t>
      </w:r>
      <w:r w:rsidRPr="00963CF1">
        <w:rPr>
          <w:rFonts w:ascii="Times New Roman" w:eastAsia="MS PGothic" w:hAnsi="Times New Roman"/>
        </w:rPr>
        <w:t>Pressure Swing Adsorption</w:t>
      </w:r>
      <w:r>
        <w:rPr>
          <w:rFonts w:ascii="Times New Roman" w:eastAsia="MS PGothic" w:hAnsi="Times New Roman"/>
        </w:rPr>
        <w:t xml:space="preserve"> (PSA)</w:t>
      </w:r>
      <w:r w:rsidRPr="00963CF1">
        <w:rPr>
          <w:rFonts w:ascii="Times New Roman" w:eastAsia="MS PGothic" w:hAnsi="Times New Roman"/>
        </w:rPr>
        <w:t xml:space="preserve"> system, which generally uses special molecular sieves, is required for the separation of H</w:t>
      </w:r>
      <w:r w:rsidRPr="00963CF1">
        <w:rPr>
          <w:rFonts w:ascii="Times New Roman" w:eastAsia="MS PGothic" w:hAnsi="Times New Roman"/>
          <w:vertAlign w:val="subscript"/>
        </w:rPr>
        <w:t>2</w:t>
      </w:r>
      <w:r w:rsidRPr="00963CF1">
        <w:rPr>
          <w:rFonts w:ascii="Times New Roman" w:eastAsia="MS PGothic" w:hAnsi="Times New Roman"/>
        </w:rPr>
        <w:t xml:space="preserve"> from N</w:t>
      </w:r>
      <w:r w:rsidRPr="00963CF1">
        <w:rPr>
          <w:rFonts w:ascii="Times New Roman" w:eastAsia="MS PGothic" w:hAnsi="Times New Roman"/>
          <w:vertAlign w:val="subscript"/>
        </w:rPr>
        <w:t>2</w:t>
      </w:r>
      <w:r w:rsidRPr="00963CF1">
        <w:rPr>
          <w:rFonts w:ascii="Times New Roman" w:eastAsia="MS PGothic" w:hAnsi="Times New Roman"/>
        </w:rPr>
        <w:t>. Specifically, the PSA returns a quantity of pure hydrogen of about 15 kg/h.</w:t>
      </w:r>
      <w:r>
        <w:rPr>
          <w:rFonts w:ascii="Times New Roman" w:eastAsia="MS PGothic" w:hAnsi="Times New Roman"/>
        </w:rPr>
        <w:t xml:space="preserve"> </w:t>
      </w:r>
    </w:p>
    <w:p w14:paraId="10E6748D" w14:textId="3BFE59AE" w:rsidR="00DE510E" w:rsidRDefault="00DE510E" w:rsidP="00B11957">
      <w:pPr>
        <w:pStyle w:val="Paragrafoelenco"/>
        <w:numPr>
          <w:ilvl w:val="2"/>
          <w:numId w:val="4"/>
        </w:numPr>
        <w:snapToGrid w:val="0"/>
        <w:spacing w:before="240" w:after="160" w:line="300" w:lineRule="auto"/>
        <w:ind w:left="1225" w:hanging="505"/>
        <w:rPr>
          <w:rFonts w:ascii="Times New Roman" w:eastAsia="MS PGothic" w:hAnsi="Times New Roman"/>
          <w:b/>
        </w:rPr>
      </w:pPr>
      <w:r>
        <w:rPr>
          <w:rFonts w:ascii="Times New Roman" w:eastAsia="MS PGothic" w:hAnsi="Times New Roman"/>
          <w:b/>
        </w:rPr>
        <w:t>Solid Oxide Fuel Cell</w:t>
      </w:r>
    </w:p>
    <w:p w14:paraId="27C348CC" w14:textId="3DC0AAC6" w:rsidR="00053A95" w:rsidRDefault="00053A95" w:rsidP="00ED0E1C">
      <w:pPr>
        <w:snapToGrid w:val="0"/>
        <w:spacing w:after="0"/>
        <w:rPr>
          <w:rFonts w:ascii="Times New Roman" w:eastAsia="MS PGothic" w:hAnsi="Times New Roman"/>
          <w:lang w:val="en-US"/>
        </w:rPr>
      </w:pPr>
      <w:r w:rsidRPr="00053A95">
        <w:rPr>
          <w:rFonts w:ascii="Times New Roman" w:eastAsia="MS PGothic" w:hAnsi="Times New Roman"/>
        </w:rPr>
        <w:t>SOFCs operate at high temperatures (</w:t>
      </w:r>
      <w:r w:rsidR="00043977">
        <w:rPr>
          <w:rFonts w:ascii="Times New Roman" w:eastAsia="MS PGothic" w:hAnsi="Times New Roman"/>
        </w:rPr>
        <w:t xml:space="preserve">in the range </w:t>
      </w:r>
      <w:r w:rsidR="00ED0E1C">
        <w:rPr>
          <w:rFonts w:ascii="Times New Roman" w:eastAsia="MS PGothic" w:hAnsi="Times New Roman"/>
        </w:rPr>
        <w:t>7</w:t>
      </w:r>
      <w:r w:rsidRPr="00053A95">
        <w:rPr>
          <w:rFonts w:ascii="Times New Roman" w:eastAsia="MS PGothic" w:hAnsi="Times New Roman"/>
        </w:rPr>
        <w:t>00-1000 °C) to ensure</w:t>
      </w:r>
      <w:r w:rsidR="00043977">
        <w:rPr>
          <w:rFonts w:ascii="Times New Roman" w:eastAsia="MS PGothic" w:hAnsi="Times New Roman"/>
        </w:rPr>
        <w:t xml:space="preserve"> high </w:t>
      </w:r>
      <w:r w:rsidRPr="00053A95">
        <w:rPr>
          <w:rFonts w:ascii="Times New Roman" w:eastAsia="MS PGothic" w:hAnsi="Times New Roman"/>
        </w:rPr>
        <w:t xml:space="preserve">conductivity </w:t>
      </w:r>
      <w:r w:rsidR="00043977">
        <w:rPr>
          <w:rFonts w:ascii="Times New Roman" w:eastAsia="MS PGothic" w:hAnsi="Times New Roman"/>
        </w:rPr>
        <w:t>to</w:t>
      </w:r>
      <w:r w:rsidRPr="00053A95">
        <w:rPr>
          <w:rFonts w:ascii="Times New Roman" w:eastAsia="MS PGothic" w:hAnsi="Times New Roman"/>
        </w:rPr>
        <w:t xml:space="preserve"> the electrolyte, which consists of ceramic material (zirconium oxide doped with yttrium oxide)</w:t>
      </w:r>
      <w:r w:rsidR="00043977">
        <w:rPr>
          <w:rFonts w:ascii="Times New Roman" w:eastAsia="MS PGothic" w:hAnsi="Times New Roman"/>
        </w:rPr>
        <w:t xml:space="preserve"> </w:t>
      </w:r>
      <w:r w:rsidR="00043977">
        <w:rPr>
          <w:rFonts w:ascii="Times New Roman" w:eastAsia="MS PGothic" w:hAnsi="Times New Roman"/>
        </w:rPr>
        <w:fldChar w:fldCharType="begin" w:fldLock="1"/>
      </w:r>
      <w:r w:rsidR="00621A79">
        <w:rPr>
          <w:rFonts w:ascii="Times New Roman" w:eastAsia="MS PGothic" w:hAnsi="Times New Roman"/>
        </w:rPr>
        <w:instrText>ADDIN CSL_CITATION {"citationItems":[{"id":"ITEM-1","itemData":{"ISBN":"978-88-8286-290-9","abstract":"If a population is growing in a randomly varying environment, such that the finite rate of increase per generation is a random variable with no serial autocorrelation, the logarithm of population size at any time t is normally distributed. Even though the expectation of population size may grow infinitely large with time, the probability of extinction may approach unity, owing to the difference between the geometric and arithmetic mean growth rates.","author":[{"dropping-particle":"","family":"McPhail","given":"Stephen John","non-dropping-particle":"","parse-names":false,"suffix":""},{"dropping-particle":"","family":"Conti","given":"Bruno","non-dropping-particle":"","parse-names":false,"suffix":""},{"dropping-particle":"","family":"Kiviaho","given":"Jari","non-dropping-particle":"","parse-names":false,"suffix":""}],"container-title":"Enea (Italian National Agency for New Technologies, Energy and Sustainable Economic Development)","id":"ITEM-1","issued":{"date-parts":[["2017"]]},"title":"The Yellow Pages of SOFC Technology - International Status of SOFC deployment 2017","type":"book"},"uris":["http://www.mendeley.com/documents/?uuid=f3db189c-dd54-4c61-85e9-8ba5d6267f37"]}],"mendeley":{"formattedCitation":"[23]","plainTextFormattedCitation":"[23]","previouslyFormattedCitation":"[24]"},"properties":{"noteIndex":0},"schema":"https://github.com/citation-style-language/schema/raw/master/csl-citation.json"}</w:instrText>
      </w:r>
      <w:r w:rsidR="00043977">
        <w:rPr>
          <w:rFonts w:ascii="Times New Roman" w:eastAsia="MS PGothic" w:hAnsi="Times New Roman"/>
        </w:rPr>
        <w:fldChar w:fldCharType="separate"/>
      </w:r>
      <w:r w:rsidR="00621A79" w:rsidRPr="00621A79">
        <w:rPr>
          <w:rFonts w:ascii="Times New Roman" w:eastAsia="MS PGothic" w:hAnsi="Times New Roman"/>
          <w:noProof/>
        </w:rPr>
        <w:t>[23]</w:t>
      </w:r>
      <w:r w:rsidR="00043977">
        <w:rPr>
          <w:rFonts w:ascii="Times New Roman" w:eastAsia="MS PGothic" w:hAnsi="Times New Roman"/>
        </w:rPr>
        <w:fldChar w:fldCharType="end"/>
      </w:r>
      <w:r w:rsidRPr="00053A95">
        <w:rPr>
          <w:rFonts w:ascii="Times New Roman" w:eastAsia="MS PGothic" w:hAnsi="Times New Roman"/>
        </w:rPr>
        <w:t xml:space="preserve">. </w:t>
      </w:r>
      <w:r w:rsidR="00043977" w:rsidRPr="00B20387">
        <w:rPr>
          <w:rFonts w:ascii="Times New Roman" w:eastAsia="MS PGothic" w:hAnsi="Times New Roman"/>
          <w:lang w:val="en-US"/>
        </w:rPr>
        <w:t xml:space="preserve">SOFCs can be divided into two categories </w:t>
      </w:r>
      <w:r w:rsidR="00043977">
        <w:rPr>
          <w:rFonts w:ascii="Times New Roman" w:eastAsia="MS PGothic" w:hAnsi="Times New Roman"/>
          <w:lang w:val="en-US"/>
        </w:rPr>
        <w:t>d</w:t>
      </w:r>
      <w:r w:rsidR="00510706" w:rsidRPr="00B20387">
        <w:rPr>
          <w:rFonts w:ascii="Times New Roman" w:eastAsia="MS PGothic" w:hAnsi="Times New Roman"/>
          <w:lang w:val="en-US"/>
        </w:rPr>
        <w:t>epending on the</w:t>
      </w:r>
      <w:r w:rsidR="00BD3CF4">
        <w:rPr>
          <w:rFonts w:ascii="Times New Roman" w:eastAsia="MS PGothic" w:hAnsi="Times New Roman"/>
          <w:lang w:val="en-US"/>
        </w:rPr>
        <w:t xml:space="preserve"> chemical specific</w:t>
      </w:r>
      <w:r w:rsidR="00510706" w:rsidRPr="00B20387">
        <w:rPr>
          <w:rFonts w:ascii="Times New Roman" w:eastAsia="MS PGothic" w:hAnsi="Times New Roman"/>
          <w:lang w:val="en-US"/>
        </w:rPr>
        <w:t xml:space="preserve"> of electrolyte.</w:t>
      </w:r>
      <w:r w:rsidR="003C2D30">
        <w:rPr>
          <w:rFonts w:ascii="Times New Roman" w:eastAsia="MS PGothic" w:hAnsi="Times New Roman"/>
          <w:lang w:val="en-US"/>
        </w:rPr>
        <w:t xml:space="preserve"> </w:t>
      </w:r>
      <w:r w:rsidR="004F119F">
        <w:rPr>
          <w:rFonts w:ascii="Times New Roman" w:eastAsia="MS PGothic" w:hAnsi="Times New Roman"/>
          <w:lang w:val="en-US"/>
        </w:rPr>
        <w:t>I</w:t>
      </w:r>
      <w:r w:rsidR="003C2D30" w:rsidRPr="003C2D30">
        <w:rPr>
          <w:rFonts w:ascii="Times New Roman" w:eastAsia="MS PGothic" w:hAnsi="Times New Roman"/>
          <w:lang w:val="en-US"/>
        </w:rPr>
        <w:t>n th</w:t>
      </w:r>
      <w:r w:rsidR="00BD3CF4">
        <w:rPr>
          <w:rFonts w:ascii="Times New Roman" w:eastAsia="MS PGothic" w:hAnsi="Times New Roman"/>
          <w:lang w:val="en-US"/>
        </w:rPr>
        <w:t>e present study</w:t>
      </w:r>
      <w:r w:rsidR="003C2D30" w:rsidRPr="003C2D30">
        <w:rPr>
          <w:rFonts w:ascii="Times New Roman" w:eastAsia="MS PGothic" w:hAnsi="Times New Roman"/>
          <w:lang w:val="en-US"/>
        </w:rPr>
        <w:t>,</w:t>
      </w:r>
      <w:r w:rsidR="00BD3CF4">
        <w:rPr>
          <w:rFonts w:ascii="Times New Roman" w:eastAsia="MS PGothic" w:hAnsi="Times New Roman"/>
          <w:lang w:val="en-US"/>
        </w:rPr>
        <w:t xml:space="preserve"> it is considered a basic electrolyte</w:t>
      </w:r>
      <w:r w:rsidR="00175312">
        <w:rPr>
          <w:rFonts w:ascii="Times New Roman" w:eastAsia="MS PGothic" w:hAnsi="Times New Roman"/>
          <w:lang w:val="en-US"/>
        </w:rPr>
        <w:t>,</w:t>
      </w:r>
      <w:r w:rsidR="00BD3CF4">
        <w:rPr>
          <w:rFonts w:ascii="Times New Roman" w:eastAsia="MS PGothic" w:hAnsi="Times New Roman"/>
          <w:lang w:val="en-US"/>
        </w:rPr>
        <w:t xml:space="preserve"> which conducts O</w:t>
      </w:r>
      <w:r w:rsidR="00BD3CF4" w:rsidRPr="00175312">
        <w:rPr>
          <w:rFonts w:ascii="Times New Roman" w:eastAsia="MS PGothic" w:hAnsi="Times New Roman"/>
          <w:vertAlign w:val="superscript"/>
          <w:lang w:val="en-US"/>
        </w:rPr>
        <w:t>2-</w:t>
      </w:r>
      <w:r w:rsidR="00BD3CF4">
        <w:rPr>
          <w:rFonts w:ascii="Times New Roman" w:eastAsia="MS PGothic" w:hAnsi="Times New Roman"/>
          <w:lang w:val="en-US"/>
        </w:rPr>
        <w:t xml:space="preserve"> ions. </w:t>
      </w:r>
      <w:r w:rsidR="00510706" w:rsidRPr="00F468A7">
        <w:rPr>
          <w:rFonts w:ascii="Times New Roman" w:eastAsia="MS PGothic" w:hAnsi="Times New Roman"/>
        </w:rPr>
        <w:t>They</w:t>
      </w:r>
      <w:r w:rsidRPr="00053A95">
        <w:rPr>
          <w:rFonts w:ascii="Times New Roman" w:eastAsia="MS PGothic" w:hAnsi="Times New Roman"/>
        </w:rPr>
        <w:t xml:space="preserve"> are particularly promising for stationary power generation and cogeneration in power ratings from a few kW to several tens of MW.</w:t>
      </w:r>
      <w:r w:rsidR="00175312">
        <w:rPr>
          <w:rFonts w:ascii="Times New Roman" w:eastAsia="MS PGothic" w:hAnsi="Times New Roman"/>
        </w:rPr>
        <w:t xml:space="preserve"> For instance, the product</w:t>
      </w:r>
      <w:r w:rsidR="00220D00" w:rsidRPr="00705A9A">
        <w:rPr>
          <w:rFonts w:ascii="Times New Roman" w:eastAsia="MS PGothic" w:hAnsi="Times New Roman"/>
        </w:rPr>
        <w:t xml:space="preserve"> </w:t>
      </w:r>
      <w:r w:rsidR="00175312">
        <w:rPr>
          <w:rFonts w:ascii="Times New Roman" w:eastAsia="MS PGothic" w:hAnsi="Times New Roman"/>
        </w:rPr>
        <w:t>“</w:t>
      </w:r>
      <w:r w:rsidR="00220D00" w:rsidRPr="00705A9A">
        <w:rPr>
          <w:rFonts w:ascii="Times New Roman" w:eastAsia="MS PGothic" w:hAnsi="Times New Roman"/>
        </w:rPr>
        <w:t>SOFC BOL module</w:t>
      </w:r>
      <w:r w:rsidR="00175312">
        <w:rPr>
          <w:rFonts w:ascii="Times New Roman" w:eastAsia="MS PGothic" w:hAnsi="Times New Roman"/>
        </w:rPr>
        <w:t>”</w:t>
      </w:r>
      <w:r w:rsidR="00220D00" w:rsidRPr="00705A9A">
        <w:rPr>
          <w:rFonts w:ascii="Times New Roman" w:eastAsia="MS PGothic" w:hAnsi="Times New Roman"/>
        </w:rPr>
        <w:t xml:space="preserve"> </w:t>
      </w:r>
      <w:r w:rsidR="00175312">
        <w:rPr>
          <w:rFonts w:ascii="Times New Roman" w:eastAsia="MS PGothic" w:hAnsi="Times New Roman"/>
        </w:rPr>
        <w:t xml:space="preserve">provided by </w:t>
      </w:r>
      <w:r w:rsidR="00220D00" w:rsidRPr="00705A9A">
        <w:rPr>
          <w:rFonts w:ascii="Times New Roman" w:eastAsia="MS PGothic" w:hAnsi="Times New Roman"/>
        </w:rPr>
        <w:t xml:space="preserve">Bloom Energy </w:t>
      </w:r>
      <w:r w:rsidR="00175312">
        <w:rPr>
          <w:rFonts w:ascii="Times New Roman" w:eastAsia="MS PGothic" w:hAnsi="Times New Roman"/>
        </w:rPr>
        <w:t xml:space="preserve">company </w:t>
      </w:r>
      <w:r w:rsidR="00220D00" w:rsidRPr="00705A9A">
        <w:rPr>
          <w:rFonts w:ascii="Times New Roman" w:eastAsia="MS PGothic" w:hAnsi="Times New Roman"/>
        </w:rPr>
        <w:t>(United States of</w:t>
      </w:r>
      <w:r w:rsidR="00220D00">
        <w:rPr>
          <w:rFonts w:ascii="Times New Roman" w:eastAsia="MS PGothic" w:hAnsi="Times New Roman"/>
          <w:lang w:val="en-US"/>
        </w:rPr>
        <w:t xml:space="preserve"> America</w:t>
      </w:r>
      <w:r w:rsidR="00220D00" w:rsidRPr="00116A40">
        <w:rPr>
          <w:rFonts w:ascii="Times New Roman" w:eastAsia="MS PGothic" w:hAnsi="Times New Roman"/>
          <w:lang w:val="en-US"/>
        </w:rPr>
        <w:t xml:space="preserve">) </w:t>
      </w:r>
      <w:r w:rsidR="00413025">
        <w:rPr>
          <w:rFonts w:ascii="Times New Roman" w:eastAsia="MS PGothic" w:hAnsi="Times New Roman"/>
          <w:lang w:val="en-US"/>
        </w:rPr>
        <w:t>has been</w:t>
      </w:r>
      <w:r w:rsidR="00220D00" w:rsidRPr="00116A40">
        <w:rPr>
          <w:rFonts w:ascii="Times New Roman" w:eastAsia="MS PGothic" w:hAnsi="Times New Roman"/>
          <w:lang w:val="en-US"/>
        </w:rPr>
        <w:t xml:space="preserve"> selected</w:t>
      </w:r>
      <w:r w:rsidR="00175312">
        <w:rPr>
          <w:rFonts w:ascii="Times New Roman" w:eastAsia="MS PGothic" w:hAnsi="Times New Roman"/>
          <w:lang w:val="en-US"/>
        </w:rPr>
        <w:t xml:space="preserve"> as reference. This module has</w:t>
      </w:r>
      <w:r w:rsidR="00220D00" w:rsidRPr="00116A40">
        <w:rPr>
          <w:rFonts w:ascii="Times New Roman" w:eastAsia="MS PGothic" w:hAnsi="Times New Roman"/>
          <w:lang w:val="en-US"/>
        </w:rPr>
        <w:t xml:space="preserve"> an output</w:t>
      </w:r>
      <w:r w:rsidR="00175312">
        <w:rPr>
          <w:rFonts w:ascii="Times New Roman" w:eastAsia="MS PGothic" w:hAnsi="Times New Roman"/>
          <w:lang w:val="en-US"/>
        </w:rPr>
        <w:t xml:space="preserve"> power</w:t>
      </w:r>
      <w:r w:rsidR="00220D00" w:rsidRPr="00116A40">
        <w:rPr>
          <w:rFonts w:ascii="Times New Roman" w:eastAsia="MS PGothic" w:hAnsi="Times New Roman"/>
          <w:lang w:val="en-US"/>
        </w:rPr>
        <w:t xml:space="preserve"> of 350 kW</w:t>
      </w:r>
      <w:r w:rsidR="00220D00">
        <w:rPr>
          <w:rFonts w:ascii="Times New Roman" w:eastAsia="MS PGothic" w:hAnsi="Times New Roman"/>
          <w:lang w:val="en-US"/>
        </w:rPr>
        <w:t xml:space="preserve"> and an electrical efficiency of 55%</w:t>
      </w:r>
      <w:r w:rsidR="00F25603">
        <w:rPr>
          <w:rFonts w:ascii="Times New Roman" w:eastAsia="MS PGothic" w:hAnsi="Times New Roman"/>
          <w:lang w:val="en-US"/>
        </w:rPr>
        <w:t xml:space="preserve">; other specifics are reported in Table </w:t>
      </w:r>
      <w:r w:rsidR="005C0B5C">
        <w:rPr>
          <w:rFonts w:ascii="Times New Roman" w:eastAsia="MS PGothic" w:hAnsi="Times New Roman"/>
          <w:lang w:val="en-US"/>
        </w:rPr>
        <w:t>1</w:t>
      </w:r>
      <w:r w:rsidR="001552C6">
        <w:rPr>
          <w:rFonts w:ascii="Times New Roman" w:eastAsia="MS PGothic" w:hAnsi="Times New Roman"/>
          <w:lang w:val="en-US"/>
        </w:rPr>
        <w:t xml:space="preserve"> and a</w:t>
      </w:r>
      <w:r w:rsidR="001552C6" w:rsidRPr="001552C6">
        <w:rPr>
          <w:rFonts w:ascii="Times New Roman" w:eastAsia="MS PGothic" w:hAnsi="Times New Roman"/>
        </w:rPr>
        <w:t xml:space="preserve"> basic working scheme is shown in Figure </w:t>
      </w:r>
      <w:r w:rsidR="003106E4">
        <w:rPr>
          <w:rFonts w:ascii="Times New Roman" w:eastAsia="MS PGothic" w:hAnsi="Times New Roman"/>
        </w:rPr>
        <w:t>1</w:t>
      </w:r>
      <w:r w:rsidR="001552C6">
        <w:rPr>
          <w:rFonts w:ascii="Times New Roman" w:eastAsia="MS PGothic" w:hAnsi="Times New Roman"/>
        </w:rPr>
        <w:t>.</w:t>
      </w:r>
    </w:p>
    <w:p w14:paraId="39BCA5F7" w14:textId="50EE5E1F" w:rsidR="002D0FF6" w:rsidRDefault="006803C2" w:rsidP="00ED0E1C">
      <w:pPr>
        <w:snapToGrid w:val="0"/>
        <w:spacing w:after="0"/>
        <w:rPr>
          <w:rFonts w:ascii="Times New Roman" w:eastAsia="MS PGothic" w:hAnsi="Times New Roman"/>
        </w:rPr>
      </w:pPr>
      <w:r>
        <w:rPr>
          <w:rFonts w:ascii="Times New Roman" w:eastAsia="MS PGothic" w:hAnsi="Times New Roman"/>
        </w:rPr>
        <w:t>T</w:t>
      </w:r>
      <w:r w:rsidRPr="006803C2">
        <w:rPr>
          <w:rFonts w:ascii="Times New Roman" w:eastAsia="MS PGothic" w:hAnsi="Times New Roman"/>
        </w:rPr>
        <w:t xml:space="preserve">he overall </w:t>
      </w:r>
      <w:r w:rsidR="00175312">
        <w:rPr>
          <w:rFonts w:ascii="Times New Roman" w:eastAsia="MS PGothic" w:hAnsi="Times New Roman"/>
        </w:rPr>
        <w:t xml:space="preserve">and </w:t>
      </w:r>
      <w:r w:rsidRPr="006803C2">
        <w:rPr>
          <w:rFonts w:ascii="Times New Roman" w:eastAsia="MS PGothic" w:hAnsi="Times New Roman"/>
        </w:rPr>
        <w:t xml:space="preserve">the </w:t>
      </w:r>
      <w:r w:rsidR="00175312">
        <w:rPr>
          <w:rFonts w:ascii="Times New Roman" w:eastAsia="MS PGothic" w:hAnsi="Times New Roman"/>
        </w:rPr>
        <w:t>el</w:t>
      </w:r>
      <w:r w:rsidR="00992142">
        <w:rPr>
          <w:rFonts w:ascii="Times New Roman" w:eastAsia="MS PGothic" w:hAnsi="Times New Roman"/>
        </w:rPr>
        <w:t>ectrodes’</w:t>
      </w:r>
      <w:r w:rsidRPr="006803C2">
        <w:rPr>
          <w:rFonts w:ascii="Times New Roman" w:eastAsia="MS PGothic" w:hAnsi="Times New Roman"/>
        </w:rPr>
        <w:t xml:space="preserve"> reactions </w:t>
      </w:r>
      <w:r w:rsidR="00992142">
        <w:rPr>
          <w:rFonts w:ascii="Times New Roman" w:eastAsia="MS PGothic" w:hAnsi="Times New Roman"/>
        </w:rPr>
        <w:t>a</w:t>
      </w:r>
      <w:r w:rsidRPr="006803C2">
        <w:rPr>
          <w:rFonts w:ascii="Times New Roman" w:eastAsia="MS PGothic" w:hAnsi="Times New Roman"/>
        </w:rPr>
        <w:t>re</w:t>
      </w:r>
      <w:r w:rsidR="00992142">
        <w:rPr>
          <w:rFonts w:ascii="Times New Roman" w:eastAsia="MS PGothic" w:hAnsi="Times New Roman"/>
        </w:rPr>
        <w:t xml:space="preserve"> </w:t>
      </w:r>
      <w:r w:rsidR="00992142">
        <w:rPr>
          <w:rFonts w:ascii="Times New Roman" w:eastAsia="MS PGothic" w:hAnsi="Times New Roman"/>
        </w:rPr>
        <w:fldChar w:fldCharType="begin" w:fldLock="1"/>
      </w:r>
      <w:r w:rsidR="00621A79">
        <w:rPr>
          <w:rFonts w:ascii="Times New Roman" w:eastAsia="MS PGothic" w:hAnsi="Times New Roman"/>
        </w:rPr>
        <w:instrText>ADDIN CSL_CITATION {"citationItems":[{"id":"ITEM-1","itemData":{"DOI":"10.1016/B978-0-08-102631-1.00007-9","ISBN":"9780081026311","abstract":"Fuel cells are electrochemical devices that consume hydrogen and oxygen to produce electricity. They are not heat engines and so they are not restricted by heat engine thermodynamic limits. A number of different types of fuel cells have been developed, each with different characteristics. The alkaline fuel cell is very efficient but also expensive. The phosphoric acid fuel cell has achieved the biggest commercial success, particularly in packaged combined heat and power modules for distributed generation applications. The proton exchange membrane fuel cell is very light and also potentially of high efficiency, making it attractive for automotive applications. The molten carbonate and the solid oxide fuel cells are both high-temperature cells and can provide high-grade heat suitable for further power generation making them capable of high efficiency as well. The direct methanol fuel cell can consume liquid methanol and is attractive for portable applications as a battery replacement.","author":[{"dropping-particle":"","family":"Breeze","given":"Paul","non-dropping-particle":"","parse-names":false,"suffix":""},{"dropping-particle":"","family":"Breeze","given":"Paul","non-dropping-particle":"","parse-names":false,"suffix":""}],"container-title":"Power Generation Technologies","id":"ITEM-1","issued":{"date-parts":[["2019"]]},"title":"Chapter 7 – Fuel Cells","type":"article-journal"},"uris":["http://www.mendeley.com/documents/?uuid=0064c5cb-0767-4325-b50c-21bc17f87921"]}],"mendeley":{"formattedCitation":"[24]","plainTextFormattedCitation":"[24]","previouslyFormattedCitation":"[25]"},"properties":{"noteIndex":0},"schema":"https://github.com/citation-style-language/schema/raw/master/csl-citation.json"}</w:instrText>
      </w:r>
      <w:r w:rsidR="00992142">
        <w:rPr>
          <w:rFonts w:ascii="Times New Roman" w:eastAsia="MS PGothic" w:hAnsi="Times New Roman"/>
        </w:rPr>
        <w:fldChar w:fldCharType="separate"/>
      </w:r>
      <w:r w:rsidR="00621A79" w:rsidRPr="00621A79">
        <w:rPr>
          <w:rFonts w:ascii="Times New Roman" w:eastAsia="MS PGothic" w:hAnsi="Times New Roman"/>
          <w:noProof/>
        </w:rPr>
        <w:t>[24]</w:t>
      </w:r>
      <w:r w:rsidR="00992142">
        <w:rPr>
          <w:rFonts w:ascii="Times New Roman" w:eastAsia="MS PGothic" w:hAnsi="Times New Roman"/>
        </w:rPr>
        <w:fldChar w:fldCharType="end"/>
      </w:r>
      <w:r w:rsidR="00D131C7">
        <w:rPr>
          <w:rFonts w:ascii="Times New Roman" w:eastAsia="MS PGothic" w:hAnsi="Times New Roman"/>
        </w:rPr>
        <w:t>:</w:t>
      </w:r>
    </w:p>
    <w:p w14:paraId="09FEC78B" w14:textId="17A407E4" w:rsidR="00F72FD7" w:rsidRDefault="00F72FD7" w:rsidP="00ED0E1C">
      <w:pPr>
        <w:snapToGrid w:val="0"/>
        <w:spacing w:before="120"/>
        <w:rPr>
          <w:rFonts w:ascii="Times New Roman" w:eastAsia="MS PGothic" w:hAnsi="Times New Roman"/>
        </w:rPr>
      </w:pPr>
      <w:r>
        <w:rPr>
          <w:rFonts w:ascii="Times New Roman" w:eastAsia="MS PGothic" w:hAnsi="Times New Roman"/>
        </w:rPr>
        <w:t>Anode</w:t>
      </w:r>
      <w:r w:rsidRPr="000E4A1B">
        <w:rPr>
          <w:rFonts w:ascii="Times New Roman" w:eastAsia="MS PGothic" w:hAnsi="Times New Roman"/>
        </w:rPr>
        <w:t xml:space="preserve"> reaction</w:t>
      </w:r>
      <w:r w:rsidR="00992142">
        <w:rPr>
          <w:rFonts w:ascii="Times New Roman" w:eastAsia="MS PGothic" w:hAnsi="Times New Roman"/>
        </w:rPr>
        <w:t>s</w:t>
      </w:r>
      <w:r w:rsidRPr="000E4A1B">
        <w:rPr>
          <w:rFonts w:ascii="Times New Roman" w:eastAsia="MS PGothic" w:hAnsi="Times New Roman"/>
        </w:rPr>
        <w:t>:</w:t>
      </w:r>
      <w:r w:rsidR="00992142">
        <w:rPr>
          <w:rFonts w:ascii="Times New Roman" w:eastAsia="MS PGothic" w:hAnsi="Times New Roman"/>
        </w:rPr>
        <w:tab/>
      </w:r>
      <m:oMath>
        <m:r>
          <w:rPr>
            <w:rFonts w:ascii="Cambria Math" w:eastAsiaTheme="minorEastAsia" w:hAnsi="Cambria Math"/>
          </w:rPr>
          <m:t>N</m:t>
        </m:r>
        <m:sSub>
          <m:sSubPr>
            <m:ctrlPr>
              <w:rPr>
                <w:rFonts w:ascii="Cambria Math" w:hAnsi="Cambria Math"/>
              </w:rPr>
            </m:ctrlPr>
          </m:sSubPr>
          <m:e>
            <m:r>
              <w:rPr>
                <w:rFonts w:ascii="Cambria Math" w:hAnsi="Cambria Math"/>
              </w:rPr>
              <m:t>H</m:t>
            </m:r>
          </m:e>
          <m:sub>
            <m:r>
              <w:rPr>
                <w:rFonts w:ascii="Cambria Math" w:hAnsi="Cambria Math"/>
              </w:rPr>
              <m:t>3</m:t>
            </m:r>
          </m:sub>
        </m:sSub>
        <m:r>
          <m:rPr>
            <m:sty m:val="p"/>
          </m:rPr>
          <w:rPr>
            <w:rFonts w:ascii="Cambria Math" w:hAnsi="Cambria Math"/>
          </w:rPr>
          <m:t xml:space="preserve">→ </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sSub>
          <m:sSubPr>
            <m:ctrlPr>
              <w:rPr>
                <w:rFonts w:ascii="Cambria Math" w:hAnsi="Cambria Math"/>
              </w:rPr>
            </m:ctrlPr>
          </m:sSubPr>
          <m:e>
            <m:r>
              <w:rPr>
                <w:rFonts w:ascii="Cambria Math" w:hAnsi="Cambria Math"/>
              </w:rPr>
              <m:t>H</m:t>
            </m:r>
          </m:e>
          <m:sub>
            <m:r>
              <w:rPr>
                <w:rFonts w:ascii="Cambria Math" w:hAnsi="Cambria Math"/>
              </w:rPr>
              <m:t>2</m:t>
            </m:r>
          </m:sub>
        </m:sSub>
      </m:oMath>
      <w:r w:rsidR="00ED0E1C">
        <w:rPr>
          <w:rFonts w:ascii="Times New Roman" w:eastAsia="MS PGothic" w:hAnsi="Times New Roman"/>
        </w:rPr>
        <w:tab/>
      </w:r>
      <w:r w:rsidR="00ED0E1C">
        <w:rPr>
          <w:rFonts w:ascii="Times New Roman" w:eastAsia="MS PGothic" w:hAnsi="Times New Roman"/>
        </w:rPr>
        <w:tab/>
      </w:r>
      <w:r w:rsidR="00ED0E1C">
        <w:rPr>
          <w:rFonts w:ascii="Times New Roman" w:eastAsia="MS PGothic" w:hAnsi="Times New Roman"/>
        </w:rPr>
        <w:tab/>
      </w:r>
      <w:r w:rsidRPr="00113A69">
        <w:rPr>
          <w:rFonts w:ascii="Times New Roman" w:eastAsia="MS PGothic" w:hAnsi="Times New Roman"/>
        </w:rPr>
        <w:t>(</w:t>
      </w:r>
      <w:r w:rsidR="00113A69" w:rsidRPr="00113A69">
        <w:rPr>
          <w:rFonts w:ascii="Times New Roman" w:eastAsia="MS PGothic" w:hAnsi="Times New Roman"/>
        </w:rPr>
        <w:t>6</w:t>
      </w:r>
      <w:r w:rsidRPr="00113A69">
        <w:rPr>
          <w:rFonts w:ascii="Times New Roman" w:eastAsia="MS PGothic" w:hAnsi="Times New Roman"/>
        </w:rPr>
        <w:t>)</w:t>
      </w:r>
    </w:p>
    <w:p w14:paraId="710DE58D" w14:textId="66B4DCE6" w:rsidR="00462A9D" w:rsidRPr="003F7140" w:rsidRDefault="006F7641" w:rsidP="00992142">
      <w:pPr>
        <w:snapToGrid w:val="0"/>
        <w:ind w:left="1418" w:firstLine="709"/>
        <w:rPr>
          <w:rFonts w:ascii="Times New Roman" w:eastAsia="MS PGothic" w:hAnsi="Times New Roman"/>
        </w:rPr>
      </w:pPr>
      <m:oMath>
        <m:sSub>
          <m:sSubPr>
            <m:ctrlPr>
              <w:rPr>
                <w:rFonts w:ascii="Cambria Math" w:eastAsia="MS PGothic" w:hAnsi="Cambria Math"/>
                <w:i/>
              </w:rPr>
            </m:ctrlPr>
          </m:sSubPr>
          <m:e>
            <m:r>
              <w:rPr>
                <w:rFonts w:ascii="Cambria Math" w:eastAsia="MS PGothic" w:hAnsi="Cambria Math"/>
              </w:rPr>
              <m:t>H</m:t>
            </m:r>
          </m:e>
          <m:sub>
            <m:r>
              <w:rPr>
                <w:rFonts w:ascii="Cambria Math" w:eastAsia="MS PGothic" w:hAnsi="Cambria Math"/>
              </w:rPr>
              <m:t>2</m:t>
            </m:r>
          </m:sub>
        </m:sSub>
        <m:r>
          <w:rPr>
            <w:rFonts w:ascii="Cambria Math" w:eastAsia="MS PGothic" w:hAnsi="Cambria Math"/>
          </w:rPr>
          <m:t xml:space="preserve">+ </m:t>
        </m:r>
        <m:sSup>
          <m:sSupPr>
            <m:ctrlPr>
              <w:rPr>
                <w:rFonts w:ascii="Cambria Math" w:eastAsia="MS PGothic" w:hAnsi="Cambria Math"/>
                <w:i/>
              </w:rPr>
            </m:ctrlPr>
          </m:sSupPr>
          <m:e>
            <m:r>
              <w:rPr>
                <w:rFonts w:ascii="Cambria Math" w:eastAsia="MS PGothic" w:hAnsi="Cambria Math"/>
              </w:rPr>
              <m:t>O</m:t>
            </m:r>
          </m:e>
          <m:sup>
            <m:r>
              <w:rPr>
                <w:rFonts w:ascii="Cambria Math" w:eastAsia="MS PGothic" w:hAnsi="Cambria Math"/>
              </w:rPr>
              <m:t>2-</m:t>
            </m:r>
          </m:sup>
        </m:sSup>
      </m:oMath>
      <w:r w:rsidR="00C738BB">
        <w:rPr>
          <w:rFonts w:ascii="Times New Roman" w:eastAsia="MS PGothic" w:hAnsi="Times New Roman"/>
        </w:rPr>
        <w:t xml:space="preserve"> </w:t>
      </w:r>
      <m:oMath>
        <m:r>
          <m:rPr>
            <m:sty m:val="p"/>
          </m:rPr>
          <w:rPr>
            <w:rFonts w:ascii="Cambria Math" w:hAnsi="Cambria Math"/>
          </w:rPr>
          <m:t xml:space="preserve">→ </m:t>
        </m:r>
        <m:r>
          <w:rPr>
            <w:rFonts w:ascii="Cambria Math" w:hAnsi="Cambria Math"/>
          </w:rPr>
          <m:t xml:space="preserve"> </m:t>
        </m:r>
        <m:sSub>
          <m:sSubPr>
            <m:ctrlPr>
              <w:rPr>
                <w:rFonts w:ascii="Cambria Math" w:eastAsia="MS PGothic" w:hAnsi="Cambria Math"/>
                <w:i/>
              </w:rPr>
            </m:ctrlPr>
          </m:sSubPr>
          <m:e>
            <m:r>
              <w:rPr>
                <w:rFonts w:ascii="Cambria Math" w:eastAsia="MS PGothic" w:hAnsi="Cambria Math"/>
              </w:rPr>
              <m:t>H</m:t>
            </m:r>
          </m:e>
          <m:sub>
            <m:r>
              <w:rPr>
                <w:rFonts w:ascii="Cambria Math" w:eastAsia="MS PGothic" w:hAnsi="Cambria Math"/>
              </w:rPr>
              <m:t>2</m:t>
            </m:r>
          </m:sub>
        </m:sSub>
        <m:r>
          <w:rPr>
            <w:rFonts w:ascii="Cambria Math" w:eastAsia="MS PGothic" w:hAnsi="Cambria Math"/>
          </w:rPr>
          <m:t>O</m:t>
        </m:r>
        <m:r>
          <w:rPr>
            <w:rFonts w:ascii="Cambria Math" w:eastAsia="MS PGothic" w:hAnsi="Cambria Math"/>
          </w:rPr>
          <m:t>+</m:t>
        </m:r>
      </m:oMath>
      <w:r w:rsidR="008B4867">
        <w:rPr>
          <w:rFonts w:ascii="Times New Roman" w:eastAsia="MS PGothic" w:hAnsi="Times New Roman"/>
        </w:rPr>
        <w:t xml:space="preserve"> </w:t>
      </w:r>
      <m:oMath>
        <m:r>
          <m:rPr>
            <m:sty m:val="p"/>
          </m:rPr>
          <w:rPr>
            <w:rFonts w:ascii="Cambria Math" w:hAnsi="Cambria Math"/>
          </w:rPr>
          <m:t>2</m:t>
        </m:r>
        <m:sSup>
          <m:sSupPr>
            <m:ctrlPr>
              <w:rPr>
                <w:rFonts w:ascii="Cambria Math" w:hAnsi="Cambria Math" w:cs="Cambria Math"/>
              </w:rPr>
            </m:ctrlPr>
          </m:sSupPr>
          <m:e>
            <m:r>
              <m:rPr>
                <m:sty m:val="p"/>
              </m:rPr>
              <w:rPr>
                <w:rFonts w:ascii="Cambria Math" w:hAnsi="Cambria Math" w:cs="Cambria Math"/>
              </w:rPr>
              <m:t>e</m:t>
            </m:r>
          </m:e>
          <m:sup>
            <m:r>
              <w:rPr>
                <w:rFonts w:ascii="Cambria Math" w:hAnsi="Cambria Math" w:cs="Cambria Math"/>
              </w:rPr>
              <m:t>-</m:t>
            </m:r>
          </m:sup>
        </m:sSup>
      </m:oMath>
      <w:r w:rsidR="00ED0E1C">
        <w:rPr>
          <w:rFonts w:ascii="Times New Roman" w:eastAsia="MS PGothic" w:hAnsi="Times New Roman"/>
        </w:rPr>
        <w:tab/>
      </w:r>
      <w:r w:rsidR="00ED0E1C">
        <w:rPr>
          <w:rFonts w:ascii="Times New Roman" w:eastAsia="MS PGothic" w:hAnsi="Times New Roman"/>
        </w:rPr>
        <w:tab/>
      </w:r>
      <w:r w:rsidR="000F5E5B">
        <w:rPr>
          <w:rFonts w:ascii="Times New Roman" w:eastAsia="MS PGothic" w:hAnsi="Times New Roman"/>
        </w:rPr>
        <w:t>(</w:t>
      </w:r>
      <w:r w:rsidR="00113A69">
        <w:rPr>
          <w:rFonts w:ascii="Times New Roman" w:eastAsia="MS PGothic" w:hAnsi="Times New Roman"/>
        </w:rPr>
        <w:t>7</w:t>
      </w:r>
      <w:r w:rsidR="000F5E5B">
        <w:rPr>
          <w:rFonts w:ascii="Times New Roman" w:eastAsia="MS PGothic" w:hAnsi="Times New Roman"/>
        </w:rPr>
        <w:t>)</w:t>
      </w:r>
    </w:p>
    <w:p w14:paraId="580E8D70" w14:textId="4CDA9C97" w:rsidR="00D131C7" w:rsidRDefault="00F72FD7" w:rsidP="00ED0E1C">
      <w:pPr>
        <w:snapToGrid w:val="0"/>
        <w:rPr>
          <w:rFonts w:ascii="Times New Roman" w:eastAsia="MS PGothic" w:hAnsi="Times New Roman"/>
        </w:rPr>
      </w:pPr>
      <w:r>
        <w:rPr>
          <w:rFonts w:ascii="Times New Roman" w:eastAsia="MS PGothic" w:hAnsi="Times New Roman"/>
        </w:rPr>
        <w:t>Cath</w:t>
      </w:r>
      <w:r w:rsidRPr="000E4A1B">
        <w:rPr>
          <w:rFonts w:ascii="Times New Roman" w:eastAsia="MS PGothic" w:hAnsi="Times New Roman"/>
        </w:rPr>
        <w:t>ode reaction:</w:t>
      </w:r>
      <w:r w:rsidR="00992142">
        <w:rPr>
          <w:rFonts w:ascii="Times New Roman" w:eastAsia="MS PGothic" w:hAnsi="Times New Roman"/>
        </w:rPr>
        <w:tab/>
      </w:r>
      <m:oMath>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2</m:t>
            </m:r>
          </m:sub>
        </m:sSub>
        <m:r>
          <m:rPr>
            <m:sty m:val="p"/>
          </m:rPr>
          <w:rPr>
            <w:rFonts w:ascii="Cambria Math" w:hAnsi="Cambria Math"/>
          </w:rPr>
          <m:t>+2</m:t>
        </m:r>
        <m:sSup>
          <m:sSupPr>
            <m:ctrlPr>
              <w:rPr>
                <w:rFonts w:ascii="Cambria Math" w:hAnsi="Cambria Math" w:cs="Cambria Math"/>
              </w:rPr>
            </m:ctrlPr>
          </m:sSupPr>
          <m:e>
            <m:r>
              <m:rPr>
                <m:sty m:val="p"/>
              </m:rPr>
              <w:rPr>
                <w:rFonts w:ascii="Cambria Math" w:hAnsi="Cambria Math" w:cs="Cambria Math"/>
              </w:rPr>
              <m:t>e</m:t>
            </m:r>
          </m:e>
          <m:sup>
            <m:r>
              <w:rPr>
                <w:rFonts w:ascii="Cambria Math" w:hAnsi="Cambria Math" w:cs="Cambria Math"/>
              </w:rPr>
              <m:t>-</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O</m:t>
            </m:r>
          </m:e>
          <m:sup>
            <m:r>
              <w:rPr>
                <w:rFonts w:ascii="Cambria Math" w:hAnsi="Cambria Math"/>
              </w:rPr>
              <m:t>2-</m:t>
            </m:r>
          </m:sup>
        </m:sSup>
      </m:oMath>
      <w:r w:rsidR="00ED0E1C">
        <w:rPr>
          <w:rFonts w:ascii="Times New Roman" w:eastAsia="MS PGothic" w:hAnsi="Times New Roman"/>
        </w:rPr>
        <w:tab/>
      </w:r>
      <w:r w:rsidR="00ED0E1C">
        <w:rPr>
          <w:rFonts w:ascii="Times New Roman" w:eastAsia="MS PGothic" w:hAnsi="Times New Roman"/>
        </w:rPr>
        <w:tab/>
      </w:r>
      <w:r w:rsidR="00ED0E1C">
        <w:rPr>
          <w:rFonts w:ascii="Times New Roman" w:eastAsia="MS PGothic" w:hAnsi="Times New Roman"/>
        </w:rPr>
        <w:tab/>
      </w:r>
      <w:r w:rsidRPr="00E92C4B">
        <w:rPr>
          <w:rFonts w:ascii="Times New Roman" w:eastAsia="MS PGothic" w:hAnsi="Times New Roman"/>
        </w:rPr>
        <w:t>(</w:t>
      </w:r>
      <w:r w:rsidR="00113A69">
        <w:rPr>
          <w:rFonts w:ascii="Times New Roman" w:eastAsia="MS PGothic" w:hAnsi="Times New Roman"/>
        </w:rPr>
        <w:t>8</w:t>
      </w:r>
      <w:r w:rsidRPr="00E92C4B">
        <w:rPr>
          <w:rFonts w:ascii="Times New Roman" w:eastAsia="MS PGothic" w:hAnsi="Times New Roman"/>
        </w:rPr>
        <w:t>)</w:t>
      </w:r>
      <w:r w:rsidR="00602AC8" w:rsidRPr="00602AC8">
        <w:rPr>
          <w:rFonts w:ascii="Times New Roman" w:eastAsia="MS PGothic" w:hAnsi="Times New Roman"/>
        </w:rPr>
        <w:t xml:space="preserve"> </w:t>
      </w:r>
    </w:p>
    <w:p w14:paraId="67919E85" w14:textId="0BE57E6B" w:rsidR="005F6903" w:rsidRDefault="005F6903" w:rsidP="00ED0E1C">
      <w:pPr>
        <w:snapToGrid w:val="0"/>
        <w:rPr>
          <w:rFonts w:ascii="Times New Roman" w:eastAsia="MS PGothic" w:hAnsi="Times New Roman"/>
        </w:rPr>
      </w:pPr>
      <w:r>
        <w:rPr>
          <w:rFonts w:ascii="Times New Roman" w:eastAsia="MS PGothic" w:hAnsi="Times New Roman"/>
        </w:rPr>
        <w:t>Overall</w:t>
      </w:r>
      <w:r w:rsidRPr="000E4A1B">
        <w:rPr>
          <w:rFonts w:ascii="Times New Roman" w:eastAsia="MS PGothic" w:hAnsi="Times New Roman"/>
        </w:rPr>
        <w:t xml:space="preserve"> reaction:</w:t>
      </w:r>
      <w:r w:rsidR="000866A1">
        <w:rPr>
          <w:rFonts w:ascii="Times New Roman" w:eastAsia="MS PGothic" w:hAnsi="Times New Roman"/>
        </w:rPr>
        <w:t xml:space="preserve">  </w:t>
      </w:r>
      <w:r w:rsidR="00992142">
        <w:rPr>
          <w:rFonts w:ascii="Times New Roman" w:eastAsia="MS PGothic" w:hAnsi="Times New Roman"/>
        </w:rPr>
        <w:tab/>
      </w:r>
      <m:oMath>
        <m:sSub>
          <m:sSubPr>
            <m:ctrlPr>
              <w:rPr>
                <w:rFonts w:ascii="Cambria Math" w:eastAsia="MS PGothic" w:hAnsi="Cambria Math"/>
                <w:i/>
              </w:rPr>
            </m:ctrlPr>
          </m:sSubPr>
          <m:e>
            <m:r>
              <w:rPr>
                <w:rFonts w:ascii="Cambria Math" w:eastAsia="MS PGothic" w:hAnsi="Cambria Math"/>
              </w:rPr>
              <m:t>2NH</m:t>
            </m:r>
          </m:e>
          <m:sub>
            <m:r>
              <w:rPr>
                <w:rFonts w:ascii="Cambria Math" w:eastAsia="MS PGothic" w:hAnsi="Cambria Math"/>
              </w:rPr>
              <m:t>3</m:t>
            </m:r>
          </m:sub>
        </m:sSub>
        <m:r>
          <w:rPr>
            <w:rFonts w:ascii="Cambria Math" w:eastAsia="MS PGothic" w:hAnsi="Cambria Math"/>
          </w:rPr>
          <m:t>+</m:t>
        </m:r>
        <m:f>
          <m:fPr>
            <m:ctrlPr>
              <w:rPr>
                <w:rFonts w:ascii="Cambria Math" w:eastAsia="MS PGothic" w:hAnsi="Cambria Math"/>
                <w:i/>
              </w:rPr>
            </m:ctrlPr>
          </m:fPr>
          <m:num>
            <m:r>
              <w:rPr>
                <w:rFonts w:ascii="Cambria Math" w:eastAsia="MS PGothic" w:hAnsi="Cambria Math"/>
              </w:rPr>
              <m:t>3</m:t>
            </m:r>
          </m:num>
          <m:den>
            <m:r>
              <w:rPr>
                <w:rFonts w:ascii="Cambria Math" w:eastAsia="MS PGothic" w:hAnsi="Cambria Math"/>
              </w:rPr>
              <m:t>2</m:t>
            </m:r>
          </m:den>
        </m:f>
        <m:sSub>
          <m:sSubPr>
            <m:ctrlPr>
              <w:rPr>
                <w:rFonts w:ascii="Cambria Math" w:eastAsia="MS PGothic" w:hAnsi="Cambria Math"/>
                <w:i/>
              </w:rPr>
            </m:ctrlPr>
          </m:sSubPr>
          <m:e>
            <m:r>
              <w:rPr>
                <w:rFonts w:ascii="Cambria Math" w:eastAsia="MS PGothic" w:hAnsi="Cambria Math"/>
              </w:rPr>
              <m:t>O</m:t>
            </m:r>
          </m:e>
          <m:sub>
            <m:r>
              <w:rPr>
                <w:rFonts w:ascii="Cambria Math" w:eastAsia="MS PGothic" w:hAnsi="Cambria Math"/>
              </w:rPr>
              <m:t>2</m:t>
            </m:r>
          </m:sub>
        </m:sSub>
      </m:oMath>
      <w:r>
        <w:rPr>
          <w:rFonts w:eastAsiaTheme="minorEastAsia"/>
        </w:rPr>
        <w:t xml:space="preserve"> </w:t>
      </w:r>
      <m:oMath>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ED0E1C">
        <w:rPr>
          <w:rFonts w:eastAsiaTheme="minorEastAsia"/>
        </w:rPr>
        <w:tab/>
      </w:r>
      <w:r w:rsidR="00ED0E1C">
        <w:rPr>
          <w:rFonts w:eastAsiaTheme="minorEastAsia"/>
        </w:rPr>
        <w:tab/>
      </w:r>
      <w:r w:rsidRPr="003F7140">
        <w:rPr>
          <w:rFonts w:ascii="Times New Roman" w:eastAsia="MS PGothic" w:hAnsi="Times New Roman"/>
        </w:rPr>
        <w:t>(</w:t>
      </w:r>
      <w:r w:rsidR="00113A69">
        <w:rPr>
          <w:rFonts w:ascii="Times New Roman" w:eastAsia="MS PGothic" w:hAnsi="Times New Roman"/>
        </w:rPr>
        <w:t>9</w:t>
      </w:r>
      <w:r w:rsidRPr="003F7140">
        <w:rPr>
          <w:rFonts w:ascii="Times New Roman" w:eastAsia="MS PGothic" w:hAnsi="Times New Roman"/>
        </w:rPr>
        <w:t>)</w:t>
      </w:r>
    </w:p>
    <w:p w14:paraId="01FD3B96" w14:textId="4D5396EC" w:rsidR="00DE510E" w:rsidRDefault="00DE510E" w:rsidP="00BE2C83">
      <w:pPr>
        <w:pStyle w:val="Paragrafoelenco"/>
        <w:numPr>
          <w:ilvl w:val="2"/>
          <w:numId w:val="4"/>
        </w:numPr>
        <w:snapToGrid w:val="0"/>
        <w:spacing w:before="240" w:after="160" w:line="300" w:lineRule="auto"/>
        <w:ind w:left="1225" w:hanging="505"/>
        <w:rPr>
          <w:rFonts w:ascii="Times New Roman" w:eastAsia="MS PGothic" w:hAnsi="Times New Roman"/>
          <w:b/>
        </w:rPr>
      </w:pPr>
      <w:r>
        <w:rPr>
          <w:rFonts w:ascii="Times New Roman" w:eastAsia="MS PGothic" w:hAnsi="Times New Roman"/>
          <w:b/>
        </w:rPr>
        <w:t>Alkaline Fuel Cell</w:t>
      </w:r>
    </w:p>
    <w:p w14:paraId="44F66151" w14:textId="40FD64B7" w:rsidR="0050224E" w:rsidRDefault="00053A95" w:rsidP="0050224E">
      <w:pPr>
        <w:snapToGrid w:val="0"/>
        <w:spacing w:after="0"/>
        <w:rPr>
          <w:rFonts w:ascii="Times New Roman" w:eastAsia="MS PGothic" w:hAnsi="Times New Roman"/>
          <w:lang w:val="en-US"/>
        </w:rPr>
      </w:pPr>
      <w:r w:rsidRPr="00053A95">
        <w:rPr>
          <w:rFonts w:ascii="Times New Roman" w:eastAsia="MS PGothic" w:hAnsi="Times New Roman"/>
        </w:rPr>
        <w:t>AFCs use an electrolyte consisting of a</w:t>
      </w:r>
      <w:r w:rsidR="00992142">
        <w:rPr>
          <w:rFonts w:ascii="Times New Roman" w:eastAsia="MS PGothic" w:hAnsi="Times New Roman"/>
        </w:rPr>
        <w:t xml:space="preserve"> water</w:t>
      </w:r>
      <w:r w:rsidRPr="00053A95">
        <w:rPr>
          <w:rFonts w:ascii="Times New Roman" w:eastAsia="MS PGothic" w:hAnsi="Times New Roman"/>
        </w:rPr>
        <w:t xml:space="preserve"> solution of potassium hydroxide </w:t>
      </w:r>
      <w:r w:rsidR="00992142">
        <w:rPr>
          <w:rFonts w:ascii="Times New Roman" w:eastAsia="MS PGothic" w:hAnsi="Times New Roman"/>
        </w:rPr>
        <w:t>(</w:t>
      </w:r>
      <w:r w:rsidR="00794961">
        <w:rPr>
          <w:rFonts w:ascii="Calibri" w:eastAsia="MS PGothic" w:hAnsi="Calibri" w:cs="Calibri"/>
        </w:rPr>
        <w:t>≈</w:t>
      </w:r>
      <w:r w:rsidR="00794961">
        <w:rPr>
          <w:rFonts w:ascii="Times New Roman" w:eastAsia="MS PGothic" w:hAnsi="Times New Roman"/>
        </w:rPr>
        <w:t>30</w:t>
      </w:r>
      <w:r w:rsidR="00992142">
        <w:rPr>
          <w:rFonts w:ascii="Times New Roman" w:eastAsia="MS PGothic" w:hAnsi="Times New Roman"/>
        </w:rPr>
        <w:t xml:space="preserve"> %) </w:t>
      </w:r>
      <w:r w:rsidRPr="00053A95">
        <w:rPr>
          <w:rFonts w:ascii="Times New Roman" w:eastAsia="MS PGothic" w:hAnsi="Times New Roman"/>
        </w:rPr>
        <w:t>and operate at temperatures of around 120</w:t>
      </w:r>
      <w:r w:rsidR="00992142">
        <w:rPr>
          <w:rFonts w:ascii="Times New Roman" w:eastAsia="MS PGothic" w:hAnsi="Times New Roman"/>
        </w:rPr>
        <w:t xml:space="preserve"> </w:t>
      </w:r>
      <w:r w:rsidRPr="00053A95">
        <w:rPr>
          <w:rFonts w:ascii="Times New Roman" w:eastAsia="MS PGothic" w:hAnsi="Times New Roman"/>
        </w:rPr>
        <w:t>°C</w:t>
      </w:r>
      <w:r w:rsidR="00992142">
        <w:rPr>
          <w:rFonts w:ascii="Times New Roman" w:eastAsia="MS PGothic" w:hAnsi="Times New Roman"/>
        </w:rPr>
        <w:t xml:space="preserve"> </w:t>
      </w:r>
      <w:r w:rsidR="00992142">
        <w:rPr>
          <w:rFonts w:ascii="Times New Roman" w:eastAsia="MS PGothic" w:hAnsi="Times New Roman"/>
        </w:rPr>
        <w:fldChar w:fldCharType="begin" w:fldLock="1"/>
      </w:r>
      <w:r w:rsidR="00621A79">
        <w:rPr>
          <w:rFonts w:ascii="Times New Roman" w:eastAsia="MS PGothic" w:hAnsi="Times New Roman"/>
        </w:rPr>
        <w:instrText>ADDIN CSL_CITATION {"citationItems":[{"id":"ITEM-1","itemData":{"DOI":"10.1016/B978-0-12-814251-6.00002-2","ISBN":"9780128142516","ISSN":"0916-8753","abstract":"Fuel cells (FCs) are electrochemical devices capable of converting the chemical energy of a fuel (usually hydrogen, but also hydrocarbons and alcohols) into electricity and heat. Positive characteristics such as high efficiency, low pollutant emissions, and few maintenance requirements motivated a strong interest in this technology during the last decades, with R&amp;D activities on different FC types and applications going on around the world. In this chapter, after an introduction regarding the general features of the technology and the main development focuses, a particular attention is devoted to the types that currently dominate the market and the research: the polymer electrolyte membrane FCs and the solid oxide FCs. The corresponding sections present the state of the art of these technologies, together with the technical targets for future developments, as well as existing and prospective applications.","author":[{"dropping-particle":"","family":"Coralli","given":"Alberto","non-dropping-particle":"","parse-names":false,"suffix":""},{"dropping-particle":"","family":"Sarruf","given":"Bernardo J.M.","non-dropping-particle":"","parse-names":false,"suffix":""},{"dropping-particle":"V.","family":"Miranda","given":"Paulo Emílio","non-dropping-particle":"De","parse-names":false,"suffix":""},{"dropping-particle":"","family":"Osmieri","given":"Luigi","non-dropping-particle":"","parse-names":false,"suffix":""},{"dropping-particle":"","family":"Specchia","given":"Stefania","non-dropping-particle":"","parse-names":false,"suffix":""},{"dropping-particle":"","family":"Minh","given":"Nguyen Q.","non-dropping-particle":"","parse-names":false,"suffix":""}],"container-title":"Science and Engineering of Hydrogen-Based Energy Technologies: Hydrogen Production and Practical Applications in Energy Generation","id":"ITEM-1","issued":{"date-parts":[["2018"]]},"title":"Fuel cells","type":"chapter"},"uris":["http://www.mendeley.com/documents/?uuid=760c87f2-463f-4a1b-b705-d9d436a1c031"]},{"id":"ITEM-2","itemData":{"DOI":"10.1016/B978-0-08-102631-1.00007-9","ISBN":"9780081026311","abstract":"Fuel cells are electrochemical devices that consume hydrogen and oxygen to produce electricity. They are not heat engines and so they are not restricted by heat engine thermodynamic limits. A number of different types of fuel cells have been developed, each with different characteristics. The alkaline fuel cell is very efficient but also expensive. The phosphoric acid fuel cell has achieved the biggest commercial success, particularly in packaged combined heat and power modules for distributed generation applications. The proton exchange membrane fuel cell is very light and also potentially of high efficiency, making it attractive for automotive applications. The molten carbonate and the solid oxide fuel cells are both high-temperature cells and can provide high-grade heat suitable for further power generation making them capable of high efficiency as well. The direct methanol fuel cell can consume liquid methanol and is attractive for portable applications as a battery replacement.","author":[{"dropping-particle":"","family":"Breeze","given":"Paul","non-dropping-particle":"","parse-names":false,"suffix":""},{"dropping-particle":"","family":"Breeze","given":"Paul","non-dropping-particle":"","parse-names":false,"suffix":""}],"container-title":"Power Generation Technologies","id":"ITEM-2","issued":{"date-parts":[["2019"]]},"title":"Chapter 7 – Fuel Cells","type":"article-journal"},"uris":["http://www.mendeley.com/documents/?uuid=0064c5cb-0767-4325-b50c-21bc17f87921"]}],"mendeley":{"formattedCitation":"[21], [24]","plainTextFormattedCitation":"[21], [24]","previouslyFormattedCitation":"[22], [25]"},"properties":{"noteIndex":0},"schema":"https://github.com/citation-style-language/schema/raw/master/csl-citation.json"}</w:instrText>
      </w:r>
      <w:r w:rsidR="00992142">
        <w:rPr>
          <w:rFonts w:ascii="Times New Roman" w:eastAsia="MS PGothic" w:hAnsi="Times New Roman"/>
        </w:rPr>
        <w:fldChar w:fldCharType="separate"/>
      </w:r>
      <w:r w:rsidR="00621A79" w:rsidRPr="00621A79">
        <w:rPr>
          <w:rFonts w:ascii="Times New Roman" w:eastAsia="MS PGothic" w:hAnsi="Times New Roman"/>
          <w:noProof/>
        </w:rPr>
        <w:t>[21</w:t>
      </w:r>
      <w:r w:rsidR="000C68A6">
        <w:rPr>
          <w:rFonts w:ascii="Times New Roman" w:eastAsia="MS PGothic" w:hAnsi="Times New Roman"/>
          <w:noProof/>
        </w:rPr>
        <w:t xml:space="preserve">, </w:t>
      </w:r>
      <w:r w:rsidR="00621A79" w:rsidRPr="00621A79">
        <w:rPr>
          <w:rFonts w:ascii="Times New Roman" w:eastAsia="MS PGothic" w:hAnsi="Times New Roman"/>
          <w:noProof/>
        </w:rPr>
        <w:t>24]</w:t>
      </w:r>
      <w:r w:rsidR="00992142">
        <w:rPr>
          <w:rFonts w:ascii="Times New Roman" w:eastAsia="MS PGothic" w:hAnsi="Times New Roman"/>
        </w:rPr>
        <w:fldChar w:fldCharType="end"/>
      </w:r>
      <w:r w:rsidRPr="00053A95">
        <w:rPr>
          <w:rFonts w:ascii="Times New Roman" w:eastAsia="MS PGothic" w:hAnsi="Times New Roman"/>
        </w:rPr>
        <w:t>. They have reached a good degree of technological maturity, especially for special uses (military and space applications); their characteristics (requiring extremely pure feed gases) have severely limited their diffusion.</w:t>
      </w:r>
      <w:r w:rsidR="00220D00">
        <w:rPr>
          <w:rFonts w:ascii="Times New Roman" w:eastAsia="MS PGothic" w:hAnsi="Times New Roman"/>
        </w:rPr>
        <w:t xml:space="preserve"> A</w:t>
      </w:r>
      <w:r w:rsidR="00220D00" w:rsidRPr="000E3B84">
        <w:rPr>
          <w:rFonts w:ascii="Times New Roman" w:eastAsia="MS PGothic" w:hAnsi="Times New Roman"/>
          <w:lang w:val="en-US"/>
        </w:rPr>
        <w:t xml:space="preserve"> model from the AFC energy (</w:t>
      </w:r>
      <w:r w:rsidR="00220D00">
        <w:rPr>
          <w:rFonts w:ascii="Times New Roman" w:eastAsia="MS PGothic" w:hAnsi="Times New Roman"/>
          <w:lang w:val="en-US"/>
        </w:rPr>
        <w:t>U</w:t>
      </w:r>
      <w:r w:rsidR="00220D00" w:rsidRPr="000E3B84">
        <w:rPr>
          <w:rFonts w:ascii="Times New Roman" w:eastAsia="MS PGothic" w:hAnsi="Times New Roman"/>
          <w:lang w:val="en-US"/>
        </w:rPr>
        <w:t xml:space="preserve">nited Kingdom) 350 kW </w:t>
      </w:r>
      <w:proofErr w:type="spellStart"/>
      <w:r w:rsidR="00220D00" w:rsidRPr="000E3B84">
        <w:rPr>
          <w:rFonts w:ascii="Times New Roman" w:eastAsia="MS PGothic" w:hAnsi="Times New Roman"/>
          <w:lang w:val="en-US"/>
        </w:rPr>
        <w:t>HydroX</w:t>
      </w:r>
      <w:proofErr w:type="spellEnd"/>
      <w:r w:rsidR="00220D00" w:rsidRPr="000E3B84">
        <w:rPr>
          <w:rFonts w:ascii="Times New Roman" w:eastAsia="MS PGothic" w:hAnsi="Times New Roman"/>
          <w:lang w:val="en-US"/>
        </w:rPr>
        <w:t xml:space="preserve">-Cell(L) catalogue </w:t>
      </w:r>
      <w:r w:rsidR="00220D00">
        <w:rPr>
          <w:rFonts w:ascii="Times New Roman" w:eastAsia="MS PGothic" w:hAnsi="Times New Roman"/>
          <w:lang w:val="en-US"/>
        </w:rPr>
        <w:t>i</w:t>
      </w:r>
      <w:r w:rsidR="00220D00" w:rsidRPr="000E3B84">
        <w:rPr>
          <w:rFonts w:ascii="Times New Roman" w:eastAsia="MS PGothic" w:hAnsi="Times New Roman"/>
          <w:lang w:val="en-US"/>
        </w:rPr>
        <w:t>s chosen</w:t>
      </w:r>
      <w:r w:rsidR="00220D00">
        <w:rPr>
          <w:rFonts w:ascii="Times New Roman" w:eastAsia="MS PGothic" w:hAnsi="Times New Roman"/>
          <w:lang w:val="en-US"/>
        </w:rPr>
        <w:t>, with an electrical efficiency of 60%</w:t>
      </w:r>
      <w:r w:rsidR="00220D00" w:rsidRPr="000E3B84">
        <w:rPr>
          <w:rFonts w:ascii="Times New Roman" w:eastAsia="MS PGothic" w:hAnsi="Times New Roman"/>
          <w:lang w:val="en-US"/>
        </w:rPr>
        <w:t>.</w:t>
      </w:r>
      <w:r w:rsidR="004C2CDD">
        <w:rPr>
          <w:rFonts w:ascii="Times New Roman" w:eastAsia="MS PGothic" w:hAnsi="Times New Roman"/>
          <w:lang w:val="en-US"/>
        </w:rPr>
        <w:t xml:space="preserve"> </w:t>
      </w:r>
      <w:r w:rsidR="0050224E">
        <w:rPr>
          <w:rFonts w:ascii="Times New Roman" w:eastAsia="MS PGothic" w:hAnsi="Times New Roman"/>
          <w:lang w:val="en-US"/>
        </w:rPr>
        <w:t xml:space="preserve">The specifics are reported in Table </w:t>
      </w:r>
      <w:r w:rsidR="005C0B5C">
        <w:rPr>
          <w:rFonts w:ascii="Times New Roman" w:eastAsia="MS PGothic" w:hAnsi="Times New Roman"/>
          <w:lang w:val="en-US"/>
        </w:rPr>
        <w:t>1</w:t>
      </w:r>
      <w:r w:rsidR="0050224E">
        <w:rPr>
          <w:rFonts w:ascii="Times New Roman" w:eastAsia="MS PGothic" w:hAnsi="Times New Roman"/>
          <w:lang w:val="en-US"/>
        </w:rPr>
        <w:t xml:space="preserve">; </w:t>
      </w:r>
      <w:r w:rsidR="00D91FE1">
        <w:rPr>
          <w:rFonts w:ascii="Times New Roman" w:eastAsia="MS PGothic" w:hAnsi="Times New Roman"/>
          <w:lang w:val="en-US"/>
        </w:rPr>
        <w:t xml:space="preserve">the </w:t>
      </w:r>
      <w:r w:rsidR="000C7B50">
        <w:rPr>
          <w:rFonts w:ascii="Times New Roman" w:eastAsia="MS PGothic" w:hAnsi="Times New Roman"/>
          <w:lang w:val="en-US"/>
        </w:rPr>
        <w:t xml:space="preserve">working </w:t>
      </w:r>
      <w:r w:rsidR="0050224E" w:rsidRPr="001552C6">
        <w:rPr>
          <w:rFonts w:ascii="Times New Roman" w:eastAsia="MS PGothic" w:hAnsi="Times New Roman"/>
        </w:rPr>
        <w:t xml:space="preserve">scheme is shown in Figure </w:t>
      </w:r>
      <w:r w:rsidR="003106E4">
        <w:rPr>
          <w:rFonts w:ascii="Times New Roman" w:eastAsia="MS PGothic" w:hAnsi="Times New Roman"/>
        </w:rPr>
        <w:t>1</w:t>
      </w:r>
      <w:r w:rsidR="0050224E">
        <w:rPr>
          <w:rFonts w:ascii="Times New Roman" w:eastAsia="MS PGothic" w:hAnsi="Times New Roman"/>
        </w:rPr>
        <w:t>.</w:t>
      </w:r>
    </w:p>
    <w:p w14:paraId="3A4E52AF" w14:textId="58A982B6" w:rsidR="00893C31" w:rsidRDefault="00893C31" w:rsidP="00ED0E1C">
      <w:pPr>
        <w:snapToGrid w:val="0"/>
        <w:rPr>
          <w:rFonts w:ascii="Times New Roman" w:eastAsia="MS PGothic" w:hAnsi="Times New Roman"/>
        </w:rPr>
      </w:pPr>
      <w:r>
        <w:rPr>
          <w:rFonts w:ascii="Times New Roman" w:eastAsia="MS PGothic" w:hAnsi="Times New Roman"/>
        </w:rPr>
        <w:t>T</w:t>
      </w:r>
      <w:r w:rsidRPr="006803C2">
        <w:rPr>
          <w:rFonts w:ascii="Times New Roman" w:eastAsia="MS PGothic" w:hAnsi="Times New Roman"/>
        </w:rPr>
        <w:t>he overall reaction, the characteristic reactions at the anode and cathode are as follows</w:t>
      </w:r>
      <w:r w:rsidR="00992142">
        <w:rPr>
          <w:rFonts w:ascii="Times New Roman" w:eastAsia="MS PGothic" w:hAnsi="Times New Roman"/>
        </w:rPr>
        <w:t xml:space="preserve"> </w:t>
      </w:r>
      <w:r w:rsidR="00992142">
        <w:rPr>
          <w:rFonts w:ascii="Times New Roman" w:eastAsia="MS PGothic" w:hAnsi="Times New Roman"/>
        </w:rPr>
        <w:fldChar w:fldCharType="begin" w:fldLock="1"/>
      </w:r>
      <w:r w:rsidR="00621A79">
        <w:rPr>
          <w:rFonts w:ascii="Times New Roman" w:eastAsia="MS PGothic" w:hAnsi="Times New Roman"/>
        </w:rPr>
        <w:instrText>ADDIN CSL_CITATION {"citationItems":[{"id":"ITEM-1","itemData":{"DOI":"10.1016/B978-0-08-102631-1.00007-9","ISBN":"9780081026311","abstract":"Fuel cells are electrochemical devices that consume hydrogen and oxygen to produce electricity. They are not heat engines and so they are not restricted by heat engine thermodynamic limits. A number of different types of fuel cells have been developed, each with different characteristics. The alkaline fuel cell is very efficient but also expensive. The phosphoric acid fuel cell has achieved the biggest commercial success, particularly in packaged combined heat and power modules for distributed generation applications. The proton exchange membrane fuel cell is very light and also potentially of high efficiency, making it attractive for automotive applications. The molten carbonate and the solid oxide fuel cells are both high-temperature cells and can provide high-grade heat suitable for further power generation making them capable of high efficiency as well. The direct methanol fuel cell can consume liquid methanol and is attractive for portable applications as a battery replacement.","author":[{"dropping-particle":"","family":"Breeze","given":"Paul","non-dropping-particle":"","parse-names":false,"suffix":""},{"dropping-particle":"","family":"Breeze","given":"Paul","non-dropping-particle":"","parse-names":false,"suffix":""}],"container-title":"Power Generation Technologies","id":"ITEM-1","issued":{"date-parts":[["2019"]]},"title":"Chapter 7 – Fuel Cells","type":"article-journal"},"uris":["http://www.mendeley.com/documents/?uuid=0064c5cb-0767-4325-b50c-21bc17f87921"]},{"id":"ITEM-2","itemData":{"DOI":"10.1016/B978-0-12-814251-6.00002-2","ISBN":"9780128142516","ISSN":"0916-8753","abstract":"Fuel cells (FCs) are electrochemical devices capable of converting the chemical energy of a fuel (usually hydrogen, but also hydrocarbons and alcohols) into electricity and heat. Positive characteristics such as high efficiency, low pollutant emissions, and few maintenance requirements motivated a strong interest in this technology during the last decades, with R&amp;D activities on different FC types and applications going on around the world. In this chapter, after an introduction regarding the general features of the technology and the main development focuses, a particular attention is devoted to the types that currently dominate the market and the research: the polymer electrolyte membrane FCs and the solid oxide FCs. The corresponding sections present the state of the art of these technologies, together with the technical targets for future developments, as well as existing and prospective applications.","author":[{"dropping-particle":"","family":"Coralli","given":"Alberto","non-dropping-particle":"","parse-names":false,"suffix":""},{"dropping-particle":"","family":"Sarruf","given":"Bernardo J.M.","non-dropping-particle":"","parse-names":false,"suffix":""},{"dropping-particle":"V.","family":"Miranda","given":"Paulo Emílio","non-dropping-particle":"De","parse-names":false,"suffix":""},{"dropping-particle":"","family":"Osmieri","given":"Luigi","non-dropping-particle":"","parse-names":false,"suffix":""},{"dropping-particle":"","family":"Specchia","given":"Stefania","non-dropping-particle":"","parse-names":false,"suffix":""},{"dropping-particle":"","family":"Minh","given":"Nguyen Q.","non-dropping-particle":"","parse-names":false,"suffix":""}],"container-title":"Science and Engineering of Hydrogen-Based Energy Technologies: Hydrogen Production and Practical Applications in Energy Generation","id":"ITEM-2","issued":{"date-parts":[["2018"]]},"title":"Fuel cells","type":"chapter"},"uris":["http://www.mendeley.com/documents/?uuid=760c87f2-463f-4a1b-b705-d9d436a1c031"]}],"mendeley":{"formattedCitation":"[21], [24]","plainTextFormattedCitation":"[21], [24]","previouslyFormattedCitation":"[22], [25]"},"properties":{"noteIndex":0},"schema":"https://github.com/citation-style-language/schema/raw/master/csl-citation.json"}</w:instrText>
      </w:r>
      <w:r w:rsidR="00992142">
        <w:rPr>
          <w:rFonts w:ascii="Times New Roman" w:eastAsia="MS PGothic" w:hAnsi="Times New Roman"/>
        </w:rPr>
        <w:fldChar w:fldCharType="separate"/>
      </w:r>
      <w:r w:rsidR="00621A79" w:rsidRPr="00621A79">
        <w:rPr>
          <w:rFonts w:ascii="Times New Roman" w:eastAsia="MS PGothic" w:hAnsi="Times New Roman"/>
          <w:noProof/>
        </w:rPr>
        <w:t>[21</w:t>
      </w:r>
      <w:r w:rsidR="00780439">
        <w:rPr>
          <w:rFonts w:ascii="Times New Roman" w:eastAsia="MS PGothic" w:hAnsi="Times New Roman"/>
          <w:noProof/>
        </w:rPr>
        <w:t xml:space="preserve">, </w:t>
      </w:r>
      <w:r w:rsidR="00621A79" w:rsidRPr="00621A79">
        <w:rPr>
          <w:rFonts w:ascii="Times New Roman" w:eastAsia="MS PGothic" w:hAnsi="Times New Roman"/>
          <w:noProof/>
        </w:rPr>
        <w:t>24]</w:t>
      </w:r>
      <w:r w:rsidR="00992142">
        <w:rPr>
          <w:rFonts w:ascii="Times New Roman" w:eastAsia="MS PGothic" w:hAnsi="Times New Roman"/>
        </w:rPr>
        <w:fldChar w:fldCharType="end"/>
      </w:r>
      <w:r>
        <w:rPr>
          <w:rFonts w:ascii="Times New Roman" w:eastAsia="MS PGothic" w:hAnsi="Times New Roman"/>
        </w:rPr>
        <w:t>:</w:t>
      </w:r>
    </w:p>
    <w:p w14:paraId="428A84E7" w14:textId="5D883E03" w:rsidR="004C2CDD" w:rsidRPr="00893C31" w:rsidRDefault="00893C31" w:rsidP="00ED0E1C">
      <w:pPr>
        <w:snapToGrid w:val="0"/>
        <w:rPr>
          <w:rFonts w:ascii="Times New Roman" w:eastAsia="MS PGothic" w:hAnsi="Times New Roman"/>
          <w:lang w:val="en-US"/>
        </w:rPr>
      </w:pPr>
      <w:r w:rsidRPr="0021352D">
        <w:rPr>
          <w:rFonts w:ascii="Times New Roman" w:eastAsia="MS PGothic" w:hAnsi="Times New Roman"/>
          <w:lang w:val="en-US"/>
        </w:rPr>
        <w:t>Anode reaction:</w:t>
      </w:r>
      <w:r w:rsidR="00992142">
        <w:rPr>
          <w:rFonts w:ascii="Times New Roman" w:eastAsia="MS PGothic" w:hAnsi="Times New Roman"/>
          <w:lang w:val="en-US"/>
        </w:rPr>
        <w:tab/>
      </w:r>
      <w:r w:rsidR="00AD7AD8">
        <w:rPr>
          <w:rFonts w:ascii="Times New Roman" w:eastAsia="MS PGothic" w:hAnsi="Times New Roman"/>
          <w:lang w:val="en-US"/>
        </w:rPr>
        <w:tab/>
      </w:r>
      <m:oMath>
        <m:sSub>
          <m:sSubPr>
            <m:ctrlPr>
              <w:rPr>
                <w:rFonts w:ascii="Cambria Math" w:eastAsia="MS PGothic" w:hAnsi="Cambria Math"/>
                <w:i/>
              </w:rPr>
            </m:ctrlPr>
          </m:sSubPr>
          <m:e>
            <m:r>
              <w:rPr>
                <w:rFonts w:ascii="Cambria Math" w:eastAsia="MS PGothic" w:hAnsi="Cambria Math"/>
              </w:rPr>
              <m:t>NH</m:t>
            </m:r>
          </m:e>
          <m:sub>
            <m:r>
              <w:rPr>
                <w:rFonts w:ascii="Cambria Math" w:eastAsia="MS PGothic" w:hAnsi="Cambria Math"/>
                <w:lang w:val="en-US"/>
              </w:rPr>
              <m:t>3</m:t>
            </m:r>
          </m:sub>
        </m:sSub>
        <m:r>
          <w:rPr>
            <w:rFonts w:ascii="Cambria Math" w:eastAsia="MS PGothic" w:hAnsi="Cambria Math"/>
            <w:lang w:val="en-US"/>
          </w:rPr>
          <m:t xml:space="preserve">+ </m:t>
        </m:r>
        <m:sSup>
          <m:sSupPr>
            <m:ctrlPr>
              <w:rPr>
                <w:rFonts w:ascii="Cambria Math" w:eastAsia="MS PGothic" w:hAnsi="Cambria Math"/>
                <w:i/>
              </w:rPr>
            </m:ctrlPr>
          </m:sSupPr>
          <m:e>
            <m:r>
              <w:rPr>
                <w:rFonts w:ascii="Cambria Math" w:eastAsia="MS PGothic" w:hAnsi="Cambria Math"/>
                <w:lang w:val="en-US"/>
              </w:rPr>
              <m:t>3</m:t>
            </m:r>
            <m:r>
              <w:rPr>
                <w:rFonts w:ascii="Cambria Math" w:eastAsia="MS PGothic" w:hAnsi="Cambria Math"/>
              </w:rPr>
              <m:t>OH</m:t>
            </m:r>
          </m:e>
          <m:sup>
            <m:r>
              <w:rPr>
                <w:rFonts w:ascii="Cambria Math" w:eastAsia="MS PGothic" w:hAnsi="Cambria Math"/>
                <w:lang w:val="en-US"/>
              </w:rPr>
              <m:t>-</m:t>
            </m:r>
          </m:sup>
        </m:sSup>
        <m:r>
          <w:rPr>
            <w:rFonts w:ascii="Cambria Math" w:eastAsia="MS PGothic" w:hAnsi="Cambria Math"/>
            <w:lang w:val="en-US"/>
          </w:rPr>
          <m:t xml:space="preserve"> </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2</m:t>
            </m:r>
          </m:den>
        </m:f>
        <m:r>
          <m:rPr>
            <m:sty m:val="p"/>
          </m:rPr>
          <w:rPr>
            <w:rFonts w:ascii="Cambria Math" w:hAnsi="Cambria Math"/>
            <w:lang w:val="en-US"/>
          </w:rPr>
          <m:t xml:space="preserve"> </m:t>
        </m:r>
        <m:sSub>
          <m:sSubPr>
            <m:ctrlPr>
              <w:rPr>
                <w:rFonts w:ascii="Cambria Math" w:hAnsi="Cambria Math"/>
              </w:rPr>
            </m:ctrlPr>
          </m:sSubPr>
          <m:e>
            <m:r>
              <w:rPr>
                <w:rFonts w:ascii="Cambria Math" w:hAnsi="Cambria Math"/>
              </w:rPr>
              <m:t>N</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lang w:val="en-US"/>
              </w:rPr>
              <m:t>3</m:t>
            </m:r>
            <m:r>
              <w:rPr>
                <w:rFonts w:ascii="Cambria Math" w:hAnsi="Cambria Math"/>
              </w:rPr>
              <m:t>H</m:t>
            </m:r>
          </m:e>
          <m:sub>
            <m:r>
              <w:rPr>
                <w:rFonts w:ascii="Cambria Math" w:hAnsi="Cambria Math"/>
                <w:lang w:val="en-US"/>
              </w:rPr>
              <m:t>2</m:t>
            </m:r>
          </m:sub>
        </m:sSub>
        <m:r>
          <w:rPr>
            <w:rFonts w:ascii="Cambria Math" w:hAnsi="Cambria Math"/>
          </w:rPr>
          <m:t>O</m:t>
        </m:r>
        <m:r>
          <w:rPr>
            <w:rFonts w:ascii="Cambria Math" w:hAnsi="Cambria Math"/>
            <w:lang w:val="en-US"/>
          </w:rPr>
          <m:t xml:space="preserve">+ </m:t>
        </m:r>
        <m:sSup>
          <m:sSupPr>
            <m:ctrlPr>
              <w:rPr>
                <w:rFonts w:ascii="Cambria Math" w:hAnsi="Cambria Math"/>
                <w:i/>
              </w:rPr>
            </m:ctrlPr>
          </m:sSupPr>
          <m:e>
            <m:r>
              <w:rPr>
                <w:rFonts w:ascii="Cambria Math" w:hAnsi="Cambria Math"/>
                <w:lang w:val="en-US"/>
              </w:rPr>
              <m:t>3</m:t>
            </m:r>
            <m:r>
              <w:rPr>
                <w:rFonts w:ascii="Cambria Math" w:hAnsi="Cambria Math"/>
              </w:rPr>
              <m:t>e</m:t>
            </m:r>
          </m:e>
          <m:sup>
            <m:r>
              <w:rPr>
                <w:rFonts w:ascii="Cambria Math" w:hAnsi="Cambria Math"/>
                <w:lang w:val="en-US"/>
              </w:rPr>
              <m:t>-</m:t>
            </m:r>
          </m:sup>
        </m:sSup>
      </m:oMath>
      <w:r w:rsidR="00ED0E1C">
        <w:rPr>
          <w:rFonts w:ascii="Times New Roman" w:eastAsia="MS PGothic" w:hAnsi="Times New Roman"/>
          <w:lang w:val="en-US"/>
        </w:rPr>
        <w:tab/>
      </w:r>
      <w:r w:rsidR="004C2CDD" w:rsidRPr="00893C31">
        <w:rPr>
          <w:rFonts w:ascii="Times New Roman" w:eastAsia="MS PGothic" w:hAnsi="Times New Roman"/>
          <w:lang w:val="en-US"/>
        </w:rPr>
        <w:t>(</w:t>
      </w:r>
      <w:r w:rsidR="00AD7AD8">
        <w:rPr>
          <w:rFonts w:ascii="Times New Roman" w:eastAsia="MS PGothic" w:hAnsi="Times New Roman"/>
          <w:lang w:val="en-US"/>
        </w:rPr>
        <w:t>10</w:t>
      </w:r>
      <w:r w:rsidR="004C2CDD" w:rsidRPr="00893C31">
        <w:rPr>
          <w:rFonts w:ascii="Times New Roman" w:eastAsia="MS PGothic" w:hAnsi="Times New Roman"/>
          <w:lang w:val="en-US"/>
        </w:rPr>
        <w:t>)</w:t>
      </w:r>
    </w:p>
    <w:p w14:paraId="1131BED6" w14:textId="4EBFE702" w:rsidR="004C2CDD" w:rsidRDefault="00893C31" w:rsidP="00ED0E1C">
      <w:pPr>
        <w:snapToGrid w:val="0"/>
        <w:rPr>
          <w:rFonts w:ascii="Times New Roman" w:eastAsia="MS PGothic" w:hAnsi="Times New Roman"/>
          <w:lang w:val="en-US"/>
        </w:rPr>
      </w:pPr>
      <w:r w:rsidRPr="0021352D">
        <w:rPr>
          <w:rFonts w:ascii="Times New Roman" w:eastAsia="MS PGothic" w:hAnsi="Times New Roman"/>
          <w:lang w:val="en-US"/>
        </w:rPr>
        <w:t>Cat</w:t>
      </w:r>
      <w:r w:rsidR="0021352D" w:rsidRPr="0021352D">
        <w:rPr>
          <w:rFonts w:ascii="Times New Roman" w:eastAsia="MS PGothic" w:hAnsi="Times New Roman"/>
          <w:lang w:val="en-US"/>
        </w:rPr>
        <w:t>h</w:t>
      </w:r>
      <w:r w:rsidR="0021352D">
        <w:rPr>
          <w:rFonts w:ascii="Times New Roman" w:eastAsia="MS PGothic" w:hAnsi="Times New Roman"/>
          <w:lang w:val="en-US"/>
        </w:rPr>
        <w:t xml:space="preserve">ode reaction: </w:t>
      </w:r>
      <w:r w:rsidR="00AD7AD8">
        <w:rPr>
          <w:rFonts w:ascii="Times New Roman" w:eastAsia="MS PGothic" w:hAnsi="Times New Roman"/>
          <w:lang w:val="en-US"/>
        </w:rPr>
        <w:tab/>
      </w:r>
      <w:r w:rsidR="0021352D">
        <w:rPr>
          <w:rFonts w:ascii="Times New Roman" w:eastAsia="MS PGothic" w:hAnsi="Times New Roman"/>
          <w:lang w:val="en-US"/>
        </w:rPr>
        <w:t xml:space="preserve"> </w:t>
      </w:r>
      <m:oMath>
        <m:f>
          <m:fPr>
            <m:ctrlPr>
              <w:rPr>
                <w:rFonts w:ascii="Cambria Math" w:eastAsia="MS PGothic" w:hAnsi="Cambria Math"/>
                <w:i/>
              </w:rPr>
            </m:ctrlPr>
          </m:fPr>
          <m:num>
            <m:r>
              <w:rPr>
                <w:rFonts w:ascii="Cambria Math" w:eastAsia="MS PGothic" w:hAnsi="Cambria Math"/>
                <w:lang w:val="en-US"/>
              </w:rPr>
              <m:t>3</m:t>
            </m:r>
          </m:num>
          <m:den>
            <m:r>
              <w:rPr>
                <w:rFonts w:ascii="Cambria Math" w:eastAsia="MS PGothic" w:hAnsi="Cambria Math"/>
                <w:lang w:val="en-US"/>
              </w:rPr>
              <m:t>2</m:t>
            </m:r>
          </m:den>
        </m:f>
        <m:sSub>
          <m:sSubPr>
            <m:ctrlPr>
              <w:rPr>
                <w:rFonts w:ascii="Cambria Math" w:eastAsia="MS PGothic" w:hAnsi="Cambria Math"/>
                <w:i/>
              </w:rPr>
            </m:ctrlPr>
          </m:sSubPr>
          <m:e>
            <m:r>
              <w:rPr>
                <w:rFonts w:ascii="Cambria Math" w:eastAsia="MS PGothic" w:hAnsi="Cambria Math"/>
              </w:rPr>
              <m:t>O</m:t>
            </m:r>
          </m:e>
          <m:sub>
            <m:r>
              <w:rPr>
                <w:rFonts w:ascii="Cambria Math" w:eastAsia="MS PGothic" w:hAnsi="Cambria Math"/>
                <w:lang w:val="en-US"/>
              </w:rPr>
              <m:t>2</m:t>
            </m:r>
          </m:sub>
        </m:sSub>
        <m:r>
          <w:rPr>
            <w:rFonts w:ascii="Cambria Math" w:eastAsia="MS PGothic" w:hAnsi="Cambria Math"/>
            <w:lang w:val="en-US"/>
          </w:rPr>
          <m:t>+</m:t>
        </m:r>
        <m:sSub>
          <m:sSubPr>
            <m:ctrlPr>
              <w:rPr>
                <w:rFonts w:ascii="Cambria Math" w:eastAsia="MS PGothic" w:hAnsi="Cambria Math"/>
                <w:i/>
              </w:rPr>
            </m:ctrlPr>
          </m:sSubPr>
          <m:e>
            <m:f>
              <m:fPr>
                <m:ctrlPr>
                  <w:rPr>
                    <w:rFonts w:ascii="Cambria Math" w:eastAsia="MS PGothic" w:hAnsi="Cambria Math"/>
                    <w:i/>
                  </w:rPr>
                </m:ctrlPr>
              </m:fPr>
              <m:num>
                <m:r>
                  <w:rPr>
                    <w:rFonts w:ascii="Cambria Math" w:eastAsia="MS PGothic" w:hAnsi="Cambria Math"/>
                    <w:lang w:val="en-US"/>
                  </w:rPr>
                  <m:t>3</m:t>
                </m:r>
              </m:num>
              <m:den>
                <m:r>
                  <w:rPr>
                    <w:rFonts w:ascii="Cambria Math" w:eastAsia="MS PGothic" w:hAnsi="Cambria Math"/>
                    <w:lang w:val="en-US"/>
                  </w:rPr>
                  <m:t>2</m:t>
                </m:r>
              </m:den>
            </m:f>
            <m:r>
              <w:rPr>
                <w:rFonts w:ascii="Cambria Math" w:eastAsia="MS PGothic" w:hAnsi="Cambria Math"/>
              </w:rPr>
              <m:t>H</m:t>
            </m:r>
          </m:e>
          <m:sub>
            <m:r>
              <w:rPr>
                <w:rFonts w:ascii="Cambria Math" w:eastAsia="MS PGothic" w:hAnsi="Cambria Math"/>
                <w:lang w:val="en-US"/>
              </w:rPr>
              <m:t>2</m:t>
            </m:r>
          </m:sub>
        </m:sSub>
        <m:r>
          <w:rPr>
            <w:rFonts w:ascii="Cambria Math" w:eastAsia="MS PGothic" w:hAnsi="Cambria Math"/>
          </w:rPr>
          <m:t>O</m:t>
        </m:r>
        <m:r>
          <w:rPr>
            <w:rFonts w:ascii="Cambria Math" w:eastAsia="MS PGothic" w:hAnsi="Cambria Math"/>
            <w:lang w:val="en-US"/>
          </w:rPr>
          <m:t>+</m:t>
        </m:r>
        <m:sSup>
          <m:sSupPr>
            <m:ctrlPr>
              <w:rPr>
                <w:rFonts w:ascii="Cambria Math" w:eastAsia="MS PGothic" w:hAnsi="Cambria Math"/>
                <w:i/>
              </w:rPr>
            </m:ctrlPr>
          </m:sSupPr>
          <m:e>
            <m:r>
              <w:rPr>
                <w:rFonts w:ascii="Cambria Math" w:eastAsia="MS PGothic" w:hAnsi="Cambria Math"/>
                <w:lang w:val="en-US"/>
              </w:rPr>
              <m:t>3</m:t>
            </m:r>
            <m:r>
              <w:rPr>
                <w:rFonts w:ascii="Cambria Math" w:eastAsia="MS PGothic" w:hAnsi="Cambria Math"/>
              </w:rPr>
              <m:t>e</m:t>
            </m:r>
          </m:e>
          <m:sup>
            <m:r>
              <w:rPr>
                <w:rFonts w:ascii="Cambria Math" w:eastAsia="MS PGothic" w:hAnsi="Cambria Math"/>
                <w:lang w:val="en-US"/>
              </w:rPr>
              <m:t>-</m:t>
            </m:r>
          </m:sup>
        </m:sSup>
        <m:r>
          <w:rPr>
            <w:rFonts w:ascii="Cambria Math" w:eastAsia="MS PGothic" w:hAnsi="Cambria Math"/>
            <w:lang w:val="en-US"/>
          </w:rPr>
          <m:t xml:space="preserve"> </m:t>
        </m:r>
        <m:r>
          <m:rPr>
            <m:sty m:val="p"/>
          </m:rPr>
          <w:rPr>
            <w:rFonts w:ascii="Cambria Math" w:hAnsi="Cambria Math"/>
            <w:lang w:val="en-US"/>
          </w:rPr>
          <m:t xml:space="preserve">→ </m:t>
        </m:r>
        <m:sSup>
          <m:sSupPr>
            <m:ctrlPr>
              <w:rPr>
                <w:rFonts w:ascii="Cambria Math" w:eastAsia="MS PGothic" w:hAnsi="Cambria Math"/>
                <w:i/>
              </w:rPr>
            </m:ctrlPr>
          </m:sSupPr>
          <m:e>
            <m:r>
              <w:rPr>
                <w:rFonts w:ascii="Cambria Math" w:eastAsia="MS PGothic" w:hAnsi="Cambria Math"/>
                <w:lang w:val="en-US"/>
              </w:rPr>
              <m:t>3</m:t>
            </m:r>
            <m:r>
              <w:rPr>
                <w:rFonts w:ascii="Cambria Math" w:eastAsia="MS PGothic" w:hAnsi="Cambria Math"/>
              </w:rPr>
              <m:t>OH</m:t>
            </m:r>
          </m:e>
          <m:sup>
            <m:r>
              <w:rPr>
                <w:rFonts w:ascii="Cambria Math" w:eastAsia="MS PGothic" w:hAnsi="Cambria Math"/>
                <w:lang w:val="en-US"/>
              </w:rPr>
              <m:t>-</m:t>
            </m:r>
          </m:sup>
        </m:sSup>
      </m:oMath>
      <w:r w:rsidR="00ED0E1C">
        <w:rPr>
          <w:rFonts w:ascii="Times New Roman" w:eastAsia="MS PGothic" w:hAnsi="Times New Roman"/>
          <w:lang w:val="en-US"/>
        </w:rPr>
        <w:tab/>
      </w:r>
      <w:r w:rsidR="00ED0E1C">
        <w:rPr>
          <w:rFonts w:ascii="Times New Roman" w:eastAsia="MS PGothic" w:hAnsi="Times New Roman"/>
          <w:lang w:val="en-US"/>
        </w:rPr>
        <w:tab/>
      </w:r>
      <w:r w:rsidR="004C2CDD" w:rsidRPr="0021352D">
        <w:rPr>
          <w:rFonts w:ascii="Times New Roman" w:eastAsia="MS PGothic" w:hAnsi="Times New Roman"/>
          <w:lang w:val="en-US"/>
        </w:rPr>
        <w:t>(</w:t>
      </w:r>
      <w:r w:rsidR="00AD7AD8">
        <w:rPr>
          <w:rFonts w:ascii="Times New Roman" w:eastAsia="MS PGothic" w:hAnsi="Times New Roman"/>
          <w:lang w:val="en-US"/>
        </w:rPr>
        <w:t>11</w:t>
      </w:r>
      <w:r w:rsidR="004C2CDD" w:rsidRPr="0021352D">
        <w:rPr>
          <w:rFonts w:ascii="Times New Roman" w:eastAsia="MS PGothic" w:hAnsi="Times New Roman"/>
          <w:lang w:val="en-US"/>
        </w:rPr>
        <w:t>)</w:t>
      </w:r>
    </w:p>
    <w:p w14:paraId="77C6F2C5" w14:textId="0CD75B24" w:rsidR="00F25603" w:rsidRDefault="00F540B7" w:rsidP="00ED0E1C">
      <w:pPr>
        <w:snapToGrid w:val="0"/>
        <w:rPr>
          <w:rFonts w:ascii="Times New Roman" w:eastAsia="MS PGothic" w:hAnsi="Times New Roman"/>
        </w:rPr>
      </w:pPr>
      <w:r>
        <w:rPr>
          <w:rFonts w:ascii="Times New Roman" w:eastAsia="MS PGothic" w:hAnsi="Times New Roman"/>
        </w:rPr>
        <w:t>Overall</w:t>
      </w:r>
      <w:r w:rsidRPr="000E4A1B">
        <w:rPr>
          <w:rFonts w:ascii="Times New Roman" w:eastAsia="MS PGothic" w:hAnsi="Times New Roman"/>
        </w:rPr>
        <w:t xml:space="preserve"> reaction:</w:t>
      </w:r>
      <w:r>
        <w:rPr>
          <w:rFonts w:ascii="Times New Roman" w:eastAsia="MS PGothic" w:hAnsi="Times New Roman"/>
        </w:rPr>
        <w:t xml:space="preserve"> </w:t>
      </w:r>
      <w:r w:rsidR="00AD7AD8">
        <w:rPr>
          <w:rFonts w:ascii="Times New Roman" w:eastAsia="MS PGothic" w:hAnsi="Times New Roman"/>
        </w:rPr>
        <w:tab/>
      </w:r>
      <w:r>
        <w:rPr>
          <w:rFonts w:ascii="Times New Roman" w:eastAsia="MS PGothic" w:hAnsi="Times New Roman"/>
        </w:rPr>
        <w:t xml:space="preserve"> </w:t>
      </w:r>
      <m:oMath>
        <m:sSub>
          <m:sSubPr>
            <m:ctrlPr>
              <w:rPr>
                <w:rFonts w:ascii="Cambria Math" w:eastAsia="MS PGothic" w:hAnsi="Cambria Math"/>
                <w:i/>
              </w:rPr>
            </m:ctrlPr>
          </m:sSubPr>
          <m:e>
            <m:r>
              <w:rPr>
                <w:rFonts w:ascii="Cambria Math" w:eastAsia="MS PGothic" w:hAnsi="Cambria Math"/>
              </w:rPr>
              <m:t>2NH</m:t>
            </m:r>
          </m:e>
          <m:sub>
            <m:r>
              <w:rPr>
                <w:rFonts w:ascii="Cambria Math" w:eastAsia="MS PGothic" w:hAnsi="Cambria Math"/>
              </w:rPr>
              <m:t>3</m:t>
            </m:r>
          </m:sub>
        </m:sSub>
        <m:r>
          <w:rPr>
            <w:rFonts w:ascii="Cambria Math" w:eastAsia="MS PGothic" w:hAnsi="Cambria Math"/>
          </w:rPr>
          <m:t>+</m:t>
        </m:r>
        <m:f>
          <m:fPr>
            <m:ctrlPr>
              <w:rPr>
                <w:rFonts w:ascii="Cambria Math" w:eastAsia="MS PGothic" w:hAnsi="Cambria Math"/>
                <w:i/>
              </w:rPr>
            </m:ctrlPr>
          </m:fPr>
          <m:num>
            <m:r>
              <w:rPr>
                <w:rFonts w:ascii="Cambria Math" w:eastAsia="MS PGothic" w:hAnsi="Cambria Math"/>
              </w:rPr>
              <m:t>3</m:t>
            </m:r>
          </m:num>
          <m:den>
            <m:r>
              <w:rPr>
                <w:rFonts w:ascii="Cambria Math" w:eastAsia="MS PGothic" w:hAnsi="Cambria Math"/>
              </w:rPr>
              <m:t>2</m:t>
            </m:r>
          </m:den>
        </m:f>
        <m:sSub>
          <m:sSubPr>
            <m:ctrlPr>
              <w:rPr>
                <w:rFonts w:ascii="Cambria Math" w:eastAsia="MS PGothic" w:hAnsi="Cambria Math"/>
                <w:i/>
              </w:rPr>
            </m:ctrlPr>
          </m:sSubPr>
          <m:e>
            <m:r>
              <w:rPr>
                <w:rFonts w:ascii="Cambria Math" w:eastAsia="MS PGothic" w:hAnsi="Cambria Math"/>
              </w:rPr>
              <m:t>O</m:t>
            </m:r>
          </m:e>
          <m:sub>
            <m:r>
              <w:rPr>
                <w:rFonts w:ascii="Cambria Math" w:eastAsia="MS PGothic" w:hAnsi="Cambria Math"/>
              </w:rPr>
              <m:t>2</m:t>
            </m:r>
          </m:sub>
        </m:sSub>
      </m:oMath>
      <w:r>
        <w:rPr>
          <w:rFonts w:eastAsiaTheme="minorEastAsia"/>
        </w:rPr>
        <w:t xml:space="preserve"> </w:t>
      </w:r>
      <m:oMath>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ED0E1C">
        <w:rPr>
          <w:rFonts w:eastAsiaTheme="minorEastAsia"/>
        </w:rPr>
        <w:tab/>
      </w:r>
      <w:r w:rsidR="00ED0E1C">
        <w:rPr>
          <w:rFonts w:eastAsiaTheme="minorEastAsia"/>
        </w:rPr>
        <w:tab/>
      </w:r>
      <w:r w:rsidRPr="003F7140">
        <w:rPr>
          <w:rFonts w:ascii="Times New Roman" w:eastAsia="MS PGothic" w:hAnsi="Times New Roman"/>
        </w:rPr>
        <w:t>(</w:t>
      </w:r>
      <w:r w:rsidR="00AD7AD8">
        <w:rPr>
          <w:rFonts w:ascii="Times New Roman" w:eastAsia="MS PGothic" w:hAnsi="Times New Roman"/>
        </w:rPr>
        <w:t>12</w:t>
      </w:r>
      <w:r>
        <w:rPr>
          <w:rFonts w:ascii="Times New Roman" w:eastAsia="MS PGothic" w:hAnsi="Times New Roman"/>
        </w:rPr>
        <w:t>)</w:t>
      </w:r>
    </w:p>
    <w:p w14:paraId="3CD022AF" w14:textId="77777777" w:rsidR="00504267" w:rsidRDefault="00504267" w:rsidP="00ED0E1C">
      <w:pPr>
        <w:snapToGrid w:val="0"/>
        <w:rPr>
          <w:rFonts w:ascii="Times New Roman" w:eastAsia="MS PGothic" w:hAnsi="Times New Roman"/>
        </w:rPr>
      </w:pPr>
    </w:p>
    <w:p w14:paraId="18DED701" w14:textId="7861ED5B" w:rsidR="00574FD5" w:rsidRPr="00574FD5" w:rsidRDefault="00574FD5" w:rsidP="00F52BEE">
      <w:pPr>
        <w:keepNext/>
        <w:suppressAutoHyphens/>
        <w:spacing w:before="120"/>
        <w:jc w:val="center"/>
        <w:rPr>
          <w:rFonts w:ascii="Times New Roman" w:hAnsi="Times New Roman"/>
          <w:iCs/>
          <w:szCs w:val="20"/>
        </w:rPr>
      </w:pPr>
      <w:r w:rsidRPr="00ED0E1C">
        <w:rPr>
          <w:rFonts w:ascii="Times New Roman" w:hAnsi="Times New Roman"/>
          <w:b/>
          <w:bCs/>
          <w:iCs/>
          <w:sz w:val="18"/>
          <w:szCs w:val="16"/>
        </w:rPr>
        <w:t xml:space="preserve">Table </w:t>
      </w:r>
      <w:r w:rsidR="005C0B5C">
        <w:rPr>
          <w:rFonts w:ascii="Times New Roman" w:hAnsi="Times New Roman"/>
          <w:b/>
          <w:bCs/>
          <w:iCs/>
          <w:sz w:val="18"/>
          <w:szCs w:val="16"/>
        </w:rPr>
        <w:t>1</w:t>
      </w:r>
      <w:r w:rsidR="00ED0E1C" w:rsidRPr="00ED0E1C">
        <w:rPr>
          <w:rFonts w:ascii="Times New Roman" w:hAnsi="Times New Roman"/>
          <w:b/>
          <w:bCs/>
          <w:iCs/>
          <w:sz w:val="18"/>
          <w:szCs w:val="16"/>
        </w:rPr>
        <w:t>.</w:t>
      </w:r>
      <w:r w:rsidRPr="00ED0E1C">
        <w:rPr>
          <w:rFonts w:ascii="Times New Roman" w:hAnsi="Times New Roman"/>
          <w:iCs/>
          <w:sz w:val="18"/>
          <w:szCs w:val="16"/>
        </w:rPr>
        <w:t xml:space="preserve"> </w:t>
      </w:r>
      <w:r w:rsidRPr="00574FD5">
        <w:rPr>
          <w:rFonts w:ascii="Times New Roman" w:hAnsi="Times New Roman"/>
          <w:iCs/>
          <w:sz w:val="18"/>
          <w:szCs w:val="16"/>
        </w:rPr>
        <w:t>Main specifics of</w:t>
      </w:r>
      <w:r w:rsidR="00554D49">
        <w:rPr>
          <w:rFonts w:ascii="Times New Roman" w:hAnsi="Times New Roman"/>
          <w:iCs/>
          <w:sz w:val="18"/>
          <w:szCs w:val="16"/>
        </w:rPr>
        <w:t xml:space="preserve"> </w:t>
      </w:r>
      <w:r w:rsidR="008F2806">
        <w:rPr>
          <w:rFonts w:ascii="Times New Roman" w:hAnsi="Times New Roman"/>
          <w:iCs/>
          <w:sz w:val="18"/>
          <w:szCs w:val="16"/>
        </w:rPr>
        <w:t xml:space="preserve">the selected </w:t>
      </w:r>
      <w:r w:rsidR="00554D49">
        <w:rPr>
          <w:rFonts w:ascii="Times New Roman" w:hAnsi="Times New Roman"/>
          <w:iCs/>
          <w:sz w:val="18"/>
          <w:szCs w:val="16"/>
        </w:rPr>
        <w:t>FC</w:t>
      </w:r>
      <w:r w:rsidRPr="00574FD5">
        <w:rPr>
          <w:rFonts w:ascii="Times New Roman" w:hAnsi="Times New Roman"/>
          <w:iCs/>
          <w:sz w:val="18"/>
          <w:szCs w:val="16"/>
        </w:rPr>
        <w:t xml:space="preserve"> </w:t>
      </w:r>
      <w:r w:rsidR="00E15B6F">
        <w:rPr>
          <w:rFonts w:ascii="Times New Roman" w:hAnsi="Times New Roman"/>
          <w:iCs/>
          <w:sz w:val="18"/>
          <w:szCs w:val="16"/>
        </w:rPr>
        <w:t xml:space="preserve">and AP </w:t>
      </w:r>
      <w:r w:rsidRPr="00574FD5">
        <w:rPr>
          <w:rFonts w:ascii="Times New Roman" w:hAnsi="Times New Roman"/>
          <w:iCs/>
          <w:sz w:val="18"/>
          <w:szCs w:val="16"/>
        </w:rPr>
        <w:t>power system</w:t>
      </w:r>
    </w:p>
    <w:tbl>
      <w:tblPr>
        <w:tblStyle w:val="Grigliatabella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38"/>
        <w:gridCol w:w="950"/>
        <w:gridCol w:w="730"/>
        <w:gridCol w:w="767"/>
        <w:gridCol w:w="766"/>
      </w:tblGrid>
      <w:tr w:rsidR="0023445B" w:rsidRPr="00574FD5" w14:paraId="538AA9A6" w14:textId="77777777" w:rsidTr="009E1F08">
        <w:trPr>
          <w:trHeight w:val="283"/>
          <w:jc w:val="center"/>
        </w:trPr>
        <w:tc>
          <w:tcPr>
            <w:tcW w:w="0" w:type="auto"/>
            <w:tcBorders>
              <w:bottom w:val="single" w:sz="4" w:space="0" w:color="auto"/>
            </w:tcBorders>
          </w:tcPr>
          <w:p w14:paraId="4EE41EA6" w14:textId="652E635C" w:rsidR="0023445B" w:rsidRPr="00574FD5" w:rsidRDefault="0023445B" w:rsidP="007F02C7">
            <w:pPr>
              <w:spacing w:line="259"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Specific</w:t>
            </w:r>
          </w:p>
        </w:tc>
        <w:tc>
          <w:tcPr>
            <w:tcW w:w="0" w:type="auto"/>
            <w:tcBorders>
              <w:bottom w:val="single" w:sz="4" w:space="0" w:color="auto"/>
            </w:tcBorders>
          </w:tcPr>
          <w:p w14:paraId="1CC77F8F" w14:textId="4A116096" w:rsidR="0023445B" w:rsidRDefault="0023445B" w:rsidP="00016D47">
            <w:pPr>
              <w:spacing w:line="259" w:lineRule="auto"/>
              <w:jc w:val="center"/>
              <w:rPr>
                <w:rFonts w:ascii="Times New Roman" w:hAnsi="Times New Roman"/>
                <w:iCs/>
              </w:rPr>
            </w:pPr>
            <w:r>
              <w:rPr>
                <w:rFonts w:ascii="Times New Roman" w:hAnsi="Times New Roman"/>
                <w:iCs/>
              </w:rPr>
              <w:t>AP</w:t>
            </w:r>
          </w:p>
        </w:tc>
        <w:tc>
          <w:tcPr>
            <w:tcW w:w="0" w:type="auto"/>
            <w:tcBorders>
              <w:bottom w:val="single" w:sz="4" w:space="0" w:color="auto"/>
            </w:tcBorders>
          </w:tcPr>
          <w:p w14:paraId="2078B3DA" w14:textId="2F745401" w:rsidR="0023445B" w:rsidRPr="00574FD5" w:rsidRDefault="0023445B" w:rsidP="00016D47">
            <w:pPr>
              <w:spacing w:line="259" w:lineRule="auto"/>
              <w:jc w:val="center"/>
              <w:rPr>
                <w:rFonts w:ascii="Times New Roman" w:hAnsi="Times New Roman"/>
                <w:iCs/>
              </w:rPr>
            </w:pPr>
            <w:r>
              <w:rPr>
                <w:rFonts w:ascii="Times New Roman" w:hAnsi="Times New Roman"/>
                <w:iCs/>
              </w:rPr>
              <w:t>PEM</w:t>
            </w:r>
          </w:p>
        </w:tc>
        <w:tc>
          <w:tcPr>
            <w:tcW w:w="0" w:type="auto"/>
            <w:tcBorders>
              <w:bottom w:val="single" w:sz="4" w:space="0" w:color="auto"/>
            </w:tcBorders>
          </w:tcPr>
          <w:p w14:paraId="51987B1A" w14:textId="2CD90BF7" w:rsidR="0023445B" w:rsidRPr="00574FD5" w:rsidRDefault="0023445B" w:rsidP="00016D47">
            <w:pPr>
              <w:spacing w:line="259" w:lineRule="auto"/>
              <w:jc w:val="center"/>
              <w:rPr>
                <w:rFonts w:ascii="Times New Roman" w:hAnsi="Times New Roman"/>
                <w:iCs/>
              </w:rPr>
            </w:pPr>
            <w:r>
              <w:rPr>
                <w:rFonts w:ascii="Times New Roman" w:hAnsi="Times New Roman"/>
                <w:iCs/>
              </w:rPr>
              <w:t>SOFC</w:t>
            </w:r>
          </w:p>
        </w:tc>
        <w:tc>
          <w:tcPr>
            <w:tcW w:w="0" w:type="auto"/>
            <w:tcBorders>
              <w:bottom w:val="single" w:sz="4" w:space="0" w:color="auto"/>
            </w:tcBorders>
          </w:tcPr>
          <w:p w14:paraId="61B7642B" w14:textId="0AD8E740" w:rsidR="0023445B" w:rsidRPr="00574FD5" w:rsidRDefault="0023445B" w:rsidP="00016D47">
            <w:pPr>
              <w:spacing w:line="259" w:lineRule="auto"/>
              <w:jc w:val="center"/>
              <w:rPr>
                <w:rFonts w:ascii="Times New Roman" w:hAnsi="Times New Roman"/>
                <w:iCs/>
              </w:rPr>
            </w:pPr>
            <w:r>
              <w:rPr>
                <w:rFonts w:ascii="Times New Roman" w:hAnsi="Times New Roman"/>
                <w:iCs/>
              </w:rPr>
              <w:t>AFC</w:t>
            </w:r>
          </w:p>
        </w:tc>
      </w:tr>
      <w:tr w:rsidR="00A375D2" w:rsidRPr="00574FD5" w14:paraId="4895395A" w14:textId="77777777" w:rsidTr="009E1F08">
        <w:trPr>
          <w:trHeight w:val="283"/>
          <w:jc w:val="center"/>
        </w:trPr>
        <w:tc>
          <w:tcPr>
            <w:tcW w:w="0" w:type="auto"/>
            <w:tcBorders>
              <w:top w:val="single" w:sz="4" w:space="0" w:color="auto"/>
              <w:bottom w:val="nil"/>
            </w:tcBorders>
          </w:tcPr>
          <w:p w14:paraId="2AFC0F21" w14:textId="0BEC15E4" w:rsidR="00A375D2" w:rsidRDefault="00A375D2" w:rsidP="007F02C7">
            <w:pPr>
              <w:spacing w:line="259"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Inlet</w:t>
            </w:r>
          </w:p>
        </w:tc>
        <w:tc>
          <w:tcPr>
            <w:tcW w:w="0" w:type="auto"/>
            <w:tcBorders>
              <w:top w:val="single" w:sz="4" w:space="0" w:color="auto"/>
              <w:bottom w:val="nil"/>
            </w:tcBorders>
          </w:tcPr>
          <w:p w14:paraId="2D8A18F9" w14:textId="2BB97F9C" w:rsidR="00A375D2" w:rsidRDefault="00A375D2" w:rsidP="00016D47">
            <w:pPr>
              <w:spacing w:line="259" w:lineRule="auto"/>
              <w:jc w:val="center"/>
              <w:rPr>
                <w:rFonts w:ascii="Times New Roman" w:hAnsi="Times New Roman"/>
                <w:iCs/>
              </w:rPr>
            </w:pPr>
            <w:r>
              <w:rPr>
                <w:rFonts w:ascii="Times New Roman" w:hAnsi="Times New Roman"/>
                <w:iCs/>
              </w:rPr>
              <w:t>NH</w:t>
            </w:r>
            <w:r w:rsidRPr="00016D47">
              <w:rPr>
                <w:rFonts w:ascii="Times New Roman" w:hAnsi="Times New Roman"/>
                <w:iCs/>
                <w:vertAlign w:val="subscript"/>
              </w:rPr>
              <w:t>3</w:t>
            </w:r>
          </w:p>
        </w:tc>
        <w:tc>
          <w:tcPr>
            <w:tcW w:w="0" w:type="auto"/>
            <w:tcBorders>
              <w:top w:val="single" w:sz="4" w:space="0" w:color="auto"/>
              <w:bottom w:val="nil"/>
            </w:tcBorders>
          </w:tcPr>
          <w:p w14:paraId="22DD3457" w14:textId="31FD5060" w:rsidR="00A375D2" w:rsidRPr="00574FD5" w:rsidRDefault="00A375D2" w:rsidP="00016D47">
            <w:pPr>
              <w:spacing w:line="259" w:lineRule="auto"/>
              <w:jc w:val="center"/>
              <w:rPr>
                <w:rFonts w:ascii="Times New Roman" w:hAnsi="Times New Roman"/>
                <w:iCs/>
              </w:rPr>
            </w:pPr>
            <w:r>
              <w:rPr>
                <w:rFonts w:ascii="Times New Roman" w:hAnsi="Times New Roman"/>
                <w:iCs/>
              </w:rPr>
              <w:t>H</w:t>
            </w:r>
            <w:r w:rsidRPr="00016D47">
              <w:rPr>
                <w:rFonts w:ascii="Times New Roman" w:hAnsi="Times New Roman"/>
                <w:iCs/>
                <w:vertAlign w:val="subscript"/>
              </w:rPr>
              <w:t>2</w:t>
            </w:r>
          </w:p>
        </w:tc>
        <w:tc>
          <w:tcPr>
            <w:tcW w:w="0" w:type="auto"/>
            <w:tcBorders>
              <w:top w:val="single" w:sz="4" w:space="0" w:color="auto"/>
              <w:bottom w:val="nil"/>
            </w:tcBorders>
          </w:tcPr>
          <w:p w14:paraId="1B2DAECC" w14:textId="343C93A5" w:rsidR="00A375D2" w:rsidRDefault="00A375D2" w:rsidP="00016D47">
            <w:pPr>
              <w:spacing w:line="259" w:lineRule="auto"/>
              <w:jc w:val="center"/>
              <w:rPr>
                <w:rFonts w:ascii="Times New Roman" w:hAnsi="Times New Roman"/>
                <w:iCs/>
              </w:rPr>
            </w:pPr>
            <w:r>
              <w:rPr>
                <w:rFonts w:ascii="Times New Roman" w:hAnsi="Times New Roman"/>
                <w:iCs/>
              </w:rPr>
              <w:t>NH3</w:t>
            </w:r>
          </w:p>
        </w:tc>
        <w:tc>
          <w:tcPr>
            <w:tcW w:w="0" w:type="auto"/>
            <w:tcBorders>
              <w:top w:val="single" w:sz="4" w:space="0" w:color="auto"/>
              <w:bottom w:val="nil"/>
            </w:tcBorders>
          </w:tcPr>
          <w:p w14:paraId="42977CA2" w14:textId="71B6DB40" w:rsidR="00A375D2" w:rsidRDefault="00A375D2" w:rsidP="00016D47">
            <w:pPr>
              <w:spacing w:line="259" w:lineRule="auto"/>
              <w:jc w:val="center"/>
              <w:rPr>
                <w:rFonts w:ascii="Times New Roman" w:hAnsi="Times New Roman"/>
                <w:iCs/>
              </w:rPr>
            </w:pPr>
            <w:r>
              <w:rPr>
                <w:rFonts w:ascii="Times New Roman" w:hAnsi="Times New Roman"/>
                <w:iCs/>
              </w:rPr>
              <w:t>N</w:t>
            </w:r>
            <w:r w:rsidR="00016D47">
              <w:rPr>
                <w:rFonts w:ascii="Times New Roman" w:hAnsi="Times New Roman"/>
                <w:iCs/>
              </w:rPr>
              <w:t>H</w:t>
            </w:r>
            <w:r>
              <w:rPr>
                <w:rFonts w:ascii="Times New Roman" w:hAnsi="Times New Roman"/>
                <w:iCs/>
              </w:rPr>
              <w:t xml:space="preserve">3 </w:t>
            </w:r>
          </w:p>
        </w:tc>
      </w:tr>
      <w:tr w:rsidR="0023445B" w:rsidRPr="00574FD5" w14:paraId="4C86E83E" w14:textId="77777777" w:rsidTr="009E1F08">
        <w:trPr>
          <w:trHeight w:val="283"/>
          <w:jc w:val="center"/>
        </w:trPr>
        <w:tc>
          <w:tcPr>
            <w:tcW w:w="0" w:type="auto"/>
            <w:tcBorders>
              <w:top w:val="nil"/>
              <w:bottom w:val="nil"/>
            </w:tcBorders>
          </w:tcPr>
          <w:p w14:paraId="74F5C522" w14:textId="309E6455" w:rsidR="0023445B" w:rsidRPr="00574FD5" w:rsidRDefault="0023445B" w:rsidP="007F02C7">
            <w:pPr>
              <w:spacing w:line="259"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Operating temperature [°C]</w:t>
            </w:r>
          </w:p>
        </w:tc>
        <w:tc>
          <w:tcPr>
            <w:tcW w:w="0" w:type="auto"/>
            <w:tcBorders>
              <w:top w:val="nil"/>
              <w:bottom w:val="nil"/>
            </w:tcBorders>
          </w:tcPr>
          <w:p w14:paraId="42D8311D" w14:textId="5F1DAB0F" w:rsidR="0023445B" w:rsidRDefault="00794961" w:rsidP="00016D47">
            <w:pPr>
              <w:spacing w:line="259" w:lineRule="auto"/>
              <w:jc w:val="center"/>
              <w:rPr>
                <w:rFonts w:ascii="Times New Roman" w:hAnsi="Times New Roman"/>
                <w:iCs/>
              </w:rPr>
            </w:pPr>
            <w:r w:rsidRPr="00794961">
              <w:rPr>
                <w:rFonts w:ascii="Times New Roman" w:hAnsi="Times New Roman"/>
                <w:iCs/>
              </w:rPr>
              <w:t>100-</w:t>
            </w:r>
            <w:r w:rsidR="00016D47" w:rsidRPr="00794961">
              <w:rPr>
                <w:rFonts w:ascii="Times New Roman" w:hAnsi="Times New Roman"/>
                <w:iCs/>
              </w:rPr>
              <w:t>300</w:t>
            </w:r>
          </w:p>
        </w:tc>
        <w:tc>
          <w:tcPr>
            <w:tcW w:w="0" w:type="auto"/>
            <w:tcBorders>
              <w:top w:val="nil"/>
              <w:bottom w:val="nil"/>
            </w:tcBorders>
          </w:tcPr>
          <w:p w14:paraId="1398A117" w14:textId="2DF8F4E8" w:rsidR="0023445B" w:rsidRPr="00574FD5" w:rsidRDefault="0023445B" w:rsidP="00016D47">
            <w:pPr>
              <w:spacing w:line="259" w:lineRule="auto"/>
              <w:jc w:val="center"/>
              <w:rPr>
                <w:rFonts w:ascii="Times New Roman" w:hAnsi="Times New Roman"/>
                <w:iCs/>
              </w:rPr>
            </w:pPr>
            <w:r>
              <w:rPr>
                <w:rFonts w:ascii="Times New Roman" w:hAnsi="Times New Roman"/>
                <w:iCs/>
              </w:rPr>
              <w:t>70-80</w:t>
            </w:r>
          </w:p>
        </w:tc>
        <w:tc>
          <w:tcPr>
            <w:tcW w:w="0" w:type="auto"/>
            <w:tcBorders>
              <w:top w:val="nil"/>
              <w:bottom w:val="nil"/>
            </w:tcBorders>
          </w:tcPr>
          <w:p w14:paraId="6168AD05" w14:textId="2BE037CE" w:rsidR="0023445B" w:rsidRDefault="0023445B" w:rsidP="00016D47">
            <w:pPr>
              <w:spacing w:line="259" w:lineRule="auto"/>
              <w:jc w:val="center"/>
              <w:rPr>
                <w:rFonts w:ascii="Times New Roman" w:hAnsi="Times New Roman"/>
                <w:iCs/>
              </w:rPr>
            </w:pPr>
            <w:r>
              <w:rPr>
                <w:rFonts w:ascii="Times New Roman" w:hAnsi="Times New Roman"/>
                <w:iCs/>
              </w:rPr>
              <w:t>700</w:t>
            </w:r>
          </w:p>
        </w:tc>
        <w:tc>
          <w:tcPr>
            <w:tcW w:w="0" w:type="auto"/>
            <w:tcBorders>
              <w:top w:val="nil"/>
              <w:bottom w:val="nil"/>
            </w:tcBorders>
          </w:tcPr>
          <w:p w14:paraId="07C28577" w14:textId="296A7004" w:rsidR="0023445B" w:rsidRDefault="0023445B" w:rsidP="00016D47">
            <w:pPr>
              <w:spacing w:line="259" w:lineRule="auto"/>
              <w:jc w:val="center"/>
              <w:rPr>
                <w:rFonts w:ascii="Times New Roman" w:hAnsi="Times New Roman"/>
                <w:iCs/>
              </w:rPr>
            </w:pPr>
            <w:r>
              <w:rPr>
                <w:rFonts w:ascii="Times New Roman" w:hAnsi="Times New Roman"/>
                <w:iCs/>
              </w:rPr>
              <w:t>120</w:t>
            </w:r>
          </w:p>
        </w:tc>
      </w:tr>
      <w:tr w:rsidR="0023445B" w:rsidRPr="00574FD5" w14:paraId="112D978D" w14:textId="2B756AD3" w:rsidTr="009E1F08">
        <w:trPr>
          <w:trHeight w:val="283"/>
          <w:jc w:val="center"/>
        </w:trPr>
        <w:tc>
          <w:tcPr>
            <w:tcW w:w="0" w:type="auto"/>
            <w:tcBorders>
              <w:top w:val="nil"/>
              <w:bottom w:val="nil"/>
            </w:tcBorders>
          </w:tcPr>
          <w:p w14:paraId="01639742" w14:textId="77777777" w:rsidR="0023445B" w:rsidRPr="00574FD5" w:rsidRDefault="0023445B" w:rsidP="007F02C7">
            <w:pPr>
              <w:spacing w:line="259" w:lineRule="auto"/>
              <w:textAlignment w:val="baseline"/>
              <w:rPr>
                <w:rFonts w:ascii="Times New Roman" w:hAnsi="Times New Roman"/>
                <w:iCs/>
                <w:sz w:val="24"/>
              </w:rPr>
            </w:pPr>
            <w:r w:rsidRPr="00574FD5">
              <w:rPr>
                <w:rFonts w:ascii="Times New Roman" w:eastAsia="Times New Roman" w:hAnsi="Times New Roman" w:cs="Times New Roman"/>
                <w:lang w:eastAsia="it-IT"/>
              </w:rPr>
              <w:t>Power [kW]</w:t>
            </w:r>
          </w:p>
        </w:tc>
        <w:tc>
          <w:tcPr>
            <w:tcW w:w="0" w:type="auto"/>
            <w:tcBorders>
              <w:top w:val="nil"/>
              <w:bottom w:val="nil"/>
            </w:tcBorders>
          </w:tcPr>
          <w:p w14:paraId="104389FD" w14:textId="5C55B665" w:rsidR="0023445B" w:rsidRPr="00574FD5" w:rsidRDefault="009926DA" w:rsidP="00016D47">
            <w:pPr>
              <w:spacing w:line="259" w:lineRule="auto"/>
              <w:jc w:val="center"/>
              <w:rPr>
                <w:rFonts w:ascii="Times New Roman" w:hAnsi="Times New Roman"/>
                <w:iCs/>
              </w:rPr>
            </w:pPr>
            <w:r>
              <w:rPr>
                <w:rFonts w:ascii="Times New Roman" w:hAnsi="Times New Roman"/>
                <w:iCs/>
              </w:rPr>
              <w:t>6</w:t>
            </w:r>
            <w:r w:rsidR="00016D47">
              <w:rPr>
                <w:rFonts w:ascii="Times New Roman" w:hAnsi="Times New Roman"/>
                <w:iCs/>
              </w:rPr>
              <w:t>00</w:t>
            </w:r>
          </w:p>
        </w:tc>
        <w:tc>
          <w:tcPr>
            <w:tcW w:w="0" w:type="auto"/>
            <w:tcBorders>
              <w:top w:val="nil"/>
              <w:bottom w:val="nil"/>
            </w:tcBorders>
          </w:tcPr>
          <w:p w14:paraId="64AE638A" w14:textId="1EF0A054" w:rsidR="0023445B" w:rsidRPr="00574FD5" w:rsidRDefault="0023445B" w:rsidP="00016D47">
            <w:pPr>
              <w:spacing w:line="259" w:lineRule="auto"/>
              <w:jc w:val="center"/>
              <w:rPr>
                <w:rFonts w:ascii="Times New Roman" w:hAnsi="Times New Roman"/>
                <w:iCs/>
                <w:sz w:val="24"/>
              </w:rPr>
            </w:pPr>
            <w:r w:rsidRPr="00574FD5">
              <w:rPr>
                <w:rFonts w:ascii="Times New Roman" w:hAnsi="Times New Roman"/>
                <w:iCs/>
              </w:rPr>
              <w:t>140</w:t>
            </w:r>
          </w:p>
        </w:tc>
        <w:tc>
          <w:tcPr>
            <w:tcW w:w="0" w:type="auto"/>
            <w:tcBorders>
              <w:top w:val="nil"/>
              <w:bottom w:val="nil"/>
            </w:tcBorders>
          </w:tcPr>
          <w:p w14:paraId="7A01C369" w14:textId="36343741" w:rsidR="0023445B" w:rsidRPr="00574FD5" w:rsidRDefault="0023445B" w:rsidP="00016D47">
            <w:pPr>
              <w:spacing w:line="259" w:lineRule="auto"/>
              <w:jc w:val="center"/>
              <w:rPr>
                <w:rFonts w:ascii="Times New Roman" w:hAnsi="Times New Roman"/>
                <w:iCs/>
              </w:rPr>
            </w:pPr>
            <w:r>
              <w:rPr>
                <w:rFonts w:ascii="Times New Roman" w:hAnsi="Times New Roman"/>
                <w:iCs/>
              </w:rPr>
              <w:t>350</w:t>
            </w:r>
          </w:p>
        </w:tc>
        <w:tc>
          <w:tcPr>
            <w:tcW w:w="0" w:type="auto"/>
            <w:tcBorders>
              <w:top w:val="nil"/>
              <w:bottom w:val="nil"/>
            </w:tcBorders>
          </w:tcPr>
          <w:p w14:paraId="528FFD1D" w14:textId="42F43DFE" w:rsidR="0023445B" w:rsidRPr="00574FD5" w:rsidRDefault="0023445B" w:rsidP="00016D47">
            <w:pPr>
              <w:spacing w:line="259" w:lineRule="auto"/>
              <w:jc w:val="center"/>
              <w:rPr>
                <w:rFonts w:ascii="Times New Roman" w:hAnsi="Times New Roman"/>
                <w:iCs/>
              </w:rPr>
            </w:pPr>
            <w:r>
              <w:rPr>
                <w:rFonts w:ascii="Times New Roman" w:hAnsi="Times New Roman"/>
                <w:iCs/>
              </w:rPr>
              <w:t>350</w:t>
            </w:r>
          </w:p>
        </w:tc>
      </w:tr>
      <w:tr w:rsidR="0023445B" w:rsidRPr="00574FD5" w14:paraId="1EDF070A" w14:textId="78EE20EA" w:rsidTr="009E1F08">
        <w:trPr>
          <w:trHeight w:val="283"/>
          <w:jc w:val="center"/>
        </w:trPr>
        <w:tc>
          <w:tcPr>
            <w:tcW w:w="0" w:type="auto"/>
            <w:tcBorders>
              <w:top w:val="nil"/>
              <w:bottom w:val="nil"/>
            </w:tcBorders>
          </w:tcPr>
          <w:p w14:paraId="4E018BBA" w14:textId="267F3003" w:rsidR="0023445B" w:rsidRPr="00574FD5" w:rsidRDefault="0023445B" w:rsidP="007F02C7">
            <w:pPr>
              <w:spacing w:line="259" w:lineRule="auto"/>
              <w:textAlignment w:val="baseline"/>
              <w:rPr>
                <w:rFonts w:ascii="Times New Roman" w:hAnsi="Times New Roman"/>
                <w:iCs/>
                <w:sz w:val="24"/>
              </w:rPr>
            </w:pPr>
            <w:r w:rsidRPr="00574FD5">
              <w:rPr>
                <w:rFonts w:ascii="Times New Roman" w:eastAsia="Times New Roman" w:hAnsi="Times New Roman" w:cs="Times New Roman"/>
                <w:lang w:eastAsia="it-IT"/>
              </w:rPr>
              <w:t>Efficiency </w:t>
            </w:r>
            <w:r w:rsidRPr="00574FD5">
              <w:rPr>
                <w:rFonts w:ascii="Calibri" w:eastAsia="Times New Roman" w:hAnsi="Calibri" w:cs="Calibri"/>
                <w:lang w:eastAsia="it-IT"/>
              </w:rPr>
              <w:t>[%]</w:t>
            </w:r>
          </w:p>
        </w:tc>
        <w:tc>
          <w:tcPr>
            <w:tcW w:w="0" w:type="auto"/>
            <w:tcBorders>
              <w:top w:val="nil"/>
              <w:bottom w:val="nil"/>
            </w:tcBorders>
          </w:tcPr>
          <w:p w14:paraId="240A43A1" w14:textId="6B5B161A" w:rsidR="0023445B" w:rsidRPr="00574FD5" w:rsidRDefault="007135B8" w:rsidP="00016D47">
            <w:pPr>
              <w:spacing w:line="259" w:lineRule="auto"/>
              <w:jc w:val="center"/>
              <w:rPr>
                <w:rFonts w:ascii="Times New Roman" w:hAnsi="Times New Roman"/>
                <w:iCs/>
              </w:rPr>
            </w:pPr>
            <w:r>
              <w:rPr>
                <w:rFonts w:ascii="Times New Roman" w:hAnsi="Times New Roman"/>
                <w:iCs/>
              </w:rPr>
              <w:t>88</w:t>
            </w:r>
          </w:p>
        </w:tc>
        <w:tc>
          <w:tcPr>
            <w:tcW w:w="0" w:type="auto"/>
            <w:tcBorders>
              <w:top w:val="nil"/>
              <w:bottom w:val="nil"/>
            </w:tcBorders>
          </w:tcPr>
          <w:p w14:paraId="2C5A4A3E" w14:textId="16F08425" w:rsidR="0023445B" w:rsidRPr="00574FD5" w:rsidRDefault="0023445B" w:rsidP="00016D47">
            <w:pPr>
              <w:spacing w:line="259" w:lineRule="auto"/>
              <w:jc w:val="center"/>
              <w:rPr>
                <w:rFonts w:ascii="Times New Roman" w:hAnsi="Times New Roman"/>
                <w:iCs/>
                <w:sz w:val="24"/>
              </w:rPr>
            </w:pPr>
            <w:r w:rsidRPr="00574FD5">
              <w:rPr>
                <w:rFonts w:ascii="Times New Roman" w:hAnsi="Times New Roman"/>
                <w:iCs/>
              </w:rPr>
              <w:t>55</w:t>
            </w:r>
          </w:p>
        </w:tc>
        <w:tc>
          <w:tcPr>
            <w:tcW w:w="0" w:type="auto"/>
            <w:tcBorders>
              <w:top w:val="nil"/>
              <w:bottom w:val="nil"/>
            </w:tcBorders>
          </w:tcPr>
          <w:p w14:paraId="4EE26275" w14:textId="5757D69E" w:rsidR="0023445B" w:rsidRPr="00574FD5" w:rsidRDefault="0023445B" w:rsidP="00016D47">
            <w:pPr>
              <w:spacing w:line="259" w:lineRule="auto"/>
              <w:jc w:val="center"/>
              <w:rPr>
                <w:rFonts w:ascii="Times New Roman" w:hAnsi="Times New Roman"/>
                <w:iCs/>
              </w:rPr>
            </w:pPr>
            <w:r>
              <w:rPr>
                <w:rFonts w:ascii="Times New Roman" w:hAnsi="Times New Roman"/>
                <w:iCs/>
              </w:rPr>
              <w:t>55</w:t>
            </w:r>
          </w:p>
        </w:tc>
        <w:tc>
          <w:tcPr>
            <w:tcW w:w="0" w:type="auto"/>
            <w:tcBorders>
              <w:top w:val="nil"/>
              <w:bottom w:val="nil"/>
            </w:tcBorders>
          </w:tcPr>
          <w:p w14:paraId="6271B9FA" w14:textId="5FD14623" w:rsidR="0023445B" w:rsidRPr="00574FD5" w:rsidRDefault="0023445B" w:rsidP="00016D47">
            <w:pPr>
              <w:spacing w:line="259" w:lineRule="auto"/>
              <w:jc w:val="center"/>
              <w:rPr>
                <w:rFonts w:ascii="Times New Roman" w:hAnsi="Times New Roman"/>
                <w:iCs/>
              </w:rPr>
            </w:pPr>
            <w:r>
              <w:rPr>
                <w:rFonts w:ascii="Times New Roman" w:hAnsi="Times New Roman"/>
                <w:iCs/>
              </w:rPr>
              <w:t>60</w:t>
            </w:r>
          </w:p>
        </w:tc>
      </w:tr>
      <w:tr w:rsidR="0023445B" w:rsidRPr="00574FD5" w14:paraId="7DC53DAF" w14:textId="3FF88729" w:rsidTr="009E1F08">
        <w:trPr>
          <w:trHeight w:val="283"/>
          <w:jc w:val="center"/>
        </w:trPr>
        <w:tc>
          <w:tcPr>
            <w:tcW w:w="0" w:type="auto"/>
            <w:tcBorders>
              <w:top w:val="nil"/>
              <w:bottom w:val="nil"/>
            </w:tcBorders>
          </w:tcPr>
          <w:p w14:paraId="2B7FEDE9" w14:textId="7A7C8547" w:rsidR="0023445B" w:rsidRPr="00574FD5" w:rsidRDefault="0023445B" w:rsidP="007F02C7">
            <w:pPr>
              <w:spacing w:line="259" w:lineRule="auto"/>
              <w:textAlignment w:val="baseline"/>
              <w:rPr>
                <w:rFonts w:ascii="Times New Roman" w:hAnsi="Times New Roman"/>
                <w:iCs/>
                <w:sz w:val="24"/>
              </w:rPr>
            </w:pPr>
            <w:r w:rsidRPr="00574FD5">
              <w:rPr>
                <w:rFonts w:ascii="Times New Roman" w:eastAsia="Times New Roman" w:hAnsi="Times New Roman" w:cs="Times New Roman"/>
                <w:lang w:eastAsia="it-IT"/>
              </w:rPr>
              <w:t>Weight [kg]</w:t>
            </w:r>
          </w:p>
        </w:tc>
        <w:tc>
          <w:tcPr>
            <w:tcW w:w="0" w:type="auto"/>
            <w:tcBorders>
              <w:top w:val="nil"/>
              <w:bottom w:val="nil"/>
            </w:tcBorders>
          </w:tcPr>
          <w:p w14:paraId="482008D7" w14:textId="27A5755F" w:rsidR="0023445B" w:rsidRPr="00574FD5" w:rsidRDefault="007135B8" w:rsidP="00016D47">
            <w:pPr>
              <w:spacing w:line="259" w:lineRule="auto"/>
              <w:jc w:val="center"/>
              <w:rPr>
                <w:rFonts w:ascii="Times New Roman" w:hAnsi="Times New Roman"/>
                <w:iCs/>
              </w:rPr>
            </w:pPr>
            <w:r>
              <w:rPr>
                <w:rFonts w:ascii="Times New Roman" w:hAnsi="Times New Roman"/>
                <w:iCs/>
              </w:rPr>
              <w:t>4</w:t>
            </w:r>
            <w:r w:rsidR="00794961">
              <w:rPr>
                <w:rFonts w:ascii="Times New Roman" w:hAnsi="Times New Roman"/>
                <w:iCs/>
              </w:rPr>
              <w:t>7</w:t>
            </w:r>
          </w:p>
        </w:tc>
        <w:tc>
          <w:tcPr>
            <w:tcW w:w="0" w:type="auto"/>
            <w:tcBorders>
              <w:top w:val="nil"/>
              <w:bottom w:val="nil"/>
            </w:tcBorders>
          </w:tcPr>
          <w:p w14:paraId="65D6D564" w14:textId="5D52AF68" w:rsidR="0023445B" w:rsidRPr="00574FD5" w:rsidRDefault="0023445B" w:rsidP="00016D47">
            <w:pPr>
              <w:spacing w:line="259" w:lineRule="auto"/>
              <w:jc w:val="center"/>
              <w:rPr>
                <w:rFonts w:ascii="Times New Roman" w:hAnsi="Times New Roman"/>
                <w:iCs/>
                <w:sz w:val="24"/>
              </w:rPr>
            </w:pPr>
            <w:r w:rsidRPr="00574FD5">
              <w:rPr>
                <w:rFonts w:ascii="Times New Roman" w:hAnsi="Times New Roman"/>
                <w:iCs/>
              </w:rPr>
              <w:t>55</w:t>
            </w:r>
          </w:p>
        </w:tc>
        <w:tc>
          <w:tcPr>
            <w:tcW w:w="0" w:type="auto"/>
            <w:tcBorders>
              <w:top w:val="nil"/>
              <w:bottom w:val="nil"/>
            </w:tcBorders>
          </w:tcPr>
          <w:p w14:paraId="2B0D0802" w14:textId="4836004D" w:rsidR="0023445B" w:rsidRPr="00574FD5" w:rsidRDefault="0023445B" w:rsidP="00016D47">
            <w:pPr>
              <w:spacing w:line="259" w:lineRule="auto"/>
              <w:jc w:val="center"/>
              <w:rPr>
                <w:rFonts w:ascii="Times New Roman" w:hAnsi="Times New Roman"/>
                <w:iCs/>
              </w:rPr>
            </w:pPr>
            <w:r>
              <w:rPr>
                <w:rFonts w:ascii="Times New Roman" w:hAnsi="Times New Roman"/>
                <w:iCs/>
              </w:rPr>
              <w:t>18433</w:t>
            </w:r>
          </w:p>
        </w:tc>
        <w:tc>
          <w:tcPr>
            <w:tcW w:w="0" w:type="auto"/>
            <w:tcBorders>
              <w:top w:val="nil"/>
              <w:bottom w:val="nil"/>
            </w:tcBorders>
          </w:tcPr>
          <w:p w14:paraId="3C65F37B" w14:textId="5AB658CC" w:rsidR="0023445B" w:rsidRPr="00574FD5" w:rsidRDefault="0023445B" w:rsidP="00016D47">
            <w:pPr>
              <w:spacing w:line="259" w:lineRule="auto"/>
              <w:jc w:val="center"/>
              <w:rPr>
                <w:rFonts w:ascii="Times New Roman" w:hAnsi="Times New Roman"/>
                <w:iCs/>
              </w:rPr>
            </w:pPr>
            <w:r>
              <w:rPr>
                <w:rFonts w:ascii="Times New Roman" w:hAnsi="Times New Roman"/>
                <w:iCs/>
              </w:rPr>
              <w:t>17500</w:t>
            </w:r>
          </w:p>
        </w:tc>
      </w:tr>
      <w:tr w:rsidR="0023445B" w:rsidRPr="00574FD5" w14:paraId="595840CC" w14:textId="2E3A8961" w:rsidTr="009E1F08">
        <w:trPr>
          <w:trHeight w:val="283"/>
          <w:jc w:val="center"/>
        </w:trPr>
        <w:tc>
          <w:tcPr>
            <w:tcW w:w="0" w:type="auto"/>
            <w:tcBorders>
              <w:top w:val="nil"/>
              <w:bottom w:val="single" w:sz="4" w:space="0" w:color="auto"/>
            </w:tcBorders>
          </w:tcPr>
          <w:p w14:paraId="296A9933" w14:textId="2079673F" w:rsidR="0023445B" w:rsidRPr="00574FD5" w:rsidRDefault="0023445B" w:rsidP="007F02C7">
            <w:pPr>
              <w:spacing w:line="259" w:lineRule="auto"/>
              <w:textAlignment w:val="baseline"/>
              <w:rPr>
                <w:rFonts w:ascii="Times New Roman" w:hAnsi="Times New Roman"/>
                <w:iCs/>
                <w:sz w:val="24"/>
              </w:rPr>
            </w:pPr>
            <w:r w:rsidRPr="00574FD5">
              <w:rPr>
                <w:rFonts w:ascii="Times New Roman" w:eastAsia="Times New Roman" w:hAnsi="Times New Roman" w:cs="Times New Roman"/>
                <w:lang w:eastAsia="it-IT"/>
              </w:rPr>
              <w:t>Volume [m</w:t>
            </w:r>
            <w:r w:rsidRPr="00574FD5">
              <w:rPr>
                <w:rFonts w:ascii="Times New Roman" w:eastAsia="Times New Roman" w:hAnsi="Times New Roman" w:cs="Times New Roman"/>
                <w:sz w:val="17"/>
                <w:szCs w:val="17"/>
                <w:vertAlign w:val="superscript"/>
                <w:lang w:eastAsia="it-IT"/>
              </w:rPr>
              <w:t>3</w:t>
            </w:r>
            <w:r w:rsidRPr="00574FD5">
              <w:rPr>
                <w:rFonts w:ascii="Calibri" w:eastAsia="Times New Roman" w:hAnsi="Calibri" w:cs="Calibri"/>
                <w:lang w:eastAsia="it-IT"/>
              </w:rPr>
              <w:t>]</w:t>
            </w:r>
          </w:p>
        </w:tc>
        <w:tc>
          <w:tcPr>
            <w:tcW w:w="0" w:type="auto"/>
            <w:tcBorders>
              <w:top w:val="nil"/>
              <w:bottom w:val="single" w:sz="4" w:space="0" w:color="auto"/>
            </w:tcBorders>
          </w:tcPr>
          <w:p w14:paraId="150A3F23" w14:textId="46DE6C69" w:rsidR="0023445B" w:rsidRDefault="00CF3F34" w:rsidP="00016D47">
            <w:pPr>
              <w:spacing w:line="259" w:lineRule="auto"/>
              <w:jc w:val="center"/>
              <w:rPr>
                <w:rFonts w:ascii="Times New Roman" w:hAnsi="Times New Roman"/>
                <w:iCs/>
              </w:rPr>
            </w:pPr>
            <w:r>
              <w:rPr>
                <w:rFonts w:ascii="Times New Roman" w:hAnsi="Times New Roman"/>
                <w:iCs/>
              </w:rPr>
              <w:t>1</w:t>
            </w:r>
            <w:r w:rsidR="00794961">
              <w:rPr>
                <w:rFonts w:ascii="Times New Roman" w:hAnsi="Times New Roman"/>
                <w:iCs/>
              </w:rPr>
              <w:t>4</w:t>
            </w:r>
          </w:p>
        </w:tc>
        <w:tc>
          <w:tcPr>
            <w:tcW w:w="0" w:type="auto"/>
            <w:tcBorders>
              <w:top w:val="nil"/>
              <w:bottom w:val="single" w:sz="4" w:space="0" w:color="auto"/>
            </w:tcBorders>
          </w:tcPr>
          <w:p w14:paraId="798408F3" w14:textId="54C6C6EA" w:rsidR="0023445B" w:rsidRPr="00574FD5" w:rsidRDefault="0023445B" w:rsidP="00016D47">
            <w:pPr>
              <w:spacing w:line="259" w:lineRule="auto"/>
              <w:jc w:val="center"/>
              <w:rPr>
                <w:rFonts w:ascii="Times New Roman" w:hAnsi="Times New Roman"/>
                <w:iCs/>
                <w:sz w:val="24"/>
              </w:rPr>
            </w:pPr>
            <w:r>
              <w:rPr>
                <w:rFonts w:ascii="Times New Roman" w:hAnsi="Times New Roman"/>
                <w:iCs/>
              </w:rPr>
              <w:t>0.</w:t>
            </w:r>
            <w:r w:rsidR="00794961">
              <w:rPr>
                <w:rFonts w:ascii="Times New Roman" w:hAnsi="Times New Roman"/>
                <w:iCs/>
              </w:rPr>
              <w:t>1</w:t>
            </w:r>
          </w:p>
        </w:tc>
        <w:tc>
          <w:tcPr>
            <w:tcW w:w="0" w:type="auto"/>
            <w:tcBorders>
              <w:top w:val="nil"/>
              <w:bottom w:val="single" w:sz="4" w:space="0" w:color="auto"/>
            </w:tcBorders>
          </w:tcPr>
          <w:p w14:paraId="45211453" w14:textId="0979EC29" w:rsidR="0023445B" w:rsidRPr="00574FD5" w:rsidRDefault="0023445B" w:rsidP="00016D47">
            <w:pPr>
              <w:spacing w:line="259" w:lineRule="auto"/>
              <w:jc w:val="center"/>
              <w:rPr>
                <w:rFonts w:ascii="Times New Roman" w:hAnsi="Times New Roman"/>
                <w:iCs/>
              </w:rPr>
            </w:pPr>
            <w:r>
              <w:rPr>
                <w:rFonts w:ascii="Times New Roman" w:hAnsi="Times New Roman"/>
                <w:iCs/>
              </w:rPr>
              <w:t>33</w:t>
            </w:r>
          </w:p>
        </w:tc>
        <w:tc>
          <w:tcPr>
            <w:tcW w:w="0" w:type="auto"/>
            <w:tcBorders>
              <w:top w:val="nil"/>
              <w:bottom w:val="single" w:sz="4" w:space="0" w:color="auto"/>
            </w:tcBorders>
          </w:tcPr>
          <w:p w14:paraId="16B523F6" w14:textId="17B5CF71" w:rsidR="0023445B" w:rsidRPr="00574FD5" w:rsidRDefault="0023445B" w:rsidP="00016D47">
            <w:pPr>
              <w:spacing w:line="259" w:lineRule="auto"/>
              <w:jc w:val="center"/>
              <w:rPr>
                <w:rFonts w:ascii="Times New Roman" w:hAnsi="Times New Roman"/>
                <w:iCs/>
              </w:rPr>
            </w:pPr>
            <w:r>
              <w:rPr>
                <w:rFonts w:ascii="Times New Roman" w:hAnsi="Times New Roman"/>
                <w:iCs/>
              </w:rPr>
              <w:t>6</w:t>
            </w:r>
            <w:r w:rsidR="00794961">
              <w:rPr>
                <w:rFonts w:ascii="Times New Roman" w:hAnsi="Times New Roman"/>
                <w:iCs/>
              </w:rPr>
              <w:t>7</w:t>
            </w:r>
          </w:p>
        </w:tc>
      </w:tr>
    </w:tbl>
    <w:p w14:paraId="527C54D3" w14:textId="39397C00" w:rsidR="0049253F" w:rsidRDefault="00727008" w:rsidP="00DD3ADF">
      <w:pPr>
        <w:suppressAutoHyphens/>
        <w:spacing w:line="240" w:lineRule="auto"/>
        <w:jc w:val="center"/>
        <w:rPr>
          <w:rFonts w:ascii="Times New Roman" w:eastAsia="Calibri" w:hAnsi="Times New Roman" w:cs="Times New Roman"/>
          <w:iCs/>
        </w:rPr>
      </w:pPr>
      <w:r>
        <w:rPr>
          <w:rFonts w:ascii="Times New Roman" w:eastAsia="Calibri" w:hAnsi="Times New Roman" w:cs="Times New Roman"/>
          <w:iCs/>
          <w:noProof/>
        </w:rPr>
        <w:lastRenderedPageBreak/>
        <w:drawing>
          <wp:inline distT="0" distB="0" distL="0" distR="0" wp14:anchorId="259BBE3E" wp14:editId="63B1872F">
            <wp:extent cx="6122505" cy="232974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8309" cy="2331949"/>
                    </a:xfrm>
                    <a:prstGeom prst="rect">
                      <a:avLst/>
                    </a:prstGeom>
                    <a:noFill/>
                  </pic:spPr>
                </pic:pic>
              </a:graphicData>
            </a:graphic>
          </wp:inline>
        </w:drawing>
      </w:r>
    </w:p>
    <w:p w14:paraId="0B888E7A" w14:textId="5FDBBF55" w:rsidR="00504267" w:rsidRDefault="000A77D0" w:rsidP="00504267">
      <w:pPr>
        <w:pStyle w:val="Didascalia"/>
        <w:spacing w:after="240"/>
        <w:jc w:val="center"/>
        <w:rPr>
          <w:rFonts w:ascii="Times New Roman" w:hAnsi="Times New Roman" w:cs="Times New Roman"/>
          <w:i w:val="0"/>
          <w:iCs w:val="0"/>
          <w:color w:val="auto"/>
        </w:rPr>
      </w:pPr>
      <w:r w:rsidRPr="001377BB">
        <w:rPr>
          <w:rFonts w:ascii="Times New Roman" w:hAnsi="Times New Roman" w:cs="Times New Roman"/>
          <w:b/>
          <w:bCs/>
          <w:i w:val="0"/>
          <w:iCs w:val="0"/>
          <w:color w:val="auto"/>
        </w:rPr>
        <w:t xml:space="preserve">Figure </w:t>
      </w:r>
      <w:r w:rsidR="0088559E">
        <w:rPr>
          <w:rFonts w:ascii="Times New Roman" w:hAnsi="Times New Roman" w:cs="Times New Roman"/>
          <w:b/>
          <w:bCs/>
          <w:i w:val="0"/>
          <w:iCs w:val="0"/>
          <w:color w:val="auto"/>
        </w:rPr>
        <w:t>1</w:t>
      </w:r>
      <w:r w:rsidRPr="001377BB">
        <w:rPr>
          <w:rFonts w:ascii="Times New Roman" w:hAnsi="Times New Roman" w:cs="Times New Roman"/>
          <w:b/>
          <w:bCs/>
          <w:i w:val="0"/>
          <w:iCs w:val="0"/>
          <w:color w:val="auto"/>
        </w:rPr>
        <w:t>.</w:t>
      </w:r>
      <w:r w:rsidRPr="00ED439C">
        <w:rPr>
          <w:rFonts w:ascii="Times New Roman" w:hAnsi="Times New Roman" w:cs="Times New Roman"/>
          <w:i w:val="0"/>
          <w:iCs w:val="0"/>
          <w:color w:val="auto"/>
          <w:sz w:val="22"/>
          <w:szCs w:val="22"/>
        </w:rPr>
        <w:t xml:space="preserve"> </w:t>
      </w:r>
      <w:r w:rsidR="00ED0E1C" w:rsidRPr="00ED0E1C">
        <w:rPr>
          <w:rFonts w:ascii="Times New Roman" w:hAnsi="Times New Roman" w:cs="Times New Roman"/>
          <w:i w:val="0"/>
          <w:iCs w:val="0"/>
          <w:color w:val="auto"/>
        </w:rPr>
        <w:t>PEM</w:t>
      </w:r>
      <w:r w:rsidR="00140F92" w:rsidRPr="00140F92">
        <w:rPr>
          <w:rFonts w:ascii="Times New Roman" w:hAnsi="Times New Roman" w:cs="Times New Roman"/>
          <w:i w:val="0"/>
          <w:iCs w:val="0"/>
          <w:color w:val="auto"/>
        </w:rPr>
        <w:t>FC</w:t>
      </w:r>
      <w:r w:rsidR="00ED0E1C">
        <w:rPr>
          <w:rFonts w:ascii="Times New Roman" w:hAnsi="Times New Roman" w:cs="Times New Roman"/>
          <w:i w:val="0"/>
          <w:iCs w:val="0"/>
          <w:color w:val="auto"/>
        </w:rPr>
        <w:t xml:space="preserve">, SOFC </w:t>
      </w:r>
      <w:r w:rsidR="00ED0E1C" w:rsidRPr="00810F4A">
        <w:rPr>
          <w:rFonts w:ascii="Times New Roman" w:hAnsi="Times New Roman" w:cs="Times New Roman"/>
          <w:i w:val="0"/>
          <w:iCs w:val="0"/>
          <w:color w:val="auto"/>
        </w:rPr>
        <w:t>and AFC</w:t>
      </w:r>
      <w:r w:rsidR="00140F92" w:rsidRPr="00810F4A">
        <w:rPr>
          <w:rFonts w:ascii="Times New Roman" w:hAnsi="Times New Roman" w:cs="Times New Roman"/>
          <w:i w:val="0"/>
          <w:iCs w:val="0"/>
          <w:color w:val="auto"/>
        </w:rPr>
        <w:t xml:space="preserve"> w</w:t>
      </w:r>
      <w:r w:rsidRPr="00810F4A">
        <w:rPr>
          <w:rFonts w:ascii="Times New Roman" w:hAnsi="Times New Roman" w:cs="Times New Roman"/>
          <w:i w:val="0"/>
          <w:iCs w:val="0"/>
          <w:color w:val="auto"/>
        </w:rPr>
        <w:t>orking scheme</w:t>
      </w:r>
      <w:r w:rsidR="00ED0E1C" w:rsidRPr="00810F4A">
        <w:rPr>
          <w:rFonts w:ascii="Times New Roman" w:hAnsi="Times New Roman" w:cs="Times New Roman"/>
          <w:i w:val="0"/>
          <w:iCs w:val="0"/>
          <w:color w:val="auto"/>
        </w:rPr>
        <w:t>s</w:t>
      </w:r>
    </w:p>
    <w:p w14:paraId="2C82E434" w14:textId="77777777" w:rsidR="00504267" w:rsidRPr="00504267" w:rsidRDefault="00504267" w:rsidP="00504267"/>
    <w:p w14:paraId="2301A449" w14:textId="77777777" w:rsidR="00CF068E" w:rsidRPr="00B015D7" w:rsidRDefault="00CF068E" w:rsidP="00CF068E">
      <w:pPr>
        <w:pStyle w:val="Paragrafoelenco"/>
        <w:numPr>
          <w:ilvl w:val="1"/>
          <w:numId w:val="4"/>
        </w:numPr>
        <w:snapToGrid w:val="0"/>
        <w:rPr>
          <w:rFonts w:ascii="Times New Roman" w:eastAsia="MS PGothic" w:hAnsi="Times New Roman"/>
          <w:b/>
        </w:rPr>
      </w:pPr>
      <w:r w:rsidRPr="00B015D7">
        <w:rPr>
          <w:rFonts w:ascii="Times New Roman" w:eastAsia="MS PGothic" w:hAnsi="Times New Roman"/>
          <w:b/>
        </w:rPr>
        <w:t>Case study</w:t>
      </w:r>
    </w:p>
    <w:p w14:paraId="15A9DE8D" w14:textId="2C9C0FFC" w:rsidR="00504267" w:rsidRDefault="00CF068E" w:rsidP="00CF068E">
      <w:pPr>
        <w:snapToGrid w:val="0"/>
        <w:rPr>
          <w:rFonts w:ascii="Times New Roman" w:eastAsia="MS PGothic" w:hAnsi="Times New Roman"/>
          <w:iCs/>
        </w:rPr>
      </w:pPr>
      <w:r w:rsidRPr="00B015D7">
        <w:rPr>
          <w:rFonts w:ascii="Times New Roman" w:eastAsia="MS PGothic" w:hAnsi="Times New Roman"/>
        </w:rPr>
        <w:t xml:space="preserve">The target ship is a mega-yacht with a length of about 64 m, which has an Atlantic autonomy of 4000 nm at 14 </w:t>
      </w:r>
      <w:proofErr w:type="spellStart"/>
      <w:r w:rsidRPr="00B015D7">
        <w:rPr>
          <w:rFonts w:ascii="Times New Roman" w:eastAsia="MS PGothic" w:hAnsi="Times New Roman"/>
        </w:rPr>
        <w:t>kn</w:t>
      </w:r>
      <w:proofErr w:type="spellEnd"/>
      <w:r w:rsidRPr="00B015D7">
        <w:rPr>
          <w:rFonts w:ascii="Times New Roman" w:eastAsia="MS PGothic" w:hAnsi="Times New Roman"/>
        </w:rPr>
        <w:t xml:space="preserve"> and reach a maximum speed of 18 kn. Shipowners generally establish the main requirements of the ship, </w:t>
      </w:r>
      <w:proofErr w:type="gramStart"/>
      <w:r w:rsidRPr="00B015D7">
        <w:rPr>
          <w:rFonts w:ascii="Times New Roman" w:eastAsia="MS PGothic" w:hAnsi="Times New Roman"/>
        </w:rPr>
        <w:t>i.e.</w:t>
      </w:r>
      <w:proofErr w:type="gramEnd"/>
      <w:r w:rsidRPr="00B015D7">
        <w:rPr>
          <w:rFonts w:ascii="Times New Roman" w:eastAsia="MS PGothic" w:hAnsi="Times New Roman"/>
        </w:rPr>
        <w:t xml:space="preserve"> the </w:t>
      </w:r>
      <w:r w:rsidRPr="00B015D7">
        <w:rPr>
          <w:rFonts w:ascii="Times New Roman" w:eastAsia="MS PGothic" w:hAnsi="Times New Roman"/>
          <w:iCs/>
        </w:rPr>
        <w:t xml:space="preserve">number of passengers and crew, size of cabins, public spaces, speed. These and other general characteristics of the mega-yacht are reported in Table </w:t>
      </w:r>
      <w:r w:rsidR="0088559E">
        <w:rPr>
          <w:rFonts w:ascii="Times New Roman" w:eastAsia="MS PGothic" w:hAnsi="Times New Roman"/>
          <w:iCs/>
        </w:rPr>
        <w:t>2</w:t>
      </w:r>
      <w:r w:rsidRPr="00B015D7">
        <w:rPr>
          <w:rFonts w:ascii="Times New Roman" w:eastAsia="MS PGothic" w:hAnsi="Times New Roman"/>
          <w:iCs/>
        </w:rPr>
        <w:t xml:space="preserve">. </w:t>
      </w:r>
    </w:p>
    <w:p w14:paraId="7A1DFE53" w14:textId="77777777" w:rsidR="00504267" w:rsidRPr="0026640B" w:rsidRDefault="00504267" w:rsidP="00CF068E">
      <w:pPr>
        <w:snapToGrid w:val="0"/>
        <w:rPr>
          <w:rFonts w:ascii="Times New Roman" w:eastAsia="MS PGothic" w:hAnsi="Times New Roman"/>
          <w:iCs/>
        </w:rPr>
      </w:pPr>
    </w:p>
    <w:tbl>
      <w:tblPr>
        <w:tblStyle w:val="Grigliatabella"/>
        <w:tblpPr w:leftFromText="141" w:rightFromText="141" w:vertAnchor="text" w:horzAnchor="page" w:tblpXSpec="center" w:tblpY="30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1481"/>
      </w:tblGrid>
      <w:tr w:rsidR="009945E0" w:rsidRPr="00B015D7" w14:paraId="3078B851" w14:textId="77777777" w:rsidTr="00504267">
        <w:trPr>
          <w:trHeight w:val="312"/>
        </w:trPr>
        <w:tc>
          <w:tcPr>
            <w:tcW w:w="0" w:type="auto"/>
          </w:tcPr>
          <w:p w14:paraId="1F1129A5"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Main dimension</w:t>
            </w:r>
            <w:r>
              <w:rPr>
                <w:rFonts w:ascii="Times New Roman" w:eastAsia="MS PGothic" w:hAnsi="Times New Roman"/>
              </w:rPr>
              <w:t xml:space="preserve"> </w:t>
            </w:r>
            <w:proofErr w:type="spellStart"/>
            <w:r w:rsidRPr="00B015D7">
              <w:rPr>
                <w:rFonts w:ascii="Times New Roman" w:eastAsia="MS PGothic" w:hAnsi="Times New Roman"/>
              </w:rPr>
              <w:t>LxBxH</w:t>
            </w:r>
            <w:proofErr w:type="spellEnd"/>
            <w:r w:rsidRPr="00B015D7">
              <w:rPr>
                <w:rFonts w:ascii="Times New Roman" w:eastAsia="MS PGothic" w:hAnsi="Times New Roman"/>
              </w:rPr>
              <w:t xml:space="preserve"> [m]</w:t>
            </w:r>
          </w:p>
        </w:tc>
        <w:tc>
          <w:tcPr>
            <w:tcW w:w="1481" w:type="dxa"/>
          </w:tcPr>
          <w:p w14:paraId="70776C0A"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64.4x11.3x6.2</w:t>
            </w:r>
          </w:p>
        </w:tc>
      </w:tr>
      <w:tr w:rsidR="009945E0" w:rsidRPr="00B015D7" w14:paraId="59A75D40" w14:textId="77777777" w:rsidTr="00504267">
        <w:trPr>
          <w:trHeight w:val="320"/>
        </w:trPr>
        <w:tc>
          <w:tcPr>
            <w:tcW w:w="0" w:type="auto"/>
          </w:tcPr>
          <w:p w14:paraId="2243B87F"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Displacement [t]</w:t>
            </w:r>
          </w:p>
        </w:tc>
        <w:tc>
          <w:tcPr>
            <w:tcW w:w="1481" w:type="dxa"/>
          </w:tcPr>
          <w:p w14:paraId="1B09950A"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921</w:t>
            </w:r>
          </w:p>
        </w:tc>
      </w:tr>
      <w:tr w:rsidR="009945E0" w:rsidRPr="00B015D7" w14:paraId="0599F8E3" w14:textId="77777777" w:rsidTr="00504267">
        <w:trPr>
          <w:trHeight w:val="312"/>
        </w:trPr>
        <w:tc>
          <w:tcPr>
            <w:tcW w:w="0" w:type="auto"/>
          </w:tcPr>
          <w:p w14:paraId="04B13812"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Full load immersion [m]</w:t>
            </w:r>
          </w:p>
        </w:tc>
        <w:tc>
          <w:tcPr>
            <w:tcW w:w="1481" w:type="dxa"/>
          </w:tcPr>
          <w:p w14:paraId="1DC0B986"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3.6</w:t>
            </w:r>
          </w:p>
        </w:tc>
      </w:tr>
      <w:tr w:rsidR="009945E0" w:rsidRPr="00B015D7" w14:paraId="0BF091D4" w14:textId="77777777" w:rsidTr="00504267">
        <w:trPr>
          <w:trHeight w:val="312"/>
        </w:trPr>
        <w:tc>
          <w:tcPr>
            <w:tcW w:w="0" w:type="auto"/>
          </w:tcPr>
          <w:p w14:paraId="7EEDE092"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Decks [</w:t>
            </w:r>
            <w:proofErr w:type="spellStart"/>
            <w:r w:rsidRPr="00B015D7">
              <w:rPr>
                <w:rFonts w:ascii="Times New Roman" w:eastAsia="MS PGothic" w:hAnsi="Times New Roman"/>
              </w:rPr>
              <w:t>num</w:t>
            </w:r>
            <w:proofErr w:type="spellEnd"/>
            <w:r w:rsidRPr="00B015D7">
              <w:rPr>
                <w:rFonts w:ascii="Times New Roman" w:eastAsia="MS PGothic" w:hAnsi="Times New Roman"/>
              </w:rPr>
              <w:t>]</w:t>
            </w:r>
          </w:p>
        </w:tc>
        <w:tc>
          <w:tcPr>
            <w:tcW w:w="1481" w:type="dxa"/>
          </w:tcPr>
          <w:p w14:paraId="06CD4584"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4</w:t>
            </w:r>
          </w:p>
        </w:tc>
      </w:tr>
      <w:tr w:rsidR="009945E0" w:rsidRPr="00B015D7" w14:paraId="53B67859" w14:textId="77777777" w:rsidTr="00504267">
        <w:trPr>
          <w:trHeight w:val="320"/>
        </w:trPr>
        <w:tc>
          <w:tcPr>
            <w:tcW w:w="0" w:type="auto"/>
          </w:tcPr>
          <w:p w14:paraId="27172053"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Passengers [</w:t>
            </w:r>
            <w:proofErr w:type="spellStart"/>
            <w:r w:rsidRPr="00B015D7">
              <w:rPr>
                <w:rFonts w:ascii="Times New Roman" w:eastAsia="MS PGothic" w:hAnsi="Times New Roman"/>
              </w:rPr>
              <w:t>num</w:t>
            </w:r>
            <w:proofErr w:type="spellEnd"/>
            <w:r w:rsidRPr="00B015D7">
              <w:rPr>
                <w:rFonts w:ascii="Times New Roman" w:eastAsia="MS PGothic" w:hAnsi="Times New Roman"/>
              </w:rPr>
              <w:t>]</w:t>
            </w:r>
          </w:p>
        </w:tc>
        <w:tc>
          <w:tcPr>
            <w:tcW w:w="1481" w:type="dxa"/>
          </w:tcPr>
          <w:p w14:paraId="3D3FCD5F"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12</w:t>
            </w:r>
          </w:p>
        </w:tc>
      </w:tr>
      <w:tr w:rsidR="009945E0" w:rsidRPr="00B015D7" w14:paraId="03662A1D" w14:textId="77777777" w:rsidTr="00504267">
        <w:trPr>
          <w:trHeight w:val="312"/>
        </w:trPr>
        <w:tc>
          <w:tcPr>
            <w:tcW w:w="0" w:type="auto"/>
          </w:tcPr>
          <w:p w14:paraId="1A33C913"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Crew members [</w:t>
            </w:r>
            <w:proofErr w:type="spellStart"/>
            <w:r w:rsidRPr="00B015D7">
              <w:rPr>
                <w:rFonts w:ascii="Times New Roman" w:eastAsia="MS PGothic" w:hAnsi="Times New Roman"/>
              </w:rPr>
              <w:t>num</w:t>
            </w:r>
            <w:proofErr w:type="spellEnd"/>
            <w:r w:rsidRPr="00B015D7">
              <w:rPr>
                <w:rFonts w:ascii="Times New Roman" w:eastAsia="MS PGothic" w:hAnsi="Times New Roman"/>
              </w:rPr>
              <w:t>]</w:t>
            </w:r>
          </w:p>
        </w:tc>
        <w:tc>
          <w:tcPr>
            <w:tcW w:w="1481" w:type="dxa"/>
          </w:tcPr>
          <w:p w14:paraId="4FB5901B"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10</w:t>
            </w:r>
          </w:p>
        </w:tc>
      </w:tr>
      <w:tr w:rsidR="009945E0" w:rsidRPr="00B015D7" w14:paraId="44FFB89E" w14:textId="77777777" w:rsidTr="00504267">
        <w:trPr>
          <w:trHeight w:val="312"/>
        </w:trPr>
        <w:tc>
          <w:tcPr>
            <w:tcW w:w="0" w:type="auto"/>
          </w:tcPr>
          <w:p w14:paraId="016A46E6"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Cruise speed [</w:t>
            </w:r>
            <w:proofErr w:type="spellStart"/>
            <w:r w:rsidRPr="00B015D7">
              <w:rPr>
                <w:rFonts w:ascii="Times New Roman" w:eastAsia="MS PGothic" w:hAnsi="Times New Roman"/>
              </w:rPr>
              <w:t>kn</w:t>
            </w:r>
            <w:proofErr w:type="spellEnd"/>
            <w:r w:rsidRPr="00B015D7">
              <w:rPr>
                <w:rFonts w:ascii="Times New Roman" w:eastAsia="MS PGothic" w:hAnsi="Times New Roman"/>
              </w:rPr>
              <w:t>]</w:t>
            </w:r>
            <w:r>
              <w:rPr>
                <w:rFonts w:ascii="Times New Roman" w:eastAsia="MS PGothic" w:hAnsi="Times New Roman"/>
              </w:rPr>
              <w:t xml:space="preserve"> </w:t>
            </w:r>
          </w:p>
        </w:tc>
        <w:tc>
          <w:tcPr>
            <w:tcW w:w="1481" w:type="dxa"/>
          </w:tcPr>
          <w:p w14:paraId="652E870C"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14</w:t>
            </w:r>
          </w:p>
        </w:tc>
      </w:tr>
      <w:tr w:rsidR="009945E0" w:rsidRPr="00B015D7" w14:paraId="113CD6F2" w14:textId="77777777" w:rsidTr="00504267">
        <w:trPr>
          <w:trHeight w:val="312"/>
        </w:trPr>
        <w:tc>
          <w:tcPr>
            <w:tcW w:w="0" w:type="auto"/>
          </w:tcPr>
          <w:p w14:paraId="215A61DD"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Maximum speed [</w:t>
            </w:r>
            <w:proofErr w:type="spellStart"/>
            <w:r w:rsidRPr="00B015D7">
              <w:rPr>
                <w:rFonts w:ascii="Times New Roman" w:eastAsia="MS PGothic" w:hAnsi="Times New Roman"/>
              </w:rPr>
              <w:t>kn</w:t>
            </w:r>
            <w:proofErr w:type="spellEnd"/>
            <w:r w:rsidRPr="00B015D7">
              <w:rPr>
                <w:rFonts w:ascii="Times New Roman" w:eastAsia="MS PGothic" w:hAnsi="Times New Roman"/>
              </w:rPr>
              <w:t>]</w:t>
            </w:r>
          </w:p>
        </w:tc>
        <w:tc>
          <w:tcPr>
            <w:tcW w:w="1481" w:type="dxa"/>
          </w:tcPr>
          <w:p w14:paraId="2369144F"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18</w:t>
            </w:r>
          </w:p>
        </w:tc>
      </w:tr>
      <w:tr w:rsidR="009945E0" w:rsidRPr="00B015D7" w14:paraId="3A681234" w14:textId="77777777" w:rsidTr="00504267">
        <w:trPr>
          <w:trHeight w:val="320"/>
        </w:trPr>
        <w:tc>
          <w:tcPr>
            <w:tcW w:w="0" w:type="auto"/>
          </w:tcPr>
          <w:p w14:paraId="660EB6E3" w14:textId="77777777" w:rsidR="009945E0" w:rsidRPr="00B015D7" w:rsidRDefault="009945E0" w:rsidP="009945E0">
            <w:pPr>
              <w:suppressAutoHyphens w:val="0"/>
              <w:snapToGrid w:val="0"/>
              <w:spacing w:line="259" w:lineRule="auto"/>
              <w:rPr>
                <w:rFonts w:ascii="Times New Roman" w:eastAsia="MS PGothic" w:hAnsi="Times New Roman"/>
              </w:rPr>
            </w:pPr>
            <w:r w:rsidRPr="00B015D7">
              <w:rPr>
                <w:rFonts w:ascii="Times New Roman" w:eastAsia="MS PGothic" w:hAnsi="Times New Roman"/>
              </w:rPr>
              <w:t>Autonomy [day]</w:t>
            </w:r>
          </w:p>
        </w:tc>
        <w:tc>
          <w:tcPr>
            <w:tcW w:w="1481" w:type="dxa"/>
          </w:tcPr>
          <w:p w14:paraId="5D8B0C69" w14:textId="77777777" w:rsidR="009945E0" w:rsidRPr="00B015D7" w:rsidRDefault="009945E0" w:rsidP="009945E0">
            <w:pPr>
              <w:suppressAutoHyphens w:val="0"/>
              <w:snapToGrid w:val="0"/>
              <w:spacing w:line="259" w:lineRule="auto"/>
              <w:jc w:val="center"/>
              <w:rPr>
                <w:rFonts w:ascii="Times New Roman" w:eastAsia="MS PGothic" w:hAnsi="Times New Roman"/>
              </w:rPr>
            </w:pPr>
            <w:r w:rsidRPr="00B015D7">
              <w:rPr>
                <w:rFonts w:ascii="Times New Roman" w:eastAsia="MS PGothic" w:hAnsi="Times New Roman"/>
              </w:rPr>
              <w:t>14</w:t>
            </w:r>
          </w:p>
        </w:tc>
      </w:tr>
      <w:tr w:rsidR="009945E0" w:rsidRPr="00B015D7" w14:paraId="7C248CB5" w14:textId="77777777" w:rsidTr="00504267">
        <w:trPr>
          <w:trHeight w:val="320"/>
        </w:trPr>
        <w:tc>
          <w:tcPr>
            <w:tcW w:w="0" w:type="auto"/>
          </w:tcPr>
          <w:p w14:paraId="458F2A9C" w14:textId="77777777" w:rsidR="009945E0" w:rsidRPr="00B015D7" w:rsidRDefault="009945E0" w:rsidP="009945E0">
            <w:pPr>
              <w:snapToGrid w:val="0"/>
              <w:spacing w:line="259" w:lineRule="auto"/>
              <w:rPr>
                <w:rFonts w:ascii="Times New Roman" w:eastAsia="MS PGothic" w:hAnsi="Times New Roman"/>
              </w:rPr>
            </w:pPr>
            <w:r>
              <w:rPr>
                <w:rFonts w:ascii="Times New Roman" w:eastAsia="MS PGothic" w:hAnsi="Times New Roman"/>
              </w:rPr>
              <w:t xml:space="preserve">Propulsion </w:t>
            </w:r>
            <w:r w:rsidRPr="00B015D7">
              <w:rPr>
                <w:rFonts w:ascii="Times New Roman" w:eastAsia="MS PGothic" w:hAnsi="Times New Roman"/>
              </w:rPr>
              <w:t>Diesel engine</w:t>
            </w:r>
            <w:r>
              <w:rPr>
                <w:rFonts w:ascii="Times New Roman" w:eastAsia="MS PGothic" w:hAnsi="Times New Roman"/>
              </w:rPr>
              <w:t xml:space="preserve"> (</w:t>
            </w:r>
            <w:r>
              <w:rPr>
                <w:rFonts w:ascii="Times New Roman" w:eastAsia="MS PGothic" w:hAnsi="Times New Roman" w:cs="Times New Roman"/>
              </w:rPr>
              <w:t>×</w:t>
            </w:r>
            <w:r>
              <w:rPr>
                <w:rFonts w:ascii="Times New Roman" w:eastAsia="MS PGothic" w:hAnsi="Times New Roman"/>
              </w:rPr>
              <w:t>2) [kW]</w:t>
            </w:r>
          </w:p>
        </w:tc>
        <w:tc>
          <w:tcPr>
            <w:tcW w:w="1481" w:type="dxa"/>
            <w:vAlign w:val="center"/>
          </w:tcPr>
          <w:p w14:paraId="206274B8" w14:textId="77777777" w:rsidR="009945E0" w:rsidRPr="00B015D7" w:rsidRDefault="009945E0" w:rsidP="009945E0">
            <w:pPr>
              <w:snapToGrid w:val="0"/>
              <w:spacing w:line="259" w:lineRule="auto"/>
              <w:jc w:val="center"/>
              <w:rPr>
                <w:rFonts w:ascii="Times New Roman" w:eastAsia="MS PGothic" w:hAnsi="Times New Roman"/>
              </w:rPr>
            </w:pPr>
            <w:r w:rsidRPr="00B015D7">
              <w:rPr>
                <w:rFonts w:ascii="Times New Roman" w:eastAsia="MS PGothic" w:hAnsi="Times New Roman"/>
              </w:rPr>
              <w:t>1320</w:t>
            </w:r>
          </w:p>
        </w:tc>
      </w:tr>
      <w:tr w:rsidR="009945E0" w:rsidRPr="00B015D7" w14:paraId="19600C25" w14:textId="77777777" w:rsidTr="00504267">
        <w:trPr>
          <w:trHeight w:val="320"/>
        </w:trPr>
        <w:tc>
          <w:tcPr>
            <w:tcW w:w="0" w:type="auto"/>
            <w:vAlign w:val="center"/>
          </w:tcPr>
          <w:p w14:paraId="2137021A" w14:textId="77777777" w:rsidR="009945E0" w:rsidRPr="00B015D7" w:rsidRDefault="009945E0" w:rsidP="009945E0">
            <w:pPr>
              <w:snapToGrid w:val="0"/>
              <w:spacing w:line="259" w:lineRule="auto"/>
              <w:rPr>
                <w:rFonts w:ascii="Times New Roman" w:eastAsia="MS PGothic" w:hAnsi="Times New Roman"/>
              </w:rPr>
            </w:pPr>
            <w:r>
              <w:rPr>
                <w:rFonts w:ascii="Times New Roman" w:eastAsia="MS PGothic" w:hAnsi="Times New Roman"/>
              </w:rPr>
              <w:t>S</w:t>
            </w:r>
            <w:r w:rsidRPr="00B015D7">
              <w:rPr>
                <w:rFonts w:ascii="Times New Roman" w:eastAsia="MS PGothic" w:hAnsi="Times New Roman"/>
              </w:rPr>
              <w:t xml:space="preserve">haft </w:t>
            </w:r>
            <w:r>
              <w:rPr>
                <w:rFonts w:ascii="Times New Roman" w:eastAsia="MS PGothic" w:hAnsi="Times New Roman"/>
              </w:rPr>
              <w:t>G</w:t>
            </w:r>
            <w:r w:rsidRPr="00B015D7">
              <w:rPr>
                <w:rFonts w:ascii="Times New Roman" w:eastAsia="MS PGothic" w:hAnsi="Times New Roman"/>
              </w:rPr>
              <w:t>enerator</w:t>
            </w:r>
            <w:r>
              <w:rPr>
                <w:rFonts w:ascii="Times New Roman" w:eastAsia="MS PGothic" w:hAnsi="Times New Roman"/>
              </w:rPr>
              <w:t xml:space="preserve"> e</w:t>
            </w:r>
            <w:r w:rsidRPr="00B015D7">
              <w:rPr>
                <w:rFonts w:ascii="Times New Roman" w:eastAsia="MS PGothic" w:hAnsi="Times New Roman"/>
              </w:rPr>
              <w:t xml:space="preserve">ngine </w:t>
            </w:r>
            <w:r>
              <w:rPr>
                <w:rFonts w:ascii="Times New Roman" w:eastAsia="MS PGothic" w:hAnsi="Times New Roman"/>
              </w:rPr>
              <w:t>(</w:t>
            </w:r>
            <w:r>
              <w:rPr>
                <w:rFonts w:ascii="Times New Roman" w:eastAsia="MS PGothic" w:hAnsi="Times New Roman" w:cs="Times New Roman"/>
              </w:rPr>
              <w:t>×</w:t>
            </w:r>
            <w:r>
              <w:rPr>
                <w:rFonts w:ascii="Times New Roman" w:eastAsia="MS PGothic" w:hAnsi="Times New Roman"/>
              </w:rPr>
              <w:t>2) [kW]</w:t>
            </w:r>
          </w:p>
        </w:tc>
        <w:tc>
          <w:tcPr>
            <w:tcW w:w="1481" w:type="dxa"/>
            <w:vAlign w:val="center"/>
          </w:tcPr>
          <w:p w14:paraId="56586D25" w14:textId="77777777" w:rsidR="009945E0" w:rsidRPr="00B015D7" w:rsidRDefault="009945E0" w:rsidP="009945E0">
            <w:pPr>
              <w:snapToGrid w:val="0"/>
              <w:spacing w:line="259" w:lineRule="auto"/>
              <w:jc w:val="center"/>
              <w:rPr>
                <w:rFonts w:ascii="Times New Roman" w:eastAsia="MS PGothic" w:hAnsi="Times New Roman"/>
              </w:rPr>
            </w:pPr>
            <w:r w:rsidRPr="00B015D7">
              <w:rPr>
                <w:rFonts w:ascii="Times New Roman" w:eastAsia="MS PGothic" w:hAnsi="Times New Roman"/>
              </w:rPr>
              <w:t>260</w:t>
            </w:r>
          </w:p>
        </w:tc>
      </w:tr>
      <w:tr w:rsidR="009945E0" w:rsidRPr="00B015D7" w14:paraId="2B336885" w14:textId="77777777" w:rsidTr="00504267">
        <w:trPr>
          <w:trHeight w:val="320"/>
        </w:trPr>
        <w:tc>
          <w:tcPr>
            <w:tcW w:w="0" w:type="auto"/>
          </w:tcPr>
          <w:p w14:paraId="14BEA9E8" w14:textId="77777777" w:rsidR="009945E0" w:rsidRPr="00B015D7" w:rsidRDefault="009945E0" w:rsidP="009945E0">
            <w:pPr>
              <w:snapToGrid w:val="0"/>
              <w:spacing w:line="259" w:lineRule="auto"/>
              <w:rPr>
                <w:rFonts w:ascii="Times New Roman" w:eastAsia="MS PGothic" w:hAnsi="Times New Roman"/>
              </w:rPr>
            </w:pPr>
            <w:r>
              <w:rPr>
                <w:rFonts w:ascii="Times New Roman" w:eastAsia="MS PGothic" w:hAnsi="Times New Roman"/>
              </w:rPr>
              <w:t>Gen-set [kW]</w:t>
            </w:r>
          </w:p>
        </w:tc>
        <w:tc>
          <w:tcPr>
            <w:tcW w:w="1481" w:type="dxa"/>
            <w:vAlign w:val="center"/>
          </w:tcPr>
          <w:p w14:paraId="7188E12D" w14:textId="77777777" w:rsidR="009945E0" w:rsidRPr="00B015D7" w:rsidRDefault="009945E0" w:rsidP="009945E0">
            <w:pPr>
              <w:snapToGrid w:val="0"/>
              <w:spacing w:line="259" w:lineRule="auto"/>
              <w:jc w:val="center"/>
              <w:rPr>
                <w:rFonts w:ascii="Times New Roman" w:eastAsia="MS PGothic" w:hAnsi="Times New Roman"/>
              </w:rPr>
            </w:pPr>
            <w:r w:rsidRPr="00B015D7">
              <w:rPr>
                <w:rFonts w:ascii="Times New Roman" w:eastAsia="MS PGothic" w:hAnsi="Times New Roman"/>
              </w:rPr>
              <w:t>575</w:t>
            </w:r>
          </w:p>
        </w:tc>
      </w:tr>
    </w:tbl>
    <w:p w14:paraId="2D919878" w14:textId="4592F17C" w:rsidR="00504267" w:rsidRDefault="00504267" w:rsidP="00504267">
      <w:pPr>
        <w:snapToGrid w:val="0"/>
        <w:jc w:val="center"/>
        <w:rPr>
          <w:rFonts w:ascii="Times New Roman" w:eastAsia="MS PGothic" w:hAnsi="Times New Roman"/>
          <w:b/>
          <w:bCs/>
          <w:iCs/>
          <w:sz w:val="18"/>
          <w:szCs w:val="18"/>
        </w:rPr>
      </w:pPr>
      <w:r w:rsidRPr="000525B6">
        <w:rPr>
          <w:rFonts w:ascii="Times New Roman" w:eastAsia="MS PGothic" w:hAnsi="Times New Roman"/>
          <w:b/>
          <w:bCs/>
          <w:iCs/>
          <w:sz w:val="18"/>
          <w:szCs w:val="18"/>
        </w:rPr>
        <w:t xml:space="preserve">Table </w:t>
      </w:r>
      <w:r>
        <w:rPr>
          <w:rFonts w:ascii="Times New Roman" w:eastAsia="MS PGothic" w:hAnsi="Times New Roman"/>
          <w:b/>
          <w:bCs/>
          <w:iCs/>
          <w:sz w:val="18"/>
          <w:szCs w:val="18"/>
        </w:rPr>
        <w:t>2</w:t>
      </w:r>
      <w:r w:rsidRPr="009525BD">
        <w:rPr>
          <w:rFonts w:ascii="Times New Roman" w:eastAsia="MS PGothic" w:hAnsi="Times New Roman"/>
          <w:b/>
          <w:bCs/>
          <w:iCs/>
          <w:sz w:val="18"/>
          <w:szCs w:val="18"/>
        </w:rPr>
        <w:t>.</w:t>
      </w:r>
      <w:r w:rsidRPr="0026640B">
        <w:rPr>
          <w:rFonts w:ascii="Times New Roman" w:eastAsia="MS PGothic" w:hAnsi="Times New Roman"/>
          <w:iCs/>
          <w:sz w:val="18"/>
          <w:szCs w:val="18"/>
        </w:rPr>
        <w:t xml:space="preserve"> </w:t>
      </w:r>
      <w:r w:rsidRPr="00763F3A">
        <w:rPr>
          <w:rFonts w:ascii="Times New Roman" w:eastAsia="MS PGothic" w:hAnsi="Times New Roman"/>
          <w:iCs/>
          <w:sz w:val="18"/>
          <w:szCs w:val="18"/>
        </w:rPr>
        <w:t>General specifications of the mega-yacht</w:t>
      </w:r>
    </w:p>
    <w:p w14:paraId="63322ABF" w14:textId="77777777" w:rsidR="00504267" w:rsidRDefault="00504267" w:rsidP="00DD3ADF">
      <w:pPr>
        <w:snapToGrid w:val="0"/>
        <w:ind w:left="4961"/>
        <w:jc w:val="both"/>
        <w:rPr>
          <w:rFonts w:ascii="Times New Roman" w:eastAsia="MS PGothic" w:hAnsi="Times New Roman"/>
          <w:iCs/>
          <w:noProof/>
        </w:rPr>
      </w:pPr>
    </w:p>
    <w:p w14:paraId="6766B95B" w14:textId="77777777" w:rsidR="00504267" w:rsidRDefault="00504267" w:rsidP="00DD3ADF">
      <w:pPr>
        <w:snapToGrid w:val="0"/>
        <w:ind w:left="4961"/>
        <w:jc w:val="both"/>
        <w:rPr>
          <w:rFonts w:ascii="Times New Roman" w:eastAsia="MS PGothic" w:hAnsi="Times New Roman"/>
          <w:iCs/>
          <w:noProof/>
        </w:rPr>
      </w:pPr>
    </w:p>
    <w:p w14:paraId="7052CC23" w14:textId="77777777" w:rsidR="00504267" w:rsidRDefault="00504267" w:rsidP="00DD3ADF">
      <w:pPr>
        <w:snapToGrid w:val="0"/>
        <w:ind w:left="4961"/>
        <w:jc w:val="both"/>
        <w:rPr>
          <w:rFonts w:ascii="Times New Roman" w:eastAsia="MS PGothic" w:hAnsi="Times New Roman"/>
          <w:iCs/>
          <w:noProof/>
        </w:rPr>
      </w:pPr>
    </w:p>
    <w:p w14:paraId="2963D4FC" w14:textId="77777777" w:rsidR="00504267" w:rsidRDefault="00504267" w:rsidP="00DD3ADF">
      <w:pPr>
        <w:snapToGrid w:val="0"/>
        <w:ind w:left="4961"/>
        <w:jc w:val="both"/>
        <w:rPr>
          <w:rFonts w:ascii="Times New Roman" w:eastAsia="MS PGothic" w:hAnsi="Times New Roman"/>
          <w:iCs/>
          <w:noProof/>
        </w:rPr>
      </w:pPr>
    </w:p>
    <w:p w14:paraId="5CB55B87" w14:textId="77777777" w:rsidR="00504267" w:rsidRDefault="00504267" w:rsidP="00DD3ADF">
      <w:pPr>
        <w:snapToGrid w:val="0"/>
        <w:ind w:left="4961"/>
        <w:jc w:val="both"/>
        <w:rPr>
          <w:rFonts w:ascii="Times New Roman" w:eastAsia="MS PGothic" w:hAnsi="Times New Roman"/>
          <w:iCs/>
          <w:noProof/>
        </w:rPr>
      </w:pPr>
    </w:p>
    <w:p w14:paraId="72C42683" w14:textId="77777777" w:rsidR="00504267" w:rsidRDefault="00504267" w:rsidP="00DD3ADF">
      <w:pPr>
        <w:snapToGrid w:val="0"/>
        <w:ind w:left="4961"/>
        <w:jc w:val="both"/>
        <w:rPr>
          <w:rFonts w:ascii="Times New Roman" w:eastAsia="MS PGothic" w:hAnsi="Times New Roman"/>
          <w:iCs/>
          <w:noProof/>
        </w:rPr>
      </w:pPr>
    </w:p>
    <w:p w14:paraId="12AE1F7F" w14:textId="77777777" w:rsidR="00504267" w:rsidRDefault="00504267" w:rsidP="00DD3ADF">
      <w:pPr>
        <w:snapToGrid w:val="0"/>
        <w:ind w:left="4961"/>
        <w:jc w:val="both"/>
        <w:rPr>
          <w:rFonts w:ascii="Times New Roman" w:eastAsia="MS PGothic" w:hAnsi="Times New Roman"/>
          <w:iCs/>
          <w:noProof/>
        </w:rPr>
      </w:pPr>
    </w:p>
    <w:p w14:paraId="07A714F0" w14:textId="77777777" w:rsidR="00504267" w:rsidRDefault="00504267" w:rsidP="00DD3ADF">
      <w:pPr>
        <w:snapToGrid w:val="0"/>
        <w:ind w:left="4961"/>
        <w:jc w:val="both"/>
        <w:rPr>
          <w:rFonts w:ascii="Times New Roman" w:eastAsia="MS PGothic" w:hAnsi="Times New Roman"/>
          <w:iCs/>
          <w:noProof/>
        </w:rPr>
      </w:pPr>
    </w:p>
    <w:p w14:paraId="7EAF0E28" w14:textId="77777777" w:rsidR="00504267" w:rsidRDefault="00504267" w:rsidP="00DD3ADF">
      <w:pPr>
        <w:snapToGrid w:val="0"/>
        <w:ind w:left="4961"/>
        <w:jc w:val="both"/>
        <w:rPr>
          <w:rFonts w:ascii="Times New Roman" w:eastAsia="MS PGothic" w:hAnsi="Times New Roman"/>
          <w:iCs/>
          <w:noProof/>
        </w:rPr>
      </w:pPr>
    </w:p>
    <w:p w14:paraId="5FCE7A7E" w14:textId="77777777" w:rsidR="00504267" w:rsidRDefault="00504267" w:rsidP="00CF068E">
      <w:pPr>
        <w:snapToGrid w:val="0"/>
        <w:rPr>
          <w:rFonts w:ascii="Times New Roman" w:eastAsia="MS PGothic" w:hAnsi="Times New Roman"/>
          <w:b/>
          <w:bCs/>
          <w:iCs/>
          <w:sz w:val="18"/>
          <w:szCs w:val="18"/>
        </w:rPr>
      </w:pPr>
    </w:p>
    <w:p w14:paraId="68320E1F" w14:textId="2BE6401E" w:rsidR="00504267" w:rsidRDefault="00504267" w:rsidP="00504267">
      <w:pPr>
        <w:snapToGrid w:val="0"/>
        <w:jc w:val="center"/>
        <w:rPr>
          <w:rFonts w:ascii="Times New Roman" w:eastAsia="MS PGothic" w:hAnsi="Times New Roman"/>
          <w:b/>
          <w:bCs/>
          <w:iCs/>
          <w:sz w:val="18"/>
          <w:szCs w:val="18"/>
        </w:rPr>
      </w:pPr>
      <w:r w:rsidRPr="00CF068E">
        <w:rPr>
          <w:rFonts w:ascii="Times New Roman" w:eastAsia="MS PGothic" w:hAnsi="Times New Roman"/>
          <w:iCs/>
          <w:noProof/>
        </w:rPr>
        <w:lastRenderedPageBreak/>
        <w:drawing>
          <wp:inline distT="0" distB="0" distL="0" distR="0" wp14:anchorId="42AEACAA" wp14:editId="6B7E3526">
            <wp:extent cx="5193787" cy="4595854"/>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334"/>
                    <a:stretch/>
                  </pic:blipFill>
                  <pic:spPr bwMode="auto">
                    <a:xfrm>
                      <a:off x="0" y="0"/>
                      <a:ext cx="5274302" cy="4667100"/>
                    </a:xfrm>
                    <a:prstGeom prst="rect">
                      <a:avLst/>
                    </a:prstGeom>
                    <a:noFill/>
                    <a:ln>
                      <a:noFill/>
                    </a:ln>
                    <a:extLst>
                      <a:ext uri="{53640926-AAD7-44D8-BBD7-CCE9431645EC}">
                        <a14:shadowObscured xmlns:a14="http://schemas.microsoft.com/office/drawing/2010/main"/>
                      </a:ext>
                    </a:extLst>
                  </pic:spPr>
                </pic:pic>
              </a:graphicData>
            </a:graphic>
          </wp:inline>
        </w:drawing>
      </w:r>
    </w:p>
    <w:p w14:paraId="3F1739CE" w14:textId="0AF52A33" w:rsidR="00CF068E" w:rsidRPr="003F121C" w:rsidRDefault="00CF068E" w:rsidP="003F121C">
      <w:pPr>
        <w:snapToGrid w:val="0"/>
        <w:jc w:val="center"/>
        <w:rPr>
          <w:rFonts w:ascii="Times New Roman" w:eastAsia="MS PGothic" w:hAnsi="Times New Roman"/>
          <w:iCs/>
        </w:rPr>
      </w:pPr>
      <w:r w:rsidRPr="00682D3A">
        <w:rPr>
          <w:rFonts w:ascii="Times New Roman" w:eastAsia="MS PGothic" w:hAnsi="Times New Roman"/>
          <w:b/>
          <w:bCs/>
          <w:iCs/>
          <w:sz w:val="18"/>
          <w:szCs w:val="18"/>
        </w:rPr>
        <w:t xml:space="preserve">Figure </w:t>
      </w:r>
      <w:r w:rsidR="0088559E">
        <w:rPr>
          <w:rFonts w:ascii="Times New Roman" w:eastAsia="MS PGothic" w:hAnsi="Times New Roman"/>
          <w:b/>
          <w:bCs/>
          <w:iCs/>
          <w:sz w:val="18"/>
          <w:szCs w:val="18"/>
        </w:rPr>
        <w:t>2</w:t>
      </w:r>
      <w:r w:rsidRPr="00FD4D19">
        <w:rPr>
          <w:rFonts w:ascii="Times New Roman" w:eastAsia="MS PGothic" w:hAnsi="Times New Roman"/>
          <w:b/>
          <w:bCs/>
          <w:iCs/>
          <w:sz w:val="18"/>
          <w:szCs w:val="18"/>
        </w:rPr>
        <w:t>.</w:t>
      </w:r>
      <w:r>
        <w:rPr>
          <w:rFonts w:ascii="Times New Roman" w:eastAsia="MS PGothic" w:hAnsi="Times New Roman"/>
          <w:iCs/>
        </w:rPr>
        <w:t xml:space="preserve"> </w:t>
      </w:r>
      <w:r>
        <w:rPr>
          <w:rFonts w:ascii="Times New Roman" w:eastAsia="MS PGothic" w:hAnsi="Times New Roman"/>
          <w:iCs/>
          <w:sz w:val="18"/>
          <w:szCs w:val="18"/>
        </w:rPr>
        <w:t>The layout</w:t>
      </w:r>
      <w:r w:rsidRPr="001A6C0C">
        <w:rPr>
          <w:rFonts w:ascii="Times New Roman" w:eastAsia="MS PGothic" w:hAnsi="Times New Roman"/>
          <w:iCs/>
          <w:sz w:val="18"/>
          <w:szCs w:val="18"/>
        </w:rPr>
        <w:t xml:space="preserve"> of the mega-yacht: A: Sun Deck (12.9 m above BL); B: Upper Deck (9.2 m above BL); C: Main Deck (6.2 m above BL); D: Lower Deck (3.3 m above BL)</w:t>
      </w:r>
    </w:p>
    <w:p w14:paraId="0DFFA24A" w14:textId="43EFADDB" w:rsidR="00CF068E" w:rsidRPr="00CF068E" w:rsidRDefault="00CF068E" w:rsidP="00CF068E">
      <w:r w:rsidRPr="00B015D7">
        <w:rPr>
          <w:rFonts w:ascii="Times New Roman" w:eastAsia="MS PGothic" w:hAnsi="Times New Roman"/>
        </w:rPr>
        <w:t>The ship's structure is laid out over four decks</w:t>
      </w:r>
      <w:r>
        <w:rPr>
          <w:rFonts w:ascii="Times New Roman" w:eastAsia="MS PGothic" w:hAnsi="Times New Roman"/>
        </w:rPr>
        <w:t>, as shown</w:t>
      </w:r>
      <w:r w:rsidRPr="00B0703B">
        <w:t xml:space="preserve"> </w:t>
      </w:r>
      <w:r w:rsidRPr="00B0703B">
        <w:rPr>
          <w:rFonts w:ascii="Times New Roman" w:eastAsia="MS PGothic" w:hAnsi="Times New Roman"/>
        </w:rPr>
        <w:t xml:space="preserve">Figure </w:t>
      </w:r>
      <w:r w:rsidR="0088559E">
        <w:rPr>
          <w:rFonts w:ascii="Times New Roman" w:eastAsia="MS PGothic" w:hAnsi="Times New Roman"/>
        </w:rPr>
        <w:t>2</w:t>
      </w:r>
      <w:r>
        <w:rPr>
          <w:rFonts w:ascii="Times New Roman" w:eastAsia="MS PGothic" w:hAnsi="Times New Roman"/>
        </w:rPr>
        <w:t xml:space="preserve">. </w:t>
      </w:r>
      <w:r w:rsidRPr="00B015D7">
        <w:rPr>
          <w:rFonts w:ascii="Times New Roman" w:eastAsia="MS PGothic" w:hAnsi="Times New Roman"/>
        </w:rPr>
        <w:t>The engine room is placed between the</w:t>
      </w:r>
      <w:r w:rsidRPr="00B0703B">
        <w:t xml:space="preserve"> </w:t>
      </w:r>
      <w:r w:rsidRPr="00B0703B">
        <w:rPr>
          <w:rFonts w:ascii="Times New Roman" w:eastAsia="MS PGothic" w:hAnsi="Times New Roman"/>
        </w:rPr>
        <w:t>Base Line</w:t>
      </w:r>
      <w:r w:rsidRPr="00B015D7">
        <w:rPr>
          <w:rFonts w:ascii="Times New Roman" w:eastAsia="MS PGothic" w:hAnsi="Times New Roman"/>
        </w:rPr>
        <w:t xml:space="preserve"> </w:t>
      </w:r>
      <w:r>
        <w:rPr>
          <w:rFonts w:ascii="Times New Roman" w:eastAsia="MS PGothic" w:hAnsi="Times New Roman"/>
        </w:rPr>
        <w:t>(</w:t>
      </w:r>
      <w:r w:rsidRPr="00B015D7">
        <w:rPr>
          <w:rFonts w:ascii="Times New Roman" w:eastAsia="MS PGothic" w:hAnsi="Times New Roman"/>
        </w:rPr>
        <w:t>BL</w:t>
      </w:r>
      <w:r>
        <w:rPr>
          <w:rFonts w:ascii="Times New Roman" w:eastAsia="MS PGothic" w:hAnsi="Times New Roman"/>
        </w:rPr>
        <w:t>)</w:t>
      </w:r>
      <w:r w:rsidRPr="00B015D7">
        <w:rPr>
          <w:rFonts w:ascii="Times New Roman" w:eastAsia="MS PGothic" w:hAnsi="Times New Roman"/>
        </w:rPr>
        <w:t xml:space="preserve"> and the Main </w:t>
      </w:r>
      <w:r w:rsidR="00B50335">
        <w:rPr>
          <w:rFonts w:ascii="Times New Roman" w:eastAsia="MS PGothic" w:hAnsi="Times New Roman"/>
        </w:rPr>
        <w:t>D</w:t>
      </w:r>
      <w:r w:rsidRPr="00B015D7">
        <w:rPr>
          <w:rFonts w:ascii="Times New Roman" w:eastAsia="MS PGothic" w:hAnsi="Times New Roman"/>
        </w:rPr>
        <w:t xml:space="preserve">eck, while the fuel is </w:t>
      </w:r>
      <w:r>
        <w:rPr>
          <w:rFonts w:ascii="Times New Roman" w:eastAsia="MS PGothic" w:hAnsi="Times New Roman"/>
        </w:rPr>
        <w:t>stored</w:t>
      </w:r>
      <w:r w:rsidRPr="00B015D7">
        <w:rPr>
          <w:rFonts w:ascii="Times New Roman" w:eastAsia="MS PGothic" w:hAnsi="Times New Roman"/>
        </w:rPr>
        <w:t xml:space="preserve"> between bulkhead </w:t>
      </w:r>
      <w:r w:rsidR="00D211D3">
        <w:rPr>
          <w:rFonts w:ascii="Times New Roman" w:eastAsia="MS PGothic" w:hAnsi="Times New Roman"/>
        </w:rPr>
        <w:t>4</w:t>
      </w:r>
      <w:r w:rsidR="00D211D3" w:rsidRPr="00D211D3">
        <w:rPr>
          <w:rFonts w:ascii="Times New Roman" w:eastAsia="MS PGothic" w:hAnsi="Times New Roman"/>
          <w:vertAlign w:val="superscript"/>
        </w:rPr>
        <w:t>th</w:t>
      </w:r>
      <w:r w:rsidR="00D211D3">
        <w:rPr>
          <w:rFonts w:ascii="Times New Roman" w:eastAsia="MS PGothic" w:hAnsi="Times New Roman"/>
        </w:rPr>
        <w:t xml:space="preserve"> </w:t>
      </w:r>
      <w:r w:rsidRPr="00B015D7">
        <w:rPr>
          <w:rFonts w:ascii="Times New Roman" w:eastAsia="MS PGothic" w:hAnsi="Times New Roman"/>
        </w:rPr>
        <w:t>and the collision bulkhead.</w:t>
      </w:r>
      <w:r>
        <w:rPr>
          <w:rFonts w:ascii="Times New Roman" w:eastAsia="MS PGothic" w:hAnsi="Times New Roman"/>
        </w:rPr>
        <w:t xml:space="preserve"> </w:t>
      </w:r>
      <w:r w:rsidRPr="004A5858">
        <w:rPr>
          <w:rFonts w:ascii="Times New Roman" w:eastAsia="MS PGothic" w:hAnsi="Times New Roman"/>
        </w:rPr>
        <w:t>The initial configuration of the mega yacht includes</w:t>
      </w:r>
      <w:r>
        <w:rPr>
          <w:rFonts w:ascii="Times New Roman" w:eastAsia="MS PGothic" w:hAnsi="Times New Roman"/>
        </w:rPr>
        <w:t xml:space="preserve"> </w:t>
      </w:r>
      <w:r w:rsidRPr="00B015D7">
        <w:rPr>
          <w:rFonts w:ascii="Times New Roman" w:eastAsia="MS PGothic" w:hAnsi="Times New Roman"/>
        </w:rPr>
        <w:t>two main Diesel engines</w:t>
      </w:r>
      <w:r>
        <w:rPr>
          <w:rFonts w:ascii="Times New Roman" w:eastAsia="MS PGothic" w:hAnsi="Times New Roman"/>
        </w:rPr>
        <w:t xml:space="preserve"> </w:t>
      </w:r>
      <w:r>
        <w:rPr>
          <w:rFonts w:ascii="Times New Roman" w:eastAsia="MS PGothic" w:hAnsi="Times New Roman"/>
          <w:iCs/>
        </w:rPr>
        <w:t>(</w:t>
      </w:r>
      <w:r w:rsidRPr="00B015D7">
        <w:rPr>
          <w:rFonts w:ascii="Times New Roman" w:eastAsia="MS PGothic" w:hAnsi="Times New Roman"/>
        </w:rPr>
        <w:t>1320 kW</w:t>
      </w:r>
      <w:r w:rsidRPr="00B015D7">
        <w:rPr>
          <w:rFonts w:ascii="Times New Roman" w:eastAsia="MS PGothic" w:hAnsi="Times New Roman"/>
          <w:iCs/>
        </w:rPr>
        <w:t xml:space="preserve"> Rolls Royce, </w:t>
      </w:r>
      <w:r w:rsidRPr="00B015D7">
        <w:rPr>
          <w:rFonts w:ascii="Times New Roman" w:eastAsia="MS PGothic" w:hAnsi="Times New Roman"/>
        </w:rPr>
        <w:t>model 4-stroke MTU 12V 4000 M33F</w:t>
      </w:r>
      <w:r>
        <w:rPr>
          <w:rFonts w:ascii="Times New Roman" w:eastAsia="MS PGothic" w:hAnsi="Times New Roman"/>
        </w:rPr>
        <w:t>)</w:t>
      </w:r>
      <w:r w:rsidRPr="00B015D7">
        <w:rPr>
          <w:rFonts w:ascii="Times New Roman" w:eastAsia="MS PGothic" w:hAnsi="Times New Roman"/>
        </w:rPr>
        <w:t xml:space="preserve"> capable of supplying </w:t>
      </w:r>
      <w:r w:rsidRPr="00B015D7">
        <w:rPr>
          <w:rFonts w:ascii="Times New Roman" w:eastAsia="MS PGothic" w:hAnsi="Times New Roman"/>
          <w:iCs/>
        </w:rPr>
        <w:t>a maximum power of about 3021 kW</w:t>
      </w:r>
      <w:r>
        <w:rPr>
          <w:rFonts w:ascii="Times New Roman" w:eastAsia="MS PGothic" w:hAnsi="Times New Roman"/>
          <w:iCs/>
        </w:rPr>
        <w:t xml:space="preserve"> </w:t>
      </w:r>
      <w:r>
        <w:rPr>
          <w:rFonts w:ascii="Times New Roman" w:eastAsia="MS PGothic" w:hAnsi="Times New Roman"/>
        </w:rPr>
        <w:t>t</w:t>
      </w:r>
      <w:r w:rsidRPr="00B015D7">
        <w:rPr>
          <w:rFonts w:ascii="Times New Roman" w:eastAsia="MS PGothic" w:hAnsi="Times New Roman"/>
        </w:rPr>
        <w:t>o reach 18 kn</w:t>
      </w:r>
      <w:r w:rsidRPr="00B015D7">
        <w:rPr>
          <w:rFonts w:ascii="Times New Roman" w:eastAsia="MS PGothic" w:hAnsi="Times New Roman"/>
          <w:iCs/>
        </w:rPr>
        <w:t xml:space="preserve">. </w:t>
      </w:r>
      <w:r>
        <w:rPr>
          <w:rFonts w:ascii="Times New Roman" w:eastAsia="MS PGothic" w:hAnsi="Times New Roman"/>
        </w:rPr>
        <w:t>Additionally</w:t>
      </w:r>
      <w:r w:rsidRPr="00B015D7">
        <w:rPr>
          <w:rFonts w:ascii="Times New Roman" w:eastAsia="MS PGothic" w:hAnsi="Times New Roman"/>
        </w:rPr>
        <w:t xml:space="preserve">, it is considered the installation of two liquid-cooled permanent magnet synchronous </w:t>
      </w:r>
      <w:r>
        <w:rPr>
          <w:rFonts w:ascii="Times New Roman" w:eastAsia="MS PGothic" w:hAnsi="Times New Roman"/>
        </w:rPr>
        <w:t>motor</w:t>
      </w:r>
      <w:r w:rsidRPr="00B015D7">
        <w:rPr>
          <w:rFonts w:ascii="Times New Roman" w:eastAsia="MS PGothic" w:hAnsi="Times New Roman"/>
        </w:rPr>
        <w:t xml:space="preserve"> shaft generators directly connected to the gearboxes (Type C SISHIP </w:t>
      </w:r>
      <w:proofErr w:type="spellStart"/>
      <w:r w:rsidRPr="00B015D7">
        <w:rPr>
          <w:rFonts w:ascii="Times New Roman" w:eastAsia="MS PGothic" w:hAnsi="Times New Roman"/>
        </w:rPr>
        <w:t>EcoProp</w:t>
      </w:r>
      <w:proofErr w:type="spellEnd"/>
      <w:r w:rsidRPr="00B015D7">
        <w:rPr>
          <w:rFonts w:ascii="Times New Roman" w:eastAsia="MS PGothic" w:hAnsi="Times New Roman"/>
        </w:rPr>
        <w:t xml:space="preserve"> from Siemens) </w:t>
      </w:r>
      <w:r>
        <w:rPr>
          <w:rFonts w:ascii="Times New Roman" w:eastAsia="MS PGothic" w:hAnsi="Times New Roman"/>
        </w:rPr>
        <w:t>to</w:t>
      </w:r>
      <w:r w:rsidRPr="00B015D7">
        <w:rPr>
          <w:rFonts w:ascii="Times New Roman" w:eastAsia="MS PGothic" w:hAnsi="Times New Roman"/>
        </w:rPr>
        <w:t xml:space="preserve"> recover the engines' waste energy and to provide additional power to the propeller when the main engine is underperforming. This configuration allows both the “</w:t>
      </w:r>
      <w:r w:rsidR="00FB26C7">
        <w:rPr>
          <w:rFonts w:ascii="Times New Roman" w:eastAsia="MS PGothic" w:hAnsi="Times New Roman"/>
          <w:iCs/>
        </w:rPr>
        <w:t>P</w:t>
      </w:r>
      <w:r w:rsidRPr="00B015D7">
        <w:rPr>
          <w:rFonts w:ascii="Times New Roman" w:eastAsia="MS PGothic" w:hAnsi="Times New Roman"/>
          <w:iCs/>
        </w:rPr>
        <w:t xml:space="preserve">ower </w:t>
      </w:r>
      <w:r w:rsidR="00FB26C7">
        <w:rPr>
          <w:rFonts w:ascii="Times New Roman" w:eastAsia="MS PGothic" w:hAnsi="Times New Roman"/>
          <w:iCs/>
        </w:rPr>
        <w:t>T</w:t>
      </w:r>
      <w:r w:rsidRPr="00B015D7">
        <w:rPr>
          <w:rFonts w:ascii="Times New Roman" w:eastAsia="MS PGothic" w:hAnsi="Times New Roman"/>
          <w:iCs/>
        </w:rPr>
        <w:t xml:space="preserve">ake </w:t>
      </w:r>
      <w:r w:rsidR="00FB26C7">
        <w:rPr>
          <w:rFonts w:ascii="Times New Roman" w:eastAsia="MS PGothic" w:hAnsi="Times New Roman"/>
          <w:iCs/>
        </w:rPr>
        <w:t>I</w:t>
      </w:r>
      <w:r w:rsidRPr="00B015D7">
        <w:rPr>
          <w:rFonts w:ascii="Times New Roman" w:eastAsia="MS PGothic" w:hAnsi="Times New Roman"/>
          <w:iCs/>
        </w:rPr>
        <w:t>n</w:t>
      </w:r>
      <w:r w:rsidRPr="00B015D7">
        <w:rPr>
          <w:rFonts w:ascii="Times New Roman" w:eastAsia="MS PGothic" w:hAnsi="Times New Roman"/>
        </w:rPr>
        <w:t>” (PTI) and “</w:t>
      </w:r>
      <w:r w:rsidR="00FB26C7">
        <w:rPr>
          <w:rFonts w:ascii="Times New Roman" w:eastAsia="MS PGothic" w:hAnsi="Times New Roman"/>
        </w:rPr>
        <w:t>P</w:t>
      </w:r>
      <w:r w:rsidRPr="00B015D7">
        <w:rPr>
          <w:rFonts w:ascii="Times New Roman" w:eastAsia="MS PGothic" w:hAnsi="Times New Roman"/>
        </w:rPr>
        <w:t xml:space="preserve">ower </w:t>
      </w:r>
      <w:r w:rsidR="00FB26C7">
        <w:rPr>
          <w:rFonts w:ascii="Times New Roman" w:eastAsia="MS PGothic" w:hAnsi="Times New Roman"/>
        </w:rPr>
        <w:t>T</w:t>
      </w:r>
      <w:r>
        <w:rPr>
          <w:rFonts w:ascii="Times New Roman" w:eastAsia="MS PGothic" w:hAnsi="Times New Roman"/>
        </w:rPr>
        <w:t>ake-</w:t>
      </w:r>
      <w:r w:rsidR="00FB26C7">
        <w:rPr>
          <w:rFonts w:ascii="Times New Roman" w:eastAsia="MS PGothic" w:hAnsi="Times New Roman"/>
        </w:rPr>
        <w:t>O</w:t>
      </w:r>
      <w:r>
        <w:rPr>
          <w:rFonts w:ascii="Times New Roman" w:eastAsia="MS PGothic" w:hAnsi="Times New Roman"/>
        </w:rPr>
        <w:t>ff</w:t>
      </w:r>
      <w:r w:rsidRPr="00B015D7">
        <w:rPr>
          <w:rFonts w:ascii="Times New Roman" w:eastAsia="MS PGothic" w:hAnsi="Times New Roman"/>
        </w:rPr>
        <w:t xml:space="preserve">” (PTO) modes for the energy transmission </w:t>
      </w:r>
      <w:r w:rsidRPr="00B015D7">
        <w:rPr>
          <w:rFonts w:ascii="Times New Roman" w:eastAsia="MS PGothic" w:hAnsi="Times New Roman"/>
        </w:rPr>
        <w:fldChar w:fldCharType="begin" w:fldLock="1"/>
      </w:r>
      <w:r w:rsidR="00621A79">
        <w:rPr>
          <w:rFonts w:ascii="Times New Roman" w:eastAsia="MS PGothic" w:hAnsi="Times New Roman"/>
        </w:rPr>
        <w:instrText>ADDIN CSL_CITATION {"citationItems":[{"id":"ITEM-1","itemData":{"URL":"https://www.boatinternational.com/yachts/the-superyacht-directory","accessed":{"date-parts":[["2022","2","24"]]},"id":"ITEM-1","issued":{"date-parts":[["0"]]},"title":"The Superyacht Directory | Superyacht Database","type":"webpage"},"uris":["http://www.mendeley.com/documents/?uuid=cff7de79-dd21-38c7-b644-669d8be87e46"]}],"mendeley":{"formattedCitation":"[25]","plainTextFormattedCitation":"[25]","previouslyFormattedCitation":"[26]"},"properties":{"noteIndex":0},"schema":"https://github.com/citation-style-language/schema/raw/master/csl-citation.json"}</w:instrText>
      </w:r>
      <w:r w:rsidRPr="00B015D7">
        <w:rPr>
          <w:rFonts w:ascii="Times New Roman" w:eastAsia="MS PGothic" w:hAnsi="Times New Roman"/>
        </w:rPr>
        <w:fldChar w:fldCharType="separate"/>
      </w:r>
      <w:r w:rsidR="00621A79" w:rsidRPr="00621A79">
        <w:rPr>
          <w:rFonts w:ascii="Times New Roman" w:eastAsia="MS PGothic" w:hAnsi="Times New Roman"/>
          <w:noProof/>
        </w:rPr>
        <w:t>[25]</w:t>
      </w:r>
      <w:r w:rsidRPr="00B015D7">
        <w:rPr>
          <w:rFonts w:ascii="Times New Roman" w:eastAsia="MS PGothic" w:hAnsi="Times New Roman"/>
          <w:lang w:val="en-US"/>
        </w:rPr>
        <w:fldChar w:fldCharType="end"/>
      </w:r>
      <w:r w:rsidRPr="00B015D7">
        <w:rPr>
          <w:rFonts w:ascii="Times New Roman" w:eastAsia="MS PGothic" w:hAnsi="Times New Roman"/>
        </w:rPr>
        <w:t>.</w:t>
      </w:r>
      <w:r>
        <w:rPr>
          <w:rFonts w:ascii="Times New Roman" w:eastAsia="MS PGothic" w:hAnsi="Times New Roman"/>
        </w:rPr>
        <w:t xml:space="preserve"> A</w:t>
      </w:r>
      <w:r w:rsidRPr="00B015D7">
        <w:rPr>
          <w:rFonts w:ascii="Times New Roman" w:eastAsia="MS PGothic" w:hAnsi="Times New Roman"/>
        </w:rPr>
        <w:t xml:space="preserve"> Diesel Gen</w:t>
      </w:r>
      <w:r>
        <w:rPr>
          <w:rFonts w:ascii="Times New Roman" w:eastAsia="MS PGothic" w:hAnsi="Times New Roman"/>
        </w:rPr>
        <w:t>-s</w:t>
      </w:r>
      <w:r w:rsidRPr="00B015D7">
        <w:rPr>
          <w:rFonts w:ascii="Times New Roman" w:eastAsia="MS PGothic" w:hAnsi="Times New Roman"/>
        </w:rPr>
        <w:t xml:space="preserve">et </w:t>
      </w:r>
      <w:r w:rsidRPr="00144855">
        <w:rPr>
          <w:rFonts w:ascii="Times New Roman" w:eastAsia="MS PGothic" w:hAnsi="Times New Roman"/>
        </w:rPr>
        <w:t>(</w:t>
      </w:r>
      <w:r w:rsidRPr="00B015D7">
        <w:rPr>
          <w:rFonts w:ascii="Times New Roman" w:eastAsia="MS PGothic" w:hAnsi="Times New Roman"/>
        </w:rPr>
        <w:t>MTU 12V 2000 M41A by Rolls Royce</w:t>
      </w:r>
      <w:r>
        <w:rPr>
          <w:rFonts w:ascii="Times New Roman" w:eastAsia="MS PGothic" w:hAnsi="Times New Roman"/>
        </w:rPr>
        <w:t>)</w:t>
      </w:r>
      <w:r w:rsidRPr="00B015D7">
        <w:rPr>
          <w:rFonts w:ascii="Times New Roman" w:eastAsia="MS PGothic" w:hAnsi="Times New Roman"/>
        </w:rPr>
        <w:t xml:space="preserve"> provides the non-propulsion power demand</w:t>
      </w:r>
      <w:r w:rsidRPr="00144855">
        <w:rPr>
          <w:rFonts w:ascii="Times New Roman" w:eastAsia="MS PGothic" w:hAnsi="Times New Roman"/>
        </w:rPr>
        <w:t xml:space="preserve">, </w:t>
      </w:r>
      <w:r w:rsidRPr="00B015D7">
        <w:rPr>
          <w:rFonts w:ascii="Times New Roman" w:eastAsia="MS PGothic" w:hAnsi="Times New Roman"/>
        </w:rPr>
        <w:t>with a power output of 575 kW at 1500 rpm.</w:t>
      </w:r>
    </w:p>
    <w:p w14:paraId="1BDBE320" w14:textId="77777777" w:rsidR="00705A9A" w:rsidRPr="00705A9A" w:rsidRDefault="00705A9A" w:rsidP="00705A9A">
      <w:pPr>
        <w:pStyle w:val="Paragrafoelenco"/>
        <w:numPr>
          <w:ilvl w:val="0"/>
          <w:numId w:val="5"/>
        </w:numPr>
        <w:snapToGrid w:val="0"/>
        <w:spacing w:before="240" w:line="300" w:lineRule="auto"/>
        <w:rPr>
          <w:rFonts w:ascii="Times New Roman" w:eastAsia="MS PGothic" w:hAnsi="Times New Roman"/>
          <w:b/>
          <w:bCs/>
          <w:vanish/>
        </w:rPr>
      </w:pPr>
    </w:p>
    <w:p w14:paraId="1F22B6DB" w14:textId="77777777" w:rsidR="00705A9A" w:rsidRPr="00705A9A" w:rsidRDefault="00705A9A" w:rsidP="00705A9A">
      <w:pPr>
        <w:pStyle w:val="Paragrafoelenco"/>
        <w:numPr>
          <w:ilvl w:val="0"/>
          <w:numId w:val="5"/>
        </w:numPr>
        <w:snapToGrid w:val="0"/>
        <w:spacing w:before="240" w:line="300" w:lineRule="auto"/>
        <w:rPr>
          <w:rFonts w:ascii="Times New Roman" w:eastAsia="MS PGothic" w:hAnsi="Times New Roman"/>
          <w:b/>
          <w:bCs/>
          <w:vanish/>
        </w:rPr>
      </w:pPr>
    </w:p>
    <w:p w14:paraId="1DD9A98F" w14:textId="77777777" w:rsidR="00705A9A" w:rsidRPr="00705A9A" w:rsidRDefault="00705A9A" w:rsidP="00705A9A">
      <w:pPr>
        <w:pStyle w:val="Paragrafoelenco"/>
        <w:numPr>
          <w:ilvl w:val="1"/>
          <w:numId w:val="5"/>
        </w:numPr>
        <w:snapToGrid w:val="0"/>
        <w:spacing w:before="240" w:line="300" w:lineRule="auto"/>
        <w:rPr>
          <w:rFonts w:ascii="Times New Roman" w:eastAsia="MS PGothic" w:hAnsi="Times New Roman"/>
          <w:b/>
          <w:bCs/>
          <w:vanish/>
        </w:rPr>
      </w:pPr>
    </w:p>
    <w:p w14:paraId="40F40B2F" w14:textId="77777777" w:rsidR="00705A9A" w:rsidRPr="00705A9A" w:rsidRDefault="00705A9A" w:rsidP="00705A9A">
      <w:pPr>
        <w:pStyle w:val="Paragrafoelenco"/>
        <w:numPr>
          <w:ilvl w:val="1"/>
          <w:numId w:val="5"/>
        </w:numPr>
        <w:snapToGrid w:val="0"/>
        <w:spacing w:before="240" w:line="300" w:lineRule="auto"/>
        <w:rPr>
          <w:rFonts w:ascii="Times New Roman" w:eastAsia="MS PGothic" w:hAnsi="Times New Roman"/>
          <w:b/>
          <w:bCs/>
          <w:vanish/>
        </w:rPr>
      </w:pPr>
    </w:p>
    <w:p w14:paraId="0528A46E" w14:textId="7C6D69E4" w:rsidR="00DA51A3" w:rsidRPr="001A4D0C" w:rsidRDefault="00DA51A3" w:rsidP="00474858">
      <w:pPr>
        <w:pStyle w:val="Paragrafoelenco"/>
        <w:numPr>
          <w:ilvl w:val="0"/>
          <w:numId w:val="5"/>
        </w:numPr>
        <w:snapToGrid w:val="0"/>
        <w:spacing w:before="240" w:after="160" w:line="300" w:lineRule="auto"/>
        <w:ind w:left="357" w:hanging="357"/>
        <w:contextualSpacing w:val="0"/>
        <w:rPr>
          <w:rFonts w:ascii="Times New Roman" w:eastAsia="MS PGothic" w:hAnsi="Times New Roman"/>
          <w:b/>
          <w:bCs/>
          <w:lang w:val="en-US"/>
        </w:rPr>
      </w:pPr>
      <w:r w:rsidRPr="001A4D0C">
        <w:rPr>
          <w:rFonts w:ascii="Times New Roman" w:eastAsia="MS PGothic" w:hAnsi="Times New Roman"/>
          <w:b/>
          <w:bCs/>
          <w:lang w:val="en-US"/>
        </w:rPr>
        <w:t>Results and discussion</w:t>
      </w:r>
    </w:p>
    <w:p w14:paraId="58AA08B0" w14:textId="504567DE" w:rsidR="001A4D0C" w:rsidRPr="00CB5786" w:rsidRDefault="0040115B" w:rsidP="00CB5786">
      <w:pPr>
        <w:spacing w:before="240" w:after="160" w:line="300" w:lineRule="auto"/>
        <w:rPr>
          <w:rFonts w:ascii="Times New Roman" w:hAnsi="Times New Roman" w:cs="Times New Roman"/>
          <w:b/>
          <w:bCs/>
        </w:rPr>
      </w:pPr>
      <w:r w:rsidRPr="00CB5786">
        <w:rPr>
          <w:rFonts w:ascii="Times New Roman" w:hAnsi="Times New Roman" w:cs="Times New Roman"/>
          <w:b/>
          <w:bCs/>
        </w:rPr>
        <w:t>General Arrangements</w:t>
      </w:r>
      <w:r w:rsidR="001A4D0C" w:rsidRPr="00CB5786">
        <w:rPr>
          <w:rFonts w:ascii="Times New Roman" w:hAnsi="Times New Roman" w:cs="Times New Roman"/>
          <w:b/>
          <w:bCs/>
        </w:rPr>
        <w:t xml:space="preserve"> </w:t>
      </w:r>
    </w:p>
    <w:p w14:paraId="683539EC" w14:textId="77777777" w:rsidR="00402C8C" w:rsidRDefault="00CD4B7F" w:rsidP="00402C8C">
      <w:pPr>
        <w:spacing w:after="0"/>
        <w:rPr>
          <w:rFonts w:ascii="Times New Roman" w:hAnsi="Times New Roman" w:cs="Times New Roman"/>
        </w:rPr>
      </w:pPr>
      <w:r w:rsidRPr="00CB5786">
        <w:rPr>
          <w:rFonts w:ascii="Times New Roman" w:hAnsi="Times New Roman" w:cs="Times New Roman"/>
        </w:rPr>
        <w:t>The onboard installation of FCs has a different arrangement for the three technologies under consideration</w:t>
      </w:r>
      <w:r w:rsidR="00835485" w:rsidRPr="00CB5786">
        <w:rPr>
          <w:rFonts w:ascii="Times New Roman" w:hAnsi="Times New Roman" w:cs="Times New Roman"/>
        </w:rPr>
        <w:t xml:space="preserve">, depending </w:t>
      </w:r>
      <w:r w:rsidR="00066D8D">
        <w:rPr>
          <w:rFonts w:ascii="Times New Roman" w:hAnsi="Times New Roman" w:cs="Times New Roman"/>
        </w:rPr>
        <w:t>on volume and weight of the FC system</w:t>
      </w:r>
      <w:r w:rsidR="00835485" w:rsidRPr="00CB5786">
        <w:rPr>
          <w:rFonts w:ascii="Times New Roman" w:hAnsi="Times New Roman" w:cs="Times New Roman"/>
        </w:rPr>
        <w:t>.</w:t>
      </w:r>
    </w:p>
    <w:p w14:paraId="4472F550" w14:textId="3E0B19B9" w:rsidR="00760BEC" w:rsidRDefault="00C50B4D" w:rsidP="00154D17">
      <w:pPr>
        <w:spacing w:after="0"/>
        <w:rPr>
          <w:rFonts w:ascii="Times New Roman" w:hAnsi="Times New Roman" w:cs="Times New Roman"/>
        </w:rPr>
      </w:pPr>
      <w:r w:rsidRPr="00CB5786">
        <w:rPr>
          <w:rFonts w:ascii="Times New Roman" w:hAnsi="Times New Roman" w:cs="Times New Roman"/>
        </w:rPr>
        <w:t>PEMFC</w:t>
      </w:r>
      <w:r w:rsidR="00402C8C">
        <w:rPr>
          <w:rFonts w:ascii="Times New Roman" w:hAnsi="Times New Roman" w:cs="Times New Roman"/>
        </w:rPr>
        <w:t xml:space="preserve"> are </w:t>
      </w:r>
      <w:r w:rsidR="00BC33FC">
        <w:rPr>
          <w:rFonts w:ascii="Times New Roman" w:hAnsi="Times New Roman" w:cs="Times New Roman"/>
        </w:rPr>
        <w:t>installed</w:t>
      </w:r>
      <w:r w:rsidR="00402C8C">
        <w:rPr>
          <w:rFonts w:ascii="Times New Roman" w:hAnsi="Times New Roman" w:cs="Times New Roman"/>
        </w:rPr>
        <w:t xml:space="preserve"> in a differ</w:t>
      </w:r>
      <w:r w:rsidR="000735DF">
        <w:rPr>
          <w:rFonts w:ascii="Times New Roman" w:hAnsi="Times New Roman" w:cs="Times New Roman"/>
        </w:rPr>
        <w:t>ent</w:t>
      </w:r>
      <w:r w:rsidR="00402C8C">
        <w:rPr>
          <w:rFonts w:ascii="Times New Roman" w:hAnsi="Times New Roman" w:cs="Times New Roman"/>
        </w:rPr>
        <w:t xml:space="preserve"> </w:t>
      </w:r>
      <w:r w:rsidR="00FD28C2">
        <w:rPr>
          <w:rFonts w:ascii="Times New Roman" w:hAnsi="Times New Roman" w:cs="Times New Roman"/>
        </w:rPr>
        <w:t>area</w:t>
      </w:r>
      <w:r w:rsidR="00402C8C">
        <w:rPr>
          <w:rFonts w:ascii="Times New Roman" w:hAnsi="Times New Roman" w:cs="Times New Roman"/>
        </w:rPr>
        <w:t xml:space="preserve"> than the AP</w:t>
      </w:r>
      <w:r w:rsidR="000735DF">
        <w:rPr>
          <w:rFonts w:ascii="Times New Roman" w:hAnsi="Times New Roman" w:cs="Times New Roman"/>
        </w:rPr>
        <w:t xml:space="preserve">, </w:t>
      </w:r>
      <w:r w:rsidR="00BC33FC">
        <w:rPr>
          <w:rFonts w:ascii="Times New Roman" w:hAnsi="Times New Roman" w:cs="Times New Roman"/>
        </w:rPr>
        <w:t xml:space="preserve">though </w:t>
      </w:r>
      <w:r w:rsidR="000735DF">
        <w:rPr>
          <w:rFonts w:ascii="Times New Roman" w:hAnsi="Times New Roman" w:cs="Times New Roman"/>
        </w:rPr>
        <w:t xml:space="preserve">the footprint is limited, it can be </w:t>
      </w:r>
      <w:r w:rsidR="00BC33FC">
        <w:rPr>
          <w:rFonts w:ascii="Times New Roman" w:hAnsi="Times New Roman" w:cs="Times New Roman"/>
        </w:rPr>
        <w:t xml:space="preserve">arranged </w:t>
      </w:r>
      <w:r w:rsidR="000735DF">
        <w:rPr>
          <w:rFonts w:ascii="Times New Roman" w:hAnsi="Times New Roman" w:cs="Times New Roman"/>
        </w:rPr>
        <w:t xml:space="preserve">in a separate enclosed space </w:t>
      </w:r>
      <w:r w:rsidR="00BC33FC">
        <w:rPr>
          <w:rFonts w:ascii="Times New Roman" w:hAnsi="Times New Roman" w:cs="Times New Roman"/>
        </w:rPr>
        <w:t xml:space="preserve">within the </w:t>
      </w:r>
      <w:r w:rsidR="000735DF">
        <w:rPr>
          <w:rFonts w:ascii="Times New Roman" w:hAnsi="Times New Roman" w:cs="Times New Roman"/>
        </w:rPr>
        <w:t>engine room</w:t>
      </w:r>
      <w:r w:rsidR="00BC33FC">
        <w:rPr>
          <w:rFonts w:ascii="Times New Roman" w:hAnsi="Times New Roman" w:cs="Times New Roman"/>
        </w:rPr>
        <w:t xml:space="preserve">. The AP is arranged </w:t>
      </w:r>
      <w:r w:rsidR="00BC33FC" w:rsidRPr="00BC33FC">
        <w:rPr>
          <w:rFonts w:ascii="Times New Roman" w:hAnsi="Times New Roman" w:cs="Times New Roman"/>
        </w:rPr>
        <w:t>between</w:t>
      </w:r>
      <w:r w:rsidR="00BC33FC">
        <w:rPr>
          <w:rFonts w:ascii="Times New Roman" w:hAnsi="Times New Roman" w:cs="Times New Roman"/>
        </w:rPr>
        <w:t xml:space="preserve"> the</w:t>
      </w:r>
      <w:r w:rsidR="00BC33FC" w:rsidRPr="00BC33FC">
        <w:rPr>
          <w:rFonts w:ascii="Times New Roman" w:hAnsi="Times New Roman" w:cs="Times New Roman"/>
        </w:rPr>
        <w:t xml:space="preserve"> </w:t>
      </w:r>
      <w:r w:rsidR="00E9482C">
        <w:rPr>
          <w:rFonts w:ascii="Times New Roman" w:hAnsi="Times New Roman" w:cs="Times New Roman"/>
        </w:rPr>
        <w:t>3</w:t>
      </w:r>
      <w:r w:rsidR="00E9482C" w:rsidRPr="00D211D3">
        <w:rPr>
          <w:rFonts w:ascii="Times New Roman" w:hAnsi="Times New Roman" w:cs="Times New Roman"/>
          <w:vertAlign w:val="superscript"/>
        </w:rPr>
        <w:t>rd</w:t>
      </w:r>
      <w:r w:rsidR="00BC33FC" w:rsidRPr="00BC33FC">
        <w:rPr>
          <w:rFonts w:ascii="Times New Roman" w:hAnsi="Times New Roman" w:cs="Times New Roman"/>
        </w:rPr>
        <w:t xml:space="preserve"> and</w:t>
      </w:r>
      <w:r w:rsidR="00D211D3">
        <w:rPr>
          <w:rFonts w:ascii="Times New Roman" w:hAnsi="Times New Roman" w:cs="Times New Roman"/>
        </w:rPr>
        <w:t xml:space="preserve"> 4</w:t>
      </w:r>
      <w:r w:rsidR="00A2792F" w:rsidRPr="00D211D3">
        <w:rPr>
          <w:rFonts w:ascii="Times New Roman" w:hAnsi="Times New Roman" w:cs="Times New Roman"/>
          <w:vertAlign w:val="superscript"/>
        </w:rPr>
        <w:t>th</w:t>
      </w:r>
      <w:r w:rsidR="00A2792F">
        <w:rPr>
          <w:rFonts w:ascii="Times New Roman" w:hAnsi="Times New Roman" w:cs="Times New Roman"/>
        </w:rPr>
        <w:t xml:space="preserve"> bulkheads</w:t>
      </w:r>
      <w:r w:rsidR="00BC33FC">
        <w:rPr>
          <w:rFonts w:ascii="Times New Roman" w:hAnsi="Times New Roman" w:cs="Times New Roman"/>
        </w:rPr>
        <w:t xml:space="preserve">. These rooms </w:t>
      </w:r>
      <w:r w:rsidR="00154D17">
        <w:rPr>
          <w:rFonts w:ascii="Times New Roman" w:hAnsi="Times New Roman" w:cs="Times New Roman"/>
        </w:rPr>
        <w:t xml:space="preserve">are classified as </w:t>
      </w:r>
      <w:r w:rsidR="00154D17" w:rsidRPr="00154D17">
        <w:rPr>
          <w:rFonts w:ascii="Times New Roman" w:hAnsi="Times New Roman" w:cs="Times New Roman"/>
        </w:rPr>
        <w:t xml:space="preserve">Hazardous Area Zone </w:t>
      </w:r>
      <w:r w:rsidR="00925067" w:rsidRPr="00154D17">
        <w:rPr>
          <w:rFonts w:ascii="Times New Roman" w:hAnsi="Times New Roman" w:cs="Times New Roman"/>
        </w:rPr>
        <w:t>1;</w:t>
      </w:r>
      <w:r w:rsidR="00154D17" w:rsidRPr="00154D17">
        <w:rPr>
          <w:rFonts w:ascii="Times New Roman" w:hAnsi="Times New Roman" w:cs="Times New Roman"/>
        </w:rPr>
        <w:t xml:space="preserve"> </w:t>
      </w:r>
      <w:r w:rsidR="00A2792F">
        <w:rPr>
          <w:rFonts w:ascii="Times New Roman" w:hAnsi="Times New Roman" w:cs="Times New Roman"/>
        </w:rPr>
        <w:t>therefore,</w:t>
      </w:r>
      <w:r w:rsidR="00154D17">
        <w:rPr>
          <w:rFonts w:ascii="Times New Roman" w:hAnsi="Times New Roman" w:cs="Times New Roman"/>
        </w:rPr>
        <w:t xml:space="preserve"> a </w:t>
      </w:r>
      <w:r w:rsidR="00154D17" w:rsidRPr="00154D17">
        <w:rPr>
          <w:rFonts w:ascii="Times New Roman" w:hAnsi="Times New Roman" w:cs="Times New Roman"/>
        </w:rPr>
        <w:t xml:space="preserve">dedicated ventilation system </w:t>
      </w:r>
      <w:r w:rsidR="00154D17">
        <w:rPr>
          <w:rFonts w:ascii="Times New Roman" w:hAnsi="Times New Roman" w:cs="Times New Roman"/>
        </w:rPr>
        <w:t>and airlocks are</w:t>
      </w:r>
      <w:r w:rsidR="00154D17" w:rsidRPr="00154D17">
        <w:rPr>
          <w:rFonts w:ascii="Times New Roman" w:hAnsi="Times New Roman" w:cs="Times New Roman"/>
        </w:rPr>
        <w:t xml:space="preserve"> </w:t>
      </w:r>
      <w:r w:rsidR="00154D17">
        <w:rPr>
          <w:rFonts w:ascii="Times New Roman" w:hAnsi="Times New Roman" w:cs="Times New Roman"/>
        </w:rPr>
        <w:t>provided.</w:t>
      </w:r>
    </w:p>
    <w:p w14:paraId="613CA861" w14:textId="5E2EF54B" w:rsidR="00657BB6" w:rsidRDefault="000A252D" w:rsidP="00BE4656">
      <w:pPr>
        <w:rPr>
          <w:rFonts w:ascii="Times New Roman" w:hAnsi="Times New Roman" w:cs="Times New Roman"/>
        </w:rPr>
      </w:pPr>
      <w:r w:rsidRPr="00CB5786">
        <w:rPr>
          <w:rFonts w:ascii="Times New Roman" w:hAnsi="Times New Roman" w:cs="Times New Roman"/>
        </w:rPr>
        <w:lastRenderedPageBreak/>
        <w:t>S</w:t>
      </w:r>
      <w:r w:rsidR="00345937" w:rsidRPr="00CB5786">
        <w:rPr>
          <w:rFonts w:ascii="Times New Roman" w:hAnsi="Times New Roman" w:cs="Times New Roman"/>
        </w:rPr>
        <w:t>OFC</w:t>
      </w:r>
      <w:r w:rsidRPr="00CB5786">
        <w:rPr>
          <w:rFonts w:ascii="Times New Roman" w:hAnsi="Times New Roman" w:cs="Times New Roman"/>
        </w:rPr>
        <w:t xml:space="preserve"> and </w:t>
      </w:r>
      <w:r w:rsidR="00345937" w:rsidRPr="00CB5786">
        <w:rPr>
          <w:rFonts w:ascii="Times New Roman" w:hAnsi="Times New Roman" w:cs="Times New Roman"/>
        </w:rPr>
        <w:t>AFC</w:t>
      </w:r>
      <w:r w:rsidRPr="00CB5786">
        <w:rPr>
          <w:rFonts w:ascii="Times New Roman" w:hAnsi="Times New Roman" w:cs="Times New Roman"/>
        </w:rPr>
        <w:t xml:space="preserve"> have a very similar onboard layout</w:t>
      </w:r>
      <w:r w:rsidR="00345937" w:rsidRPr="00CB5786">
        <w:rPr>
          <w:rFonts w:ascii="Times New Roman" w:hAnsi="Times New Roman" w:cs="Times New Roman"/>
        </w:rPr>
        <w:t>: t</w:t>
      </w:r>
      <w:r w:rsidRPr="00CB5786">
        <w:rPr>
          <w:rFonts w:ascii="Times New Roman" w:hAnsi="Times New Roman" w:cs="Times New Roman"/>
        </w:rPr>
        <w:t xml:space="preserve">he </w:t>
      </w:r>
      <w:r w:rsidR="00154D17">
        <w:rPr>
          <w:rFonts w:ascii="Times New Roman" w:hAnsi="Times New Roman" w:cs="Times New Roman"/>
        </w:rPr>
        <w:t>FC</w:t>
      </w:r>
      <w:r w:rsidRPr="00CB5786">
        <w:rPr>
          <w:rFonts w:ascii="Times New Roman" w:hAnsi="Times New Roman" w:cs="Times New Roman"/>
        </w:rPr>
        <w:t xml:space="preserve"> space is larger than the case of </w:t>
      </w:r>
      <w:r w:rsidR="00345937" w:rsidRPr="00CB5786">
        <w:rPr>
          <w:rFonts w:ascii="Times New Roman" w:hAnsi="Times New Roman" w:cs="Times New Roman"/>
        </w:rPr>
        <w:t>PEMFC</w:t>
      </w:r>
      <w:r w:rsidRPr="00CB5786">
        <w:rPr>
          <w:rFonts w:ascii="Times New Roman" w:hAnsi="Times New Roman" w:cs="Times New Roman"/>
        </w:rPr>
        <w:t xml:space="preserve">, which is due to the </w:t>
      </w:r>
      <w:r w:rsidR="00A2792F">
        <w:rPr>
          <w:rFonts w:ascii="Times New Roman" w:hAnsi="Times New Roman" w:cs="Times New Roman"/>
        </w:rPr>
        <w:t>higher</w:t>
      </w:r>
      <w:r w:rsidRPr="00CB5786">
        <w:rPr>
          <w:rFonts w:ascii="Times New Roman" w:hAnsi="Times New Roman" w:cs="Times New Roman"/>
        </w:rPr>
        <w:t xml:space="preserve"> footprint. </w:t>
      </w:r>
      <w:r w:rsidR="002417D5" w:rsidRPr="00CB5786">
        <w:rPr>
          <w:rFonts w:ascii="Times New Roman" w:hAnsi="Times New Roman" w:cs="Times New Roman"/>
        </w:rPr>
        <w:t>T</w:t>
      </w:r>
      <w:r w:rsidRPr="00CB5786">
        <w:rPr>
          <w:rFonts w:ascii="Times New Roman" w:hAnsi="Times New Roman" w:cs="Times New Roman"/>
        </w:rPr>
        <w:t>he</w:t>
      </w:r>
      <w:r w:rsidR="008B35A4">
        <w:rPr>
          <w:rFonts w:ascii="Times New Roman" w:hAnsi="Times New Roman" w:cs="Times New Roman"/>
        </w:rPr>
        <w:t xml:space="preserve">se are </w:t>
      </w:r>
      <w:r w:rsidR="008B35A4" w:rsidRPr="008B35A4">
        <w:rPr>
          <w:rFonts w:ascii="Times New Roman" w:hAnsi="Times New Roman" w:cs="Times New Roman"/>
        </w:rPr>
        <w:t xml:space="preserve">arranged between the </w:t>
      </w:r>
      <w:r w:rsidR="00E9482C">
        <w:rPr>
          <w:rFonts w:ascii="Times New Roman" w:hAnsi="Times New Roman" w:cs="Times New Roman"/>
        </w:rPr>
        <w:t>3</w:t>
      </w:r>
      <w:r w:rsidR="00E9482C" w:rsidRPr="00D211D3">
        <w:rPr>
          <w:rFonts w:ascii="Times New Roman" w:hAnsi="Times New Roman" w:cs="Times New Roman"/>
          <w:vertAlign w:val="superscript"/>
        </w:rPr>
        <w:t>rd</w:t>
      </w:r>
      <w:r w:rsidR="00E868BB" w:rsidRPr="00BC33FC">
        <w:rPr>
          <w:rFonts w:ascii="Times New Roman" w:hAnsi="Times New Roman" w:cs="Times New Roman"/>
        </w:rPr>
        <w:t xml:space="preserve"> and</w:t>
      </w:r>
      <w:r w:rsidR="00E868BB">
        <w:rPr>
          <w:rFonts w:ascii="Times New Roman" w:hAnsi="Times New Roman" w:cs="Times New Roman"/>
        </w:rPr>
        <w:t xml:space="preserve"> 4</w:t>
      </w:r>
      <w:r w:rsidR="00E868BB" w:rsidRPr="00D211D3">
        <w:rPr>
          <w:rFonts w:ascii="Times New Roman" w:hAnsi="Times New Roman" w:cs="Times New Roman"/>
          <w:vertAlign w:val="superscript"/>
        </w:rPr>
        <w:t>th</w:t>
      </w:r>
      <w:r w:rsidR="00E868BB">
        <w:rPr>
          <w:rFonts w:ascii="Times New Roman" w:hAnsi="Times New Roman" w:cs="Times New Roman"/>
        </w:rPr>
        <w:t xml:space="preserve"> bulkheads</w:t>
      </w:r>
      <w:r w:rsidR="008B35A4">
        <w:rPr>
          <w:rFonts w:ascii="Times New Roman" w:hAnsi="Times New Roman" w:cs="Times New Roman"/>
        </w:rPr>
        <w:t xml:space="preserve"> and</w:t>
      </w:r>
      <w:r w:rsidRPr="00CB5786">
        <w:rPr>
          <w:rFonts w:ascii="Times New Roman" w:hAnsi="Times New Roman" w:cs="Times New Roman"/>
        </w:rPr>
        <w:t xml:space="preserve"> enclosed by airlocks.</w:t>
      </w:r>
      <w:r w:rsidR="0058616B" w:rsidRPr="00CB5786">
        <w:rPr>
          <w:rFonts w:ascii="Times New Roman" w:hAnsi="Times New Roman" w:cs="Times New Roman"/>
        </w:rPr>
        <w:t xml:space="preserve"> The described arrangements are shown in Figure</w:t>
      </w:r>
      <w:r w:rsidR="00BD71D7" w:rsidRPr="00CB5786">
        <w:rPr>
          <w:rFonts w:ascii="Times New Roman" w:hAnsi="Times New Roman" w:cs="Times New Roman"/>
        </w:rPr>
        <w:t xml:space="preserve"> </w:t>
      </w:r>
      <w:r w:rsidR="00E9482C">
        <w:rPr>
          <w:rFonts w:ascii="Times New Roman" w:hAnsi="Times New Roman" w:cs="Times New Roman"/>
        </w:rPr>
        <w:t>3.</w:t>
      </w:r>
      <w:r w:rsidR="0058616B" w:rsidRPr="00CB5786">
        <w:rPr>
          <w:rFonts w:ascii="Times New Roman" w:hAnsi="Times New Roman" w:cs="Times New Roman"/>
        </w:rPr>
        <w:t xml:space="preserve"> </w:t>
      </w:r>
    </w:p>
    <w:p w14:paraId="4A852559" w14:textId="77777777" w:rsidR="003F121C" w:rsidRPr="00BE4656" w:rsidRDefault="003F121C" w:rsidP="00BE4656">
      <w:pPr>
        <w:rPr>
          <w:rFonts w:ascii="Times New Roman" w:hAnsi="Times New Roman" w:cs="Times New Roman"/>
        </w:rPr>
      </w:pPr>
    </w:p>
    <w:p w14:paraId="1B70A883" w14:textId="6110CC76" w:rsidR="007F0597" w:rsidRPr="0012107B" w:rsidRDefault="00C13654" w:rsidP="00DD3ADF">
      <w:pPr>
        <w:keepNext/>
        <w:suppressAutoHyphens/>
        <w:jc w:val="center"/>
        <w:rPr>
          <w:rFonts w:ascii="Times New Roman" w:hAnsi="Times New Roman"/>
          <w:sz w:val="24"/>
        </w:rPr>
      </w:pPr>
      <w:r>
        <w:rPr>
          <w:rFonts w:ascii="Times New Roman" w:hAnsi="Times New Roman"/>
          <w:noProof/>
          <w:sz w:val="24"/>
        </w:rPr>
        <w:drawing>
          <wp:inline distT="0" distB="0" distL="0" distR="0" wp14:anchorId="5C80A441" wp14:editId="3D574E54">
            <wp:extent cx="4343941" cy="5124319"/>
            <wp:effectExtent l="0" t="0" r="0" b="63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3986" cy="5136169"/>
                    </a:xfrm>
                    <a:prstGeom prst="rect">
                      <a:avLst/>
                    </a:prstGeom>
                  </pic:spPr>
                </pic:pic>
              </a:graphicData>
            </a:graphic>
          </wp:inline>
        </w:drawing>
      </w:r>
    </w:p>
    <w:p w14:paraId="4BFD6682" w14:textId="2198EF99" w:rsidR="007F0597" w:rsidRPr="007F0597" w:rsidRDefault="007F0597" w:rsidP="0012107B">
      <w:pPr>
        <w:pStyle w:val="Paragrafoelenco"/>
        <w:keepNext/>
        <w:suppressAutoHyphens/>
        <w:spacing w:before="120" w:line="240" w:lineRule="auto"/>
        <w:ind w:left="360"/>
        <w:jc w:val="center"/>
        <w:rPr>
          <w:rFonts w:ascii="Times New Roman" w:hAnsi="Times New Roman"/>
          <w:iCs/>
          <w:sz w:val="18"/>
          <w:szCs w:val="16"/>
        </w:rPr>
      </w:pPr>
      <w:bookmarkStart w:id="2" w:name="_Ref96855534"/>
      <w:r w:rsidRPr="00D64569">
        <w:rPr>
          <w:rFonts w:ascii="Times New Roman" w:hAnsi="Times New Roman"/>
          <w:b/>
          <w:bCs/>
          <w:iCs/>
          <w:sz w:val="18"/>
          <w:szCs w:val="16"/>
        </w:rPr>
        <w:t xml:space="preserve">Figure </w:t>
      </w:r>
      <w:r w:rsidR="00406687">
        <w:rPr>
          <w:rFonts w:ascii="Times New Roman" w:hAnsi="Times New Roman"/>
          <w:b/>
          <w:bCs/>
          <w:iCs/>
          <w:sz w:val="18"/>
          <w:szCs w:val="16"/>
        </w:rPr>
        <w:t>3.</w:t>
      </w:r>
      <w:r w:rsidRPr="007F0597">
        <w:rPr>
          <w:rFonts w:ascii="Times New Roman" w:hAnsi="Times New Roman"/>
          <w:iCs/>
          <w:szCs w:val="20"/>
        </w:rPr>
        <w:t xml:space="preserve"> </w:t>
      </w:r>
      <w:r w:rsidR="00066D8D" w:rsidRPr="00066D8D">
        <w:rPr>
          <w:rFonts w:ascii="Times New Roman" w:hAnsi="Times New Roman"/>
          <w:iCs/>
          <w:sz w:val="18"/>
          <w:szCs w:val="16"/>
        </w:rPr>
        <w:t>PEMFC, SOFC and AFC</w:t>
      </w:r>
      <w:r w:rsidRPr="007F0597">
        <w:rPr>
          <w:rFonts w:ascii="Times New Roman" w:hAnsi="Times New Roman"/>
          <w:iCs/>
          <w:sz w:val="18"/>
          <w:szCs w:val="16"/>
        </w:rPr>
        <w:t xml:space="preserve"> systems arrangement</w:t>
      </w:r>
      <w:bookmarkEnd w:id="2"/>
    </w:p>
    <w:p w14:paraId="7105E49F" w14:textId="77777777" w:rsidR="001C0D7A" w:rsidRDefault="001C0D7A" w:rsidP="0012107B">
      <w:pPr>
        <w:pStyle w:val="Paragrafoelenco"/>
        <w:suppressAutoHyphens/>
        <w:spacing w:line="240" w:lineRule="auto"/>
        <w:ind w:left="360"/>
        <w:rPr>
          <w:rFonts w:ascii="Times New Roman" w:hAnsi="Times New Roman"/>
          <w:iCs/>
        </w:rPr>
      </w:pPr>
    </w:p>
    <w:p w14:paraId="01F82FB2" w14:textId="2A086B27" w:rsidR="007D3BA2" w:rsidRDefault="00F61D79" w:rsidP="00A3741A">
      <w:pPr>
        <w:pStyle w:val="Paragrafoelenco"/>
        <w:suppressAutoHyphens/>
        <w:spacing w:after="0"/>
        <w:ind w:left="0"/>
        <w:contextualSpacing w:val="0"/>
        <w:rPr>
          <w:rFonts w:ascii="Times New Roman" w:hAnsi="Times New Roman"/>
          <w:iCs/>
        </w:rPr>
      </w:pPr>
      <w:r w:rsidRPr="007D3BA2">
        <w:rPr>
          <w:rFonts w:ascii="Times New Roman" w:hAnsi="Times New Roman"/>
          <w:iCs/>
        </w:rPr>
        <w:t xml:space="preserve">Ammonia is supposed to be stored </w:t>
      </w:r>
      <w:r>
        <w:rPr>
          <w:rFonts w:ascii="Times New Roman" w:hAnsi="Times New Roman"/>
          <w:iCs/>
        </w:rPr>
        <w:t>onboard</w:t>
      </w:r>
      <w:r w:rsidRPr="007D3BA2">
        <w:rPr>
          <w:rFonts w:ascii="Times New Roman" w:hAnsi="Times New Roman"/>
          <w:iCs/>
        </w:rPr>
        <w:t xml:space="preserve"> in the liquid state at 98 kPa and 240 K</w:t>
      </w:r>
      <w:r>
        <w:rPr>
          <w:rFonts w:ascii="Times New Roman" w:hAnsi="Times New Roman"/>
          <w:iCs/>
        </w:rPr>
        <w:t xml:space="preserve">. </w:t>
      </w:r>
      <w:r w:rsidR="001A4D0C" w:rsidRPr="001A4D0C">
        <w:rPr>
          <w:rFonts w:ascii="Times New Roman" w:hAnsi="Times New Roman"/>
        </w:rPr>
        <w:t>According to the international rules</w:t>
      </w:r>
      <w:r w:rsidR="008B35A4">
        <w:rPr>
          <w:rFonts w:ascii="Times New Roman" w:hAnsi="Times New Roman"/>
        </w:rPr>
        <w:t xml:space="preserve"> </w:t>
      </w:r>
      <w:r w:rsidR="008B35A4">
        <w:rPr>
          <w:rFonts w:ascii="Times New Roman" w:hAnsi="Times New Roman"/>
        </w:rPr>
        <w:fldChar w:fldCharType="begin" w:fldLock="1"/>
      </w:r>
      <w:r w:rsidR="00621A79">
        <w:rPr>
          <w:rFonts w:ascii="Times New Roman" w:hAnsi="Times New Roman"/>
        </w:rPr>
        <w:instrText>ADDIN CSL_CITATION {"citationItems":[{"id":"ITEM-1","itemData":{"abstract":"2016 edition. \"IMO publication. Sales number: I109E\"--Title page verso. \"The purpose of this Code is to provide an international standard for ships using low-flashpoint fuel, other than ships covered by the IGC Code. The basic philosophy of this Code is to provide mandatory provisions for the arrangement, installation, control and monitoring of machinery, equipment and systems using low-flashpoint fuel to minimize the risk to the ship, its crew and the environment, having regard to the nature of the fuels involved.\"--Back cover.","author":[{"dropping-particle":"","family":"IMO","given":"","non-dropping-particle":"","parse-names":false,"suffix":""}],"container-title":"Imo","id":"ITEM-1","issued":{"date-parts":[["2016"]]},"title":"the International Code of Safety for Ships Using Gases or Other Low-Flashpoint Fuels (Igf Code)","type":"article-journal"},"uris":["http://www.mendeley.com/documents/?uuid=8fd041b7-b1e5-42f7-8243-74b38379bf77"]}],"mendeley":{"formattedCitation":"[26]","plainTextFormattedCitation":"[26]","previouslyFormattedCitation":"[27]"},"properties":{"noteIndex":0},"schema":"https://github.com/citation-style-language/schema/raw/master/csl-citation.json"}</w:instrText>
      </w:r>
      <w:r w:rsidR="008B35A4">
        <w:rPr>
          <w:rFonts w:ascii="Times New Roman" w:hAnsi="Times New Roman"/>
        </w:rPr>
        <w:fldChar w:fldCharType="separate"/>
      </w:r>
      <w:r w:rsidR="00621A79" w:rsidRPr="00621A79">
        <w:rPr>
          <w:rFonts w:ascii="Times New Roman" w:hAnsi="Times New Roman"/>
          <w:noProof/>
        </w:rPr>
        <w:t>[26]</w:t>
      </w:r>
      <w:r w:rsidR="008B35A4">
        <w:rPr>
          <w:rFonts w:ascii="Times New Roman" w:hAnsi="Times New Roman"/>
        </w:rPr>
        <w:fldChar w:fldCharType="end"/>
      </w:r>
      <w:r w:rsidR="001A4D0C" w:rsidRPr="001A4D0C">
        <w:rPr>
          <w:rFonts w:ascii="Times New Roman" w:hAnsi="Times New Roman"/>
        </w:rPr>
        <w:t>, ammonia cannot be</w:t>
      </w:r>
      <w:r w:rsidR="00BE4656">
        <w:rPr>
          <w:rFonts w:ascii="Times New Roman" w:hAnsi="Times New Roman"/>
        </w:rPr>
        <w:t xml:space="preserve"> contained</w:t>
      </w:r>
      <w:r w:rsidR="001A4D0C" w:rsidRPr="001A4D0C">
        <w:rPr>
          <w:rFonts w:ascii="Times New Roman" w:hAnsi="Times New Roman"/>
        </w:rPr>
        <w:t xml:space="preserve"> in structural tanks but in type C double-walled tanks. </w:t>
      </w:r>
      <w:proofErr w:type="spellStart"/>
      <w:r w:rsidR="001A4D0C" w:rsidRPr="001A4D0C">
        <w:rPr>
          <w:rFonts w:ascii="Times New Roman" w:hAnsi="Times New Roman"/>
        </w:rPr>
        <w:t>Cemin</w:t>
      </w:r>
      <w:proofErr w:type="spellEnd"/>
      <w:r w:rsidR="001A4D0C" w:rsidRPr="001A4D0C">
        <w:rPr>
          <w:rFonts w:ascii="Times New Roman" w:hAnsi="Times New Roman"/>
        </w:rPr>
        <w:t xml:space="preserve"> </w:t>
      </w:r>
      <w:proofErr w:type="spellStart"/>
      <w:r w:rsidR="001A4D0C" w:rsidRPr="001A4D0C">
        <w:rPr>
          <w:rFonts w:ascii="Times New Roman" w:hAnsi="Times New Roman"/>
        </w:rPr>
        <w:t>Eurotank</w:t>
      </w:r>
      <w:proofErr w:type="spellEnd"/>
      <w:r w:rsidR="001A4D0C" w:rsidRPr="001A4D0C">
        <w:rPr>
          <w:rFonts w:ascii="Times New Roman" w:hAnsi="Times New Roman"/>
        </w:rPr>
        <w:t xml:space="preserve"> (Italy)</w:t>
      </w:r>
      <w:r w:rsidR="007750EA">
        <w:rPr>
          <w:rFonts w:ascii="Times New Roman" w:hAnsi="Times New Roman"/>
        </w:rPr>
        <w:t xml:space="preserve"> tanks are chosen as reference for the study, these</w:t>
      </w:r>
      <w:r w:rsidR="001A4D0C" w:rsidRPr="001A4D0C">
        <w:rPr>
          <w:rFonts w:ascii="Times New Roman" w:hAnsi="Times New Roman"/>
        </w:rPr>
        <w:t xml:space="preserve"> have an external diameter of 980 mm</w:t>
      </w:r>
      <w:r w:rsidR="007750EA">
        <w:rPr>
          <w:rFonts w:ascii="Times New Roman" w:hAnsi="Times New Roman"/>
        </w:rPr>
        <w:t xml:space="preserve">, </w:t>
      </w:r>
      <w:r w:rsidR="001A4D0C" w:rsidRPr="001A4D0C">
        <w:rPr>
          <w:rFonts w:ascii="Times New Roman" w:hAnsi="Times New Roman"/>
        </w:rPr>
        <w:t>an internal diameter of 950 mm</w:t>
      </w:r>
      <w:r w:rsidR="007750EA">
        <w:rPr>
          <w:rFonts w:ascii="Times New Roman" w:hAnsi="Times New Roman"/>
        </w:rPr>
        <w:t xml:space="preserve"> and are </w:t>
      </w:r>
      <w:r w:rsidR="001A4D0C" w:rsidRPr="001A4D0C">
        <w:rPr>
          <w:rFonts w:ascii="Times New Roman" w:hAnsi="Times New Roman"/>
        </w:rPr>
        <w:t xml:space="preserve">specifically </w:t>
      </w:r>
      <w:r w:rsidR="007750EA">
        <w:rPr>
          <w:rFonts w:ascii="Times New Roman" w:hAnsi="Times New Roman"/>
        </w:rPr>
        <w:t>sized</w:t>
      </w:r>
      <w:r w:rsidR="001A4D0C" w:rsidRPr="001A4D0C">
        <w:rPr>
          <w:rFonts w:ascii="Times New Roman" w:hAnsi="Times New Roman"/>
        </w:rPr>
        <w:t xml:space="preserve"> </w:t>
      </w:r>
      <w:r w:rsidR="001A4D0C" w:rsidRPr="001A4D0C">
        <w:rPr>
          <w:rFonts w:ascii="Times New Roman" w:hAnsi="Times New Roman"/>
          <w:iCs/>
        </w:rPr>
        <w:t>accordingly to the available space</w:t>
      </w:r>
      <w:r w:rsidR="007750EA">
        <w:rPr>
          <w:rFonts w:ascii="Times New Roman" w:hAnsi="Times New Roman"/>
          <w:iCs/>
        </w:rPr>
        <w:t xml:space="preserve">. </w:t>
      </w:r>
      <w:r w:rsidR="00A3741A">
        <w:rPr>
          <w:rFonts w:ascii="Times New Roman" w:hAnsi="Times New Roman"/>
          <w:iCs/>
        </w:rPr>
        <w:t xml:space="preserve">It results that </w:t>
      </w:r>
      <w:r w:rsidR="00CA41EE">
        <w:rPr>
          <w:rFonts w:ascii="Times New Roman" w:hAnsi="Times New Roman"/>
          <w:iCs/>
        </w:rPr>
        <w:t>48 m</w:t>
      </w:r>
      <w:r w:rsidR="00CA41EE" w:rsidRPr="00CA41EE">
        <w:rPr>
          <w:rFonts w:ascii="Times New Roman" w:hAnsi="Times New Roman"/>
          <w:iCs/>
          <w:vertAlign w:val="superscript"/>
        </w:rPr>
        <w:t>3</w:t>
      </w:r>
      <w:r w:rsidR="00CA41EE">
        <w:rPr>
          <w:rFonts w:ascii="Times New Roman" w:hAnsi="Times New Roman"/>
          <w:iCs/>
        </w:rPr>
        <w:t xml:space="preserve"> of</w:t>
      </w:r>
      <w:r w:rsidR="00A3741A">
        <w:rPr>
          <w:rFonts w:ascii="Times New Roman" w:hAnsi="Times New Roman"/>
          <w:iCs/>
        </w:rPr>
        <w:t xml:space="preserve"> ammonia</w:t>
      </w:r>
      <w:r w:rsidR="007D3BA2" w:rsidRPr="007D3BA2">
        <w:rPr>
          <w:rFonts w:ascii="Times New Roman" w:hAnsi="Times New Roman"/>
          <w:iCs/>
        </w:rPr>
        <w:t xml:space="preserve"> can be </w:t>
      </w:r>
      <w:r w:rsidR="00CA41EE">
        <w:rPr>
          <w:rFonts w:ascii="Times New Roman" w:hAnsi="Times New Roman"/>
          <w:iCs/>
        </w:rPr>
        <w:t>store</w:t>
      </w:r>
      <w:r w:rsidR="007D3BA2" w:rsidRPr="007D3BA2">
        <w:rPr>
          <w:rFonts w:ascii="Times New Roman" w:hAnsi="Times New Roman"/>
          <w:iCs/>
        </w:rPr>
        <w:t>d</w:t>
      </w:r>
      <w:r w:rsidR="00CA41EE">
        <w:rPr>
          <w:rFonts w:ascii="Times New Roman" w:hAnsi="Times New Roman"/>
          <w:iCs/>
        </w:rPr>
        <w:t xml:space="preserve"> in nine tanks</w:t>
      </w:r>
      <w:r w:rsidR="007D3BA2" w:rsidRPr="007D3BA2">
        <w:rPr>
          <w:rFonts w:ascii="Times New Roman" w:hAnsi="Times New Roman"/>
          <w:iCs/>
        </w:rPr>
        <w:t xml:space="preserve"> w</w:t>
      </w:r>
      <w:r w:rsidR="00A3741A">
        <w:rPr>
          <w:rFonts w:ascii="Times New Roman" w:hAnsi="Times New Roman"/>
          <w:iCs/>
        </w:rPr>
        <w:t>ith the main</w:t>
      </w:r>
      <w:r w:rsidR="007D3BA2" w:rsidRPr="007D3BA2">
        <w:rPr>
          <w:rFonts w:ascii="Times New Roman" w:hAnsi="Times New Roman"/>
          <w:iCs/>
        </w:rPr>
        <w:t xml:space="preserve"> specifics reported in Table </w:t>
      </w:r>
      <w:proofErr w:type="gramStart"/>
      <w:r w:rsidR="00984E1D">
        <w:rPr>
          <w:rFonts w:ascii="Times New Roman" w:hAnsi="Times New Roman"/>
          <w:iCs/>
        </w:rPr>
        <w:t>3, and</w:t>
      </w:r>
      <w:proofErr w:type="gramEnd"/>
      <w:r w:rsidR="007750EA" w:rsidRPr="001A4D0C">
        <w:rPr>
          <w:rFonts w:ascii="Times New Roman" w:hAnsi="Times New Roman"/>
          <w:iCs/>
        </w:rPr>
        <w:t xml:space="preserve"> </w:t>
      </w:r>
      <w:r w:rsidR="007750EA">
        <w:rPr>
          <w:rFonts w:ascii="Times New Roman" w:hAnsi="Times New Roman"/>
          <w:iCs/>
        </w:rPr>
        <w:t>a</w:t>
      </w:r>
      <w:r w:rsidR="007750EA">
        <w:rPr>
          <w:rFonts w:ascii="Times New Roman" w:hAnsi="Times New Roman"/>
        </w:rPr>
        <w:t xml:space="preserve">rranged </w:t>
      </w:r>
      <w:r w:rsidR="007750EA" w:rsidRPr="00301246">
        <w:rPr>
          <w:rFonts w:ascii="Times New Roman" w:hAnsi="Times New Roman"/>
          <w:iCs/>
        </w:rPr>
        <w:t xml:space="preserve">on board as </w:t>
      </w:r>
      <w:r w:rsidR="007750EA">
        <w:rPr>
          <w:rFonts w:ascii="Times New Roman" w:hAnsi="Times New Roman"/>
          <w:iCs/>
        </w:rPr>
        <w:t>shown in</w:t>
      </w:r>
      <w:r w:rsidR="007750EA" w:rsidRPr="00301246">
        <w:rPr>
          <w:rFonts w:ascii="Times New Roman" w:hAnsi="Times New Roman"/>
          <w:iCs/>
        </w:rPr>
        <w:t xml:space="preserve"> Figure </w:t>
      </w:r>
      <w:r w:rsidR="007750EA">
        <w:rPr>
          <w:rFonts w:ascii="Times New Roman" w:hAnsi="Times New Roman"/>
          <w:iCs/>
        </w:rPr>
        <w:t>4</w:t>
      </w:r>
      <w:r w:rsidR="007750EA" w:rsidRPr="00301246">
        <w:rPr>
          <w:rFonts w:ascii="Times New Roman" w:hAnsi="Times New Roman"/>
          <w:iCs/>
        </w:rPr>
        <w:t>.</w:t>
      </w:r>
    </w:p>
    <w:p w14:paraId="508B9E60" w14:textId="77777777" w:rsidR="00504267" w:rsidRPr="007D3BA2" w:rsidRDefault="00504267" w:rsidP="00A3741A">
      <w:pPr>
        <w:pStyle w:val="Paragrafoelenco"/>
        <w:suppressAutoHyphens/>
        <w:spacing w:after="0"/>
        <w:ind w:left="0"/>
        <w:contextualSpacing w:val="0"/>
        <w:rPr>
          <w:rFonts w:ascii="Times New Roman" w:hAnsi="Times New Roman"/>
          <w:iCs/>
        </w:rPr>
      </w:pPr>
    </w:p>
    <w:p w14:paraId="1B98E30F" w14:textId="33ADA7A5" w:rsidR="00135FF2" w:rsidRPr="00135FF2" w:rsidRDefault="00135FF2" w:rsidP="00DD3ADF">
      <w:pPr>
        <w:pStyle w:val="Didascalia"/>
        <w:keepNext/>
        <w:spacing w:after="120" w:line="259" w:lineRule="auto"/>
        <w:jc w:val="center"/>
        <w:rPr>
          <w:rFonts w:ascii="Times New Roman" w:hAnsi="Times New Roman"/>
          <w:i w:val="0"/>
          <w:color w:val="auto"/>
          <w:sz w:val="22"/>
          <w:szCs w:val="20"/>
        </w:rPr>
      </w:pPr>
      <w:r w:rsidRPr="002B3B97">
        <w:rPr>
          <w:rFonts w:ascii="Times New Roman" w:hAnsi="Times New Roman"/>
          <w:b/>
          <w:bCs/>
          <w:i w:val="0"/>
          <w:color w:val="auto"/>
          <w:szCs w:val="16"/>
        </w:rPr>
        <w:t xml:space="preserve">Table </w:t>
      </w:r>
      <w:r w:rsidR="00AA149D" w:rsidRPr="002B3B97">
        <w:rPr>
          <w:rFonts w:ascii="Times New Roman" w:hAnsi="Times New Roman"/>
          <w:b/>
          <w:bCs/>
          <w:i w:val="0"/>
          <w:color w:val="auto"/>
          <w:szCs w:val="16"/>
        </w:rPr>
        <w:t>3</w:t>
      </w:r>
      <w:r w:rsidR="002B3B97">
        <w:rPr>
          <w:rFonts w:ascii="Times New Roman" w:hAnsi="Times New Roman"/>
          <w:b/>
          <w:bCs/>
          <w:i w:val="0"/>
          <w:color w:val="auto"/>
          <w:szCs w:val="16"/>
        </w:rPr>
        <w:t>.</w:t>
      </w:r>
      <w:r>
        <w:rPr>
          <w:rFonts w:ascii="Times New Roman" w:hAnsi="Times New Roman"/>
          <w:i w:val="0"/>
          <w:color w:val="auto"/>
          <w:sz w:val="22"/>
          <w:szCs w:val="20"/>
        </w:rPr>
        <w:t xml:space="preserve"> </w:t>
      </w:r>
      <w:r w:rsidRPr="00C07BC6">
        <w:rPr>
          <w:rFonts w:ascii="Times New Roman" w:hAnsi="Times New Roman"/>
          <w:i w:val="0"/>
          <w:color w:val="auto"/>
          <w:szCs w:val="16"/>
        </w:rPr>
        <w:t>Main specifics of NH</w:t>
      </w:r>
      <w:r w:rsidRPr="00C07BC6">
        <w:rPr>
          <w:rFonts w:ascii="Times New Roman" w:hAnsi="Times New Roman"/>
          <w:i w:val="0"/>
          <w:color w:val="auto"/>
          <w:szCs w:val="16"/>
          <w:vertAlign w:val="subscript"/>
        </w:rPr>
        <w:t>3</w:t>
      </w:r>
      <w:r w:rsidRPr="00C07BC6">
        <w:rPr>
          <w:rFonts w:ascii="Times New Roman" w:hAnsi="Times New Roman"/>
          <w:i w:val="0"/>
          <w:color w:val="auto"/>
          <w:szCs w:val="16"/>
        </w:rPr>
        <w:t xml:space="preserve"> storage tanks</w:t>
      </w:r>
    </w:p>
    <w:tbl>
      <w:tblPr>
        <w:tblStyle w:val="Grigliatabella2"/>
        <w:tblpPr w:leftFromText="141" w:rightFromText="141" w:vertAnchor="text" w:tblpXSpec="center"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925"/>
        <w:gridCol w:w="840"/>
        <w:gridCol w:w="1615"/>
      </w:tblGrid>
      <w:tr w:rsidR="00D01968" w:rsidRPr="00D01968" w14:paraId="5C5CFE48" w14:textId="77777777" w:rsidTr="009E1F08">
        <w:trPr>
          <w:trHeight w:val="283"/>
        </w:trPr>
        <w:tc>
          <w:tcPr>
            <w:tcW w:w="0" w:type="auto"/>
            <w:tcBorders>
              <w:top w:val="single" w:sz="4" w:space="0" w:color="auto"/>
              <w:bottom w:val="nil"/>
            </w:tcBorders>
            <w:vAlign w:val="center"/>
          </w:tcPr>
          <w:p w14:paraId="4DC56538" w14:textId="77777777" w:rsidR="00D01968" w:rsidRPr="00D01968" w:rsidRDefault="00D01968" w:rsidP="007750EA">
            <w:pPr>
              <w:jc w:val="center"/>
              <w:rPr>
                <w:rFonts w:ascii="Times New Roman" w:hAnsi="Times New Roman"/>
                <w:iCs/>
              </w:rPr>
            </w:pPr>
            <w:r w:rsidRPr="00D01968">
              <w:rPr>
                <w:rFonts w:ascii="Times New Roman" w:hAnsi="Times New Roman"/>
                <w:iCs/>
              </w:rPr>
              <w:t>Tanks</w:t>
            </w:r>
          </w:p>
        </w:tc>
        <w:tc>
          <w:tcPr>
            <w:tcW w:w="0" w:type="auto"/>
            <w:tcBorders>
              <w:top w:val="single" w:sz="4" w:space="0" w:color="auto"/>
              <w:bottom w:val="nil"/>
            </w:tcBorders>
            <w:vAlign w:val="center"/>
          </w:tcPr>
          <w:p w14:paraId="28C8E8D1" w14:textId="77777777" w:rsidR="00D01968" w:rsidRPr="00D01968" w:rsidRDefault="00D01968" w:rsidP="007750EA">
            <w:pPr>
              <w:jc w:val="center"/>
              <w:rPr>
                <w:rFonts w:ascii="Times New Roman" w:hAnsi="Times New Roman"/>
                <w:iCs/>
              </w:rPr>
            </w:pPr>
            <w:r w:rsidRPr="00D01968">
              <w:rPr>
                <w:rFonts w:ascii="Times New Roman" w:hAnsi="Times New Roman"/>
                <w:iCs/>
              </w:rPr>
              <w:t>Volume</w:t>
            </w:r>
          </w:p>
        </w:tc>
        <w:tc>
          <w:tcPr>
            <w:tcW w:w="0" w:type="auto"/>
            <w:tcBorders>
              <w:top w:val="single" w:sz="4" w:space="0" w:color="auto"/>
              <w:bottom w:val="nil"/>
            </w:tcBorders>
            <w:vAlign w:val="center"/>
          </w:tcPr>
          <w:p w14:paraId="3E985ABD" w14:textId="77777777" w:rsidR="00D01968" w:rsidRPr="00D01968" w:rsidRDefault="00D01968" w:rsidP="007750EA">
            <w:pPr>
              <w:jc w:val="center"/>
              <w:rPr>
                <w:rFonts w:ascii="Times New Roman" w:hAnsi="Times New Roman"/>
                <w:iCs/>
              </w:rPr>
            </w:pPr>
            <w:r w:rsidRPr="00D01968">
              <w:rPr>
                <w:rFonts w:ascii="Times New Roman" w:hAnsi="Times New Roman"/>
                <w:iCs/>
              </w:rPr>
              <w:t>Length</w:t>
            </w:r>
          </w:p>
        </w:tc>
        <w:tc>
          <w:tcPr>
            <w:tcW w:w="0" w:type="auto"/>
            <w:tcBorders>
              <w:top w:val="single" w:sz="4" w:space="0" w:color="auto"/>
              <w:bottom w:val="nil"/>
            </w:tcBorders>
            <w:vAlign w:val="center"/>
          </w:tcPr>
          <w:p w14:paraId="75DDE311" w14:textId="77777777" w:rsidR="00D01968" w:rsidRPr="00D01968" w:rsidRDefault="00D01968" w:rsidP="007750EA">
            <w:pPr>
              <w:jc w:val="center"/>
              <w:rPr>
                <w:rFonts w:ascii="Times New Roman" w:hAnsi="Times New Roman"/>
                <w:iCs/>
              </w:rPr>
            </w:pPr>
            <w:r w:rsidRPr="00D01968">
              <w:rPr>
                <w:rFonts w:ascii="Times New Roman" w:hAnsi="Times New Roman"/>
                <w:iCs/>
              </w:rPr>
              <w:t>Weight (empty)</w:t>
            </w:r>
          </w:p>
        </w:tc>
      </w:tr>
      <w:tr w:rsidR="00D01968" w:rsidRPr="00D01968" w14:paraId="42E53751" w14:textId="77777777" w:rsidTr="009E1F08">
        <w:trPr>
          <w:trHeight w:val="283"/>
        </w:trPr>
        <w:tc>
          <w:tcPr>
            <w:tcW w:w="0" w:type="auto"/>
            <w:tcBorders>
              <w:bottom w:val="single" w:sz="4" w:space="0" w:color="auto"/>
            </w:tcBorders>
            <w:vAlign w:val="center"/>
          </w:tcPr>
          <w:p w14:paraId="7693FAC7" w14:textId="77777777" w:rsidR="00D01968" w:rsidRPr="00D01968" w:rsidRDefault="00D01968" w:rsidP="007750EA">
            <w:pPr>
              <w:jc w:val="center"/>
              <w:rPr>
                <w:rFonts w:ascii="Times New Roman" w:hAnsi="Times New Roman"/>
                <w:iCs/>
              </w:rPr>
            </w:pPr>
            <w:r w:rsidRPr="00D01968">
              <w:rPr>
                <w:rFonts w:ascii="Times New Roman" w:hAnsi="Times New Roman"/>
                <w:iCs/>
              </w:rPr>
              <w:t>[</w:t>
            </w:r>
            <w:proofErr w:type="spellStart"/>
            <w:r w:rsidRPr="00D01968">
              <w:rPr>
                <w:rFonts w:ascii="Times New Roman" w:hAnsi="Times New Roman"/>
                <w:iCs/>
              </w:rPr>
              <w:t>num</w:t>
            </w:r>
            <w:proofErr w:type="spellEnd"/>
            <w:r w:rsidRPr="00D01968">
              <w:rPr>
                <w:rFonts w:ascii="Times New Roman" w:hAnsi="Times New Roman"/>
                <w:iCs/>
              </w:rPr>
              <w:t>]</w:t>
            </w:r>
          </w:p>
        </w:tc>
        <w:tc>
          <w:tcPr>
            <w:tcW w:w="0" w:type="auto"/>
            <w:tcBorders>
              <w:bottom w:val="single" w:sz="4" w:space="0" w:color="auto"/>
            </w:tcBorders>
            <w:vAlign w:val="center"/>
          </w:tcPr>
          <w:p w14:paraId="26089057" w14:textId="77777777" w:rsidR="00D01968" w:rsidRPr="00D01968" w:rsidRDefault="00D01968" w:rsidP="007750EA">
            <w:pPr>
              <w:jc w:val="center"/>
              <w:rPr>
                <w:rFonts w:ascii="Times New Roman" w:hAnsi="Times New Roman"/>
                <w:iCs/>
              </w:rPr>
            </w:pPr>
            <w:r w:rsidRPr="00D01968">
              <w:rPr>
                <w:rFonts w:ascii="Times New Roman" w:hAnsi="Times New Roman"/>
                <w:iCs/>
              </w:rPr>
              <w:t>[m</w:t>
            </w:r>
            <w:r w:rsidRPr="00D01968">
              <w:rPr>
                <w:rFonts w:ascii="Times New Roman" w:hAnsi="Times New Roman"/>
                <w:iCs/>
                <w:vertAlign w:val="superscript"/>
              </w:rPr>
              <w:t>3</w:t>
            </w:r>
            <w:r w:rsidRPr="00D01968">
              <w:rPr>
                <w:rFonts w:ascii="Times New Roman" w:hAnsi="Times New Roman"/>
                <w:iCs/>
              </w:rPr>
              <w:t>]</w:t>
            </w:r>
          </w:p>
        </w:tc>
        <w:tc>
          <w:tcPr>
            <w:tcW w:w="0" w:type="auto"/>
            <w:tcBorders>
              <w:bottom w:val="single" w:sz="4" w:space="0" w:color="auto"/>
            </w:tcBorders>
            <w:vAlign w:val="center"/>
          </w:tcPr>
          <w:p w14:paraId="319630C0" w14:textId="77777777" w:rsidR="00D01968" w:rsidRPr="00D01968" w:rsidRDefault="00D01968" w:rsidP="007750EA">
            <w:pPr>
              <w:jc w:val="center"/>
              <w:rPr>
                <w:rFonts w:ascii="Times New Roman" w:hAnsi="Times New Roman"/>
                <w:iCs/>
              </w:rPr>
            </w:pPr>
            <w:r w:rsidRPr="00D01968">
              <w:rPr>
                <w:rFonts w:ascii="Times New Roman" w:hAnsi="Times New Roman"/>
                <w:iCs/>
              </w:rPr>
              <w:t>[m]</w:t>
            </w:r>
          </w:p>
        </w:tc>
        <w:tc>
          <w:tcPr>
            <w:tcW w:w="0" w:type="auto"/>
            <w:tcBorders>
              <w:bottom w:val="single" w:sz="4" w:space="0" w:color="auto"/>
            </w:tcBorders>
            <w:vAlign w:val="center"/>
          </w:tcPr>
          <w:p w14:paraId="69D8F2BD" w14:textId="77777777" w:rsidR="00D01968" w:rsidRPr="00D01968" w:rsidRDefault="00D01968" w:rsidP="007750EA">
            <w:pPr>
              <w:jc w:val="center"/>
              <w:rPr>
                <w:rFonts w:ascii="Times New Roman" w:hAnsi="Times New Roman"/>
                <w:iCs/>
              </w:rPr>
            </w:pPr>
            <w:r w:rsidRPr="00D01968">
              <w:rPr>
                <w:rFonts w:ascii="Times New Roman" w:hAnsi="Times New Roman"/>
                <w:iCs/>
              </w:rPr>
              <w:t>[t]</w:t>
            </w:r>
          </w:p>
        </w:tc>
      </w:tr>
      <w:tr w:rsidR="00D01968" w:rsidRPr="00D01968" w14:paraId="20378C4A" w14:textId="77777777" w:rsidTr="009E1F08">
        <w:trPr>
          <w:trHeight w:val="283"/>
        </w:trPr>
        <w:tc>
          <w:tcPr>
            <w:tcW w:w="0" w:type="auto"/>
            <w:tcBorders>
              <w:top w:val="single" w:sz="4" w:space="0" w:color="auto"/>
            </w:tcBorders>
            <w:vAlign w:val="center"/>
          </w:tcPr>
          <w:p w14:paraId="6E880586" w14:textId="77777777" w:rsidR="00D01968" w:rsidRPr="00D01968" w:rsidRDefault="00D01968" w:rsidP="007750EA">
            <w:pPr>
              <w:jc w:val="center"/>
              <w:rPr>
                <w:rFonts w:ascii="Times New Roman" w:hAnsi="Times New Roman"/>
                <w:iCs/>
              </w:rPr>
            </w:pPr>
            <w:r w:rsidRPr="00D01968">
              <w:rPr>
                <w:rFonts w:ascii="Times New Roman" w:hAnsi="Times New Roman"/>
                <w:iCs/>
              </w:rPr>
              <w:t>6</w:t>
            </w:r>
          </w:p>
        </w:tc>
        <w:tc>
          <w:tcPr>
            <w:tcW w:w="0" w:type="auto"/>
            <w:tcBorders>
              <w:top w:val="single" w:sz="4" w:space="0" w:color="auto"/>
            </w:tcBorders>
            <w:vAlign w:val="center"/>
          </w:tcPr>
          <w:p w14:paraId="7348E37B" w14:textId="77777777" w:rsidR="00D01968" w:rsidRPr="00D01968" w:rsidRDefault="00D01968" w:rsidP="007750EA">
            <w:pPr>
              <w:jc w:val="center"/>
              <w:rPr>
                <w:rFonts w:ascii="Times New Roman" w:hAnsi="Times New Roman"/>
                <w:iCs/>
              </w:rPr>
            </w:pPr>
            <w:r w:rsidRPr="00D01968">
              <w:rPr>
                <w:rFonts w:ascii="Times New Roman" w:hAnsi="Times New Roman"/>
                <w:iCs/>
              </w:rPr>
              <w:t>5.0</w:t>
            </w:r>
          </w:p>
        </w:tc>
        <w:tc>
          <w:tcPr>
            <w:tcW w:w="0" w:type="auto"/>
            <w:tcBorders>
              <w:top w:val="single" w:sz="4" w:space="0" w:color="auto"/>
            </w:tcBorders>
            <w:vAlign w:val="center"/>
          </w:tcPr>
          <w:p w14:paraId="4E4BE4FC" w14:textId="77777777" w:rsidR="00D01968" w:rsidRPr="00D01968" w:rsidRDefault="00D01968" w:rsidP="007750EA">
            <w:pPr>
              <w:jc w:val="center"/>
              <w:rPr>
                <w:rFonts w:ascii="Times New Roman" w:hAnsi="Times New Roman"/>
                <w:iCs/>
              </w:rPr>
            </w:pPr>
            <w:r w:rsidRPr="00D01968">
              <w:rPr>
                <w:rFonts w:ascii="Times New Roman" w:hAnsi="Times New Roman"/>
                <w:iCs/>
              </w:rPr>
              <w:t>6.8</w:t>
            </w:r>
          </w:p>
        </w:tc>
        <w:tc>
          <w:tcPr>
            <w:tcW w:w="0" w:type="auto"/>
            <w:tcBorders>
              <w:top w:val="single" w:sz="4" w:space="0" w:color="auto"/>
            </w:tcBorders>
            <w:vAlign w:val="center"/>
          </w:tcPr>
          <w:p w14:paraId="509C88C3" w14:textId="77777777" w:rsidR="00D01968" w:rsidRPr="00D01968" w:rsidRDefault="00D01968" w:rsidP="007750EA">
            <w:pPr>
              <w:jc w:val="center"/>
              <w:rPr>
                <w:rFonts w:ascii="Times New Roman" w:hAnsi="Times New Roman"/>
                <w:iCs/>
              </w:rPr>
            </w:pPr>
            <w:r w:rsidRPr="00D01968">
              <w:rPr>
                <w:rFonts w:ascii="Times New Roman" w:hAnsi="Times New Roman"/>
                <w:iCs/>
              </w:rPr>
              <w:t>1.2</w:t>
            </w:r>
          </w:p>
        </w:tc>
      </w:tr>
      <w:tr w:rsidR="00D01968" w:rsidRPr="00D01968" w14:paraId="74F3BB1A" w14:textId="77777777" w:rsidTr="009E1F08">
        <w:trPr>
          <w:trHeight w:val="283"/>
        </w:trPr>
        <w:tc>
          <w:tcPr>
            <w:tcW w:w="0" w:type="auto"/>
            <w:vAlign w:val="center"/>
          </w:tcPr>
          <w:p w14:paraId="0E0DB87F" w14:textId="77777777" w:rsidR="00D01968" w:rsidRPr="00D01968" w:rsidRDefault="00D01968" w:rsidP="007750EA">
            <w:pPr>
              <w:jc w:val="center"/>
              <w:rPr>
                <w:rFonts w:ascii="Times New Roman" w:hAnsi="Times New Roman"/>
                <w:iCs/>
              </w:rPr>
            </w:pPr>
            <w:r w:rsidRPr="00D01968">
              <w:rPr>
                <w:rFonts w:ascii="Times New Roman" w:hAnsi="Times New Roman"/>
                <w:iCs/>
              </w:rPr>
              <w:t>3</w:t>
            </w:r>
          </w:p>
        </w:tc>
        <w:tc>
          <w:tcPr>
            <w:tcW w:w="0" w:type="auto"/>
            <w:vAlign w:val="center"/>
          </w:tcPr>
          <w:p w14:paraId="3F6B89CC" w14:textId="77777777" w:rsidR="00D01968" w:rsidRPr="00D01968" w:rsidRDefault="00D01968" w:rsidP="007750EA">
            <w:pPr>
              <w:jc w:val="center"/>
              <w:rPr>
                <w:rFonts w:ascii="Times New Roman" w:hAnsi="Times New Roman"/>
                <w:iCs/>
              </w:rPr>
            </w:pPr>
            <w:r w:rsidRPr="00D01968">
              <w:rPr>
                <w:rFonts w:ascii="Times New Roman" w:hAnsi="Times New Roman"/>
                <w:iCs/>
              </w:rPr>
              <w:t>6.0</w:t>
            </w:r>
          </w:p>
        </w:tc>
        <w:tc>
          <w:tcPr>
            <w:tcW w:w="0" w:type="auto"/>
            <w:vAlign w:val="center"/>
          </w:tcPr>
          <w:p w14:paraId="1B9230A7" w14:textId="77777777" w:rsidR="00D01968" w:rsidRPr="00D01968" w:rsidRDefault="00D01968" w:rsidP="007750EA">
            <w:pPr>
              <w:jc w:val="center"/>
              <w:rPr>
                <w:rFonts w:ascii="Times New Roman" w:hAnsi="Times New Roman"/>
                <w:iCs/>
              </w:rPr>
            </w:pPr>
            <w:r w:rsidRPr="00D01968">
              <w:rPr>
                <w:rFonts w:ascii="Times New Roman" w:hAnsi="Times New Roman"/>
                <w:iCs/>
              </w:rPr>
              <w:t>8.5</w:t>
            </w:r>
          </w:p>
        </w:tc>
        <w:tc>
          <w:tcPr>
            <w:tcW w:w="0" w:type="auto"/>
            <w:vAlign w:val="center"/>
          </w:tcPr>
          <w:p w14:paraId="52612C77" w14:textId="77777777" w:rsidR="00D01968" w:rsidRPr="00D01968" w:rsidRDefault="00D01968" w:rsidP="007750EA">
            <w:pPr>
              <w:jc w:val="center"/>
              <w:rPr>
                <w:rFonts w:ascii="Times New Roman" w:hAnsi="Times New Roman"/>
                <w:iCs/>
              </w:rPr>
            </w:pPr>
            <w:r w:rsidRPr="00D01968">
              <w:rPr>
                <w:rFonts w:ascii="Times New Roman" w:hAnsi="Times New Roman"/>
                <w:iCs/>
              </w:rPr>
              <w:t>1.5</w:t>
            </w:r>
          </w:p>
        </w:tc>
      </w:tr>
    </w:tbl>
    <w:p w14:paraId="6B0FD744" w14:textId="77777777" w:rsidR="007750EA" w:rsidRDefault="007750EA" w:rsidP="007750EA">
      <w:pPr>
        <w:pStyle w:val="Paragrafoelenco"/>
        <w:suppressAutoHyphens/>
        <w:spacing w:line="240" w:lineRule="auto"/>
        <w:ind w:left="360"/>
        <w:jc w:val="center"/>
        <w:rPr>
          <w:rFonts w:ascii="Times New Roman" w:hAnsi="Times New Roman"/>
          <w:iCs/>
          <w:noProof/>
          <w:sz w:val="18"/>
          <w:szCs w:val="16"/>
        </w:rPr>
      </w:pPr>
    </w:p>
    <w:p w14:paraId="08E7AEA8" w14:textId="77777777" w:rsidR="007750EA" w:rsidRDefault="007750EA" w:rsidP="007750EA">
      <w:pPr>
        <w:pStyle w:val="Paragrafoelenco"/>
        <w:suppressAutoHyphens/>
        <w:spacing w:line="240" w:lineRule="auto"/>
        <w:ind w:left="360"/>
        <w:jc w:val="center"/>
        <w:rPr>
          <w:rFonts w:ascii="Times New Roman" w:hAnsi="Times New Roman"/>
          <w:iCs/>
          <w:noProof/>
          <w:sz w:val="18"/>
          <w:szCs w:val="16"/>
        </w:rPr>
      </w:pPr>
    </w:p>
    <w:p w14:paraId="736360AE" w14:textId="77777777" w:rsidR="007750EA" w:rsidRDefault="007750EA" w:rsidP="007750EA">
      <w:pPr>
        <w:pStyle w:val="Paragrafoelenco"/>
        <w:suppressAutoHyphens/>
        <w:spacing w:line="240" w:lineRule="auto"/>
        <w:ind w:left="360"/>
        <w:jc w:val="center"/>
        <w:rPr>
          <w:rFonts w:ascii="Times New Roman" w:hAnsi="Times New Roman"/>
          <w:iCs/>
          <w:noProof/>
          <w:sz w:val="18"/>
          <w:szCs w:val="16"/>
        </w:rPr>
      </w:pPr>
    </w:p>
    <w:p w14:paraId="5929FC28" w14:textId="77777777" w:rsidR="007750EA" w:rsidRDefault="007750EA" w:rsidP="007750EA">
      <w:pPr>
        <w:pStyle w:val="Paragrafoelenco"/>
        <w:suppressAutoHyphens/>
        <w:spacing w:line="240" w:lineRule="auto"/>
        <w:ind w:left="360"/>
        <w:jc w:val="center"/>
        <w:rPr>
          <w:rFonts w:ascii="Times New Roman" w:hAnsi="Times New Roman"/>
          <w:iCs/>
          <w:noProof/>
          <w:sz w:val="18"/>
          <w:szCs w:val="16"/>
        </w:rPr>
      </w:pPr>
    </w:p>
    <w:p w14:paraId="4436E8F7" w14:textId="77777777" w:rsidR="007750EA" w:rsidRDefault="007750EA" w:rsidP="007750EA">
      <w:pPr>
        <w:pStyle w:val="Paragrafoelenco"/>
        <w:suppressAutoHyphens/>
        <w:spacing w:line="240" w:lineRule="auto"/>
        <w:ind w:left="360"/>
        <w:jc w:val="center"/>
        <w:rPr>
          <w:rFonts w:ascii="Times New Roman" w:hAnsi="Times New Roman"/>
          <w:iCs/>
          <w:noProof/>
          <w:sz w:val="18"/>
          <w:szCs w:val="16"/>
        </w:rPr>
      </w:pPr>
    </w:p>
    <w:p w14:paraId="691BE3F8" w14:textId="3ABB72FB" w:rsidR="007750EA" w:rsidRPr="00B83A3D" w:rsidRDefault="007750EA" w:rsidP="00DD3ADF">
      <w:pPr>
        <w:pStyle w:val="Paragrafoelenco"/>
        <w:suppressAutoHyphens/>
        <w:ind w:left="357"/>
        <w:jc w:val="center"/>
        <w:rPr>
          <w:rFonts w:ascii="Times New Roman" w:hAnsi="Times New Roman"/>
          <w:iCs/>
          <w:sz w:val="18"/>
          <w:szCs w:val="16"/>
        </w:rPr>
      </w:pPr>
      <w:r>
        <w:rPr>
          <w:rFonts w:ascii="Times New Roman" w:hAnsi="Times New Roman"/>
          <w:iCs/>
          <w:noProof/>
          <w:sz w:val="18"/>
          <w:szCs w:val="16"/>
        </w:rPr>
        <w:lastRenderedPageBreak/>
        <w:br w:type="textWrapping" w:clear="all"/>
      </w:r>
      <w:r w:rsidRPr="00B83A3D">
        <w:rPr>
          <w:rFonts w:ascii="Times New Roman" w:hAnsi="Times New Roman"/>
          <w:iCs/>
          <w:noProof/>
          <w:sz w:val="18"/>
          <w:szCs w:val="16"/>
        </w:rPr>
        <w:drawing>
          <wp:inline distT="0" distB="0" distL="0" distR="0" wp14:anchorId="6694459B" wp14:editId="613F2FF0">
            <wp:extent cx="4884580" cy="1557706"/>
            <wp:effectExtent l="0" t="0" r="0" b="0"/>
            <wp:docPr id="397" name="Immagine 39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magine 397" descr="Immagine che contiene testo&#10;&#10;Descrizione generata automaticamente"/>
                    <pic:cNvPicPr>
                      <a:picLocks noChangeAspect="1" noChangeArrowheads="1"/>
                    </pic:cNvPicPr>
                  </pic:nvPicPr>
                  <pic:blipFill rotWithShape="1">
                    <a:blip r:embed="rId14" cstate="print">
                      <a:grayscl/>
                      <a:extLst>
                        <a:ext uri="{28A0092B-C50C-407E-A947-70E740481C1C}">
                          <a14:useLocalDpi xmlns:a14="http://schemas.microsoft.com/office/drawing/2010/main" val="0"/>
                        </a:ext>
                      </a:extLst>
                    </a:blip>
                    <a:srcRect t="12370" b="30369"/>
                    <a:stretch/>
                  </pic:blipFill>
                  <pic:spPr bwMode="auto">
                    <a:xfrm>
                      <a:off x="0" y="0"/>
                      <a:ext cx="4884580" cy="1557706"/>
                    </a:xfrm>
                    <a:prstGeom prst="rect">
                      <a:avLst/>
                    </a:prstGeom>
                    <a:noFill/>
                    <a:ln>
                      <a:noFill/>
                    </a:ln>
                    <a:extLst>
                      <a:ext uri="{53640926-AAD7-44D8-BBD7-CCE9431645EC}">
                        <a14:shadowObscured xmlns:a14="http://schemas.microsoft.com/office/drawing/2010/main"/>
                      </a:ext>
                    </a:extLst>
                  </pic:spPr>
                </pic:pic>
              </a:graphicData>
            </a:graphic>
          </wp:inline>
        </w:drawing>
      </w:r>
    </w:p>
    <w:p w14:paraId="6E0590E3" w14:textId="1F7ACECB" w:rsidR="007750EA" w:rsidRPr="00301246" w:rsidRDefault="007750EA" w:rsidP="007750EA">
      <w:pPr>
        <w:pStyle w:val="Didascalia"/>
        <w:jc w:val="center"/>
        <w:rPr>
          <w:rFonts w:ascii="Times New Roman" w:hAnsi="Times New Roman"/>
          <w:i w:val="0"/>
          <w:color w:val="auto"/>
          <w:szCs w:val="16"/>
        </w:rPr>
      </w:pPr>
      <w:r w:rsidRPr="00D64569">
        <w:rPr>
          <w:rFonts w:ascii="Times New Roman" w:hAnsi="Times New Roman"/>
          <w:b/>
          <w:bCs/>
          <w:i w:val="0"/>
          <w:color w:val="auto"/>
          <w:szCs w:val="16"/>
        </w:rPr>
        <w:t xml:space="preserve">Figure </w:t>
      </w:r>
      <w:r>
        <w:rPr>
          <w:rFonts w:ascii="Times New Roman" w:hAnsi="Times New Roman"/>
          <w:b/>
          <w:bCs/>
          <w:i w:val="0"/>
          <w:color w:val="auto"/>
          <w:szCs w:val="16"/>
        </w:rPr>
        <w:t>4</w:t>
      </w:r>
      <w:r>
        <w:rPr>
          <w:rFonts w:ascii="Times New Roman" w:hAnsi="Times New Roman"/>
          <w:i w:val="0"/>
          <w:color w:val="auto"/>
          <w:szCs w:val="16"/>
        </w:rPr>
        <w:t>.</w:t>
      </w:r>
      <w:r w:rsidRPr="00B83A3D">
        <w:rPr>
          <w:rFonts w:ascii="Times New Roman" w:hAnsi="Times New Roman"/>
          <w:i w:val="0"/>
          <w:color w:val="auto"/>
          <w:szCs w:val="16"/>
        </w:rPr>
        <w:t xml:space="preserve"> Ammonia storage tanks arrangement</w:t>
      </w:r>
    </w:p>
    <w:p w14:paraId="1629C5B2" w14:textId="3C330A59" w:rsidR="001A4D0C" w:rsidRDefault="0040115B" w:rsidP="009C5AEA">
      <w:pPr>
        <w:pStyle w:val="Paragrafoelenco"/>
        <w:numPr>
          <w:ilvl w:val="1"/>
          <w:numId w:val="5"/>
        </w:numPr>
        <w:snapToGrid w:val="0"/>
        <w:spacing w:before="240" w:after="160" w:line="300" w:lineRule="auto"/>
        <w:ind w:left="788" w:hanging="431"/>
        <w:contextualSpacing w:val="0"/>
        <w:rPr>
          <w:rFonts w:ascii="Times New Roman" w:eastAsia="MS PGothic" w:hAnsi="Times New Roman"/>
          <w:lang w:val="en-US"/>
        </w:rPr>
      </w:pPr>
      <w:r>
        <w:rPr>
          <w:rFonts w:ascii="Times New Roman" w:eastAsia="MS PGothic" w:hAnsi="Times New Roman"/>
          <w:b/>
          <w:bCs/>
          <w:lang w:val="en-US"/>
        </w:rPr>
        <w:t>Autonomy</w:t>
      </w:r>
    </w:p>
    <w:p w14:paraId="347340D3" w14:textId="448AA682" w:rsidR="00CA41EE" w:rsidRDefault="00CA41EE" w:rsidP="00A3741A">
      <w:pPr>
        <w:keepNext/>
        <w:suppressAutoHyphens/>
        <w:spacing w:after="0"/>
        <w:rPr>
          <w:rFonts w:ascii="Times New Roman" w:eastAsia="MS PGothic" w:hAnsi="Times New Roman"/>
          <w:lang w:val="en-US"/>
        </w:rPr>
      </w:pPr>
      <w:r w:rsidRPr="00CA41EE">
        <w:rPr>
          <w:rFonts w:ascii="Times New Roman" w:eastAsia="MS PGothic" w:hAnsi="Times New Roman"/>
          <w:lang w:val="en-US"/>
        </w:rPr>
        <w:t>The available volume for the storage tanks limited the amount of ammonia stored onboard</w:t>
      </w:r>
      <w:r>
        <w:rPr>
          <w:rFonts w:ascii="Times New Roman" w:eastAsia="MS PGothic" w:hAnsi="Times New Roman"/>
          <w:lang w:val="en-US"/>
        </w:rPr>
        <w:t>, this</w:t>
      </w:r>
      <w:r w:rsidRPr="00CA41EE">
        <w:rPr>
          <w:rFonts w:ascii="Times New Roman" w:eastAsia="MS PGothic" w:hAnsi="Times New Roman"/>
          <w:lang w:val="en-US"/>
        </w:rPr>
        <w:t xml:space="preserve"> affect</w:t>
      </w:r>
      <w:r>
        <w:rPr>
          <w:rFonts w:ascii="Times New Roman" w:eastAsia="MS PGothic" w:hAnsi="Times New Roman"/>
          <w:lang w:val="en-US"/>
        </w:rPr>
        <w:t xml:space="preserve">s </w:t>
      </w:r>
      <w:r w:rsidRPr="00CA41EE">
        <w:rPr>
          <w:rFonts w:ascii="Times New Roman" w:eastAsia="MS PGothic" w:hAnsi="Times New Roman"/>
          <w:lang w:val="en-US"/>
        </w:rPr>
        <w:t>considerably the autonomy of the ship depending on the</w:t>
      </w:r>
      <w:r>
        <w:rPr>
          <w:rFonts w:ascii="Times New Roman" w:eastAsia="MS PGothic" w:hAnsi="Times New Roman"/>
          <w:lang w:val="en-US"/>
        </w:rPr>
        <w:t xml:space="preserve"> FC and</w:t>
      </w:r>
      <w:r w:rsidRPr="00CA41EE">
        <w:rPr>
          <w:rFonts w:ascii="Times New Roman" w:eastAsia="MS PGothic" w:hAnsi="Times New Roman"/>
          <w:lang w:val="en-US"/>
        </w:rPr>
        <w:t xml:space="preserve"> operating mode</w:t>
      </w:r>
      <w:r>
        <w:rPr>
          <w:rFonts w:ascii="Times New Roman" w:eastAsia="MS PGothic" w:hAnsi="Times New Roman"/>
          <w:lang w:val="en-US"/>
        </w:rPr>
        <w:t>.</w:t>
      </w:r>
    </w:p>
    <w:p w14:paraId="65D295B6" w14:textId="090777CA" w:rsidR="004347DE" w:rsidRDefault="004347DE" w:rsidP="00A3741A">
      <w:pPr>
        <w:keepNext/>
        <w:suppressAutoHyphens/>
        <w:spacing w:after="0"/>
        <w:rPr>
          <w:rFonts w:ascii="Times New Roman" w:eastAsia="MS PGothic" w:hAnsi="Times New Roman"/>
          <w:lang w:val="en-US"/>
        </w:rPr>
      </w:pPr>
      <w:r>
        <w:rPr>
          <w:rFonts w:ascii="Times New Roman" w:eastAsia="MS PGothic" w:hAnsi="Times New Roman"/>
          <w:lang w:val="en-US"/>
        </w:rPr>
        <w:t xml:space="preserve">In the case that the FC system supplies only the hotel loads </w:t>
      </w:r>
      <w:r w:rsidRPr="004347DE">
        <w:rPr>
          <w:rFonts w:ascii="Times New Roman" w:eastAsia="MS PGothic" w:hAnsi="Times New Roman"/>
          <w:lang w:val="en-US"/>
        </w:rPr>
        <w:t>(kitchen, lightnings, air conditioning, rooms and deck)</w:t>
      </w:r>
      <w:r>
        <w:rPr>
          <w:rFonts w:ascii="Times New Roman" w:eastAsia="MS PGothic" w:hAnsi="Times New Roman"/>
          <w:lang w:val="en-US"/>
        </w:rPr>
        <w:t xml:space="preserve">, the autonomy is 6 </w:t>
      </w:r>
      <w:r w:rsidR="00A50D11">
        <w:rPr>
          <w:rFonts w:ascii="Times New Roman" w:eastAsia="MS PGothic" w:hAnsi="Times New Roman"/>
          <w:lang w:val="en-US"/>
        </w:rPr>
        <w:t>days</w:t>
      </w:r>
      <w:r>
        <w:rPr>
          <w:rFonts w:ascii="Times New Roman" w:eastAsia="MS PGothic" w:hAnsi="Times New Roman"/>
          <w:lang w:val="en-US"/>
        </w:rPr>
        <w:t xml:space="preserve"> for PEMFC, 13 days for SOFC and 14 days for AFC. </w:t>
      </w:r>
      <w:r w:rsidR="006B0E7E">
        <w:rPr>
          <w:rFonts w:ascii="Times New Roman" w:eastAsia="MS PGothic" w:hAnsi="Times New Roman"/>
          <w:lang w:val="en-US"/>
        </w:rPr>
        <w:t>It must be noted that t</w:t>
      </w:r>
      <w:r>
        <w:rPr>
          <w:rFonts w:ascii="Times New Roman" w:eastAsia="MS PGothic" w:hAnsi="Times New Roman"/>
          <w:lang w:val="en-US"/>
        </w:rPr>
        <w:t>he lowe</w:t>
      </w:r>
      <w:r w:rsidR="006B0E7E">
        <w:rPr>
          <w:rFonts w:ascii="Times New Roman" w:eastAsia="MS PGothic" w:hAnsi="Times New Roman"/>
          <w:lang w:val="en-US"/>
        </w:rPr>
        <w:t xml:space="preserve">st </w:t>
      </w:r>
      <w:r>
        <w:rPr>
          <w:rFonts w:ascii="Times New Roman" w:eastAsia="MS PGothic" w:hAnsi="Times New Roman"/>
          <w:lang w:val="en-US"/>
        </w:rPr>
        <w:t>value for the P</w:t>
      </w:r>
      <w:r w:rsidR="006B0E7E">
        <w:rPr>
          <w:rFonts w:ascii="Times New Roman" w:eastAsia="MS PGothic" w:hAnsi="Times New Roman"/>
          <w:lang w:val="en-US"/>
        </w:rPr>
        <w:t>EMFC is due to the additional power required by AP.</w:t>
      </w:r>
    </w:p>
    <w:p w14:paraId="0606C287" w14:textId="15E22C41" w:rsidR="004347DE" w:rsidRDefault="00F26E2F" w:rsidP="00A3741A">
      <w:pPr>
        <w:keepNext/>
        <w:suppressAutoHyphens/>
        <w:spacing w:after="0"/>
        <w:rPr>
          <w:rFonts w:ascii="Times New Roman" w:eastAsia="MS PGothic" w:hAnsi="Times New Roman"/>
          <w:lang w:val="en-US"/>
        </w:rPr>
      </w:pPr>
      <w:r w:rsidRPr="00F26E2F">
        <w:rPr>
          <w:rFonts w:ascii="Times New Roman" w:eastAsia="MS PGothic" w:hAnsi="Times New Roman"/>
          <w:lang w:val="en-US"/>
        </w:rPr>
        <w:t>The zero-emission condition can be</w:t>
      </w:r>
      <w:r>
        <w:rPr>
          <w:rFonts w:ascii="Times New Roman" w:eastAsia="MS PGothic" w:hAnsi="Times New Roman"/>
          <w:lang w:val="en-US"/>
        </w:rPr>
        <w:t xml:space="preserve"> achieved by FCs powering both</w:t>
      </w:r>
      <w:r w:rsidRPr="007D3208">
        <w:rPr>
          <w:rFonts w:ascii="Times New Roman" w:eastAsia="MS PGothic" w:hAnsi="Times New Roman"/>
          <w:lang w:val="en-US"/>
        </w:rPr>
        <w:t xml:space="preserve"> the propulsion</w:t>
      </w:r>
      <w:r>
        <w:rPr>
          <w:rFonts w:ascii="Times New Roman" w:eastAsia="MS PGothic" w:hAnsi="Times New Roman"/>
          <w:lang w:val="en-US"/>
        </w:rPr>
        <w:t xml:space="preserve"> and the hotel loads during the navigation an</w:t>
      </w:r>
      <w:r w:rsidR="005010B8">
        <w:rPr>
          <w:rFonts w:ascii="Times New Roman" w:eastAsia="MS PGothic" w:hAnsi="Times New Roman"/>
          <w:lang w:val="en-US"/>
        </w:rPr>
        <w:t>d</w:t>
      </w:r>
      <w:r>
        <w:rPr>
          <w:rFonts w:ascii="Times New Roman" w:eastAsia="MS PGothic" w:hAnsi="Times New Roman"/>
          <w:lang w:val="en-US"/>
        </w:rPr>
        <w:t xml:space="preserve"> mooring in ports</w:t>
      </w:r>
      <w:r w:rsidR="005010B8">
        <w:rPr>
          <w:rFonts w:ascii="Times New Roman" w:eastAsia="MS PGothic" w:hAnsi="Times New Roman"/>
          <w:lang w:val="en-US"/>
        </w:rPr>
        <w:t>. In this case,</w:t>
      </w:r>
      <w:r w:rsidR="006B0E7E">
        <w:rPr>
          <w:rFonts w:ascii="Times New Roman" w:eastAsia="MS PGothic" w:hAnsi="Times New Roman"/>
          <w:lang w:val="en-US"/>
        </w:rPr>
        <w:t xml:space="preserve"> the autonomy is approximatively the same for SOFC and AFC, while for the PEMFC is only 3 days.</w:t>
      </w:r>
      <w:r w:rsidR="007D3208">
        <w:rPr>
          <w:rFonts w:ascii="Times New Roman" w:eastAsia="MS PGothic" w:hAnsi="Times New Roman"/>
          <w:lang w:val="en-US"/>
        </w:rPr>
        <w:t xml:space="preserve"> </w:t>
      </w:r>
    </w:p>
    <w:p w14:paraId="20C86573" w14:textId="31F978F1" w:rsidR="005010B8" w:rsidRDefault="005010B8" w:rsidP="00A3741A">
      <w:pPr>
        <w:keepNext/>
        <w:suppressAutoHyphens/>
        <w:spacing w:after="0"/>
        <w:rPr>
          <w:rFonts w:ascii="Times New Roman" w:eastAsia="MS PGothic" w:hAnsi="Times New Roman"/>
          <w:lang w:val="en-US"/>
        </w:rPr>
      </w:pPr>
      <w:r>
        <w:rPr>
          <w:rFonts w:ascii="Times New Roman" w:eastAsia="MS PGothic" w:hAnsi="Times New Roman"/>
          <w:lang w:val="en-US"/>
        </w:rPr>
        <w:t xml:space="preserve">If it is assumed that the zero-emission condition is limited to 250 nm at 8 </w:t>
      </w:r>
      <w:proofErr w:type="spellStart"/>
      <w:r>
        <w:rPr>
          <w:rFonts w:ascii="Times New Roman" w:eastAsia="MS PGothic" w:hAnsi="Times New Roman"/>
          <w:lang w:val="en-US"/>
        </w:rPr>
        <w:t>kn</w:t>
      </w:r>
      <w:proofErr w:type="spellEnd"/>
      <w:r w:rsidRPr="00D444D9">
        <w:rPr>
          <w:rFonts w:ascii="Times New Roman" w:eastAsia="MS PGothic" w:hAnsi="Times New Roman"/>
          <w:lang w:val="en-US"/>
        </w:rPr>
        <w:t xml:space="preserve">, </w:t>
      </w:r>
      <w:r>
        <w:rPr>
          <w:rFonts w:ascii="Times New Roman" w:eastAsia="MS PGothic" w:hAnsi="Times New Roman"/>
          <w:lang w:val="en-US"/>
        </w:rPr>
        <w:t>allowing</w:t>
      </w:r>
      <w:r w:rsidRPr="00D444D9">
        <w:rPr>
          <w:rFonts w:ascii="Times New Roman" w:eastAsia="MS PGothic" w:hAnsi="Times New Roman"/>
          <w:lang w:val="en-US"/>
        </w:rPr>
        <w:t xml:space="preserve"> entr</w:t>
      </w:r>
      <w:r>
        <w:rPr>
          <w:rFonts w:ascii="Times New Roman" w:eastAsia="MS PGothic" w:hAnsi="Times New Roman"/>
          <w:lang w:val="en-US"/>
        </w:rPr>
        <w:t>y</w:t>
      </w:r>
      <w:r w:rsidRPr="00D444D9">
        <w:rPr>
          <w:rFonts w:ascii="Times New Roman" w:eastAsia="MS PGothic" w:hAnsi="Times New Roman"/>
          <w:lang w:val="en-US"/>
        </w:rPr>
        <w:t xml:space="preserve"> and exit </w:t>
      </w:r>
      <w:r>
        <w:rPr>
          <w:rFonts w:ascii="Times New Roman" w:eastAsia="MS PGothic" w:hAnsi="Times New Roman"/>
          <w:lang w:val="en-US"/>
        </w:rPr>
        <w:t>in</w:t>
      </w:r>
      <w:r w:rsidRPr="00D444D9">
        <w:rPr>
          <w:rFonts w:ascii="Times New Roman" w:eastAsia="MS PGothic" w:hAnsi="Times New Roman"/>
          <w:lang w:val="en-US"/>
        </w:rPr>
        <w:t xml:space="preserve"> ECA areas</w:t>
      </w:r>
      <w:r>
        <w:rPr>
          <w:rFonts w:ascii="Times New Roman" w:eastAsia="MS PGothic" w:hAnsi="Times New Roman"/>
          <w:lang w:val="en-US"/>
        </w:rPr>
        <w:t xml:space="preserve"> and anchoring in ports</w:t>
      </w:r>
      <w:r w:rsidRPr="00D444D9">
        <w:rPr>
          <w:rFonts w:ascii="Times New Roman" w:eastAsia="MS PGothic" w:hAnsi="Times New Roman"/>
          <w:lang w:val="en-US"/>
        </w:rPr>
        <w:t>,</w:t>
      </w:r>
      <w:r>
        <w:rPr>
          <w:rFonts w:ascii="Times New Roman" w:eastAsia="MS PGothic" w:hAnsi="Times New Roman"/>
          <w:lang w:val="en-US"/>
        </w:rPr>
        <w:t xml:space="preserve"> the autonomy is 4 days for PEMFC, 11 days for SOFC and 12 days for AFC.</w:t>
      </w:r>
    </w:p>
    <w:p w14:paraId="0D7929C2" w14:textId="15C72C55" w:rsidR="00F26E2F" w:rsidRPr="00F26E2F" w:rsidRDefault="00024336" w:rsidP="00390A60">
      <w:pPr>
        <w:keepNext/>
        <w:suppressAutoHyphens/>
        <w:rPr>
          <w:rFonts w:ascii="Times New Roman" w:eastAsia="MS PGothic" w:hAnsi="Times New Roman"/>
          <w:lang w:val="en-US"/>
        </w:rPr>
      </w:pPr>
      <w:r>
        <w:rPr>
          <w:rFonts w:ascii="Times New Roman" w:eastAsia="MS PGothic" w:hAnsi="Times New Roman"/>
          <w:lang w:val="en-US"/>
        </w:rPr>
        <w:t>The autonom</w:t>
      </w:r>
      <w:r w:rsidR="00390A60">
        <w:rPr>
          <w:rFonts w:ascii="Times New Roman" w:eastAsia="MS PGothic" w:hAnsi="Times New Roman"/>
          <w:lang w:val="en-US"/>
        </w:rPr>
        <w:t xml:space="preserve">ies </w:t>
      </w:r>
      <w:r w:rsidR="00F639FB" w:rsidRPr="00F639FB">
        <w:rPr>
          <w:rFonts w:ascii="Times New Roman" w:eastAsia="MS PGothic" w:hAnsi="Times New Roman"/>
          <w:lang w:val="en-US"/>
        </w:rPr>
        <w:t>are summarized in</w:t>
      </w:r>
      <w:r w:rsidR="00F639FB">
        <w:rPr>
          <w:rFonts w:ascii="Times New Roman" w:eastAsia="MS PGothic" w:hAnsi="Times New Roman"/>
          <w:lang w:val="en-US"/>
        </w:rPr>
        <w:t xml:space="preserve"> Table </w:t>
      </w:r>
      <w:r w:rsidR="00983F9A">
        <w:rPr>
          <w:rFonts w:ascii="Times New Roman" w:eastAsia="MS PGothic" w:hAnsi="Times New Roman"/>
          <w:lang w:val="en-US"/>
        </w:rPr>
        <w:t>4</w:t>
      </w:r>
      <w:r w:rsidR="005D59B8">
        <w:rPr>
          <w:rFonts w:ascii="Times New Roman" w:eastAsia="MS PGothic" w:hAnsi="Times New Roman"/>
          <w:lang w:val="en-US"/>
        </w:rPr>
        <w:t>.</w:t>
      </w:r>
    </w:p>
    <w:p w14:paraId="1FB6E062" w14:textId="358EC38E" w:rsidR="00A9429C" w:rsidRPr="002B3B97" w:rsidRDefault="00A9429C" w:rsidP="00DD3ADF">
      <w:pPr>
        <w:pStyle w:val="Didascalia"/>
        <w:keepNext/>
        <w:spacing w:after="120" w:line="259" w:lineRule="auto"/>
        <w:jc w:val="center"/>
        <w:rPr>
          <w:rFonts w:ascii="Times New Roman" w:hAnsi="Times New Roman"/>
          <w:b/>
          <w:bCs/>
          <w:i w:val="0"/>
          <w:color w:val="auto"/>
          <w:szCs w:val="16"/>
        </w:rPr>
      </w:pPr>
      <w:r w:rsidRPr="002B3B97">
        <w:rPr>
          <w:rFonts w:ascii="Times New Roman" w:hAnsi="Times New Roman"/>
          <w:b/>
          <w:bCs/>
          <w:i w:val="0"/>
          <w:color w:val="auto"/>
          <w:szCs w:val="16"/>
        </w:rPr>
        <w:t xml:space="preserve">Table </w:t>
      </w:r>
      <w:r w:rsidR="00983F9A" w:rsidRPr="002B3B97">
        <w:rPr>
          <w:rFonts w:ascii="Times New Roman" w:hAnsi="Times New Roman"/>
          <w:b/>
          <w:bCs/>
          <w:i w:val="0"/>
          <w:color w:val="auto"/>
          <w:szCs w:val="16"/>
        </w:rPr>
        <w:t>4</w:t>
      </w:r>
      <w:r w:rsidR="002B3B97">
        <w:rPr>
          <w:rFonts w:ascii="Times New Roman" w:hAnsi="Times New Roman"/>
          <w:b/>
          <w:bCs/>
          <w:i w:val="0"/>
          <w:color w:val="auto"/>
          <w:szCs w:val="16"/>
        </w:rPr>
        <w:t>.</w:t>
      </w:r>
      <w:r w:rsidR="00390A60">
        <w:rPr>
          <w:rFonts w:ascii="Times New Roman" w:hAnsi="Times New Roman"/>
          <w:b/>
          <w:bCs/>
          <w:i w:val="0"/>
          <w:color w:val="auto"/>
          <w:szCs w:val="16"/>
        </w:rPr>
        <w:t xml:space="preserve"> </w:t>
      </w:r>
      <w:r w:rsidR="00390A60" w:rsidRPr="00390A60">
        <w:rPr>
          <w:rFonts w:ascii="Times New Roman" w:hAnsi="Times New Roman"/>
          <w:i w:val="0"/>
          <w:color w:val="auto"/>
          <w:szCs w:val="16"/>
        </w:rPr>
        <w:t>Au</w:t>
      </w:r>
      <w:r w:rsidR="00390A60">
        <w:rPr>
          <w:rFonts w:ascii="Times New Roman" w:hAnsi="Times New Roman"/>
          <w:i w:val="0"/>
          <w:color w:val="auto"/>
          <w:szCs w:val="16"/>
        </w:rPr>
        <w:t>tonomy for different conditions and FCs</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938"/>
        <w:gridCol w:w="767"/>
        <w:gridCol w:w="644"/>
      </w:tblGrid>
      <w:tr w:rsidR="006B2FFB" w14:paraId="2DF7B243" w14:textId="77777777" w:rsidTr="006B2FFB">
        <w:trPr>
          <w:trHeight w:val="283"/>
          <w:jc w:val="center"/>
        </w:trPr>
        <w:tc>
          <w:tcPr>
            <w:tcW w:w="0" w:type="auto"/>
            <w:vMerge w:val="restart"/>
            <w:tcBorders>
              <w:top w:val="single" w:sz="4" w:space="0" w:color="auto"/>
            </w:tcBorders>
            <w:vAlign w:val="center"/>
          </w:tcPr>
          <w:p w14:paraId="2031E09E" w14:textId="1C444C52" w:rsidR="006B2FFB" w:rsidRPr="009E1F08" w:rsidRDefault="006B2FFB" w:rsidP="006F7641">
            <w:pPr>
              <w:keepNext/>
              <w:rPr>
                <w:rFonts w:ascii="Times New Roman" w:hAnsi="Times New Roman"/>
                <w:iCs/>
                <w:szCs w:val="20"/>
              </w:rPr>
            </w:pPr>
            <w:r w:rsidRPr="009E1F08">
              <w:rPr>
                <w:rFonts w:ascii="Times New Roman" w:hAnsi="Times New Roman"/>
                <w:iCs/>
                <w:szCs w:val="20"/>
              </w:rPr>
              <w:t>Condition</w:t>
            </w:r>
          </w:p>
        </w:tc>
        <w:tc>
          <w:tcPr>
            <w:tcW w:w="0" w:type="auto"/>
            <w:gridSpan w:val="3"/>
            <w:tcBorders>
              <w:top w:val="single" w:sz="4" w:space="0" w:color="auto"/>
              <w:bottom w:val="single" w:sz="4" w:space="0" w:color="auto"/>
            </w:tcBorders>
            <w:vAlign w:val="center"/>
          </w:tcPr>
          <w:p w14:paraId="3439F1A2" w14:textId="0A9FA6B2" w:rsidR="006B2FFB" w:rsidRPr="009E1F08" w:rsidRDefault="006B2FFB" w:rsidP="006B2FFB">
            <w:pPr>
              <w:keepNext/>
              <w:jc w:val="center"/>
              <w:rPr>
                <w:rFonts w:ascii="Times New Roman" w:hAnsi="Times New Roman"/>
                <w:iCs/>
                <w:szCs w:val="20"/>
              </w:rPr>
            </w:pPr>
            <w:r w:rsidRPr="009E1F08">
              <w:rPr>
                <w:rFonts w:ascii="Times New Roman" w:hAnsi="Times New Roman"/>
                <w:iCs/>
                <w:szCs w:val="20"/>
              </w:rPr>
              <w:t>Autonomy [</w:t>
            </w:r>
            <w:r w:rsidR="004347DE" w:rsidRPr="009E1F08">
              <w:rPr>
                <w:rFonts w:ascii="Times New Roman" w:hAnsi="Times New Roman"/>
                <w:iCs/>
                <w:szCs w:val="20"/>
              </w:rPr>
              <w:t>days</w:t>
            </w:r>
            <w:r w:rsidRPr="009E1F08">
              <w:rPr>
                <w:rFonts w:ascii="Times New Roman" w:hAnsi="Times New Roman"/>
                <w:iCs/>
                <w:szCs w:val="20"/>
              </w:rPr>
              <w:t>]</w:t>
            </w:r>
          </w:p>
        </w:tc>
      </w:tr>
      <w:tr w:rsidR="006B2FFB" w14:paraId="24D11C7A" w14:textId="77777777" w:rsidTr="006B2FFB">
        <w:trPr>
          <w:trHeight w:val="283"/>
          <w:jc w:val="center"/>
        </w:trPr>
        <w:tc>
          <w:tcPr>
            <w:tcW w:w="0" w:type="auto"/>
            <w:vMerge/>
            <w:tcBorders>
              <w:bottom w:val="single" w:sz="4" w:space="0" w:color="auto"/>
            </w:tcBorders>
            <w:vAlign w:val="center"/>
          </w:tcPr>
          <w:p w14:paraId="7608614D" w14:textId="1B5DD52E" w:rsidR="006B2FFB" w:rsidRPr="009E1F08" w:rsidRDefault="006B2FFB" w:rsidP="006F7641">
            <w:pPr>
              <w:keepNext/>
              <w:rPr>
                <w:rFonts w:ascii="Times New Roman" w:hAnsi="Times New Roman"/>
                <w:iCs/>
                <w:szCs w:val="20"/>
              </w:rPr>
            </w:pPr>
          </w:p>
        </w:tc>
        <w:tc>
          <w:tcPr>
            <w:tcW w:w="0" w:type="auto"/>
            <w:tcBorders>
              <w:top w:val="single" w:sz="4" w:space="0" w:color="auto"/>
              <w:bottom w:val="single" w:sz="4" w:space="0" w:color="auto"/>
            </w:tcBorders>
            <w:vAlign w:val="center"/>
          </w:tcPr>
          <w:p w14:paraId="3A89B15F" w14:textId="769E3F46" w:rsidR="006B2FFB" w:rsidRPr="009E1F08" w:rsidRDefault="006B2FFB" w:rsidP="006B2FFB">
            <w:pPr>
              <w:keepNext/>
              <w:jc w:val="center"/>
              <w:rPr>
                <w:rFonts w:ascii="Times New Roman" w:hAnsi="Times New Roman"/>
                <w:iCs/>
                <w:szCs w:val="20"/>
              </w:rPr>
            </w:pPr>
            <w:r w:rsidRPr="009E1F08">
              <w:rPr>
                <w:rFonts w:ascii="Times New Roman" w:hAnsi="Times New Roman"/>
                <w:iCs/>
                <w:szCs w:val="20"/>
              </w:rPr>
              <w:t>PEMFC</w:t>
            </w:r>
          </w:p>
        </w:tc>
        <w:tc>
          <w:tcPr>
            <w:tcW w:w="0" w:type="auto"/>
            <w:tcBorders>
              <w:top w:val="single" w:sz="4" w:space="0" w:color="auto"/>
              <w:bottom w:val="single" w:sz="4" w:space="0" w:color="auto"/>
            </w:tcBorders>
            <w:vAlign w:val="center"/>
          </w:tcPr>
          <w:p w14:paraId="4F6660A7" w14:textId="298E6C98" w:rsidR="006B2FFB" w:rsidRPr="009E1F08" w:rsidRDefault="006B2FFB" w:rsidP="006B2FFB">
            <w:pPr>
              <w:keepNext/>
              <w:jc w:val="center"/>
              <w:rPr>
                <w:rFonts w:ascii="Times New Roman" w:hAnsi="Times New Roman"/>
                <w:iCs/>
                <w:szCs w:val="20"/>
              </w:rPr>
            </w:pPr>
            <w:r w:rsidRPr="009E1F08">
              <w:rPr>
                <w:rFonts w:ascii="Times New Roman" w:hAnsi="Times New Roman"/>
                <w:iCs/>
                <w:szCs w:val="20"/>
              </w:rPr>
              <w:t>SOFC</w:t>
            </w:r>
          </w:p>
        </w:tc>
        <w:tc>
          <w:tcPr>
            <w:tcW w:w="0" w:type="auto"/>
            <w:tcBorders>
              <w:top w:val="single" w:sz="4" w:space="0" w:color="auto"/>
              <w:bottom w:val="single" w:sz="4" w:space="0" w:color="auto"/>
            </w:tcBorders>
            <w:vAlign w:val="center"/>
          </w:tcPr>
          <w:p w14:paraId="2596CA06" w14:textId="069DA898" w:rsidR="006B2FFB" w:rsidRPr="009E1F08" w:rsidRDefault="006B2FFB" w:rsidP="006B2FFB">
            <w:pPr>
              <w:keepNext/>
              <w:jc w:val="center"/>
              <w:rPr>
                <w:rFonts w:ascii="Times New Roman" w:hAnsi="Times New Roman"/>
                <w:iCs/>
                <w:szCs w:val="20"/>
              </w:rPr>
            </w:pPr>
            <w:r w:rsidRPr="009E1F08">
              <w:rPr>
                <w:rFonts w:ascii="Times New Roman" w:hAnsi="Times New Roman"/>
                <w:iCs/>
                <w:szCs w:val="20"/>
              </w:rPr>
              <w:t>AFC</w:t>
            </w:r>
          </w:p>
        </w:tc>
      </w:tr>
      <w:tr w:rsidR="0044044A" w14:paraId="0679F200" w14:textId="77777777" w:rsidTr="006B2FFB">
        <w:trPr>
          <w:trHeight w:val="283"/>
          <w:jc w:val="center"/>
        </w:trPr>
        <w:tc>
          <w:tcPr>
            <w:tcW w:w="0" w:type="auto"/>
            <w:tcBorders>
              <w:top w:val="single" w:sz="4" w:space="0" w:color="auto"/>
            </w:tcBorders>
            <w:vAlign w:val="center"/>
          </w:tcPr>
          <w:p w14:paraId="192C82EA" w14:textId="38AFBC8F" w:rsidR="0044044A" w:rsidRPr="009E1F08" w:rsidRDefault="000361FB" w:rsidP="006F7641">
            <w:pPr>
              <w:keepNext/>
              <w:rPr>
                <w:rFonts w:ascii="Times New Roman" w:hAnsi="Times New Roman"/>
                <w:iCs/>
                <w:szCs w:val="20"/>
              </w:rPr>
            </w:pPr>
            <w:r w:rsidRPr="009E1F08">
              <w:rPr>
                <w:rFonts w:ascii="Times New Roman" w:hAnsi="Times New Roman"/>
                <w:iCs/>
                <w:szCs w:val="20"/>
              </w:rPr>
              <w:t>Hotel loads</w:t>
            </w:r>
          </w:p>
        </w:tc>
        <w:tc>
          <w:tcPr>
            <w:tcW w:w="0" w:type="auto"/>
            <w:tcBorders>
              <w:top w:val="single" w:sz="4" w:space="0" w:color="auto"/>
            </w:tcBorders>
            <w:vAlign w:val="center"/>
          </w:tcPr>
          <w:p w14:paraId="5BA6FDBC" w14:textId="564C264C" w:rsidR="0044044A" w:rsidRPr="009E1F08" w:rsidRDefault="00EB046C" w:rsidP="006B2FFB">
            <w:pPr>
              <w:keepNext/>
              <w:jc w:val="center"/>
              <w:rPr>
                <w:rFonts w:ascii="Times New Roman" w:hAnsi="Times New Roman"/>
                <w:iCs/>
                <w:szCs w:val="20"/>
              </w:rPr>
            </w:pPr>
            <w:r w:rsidRPr="009E1F08">
              <w:rPr>
                <w:rFonts w:ascii="Times New Roman" w:hAnsi="Times New Roman"/>
                <w:iCs/>
                <w:szCs w:val="20"/>
              </w:rPr>
              <w:t>6</w:t>
            </w:r>
          </w:p>
        </w:tc>
        <w:tc>
          <w:tcPr>
            <w:tcW w:w="0" w:type="auto"/>
            <w:tcBorders>
              <w:top w:val="single" w:sz="4" w:space="0" w:color="auto"/>
            </w:tcBorders>
            <w:vAlign w:val="center"/>
          </w:tcPr>
          <w:p w14:paraId="3060EE03" w14:textId="38154C40" w:rsidR="0044044A" w:rsidRPr="009E1F08" w:rsidRDefault="00186770" w:rsidP="006B2FFB">
            <w:pPr>
              <w:keepNext/>
              <w:jc w:val="center"/>
              <w:rPr>
                <w:rFonts w:ascii="Times New Roman" w:hAnsi="Times New Roman"/>
                <w:iCs/>
                <w:szCs w:val="20"/>
              </w:rPr>
            </w:pPr>
            <w:r w:rsidRPr="009E1F08">
              <w:rPr>
                <w:rFonts w:ascii="Times New Roman" w:hAnsi="Times New Roman"/>
                <w:iCs/>
                <w:szCs w:val="20"/>
              </w:rPr>
              <w:t>13</w:t>
            </w:r>
          </w:p>
        </w:tc>
        <w:tc>
          <w:tcPr>
            <w:tcW w:w="0" w:type="auto"/>
            <w:tcBorders>
              <w:top w:val="single" w:sz="4" w:space="0" w:color="auto"/>
            </w:tcBorders>
            <w:vAlign w:val="center"/>
          </w:tcPr>
          <w:p w14:paraId="1197C554" w14:textId="43A8C481" w:rsidR="0044044A" w:rsidRPr="009E1F08" w:rsidRDefault="00186770" w:rsidP="006B2FFB">
            <w:pPr>
              <w:keepNext/>
              <w:jc w:val="center"/>
              <w:rPr>
                <w:rFonts w:ascii="Times New Roman" w:hAnsi="Times New Roman"/>
                <w:iCs/>
                <w:szCs w:val="20"/>
              </w:rPr>
            </w:pPr>
            <w:r w:rsidRPr="009E1F08">
              <w:rPr>
                <w:rFonts w:ascii="Times New Roman" w:hAnsi="Times New Roman"/>
                <w:iCs/>
                <w:szCs w:val="20"/>
              </w:rPr>
              <w:t>14</w:t>
            </w:r>
          </w:p>
        </w:tc>
      </w:tr>
      <w:tr w:rsidR="0044044A" w14:paraId="0247564E" w14:textId="77777777" w:rsidTr="006B2FFB">
        <w:trPr>
          <w:trHeight w:val="283"/>
          <w:jc w:val="center"/>
        </w:trPr>
        <w:tc>
          <w:tcPr>
            <w:tcW w:w="0" w:type="auto"/>
            <w:vAlign w:val="center"/>
          </w:tcPr>
          <w:p w14:paraId="0F458C3F" w14:textId="0332D044" w:rsidR="0044044A" w:rsidRPr="009E1F08" w:rsidRDefault="00F26E2F" w:rsidP="006F7641">
            <w:pPr>
              <w:keepNext/>
              <w:rPr>
                <w:rFonts w:ascii="Times New Roman" w:hAnsi="Times New Roman"/>
                <w:iCs/>
                <w:szCs w:val="20"/>
              </w:rPr>
            </w:pPr>
            <w:r w:rsidRPr="009E1F08">
              <w:rPr>
                <w:rFonts w:ascii="Times New Roman" w:hAnsi="Times New Roman"/>
                <w:iCs/>
                <w:szCs w:val="20"/>
              </w:rPr>
              <w:t xml:space="preserve">Zero Emission </w:t>
            </w:r>
          </w:p>
        </w:tc>
        <w:tc>
          <w:tcPr>
            <w:tcW w:w="0" w:type="auto"/>
            <w:vAlign w:val="center"/>
          </w:tcPr>
          <w:p w14:paraId="7A2200BC" w14:textId="44C4B51F" w:rsidR="0044044A" w:rsidRPr="009E1F08" w:rsidRDefault="00BD5846" w:rsidP="006B2FFB">
            <w:pPr>
              <w:keepNext/>
              <w:jc w:val="center"/>
              <w:rPr>
                <w:rFonts w:ascii="Times New Roman" w:hAnsi="Times New Roman"/>
                <w:iCs/>
                <w:szCs w:val="20"/>
              </w:rPr>
            </w:pPr>
            <w:r w:rsidRPr="009E1F08">
              <w:rPr>
                <w:rFonts w:ascii="Times New Roman" w:hAnsi="Times New Roman"/>
                <w:iCs/>
                <w:szCs w:val="20"/>
              </w:rPr>
              <w:t>3</w:t>
            </w:r>
          </w:p>
        </w:tc>
        <w:tc>
          <w:tcPr>
            <w:tcW w:w="0" w:type="auto"/>
            <w:vAlign w:val="center"/>
          </w:tcPr>
          <w:p w14:paraId="058320D0" w14:textId="1FDE6BE9" w:rsidR="0044044A" w:rsidRPr="009E1F08" w:rsidRDefault="00B01C52" w:rsidP="006B2FFB">
            <w:pPr>
              <w:keepNext/>
              <w:jc w:val="center"/>
              <w:rPr>
                <w:rFonts w:ascii="Times New Roman" w:hAnsi="Times New Roman"/>
                <w:iCs/>
                <w:szCs w:val="20"/>
              </w:rPr>
            </w:pPr>
            <w:r w:rsidRPr="009E1F08">
              <w:rPr>
                <w:rFonts w:ascii="Times New Roman" w:hAnsi="Times New Roman"/>
                <w:iCs/>
                <w:szCs w:val="20"/>
              </w:rPr>
              <w:t>6</w:t>
            </w:r>
          </w:p>
        </w:tc>
        <w:tc>
          <w:tcPr>
            <w:tcW w:w="0" w:type="auto"/>
            <w:vAlign w:val="center"/>
          </w:tcPr>
          <w:p w14:paraId="128E906D" w14:textId="20F66BF2" w:rsidR="0044044A" w:rsidRPr="009E1F08" w:rsidRDefault="00B01C52" w:rsidP="006B2FFB">
            <w:pPr>
              <w:keepNext/>
              <w:jc w:val="center"/>
              <w:rPr>
                <w:rFonts w:ascii="Times New Roman" w:hAnsi="Times New Roman"/>
                <w:iCs/>
                <w:szCs w:val="20"/>
              </w:rPr>
            </w:pPr>
            <w:r w:rsidRPr="009E1F08">
              <w:rPr>
                <w:rFonts w:ascii="Times New Roman" w:hAnsi="Times New Roman"/>
                <w:iCs/>
                <w:szCs w:val="20"/>
              </w:rPr>
              <w:t>6</w:t>
            </w:r>
          </w:p>
        </w:tc>
      </w:tr>
      <w:tr w:rsidR="0044044A" w14:paraId="5585B6C2" w14:textId="77777777" w:rsidTr="006B2FFB">
        <w:trPr>
          <w:trHeight w:val="283"/>
          <w:jc w:val="center"/>
        </w:trPr>
        <w:tc>
          <w:tcPr>
            <w:tcW w:w="0" w:type="auto"/>
            <w:tcBorders>
              <w:bottom w:val="single" w:sz="4" w:space="0" w:color="auto"/>
            </w:tcBorders>
            <w:vAlign w:val="center"/>
          </w:tcPr>
          <w:p w14:paraId="6387B645" w14:textId="76DEC4EC" w:rsidR="0044044A" w:rsidRPr="009E1F08" w:rsidRDefault="00894A63" w:rsidP="006F7641">
            <w:pPr>
              <w:keepNext/>
              <w:rPr>
                <w:rFonts w:ascii="Times New Roman" w:hAnsi="Times New Roman"/>
                <w:iCs/>
                <w:szCs w:val="20"/>
              </w:rPr>
            </w:pPr>
            <w:r w:rsidRPr="009E1F08">
              <w:rPr>
                <w:rFonts w:ascii="Times New Roman" w:hAnsi="Times New Roman"/>
                <w:iCs/>
                <w:szCs w:val="20"/>
              </w:rPr>
              <w:t>Zero Emission</w:t>
            </w:r>
            <w:r w:rsidR="006B2FFB" w:rsidRPr="009E1F08">
              <w:rPr>
                <w:rFonts w:ascii="Times New Roman" w:hAnsi="Times New Roman"/>
                <w:iCs/>
                <w:szCs w:val="20"/>
              </w:rPr>
              <w:t xml:space="preserve"> </w:t>
            </w:r>
            <w:r w:rsidRPr="009E1F08">
              <w:rPr>
                <w:rFonts w:ascii="Times New Roman" w:hAnsi="Times New Roman"/>
                <w:iCs/>
                <w:szCs w:val="20"/>
              </w:rPr>
              <w:t>@</w:t>
            </w:r>
            <w:r w:rsidR="006B2FFB" w:rsidRPr="009E1F08">
              <w:rPr>
                <w:rFonts w:ascii="Times New Roman" w:hAnsi="Times New Roman"/>
                <w:iCs/>
                <w:szCs w:val="20"/>
              </w:rPr>
              <w:t xml:space="preserve"> </w:t>
            </w:r>
            <w:r w:rsidRPr="009E1F08">
              <w:rPr>
                <w:rFonts w:ascii="Times New Roman" w:hAnsi="Times New Roman"/>
                <w:iCs/>
                <w:szCs w:val="20"/>
              </w:rPr>
              <w:t>8</w:t>
            </w:r>
            <w:r w:rsidR="006B2FFB" w:rsidRPr="009E1F08">
              <w:rPr>
                <w:rFonts w:ascii="Times New Roman" w:hAnsi="Times New Roman"/>
                <w:iCs/>
                <w:szCs w:val="20"/>
              </w:rPr>
              <w:t xml:space="preserve"> </w:t>
            </w:r>
            <w:proofErr w:type="spellStart"/>
            <w:r w:rsidRPr="009E1F08">
              <w:rPr>
                <w:rFonts w:ascii="Times New Roman" w:hAnsi="Times New Roman"/>
                <w:iCs/>
                <w:szCs w:val="20"/>
              </w:rPr>
              <w:t>kn</w:t>
            </w:r>
            <w:proofErr w:type="spellEnd"/>
            <w:r w:rsidR="006B2FFB" w:rsidRPr="009E1F08">
              <w:rPr>
                <w:rFonts w:ascii="Times New Roman" w:hAnsi="Times New Roman"/>
                <w:iCs/>
                <w:szCs w:val="20"/>
              </w:rPr>
              <w:t>,</w:t>
            </w:r>
            <w:r w:rsidRPr="009E1F08">
              <w:rPr>
                <w:rFonts w:ascii="Times New Roman" w:hAnsi="Times New Roman"/>
                <w:iCs/>
                <w:szCs w:val="20"/>
              </w:rPr>
              <w:t xml:space="preserve"> 250 nm</w:t>
            </w:r>
          </w:p>
        </w:tc>
        <w:tc>
          <w:tcPr>
            <w:tcW w:w="0" w:type="auto"/>
            <w:tcBorders>
              <w:bottom w:val="single" w:sz="4" w:space="0" w:color="auto"/>
            </w:tcBorders>
            <w:vAlign w:val="center"/>
          </w:tcPr>
          <w:p w14:paraId="6868550C" w14:textId="73DF9F17" w:rsidR="0044044A" w:rsidRPr="009E1F08" w:rsidRDefault="00B01C52" w:rsidP="006B2FFB">
            <w:pPr>
              <w:keepNext/>
              <w:jc w:val="center"/>
              <w:rPr>
                <w:rFonts w:ascii="Times New Roman" w:hAnsi="Times New Roman"/>
                <w:iCs/>
                <w:szCs w:val="20"/>
              </w:rPr>
            </w:pPr>
            <w:r w:rsidRPr="009E1F08">
              <w:rPr>
                <w:rFonts w:ascii="Times New Roman" w:hAnsi="Times New Roman"/>
                <w:iCs/>
                <w:szCs w:val="20"/>
              </w:rPr>
              <w:t>4</w:t>
            </w:r>
          </w:p>
        </w:tc>
        <w:tc>
          <w:tcPr>
            <w:tcW w:w="0" w:type="auto"/>
            <w:tcBorders>
              <w:bottom w:val="single" w:sz="4" w:space="0" w:color="auto"/>
            </w:tcBorders>
            <w:vAlign w:val="center"/>
          </w:tcPr>
          <w:p w14:paraId="0593A15A" w14:textId="28345785" w:rsidR="0044044A" w:rsidRPr="009E1F08" w:rsidRDefault="00B01C52" w:rsidP="006B2FFB">
            <w:pPr>
              <w:keepNext/>
              <w:jc w:val="center"/>
              <w:rPr>
                <w:rFonts w:ascii="Times New Roman" w:hAnsi="Times New Roman"/>
                <w:iCs/>
                <w:szCs w:val="20"/>
              </w:rPr>
            </w:pPr>
            <w:r w:rsidRPr="009E1F08">
              <w:rPr>
                <w:rFonts w:ascii="Times New Roman" w:hAnsi="Times New Roman"/>
                <w:iCs/>
                <w:szCs w:val="20"/>
              </w:rPr>
              <w:t>11</w:t>
            </w:r>
          </w:p>
        </w:tc>
        <w:tc>
          <w:tcPr>
            <w:tcW w:w="0" w:type="auto"/>
            <w:tcBorders>
              <w:bottom w:val="single" w:sz="4" w:space="0" w:color="auto"/>
            </w:tcBorders>
            <w:vAlign w:val="center"/>
          </w:tcPr>
          <w:p w14:paraId="0BA1B411" w14:textId="29374EBE" w:rsidR="0044044A" w:rsidRPr="009E1F08" w:rsidRDefault="00B01C52" w:rsidP="006B2FFB">
            <w:pPr>
              <w:keepNext/>
              <w:jc w:val="center"/>
              <w:rPr>
                <w:rFonts w:ascii="Times New Roman" w:hAnsi="Times New Roman"/>
                <w:iCs/>
                <w:szCs w:val="20"/>
              </w:rPr>
            </w:pPr>
            <w:r w:rsidRPr="009E1F08">
              <w:rPr>
                <w:rFonts w:ascii="Times New Roman" w:hAnsi="Times New Roman"/>
                <w:iCs/>
                <w:szCs w:val="20"/>
              </w:rPr>
              <w:t>12</w:t>
            </w:r>
          </w:p>
        </w:tc>
      </w:tr>
    </w:tbl>
    <w:p w14:paraId="26A24490" w14:textId="77777777" w:rsidR="00504267" w:rsidRDefault="00504267" w:rsidP="004D12EB">
      <w:pPr>
        <w:snapToGrid w:val="0"/>
        <w:spacing w:before="240" w:after="160" w:line="300" w:lineRule="auto"/>
        <w:rPr>
          <w:rFonts w:ascii="Times New Roman" w:eastAsia="MS PGothic" w:hAnsi="Times New Roman"/>
          <w:b/>
          <w:bCs/>
          <w:lang w:val="en-US"/>
        </w:rPr>
      </w:pPr>
    </w:p>
    <w:p w14:paraId="0DE817AB" w14:textId="14C36264" w:rsidR="00DA51A3" w:rsidRPr="00466FFD" w:rsidRDefault="00DA51A3" w:rsidP="004D12EB">
      <w:pPr>
        <w:snapToGrid w:val="0"/>
        <w:spacing w:before="240" w:after="16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743ECC0" w14:textId="02CB5B9C" w:rsidR="00E9751C" w:rsidRDefault="001539C7" w:rsidP="00390A60">
      <w:pPr>
        <w:snapToGrid w:val="0"/>
        <w:spacing w:after="0"/>
        <w:rPr>
          <w:rFonts w:ascii="Times New Roman" w:eastAsia="MS PGothic" w:hAnsi="Times New Roman"/>
          <w:lang w:val="en-US"/>
        </w:rPr>
      </w:pPr>
      <w:r w:rsidRPr="001539C7">
        <w:rPr>
          <w:rFonts w:ascii="Times New Roman" w:eastAsia="MS PGothic" w:hAnsi="Times New Roman"/>
          <w:lang w:val="en-US"/>
        </w:rPr>
        <w:t xml:space="preserve">This work </w:t>
      </w:r>
      <w:r>
        <w:rPr>
          <w:rFonts w:ascii="Times New Roman" w:eastAsia="MS PGothic" w:hAnsi="Times New Roman"/>
          <w:lang w:val="en-US"/>
        </w:rPr>
        <w:t xml:space="preserve">investigated </w:t>
      </w:r>
      <w:r w:rsidRPr="001539C7">
        <w:rPr>
          <w:rFonts w:ascii="Times New Roman" w:eastAsia="MS PGothic" w:hAnsi="Times New Roman"/>
          <w:lang w:val="en-US"/>
        </w:rPr>
        <w:t>the</w:t>
      </w:r>
      <w:r>
        <w:rPr>
          <w:rFonts w:ascii="Times New Roman" w:eastAsia="MS PGothic" w:hAnsi="Times New Roman"/>
          <w:lang w:val="en-US"/>
        </w:rPr>
        <w:t xml:space="preserve"> application of different </w:t>
      </w:r>
      <w:r w:rsidRPr="001539C7">
        <w:rPr>
          <w:rFonts w:ascii="Times New Roman" w:eastAsia="MS PGothic" w:hAnsi="Times New Roman"/>
          <w:lang w:val="en-US"/>
        </w:rPr>
        <w:t>ammonia</w:t>
      </w:r>
      <w:r>
        <w:rPr>
          <w:rFonts w:ascii="Times New Roman" w:eastAsia="MS PGothic" w:hAnsi="Times New Roman"/>
          <w:lang w:val="en-US"/>
        </w:rPr>
        <w:t>-</w:t>
      </w:r>
      <w:proofErr w:type="spellStart"/>
      <w:r>
        <w:rPr>
          <w:rFonts w:ascii="Times New Roman" w:eastAsia="MS PGothic" w:hAnsi="Times New Roman"/>
          <w:lang w:val="en-US"/>
        </w:rPr>
        <w:t>fuelled</w:t>
      </w:r>
      <w:proofErr w:type="spellEnd"/>
      <w:r>
        <w:rPr>
          <w:rFonts w:ascii="Times New Roman" w:eastAsia="MS PGothic" w:hAnsi="Times New Roman"/>
          <w:lang w:val="en-US"/>
        </w:rPr>
        <w:t xml:space="preserve"> FC technologies (</w:t>
      </w:r>
      <w:r w:rsidRPr="001539C7">
        <w:rPr>
          <w:rFonts w:ascii="Times New Roman" w:eastAsia="MS PGothic" w:hAnsi="Times New Roman"/>
          <w:lang w:val="en-US"/>
        </w:rPr>
        <w:t>PEMFC, SOFC and AFC</w:t>
      </w:r>
      <w:r>
        <w:rPr>
          <w:rFonts w:ascii="Times New Roman" w:eastAsia="MS PGothic" w:hAnsi="Times New Roman"/>
          <w:lang w:val="en-US"/>
        </w:rPr>
        <w:t>) for</w:t>
      </w:r>
      <w:r w:rsidRPr="001539C7">
        <w:rPr>
          <w:rFonts w:ascii="Times New Roman" w:eastAsia="MS PGothic" w:hAnsi="Times New Roman"/>
          <w:lang w:val="en-US"/>
        </w:rPr>
        <w:t xml:space="preserve"> the electric power generat</w:t>
      </w:r>
      <w:r>
        <w:rPr>
          <w:rFonts w:ascii="Times New Roman" w:eastAsia="MS PGothic" w:hAnsi="Times New Roman"/>
          <w:lang w:val="en-US"/>
        </w:rPr>
        <w:t>ion</w:t>
      </w:r>
      <w:r w:rsidRPr="001539C7">
        <w:rPr>
          <w:rFonts w:ascii="Times New Roman" w:eastAsia="MS PGothic" w:hAnsi="Times New Roman"/>
          <w:lang w:val="en-US"/>
        </w:rPr>
        <w:t xml:space="preserve"> </w:t>
      </w:r>
      <w:r>
        <w:rPr>
          <w:rFonts w:ascii="Times New Roman" w:eastAsia="MS PGothic" w:hAnsi="Times New Roman"/>
          <w:lang w:val="en-US"/>
        </w:rPr>
        <w:t xml:space="preserve">and </w:t>
      </w:r>
      <w:r w:rsidRPr="001539C7">
        <w:rPr>
          <w:rFonts w:ascii="Times New Roman" w:eastAsia="MS PGothic" w:hAnsi="Times New Roman"/>
          <w:lang w:val="en-US"/>
        </w:rPr>
        <w:t>to reach the zero-emission condition</w:t>
      </w:r>
      <w:r>
        <w:rPr>
          <w:rFonts w:ascii="Times New Roman" w:eastAsia="MS PGothic" w:hAnsi="Times New Roman"/>
          <w:lang w:val="en-US"/>
        </w:rPr>
        <w:t xml:space="preserve">. A 64 m length </w:t>
      </w:r>
      <w:r w:rsidRPr="001539C7">
        <w:rPr>
          <w:rFonts w:ascii="Times New Roman" w:eastAsia="MS PGothic" w:hAnsi="Times New Roman"/>
          <w:lang w:val="en-US"/>
        </w:rPr>
        <w:t>mega-yacht</w:t>
      </w:r>
      <w:r>
        <w:rPr>
          <w:rFonts w:ascii="Times New Roman" w:eastAsia="MS PGothic" w:hAnsi="Times New Roman"/>
          <w:lang w:val="en-US"/>
        </w:rPr>
        <w:t xml:space="preserve"> was assumed as case study. </w:t>
      </w:r>
      <w:r w:rsidRPr="001539C7">
        <w:rPr>
          <w:rFonts w:ascii="Times New Roman" w:eastAsia="MS PGothic" w:hAnsi="Times New Roman"/>
          <w:lang w:val="en-US"/>
        </w:rPr>
        <w:t xml:space="preserve"> </w:t>
      </w:r>
    </w:p>
    <w:p w14:paraId="61EB571C" w14:textId="555325BA" w:rsidR="00E9751C" w:rsidRDefault="00A97F31" w:rsidP="00390A60">
      <w:pPr>
        <w:snapToGrid w:val="0"/>
        <w:spacing w:after="0"/>
        <w:rPr>
          <w:rFonts w:ascii="Times New Roman" w:eastAsia="MS PGothic" w:hAnsi="Times New Roman"/>
          <w:lang w:val="en-US"/>
        </w:rPr>
      </w:pPr>
      <w:r w:rsidRPr="00A97F31">
        <w:rPr>
          <w:rFonts w:ascii="Times New Roman" w:eastAsia="MS PGothic" w:hAnsi="Times New Roman"/>
          <w:lang w:val="en-US"/>
        </w:rPr>
        <w:t xml:space="preserve">To identify the </w:t>
      </w:r>
      <w:r w:rsidR="00E9751C">
        <w:rPr>
          <w:rFonts w:ascii="Times New Roman" w:eastAsia="MS PGothic" w:hAnsi="Times New Roman"/>
          <w:lang w:val="en-US"/>
        </w:rPr>
        <w:t xml:space="preserve">optimal </w:t>
      </w:r>
      <w:r w:rsidRPr="00A97F31">
        <w:rPr>
          <w:rFonts w:ascii="Times New Roman" w:eastAsia="MS PGothic" w:hAnsi="Times New Roman"/>
          <w:lang w:val="en-US"/>
        </w:rPr>
        <w:t>solution</w:t>
      </w:r>
      <w:r w:rsidR="00E30956">
        <w:rPr>
          <w:rFonts w:ascii="Times New Roman" w:eastAsia="MS PGothic" w:hAnsi="Times New Roman"/>
          <w:lang w:val="en-US"/>
        </w:rPr>
        <w:t>,</w:t>
      </w:r>
      <w:r w:rsidRPr="00A97F31">
        <w:rPr>
          <w:rFonts w:ascii="Times New Roman" w:eastAsia="MS PGothic" w:hAnsi="Times New Roman"/>
          <w:lang w:val="en-US"/>
        </w:rPr>
        <w:t xml:space="preserve"> </w:t>
      </w:r>
      <w:r w:rsidR="004B394B">
        <w:rPr>
          <w:rFonts w:ascii="Times New Roman" w:eastAsia="MS PGothic" w:hAnsi="Times New Roman"/>
          <w:lang w:val="en-US"/>
        </w:rPr>
        <w:t xml:space="preserve">a </w:t>
      </w:r>
      <w:r w:rsidR="004B394B" w:rsidRPr="004B394B">
        <w:rPr>
          <w:rFonts w:ascii="Times New Roman" w:eastAsia="MS PGothic" w:hAnsi="Times New Roman"/>
          <w:lang w:val="en-US"/>
        </w:rPr>
        <w:t xml:space="preserve">comparison </w:t>
      </w:r>
      <w:r w:rsidR="004B394B">
        <w:rPr>
          <w:rFonts w:ascii="Times New Roman" w:eastAsia="MS PGothic" w:hAnsi="Times New Roman"/>
          <w:lang w:val="en-US"/>
        </w:rPr>
        <w:t>was carried out in terms of both</w:t>
      </w:r>
      <w:r w:rsidR="00E9751C">
        <w:rPr>
          <w:rFonts w:ascii="Times New Roman" w:eastAsia="MS PGothic" w:hAnsi="Times New Roman"/>
          <w:lang w:val="en-US"/>
        </w:rPr>
        <w:t xml:space="preserve"> the effect on the </w:t>
      </w:r>
      <w:r w:rsidR="00E9751C" w:rsidRPr="00E9751C">
        <w:rPr>
          <w:rFonts w:ascii="Times New Roman" w:eastAsia="MS PGothic" w:hAnsi="Times New Roman"/>
          <w:lang w:val="en-US"/>
        </w:rPr>
        <w:t xml:space="preserve">general arrangement </w:t>
      </w:r>
      <w:r w:rsidR="00E9751C">
        <w:rPr>
          <w:rFonts w:ascii="Times New Roman" w:eastAsia="MS PGothic" w:hAnsi="Times New Roman"/>
          <w:lang w:val="en-US"/>
        </w:rPr>
        <w:t>and</w:t>
      </w:r>
      <w:r w:rsidR="004B394B">
        <w:rPr>
          <w:rFonts w:ascii="Times New Roman" w:eastAsia="MS PGothic" w:hAnsi="Times New Roman"/>
          <w:lang w:val="en-US"/>
        </w:rPr>
        <w:t xml:space="preserve"> </w:t>
      </w:r>
      <w:r w:rsidR="00E9751C">
        <w:rPr>
          <w:rFonts w:ascii="Times New Roman" w:eastAsia="MS PGothic" w:hAnsi="Times New Roman"/>
          <w:lang w:val="en-US"/>
        </w:rPr>
        <w:t>autonomy</w:t>
      </w:r>
      <w:r w:rsidR="004B394B">
        <w:rPr>
          <w:rFonts w:ascii="Times New Roman" w:eastAsia="MS PGothic" w:hAnsi="Times New Roman"/>
          <w:lang w:val="en-US"/>
        </w:rPr>
        <w:t xml:space="preserve"> </w:t>
      </w:r>
      <w:r w:rsidR="004B394B" w:rsidRPr="004B394B">
        <w:rPr>
          <w:rFonts w:ascii="Times New Roman" w:eastAsia="MS PGothic" w:hAnsi="Times New Roman"/>
          <w:lang w:val="en-US"/>
        </w:rPr>
        <w:t>of the ship</w:t>
      </w:r>
      <w:r w:rsidR="00E9751C">
        <w:rPr>
          <w:rFonts w:ascii="Times New Roman" w:eastAsia="MS PGothic" w:hAnsi="Times New Roman"/>
          <w:lang w:val="en-US"/>
        </w:rPr>
        <w:t>.</w:t>
      </w:r>
    </w:p>
    <w:p w14:paraId="5D2BB415" w14:textId="544474D5" w:rsidR="00714F50" w:rsidRDefault="004B394B" w:rsidP="00390A60">
      <w:pPr>
        <w:snapToGrid w:val="0"/>
        <w:spacing w:after="0"/>
        <w:rPr>
          <w:rFonts w:ascii="Times New Roman" w:eastAsia="MS PGothic" w:hAnsi="Times New Roman"/>
          <w:lang w:val="en-US"/>
        </w:rPr>
      </w:pPr>
      <w:r>
        <w:rPr>
          <w:rFonts w:ascii="Times New Roman" w:eastAsia="MS PGothic" w:hAnsi="Times New Roman"/>
          <w:lang w:val="en-US"/>
        </w:rPr>
        <w:t xml:space="preserve">It resulted that, PEMFC </w:t>
      </w:r>
      <w:r w:rsidR="00E30956">
        <w:rPr>
          <w:rFonts w:ascii="Times New Roman" w:eastAsia="MS PGothic" w:hAnsi="Times New Roman"/>
          <w:lang w:val="en-US"/>
        </w:rPr>
        <w:t>wa</w:t>
      </w:r>
      <w:r w:rsidR="000D3752">
        <w:rPr>
          <w:rFonts w:ascii="Times New Roman" w:eastAsia="MS PGothic" w:hAnsi="Times New Roman"/>
          <w:lang w:val="en-US"/>
        </w:rPr>
        <w:t>s the</w:t>
      </w:r>
      <w:r>
        <w:rPr>
          <w:rFonts w:ascii="Times New Roman" w:eastAsia="MS PGothic" w:hAnsi="Times New Roman"/>
          <w:lang w:val="en-US"/>
        </w:rPr>
        <w:t xml:space="preserve"> most commercialized FC technology </w:t>
      </w:r>
      <w:r w:rsidR="000D3752">
        <w:rPr>
          <w:rFonts w:ascii="Times New Roman" w:eastAsia="MS PGothic" w:hAnsi="Times New Roman"/>
          <w:lang w:val="en-US"/>
        </w:rPr>
        <w:t>with</w:t>
      </w:r>
      <w:r>
        <w:rPr>
          <w:rFonts w:ascii="Times New Roman" w:eastAsia="MS PGothic" w:hAnsi="Times New Roman"/>
          <w:lang w:val="en-US"/>
        </w:rPr>
        <w:t xml:space="preserve"> the highest power density,</w:t>
      </w:r>
      <w:r w:rsidR="000D3752">
        <w:rPr>
          <w:rFonts w:ascii="Times New Roman" w:eastAsia="MS PGothic" w:hAnsi="Times New Roman"/>
          <w:lang w:val="en-US"/>
        </w:rPr>
        <w:t xml:space="preserve"> </w:t>
      </w:r>
      <w:r w:rsidR="00714F50">
        <w:rPr>
          <w:rFonts w:ascii="Times New Roman" w:eastAsia="MS PGothic" w:hAnsi="Times New Roman"/>
          <w:lang w:val="en-US"/>
        </w:rPr>
        <w:t>but the</w:t>
      </w:r>
      <w:r>
        <w:rPr>
          <w:rFonts w:ascii="Times New Roman" w:eastAsia="MS PGothic" w:hAnsi="Times New Roman"/>
          <w:lang w:val="en-US"/>
        </w:rPr>
        <w:t xml:space="preserve"> pre</w:t>
      </w:r>
      <w:r w:rsidR="000D3752">
        <w:rPr>
          <w:rFonts w:ascii="Times New Roman" w:eastAsia="MS PGothic" w:hAnsi="Times New Roman"/>
          <w:lang w:val="en-US"/>
        </w:rPr>
        <w:t xml:space="preserve">sence of </w:t>
      </w:r>
      <w:r w:rsidR="000D3752" w:rsidRPr="000D3752">
        <w:rPr>
          <w:rFonts w:ascii="Times New Roman" w:eastAsia="MS PGothic" w:hAnsi="Times New Roman"/>
          <w:lang w:val="en-US"/>
        </w:rPr>
        <w:t xml:space="preserve">a bulky and heavy </w:t>
      </w:r>
      <w:r w:rsidR="000D3752">
        <w:rPr>
          <w:rFonts w:ascii="Times New Roman" w:eastAsia="MS PGothic" w:hAnsi="Times New Roman"/>
          <w:lang w:val="en-US"/>
        </w:rPr>
        <w:t>AP</w:t>
      </w:r>
      <w:r w:rsidR="000D3752" w:rsidRPr="000D3752">
        <w:rPr>
          <w:rFonts w:ascii="Times New Roman" w:eastAsia="MS PGothic" w:hAnsi="Times New Roman"/>
          <w:lang w:val="en-US"/>
        </w:rPr>
        <w:t xml:space="preserve"> system </w:t>
      </w:r>
      <w:r w:rsidR="00E30956">
        <w:rPr>
          <w:rFonts w:ascii="Times New Roman" w:eastAsia="MS PGothic" w:hAnsi="Times New Roman"/>
          <w:lang w:val="en-US"/>
        </w:rPr>
        <w:t>was</w:t>
      </w:r>
      <w:r w:rsidR="000D3752">
        <w:rPr>
          <w:rFonts w:ascii="Times New Roman" w:eastAsia="MS PGothic" w:hAnsi="Times New Roman"/>
          <w:lang w:val="en-US"/>
        </w:rPr>
        <w:t xml:space="preserve"> </w:t>
      </w:r>
      <w:r w:rsidR="00714F50">
        <w:rPr>
          <w:rFonts w:ascii="Times New Roman" w:eastAsia="MS PGothic" w:hAnsi="Times New Roman"/>
          <w:lang w:val="en-US"/>
        </w:rPr>
        <w:t>necessary to produce pure H</w:t>
      </w:r>
      <w:r w:rsidR="00714F50" w:rsidRPr="00861664">
        <w:rPr>
          <w:rFonts w:ascii="Times New Roman" w:eastAsia="MS PGothic" w:hAnsi="Times New Roman"/>
          <w:vertAlign w:val="subscript"/>
          <w:lang w:val="en-US"/>
        </w:rPr>
        <w:t>2</w:t>
      </w:r>
      <w:r w:rsidR="00714F50">
        <w:rPr>
          <w:rFonts w:ascii="Times New Roman" w:eastAsia="MS PGothic" w:hAnsi="Times New Roman"/>
          <w:lang w:val="en-US"/>
        </w:rPr>
        <w:t>.</w:t>
      </w:r>
      <w:r w:rsidR="00861664">
        <w:rPr>
          <w:rFonts w:ascii="Times New Roman" w:eastAsia="MS PGothic" w:hAnsi="Times New Roman"/>
          <w:lang w:val="en-US"/>
        </w:rPr>
        <w:t xml:space="preserve"> </w:t>
      </w:r>
      <w:r w:rsidR="00714F50">
        <w:rPr>
          <w:rFonts w:ascii="Times New Roman" w:eastAsia="MS PGothic" w:hAnsi="Times New Roman"/>
          <w:lang w:val="en-US"/>
        </w:rPr>
        <w:t>Although SOFC and AFC c</w:t>
      </w:r>
      <w:r w:rsidR="00E30956">
        <w:rPr>
          <w:rFonts w:ascii="Times New Roman" w:eastAsia="MS PGothic" w:hAnsi="Times New Roman"/>
          <w:lang w:val="en-US"/>
        </w:rPr>
        <w:t>ould</w:t>
      </w:r>
      <w:r w:rsidR="00714F50">
        <w:rPr>
          <w:rFonts w:ascii="Times New Roman" w:eastAsia="MS PGothic" w:hAnsi="Times New Roman"/>
          <w:lang w:val="en-US"/>
        </w:rPr>
        <w:t xml:space="preserve"> be directly </w:t>
      </w:r>
      <w:proofErr w:type="spellStart"/>
      <w:r w:rsidR="00714F50">
        <w:rPr>
          <w:rFonts w:ascii="Times New Roman" w:eastAsia="MS PGothic" w:hAnsi="Times New Roman"/>
          <w:lang w:val="en-US"/>
        </w:rPr>
        <w:t>fuelled</w:t>
      </w:r>
      <w:proofErr w:type="spellEnd"/>
      <w:r w:rsidR="00714F50">
        <w:rPr>
          <w:rFonts w:ascii="Times New Roman" w:eastAsia="MS PGothic" w:hAnsi="Times New Roman"/>
          <w:lang w:val="en-US"/>
        </w:rPr>
        <w:t xml:space="preserve"> by ammonia, they required a significant space onboard for the installation. </w:t>
      </w:r>
    </w:p>
    <w:p w14:paraId="230E6ADE" w14:textId="028CC635" w:rsidR="00AE49F6" w:rsidRDefault="00AE49F6" w:rsidP="00390A60">
      <w:pPr>
        <w:snapToGrid w:val="0"/>
        <w:spacing w:after="0"/>
        <w:rPr>
          <w:rFonts w:ascii="Times New Roman" w:eastAsia="MS PGothic" w:hAnsi="Times New Roman"/>
        </w:rPr>
      </w:pPr>
      <w:r w:rsidRPr="00AE49F6">
        <w:rPr>
          <w:rFonts w:ascii="Times New Roman" w:eastAsia="MS PGothic" w:hAnsi="Times New Roman"/>
        </w:rPr>
        <w:t xml:space="preserve">The zero-emission condition </w:t>
      </w:r>
      <w:r>
        <w:rPr>
          <w:rFonts w:ascii="Times New Roman" w:eastAsia="MS PGothic" w:hAnsi="Times New Roman"/>
        </w:rPr>
        <w:t>was reached with all the FC configurations, but the limited ammonia volume stored affected the ship’s autonomy.</w:t>
      </w:r>
      <w:r w:rsidR="00861664">
        <w:rPr>
          <w:rFonts w:ascii="Times New Roman" w:eastAsia="MS PGothic" w:hAnsi="Times New Roman"/>
        </w:rPr>
        <w:t xml:space="preserve"> The autonomy was in the range 3-4 days in the case of PEMFC and 6-12 days in the case of SOFC and AFC. </w:t>
      </w:r>
      <w:r w:rsidR="00484994" w:rsidRPr="00484994">
        <w:rPr>
          <w:rFonts w:ascii="Times New Roman" w:eastAsia="MS PGothic" w:hAnsi="Times New Roman"/>
        </w:rPr>
        <w:t>Allocating more spaces onboard to the ammonia storage tanks can increase the autonomy, but it requires fundamental modification of the original arrangement of the ship.</w:t>
      </w:r>
    </w:p>
    <w:p w14:paraId="6D9C8F21" w14:textId="2A2BE7D1" w:rsidR="00504267" w:rsidRDefault="00504267" w:rsidP="00390A60">
      <w:pPr>
        <w:snapToGrid w:val="0"/>
        <w:spacing w:after="0"/>
        <w:rPr>
          <w:rFonts w:ascii="Times New Roman" w:eastAsia="MS PGothic" w:hAnsi="Times New Roman"/>
        </w:rPr>
      </w:pPr>
    </w:p>
    <w:p w14:paraId="71690D05" w14:textId="66257FAF" w:rsidR="00504267" w:rsidRDefault="00504267" w:rsidP="00390A60">
      <w:pPr>
        <w:snapToGrid w:val="0"/>
        <w:spacing w:after="0"/>
        <w:rPr>
          <w:rFonts w:ascii="Times New Roman" w:eastAsia="MS PGothic" w:hAnsi="Times New Roman"/>
        </w:rPr>
      </w:pPr>
    </w:p>
    <w:p w14:paraId="47A05AFA" w14:textId="77777777" w:rsidR="00504267" w:rsidRDefault="00504267" w:rsidP="00390A60">
      <w:pPr>
        <w:snapToGrid w:val="0"/>
        <w:spacing w:after="0"/>
        <w:rPr>
          <w:rFonts w:ascii="Times New Roman" w:eastAsia="MS PGothic" w:hAnsi="Times New Roman"/>
        </w:rPr>
      </w:pPr>
    </w:p>
    <w:p w14:paraId="1845F659" w14:textId="77777777" w:rsidR="00DA51A3" w:rsidRPr="00466FFD" w:rsidRDefault="00DA51A3" w:rsidP="00EB2126">
      <w:pPr>
        <w:snapToGrid w:val="0"/>
        <w:spacing w:before="240" w:after="160" w:line="300" w:lineRule="auto"/>
        <w:rPr>
          <w:rFonts w:ascii="Times New Roman" w:eastAsia="SimSun" w:hAnsi="Times New Roman"/>
          <w:b/>
          <w:bCs/>
          <w:lang w:val="en-US" w:eastAsia="zh-CN"/>
        </w:rPr>
      </w:pPr>
      <w:r w:rsidRPr="00466FFD">
        <w:rPr>
          <w:rFonts w:ascii="Times New Roman" w:eastAsia="MS PGothic" w:hAnsi="Times New Roman"/>
          <w:b/>
          <w:bCs/>
          <w:lang w:val="en-US"/>
        </w:rPr>
        <w:lastRenderedPageBreak/>
        <w:t xml:space="preserve">References </w:t>
      </w:r>
    </w:p>
    <w:p w14:paraId="03D57F56" w14:textId="2286F1C1" w:rsidR="00621A79" w:rsidRPr="006551E5" w:rsidRDefault="00FF5FD8"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lang w:val="en-US"/>
        </w:rPr>
        <w:fldChar w:fldCharType="begin" w:fldLock="1"/>
      </w:r>
      <w:r w:rsidRPr="006551E5">
        <w:rPr>
          <w:lang w:val="en-US"/>
        </w:rPr>
        <w:instrText xml:space="preserve">ADDIN Mendeley Bibliography CSL_BIBLIOGRAPHY </w:instrText>
      </w:r>
      <w:r w:rsidRPr="006551E5">
        <w:rPr>
          <w:lang w:val="en-US"/>
        </w:rPr>
        <w:fldChar w:fldCharType="separate"/>
      </w:r>
      <w:r w:rsidR="00621A79" w:rsidRPr="006551E5">
        <w:rPr>
          <w:rFonts w:ascii="Times New Roman" w:hAnsi="Times New Roman" w:cs="Times New Roman"/>
          <w:noProof/>
          <w:sz w:val="20"/>
          <w:szCs w:val="24"/>
        </w:rPr>
        <w:t>[1]</w:t>
      </w:r>
      <w:r w:rsidR="00621A79" w:rsidRPr="006551E5">
        <w:rPr>
          <w:rFonts w:ascii="Times New Roman" w:hAnsi="Times New Roman" w:cs="Times New Roman"/>
          <w:noProof/>
          <w:sz w:val="20"/>
          <w:szCs w:val="24"/>
        </w:rPr>
        <w:tab/>
        <w:t>“Cutting GHG emissions from shipping - 10 years of mandatory rules.” [Online]. Available: https://www.imo.org/en/MediaCentre/PressBriefings/pages/DecadeOfGHGAction.aspx. [Accessed: 01-Feb-2022].</w:t>
      </w:r>
    </w:p>
    <w:p w14:paraId="3082ABDC"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w:t>
      </w:r>
      <w:r w:rsidRPr="006551E5">
        <w:rPr>
          <w:rFonts w:ascii="Times New Roman" w:hAnsi="Times New Roman" w:cs="Times New Roman"/>
          <w:noProof/>
          <w:sz w:val="20"/>
          <w:szCs w:val="24"/>
        </w:rPr>
        <w:tab/>
        <w:t>J. E. McCarthy, “Air pollution and greenhouse gas emissions from ships,” in Air Pollution and Ship Emissions, 2010.</w:t>
      </w:r>
    </w:p>
    <w:p w14:paraId="2007D171"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[3]</w:t>
      </w:r>
      <w:r w:rsidRPr="006551E5">
        <w:rPr>
          <w:rFonts w:ascii="Times New Roman" w:hAnsi="Times New Roman" w:cs="Times New Roman"/>
          <w:noProof/>
          <w:sz w:val="20"/>
          <w:szCs w:val="24"/>
        </w:rPr>
        <w:tab/>
        <w:t>J. Anders, “Comparison of Alternative Marine Fuels SEA\LNG Ltd,” 2019.</w:t>
      </w:r>
    </w:p>
    <w:p w14:paraId="66FAB091"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[4]</w:t>
      </w:r>
      <w:r w:rsidRPr="006551E5">
        <w:rPr>
          <w:rFonts w:ascii="Times New Roman" w:hAnsi="Times New Roman" w:cs="Times New Roman"/>
          <w:noProof/>
          <w:sz w:val="20"/>
          <w:szCs w:val="24"/>
        </w:rPr>
        <w:tab/>
        <w:t>L. Ming Main Author, L. Ming, L. Chen, and L. Siu Lee Jasmine Sze Jia Yin Koh Eng Kiong Yang Mengyao Gou Xueni, “Methanol as a Marine Fuel-Availability and Sea Trial Considerations Alternative Fuels for International Shipping A Study on the Future Energy Options of Singapore Harbour Craft Electrification of Singapore Harbour Craft-Shore and Vessel Power System Considerations Executive Summary,” 2020.</w:t>
      </w:r>
    </w:p>
    <w:p w14:paraId="3A54A6AF"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[5]</w:t>
      </w:r>
      <w:r w:rsidRPr="006551E5">
        <w:rPr>
          <w:rFonts w:ascii="Times New Roman" w:hAnsi="Times New Roman" w:cs="Times New Roman"/>
          <w:noProof/>
          <w:sz w:val="20"/>
          <w:szCs w:val="24"/>
        </w:rPr>
        <w:tab/>
        <w:t>E. A. Bouman, E. Lindstad, A. I. Rialland, and A. H. Strømman, “State-of-the-art technologies, measures, and potential for reducing GHG emissions from shipping – A review,” Transp. Res. Part D Transp. Environ., 2017, doi: 10.1016/j.trd.2017.03.022.</w:t>
      </w:r>
    </w:p>
    <w:p w14:paraId="5C8B52A7"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[6]</w:t>
      </w:r>
      <w:r w:rsidRPr="006551E5">
        <w:rPr>
          <w:rFonts w:ascii="Times New Roman" w:hAnsi="Times New Roman" w:cs="Times New Roman"/>
          <w:noProof/>
          <w:sz w:val="20"/>
          <w:szCs w:val="24"/>
        </w:rPr>
        <w:tab/>
        <w:t>J. Hansson, S. Brynolf, E. Fridell, and M. Lehtveer, “The potential role of ammonia as marine fuel-based on energy systems modeling and multi-criteria decision analysis,” Sustain., vol. 12, no. 8, Apr. 2020, doi: 10.3390/SU12083265.</w:t>
      </w:r>
    </w:p>
    <w:p w14:paraId="67EEAAA8"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[7]</w:t>
      </w:r>
      <w:r w:rsidRPr="006551E5">
        <w:rPr>
          <w:rFonts w:ascii="Times New Roman" w:hAnsi="Times New Roman" w:cs="Times New Roman"/>
          <w:noProof/>
          <w:sz w:val="20"/>
          <w:szCs w:val="24"/>
        </w:rPr>
        <w:tab/>
        <w:t>K. Kim, G. Roh, W. Kim, and K. Chun, “A Preliminary Study on an Alternative Ship Propulsion System Fueled by Ammonia: Environmental and Economic Assessments,” J. Mar. Sci. Eng. 2020, Vol. 8, Page 183, vol. 8, no. 3, p. 183, Mar. 2020, doi: 10.3390/JMSE8030183.</w:t>
      </w:r>
    </w:p>
    <w:p w14:paraId="4A15CEA4"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[8]</w:t>
      </w:r>
      <w:r w:rsidRPr="006551E5">
        <w:rPr>
          <w:rFonts w:ascii="Times New Roman" w:hAnsi="Times New Roman" w:cs="Times New Roman"/>
          <w:noProof/>
          <w:sz w:val="20"/>
          <w:szCs w:val="24"/>
        </w:rPr>
        <w:tab/>
        <w:t>D. R. MacFarlane et al., “A Roadmap to the Ammonia Economy,” Joule, vol. 4, no. 6, pp. 1186–1205, Jun. 2020, doi: 10.1016/j.joule.2020.04.004.</w:t>
      </w:r>
    </w:p>
    <w:p w14:paraId="41A53ABA"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[9]</w:t>
      </w:r>
      <w:r w:rsidRPr="006551E5">
        <w:rPr>
          <w:rFonts w:ascii="Times New Roman" w:hAnsi="Times New Roman" w:cs="Times New Roman"/>
          <w:noProof/>
          <w:sz w:val="20"/>
          <w:szCs w:val="24"/>
        </w:rPr>
        <w:tab/>
        <w:t>Z. Cesaro, J. Thatcher, and R. Bañares-Alcántara, “Techno-Economic Aspects of the Use of Ammonia as Energy Vector,” Techno-Economic Challenges Green Ammon. as an Energy Vector, pp. 209–219, Jan. 2021, doi: 10.1016/B978-0-12-820560-0.00009-6.</w:t>
      </w:r>
    </w:p>
    <w:p w14:paraId="7ACAC08B"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[10]</w:t>
      </w:r>
      <w:r w:rsidRPr="006551E5">
        <w:rPr>
          <w:rFonts w:ascii="Times New Roman" w:hAnsi="Times New Roman" w:cs="Times New Roman"/>
          <w:noProof/>
          <w:sz w:val="20"/>
          <w:szCs w:val="24"/>
        </w:rPr>
        <w:tab/>
        <w:t>S. Ghavam, M. Vahdati, I. A. G. Wilson, and P. Styring, “Sustainable Ammonia Production Processes,” Front. Energy Res., vol. 9, Mar. 2021, doi: 10.3389/FENRG.2021.580808/FULL.</w:t>
      </w:r>
    </w:p>
    <w:p w14:paraId="4F497F91"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[11]</w:t>
      </w:r>
      <w:r w:rsidRPr="006551E5">
        <w:rPr>
          <w:rFonts w:ascii="Times New Roman" w:hAnsi="Times New Roman" w:cs="Times New Roman"/>
          <w:noProof/>
          <w:sz w:val="20"/>
          <w:szCs w:val="24"/>
        </w:rPr>
        <w:tab/>
        <w:t>O. Elishav, B. Mosevitzky Lis, A. Valera-Medina, and G. S. Grader, “Storage and Distribution of Ammonia,” Techno-Economic Challenges Green Ammon. as an Energy Vector, pp. 85–103, Jan. 2021, doi: 10.1016/B978-0-12-820560-0.00005-9.</w:t>
      </w:r>
    </w:p>
    <w:p w14:paraId="51AFCD3E"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[12]</w:t>
      </w:r>
      <w:r w:rsidRPr="006551E5">
        <w:rPr>
          <w:rFonts w:ascii="Times New Roman" w:hAnsi="Times New Roman" w:cs="Times New Roman"/>
          <w:noProof/>
          <w:sz w:val="20"/>
          <w:szCs w:val="24"/>
        </w:rPr>
        <w:tab/>
        <w:t>M. Gallucci, “The ammonia solution: Ammonia engines and fuel cells in cargo ships could slash their carbon emissions,” IEEE Spectr., vol. 58, no. 3, pp. 44–50, Mar. 2021, doi: 10.1109/MSPEC.2021.9370109.</w:t>
      </w:r>
    </w:p>
    <w:p w14:paraId="6061AF1E"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[13]</w:t>
      </w:r>
      <w:r w:rsidRPr="006551E5">
        <w:rPr>
          <w:rFonts w:ascii="Times New Roman" w:hAnsi="Times New Roman" w:cs="Times New Roman"/>
          <w:noProof/>
          <w:sz w:val="20"/>
          <w:szCs w:val="24"/>
        </w:rPr>
        <w:tab/>
        <w:t>“Ammonia as a marine fuel DNV.” [Online]. Available: https://www.dnv.com/Publications/ammonia-as-a-marine-fuel-191385. [Accessed: 01-Feb-2022].</w:t>
      </w:r>
    </w:p>
    <w:p w14:paraId="1E880BCF"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[14]</w:t>
      </w:r>
      <w:r w:rsidRPr="006551E5">
        <w:rPr>
          <w:rFonts w:ascii="Times New Roman" w:hAnsi="Times New Roman" w:cs="Times New Roman"/>
          <w:noProof/>
          <w:sz w:val="20"/>
          <w:szCs w:val="24"/>
        </w:rPr>
        <w:tab/>
        <w:t>H. Kobayashi, A. Hayakawa, K. D. K. A. Somarathne, and E. C. Okafor, “Science and technology of ammonia combustion,” Proc. Combust. Inst., vol. 37, no. 1, pp. 109–133, Jan. 2019, doi: 10.1016/J.PROCI.2018.09.029.</w:t>
      </w:r>
    </w:p>
    <w:p w14:paraId="6439CBFB"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[15]</w:t>
      </w:r>
      <w:r w:rsidRPr="006551E5">
        <w:rPr>
          <w:rFonts w:ascii="Times New Roman" w:hAnsi="Times New Roman" w:cs="Times New Roman"/>
          <w:noProof/>
          <w:sz w:val="20"/>
          <w:szCs w:val="24"/>
        </w:rPr>
        <w:tab/>
        <w:t>V. Ruggiero, “ScienceDirect Peer-review under responsibility of the scientific committee of the International Conference on Industry 4.0 and Smart Manufacturing.-NC-ND license (http://creativecommons.org/licenses/by-nc-nd/4.0/) Peer-review under responsibility of the s,” 2020, doi: 10.1016/j.promfg.2020.02.020.</w:t>
      </w:r>
    </w:p>
    <w:p w14:paraId="1853367A"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[16]</w:t>
      </w:r>
      <w:r w:rsidRPr="006551E5">
        <w:rPr>
          <w:rFonts w:ascii="Times New Roman" w:hAnsi="Times New Roman" w:cs="Times New Roman"/>
          <w:noProof/>
          <w:sz w:val="20"/>
          <w:szCs w:val="24"/>
        </w:rPr>
        <w:tab/>
        <w:t>A. Afif, N. Radenahmad, Q. Cheok, S. Shams, J. H. Kim, and A. K. Azad, “Ammonia-fed fuel cells: a comprehensive review,” Renew. Sustain. Energy Rev., vol. 60, pp. 822–835, Jul. 2016, doi: 10.1016/J.RSER.2016.01.120.</w:t>
      </w:r>
    </w:p>
    <w:p w14:paraId="4B5D9513"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[17]</w:t>
      </w:r>
      <w:r w:rsidRPr="006551E5">
        <w:rPr>
          <w:rFonts w:ascii="Times New Roman" w:hAnsi="Times New Roman" w:cs="Times New Roman"/>
          <w:noProof/>
          <w:sz w:val="20"/>
          <w:szCs w:val="24"/>
        </w:rPr>
        <w:tab/>
        <w:t>D. Cheddie, “Ammonia as a Hydrogen Source for Fuel Cells: A Review,” Hydrog. Energy - Challenges Perspect., Oct. 2012, doi: 10.5772/47759.</w:t>
      </w:r>
    </w:p>
    <w:p w14:paraId="602CE0ED"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[18]</w:t>
      </w:r>
      <w:r w:rsidRPr="006551E5">
        <w:rPr>
          <w:rFonts w:ascii="Times New Roman" w:hAnsi="Times New Roman" w:cs="Times New Roman"/>
          <w:noProof/>
          <w:sz w:val="20"/>
          <w:szCs w:val="24"/>
        </w:rPr>
        <w:tab/>
        <w:t>O. Siddiqui and I. Dincer, “A review and comparative assessment of direct ammonia fuel cells,” Therm. Sci. Eng. Prog., vol. 5, pp. 568–578, Mar. 2018, doi: 10.1016/J.TSEP.2018.02.011.</w:t>
      </w:r>
    </w:p>
    <w:p w14:paraId="34BDDAEF"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[19]</w:t>
      </w:r>
      <w:r w:rsidRPr="006551E5">
        <w:rPr>
          <w:rFonts w:ascii="Times New Roman" w:hAnsi="Times New Roman" w:cs="Times New Roman"/>
          <w:noProof/>
          <w:sz w:val="20"/>
          <w:szCs w:val="24"/>
        </w:rPr>
        <w:tab/>
        <w:t>L. Micoli, T. Coppola, and M. Turco, “A Case Study of a Solid Oxide Fuel Cell Plant on Board a Cruise Ship,” J. Mar. Sci. Appl., vol. 20, no. 3, pp. 524–533, Sep. 2021, doi: 10.1007/S11804-021-00217-Y.</w:t>
      </w:r>
    </w:p>
    <w:p w14:paraId="7284DFCF"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[20]</w:t>
      </w:r>
      <w:r w:rsidRPr="006551E5">
        <w:rPr>
          <w:rFonts w:ascii="Times New Roman" w:hAnsi="Times New Roman" w:cs="Times New Roman"/>
          <w:noProof/>
          <w:sz w:val="20"/>
          <w:szCs w:val="24"/>
        </w:rPr>
        <w:tab/>
        <w:t>P. T. Moseley, “Fuel Cell Systems Explained,” J. Power Sources, 2001, doi: 10.1016/s0378-7753(00)00571-1.</w:t>
      </w:r>
    </w:p>
    <w:p w14:paraId="6E8AF1FF"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[21]</w:t>
      </w:r>
      <w:r w:rsidRPr="006551E5">
        <w:rPr>
          <w:rFonts w:ascii="Times New Roman" w:hAnsi="Times New Roman" w:cs="Times New Roman"/>
          <w:noProof/>
          <w:sz w:val="20"/>
          <w:szCs w:val="24"/>
        </w:rPr>
        <w:tab/>
        <w:t>A. Coralli, B. J. M. Sarruf, P. E. V. De Miranda, L. Osmieri, S. Specchia, and N. Q. Minh, “Fuel cells,” in Science and Engineering of Hydrogen-Based Energy Technologies: Hydrogen Production and Practical Applications in Energy Generation, 2018.</w:t>
      </w:r>
    </w:p>
    <w:p w14:paraId="6372AFC2"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[22]</w:t>
      </w:r>
      <w:r w:rsidRPr="006551E5">
        <w:rPr>
          <w:rFonts w:ascii="Times New Roman" w:hAnsi="Times New Roman" w:cs="Times New Roman"/>
          <w:noProof/>
          <w:sz w:val="20"/>
          <w:szCs w:val="24"/>
        </w:rPr>
        <w:tab/>
        <w:t>“FCgen HPS Spec Sheet.” [Online]. Available: https://www.ballard.com/about-ballard/publication_library/product-specification-sheets/fcgen-hps-spec-sheet. [Accessed: 24-Feb-2022].</w:t>
      </w:r>
    </w:p>
    <w:p w14:paraId="41CD8383"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[23]</w:t>
      </w:r>
      <w:r w:rsidRPr="006551E5">
        <w:rPr>
          <w:rFonts w:ascii="Times New Roman" w:hAnsi="Times New Roman" w:cs="Times New Roman"/>
          <w:noProof/>
          <w:sz w:val="20"/>
          <w:szCs w:val="24"/>
        </w:rPr>
        <w:tab/>
        <w:t>S. J. McPhail, B. Conti, and J. Kiviaho, The Yellow Pages of SOFC Technology - International Status of SOFC deployment 2017. 2017.</w:t>
      </w:r>
    </w:p>
    <w:p w14:paraId="043B10DC"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[24]</w:t>
      </w:r>
      <w:r w:rsidRPr="006551E5">
        <w:rPr>
          <w:rFonts w:ascii="Times New Roman" w:hAnsi="Times New Roman" w:cs="Times New Roman"/>
          <w:noProof/>
          <w:sz w:val="20"/>
          <w:szCs w:val="24"/>
        </w:rPr>
        <w:tab/>
        <w:t>P. Breeze and P. Breeze, “Chapter 7 – Fuel Cells,” Power Gener. Technol., 2019, doi: 10.1016/B978-0-08-102631-1.00007-9.</w:t>
      </w:r>
    </w:p>
    <w:p w14:paraId="69027A59" w14:textId="77777777" w:rsidR="00621A79" w:rsidRPr="006551E5" w:rsidRDefault="00621A79" w:rsidP="00EE7E02">
      <w:pPr>
        <w:widowControl w:val="0"/>
        <w:autoSpaceDE w:val="0"/>
        <w:autoSpaceDN w:val="0"/>
        <w:adjustRightInd w:val="0"/>
        <w:spacing w:after="0" w:line="240" w:lineRule="auto"/>
        <w:ind w:left="425" w:hanging="425"/>
        <w:jc w:val="both"/>
        <w:rPr>
          <w:rFonts w:ascii="Times New Roman" w:hAnsi="Times New Roman" w:cs="Times New Roman"/>
          <w:noProof/>
          <w:sz w:val="20"/>
          <w:szCs w:val="24"/>
        </w:rPr>
      </w:pPr>
      <w:r w:rsidRPr="006551E5">
        <w:rPr>
          <w:rFonts w:ascii="Times New Roman" w:hAnsi="Times New Roman" w:cs="Times New Roman"/>
          <w:noProof/>
          <w:sz w:val="20"/>
          <w:szCs w:val="24"/>
        </w:rPr>
        <w:t>[25]</w:t>
      </w:r>
      <w:r w:rsidRPr="006551E5">
        <w:rPr>
          <w:rFonts w:ascii="Times New Roman" w:hAnsi="Times New Roman" w:cs="Times New Roman"/>
          <w:noProof/>
          <w:sz w:val="20"/>
          <w:szCs w:val="24"/>
        </w:rPr>
        <w:tab/>
        <w:t>“The Superyacht Directory | Superyacht Database.” [Online]. Available: https://www.boatinternational.com/yachts/the-superyacht-directory. [Accessed: 24-Feb-2022].</w:t>
      </w:r>
    </w:p>
    <w:p w14:paraId="5A650773" w14:textId="2515F310" w:rsidR="005B71B2" w:rsidRPr="00DA51A3" w:rsidRDefault="00621A79" w:rsidP="00EE7E02">
      <w:pPr>
        <w:widowControl w:val="0"/>
        <w:autoSpaceDE w:val="0"/>
        <w:autoSpaceDN w:val="0"/>
        <w:adjustRightInd w:val="0"/>
        <w:spacing w:after="0" w:line="240" w:lineRule="auto"/>
        <w:ind w:left="425" w:hanging="425"/>
        <w:jc w:val="both"/>
        <w:rPr>
          <w:lang w:val="en-US"/>
        </w:rPr>
      </w:pPr>
      <w:r w:rsidRPr="006551E5">
        <w:rPr>
          <w:rFonts w:ascii="Times New Roman" w:hAnsi="Times New Roman" w:cs="Times New Roman"/>
          <w:noProof/>
          <w:sz w:val="20"/>
          <w:szCs w:val="24"/>
        </w:rPr>
        <w:t>[26]</w:t>
      </w:r>
      <w:r w:rsidRPr="006551E5">
        <w:rPr>
          <w:rFonts w:ascii="Times New Roman" w:hAnsi="Times New Roman" w:cs="Times New Roman"/>
          <w:noProof/>
          <w:sz w:val="20"/>
          <w:szCs w:val="24"/>
        </w:rPr>
        <w:tab/>
        <w:t>IMO, “the International Code of Safety for Ships Using Gases or Other Low-Flashpoint Fuels (Igf Code),” Imo, 2016.</w:t>
      </w:r>
      <w:r w:rsidR="00FF5FD8" w:rsidRPr="006551E5">
        <w:rPr>
          <w:lang w:val="en-US"/>
        </w:rPr>
        <w:fldChar w:fldCharType="end"/>
      </w:r>
    </w:p>
    <w:sectPr w:rsidR="005B71B2" w:rsidRPr="00DA51A3" w:rsidSect="001D0E0C">
      <w:headerReference w:type="default" r:id="rId15"/>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688C" w14:textId="77777777" w:rsidR="00CC69BD" w:rsidRDefault="00CC69BD" w:rsidP="001D0E0C">
      <w:pPr>
        <w:spacing w:after="0" w:line="240" w:lineRule="auto"/>
      </w:pPr>
      <w:r>
        <w:separator/>
      </w:r>
    </w:p>
  </w:endnote>
  <w:endnote w:type="continuationSeparator" w:id="0">
    <w:p w14:paraId="390532B2" w14:textId="77777777" w:rsidR="00CC69BD" w:rsidRDefault="00CC69B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4D81" w14:textId="77777777" w:rsidR="00CC69BD" w:rsidRDefault="00CC69BD" w:rsidP="001D0E0C">
      <w:pPr>
        <w:spacing w:after="0" w:line="240" w:lineRule="auto"/>
      </w:pPr>
      <w:r>
        <w:separator/>
      </w:r>
    </w:p>
  </w:footnote>
  <w:footnote w:type="continuationSeparator" w:id="0">
    <w:p w14:paraId="1687B094" w14:textId="77777777" w:rsidR="00CC69BD" w:rsidRDefault="00CC69B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07997"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19D70B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CC6C1B"/>
    <w:multiLevelType w:val="multilevel"/>
    <w:tmpl w:val="2162EE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C56F9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39439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6D47"/>
    <w:rsid w:val="00020378"/>
    <w:rsid w:val="00024336"/>
    <w:rsid w:val="00031680"/>
    <w:rsid w:val="00031CAF"/>
    <w:rsid w:val="000361FB"/>
    <w:rsid w:val="00043977"/>
    <w:rsid w:val="000517B4"/>
    <w:rsid w:val="000525B6"/>
    <w:rsid w:val="00053A95"/>
    <w:rsid w:val="000635F9"/>
    <w:rsid w:val="000640D8"/>
    <w:rsid w:val="00066058"/>
    <w:rsid w:val="00066D8D"/>
    <w:rsid w:val="000735DF"/>
    <w:rsid w:val="00075599"/>
    <w:rsid w:val="0008068A"/>
    <w:rsid w:val="00082718"/>
    <w:rsid w:val="00084992"/>
    <w:rsid w:val="000866A1"/>
    <w:rsid w:val="00095E83"/>
    <w:rsid w:val="000A252D"/>
    <w:rsid w:val="000A5231"/>
    <w:rsid w:val="000A77D0"/>
    <w:rsid w:val="000B2B94"/>
    <w:rsid w:val="000C00EE"/>
    <w:rsid w:val="000C68A6"/>
    <w:rsid w:val="000C70FF"/>
    <w:rsid w:val="000C7B50"/>
    <w:rsid w:val="000D3752"/>
    <w:rsid w:val="000E28B8"/>
    <w:rsid w:val="000E3B84"/>
    <w:rsid w:val="000E3C17"/>
    <w:rsid w:val="000E4A1B"/>
    <w:rsid w:val="000F5D51"/>
    <w:rsid w:val="000F5E5B"/>
    <w:rsid w:val="0010257D"/>
    <w:rsid w:val="001044F0"/>
    <w:rsid w:val="001114A3"/>
    <w:rsid w:val="00113952"/>
    <w:rsid w:val="00113A69"/>
    <w:rsid w:val="00115413"/>
    <w:rsid w:val="00116A40"/>
    <w:rsid w:val="0012107B"/>
    <w:rsid w:val="00124472"/>
    <w:rsid w:val="001308B5"/>
    <w:rsid w:val="00133DC9"/>
    <w:rsid w:val="00135FF2"/>
    <w:rsid w:val="00136D85"/>
    <w:rsid w:val="001377BB"/>
    <w:rsid w:val="00140C0D"/>
    <w:rsid w:val="00140F92"/>
    <w:rsid w:val="00144855"/>
    <w:rsid w:val="00145AE6"/>
    <w:rsid w:val="00146A3E"/>
    <w:rsid w:val="00147CA6"/>
    <w:rsid w:val="00153504"/>
    <w:rsid w:val="001539C7"/>
    <w:rsid w:val="00154D17"/>
    <w:rsid w:val="001552C6"/>
    <w:rsid w:val="00175312"/>
    <w:rsid w:val="00182DC8"/>
    <w:rsid w:val="001843E4"/>
    <w:rsid w:val="0018667F"/>
    <w:rsid w:val="00186770"/>
    <w:rsid w:val="001868EE"/>
    <w:rsid w:val="00186993"/>
    <w:rsid w:val="001A4D0C"/>
    <w:rsid w:val="001A6C0C"/>
    <w:rsid w:val="001B060D"/>
    <w:rsid w:val="001B11F9"/>
    <w:rsid w:val="001B23A4"/>
    <w:rsid w:val="001B3826"/>
    <w:rsid w:val="001C0D7A"/>
    <w:rsid w:val="001D0E0C"/>
    <w:rsid w:val="001F143E"/>
    <w:rsid w:val="00211D79"/>
    <w:rsid w:val="0021352D"/>
    <w:rsid w:val="0021352E"/>
    <w:rsid w:val="00220D00"/>
    <w:rsid w:val="002258F5"/>
    <w:rsid w:val="002263FF"/>
    <w:rsid w:val="0023445B"/>
    <w:rsid w:val="002417D5"/>
    <w:rsid w:val="00243E8A"/>
    <w:rsid w:val="00247D8D"/>
    <w:rsid w:val="00255B63"/>
    <w:rsid w:val="002611FE"/>
    <w:rsid w:val="00263013"/>
    <w:rsid w:val="0026640B"/>
    <w:rsid w:val="002672FF"/>
    <w:rsid w:val="00270CDC"/>
    <w:rsid w:val="0027364C"/>
    <w:rsid w:val="0027501E"/>
    <w:rsid w:val="00275BAB"/>
    <w:rsid w:val="00277237"/>
    <w:rsid w:val="002833C8"/>
    <w:rsid w:val="00291558"/>
    <w:rsid w:val="002B3B97"/>
    <w:rsid w:val="002C56F0"/>
    <w:rsid w:val="002D0FF6"/>
    <w:rsid w:val="002D1B0A"/>
    <w:rsid w:val="002D4D9A"/>
    <w:rsid w:val="002E0F41"/>
    <w:rsid w:val="00301246"/>
    <w:rsid w:val="003106E4"/>
    <w:rsid w:val="00311366"/>
    <w:rsid w:val="003120E4"/>
    <w:rsid w:val="003148D6"/>
    <w:rsid w:val="003152E7"/>
    <w:rsid w:val="003162EA"/>
    <w:rsid w:val="00324EAA"/>
    <w:rsid w:val="003366A7"/>
    <w:rsid w:val="0033751C"/>
    <w:rsid w:val="00343709"/>
    <w:rsid w:val="00345937"/>
    <w:rsid w:val="00354094"/>
    <w:rsid w:val="00366B1E"/>
    <w:rsid w:val="00373950"/>
    <w:rsid w:val="00382309"/>
    <w:rsid w:val="00386B02"/>
    <w:rsid w:val="00390A60"/>
    <w:rsid w:val="00392524"/>
    <w:rsid w:val="003A14FC"/>
    <w:rsid w:val="003A716D"/>
    <w:rsid w:val="003B0AB6"/>
    <w:rsid w:val="003B7214"/>
    <w:rsid w:val="003C2D30"/>
    <w:rsid w:val="003C3D76"/>
    <w:rsid w:val="003D2AA9"/>
    <w:rsid w:val="003D46BF"/>
    <w:rsid w:val="003D72FD"/>
    <w:rsid w:val="003F0ED5"/>
    <w:rsid w:val="003F121C"/>
    <w:rsid w:val="003F160A"/>
    <w:rsid w:val="003F1879"/>
    <w:rsid w:val="003F4949"/>
    <w:rsid w:val="003F7140"/>
    <w:rsid w:val="0040115B"/>
    <w:rsid w:val="00402674"/>
    <w:rsid w:val="00402C8C"/>
    <w:rsid w:val="004051AD"/>
    <w:rsid w:val="00406687"/>
    <w:rsid w:val="00413025"/>
    <w:rsid w:val="00417186"/>
    <w:rsid w:val="0042460A"/>
    <w:rsid w:val="00425FE2"/>
    <w:rsid w:val="004347DE"/>
    <w:rsid w:val="00435C70"/>
    <w:rsid w:val="00436A57"/>
    <w:rsid w:val="0044044A"/>
    <w:rsid w:val="00457214"/>
    <w:rsid w:val="00462A9D"/>
    <w:rsid w:val="0046474D"/>
    <w:rsid w:val="00474858"/>
    <w:rsid w:val="00481EDA"/>
    <w:rsid w:val="0048390B"/>
    <w:rsid w:val="00484994"/>
    <w:rsid w:val="0049253F"/>
    <w:rsid w:val="00495B83"/>
    <w:rsid w:val="004971D4"/>
    <w:rsid w:val="004A5858"/>
    <w:rsid w:val="004A78A0"/>
    <w:rsid w:val="004A7CD9"/>
    <w:rsid w:val="004B394B"/>
    <w:rsid w:val="004B721A"/>
    <w:rsid w:val="004C2CDD"/>
    <w:rsid w:val="004C56B4"/>
    <w:rsid w:val="004D12EB"/>
    <w:rsid w:val="004E2690"/>
    <w:rsid w:val="004F119F"/>
    <w:rsid w:val="004F1B33"/>
    <w:rsid w:val="004F245A"/>
    <w:rsid w:val="005010B8"/>
    <w:rsid w:val="005011FC"/>
    <w:rsid w:val="00501BAA"/>
    <w:rsid w:val="0050224E"/>
    <w:rsid w:val="00504267"/>
    <w:rsid w:val="00510706"/>
    <w:rsid w:val="00513EF8"/>
    <w:rsid w:val="00515185"/>
    <w:rsid w:val="005151C2"/>
    <w:rsid w:val="005165B1"/>
    <w:rsid w:val="00527904"/>
    <w:rsid w:val="005372A1"/>
    <w:rsid w:val="00541C57"/>
    <w:rsid w:val="00546D52"/>
    <w:rsid w:val="00554D49"/>
    <w:rsid w:val="0056775E"/>
    <w:rsid w:val="00574FD5"/>
    <w:rsid w:val="005832E6"/>
    <w:rsid w:val="005852E1"/>
    <w:rsid w:val="0058616B"/>
    <w:rsid w:val="005876AA"/>
    <w:rsid w:val="00594C62"/>
    <w:rsid w:val="005976DD"/>
    <w:rsid w:val="005A0301"/>
    <w:rsid w:val="005A2032"/>
    <w:rsid w:val="005B71B2"/>
    <w:rsid w:val="005C0B5C"/>
    <w:rsid w:val="005C2A12"/>
    <w:rsid w:val="005C5B4A"/>
    <w:rsid w:val="005C5DED"/>
    <w:rsid w:val="005D1DF9"/>
    <w:rsid w:val="005D59B8"/>
    <w:rsid w:val="005D6198"/>
    <w:rsid w:val="005E49CA"/>
    <w:rsid w:val="005F6903"/>
    <w:rsid w:val="005F70C4"/>
    <w:rsid w:val="00602AC8"/>
    <w:rsid w:val="00614B25"/>
    <w:rsid w:val="00621A79"/>
    <w:rsid w:val="00622A78"/>
    <w:rsid w:val="006240F3"/>
    <w:rsid w:val="00640B1D"/>
    <w:rsid w:val="00641617"/>
    <w:rsid w:val="00642FC4"/>
    <w:rsid w:val="0065153B"/>
    <w:rsid w:val="006551E5"/>
    <w:rsid w:val="00657BB6"/>
    <w:rsid w:val="006602DD"/>
    <w:rsid w:val="006719FE"/>
    <w:rsid w:val="006779DC"/>
    <w:rsid w:val="006803C2"/>
    <w:rsid w:val="00682D3A"/>
    <w:rsid w:val="00686786"/>
    <w:rsid w:val="00692683"/>
    <w:rsid w:val="00693067"/>
    <w:rsid w:val="00697CD6"/>
    <w:rsid w:val="006A1A06"/>
    <w:rsid w:val="006A25D2"/>
    <w:rsid w:val="006B0E7E"/>
    <w:rsid w:val="006B2FFB"/>
    <w:rsid w:val="006B3E2E"/>
    <w:rsid w:val="006C0F2F"/>
    <w:rsid w:val="006E3622"/>
    <w:rsid w:val="006E4359"/>
    <w:rsid w:val="006F7641"/>
    <w:rsid w:val="007035C1"/>
    <w:rsid w:val="00705A9A"/>
    <w:rsid w:val="007075F4"/>
    <w:rsid w:val="007135B8"/>
    <w:rsid w:val="0071410C"/>
    <w:rsid w:val="00714F50"/>
    <w:rsid w:val="00720F2D"/>
    <w:rsid w:val="00723D0E"/>
    <w:rsid w:val="00727008"/>
    <w:rsid w:val="00731FAB"/>
    <w:rsid w:val="00734511"/>
    <w:rsid w:val="0073463E"/>
    <w:rsid w:val="0074682C"/>
    <w:rsid w:val="00760BEC"/>
    <w:rsid w:val="007638DF"/>
    <w:rsid w:val="00763F3A"/>
    <w:rsid w:val="007750EA"/>
    <w:rsid w:val="00780439"/>
    <w:rsid w:val="007841E2"/>
    <w:rsid w:val="007907EB"/>
    <w:rsid w:val="00793C01"/>
    <w:rsid w:val="00794961"/>
    <w:rsid w:val="007965E6"/>
    <w:rsid w:val="007A25F1"/>
    <w:rsid w:val="007A2D1F"/>
    <w:rsid w:val="007A3677"/>
    <w:rsid w:val="007A42B6"/>
    <w:rsid w:val="007A463E"/>
    <w:rsid w:val="007B51E6"/>
    <w:rsid w:val="007C5FD1"/>
    <w:rsid w:val="007D3208"/>
    <w:rsid w:val="007D3BA2"/>
    <w:rsid w:val="007E7796"/>
    <w:rsid w:val="007F02C7"/>
    <w:rsid w:val="007F0597"/>
    <w:rsid w:val="007F6378"/>
    <w:rsid w:val="007F6874"/>
    <w:rsid w:val="00804861"/>
    <w:rsid w:val="00806B5B"/>
    <w:rsid w:val="00810F4A"/>
    <w:rsid w:val="00825D05"/>
    <w:rsid w:val="00827EBC"/>
    <w:rsid w:val="008333C7"/>
    <w:rsid w:val="00835485"/>
    <w:rsid w:val="0084261F"/>
    <w:rsid w:val="008531E1"/>
    <w:rsid w:val="0085594A"/>
    <w:rsid w:val="00861664"/>
    <w:rsid w:val="00871434"/>
    <w:rsid w:val="00874D8B"/>
    <w:rsid w:val="0088559E"/>
    <w:rsid w:val="008871B1"/>
    <w:rsid w:val="00893C31"/>
    <w:rsid w:val="00894A63"/>
    <w:rsid w:val="008A5BC0"/>
    <w:rsid w:val="008B35A4"/>
    <w:rsid w:val="008B4867"/>
    <w:rsid w:val="008C017C"/>
    <w:rsid w:val="008C3B8E"/>
    <w:rsid w:val="008C414C"/>
    <w:rsid w:val="008E155B"/>
    <w:rsid w:val="008E30F2"/>
    <w:rsid w:val="008E609B"/>
    <w:rsid w:val="008F2806"/>
    <w:rsid w:val="0090664D"/>
    <w:rsid w:val="00925067"/>
    <w:rsid w:val="00943AF8"/>
    <w:rsid w:val="00945056"/>
    <w:rsid w:val="009458EB"/>
    <w:rsid w:val="009525BD"/>
    <w:rsid w:val="00963CF1"/>
    <w:rsid w:val="009754E9"/>
    <w:rsid w:val="00975678"/>
    <w:rsid w:val="00982F73"/>
    <w:rsid w:val="00983F9A"/>
    <w:rsid w:val="00984E1D"/>
    <w:rsid w:val="00985755"/>
    <w:rsid w:val="00987EEC"/>
    <w:rsid w:val="009909C0"/>
    <w:rsid w:val="00992142"/>
    <w:rsid w:val="009926DA"/>
    <w:rsid w:val="00992F2F"/>
    <w:rsid w:val="00993619"/>
    <w:rsid w:val="009945E0"/>
    <w:rsid w:val="009A1E41"/>
    <w:rsid w:val="009A5D2C"/>
    <w:rsid w:val="009B0AC7"/>
    <w:rsid w:val="009B7D80"/>
    <w:rsid w:val="009C5AEA"/>
    <w:rsid w:val="009C7F9C"/>
    <w:rsid w:val="009E1F08"/>
    <w:rsid w:val="009E3A66"/>
    <w:rsid w:val="009F695A"/>
    <w:rsid w:val="00A02121"/>
    <w:rsid w:val="00A20632"/>
    <w:rsid w:val="00A232A8"/>
    <w:rsid w:val="00A232BA"/>
    <w:rsid w:val="00A25CA7"/>
    <w:rsid w:val="00A2792F"/>
    <w:rsid w:val="00A30B42"/>
    <w:rsid w:val="00A3146C"/>
    <w:rsid w:val="00A3741A"/>
    <w:rsid w:val="00A375D2"/>
    <w:rsid w:val="00A403C4"/>
    <w:rsid w:val="00A45173"/>
    <w:rsid w:val="00A50D11"/>
    <w:rsid w:val="00A56779"/>
    <w:rsid w:val="00A62C6B"/>
    <w:rsid w:val="00A75DB7"/>
    <w:rsid w:val="00A8370E"/>
    <w:rsid w:val="00A85C85"/>
    <w:rsid w:val="00A86BC0"/>
    <w:rsid w:val="00A938B6"/>
    <w:rsid w:val="00A9429C"/>
    <w:rsid w:val="00A97F31"/>
    <w:rsid w:val="00AA149D"/>
    <w:rsid w:val="00AB1242"/>
    <w:rsid w:val="00AB1801"/>
    <w:rsid w:val="00AC3B5D"/>
    <w:rsid w:val="00AD73BC"/>
    <w:rsid w:val="00AD7AD8"/>
    <w:rsid w:val="00AD7EA9"/>
    <w:rsid w:val="00AE49F6"/>
    <w:rsid w:val="00AE4C61"/>
    <w:rsid w:val="00B015D7"/>
    <w:rsid w:val="00B01C52"/>
    <w:rsid w:val="00B02FF5"/>
    <w:rsid w:val="00B0703B"/>
    <w:rsid w:val="00B10E00"/>
    <w:rsid w:val="00B10E2A"/>
    <w:rsid w:val="00B11957"/>
    <w:rsid w:val="00B172E7"/>
    <w:rsid w:val="00B20387"/>
    <w:rsid w:val="00B26837"/>
    <w:rsid w:val="00B426B5"/>
    <w:rsid w:val="00B50335"/>
    <w:rsid w:val="00B6557F"/>
    <w:rsid w:val="00B8177D"/>
    <w:rsid w:val="00B83A3D"/>
    <w:rsid w:val="00B8571E"/>
    <w:rsid w:val="00BA0968"/>
    <w:rsid w:val="00BB0CB8"/>
    <w:rsid w:val="00BB6120"/>
    <w:rsid w:val="00BC15F1"/>
    <w:rsid w:val="00BC33FC"/>
    <w:rsid w:val="00BD3CF4"/>
    <w:rsid w:val="00BD41EF"/>
    <w:rsid w:val="00BD5846"/>
    <w:rsid w:val="00BD71D7"/>
    <w:rsid w:val="00BE1C42"/>
    <w:rsid w:val="00BE2C83"/>
    <w:rsid w:val="00BE31EF"/>
    <w:rsid w:val="00BE3BC0"/>
    <w:rsid w:val="00BE4420"/>
    <w:rsid w:val="00BE4656"/>
    <w:rsid w:val="00BF17DC"/>
    <w:rsid w:val="00BF2971"/>
    <w:rsid w:val="00BF72BE"/>
    <w:rsid w:val="00C024C8"/>
    <w:rsid w:val="00C030D2"/>
    <w:rsid w:val="00C05356"/>
    <w:rsid w:val="00C05E05"/>
    <w:rsid w:val="00C07BC6"/>
    <w:rsid w:val="00C13654"/>
    <w:rsid w:val="00C315F1"/>
    <w:rsid w:val="00C3579C"/>
    <w:rsid w:val="00C40840"/>
    <w:rsid w:val="00C4357D"/>
    <w:rsid w:val="00C44ADA"/>
    <w:rsid w:val="00C44D4B"/>
    <w:rsid w:val="00C50350"/>
    <w:rsid w:val="00C50B4D"/>
    <w:rsid w:val="00C738BB"/>
    <w:rsid w:val="00C73D76"/>
    <w:rsid w:val="00C83CFC"/>
    <w:rsid w:val="00C9101E"/>
    <w:rsid w:val="00C9231B"/>
    <w:rsid w:val="00CA41EE"/>
    <w:rsid w:val="00CB3D76"/>
    <w:rsid w:val="00CB5786"/>
    <w:rsid w:val="00CB6F69"/>
    <w:rsid w:val="00CC69BD"/>
    <w:rsid w:val="00CD4B7F"/>
    <w:rsid w:val="00CD5726"/>
    <w:rsid w:val="00CD706E"/>
    <w:rsid w:val="00CE30FC"/>
    <w:rsid w:val="00CE373A"/>
    <w:rsid w:val="00CE507B"/>
    <w:rsid w:val="00CF068E"/>
    <w:rsid w:val="00CF0F00"/>
    <w:rsid w:val="00CF3F34"/>
    <w:rsid w:val="00CF4642"/>
    <w:rsid w:val="00CF6E61"/>
    <w:rsid w:val="00D01968"/>
    <w:rsid w:val="00D0246C"/>
    <w:rsid w:val="00D03DB3"/>
    <w:rsid w:val="00D07A28"/>
    <w:rsid w:val="00D131C7"/>
    <w:rsid w:val="00D16839"/>
    <w:rsid w:val="00D211D3"/>
    <w:rsid w:val="00D23373"/>
    <w:rsid w:val="00D236F7"/>
    <w:rsid w:val="00D322F1"/>
    <w:rsid w:val="00D33EB3"/>
    <w:rsid w:val="00D3509A"/>
    <w:rsid w:val="00D412A9"/>
    <w:rsid w:val="00D444D9"/>
    <w:rsid w:val="00D46B19"/>
    <w:rsid w:val="00D53839"/>
    <w:rsid w:val="00D5461A"/>
    <w:rsid w:val="00D63221"/>
    <w:rsid w:val="00D6379B"/>
    <w:rsid w:val="00D63C47"/>
    <w:rsid w:val="00D64569"/>
    <w:rsid w:val="00D67D1F"/>
    <w:rsid w:val="00D87F97"/>
    <w:rsid w:val="00D91FE1"/>
    <w:rsid w:val="00DA4E30"/>
    <w:rsid w:val="00DA51A3"/>
    <w:rsid w:val="00DB7146"/>
    <w:rsid w:val="00DB7360"/>
    <w:rsid w:val="00DB7E9B"/>
    <w:rsid w:val="00DC08F3"/>
    <w:rsid w:val="00DC1585"/>
    <w:rsid w:val="00DC39CF"/>
    <w:rsid w:val="00DC465E"/>
    <w:rsid w:val="00DD2D8C"/>
    <w:rsid w:val="00DD3ADF"/>
    <w:rsid w:val="00DE510E"/>
    <w:rsid w:val="00DF376C"/>
    <w:rsid w:val="00E01A1C"/>
    <w:rsid w:val="00E0440C"/>
    <w:rsid w:val="00E0635A"/>
    <w:rsid w:val="00E122D9"/>
    <w:rsid w:val="00E135FF"/>
    <w:rsid w:val="00E13A81"/>
    <w:rsid w:val="00E15B6F"/>
    <w:rsid w:val="00E16488"/>
    <w:rsid w:val="00E22BB5"/>
    <w:rsid w:val="00E30956"/>
    <w:rsid w:val="00E56453"/>
    <w:rsid w:val="00E71943"/>
    <w:rsid w:val="00E72696"/>
    <w:rsid w:val="00E74410"/>
    <w:rsid w:val="00E868BB"/>
    <w:rsid w:val="00E87F94"/>
    <w:rsid w:val="00E92C4B"/>
    <w:rsid w:val="00E9482C"/>
    <w:rsid w:val="00E9751C"/>
    <w:rsid w:val="00EA2BAD"/>
    <w:rsid w:val="00EA658B"/>
    <w:rsid w:val="00EB046C"/>
    <w:rsid w:val="00EB2126"/>
    <w:rsid w:val="00EB4203"/>
    <w:rsid w:val="00EB56E9"/>
    <w:rsid w:val="00EB6F67"/>
    <w:rsid w:val="00EC475D"/>
    <w:rsid w:val="00ED0E1C"/>
    <w:rsid w:val="00ED20D2"/>
    <w:rsid w:val="00ED2344"/>
    <w:rsid w:val="00ED34D6"/>
    <w:rsid w:val="00ED439C"/>
    <w:rsid w:val="00ED4FD8"/>
    <w:rsid w:val="00EE60C5"/>
    <w:rsid w:val="00EE7E02"/>
    <w:rsid w:val="00EE7F5C"/>
    <w:rsid w:val="00EF2307"/>
    <w:rsid w:val="00EF5D7E"/>
    <w:rsid w:val="00F116E0"/>
    <w:rsid w:val="00F24290"/>
    <w:rsid w:val="00F25603"/>
    <w:rsid w:val="00F26E2F"/>
    <w:rsid w:val="00F3128B"/>
    <w:rsid w:val="00F33C62"/>
    <w:rsid w:val="00F33D6A"/>
    <w:rsid w:val="00F468A7"/>
    <w:rsid w:val="00F507A6"/>
    <w:rsid w:val="00F52BEE"/>
    <w:rsid w:val="00F540B7"/>
    <w:rsid w:val="00F55578"/>
    <w:rsid w:val="00F61D79"/>
    <w:rsid w:val="00F639FB"/>
    <w:rsid w:val="00F67CB7"/>
    <w:rsid w:val="00F70ADA"/>
    <w:rsid w:val="00F72FD7"/>
    <w:rsid w:val="00F80A8A"/>
    <w:rsid w:val="00F830D6"/>
    <w:rsid w:val="00F91BC5"/>
    <w:rsid w:val="00F92556"/>
    <w:rsid w:val="00F92DAB"/>
    <w:rsid w:val="00F94921"/>
    <w:rsid w:val="00FA5F8A"/>
    <w:rsid w:val="00FB1072"/>
    <w:rsid w:val="00FB26C7"/>
    <w:rsid w:val="00FB39E6"/>
    <w:rsid w:val="00FC2B60"/>
    <w:rsid w:val="00FC37B3"/>
    <w:rsid w:val="00FC37BB"/>
    <w:rsid w:val="00FD0C0D"/>
    <w:rsid w:val="00FD28C2"/>
    <w:rsid w:val="00FD38FD"/>
    <w:rsid w:val="00FD3B71"/>
    <w:rsid w:val="00FD4D19"/>
    <w:rsid w:val="00FE7BE1"/>
    <w:rsid w:val="00FF5FD8"/>
    <w:rsid w:val="00FF694B"/>
    <w:rsid w:val="45045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39"/>
    <w:rsid w:val="00B015D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015D7"/>
    <w:pPr>
      <w:ind w:left="720"/>
      <w:contextualSpacing/>
    </w:pPr>
  </w:style>
  <w:style w:type="table" w:customStyle="1" w:styleId="Grigliatabella1">
    <w:name w:val="Griglia tabella1"/>
    <w:basedOn w:val="Tabellanormale"/>
    <w:next w:val="Grigliatabella"/>
    <w:uiPriority w:val="39"/>
    <w:rsid w:val="00574FD5"/>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ED439C"/>
    <w:pPr>
      <w:spacing w:after="200" w:line="240" w:lineRule="auto"/>
    </w:pPr>
    <w:rPr>
      <w:i/>
      <w:iCs/>
      <w:color w:val="44546A" w:themeColor="text2"/>
      <w:sz w:val="18"/>
      <w:szCs w:val="18"/>
    </w:rPr>
  </w:style>
  <w:style w:type="character" w:styleId="Rimandocommento">
    <w:name w:val="annotation reference"/>
    <w:basedOn w:val="Carpredefinitoparagrafo"/>
    <w:uiPriority w:val="99"/>
    <w:semiHidden/>
    <w:unhideWhenUsed/>
    <w:qFormat/>
    <w:rsid w:val="001114A3"/>
    <w:rPr>
      <w:sz w:val="16"/>
      <w:szCs w:val="16"/>
    </w:rPr>
  </w:style>
  <w:style w:type="character" w:customStyle="1" w:styleId="TestocommentoCarattere">
    <w:name w:val="Testo commento Carattere"/>
    <w:basedOn w:val="Carpredefinitoparagrafo"/>
    <w:link w:val="Testocommento"/>
    <w:uiPriority w:val="99"/>
    <w:qFormat/>
    <w:rsid w:val="001114A3"/>
    <w:rPr>
      <w:rFonts w:ascii="Times New Roman" w:hAnsi="Times New Roman"/>
      <w:sz w:val="20"/>
      <w:szCs w:val="20"/>
    </w:rPr>
  </w:style>
  <w:style w:type="paragraph" w:styleId="Testocommento">
    <w:name w:val="annotation text"/>
    <w:basedOn w:val="Normale"/>
    <w:link w:val="TestocommentoCarattere"/>
    <w:uiPriority w:val="99"/>
    <w:unhideWhenUsed/>
    <w:qFormat/>
    <w:rsid w:val="001114A3"/>
    <w:pPr>
      <w:suppressAutoHyphens/>
      <w:spacing w:after="0" w:line="240" w:lineRule="auto"/>
    </w:pPr>
    <w:rPr>
      <w:rFonts w:ascii="Times New Roman" w:hAnsi="Times New Roman"/>
      <w:sz w:val="20"/>
      <w:szCs w:val="20"/>
    </w:rPr>
  </w:style>
  <w:style w:type="character" w:customStyle="1" w:styleId="TestocommentoCarattere1">
    <w:name w:val="Testo commento Carattere1"/>
    <w:basedOn w:val="Carpredefinitoparagrafo"/>
    <w:uiPriority w:val="99"/>
    <w:semiHidden/>
    <w:rsid w:val="001114A3"/>
    <w:rPr>
      <w:sz w:val="20"/>
      <w:szCs w:val="20"/>
    </w:rPr>
  </w:style>
  <w:style w:type="table" w:customStyle="1" w:styleId="Grigliatabella2">
    <w:name w:val="Griglia tabella2"/>
    <w:basedOn w:val="Tabellanormale"/>
    <w:next w:val="Grigliatabella"/>
    <w:uiPriority w:val="39"/>
    <w:rsid w:val="00D01968"/>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E3BC0"/>
    <w:rPr>
      <w:color w:val="808080"/>
    </w:rPr>
  </w:style>
  <w:style w:type="paragraph" w:styleId="Soggettocommento">
    <w:name w:val="annotation subject"/>
    <w:basedOn w:val="Testocommento"/>
    <w:next w:val="Testocommento"/>
    <w:link w:val="SoggettocommentoCarattere"/>
    <w:uiPriority w:val="99"/>
    <w:semiHidden/>
    <w:unhideWhenUsed/>
    <w:rsid w:val="00ED34D6"/>
    <w:pPr>
      <w:suppressAutoHyphens w:val="0"/>
      <w:spacing w:after="160"/>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ED34D6"/>
    <w:rPr>
      <w:rFonts w:ascii="Times New Roman" w:hAnsi="Times New Roman"/>
      <w:b/>
      <w:bCs/>
      <w:sz w:val="20"/>
      <w:szCs w:val="20"/>
    </w:rPr>
  </w:style>
  <w:style w:type="paragraph" w:styleId="Testonotaapidipagina">
    <w:name w:val="footnote text"/>
    <w:basedOn w:val="Normale"/>
    <w:link w:val="TestonotaapidipaginaCarattere"/>
    <w:uiPriority w:val="99"/>
    <w:semiHidden/>
    <w:unhideWhenUsed/>
    <w:rsid w:val="006551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51E5"/>
    <w:rPr>
      <w:sz w:val="20"/>
      <w:szCs w:val="20"/>
      <w:lang w:val="en-GB"/>
    </w:rPr>
  </w:style>
  <w:style w:type="character" w:styleId="Rimandonotaapidipagina">
    <w:name w:val="footnote reference"/>
    <w:basedOn w:val="Carpredefinitoparagrafo"/>
    <w:uiPriority w:val="99"/>
    <w:semiHidden/>
    <w:unhideWhenUsed/>
    <w:rsid w:val="00655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63837">
      <w:bodyDiv w:val="1"/>
      <w:marLeft w:val="0"/>
      <w:marRight w:val="0"/>
      <w:marTop w:val="0"/>
      <w:marBottom w:val="0"/>
      <w:divBdr>
        <w:top w:val="none" w:sz="0" w:space="0" w:color="auto"/>
        <w:left w:val="none" w:sz="0" w:space="0" w:color="auto"/>
        <w:bottom w:val="none" w:sz="0" w:space="0" w:color="auto"/>
        <w:right w:val="none" w:sz="0" w:space="0" w:color="auto"/>
      </w:divBdr>
    </w:div>
    <w:div w:id="1585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7733AAA97061F46B928691EACAF48DC" ma:contentTypeVersion="4" ma:contentTypeDescription="Creare un nuovo documento." ma:contentTypeScope="" ma:versionID="f2004c8007f82e8d7b0762708b670704">
  <xsd:schema xmlns:xsd="http://www.w3.org/2001/XMLSchema" xmlns:xs="http://www.w3.org/2001/XMLSchema" xmlns:p="http://schemas.microsoft.com/office/2006/metadata/properties" xmlns:ns2="9ec23455-25e1-454e-a27b-c45d93eff4a3" targetNamespace="http://schemas.microsoft.com/office/2006/metadata/properties" ma:root="true" ma:fieldsID="ff5a1e33fe29ce107d5147eae7d82f58" ns2:_="">
    <xsd:import namespace="9ec23455-25e1-454e-a27b-c45d93eff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3455-25e1-454e-a27b-c45d93e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5DB56-D43F-4271-A3B0-B69944E305EF}">
  <ds:schemaRefs>
    <ds:schemaRef ds:uri="http://schemas.openxmlformats.org/officeDocument/2006/bibliography"/>
  </ds:schemaRefs>
</ds:datastoreItem>
</file>

<file path=customXml/itemProps2.xml><?xml version="1.0" encoding="utf-8"?>
<ds:datastoreItem xmlns:ds="http://schemas.openxmlformats.org/officeDocument/2006/customXml" ds:itemID="{9464F269-C09A-4A05-8D1C-BEA72030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3455-25e1-454e-a27b-c45d93eff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5179C-E73B-4EAE-ACEF-B462FB9BF417}">
  <ds:schemaRefs>
    <ds:schemaRef ds:uri="http://schemas.microsoft.com/sharepoint/v3/contenttype/forms"/>
  </ds:schemaRefs>
</ds:datastoreItem>
</file>

<file path=customXml/itemProps4.xml><?xml version="1.0" encoding="utf-8"?>
<ds:datastoreItem xmlns:ds="http://schemas.openxmlformats.org/officeDocument/2006/customXml" ds:itemID="{4DDF8396-5088-41E4-BEA8-562FE057B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15964</Words>
  <Characters>90999</Characters>
  <Application>Microsoft Office Word</Application>
  <DocSecurity>0</DocSecurity>
  <Lines>758</Lines>
  <Paragraphs>213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roberta russo</cp:lastModifiedBy>
  <cp:revision>18</cp:revision>
  <cp:lastPrinted>2022-01-31T11:56:00Z</cp:lastPrinted>
  <dcterms:created xsi:type="dcterms:W3CDTF">2022-03-14T14:26:00Z</dcterms:created>
  <dcterms:modified xsi:type="dcterms:W3CDTF">2022-03-14T14:37:00Z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0x01010047733AAA97061F46B928691EACAF48DC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http://www.zotero.org/styles/ocean-engineering</vt:lpwstr>
  </property>
  <property fmtid="{D5CDD505-2E9C-101B-9397-08002B2CF9AE}" pid="20" name="Mendeley Recent Style Name 8_1">
    <vt:lpwstr>Ocean Engineering</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0756ee5f-dddd-36b2-8fb3-aa7898e867d9</vt:lpwstr>
  </property>
  <property fmtid="{D5CDD505-2E9C-101B-9397-08002B2CF9AE}" pid="25" name="Mendeley Citation Style_1">
    <vt:lpwstr>http://www.zotero.org/styles/ieee</vt:lpwstr>
  </property>
</Properties>
</file>