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7CF3E" w14:textId="110CBFCE" w:rsidR="00465AE3" w:rsidRDefault="00465AE3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An electronic nose for COVID-19 detection by means of exhaled breath analysis</w:t>
      </w:r>
    </w:p>
    <w:p w14:paraId="0822D947" w14:textId="37E937D1" w:rsidR="00DA51A3" w:rsidRPr="00785E40" w:rsidRDefault="00785E40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785E40">
        <w:rPr>
          <w:rFonts w:ascii="Times New Roman" w:eastAsia="SimSun" w:hAnsi="Times New Roman"/>
          <w:sz w:val="24"/>
          <w:szCs w:val="24"/>
          <w:lang w:eastAsia="zh-CN"/>
        </w:rPr>
        <w:t>Stefano Robbiani</w:t>
      </w:r>
      <w:r w:rsidRPr="00785E40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Pr="00785E40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7524FF" w:rsidRPr="00785E40">
        <w:rPr>
          <w:rFonts w:ascii="Times New Roman" w:eastAsia="SimSun" w:hAnsi="Times New Roman"/>
          <w:sz w:val="24"/>
          <w:szCs w:val="24"/>
          <w:u w:val="single"/>
          <w:lang w:eastAsia="zh-CN"/>
        </w:rPr>
        <w:t>Carmen Bax</w:t>
      </w:r>
      <w:r w:rsidR="007524FF" w:rsidRPr="00785E40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1*</w:t>
      </w:r>
      <w:r w:rsidR="007524FF" w:rsidRPr="00785E40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>
        <w:rPr>
          <w:rFonts w:ascii="Times New Roman" w:eastAsia="SimSun" w:hAnsi="Times New Roman"/>
          <w:sz w:val="24"/>
          <w:szCs w:val="24"/>
          <w:lang w:eastAsia="zh-CN"/>
        </w:rPr>
        <w:t>Emanuela Zannin</w:t>
      </w:r>
      <w:r w:rsidRPr="00540A83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="SimSun" w:hAnsi="Times New Roman"/>
          <w:sz w:val="24"/>
          <w:szCs w:val="24"/>
          <w:lang w:eastAsia="zh-CN"/>
        </w:rPr>
        <w:t>, Christian Ratti</w:t>
      </w:r>
      <w:r w:rsidRPr="00540A83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>
        <w:rPr>
          <w:rFonts w:ascii="Times New Roman" w:eastAsia="SimSun" w:hAnsi="Times New Roman"/>
          <w:sz w:val="24"/>
          <w:szCs w:val="24"/>
          <w:lang w:eastAsia="zh-CN"/>
        </w:rPr>
        <w:t>, Simone Bonetti</w:t>
      </w:r>
      <w:r w:rsidRPr="00540A83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SimSun" w:hAnsi="Times New Roman"/>
          <w:sz w:val="24"/>
          <w:szCs w:val="24"/>
          <w:lang w:eastAsia="zh-CN"/>
        </w:rPr>
        <w:t>, Luca Novelli</w:t>
      </w:r>
      <w:r w:rsidRPr="00540A83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SimSun" w:hAnsi="Times New Roman"/>
          <w:sz w:val="24"/>
          <w:szCs w:val="24"/>
          <w:lang w:eastAsia="zh-CN"/>
        </w:rPr>
        <w:t>, Federico Raimondi</w:t>
      </w:r>
      <w:r w:rsidRPr="00540A83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SimSun" w:hAnsi="Times New Roman"/>
          <w:sz w:val="24"/>
          <w:szCs w:val="24"/>
          <w:lang w:eastAsia="zh-CN"/>
        </w:rPr>
        <w:t>, Fabiano Di Marco</w:t>
      </w:r>
      <w:r w:rsidRPr="00540A83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3,4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785E40">
        <w:rPr>
          <w:rFonts w:ascii="Times New Roman" w:eastAsia="SimSun" w:hAnsi="Times New Roman"/>
          <w:sz w:val="24"/>
          <w:szCs w:val="24"/>
          <w:lang w:eastAsia="zh-CN"/>
        </w:rPr>
        <w:t>Raffaele Dellacà</w:t>
      </w:r>
      <w:r w:rsidRPr="00540A83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Pr="00785E40">
        <w:rPr>
          <w:rFonts w:ascii="Times New Roman" w:eastAsia="SimSun" w:hAnsi="Times New Roman"/>
          <w:sz w:val="24"/>
          <w:szCs w:val="24"/>
          <w:lang w:eastAsia="zh-CN"/>
        </w:rPr>
        <w:t>, Laura Capelli</w:t>
      </w:r>
      <w:r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</w:p>
    <w:p w14:paraId="3BF6211B" w14:textId="723799A6" w:rsidR="00785E40" w:rsidRPr="00C00826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</w:rPr>
      </w:pPr>
      <w:r w:rsidRPr="00C00826">
        <w:rPr>
          <w:rFonts w:ascii="Times New Roman" w:eastAsia="MS PGothic" w:hAnsi="Times New Roman"/>
          <w:i/>
          <w:iCs/>
          <w:sz w:val="20"/>
        </w:rPr>
        <w:t xml:space="preserve">1 </w:t>
      </w:r>
      <w:r w:rsidR="00785E40" w:rsidRPr="00C00826">
        <w:rPr>
          <w:rFonts w:ascii="Times New Roman" w:eastAsia="MS PGothic" w:hAnsi="Times New Roman"/>
          <w:i/>
          <w:iCs/>
          <w:sz w:val="20"/>
        </w:rPr>
        <w:t>Politecnico di Milano, Department of Chemistry, Materials and Chemical Engineering, piazza Leonardo da Vinci 32, 20133 Milano</w:t>
      </w:r>
    </w:p>
    <w:p w14:paraId="6C60D801" w14:textId="77777777" w:rsidR="00A4187B" w:rsidRPr="00A4187B" w:rsidRDefault="00DA51A3" w:rsidP="00A4187B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</w:rPr>
      </w:pPr>
      <w:r w:rsidRPr="00C00826">
        <w:rPr>
          <w:rFonts w:ascii="Times New Roman" w:eastAsia="MS PGothic" w:hAnsi="Times New Roman"/>
          <w:i/>
          <w:iCs/>
          <w:sz w:val="20"/>
        </w:rPr>
        <w:t xml:space="preserve">2 </w:t>
      </w:r>
      <w:r w:rsidR="00785E40" w:rsidRPr="00C00826">
        <w:rPr>
          <w:rFonts w:ascii="Times New Roman" w:eastAsia="MS PGothic" w:hAnsi="Times New Roman"/>
          <w:i/>
          <w:iCs/>
          <w:sz w:val="20"/>
        </w:rPr>
        <w:t xml:space="preserve">Politecnico di Milano, </w:t>
      </w:r>
      <w:r w:rsidR="00C00826" w:rsidRPr="00C00826">
        <w:rPr>
          <w:rFonts w:ascii="Times New Roman" w:eastAsia="MS PGothic" w:hAnsi="Times New Roman"/>
          <w:i/>
          <w:iCs/>
          <w:sz w:val="20"/>
        </w:rPr>
        <w:t xml:space="preserve">Department of Electronics Information and Bioengineering (DEIB), </w:t>
      </w:r>
      <w:r w:rsidR="00C00826">
        <w:rPr>
          <w:rFonts w:ascii="Times New Roman" w:eastAsia="MS PGothic" w:hAnsi="Times New Roman"/>
          <w:i/>
          <w:iCs/>
          <w:sz w:val="20"/>
        </w:rPr>
        <w:t>via Colombo 40, 20133 Milano</w:t>
      </w:r>
    </w:p>
    <w:p w14:paraId="5A4B9E57" w14:textId="11E733F5" w:rsidR="00550C0B" w:rsidRPr="00550C0B" w:rsidRDefault="00550C0B" w:rsidP="00550C0B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</w:rPr>
      </w:pPr>
      <w:r w:rsidRPr="00550C0B">
        <w:rPr>
          <w:rFonts w:ascii="Times New Roman" w:eastAsia="MS PGothic" w:hAnsi="Times New Roman"/>
          <w:i/>
          <w:iCs/>
          <w:sz w:val="20"/>
        </w:rPr>
        <w:t>3</w:t>
      </w:r>
      <w:r>
        <w:rPr>
          <w:rFonts w:ascii="Times New Roman" w:eastAsia="MS PGothic" w:hAnsi="Times New Roman"/>
          <w:i/>
          <w:iCs/>
          <w:sz w:val="20"/>
        </w:rPr>
        <w:t xml:space="preserve"> </w:t>
      </w:r>
      <w:r w:rsidRPr="00550C0B">
        <w:rPr>
          <w:rFonts w:ascii="Times New Roman" w:eastAsia="MS PGothic" w:hAnsi="Times New Roman"/>
          <w:i/>
          <w:iCs/>
          <w:sz w:val="20"/>
        </w:rPr>
        <w:t>Azienda Ospedaliera Socio Sanitaria Territoriale Papa Giovanni XXIII, Un</w:t>
      </w:r>
      <w:r w:rsidR="005B6645">
        <w:rPr>
          <w:rFonts w:ascii="Times New Roman" w:eastAsia="MS PGothic" w:hAnsi="Times New Roman"/>
          <w:i/>
          <w:iCs/>
          <w:sz w:val="20"/>
        </w:rPr>
        <w:t xml:space="preserve">it of </w:t>
      </w:r>
      <w:bookmarkStart w:id="0" w:name="_GoBack"/>
      <w:r w:rsidR="005B6645">
        <w:rPr>
          <w:rFonts w:ascii="Times New Roman" w:eastAsia="MS PGothic" w:hAnsi="Times New Roman"/>
          <w:i/>
          <w:iCs/>
          <w:sz w:val="20"/>
        </w:rPr>
        <w:t>Pneumology</w:t>
      </w:r>
      <w:bookmarkEnd w:id="0"/>
      <w:r w:rsidR="005B6645">
        <w:rPr>
          <w:rFonts w:ascii="Times New Roman" w:eastAsia="MS PGothic" w:hAnsi="Times New Roman"/>
          <w:i/>
          <w:iCs/>
          <w:sz w:val="20"/>
        </w:rPr>
        <w:t xml:space="preserve">, </w:t>
      </w:r>
      <w:r w:rsidR="00AA1719">
        <w:rPr>
          <w:rFonts w:ascii="Times New Roman" w:eastAsia="MS PGothic" w:hAnsi="Times New Roman"/>
          <w:i/>
          <w:iCs/>
          <w:sz w:val="20"/>
        </w:rPr>
        <w:t xml:space="preserve">24127 </w:t>
      </w:r>
      <w:r w:rsidR="005B6645">
        <w:rPr>
          <w:rFonts w:ascii="Times New Roman" w:eastAsia="MS PGothic" w:hAnsi="Times New Roman"/>
          <w:i/>
          <w:iCs/>
          <w:sz w:val="20"/>
        </w:rPr>
        <w:t>Bergamo</w:t>
      </w:r>
    </w:p>
    <w:p w14:paraId="220652BD" w14:textId="7074F98F" w:rsidR="009D7FB9" w:rsidRPr="00550C0B" w:rsidRDefault="00550C0B" w:rsidP="00550C0B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550C0B">
        <w:rPr>
          <w:rFonts w:ascii="Times New Roman" w:eastAsia="MS PGothic" w:hAnsi="Times New Roman"/>
          <w:i/>
          <w:iCs/>
          <w:sz w:val="20"/>
          <w:lang w:val="en-US"/>
        </w:rPr>
        <w:t>4</w:t>
      </w:r>
      <w:r>
        <w:rPr>
          <w:rFonts w:ascii="Times New Roman" w:eastAsia="MS PGothic" w:hAnsi="Times New Roman"/>
          <w:i/>
          <w:iCs/>
          <w:sz w:val="20"/>
          <w:lang w:val="en-US"/>
        </w:rPr>
        <w:t xml:space="preserve"> </w:t>
      </w:r>
      <w:r w:rsidRPr="00550C0B">
        <w:rPr>
          <w:rFonts w:ascii="Times New Roman" w:eastAsia="MS PGothic" w:hAnsi="Times New Roman"/>
          <w:i/>
          <w:iCs/>
          <w:sz w:val="20"/>
          <w:lang w:val="en-US"/>
        </w:rPr>
        <w:t xml:space="preserve">Università degli Studi di Milano, Department of Health Sciences, </w:t>
      </w:r>
      <w:r w:rsidR="00AA1719">
        <w:rPr>
          <w:rFonts w:ascii="Times New Roman" w:eastAsia="MS PGothic" w:hAnsi="Times New Roman"/>
          <w:i/>
          <w:iCs/>
          <w:sz w:val="20"/>
          <w:lang w:val="en-US"/>
        </w:rPr>
        <w:t xml:space="preserve">20142 </w:t>
      </w:r>
      <w:r w:rsidR="005B6645">
        <w:rPr>
          <w:rFonts w:ascii="Times New Roman" w:eastAsia="MS PGothic" w:hAnsi="Times New Roman"/>
          <w:i/>
          <w:iCs/>
          <w:sz w:val="20"/>
          <w:lang w:val="en-US"/>
        </w:rPr>
        <w:t>Milan</w:t>
      </w:r>
      <w:r w:rsidR="00AA1719">
        <w:rPr>
          <w:rFonts w:ascii="Times New Roman" w:eastAsia="MS PGothic" w:hAnsi="Times New Roman"/>
          <w:i/>
          <w:iCs/>
          <w:sz w:val="20"/>
          <w:lang w:val="en-US"/>
        </w:rPr>
        <w:t>o</w:t>
      </w:r>
    </w:p>
    <w:p w14:paraId="67A0DC0C" w14:textId="77777777" w:rsidR="00DA51A3" w:rsidRPr="000570F8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GB"/>
        </w:rPr>
      </w:pPr>
      <w:r w:rsidRPr="000570F8">
        <w:rPr>
          <w:rFonts w:ascii="Times New Roman" w:eastAsia="MS PGothic" w:hAnsi="Times New Roman"/>
          <w:bCs/>
          <w:i/>
          <w:iCs/>
          <w:sz w:val="20"/>
          <w:lang w:val="en-GB"/>
        </w:rPr>
        <w:t>*Corresponding author</w:t>
      </w:r>
      <w:r w:rsidRPr="000570F8">
        <w:rPr>
          <w:rFonts w:ascii="Times New Roman" w:eastAsia="MS PGothic" w:hAnsi="Times New Roman"/>
          <w:bCs/>
          <w:i/>
          <w:iCs/>
          <w:sz w:val="20"/>
          <w:lang w:val="en-GB" w:eastAsia="ko-KR"/>
        </w:rPr>
        <w:t xml:space="preserve"> E-Mail: </w:t>
      </w:r>
      <w:r w:rsidRPr="000570F8">
        <w:rPr>
          <w:rFonts w:ascii="Times New Roman" w:eastAsia="MS PGothic" w:hAnsi="Times New Roman"/>
          <w:bCs/>
          <w:i/>
          <w:iCs/>
          <w:sz w:val="20"/>
          <w:lang w:val="en-GB"/>
        </w:rPr>
        <w:t xml:space="preserve"> </w:t>
      </w:r>
      <w:r w:rsidR="00C00826" w:rsidRPr="000570F8">
        <w:rPr>
          <w:rFonts w:ascii="Times New Roman" w:eastAsia="MS PGothic" w:hAnsi="Times New Roman"/>
          <w:bCs/>
          <w:i/>
          <w:iCs/>
          <w:sz w:val="20"/>
          <w:lang w:val="en-GB"/>
        </w:rPr>
        <w:t>carmen.bax</w:t>
      </w:r>
      <w:r w:rsidRPr="000570F8">
        <w:rPr>
          <w:rFonts w:ascii="Times New Roman" w:eastAsia="MS PGothic" w:hAnsi="Times New Roman"/>
          <w:bCs/>
          <w:i/>
          <w:iCs/>
          <w:sz w:val="20"/>
          <w:lang w:val="en-GB"/>
        </w:rPr>
        <w:t>@</w:t>
      </w:r>
      <w:r w:rsidR="00C00826" w:rsidRPr="000570F8">
        <w:rPr>
          <w:rFonts w:ascii="Times New Roman" w:eastAsia="MS PGothic" w:hAnsi="Times New Roman"/>
          <w:bCs/>
          <w:i/>
          <w:iCs/>
          <w:sz w:val="20"/>
          <w:lang w:val="en-GB"/>
        </w:rPr>
        <w:t>polimi.it</w:t>
      </w:r>
    </w:p>
    <w:p w14:paraId="2126ABD3" w14:textId="77777777" w:rsidR="00DA51A3" w:rsidRPr="000570F8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GB" w:eastAsia="zh-CN"/>
        </w:rPr>
      </w:pPr>
    </w:p>
    <w:p w14:paraId="639A93F8" w14:textId="5AC05345" w:rsidR="00DA51A3" w:rsidRPr="00466FFD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4B129D">
        <w:rPr>
          <w:rFonts w:ascii="Times New Roman" w:eastAsia="MS PGothic" w:hAnsi="Times New Roman"/>
          <w:b/>
          <w:bCs/>
          <w:lang w:val="en-US"/>
        </w:rPr>
        <w:t xml:space="preserve"> 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47BD7064" w14:textId="515D6D9E" w:rsidR="00BC09B9" w:rsidRDefault="00465AE3" w:rsidP="00CE15A0">
      <w:pPr>
        <w:snapToGrid w:val="0"/>
        <w:spacing w:after="12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The COVID-19 </w:t>
      </w:r>
      <w:r w:rsidR="00391750">
        <w:rPr>
          <w:rFonts w:ascii="Times New Roman" w:eastAsia="MS PGothic" w:hAnsi="Times New Roman"/>
          <w:lang w:val="en-US"/>
        </w:rPr>
        <w:t>has revolutionized our lives, and imposed extraordinary</w:t>
      </w:r>
      <w:r w:rsidR="009B4C9A">
        <w:rPr>
          <w:rFonts w:ascii="Times New Roman" w:eastAsia="MS PGothic" w:hAnsi="Times New Roman"/>
          <w:lang w:val="en-US"/>
        </w:rPr>
        <w:t xml:space="preserve"> and new</w:t>
      </w:r>
      <w:r w:rsidR="00391750">
        <w:rPr>
          <w:rFonts w:ascii="Times New Roman" w:eastAsia="MS PGothic" w:hAnsi="Times New Roman"/>
          <w:lang w:val="en-US"/>
        </w:rPr>
        <w:t xml:space="preserve"> challenges on </w:t>
      </w:r>
      <w:r w:rsidR="00176295">
        <w:rPr>
          <w:rFonts w:ascii="Times New Roman" w:eastAsia="MS PGothic" w:hAnsi="Times New Roman"/>
          <w:lang w:val="en-US"/>
        </w:rPr>
        <w:t xml:space="preserve">the scientific community </w:t>
      </w:r>
      <w:r w:rsidR="00391750">
        <w:rPr>
          <w:rFonts w:ascii="Times New Roman" w:eastAsia="MS PGothic" w:hAnsi="Times New Roman"/>
          <w:lang w:val="en-US"/>
        </w:rPr>
        <w:t>worldwide</w:t>
      </w:r>
      <w:r w:rsidR="00632476">
        <w:rPr>
          <w:rFonts w:ascii="Times New Roman" w:eastAsia="MS PGothic" w:hAnsi="Times New Roman"/>
          <w:lang w:val="en-US"/>
        </w:rPr>
        <w:t xml:space="preserve"> </w:t>
      </w:r>
      <w:r w:rsidR="00BA6964" w:rsidRPr="00BA6964">
        <w:rPr>
          <w:rFonts w:ascii="Times New Roman" w:eastAsia="MS PGothic" w:hAnsi="Times New Roman"/>
          <w:noProof/>
          <w:vertAlign w:val="superscript"/>
          <w:lang w:val="en-US"/>
        </w:rPr>
        <w:t>1</w:t>
      </w:r>
      <w:r w:rsidR="00391750">
        <w:rPr>
          <w:rFonts w:ascii="Times New Roman" w:eastAsia="MS PGothic" w:hAnsi="Times New Roman"/>
          <w:lang w:val="en-US"/>
        </w:rPr>
        <w:t xml:space="preserve">. </w:t>
      </w:r>
      <w:r w:rsidR="009B4C9A">
        <w:rPr>
          <w:rFonts w:ascii="Times New Roman" w:eastAsia="MS PGothic" w:hAnsi="Times New Roman"/>
          <w:lang w:val="en-US"/>
        </w:rPr>
        <w:t>In this context, chemical engineering has offered methods and technologies to face with t</w:t>
      </w:r>
      <w:r w:rsidR="00176295">
        <w:rPr>
          <w:rFonts w:ascii="Times New Roman" w:eastAsia="MS PGothic" w:hAnsi="Times New Roman"/>
          <w:lang w:val="en-US"/>
        </w:rPr>
        <w:t xml:space="preserve">he emergency. </w:t>
      </w:r>
      <w:r w:rsidR="007074CF">
        <w:rPr>
          <w:rFonts w:ascii="Times New Roman" w:eastAsia="MS PGothic" w:hAnsi="Times New Roman"/>
          <w:lang w:val="en-US"/>
        </w:rPr>
        <w:t>More in detail, c</w:t>
      </w:r>
      <w:r w:rsidR="00176295">
        <w:rPr>
          <w:rFonts w:ascii="Times New Roman" w:eastAsia="MS PGothic" w:hAnsi="Times New Roman"/>
          <w:lang w:val="en-US"/>
        </w:rPr>
        <w:t xml:space="preserve">hemical engineers around the word have focused on </w:t>
      </w:r>
      <w:r w:rsidR="009B4C9A">
        <w:rPr>
          <w:rFonts w:ascii="Times New Roman" w:eastAsia="MS PGothic" w:hAnsi="Times New Roman"/>
          <w:lang w:val="en-US"/>
        </w:rPr>
        <w:t>various aspects associated to the COVID-19</w:t>
      </w:r>
      <w:r w:rsidR="00176295">
        <w:rPr>
          <w:rFonts w:ascii="Times New Roman" w:eastAsia="MS PGothic" w:hAnsi="Times New Roman"/>
          <w:lang w:val="en-US"/>
        </w:rPr>
        <w:t xml:space="preserve"> pandemic</w:t>
      </w:r>
      <w:r w:rsidR="009B4C9A">
        <w:rPr>
          <w:rFonts w:ascii="Times New Roman" w:eastAsia="MS PGothic" w:hAnsi="Times New Roman"/>
          <w:lang w:val="en-US"/>
        </w:rPr>
        <w:t>, such as</w:t>
      </w:r>
      <w:r w:rsidR="0027799E">
        <w:rPr>
          <w:rFonts w:ascii="Times New Roman" w:eastAsia="MS PGothic" w:hAnsi="Times New Roman"/>
          <w:lang w:val="en-US"/>
        </w:rPr>
        <w:t xml:space="preserve"> </w:t>
      </w:r>
      <w:r w:rsidR="00176295">
        <w:rPr>
          <w:rFonts w:ascii="Times New Roman" w:eastAsia="MS PGothic" w:hAnsi="Times New Roman"/>
          <w:lang w:val="en-US"/>
        </w:rPr>
        <w:t xml:space="preserve">the study of </w:t>
      </w:r>
      <w:r w:rsidR="00FB6E07">
        <w:rPr>
          <w:rFonts w:ascii="Times New Roman" w:eastAsia="MS PGothic" w:hAnsi="Times New Roman"/>
          <w:lang w:val="en-US"/>
        </w:rPr>
        <w:t xml:space="preserve">the </w:t>
      </w:r>
      <w:r w:rsidR="00176295">
        <w:rPr>
          <w:rFonts w:ascii="Times New Roman" w:eastAsia="MS PGothic" w:hAnsi="Times New Roman"/>
          <w:lang w:val="en-US"/>
        </w:rPr>
        <w:t>nature</w:t>
      </w:r>
      <w:r w:rsidR="00FB6E07">
        <w:rPr>
          <w:rFonts w:ascii="Times New Roman" w:eastAsia="MS PGothic" w:hAnsi="Times New Roman"/>
          <w:lang w:val="en-US"/>
        </w:rPr>
        <w:t xml:space="preserve"> and</w:t>
      </w:r>
      <w:r w:rsidR="00176295">
        <w:rPr>
          <w:rFonts w:ascii="Times New Roman" w:eastAsia="MS PGothic" w:hAnsi="Times New Roman"/>
          <w:lang w:val="en-US"/>
        </w:rPr>
        <w:t xml:space="preserve"> physiological mechanism</w:t>
      </w:r>
      <w:r w:rsidR="00FB6E07">
        <w:rPr>
          <w:rFonts w:ascii="Times New Roman" w:eastAsia="MS PGothic" w:hAnsi="Times New Roman"/>
          <w:lang w:val="en-US"/>
        </w:rPr>
        <w:t>s of the virus</w:t>
      </w:r>
      <w:r w:rsidR="00632476">
        <w:rPr>
          <w:rFonts w:ascii="Times New Roman" w:eastAsia="MS PGothic" w:hAnsi="Times New Roman"/>
          <w:lang w:val="en-US"/>
        </w:rPr>
        <w:t xml:space="preserve"> </w:t>
      </w:r>
      <w:r w:rsidR="00BA6964" w:rsidRPr="00BA6964">
        <w:rPr>
          <w:rFonts w:ascii="Times New Roman" w:eastAsia="MS PGothic" w:hAnsi="Times New Roman"/>
          <w:noProof/>
          <w:vertAlign w:val="superscript"/>
          <w:lang w:val="en-US"/>
        </w:rPr>
        <w:t>2</w:t>
      </w:r>
      <w:r w:rsidR="00176295">
        <w:rPr>
          <w:rFonts w:ascii="Times New Roman" w:eastAsia="MS PGothic" w:hAnsi="Times New Roman"/>
          <w:lang w:val="en-US"/>
        </w:rPr>
        <w:t xml:space="preserve">, </w:t>
      </w:r>
      <w:r w:rsidR="0027799E">
        <w:rPr>
          <w:rFonts w:ascii="Times New Roman" w:eastAsia="MS PGothic" w:hAnsi="Times New Roman"/>
          <w:lang w:val="en-US"/>
        </w:rPr>
        <w:t>transport mechanisms in the atmosphere</w:t>
      </w:r>
      <w:r w:rsidR="00632476">
        <w:rPr>
          <w:rFonts w:ascii="Times New Roman" w:eastAsia="MS PGothic" w:hAnsi="Times New Roman"/>
          <w:lang w:val="en-US"/>
        </w:rPr>
        <w:t xml:space="preserve"> </w:t>
      </w:r>
      <w:r w:rsidR="00BA6964" w:rsidRPr="00BA6964">
        <w:rPr>
          <w:rFonts w:ascii="Times New Roman" w:eastAsia="MS PGothic" w:hAnsi="Times New Roman"/>
          <w:noProof/>
          <w:vertAlign w:val="superscript"/>
          <w:lang w:val="en-US"/>
        </w:rPr>
        <w:t>3</w:t>
      </w:r>
      <w:r w:rsidR="0027799E">
        <w:rPr>
          <w:rFonts w:ascii="Times New Roman" w:eastAsia="MS PGothic" w:hAnsi="Times New Roman"/>
          <w:lang w:val="en-US"/>
        </w:rPr>
        <w:t xml:space="preserve">, </w:t>
      </w:r>
      <w:r w:rsidR="00B9692A">
        <w:rPr>
          <w:rFonts w:ascii="Times New Roman" w:eastAsia="MS PGothic" w:hAnsi="Times New Roman"/>
          <w:lang w:val="en-US"/>
        </w:rPr>
        <w:t>virus</w:t>
      </w:r>
      <w:r w:rsidR="00FB6E07">
        <w:rPr>
          <w:rFonts w:ascii="Times New Roman" w:eastAsia="MS PGothic" w:hAnsi="Times New Roman"/>
          <w:lang w:val="en-US"/>
        </w:rPr>
        <w:t xml:space="preserve"> stability on materials (e.g., plastic, steel, glass, paper) constituting everyday objects,</w:t>
      </w:r>
      <w:r w:rsidR="0027799E">
        <w:rPr>
          <w:rFonts w:ascii="Times New Roman" w:eastAsia="MS PGothic" w:hAnsi="Times New Roman"/>
          <w:lang w:val="en-US"/>
        </w:rPr>
        <w:t xml:space="preserve"> the production and testing of face masks</w:t>
      </w:r>
      <w:r w:rsidR="00632476">
        <w:rPr>
          <w:rFonts w:ascii="Times New Roman" w:eastAsia="MS PGothic" w:hAnsi="Times New Roman"/>
          <w:lang w:val="en-US"/>
        </w:rPr>
        <w:t xml:space="preserve"> </w:t>
      </w:r>
      <w:r w:rsidR="00BA6964" w:rsidRPr="00BA6964">
        <w:rPr>
          <w:rFonts w:ascii="Times New Roman" w:eastAsia="MS PGothic" w:hAnsi="Times New Roman"/>
          <w:noProof/>
          <w:vertAlign w:val="superscript"/>
          <w:lang w:val="en-US"/>
        </w:rPr>
        <w:t>4</w:t>
      </w:r>
      <w:r w:rsidR="0027799E">
        <w:rPr>
          <w:rFonts w:ascii="Times New Roman" w:eastAsia="MS PGothic" w:hAnsi="Times New Roman"/>
          <w:lang w:val="en-US"/>
        </w:rPr>
        <w:t xml:space="preserve">, </w:t>
      </w:r>
      <w:r w:rsidR="002C33EC">
        <w:rPr>
          <w:rFonts w:ascii="Times New Roman" w:eastAsia="MS PGothic" w:hAnsi="Times New Roman"/>
          <w:lang w:val="en-US"/>
        </w:rPr>
        <w:t>and</w:t>
      </w:r>
      <w:r w:rsidR="00FB6E07">
        <w:rPr>
          <w:rFonts w:ascii="Times New Roman" w:eastAsia="MS PGothic" w:hAnsi="Times New Roman"/>
          <w:lang w:val="en-US"/>
        </w:rPr>
        <w:t xml:space="preserve"> </w:t>
      </w:r>
      <w:r w:rsidR="00204741">
        <w:rPr>
          <w:rFonts w:ascii="Times New Roman" w:eastAsia="MS PGothic" w:hAnsi="Times New Roman"/>
          <w:lang w:val="en-US"/>
        </w:rPr>
        <w:t>the research on</w:t>
      </w:r>
      <w:r w:rsidR="00B32A19">
        <w:rPr>
          <w:rFonts w:ascii="Times New Roman" w:eastAsia="MS PGothic" w:hAnsi="Times New Roman"/>
          <w:lang w:val="en-US"/>
        </w:rPr>
        <w:t xml:space="preserve"> </w:t>
      </w:r>
      <w:r w:rsidR="0027799E">
        <w:rPr>
          <w:rFonts w:ascii="Times New Roman" w:eastAsia="MS PGothic" w:hAnsi="Times New Roman"/>
          <w:lang w:val="en-US"/>
        </w:rPr>
        <w:t xml:space="preserve">vaccines, drugs and </w:t>
      </w:r>
      <w:r w:rsidR="00B32A19">
        <w:rPr>
          <w:rFonts w:ascii="Times New Roman" w:eastAsia="MS PGothic" w:hAnsi="Times New Roman"/>
          <w:lang w:val="en-US"/>
        </w:rPr>
        <w:t xml:space="preserve">novel chemicals </w:t>
      </w:r>
      <w:r w:rsidR="00204741">
        <w:rPr>
          <w:rFonts w:ascii="Times New Roman" w:eastAsia="MS PGothic" w:hAnsi="Times New Roman"/>
          <w:lang w:val="en-US"/>
        </w:rPr>
        <w:t xml:space="preserve">or technologies </w:t>
      </w:r>
      <w:r w:rsidR="00B32A19">
        <w:rPr>
          <w:rFonts w:ascii="Times New Roman" w:eastAsia="MS PGothic" w:hAnsi="Times New Roman"/>
          <w:lang w:val="en-US"/>
        </w:rPr>
        <w:t>for disinfections</w:t>
      </w:r>
      <w:r w:rsidR="00632476">
        <w:rPr>
          <w:rFonts w:ascii="Times New Roman" w:eastAsia="MS PGothic" w:hAnsi="Times New Roman"/>
          <w:lang w:val="en-US"/>
        </w:rPr>
        <w:t xml:space="preserve"> </w:t>
      </w:r>
      <w:r w:rsidR="00BA6964" w:rsidRPr="00BA6964">
        <w:rPr>
          <w:rFonts w:ascii="Times New Roman" w:eastAsia="MS PGothic" w:hAnsi="Times New Roman"/>
          <w:noProof/>
          <w:vertAlign w:val="superscript"/>
          <w:lang w:val="en-US"/>
        </w:rPr>
        <w:t>5-7</w:t>
      </w:r>
      <w:r w:rsidR="009B4C9A">
        <w:rPr>
          <w:rFonts w:ascii="Times New Roman" w:eastAsia="MS PGothic" w:hAnsi="Times New Roman"/>
          <w:lang w:val="en-US"/>
        </w:rPr>
        <w:t>.</w:t>
      </w:r>
    </w:p>
    <w:p w14:paraId="6F219B07" w14:textId="150CF53F" w:rsidR="00763913" w:rsidRDefault="00F06727" w:rsidP="00173854">
      <w:pPr>
        <w:snapToGrid w:val="0"/>
        <w:spacing w:after="12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M</w:t>
      </w:r>
      <w:r w:rsidR="000B4EB2">
        <w:rPr>
          <w:rFonts w:ascii="Times New Roman" w:eastAsia="MS PGothic" w:hAnsi="Times New Roman"/>
          <w:lang w:val="en-US"/>
        </w:rPr>
        <w:t>any</w:t>
      </w:r>
      <w:r>
        <w:rPr>
          <w:rFonts w:ascii="Times New Roman" w:eastAsia="MS PGothic" w:hAnsi="Times New Roman"/>
          <w:lang w:val="en-US"/>
        </w:rPr>
        <w:t xml:space="preserve"> efforts were</w:t>
      </w:r>
      <w:r w:rsidR="000B4EB2">
        <w:rPr>
          <w:rFonts w:ascii="Times New Roman" w:eastAsia="MS PGothic" w:hAnsi="Times New Roman"/>
          <w:lang w:val="en-US"/>
        </w:rPr>
        <w:t xml:space="preserve"> also</w:t>
      </w:r>
      <w:r>
        <w:rPr>
          <w:rFonts w:ascii="Times New Roman" w:eastAsia="MS PGothic" w:hAnsi="Times New Roman"/>
          <w:lang w:val="en-US"/>
        </w:rPr>
        <w:t xml:space="preserve"> dev</w:t>
      </w:r>
      <w:r w:rsidR="00204741">
        <w:rPr>
          <w:rFonts w:ascii="Times New Roman" w:eastAsia="MS PGothic" w:hAnsi="Times New Roman"/>
          <w:lang w:val="en-US"/>
        </w:rPr>
        <w:t>oted to diagnosis</w:t>
      </w:r>
      <w:r w:rsidR="00763913">
        <w:rPr>
          <w:rFonts w:ascii="Times New Roman" w:eastAsia="MS PGothic" w:hAnsi="Times New Roman"/>
          <w:lang w:val="en-US"/>
        </w:rPr>
        <w:t xml:space="preserve">. </w:t>
      </w:r>
      <w:r w:rsidR="00173854" w:rsidRPr="00173854">
        <w:rPr>
          <w:rFonts w:ascii="Times New Roman" w:eastAsia="MS PGothic" w:hAnsi="Times New Roman"/>
          <w:lang w:val="en-US"/>
        </w:rPr>
        <w:t>The SARS-CoV-2 can cause fever, cough and even respiratory failure, which is a severe condition that requires prompt intervention</w:t>
      </w:r>
      <w:r w:rsidR="001C7580">
        <w:rPr>
          <w:rFonts w:ascii="Times New Roman" w:eastAsia="MS PGothic" w:hAnsi="Times New Roman"/>
          <w:lang w:val="en-US"/>
        </w:rPr>
        <w:t xml:space="preserve"> </w:t>
      </w:r>
      <w:r w:rsidR="00BA6964" w:rsidRPr="00BA6964">
        <w:rPr>
          <w:rFonts w:ascii="Times New Roman" w:eastAsia="MS PGothic" w:hAnsi="Times New Roman"/>
          <w:noProof/>
          <w:vertAlign w:val="superscript"/>
          <w:lang w:val="en-US"/>
        </w:rPr>
        <w:t>8</w:t>
      </w:r>
      <w:r w:rsidR="00173854" w:rsidRPr="00173854">
        <w:rPr>
          <w:rFonts w:ascii="Times New Roman" w:eastAsia="MS PGothic" w:hAnsi="Times New Roman"/>
          <w:lang w:val="en-US"/>
        </w:rPr>
        <w:t xml:space="preserve">. Nevertheless, those symptoms are not specific for SARS-CoV-2 but can be also related to other infections caused by other viruses or bacteria. </w:t>
      </w:r>
      <w:r w:rsidR="00763913">
        <w:rPr>
          <w:rFonts w:ascii="Times New Roman" w:eastAsia="MS PGothic" w:hAnsi="Times New Roman"/>
          <w:lang w:val="en-US"/>
        </w:rPr>
        <w:t xml:space="preserve">For this reason, the research in this filed aimed at investigating potentialities and drawbacks of different diagnostic tests (e.g., </w:t>
      </w:r>
      <w:r w:rsidR="00763913" w:rsidRPr="00204741">
        <w:rPr>
          <w:rFonts w:ascii="Times New Roman" w:eastAsia="MS PGothic" w:hAnsi="Times New Roman"/>
          <w:lang w:val="en-US"/>
        </w:rPr>
        <w:t>reverse transcription-polymerase chain reaction (RT-PCR)</w:t>
      </w:r>
      <w:r w:rsidR="00763913">
        <w:rPr>
          <w:rFonts w:ascii="Times New Roman" w:eastAsia="MS PGothic" w:hAnsi="Times New Roman"/>
          <w:lang w:val="en-US"/>
        </w:rPr>
        <w:t>, serological test and antigenic test) or developing alternative approaches, is particularly active.</w:t>
      </w:r>
    </w:p>
    <w:p w14:paraId="452402E0" w14:textId="1E1277E4" w:rsidR="00F97B6C" w:rsidRDefault="00173854" w:rsidP="00CE15A0">
      <w:pPr>
        <w:snapToGrid w:val="0"/>
        <w:spacing w:after="12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T</w:t>
      </w:r>
      <w:r w:rsidR="00CE15A0" w:rsidRPr="00CE15A0">
        <w:rPr>
          <w:rFonts w:ascii="Times New Roman" w:eastAsia="MS PGothic" w:hAnsi="Times New Roman"/>
          <w:lang w:val="en-US"/>
        </w:rPr>
        <w:t>he analysis</w:t>
      </w:r>
      <w:r w:rsidR="00B9692A" w:rsidRPr="00B9692A">
        <w:rPr>
          <w:rFonts w:ascii="Times New Roman" w:eastAsia="MS PGothic" w:hAnsi="Times New Roman"/>
          <w:lang w:val="en-US"/>
        </w:rPr>
        <w:t xml:space="preserve"> </w:t>
      </w:r>
      <w:r w:rsidR="000715F1">
        <w:rPr>
          <w:rFonts w:ascii="Times New Roman" w:eastAsia="MS PGothic" w:hAnsi="Times New Roman"/>
          <w:lang w:val="en-US"/>
        </w:rPr>
        <w:t>of e</w:t>
      </w:r>
      <w:r w:rsidR="00B9692A">
        <w:rPr>
          <w:rFonts w:ascii="Times New Roman" w:eastAsia="MS PGothic" w:hAnsi="Times New Roman"/>
          <w:lang w:val="en-US"/>
        </w:rPr>
        <w:t>ndogenous Volatile Organic Compounds (VOC)</w:t>
      </w:r>
      <w:r w:rsidR="00CE15A0" w:rsidRPr="00CE15A0">
        <w:rPr>
          <w:rFonts w:ascii="Times New Roman" w:eastAsia="MS PGothic" w:hAnsi="Times New Roman"/>
          <w:lang w:val="en-US"/>
        </w:rPr>
        <w:t xml:space="preserve"> </w:t>
      </w:r>
      <w:r w:rsidR="002C55C8">
        <w:rPr>
          <w:rFonts w:ascii="Times New Roman" w:eastAsia="MS PGothic" w:hAnsi="Times New Roman"/>
          <w:lang w:val="en-US"/>
        </w:rPr>
        <w:t xml:space="preserve">of </w:t>
      </w:r>
      <w:r w:rsidR="00CE15A0" w:rsidRPr="00CE15A0">
        <w:rPr>
          <w:rFonts w:ascii="Times New Roman" w:eastAsia="MS PGothic" w:hAnsi="Times New Roman"/>
          <w:lang w:val="en-US"/>
        </w:rPr>
        <w:t xml:space="preserve">exhaled breath </w:t>
      </w:r>
      <w:r w:rsidR="00100D14">
        <w:rPr>
          <w:rFonts w:ascii="Times New Roman" w:eastAsia="MS PGothic" w:hAnsi="Times New Roman"/>
          <w:lang w:val="en-US"/>
        </w:rPr>
        <w:t xml:space="preserve">represents an </w:t>
      </w:r>
      <w:r w:rsidR="001E0F28">
        <w:rPr>
          <w:rFonts w:ascii="Times New Roman" w:eastAsia="MS PGothic" w:hAnsi="Times New Roman"/>
          <w:lang w:val="en-US"/>
        </w:rPr>
        <w:t>in</w:t>
      </w:r>
      <w:r w:rsidR="00B9692A">
        <w:rPr>
          <w:rFonts w:ascii="Times New Roman" w:eastAsia="MS PGothic" w:hAnsi="Times New Roman"/>
          <w:lang w:val="en-US"/>
        </w:rPr>
        <w:t xml:space="preserve">teresting </w:t>
      </w:r>
      <w:r w:rsidR="001E0F28">
        <w:rPr>
          <w:rFonts w:ascii="Times New Roman" w:eastAsia="MS PGothic" w:hAnsi="Times New Roman"/>
          <w:lang w:val="en-US"/>
        </w:rPr>
        <w:t xml:space="preserve">tool to </w:t>
      </w:r>
      <w:r w:rsidR="00B9692A">
        <w:rPr>
          <w:rFonts w:ascii="Times New Roman" w:eastAsia="MS PGothic" w:hAnsi="Times New Roman"/>
          <w:lang w:val="en-US"/>
        </w:rPr>
        <w:t>e</w:t>
      </w:r>
      <w:r w:rsidR="001E0F28">
        <w:rPr>
          <w:rFonts w:ascii="Times New Roman" w:eastAsia="MS PGothic" w:hAnsi="Times New Roman"/>
          <w:lang w:val="en-US"/>
        </w:rPr>
        <w:t xml:space="preserve">arly identify </w:t>
      </w:r>
      <w:r w:rsidR="009E7040">
        <w:rPr>
          <w:rFonts w:ascii="Times New Roman" w:eastAsia="MS PGothic" w:hAnsi="Times New Roman"/>
          <w:lang w:val="en-US"/>
        </w:rPr>
        <w:t>COVID-19</w:t>
      </w:r>
      <w:r>
        <w:rPr>
          <w:rFonts w:ascii="Times New Roman" w:eastAsia="MS PGothic" w:hAnsi="Times New Roman"/>
          <w:lang w:val="en-US"/>
        </w:rPr>
        <w:t xml:space="preserve"> and </w:t>
      </w:r>
      <w:r w:rsidR="00CE15A0" w:rsidRPr="00CE15A0">
        <w:rPr>
          <w:rFonts w:ascii="Times New Roman" w:eastAsia="MS PGothic" w:hAnsi="Times New Roman"/>
          <w:lang w:val="en-US"/>
        </w:rPr>
        <w:t>improv</w:t>
      </w:r>
      <w:r w:rsidR="00A72FC6">
        <w:rPr>
          <w:rFonts w:ascii="Times New Roman" w:eastAsia="MS PGothic" w:hAnsi="Times New Roman"/>
          <w:lang w:val="en-US"/>
        </w:rPr>
        <w:t xml:space="preserve">e </w:t>
      </w:r>
      <w:r w:rsidR="001E0F28">
        <w:rPr>
          <w:rFonts w:ascii="Times New Roman" w:eastAsia="MS PGothic" w:hAnsi="Times New Roman"/>
          <w:lang w:val="en-US"/>
        </w:rPr>
        <w:t>personalizing treatments</w:t>
      </w:r>
      <w:r w:rsidR="00133942">
        <w:rPr>
          <w:rFonts w:ascii="Times New Roman" w:eastAsia="MS PGothic" w:hAnsi="Times New Roman"/>
          <w:lang w:val="en-US"/>
        </w:rPr>
        <w:t>.</w:t>
      </w:r>
      <w:r w:rsidR="00B9692A">
        <w:rPr>
          <w:rFonts w:ascii="Times New Roman" w:eastAsia="MS PGothic" w:hAnsi="Times New Roman"/>
          <w:lang w:val="en-US"/>
        </w:rPr>
        <w:t xml:space="preserve"> Those VOC, </w:t>
      </w:r>
      <w:r w:rsidR="00133942">
        <w:rPr>
          <w:rFonts w:ascii="Times New Roman" w:eastAsia="MS PGothic" w:hAnsi="Times New Roman"/>
          <w:lang w:val="en-US"/>
        </w:rPr>
        <w:t>resul</w:t>
      </w:r>
      <w:r w:rsidR="002C55C8">
        <w:rPr>
          <w:rFonts w:ascii="Times New Roman" w:eastAsia="MS PGothic" w:hAnsi="Times New Roman"/>
          <w:lang w:val="en-US"/>
        </w:rPr>
        <w:t>t</w:t>
      </w:r>
      <w:r w:rsidR="00B9692A">
        <w:rPr>
          <w:rFonts w:ascii="Times New Roman" w:eastAsia="MS PGothic" w:hAnsi="Times New Roman"/>
          <w:lang w:val="en-US"/>
        </w:rPr>
        <w:t>ing</w:t>
      </w:r>
      <w:r w:rsidR="00133942">
        <w:rPr>
          <w:rFonts w:ascii="Times New Roman" w:eastAsia="MS PGothic" w:hAnsi="Times New Roman"/>
          <w:lang w:val="en-US"/>
        </w:rPr>
        <w:t xml:space="preserve"> from metabolic processes</w:t>
      </w:r>
      <w:r w:rsidR="00B9692A">
        <w:rPr>
          <w:rFonts w:ascii="Times New Roman" w:eastAsia="MS PGothic" w:hAnsi="Times New Roman"/>
          <w:lang w:val="en-US"/>
        </w:rPr>
        <w:t xml:space="preserve"> potentially altered by the presence of the disease</w:t>
      </w:r>
      <w:r w:rsidR="004B129D">
        <w:rPr>
          <w:rFonts w:ascii="Times New Roman" w:eastAsia="MS PGothic" w:hAnsi="Times New Roman"/>
          <w:lang w:val="en-US"/>
        </w:rPr>
        <w:t>,</w:t>
      </w:r>
      <w:r w:rsidR="00133942">
        <w:rPr>
          <w:rFonts w:ascii="Times New Roman" w:eastAsia="MS PGothic" w:hAnsi="Times New Roman"/>
          <w:lang w:val="en-US"/>
        </w:rPr>
        <w:t xml:space="preserve"> can</w:t>
      </w:r>
      <w:r>
        <w:rPr>
          <w:rFonts w:ascii="Times New Roman" w:eastAsia="MS PGothic" w:hAnsi="Times New Roman"/>
          <w:lang w:val="en-US"/>
        </w:rPr>
        <w:t xml:space="preserve">, in fact, </w:t>
      </w:r>
      <w:r w:rsidR="00133942">
        <w:rPr>
          <w:rFonts w:ascii="Times New Roman" w:eastAsia="MS PGothic" w:hAnsi="Times New Roman"/>
          <w:lang w:val="en-US"/>
        </w:rPr>
        <w:t>provide in</w:t>
      </w:r>
      <w:r w:rsidR="001E0F28">
        <w:rPr>
          <w:rFonts w:ascii="Times New Roman" w:eastAsia="MS PGothic" w:hAnsi="Times New Roman"/>
          <w:lang w:val="en-US"/>
        </w:rPr>
        <w:t>formation</w:t>
      </w:r>
      <w:r w:rsidR="00133942">
        <w:rPr>
          <w:rFonts w:ascii="Times New Roman" w:eastAsia="MS PGothic" w:hAnsi="Times New Roman"/>
          <w:lang w:val="en-US"/>
        </w:rPr>
        <w:t xml:space="preserve"> </w:t>
      </w:r>
      <w:r w:rsidR="001E0F28">
        <w:rPr>
          <w:rFonts w:ascii="Times New Roman" w:eastAsia="MS PGothic" w:hAnsi="Times New Roman"/>
          <w:lang w:val="en-US"/>
        </w:rPr>
        <w:t>on</w:t>
      </w:r>
      <w:r w:rsidR="00133942">
        <w:rPr>
          <w:rFonts w:ascii="Times New Roman" w:eastAsia="MS PGothic" w:hAnsi="Times New Roman"/>
          <w:lang w:val="en-US"/>
        </w:rPr>
        <w:t xml:space="preserve"> </w:t>
      </w:r>
      <w:r w:rsidR="004B129D">
        <w:rPr>
          <w:rFonts w:ascii="Times New Roman" w:eastAsia="MS PGothic" w:hAnsi="Times New Roman"/>
          <w:lang w:val="en-US"/>
        </w:rPr>
        <w:t xml:space="preserve">the </w:t>
      </w:r>
      <w:r w:rsidR="00133942">
        <w:rPr>
          <w:rFonts w:ascii="Times New Roman" w:eastAsia="MS PGothic" w:hAnsi="Times New Roman"/>
          <w:lang w:val="en-US"/>
        </w:rPr>
        <w:t>conditions of subjects</w:t>
      </w:r>
      <w:r w:rsidR="00F97B6C">
        <w:rPr>
          <w:rFonts w:ascii="Times New Roman" w:eastAsia="MS PGothic" w:hAnsi="Times New Roman"/>
          <w:lang w:val="en-US"/>
        </w:rPr>
        <w:t>, and guide the choice of treatment</w:t>
      </w:r>
      <w:r w:rsidR="001C7580">
        <w:rPr>
          <w:rFonts w:ascii="Times New Roman" w:eastAsia="MS PGothic" w:hAnsi="Times New Roman"/>
          <w:lang w:val="en-US"/>
        </w:rPr>
        <w:t xml:space="preserve"> </w:t>
      </w:r>
      <w:r w:rsidR="00BA6964" w:rsidRPr="00BA6964">
        <w:rPr>
          <w:rFonts w:ascii="Times New Roman" w:eastAsia="MS PGothic" w:hAnsi="Times New Roman"/>
          <w:noProof/>
          <w:vertAlign w:val="superscript"/>
          <w:lang w:val="en-US"/>
        </w:rPr>
        <w:t>9</w:t>
      </w:r>
      <w:r w:rsidR="00F97B6C">
        <w:rPr>
          <w:rFonts w:ascii="Times New Roman" w:eastAsia="MS PGothic" w:hAnsi="Times New Roman"/>
          <w:lang w:val="en-US"/>
        </w:rPr>
        <w:t xml:space="preserve">. </w:t>
      </w:r>
    </w:p>
    <w:p w14:paraId="4E5B1AD0" w14:textId="0552DE1C" w:rsidR="00233989" w:rsidRDefault="00873626" w:rsidP="00CE15A0">
      <w:pPr>
        <w:snapToGrid w:val="0"/>
        <w:spacing w:after="12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Electronic noses (ENs)</w:t>
      </w:r>
      <w:r w:rsidR="005279F5">
        <w:rPr>
          <w:rFonts w:ascii="Times New Roman" w:eastAsia="MS PGothic" w:hAnsi="Times New Roman"/>
          <w:lang w:val="en-US"/>
        </w:rPr>
        <w:t xml:space="preserve">, </w:t>
      </w:r>
      <w:r>
        <w:rPr>
          <w:rFonts w:ascii="Times New Roman" w:eastAsia="MS PGothic" w:hAnsi="Times New Roman"/>
          <w:lang w:val="en-US"/>
        </w:rPr>
        <w:t>instruments designed for mimicking human olfaction by means of the combination of a</w:t>
      </w:r>
      <w:r w:rsidR="00233989">
        <w:rPr>
          <w:rFonts w:ascii="Times New Roman" w:eastAsia="MS PGothic" w:hAnsi="Times New Roman"/>
          <w:lang w:val="en-US"/>
        </w:rPr>
        <w:t xml:space="preserve">n </w:t>
      </w:r>
      <w:r>
        <w:rPr>
          <w:rFonts w:ascii="Times New Roman" w:eastAsia="MS PGothic" w:hAnsi="Times New Roman"/>
          <w:lang w:val="en-US"/>
        </w:rPr>
        <w:t xml:space="preserve">array </w:t>
      </w:r>
      <w:r w:rsidR="00233989">
        <w:rPr>
          <w:rFonts w:ascii="Times New Roman" w:eastAsia="MS PGothic" w:hAnsi="Times New Roman"/>
          <w:lang w:val="en-US"/>
        </w:rPr>
        <w:t>of non-specific gas sensors with</w:t>
      </w:r>
      <w:r>
        <w:rPr>
          <w:rFonts w:ascii="Times New Roman" w:eastAsia="MS PGothic" w:hAnsi="Times New Roman"/>
          <w:lang w:val="en-US"/>
        </w:rPr>
        <w:t xml:space="preserve"> machine learning</w:t>
      </w:r>
      <w:r w:rsidR="00233989">
        <w:rPr>
          <w:rFonts w:ascii="Times New Roman" w:eastAsia="MS PGothic" w:hAnsi="Times New Roman"/>
          <w:lang w:val="en-US"/>
        </w:rPr>
        <w:t xml:space="preserve"> tools</w:t>
      </w:r>
      <w:r w:rsidR="00EC04EF">
        <w:rPr>
          <w:rFonts w:ascii="Times New Roman" w:eastAsia="MS PGothic" w:hAnsi="Times New Roman"/>
          <w:lang w:val="en-US"/>
        </w:rPr>
        <w:t xml:space="preserve"> </w:t>
      </w:r>
      <w:r w:rsidR="00BA6964" w:rsidRPr="00BA6964">
        <w:rPr>
          <w:rFonts w:ascii="Times New Roman" w:eastAsia="MS PGothic" w:hAnsi="Times New Roman"/>
          <w:noProof/>
          <w:vertAlign w:val="superscript"/>
          <w:lang w:val="en-US"/>
        </w:rPr>
        <w:t>10</w:t>
      </w:r>
      <w:r>
        <w:rPr>
          <w:rFonts w:ascii="Times New Roman" w:eastAsia="MS PGothic" w:hAnsi="Times New Roman"/>
          <w:lang w:val="en-US"/>
        </w:rPr>
        <w:t>, could be considered</w:t>
      </w:r>
      <w:r w:rsidR="00233989">
        <w:rPr>
          <w:rFonts w:ascii="Times New Roman" w:eastAsia="MS PGothic" w:hAnsi="Times New Roman"/>
          <w:lang w:val="en-US"/>
        </w:rPr>
        <w:t xml:space="preserve"> as</w:t>
      </w:r>
      <w:r>
        <w:rPr>
          <w:rFonts w:ascii="Times New Roman" w:eastAsia="MS PGothic" w:hAnsi="Times New Roman"/>
          <w:lang w:val="en-US"/>
        </w:rPr>
        <w:t xml:space="preserve"> </w:t>
      </w:r>
      <w:r w:rsidR="00233989" w:rsidRPr="00233989">
        <w:rPr>
          <w:rFonts w:ascii="Times New Roman" w:eastAsia="MS PGothic" w:hAnsi="Times New Roman"/>
          <w:lang w:val="en-US"/>
        </w:rPr>
        <w:t>a novel, non-invasive and fast diagnostic technique for the rapid identification of</w:t>
      </w:r>
      <w:r w:rsidR="00233989">
        <w:rPr>
          <w:rFonts w:ascii="Times New Roman" w:eastAsia="MS PGothic" w:hAnsi="Times New Roman"/>
          <w:lang w:val="en-US"/>
        </w:rPr>
        <w:t xml:space="preserve"> COVID-19 patients </w:t>
      </w:r>
      <w:r w:rsidR="00BA6964" w:rsidRPr="00BA6964">
        <w:rPr>
          <w:rFonts w:ascii="Times New Roman" w:eastAsia="MS PGothic" w:hAnsi="Times New Roman"/>
          <w:noProof/>
          <w:vertAlign w:val="superscript"/>
          <w:lang w:val="en-US"/>
        </w:rPr>
        <w:t>9</w:t>
      </w:r>
      <w:r>
        <w:rPr>
          <w:rFonts w:ascii="Times New Roman" w:eastAsia="MS PGothic" w:hAnsi="Times New Roman"/>
          <w:lang w:val="en-US"/>
        </w:rPr>
        <w:t xml:space="preserve">. </w:t>
      </w:r>
    </w:p>
    <w:p w14:paraId="6A2213F1" w14:textId="25CF0D68" w:rsidR="00240F8D" w:rsidRDefault="00173854" w:rsidP="00CE15A0">
      <w:pPr>
        <w:snapToGrid w:val="0"/>
        <w:spacing w:after="12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S</w:t>
      </w:r>
      <w:r w:rsidR="001E0F28">
        <w:rPr>
          <w:rFonts w:ascii="Times New Roman" w:eastAsia="MS PGothic" w:hAnsi="Times New Roman"/>
          <w:lang w:val="en-US"/>
        </w:rPr>
        <w:t>everal</w:t>
      </w:r>
      <w:r w:rsidR="00A72FC6">
        <w:rPr>
          <w:rFonts w:ascii="Times New Roman" w:eastAsia="MS PGothic" w:hAnsi="Times New Roman"/>
          <w:lang w:val="en-US"/>
        </w:rPr>
        <w:t xml:space="preserve"> </w:t>
      </w:r>
      <w:r w:rsidR="003174CA">
        <w:rPr>
          <w:rFonts w:ascii="Times New Roman" w:eastAsia="MS PGothic" w:hAnsi="Times New Roman"/>
          <w:lang w:val="en-US"/>
        </w:rPr>
        <w:t xml:space="preserve">research studies </w:t>
      </w:r>
      <w:r w:rsidR="00BE2E07">
        <w:rPr>
          <w:rFonts w:ascii="Times New Roman" w:eastAsia="MS PGothic" w:hAnsi="Times New Roman"/>
          <w:lang w:val="en-US"/>
        </w:rPr>
        <w:t xml:space="preserve">proved the applicability </w:t>
      </w:r>
      <w:r w:rsidR="003174CA">
        <w:rPr>
          <w:rFonts w:ascii="Times New Roman" w:eastAsia="MS PGothic" w:hAnsi="Times New Roman"/>
          <w:lang w:val="en-US"/>
        </w:rPr>
        <w:t>of</w:t>
      </w:r>
      <w:r w:rsidR="00C13C5E">
        <w:rPr>
          <w:rFonts w:ascii="Times New Roman" w:eastAsia="MS PGothic" w:hAnsi="Times New Roman"/>
          <w:lang w:val="en-US"/>
        </w:rPr>
        <w:t xml:space="preserve"> </w:t>
      </w:r>
      <w:r w:rsidR="005279F5">
        <w:rPr>
          <w:rFonts w:ascii="Times New Roman" w:eastAsia="MS PGothic" w:hAnsi="Times New Roman"/>
          <w:lang w:val="en-US"/>
        </w:rPr>
        <w:t>this technology</w:t>
      </w:r>
      <w:r w:rsidR="003174CA">
        <w:rPr>
          <w:rFonts w:ascii="Times New Roman" w:eastAsia="MS PGothic" w:hAnsi="Times New Roman"/>
          <w:lang w:val="en-US"/>
        </w:rPr>
        <w:t xml:space="preserve"> </w:t>
      </w:r>
      <w:r w:rsidR="001E0F28">
        <w:rPr>
          <w:rFonts w:ascii="Times New Roman" w:eastAsia="MS PGothic" w:hAnsi="Times New Roman"/>
          <w:lang w:val="en-US"/>
        </w:rPr>
        <w:t>to</w:t>
      </w:r>
      <w:r w:rsidR="00C13C5E">
        <w:rPr>
          <w:rFonts w:ascii="Times New Roman" w:eastAsia="MS PGothic" w:hAnsi="Times New Roman"/>
          <w:lang w:val="en-US"/>
        </w:rPr>
        <w:t xml:space="preserve"> exhaled breath analysis </w:t>
      </w:r>
      <w:r w:rsidR="001E0F28">
        <w:rPr>
          <w:rFonts w:ascii="Times New Roman" w:eastAsia="MS PGothic" w:hAnsi="Times New Roman"/>
          <w:lang w:val="en-US"/>
        </w:rPr>
        <w:t xml:space="preserve">to support </w:t>
      </w:r>
      <w:r w:rsidR="003174CA">
        <w:rPr>
          <w:rFonts w:ascii="Times New Roman" w:eastAsia="MS PGothic" w:hAnsi="Times New Roman"/>
          <w:lang w:val="en-US"/>
        </w:rPr>
        <w:t>non-invasive diagnosis of various diseases</w:t>
      </w:r>
      <w:r w:rsidR="00EC04EF">
        <w:rPr>
          <w:rFonts w:ascii="Times New Roman" w:eastAsia="MS PGothic" w:hAnsi="Times New Roman"/>
          <w:lang w:val="en-US"/>
        </w:rPr>
        <w:t xml:space="preserve"> </w:t>
      </w:r>
      <w:r w:rsidR="00BA6964" w:rsidRPr="00BA6964">
        <w:rPr>
          <w:rFonts w:ascii="Times New Roman" w:eastAsia="MS PGothic" w:hAnsi="Times New Roman"/>
          <w:noProof/>
          <w:vertAlign w:val="superscript"/>
          <w:lang w:val="en-US"/>
        </w:rPr>
        <w:t>11-14</w:t>
      </w:r>
      <w:r>
        <w:rPr>
          <w:rFonts w:ascii="Times New Roman" w:eastAsia="MS PGothic" w:hAnsi="Times New Roman"/>
          <w:lang w:val="en-US"/>
        </w:rPr>
        <w:t>, and r</w:t>
      </w:r>
      <w:r w:rsidR="003174CA">
        <w:rPr>
          <w:rFonts w:ascii="Times New Roman" w:eastAsia="MS PGothic" w:hAnsi="Times New Roman"/>
          <w:lang w:val="en-US"/>
        </w:rPr>
        <w:t>ecent</w:t>
      </w:r>
      <w:r w:rsidR="001E0F28">
        <w:rPr>
          <w:rFonts w:ascii="Times New Roman" w:eastAsia="MS PGothic" w:hAnsi="Times New Roman"/>
          <w:lang w:val="en-US"/>
        </w:rPr>
        <w:t xml:space="preserve"> </w:t>
      </w:r>
      <w:r w:rsidR="00277E86">
        <w:rPr>
          <w:rFonts w:ascii="Times New Roman" w:eastAsia="MS PGothic" w:hAnsi="Times New Roman"/>
          <w:lang w:val="en-US"/>
        </w:rPr>
        <w:t xml:space="preserve">preliminary </w:t>
      </w:r>
      <w:r w:rsidR="001E0F28">
        <w:rPr>
          <w:rFonts w:ascii="Times New Roman" w:eastAsia="MS PGothic" w:hAnsi="Times New Roman"/>
          <w:lang w:val="en-US"/>
        </w:rPr>
        <w:t>studies</w:t>
      </w:r>
      <w:r w:rsidR="00BE2E07">
        <w:rPr>
          <w:rFonts w:ascii="Times New Roman" w:eastAsia="MS PGothic" w:hAnsi="Times New Roman"/>
          <w:lang w:val="en-US"/>
        </w:rPr>
        <w:t xml:space="preserve"> </w:t>
      </w:r>
      <w:r w:rsidR="00277E86">
        <w:rPr>
          <w:rFonts w:ascii="Times New Roman" w:eastAsia="MS PGothic" w:hAnsi="Times New Roman"/>
          <w:lang w:val="en-US"/>
        </w:rPr>
        <w:t>also evaluated the</w:t>
      </w:r>
      <w:r w:rsidR="003174CA">
        <w:rPr>
          <w:rFonts w:ascii="Times New Roman" w:eastAsia="MS PGothic" w:hAnsi="Times New Roman"/>
          <w:lang w:val="en-US"/>
        </w:rPr>
        <w:t xml:space="preserve"> use of ENs for diagnosing SARS-CoV-2 infection </w:t>
      </w:r>
      <w:r w:rsidR="00BA6964" w:rsidRPr="00BA6964">
        <w:rPr>
          <w:rFonts w:ascii="Times New Roman" w:eastAsia="MS PGothic" w:hAnsi="Times New Roman"/>
          <w:noProof/>
          <w:vertAlign w:val="superscript"/>
          <w:lang w:val="en-US"/>
        </w:rPr>
        <w:t>15-16</w:t>
      </w:r>
      <w:r w:rsidR="003174CA">
        <w:rPr>
          <w:rFonts w:ascii="Times New Roman" w:eastAsia="MS PGothic" w:hAnsi="Times New Roman"/>
          <w:lang w:val="en-US"/>
        </w:rPr>
        <w:t xml:space="preserve">. </w:t>
      </w:r>
    </w:p>
    <w:p w14:paraId="3863E788" w14:textId="66BF2B40" w:rsidR="008875EC" w:rsidRDefault="00240F8D" w:rsidP="00CE15A0">
      <w:pPr>
        <w:snapToGrid w:val="0"/>
        <w:spacing w:after="12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Even though exhaled breath analysis by EN might enable </w:t>
      </w:r>
      <w:r w:rsidR="00277E86">
        <w:rPr>
          <w:rFonts w:ascii="Times New Roman" w:eastAsia="MS PGothic" w:hAnsi="Times New Roman"/>
          <w:lang w:val="en-US"/>
        </w:rPr>
        <w:t xml:space="preserve">identifying treatable traits in patients with </w:t>
      </w:r>
      <w:r w:rsidR="00133942" w:rsidRPr="00CE15A0">
        <w:rPr>
          <w:rFonts w:ascii="Times New Roman" w:eastAsia="MS PGothic" w:hAnsi="Times New Roman"/>
          <w:lang w:val="en-US"/>
        </w:rPr>
        <w:t>different respiratory disorders</w:t>
      </w:r>
      <w:r>
        <w:rPr>
          <w:rFonts w:ascii="Times New Roman" w:eastAsia="MS PGothic" w:hAnsi="Times New Roman"/>
          <w:lang w:val="en-US"/>
        </w:rPr>
        <w:t xml:space="preserve">, </w:t>
      </w:r>
      <w:r w:rsidR="00CE15A0">
        <w:rPr>
          <w:rFonts w:ascii="Times New Roman" w:eastAsia="MS PGothic" w:hAnsi="Times New Roman"/>
          <w:lang w:val="en-US"/>
        </w:rPr>
        <w:t xml:space="preserve">its application to </w:t>
      </w:r>
      <w:r w:rsidR="00173854">
        <w:rPr>
          <w:rFonts w:ascii="Times New Roman" w:eastAsia="MS PGothic" w:hAnsi="Times New Roman"/>
          <w:lang w:val="en-US"/>
        </w:rPr>
        <w:t xml:space="preserve">patients with </w:t>
      </w:r>
      <w:r w:rsidR="00CE15A0">
        <w:rPr>
          <w:rFonts w:ascii="Times New Roman" w:eastAsia="MS PGothic" w:hAnsi="Times New Roman"/>
          <w:lang w:val="en-US"/>
        </w:rPr>
        <w:t>respir</w:t>
      </w:r>
      <w:r w:rsidR="00CE15A0" w:rsidRPr="00CE15A0">
        <w:rPr>
          <w:rFonts w:ascii="Times New Roman" w:eastAsia="MS PGothic" w:hAnsi="Times New Roman"/>
          <w:lang w:val="en-US"/>
        </w:rPr>
        <w:t>atory failure</w:t>
      </w:r>
      <w:r w:rsidR="00173854">
        <w:rPr>
          <w:rFonts w:ascii="Times New Roman" w:eastAsia="MS PGothic" w:hAnsi="Times New Roman"/>
          <w:lang w:val="en-US"/>
        </w:rPr>
        <w:t xml:space="preserve">, as it is the case of COVID-19 patients, </w:t>
      </w:r>
      <w:r w:rsidR="00CE15A0" w:rsidRPr="00CE15A0">
        <w:rPr>
          <w:rFonts w:ascii="Times New Roman" w:eastAsia="MS PGothic" w:hAnsi="Times New Roman"/>
          <w:lang w:val="en-US"/>
        </w:rPr>
        <w:t>remains a challenge.</w:t>
      </w:r>
      <w:r>
        <w:rPr>
          <w:rFonts w:ascii="Times New Roman" w:eastAsia="MS PGothic" w:hAnsi="Times New Roman"/>
          <w:lang w:val="en-US"/>
        </w:rPr>
        <w:t xml:space="preserve"> D</w:t>
      </w:r>
      <w:r w:rsidR="00100D14" w:rsidRPr="00100D14">
        <w:rPr>
          <w:rFonts w:ascii="Times New Roman" w:eastAsia="MS PGothic" w:hAnsi="Times New Roman"/>
          <w:lang w:val="en-US"/>
        </w:rPr>
        <w:t xml:space="preserve">iagnostic systems for the </w:t>
      </w:r>
      <w:r w:rsidR="004B129D">
        <w:rPr>
          <w:rFonts w:ascii="Times New Roman" w:eastAsia="MS PGothic" w:hAnsi="Times New Roman"/>
          <w:lang w:val="en-US"/>
        </w:rPr>
        <w:t>study</w:t>
      </w:r>
      <w:r w:rsidR="004B129D" w:rsidRPr="00100D14">
        <w:rPr>
          <w:rFonts w:ascii="Times New Roman" w:eastAsia="MS PGothic" w:hAnsi="Times New Roman"/>
          <w:lang w:val="en-US"/>
        </w:rPr>
        <w:t xml:space="preserve"> </w:t>
      </w:r>
      <w:r w:rsidR="00100D14" w:rsidRPr="00100D14">
        <w:rPr>
          <w:rFonts w:ascii="Times New Roman" w:eastAsia="MS PGothic" w:hAnsi="Times New Roman"/>
          <w:lang w:val="en-US"/>
        </w:rPr>
        <w:t xml:space="preserve">of VOCs in the exhaled breath should filter out or compensate for ambient VOCs </w:t>
      </w:r>
      <w:r w:rsidR="004B129D">
        <w:rPr>
          <w:rFonts w:ascii="Times New Roman" w:eastAsia="MS PGothic" w:hAnsi="Times New Roman"/>
          <w:lang w:val="en-US"/>
        </w:rPr>
        <w:t>altering the composition of exhaled breath and affecting</w:t>
      </w:r>
      <w:r w:rsidR="00100D14" w:rsidRPr="00474C2F">
        <w:rPr>
          <w:rFonts w:ascii="Times New Roman" w:eastAsia="MS PGothic" w:hAnsi="Times New Roman"/>
          <w:lang w:val="en-US"/>
        </w:rPr>
        <w:t xml:space="preserve"> the diagnosis</w:t>
      </w:r>
      <w:r w:rsidR="00100D14">
        <w:rPr>
          <w:rFonts w:ascii="Times New Roman" w:eastAsia="MS PGothic" w:hAnsi="Times New Roman"/>
          <w:lang w:val="en-US"/>
        </w:rPr>
        <w:t xml:space="preserve">. </w:t>
      </w:r>
      <w:r w:rsidR="000003B0">
        <w:rPr>
          <w:rFonts w:ascii="Times New Roman" w:eastAsia="MS PGothic" w:hAnsi="Times New Roman"/>
          <w:lang w:val="en-US"/>
        </w:rPr>
        <w:t>In general, s</w:t>
      </w:r>
      <w:r w:rsidR="00DF57CE">
        <w:rPr>
          <w:rFonts w:ascii="Times New Roman" w:eastAsia="MS PGothic" w:hAnsi="Times New Roman"/>
          <w:lang w:val="en-US"/>
        </w:rPr>
        <w:t>ystems proposed in the scientific literature</w:t>
      </w:r>
      <w:r w:rsidR="000003B0">
        <w:rPr>
          <w:rFonts w:ascii="Times New Roman" w:eastAsia="MS PGothic" w:hAnsi="Times New Roman"/>
          <w:lang w:val="en-US"/>
        </w:rPr>
        <w:t xml:space="preserve"> obtain lung wash</w:t>
      </w:r>
      <w:r w:rsidR="004B129D">
        <w:rPr>
          <w:rFonts w:ascii="Times New Roman" w:eastAsia="MS PGothic" w:hAnsi="Times New Roman"/>
          <w:lang w:val="en-US"/>
        </w:rPr>
        <w:t>-</w:t>
      </w:r>
      <w:r w:rsidR="000003B0">
        <w:rPr>
          <w:rFonts w:ascii="Times New Roman" w:eastAsia="MS PGothic" w:hAnsi="Times New Roman"/>
          <w:lang w:val="en-US"/>
        </w:rPr>
        <w:t xml:space="preserve">out by making the subject inhale through a charcoal filter, which </w:t>
      </w:r>
      <w:r w:rsidR="000003B0" w:rsidRPr="000003B0">
        <w:rPr>
          <w:rFonts w:ascii="Times New Roman" w:eastAsia="MS PGothic" w:hAnsi="Times New Roman"/>
          <w:lang w:val="en-US"/>
        </w:rPr>
        <w:t>adds respiratory load</w:t>
      </w:r>
      <w:r w:rsidR="00EC04EF">
        <w:rPr>
          <w:rFonts w:ascii="Times New Roman" w:eastAsia="MS PGothic" w:hAnsi="Times New Roman"/>
          <w:lang w:val="en-US"/>
        </w:rPr>
        <w:t xml:space="preserve"> </w:t>
      </w:r>
      <w:r w:rsidR="00BA6964" w:rsidRPr="00BA6964">
        <w:rPr>
          <w:rFonts w:ascii="Times New Roman" w:eastAsia="MS PGothic" w:hAnsi="Times New Roman"/>
          <w:noProof/>
          <w:vertAlign w:val="superscript"/>
          <w:lang w:val="en-US"/>
        </w:rPr>
        <w:t>17</w:t>
      </w:r>
      <w:r>
        <w:rPr>
          <w:rFonts w:ascii="Times New Roman" w:eastAsia="MS PGothic" w:hAnsi="Times New Roman"/>
          <w:lang w:val="en-US"/>
        </w:rPr>
        <w:t>. Therefore, this approach</w:t>
      </w:r>
      <w:r w:rsidR="000003B0">
        <w:rPr>
          <w:rFonts w:ascii="Times New Roman" w:eastAsia="MS PGothic" w:hAnsi="Times New Roman"/>
          <w:lang w:val="en-US"/>
        </w:rPr>
        <w:t xml:space="preserve"> </w:t>
      </w:r>
      <w:r w:rsidR="004B129D">
        <w:rPr>
          <w:rFonts w:ascii="Times New Roman" w:eastAsia="MS PGothic" w:hAnsi="Times New Roman"/>
          <w:lang w:val="en-US"/>
        </w:rPr>
        <w:t xml:space="preserve">is </w:t>
      </w:r>
      <w:r w:rsidR="00277E86">
        <w:rPr>
          <w:rFonts w:ascii="Times New Roman" w:eastAsia="MS PGothic" w:hAnsi="Times New Roman"/>
          <w:lang w:val="en-US"/>
        </w:rPr>
        <w:t>not suitable for</w:t>
      </w:r>
      <w:r w:rsidR="000003B0">
        <w:rPr>
          <w:rFonts w:ascii="Times New Roman" w:eastAsia="MS PGothic" w:hAnsi="Times New Roman"/>
          <w:lang w:val="en-US"/>
        </w:rPr>
        <w:t xml:space="preserve"> respiratory failure patients</w:t>
      </w:r>
      <w:r w:rsidR="000003B0" w:rsidRPr="000003B0">
        <w:rPr>
          <w:rFonts w:ascii="Times New Roman" w:eastAsia="MS PGothic" w:hAnsi="Times New Roman"/>
          <w:lang w:val="en-US"/>
        </w:rPr>
        <w:t>.</w:t>
      </w:r>
      <w:r w:rsidR="000003B0">
        <w:rPr>
          <w:rFonts w:ascii="Times New Roman" w:eastAsia="MS PGothic" w:hAnsi="Times New Roman"/>
          <w:lang w:val="en-US"/>
        </w:rPr>
        <w:t xml:space="preserve"> </w:t>
      </w:r>
    </w:p>
    <w:p w14:paraId="6BB62438" w14:textId="101FD7EC" w:rsidR="00DF57CE" w:rsidRDefault="008875EC" w:rsidP="00CE15A0">
      <w:pPr>
        <w:snapToGrid w:val="0"/>
        <w:spacing w:after="12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The present study proposes</w:t>
      </w:r>
      <w:r w:rsidR="000003B0">
        <w:rPr>
          <w:rFonts w:ascii="Times New Roman" w:eastAsia="MS PGothic" w:hAnsi="Times New Roman"/>
          <w:lang w:val="en-US"/>
        </w:rPr>
        <w:t xml:space="preserve"> an experimental </w:t>
      </w:r>
      <w:r w:rsidR="00277E86">
        <w:rPr>
          <w:rFonts w:ascii="Times New Roman" w:eastAsia="MS PGothic" w:hAnsi="Times New Roman"/>
          <w:lang w:val="en-US"/>
        </w:rPr>
        <w:t>set-up</w:t>
      </w:r>
      <w:r w:rsidR="000003B0">
        <w:rPr>
          <w:rFonts w:ascii="Times New Roman" w:eastAsia="MS PGothic" w:hAnsi="Times New Roman"/>
          <w:lang w:val="en-US"/>
        </w:rPr>
        <w:t xml:space="preserve"> for exhaled breath sampling</w:t>
      </w:r>
      <w:r w:rsidR="00CA3748">
        <w:rPr>
          <w:rFonts w:ascii="Times New Roman" w:eastAsia="MS PGothic" w:hAnsi="Times New Roman"/>
          <w:lang w:val="en-US"/>
        </w:rPr>
        <w:t>,</w:t>
      </w:r>
      <w:r w:rsidR="000003B0">
        <w:rPr>
          <w:rFonts w:ascii="Times New Roman" w:eastAsia="MS PGothic" w:hAnsi="Times New Roman"/>
          <w:lang w:val="en-US"/>
        </w:rPr>
        <w:t xml:space="preserve"> specifically designed for </w:t>
      </w:r>
      <w:r w:rsidR="00D150AC">
        <w:rPr>
          <w:rFonts w:ascii="Times New Roman" w:eastAsia="MS PGothic" w:hAnsi="Times New Roman"/>
          <w:lang w:val="en-US"/>
        </w:rPr>
        <w:t>patients with acute respiratory failure</w:t>
      </w:r>
      <w:r w:rsidR="00240F8D">
        <w:rPr>
          <w:rFonts w:ascii="Times New Roman" w:eastAsia="MS PGothic" w:hAnsi="Times New Roman"/>
          <w:lang w:val="en-US"/>
        </w:rPr>
        <w:t xml:space="preserve">. The </w:t>
      </w:r>
      <w:r w:rsidR="00277E86">
        <w:rPr>
          <w:rFonts w:ascii="Times New Roman" w:eastAsia="MS PGothic" w:hAnsi="Times New Roman"/>
          <w:lang w:val="en-US"/>
        </w:rPr>
        <w:t>set-up was tested with</w:t>
      </w:r>
      <w:r w:rsidR="00133942">
        <w:rPr>
          <w:rFonts w:ascii="Times New Roman" w:eastAsia="MS PGothic" w:hAnsi="Times New Roman"/>
          <w:lang w:val="en-US"/>
        </w:rPr>
        <w:t xml:space="preserve"> </w:t>
      </w:r>
      <w:r w:rsidR="00D150AC">
        <w:rPr>
          <w:rFonts w:ascii="Times New Roman" w:eastAsia="MS PGothic" w:hAnsi="Times New Roman"/>
          <w:lang w:val="en-US"/>
        </w:rPr>
        <w:t xml:space="preserve">a feasibility study </w:t>
      </w:r>
      <w:r w:rsidR="00240F8D">
        <w:rPr>
          <w:rFonts w:ascii="Times New Roman" w:eastAsia="MS PGothic" w:hAnsi="Times New Roman"/>
          <w:lang w:val="en-US"/>
        </w:rPr>
        <w:t xml:space="preserve"> carried out </w:t>
      </w:r>
      <w:r w:rsidR="00240F8D" w:rsidRPr="00E65854">
        <w:rPr>
          <w:rFonts w:ascii="Times New Roman" w:eastAsia="MS PGothic" w:hAnsi="Times New Roman"/>
          <w:lang w:val="en-US"/>
        </w:rPr>
        <w:t xml:space="preserve">at the hospital </w:t>
      </w:r>
      <w:r w:rsidR="00240F8D" w:rsidRPr="00E65854">
        <w:rPr>
          <w:rFonts w:ascii="Times New Roman" w:eastAsia="MS PGothic" w:hAnsi="Times New Roman"/>
          <w:lang w:val="en-US"/>
        </w:rPr>
        <w:lastRenderedPageBreak/>
        <w:t>ASST Papa Giovanni XXIII, Bergamo, Italy</w:t>
      </w:r>
      <w:r w:rsidR="00337F7D">
        <w:rPr>
          <w:rFonts w:ascii="Times New Roman" w:eastAsia="MS PGothic" w:hAnsi="Times New Roman"/>
          <w:lang w:val="en-US"/>
        </w:rPr>
        <w:t xml:space="preserve">, involving </w:t>
      </w:r>
      <w:r w:rsidR="00337F7D" w:rsidRPr="00337F7D">
        <w:rPr>
          <w:rFonts w:ascii="Times New Roman" w:eastAsia="MS PGothic" w:hAnsi="Times New Roman"/>
          <w:lang w:val="en-US"/>
        </w:rPr>
        <w:t xml:space="preserve">1) patients with </w:t>
      </w:r>
      <w:r w:rsidR="00277E86">
        <w:rPr>
          <w:rFonts w:ascii="Times New Roman" w:eastAsia="MS PGothic" w:hAnsi="Times New Roman"/>
          <w:lang w:val="en-US"/>
        </w:rPr>
        <w:t xml:space="preserve">COVID-19 </w:t>
      </w:r>
      <w:r w:rsidR="00337F7D" w:rsidRPr="00337F7D">
        <w:rPr>
          <w:rFonts w:ascii="Times New Roman" w:eastAsia="MS PGothic" w:hAnsi="Times New Roman"/>
          <w:lang w:val="en-US"/>
        </w:rPr>
        <w:t xml:space="preserve">respiratory failure, 2) </w:t>
      </w:r>
      <w:r w:rsidR="00BE2E07">
        <w:rPr>
          <w:rFonts w:ascii="Times New Roman" w:eastAsia="MS PGothic" w:hAnsi="Times New Roman"/>
          <w:lang w:val="en-US"/>
        </w:rPr>
        <w:t xml:space="preserve">asymptomatic </w:t>
      </w:r>
      <w:r w:rsidR="00337F7D" w:rsidRPr="00337F7D">
        <w:rPr>
          <w:rFonts w:ascii="Times New Roman" w:eastAsia="MS PGothic" w:hAnsi="Times New Roman"/>
          <w:lang w:val="en-US"/>
        </w:rPr>
        <w:t>patients with SARS-CoV-2 infection and 3) controls</w:t>
      </w:r>
      <w:r w:rsidR="00337F7D">
        <w:rPr>
          <w:rFonts w:ascii="Times New Roman" w:eastAsia="MS PGothic" w:hAnsi="Times New Roman"/>
          <w:lang w:val="en-US"/>
        </w:rPr>
        <w:t>.</w:t>
      </w:r>
    </w:p>
    <w:p w14:paraId="4598740D" w14:textId="77777777" w:rsidR="00133942" w:rsidRDefault="00133942" w:rsidP="00CE15A0">
      <w:pPr>
        <w:snapToGrid w:val="0"/>
        <w:spacing w:after="120"/>
        <w:rPr>
          <w:rFonts w:ascii="Times New Roman" w:eastAsia="MS PGothic" w:hAnsi="Times New Roman"/>
          <w:lang w:val="en-US"/>
        </w:rPr>
      </w:pPr>
    </w:p>
    <w:p w14:paraId="04A8EC5F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2. </w:t>
      </w:r>
      <w:r w:rsidR="00B94AAA">
        <w:rPr>
          <w:rFonts w:ascii="Times New Roman" w:eastAsia="MS PGothic" w:hAnsi="Times New Roman"/>
          <w:b/>
          <w:bCs/>
          <w:lang w:val="en-US"/>
        </w:rPr>
        <w:t xml:space="preserve">Materials and </w:t>
      </w:r>
      <w:r w:rsidRPr="00466FFD">
        <w:rPr>
          <w:rFonts w:ascii="Times New Roman" w:eastAsia="MS PGothic" w:hAnsi="Times New Roman"/>
          <w:b/>
          <w:bCs/>
          <w:lang w:val="en-US"/>
        </w:rPr>
        <w:t>Methods</w:t>
      </w:r>
    </w:p>
    <w:p w14:paraId="5F809D3A" w14:textId="65E8F853" w:rsidR="00DA51A3" w:rsidRPr="00E65854" w:rsidRDefault="00474C2F" w:rsidP="00DA51A3">
      <w:pPr>
        <w:snapToGrid w:val="0"/>
        <w:spacing w:after="120"/>
        <w:rPr>
          <w:rFonts w:ascii="Times New Roman" w:eastAsia="MS PGothic" w:hAnsi="Times New Roman"/>
          <w:b/>
          <w:bCs/>
          <w:lang w:val="en-US"/>
        </w:rPr>
      </w:pPr>
      <w:r w:rsidRPr="00E65854">
        <w:rPr>
          <w:rFonts w:ascii="Times New Roman" w:eastAsia="MS PGothic" w:hAnsi="Times New Roman"/>
          <w:b/>
          <w:bCs/>
          <w:lang w:val="en-US"/>
        </w:rPr>
        <w:t>2.1. Set</w:t>
      </w:r>
      <w:r w:rsidR="004B129D">
        <w:rPr>
          <w:rFonts w:ascii="Times New Roman" w:eastAsia="MS PGothic" w:hAnsi="Times New Roman"/>
          <w:b/>
          <w:bCs/>
          <w:lang w:val="en-US"/>
        </w:rPr>
        <w:t>-</w:t>
      </w:r>
      <w:r w:rsidRPr="00E65854">
        <w:rPr>
          <w:rFonts w:ascii="Times New Roman" w:eastAsia="MS PGothic" w:hAnsi="Times New Roman"/>
          <w:b/>
          <w:bCs/>
          <w:lang w:val="en-US"/>
        </w:rPr>
        <w:t xml:space="preserve">up for exhaled breath collection </w:t>
      </w:r>
    </w:p>
    <w:p w14:paraId="18224F37" w14:textId="2D1F3B87" w:rsidR="00540870" w:rsidRDefault="00096206" w:rsidP="00DA51A3">
      <w:pPr>
        <w:snapToGrid w:val="0"/>
        <w:spacing w:after="12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The </w:t>
      </w:r>
      <w:r w:rsidR="00474C2F" w:rsidRPr="00474C2F">
        <w:rPr>
          <w:rFonts w:ascii="Times New Roman" w:eastAsia="MS PGothic" w:hAnsi="Times New Roman"/>
          <w:lang w:val="en-US"/>
        </w:rPr>
        <w:t xml:space="preserve">experimental </w:t>
      </w:r>
      <w:r w:rsidR="000D473D">
        <w:rPr>
          <w:rFonts w:ascii="Times New Roman" w:eastAsia="MS PGothic" w:hAnsi="Times New Roman"/>
          <w:lang w:val="en-US"/>
        </w:rPr>
        <w:t>set-up</w:t>
      </w:r>
      <w:r w:rsidR="00474C2F" w:rsidRPr="00474C2F">
        <w:rPr>
          <w:rFonts w:ascii="Times New Roman" w:eastAsia="MS PGothic" w:hAnsi="Times New Roman"/>
          <w:lang w:val="en-US"/>
        </w:rPr>
        <w:t xml:space="preserve"> </w:t>
      </w:r>
      <w:r w:rsidRPr="00096206">
        <w:rPr>
          <w:rFonts w:ascii="Times New Roman" w:eastAsia="MS PGothic" w:hAnsi="Times New Roman"/>
          <w:lang w:val="en-US"/>
        </w:rPr>
        <w:t xml:space="preserve">comprises a T-piece to allow a bias flow through the breathing circuit, a non-rebreathing valve (BB089YBPV, Burke &amp; Burke Spa, Milan, Italy), and an antiviral filter to avoid </w:t>
      </w:r>
      <w:r w:rsidR="000D473D">
        <w:rPr>
          <w:rFonts w:ascii="Times New Roman" w:eastAsia="MS PGothic" w:hAnsi="Times New Roman"/>
          <w:lang w:val="en-US"/>
        </w:rPr>
        <w:t xml:space="preserve">patients </w:t>
      </w:r>
      <w:r w:rsidRPr="00096206">
        <w:rPr>
          <w:rFonts w:ascii="Times New Roman" w:eastAsia="MS PGothic" w:hAnsi="Times New Roman"/>
          <w:lang w:val="en-US"/>
        </w:rPr>
        <w:t>cross-contamination (Figure 1). The system is connected to the hospital me</w:t>
      </w:r>
      <w:r w:rsidR="00B1043F">
        <w:rPr>
          <w:rFonts w:ascii="Times New Roman" w:eastAsia="MS PGothic" w:hAnsi="Times New Roman"/>
          <w:lang w:val="en-US"/>
        </w:rPr>
        <w:t>dical gasses pipe</w:t>
      </w:r>
      <w:r w:rsidRPr="00096206">
        <w:rPr>
          <w:rFonts w:ascii="Times New Roman" w:eastAsia="MS PGothic" w:hAnsi="Times New Roman"/>
          <w:lang w:val="en-US"/>
        </w:rPr>
        <w:t>line system to provide clean gas</w:t>
      </w:r>
      <w:r w:rsidR="000D473D">
        <w:rPr>
          <w:rFonts w:ascii="Times New Roman" w:eastAsia="MS PGothic" w:hAnsi="Times New Roman"/>
          <w:lang w:val="en-US"/>
        </w:rPr>
        <w:t>ses</w:t>
      </w:r>
      <w:r w:rsidRPr="00096206">
        <w:rPr>
          <w:rFonts w:ascii="Times New Roman" w:eastAsia="MS PGothic" w:hAnsi="Times New Roman"/>
          <w:lang w:val="en-US"/>
        </w:rPr>
        <w:t xml:space="preserve"> </w:t>
      </w:r>
      <w:r w:rsidR="004B129D">
        <w:rPr>
          <w:rFonts w:ascii="Times New Roman" w:eastAsia="MS PGothic" w:hAnsi="Times New Roman"/>
          <w:lang w:val="en-US"/>
        </w:rPr>
        <w:t>to prevent</w:t>
      </w:r>
      <w:r w:rsidR="00B1043F">
        <w:rPr>
          <w:rFonts w:ascii="Times New Roman" w:eastAsia="MS PGothic" w:hAnsi="Times New Roman"/>
          <w:lang w:val="en-US"/>
        </w:rPr>
        <w:t xml:space="preserve"> sample contamination due to ambient air VOCs</w:t>
      </w:r>
      <w:r w:rsidR="00B1043F" w:rsidRPr="00474C2F">
        <w:rPr>
          <w:rFonts w:ascii="Times New Roman" w:eastAsia="MS PGothic" w:hAnsi="Times New Roman"/>
          <w:lang w:val="en-US"/>
        </w:rPr>
        <w:t xml:space="preserve"> influencing the composition of exhaled breath and </w:t>
      </w:r>
      <w:r w:rsidR="000D473D">
        <w:rPr>
          <w:rFonts w:ascii="Times New Roman" w:eastAsia="MS PGothic" w:hAnsi="Times New Roman"/>
          <w:lang w:val="en-US"/>
        </w:rPr>
        <w:t xml:space="preserve">potentially </w:t>
      </w:r>
      <w:r w:rsidR="00B1043F" w:rsidRPr="00474C2F">
        <w:rPr>
          <w:rFonts w:ascii="Times New Roman" w:eastAsia="MS PGothic" w:hAnsi="Times New Roman"/>
          <w:lang w:val="en-US"/>
        </w:rPr>
        <w:t xml:space="preserve">affecting the </w:t>
      </w:r>
      <w:r w:rsidR="000D473D">
        <w:rPr>
          <w:rFonts w:ascii="Times New Roman" w:eastAsia="MS PGothic" w:hAnsi="Times New Roman"/>
          <w:lang w:val="en-US"/>
        </w:rPr>
        <w:t>results</w:t>
      </w:r>
      <w:r w:rsidR="00B1043F" w:rsidRPr="00474C2F">
        <w:rPr>
          <w:rFonts w:ascii="Times New Roman" w:eastAsia="MS PGothic" w:hAnsi="Times New Roman"/>
          <w:lang w:val="en-US"/>
        </w:rPr>
        <w:t>.</w:t>
      </w:r>
      <w:r w:rsidR="003D5A05">
        <w:rPr>
          <w:rFonts w:ascii="Times New Roman" w:eastAsia="MS PGothic" w:hAnsi="Times New Roman"/>
          <w:lang w:val="en-US"/>
        </w:rPr>
        <w:t xml:space="preserve"> </w:t>
      </w:r>
      <w:r w:rsidRPr="00096206">
        <w:rPr>
          <w:rFonts w:ascii="Times New Roman" w:eastAsia="MS PGothic" w:hAnsi="Times New Roman"/>
          <w:lang w:val="en-US"/>
        </w:rPr>
        <w:t>The connection to the medical gasses pipeline system also allows regulating</w:t>
      </w:r>
      <w:r w:rsidR="00574A9D">
        <w:rPr>
          <w:rFonts w:ascii="Times New Roman" w:eastAsia="MS PGothic" w:hAnsi="Times New Roman"/>
          <w:lang w:val="en-US"/>
        </w:rPr>
        <w:t>,</w:t>
      </w:r>
      <w:r w:rsidR="00574A9D" w:rsidRPr="00574A9D">
        <w:rPr>
          <w:rFonts w:ascii="Times New Roman" w:eastAsia="MS PGothic" w:hAnsi="Times New Roman"/>
          <w:lang w:val="en-US"/>
        </w:rPr>
        <w:t xml:space="preserve"> </w:t>
      </w:r>
      <w:r w:rsidR="00574A9D" w:rsidRPr="00096206">
        <w:rPr>
          <w:rFonts w:ascii="Times New Roman" w:eastAsia="MS PGothic" w:hAnsi="Times New Roman"/>
          <w:lang w:val="en-US"/>
        </w:rPr>
        <w:t>according to the patient's needs</w:t>
      </w:r>
      <w:r w:rsidR="00574A9D">
        <w:rPr>
          <w:rFonts w:ascii="Times New Roman" w:eastAsia="MS PGothic" w:hAnsi="Times New Roman"/>
          <w:lang w:val="en-US"/>
        </w:rPr>
        <w:t>,</w:t>
      </w:r>
      <w:r w:rsidRPr="00096206">
        <w:rPr>
          <w:rFonts w:ascii="Times New Roman" w:eastAsia="MS PGothic" w:hAnsi="Times New Roman"/>
          <w:lang w:val="en-US"/>
        </w:rPr>
        <w:t xml:space="preserve"> the fraction of inspired oxygen (FiO</w:t>
      </w:r>
      <w:r w:rsidRPr="00540870">
        <w:rPr>
          <w:rFonts w:ascii="Times New Roman" w:eastAsia="MS PGothic" w:hAnsi="Times New Roman"/>
          <w:vertAlign w:val="subscript"/>
          <w:lang w:val="en-US"/>
        </w:rPr>
        <w:t>2</w:t>
      </w:r>
      <w:r w:rsidRPr="00096206">
        <w:rPr>
          <w:rFonts w:ascii="Times New Roman" w:eastAsia="MS PGothic" w:hAnsi="Times New Roman"/>
          <w:lang w:val="en-US"/>
        </w:rPr>
        <w:t xml:space="preserve">). </w:t>
      </w:r>
      <w:r w:rsidR="00D607B5">
        <w:rPr>
          <w:rFonts w:ascii="Times New Roman" w:eastAsia="MS PGothic" w:hAnsi="Times New Roman"/>
          <w:lang w:val="en-US"/>
        </w:rPr>
        <w:t>The FiO</w:t>
      </w:r>
      <w:r w:rsidR="00D607B5" w:rsidRPr="00D607B5">
        <w:rPr>
          <w:rFonts w:ascii="Times New Roman" w:eastAsia="MS PGothic" w:hAnsi="Times New Roman"/>
          <w:vertAlign w:val="subscript"/>
          <w:lang w:val="en-US"/>
        </w:rPr>
        <w:t>2</w:t>
      </w:r>
      <w:r w:rsidR="00D607B5">
        <w:rPr>
          <w:rFonts w:ascii="Times New Roman" w:eastAsia="MS PGothic" w:hAnsi="Times New Roman"/>
          <w:lang w:val="en-US"/>
        </w:rPr>
        <w:t xml:space="preserve"> is an estimation of the oxygen content a person inhales and it is, thus, involved</w:t>
      </w:r>
      <w:r w:rsidR="00574A9D">
        <w:rPr>
          <w:rFonts w:ascii="Times New Roman" w:eastAsia="MS PGothic" w:hAnsi="Times New Roman"/>
          <w:lang w:val="en-US"/>
        </w:rPr>
        <w:t xml:space="preserve"> in gas exchange at the alveolar level.</w:t>
      </w:r>
    </w:p>
    <w:p w14:paraId="641C940F" w14:textId="55C8EC69" w:rsidR="004954BC" w:rsidRDefault="00096206" w:rsidP="00DA51A3">
      <w:pPr>
        <w:snapToGrid w:val="0"/>
        <w:spacing w:after="120"/>
        <w:rPr>
          <w:rFonts w:ascii="Times New Roman" w:eastAsia="MS PGothic" w:hAnsi="Times New Roman"/>
          <w:lang w:val="en-US"/>
        </w:rPr>
      </w:pPr>
      <w:r w:rsidRPr="00096206">
        <w:rPr>
          <w:rFonts w:ascii="Times New Roman" w:eastAsia="MS PGothic" w:hAnsi="Times New Roman"/>
          <w:lang w:val="en-US"/>
        </w:rPr>
        <w:t>The bias flow of medical gasses passing through the breathing circuit</w:t>
      </w:r>
      <w:r w:rsidR="004B129D">
        <w:rPr>
          <w:rFonts w:ascii="Times New Roman" w:eastAsia="MS PGothic" w:hAnsi="Times New Roman"/>
          <w:lang w:val="en-US"/>
        </w:rPr>
        <w:t xml:space="preserve"> and the FiO</w:t>
      </w:r>
      <w:r w:rsidR="004B129D" w:rsidRPr="00540870">
        <w:rPr>
          <w:rFonts w:ascii="Times New Roman" w:eastAsia="MS PGothic" w:hAnsi="Times New Roman"/>
          <w:vertAlign w:val="subscript"/>
          <w:lang w:val="en-US"/>
        </w:rPr>
        <w:t>2</w:t>
      </w:r>
      <w:r w:rsidRPr="00096206">
        <w:rPr>
          <w:rFonts w:ascii="Times New Roman" w:eastAsia="MS PGothic" w:hAnsi="Times New Roman"/>
          <w:lang w:val="en-US"/>
        </w:rPr>
        <w:t xml:space="preserve"> can be adjusted using two rotameters on the air and oxygen lines. In the present study, we used a bias flow of 45 L/min and a FiO</w:t>
      </w:r>
      <w:r w:rsidRPr="00540870">
        <w:rPr>
          <w:rFonts w:ascii="Times New Roman" w:eastAsia="MS PGothic" w:hAnsi="Times New Roman"/>
          <w:vertAlign w:val="subscript"/>
          <w:lang w:val="en-US"/>
        </w:rPr>
        <w:t>2</w:t>
      </w:r>
      <w:r w:rsidRPr="00096206">
        <w:rPr>
          <w:rFonts w:ascii="Times New Roman" w:eastAsia="MS PGothic" w:hAnsi="Times New Roman"/>
          <w:lang w:val="en-US"/>
        </w:rPr>
        <w:t xml:space="preserve"> of 0.21. A 10 cm-long tube at the outlet of the T-piece guarantees that the subject inhales only the gas from the pipeline system and not the environment air. </w:t>
      </w:r>
    </w:p>
    <w:p w14:paraId="3768E30F" w14:textId="4CDC6508" w:rsidR="00096206" w:rsidRDefault="00B849D6" w:rsidP="00DA51A3">
      <w:pPr>
        <w:snapToGrid w:val="0"/>
        <w:spacing w:after="12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A</w:t>
      </w:r>
      <w:r w:rsidR="00096206" w:rsidRPr="00096206">
        <w:rPr>
          <w:rFonts w:ascii="Times New Roman" w:eastAsia="MS PGothic" w:hAnsi="Times New Roman"/>
          <w:lang w:val="en-US"/>
        </w:rPr>
        <w:t xml:space="preserve"> Nalophan bag with a capacity of 5L</w:t>
      </w:r>
      <w:r>
        <w:rPr>
          <w:rFonts w:ascii="Times New Roman" w:eastAsia="MS PGothic" w:hAnsi="Times New Roman"/>
          <w:lang w:val="en-US"/>
        </w:rPr>
        <w:t xml:space="preserve"> was</w:t>
      </w:r>
      <w:r w:rsidR="00096206" w:rsidRPr="00096206">
        <w:rPr>
          <w:rFonts w:ascii="Times New Roman" w:eastAsia="MS PGothic" w:hAnsi="Times New Roman"/>
          <w:lang w:val="en-US"/>
        </w:rPr>
        <w:t xml:space="preserve"> connected to the expiratory outlet of the non-rebreathing valve to collect exhaled gas.</w:t>
      </w:r>
    </w:p>
    <w:p w14:paraId="3E1CBBB9" w14:textId="77777777" w:rsidR="00E8246B" w:rsidRDefault="00E8246B" w:rsidP="00DA51A3">
      <w:pPr>
        <w:snapToGrid w:val="0"/>
        <w:spacing w:after="120"/>
        <w:rPr>
          <w:rFonts w:ascii="Times New Roman" w:eastAsia="MS PGothic" w:hAnsi="Times New Roman"/>
          <w:lang w:val="en-US"/>
        </w:rPr>
      </w:pPr>
    </w:p>
    <w:p w14:paraId="79EDC78E" w14:textId="0931B7F8" w:rsidR="00096206" w:rsidRPr="002C55C8" w:rsidRDefault="002C55C8" w:rsidP="00096206">
      <w:pPr>
        <w:snapToGrid w:val="0"/>
        <w:spacing w:after="120"/>
        <w:jc w:val="center"/>
        <w:rPr>
          <w:rFonts w:ascii="Times New Roman" w:eastAsia="MS PGothic" w:hAnsi="Times New Roman"/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5862A9E9" wp14:editId="48C144B3">
            <wp:extent cx="2867025" cy="2286000"/>
            <wp:effectExtent l="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6" t="11344" r="30587" b="22247"/>
                    <a:stretch/>
                  </pic:blipFill>
                  <pic:spPr bwMode="auto">
                    <a:xfrm>
                      <a:off x="0" y="0"/>
                      <a:ext cx="28670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0D7DA9" w14:textId="479D6F48" w:rsidR="00096206" w:rsidRDefault="00096206" w:rsidP="00096206">
      <w:pPr>
        <w:snapToGrid w:val="0"/>
        <w:spacing w:after="120"/>
        <w:jc w:val="center"/>
        <w:rPr>
          <w:rFonts w:ascii="Times New Roman" w:eastAsia="MS PGothic" w:hAnsi="Times New Roman"/>
          <w:szCs w:val="18"/>
          <w:lang w:val="en-US"/>
        </w:rPr>
      </w:pPr>
      <w:r w:rsidRPr="00466FFD">
        <w:rPr>
          <w:rFonts w:ascii="Times New Roman" w:eastAsia="MS PGothic" w:hAnsi="Times New Roman"/>
          <w:b/>
          <w:szCs w:val="18"/>
          <w:lang w:val="en-US"/>
        </w:rPr>
        <w:t>Figure 1</w:t>
      </w:r>
      <w:r w:rsidRPr="00466FFD">
        <w:rPr>
          <w:rFonts w:ascii="Times New Roman" w:eastAsia="MS PGothic" w:hAnsi="Times New Roman"/>
          <w:b/>
          <w:szCs w:val="18"/>
          <w:lang w:val="en-US" w:eastAsia="ko-KR"/>
        </w:rPr>
        <w:t>.</w:t>
      </w:r>
      <w:r w:rsidRPr="00466FFD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Pro</w:t>
      </w:r>
      <w:r w:rsidR="00EA1FB8">
        <w:rPr>
          <w:rFonts w:ascii="Times New Roman" w:hAnsi="Times New Roman"/>
          <w:lang w:val="en-US"/>
        </w:rPr>
        <w:t>posed breath sampling apparatus</w:t>
      </w:r>
      <w:r>
        <w:rPr>
          <w:rFonts w:ascii="Times New Roman" w:hAnsi="Times New Roman"/>
          <w:lang w:val="en-US"/>
        </w:rPr>
        <w:t xml:space="preserve"> a) wash</w:t>
      </w:r>
      <w:r w:rsidR="00EA1FB8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out phase</w:t>
      </w:r>
      <w:r>
        <w:rPr>
          <w:rFonts w:ascii="Times New Roman" w:eastAsia="MS PGothic" w:hAnsi="Times New Roman"/>
          <w:szCs w:val="18"/>
          <w:lang w:val="en-US"/>
        </w:rPr>
        <w:t xml:space="preserve"> b) exhaled breath sampling.</w:t>
      </w:r>
    </w:p>
    <w:p w14:paraId="4A9A8599" w14:textId="77777777" w:rsidR="00EA1FB8" w:rsidRPr="00466FFD" w:rsidRDefault="00EA1FB8" w:rsidP="00096206">
      <w:pPr>
        <w:snapToGrid w:val="0"/>
        <w:spacing w:after="120"/>
        <w:jc w:val="center"/>
        <w:rPr>
          <w:rFonts w:ascii="Times New Roman" w:eastAsia="MS PGothic" w:hAnsi="Times New Roman"/>
          <w:szCs w:val="18"/>
          <w:lang w:val="en-US"/>
        </w:rPr>
      </w:pPr>
    </w:p>
    <w:p w14:paraId="25042A2E" w14:textId="77777777" w:rsidR="00EA1FB8" w:rsidRPr="00E65854" w:rsidRDefault="00EA1FB8" w:rsidP="00EA1FB8">
      <w:pPr>
        <w:snapToGrid w:val="0"/>
        <w:spacing w:after="120"/>
        <w:rPr>
          <w:rFonts w:ascii="Times New Roman" w:eastAsia="MS PGothic" w:hAnsi="Times New Roman"/>
          <w:b/>
          <w:bCs/>
          <w:lang w:val="en-US"/>
        </w:rPr>
      </w:pPr>
      <w:r w:rsidRPr="00E65854">
        <w:rPr>
          <w:rFonts w:ascii="Times New Roman" w:eastAsia="MS PGothic" w:hAnsi="Times New Roman"/>
          <w:b/>
          <w:bCs/>
          <w:lang w:val="en-US"/>
        </w:rPr>
        <w:t>2.2. Population</w:t>
      </w:r>
    </w:p>
    <w:p w14:paraId="2BD2FA42" w14:textId="5576C9CA" w:rsidR="00B849D6" w:rsidRDefault="00B849D6" w:rsidP="00B849D6">
      <w:pPr>
        <w:snapToGrid w:val="0"/>
        <w:spacing w:after="12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The </w:t>
      </w:r>
      <w:r w:rsidR="00EA1FB8">
        <w:rPr>
          <w:rFonts w:ascii="Times New Roman" w:eastAsia="MS PGothic" w:hAnsi="Times New Roman"/>
          <w:lang w:val="en-US"/>
        </w:rPr>
        <w:t>feasibility study carried out</w:t>
      </w:r>
      <w:r w:rsidR="00EA1FB8" w:rsidRPr="00E65854">
        <w:rPr>
          <w:rFonts w:ascii="Times New Roman" w:eastAsia="MS PGothic" w:hAnsi="Times New Roman"/>
          <w:lang w:val="en-US"/>
        </w:rPr>
        <w:t xml:space="preserve"> at the hospital ASST Papa Giovanni XXIII, Bergamo, Italy</w:t>
      </w:r>
      <w:r w:rsidR="00983A37">
        <w:rPr>
          <w:rFonts w:ascii="Times New Roman" w:eastAsia="MS PGothic" w:hAnsi="Times New Roman"/>
          <w:lang w:val="en-US"/>
        </w:rPr>
        <w:t xml:space="preserve"> (ethical com</w:t>
      </w:r>
      <w:r>
        <w:rPr>
          <w:rFonts w:ascii="Times New Roman" w:eastAsia="MS PGothic" w:hAnsi="Times New Roman"/>
          <w:lang w:val="en-US"/>
        </w:rPr>
        <w:t xml:space="preserve">mittee approval number 223/20) </w:t>
      </w:r>
      <w:r w:rsidR="00983A37">
        <w:rPr>
          <w:rFonts w:ascii="Times New Roman" w:eastAsia="MS PGothic" w:hAnsi="Times New Roman"/>
          <w:lang w:val="en-US"/>
        </w:rPr>
        <w:t xml:space="preserve">involved 55 subjects: </w:t>
      </w:r>
      <w:r w:rsidR="00983A37" w:rsidRPr="00983A37">
        <w:rPr>
          <w:rFonts w:ascii="Times New Roman" w:eastAsia="MS PGothic" w:hAnsi="Times New Roman"/>
          <w:lang w:val="en-US"/>
        </w:rPr>
        <w:t xml:space="preserve">1) 25 patients with respiratory failure positive to SARS-CoV-2; 2) 8 asymptomatic subjects positive to SARS-CoV-2; 3) 22 healthy controls. </w:t>
      </w:r>
      <w:r>
        <w:rPr>
          <w:rFonts w:ascii="Times New Roman" w:eastAsia="MS PGothic" w:hAnsi="Times New Roman"/>
          <w:lang w:val="en-US"/>
        </w:rPr>
        <w:t xml:space="preserve">Table 1 summarizes </w:t>
      </w:r>
      <w:r w:rsidR="004B129D">
        <w:rPr>
          <w:rFonts w:ascii="Times New Roman" w:eastAsia="MS PGothic" w:hAnsi="Times New Roman"/>
          <w:lang w:val="en-US"/>
        </w:rPr>
        <w:t xml:space="preserve">the </w:t>
      </w:r>
      <w:r>
        <w:rPr>
          <w:rFonts w:ascii="Times New Roman" w:eastAsia="MS PGothic" w:hAnsi="Times New Roman"/>
          <w:lang w:val="en-US"/>
        </w:rPr>
        <w:t>characteristics of study participants.</w:t>
      </w:r>
    </w:p>
    <w:p w14:paraId="57D77DC2" w14:textId="75A4559E" w:rsidR="00B849D6" w:rsidRDefault="00983A37" w:rsidP="00EA1FB8">
      <w:pPr>
        <w:snapToGrid w:val="0"/>
        <w:spacing w:after="120"/>
        <w:rPr>
          <w:rFonts w:ascii="Times New Roman" w:eastAsia="MS PGothic" w:hAnsi="Times New Roman"/>
          <w:lang w:val="en-US"/>
        </w:rPr>
      </w:pPr>
      <w:r w:rsidRPr="00983A37">
        <w:rPr>
          <w:rFonts w:ascii="Times New Roman" w:eastAsia="MS PGothic" w:hAnsi="Times New Roman"/>
          <w:lang w:val="en-US"/>
        </w:rPr>
        <w:t xml:space="preserve">Infection with SARS-CoV-2 was determined </w:t>
      </w:r>
      <w:r w:rsidR="000D473D">
        <w:rPr>
          <w:rFonts w:ascii="Times New Roman" w:eastAsia="MS PGothic" w:hAnsi="Times New Roman"/>
          <w:lang w:val="en-US"/>
        </w:rPr>
        <w:t>by</w:t>
      </w:r>
      <w:r w:rsidRPr="00983A37">
        <w:rPr>
          <w:rFonts w:ascii="Times New Roman" w:eastAsia="MS PGothic" w:hAnsi="Times New Roman"/>
          <w:lang w:val="en-US"/>
        </w:rPr>
        <w:t xml:space="preserve"> PCR test on oropharyngeal swabs.</w:t>
      </w:r>
      <w:r>
        <w:rPr>
          <w:rFonts w:ascii="Times New Roman" w:eastAsia="MS PGothic" w:hAnsi="Times New Roman"/>
          <w:lang w:val="en-US"/>
        </w:rPr>
        <w:t xml:space="preserve"> </w:t>
      </w:r>
      <w:r w:rsidRPr="00983A37">
        <w:rPr>
          <w:rFonts w:ascii="Times New Roman" w:eastAsia="MS PGothic" w:hAnsi="Times New Roman"/>
          <w:lang w:val="en-US"/>
        </w:rPr>
        <w:t>Controls were age-matched subjects with a negative molecular swab to SARS-CoV-2 without chronic respiratory disorders who did not present any re</w:t>
      </w:r>
      <w:r w:rsidR="00B849D6">
        <w:rPr>
          <w:rFonts w:ascii="Times New Roman" w:eastAsia="MS PGothic" w:hAnsi="Times New Roman"/>
          <w:lang w:val="en-US"/>
        </w:rPr>
        <w:t>spiratory tract infec</w:t>
      </w:r>
      <w:r w:rsidRPr="00983A37">
        <w:rPr>
          <w:rFonts w:ascii="Times New Roman" w:eastAsia="MS PGothic" w:hAnsi="Times New Roman"/>
          <w:lang w:val="en-US"/>
        </w:rPr>
        <w:t>tion in the last 90 days.</w:t>
      </w:r>
      <w:r w:rsidR="003B015B">
        <w:rPr>
          <w:rFonts w:ascii="Times New Roman" w:eastAsia="MS PGothic" w:hAnsi="Times New Roman"/>
          <w:lang w:val="en-US"/>
        </w:rPr>
        <w:t xml:space="preserve"> </w:t>
      </w:r>
    </w:p>
    <w:p w14:paraId="3C757354" w14:textId="6F5A7D8C" w:rsidR="006514D5" w:rsidRDefault="006514D5" w:rsidP="00EA1FB8">
      <w:pPr>
        <w:snapToGrid w:val="0"/>
        <w:spacing w:after="120"/>
        <w:rPr>
          <w:rFonts w:ascii="Times New Roman" w:eastAsia="MS PGothic" w:hAnsi="Times New Roman"/>
          <w:lang w:val="en-US"/>
        </w:rPr>
      </w:pPr>
    </w:p>
    <w:p w14:paraId="7D8F5FCA" w14:textId="77777777" w:rsidR="00E8246B" w:rsidRDefault="00E8246B" w:rsidP="00EA1FB8">
      <w:pPr>
        <w:snapToGrid w:val="0"/>
        <w:spacing w:after="120"/>
        <w:rPr>
          <w:rFonts w:ascii="Times New Roman" w:eastAsia="MS PGothic" w:hAnsi="Times New Roman"/>
          <w:lang w:val="en-US"/>
        </w:rPr>
      </w:pPr>
    </w:p>
    <w:p w14:paraId="010055C5" w14:textId="77777777" w:rsidR="00826081" w:rsidRPr="00A7641A" w:rsidRDefault="00826081" w:rsidP="00826081">
      <w:pPr>
        <w:pStyle w:val="MDPI41tablecaption"/>
        <w:ind w:left="0"/>
        <w:jc w:val="center"/>
      </w:pPr>
      <w:r w:rsidRPr="00826081">
        <w:rPr>
          <w:rFonts w:ascii="Times New Roman" w:eastAsia="MS PGothic" w:hAnsi="Times New Roman"/>
          <w:b/>
          <w:color w:val="auto"/>
          <w:sz w:val="22"/>
          <w:szCs w:val="18"/>
          <w:lang w:eastAsia="en-US" w:bidi="ar-SA"/>
        </w:rPr>
        <w:lastRenderedPageBreak/>
        <w:t xml:space="preserve">Table </w:t>
      </w:r>
      <w:r w:rsidR="003B015B">
        <w:rPr>
          <w:rFonts w:ascii="Times New Roman" w:eastAsia="MS PGothic" w:hAnsi="Times New Roman"/>
          <w:b/>
          <w:color w:val="auto"/>
          <w:sz w:val="22"/>
          <w:szCs w:val="18"/>
          <w:lang w:eastAsia="en-US" w:bidi="ar-SA"/>
        </w:rPr>
        <w:t>1</w:t>
      </w:r>
      <w:r w:rsidRPr="00826081">
        <w:rPr>
          <w:rFonts w:ascii="Times New Roman" w:eastAsia="MS PGothic" w:hAnsi="Times New Roman"/>
          <w:b/>
          <w:color w:val="auto"/>
          <w:sz w:val="22"/>
          <w:szCs w:val="18"/>
          <w:lang w:eastAsia="en-US" w:bidi="ar-SA"/>
        </w:rPr>
        <w:t>.</w:t>
      </w:r>
      <w:r w:rsidRPr="00826081">
        <w:rPr>
          <w:rFonts w:ascii="Times New Roman" w:eastAsiaTheme="minorHAnsi" w:hAnsi="Times New Roman"/>
          <w:color w:val="auto"/>
          <w:sz w:val="22"/>
          <w:lang w:eastAsia="en-US" w:bidi="ar-SA"/>
        </w:rPr>
        <w:t xml:space="preserve"> Characteristics of study participants.</w:t>
      </w:r>
    </w:p>
    <w:tbl>
      <w:tblPr>
        <w:tblStyle w:val="Grigliatabella"/>
        <w:tblW w:w="78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1433"/>
        <w:gridCol w:w="1433"/>
        <w:gridCol w:w="1351"/>
        <w:gridCol w:w="1057"/>
      </w:tblGrid>
      <w:tr w:rsidR="00826081" w:rsidRPr="00826081" w14:paraId="09203C47" w14:textId="77777777" w:rsidTr="00711DAD">
        <w:trPr>
          <w:jc w:val="center"/>
        </w:trPr>
        <w:tc>
          <w:tcPr>
            <w:tcW w:w="258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71553" w14:textId="77777777" w:rsidR="00826081" w:rsidRPr="00826081" w:rsidRDefault="00826081" w:rsidP="003E0357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b/>
                <w:i w:val="0"/>
                <w:noProof w:val="0"/>
              </w:rPr>
            </w:pPr>
          </w:p>
        </w:tc>
        <w:tc>
          <w:tcPr>
            <w:tcW w:w="143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9D1D1" w14:textId="77777777" w:rsidR="00826081" w:rsidRPr="00826081" w:rsidRDefault="00826081" w:rsidP="003E0357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b/>
                <w:i w:val="0"/>
                <w:noProof w:val="0"/>
              </w:rPr>
            </w:pPr>
            <w:r w:rsidRPr="00826081">
              <w:rPr>
                <w:rFonts w:ascii="Times New Roman" w:hAnsi="Times New Roman"/>
                <w:b/>
                <w:i w:val="0"/>
                <w:noProof w:val="0"/>
              </w:rPr>
              <w:t>SARS-CoV-2 and respiratory failure</w:t>
            </w:r>
          </w:p>
        </w:tc>
        <w:tc>
          <w:tcPr>
            <w:tcW w:w="143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31AE5" w14:textId="77777777" w:rsidR="00826081" w:rsidRPr="00826081" w:rsidRDefault="00826081" w:rsidP="003E0357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b/>
                <w:i w:val="0"/>
                <w:noProof w:val="0"/>
              </w:rPr>
            </w:pPr>
            <w:r w:rsidRPr="00826081">
              <w:rPr>
                <w:rFonts w:ascii="Times New Roman" w:hAnsi="Times New Roman"/>
                <w:b/>
                <w:i w:val="0"/>
                <w:noProof w:val="0"/>
              </w:rPr>
              <w:t>SARS-CoV-2 and asymptomatic</w:t>
            </w:r>
          </w:p>
        </w:tc>
        <w:tc>
          <w:tcPr>
            <w:tcW w:w="13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BA72F" w14:textId="77777777" w:rsidR="00826081" w:rsidRPr="00826081" w:rsidRDefault="00826081" w:rsidP="003E0357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b/>
                <w:i w:val="0"/>
                <w:noProof w:val="0"/>
              </w:rPr>
            </w:pPr>
            <w:r w:rsidRPr="00826081">
              <w:rPr>
                <w:rFonts w:ascii="Times New Roman" w:hAnsi="Times New Roman"/>
                <w:b/>
                <w:i w:val="0"/>
                <w:noProof w:val="0"/>
              </w:rPr>
              <w:t>Controls</w:t>
            </w:r>
          </w:p>
        </w:tc>
        <w:tc>
          <w:tcPr>
            <w:tcW w:w="105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98C17" w14:textId="77777777" w:rsidR="00826081" w:rsidRPr="00826081" w:rsidRDefault="00826081" w:rsidP="003E0357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b/>
                <w:i w:val="0"/>
                <w:noProof w:val="0"/>
              </w:rPr>
            </w:pPr>
            <w:r w:rsidRPr="00826081">
              <w:rPr>
                <w:rFonts w:ascii="Times New Roman" w:hAnsi="Times New Roman"/>
                <w:b/>
                <w:i w:val="0"/>
                <w:noProof w:val="0"/>
              </w:rPr>
              <w:t>p-value</w:t>
            </w:r>
          </w:p>
        </w:tc>
      </w:tr>
      <w:tr w:rsidR="00826081" w:rsidRPr="00826081" w14:paraId="4452BE86" w14:textId="77777777" w:rsidTr="00711DAD">
        <w:trPr>
          <w:jc w:val="center"/>
        </w:trPr>
        <w:tc>
          <w:tcPr>
            <w:tcW w:w="2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5352D" w14:textId="77777777" w:rsidR="00826081" w:rsidRPr="00826081" w:rsidRDefault="00826081" w:rsidP="003E0357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</w:rPr>
              <w:t>N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C5E0D5" w14:textId="77777777" w:rsidR="00826081" w:rsidRPr="00826081" w:rsidRDefault="00826081" w:rsidP="003E0357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</w:rPr>
              <w:t>25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4F0AEC" w14:textId="77777777" w:rsidR="00826081" w:rsidRPr="00826081" w:rsidRDefault="00826081" w:rsidP="003E0357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62B469" w14:textId="77777777" w:rsidR="00826081" w:rsidRPr="00826081" w:rsidRDefault="00826081" w:rsidP="003E0357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</w:rPr>
              <w:t>22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AFEE38" w14:textId="77777777" w:rsidR="00826081" w:rsidRPr="00826081" w:rsidRDefault="00826081" w:rsidP="003E0357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</w:p>
        </w:tc>
      </w:tr>
      <w:tr w:rsidR="00826081" w:rsidRPr="00826081" w14:paraId="73E76626" w14:textId="77777777" w:rsidTr="00711DAD">
        <w:trPr>
          <w:jc w:val="center"/>
        </w:trPr>
        <w:tc>
          <w:tcPr>
            <w:tcW w:w="2583" w:type="dxa"/>
            <w:shd w:val="clear" w:color="auto" w:fill="auto"/>
            <w:vAlign w:val="center"/>
          </w:tcPr>
          <w:p w14:paraId="3563EEE6" w14:textId="77777777" w:rsidR="00826081" w:rsidRPr="00826081" w:rsidRDefault="00826081" w:rsidP="00826081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</w:rPr>
              <w:t xml:space="preserve">Male sex, </w:t>
            </w:r>
            <w:r>
              <w:rPr>
                <w:rFonts w:ascii="Times New Roman" w:hAnsi="Times New Roman"/>
                <w:i w:val="0"/>
                <w:noProof w:val="0"/>
              </w:rPr>
              <w:t>n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5D0CDB0" w14:textId="50156620" w:rsidR="00826081" w:rsidRPr="00826081" w:rsidRDefault="00826081" w:rsidP="00826081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</w:rPr>
              <w:t xml:space="preserve">17 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66FB480" w14:textId="77777777" w:rsidR="00826081" w:rsidRPr="00826081" w:rsidRDefault="00826081" w:rsidP="00826081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</w:rPr>
              <w:t xml:space="preserve">3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66C6AFE" w14:textId="77777777" w:rsidR="00826081" w:rsidRPr="00826081" w:rsidRDefault="00826081" w:rsidP="00826081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</w:rPr>
              <w:t xml:space="preserve">14 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851599B" w14:textId="77777777" w:rsidR="00826081" w:rsidRPr="00826081" w:rsidRDefault="00826081" w:rsidP="003E0357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</w:rPr>
              <w:t>0.295</w:t>
            </w:r>
          </w:p>
        </w:tc>
      </w:tr>
      <w:tr w:rsidR="00826081" w:rsidRPr="00826081" w14:paraId="3D9CD584" w14:textId="77777777" w:rsidTr="00711DAD">
        <w:trPr>
          <w:jc w:val="center"/>
        </w:trPr>
        <w:tc>
          <w:tcPr>
            <w:tcW w:w="2583" w:type="dxa"/>
            <w:shd w:val="clear" w:color="auto" w:fill="auto"/>
            <w:vAlign w:val="center"/>
          </w:tcPr>
          <w:p w14:paraId="0F46ADA7" w14:textId="77777777" w:rsidR="00826081" w:rsidRPr="00826081" w:rsidRDefault="00826081" w:rsidP="003E0357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</w:rPr>
              <w:t>Age (years), median [IQR]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25809E3C" w14:textId="77777777" w:rsidR="00826081" w:rsidRPr="00826081" w:rsidRDefault="00826081" w:rsidP="003E0357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</w:rPr>
              <w:t>50 [18.46]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24330F9" w14:textId="77777777" w:rsidR="00826081" w:rsidRPr="00826081" w:rsidRDefault="00826081" w:rsidP="003E0357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</w:rPr>
              <w:t>50 [24.15]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6BA9DBD" w14:textId="77777777" w:rsidR="00826081" w:rsidRPr="00826081" w:rsidRDefault="00826081" w:rsidP="003E0357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</w:rPr>
              <w:t>50 [23.76]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0426154" w14:textId="77777777" w:rsidR="00826081" w:rsidRPr="00826081" w:rsidRDefault="00826081" w:rsidP="003E0357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  <w:color w:val="auto"/>
              </w:rPr>
              <w:t>0.403</w:t>
            </w:r>
          </w:p>
        </w:tc>
      </w:tr>
      <w:tr w:rsidR="00826081" w:rsidRPr="00826081" w14:paraId="0D197BD5" w14:textId="77777777" w:rsidTr="00711DAD">
        <w:trPr>
          <w:jc w:val="center"/>
        </w:trPr>
        <w:tc>
          <w:tcPr>
            <w:tcW w:w="2583" w:type="dxa"/>
            <w:shd w:val="clear" w:color="auto" w:fill="auto"/>
            <w:vAlign w:val="center"/>
          </w:tcPr>
          <w:p w14:paraId="44B8087D" w14:textId="77777777" w:rsidR="00826081" w:rsidRPr="00826081" w:rsidRDefault="00826081" w:rsidP="00E71026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</w:rPr>
              <w:t xml:space="preserve">Smokers, n 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32A6D96" w14:textId="77777777" w:rsidR="00826081" w:rsidRPr="00826081" w:rsidRDefault="00826081" w:rsidP="00E71026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</w:rPr>
              <w:t xml:space="preserve">2 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DBB0CF3" w14:textId="77777777" w:rsidR="00826081" w:rsidRPr="00826081" w:rsidRDefault="00E71026" w:rsidP="00E71026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>
              <w:rPr>
                <w:rFonts w:ascii="Times New Roman" w:hAnsi="Times New Roman"/>
                <w:i w:val="0"/>
                <w:noProof w:val="0"/>
              </w:rPr>
              <w:t>2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3BECB0FA" w14:textId="77777777" w:rsidR="00826081" w:rsidRPr="00826081" w:rsidRDefault="00826081" w:rsidP="00E71026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</w:rPr>
              <w:t xml:space="preserve">1 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24E337A" w14:textId="77777777" w:rsidR="00826081" w:rsidRPr="00826081" w:rsidRDefault="00826081" w:rsidP="003E0357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</w:rPr>
              <w:t>0.219</w:t>
            </w:r>
          </w:p>
        </w:tc>
      </w:tr>
      <w:tr w:rsidR="00826081" w:rsidRPr="00826081" w14:paraId="02EA1407" w14:textId="77777777" w:rsidTr="00711DAD">
        <w:trPr>
          <w:jc w:val="center"/>
        </w:trPr>
        <w:tc>
          <w:tcPr>
            <w:tcW w:w="2583" w:type="dxa"/>
            <w:shd w:val="clear" w:color="auto" w:fill="auto"/>
            <w:vAlign w:val="center"/>
          </w:tcPr>
          <w:p w14:paraId="25B049D0" w14:textId="77777777" w:rsidR="00826081" w:rsidRPr="00826081" w:rsidRDefault="00E71026" w:rsidP="00E71026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>
              <w:rPr>
                <w:rFonts w:ascii="Times New Roman" w:hAnsi="Times New Roman"/>
                <w:i w:val="0"/>
                <w:noProof w:val="0"/>
              </w:rPr>
              <w:t>Ex-smokers, n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70C7A34" w14:textId="77777777" w:rsidR="00826081" w:rsidRPr="00826081" w:rsidRDefault="00E71026" w:rsidP="00E71026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>
              <w:rPr>
                <w:rFonts w:ascii="Times New Roman" w:hAnsi="Times New Roman"/>
                <w:i w:val="0"/>
                <w:noProof w:val="0"/>
              </w:rPr>
              <w:t>5</w:t>
            </w:r>
            <w:r w:rsidR="00826081" w:rsidRPr="00826081">
              <w:rPr>
                <w:rFonts w:ascii="Times New Roman" w:hAnsi="Times New Roman"/>
                <w:i w:val="0"/>
                <w:noProof w:val="0"/>
              </w:rPr>
              <w:t xml:space="preserve"> 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4B9230D" w14:textId="77777777" w:rsidR="00826081" w:rsidRPr="00826081" w:rsidRDefault="00E71026" w:rsidP="00E71026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>
              <w:rPr>
                <w:rFonts w:ascii="Times New Roman" w:hAnsi="Times New Roman"/>
                <w:i w:val="0"/>
                <w:noProof w:val="0"/>
              </w:rPr>
              <w:t>2</w:t>
            </w:r>
            <w:r w:rsidR="00826081" w:rsidRPr="00826081">
              <w:rPr>
                <w:rFonts w:ascii="Times New Roman" w:hAnsi="Times New Roman"/>
                <w:i w:val="0"/>
                <w:noProof w:val="0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3D827939" w14:textId="77777777" w:rsidR="00826081" w:rsidRPr="00826081" w:rsidRDefault="00826081" w:rsidP="00E71026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</w:rPr>
              <w:t xml:space="preserve">5 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1714ED5" w14:textId="77777777" w:rsidR="00826081" w:rsidRPr="00826081" w:rsidRDefault="00826081" w:rsidP="003E0357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</w:rPr>
              <w:t>0.948</w:t>
            </w:r>
          </w:p>
        </w:tc>
      </w:tr>
      <w:tr w:rsidR="00826081" w:rsidRPr="00826081" w14:paraId="3F13C86F" w14:textId="77777777" w:rsidTr="00711DAD">
        <w:trPr>
          <w:jc w:val="center"/>
        </w:trPr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F116E" w14:textId="77777777" w:rsidR="00826081" w:rsidRPr="00826081" w:rsidRDefault="00826081" w:rsidP="00E71026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</w:rPr>
              <w:t>Subjects with other comorbidities, n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C8E58" w14:textId="77777777" w:rsidR="00826081" w:rsidRPr="00826081" w:rsidRDefault="00E71026" w:rsidP="00E71026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>
              <w:rPr>
                <w:rFonts w:ascii="Times New Roman" w:hAnsi="Times New Roman"/>
                <w:i w:val="0"/>
                <w:noProof w:val="0"/>
              </w:rPr>
              <w:t>10</w:t>
            </w:r>
            <w:r w:rsidR="00826081" w:rsidRPr="00826081">
              <w:rPr>
                <w:rFonts w:ascii="Times New Roman" w:hAnsi="Times New Roman"/>
                <w:i w:val="0"/>
                <w:noProof w:val="0"/>
              </w:rPr>
              <w:t xml:space="preserve"> 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D873C" w14:textId="77777777" w:rsidR="00826081" w:rsidRPr="00826081" w:rsidRDefault="00826081" w:rsidP="00E71026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</w:rPr>
              <w:t xml:space="preserve">5 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C44A" w14:textId="77777777" w:rsidR="00826081" w:rsidRPr="00826081" w:rsidRDefault="00826081" w:rsidP="00E71026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</w:rPr>
              <w:t xml:space="preserve">3 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C4444" w14:textId="77777777" w:rsidR="00826081" w:rsidRPr="00826081" w:rsidRDefault="00826081" w:rsidP="003E0357">
            <w:pPr>
              <w:pStyle w:val="MDPI22heading2"/>
              <w:spacing w:before="0" w:after="0" w:line="240" w:lineRule="auto"/>
              <w:ind w:left="0"/>
              <w:jc w:val="center"/>
              <w:outlineLvl w:val="9"/>
              <w:rPr>
                <w:rFonts w:ascii="Times New Roman" w:hAnsi="Times New Roman"/>
                <w:i w:val="0"/>
                <w:noProof w:val="0"/>
              </w:rPr>
            </w:pPr>
            <w:r w:rsidRPr="00826081">
              <w:rPr>
                <w:rFonts w:ascii="Times New Roman" w:hAnsi="Times New Roman"/>
                <w:i w:val="0"/>
                <w:noProof w:val="0"/>
              </w:rPr>
              <w:t>0.425</w:t>
            </w:r>
          </w:p>
        </w:tc>
      </w:tr>
    </w:tbl>
    <w:p w14:paraId="74FD1B18" w14:textId="77777777" w:rsidR="00826081" w:rsidRPr="00A7641A" w:rsidRDefault="00826081" w:rsidP="00826081">
      <w:pPr>
        <w:pStyle w:val="MDPI32textnoindent"/>
      </w:pPr>
    </w:p>
    <w:p w14:paraId="2D056094" w14:textId="77777777" w:rsidR="00084DBD" w:rsidRDefault="00084DBD" w:rsidP="00EA1FB8">
      <w:pPr>
        <w:snapToGrid w:val="0"/>
        <w:spacing w:after="120"/>
        <w:rPr>
          <w:rFonts w:ascii="Times New Roman" w:eastAsia="MS PGothic" w:hAnsi="Times New Roman"/>
          <w:lang w:val="en-US"/>
        </w:rPr>
      </w:pPr>
    </w:p>
    <w:p w14:paraId="4256E728" w14:textId="77777777" w:rsidR="00084DBD" w:rsidRDefault="00084DBD" w:rsidP="00084DBD">
      <w:pPr>
        <w:snapToGrid w:val="0"/>
        <w:spacing w:after="120"/>
        <w:rPr>
          <w:rFonts w:ascii="Times New Roman" w:eastAsia="MS PGothic" w:hAnsi="Times New Roman"/>
          <w:b/>
          <w:bCs/>
          <w:lang w:val="en-US"/>
        </w:rPr>
      </w:pPr>
      <w:r w:rsidRPr="00E65854">
        <w:rPr>
          <w:rFonts w:ascii="Times New Roman" w:eastAsia="MS PGothic" w:hAnsi="Times New Roman"/>
          <w:b/>
          <w:bCs/>
          <w:lang w:val="en-US"/>
        </w:rPr>
        <w:t>2.</w:t>
      </w:r>
      <w:r>
        <w:rPr>
          <w:rFonts w:ascii="Times New Roman" w:eastAsia="MS PGothic" w:hAnsi="Times New Roman"/>
          <w:b/>
          <w:bCs/>
          <w:lang w:val="en-US"/>
        </w:rPr>
        <w:t>3</w:t>
      </w:r>
      <w:r w:rsidRPr="00E65854">
        <w:rPr>
          <w:rFonts w:ascii="Times New Roman" w:eastAsia="MS PGothic" w:hAnsi="Times New Roman"/>
          <w:b/>
          <w:bCs/>
          <w:lang w:val="en-US"/>
        </w:rPr>
        <w:t xml:space="preserve">. </w:t>
      </w:r>
      <w:r>
        <w:rPr>
          <w:rFonts w:ascii="Times New Roman" w:eastAsia="MS PGothic" w:hAnsi="Times New Roman"/>
          <w:b/>
          <w:bCs/>
          <w:lang w:val="en-US"/>
        </w:rPr>
        <w:t>Experimental protocol</w:t>
      </w:r>
    </w:p>
    <w:p w14:paraId="1AEEB7C2" w14:textId="77777777" w:rsidR="00084DBD" w:rsidRPr="00084DBD" w:rsidRDefault="00084DBD" w:rsidP="00084DBD">
      <w:pPr>
        <w:snapToGrid w:val="0"/>
        <w:spacing w:after="120"/>
        <w:rPr>
          <w:rFonts w:ascii="Times New Roman" w:eastAsia="MS PGothic" w:hAnsi="Times New Roman"/>
          <w:lang w:val="en-US"/>
        </w:rPr>
      </w:pPr>
      <w:r w:rsidRPr="00084DBD">
        <w:rPr>
          <w:rFonts w:ascii="Times New Roman" w:eastAsia="MS PGothic" w:hAnsi="Times New Roman"/>
          <w:lang w:val="en-US"/>
        </w:rPr>
        <w:t xml:space="preserve">Subjects were asked not to eat, drink, or smoke in the two hours before the study. The sampling protocol consisted of two phases: </w:t>
      </w:r>
    </w:p>
    <w:p w14:paraId="530C593A" w14:textId="19E14133" w:rsidR="00084DBD" w:rsidRPr="00084DBD" w:rsidRDefault="00084DBD" w:rsidP="003E0357">
      <w:pPr>
        <w:pStyle w:val="Paragrafoelenco"/>
        <w:numPr>
          <w:ilvl w:val="0"/>
          <w:numId w:val="3"/>
        </w:numPr>
        <w:snapToGrid w:val="0"/>
        <w:spacing w:after="120"/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</w:pPr>
      <w:r w:rsidRPr="00084DBD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 xml:space="preserve">Wash out phase: The </w:t>
      </w:r>
      <w:r w:rsidR="00CA3748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>subject</w:t>
      </w:r>
      <w:r w:rsidR="00CA3748" w:rsidRPr="00084DBD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 xml:space="preserve"> </w:t>
      </w:r>
      <w:r w:rsidRPr="00084DBD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>breathed for 3 minutes through the set-up with the exhal</w:t>
      </w:r>
      <w:r w:rsidR="00C12A80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>ation</w:t>
      </w:r>
      <w:r w:rsidRPr="00084DBD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 xml:space="preserve"> line of the non-rebreathing valve open, which allowed inhalation of a mixture of medical gasses from the hospital pipeline system </w:t>
      </w:r>
      <w:r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>and exhalation into the ambient</w:t>
      </w:r>
      <w:r w:rsidRPr="00084DBD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>. The subject wore a nose clip to avoid nasal respiration and breathed through a mouthpiece.</w:t>
      </w:r>
    </w:p>
    <w:p w14:paraId="1BC7F86A" w14:textId="6943D3EA" w:rsidR="00084DBD" w:rsidRPr="00084DBD" w:rsidRDefault="00084DBD" w:rsidP="003E0357">
      <w:pPr>
        <w:pStyle w:val="Paragrafoelenco"/>
        <w:numPr>
          <w:ilvl w:val="0"/>
          <w:numId w:val="3"/>
        </w:numPr>
        <w:snapToGrid w:val="0"/>
        <w:spacing w:after="120"/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</w:pPr>
      <w:r w:rsidRPr="00084DBD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 xml:space="preserve">Exhaled breath sampling: At the end of the </w:t>
      </w:r>
      <w:r w:rsidR="004B129D" w:rsidRPr="00084DBD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>wash</w:t>
      </w:r>
      <w:r w:rsidR="004B129D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>-</w:t>
      </w:r>
      <w:r w:rsidRPr="00084DBD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 xml:space="preserve">out phase, patients hold their breath while the operator </w:t>
      </w:r>
      <w:r w:rsidR="004B129D" w:rsidRPr="00084DBD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>connect</w:t>
      </w:r>
      <w:r w:rsidR="004B129D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>s</w:t>
      </w:r>
      <w:r w:rsidR="004B129D" w:rsidRPr="00084DBD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 xml:space="preserve"> </w:t>
      </w:r>
      <w:r w:rsidRPr="00084DBD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>a Nalophan</w:t>
      </w:r>
      <w:r w:rsidR="006E0E67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 xml:space="preserve"> </w:t>
      </w:r>
      <w:r w:rsidRPr="00084DBD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>bag to the expiratory line of the non-rebreathing valve to collect exhaled gas.</w:t>
      </w:r>
      <w:r w:rsidR="00CC61A6" w:rsidRPr="00CC61A6">
        <w:rPr>
          <w:rFonts w:ascii="Times New Roman" w:eastAsia="MS PGothic" w:hAnsi="Times New Roman"/>
        </w:rPr>
        <w:t xml:space="preserve"> </w:t>
      </w:r>
      <w:r w:rsidR="00C12A80">
        <w:rPr>
          <w:rFonts w:ascii="Times New Roman" w:eastAsia="MS PGothic" w:hAnsi="Times New Roman"/>
        </w:rPr>
        <w:t>Approximately f</w:t>
      </w:r>
      <w:r w:rsidR="00AD6821">
        <w:rPr>
          <w:rFonts w:ascii="Times New Roman" w:eastAsia="MS PGothic" w:hAnsi="Times New Roman"/>
        </w:rPr>
        <w:t>ive</w:t>
      </w:r>
      <w:r w:rsidR="004B129D">
        <w:rPr>
          <w:rFonts w:ascii="Times New Roman" w:eastAsia="MS PGothic" w:hAnsi="Times New Roman"/>
        </w:rPr>
        <w:t xml:space="preserve"> </w:t>
      </w:r>
      <w:r w:rsidR="00CC61A6" w:rsidRPr="00B92D41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>breaths</w:t>
      </w:r>
      <w:r w:rsidR="00AD6821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 xml:space="preserve"> </w:t>
      </w:r>
      <w:r w:rsidR="004B129D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>we</w:t>
      </w:r>
      <w:r w:rsidR="00AD6821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>re sampled</w:t>
      </w:r>
      <w:r w:rsidR="004B129D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>,</w:t>
      </w:r>
      <w:r w:rsidR="00AD6821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 xml:space="preserve"> and the whole procedure </w:t>
      </w:r>
      <w:r w:rsidR="00CC61A6" w:rsidRPr="00B92D41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 xml:space="preserve">lasted </w:t>
      </w:r>
      <w:r w:rsidR="00C12A80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 xml:space="preserve">less than </w:t>
      </w:r>
      <w:r w:rsidR="00CC61A6" w:rsidRPr="00B92D41"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  <w:t>5 min.</w:t>
      </w:r>
    </w:p>
    <w:p w14:paraId="6191B506" w14:textId="139166EE" w:rsidR="00084DBD" w:rsidRPr="00084DBD" w:rsidRDefault="00084DBD" w:rsidP="00084DBD">
      <w:pPr>
        <w:snapToGrid w:val="0"/>
        <w:spacing w:after="120"/>
        <w:rPr>
          <w:rFonts w:ascii="Times New Roman" w:eastAsia="MS PGothic" w:hAnsi="Times New Roman"/>
          <w:lang w:val="en-US"/>
        </w:rPr>
      </w:pPr>
      <w:r w:rsidRPr="00084DBD">
        <w:rPr>
          <w:rFonts w:ascii="Times New Roman" w:eastAsia="MS PGothic" w:hAnsi="Times New Roman"/>
          <w:lang w:val="en-US"/>
        </w:rPr>
        <w:t>The</w:t>
      </w:r>
      <w:r w:rsidR="00AD6821">
        <w:rPr>
          <w:rFonts w:ascii="Times New Roman" w:eastAsia="MS PGothic" w:hAnsi="Times New Roman"/>
          <w:lang w:val="en-US"/>
        </w:rPr>
        <w:t xml:space="preserve"> bags with</w:t>
      </w:r>
      <w:r w:rsidRPr="00084DBD">
        <w:rPr>
          <w:rFonts w:ascii="Times New Roman" w:eastAsia="MS PGothic" w:hAnsi="Times New Roman"/>
          <w:lang w:val="en-US"/>
        </w:rPr>
        <w:t xml:space="preserve"> exhaled breath samples were stored for 2 to 24 hours after collection in the same room where the EN was installed</w:t>
      </w:r>
      <w:r w:rsidR="00F35F8B">
        <w:rPr>
          <w:rFonts w:ascii="Times New Roman" w:eastAsia="MS PGothic" w:hAnsi="Times New Roman"/>
          <w:lang w:val="en-US"/>
        </w:rPr>
        <w:t xml:space="preserve"> to reduce the moisture content of samples</w:t>
      </w:r>
      <w:r w:rsidR="00EC04EF">
        <w:rPr>
          <w:rFonts w:ascii="Times New Roman" w:eastAsia="MS PGothic" w:hAnsi="Times New Roman"/>
          <w:lang w:val="en-US"/>
        </w:rPr>
        <w:t xml:space="preserve"> </w:t>
      </w:r>
      <w:r w:rsidR="00BA6964" w:rsidRPr="00BA6964">
        <w:rPr>
          <w:rFonts w:ascii="Times New Roman" w:eastAsia="MS PGothic" w:hAnsi="Times New Roman"/>
          <w:noProof/>
          <w:vertAlign w:val="superscript"/>
          <w:lang w:val="en-US"/>
        </w:rPr>
        <w:t>18</w:t>
      </w:r>
      <w:r w:rsidRPr="00084DBD">
        <w:rPr>
          <w:rFonts w:ascii="Times New Roman" w:eastAsia="MS PGothic" w:hAnsi="Times New Roman"/>
          <w:lang w:val="en-US"/>
        </w:rPr>
        <w:t xml:space="preserve">. </w:t>
      </w:r>
      <w:r w:rsidR="00F35F8B">
        <w:rPr>
          <w:rFonts w:ascii="Times New Roman" w:eastAsia="MS PGothic" w:hAnsi="Times New Roman"/>
          <w:lang w:val="en-US"/>
        </w:rPr>
        <w:t>This</w:t>
      </w:r>
      <w:r w:rsidR="000A31E5">
        <w:rPr>
          <w:rFonts w:ascii="Times New Roman" w:eastAsia="MS PGothic" w:hAnsi="Times New Roman"/>
          <w:lang w:val="en-US"/>
        </w:rPr>
        <w:t xml:space="preserve"> sample</w:t>
      </w:r>
      <w:r w:rsidR="00F35F8B">
        <w:rPr>
          <w:rFonts w:ascii="Times New Roman" w:eastAsia="MS PGothic" w:hAnsi="Times New Roman"/>
          <w:lang w:val="en-US"/>
        </w:rPr>
        <w:t xml:space="preserve"> conditioning phase, exploiting </w:t>
      </w:r>
      <w:r w:rsidR="008B48C5" w:rsidRPr="00084DBD">
        <w:rPr>
          <w:rFonts w:ascii="Times New Roman" w:eastAsia="MS PGothic" w:hAnsi="Times New Roman"/>
          <w:lang w:val="en-US"/>
        </w:rPr>
        <w:t>the Nalophan permeability to humidity</w:t>
      </w:r>
      <w:r w:rsidR="008B48C5">
        <w:rPr>
          <w:rFonts w:ascii="Times New Roman" w:eastAsia="MS PGothic" w:hAnsi="Times New Roman"/>
          <w:lang w:val="en-US"/>
        </w:rPr>
        <w:t xml:space="preserve">, </w:t>
      </w:r>
      <w:r w:rsidR="00F35F8B">
        <w:rPr>
          <w:rFonts w:ascii="Times New Roman" w:eastAsia="MS PGothic" w:hAnsi="Times New Roman"/>
          <w:lang w:val="en-US"/>
        </w:rPr>
        <w:t>allowed</w:t>
      </w:r>
      <w:r w:rsidR="008B48C5">
        <w:rPr>
          <w:rFonts w:ascii="Times New Roman" w:eastAsia="MS PGothic" w:hAnsi="Times New Roman"/>
          <w:lang w:val="en-US"/>
        </w:rPr>
        <w:t xml:space="preserve"> </w:t>
      </w:r>
      <w:r w:rsidR="001F6FDF">
        <w:rPr>
          <w:rFonts w:ascii="Times New Roman" w:eastAsia="MS PGothic" w:hAnsi="Times New Roman"/>
          <w:lang w:val="en-US"/>
        </w:rPr>
        <w:t xml:space="preserve">preventing the potential interference of moisture on EN responses, thereby </w:t>
      </w:r>
      <w:r w:rsidRPr="00084DBD">
        <w:rPr>
          <w:rFonts w:ascii="Times New Roman" w:eastAsia="MS PGothic" w:hAnsi="Times New Roman"/>
          <w:lang w:val="en-US"/>
        </w:rPr>
        <w:t>ensur</w:t>
      </w:r>
      <w:r w:rsidR="008B48C5">
        <w:rPr>
          <w:rFonts w:ascii="Times New Roman" w:eastAsia="MS PGothic" w:hAnsi="Times New Roman"/>
          <w:lang w:val="en-US"/>
        </w:rPr>
        <w:t>ing</w:t>
      </w:r>
      <w:r w:rsidRPr="00084DBD">
        <w:rPr>
          <w:rFonts w:ascii="Times New Roman" w:eastAsia="MS PGothic" w:hAnsi="Times New Roman"/>
          <w:lang w:val="en-US"/>
        </w:rPr>
        <w:t xml:space="preserve"> good stability and reproducibility of </w:t>
      </w:r>
      <w:r w:rsidR="001F6FDF">
        <w:rPr>
          <w:rFonts w:ascii="Times New Roman" w:eastAsia="MS PGothic" w:hAnsi="Times New Roman"/>
          <w:lang w:val="en-US"/>
        </w:rPr>
        <w:t>the measurements</w:t>
      </w:r>
      <w:r w:rsidR="005B1A7F">
        <w:rPr>
          <w:rFonts w:ascii="Times New Roman" w:eastAsia="MS PGothic" w:hAnsi="Times New Roman"/>
          <w:lang w:val="en-US"/>
        </w:rPr>
        <w:t xml:space="preserve"> </w:t>
      </w:r>
      <w:r w:rsidR="00BA6964" w:rsidRPr="00BA6964">
        <w:rPr>
          <w:rFonts w:ascii="Times New Roman" w:eastAsia="MS PGothic" w:hAnsi="Times New Roman"/>
          <w:noProof/>
          <w:vertAlign w:val="superscript"/>
          <w:lang w:val="en-US"/>
        </w:rPr>
        <w:t>19</w:t>
      </w:r>
      <w:r w:rsidR="005B1A7F">
        <w:rPr>
          <w:rFonts w:ascii="Times New Roman" w:eastAsia="MS PGothic" w:hAnsi="Times New Roman"/>
          <w:lang w:val="en-US"/>
        </w:rPr>
        <w:fldChar w:fldCharType="begin"/>
      </w:r>
      <w:r w:rsidR="005B1A7F">
        <w:rPr>
          <w:rFonts w:ascii="Times New Roman" w:eastAsia="MS PGothic" w:hAnsi="Times New Roman"/>
          <w:lang w:val="en-US"/>
        </w:rPr>
        <w:instrText xml:space="preserve"> REF _Ref98420324 \r \h </w:instrText>
      </w:r>
      <w:r w:rsidR="005B1A7F">
        <w:rPr>
          <w:rFonts w:ascii="Times New Roman" w:eastAsia="MS PGothic" w:hAnsi="Times New Roman"/>
          <w:lang w:val="en-US"/>
        </w:rPr>
      </w:r>
      <w:r w:rsidR="005B1A7F">
        <w:rPr>
          <w:rFonts w:ascii="Times New Roman" w:eastAsia="MS PGothic" w:hAnsi="Times New Roman"/>
          <w:lang w:val="en-US"/>
        </w:rPr>
        <w:fldChar w:fldCharType="separate"/>
      </w:r>
      <w:r w:rsidR="00E667BD">
        <w:rPr>
          <w:rFonts w:ascii="Times New Roman" w:eastAsia="MS PGothic" w:hAnsi="Times New Roman"/>
          <w:lang w:val="en-US"/>
        </w:rPr>
        <w:t>[9]</w:t>
      </w:r>
      <w:r w:rsidR="005B1A7F">
        <w:rPr>
          <w:rFonts w:ascii="Times New Roman" w:eastAsia="MS PGothic" w:hAnsi="Times New Roman"/>
          <w:lang w:val="en-US"/>
        </w:rPr>
        <w:fldChar w:fldCharType="end"/>
      </w:r>
      <w:r w:rsidRPr="00084DBD">
        <w:rPr>
          <w:rFonts w:ascii="Times New Roman" w:eastAsia="MS PGothic" w:hAnsi="Times New Roman"/>
          <w:lang w:val="en-US"/>
        </w:rPr>
        <w:t xml:space="preserve">. </w:t>
      </w:r>
    </w:p>
    <w:p w14:paraId="2DDAA210" w14:textId="105E28C2" w:rsidR="00096206" w:rsidRPr="0094470C" w:rsidRDefault="00826081" w:rsidP="00754B82">
      <w:pPr>
        <w:snapToGrid w:val="0"/>
        <w:spacing w:after="120"/>
        <w:rPr>
          <w:rFonts w:ascii="Times New Roman" w:eastAsia="MS PGothic" w:hAnsi="Times New Roman"/>
          <w:lang w:val="en-GB"/>
        </w:rPr>
      </w:pPr>
      <w:r>
        <w:rPr>
          <w:rFonts w:ascii="Times New Roman" w:eastAsia="MS PGothic" w:hAnsi="Times New Roman"/>
          <w:lang w:val="en-US"/>
        </w:rPr>
        <w:t>After conditioning,</w:t>
      </w:r>
      <w:r w:rsidR="00754B82">
        <w:rPr>
          <w:rFonts w:ascii="Times New Roman" w:eastAsia="MS PGothic" w:hAnsi="Times New Roman"/>
          <w:lang w:val="en-US"/>
        </w:rPr>
        <w:t xml:space="preserve"> exhaled</w:t>
      </w:r>
      <w:r>
        <w:rPr>
          <w:rFonts w:ascii="Times New Roman" w:eastAsia="MS PGothic" w:hAnsi="Times New Roman"/>
          <w:lang w:val="en-US"/>
        </w:rPr>
        <w:t xml:space="preserve"> breath samples were analysed by a commercial e-nose </w:t>
      </w:r>
      <w:r w:rsidRPr="00826081">
        <w:rPr>
          <w:rFonts w:ascii="Times New Roman" w:eastAsia="MS PGothic" w:hAnsi="Times New Roman"/>
          <w:lang w:val="en-US"/>
        </w:rPr>
        <w:t xml:space="preserve">(EOS-AROMA, SACMI s.c) equipped with 4 </w:t>
      </w:r>
      <w:r w:rsidR="000D0F85">
        <w:rPr>
          <w:rFonts w:ascii="Times New Roman" w:eastAsia="MS PGothic" w:hAnsi="Times New Roman"/>
          <w:lang w:val="en-US"/>
        </w:rPr>
        <w:t xml:space="preserve">Metal Oxide </w:t>
      </w:r>
      <w:r w:rsidR="000A31E5">
        <w:rPr>
          <w:rFonts w:ascii="Times New Roman" w:eastAsia="MS PGothic" w:hAnsi="Times New Roman"/>
          <w:lang w:val="en-US"/>
        </w:rPr>
        <w:t xml:space="preserve">(MOX) </w:t>
      </w:r>
      <w:r w:rsidR="000D0F85">
        <w:rPr>
          <w:rFonts w:ascii="Times New Roman" w:eastAsia="MS PGothic" w:hAnsi="Times New Roman"/>
          <w:lang w:val="en-US"/>
        </w:rPr>
        <w:t>Sensors</w:t>
      </w:r>
      <w:r>
        <w:rPr>
          <w:rFonts w:ascii="Times New Roman" w:eastAsia="MS PGothic" w:hAnsi="Times New Roman"/>
          <w:lang w:val="en-US"/>
        </w:rPr>
        <w:t xml:space="preserve">. </w:t>
      </w:r>
      <w:r w:rsidRPr="00826081">
        <w:rPr>
          <w:rFonts w:ascii="Times New Roman" w:eastAsia="MS PGothic" w:hAnsi="Times New Roman"/>
          <w:lang w:val="en-US"/>
        </w:rPr>
        <w:t xml:space="preserve">The </w:t>
      </w:r>
      <w:r w:rsidRPr="00754B82">
        <w:rPr>
          <w:rFonts w:ascii="Times New Roman" w:eastAsia="MS PGothic" w:hAnsi="Times New Roman"/>
          <w:lang w:val="en-GB"/>
        </w:rPr>
        <w:t>sample</w:t>
      </w:r>
      <w:r w:rsidR="000A31E5">
        <w:rPr>
          <w:rFonts w:ascii="Times New Roman" w:eastAsia="MS PGothic" w:hAnsi="Times New Roman"/>
          <w:lang w:val="en-GB"/>
        </w:rPr>
        <w:t>d exhaled gas</w:t>
      </w:r>
      <w:r w:rsidRPr="00754B82">
        <w:rPr>
          <w:rFonts w:ascii="Times New Roman" w:eastAsia="MS PGothic" w:hAnsi="Times New Roman"/>
          <w:lang w:val="en-GB"/>
        </w:rPr>
        <w:t xml:space="preserve"> were sucked at a constant flow rate of 50 mL/min for 20 min into the sensor chamber using a vacuum pump.</w:t>
      </w:r>
      <w:r w:rsidR="00754B82">
        <w:rPr>
          <w:rFonts w:ascii="Times New Roman" w:eastAsia="MS PGothic" w:hAnsi="Times New Roman"/>
          <w:lang w:val="en-GB"/>
        </w:rPr>
        <w:t xml:space="preserve"> Then, </w:t>
      </w:r>
      <w:r w:rsidRPr="00754B82">
        <w:rPr>
          <w:rFonts w:ascii="Times New Roman" w:eastAsia="MS PGothic" w:hAnsi="Times New Roman"/>
          <w:lang w:val="en-GB"/>
        </w:rPr>
        <w:t xml:space="preserve">room reference air was sucked into the sensor chamber at 50 mL/min for 20 min to restore the sensors' baseline. </w:t>
      </w:r>
      <w:r w:rsidRPr="0094470C">
        <w:rPr>
          <w:rFonts w:ascii="Times New Roman" w:eastAsia="MS PGothic" w:hAnsi="Times New Roman"/>
          <w:lang w:val="en-GB"/>
        </w:rPr>
        <w:t>Each sample was analyzed once.</w:t>
      </w:r>
    </w:p>
    <w:p w14:paraId="37881575" w14:textId="77777777" w:rsidR="00B94AAA" w:rsidRDefault="00B94AAA" w:rsidP="00B94AAA">
      <w:pPr>
        <w:pStyle w:val="Paragrafoelenco"/>
        <w:snapToGrid w:val="0"/>
        <w:spacing w:after="120"/>
        <w:rPr>
          <w:rFonts w:ascii="Times New Roman" w:eastAsia="MS PGothic" w:hAnsi="Times New Roman" w:cstheme="minorBidi"/>
          <w:noProof w:val="0"/>
          <w:color w:val="auto"/>
          <w:sz w:val="22"/>
          <w:szCs w:val="22"/>
          <w:lang w:eastAsia="en-US"/>
        </w:rPr>
      </w:pPr>
    </w:p>
    <w:p w14:paraId="7AABF494" w14:textId="77777777" w:rsidR="00826081" w:rsidRDefault="00826081" w:rsidP="00826081">
      <w:pPr>
        <w:snapToGrid w:val="0"/>
        <w:spacing w:after="120"/>
        <w:rPr>
          <w:rFonts w:ascii="Times New Roman" w:eastAsia="MS PGothic" w:hAnsi="Times New Roman"/>
          <w:b/>
          <w:bCs/>
          <w:lang w:val="en-US"/>
        </w:rPr>
      </w:pPr>
      <w:r w:rsidRPr="00E65854">
        <w:rPr>
          <w:rFonts w:ascii="Times New Roman" w:eastAsia="MS PGothic" w:hAnsi="Times New Roman"/>
          <w:b/>
          <w:bCs/>
          <w:lang w:val="en-US"/>
        </w:rPr>
        <w:t>2.</w:t>
      </w:r>
      <w:r>
        <w:rPr>
          <w:rFonts w:ascii="Times New Roman" w:eastAsia="MS PGothic" w:hAnsi="Times New Roman"/>
          <w:b/>
          <w:bCs/>
          <w:lang w:val="en-US"/>
        </w:rPr>
        <w:t>4</w:t>
      </w:r>
      <w:r w:rsidRPr="00E65854">
        <w:rPr>
          <w:rFonts w:ascii="Times New Roman" w:eastAsia="MS PGothic" w:hAnsi="Times New Roman"/>
          <w:b/>
          <w:bCs/>
          <w:lang w:val="en-US"/>
        </w:rPr>
        <w:t xml:space="preserve">. </w:t>
      </w:r>
      <w:r>
        <w:rPr>
          <w:rFonts w:ascii="Times New Roman" w:eastAsia="MS PGothic" w:hAnsi="Times New Roman"/>
          <w:b/>
          <w:bCs/>
          <w:lang w:val="en-US"/>
        </w:rPr>
        <w:t>Data processing</w:t>
      </w:r>
    </w:p>
    <w:p w14:paraId="31D2D21E" w14:textId="6E20E59D" w:rsidR="000C360C" w:rsidRDefault="000D0F85" w:rsidP="00826081">
      <w:pPr>
        <w:snapToGrid w:val="0"/>
        <w:spacing w:after="120"/>
        <w:rPr>
          <w:rFonts w:ascii="Times New Roman" w:eastAsia="MS PGothic" w:hAnsi="Times New Roman"/>
          <w:lang w:val="en-US"/>
        </w:rPr>
      </w:pPr>
      <w:r w:rsidRPr="000D0F85">
        <w:rPr>
          <w:rFonts w:ascii="Times New Roman" w:eastAsia="MS PGothic" w:hAnsi="Times New Roman"/>
          <w:lang w:val="en-US"/>
        </w:rPr>
        <w:t>The data processing procedure developed for this study comprise</w:t>
      </w:r>
      <w:r w:rsidR="000A31E5">
        <w:rPr>
          <w:rFonts w:ascii="Times New Roman" w:eastAsia="MS PGothic" w:hAnsi="Times New Roman"/>
          <w:lang w:val="en-US"/>
        </w:rPr>
        <w:t>s</w:t>
      </w:r>
      <w:r w:rsidRPr="000D0F85">
        <w:rPr>
          <w:rFonts w:ascii="Times New Roman" w:eastAsia="MS PGothic" w:hAnsi="Times New Roman"/>
          <w:lang w:val="en-US"/>
        </w:rPr>
        <w:t xml:space="preserve"> three steps: features extraction, features selection, and pattern recognition</w:t>
      </w:r>
      <w:r>
        <w:rPr>
          <w:rFonts w:ascii="Times New Roman" w:eastAsia="MS PGothic" w:hAnsi="Times New Roman"/>
          <w:lang w:val="en-US"/>
        </w:rPr>
        <w:t xml:space="preserve">. </w:t>
      </w:r>
      <w:r w:rsidR="000A31E5">
        <w:rPr>
          <w:rFonts w:ascii="Times New Roman" w:eastAsia="MS PGothic" w:hAnsi="Times New Roman"/>
          <w:lang w:val="en-US"/>
        </w:rPr>
        <w:t xml:space="preserve">A total of </w:t>
      </w:r>
      <w:r>
        <w:rPr>
          <w:rFonts w:ascii="Times New Roman" w:eastAsia="MS PGothic" w:hAnsi="Times New Roman"/>
          <w:lang w:val="en-US"/>
        </w:rPr>
        <w:t xml:space="preserve">112 features representative of both steady-state and transient conditions were extracted from sensor </w:t>
      </w:r>
      <w:r w:rsidR="000A31E5">
        <w:rPr>
          <w:rFonts w:ascii="Times New Roman" w:eastAsia="MS PGothic" w:hAnsi="Times New Roman"/>
          <w:lang w:val="en-US"/>
        </w:rPr>
        <w:t xml:space="preserve">time </w:t>
      </w:r>
      <w:r>
        <w:rPr>
          <w:rFonts w:ascii="Times New Roman" w:eastAsia="MS PGothic" w:hAnsi="Times New Roman"/>
          <w:lang w:val="en-US"/>
        </w:rPr>
        <w:t>responses, as reported by</w:t>
      </w:r>
      <w:r w:rsidR="001672E7">
        <w:rPr>
          <w:rFonts w:ascii="Times New Roman" w:eastAsia="MS PGothic" w:hAnsi="Times New Roman"/>
          <w:lang w:val="en-US"/>
        </w:rPr>
        <w:t xml:space="preserve"> </w:t>
      </w:r>
      <w:r w:rsidR="00BA6964" w:rsidRPr="00BA6964">
        <w:rPr>
          <w:rFonts w:ascii="Times New Roman" w:eastAsia="MS PGothic" w:hAnsi="Times New Roman"/>
          <w:noProof/>
          <w:vertAlign w:val="superscript"/>
          <w:lang w:val="en-US"/>
        </w:rPr>
        <w:t>19</w:t>
      </w:r>
      <w:r>
        <w:rPr>
          <w:rFonts w:ascii="Times New Roman" w:eastAsia="MS PGothic" w:hAnsi="Times New Roman"/>
          <w:lang w:val="en-US"/>
        </w:rPr>
        <w:t xml:space="preserve">. Then, a feature selection model based on Boruta algorithm </w:t>
      </w:r>
      <w:r w:rsidR="00BA6964" w:rsidRPr="00BA6964">
        <w:rPr>
          <w:rFonts w:ascii="Times New Roman" w:eastAsia="MS PGothic" w:hAnsi="Times New Roman"/>
          <w:noProof/>
          <w:vertAlign w:val="superscript"/>
          <w:lang w:val="en-US"/>
        </w:rPr>
        <w:t>20</w:t>
      </w:r>
      <w:r w:rsidR="001672E7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 xml:space="preserve">was </w:t>
      </w:r>
      <w:r w:rsidRPr="000D0F85">
        <w:rPr>
          <w:rFonts w:ascii="Times New Roman" w:eastAsia="MS PGothic" w:hAnsi="Times New Roman"/>
          <w:lang w:val="en-US"/>
        </w:rPr>
        <w:t>implemented to identify the features that better discriminated between respiratory failure patients with SARS-CoV-2 and controls.</w:t>
      </w:r>
      <w:r>
        <w:rPr>
          <w:rFonts w:ascii="Times New Roman" w:eastAsia="MS PGothic" w:hAnsi="Times New Roman"/>
          <w:lang w:val="en-US"/>
        </w:rPr>
        <w:t xml:space="preserve"> </w:t>
      </w:r>
      <w:r w:rsidR="000C360C">
        <w:rPr>
          <w:rFonts w:ascii="Times New Roman" w:eastAsia="MS PGothic" w:hAnsi="Times New Roman"/>
          <w:lang w:val="en-US"/>
        </w:rPr>
        <w:t>Selected features were processed by Principal Component Analysis (PCA)</w:t>
      </w:r>
      <w:r w:rsidR="000011C9">
        <w:rPr>
          <w:rFonts w:ascii="Times New Roman" w:eastAsia="MS PGothic" w:hAnsi="Times New Roman"/>
          <w:lang w:val="en-US"/>
        </w:rPr>
        <w:t xml:space="preserve"> </w:t>
      </w:r>
      <w:r w:rsidR="00BA6964" w:rsidRPr="00BA6964">
        <w:rPr>
          <w:rFonts w:ascii="Times New Roman" w:eastAsia="MS PGothic" w:hAnsi="Times New Roman"/>
          <w:noProof/>
          <w:vertAlign w:val="superscript"/>
          <w:lang w:val="en-US"/>
        </w:rPr>
        <w:t>20</w:t>
      </w:r>
      <w:r w:rsidR="000011C9">
        <w:rPr>
          <w:rFonts w:ascii="Times New Roman" w:eastAsia="MS PGothic" w:hAnsi="Times New Roman"/>
          <w:lang w:val="en-US"/>
        </w:rPr>
        <w:fldChar w:fldCharType="begin"/>
      </w:r>
      <w:r w:rsidR="000011C9">
        <w:rPr>
          <w:rFonts w:ascii="Times New Roman" w:eastAsia="MS PGothic" w:hAnsi="Times New Roman"/>
          <w:lang w:val="en-US"/>
        </w:rPr>
        <w:instrText xml:space="preserve"> REF _Ref98259366 \r \h </w:instrText>
      </w:r>
      <w:r w:rsidR="000011C9">
        <w:rPr>
          <w:rFonts w:ascii="Times New Roman" w:eastAsia="MS PGothic" w:hAnsi="Times New Roman"/>
          <w:lang w:val="en-US"/>
        </w:rPr>
      </w:r>
      <w:r w:rsidR="000011C9">
        <w:rPr>
          <w:rFonts w:ascii="Times New Roman" w:eastAsia="MS PGothic" w:hAnsi="Times New Roman"/>
          <w:lang w:val="en-US"/>
        </w:rPr>
        <w:fldChar w:fldCharType="separate"/>
      </w:r>
      <w:r w:rsidR="00E667BD">
        <w:rPr>
          <w:rFonts w:ascii="Times New Roman" w:eastAsia="MS PGothic" w:hAnsi="Times New Roman"/>
          <w:lang w:val="en-US"/>
        </w:rPr>
        <w:t>[13]</w:t>
      </w:r>
      <w:r w:rsidR="000011C9">
        <w:rPr>
          <w:rFonts w:ascii="Times New Roman" w:eastAsia="MS PGothic" w:hAnsi="Times New Roman"/>
          <w:lang w:val="en-US"/>
        </w:rPr>
        <w:fldChar w:fldCharType="end"/>
      </w:r>
      <w:r w:rsidR="004B129D">
        <w:rPr>
          <w:rFonts w:ascii="Times New Roman" w:eastAsia="MS PGothic" w:hAnsi="Times New Roman"/>
          <w:lang w:val="en-US"/>
        </w:rPr>
        <w:t>,</w:t>
      </w:r>
      <w:r w:rsidR="000C360C">
        <w:rPr>
          <w:rFonts w:ascii="Times New Roman" w:eastAsia="MS PGothic" w:hAnsi="Times New Roman"/>
          <w:lang w:val="en-US"/>
        </w:rPr>
        <w:t xml:space="preserve"> and PCA scores were used as inputs of </w:t>
      </w:r>
      <w:r w:rsidR="000A31E5">
        <w:rPr>
          <w:rFonts w:ascii="Times New Roman" w:eastAsia="MS PGothic" w:hAnsi="Times New Roman"/>
          <w:lang w:val="en-US"/>
        </w:rPr>
        <w:t xml:space="preserve">a </w:t>
      </w:r>
      <w:r w:rsidR="004B129D">
        <w:rPr>
          <w:rFonts w:ascii="Times New Roman" w:eastAsia="MS PGothic" w:hAnsi="Times New Roman"/>
          <w:lang w:val="en-US"/>
        </w:rPr>
        <w:t xml:space="preserve">Support </w:t>
      </w:r>
      <w:r w:rsidR="000C360C">
        <w:rPr>
          <w:rFonts w:ascii="Times New Roman" w:eastAsia="MS PGothic" w:hAnsi="Times New Roman"/>
          <w:lang w:val="en-US"/>
        </w:rPr>
        <w:t>Vector Machine (SVM) classifier</w:t>
      </w:r>
      <w:r w:rsidR="001672E7">
        <w:rPr>
          <w:rFonts w:ascii="Times New Roman" w:eastAsia="MS PGothic" w:hAnsi="Times New Roman"/>
          <w:lang w:val="en-US"/>
        </w:rPr>
        <w:t xml:space="preserve"> </w:t>
      </w:r>
      <w:r w:rsidR="00BA6964" w:rsidRPr="00BA6964">
        <w:rPr>
          <w:rFonts w:ascii="Times New Roman" w:eastAsia="MS PGothic" w:hAnsi="Times New Roman"/>
          <w:noProof/>
          <w:vertAlign w:val="superscript"/>
          <w:lang w:val="en-US"/>
        </w:rPr>
        <w:t>21</w:t>
      </w:r>
      <w:r w:rsidR="000011C9">
        <w:rPr>
          <w:rFonts w:ascii="Times New Roman" w:eastAsia="MS PGothic" w:hAnsi="Times New Roman"/>
          <w:lang w:val="en-US"/>
        </w:rPr>
        <w:t>.</w:t>
      </w:r>
    </w:p>
    <w:p w14:paraId="7FD3A894" w14:textId="7AAC62FB" w:rsidR="0006596A" w:rsidRPr="00826081" w:rsidRDefault="000A31E5" w:rsidP="00826081">
      <w:pPr>
        <w:snapToGrid w:val="0"/>
        <w:spacing w:after="12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A </w:t>
      </w:r>
      <w:r w:rsidR="0006596A" w:rsidRPr="0006596A">
        <w:rPr>
          <w:rFonts w:ascii="Times New Roman" w:eastAsia="MS PGothic" w:hAnsi="Times New Roman"/>
          <w:lang w:val="en-US"/>
        </w:rPr>
        <w:t>10-fold cross-validation</w:t>
      </w:r>
      <w:r>
        <w:rPr>
          <w:rFonts w:ascii="Times New Roman" w:eastAsia="MS PGothic" w:hAnsi="Times New Roman"/>
          <w:lang w:val="en-US"/>
        </w:rPr>
        <w:t xml:space="preserve"> approach</w:t>
      </w:r>
      <w:r w:rsidR="0006596A" w:rsidRPr="0006596A">
        <w:rPr>
          <w:rFonts w:ascii="Times New Roman" w:eastAsia="MS PGothic" w:hAnsi="Times New Roman"/>
          <w:lang w:val="en-US"/>
        </w:rPr>
        <w:t xml:space="preserve"> was used to optimize feature</w:t>
      </w:r>
      <w:r>
        <w:rPr>
          <w:rFonts w:ascii="Times New Roman" w:eastAsia="MS PGothic" w:hAnsi="Times New Roman"/>
          <w:lang w:val="en-US"/>
        </w:rPr>
        <w:t>s</w:t>
      </w:r>
      <w:r w:rsidR="0006596A" w:rsidRPr="0006596A">
        <w:rPr>
          <w:rFonts w:ascii="Times New Roman" w:eastAsia="MS PGothic" w:hAnsi="Times New Roman"/>
          <w:lang w:val="en-US"/>
        </w:rPr>
        <w:t xml:space="preserve"> selection and pattern recognition and estimate the </w:t>
      </w:r>
      <w:r w:rsidR="0094470C">
        <w:rPr>
          <w:rFonts w:ascii="Times New Roman" w:eastAsia="MS PGothic" w:hAnsi="Times New Roman"/>
          <w:lang w:val="en-US"/>
        </w:rPr>
        <w:t xml:space="preserve">classification </w:t>
      </w:r>
      <w:r w:rsidR="0006596A" w:rsidRPr="0006596A">
        <w:rPr>
          <w:rFonts w:ascii="Times New Roman" w:eastAsia="MS PGothic" w:hAnsi="Times New Roman"/>
          <w:lang w:val="en-US"/>
        </w:rPr>
        <w:t>performances of the proposed mode</w:t>
      </w:r>
      <w:r w:rsidR="0006596A">
        <w:rPr>
          <w:rFonts w:ascii="Times New Roman" w:eastAsia="MS PGothic" w:hAnsi="Times New Roman"/>
          <w:lang w:val="en-US"/>
        </w:rPr>
        <w:t xml:space="preserve">l. </w:t>
      </w:r>
      <w:r w:rsidR="0006596A" w:rsidRPr="0006596A">
        <w:rPr>
          <w:rFonts w:ascii="Times New Roman" w:eastAsia="MS PGothic" w:hAnsi="Times New Roman"/>
          <w:lang w:val="en-US"/>
        </w:rPr>
        <w:t xml:space="preserve">The diagnostic accuracy of the model was evaluated using the </w:t>
      </w:r>
      <w:r w:rsidR="004B129D">
        <w:rPr>
          <w:rFonts w:ascii="Times New Roman" w:eastAsia="MS PGothic" w:hAnsi="Times New Roman"/>
          <w:lang w:val="en-US"/>
        </w:rPr>
        <w:t>A</w:t>
      </w:r>
      <w:r w:rsidR="004B129D" w:rsidRPr="0006596A">
        <w:rPr>
          <w:rFonts w:ascii="Times New Roman" w:eastAsia="MS PGothic" w:hAnsi="Times New Roman"/>
          <w:lang w:val="en-US"/>
        </w:rPr>
        <w:t xml:space="preserve">rea </w:t>
      </w:r>
      <w:r w:rsidR="004B129D">
        <w:rPr>
          <w:rFonts w:ascii="Times New Roman" w:eastAsia="MS PGothic" w:hAnsi="Times New Roman"/>
          <w:lang w:val="en-US"/>
        </w:rPr>
        <w:t>U</w:t>
      </w:r>
      <w:r w:rsidR="0006596A" w:rsidRPr="0006596A">
        <w:rPr>
          <w:rFonts w:ascii="Times New Roman" w:eastAsia="MS PGothic" w:hAnsi="Times New Roman"/>
          <w:lang w:val="en-US"/>
        </w:rPr>
        <w:t>nder the Receiving Operating Characteristic (ROC)</w:t>
      </w:r>
      <w:r w:rsidR="001672E7">
        <w:rPr>
          <w:rFonts w:ascii="Times New Roman" w:eastAsia="MS PGothic" w:hAnsi="Times New Roman"/>
          <w:lang w:val="en-US"/>
        </w:rPr>
        <w:t xml:space="preserve"> </w:t>
      </w:r>
      <w:r w:rsidR="00BA6964" w:rsidRPr="00BA6964">
        <w:rPr>
          <w:rFonts w:ascii="Times New Roman" w:eastAsia="MS PGothic" w:hAnsi="Times New Roman"/>
          <w:noProof/>
          <w:vertAlign w:val="superscript"/>
          <w:lang w:val="en-US"/>
        </w:rPr>
        <w:t>22</w:t>
      </w:r>
      <w:r w:rsidR="0006596A" w:rsidRPr="0006596A">
        <w:rPr>
          <w:rFonts w:ascii="Times New Roman" w:eastAsia="MS PGothic" w:hAnsi="Times New Roman"/>
          <w:lang w:val="en-US"/>
        </w:rPr>
        <w:t xml:space="preserve"> and expressed both as Area Under the ROC curve (AUC), sensitivity</w:t>
      </w:r>
      <w:r w:rsidR="004B129D">
        <w:rPr>
          <w:rFonts w:ascii="Times New Roman" w:eastAsia="MS PGothic" w:hAnsi="Times New Roman"/>
          <w:lang w:val="en-US"/>
        </w:rPr>
        <w:t>,</w:t>
      </w:r>
      <w:r w:rsidR="0006596A" w:rsidRPr="0006596A">
        <w:rPr>
          <w:rFonts w:ascii="Times New Roman" w:eastAsia="MS PGothic" w:hAnsi="Times New Roman"/>
          <w:lang w:val="en-US"/>
        </w:rPr>
        <w:t xml:space="preserve"> and specificity.</w:t>
      </w:r>
    </w:p>
    <w:p w14:paraId="75F7343E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279C1FBE" w14:textId="3A862D50" w:rsidR="0087089F" w:rsidRDefault="0087089F" w:rsidP="00DA51A3">
      <w:pPr>
        <w:snapToGrid w:val="0"/>
        <w:spacing w:after="12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The breath sampling </w:t>
      </w:r>
      <w:r w:rsidR="000A31E5">
        <w:rPr>
          <w:rFonts w:ascii="Times New Roman" w:eastAsia="MS PGothic" w:hAnsi="Times New Roman"/>
          <w:lang w:val="en-US"/>
        </w:rPr>
        <w:t>set-up</w:t>
      </w:r>
      <w:r>
        <w:rPr>
          <w:rFonts w:ascii="Times New Roman" w:eastAsia="MS PGothic" w:hAnsi="Times New Roman"/>
          <w:lang w:val="en-US"/>
        </w:rPr>
        <w:t xml:space="preserve"> proved suitable clinical  setting and well tolerated </w:t>
      </w:r>
      <w:r w:rsidR="00C60456">
        <w:rPr>
          <w:rFonts w:ascii="Times New Roman" w:eastAsia="MS PGothic" w:hAnsi="Times New Roman"/>
          <w:lang w:val="en-US"/>
        </w:rPr>
        <w:t>by the patients</w:t>
      </w:r>
      <w:r w:rsidR="000A31E5">
        <w:rPr>
          <w:rFonts w:ascii="Times New Roman" w:eastAsia="MS PGothic" w:hAnsi="Times New Roman"/>
          <w:lang w:val="en-US"/>
        </w:rPr>
        <w:t>.</w:t>
      </w:r>
      <w:r w:rsidR="00C60456">
        <w:rPr>
          <w:rFonts w:ascii="Times New Roman" w:eastAsia="MS PGothic" w:hAnsi="Times New Roman"/>
          <w:lang w:val="en-US"/>
        </w:rPr>
        <w:t xml:space="preserve"> </w:t>
      </w:r>
      <w:r w:rsidR="000A31E5">
        <w:rPr>
          <w:rFonts w:ascii="Times New Roman" w:eastAsia="MS PGothic" w:hAnsi="Times New Roman"/>
          <w:lang w:val="en-US"/>
        </w:rPr>
        <w:t>A</w:t>
      </w:r>
      <w:r w:rsidR="00C60456">
        <w:rPr>
          <w:rFonts w:ascii="Times New Roman" w:eastAsia="MS PGothic" w:hAnsi="Times New Roman"/>
          <w:lang w:val="en-US"/>
        </w:rPr>
        <w:t>ll measurements were complete</w:t>
      </w:r>
      <w:r w:rsidR="000A31E5">
        <w:rPr>
          <w:rFonts w:ascii="Times New Roman" w:eastAsia="MS PGothic" w:hAnsi="Times New Roman"/>
          <w:lang w:val="en-US"/>
        </w:rPr>
        <w:t>d</w:t>
      </w:r>
      <w:r w:rsidR="00C60456">
        <w:rPr>
          <w:rFonts w:ascii="Times New Roman" w:eastAsia="MS PGothic" w:hAnsi="Times New Roman"/>
          <w:lang w:val="en-US"/>
        </w:rPr>
        <w:t xml:space="preserve"> successfully.</w:t>
      </w:r>
    </w:p>
    <w:p w14:paraId="2B7A812F" w14:textId="25D1D4D0" w:rsidR="0087089F" w:rsidRDefault="0087089F" w:rsidP="00DA51A3">
      <w:pPr>
        <w:snapToGrid w:val="0"/>
        <w:spacing w:after="120"/>
        <w:rPr>
          <w:rFonts w:ascii="Times New Roman" w:eastAsia="MS PGothic" w:hAnsi="Times New Roman"/>
          <w:lang w:val="en-GB"/>
        </w:rPr>
      </w:pPr>
      <w:r>
        <w:rPr>
          <w:rFonts w:ascii="Times New Roman" w:eastAsia="MS PGothic" w:hAnsi="Times New Roman"/>
          <w:lang w:val="en-GB"/>
        </w:rPr>
        <w:lastRenderedPageBreak/>
        <w:t xml:space="preserve">Concerning the EN capability to differentiate </w:t>
      </w:r>
      <w:r w:rsidR="002B7230">
        <w:rPr>
          <w:rFonts w:ascii="Times New Roman" w:eastAsia="MS PGothic" w:hAnsi="Times New Roman"/>
          <w:lang w:val="en-GB"/>
        </w:rPr>
        <w:t xml:space="preserve">odour fingerprints of </w:t>
      </w:r>
      <w:r>
        <w:rPr>
          <w:rFonts w:ascii="Times New Roman" w:eastAsia="MS PGothic" w:hAnsi="Times New Roman"/>
          <w:lang w:val="en-GB"/>
        </w:rPr>
        <w:t xml:space="preserve">breath samples from respiratory failure patients with SARS-CoV-2 and controls, </w:t>
      </w:r>
      <w:r w:rsidR="007515D7">
        <w:rPr>
          <w:rFonts w:ascii="Times New Roman" w:eastAsia="MS PGothic" w:hAnsi="Times New Roman"/>
          <w:lang w:val="en-GB"/>
        </w:rPr>
        <w:t xml:space="preserve">Figure 2 illustrates the score plot of the PCA built on </w:t>
      </w:r>
      <w:r w:rsidR="00D305B2">
        <w:rPr>
          <w:rFonts w:ascii="Times New Roman" w:eastAsia="MS PGothic" w:hAnsi="Times New Roman"/>
          <w:lang w:val="en-GB"/>
        </w:rPr>
        <w:t>the training dataset</w:t>
      </w:r>
      <w:r>
        <w:rPr>
          <w:rFonts w:ascii="Times New Roman" w:eastAsia="MS PGothic" w:hAnsi="Times New Roman"/>
          <w:lang w:val="en-GB"/>
        </w:rPr>
        <w:t xml:space="preserve">. Respiratory failure patients with SARS-CoV-2 and controls clustered in different </w:t>
      </w:r>
      <w:r w:rsidR="004B129D">
        <w:rPr>
          <w:rFonts w:ascii="Times New Roman" w:eastAsia="MS PGothic" w:hAnsi="Times New Roman"/>
          <w:lang w:val="en-GB"/>
        </w:rPr>
        <w:t>plot regions</w:t>
      </w:r>
      <w:r>
        <w:rPr>
          <w:rFonts w:ascii="Times New Roman" w:eastAsia="MS PGothic" w:hAnsi="Times New Roman"/>
          <w:lang w:val="en-GB"/>
        </w:rPr>
        <w:t xml:space="preserve">: </w:t>
      </w:r>
      <w:r w:rsidRPr="0087089F">
        <w:rPr>
          <w:rFonts w:ascii="Times New Roman" w:eastAsia="MS PGothic" w:hAnsi="Times New Roman"/>
          <w:lang w:val="en-GB"/>
        </w:rPr>
        <w:t xml:space="preserve">samples from controls clustered in the upper right </w:t>
      </w:r>
      <w:r>
        <w:rPr>
          <w:rFonts w:ascii="Times New Roman" w:eastAsia="MS PGothic" w:hAnsi="Times New Roman"/>
          <w:lang w:val="en-GB"/>
        </w:rPr>
        <w:t>part of the plot, while samples</w:t>
      </w:r>
      <w:r w:rsidRPr="0087089F">
        <w:rPr>
          <w:rFonts w:ascii="Times New Roman" w:eastAsia="MS PGothic" w:hAnsi="Times New Roman"/>
          <w:lang w:val="en-GB"/>
        </w:rPr>
        <w:t xml:space="preserve"> from respiratory failure patients with SARS-CoV-2 c</w:t>
      </w:r>
      <w:r>
        <w:rPr>
          <w:rFonts w:ascii="Times New Roman" w:eastAsia="MS PGothic" w:hAnsi="Times New Roman"/>
          <w:lang w:val="en-GB"/>
        </w:rPr>
        <w:t xml:space="preserve">lustered in the lower left </w:t>
      </w:r>
      <w:r w:rsidR="004B129D">
        <w:rPr>
          <w:rFonts w:ascii="Times New Roman" w:eastAsia="MS PGothic" w:hAnsi="Times New Roman"/>
          <w:lang w:val="en-GB"/>
        </w:rPr>
        <w:t>portion</w:t>
      </w:r>
      <w:r>
        <w:rPr>
          <w:rFonts w:ascii="Times New Roman" w:eastAsia="MS PGothic" w:hAnsi="Times New Roman"/>
          <w:lang w:val="en-GB"/>
        </w:rPr>
        <w:t>. This ev</w:t>
      </w:r>
      <w:r w:rsidRPr="0087089F">
        <w:rPr>
          <w:rFonts w:ascii="Times New Roman" w:eastAsia="MS PGothic" w:hAnsi="Times New Roman"/>
          <w:lang w:val="en-GB"/>
        </w:rPr>
        <w:t>idence suggests that EN has the potential to identify th</w:t>
      </w:r>
      <w:r w:rsidR="002B7230">
        <w:rPr>
          <w:rFonts w:ascii="Times New Roman" w:eastAsia="MS PGothic" w:hAnsi="Times New Roman"/>
          <w:lang w:val="en-GB"/>
        </w:rPr>
        <w:t>e specific odour fingerprint as</w:t>
      </w:r>
      <w:r w:rsidRPr="0087089F">
        <w:rPr>
          <w:rFonts w:ascii="Times New Roman" w:eastAsia="MS PGothic" w:hAnsi="Times New Roman"/>
          <w:lang w:val="en-GB"/>
        </w:rPr>
        <w:t>sociated with respiratory failure</w:t>
      </w:r>
      <w:r w:rsidR="007E5CD6">
        <w:rPr>
          <w:rFonts w:ascii="Times New Roman" w:eastAsia="MS PGothic" w:hAnsi="Times New Roman"/>
          <w:lang w:val="en-GB"/>
        </w:rPr>
        <w:t xml:space="preserve"> due to COVID-19</w:t>
      </w:r>
      <w:r w:rsidRPr="0087089F">
        <w:rPr>
          <w:rFonts w:ascii="Times New Roman" w:eastAsia="MS PGothic" w:hAnsi="Times New Roman"/>
          <w:lang w:val="en-GB"/>
        </w:rPr>
        <w:t>.</w:t>
      </w:r>
      <w:r w:rsidR="00D305B2">
        <w:rPr>
          <w:rFonts w:ascii="Times New Roman" w:eastAsia="MS PGothic" w:hAnsi="Times New Roman"/>
          <w:lang w:val="en-GB"/>
        </w:rPr>
        <w:t xml:space="preserve"> </w:t>
      </w:r>
    </w:p>
    <w:p w14:paraId="15BAB4A7" w14:textId="3795BD05" w:rsidR="002B7230" w:rsidRDefault="004B129D" w:rsidP="00DA51A3">
      <w:pPr>
        <w:snapToGrid w:val="0"/>
        <w:spacing w:after="120"/>
        <w:rPr>
          <w:rFonts w:ascii="Times New Roman" w:eastAsia="MS PGothic" w:hAnsi="Times New Roman"/>
          <w:lang w:val="en-GB"/>
        </w:rPr>
      </w:pPr>
      <w:r>
        <w:rPr>
          <w:rFonts w:ascii="Times New Roman" w:eastAsia="MS PGothic" w:hAnsi="Times New Roman"/>
          <w:lang w:val="en-GB"/>
        </w:rPr>
        <w:t xml:space="preserve">We superimposed </w:t>
      </w:r>
      <w:r w:rsidR="007E5CD6">
        <w:rPr>
          <w:rFonts w:ascii="Times New Roman" w:eastAsia="MS PGothic" w:hAnsi="Times New Roman"/>
          <w:lang w:val="en-GB"/>
        </w:rPr>
        <w:t xml:space="preserve">data from </w:t>
      </w:r>
      <w:r>
        <w:rPr>
          <w:rFonts w:ascii="Times New Roman" w:eastAsia="MS PGothic" w:hAnsi="Times New Roman"/>
          <w:lang w:val="en-GB"/>
        </w:rPr>
        <w:t>asymptomatic SARS-CoV-2 patients as an exploratory analysi</w:t>
      </w:r>
      <w:r w:rsidR="002B7230">
        <w:rPr>
          <w:rFonts w:ascii="Times New Roman" w:eastAsia="MS PGothic" w:hAnsi="Times New Roman"/>
          <w:lang w:val="en-GB"/>
        </w:rPr>
        <w:t xml:space="preserve">s on the PCA model. </w:t>
      </w:r>
      <w:r w:rsidR="002B7230" w:rsidRPr="002B7230">
        <w:rPr>
          <w:rFonts w:ascii="Times New Roman" w:eastAsia="MS PGothic" w:hAnsi="Times New Roman"/>
          <w:lang w:val="en-GB"/>
        </w:rPr>
        <w:t xml:space="preserve">Interestingly, the asymptomatic SARS-CoV-2 </w:t>
      </w:r>
      <w:r w:rsidR="007E5CD6">
        <w:rPr>
          <w:rFonts w:ascii="Times New Roman" w:eastAsia="MS PGothic" w:hAnsi="Times New Roman"/>
          <w:lang w:val="en-GB"/>
        </w:rPr>
        <w:t xml:space="preserve">infected </w:t>
      </w:r>
      <w:r w:rsidR="002B7230" w:rsidRPr="002B7230">
        <w:rPr>
          <w:rFonts w:ascii="Times New Roman" w:eastAsia="MS PGothic" w:hAnsi="Times New Roman"/>
          <w:lang w:val="en-GB"/>
        </w:rPr>
        <w:t xml:space="preserve">subjects </w:t>
      </w:r>
      <w:r w:rsidR="002B7230">
        <w:rPr>
          <w:rFonts w:ascii="Times New Roman" w:eastAsia="MS PGothic" w:hAnsi="Times New Roman"/>
          <w:lang w:val="en-GB"/>
        </w:rPr>
        <w:t>fell</w:t>
      </w:r>
      <w:r w:rsidR="002B7230" w:rsidRPr="002B7230">
        <w:rPr>
          <w:rFonts w:ascii="Times New Roman" w:eastAsia="MS PGothic" w:hAnsi="Times New Roman"/>
          <w:lang w:val="en-GB"/>
        </w:rPr>
        <w:t xml:space="preserve"> between</w:t>
      </w:r>
      <w:r w:rsidR="002B7230">
        <w:rPr>
          <w:rFonts w:ascii="Times New Roman" w:eastAsia="MS PGothic" w:hAnsi="Times New Roman"/>
          <w:lang w:val="en-GB"/>
        </w:rPr>
        <w:t xml:space="preserve"> the two clusters, i.e.,</w:t>
      </w:r>
      <w:r w:rsidR="002B7230" w:rsidRPr="002B7230">
        <w:rPr>
          <w:rFonts w:ascii="Times New Roman" w:eastAsia="MS PGothic" w:hAnsi="Times New Roman"/>
          <w:lang w:val="en-GB"/>
        </w:rPr>
        <w:t xml:space="preserve"> respiratory failure patients with </w:t>
      </w:r>
      <w:r w:rsidR="007E5CD6">
        <w:rPr>
          <w:rFonts w:ascii="Times New Roman" w:eastAsia="MS PGothic" w:hAnsi="Times New Roman"/>
          <w:lang w:val="en-GB"/>
        </w:rPr>
        <w:t>COVID-19</w:t>
      </w:r>
      <w:r w:rsidR="002B7230" w:rsidRPr="002B7230">
        <w:rPr>
          <w:rFonts w:ascii="Times New Roman" w:eastAsia="MS PGothic" w:hAnsi="Times New Roman"/>
          <w:lang w:val="en-GB"/>
        </w:rPr>
        <w:t xml:space="preserve"> and controls.</w:t>
      </w:r>
      <w:r w:rsidR="002B7230">
        <w:rPr>
          <w:rFonts w:ascii="Times New Roman" w:eastAsia="MS PGothic" w:hAnsi="Times New Roman"/>
          <w:lang w:val="en-GB"/>
        </w:rPr>
        <w:t xml:space="preserve"> This result, </w:t>
      </w:r>
      <w:r>
        <w:rPr>
          <w:rFonts w:ascii="Times New Roman" w:eastAsia="MS PGothic" w:hAnsi="Times New Roman"/>
          <w:lang w:val="en-GB"/>
        </w:rPr>
        <w:t>also confirmed</w:t>
      </w:r>
      <w:r w:rsidR="002B7230">
        <w:rPr>
          <w:rFonts w:ascii="Times New Roman" w:eastAsia="MS PGothic" w:hAnsi="Times New Roman"/>
          <w:lang w:val="en-GB"/>
        </w:rPr>
        <w:t xml:space="preserve"> by the analysis of </w:t>
      </w:r>
      <w:r>
        <w:rPr>
          <w:rFonts w:ascii="Times New Roman" w:eastAsia="MS PGothic" w:hAnsi="Times New Roman"/>
          <w:lang w:val="en-GB"/>
        </w:rPr>
        <w:t xml:space="preserve">the </w:t>
      </w:r>
      <w:r w:rsidR="002B7230">
        <w:rPr>
          <w:rFonts w:ascii="Times New Roman" w:eastAsia="MS PGothic" w:hAnsi="Times New Roman"/>
          <w:lang w:val="en-GB"/>
        </w:rPr>
        <w:t xml:space="preserve">2-Norm of PCA scores (Figure 3), suggested that the EN may provide information </w:t>
      </w:r>
      <w:r>
        <w:rPr>
          <w:rFonts w:ascii="Times New Roman" w:eastAsia="MS PGothic" w:hAnsi="Times New Roman"/>
          <w:lang w:val="en-GB"/>
        </w:rPr>
        <w:t>about the presence of the infection and</w:t>
      </w:r>
      <w:r w:rsidR="002B7230">
        <w:rPr>
          <w:rFonts w:ascii="Times New Roman" w:eastAsia="MS PGothic" w:hAnsi="Times New Roman"/>
          <w:lang w:val="en-GB"/>
        </w:rPr>
        <w:t xml:space="preserve"> the severity of the disease. </w:t>
      </w:r>
    </w:p>
    <w:p w14:paraId="36B13692" w14:textId="77777777" w:rsidR="007515D7" w:rsidRDefault="007515D7" w:rsidP="00DA51A3">
      <w:pPr>
        <w:snapToGrid w:val="0"/>
        <w:spacing w:after="120"/>
        <w:rPr>
          <w:rFonts w:ascii="Times New Roman" w:eastAsia="MS PGothic" w:hAnsi="Times New Roman"/>
          <w:lang w:val="en-GB"/>
        </w:rPr>
      </w:pPr>
    </w:p>
    <w:p w14:paraId="478758F4" w14:textId="77777777" w:rsidR="007515D7" w:rsidRPr="006B6294" w:rsidRDefault="00E30F24" w:rsidP="007515D7">
      <w:pPr>
        <w:pStyle w:val="MDPI31text"/>
        <w:keepNext/>
        <w:ind w:left="0" w:firstLine="0"/>
        <w:jc w:val="center"/>
        <w:rPr>
          <w:lang w:val="en-GB"/>
        </w:rPr>
      </w:pPr>
      <w:r>
        <w:rPr>
          <w:noProof/>
          <w:lang w:val="en-GB" w:eastAsia="en-GB" w:bidi="ar-SA"/>
        </w:rPr>
        <w:drawing>
          <wp:inline distT="0" distB="0" distL="0" distR="0" wp14:anchorId="313F69F7" wp14:editId="68D0F262">
            <wp:extent cx="4610100" cy="322192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491" cy="32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C6148" w14:textId="5A18916E" w:rsidR="007515D7" w:rsidRPr="007515D7" w:rsidRDefault="007515D7" w:rsidP="007515D7">
      <w:pPr>
        <w:pStyle w:val="MDPI51figurecaption"/>
        <w:ind w:left="0"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7515D7">
        <w:rPr>
          <w:rFonts w:ascii="Times New Roman" w:eastAsia="MS PGothic" w:hAnsi="Times New Roman" w:cstheme="minorBidi"/>
          <w:b/>
          <w:color w:val="auto"/>
          <w:sz w:val="22"/>
          <w:szCs w:val="18"/>
          <w:lang w:eastAsia="en-US" w:bidi="ar-SA"/>
        </w:rPr>
        <w:t>Figure 2.</w:t>
      </w:r>
      <w:r>
        <w:rPr>
          <w:rFonts w:ascii="Times New Roman" w:eastAsia="MS PGothic" w:hAnsi="Times New Roman"/>
          <w:b/>
          <w:szCs w:val="18"/>
        </w:rPr>
        <w:t xml:space="preserve"> </w:t>
      </w:r>
      <w:r w:rsidRPr="007515D7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Principal components of selected features in asymptomatic SARS-CoV-2 </w:t>
      </w:r>
      <w:r w:rsidR="007E5CD6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infected </w:t>
      </w:r>
      <w:r w:rsidRPr="007515D7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patients (red circles), respiratory failure patients with </w:t>
      </w:r>
      <w:r w:rsidR="007E5CD6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COVID-19</w:t>
      </w:r>
      <w:r w:rsidRPr="007515D7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 (blue circles), and control subjects (green circles).</w:t>
      </w:r>
    </w:p>
    <w:p w14:paraId="0EDCDC6E" w14:textId="77777777" w:rsidR="007515D7" w:rsidRPr="006B6294" w:rsidRDefault="00AD471D" w:rsidP="007515D7">
      <w:pPr>
        <w:keepNext/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2EF88A5" wp14:editId="2C905114">
            <wp:extent cx="4184248" cy="2440095"/>
            <wp:effectExtent l="0" t="0" r="698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600" cy="244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11032" w14:textId="7B901FDE" w:rsidR="007515D7" w:rsidRDefault="007515D7" w:rsidP="007515D7">
      <w:pPr>
        <w:pStyle w:val="MDPI51figurecaption"/>
        <w:ind w:left="0"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7515D7">
        <w:rPr>
          <w:rFonts w:ascii="Times New Roman" w:eastAsia="MS PGothic" w:hAnsi="Times New Roman" w:cstheme="minorBidi"/>
          <w:b/>
          <w:color w:val="auto"/>
          <w:sz w:val="22"/>
          <w:szCs w:val="18"/>
          <w:lang w:eastAsia="en-US" w:bidi="ar-SA"/>
        </w:rPr>
        <w:t>Figure 3.</w:t>
      </w:r>
      <w:r w:rsidRPr="00DB2735">
        <w:rPr>
          <w:b/>
        </w:rPr>
        <w:t xml:space="preserve"> </w:t>
      </w:r>
      <w:r w:rsidRPr="007515D7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2-Norm of scores of all the Principal Component of </w:t>
      </w:r>
      <w:r w:rsidR="007E5CD6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COVID-19</w:t>
      </w:r>
      <w:r w:rsidRPr="007515D7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 patients with respiratory failure, asymptomatic SARS-CoV-2 </w:t>
      </w:r>
      <w:r w:rsidR="007E5CD6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infected </w:t>
      </w:r>
      <w:r w:rsidRPr="007515D7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patients, and</w:t>
      </w:r>
      <w:r w:rsidR="007E5CD6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 healthy</w:t>
      </w:r>
      <w:r w:rsidRPr="007515D7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 controls. The boundaries of the boxes indicate the </w:t>
      </w:r>
      <w:r w:rsidRPr="007515D7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lastRenderedPageBreak/>
        <w:t>25</w:t>
      </w:r>
      <w:r w:rsidRPr="003E0357">
        <w:rPr>
          <w:rFonts w:ascii="Times New Roman" w:eastAsiaTheme="minorHAnsi" w:hAnsi="Times New Roman" w:cstheme="minorBidi"/>
          <w:color w:val="auto"/>
          <w:sz w:val="22"/>
          <w:szCs w:val="22"/>
          <w:vertAlign w:val="superscript"/>
          <w:lang w:eastAsia="en-US" w:bidi="ar-SA"/>
        </w:rPr>
        <w:t>th</w:t>
      </w:r>
      <w:r w:rsidRPr="007515D7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 and 75</w:t>
      </w:r>
      <w:r w:rsidRPr="003E0357">
        <w:rPr>
          <w:rFonts w:ascii="Times New Roman" w:eastAsiaTheme="minorHAnsi" w:hAnsi="Times New Roman" w:cstheme="minorBidi"/>
          <w:color w:val="auto"/>
          <w:sz w:val="22"/>
          <w:szCs w:val="22"/>
          <w:vertAlign w:val="superscript"/>
          <w:lang w:eastAsia="en-US" w:bidi="ar-SA"/>
        </w:rPr>
        <w:t>th</w:t>
      </w:r>
      <w:r w:rsidRPr="007515D7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 percentiles, the lines within the boxes mark the median values. Whiskers indicate the 90</w:t>
      </w:r>
      <w:r w:rsidRPr="003E0357">
        <w:rPr>
          <w:rFonts w:ascii="Times New Roman" w:eastAsiaTheme="minorHAnsi" w:hAnsi="Times New Roman" w:cstheme="minorBidi"/>
          <w:color w:val="auto"/>
          <w:sz w:val="22"/>
          <w:szCs w:val="22"/>
          <w:vertAlign w:val="superscript"/>
          <w:lang w:eastAsia="en-US" w:bidi="ar-SA"/>
        </w:rPr>
        <w:t>th</w:t>
      </w:r>
      <w:r w:rsidRPr="007515D7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 and 10</w:t>
      </w:r>
      <w:r w:rsidRPr="003E0357">
        <w:rPr>
          <w:rFonts w:ascii="Times New Roman" w:eastAsiaTheme="minorHAnsi" w:hAnsi="Times New Roman" w:cstheme="minorBidi"/>
          <w:color w:val="auto"/>
          <w:sz w:val="22"/>
          <w:szCs w:val="22"/>
          <w:vertAlign w:val="superscript"/>
          <w:lang w:eastAsia="en-US" w:bidi="ar-SA"/>
        </w:rPr>
        <w:t>th</w:t>
      </w:r>
      <w:r w:rsidRPr="007515D7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 percentiles. Closed circles are considered outliers.</w:t>
      </w:r>
    </w:p>
    <w:p w14:paraId="25D73CC3" w14:textId="2B8F049A" w:rsidR="002B7230" w:rsidRDefault="0094678F" w:rsidP="007515D7">
      <w:pPr>
        <w:pStyle w:val="MDPI51figurecaption"/>
        <w:ind w:left="0"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The classification model achieved</w:t>
      </w:r>
      <w:r w:rsidRPr="0094678F">
        <w:t xml:space="preserve"> </w:t>
      </w:r>
      <w:r w:rsidRPr="0094678F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a sensitivity</w:t>
      </w:r>
      <w:r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 of </w:t>
      </w:r>
      <w:r w:rsidRPr="0094678F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92</w:t>
      </w:r>
      <w:r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%</w:t>
      </w:r>
      <w:r w:rsidRPr="0094678F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 (CI</w:t>
      </w:r>
      <w:r w:rsidRPr="0094678F">
        <w:rPr>
          <w:rFonts w:ascii="Times New Roman" w:eastAsiaTheme="minorHAnsi" w:hAnsi="Times New Roman" w:cstheme="minorBidi"/>
          <w:color w:val="auto"/>
          <w:sz w:val="22"/>
          <w:szCs w:val="22"/>
          <w:vertAlign w:val="subscript"/>
          <w:lang w:eastAsia="en-US" w:bidi="ar-SA"/>
        </w:rPr>
        <w:t>95%</w:t>
      </w:r>
      <w:r w:rsidRPr="0094678F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 87</w:t>
      </w:r>
      <w:r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 </w:t>
      </w:r>
      <w:r w:rsidRPr="0094678F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-</w:t>
      </w:r>
      <w:r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 99), </w:t>
      </w:r>
      <w:r w:rsidRPr="0094678F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a specificity of 68</w:t>
      </w:r>
      <w:r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%</w:t>
      </w:r>
      <w:r w:rsidRPr="0094678F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 (CI</w:t>
      </w:r>
      <w:r w:rsidRPr="0094678F">
        <w:rPr>
          <w:rFonts w:ascii="Times New Roman" w:eastAsiaTheme="minorHAnsi" w:hAnsi="Times New Roman" w:cstheme="minorBidi"/>
          <w:color w:val="auto"/>
          <w:sz w:val="22"/>
          <w:szCs w:val="22"/>
          <w:vertAlign w:val="subscript"/>
          <w:lang w:eastAsia="en-US" w:bidi="ar-SA"/>
        </w:rPr>
        <w:t>95%</w:t>
      </w:r>
      <w:r w:rsidRPr="0094678F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 54</w:t>
      </w:r>
      <w:r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 </w:t>
      </w:r>
      <w:r w:rsidRPr="0094678F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-</w:t>
      </w:r>
      <w:r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 78), and an AUC of 81% </w:t>
      </w:r>
      <w:r w:rsidRPr="0094678F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(CI</w:t>
      </w:r>
      <w:r w:rsidRPr="0094678F">
        <w:rPr>
          <w:rFonts w:ascii="Times New Roman" w:eastAsiaTheme="minorHAnsi" w:hAnsi="Times New Roman" w:cstheme="minorBidi"/>
          <w:color w:val="auto"/>
          <w:sz w:val="22"/>
          <w:szCs w:val="22"/>
          <w:vertAlign w:val="subscript"/>
          <w:lang w:eastAsia="en-US" w:bidi="ar-SA"/>
        </w:rPr>
        <w:t>95%</w:t>
      </w:r>
      <w:r w:rsidR="006A6456">
        <w:rPr>
          <w:rFonts w:ascii="Times New Roman" w:eastAsiaTheme="minorHAnsi" w:hAnsi="Times New Roman" w:cstheme="minorBidi"/>
          <w:color w:val="auto"/>
          <w:sz w:val="22"/>
          <w:szCs w:val="22"/>
          <w:vertAlign w:val="subscript"/>
          <w:lang w:eastAsia="en-US" w:bidi="ar-SA"/>
        </w:rPr>
        <w:t xml:space="preserve"> </w:t>
      </w:r>
      <w:r w:rsidR="006A6456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54 – 78).</w:t>
      </w:r>
    </w:p>
    <w:p w14:paraId="28B044CA" w14:textId="77777777" w:rsidR="009E5FA4" w:rsidRDefault="009E5FA4" w:rsidP="007515D7">
      <w:pPr>
        <w:pStyle w:val="MDPI51figurecaption"/>
        <w:ind w:left="0"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</w:p>
    <w:p w14:paraId="4D42BC36" w14:textId="77777777" w:rsidR="006A6456" w:rsidRPr="00A7641A" w:rsidRDefault="006A6456" w:rsidP="006A6456">
      <w:pPr>
        <w:pStyle w:val="MDPI52figure"/>
        <w:ind w:left="2608"/>
        <w:jc w:val="left"/>
      </w:pPr>
      <w:r w:rsidRPr="00A7641A">
        <w:rPr>
          <w:noProof/>
          <w:snapToGrid/>
          <w:lang w:val="en-GB" w:eastAsia="en-GB" w:bidi="ar-SA"/>
        </w:rPr>
        <w:drawing>
          <wp:inline distT="0" distB="0" distL="0" distR="0" wp14:anchorId="5A36ACA7" wp14:editId="7E8A6E30">
            <wp:extent cx="3408218" cy="2272145"/>
            <wp:effectExtent l="0" t="0" r="190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489" cy="2275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3B4660" w14:textId="77777777" w:rsidR="006A6456" w:rsidRPr="006A6456" w:rsidRDefault="006A6456" w:rsidP="006A6456">
      <w:pPr>
        <w:pStyle w:val="MDPI51figurecaption"/>
        <w:ind w:left="0"/>
        <w:jc w:val="both"/>
        <w:rPr>
          <w:rFonts w:ascii="Times New Roman" w:eastAsiaTheme="minorHAnsi" w:hAnsi="Times New Roman"/>
          <w:color w:val="auto"/>
          <w:sz w:val="28"/>
          <w:szCs w:val="22"/>
          <w:lang w:eastAsia="en-US" w:bidi="ar-SA"/>
        </w:rPr>
      </w:pPr>
      <w:r w:rsidRPr="006A6456">
        <w:rPr>
          <w:rFonts w:ascii="Times New Roman" w:eastAsia="MS PGothic" w:hAnsi="Times New Roman" w:cstheme="minorBidi"/>
          <w:b/>
          <w:color w:val="auto"/>
          <w:sz w:val="22"/>
          <w:szCs w:val="18"/>
          <w:lang w:eastAsia="en-US" w:bidi="ar-SA"/>
        </w:rPr>
        <w:t xml:space="preserve">Figure 8. </w:t>
      </w:r>
      <w:r w:rsidRPr="006A6456">
        <w:rPr>
          <w:rFonts w:ascii="Times New Roman" w:hAnsi="Times New Roman"/>
          <w:sz w:val="22"/>
        </w:rPr>
        <w:t>Receiving Operating Characteristic (ROC) curve</w:t>
      </w:r>
      <w:r>
        <w:rPr>
          <w:rFonts w:ascii="Times New Roman" w:hAnsi="Times New Roman"/>
          <w:sz w:val="22"/>
        </w:rPr>
        <w:t>.</w:t>
      </w:r>
    </w:p>
    <w:p w14:paraId="410793C9" w14:textId="77777777" w:rsidR="000D0F85" w:rsidRPr="00826081" w:rsidRDefault="000D0F85" w:rsidP="00DA51A3">
      <w:pPr>
        <w:snapToGrid w:val="0"/>
        <w:spacing w:after="120"/>
        <w:rPr>
          <w:rFonts w:ascii="Times New Roman" w:eastAsia="MS PGothic" w:hAnsi="Times New Roman"/>
          <w:lang w:val="en-GB"/>
        </w:rPr>
      </w:pPr>
    </w:p>
    <w:p w14:paraId="5ABD67BA" w14:textId="77777777" w:rsidR="00DA51A3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2F411F04" w14:textId="1A4A021F" w:rsidR="00577F47" w:rsidRDefault="00DB4C5C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>
        <w:rPr>
          <w:rFonts w:ascii="Times New Roman" w:eastAsia="MS PGothic" w:hAnsi="Times New Roman"/>
          <w:lang w:val="en-US" w:eastAsia="ko-KR"/>
        </w:rPr>
        <w:t xml:space="preserve">The feasibility study here described proved the potentialities of EN technologies </w:t>
      </w:r>
      <w:r w:rsidR="002E421C">
        <w:rPr>
          <w:rFonts w:ascii="Times New Roman" w:eastAsia="MS PGothic" w:hAnsi="Times New Roman"/>
          <w:lang w:val="en-US" w:eastAsia="ko-KR"/>
        </w:rPr>
        <w:t>fo</w:t>
      </w:r>
      <w:r w:rsidR="00F64780">
        <w:rPr>
          <w:rFonts w:ascii="Times New Roman" w:eastAsia="MS PGothic" w:hAnsi="Times New Roman"/>
          <w:lang w:val="en-US" w:eastAsia="ko-KR"/>
        </w:rPr>
        <w:t xml:space="preserve">r the exhaled breath analysis aimed at diagnostic purposes. It can provide an alternative to traditional clinical tests to ease the identification of respiratory failure causes' and improve patients' management. </w:t>
      </w:r>
      <w:r w:rsidR="00551201">
        <w:rPr>
          <w:rFonts w:ascii="Times New Roman" w:eastAsia="MS PGothic" w:hAnsi="Times New Roman"/>
          <w:lang w:val="en-US" w:eastAsia="ko-KR"/>
        </w:rPr>
        <w:t>However, this type of analysis in patients with respiratory failure is challenging</w:t>
      </w:r>
      <w:r w:rsidR="004B129D">
        <w:rPr>
          <w:rFonts w:ascii="Times New Roman" w:eastAsia="MS PGothic" w:hAnsi="Times New Roman"/>
          <w:lang w:val="en-US" w:eastAsia="ko-KR"/>
        </w:rPr>
        <w:t xml:space="preserve"> because of patients' unstable conditions and </w:t>
      </w:r>
      <w:r w:rsidR="00A3336B">
        <w:rPr>
          <w:rFonts w:ascii="Times New Roman" w:eastAsia="MS PGothic" w:hAnsi="Times New Roman"/>
          <w:lang w:val="en-US" w:eastAsia="ko-KR"/>
        </w:rPr>
        <w:t>VOCs containats</w:t>
      </w:r>
      <w:r w:rsidR="004B129D">
        <w:rPr>
          <w:rFonts w:ascii="Times New Roman" w:eastAsia="MS PGothic" w:hAnsi="Times New Roman"/>
          <w:lang w:val="en-US" w:eastAsia="ko-KR"/>
        </w:rPr>
        <w:t xml:space="preserve"> in the environment that can affect the EN analysis (e.g., VOCs associated with</w:t>
      </w:r>
      <w:r w:rsidR="00551201">
        <w:rPr>
          <w:rFonts w:ascii="Times New Roman" w:eastAsia="MS PGothic" w:hAnsi="Times New Roman"/>
          <w:lang w:val="en-US" w:eastAsia="ko-KR"/>
        </w:rPr>
        <w:t xml:space="preserve"> cleaning chemicals, drugs, other diseases</w:t>
      </w:r>
      <w:r w:rsidR="00A3336B">
        <w:rPr>
          <w:rFonts w:ascii="Times New Roman" w:eastAsia="MS PGothic" w:hAnsi="Times New Roman"/>
          <w:lang w:val="en-US" w:eastAsia="ko-KR"/>
        </w:rPr>
        <w:t>, etc</w:t>
      </w:r>
      <w:r w:rsidR="00551201">
        <w:rPr>
          <w:rFonts w:ascii="Times New Roman" w:eastAsia="MS PGothic" w:hAnsi="Times New Roman"/>
          <w:lang w:val="en-US" w:eastAsia="ko-KR"/>
        </w:rPr>
        <w:t>)</w:t>
      </w:r>
      <w:r w:rsidR="00577F47">
        <w:rPr>
          <w:rFonts w:ascii="Times New Roman" w:eastAsia="MS PGothic" w:hAnsi="Times New Roman"/>
          <w:lang w:val="en-US" w:eastAsia="ko-KR"/>
        </w:rPr>
        <w:t>.</w:t>
      </w:r>
    </w:p>
    <w:p w14:paraId="704FAB20" w14:textId="51B9BE4F" w:rsidR="00AF1791" w:rsidRDefault="00577F47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>
        <w:rPr>
          <w:rFonts w:ascii="Times New Roman" w:eastAsia="MS PGothic" w:hAnsi="Times New Roman"/>
          <w:lang w:val="en-US" w:eastAsia="ko-KR"/>
        </w:rPr>
        <w:t xml:space="preserve">This study </w:t>
      </w:r>
      <w:r w:rsidR="00A3336B">
        <w:rPr>
          <w:rFonts w:ascii="Times New Roman" w:eastAsia="MS PGothic" w:hAnsi="Times New Roman"/>
          <w:lang w:val="en-US" w:eastAsia="ko-KR"/>
        </w:rPr>
        <w:t>introduces</w:t>
      </w:r>
      <w:r>
        <w:rPr>
          <w:rFonts w:ascii="Times New Roman" w:eastAsia="MS PGothic" w:hAnsi="Times New Roman"/>
          <w:lang w:val="en-US" w:eastAsia="ko-KR"/>
        </w:rPr>
        <w:t xml:space="preserve"> an innovative breath sampling system specifically designed for respiratory failure patients, overcoming the issues associated </w:t>
      </w:r>
      <w:r w:rsidR="004B129D">
        <w:rPr>
          <w:rFonts w:ascii="Times New Roman" w:eastAsia="MS PGothic" w:hAnsi="Times New Roman"/>
          <w:lang w:val="en-US" w:eastAsia="ko-KR"/>
        </w:rPr>
        <w:t>with using</w:t>
      </w:r>
      <w:r>
        <w:rPr>
          <w:rFonts w:ascii="Times New Roman" w:eastAsia="MS PGothic" w:hAnsi="Times New Roman"/>
          <w:lang w:val="en-US" w:eastAsia="ko-KR"/>
        </w:rPr>
        <w:t xml:space="preserve"> charcoal filters to compensate for ambient VOCs, </w:t>
      </w:r>
      <w:r w:rsidRPr="00577F47">
        <w:rPr>
          <w:rFonts w:ascii="Times New Roman" w:eastAsia="MS PGothic" w:hAnsi="Times New Roman"/>
          <w:lang w:val="en-US" w:eastAsia="ko-KR"/>
        </w:rPr>
        <w:t>which add</w:t>
      </w:r>
      <w:r>
        <w:rPr>
          <w:rFonts w:ascii="Times New Roman" w:eastAsia="MS PGothic" w:hAnsi="Times New Roman"/>
          <w:lang w:val="en-US" w:eastAsia="ko-KR"/>
        </w:rPr>
        <w:t xml:space="preserve"> respiratory load and are</w:t>
      </w:r>
      <w:r w:rsidRPr="00577F47">
        <w:rPr>
          <w:rFonts w:ascii="Times New Roman" w:eastAsia="MS PGothic" w:hAnsi="Times New Roman"/>
          <w:lang w:val="en-US" w:eastAsia="ko-KR"/>
        </w:rPr>
        <w:t xml:space="preserve"> usually not certified to be used with oxygen-enriched mixtures.</w:t>
      </w:r>
      <w:r w:rsidR="00AF1791">
        <w:rPr>
          <w:rFonts w:ascii="Times New Roman" w:eastAsia="MS PGothic" w:hAnsi="Times New Roman"/>
          <w:lang w:val="en-US" w:eastAsia="ko-KR"/>
        </w:rPr>
        <w:t xml:space="preserve"> </w:t>
      </w:r>
      <w:r w:rsidRPr="00577F47">
        <w:rPr>
          <w:rFonts w:ascii="Times New Roman" w:eastAsia="MS PGothic" w:hAnsi="Times New Roman"/>
          <w:lang w:val="en-US" w:eastAsia="ko-KR"/>
        </w:rPr>
        <w:t>The</w:t>
      </w:r>
      <w:r w:rsidR="00AF1791">
        <w:rPr>
          <w:rFonts w:ascii="Times New Roman" w:eastAsia="MS PGothic" w:hAnsi="Times New Roman"/>
          <w:lang w:val="en-US" w:eastAsia="ko-KR"/>
        </w:rPr>
        <w:t xml:space="preserve"> proposed</w:t>
      </w:r>
      <w:r w:rsidRPr="00577F47">
        <w:rPr>
          <w:rFonts w:ascii="Times New Roman" w:eastAsia="MS PGothic" w:hAnsi="Times New Roman"/>
          <w:lang w:val="en-US" w:eastAsia="ko-KR"/>
        </w:rPr>
        <w:t xml:space="preserve"> set</w:t>
      </w:r>
      <w:r w:rsidR="004B129D">
        <w:rPr>
          <w:rFonts w:ascii="Times New Roman" w:eastAsia="MS PGothic" w:hAnsi="Times New Roman"/>
          <w:lang w:val="en-US" w:eastAsia="ko-KR"/>
        </w:rPr>
        <w:t>-</w:t>
      </w:r>
      <w:r w:rsidRPr="00577F47">
        <w:rPr>
          <w:rFonts w:ascii="Times New Roman" w:eastAsia="MS PGothic" w:hAnsi="Times New Roman"/>
          <w:lang w:val="en-US" w:eastAsia="ko-KR"/>
        </w:rPr>
        <w:t xml:space="preserve">up </w:t>
      </w:r>
      <w:r w:rsidR="004B129D">
        <w:rPr>
          <w:rFonts w:ascii="Times New Roman" w:eastAsia="MS PGothic" w:hAnsi="Times New Roman"/>
          <w:lang w:val="en-US" w:eastAsia="ko-KR"/>
        </w:rPr>
        <w:t>uses medical gasses available from the hospital pipeline system to</w:t>
      </w:r>
      <w:r w:rsidRPr="00577F47">
        <w:rPr>
          <w:rFonts w:ascii="Times New Roman" w:eastAsia="MS PGothic" w:hAnsi="Times New Roman"/>
          <w:lang w:val="en-US" w:eastAsia="ko-KR"/>
        </w:rPr>
        <w:t xml:space="preserve"> wash out the lungs from ambient VOCs and collect uncontaminated exhaled breath without increasing the </w:t>
      </w:r>
      <w:r w:rsidR="004B129D" w:rsidRPr="00577F47">
        <w:rPr>
          <w:rFonts w:ascii="Times New Roman" w:eastAsia="MS PGothic" w:hAnsi="Times New Roman"/>
          <w:lang w:val="en-US" w:eastAsia="ko-KR"/>
        </w:rPr>
        <w:t>patient</w:t>
      </w:r>
      <w:r w:rsidR="004B129D">
        <w:rPr>
          <w:rFonts w:ascii="Times New Roman" w:eastAsia="MS PGothic" w:hAnsi="Times New Roman"/>
          <w:lang w:val="en-US" w:eastAsia="ko-KR"/>
        </w:rPr>
        <w:t>'</w:t>
      </w:r>
      <w:r w:rsidR="004B129D" w:rsidRPr="00577F47">
        <w:rPr>
          <w:rFonts w:ascii="Times New Roman" w:eastAsia="MS PGothic" w:hAnsi="Times New Roman"/>
          <w:lang w:val="en-US" w:eastAsia="ko-KR"/>
        </w:rPr>
        <w:t xml:space="preserve">s </w:t>
      </w:r>
      <w:r w:rsidRPr="00577F47">
        <w:rPr>
          <w:rFonts w:ascii="Times New Roman" w:eastAsia="MS PGothic" w:hAnsi="Times New Roman"/>
          <w:lang w:val="en-US" w:eastAsia="ko-KR"/>
        </w:rPr>
        <w:t xml:space="preserve">work of breathing. Such a solution also allows the investigator to provide </w:t>
      </w:r>
      <w:r w:rsidR="004B129D" w:rsidRPr="00577F47">
        <w:rPr>
          <w:rFonts w:ascii="Times New Roman" w:eastAsia="MS PGothic" w:hAnsi="Times New Roman"/>
          <w:lang w:val="en-US" w:eastAsia="ko-KR"/>
        </w:rPr>
        <w:t>oxygen</w:t>
      </w:r>
      <w:r w:rsidR="004B129D">
        <w:rPr>
          <w:rFonts w:ascii="Times New Roman" w:eastAsia="MS PGothic" w:hAnsi="Times New Roman"/>
          <w:lang w:val="en-US" w:eastAsia="ko-KR"/>
        </w:rPr>
        <w:t>-</w:t>
      </w:r>
      <w:r w:rsidRPr="00577F47">
        <w:rPr>
          <w:rFonts w:ascii="Times New Roman" w:eastAsia="MS PGothic" w:hAnsi="Times New Roman"/>
          <w:lang w:val="en-US" w:eastAsia="ko-KR"/>
        </w:rPr>
        <w:t>enriched air with fine</w:t>
      </w:r>
      <w:r w:rsidR="00AF1791">
        <w:rPr>
          <w:rFonts w:ascii="Times New Roman" w:eastAsia="MS PGothic" w:hAnsi="Times New Roman"/>
          <w:lang w:val="en-US" w:eastAsia="ko-KR"/>
        </w:rPr>
        <w:t xml:space="preserve"> control of the FiO</w:t>
      </w:r>
      <w:r w:rsidR="00AF1791" w:rsidRPr="00E005E2">
        <w:rPr>
          <w:rFonts w:ascii="Times New Roman" w:eastAsia="MS PGothic" w:hAnsi="Times New Roman"/>
          <w:vertAlign w:val="subscript"/>
          <w:lang w:val="en-US" w:eastAsia="ko-KR"/>
        </w:rPr>
        <w:t>2</w:t>
      </w:r>
      <w:r w:rsidR="00AF1791">
        <w:rPr>
          <w:rFonts w:ascii="Times New Roman" w:eastAsia="MS PGothic" w:hAnsi="Times New Roman"/>
          <w:lang w:val="en-US" w:eastAsia="ko-KR"/>
        </w:rPr>
        <w:t>, as com</w:t>
      </w:r>
      <w:r w:rsidRPr="00577F47">
        <w:rPr>
          <w:rFonts w:ascii="Times New Roman" w:eastAsia="MS PGothic" w:hAnsi="Times New Roman"/>
          <w:lang w:val="en-US" w:eastAsia="ko-KR"/>
        </w:rPr>
        <w:t xml:space="preserve">monly required by patients with respiratory failure. </w:t>
      </w:r>
    </w:p>
    <w:p w14:paraId="3B64E030" w14:textId="758A9E0B" w:rsidR="00BB406F" w:rsidRDefault="00577F47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 w:rsidRPr="00577F47">
        <w:rPr>
          <w:rFonts w:ascii="Times New Roman" w:eastAsia="MS PGothic" w:hAnsi="Times New Roman"/>
          <w:lang w:val="en-US" w:eastAsia="ko-KR"/>
        </w:rPr>
        <w:t>This system was evaluated on stable patients with and without respiratory failure due to SA</w:t>
      </w:r>
      <w:r w:rsidR="00AF1791">
        <w:rPr>
          <w:rFonts w:ascii="Times New Roman" w:eastAsia="MS PGothic" w:hAnsi="Times New Roman"/>
          <w:lang w:val="en-US" w:eastAsia="ko-KR"/>
        </w:rPr>
        <w:t xml:space="preserve">RS-CoV-2 </w:t>
      </w:r>
      <w:r w:rsidR="00A3336B">
        <w:rPr>
          <w:rFonts w:ascii="Times New Roman" w:eastAsia="MS PGothic" w:hAnsi="Times New Roman"/>
          <w:lang w:val="en-US" w:eastAsia="ko-KR"/>
        </w:rPr>
        <w:t xml:space="preserve">infection </w:t>
      </w:r>
      <w:r w:rsidR="00AF1791">
        <w:rPr>
          <w:rFonts w:ascii="Times New Roman" w:eastAsia="MS PGothic" w:hAnsi="Times New Roman"/>
          <w:lang w:val="en-US" w:eastAsia="ko-KR"/>
        </w:rPr>
        <w:t xml:space="preserve">and </w:t>
      </w:r>
      <w:r w:rsidR="00A3336B">
        <w:rPr>
          <w:rFonts w:ascii="Times New Roman" w:eastAsia="MS PGothic" w:hAnsi="Times New Roman"/>
          <w:lang w:val="en-US" w:eastAsia="ko-KR"/>
        </w:rPr>
        <w:t>on</w:t>
      </w:r>
      <w:r w:rsidR="00AF1791">
        <w:rPr>
          <w:rFonts w:ascii="Times New Roman" w:eastAsia="MS PGothic" w:hAnsi="Times New Roman"/>
          <w:lang w:val="en-US" w:eastAsia="ko-KR"/>
        </w:rPr>
        <w:t xml:space="preserve"> healthy controls and </w:t>
      </w:r>
      <w:r w:rsidRPr="00577F47">
        <w:rPr>
          <w:rFonts w:ascii="Times New Roman" w:eastAsia="MS PGothic" w:hAnsi="Times New Roman"/>
          <w:lang w:val="en-US" w:eastAsia="ko-KR"/>
        </w:rPr>
        <w:t xml:space="preserve">proved feasible for the critical care </w:t>
      </w:r>
      <w:r w:rsidR="00A3336B">
        <w:rPr>
          <w:rFonts w:ascii="Times New Roman" w:eastAsia="MS PGothic" w:hAnsi="Times New Roman"/>
          <w:lang w:val="en-US" w:eastAsia="ko-KR"/>
        </w:rPr>
        <w:t>setting</w:t>
      </w:r>
      <w:r w:rsidRPr="00577F47">
        <w:rPr>
          <w:rFonts w:ascii="Times New Roman" w:eastAsia="MS PGothic" w:hAnsi="Times New Roman"/>
          <w:lang w:val="en-US" w:eastAsia="ko-KR"/>
        </w:rPr>
        <w:t>.</w:t>
      </w:r>
      <w:r w:rsidR="00A85191">
        <w:rPr>
          <w:rFonts w:ascii="Times New Roman" w:eastAsia="MS PGothic" w:hAnsi="Times New Roman"/>
          <w:lang w:val="en-US" w:eastAsia="ko-KR"/>
        </w:rPr>
        <w:t xml:space="preserve"> </w:t>
      </w:r>
      <w:r w:rsidR="00A85191" w:rsidRPr="00A85191">
        <w:rPr>
          <w:rFonts w:ascii="Times New Roman" w:eastAsia="MS PGothic" w:hAnsi="Times New Roman"/>
          <w:lang w:val="en-US" w:eastAsia="ko-KR"/>
        </w:rPr>
        <w:t>At first, a classification model to investigate whether the device can detect differences in the odour fingerprints of patients with respiratory failure compared with controls was developed.</w:t>
      </w:r>
      <w:r w:rsidR="0006212F" w:rsidRPr="0006212F">
        <w:rPr>
          <w:lang w:val="en-GB"/>
        </w:rPr>
        <w:t xml:space="preserve"> </w:t>
      </w:r>
      <w:r w:rsidR="0006212F" w:rsidRPr="0006212F">
        <w:rPr>
          <w:rFonts w:ascii="Times New Roman" w:eastAsia="MS PGothic" w:hAnsi="Times New Roman"/>
          <w:lang w:val="en-US" w:eastAsia="ko-KR"/>
        </w:rPr>
        <w:t>Sensitivity and specificity of 92% and 69%, respectively</w:t>
      </w:r>
      <w:r w:rsidR="0006212F">
        <w:rPr>
          <w:rFonts w:ascii="Times New Roman" w:eastAsia="MS PGothic" w:hAnsi="Times New Roman"/>
          <w:lang w:val="en-US" w:eastAsia="ko-KR"/>
        </w:rPr>
        <w:t>, were achieved within this fea</w:t>
      </w:r>
      <w:r w:rsidR="0006212F" w:rsidRPr="0006212F">
        <w:rPr>
          <w:rFonts w:ascii="Times New Roman" w:eastAsia="MS PGothic" w:hAnsi="Times New Roman"/>
          <w:lang w:val="en-US" w:eastAsia="ko-KR"/>
        </w:rPr>
        <w:t>sibility study. Those results proved EN's potentialities in discriminating between SARS-CoV-2 patients with respiratory failure and the control group</w:t>
      </w:r>
      <w:r w:rsidR="0006212F">
        <w:rPr>
          <w:rFonts w:ascii="Times New Roman" w:eastAsia="MS PGothic" w:hAnsi="Times New Roman"/>
          <w:lang w:val="en-US" w:eastAsia="ko-KR"/>
        </w:rPr>
        <w:t>.</w:t>
      </w:r>
    </w:p>
    <w:p w14:paraId="27F96B21" w14:textId="484E9173" w:rsidR="0006212F" w:rsidRPr="00A85191" w:rsidRDefault="0006212F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>
        <w:rPr>
          <w:rFonts w:ascii="Times New Roman" w:eastAsia="MS PGothic" w:hAnsi="Times New Roman"/>
          <w:lang w:val="en-US" w:eastAsia="ko-KR"/>
        </w:rPr>
        <w:lastRenderedPageBreak/>
        <w:t>An</w:t>
      </w:r>
      <w:r w:rsidRPr="0006212F">
        <w:rPr>
          <w:rFonts w:ascii="Times New Roman" w:eastAsia="MS PGothic" w:hAnsi="Times New Roman"/>
          <w:lang w:val="en-US" w:eastAsia="ko-KR"/>
        </w:rPr>
        <w:t xml:space="preserve"> exploratory analysis includ</w:t>
      </w:r>
      <w:r w:rsidR="004B129D">
        <w:rPr>
          <w:rFonts w:ascii="Times New Roman" w:eastAsia="MS PGothic" w:hAnsi="Times New Roman"/>
          <w:lang w:val="en-US" w:eastAsia="ko-KR"/>
        </w:rPr>
        <w:t>ed asymptomatic subjects who tested positive for SARS-CoV-2</w:t>
      </w:r>
      <w:r w:rsidRPr="0006212F">
        <w:rPr>
          <w:rFonts w:ascii="Times New Roman" w:eastAsia="MS PGothic" w:hAnsi="Times New Roman"/>
          <w:lang w:val="en-US" w:eastAsia="ko-KR"/>
        </w:rPr>
        <w:t xml:space="preserve">. </w:t>
      </w:r>
      <w:r>
        <w:rPr>
          <w:rFonts w:ascii="Times New Roman" w:eastAsia="MS PGothic" w:hAnsi="Times New Roman"/>
          <w:lang w:val="en-US" w:eastAsia="ko-KR"/>
        </w:rPr>
        <w:t>Asymptomatic patients</w:t>
      </w:r>
      <w:r w:rsidRPr="0006212F">
        <w:rPr>
          <w:rFonts w:ascii="Times New Roman" w:eastAsia="MS PGothic" w:hAnsi="Times New Roman"/>
          <w:lang w:val="en-US" w:eastAsia="ko-KR"/>
        </w:rPr>
        <w:t xml:space="preserve"> distinguished from the control group, suggesting that the proposed method can identify subjects positive to SARS-CoV-2 even if they do not present symptoms. Moreover, </w:t>
      </w:r>
      <w:r w:rsidR="00A3336B">
        <w:rPr>
          <w:rFonts w:ascii="Times New Roman" w:eastAsia="MS PGothic" w:hAnsi="Times New Roman"/>
          <w:lang w:val="en-US" w:eastAsia="ko-KR"/>
        </w:rPr>
        <w:t xml:space="preserve">our </w:t>
      </w:r>
      <w:r w:rsidRPr="0006212F">
        <w:rPr>
          <w:rFonts w:ascii="Times New Roman" w:eastAsia="MS PGothic" w:hAnsi="Times New Roman"/>
          <w:lang w:val="en-US" w:eastAsia="ko-KR"/>
        </w:rPr>
        <w:t xml:space="preserve">preliminary </w:t>
      </w:r>
      <w:r>
        <w:rPr>
          <w:rFonts w:ascii="Times New Roman" w:eastAsia="MS PGothic" w:hAnsi="Times New Roman"/>
          <w:lang w:val="en-US" w:eastAsia="ko-KR"/>
        </w:rPr>
        <w:t>results</w:t>
      </w:r>
      <w:r w:rsidRPr="0006212F">
        <w:rPr>
          <w:rFonts w:ascii="Times New Roman" w:eastAsia="MS PGothic" w:hAnsi="Times New Roman"/>
          <w:lang w:val="en-US" w:eastAsia="ko-KR"/>
        </w:rPr>
        <w:t xml:space="preserve"> show that they present an intermediate response between patients with </w:t>
      </w:r>
      <w:r w:rsidR="00A3336B">
        <w:rPr>
          <w:rFonts w:ascii="Times New Roman" w:eastAsia="MS PGothic" w:hAnsi="Times New Roman"/>
          <w:lang w:val="en-US" w:eastAsia="ko-KR"/>
        </w:rPr>
        <w:t>COVID-19 and respiratory failure</w:t>
      </w:r>
      <w:r w:rsidRPr="0006212F">
        <w:rPr>
          <w:rFonts w:ascii="Times New Roman" w:eastAsia="MS PGothic" w:hAnsi="Times New Roman"/>
          <w:lang w:val="en-US" w:eastAsia="ko-KR"/>
        </w:rPr>
        <w:t xml:space="preserve"> and the control group. Such finding is very interesting because it suggests that the proposed method is sensitive both to the presence of an infection and the severity of the </w:t>
      </w:r>
      <w:r w:rsidR="009F3CEA">
        <w:rPr>
          <w:rFonts w:ascii="Times New Roman" w:eastAsia="MS PGothic" w:hAnsi="Times New Roman"/>
          <w:lang w:val="en-US" w:eastAsia="ko-KR"/>
        </w:rPr>
        <w:t>disease</w:t>
      </w:r>
      <w:r w:rsidRPr="0006212F">
        <w:rPr>
          <w:rFonts w:ascii="Times New Roman" w:eastAsia="MS PGothic" w:hAnsi="Times New Roman"/>
          <w:lang w:val="en-US" w:eastAsia="ko-KR"/>
        </w:rPr>
        <w:t xml:space="preserve">. Further studies are warranted to investigate whether the proposed method can be used to identify the </w:t>
      </w:r>
      <w:r w:rsidR="009F3CEA">
        <w:rPr>
          <w:rFonts w:ascii="Times New Roman" w:eastAsia="MS PGothic" w:hAnsi="Times New Roman"/>
          <w:lang w:val="en-US" w:eastAsia="ko-KR"/>
        </w:rPr>
        <w:t xml:space="preserve">treatable traits </w:t>
      </w:r>
      <w:r w:rsidRPr="0006212F">
        <w:rPr>
          <w:rFonts w:ascii="Times New Roman" w:eastAsia="MS PGothic" w:hAnsi="Times New Roman"/>
          <w:lang w:val="en-US" w:eastAsia="ko-KR"/>
        </w:rPr>
        <w:t>of respiratory failure or to monitor the progression of disease severity.</w:t>
      </w:r>
    </w:p>
    <w:p w14:paraId="268F94BA" w14:textId="77777777" w:rsidR="00BB406F" w:rsidRDefault="00BB406F" w:rsidP="00DA51A3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/>
        </w:rPr>
      </w:pPr>
    </w:p>
    <w:p w14:paraId="6D495ED6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68BBAB83" w14:textId="77777777" w:rsidR="00C368F0" w:rsidRPr="00C368F0" w:rsidRDefault="00C368F0" w:rsidP="00C368F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40" w:line="240" w:lineRule="auto"/>
        <w:rPr>
          <w:rFonts w:ascii="Times New Roman" w:hAnsi="Times New Roman"/>
          <w:szCs w:val="24"/>
        </w:rPr>
      </w:pPr>
      <w:bookmarkStart w:id="1" w:name="_Hlk99132777"/>
      <w:r w:rsidRPr="00C368F0">
        <w:rPr>
          <w:rFonts w:ascii="Times New Roman" w:hAnsi="Times New Roman"/>
          <w:szCs w:val="24"/>
        </w:rPr>
        <w:t>Sohrabi, C.; Mathew, G.; Franchi, T.; Kerwan, A.; Griffin, M.; Soleil C Del Mundo, J.; Ali, S. A.; Agha, M.; Agha, R., Impact of the coronavirus (COVID-19) pandemic on scientific research and implications for clinical academic training – A review. International Journal of Surgery 2021, 86, 57-63.</w:t>
      </w:r>
    </w:p>
    <w:p w14:paraId="02AFB5A2" w14:textId="77777777" w:rsidR="00C368F0" w:rsidRPr="00C368F0" w:rsidRDefault="00C368F0" w:rsidP="00C368F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40" w:line="240" w:lineRule="auto"/>
        <w:rPr>
          <w:rFonts w:ascii="Times New Roman" w:hAnsi="Times New Roman"/>
          <w:szCs w:val="24"/>
        </w:rPr>
      </w:pPr>
      <w:r w:rsidRPr="00C368F0">
        <w:rPr>
          <w:rFonts w:ascii="Times New Roman" w:hAnsi="Times New Roman"/>
          <w:szCs w:val="24"/>
        </w:rPr>
        <w:t>Mittal, A.; Manjunath, K.; Ranjan, R. K.; Kaushik, S.; Kumar, S.; Verma, V., COVID-19 pandemic: Insights into structure, function, and hACE2 receptor recognition by SARS-CoV-2. PLOS Pathogens 2020, 16 (8), e1008762.</w:t>
      </w:r>
    </w:p>
    <w:p w14:paraId="29D7B0B0" w14:textId="77777777" w:rsidR="00C368F0" w:rsidRPr="00C368F0" w:rsidRDefault="00C368F0" w:rsidP="00C368F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40" w:line="240" w:lineRule="auto"/>
        <w:rPr>
          <w:rFonts w:ascii="Times New Roman" w:hAnsi="Times New Roman"/>
          <w:szCs w:val="24"/>
        </w:rPr>
      </w:pPr>
      <w:r w:rsidRPr="00C368F0">
        <w:rPr>
          <w:rFonts w:ascii="Times New Roman" w:hAnsi="Times New Roman"/>
          <w:szCs w:val="24"/>
        </w:rPr>
        <w:t>Setti, L.; Passarini, F.; De Gennaro, G.; Barbieri, P.; Perrone, M. G.; Piazzalunga, A.; Borelli, M.; Palmisani, J.; Di Gilio, A.; Piscitelli, P.; Miani, A., The Potential role of Particulate Matter in the Spreading of COVID-19 in Northern Italy: First Evidence-based Research Hypotheses. medRxiv 2020, 2020.04.11.20061713</w:t>
      </w:r>
    </w:p>
    <w:p w14:paraId="52A2298E" w14:textId="77777777" w:rsidR="00C368F0" w:rsidRPr="00C368F0" w:rsidRDefault="00C368F0" w:rsidP="00C368F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40" w:line="240" w:lineRule="auto"/>
        <w:rPr>
          <w:rFonts w:ascii="Times New Roman" w:hAnsi="Times New Roman"/>
          <w:szCs w:val="24"/>
        </w:rPr>
      </w:pPr>
      <w:r w:rsidRPr="00C368F0">
        <w:rPr>
          <w:rFonts w:ascii="Times New Roman" w:hAnsi="Times New Roman"/>
          <w:szCs w:val="24"/>
        </w:rPr>
        <w:t>Chua, M. H.; Cheng, W.; Goh, S. S.; Kong, J.; Li, B.; Lim, J. Y. C.; Mao, L.; Wang, S.; Xue, K.; Yang, L.; Ye, E.; Zhang, K.; Cheong, W. C. D.; Tan, B. H.; Li, Z.; Tan, B. H.; Loh, X. J., Face Masks in the New COVID-19 Normal: Materials, Testing, and Perspectives. Research 2020, 2020, 7286735.</w:t>
      </w:r>
    </w:p>
    <w:p w14:paraId="3221005B" w14:textId="77777777" w:rsidR="00C368F0" w:rsidRPr="00C368F0" w:rsidRDefault="00C368F0" w:rsidP="00C368F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40" w:line="240" w:lineRule="auto"/>
        <w:rPr>
          <w:rFonts w:ascii="Times New Roman" w:hAnsi="Times New Roman"/>
          <w:szCs w:val="24"/>
        </w:rPr>
      </w:pPr>
      <w:r w:rsidRPr="00C368F0">
        <w:rPr>
          <w:rFonts w:ascii="Times New Roman" w:hAnsi="Times New Roman"/>
          <w:szCs w:val="24"/>
        </w:rPr>
        <w:t>Wang, J.; Shen, J.; Ye, D.; Yan, X.; Zhang, Y.; Yang, W.; Li, X.; Wang, J.; Zhang, L.; Pan, L., Disinfection technology of hospital wastes and wastewater: Suggestions for disinfection strategy during coronavirus Disease 2019 (COVID-19) pandemic in China. Environmental Pollution 2020, 262, 114665.</w:t>
      </w:r>
    </w:p>
    <w:p w14:paraId="37177FBF" w14:textId="77777777" w:rsidR="00C368F0" w:rsidRPr="00C368F0" w:rsidRDefault="00C368F0" w:rsidP="00C368F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40" w:line="240" w:lineRule="auto"/>
        <w:rPr>
          <w:rFonts w:ascii="Times New Roman" w:hAnsi="Times New Roman"/>
          <w:szCs w:val="24"/>
        </w:rPr>
      </w:pPr>
      <w:r w:rsidRPr="00C368F0">
        <w:rPr>
          <w:rFonts w:ascii="Times New Roman" w:hAnsi="Times New Roman"/>
          <w:szCs w:val="24"/>
        </w:rPr>
        <w:t>Kotecha, P.; Light, A.; Checcucci, E.; Amparore, D.; Fiori, C.; Porpiglia, F.; Dasgupta, P.; Elhage, O., Repurposing of drugs for Covid-19: a systematic review and meta-analysis. medRxiv 2020, 2020.06.07.20124677.</w:t>
      </w:r>
    </w:p>
    <w:p w14:paraId="1B8C9051" w14:textId="77777777" w:rsidR="00C368F0" w:rsidRPr="00C368F0" w:rsidRDefault="00C368F0" w:rsidP="00C368F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40" w:line="240" w:lineRule="auto"/>
        <w:rPr>
          <w:rFonts w:ascii="Times New Roman" w:hAnsi="Times New Roman"/>
          <w:szCs w:val="24"/>
        </w:rPr>
      </w:pPr>
      <w:r w:rsidRPr="00C368F0">
        <w:rPr>
          <w:rFonts w:ascii="Times New Roman" w:hAnsi="Times New Roman"/>
          <w:szCs w:val="24"/>
        </w:rPr>
        <w:t>Silveira, M. M.; Moreira, G. M. S. G.; Mendonça, M., DNA vaccines against COVID-19: Perspectives and challenges. Life Sciences 2021, 267, 118919.</w:t>
      </w:r>
    </w:p>
    <w:p w14:paraId="7A89234D" w14:textId="77777777" w:rsidR="00C368F0" w:rsidRPr="00C368F0" w:rsidRDefault="00C368F0" w:rsidP="00C368F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40" w:line="240" w:lineRule="auto"/>
        <w:rPr>
          <w:rFonts w:ascii="Times New Roman" w:hAnsi="Times New Roman"/>
          <w:szCs w:val="24"/>
        </w:rPr>
      </w:pPr>
      <w:r w:rsidRPr="00C368F0">
        <w:rPr>
          <w:rFonts w:ascii="Times New Roman" w:hAnsi="Times New Roman"/>
          <w:szCs w:val="24"/>
        </w:rPr>
        <w:t>Papazian, L.; Calfee, C. S.; Chiumello, D.; Luyt, C.-E.; Meyer, N. J.; Sekiguchi, H.; Matthay, M. A.; Meduri, G. U., Diagnostic workup for ARDS patients. Intensive Care Medicine 2016, 42 (5), 674-685.</w:t>
      </w:r>
    </w:p>
    <w:p w14:paraId="7A1C43CB" w14:textId="77777777" w:rsidR="00C368F0" w:rsidRPr="00C368F0" w:rsidRDefault="00C368F0" w:rsidP="00C368F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40" w:line="240" w:lineRule="auto"/>
        <w:rPr>
          <w:rFonts w:ascii="Times New Roman" w:hAnsi="Times New Roman"/>
          <w:szCs w:val="24"/>
        </w:rPr>
      </w:pPr>
      <w:r w:rsidRPr="00C368F0">
        <w:rPr>
          <w:rFonts w:ascii="Times New Roman" w:hAnsi="Times New Roman"/>
          <w:szCs w:val="24"/>
        </w:rPr>
        <w:t>Dragonieri, S.; Pennazza, G.; Carratu, P.; Resta, O., Electronic Nose Technology in Respiratory Diseases. Lung 2017, 195 (2), 157-165.</w:t>
      </w:r>
    </w:p>
    <w:p w14:paraId="2961C8A5" w14:textId="77777777" w:rsidR="00C368F0" w:rsidRPr="00C368F0" w:rsidRDefault="00C368F0" w:rsidP="00C368F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40" w:line="240" w:lineRule="auto"/>
        <w:rPr>
          <w:rFonts w:ascii="Times New Roman" w:hAnsi="Times New Roman"/>
          <w:szCs w:val="24"/>
        </w:rPr>
      </w:pPr>
      <w:r w:rsidRPr="00C368F0">
        <w:rPr>
          <w:rFonts w:ascii="Times New Roman" w:hAnsi="Times New Roman"/>
          <w:szCs w:val="24"/>
        </w:rPr>
        <w:t>Covington, J. A.; Marco, S.; Persaud, K. C.; Schiffman, S. S.; Nagle, H. T., Artificial Olfaction in the 21&lt;sup&gt;st&lt;/sup&gt; Century. IEEE Sensors Journal 2021, 21 (11), 12969-12990.</w:t>
      </w:r>
    </w:p>
    <w:p w14:paraId="275B2C32" w14:textId="77777777" w:rsidR="00C368F0" w:rsidRPr="00C368F0" w:rsidRDefault="00C368F0" w:rsidP="00C368F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40" w:line="240" w:lineRule="auto"/>
        <w:rPr>
          <w:rFonts w:ascii="Times New Roman" w:hAnsi="Times New Roman"/>
          <w:szCs w:val="24"/>
        </w:rPr>
      </w:pPr>
      <w:r w:rsidRPr="00C368F0">
        <w:rPr>
          <w:rFonts w:ascii="Times New Roman" w:hAnsi="Times New Roman"/>
          <w:szCs w:val="24"/>
        </w:rPr>
        <w:t>Fens, N.; van der Schee, M. P.; Brinkman, P.; Sterk, P. J., Exhaled breath analysis by electronic nose in airways disease. Established issues and key questions. Clinical &amp; Experimental Allergy 2013, 43 (7), 705-715.</w:t>
      </w:r>
    </w:p>
    <w:p w14:paraId="6FBB543A" w14:textId="77777777" w:rsidR="00C368F0" w:rsidRPr="00C368F0" w:rsidRDefault="00C368F0" w:rsidP="00C368F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40" w:line="240" w:lineRule="auto"/>
        <w:rPr>
          <w:rFonts w:ascii="Times New Roman" w:hAnsi="Times New Roman"/>
          <w:szCs w:val="24"/>
        </w:rPr>
      </w:pPr>
      <w:r w:rsidRPr="00C368F0">
        <w:rPr>
          <w:rFonts w:ascii="Times New Roman" w:hAnsi="Times New Roman"/>
          <w:szCs w:val="24"/>
        </w:rPr>
        <w:t>Turner, A. P. F.; Magan, N., Electronic noses and disease diagnostics. Nature Reviews Microbiology 2004, 2 (2), 161-166.</w:t>
      </w:r>
    </w:p>
    <w:p w14:paraId="009B1BA7" w14:textId="77777777" w:rsidR="00C368F0" w:rsidRPr="00C368F0" w:rsidRDefault="00C368F0" w:rsidP="00C368F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40" w:line="240" w:lineRule="auto"/>
        <w:rPr>
          <w:rFonts w:ascii="Times New Roman" w:hAnsi="Times New Roman"/>
          <w:szCs w:val="24"/>
        </w:rPr>
      </w:pPr>
      <w:r w:rsidRPr="00C368F0">
        <w:rPr>
          <w:rFonts w:ascii="Times New Roman" w:hAnsi="Times New Roman"/>
          <w:szCs w:val="24"/>
        </w:rPr>
        <w:t>Behera, B.; Joshi, R.; Anil Vishnu, G. K.; Bhalerao, S.; Pandya, H. J., Electronic nose: a non-invasive technology for breath analysis of diabetes and lung cancer patients. Journal of Breath Research 2019, 13 (2), 024001.</w:t>
      </w:r>
    </w:p>
    <w:p w14:paraId="59807C68" w14:textId="77777777" w:rsidR="00C368F0" w:rsidRPr="00C368F0" w:rsidRDefault="00C368F0" w:rsidP="00C368F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40" w:line="240" w:lineRule="auto"/>
        <w:rPr>
          <w:rFonts w:ascii="Times New Roman" w:hAnsi="Times New Roman"/>
          <w:szCs w:val="24"/>
        </w:rPr>
      </w:pPr>
      <w:r w:rsidRPr="00C368F0">
        <w:rPr>
          <w:rFonts w:ascii="Times New Roman" w:hAnsi="Times New Roman"/>
          <w:szCs w:val="24"/>
        </w:rPr>
        <w:t>Wilson, A. D., Advances in electronic-nose technologies for the detection of volatile biomarker metabolites in the human breath. Metabolites 2015, 5 (1), 140-63.</w:t>
      </w:r>
    </w:p>
    <w:p w14:paraId="3131781A" w14:textId="77777777" w:rsidR="00C368F0" w:rsidRPr="00C368F0" w:rsidRDefault="00C368F0" w:rsidP="00C368F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40" w:line="240" w:lineRule="auto"/>
        <w:rPr>
          <w:rFonts w:ascii="Times New Roman" w:hAnsi="Times New Roman"/>
          <w:szCs w:val="24"/>
        </w:rPr>
      </w:pPr>
      <w:r w:rsidRPr="00C368F0">
        <w:rPr>
          <w:rFonts w:ascii="Times New Roman" w:hAnsi="Times New Roman"/>
          <w:szCs w:val="24"/>
        </w:rPr>
        <w:t>Wintjens, A.; Hintzen, K. F. H.; Engelen, S. M. E.; Lubbers, T.; Savelkoul, P. H. M.; Wesseling, G.; van der Palen, J. A. M.; Bouvy, N. D., Applying the electronic nose for pre-operative SARS-CoV-2 screening. Surgical endoscopy 2021, 35 (12), 6671-6678.</w:t>
      </w:r>
    </w:p>
    <w:p w14:paraId="51D945FA" w14:textId="77777777" w:rsidR="00C368F0" w:rsidRPr="00C368F0" w:rsidRDefault="00C368F0" w:rsidP="00C368F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40" w:line="240" w:lineRule="auto"/>
        <w:rPr>
          <w:rFonts w:ascii="Times New Roman" w:hAnsi="Times New Roman"/>
          <w:szCs w:val="24"/>
        </w:rPr>
      </w:pPr>
      <w:r w:rsidRPr="00C368F0">
        <w:rPr>
          <w:rFonts w:ascii="Times New Roman" w:hAnsi="Times New Roman"/>
          <w:szCs w:val="24"/>
        </w:rPr>
        <w:t>Kurstjens, S.; García-Tardón, N.; Fokkert, M.; van Geffen, W. H.; Slingerland, R.; Van Der Palen, J.; Kusters, R., Identifying COVID-19-infected healthcare workers using an electronic ‘nose’. European Respiratory Journal 2021, 58 (suppl 65), PA3869.</w:t>
      </w:r>
    </w:p>
    <w:p w14:paraId="175E5B12" w14:textId="77777777" w:rsidR="00C368F0" w:rsidRPr="00C368F0" w:rsidRDefault="00C368F0" w:rsidP="00C368F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40" w:line="240" w:lineRule="auto"/>
        <w:rPr>
          <w:rFonts w:ascii="Times New Roman" w:hAnsi="Times New Roman"/>
          <w:szCs w:val="24"/>
        </w:rPr>
      </w:pPr>
      <w:r w:rsidRPr="00C368F0">
        <w:rPr>
          <w:rFonts w:ascii="Times New Roman" w:hAnsi="Times New Roman"/>
          <w:szCs w:val="24"/>
        </w:rPr>
        <w:t>Krauss, E.; Zoelitz, J.; Wagner, J.; Barretto, G.; Degen, M.; Seeger, W.; Guenther, A., The use of electronic nose technology for the detection of Lung Cancer (LC): analysis of exhaled volatile compounds by Aeonose®. European Respiratory Journal 2018, 52 (suppl 62), PA1758.</w:t>
      </w:r>
    </w:p>
    <w:p w14:paraId="19D86D73" w14:textId="77777777" w:rsidR="00C368F0" w:rsidRPr="00C368F0" w:rsidRDefault="00C368F0" w:rsidP="00C368F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40" w:line="240" w:lineRule="auto"/>
        <w:rPr>
          <w:rFonts w:ascii="Times New Roman" w:hAnsi="Times New Roman"/>
          <w:szCs w:val="24"/>
        </w:rPr>
      </w:pPr>
      <w:r w:rsidRPr="00C368F0">
        <w:rPr>
          <w:rFonts w:ascii="Times New Roman" w:hAnsi="Times New Roman"/>
          <w:szCs w:val="24"/>
        </w:rPr>
        <w:t>Guillot, J.M.; Beghi, S. (2008). Permeability to water vapour and hydrogen sulphide of some sampling bags recommended by EN 13725. 15.</w:t>
      </w:r>
    </w:p>
    <w:p w14:paraId="1EEB9930" w14:textId="77777777" w:rsidR="00C368F0" w:rsidRPr="00C368F0" w:rsidRDefault="00C368F0" w:rsidP="00C368F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40" w:line="240" w:lineRule="auto"/>
        <w:rPr>
          <w:rFonts w:ascii="Times New Roman" w:hAnsi="Times New Roman"/>
          <w:szCs w:val="24"/>
        </w:rPr>
      </w:pPr>
      <w:r w:rsidRPr="00C368F0">
        <w:rPr>
          <w:rFonts w:ascii="Times New Roman" w:hAnsi="Times New Roman"/>
          <w:szCs w:val="24"/>
        </w:rPr>
        <w:t>Capelli, L.; Bax, C.; Grizzi, F.; Taverna, G. Optimization of training and measurement protocol for eNose analysis of urine headspace aimed at prostate cancer diagnosis. Sci. Reports | 123AD, 11, 20898, doi:10.1038/s41598-021-</w:t>
      </w:r>
      <w:r w:rsidRPr="00C368F0">
        <w:rPr>
          <w:rFonts w:ascii="Times New Roman" w:hAnsi="Times New Roman"/>
          <w:szCs w:val="24"/>
        </w:rPr>
        <w:lastRenderedPageBreak/>
        <w:t>00033-y.</w:t>
      </w:r>
    </w:p>
    <w:p w14:paraId="4F609A0F" w14:textId="77777777" w:rsidR="00C368F0" w:rsidRPr="00C368F0" w:rsidRDefault="00C368F0" w:rsidP="00C368F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40" w:line="240" w:lineRule="auto"/>
        <w:rPr>
          <w:rFonts w:ascii="Times New Roman" w:hAnsi="Times New Roman"/>
          <w:szCs w:val="24"/>
        </w:rPr>
      </w:pPr>
      <w:r w:rsidRPr="00C368F0">
        <w:rPr>
          <w:rFonts w:ascii="Times New Roman" w:hAnsi="Times New Roman"/>
          <w:szCs w:val="24"/>
        </w:rPr>
        <w:t>Kursa, M.B.; Jankowski, A.; Rudnicki, W.R. Boruta - A system for feature selection. Fundam. Informaticae 2010, 101, doi:10.3233/FI-2010-288.</w:t>
      </w:r>
    </w:p>
    <w:p w14:paraId="48030033" w14:textId="77777777" w:rsidR="00C368F0" w:rsidRPr="00C368F0" w:rsidRDefault="00C368F0" w:rsidP="00C368F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40" w:line="240" w:lineRule="auto"/>
        <w:rPr>
          <w:rFonts w:ascii="Times New Roman" w:hAnsi="Times New Roman"/>
          <w:szCs w:val="24"/>
        </w:rPr>
      </w:pPr>
      <w:r w:rsidRPr="00C368F0">
        <w:rPr>
          <w:rFonts w:ascii="Times New Roman" w:hAnsi="Times New Roman"/>
          <w:szCs w:val="24"/>
        </w:rPr>
        <w:t>Kasemsap, K., Artificial Intelligence: Current Issues and Applications. In Handbook of Research on Manufacturing Process Modeling and Optimization Strategies, Das, R.; Pradhan, M., Eds. IGI Global: Hershey, PA, USA, 2017; pp 454-474.</w:t>
      </w:r>
    </w:p>
    <w:p w14:paraId="362B7AB2" w14:textId="77777777" w:rsidR="00C368F0" w:rsidRPr="00C368F0" w:rsidRDefault="00C368F0" w:rsidP="00C368F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40" w:line="240" w:lineRule="auto"/>
        <w:rPr>
          <w:rFonts w:ascii="Times New Roman" w:hAnsi="Times New Roman"/>
          <w:szCs w:val="24"/>
        </w:rPr>
      </w:pPr>
      <w:r w:rsidRPr="00C368F0">
        <w:rPr>
          <w:rFonts w:ascii="Times New Roman" w:hAnsi="Times New Roman"/>
          <w:szCs w:val="24"/>
        </w:rPr>
        <w:t>Fan, J.; Upadhye, S.; Worster, A., Understanding receiver operating characteristic (ROC) curves. Canadian Journal of Emergency Medicine 2006, 8 (1), 19-20.</w:t>
      </w:r>
    </w:p>
    <w:p w14:paraId="0E1BF961" w14:textId="24D05E3A" w:rsidR="000C360C" w:rsidRPr="000C360C" w:rsidRDefault="000C360C" w:rsidP="00C368F0">
      <w:pPr>
        <w:pStyle w:val="Paragrafoelenco"/>
        <w:widowControl w:val="0"/>
        <w:autoSpaceDE w:val="0"/>
        <w:autoSpaceDN w:val="0"/>
        <w:adjustRightInd w:val="0"/>
        <w:spacing w:after="140" w:line="240" w:lineRule="auto"/>
        <w:ind w:left="360"/>
        <w:rPr>
          <w:rFonts w:ascii="Times New Roman" w:hAnsi="Times New Roman"/>
          <w:szCs w:val="24"/>
        </w:rPr>
      </w:pPr>
    </w:p>
    <w:bookmarkEnd w:id="1"/>
    <w:sectPr w:rsidR="000C360C" w:rsidRPr="000C360C" w:rsidSect="001D0E0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7392A" w16cex:dateUtc="2022-03-24T17:38:00Z"/>
  <w16cex:commentExtensible w16cex:durableId="25E73FA2" w16cex:dateUtc="2022-03-24T18:06:00Z"/>
  <w16cex:commentExtensible w16cex:durableId="25E746A9" w16cex:dateUtc="2022-03-24T18:36:00Z"/>
  <w16cex:commentExtensible w16cex:durableId="25E747AF" w16cex:dateUtc="2022-03-24T18:40:00Z"/>
  <w16cex:commentExtensible w16cex:durableId="25DDDF18" w16cex:dateUtc="2022-03-17T15:23:00Z"/>
  <w16cex:commentExtensible w16cex:durableId="25DDDF72" w16cex:dateUtc="2022-03-17T15:25:00Z"/>
  <w16cex:commentExtensible w16cex:durableId="25E76CF0" w16cex:dateUtc="2022-03-24T21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78A3B" w14:textId="77777777" w:rsidR="0063000B" w:rsidRDefault="0063000B" w:rsidP="001D0E0C">
      <w:pPr>
        <w:spacing w:after="0" w:line="240" w:lineRule="auto"/>
      </w:pPr>
      <w:r>
        <w:separator/>
      </w:r>
    </w:p>
  </w:endnote>
  <w:endnote w:type="continuationSeparator" w:id="0">
    <w:p w14:paraId="53B28D7E" w14:textId="77777777" w:rsidR="0063000B" w:rsidRDefault="0063000B" w:rsidP="001D0E0C">
      <w:pPr>
        <w:spacing w:after="0" w:line="240" w:lineRule="auto"/>
      </w:pPr>
      <w:r>
        <w:continuationSeparator/>
      </w:r>
    </w:p>
  </w:endnote>
  <w:endnote w:type="continuationNotice" w:id="1">
    <w:p w14:paraId="69326BA2" w14:textId="77777777" w:rsidR="0063000B" w:rsidRDefault="006300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106ED" w14:textId="77777777" w:rsidR="003E0357" w:rsidRDefault="003E03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A7BB3" w14:textId="77777777" w:rsidR="003E0357" w:rsidRDefault="003E03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E1E2E" w14:textId="77777777" w:rsidR="003E0357" w:rsidRDefault="003E03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872DA" w14:textId="77777777" w:rsidR="0063000B" w:rsidRDefault="0063000B" w:rsidP="001D0E0C">
      <w:pPr>
        <w:spacing w:after="0" w:line="240" w:lineRule="auto"/>
      </w:pPr>
      <w:r>
        <w:separator/>
      </w:r>
    </w:p>
  </w:footnote>
  <w:footnote w:type="continuationSeparator" w:id="0">
    <w:p w14:paraId="465928A9" w14:textId="77777777" w:rsidR="0063000B" w:rsidRDefault="0063000B" w:rsidP="001D0E0C">
      <w:pPr>
        <w:spacing w:after="0" w:line="240" w:lineRule="auto"/>
      </w:pPr>
      <w:r>
        <w:continuationSeparator/>
      </w:r>
    </w:p>
  </w:footnote>
  <w:footnote w:type="continuationNotice" w:id="1">
    <w:p w14:paraId="0969CDA1" w14:textId="77777777" w:rsidR="0063000B" w:rsidRDefault="006300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83C54" w14:textId="77777777" w:rsidR="003E0357" w:rsidRDefault="003E03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624A1" w14:textId="77777777" w:rsidR="003E0357" w:rsidRPr="001B060D" w:rsidRDefault="003E0357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7EA6D" w14:textId="77777777" w:rsidR="003E0357" w:rsidRDefault="003E0357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  <w:lang w:val="en-GB" w:eastAsia="en-GB"/>
      </w:rPr>
      <w:drawing>
        <wp:anchor distT="0" distB="0" distL="114300" distR="114300" simplePos="0" relativeHeight="251658241" behindDoc="0" locked="0" layoutInCell="1" allowOverlap="1" wp14:anchorId="4FED4AAB" wp14:editId="5D56516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>
      <w:rPr>
        <w:b/>
        <w:i/>
        <w:color w:val="2E74B5" w:themeColor="accent5" w:themeShade="BF"/>
        <w:sz w:val="24"/>
        <w:szCs w:val="24"/>
      </w:rPr>
      <w:tab/>
    </w:r>
    <w:r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  <w:p w14:paraId="7CD91243" w14:textId="77777777" w:rsidR="003E0357" w:rsidRPr="005C2A12" w:rsidRDefault="003E0357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E9E9D29" w14:textId="77777777" w:rsidR="003E0357" w:rsidRDefault="003E0357" w:rsidP="001D0E0C">
    <w:pPr>
      <w:pStyle w:val="Intestazione"/>
      <w:jc w:val="center"/>
    </w:pPr>
    <w:r w:rsidRPr="005C2A12">
      <w:rPr>
        <w:noProof/>
        <w:color w:val="00B0F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7D7046" wp14:editId="0E490C71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3FF6AA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1F32743E"/>
    <w:multiLevelType w:val="hybridMultilevel"/>
    <w:tmpl w:val="87B0D3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277CF"/>
    <w:multiLevelType w:val="multilevel"/>
    <w:tmpl w:val="51C43C74"/>
    <w:lvl w:ilvl="0">
      <w:start w:val="1"/>
      <w:numFmt w:val="decimal"/>
      <w:lvlText w:val="%1."/>
      <w:lvlJc w:val="left"/>
      <w:pPr>
        <w:ind w:left="3753" w:hanging="360"/>
      </w:pPr>
    </w:lvl>
    <w:lvl w:ilvl="1">
      <w:start w:val="2"/>
      <w:numFmt w:val="decimal"/>
      <w:isLgl/>
      <w:lvlText w:val="%1.%2"/>
      <w:lvlJc w:val="left"/>
      <w:pPr>
        <w:ind w:left="3849" w:hanging="456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41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33" w:hanging="1440"/>
      </w:pPr>
      <w:rPr>
        <w:rFonts w:hint="default"/>
      </w:rPr>
    </w:lvl>
  </w:abstractNum>
  <w:abstractNum w:abstractNumId="3" w15:restartNumberingAfterBreak="0">
    <w:nsid w:val="5A5D5AFD"/>
    <w:multiLevelType w:val="multilevel"/>
    <w:tmpl w:val="DA9E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C66BAE"/>
    <w:multiLevelType w:val="hybridMultilevel"/>
    <w:tmpl w:val="9D36BFE6"/>
    <w:lvl w:ilvl="0" w:tplc="742EA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403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96C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86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A1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368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C3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23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9A9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A515A"/>
    <w:multiLevelType w:val="hybridMultilevel"/>
    <w:tmpl w:val="536CB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wNrc0MjextDQ1MTJT0lEKTi0uzszPAykwqgUAI1FWvC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C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pdftr0f0xppsfe2x03v0dz02x0zwwpd9erd&quot;&gt;BAX_def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4&lt;/item&gt;&lt;item&gt;15&lt;/item&gt;&lt;item&gt;16&lt;/item&gt;&lt;item&gt;20&lt;/item&gt;&lt;item&gt;21&lt;/item&gt;&lt;item&gt;22&lt;/item&gt;&lt;item&gt;23&lt;/item&gt;&lt;item&gt;24&lt;/item&gt;&lt;item&gt;25&lt;/item&gt;&lt;item&gt;26&lt;/item&gt;&lt;item&gt;27&lt;/item&gt;&lt;item&gt;28&lt;/item&gt;&lt;/record-ids&gt;&lt;/item&gt;&lt;/Libraries&gt;"/>
  </w:docVars>
  <w:rsids>
    <w:rsidRoot w:val="00DA51A3"/>
    <w:rsid w:val="000003B0"/>
    <w:rsid w:val="000011C9"/>
    <w:rsid w:val="00035F1A"/>
    <w:rsid w:val="000517B4"/>
    <w:rsid w:val="000570F8"/>
    <w:rsid w:val="0006212F"/>
    <w:rsid w:val="0006596A"/>
    <w:rsid w:val="000715F1"/>
    <w:rsid w:val="00084DBD"/>
    <w:rsid w:val="00096206"/>
    <w:rsid w:val="000A31E5"/>
    <w:rsid w:val="000B04CF"/>
    <w:rsid w:val="000B4EB2"/>
    <w:rsid w:val="000C360C"/>
    <w:rsid w:val="000D0F85"/>
    <w:rsid w:val="000D473D"/>
    <w:rsid w:val="00100D14"/>
    <w:rsid w:val="00121AA2"/>
    <w:rsid w:val="00133942"/>
    <w:rsid w:val="00151ADC"/>
    <w:rsid w:val="00153910"/>
    <w:rsid w:val="00163C8D"/>
    <w:rsid w:val="001672E7"/>
    <w:rsid w:val="00173854"/>
    <w:rsid w:val="00176295"/>
    <w:rsid w:val="0018667F"/>
    <w:rsid w:val="001B060D"/>
    <w:rsid w:val="001C7580"/>
    <w:rsid w:val="001D0E0C"/>
    <w:rsid w:val="001E0F28"/>
    <w:rsid w:val="001F6FDF"/>
    <w:rsid w:val="00204741"/>
    <w:rsid w:val="00211274"/>
    <w:rsid w:val="00222DD1"/>
    <w:rsid w:val="00224C15"/>
    <w:rsid w:val="00233989"/>
    <w:rsid w:val="002349B8"/>
    <w:rsid w:val="002373C2"/>
    <w:rsid w:val="00240F8D"/>
    <w:rsid w:val="00255308"/>
    <w:rsid w:val="002605BA"/>
    <w:rsid w:val="0027799E"/>
    <w:rsid w:val="00277E86"/>
    <w:rsid w:val="002A1FA7"/>
    <w:rsid w:val="002B7230"/>
    <w:rsid w:val="002C33EC"/>
    <w:rsid w:val="002C55C8"/>
    <w:rsid w:val="002E421C"/>
    <w:rsid w:val="003174CA"/>
    <w:rsid w:val="0032701D"/>
    <w:rsid w:val="00337F7D"/>
    <w:rsid w:val="00347AE4"/>
    <w:rsid w:val="0039103A"/>
    <w:rsid w:val="00391750"/>
    <w:rsid w:val="003B015B"/>
    <w:rsid w:val="003C4D32"/>
    <w:rsid w:val="003D5A05"/>
    <w:rsid w:val="003E0357"/>
    <w:rsid w:val="003E4EA2"/>
    <w:rsid w:val="003F160A"/>
    <w:rsid w:val="00402674"/>
    <w:rsid w:val="00425C3C"/>
    <w:rsid w:val="00447F6D"/>
    <w:rsid w:val="004601BF"/>
    <w:rsid w:val="00465AE3"/>
    <w:rsid w:val="00467469"/>
    <w:rsid w:val="00474C2F"/>
    <w:rsid w:val="0048180D"/>
    <w:rsid w:val="00490D1F"/>
    <w:rsid w:val="004954BC"/>
    <w:rsid w:val="004A5421"/>
    <w:rsid w:val="004B129D"/>
    <w:rsid w:val="004C56B4"/>
    <w:rsid w:val="004D09AF"/>
    <w:rsid w:val="005279F5"/>
    <w:rsid w:val="00540870"/>
    <w:rsid w:val="00540A83"/>
    <w:rsid w:val="00550C0B"/>
    <w:rsid w:val="00551201"/>
    <w:rsid w:val="00574A9D"/>
    <w:rsid w:val="00577F47"/>
    <w:rsid w:val="00595219"/>
    <w:rsid w:val="005A4AD4"/>
    <w:rsid w:val="005B1A7F"/>
    <w:rsid w:val="005B6645"/>
    <w:rsid w:val="005B71B2"/>
    <w:rsid w:val="005C2A12"/>
    <w:rsid w:val="005C45A2"/>
    <w:rsid w:val="0063000B"/>
    <w:rsid w:val="00632476"/>
    <w:rsid w:val="006514D5"/>
    <w:rsid w:val="00697CD6"/>
    <w:rsid w:val="006A6456"/>
    <w:rsid w:val="006B2815"/>
    <w:rsid w:val="006C4A13"/>
    <w:rsid w:val="006D268F"/>
    <w:rsid w:val="006E0E67"/>
    <w:rsid w:val="007074CF"/>
    <w:rsid w:val="00711DAD"/>
    <w:rsid w:val="007515D7"/>
    <w:rsid w:val="007524FF"/>
    <w:rsid w:val="00754B82"/>
    <w:rsid w:val="00757E5B"/>
    <w:rsid w:val="00763913"/>
    <w:rsid w:val="00785ABF"/>
    <w:rsid w:val="00785E40"/>
    <w:rsid w:val="007E5CD6"/>
    <w:rsid w:val="007F7D7C"/>
    <w:rsid w:val="008141FE"/>
    <w:rsid w:val="00817F91"/>
    <w:rsid w:val="00826081"/>
    <w:rsid w:val="00855472"/>
    <w:rsid w:val="0087089F"/>
    <w:rsid w:val="00873626"/>
    <w:rsid w:val="008871B1"/>
    <w:rsid w:val="008875EC"/>
    <w:rsid w:val="00895027"/>
    <w:rsid w:val="00897EE3"/>
    <w:rsid w:val="008B1E7F"/>
    <w:rsid w:val="008B48C5"/>
    <w:rsid w:val="008D1AAA"/>
    <w:rsid w:val="008D390E"/>
    <w:rsid w:val="008D50A6"/>
    <w:rsid w:val="008D5474"/>
    <w:rsid w:val="009426C7"/>
    <w:rsid w:val="0094470C"/>
    <w:rsid w:val="0094678F"/>
    <w:rsid w:val="009670B4"/>
    <w:rsid w:val="00970522"/>
    <w:rsid w:val="00983A37"/>
    <w:rsid w:val="00985F4B"/>
    <w:rsid w:val="009B4C9A"/>
    <w:rsid w:val="009C68B5"/>
    <w:rsid w:val="009D647C"/>
    <w:rsid w:val="009D7FB9"/>
    <w:rsid w:val="009E5FA4"/>
    <w:rsid w:val="009E7040"/>
    <w:rsid w:val="009F2920"/>
    <w:rsid w:val="009F3CEA"/>
    <w:rsid w:val="009F5280"/>
    <w:rsid w:val="00A06209"/>
    <w:rsid w:val="00A12034"/>
    <w:rsid w:val="00A3336B"/>
    <w:rsid w:val="00A354DD"/>
    <w:rsid w:val="00A4187B"/>
    <w:rsid w:val="00A72FC6"/>
    <w:rsid w:val="00A82686"/>
    <w:rsid w:val="00A85191"/>
    <w:rsid w:val="00AA1719"/>
    <w:rsid w:val="00AB1801"/>
    <w:rsid w:val="00AC12DD"/>
    <w:rsid w:val="00AD471D"/>
    <w:rsid w:val="00AD6821"/>
    <w:rsid w:val="00AE084D"/>
    <w:rsid w:val="00AF1791"/>
    <w:rsid w:val="00B1043F"/>
    <w:rsid w:val="00B32A19"/>
    <w:rsid w:val="00B41E5E"/>
    <w:rsid w:val="00B849D6"/>
    <w:rsid w:val="00B86E2B"/>
    <w:rsid w:val="00B92D41"/>
    <w:rsid w:val="00B94AAA"/>
    <w:rsid w:val="00B9692A"/>
    <w:rsid w:val="00BA6964"/>
    <w:rsid w:val="00BB406F"/>
    <w:rsid w:val="00BB5E4B"/>
    <w:rsid w:val="00BC09B9"/>
    <w:rsid w:val="00BC5FBC"/>
    <w:rsid w:val="00BE11A7"/>
    <w:rsid w:val="00BE2E07"/>
    <w:rsid w:val="00C00826"/>
    <w:rsid w:val="00C12A80"/>
    <w:rsid w:val="00C13C5E"/>
    <w:rsid w:val="00C229FE"/>
    <w:rsid w:val="00C22C19"/>
    <w:rsid w:val="00C34F27"/>
    <w:rsid w:val="00C3625E"/>
    <w:rsid w:val="00C368F0"/>
    <w:rsid w:val="00C40840"/>
    <w:rsid w:val="00C60456"/>
    <w:rsid w:val="00C76714"/>
    <w:rsid w:val="00C76EC9"/>
    <w:rsid w:val="00C92C4B"/>
    <w:rsid w:val="00CA0F1A"/>
    <w:rsid w:val="00CA3748"/>
    <w:rsid w:val="00CC4ADB"/>
    <w:rsid w:val="00CC61A6"/>
    <w:rsid w:val="00CC65C8"/>
    <w:rsid w:val="00CE15A0"/>
    <w:rsid w:val="00CE45E5"/>
    <w:rsid w:val="00CF1519"/>
    <w:rsid w:val="00D03DB3"/>
    <w:rsid w:val="00D150AC"/>
    <w:rsid w:val="00D305B2"/>
    <w:rsid w:val="00D3162D"/>
    <w:rsid w:val="00D322F1"/>
    <w:rsid w:val="00D412A9"/>
    <w:rsid w:val="00D607B5"/>
    <w:rsid w:val="00DA51A3"/>
    <w:rsid w:val="00DB4C5C"/>
    <w:rsid w:val="00DD2D8C"/>
    <w:rsid w:val="00DD3824"/>
    <w:rsid w:val="00DF57CE"/>
    <w:rsid w:val="00E005E2"/>
    <w:rsid w:val="00E30F24"/>
    <w:rsid w:val="00E43844"/>
    <w:rsid w:val="00E65854"/>
    <w:rsid w:val="00E667BD"/>
    <w:rsid w:val="00E71026"/>
    <w:rsid w:val="00E8246B"/>
    <w:rsid w:val="00E83A7C"/>
    <w:rsid w:val="00E87811"/>
    <w:rsid w:val="00EA1FB8"/>
    <w:rsid w:val="00EC04EF"/>
    <w:rsid w:val="00EE0062"/>
    <w:rsid w:val="00F0658B"/>
    <w:rsid w:val="00F06727"/>
    <w:rsid w:val="00F24290"/>
    <w:rsid w:val="00F35F8B"/>
    <w:rsid w:val="00F52CFD"/>
    <w:rsid w:val="00F64780"/>
    <w:rsid w:val="00F97B6C"/>
    <w:rsid w:val="00FB6E07"/>
    <w:rsid w:val="00F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FEBD81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15A0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paragraph" w:customStyle="1" w:styleId="MDPI31text">
    <w:name w:val="MDPI_3.1_text"/>
    <w:qFormat/>
    <w:rsid w:val="00084DB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styleId="Paragrafoelenco">
    <w:name w:val="List Paragraph"/>
    <w:basedOn w:val="Normale"/>
    <w:uiPriority w:val="34"/>
    <w:qFormat/>
    <w:rsid w:val="00084DBD"/>
    <w:pPr>
      <w:spacing w:after="0" w:line="260" w:lineRule="atLeast"/>
      <w:ind w:left="720"/>
      <w:contextualSpacing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table" w:styleId="Grigliatabella">
    <w:name w:val="Table Grid"/>
    <w:basedOn w:val="Tabellanormale"/>
    <w:uiPriority w:val="59"/>
    <w:rsid w:val="00826081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2textnoindent">
    <w:name w:val="MDPI_3.2_text_no_indent"/>
    <w:basedOn w:val="MDPI31text"/>
    <w:qFormat/>
    <w:rsid w:val="00826081"/>
    <w:pPr>
      <w:ind w:firstLine="0"/>
    </w:pPr>
  </w:style>
  <w:style w:type="paragraph" w:customStyle="1" w:styleId="MDPI41tablecaption">
    <w:name w:val="MDPI_4.1_table_caption"/>
    <w:qFormat/>
    <w:rsid w:val="00826081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sz w:val="18"/>
      <w:lang w:val="en-US" w:eastAsia="de-DE" w:bidi="en-US"/>
    </w:rPr>
  </w:style>
  <w:style w:type="paragraph" w:customStyle="1" w:styleId="MDPI22heading2">
    <w:name w:val="MDPI_2.2_heading2"/>
    <w:qFormat/>
    <w:rsid w:val="00826081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0D0F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D0F8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D0F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0F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0F85"/>
    <w:rPr>
      <w:b/>
      <w:bCs/>
      <w:sz w:val="20"/>
      <w:szCs w:val="20"/>
    </w:rPr>
  </w:style>
  <w:style w:type="paragraph" w:customStyle="1" w:styleId="MDPI51figurecaption">
    <w:name w:val="MDPI_5.1_figure_caption"/>
    <w:qFormat/>
    <w:rsid w:val="007515D7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table" w:customStyle="1" w:styleId="Mdeck5tablebodythreelines">
    <w:name w:val="M_deck_5_table_body_three_lines"/>
    <w:basedOn w:val="Tabellanormale"/>
    <w:uiPriority w:val="99"/>
    <w:rsid w:val="008141FE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5textbeforelist">
    <w:name w:val="MDPI_3.5_text_before_list"/>
    <w:qFormat/>
    <w:rsid w:val="006A6456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52figure">
    <w:name w:val="MDPI_5.2_figure"/>
    <w:qFormat/>
    <w:rsid w:val="006A6456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styleId="Revisione">
    <w:name w:val="Revision"/>
    <w:hidden/>
    <w:uiPriority w:val="99"/>
    <w:semiHidden/>
    <w:rsid w:val="002C55C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391750"/>
    <w:rPr>
      <w:color w:val="0000FF"/>
      <w:u w:val="single"/>
    </w:rPr>
  </w:style>
  <w:style w:type="paragraph" w:customStyle="1" w:styleId="EndNoteBibliographyTitle">
    <w:name w:val="EndNote Bibliography Title"/>
    <w:basedOn w:val="Normale"/>
    <w:link w:val="EndNoteBibliographyTitleCarattere"/>
    <w:rsid w:val="0063247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63247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e"/>
    <w:link w:val="EndNoteBibliographyCarattere"/>
    <w:rsid w:val="0063247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632476"/>
    <w:rPr>
      <w:rFonts w:ascii="Calibri" w:hAnsi="Calibri" w:cs="Calibri"/>
      <w:noProof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A6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tif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tiff"/><Relationship Id="rId22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779FE2BDCDDA4D94AE592305E7523B" ma:contentTypeVersion="14" ma:contentTypeDescription="Creare un nuovo documento." ma:contentTypeScope="" ma:versionID="fb06a2d28d94c281aaa974cfe4cf5f96">
  <xsd:schema xmlns:xsd="http://www.w3.org/2001/XMLSchema" xmlns:xs="http://www.w3.org/2001/XMLSchema" xmlns:p="http://schemas.microsoft.com/office/2006/metadata/properties" xmlns:ns3="c90a94e7-32fa-4b13-bd4a-7b95f743c4f4" xmlns:ns4="ffdebc79-3ad8-47a1-a38e-13174cbe2c6d" targetNamespace="http://schemas.microsoft.com/office/2006/metadata/properties" ma:root="true" ma:fieldsID="ff7a2c513ac0de102878208e2c06994d" ns3:_="" ns4:_="">
    <xsd:import namespace="c90a94e7-32fa-4b13-bd4a-7b95f743c4f4"/>
    <xsd:import namespace="ffdebc79-3ad8-47a1-a38e-13174cbe2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a94e7-32fa-4b13-bd4a-7b95f743c4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ebc79-3ad8-47a1-a38e-13174cbe2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3A794-B04E-40C4-9CE9-5F244AD19D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19630-B0C7-4D1D-9A3E-08CBF3AAB951}">
  <ds:schemaRefs>
    <ds:schemaRef ds:uri="ffdebc79-3ad8-47a1-a38e-13174cbe2c6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c90a94e7-32fa-4b13-bd4a-7b95f743c4f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120EAA-FD11-4F36-AA4C-625BC7499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a94e7-32fa-4b13-bd4a-7b95f743c4f4"/>
    <ds:schemaRef ds:uri="ffdebc79-3ad8-47a1-a38e-13174cbe2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EF454F-31C9-4B9B-A5CC-59666DE7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Carmen Bax</cp:lastModifiedBy>
  <cp:revision>4</cp:revision>
  <cp:lastPrinted>2022-01-31T11:56:00Z</cp:lastPrinted>
  <dcterms:created xsi:type="dcterms:W3CDTF">2022-03-28T08:33:00Z</dcterms:created>
  <dcterms:modified xsi:type="dcterms:W3CDTF">2022-03-28T09:01:00Z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0x01010061779FE2BDCDDA4D94AE592305E7523B</vt:lpwstr>
  </property>
</Properties>
</file>