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747D8" w14:textId="77777777" w:rsidR="00CA65AA" w:rsidRDefault="00CA65AA" w:rsidP="00DA51A3">
      <w:pPr>
        <w:snapToGrid w:val="0"/>
        <w:jc w:val="center"/>
        <w:rPr>
          <w:rFonts w:eastAsia="MS PGothic"/>
          <w:b/>
          <w:bCs/>
          <w:sz w:val="24"/>
          <w:szCs w:val="24"/>
          <w:lang w:val="en-US"/>
        </w:rPr>
      </w:pPr>
      <w:r>
        <w:rPr>
          <w:rFonts w:eastAsia="MS PGothic"/>
          <w:b/>
          <w:bCs/>
          <w:sz w:val="24"/>
          <w:szCs w:val="24"/>
          <w:lang w:val="en-US"/>
        </w:rPr>
        <w:t>O</w:t>
      </w:r>
      <w:r w:rsidR="005F42EB" w:rsidRPr="00CA65AA">
        <w:rPr>
          <w:rFonts w:eastAsia="MS PGothic"/>
          <w:b/>
          <w:bCs/>
          <w:sz w:val="24"/>
          <w:szCs w:val="24"/>
          <w:lang w:val="en-US"/>
        </w:rPr>
        <w:t xml:space="preserve">live </w:t>
      </w:r>
      <w:r>
        <w:rPr>
          <w:rFonts w:eastAsia="MS PGothic"/>
          <w:b/>
          <w:bCs/>
          <w:sz w:val="24"/>
          <w:szCs w:val="24"/>
          <w:lang w:val="en-US"/>
        </w:rPr>
        <w:t>M</w:t>
      </w:r>
      <w:r w:rsidR="005F42EB" w:rsidRPr="00CA65AA">
        <w:rPr>
          <w:rFonts w:eastAsia="MS PGothic"/>
          <w:b/>
          <w:bCs/>
          <w:sz w:val="24"/>
          <w:szCs w:val="24"/>
          <w:lang w:val="en-US"/>
        </w:rPr>
        <w:t xml:space="preserve">ill </w:t>
      </w:r>
      <w:r>
        <w:rPr>
          <w:rFonts w:eastAsia="MS PGothic"/>
          <w:b/>
          <w:bCs/>
          <w:sz w:val="24"/>
          <w:szCs w:val="24"/>
          <w:lang w:val="en-US"/>
        </w:rPr>
        <w:t>W</w:t>
      </w:r>
      <w:r w:rsidR="005F42EB" w:rsidRPr="00CA65AA">
        <w:rPr>
          <w:rFonts w:eastAsia="MS PGothic"/>
          <w:b/>
          <w:bCs/>
          <w:sz w:val="24"/>
          <w:szCs w:val="24"/>
          <w:lang w:val="en-US"/>
        </w:rPr>
        <w:t xml:space="preserve">astewater </w:t>
      </w:r>
      <w:r w:rsidRPr="00CA65AA">
        <w:rPr>
          <w:rFonts w:eastAsia="MS PGothic"/>
          <w:b/>
          <w:bCs/>
          <w:sz w:val="24"/>
          <w:szCs w:val="24"/>
          <w:lang w:val="en-US"/>
        </w:rPr>
        <w:t xml:space="preserve">treatment by a </w:t>
      </w:r>
      <w:proofErr w:type="gramStart"/>
      <w:r w:rsidRPr="00CA65AA">
        <w:rPr>
          <w:rFonts w:eastAsia="MS PGothic"/>
          <w:b/>
          <w:bCs/>
          <w:sz w:val="24"/>
          <w:szCs w:val="24"/>
          <w:lang w:val="en-US"/>
        </w:rPr>
        <w:t>continuous-flow</w:t>
      </w:r>
      <w:proofErr w:type="gramEnd"/>
      <w:r w:rsidRPr="00CA65AA">
        <w:rPr>
          <w:rFonts w:eastAsia="MS PGothic"/>
          <w:b/>
          <w:bCs/>
          <w:sz w:val="24"/>
          <w:szCs w:val="24"/>
          <w:lang w:val="en-US"/>
        </w:rPr>
        <w:t xml:space="preserve"> </w:t>
      </w:r>
    </w:p>
    <w:p w14:paraId="282CE7BE" w14:textId="1F1CBCA1" w:rsidR="00DA51A3" w:rsidRPr="00CA65AA" w:rsidRDefault="00CA65AA" w:rsidP="00DA51A3">
      <w:pPr>
        <w:snapToGrid w:val="0"/>
        <w:jc w:val="center"/>
        <w:rPr>
          <w:rFonts w:eastAsia="MS PGothic"/>
          <w:b/>
          <w:bCs/>
          <w:sz w:val="24"/>
          <w:szCs w:val="24"/>
          <w:lang w:val="en-US"/>
        </w:rPr>
      </w:pPr>
      <w:r w:rsidRPr="00CA65AA">
        <w:rPr>
          <w:rFonts w:eastAsia="MS PGothic"/>
          <w:b/>
          <w:bCs/>
          <w:sz w:val="24"/>
          <w:szCs w:val="24"/>
          <w:lang w:val="en-US"/>
        </w:rPr>
        <w:t xml:space="preserve">anaerobic co-digestion process </w:t>
      </w:r>
      <w:r w:rsidR="0046604B" w:rsidRPr="00CA65AA">
        <w:rPr>
          <w:rFonts w:eastAsia="MS PGothic"/>
          <w:b/>
          <w:bCs/>
          <w:sz w:val="24"/>
          <w:szCs w:val="24"/>
          <w:lang w:val="en-US"/>
        </w:rPr>
        <w:t>with municipal</w:t>
      </w:r>
      <w:r w:rsidR="005F42EB" w:rsidRPr="00CA65AA">
        <w:rPr>
          <w:rFonts w:eastAsia="MS PGothic"/>
          <w:b/>
          <w:bCs/>
          <w:sz w:val="24"/>
          <w:szCs w:val="24"/>
          <w:lang w:val="en-US"/>
        </w:rPr>
        <w:t xml:space="preserve"> sewage sludge</w:t>
      </w:r>
    </w:p>
    <w:p w14:paraId="5700652E" w14:textId="77777777" w:rsidR="00CA65AA" w:rsidRPr="00CA65AA" w:rsidRDefault="00CA65AA" w:rsidP="00DA51A3">
      <w:pPr>
        <w:snapToGrid w:val="0"/>
        <w:jc w:val="center"/>
        <w:rPr>
          <w:rFonts w:eastAsia="MS PGothic"/>
          <w:b/>
          <w:bCs/>
          <w:sz w:val="24"/>
          <w:szCs w:val="24"/>
          <w:lang w:val="en-US" w:eastAsia="ko-KR"/>
        </w:rPr>
      </w:pPr>
    </w:p>
    <w:p w14:paraId="243AAF34" w14:textId="6978B951" w:rsidR="00DA51A3" w:rsidRPr="00CA65AA" w:rsidRDefault="00B10813" w:rsidP="00DA51A3">
      <w:pPr>
        <w:snapToGrid w:val="0"/>
        <w:jc w:val="center"/>
        <w:rPr>
          <w:rFonts w:eastAsia="MS PGothic"/>
          <w:sz w:val="24"/>
          <w:szCs w:val="24"/>
        </w:rPr>
      </w:pPr>
      <w:r w:rsidRPr="00CA65AA">
        <w:rPr>
          <w:rFonts w:eastAsia="SimSun"/>
          <w:sz w:val="24"/>
          <w:szCs w:val="24"/>
          <w:u w:val="single"/>
          <w:lang w:eastAsia="zh-CN"/>
        </w:rPr>
        <w:t>Davide Pinelli</w:t>
      </w:r>
      <w:r>
        <w:rPr>
          <w:rFonts w:eastAsia="SimSun"/>
          <w:sz w:val="24"/>
          <w:szCs w:val="24"/>
          <w:vertAlign w:val="superscript"/>
          <w:lang w:eastAsia="zh-CN"/>
        </w:rPr>
        <w:t>1</w:t>
      </w:r>
      <w:r w:rsidRPr="00CA65AA">
        <w:rPr>
          <w:rFonts w:eastAsia="SimSun"/>
          <w:sz w:val="24"/>
          <w:szCs w:val="24"/>
          <w:lang w:eastAsia="zh-CN"/>
        </w:rPr>
        <w:t>*</w:t>
      </w:r>
      <w:r>
        <w:rPr>
          <w:rFonts w:eastAsia="SimSun"/>
          <w:sz w:val="24"/>
          <w:szCs w:val="24"/>
          <w:lang w:eastAsia="zh-CN"/>
        </w:rPr>
        <w:t xml:space="preserve">, </w:t>
      </w:r>
      <w:r w:rsidR="00CA65AA" w:rsidRPr="00CA65AA">
        <w:rPr>
          <w:rFonts w:eastAsia="SimSun"/>
          <w:sz w:val="24"/>
          <w:szCs w:val="24"/>
          <w:lang w:eastAsia="zh-CN"/>
        </w:rPr>
        <w:t>Dario Frascari</w:t>
      </w:r>
      <w:r w:rsidR="00CA65AA" w:rsidRPr="00CA65AA">
        <w:rPr>
          <w:rFonts w:eastAsia="SimSun"/>
          <w:sz w:val="24"/>
          <w:szCs w:val="24"/>
          <w:vertAlign w:val="superscript"/>
          <w:lang w:eastAsia="zh-CN"/>
        </w:rPr>
        <w:t>1</w:t>
      </w:r>
      <w:r w:rsidR="00CA65AA" w:rsidRPr="00CA65AA">
        <w:rPr>
          <w:rFonts w:eastAsia="SimSun"/>
          <w:sz w:val="24"/>
          <w:szCs w:val="24"/>
          <w:lang w:eastAsia="zh-CN"/>
        </w:rPr>
        <w:t>, Alessandro Ragini</w:t>
      </w:r>
      <w:r w:rsidR="00CA65AA" w:rsidRPr="00CA65AA">
        <w:rPr>
          <w:rFonts w:eastAsia="SimSun"/>
          <w:sz w:val="24"/>
          <w:szCs w:val="24"/>
          <w:vertAlign w:val="superscript"/>
          <w:lang w:eastAsia="zh-CN"/>
        </w:rPr>
        <w:t>1</w:t>
      </w:r>
      <w:r w:rsidR="00CA65AA">
        <w:rPr>
          <w:rFonts w:eastAsia="SimSun"/>
          <w:sz w:val="24"/>
          <w:szCs w:val="24"/>
          <w:lang w:eastAsia="zh-CN"/>
        </w:rPr>
        <w:t>, Francesco Avolio</w:t>
      </w:r>
      <w:r w:rsidR="00CA65AA">
        <w:rPr>
          <w:rFonts w:eastAsia="SimSun"/>
          <w:sz w:val="24"/>
          <w:szCs w:val="24"/>
          <w:vertAlign w:val="superscript"/>
          <w:lang w:eastAsia="zh-CN"/>
        </w:rPr>
        <w:t>2</w:t>
      </w:r>
      <w:r w:rsidR="00CA65AA">
        <w:rPr>
          <w:rFonts w:eastAsia="SimSun"/>
          <w:sz w:val="24"/>
          <w:szCs w:val="24"/>
          <w:lang w:eastAsia="zh-CN"/>
        </w:rPr>
        <w:t xml:space="preserve">, </w:t>
      </w:r>
      <w:proofErr w:type="spellStart"/>
      <w:r w:rsidR="00CA65AA">
        <w:rPr>
          <w:rFonts w:eastAsia="SimSun"/>
          <w:sz w:val="24"/>
          <w:szCs w:val="24"/>
          <w:lang w:eastAsia="zh-CN"/>
        </w:rPr>
        <w:t>GianNicola</w:t>
      </w:r>
      <w:proofErr w:type="spellEnd"/>
      <w:r w:rsidR="00CA65AA">
        <w:rPr>
          <w:rFonts w:eastAsia="SimSun"/>
          <w:sz w:val="24"/>
          <w:szCs w:val="24"/>
          <w:lang w:eastAsia="zh-CN"/>
        </w:rPr>
        <w:t xml:space="preserve"> Scarcella</w:t>
      </w:r>
      <w:r w:rsidR="00CA65AA">
        <w:rPr>
          <w:rFonts w:eastAsia="SimSun"/>
          <w:sz w:val="24"/>
          <w:szCs w:val="24"/>
          <w:vertAlign w:val="superscript"/>
          <w:lang w:eastAsia="zh-CN"/>
        </w:rPr>
        <w:t>2</w:t>
      </w:r>
      <w:r w:rsidR="00CA65AA">
        <w:rPr>
          <w:rFonts w:eastAsia="SimSun"/>
          <w:sz w:val="24"/>
          <w:szCs w:val="24"/>
          <w:lang w:eastAsia="zh-CN"/>
        </w:rPr>
        <w:t>,</w:t>
      </w:r>
      <w:r w:rsidR="00DA51A3" w:rsidRPr="00CA65AA">
        <w:rPr>
          <w:rFonts w:eastAsia="SimSun"/>
          <w:sz w:val="24"/>
          <w:szCs w:val="24"/>
          <w:lang w:eastAsia="zh-CN"/>
        </w:rPr>
        <w:t xml:space="preserve"> </w:t>
      </w:r>
      <w:r w:rsidRPr="00CA65AA">
        <w:rPr>
          <w:rFonts w:eastAsia="SimSun"/>
          <w:sz w:val="24"/>
          <w:szCs w:val="24"/>
          <w:lang w:eastAsia="zh-CN"/>
        </w:rPr>
        <w:t>Sara Bovina</w:t>
      </w:r>
      <w:r w:rsidRPr="00CA65AA">
        <w:rPr>
          <w:rFonts w:eastAsia="SimSun"/>
          <w:sz w:val="24"/>
          <w:szCs w:val="24"/>
          <w:vertAlign w:val="superscript"/>
          <w:lang w:eastAsia="zh-CN"/>
        </w:rPr>
        <w:t>1</w:t>
      </w:r>
    </w:p>
    <w:p w14:paraId="5A117753" w14:textId="77777777" w:rsidR="00CA65AA" w:rsidRPr="00AA3AF3" w:rsidRDefault="00DA51A3" w:rsidP="00DA51A3">
      <w:pPr>
        <w:snapToGrid w:val="0"/>
        <w:jc w:val="center"/>
        <w:rPr>
          <w:rFonts w:eastAsia="MS PGothic"/>
          <w:i/>
          <w:iCs/>
          <w:sz w:val="20"/>
          <w:lang w:val="en-US"/>
        </w:rPr>
      </w:pPr>
      <w:r w:rsidRPr="00AA3AF3">
        <w:rPr>
          <w:rFonts w:eastAsia="MS PGothic"/>
          <w:i/>
          <w:iCs/>
          <w:sz w:val="20"/>
          <w:lang w:val="en-US"/>
        </w:rPr>
        <w:t xml:space="preserve">1 </w:t>
      </w:r>
      <w:r w:rsidR="00CA65AA" w:rsidRPr="00AA3AF3">
        <w:rPr>
          <w:rFonts w:eastAsia="MS PGothic"/>
          <w:i/>
          <w:iCs/>
          <w:sz w:val="20"/>
          <w:lang w:val="en-US"/>
        </w:rPr>
        <w:t xml:space="preserve">Department of Civil, Chemical, Environmental and Materials Engineering, University of Bologna, via </w:t>
      </w:r>
      <w:proofErr w:type="spellStart"/>
      <w:r w:rsidR="00CA65AA" w:rsidRPr="00AA3AF3">
        <w:rPr>
          <w:rFonts w:eastAsia="MS PGothic"/>
          <w:i/>
          <w:iCs/>
          <w:sz w:val="20"/>
          <w:lang w:val="en-US"/>
        </w:rPr>
        <w:t>Terracini</w:t>
      </w:r>
      <w:proofErr w:type="spellEnd"/>
      <w:r w:rsidR="00CA65AA" w:rsidRPr="00AA3AF3">
        <w:rPr>
          <w:rFonts w:eastAsia="MS PGothic"/>
          <w:i/>
          <w:iCs/>
          <w:sz w:val="20"/>
          <w:lang w:val="en-US"/>
        </w:rPr>
        <w:t xml:space="preserve"> 28, 40131 Bologna, </w:t>
      </w:r>
      <w:proofErr w:type="gramStart"/>
      <w:r w:rsidR="00CA65AA" w:rsidRPr="00AA3AF3">
        <w:rPr>
          <w:rFonts w:eastAsia="MS PGothic"/>
          <w:i/>
          <w:iCs/>
          <w:sz w:val="20"/>
          <w:lang w:val="en-US"/>
        </w:rPr>
        <w:t>Italy</w:t>
      </w:r>
      <w:r w:rsidRPr="00AA3AF3">
        <w:rPr>
          <w:rFonts w:eastAsia="MS PGothic"/>
          <w:i/>
          <w:iCs/>
          <w:sz w:val="20"/>
          <w:lang w:val="en-US"/>
        </w:rPr>
        <w:t>;</w:t>
      </w:r>
      <w:proofErr w:type="gramEnd"/>
      <w:r w:rsidRPr="00AA3AF3">
        <w:rPr>
          <w:rFonts w:eastAsia="MS PGothic"/>
          <w:i/>
          <w:iCs/>
          <w:sz w:val="20"/>
          <w:lang w:val="en-US"/>
        </w:rPr>
        <w:t xml:space="preserve"> </w:t>
      </w:r>
    </w:p>
    <w:p w14:paraId="7A602332" w14:textId="67B9B2E9" w:rsidR="00DA51A3" w:rsidRPr="00CA65AA" w:rsidRDefault="00DA51A3" w:rsidP="00DA51A3">
      <w:pPr>
        <w:snapToGrid w:val="0"/>
        <w:jc w:val="center"/>
        <w:rPr>
          <w:rFonts w:eastAsia="MS PGothic"/>
          <w:i/>
          <w:iCs/>
          <w:sz w:val="20"/>
        </w:rPr>
      </w:pPr>
      <w:r w:rsidRPr="00CA65AA">
        <w:rPr>
          <w:rFonts w:eastAsia="MS PGothic"/>
          <w:i/>
          <w:iCs/>
          <w:sz w:val="20"/>
        </w:rPr>
        <w:t xml:space="preserve">2 </w:t>
      </w:r>
      <w:r w:rsidR="00CA65AA" w:rsidRPr="00CA65AA">
        <w:rPr>
          <w:rFonts w:eastAsia="MS PGothic"/>
          <w:i/>
          <w:iCs/>
          <w:sz w:val="20"/>
        </w:rPr>
        <w:t xml:space="preserve">Hera Spa – Water </w:t>
      </w:r>
      <w:proofErr w:type="spellStart"/>
      <w:r w:rsidR="00CA65AA" w:rsidRPr="00CA65AA">
        <w:rPr>
          <w:rFonts w:eastAsia="MS PGothic"/>
          <w:i/>
          <w:iCs/>
          <w:sz w:val="20"/>
        </w:rPr>
        <w:t>Division</w:t>
      </w:r>
      <w:proofErr w:type="spellEnd"/>
      <w:r w:rsidR="00CA65AA" w:rsidRPr="00CA65AA">
        <w:rPr>
          <w:rFonts w:eastAsia="MS PGothic"/>
          <w:i/>
          <w:iCs/>
          <w:sz w:val="20"/>
        </w:rPr>
        <w:t xml:space="preserve">, Via Cristina Campo 15, 40128 Bologna, </w:t>
      </w:r>
      <w:proofErr w:type="spellStart"/>
      <w:r w:rsidR="00CA65AA" w:rsidRPr="00CA65AA">
        <w:rPr>
          <w:rFonts w:eastAsia="MS PGothic"/>
          <w:i/>
          <w:iCs/>
          <w:sz w:val="20"/>
        </w:rPr>
        <w:t>Italy</w:t>
      </w:r>
      <w:proofErr w:type="spellEnd"/>
    </w:p>
    <w:p w14:paraId="5533360A" w14:textId="6A90DEB4" w:rsidR="00DA51A3" w:rsidRPr="00466FFD" w:rsidRDefault="00DA51A3" w:rsidP="00DA51A3">
      <w:pPr>
        <w:snapToGrid w:val="0"/>
        <w:jc w:val="center"/>
        <w:rPr>
          <w:rFonts w:eastAsia="MS PGothic"/>
          <w:bCs/>
          <w:i/>
          <w:iCs/>
          <w:sz w:val="20"/>
          <w:lang w:val="en-US"/>
        </w:rPr>
      </w:pPr>
      <w:r w:rsidRPr="00466FFD">
        <w:rPr>
          <w:rFonts w:eastAsia="MS PGothic"/>
          <w:bCs/>
          <w:i/>
          <w:iCs/>
          <w:sz w:val="20"/>
          <w:lang w:val="en-US"/>
        </w:rPr>
        <w:t>*Corresponding author</w:t>
      </w:r>
      <w:r w:rsidRPr="00466FFD">
        <w:rPr>
          <w:rFonts w:eastAsia="MS PGothic"/>
          <w:bCs/>
          <w:i/>
          <w:iCs/>
          <w:sz w:val="20"/>
          <w:lang w:val="en-US" w:eastAsia="ko-KR"/>
        </w:rPr>
        <w:t xml:space="preserve"> E-Mail: </w:t>
      </w:r>
      <w:r w:rsidRPr="00466FFD">
        <w:rPr>
          <w:rFonts w:eastAsia="MS PGothic"/>
          <w:bCs/>
          <w:i/>
          <w:iCs/>
          <w:sz w:val="20"/>
          <w:lang w:val="en-US"/>
        </w:rPr>
        <w:t xml:space="preserve"> </w:t>
      </w:r>
      <w:r w:rsidR="00CA65AA">
        <w:rPr>
          <w:rFonts w:eastAsia="MS PGothic"/>
          <w:bCs/>
          <w:i/>
          <w:iCs/>
          <w:sz w:val="20"/>
          <w:lang w:val="en-US"/>
        </w:rPr>
        <w:t>davide.pinelli@unibo.it</w:t>
      </w:r>
    </w:p>
    <w:p w14:paraId="28AD07A8" w14:textId="77777777" w:rsidR="00DA51A3" w:rsidRPr="00466FFD" w:rsidRDefault="00DA51A3" w:rsidP="00DA51A3">
      <w:pPr>
        <w:snapToGrid w:val="0"/>
        <w:jc w:val="center"/>
        <w:rPr>
          <w:rFonts w:eastAsia="SimSun"/>
          <w:bCs/>
          <w:i/>
          <w:iCs/>
          <w:sz w:val="20"/>
          <w:lang w:val="en-US" w:eastAsia="zh-CN"/>
        </w:rPr>
      </w:pPr>
    </w:p>
    <w:p w14:paraId="110B92B3" w14:textId="474E69C8" w:rsidR="00DA51A3" w:rsidRDefault="00DA51A3" w:rsidP="00DA51A3">
      <w:pPr>
        <w:snapToGrid w:val="0"/>
        <w:spacing w:line="300" w:lineRule="auto"/>
        <w:rPr>
          <w:rFonts w:eastAsia="MS PGothic"/>
          <w:b/>
          <w:bCs/>
          <w:lang w:val="en-US"/>
        </w:rPr>
      </w:pPr>
      <w:r w:rsidRPr="00466FFD">
        <w:rPr>
          <w:rFonts w:eastAsia="MS PGothic"/>
          <w:b/>
          <w:bCs/>
          <w:lang w:val="en-US"/>
        </w:rPr>
        <w:t>1.</w:t>
      </w:r>
      <w:r w:rsidR="003F160A">
        <w:rPr>
          <w:rFonts w:eastAsia="MS PGothic"/>
          <w:b/>
          <w:bCs/>
          <w:lang w:val="en-US"/>
        </w:rPr>
        <w:t>Introduction</w:t>
      </w:r>
    </w:p>
    <w:p w14:paraId="47F7F7FD" w14:textId="10237797" w:rsidR="00FA7832" w:rsidRPr="00544808" w:rsidRDefault="00287505" w:rsidP="00FA7832">
      <w:pPr>
        <w:snapToGrid w:val="0"/>
        <w:spacing w:before="240" w:line="300" w:lineRule="auto"/>
        <w:jc w:val="both"/>
        <w:rPr>
          <w:rFonts w:cs="Times New Roman"/>
          <w:color w:val="FF0000"/>
          <w:lang w:val="en-GB"/>
        </w:rPr>
      </w:pPr>
      <w:r w:rsidRPr="00287505">
        <w:rPr>
          <w:rFonts w:cs="Times New Roman"/>
          <w:lang w:val="en-GB"/>
        </w:rPr>
        <w:t xml:space="preserve">The disposal of </w:t>
      </w:r>
      <w:r w:rsidR="00680A17">
        <w:rPr>
          <w:rFonts w:cs="Times New Roman"/>
          <w:lang w:val="en-GB"/>
        </w:rPr>
        <w:t>o</w:t>
      </w:r>
      <w:r w:rsidR="00C75214" w:rsidRPr="00287505">
        <w:rPr>
          <w:rFonts w:cs="Times New Roman"/>
          <w:lang w:val="en-GB"/>
        </w:rPr>
        <w:t>live mill wastewater (OMW) represent</w:t>
      </w:r>
      <w:r w:rsidRPr="00287505">
        <w:rPr>
          <w:rFonts w:cs="Times New Roman"/>
          <w:lang w:val="en-GB"/>
        </w:rPr>
        <w:t>s</w:t>
      </w:r>
      <w:r w:rsidR="00C75214" w:rsidRPr="00287505">
        <w:rPr>
          <w:rFonts w:cs="Times New Roman"/>
          <w:lang w:val="en-GB"/>
        </w:rPr>
        <w:t xml:space="preserve"> a</w:t>
      </w:r>
      <w:r w:rsidRPr="00287505">
        <w:rPr>
          <w:rFonts w:cs="Times New Roman"/>
          <w:lang w:val="en-GB"/>
        </w:rPr>
        <w:t xml:space="preserve"> significant </w:t>
      </w:r>
      <w:r w:rsidR="00C75214" w:rsidRPr="00287505">
        <w:rPr>
          <w:rFonts w:cs="Times New Roman"/>
          <w:lang w:val="en-GB"/>
        </w:rPr>
        <w:t xml:space="preserve">environmental problem due to </w:t>
      </w:r>
      <w:r w:rsidRPr="00287505">
        <w:rPr>
          <w:rFonts w:cs="Times New Roman"/>
          <w:lang w:val="en-GB"/>
        </w:rPr>
        <w:t xml:space="preserve">the </w:t>
      </w:r>
      <w:r w:rsidR="00C75214" w:rsidRPr="00287505">
        <w:rPr>
          <w:rFonts w:cs="Times New Roman"/>
          <w:lang w:val="en-GB"/>
        </w:rPr>
        <w:t>high organic load</w:t>
      </w:r>
      <w:r w:rsidRPr="00287505">
        <w:rPr>
          <w:rFonts w:cs="Times New Roman"/>
          <w:lang w:val="en-GB"/>
        </w:rPr>
        <w:t xml:space="preserve">, the presence </w:t>
      </w:r>
      <w:r w:rsidR="00C75214" w:rsidRPr="00287505">
        <w:rPr>
          <w:rFonts w:cs="Times New Roman"/>
          <w:lang w:val="en-GB"/>
        </w:rPr>
        <w:t>of phenolic compounds</w:t>
      </w:r>
      <w:r w:rsidRPr="00287505">
        <w:rPr>
          <w:rFonts w:cs="Times New Roman"/>
          <w:lang w:val="en-GB"/>
        </w:rPr>
        <w:t xml:space="preserve"> </w:t>
      </w:r>
      <w:r w:rsidR="00F809DD">
        <w:rPr>
          <w:rFonts w:cs="Times New Roman"/>
          <w:lang w:val="en-GB"/>
        </w:rPr>
        <w:t>(PCs)</w:t>
      </w:r>
      <w:r w:rsidR="0046604B">
        <w:rPr>
          <w:rFonts w:cs="Times New Roman"/>
          <w:lang w:val="en-GB"/>
        </w:rPr>
        <w:t>,</w:t>
      </w:r>
      <w:r w:rsidR="00F809DD">
        <w:rPr>
          <w:rFonts w:cs="Times New Roman"/>
          <w:lang w:val="en-GB"/>
        </w:rPr>
        <w:t xml:space="preserve"> </w:t>
      </w:r>
      <w:r w:rsidRPr="00287505">
        <w:rPr>
          <w:rFonts w:cs="Times New Roman"/>
          <w:lang w:val="en-GB"/>
        </w:rPr>
        <w:t xml:space="preserve">which are </w:t>
      </w:r>
      <w:r w:rsidR="00680A17">
        <w:rPr>
          <w:rFonts w:cs="Times New Roman"/>
          <w:lang w:val="en-GB"/>
        </w:rPr>
        <w:t xml:space="preserve">harmful for </w:t>
      </w:r>
      <w:r w:rsidRPr="00C75214">
        <w:rPr>
          <w:rFonts w:cs="Times New Roman"/>
          <w:lang w:val="en-GB"/>
        </w:rPr>
        <w:t>plant</w:t>
      </w:r>
      <w:r w:rsidR="00680A17">
        <w:rPr>
          <w:rFonts w:cs="Times New Roman"/>
          <w:lang w:val="en-GB"/>
        </w:rPr>
        <w:t xml:space="preserve">s, </w:t>
      </w:r>
      <w:r w:rsidRPr="00C75214">
        <w:rPr>
          <w:rFonts w:cs="Times New Roman"/>
          <w:lang w:val="en-GB"/>
        </w:rPr>
        <w:t xml:space="preserve">soil and water microbial </w:t>
      </w:r>
      <w:r w:rsidRPr="00DD6703">
        <w:rPr>
          <w:rFonts w:cs="Times New Roman"/>
          <w:lang w:val="en-GB"/>
        </w:rPr>
        <w:t>population, and the very unpleasant smell</w:t>
      </w:r>
      <w:r w:rsidR="00336555" w:rsidRPr="00DD6703">
        <w:rPr>
          <w:rFonts w:cs="Times New Roman"/>
          <w:lang w:val="en-GB"/>
        </w:rPr>
        <w:t xml:space="preserve"> [1, 2]</w:t>
      </w:r>
      <w:r w:rsidR="00C75214" w:rsidRPr="00DD6703">
        <w:rPr>
          <w:rFonts w:cs="Times New Roman"/>
          <w:lang w:val="en-GB"/>
        </w:rPr>
        <w:t xml:space="preserve">. </w:t>
      </w:r>
      <w:r w:rsidR="00F809DD" w:rsidRPr="00DD6703">
        <w:rPr>
          <w:rFonts w:cs="Times New Roman"/>
          <w:lang w:val="en-GB"/>
        </w:rPr>
        <w:t xml:space="preserve">The treatment of </w:t>
      </w:r>
      <w:r w:rsidR="00F02B47" w:rsidRPr="00DD6703">
        <w:rPr>
          <w:rFonts w:cs="Times New Roman"/>
          <w:lang w:val="en-GB"/>
        </w:rPr>
        <w:t xml:space="preserve">OMW </w:t>
      </w:r>
      <w:r w:rsidR="00C75214" w:rsidRPr="00DD6703">
        <w:rPr>
          <w:rFonts w:cs="Times New Roman"/>
          <w:lang w:val="en-GB"/>
        </w:rPr>
        <w:t xml:space="preserve">represents a </w:t>
      </w:r>
      <w:r w:rsidR="00F809DD" w:rsidRPr="00DD6703">
        <w:rPr>
          <w:rFonts w:cs="Times New Roman"/>
          <w:lang w:val="en-GB"/>
        </w:rPr>
        <w:t xml:space="preserve">significant </w:t>
      </w:r>
      <w:r w:rsidR="00C75214" w:rsidRPr="00DD6703">
        <w:rPr>
          <w:rFonts w:cs="Times New Roman"/>
          <w:lang w:val="en-GB"/>
        </w:rPr>
        <w:t xml:space="preserve">cost for olive mills and </w:t>
      </w:r>
      <w:r w:rsidR="00F809DD" w:rsidRPr="00DD6703">
        <w:rPr>
          <w:rFonts w:cs="Times New Roman"/>
          <w:lang w:val="en-GB"/>
        </w:rPr>
        <w:t xml:space="preserve">an issue for </w:t>
      </w:r>
      <w:r w:rsidR="00C75214" w:rsidRPr="00DD6703">
        <w:rPr>
          <w:rFonts w:cs="Times New Roman"/>
          <w:lang w:val="en-GB"/>
        </w:rPr>
        <w:t xml:space="preserve">waste management </w:t>
      </w:r>
      <w:r w:rsidR="00F02B47" w:rsidRPr="00DD6703">
        <w:rPr>
          <w:rFonts w:cs="Times New Roman"/>
          <w:lang w:val="en-GB"/>
        </w:rPr>
        <w:t xml:space="preserve">treatment plant </w:t>
      </w:r>
      <w:r w:rsidR="00C75214" w:rsidRPr="00DD6703">
        <w:rPr>
          <w:rFonts w:cs="Times New Roman"/>
          <w:lang w:val="en-GB"/>
        </w:rPr>
        <w:t xml:space="preserve">in Mediterranean countries. </w:t>
      </w:r>
      <w:r w:rsidR="00F02B47" w:rsidRPr="00DD6703">
        <w:rPr>
          <w:rFonts w:cs="Times New Roman"/>
          <w:lang w:val="en-GB"/>
        </w:rPr>
        <w:t>Numerous processes for OMW treatment have been proposed which have high cost and of difficult application due to the seasonality of OMW production and the small scale of several olive mills</w:t>
      </w:r>
      <w:r w:rsidR="00336555" w:rsidRPr="00DD6703">
        <w:rPr>
          <w:rFonts w:cs="Times New Roman"/>
          <w:lang w:val="en-GB"/>
        </w:rPr>
        <w:t xml:space="preserve"> [3]</w:t>
      </w:r>
      <w:r w:rsidR="00F02B47" w:rsidRPr="00DD6703">
        <w:rPr>
          <w:rFonts w:cs="Times New Roman"/>
          <w:lang w:val="en-GB"/>
        </w:rPr>
        <w:t xml:space="preserve">. </w:t>
      </w:r>
      <w:r w:rsidR="004F64F3" w:rsidRPr="00DD6703">
        <w:rPr>
          <w:rFonts w:cs="Times New Roman"/>
          <w:lang w:val="en-GB"/>
        </w:rPr>
        <w:t xml:space="preserve">OMW </w:t>
      </w:r>
      <w:r w:rsidR="00544808" w:rsidRPr="00DD6703">
        <w:rPr>
          <w:rFonts w:cs="Times New Roman"/>
          <w:lang w:val="en-GB"/>
        </w:rPr>
        <w:t>anaerobic digestion (</w:t>
      </w:r>
      <w:r w:rsidR="004F64F3" w:rsidRPr="00DD6703">
        <w:rPr>
          <w:rFonts w:cs="Times New Roman"/>
          <w:lang w:val="en-GB"/>
        </w:rPr>
        <w:t>AD</w:t>
      </w:r>
      <w:r w:rsidR="00544808" w:rsidRPr="00DD6703">
        <w:rPr>
          <w:rFonts w:cs="Times New Roman"/>
          <w:lang w:val="en-GB"/>
        </w:rPr>
        <w:t>)</w:t>
      </w:r>
      <w:r w:rsidR="004F64F3" w:rsidRPr="00DD6703">
        <w:rPr>
          <w:rFonts w:cs="Times New Roman"/>
          <w:lang w:val="en-GB"/>
        </w:rPr>
        <w:t xml:space="preserve"> is of high interest, but </w:t>
      </w:r>
      <w:r w:rsidR="00F809DD" w:rsidRPr="00DD6703">
        <w:rPr>
          <w:rFonts w:cs="Times New Roman"/>
          <w:lang w:val="en-GB"/>
        </w:rPr>
        <w:t xml:space="preserve">a </w:t>
      </w:r>
      <w:r w:rsidR="004F64F3" w:rsidRPr="00DD6703">
        <w:rPr>
          <w:rFonts w:cs="Times New Roman"/>
          <w:lang w:val="en-GB"/>
        </w:rPr>
        <w:t xml:space="preserve">challenging process because of the high concentration of inhibitory and recalcitrant compounds such as PCs. </w:t>
      </w:r>
      <w:r w:rsidR="00F809DD" w:rsidRPr="00DD6703">
        <w:rPr>
          <w:rFonts w:cs="Times New Roman"/>
          <w:lang w:val="en-GB"/>
        </w:rPr>
        <w:t xml:space="preserve">On the other hand, polyphenols recovery has become interesting as PCs found several applications in many industrial fields as they are used as antioxidants and antimicrobials in animal feeding, </w:t>
      </w:r>
      <w:proofErr w:type="gramStart"/>
      <w:r w:rsidR="00F809DD" w:rsidRPr="00DD6703">
        <w:rPr>
          <w:rFonts w:cs="Times New Roman"/>
          <w:lang w:val="en-GB"/>
        </w:rPr>
        <w:t>cosmetics</w:t>
      </w:r>
      <w:proofErr w:type="gramEnd"/>
      <w:r w:rsidR="00F809DD" w:rsidRPr="00DD6703">
        <w:rPr>
          <w:rFonts w:cs="Times New Roman"/>
          <w:lang w:val="en-GB"/>
        </w:rPr>
        <w:t xml:space="preserve"> and health care products.</w:t>
      </w:r>
      <w:r w:rsidR="00544808" w:rsidRPr="00DD6703">
        <w:rPr>
          <w:rFonts w:cs="Times New Roman"/>
          <w:lang w:val="en-GB"/>
        </w:rPr>
        <w:t xml:space="preserve"> </w:t>
      </w:r>
      <w:r w:rsidR="00336555" w:rsidRPr="00DD6703">
        <w:rPr>
          <w:rFonts w:cs="Times New Roman"/>
          <w:lang w:val="en-GB"/>
        </w:rPr>
        <w:t xml:space="preserve">Adsorption proved to be a feasible and interesting possibility [2-5]. </w:t>
      </w:r>
      <w:r w:rsidR="004F64F3" w:rsidRPr="00DD6703">
        <w:rPr>
          <w:rFonts w:cs="Times New Roman"/>
          <w:lang w:val="en-GB"/>
        </w:rPr>
        <w:t xml:space="preserve">The co-digestion of OMW with </w:t>
      </w:r>
      <w:r w:rsidR="00F809DD" w:rsidRPr="00DD6703">
        <w:rPr>
          <w:rFonts w:cs="Times New Roman"/>
          <w:lang w:val="en-GB"/>
        </w:rPr>
        <w:t xml:space="preserve">the sewage sludge (SwS) </w:t>
      </w:r>
      <w:r w:rsidR="004F64F3" w:rsidRPr="00DD6703">
        <w:rPr>
          <w:rFonts w:cs="Times New Roman"/>
          <w:lang w:val="en-GB"/>
        </w:rPr>
        <w:t xml:space="preserve">represents a potential solution </w:t>
      </w:r>
      <w:r w:rsidR="00F809DD" w:rsidRPr="00DD6703">
        <w:rPr>
          <w:rFonts w:cs="Times New Roman"/>
          <w:lang w:val="en-GB"/>
        </w:rPr>
        <w:t xml:space="preserve">for OMW disposal </w:t>
      </w:r>
      <w:r w:rsidR="004F64F3" w:rsidRPr="00DD6703">
        <w:rPr>
          <w:rFonts w:cs="Times New Roman"/>
          <w:lang w:val="en-GB"/>
        </w:rPr>
        <w:t>thanks to the widespread presence of digesters used for the stabilization of the sludge produced by wastewater treatment plants (WWTP)</w:t>
      </w:r>
      <w:r w:rsidR="00087A1C" w:rsidRPr="00DD6703">
        <w:rPr>
          <w:rFonts w:cs="Times New Roman"/>
          <w:lang w:val="en-GB"/>
        </w:rPr>
        <w:t xml:space="preserve"> [6]</w:t>
      </w:r>
      <w:r w:rsidR="004F64F3" w:rsidRPr="00DD6703">
        <w:rPr>
          <w:rFonts w:cs="Times New Roman"/>
          <w:lang w:val="en-GB"/>
        </w:rPr>
        <w:t>.</w:t>
      </w:r>
      <w:r w:rsidR="00544808" w:rsidRPr="00DD6703">
        <w:rPr>
          <w:rFonts w:cs="Times New Roman"/>
          <w:lang w:val="en-GB"/>
        </w:rPr>
        <w:t xml:space="preserve"> Thus, c</w:t>
      </w:r>
      <w:r w:rsidR="004F64F3" w:rsidRPr="00DD6703">
        <w:rPr>
          <w:rFonts w:cs="Times New Roman"/>
          <w:lang w:val="en-GB"/>
        </w:rPr>
        <w:t xml:space="preserve">ombining OMW co-AD with a </w:t>
      </w:r>
      <w:r w:rsidR="00544808" w:rsidRPr="00DD6703">
        <w:rPr>
          <w:rFonts w:cs="Times New Roman"/>
          <w:lang w:val="en-GB"/>
        </w:rPr>
        <w:t xml:space="preserve">preliminary </w:t>
      </w:r>
      <w:r w:rsidR="004F64F3" w:rsidRPr="00DD6703">
        <w:rPr>
          <w:rFonts w:cs="Times New Roman"/>
          <w:lang w:val="en-GB"/>
        </w:rPr>
        <w:t xml:space="preserve">recover the OMW PCs </w:t>
      </w:r>
      <w:r w:rsidR="00087A1C" w:rsidRPr="00DD6703">
        <w:rPr>
          <w:rFonts w:cs="Times New Roman"/>
          <w:lang w:val="en-GB"/>
        </w:rPr>
        <w:t xml:space="preserve">by adsorption </w:t>
      </w:r>
      <w:r w:rsidR="004F64F3" w:rsidRPr="00DD6703">
        <w:rPr>
          <w:rFonts w:cs="Times New Roman"/>
          <w:lang w:val="en-GB"/>
        </w:rPr>
        <w:t xml:space="preserve">represents an interesting </w:t>
      </w:r>
      <w:r w:rsidR="00544808" w:rsidRPr="00DD6703">
        <w:rPr>
          <w:rFonts w:cs="Times New Roman"/>
          <w:lang w:val="en-GB"/>
        </w:rPr>
        <w:t>possibility</w:t>
      </w:r>
      <w:r w:rsidR="004F64F3" w:rsidRPr="00DD6703">
        <w:rPr>
          <w:rFonts w:cs="Times New Roman"/>
          <w:lang w:val="en-GB"/>
        </w:rPr>
        <w:t xml:space="preserve"> to decrease potential inhibit</w:t>
      </w:r>
      <w:r w:rsidR="00544808" w:rsidRPr="00DD6703">
        <w:rPr>
          <w:rFonts w:cs="Times New Roman"/>
          <w:lang w:val="en-GB"/>
        </w:rPr>
        <w:t xml:space="preserve">ion effects on the </w:t>
      </w:r>
      <w:r w:rsidR="004F64F3" w:rsidRPr="00DD6703">
        <w:rPr>
          <w:rFonts w:cs="Times New Roman"/>
          <w:lang w:val="en-GB"/>
        </w:rPr>
        <w:t>AD process</w:t>
      </w:r>
      <w:r w:rsidR="00544808" w:rsidRPr="00DD6703">
        <w:rPr>
          <w:rFonts w:cs="Times New Roman"/>
          <w:lang w:val="en-GB"/>
        </w:rPr>
        <w:t xml:space="preserve"> and</w:t>
      </w:r>
      <w:r w:rsidR="004F64F3" w:rsidRPr="00DD6703">
        <w:rPr>
          <w:rFonts w:cs="Times New Roman"/>
          <w:lang w:val="en-GB"/>
        </w:rPr>
        <w:t xml:space="preserve"> </w:t>
      </w:r>
      <w:r w:rsidR="00544808" w:rsidRPr="00DD6703">
        <w:rPr>
          <w:rFonts w:cs="Times New Roman"/>
          <w:lang w:val="en-GB"/>
        </w:rPr>
        <w:t xml:space="preserve">to </w:t>
      </w:r>
      <w:r w:rsidR="004F64F3" w:rsidRPr="00DD6703">
        <w:rPr>
          <w:rFonts w:cs="Times New Roman"/>
          <w:lang w:val="en-GB"/>
        </w:rPr>
        <w:t>recover high-added value products</w:t>
      </w:r>
      <w:r w:rsidR="00087A1C" w:rsidRPr="00DD6703">
        <w:rPr>
          <w:rFonts w:cs="Times New Roman"/>
          <w:lang w:val="en-GB"/>
        </w:rPr>
        <w:t xml:space="preserve"> [7]</w:t>
      </w:r>
      <w:r w:rsidR="004F64F3" w:rsidRPr="00DD6703">
        <w:rPr>
          <w:rFonts w:cs="Times New Roman"/>
          <w:lang w:val="en-GB"/>
        </w:rPr>
        <w:t xml:space="preserve">. </w:t>
      </w:r>
      <w:r w:rsidR="00680A17" w:rsidRPr="00DD6703">
        <w:rPr>
          <w:rFonts w:cs="Times New Roman"/>
          <w:lang w:val="en-GB"/>
        </w:rPr>
        <w:t>In this work</w:t>
      </w:r>
      <w:r w:rsidR="00087A1C" w:rsidRPr="00DD6703">
        <w:rPr>
          <w:rFonts w:cs="Times New Roman"/>
          <w:lang w:val="en-GB"/>
        </w:rPr>
        <w:t xml:space="preserve"> [8]</w:t>
      </w:r>
      <w:r w:rsidR="00680A17" w:rsidRPr="00DD6703">
        <w:rPr>
          <w:rFonts w:cs="Times New Roman"/>
          <w:lang w:val="en-GB"/>
        </w:rPr>
        <w:t xml:space="preserve">, the co-AD of OMW with SwS was </w:t>
      </w:r>
      <w:r w:rsidR="00544808" w:rsidRPr="00DD6703">
        <w:rPr>
          <w:rFonts w:cs="Times New Roman"/>
          <w:lang w:val="en-GB"/>
        </w:rPr>
        <w:t>investigated</w:t>
      </w:r>
      <w:r w:rsidR="00680A17" w:rsidRPr="00DD6703">
        <w:rPr>
          <w:rFonts w:cs="Times New Roman"/>
          <w:lang w:val="en-GB"/>
        </w:rPr>
        <w:t xml:space="preserve"> in continuous</w:t>
      </w:r>
      <w:r w:rsidR="00680A17" w:rsidRPr="00544808">
        <w:rPr>
          <w:rFonts w:cs="Times New Roman"/>
          <w:lang w:val="en-GB"/>
        </w:rPr>
        <w:t xml:space="preserve"> </w:t>
      </w:r>
      <w:r w:rsidR="00544808" w:rsidRPr="00544808">
        <w:rPr>
          <w:rFonts w:cs="Times New Roman"/>
          <w:lang w:val="en-GB"/>
        </w:rPr>
        <w:t>bio</w:t>
      </w:r>
      <w:r w:rsidR="00680A17" w:rsidRPr="00544808">
        <w:rPr>
          <w:rFonts w:cs="Times New Roman"/>
          <w:lang w:val="en-GB"/>
        </w:rPr>
        <w:t xml:space="preserve">reactors, under different conditions. The </w:t>
      </w:r>
      <w:r w:rsidR="00544808" w:rsidRPr="00544808">
        <w:rPr>
          <w:rFonts w:cs="Times New Roman"/>
          <w:lang w:val="en-GB"/>
        </w:rPr>
        <w:t xml:space="preserve">targets of the research </w:t>
      </w:r>
      <w:r w:rsidR="00680A17" w:rsidRPr="00544808">
        <w:rPr>
          <w:rFonts w:cs="Times New Roman"/>
          <w:lang w:val="en-GB"/>
        </w:rPr>
        <w:t>were: (</w:t>
      </w:r>
      <w:proofErr w:type="spellStart"/>
      <w:r w:rsidR="00680A17" w:rsidRPr="00544808">
        <w:rPr>
          <w:rFonts w:cs="Times New Roman"/>
          <w:lang w:val="en-GB"/>
        </w:rPr>
        <w:t>i</w:t>
      </w:r>
      <w:proofErr w:type="spellEnd"/>
      <w:r w:rsidR="00680A17" w:rsidRPr="00544808">
        <w:rPr>
          <w:rFonts w:cs="Times New Roman"/>
          <w:lang w:val="en-GB"/>
        </w:rPr>
        <w:t xml:space="preserve">) to compare the performances obtained </w:t>
      </w:r>
      <w:r w:rsidR="00544808" w:rsidRPr="00544808">
        <w:rPr>
          <w:rFonts w:cs="Times New Roman"/>
          <w:lang w:val="en-GB"/>
        </w:rPr>
        <w:t>with untreated</w:t>
      </w:r>
      <w:r w:rsidR="00680A17" w:rsidRPr="00544808">
        <w:rPr>
          <w:rFonts w:cs="Times New Roman"/>
          <w:lang w:val="en-GB"/>
        </w:rPr>
        <w:t xml:space="preserve"> and </w:t>
      </w:r>
      <w:r w:rsidR="00DD6703" w:rsidRPr="00544808">
        <w:rPr>
          <w:rFonts w:cs="Times New Roman"/>
          <w:lang w:val="en-GB"/>
        </w:rPr>
        <w:t>dephenolised</w:t>
      </w:r>
      <w:r w:rsidR="00680A17" w:rsidRPr="00544808">
        <w:rPr>
          <w:rFonts w:cs="Times New Roman"/>
          <w:lang w:val="en-GB"/>
        </w:rPr>
        <w:t xml:space="preserve"> OMW; (ii) to </w:t>
      </w:r>
      <w:r w:rsidR="00544808" w:rsidRPr="00544808">
        <w:rPr>
          <w:rFonts w:cs="Times New Roman"/>
          <w:lang w:val="en-GB"/>
        </w:rPr>
        <w:t>assess</w:t>
      </w:r>
      <w:r w:rsidR="00680A17" w:rsidRPr="00544808">
        <w:rPr>
          <w:rFonts w:cs="Times New Roman"/>
          <w:lang w:val="en-GB"/>
        </w:rPr>
        <w:t xml:space="preserve"> operational conditions </w:t>
      </w:r>
      <w:r w:rsidR="00544808" w:rsidRPr="00544808">
        <w:rPr>
          <w:rFonts w:cs="Times New Roman"/>
          <w:lang w:val="en-GB"/>
        </w:rPr>
        <w:t xml:space="preserve">for </w:t>
      </w:r>
      <w:r w:rsidR="00680A17" w:rsidRPr="00544808">
        <w:rPr>
          <w:rFonts w:cs="Times New Roman"/>
          <w:lang w:val="en-GB"/>
        </w:rPr>
        <w:t xml:space="preserve">a stable </w:t>
      </w:r>
      <w:r w:rsidR="00544808" w:rsidRPr="00544808">
        <w:rPr>
          <w:rFonts w:cs="Times New Roman"/>
          <w:lang w:val="en-GB"/>
        </w:rPr>
        <w:t>co-AD</w:t>
      </w:r>
      <w:r w:rsidR="00680A17" w:rsidRPr="00544808">
        <w:rPr>
          <w:rFonts w:cs="Times New Roman"/>
          <w:lang w:val="en-GB"/>
        </w:rPr>
        <w:t xml:space="preserve"> of OMW and SwS, with a high OMW</w:t>
      </w:r>
      <w:r w:rsidR="00544808" w:rsidRPr="00544808">
        <w:rPr>
          <w:rFonts w:cs="Times New Roman"/>
          <w:lang w:val="en-GB"/>
        </w:rPr>
        <w:t xml:space="preserve"> content</w:t>
      </w:r>
      <w:r w:rsidR="00680A17" w:rsidRPr="00544808">
        <w:rPr>
          <w:rFonts w:cs="Times New Roman"/>
          <w:lang w:val="en-GB"/>
        </w:rPr>
        <w:t xml:space="preserve">; (iii) to develop strategies for the integration of the OMW/SwS co-AD process in the network of existing SwS digesters; and (iv) to perform a cost-benefit analysis (CBA) relative to </w:t>
      </w:r>
      <w:r w:rsidR="00544808" w:rsidRPr="00544808">
        <w:rPr>
          <w:rFonts w:cs="Times New Roman"/>
          <w:lang w:val="en-GB"/>
        </w:rPr>
        <w:t xml:space="preserve">process both </w:t>
      </w:r>
      <w:r w:rsidR="00680A17" w:rsidRPr="00544808">
        <w:rPr>
          <w:rFonts w:cs="Times New Roman"/>
          <w:lang w:val="en-GB"/>
        </w:rPr>
        <w:t xml:space="preserve">with and without a </w:t>
      </w:r>
      <w:r w:rsidR="00DD6703" w:rsidRPr="00544808">
        <w:rPr>
          <w:rFonts w:cs="Times New Roman"/>
          <w:lang w:val="en-GB"/>
        </w:rPr>
        <w:t>dephenolisation</w:t>
      </w:r>
      <w:r w:rsidR="00680A17" w:rsidRPr="00544808">
        <w:rPr>
          <w:rFonts w:cs="Times New Roman"/>
          <w:lang w:val="en-GB"/>
        </w:rPr>
        <w:t xml:space="preserve"> pre-treatment.</w:t>
      </w:r>
    </w:p>
    <w:p w14:paraId="0871BF31" w14:textId="5A221983" w:rsidR="00DA51A3" w:rsidRDefault="00DA51A3" w:rsidP="00DA51A3">
      <w:pPr>
        <w:snapToGrid w:val="0"/>
        <w:spacing w:before="240" w:line="300" w:lineRule="auto"/>
        <w:rPr>
          <w:rFonts w:eastAsia="MS PGothic"/>
          <w:b/>
          <w:bCs/>
          <w:lang w:val="en-US"/>
        </w:rPr>
      </w:pPr>
      <w:r w:rsidRPr="00466FFD">
        <w:rPr>
          <w:rFonts w:eastAsia="MS PGothic"/>
          <w:b/>
          <w:bCs/>
          <w:lang w:val="en-US"/>
        </w:rPr>
        <w:t xml:space="preserve">2. </w:t>
      </w:r>
      <w:r w:rsidR="0040502B">
        <w:rPr>
          <w:rFonts w:eastAsia="MS PGothic"/>
          <w:b/>
          <w:bCs/>
          <w:lang w:val="en-US"/>
        </w:rPr>
        <w:t>M</w:t>
      </w:r>
      <w:r w:rsidRPr="00466FFD">
        <w:rPr>
          <w:rFonts w:eastAsia="MS PGothic"/>
          <w:b/>
          <w:bCs/>
          <w:lang w:val="en-US"/>
        </w:rPr>
        <w:t>ethods</w:t>
      </w:r>
    </w:p>
    <w:p w14:paraId="226B58E0" w14:textId="5B4B0855" w:rsidR="00866297" w:rsidRPr="00842A42" w:rsidRDefault="00C75214" w:rsidP="0016726E">
      <w:pPr>
        <w:snapToGrid w:val="0"/>
        <w:spacing w:before="240" w:line="300" w:lineRule="auto"/>
        <w:jc w:val="both"/>
        <w:rPr>
          <w:rFonts w:cs="Times New Roman"/>
          <w:color w:val="FF0000"/>
          <w:lang w:val="en-GB"/>
        </w:rPr>
      </w:pPr>
      <w:r w:rsidRPr="00C75214">
        <w:rPr>
          <w:rFonts w:cs="Times New Roman"/>
          <w:lang w:val="en-GB"/>
        </w:rPr>
        <w:t xml:space="preserve">The OMW used in the present study was provided by a 3-phase olive mill located in </w:t>
      </w:r>
      <w:proofErr w:type="spellStart"/>
      <w:r w:rsidRPr="00C75214">
        <w:rPr>
          <w:rFonts w:cs="Times New Roman"/>
          <w:lang w:val="en-GB"/>
        </w:rPr>
        <w:t>Sant’Arcangelo</w:t>
      </w:r>
      <w:proofErr w:type="spellEnd"/>
      <w:r w:rsidRPr="00C75214">
        <w:rPr>
          <w:rFonts w:cs="Times New Roman"/>
          <w:lang w:val="en-GB"/>
        </w:rPr>
        <w:t xml:space="preserve"> di Romagna (Rimini, Italy). </w:t>
      </w:r>
      <w:r w:rsidR="00544808">
        <w:rPr>
          <w:rFonts w:cs="Times New Roman"/>
          <w:lang w:val="en-GB"/>
        </w:rPr>
        <w:t xml:space="preserve">The partially </w:t>
      </w:r>
      <w:r w:rsidR="00DD6703">
        <w:rPr>
          <w:rFonts w:cs="Times New Roman"/>
          <w:lang w:val="en-GB"/>
        </w:rPr>
        <w:t>dephenolised</w:t>
      </w:r>
      <w:r w:rsidR="00544808">
        <w:rPr>
          <w:rFonts w:cs="Times New Roman"/>
          <w:lang w:val="en-GB"/>
        </w:rPr>
        <w:t xml:space="preserve"> </w:t>
      </w:r>
      <w:r w:rsidRPr="00C75214">
        <w:rPr>
          <w:rFonts w:cs="Times New Roman"/>
          <w:lang w:val="en-GB"/>
        </w:rPr>
        <w:t xml:space="preserve">OMW </w:t>
      </w:r>
      <w:r w:rsidR="00842A42">
        <w:rPr>
          <w:rFonts w:cs="Times New Roman"/>
          <w:lang w:val="en-GB"/>
        </w:rPr>
        <w:t>(</w:t>
      </w:r>
      <w:proofErr w:type="spellStart"/>
      <w:r w:rsidR="00842A42" w:rsidRPr="00842A42">
        <w:rPr>
          <w:rFonts w:cs="Times New Roman"/>
          <w:lang w:val="en-GB"/>
        </w:rPr>
        <w:t>d</w:t>
      </w:r>
      <w:r w:rsidR="00842A42">
        <w:rPr>
          <w:rFonts w:cs="Times New Roman"/>
          <w:lang w:val="en-GB"/>
        </w:rPr>
        <w:t>ef_</w:t>
      </w:r>
      <w:proofErr w:type="gramStart"/>
      <w:r w:rsidR="00842A42" w:rsidRPr="00842A42">
        <w:rPr>
          <w:rFonts w:cs="Times New Roman"/>
          <w:lang w:val="en-GB"/>
        </w:rPr>
        <w:t>OMW</w:t>
      </w:r>
      <w:proofErr w:type="spellEnd"/>
      <w:r w:rsidR="00842A42" w:rsidRPr="00C75214">
        <w:rPr>
          <w:rFonts w:cs="Times New Roman"/>
          <w:lang w:val="en-GB"/>
        </w:rPr>
        <w:t xml:space="preserve"> </w:t>
      </w:r>
      <w:r w:rsidR="00842A42">
        <w:rPr>
          <w:rFonts w:cs="Times New Roman"/>
          <w:lang w:val="en-GB"/>
        </w:rPr>
        <w:t>)</w:t>
      </w:r>
      <w:proofErr w:type="gramEnd"/>
      <w:r w:rsidR="00842A42">
        <w:rPr>
          <w:rFonts w:cs="Times New Roman"/>
          <w:lang w:val="en-GB"/>
        </w:rPr>
        <w:t xml:space="preserve"> </w:t>
      </w:r>
      <w:r w:rsidRPr="00C75214">
        <w:rPr>
          <w:rFonts w:cs="Times New Roman"/>
          <w:lang w:val="en-GB"/>
        </w:rPr>
        <w:t xml:space="preserve">was produced by PCs adsorption on </w:t>
      </w:r>
      <w:r w:rsidR="00842A42">
        <w:rPr>
          <w:rFonts w:cs="Times New Roman"/>
          <w:lang w:val="en-GB"/>
        </w:rPr>
        <w:t xml:space="preserve">the </w:t>
      </w:r>
      <w:r w:rsidRPr="00C75214">
        <w:rPr>
          <w:rFonts w:cs="Times New Roman"/>
          <w:lang w:val="en-GB"/>
        </w:rPr>
        <w:t>neutral adsorbent resin</w:t>
      </w:r>
      <w:r w:rsidR="00842A42">
        <w:rPr>
          <w:rFonts w:cs="Times New Roman"/>
          <w:lang w:val="en-GB"/>
        </w:rPr>
        <w:t xml:space="preserve"> </w:t>
      </w:r>
      <w:r w:rsidR="00842A42" w:rsidRPr="00C75214">
        <w:rPr>
          <w:rFonts w:cs="Times New Roman"/>
          <w:lang w:val="en-GB"/>
        </w:rPr>
        <w:t xml:space="preserve">Amberlite XAD16N (DOW </w:t>
      </w:r>
      <w:proofErr w:type="spellStart"/>
      <w:r w:rsidR="00842A42" w:rsidRPr="00C75214">
        <w:rPr>
          <w:rFonts w:cs="Times New Roman"/>
          <w:lang w:val="en-GB"/>
        </w:rPr>
        <w:t>Chemicals</w:t>
      </w:r>
      <w:proofErr w:type="spellEnd"/>
      <w:r w:rsidR="00842A42" w:rsidRPr="00C75214">
        <w:rPr>
          <w:rFonts w:cs="Times New Roman"/>
          <w:lang w:val="en-GB"/>
        </w:rPr>
        <w:t xml:space="preserve"> Europe GmbH, </w:t>
      </w:r>
      <w:proofErr w:type="spellStart"/>
      <w:r w:rsidR="00842A42" w:rsidRPr="00C75214">
        <w:rPr>
          <w:rFonts w:cs="Times New Roman"/>
          <w:lang w:val="en-GB"/>
        </w:rPr>
        <w:t>Horgen</w:t>
      </w:r>
      <w:proofErr w:type="spellEnd"/>
      <w:r w:rsidR="00842A42" w:rsidRPr="00C75214">
        <w:rPr>
          <w:rFonts w:cs="Times New Roman"/>
          <w:lang w:val="en-GB"/>
        </w:rPr>
        <w:t>, Switzerland)</w:t>
      </w:r>
      <w:r w:rsidR="00842A42">
        <w:rPr>
          <w:rFonts w:cs="Times New Roman"/>
          <w:lang w:val="en-GB"/>
        </w:rPr>
        <w:t xml:space="preserve">. The </w:t>
      </w:r>
      <w:r w:rsidR="00842A42" w:rsidRPr="00842A42">
        <w:rPr>
          <w:rFonts w:cs="Times New Roman"/>
          <w:lang w:val="en-GB"/>
        </w:rPr>
        <w:t xml:space="preserve">PCs concentration </w:t>
      </w:r>
      <w:r w:rsidR="00842A42">
        <w:rPr>
          <w:rFonts w:cs="Times New Roman"/>
          <w:lang w:val="en-GB"/>
        </w:rPr>
        <w:t xml:space="preserve">was reduced from </w:t>
      </w:r>
      <w:r w:rsidR="00842A42" w:rsidRPr="00842A42">
        <w:rPr>
          <w:rFonts w:cs="Times New Roman"/>
          <w:lang w:val="en-GB"/>
        </w:rPr>
        <w:t>1010 ± 40</w:t>
      </w:r>
      <w:r w:rsidR="00842A42">
        <w:rPr>
          <w:rFonts w:cs="Times New Roman"/>
          <w:lang w:val="en-GB"/>
        </w:rPr>
        <w:t xml:space="preserve"> </w:t>
      </w:r>
      <w:r w:rsidR="00842A42" w:rsidRPr="00842A42">
        <w:rPr>
          <w:rFonts w:cs="Times New Roman"/>
          <w:lang w:val="en-GB"/>
        </w:rPr>
        <w:t xml:space="preserve">mg/L </w:t>
      </w:r>
      <w:r w:rsidR="00842A42">
        <w:rPr>
          <w:rFonts w:cs="Times New Roman"/>
          <w:lang w:val="en-GB"/>
        </w:rPr>
        <w:t xml:space="preserve">to </w:t>
      </w:r>
      <w:r w:rsidR="00842A42" w:rsidRPr="00842A42">
        <w:rPr>
          <w:rFonts w:cs="Times New Roman"/>
          <w:lang w:val="en-GB"/>
        </w:rPr>
        <w:t xml:space="preserve">65 ± 5 </w:t>
      </w:r>
      <w:r w:rsidR="00842A42">
        <w:rPr>
          <w:rFonts w:cs="Times New Roman"/>
          <w:lang w:val="en-GB"/>
        </w:rPr>
        <w:t xml:space="preserve">mg/L </w:t>
      </w:r>
      <w:r w:rsidR="00842A42" w:rsidRPr="00842A42">
        <w:rPr>
          <w:rFonts w:cs="Times New Roman"/>
          <w:lang w:val="en-GB"/>
        </w:rPr>
        <w:t xml:space="preserve">(6.4 % of the </w:t>
      </w:r>
      <w:r w:rsidR="00842A42">
        <w:rPr>
          <w:rFonts w:cs="Times New Roman"/>
          <w:lang w:val="en-GB"/>
        </w:rPr>
        <w:t xml:space="preserve">untreated </w:t>
      </w:r>
      <w:r w:rsidR="00842A42" w:rsidRPr="00842A42">
        <w:rPr>
          <w:rFonts w:cs="Times New Roman"/>
          <w:lang w:val="en-GB"/>
        </w:rPr>
        <w:t xml:space="preserve">OMW concentration). </w:t>
      </w:r>
      <w:r w:rsidR="00842A42">
        <w:rPr>
          <w:rFonts w:cs="Times New Roman"/>
          <w:lang w:val="en-GB"/>
        </w:rPr>
        <w:t>However, t</w:t>
      </w:r>
      <w:r w:rsidR="00842A42" w:rsidRPr="00842A42">
        <w:rPr>
          <w:rFonts w:cs="Times New Roman"/>
          <w:lang w:val="en-GB"/>
        </w:rPr>
        <w:t xml:space="preserve">he </w:t>
      </w:r>
      <w:r w:rsidR="00DD6703">
        <w:rPr>
          <w:rFonts w:cs="Times New Roman"/>
          <w:lang w:val="en-GB"/>
        </w:rPr>
        <w:t>dephenolisation</w:t>
      </w:r>
      <w:r w:rsidR="00842A42">
        <w:rPr>
          <w:rFonts w:cs="Times New Roman"/>
          <w:lang w:val="en-GB"/>
        </w:rPr>
        <w:t xml:space="preserve"> caused a loss </w:t>
      </w:r>
      <w:r w:rsidR="00795F3C">
        <w:rPr>
          <w:rFonts w:cs="Times New Roman"/>
          <w:lang w:val="en-GB"/>
        </w:rPr>
        <w:t>of 32</w:t>
      </w:r>
      <w:r w:rsidR="00842A42">
        <w:rPr>
          <w:rFonts w:cs="Times New Roman"/>
          <w:lang w:val="en-GB"/>
        </w:rPr>
        <w:t xml:space="preserve">% of the </w:t>
      </w:r>
      <w:r w:rsidR="00842A42" w:rsidRPr="00842A42">
        <w:rPr>
          <w:rFonts w:cs="Times New Roman"/>
          <w:lang w:val="en-GB"/>
        </w:rPr>
        <w:t>COD</w:t>
      </w:r>
      <w:r w:rsidR="00842A42">
        <w:rPr>
          <w:rFonts w:cs="Times New Roman"/>
          <w:lang w:val="en-GB"/>
        </w:rPr>
        <w:t>,</w:t>
      </w:r>
      <w:r w:rsidR="00842A42" w:rsidRPr="00842A42">
        <w:rPr>
          <w:rFonts w:cs="Times New Roman"/>
          <w:lang w:val="en-GB"/>
        </w:rPr>
        <w:t xml:space="preserve"> </w:t>
      </w:r>
      <w:r w:rsidR="00842A42">
        <w:rPr>
          <w:rFonts w:cs="Times New Roman"/>
          <w:lang w:val="en-GB"/>
        </w:rPr>
        <w:t xml:space="preserve">35% of the </w:t>
      </w:r>
      <w:r w:rsidR="00842A42" w:rsidRPr="00842A42">
        <w:rPr>
          <w:rFonts w:cs="Times New Roman"/>
          <w:lang w:val="en-GB"/>
        </w:rPr>
        <w:t>BOD5</w:t>
      </w:r>
      <w:r w:rsidR="00544808" w:rsidRPr="00C75214">
        <w:rPr>
          <w:rFonts w:cs="Times New Roman"/>
          <w:lang w:val="en-GB"/>
        </w:rPr>
        <w:t xml:space="preserve"> as a significant amount of organic matter </w:t>
      </w:r>
      <w:r w:rsidR="00842A42">
        <w:rPr>
          <w:rFonts w:cs="Times New Roman"/>
          <w:lang w:val="en-GB"/>
        </w:rPr>
        <w:t>wa</w:t>
      </w:r>
      <w:r w:rsidR="00544808" w:rsidRPr="00C75214">
        <w:rPr>
          <w:rFonts w:cs="Times New Roman"/>
          <w:lang w:val="en-GB"/>
        </w:rPr>
        <w:t>s removed together with the PCs.</w:t>
      </w:r>
      <w:r w:rsidR="00544808">
        <w:rPr>
          <w:rFonts w:cs="Times New Roman"/>
          <w:lang w:val="en-GB"/>
        </w:rPr>
        <w:t xml:space="preserve"> </w:t>
      </w:r>
      <w:r w:rsidRPr="00C75214">
        <w:rPr>
          <w:rFonts w:cs="Times New Roman"/>
          <w:lang w:val="en-GB"/>
        </w:rPr>
        <w:t>All continuous tests were made in laboratory-scale PVC bioreactors with a capacity of 1.7 L</w:t>
      </w:r>
      <w:r w:rsidR="00842A42">
        <w:rPr>
          <w:rFonts w:cs="Times New Roman"/>
          <w:lang w:val="en-GB"/>
        </w:rPr>
        <w:t xml:space="preserve"> </w:t>
      </w:r>
      <w:r w:rsidRPr="00C75214">
        <w:rPr>
          <w:rFonts w:cs="Times New Roman"/>
          <w:lang w:val="en-GB"/>
        </w:rPr>
        <w:t>operated under at 34 ± 1°C</w:t>
      </w:r>
      <w:r w:rsidR="00842A42">
        <w:rPr>
          <w:rFonts w:cs="Times New Roman"/>
          <w:lang w:val="en-GB"/>
        </w:rPr>
        <w:t xml:space="preserve"> and 12 different </w:t>
      </w:r>
      <w:r w:rsidRPr="00C75214">
        <w:rPr>
          <w:rFonts w:cs="Times New Roman"/>
          <w:lang w:val="en-GB"/>
        </w:rPr>
        <w:t>mixtures OMW/SwS ratios</w:t>
      </w:r>
      <w:r w:rsidR="00842A42">
        <w:rPr>
          <w:rFonts w:cs="Times New Roman"/>
          <w:lang w:val="en-GB"/>
        </w:rPr>
        <w:t xml:space="preserve">: from </w:t>
      </w:r>
      <w:r w:rsidRPr="00C75214">
        <w:rPr>
          <w:rFonts w:cs="Times New Roman"/>
          <w:lang w:val="en-GB"/>
        </w:rPr>
        <w:t>5:95</w:t>
      </w:r>
      <w:r w:rsidR="00842A42">
        <w:rPr>
          <w:rFonts w:cs="Times New Roman"/>
          <w:lang w:val="en-GB"/>
        </w:rPr>
        <w:t xml:space="preserve"> to </w:t>
      </w:r>
      <w:r w:rsidRPr="00C75214">
        <w:rPr>
          <w:rFonts w:cs="Times New Roman"/>
          <w:lang w:val="en-GB"/>
        </w:rPr>
        <w:t>40:60</w:t>
      </w:r>
      <w:r w:rsidR="00842A42">
        <w:rPr>
          <w:rFonts w:cs="Times New Roman"/>
          <w:lang w:val="en-GB"/>
        </w:rPr>
        <w:t xml:space="preserve">. </w:t>
      </w:r>
      <w:r w:rsidRPr="00C75214">
        <w:rPr>
          <w:rFonts w:cs="Times New Roman"/>
          <w:lang w:val="en-GB"/>
        </w:rPr>
        <w:t>T</w:t>
      </w:r>
      <w:r w:rsidR="00866297">
        <w:rPr>
          <w:rFonts w:cs="Times New Roman"/>
          <w:lang w:val="en-GB"/>
        </w:rPr>
        <w:t>he main parameters analysed to follow the process were: t</w:t>
      </w:r>
      <w:r w:rsidRPr="00C75214">
        <w:rPr>
          <w:rFonts w:cs="Times New Roman"/>
          <w:lang w:val="en-GB"/>
        </w:rPr>
        <w:t xml:space="preserve">otal solids (TS), VS, COD, </w:t>
      </w:r>
      <w:r w:rsidR="00866297">
        <w:rPr>
          <w:rFonts w:cs="Times New Roman"/>
          <w:lang w:val="en-GB"/>
        </w:rPr>
        <w:t>volatile fatty acids (</w:t>
      </w:r>
      <w:r w:rsidRPr="00C75214">
        <w:rPr>
          <w:rFonts w:cs="Times New Roman"/>
          <w:lang w:val="en-GB"/>
        </w:rPr>
        <w:t>VFAs</w:t>
      </w:r>
      <w:r w:rsidR="00866297">
        <w:rPr>
          <w:rFonts w:cs="Times New Roman"/>
          <w:lang w:val="en-GB"/>
        </w:rPr>
        <w:t xml:space="preserve">) and </w:t>
      </w:r>
      <w:r w:rsidRPr="00C75214">
        <w:rPr>
          <w:rFonts w:cs="Times New Roman"/>
          <w:lang w:val="en-GB"/>
        </w:rPr>
        <w:t>PCs</w:t>
      </w:r>
      <w:r w:rsidR="00866297">
        <w:rPr>
          <w:rFonts w:cs="Times New Roman"/>
          <w:lang w:val="en-GB"/>
        </w:rPr>
        <w:t>.</w:t>
      </w:r>
      <w:r w:rsidR="0016726E">
        <w:rPr>
          <w:rFonts w:cs="Times New Roman"/>
          <w:lang w:val="en-GB"/>
        </w:rPr>
        <w:t xml:space="preserve"> </w:t>
      </w:r>
      <w:r w:rsidR="00866297">
        <w:rPr>
          <w:rFonts w:cs="Times New Roman"/>
          <w:lang w:val="en-GB"/>
        </w:rPr>
        <w:t>T</w:t>
      </w:r>
      <w:r w:rsidRPr="00C75214">
        <w:rPr>
          <w:rFonts w:cs="Times New Roman"/>
          <w:lang w:val="en-GB"/>
        </w:rPr>
        <w:t xml:space="preserve">he CBA of the process was performed based on the </w:t>
      </w:r>
      <w:r w:rsidRPr="00C75214">
        <w:rPr>
          <w:rFonts w:cs="Times New Roman"/>
          <w:lang w:val="en-GB"/>
        </w:rPr>
        <w:lastRenderedPageBreak/>
        <w:t>full-scale scenario of a 500000 people equivalent (PE) WWTP, in which it was assumed to co-digest OMW in the existing digester during a 4-month period, with an OMW / (OMW + SwS) volumetric ratio equal to 0.25.</w:t>
      </w:r>
      <w:r w:rsidR="0016726E">
        <w:rPr>
          <w:rFonts w:cs="Times New Roman"/>
          <w:lang w:val="en-GB"/>
        </w:rPr>
        <w:t xml:space="preserve"> </w:t>
      </w:r>
      <w:r w:rsidRPr="00C75214">
        <w:rPr>
          <w:rFonts w:cs="Times New Roman"/>
          <w:lang w:val="en-GB"/>
        </w:rPr>
        <w:t>Two distinct CBA approaches were applied</w:t>
      </w:r>
      <w:r w:rsidR="0016726E">
        <w:rPr>
          <w:rFonts w:cs="Times New Roman"/>
          <w:lang w:val="en-GB"/>
        </w:rPr>
        <w:t xml:space="preserve">: </w:t>
      </w:r>
      <w:proofErr w:type="spellStart"/>
      <w:r w:rsidR="0016726E">
        <w:rPr>
          <w:rFonts w:cs="Times New Roman"/>
          <w:lang w:val="en-GB"/>
        </w:rPr>
        <w:t>i</w:t>
      </w:r>
      <w:proofErr w:type="spellEnd"/>
      <w:r w:rsidR="00795F3C">
        <w:rPr>
          <w:rFonts w:cs="Times New Roman"/>
          <w:lang w:val="en-GB"/>
        </w:rPr>
        <w:t xml:space="preserve">) </w:t>
      </w:r>
      <w:r w:rsidR="00795F3C" w:rsidRPr="00C75214">
        <w:rPr>
          <w:rFonts w:cs="Times New Roman"/>
          <w:lang w:val="en-GB"/>
        </w:rPr>
        <w:t>untreated</w:t>
      </w:r>
      <w:r w:rsidR="0016726E">
        <w:rPr>
          <w:rFonts w:cs="Times New Roman"/>
          <w:lang w:val="en-GB"/>
        </w:rPr>
        <w:t xml:space="preserve"> </w:t>
      </w:r>
      <w:r w:rsidRPr="00C75214">
        <w:rPr>
          <w:rFonts w:cs="Times New Roman"/>
          <w:lang w:val="en-GB"/>
        </w:rPr>
        <w:t xml:space="preserve">OMW co-AD and </w:t>
      </w:r>
      <w:r w:rsidR="0016726E">
        <w:rPr>
          <w:rFonts w:cs="Times New Roman"/>
          <w:lang w:val="en-GB"/>
        </w:rPr>
        <w:t>ii)</w:t>
      </w:r>
      <w:r w:rsidRPr="00C75214">
        <w:rPr>
          <w:rFonts w:cs="Times New Roman"/>
          <w:lang w:val="en-GB"/>
        </w:rPr>
        <w:t xml:space="preserve"> OMW </w:t>
      </w:r>
      <w:r w:rsidR="00DD6703" w:rsidRPr="00C75214">
        <w:rPr>
          <w:rFonts w:cs="Times New Roman"/>
          <w:lang w:val="en-GB"/>
        </w:rPr>
        <w:t>dephenolisation</w:t>
      </w:r>
      <w:r w:rsidRPr="00C75214">
        <w:rPr>
          <w:rFonts w:cs="Times New Roman"/>
          <w:lang w:val="en-GB"/>
        </w:rPr>
        <w:t xml:space="preserve"> followed by</w:t>
      </w:r>
      <w:r w:rsidR="0016726E">
        <w:rPr>
          <w:rFonts w:cs="Times New Roman"/>
          <w:lang w:val="en-GB"/>
        </w:rPr>
        <w:t xml:space="preserve"> </w:t>
      </w:r>
      <w:r w:rsidRPr="00C75214">
        <w:rPr>
          <w:rFonts w:cs="Times New Roman"/>
          <w:lang w:val="en-GB"/>
        </w:rPr>
        <w:t xml:space="preserve">co-AD. </w:t>
      </w:r>
      <w:r w:rsidR="00866297" w:rsidRPr="0016726E">
        <w:rPr>
          <w:rFonts w:cs="Times New Roman"/>
          <w:lang w:val="en-GB"/>
        </w:rPr>
        <w:t>More details on materials</w:t>
      </w:r>
      <w:r w:rsidR="0016726E">
        <w:rPr>
          <w:rFonts w:cs="Times New Roman"/>
          <w:lang w:val="en-GB"/>
        </w:rPr>
        <w:t xml:space="preserve">, </w:t>
      </w:r>
      <w:r w:rsidR="00866297" w:rsidRPr="0016726E">
        <w:rPr>
          <w:rFonts w:cs="Times New Roman"/>
          <w:lang w:val="en-GB"/>
        </w:rPr>
        <w:t xml:space="preserve">methods </w:t>
      </w:r>
      <w:r w:rsidR="0016726E">
        <w:rPr>
          <w:rFonts w:cs="Times New Roman"/>
          <w:lang w:val="en-GB"/>
        </w:rPr>
        <w:t xml:space="preserve">and apparatuses </w:t>
      </w:r>
      <w:r w:rsidR="00866297" w:rsidRPr="0016726E">
        <w:rPr>
          <w:rFonts w:cs="Times New Roman"/>
          <w:lang w:val="en-GB"/>
        </w:rPr>
        <w:t xml:space="preserve">are </w:t>
      </w:r>
      <w:r w:rsidR="00866297" w:rsidRPr="00DD6703">
        <w:rPr>
          <w:rFonts w:cs="Times New Roman"/>
          <w:lang w:val="en-GB"/>
        </w:rPr>
        <w:t xml:space="preserve">in </w:t>
      </w:r>
      <w:r w:rsidR="0016726E" w:rsidRPr="00DD6703">
        <w:rPr>
          <w:rFonts w:cs="Times New Roman"/>
          <w:lang w:val="en-GB"/>
        </w:rPr>
        <w:t>[</w:t>
      </w:r>
      <w:r w:rsidR="00BF3DDE" w:rsidRPr="00DD6703">
        <w:rPr>
          <w:rFonts w:cs="Times New Roman"/>
          <w:lang w:val="en-GB"/>
        </w:rPr>
        <w:t>5</w:t>
      </w:r>
      <w:r w:rsidR="0016726E" w:rsidRPr="00DD6703">
        <w:rPr>
          <w:rFonts w:cs="Times New Roman"/>
          <w:lang w:val="en-GB"/>
        </w:rPr>
        <w:t>] and [</w:t>
      </w:r>
      <w:r w:rsidR="00BF3DDE" w:rsidRPr="00DD6703">
        <w:rPr>
          <w:rFonts w:cs="Times New Roman"/>
          <w:lang w:val="en-GB"/>
        </w:rPr>
        <w:t>8</w:t>
      </w:r>
      <w:r w:rsidR="0016726E" w:rsidRPr="00DD6703">
        <w:rPr>
          <w:rFonts w:cs="Times New Roman"/>
          <w:lang w:val="en-GB"/>
        </w:rPr>
        <w:t>].</w:t>
      </w:r>
      <w:r w:rsidR="00866297" w:rsidRPr="00842A42">
        <w:rPr>
          <w:rFonts w:cs="Times New Roman"/>
          <w:color w:val="FF0000"/>
          <w:lang w:val="en-GB"/>
        </w:rPr>
        <w:t xml:space="preserve"> </w:t>
      </w:r>
    </w:p>
    <w:p w14:paraId="0528A46E" w14:textId="77777777" w:rsidR="00DA51A3" w:rsidRPr="00466FFD" w:rsidRDefault="00DA51A3" w:rsidP="00DA51A3">
      <w:pPr>
        <w:snapToGrid w:val="0"/>
        <w:spacing w:before="240" w:line="300" w:lineRule="auto"/>
        <w:rPr>
          <w:rFonts w:eastAsia="MS PGothic"/>
          <w:lang w:val="en-US"/>
        </w:rPr>
      </w:pPr>
      <w:r w:rsidRPr="00466FFD">
        <w:rPr>
          <w:rFonts w:eastAsia="MS PGothic"/>
          <w:b/>
          <w:bCs/>
          <w:lang w:val="en-US"/>
        </w:rPr>
        <w:t>3. Results and discussion</w:t>
      </w:r>
    </w:p>
    <w:p w14:paraId="656E1348" w14:textId="4AC587CD" w:rsidR="00B504B1" w:rsidRPr="00B504B1" w:rsidRDefault="00B935FC" w:rsidP="00B504B1">
      <w:pPr>
        <w:snapToGrid w:val="0"/>
        <w:spacing w:before="240" w:line="300" w:lineRule="auto"/>
        <w:jc w:val="both"/>
        <w:rPr>
          <w:rFonts w:eastAsia="MS PGothic"/>
          <w:lang w:val="en-US"/>
        </w:rPr>
      </w:pPr>
      <w:r w:rsidRPr="00C75214">
        <w:rPr>
          <w:rFonts w:cs="Times New Roman"/>
          <w:lang w:val="en-GB"/>
        </w:rPr>
        <w:t xml:space="preserve">Different volumetric </w:t>
      </w:r>
      <w:proofErr w:type="spellStart"/>
      <w:r w:rsidRPr="00C75214">
        <w:rPr>
          <w:rFonts w:cs="Times New Roman"/>
          <w:lang w:val="en-GB"/>
        </w:rPr>
        <w:t>OMW:SwS</w:t>
      </w:r>
      <w:proofErr w:type="spellEnd"/>
      <w:r w:rsidRPr="00C75214">
        <w:rPr>
          <w:rFonts w:cs="Times New Roman"/>
          <w:lang w:val="en-GB"/>
        </w:rPr>
        <w:t xml:space="preserve"> ratios up to 100% OMW were fed in continuous 1.7-L bioreactors. </w:t>
      </w:r>
      <w:r>
        <w:rPr>
          <w:rFonts w:eastAsia="MS PGothic"/>
          <w:lang w:val="en-GB"/>
        </w:rPr>
        <w:t xml:space="preserve">In the scenario </w:t>
      </w:r>
      <w:r w:rsidRPr="00C75214">
        <w:rPr>
          <w:rFonts w:eastAsia="MS PGothic"/>
          <w:lang w:val="en-US"/>
        </w:rPr>
        <w:t xml:space="preserve">to perform a </w:t>
      </w:r>
      <w:r>
        <w:rPr>
          <w:rFonts w:eastAsia="MS PGothic"/>
          <w:lang w:val="en-US"/>
        </w:rPr>
        <w:t xml:space="preserve">OMW </w:t>
      </w:r>
      <w:r w:rsidRPr="00C75214">
        <w:rPr>
          <w:rFonts w:eastAsia="MS PGothic"/>
          <w:lang w:val="en-US"/>
        </w:rPr>
        <w:t xml:space="preserve">co-digestion process </w:t>
      </w:r>
      <w:r>
        <w:rPr>
          <w:rFonts w:eastAsia="MS PGothic"/>
          <w:lang w:val="en-US"/>
        </w:rPr>
        <w:t xml:space="preserve">in </w:t>
      </w:r>
      <w:r w:rsidRPr="00C75214">
        <w:rPr>
          <w:rFonts w:eastAsia="MS PGothic"/>
          <w:lang w:val="en-US"/>
        </w:rPr>
        <w:t>a</w:t>
      </w:r>
      <w:r>
        <w:rPr>
          <w:rFonts w:eastAsia="MS PGothic"/>
          <w:lang w:val="en-US"/>
        </w:rPr>
        <w:t xml:space="preserve">n operating </w:t>
      </w:r>
      <w:r w:rsidRPr="00C75214">
        <w:rPr>
          <w:rFonts w:eastAsia="MS PGothic"/>
          <w:lang w:val="en-US"/>
        </w:rPr>
        <w:t xml:space="preserve">real SwS digester, the </w:t>
      </w:r>
      <w:r>
        <w:rPr>
          <w:rFonts w:eastAsia="MS PGothic"/>
          <w:lang w:val="en-US"/>
        </w:rPr>
        <w:t xml:space="preserve">inlet </w:t>
      </w:r>
      <w:r w:rsidRPr="00C75214">
        <w:rPr>
          <w:rFonts w:eastAsia="MS PGothic"/>
          <w:lang w:val="en-US"/>
        </w:rPr>
        <w:t xml:space="preserve">volumetric flow rate increases and, if the liquid volume is kept constant, the HRT decreases. Thus, </w:t>
      </w:r>
      <w:r>
        <w:rPr>
          <w:rFonts w:eastAsia="MS PGothic"/>
          <w:lang w:val="en-US"/>
        </w:rPr>
        <w:t>t</w:t>
      </w:r>
      <w:r w:rsidRPr="00C75214">
        <w:rPr>
          <w:rFonts w:eastAsia="MS PGothic"/>
          <w:lang w:val="en-US"/>
        </w:rPr>
        <w:t xml:space="preserve">o simulate the co-AD process performances with a decreased HRT, the first part of this study was focused on OMW/SwS </w:t>
      </w:r>
      <w:proofErr w:type="gramStart"/>
      <w:r w:rsidRPr="00C75214">
        <w:rPr>
          <w:rFonts w:eastAsia="MS PGothic"/>
          <w:lang w:val="en-US"/>
        </w:rPr>
        <w:t>co-AD</w:t>
      </w:r>
      <w:proofErr w:type="gramEnd"/>
      <w:r w:rsidRPr="00C75214">
        <w:rPr>
          <w:rFonts w:eastAsia="MS PGothic"/>
          <w:lang w:val="en-US"/>
        </w:rPr>
        <w:t xml:space="preserve"> with an HRT equal to 23 days, close to the lower HRT limit of WWTP digesters </w:t>
      </w:r>
      <w:r>
        <w:rPr>
          <w:rFonts w:eastAsia="MS PGothic"/>
          <w:lang w:val="en-US"/>
        </w:rPr>
        <w:t>operating range (</w:t>
      </w:r>
      <w:r w:rsidRPr="00C75214">
        <w:rPr>
          <w:rFonts w:eastAsia="MS PGothic"/>
          <w:lang w:val="en-US"/>
        </w:rPr>
        <w:t>20-40 days HRT</w:t>
      </w:r>
      <w:r>
        <w:rPr>
          <w:rFonts w:eastAsia="MS PGothic"/>
          <w:lang w:val="en-US"/>
        </w:rPr>
        <w:t>).</w:t>
      </w:r>
      <w:r w:rsidR="000E0C2A">
        <w:rPr>
          <w:rFonts w:eastAsia="MS PGothic"/>
          <w:lang w:val="en-US"/>
        </w:rPr>
        <w:t xml:space="preserve"> </w:t>
      </w:r>
      <w:r w:rsidR="00261AD8" w:rsidRPr="00B935FC">
        <w:rPr>
          <w:rFonts w:eastAsia="MS PGothic"/>
          <w:lang w:val="en-US"/>
        </w:rPr>
        <w:t xml:space="preserve">The reactor fed with 100% SwS was used as the internal benchmark of the AD process. The biogas and methane yield trends over time achieved a stable steady state after less than 7 days as the inoculum of the bioreactors were made with a </w:t>
      </w:r>
      <w:r w:rsidR="00261AD8" w:rsidRPr="000E0C2A">
        <w:rPr>
          <w:rFonts w:eastAsia="MS PGothic"/>
          <w:lang w:val="en-US"/>
        </w:rPr>
        <w:t>digestate taken from an SwS industrial anaerobic digester. The average yields were 194 ± 13 NL/</w:t>
      </w:r>
      <w:proofErr w:type="spellStart"/>
      <w:r w:rsidR="00261AD8" w:rsidRPr="000E0C2A">
        <w:rPr>
          <w:rFonts w:eastAsia="MS PGothic"/>
          <w:lang w:val="en-US"/>
        </w:rPr>
        <w:t>kg</w:t>
      </w:r>
      <w:r w:rsidR="00261AD8" w:rsidRPr="000E0C2A">
        <w:rPr>
          <w:rFonts w:eastAsia="MS PGothic"/>
          <w:vertAlign w:val="subscript"/>
          <w:lang w:val="en-US"/>
        </w:rPr>
        <w:t>VS</w:t>
      </w:r>
      <w:proofErr w:type="spellEnd"/>
      <w:r w:rsidR="00261AD8" w:rsidRPr="000E0C2A">
        <w:rPr>
          <w:rFonts w:eastAsia="MS PGothic"/>
          <w:lang w:val="en-US"/>
        </w:rPr>
        <w:t xml:space="preserve"> fed and 110 ± 11 NL/</w:t>
      </w:r>
      <w:proofErr w:type="spellStart"/>
      <w:r w:rsidR="00261AD8" w:rsidRPr="000E0C2A">
        <w:rPr>
          <w:rFonts w:eastAsia="MS PGothic"/>
          <w:lang w:val="en-US"/>
        </w:rPr>
        <w:t>kg</w:t>
      </w:r>
      <w:r w:rsidR="00261AD8" w:rsidRPr="000E0C2A">
        <w:rPr>
          <w:rFonts w:eastAsia="MS PGothic"/>
          <w:vertAlign w:val="subscript"/>
          <w:lang w:val="en-US"/>
        </w:rPr>
        <w:t>VS</w:t>
      </w:r>
      <w:proofErr w:type="spellEnd"/>
      <w:r w:rsidR="00261AD8" w:rsidRPr="000E0C2A">
        <w:rPr>
          <w:rFonts w:eastAsia="MS PGothic"/>
          <w:lang w:val="en-US"/>
        </w:rPr>
        <w:t xml:space="preserve"> fed, for biogas (</w:t>
      </w:r>
      <w:proofErr w:type="spellStart"/>
      <w:r w:rsidR="00261AD8" w:rsidRPr="000E0C2A">
        <w:rPr>
          <w:rFonts w:eastAsia="MS PGothic"/>
          <w:lang w:val="en-US"/>
        </w:rPr>
        <w:t>Y</w:t>
      </w:r>
      <w:r w:rsidR="00261AD8" w:rsidRPr="000E0C2A">
        <w:rPr>
          <w:rFonts w:eastAsia="MS PGothic"/>
          <w:vertAlign w:val="subscript"/>
          <w:lang w:val="en-US"/>
        </w:rPr>
        <w:t>biogas</w:t>
      </w:r>
      <w:proofErr w:type="spellEnd"/>
      <w:r w:rsidR="00261AD8" w:rsidRPr="000E0C2A">
        <w:rPr>
          <w:rFonts w:eastAsia="MS PGothic"/>
          <w:lang w:val="en-US"/>
        </w:rPr>
        <w:t>) and CH</w:t>
      </w:r>
      <w:r w:rsidR="00261AD8" w:rsidRPr="000E0C2A">
        <w:rPr>
          <w:rFonts w:eastAsia="MS PGothic"/>
          <w:vertAlign w:val="subscript"/>
          <w:lang w:val="en-US"/>
        </w:rPr>
        <w:t>4</w:t>
      </w:r>
      <w:r w:rsidR="00261AD8" w:rsidRPr="000E0C2A">
        <w:rPr>
          <w:rFonts w:eastAsia="MS PGothic"/>
          <w:lang w:val="en-US"/>
        </w:rPr>
        <w:t xml:space="preserve"> (Y</w:t>
      </w:r>
      <w:r w:rsidR="00261AD8" w:rsidRPr="000E0C2A">
        <w:rPr>
          <w:rFonts w:eastAsia="MS PGothic"/>
          <w:vertAlign w:val="subscript"/>
          <w:lang w:val="en-US"/>
        </w:rPr>
        <w:t>CH4</w:t>
      </w:r>
      <w:r w:rsidR="00261AD8" w:rsidRPr="00B935FC">
        <w:rPr>
          <w:rFonts w:eastAsia="MS PGothic"/>
          <w:lang w:val="en-US"/>
        </w:rPr>
        <w:t xml:space="preserve">) respectively. </w:t>
      </w:r>
      <w:r w:rsidR="00261AD8" w:rsidRPr="00261AD8">
        <w:rPr>
          <w:rFonts w:eastAsia="MS PGothic"/>
          <w:lang w:val="en-US"/>
        </w:rPr>
        <w:t xml:space="preserve">The mean production rates were 0.20 ± 0.02 </w:t>
      </w:r>
      <w:proofErr w:type="spellStart"/>
      <w:r w:rsidR="00261AD8" w:rsidRPr="00261AD8">
        <w:rPr>
          <w:rFonts w:eastAsia="MS PGothic"/>
          <w:lang w:val="en-US"/>
        </w:rPr>
        <w:t>NL</w:t>
      </w:r>
      <w:r w:rsidR="00261AD8" w:rsidRPr="00261AD8">
        <w:rPr>
          <w:rFonts w:eastAsia="MS PGothic"/>
          <w:vertAlign w:val="subscript"/>
          <w:lang w:val="en-US"/>
        </w:rPr>
        <w:t>biogas</w:t>
      </w:r>
      <w:proofErr w:type="spellEnd"/>
      <w:r w:rsidR="00261AD8" w:rsidRPr="00261AD8">
        <w:rPr>
          <w:rFonts w:eastAsia="MS PGothic"/>
          <w:vertAlign w:val="subscript"/>
          <w:lang w:val="en-US"/>
        </w:rPr>
        <w:t xml:space="preserve"> </w:t>
      </w:r>
      <w:r w:rsidR="00261AD8" w:rsidRPr="00261AD8">
        <w:rPr>
          <w:rFonts w:eastAsia="MS PGothic"/>
          <w:lang w:val="en-US"/>
        </w:rPr>
        <w:t>L</w:t>
      </w:r>
      <w:r w:rsidR="00261AD8" w:rsidRPr="00261AD8">
        <w:rPr>
          <w:rFonts w:eastAsia="MS PGothic"/>
          <w:vertAlign w:val="superscript"/>
          <w:lang w:val="en-US"/>
        </w:rPr>
        <w:t>-1</w:t>
      </w:r>
      <w:r w:rsidR="00261AD8" w:rsidRPr="00261AD8">
        <w:rPr>
          <w:rFonts w:eastAsia="MS PGothic"/>
          <w:lang w:val="en-US"/>
        </w:rPr>
        <w:t xml:space="preserve"> day</w:t>
      </w:r>
      <w:r w:rsidR="00261AD8" w:rsidRPr="00261AD8">
        <w:rPr>
          <w:rFonts w:eastAsia="MS PGothic"/>
          <w:vertAlign w:val="superscript"/>
          <w:lang w:val="en-US"/>
        </w:rPr>
        <w:t>-1</w:t>
      </w:r>
      <w:r w:rsidR="00261AD8" w:rsidRPr="00261AD8">
        <w:rPr>
          <w:rFonts w:eastAsia="MS PGothic"/>
          <w:lang w:val="en-US"/>
        </w:rPr>
        <w:t xml:space="preserve"> and 0.12 ± 0.01 NL</w:t>
      </w:r>
      <w:r w:rsidR="00261AD8" w:rsidRPr="00261AD8">
        <w:rPr>
          <w:rFonts w:eastAsia="MS PGothic"/>
          <w:vertAlign w:val="subscript"/>
          <w:lang w:val="en-US"/>
        </w:rPr>
        <w:t>CH4</w:t>
      </w:r>
      <w:r w:rsidR="00261AD8" w:rsidRPr="00261AD8">
        <w:rPr>
          <w:rFonts w:eastAsia="MS PGothic"/>
          <w:lang w:val="en-US"/>
        </w:rPr>
        <w:t xml:space="preserve"> L</w:t>
      </w:r>
      <w:r w:rsidR="00261AD8" w:rsidRPr="00261AD8">
        <w:rPr>
          <w:rFonts w:eastAsia="MS PGothic"/>
          <w:vertAlign w:val="superscript"/>
          <w:lang w:val="en-US"/>
        </w:rPr>
        <w:t>-1</w:t>
      </w:r>
      <w:r w:rsidR="00261AD8" w:rsidRPr="00261AD8">
        <w:rPr>
          <w:rFonts w:eastAsia="MS PGothic"/>
          <w:lang w:val="en-US"/>
        </w:rPr>
        <w:t xml:space="preserve"> day</w:t>
      </w:r>
      <w:r w:rsidR="00261AD8" w:rsidRPr="00261AD8">
        <w:rPr>
          <w:rFonts w:eastAsia="MS PGothic"/>
          <w:vertAlign w:val="superscript"/>
          <w:lang w:val="en-US"/>
        </w:rPr>
        <w:t>-1</w:t>
      </w:r>
      <w:r w:rsidR="00261AD8" w:rsidRPr="00261AD8">
        <w:rPr>
          <w:rFonts w:eastAsia="MS PGothic"/>
          <w:lang w:val="en-US"/>
        </w:rPr>
        <w:t>. The mean volatile solid (VS) conversion was 37% and the VS concentration was 16 ± 2 g/L. pH was stable at 7.2</w:t>
      </w:r>
      <w:r w:rsidR="000E0C2A">
        <w:rPr>
          <w:rFonts w:eastAsia="MS PGothic"/>
          <w:lang w:val="en-US"/>
        </w:rPr>
        <w:t xml:space="preserve">. </w:t>
      </w:r>
      <w:r w:rsidR="00E11F9A" w:rsidRPr="00C27EC0">
        <w:rPr>
          <w:rFonts w:eastAsia="MS PGothic"/>
          <w:lang w:val="en-US"/>
        </w:rPr>
        <w:t>In the AD tests with 100% of treated OMW</w:t>
      </w:r>
      <w:r w:rsidR="00E11F9A">
        <w:rPr>
          <w:rFonts w:eastAsia="MS PGothic"/>
          <w:lang w:val="en-US"/>
        </w:rPr>
        <w:t>,</w:t>
      </w:r>
      <w:r w:rsidR="00E11F9A" w:rsidRPr="00C27EC0">
        <w:rPr>
          <w:rFonts w:eastAsia="MS PGothic"/>
          <w:lang w:val="en-US"/>
        </w:rPr>
        <w:t xml:space="preserve"> the OMW fraction in the feed was gradually increased from day </w:t>
      </w:r>
      <w:r w:rsidR="00E11F9A" w:rsidRPr="00E11F9A">
        <w:rPr>
          <w:rFonts w:eastAsia="MS PGothic" w:cs="Times New Roman"/>
          <w:lang w:val="en-US"/>
        </w:rPr>
        <w:t xml:space="preserve">1 to day 35 </w:t>
      </w:r>
      <w:proofErr w:type="gramStart"/>
      <w:r w:rsidR="00E11F9A" w:rsidRPr="00E11F9A">
        <w:rPr>
          <w:rFonts w:eastAsia="MS PGothic" w:cs="Times New Roman"/>
          <w:lang w:val="en-US"/>
        </w:rPr>
        <w:t>in order to</w:t>
      </w:r>
      <w:proofErr w:type="gramEnd"/>
      <w:r w:rsidR="00E11F9A" w:rsidRPr="00E11F9A">
        <w:rPr>
          <w:rFonts w:eastAsia="MS PGothic" w:cs="Times New Roman"/>
          <w:lang w:val="en-US"/>
        </w:rPr>
        <w:t xml:space="preserve"> help the biomass adaptation to the new feed. Both biogas and methane yields increased during the first 35 days, with maximum values at the end of the OMW fraction increase (790 </w:t>
      </w:r>
      <w:proofErr w:type="spellStart"/>
      <w:r w:rsidR="00E11F9A" w:rsidRPr="00E11F9A">
        <w:rPr>
          <w:rFonts w:eastAsia="MS PGothic" w:cs="Times New Roman"/>
          <w:lang w:val="en-US"/>
        </w:rPr>
        <w:t>NL</w:t>
      </w:r>
      <w:r w:rsidR="00E11F9A" w:rsidRPr="00E11F9A">
        <w:rPr>
          <w:rFonts w:eastAsia="MS PGothic" w:cs="Times New Roman"/>
          <w:vertAlign w:val="subscript"/>
          <w:lang w:val="en-US"/>
        </w:rPr>
        <w:t>biogas</w:t>
      </w:r>
      <w:proofErr w:type="spellEnd"/>
      <w:r w:rsidR="00E11F9A" w:rsidRPr="00E11F9A">
        <w:rPr>
          <w:rFonts w:eastAsia="MS PGothic" w:cs="Times New Roman"/>
          <w:lang w:val="en-US"/>
        </w:rPr>
        <w:t>/</w:t>
      </w:r>
      <w:proofErr w:type="spellStart"/>
      <w:r w:rsidR="00E11F9A" w:rsidRPr="00E11F9A">
        <w:rPr>
          <w:rFonts w:eastAsia="MS PGothic" w:cs="Times New Roman"/>
          <w:lang w:val="en-US"/>
        </w:rPr>
        <w:t>kg</w:t>
      </w:r>
      <w:r w:rsidR="00E11F9A" w:rsidRPr="00E11F9A">
        <w:rPr>
          <w:rFonts w:eastAsia="MS PGothic" w:cs="Times New Roman"/>
          <w:vertAlign w:val="subscript"/>
          <w:lang w:val="en-US"/>
        </w:rPr>
        <w:t>VS</w:t>
      </w:r>
      <w:proofErr w:type="spellEnd"/>
      <w:r w:rsidR="00E11F9A" w:rsidRPr="00E11F9A">
        <w:rPr>
          <w:rFonts w:eastAsia="MS PGothic" w:cs="Times New Roman"/>
          <w:lang w:val="en-US"/>
        </w:rPr>
        <w:t xml:space="preserve"> fed and 470 NL</w:t>
      </w:r>
      <w:r w:rsidR="00E11F9A" w:rsidRPr="00E11F9A">
        <w:rPr>
          <w:rFonts w:eastAsia="MS PGothic" w:cs="Times New Roman"/>
          <w:vertAlign w:val="subscript"/>
          <w:lang w:val="en-US"/>
        </w:rPr>
        <w:t>CH4</w:t>
      </w:r>
      <w:r w:rsidR="00E11F9A" w:rsidRPr="00E11F9A">
        <w:rPr>
          <w:rFonts w:eastAsia="MS PGothic" w:cs="Times New Roman"/>
          <w:lang w:val="en-US"/>
        </w:rPr>
        <w:t>/</w:t>
      </w:r>
      <w:proofErr w:type="spellStart"/>
      <w:r w:rsidR="00E11F9A" w:rsidRPr="00E11F9A">
        <w:rPr>
          <w:rFonts w:eastAsia="MS PGothic" w:cs="Times New Roman"/>
          <w:lang w:val="en-US"/>
        </w:rPr>
        <w:t>kg</w:t>
      </w:r>
      <w:r w:rsidR="00E11F9A" w:rsidRPr="00E11F9A">
        <w:rPr>
          <w:rFonts w:eastAsia="MS PGothic" w:cs="Times New Roman"/>
          <w:vertAlign w:val="subscript"/>
          <w:lang w:val="en-US"/>
        </w:rPr>
        <w:t>VS</w:t>
      </w:r>
      <w:proofErr w:type="spellEnd"/>
      <w:r w:rsidR="00E11F9A" w:rsidRPr="00E11F9A">
        <w:rPr>
          <w:rFonts w:eastAsia="MS PGothic" w:cs="Times New Roman"/>
          <w:lang w:val="en-US"/>
        </w:rPr>
        <w:t xml:space="preserve"> fed) largely higher than those attained in the 100% SwS benchmark. However, starting from day 35, when the untreated OMW was the only feed, both the yields rapidly decreased and in 30 days the methanogenic activity the complete halted. These results suggest that, as expected, the untreated OMW is a strong inhibitor on the methanogenic activity. VFAs, </w:t>
      </w:r>
      <w:r w:rsidR="00795F3C" w:rsidRPr="00E11F9A">
        <w:rPr>
          <w:rFonts w:eastAsia="MS PGothic" w:cs="Times New Roman"/>
          <w:lang w:val="en-US"/>
        </w:rPr>
        <w:t>initially</w:t>
      </w:r>
      <w:r w:rsidR="00E11F9A" w:rsidRPr="00E11F9A">
        <w:rPr>
          <w:rFonts w:eastAsia="MS PGothic" w:cs="Times New Roman"/>
          <w:lang w:val="en-US"/>
        </w:rPr>
        <w:t xml:space="preserve"> low, increased steadily up to a maximum value of 5.5 g/L and the pH gradually decreased, reaching 6.1 on day 63. These results confirmed the inhibition on the methanogenesis, with a consequent VFAs accumulation. Analogous results were obtained in the AD </w:t>
      </w:r>
      <w:r w:rsidR="00795F3C" w:rsidRPr="00E11F9A">
        <w:rPr>
          <w:rFonts w:eastAsia="MS PGothic" w:cs="Times New Roman"/>
          <w:lang w:val="en-US"/>
        </w:rPr>
        <w:t xml:space="preserve">of </w:t>
      </w:r>
      <w:r w:rsidR="00DD6703" w:rsidRPr="00E11F9A">
        <w:rPr>
          <w:rFonts w:eastAsia="MS PGothic" w:cs="Times New Roman"/>
          <w:lang w:val="en-US"/>
        </w:rPr>
        <w:t>dephenolised</w:t>
      </w:r>
      <w:r w:rsidR="00E11F9A" w:rsidRPr="00E11F9A">
        <w:rPr>
          <w:rFonts w:eastAsia="MS PGothic" w:cs="Times New Roman"/>
          <w:lang w:val="en-US"/>
        </w:rPr>
        <w:t xml:space="preserve"> OMW: both the biogas and methane yield initially increased to maximum values on day 42 (1100 </w:t>
      </w:r>
      <w:proofErr w:type="spellStart"/>
      <w:r w:rsidR="00E11F9A" w:rsidRPr="00E11F9A">
        <w:rPr>
          <w:rFonts w:eastAsia="MS PGothic" w:cs="Times New Roman"/>
          <w:lang w:val="en-US"/>
        </w:rPr>
        <w:t>NL</w:t>
      </w:r>
      <w:r w:rsidR="00E11F9A" w:rsidRPr="00E11F9A">
        <w:rPr>
          <w:rFonts w:eastAsia="MS PGothic" w:cs="Times New Roman"/>
          <w:vertAlign w:val="subscript"/>
          <w:lang w:val="en-US"/>
        </w:rPr>
        <w:t>biogas</w:t>
      </w:r>
      <w:proofErr w:type="spellEnd"/>
      <w:r w:rsidR="00E11F9A" w:rsidRPr="00E11F9A">
        <w:rPr>
          <w:rFonts w:eastAsia="MS PGothic" w:cs="Times New Roman"/>
          <w:lang w:val="en-US"/>
        </w:rPr>
        <w:t>/</w:t>
      </w:r>
      <w:proofErr w:type="spellStart"/>
      <w:r w:rsidR="00E11F9A" w:rsidRPr="00E11F9A">
        <w:rPr>
          <w:rFonts w:eastAsia="MS PGothic" w:cs="Times New Roman"/>
          <w:lang w:val="en-US"/>
        </w:rPr>
        <w:t>kg</w:t>
      </w:r>
      <w:r w:rsidR="00E11F9A" w:rsidRPr="00E11F9A">
        <w:rPr>
          <w:rFonts w:eastAsia="MS PGothic" w:cs="Times New Roman"/>
          <w:vertAlign w:val="subscript"/>
          <w:lang w:val="en-US"/>
        </w:rPr>
        <w:t>VS</w:t>
      </w:r>
      <w:proofErr w:type="spellEnd"/>
      <w:r w:rsidR="00E11F9A" w:rsidRPr="00E11F9A">
        <w:rPr>
          <w:rFonts w:eastAsia="MS PGothic" w:cs="Times New Roman"/>
          <w:lang w:val="en-US"/>
        </w:rPr>
        <w:t xml:space="preserve"> fed and 750 NL</w:t>
      </w:r>
      <w:r w:rsidR="00E11F9A" w:rsidRPr="00E11F9A">
        <w:rPr>
          <w:rFonts w:eastAsia="MS PGothic" w:cs="Times New Roman"/>
          <w:vertAlign w:val="subscript"/>
          <w:lang w:val="en-US"/>
        </w:rPr>
        <w:t>CH4</w:t>
      </w:r>
      <w:r w:rsidR="00E11F9A" w:rsidRPr="00E11F9A">
        <w:rPr>
          <w:rFonts w:eastAsia="MS PGothic" w:cs="Times New Roman"/>
          <w:lang w:val="en-US"/>
        </w:rPr>
        <w:t>/</w:t>
      </w:r>
      <w:proofErr w:type="spellStart"/>
      <w:r w:rsidR="00E11F9A" w:rsidRPr="00E11F9A">
        <w:rPr>
          <w:rFonts w:eastAsia="MS PGothic" w:cs="Times New Roman"/>
          <w:lang w:val="en-US"/>
        </w:rPr>
        <w:t>kg</w:t>
      </w:r>
      <w:r w:rsidR="00E11F9A" w:rsidRPr="00E11F9A">
        <w:rPr>
          <w:rFonts w:eastAsia="MS PGothic" w:cs="Times New Roman"/>
          <w:vertAlign w:val="subscript"/>
          <w:lang w:val="en-US"/>
        </w:rPr>
        <w:t>VS</w:t>
      </w:r>
      <w:proofErr w:type="spellEnd"/>
      <w:r w:rsidR="00E11F9A" w:rsidRPr="00E11F9A">
        <w:rPr>
          <w:rFonts w:eastAsia="MS PGothic" w:cs="Times New Roman"/>
          <w:lang w:val="en-US"/>
        </w:rPr>
        <w:t xml:space="preserve"> fed), then, they yields decreased, though with a slower trend than in the case of the untreated OMW and after 100 day the methanogenic activity completely stopped. The trends of VFAs and pH were </w:t>
      </w:r>
      <w:proofErr w:type="gramStart"/>
      <w:r w:rsidR="00E11F9A" w:rsidRPr="00E11F9A">
        <w:rPr>
          <w:rFonts w:eastAsia="MS PGothic" w:cs="Times New Roman"/>
          <w:lang w:val="en-US"/>
        </w:rPr>
        <w:t>similar to</w:t>
      </w:r>
      <w:proofErr w:type="gramEnd"/>
      <w:r w:rsidR="00E11F9A" w:rsidRPr="00E11F9A">
        <w:rPr>
          <w:rFonts w:eastAsia="MS PGothic" w:cs="Times New Roman"/>
          <w:lang w:val="en-US"/>
        </w:rPr>
        <w:t xml:space="preserve"> that of untreated OMW. The results </w:t>
      </w:r>
      <w:r w:rsidR="00795F3C" w:rsidRPr="00E11F9A">
        <w:rPr>
          <w:rFonts w:eastAsia="MS PGothic" w:cs="Times New Roman"/>
          <w:lang w:val="en-US"/>
        </w:rPr>
        <w:t>obtained with</w:t>
      </w:r>
      <w:r w:rsidR="00E11F9A" w:rsidRPr="00E11F9A">
        <w:rPr>
          <w:rFonts w:eastAsia="MS PGothic" w:cs="Times New Roman"/>
          <w:lang w:val="en-US"/>
        </w:rPr>
        <w:t xml:space="preserve"> untreated OMW and </w:t>
      </w:r>
      <w:r w:rsidR="00DD6703" w:rsidRPr="00E11F9A">
        <w:rPr>
          <w:rFonts w:eastAsia="MS PGothic" w:cs="Times New Roman"/>
          <w:lang w:val="en-US"/>
        </w:rPr>
        <w:t>dephenolised</w:t>
      </w:r>
      <w:r w:rsidR="00E11F9A" w:rsidRPr="00E11F9A">
        <w:rPr>
          <w:rFonts w:eastAsia="MS PGothic" w:cs="Times New Roman"/>
          <w:lang w:val="en-US"/>
        </w:rPr>
        <w:t xml:space="preserve"> OMW showed that the OMW volatile solids have </w:t>
      </w:r>
      <w:r w:rsidR="00795F3C" w:rsidRPr="00E11F9A">
        <w:rPr>
          <w:rFonts w:eastAsia="MS PGothic" w:cs="Times New Roman"/>
          <w:lang w:val="en-US"/>
        </w:rPr>
        <w:t>a</w:t>
      </w:r>
      <w:r w:rsidR="00E11F9A" w:rsidRPr="00E11F9A">
        <w:rPr>
          <w:rFonts w:eastAsia="MS PGothic" w:cs="Times New Roman"/>
          <w:lang w:val="en-US"/>
        </w:rPr>
        <w:t xml:space="preserve"> large biomethane potential, higher than that of the SwS.</w:t>
      </w:r>
      <w:r w:rsidR="000E0C2A">
        <w:rPr>
          <w:rFonts w:eastAsia="MS PGothic" w:cs="Times New Roman"/>
          <w:lang w:val="en-US"/>
        </w:rPr>
        <w:t xml:space="preserve"> </w:t>
      </w:r>
      <w:r w:rsidR="00B504B1">
        <w:rPr>
          <w:rFonts w:eastAsia="MS PGothic"/>
          <w:lang w:val="en-US"/>
        </w:rPr>
        <w:t xml:space="preserve">The time evolution of methane yields for the co-AD bioreactors are shown in </w:t>
      </w:r>
      <w:r w:rsidR="00795F3C">
        <w:rPr>
          <w:rFonts w:eastAsia="MS PGothic"/>
          <w:lang w:val="en-US"/>
        </w:rPr>
        <w:t>F</w:t>
      </w:r>
      <w:r w:rsidR="00B504B1">
        <w:rPr>
          <w:rFonts w:eastAsia="MS PGothic"/>
          <w:lang w:val="en-US"/>
        </w:rPr>
        <w:t xml:space="preserve">igure 1. </w:t>
      </w:r>
      <w:r w:rsidR="00B504B1" w:rsidRPr="007C723D">
        <w:rPr>
          <w:rFonts w:eastAsia="MS PGothic"/>
          <w:lang w:val="en-US"/>
        </w:rPr>
        <w:t xml:space="preserve">For both untreated OMW and </w:t>
      </w:r>
      <w:r w:rsidR="00DD6703" w:rsidRPr="007C723D">
        <w:rPr>
          <w:rFonts w:eastAsia="MS PGothic"/>
          <w:lang w:val="en-US"/>
        </w:rPr>
        <w:t>dephenolised</w:t>
      </w:r>
      <w:r w:rsidR="00B504B1" w:rsidRPr="007C723D">
        <w:rPr>
          <w:rFonts w:eastAsia="MS PGothic"/>
          <w:lang w:val="en-US"/>
        </w:rPr>
        <w:t xml:space="preserve"> OMW fed bioreactors, the replacement of SwS with OMW caused the biogas and methane production yields and rates to increase</w:t>
      </w:r>
      <w:r w:rsidR="00B504B1">
        <w:rPr>
          <w:rFonts w:eastAsia="MS PGothic"/>
          <w:lang w:val="en-US"/>
        </w:rPr>
        <w:t xml:space="preserve"> with time and almost stabilized in about 60 days, showing that, contrary to the case of pure OMW AD, steady-state conditions can be successfully achieved</w:t>
      </w:r>
      <w:r w:rsidR="00B504B1" w:rsidRPr="007C723D">
        <w:rPr>
          <w:rFonts w:eastAsia="MS PGothic"/>
          <w:lang w:val="en-US"/>
        </w:rPr>
        <w:t>.</w:t>
      </w:r>
      <w:r w:rsidR="00B504B1" w:rsidRPr="00E11F9A">
        <w:rPr>
          <w:rFonts w:eastAsia="MS PGothic"/>
          <w:color w:val="FF0000"/>
          <w:lang w:val="en-US"/>
        </w:rPr>
        <w:t xml:space="preserve"> </w:t>
      </w:r>
      <w:r w:rsidR="00B504B1" w:rsidRPr="00431AB0">
        <w:rPr>
          <w:rFonts w:eastAsia="MS PGothic"/>
          <w:lang w:val="en-US"/>
        </w:rPr>
        <w:t xml:space="preserve">For both untreated and </w:t>
      </w:r>
      <w:r w:rsidR="00DD6703" w:rsidRPr="00431AB0">
        <w:rPr>
          <w:rFonts w:eastAsia="MS PGothic"/>
          <w:lang w:val="en-US"/>
        </w:rPr>
        <w:t>dephenolised</w:t>
      </w:r>
      <w:r w:rsidR="00B504B1" w:rsidRPr="00431AB0">
        <w:rPr>
          <w:rFonts w:eastAsia="MS PGothic"/>
          <w:lang w:val="en-US"/>
        </w:rPr>
        <w:t xml:space="preserve"> OMWs the best performances were obtained with the higher OMW fraction (25%): methane yields of 226 NL</w:t>
      </w:r>
      <w:r w:rsidR="00B504B1" w:rsidRPr="00431AB0">
        <w:rPr>
          <w:rFonts w:eastAsia="MS PGothic"/>
          <w:vertAlign w:val="subscript"/>
          <w:lang w:val="en-US"/>
        </w:rPr>
        <w:t>CH4</w:t>
      </w:r>
      <w:r w:rsidR="00B504B1" w:rsidRPr="00431AB0">
        <w:rPr>
          <w:rFonts w:eastAsia="MS PGothic"/>
          <w:lang w:val="en-US"/>
        </w:rPr>
        <w:t>/</w:t>
      </w:r>
      <w:proofErr w:type="spellStart"/>
      <w:r w:rsidR="00B504B1" w:rsidRPr="00431AB0">
        <w:rPr>
          <w:rFonts w:eastAsia="MS PGothic"/>
          <w:lang w:val="en-US"/>
        </w:rPr>
        <w:t>kg</w:t>
      </w:r>
      <w:r w:rsidR="00B504B1" w:rsidRPr="00431AB0">
        <w:rPr>
          <w:rFonts w:eastAsia="MS PGothic"/>
          <w:vertAlign w:val="subscript"/>
          <w:lang w:val="en-US"/>
        </w:rPr>
        <w:t>VS</w:t>
      </w:r>
      <w:proofErr w:type="spellEnd"/>
      <w:r w:rsidR="00B504B1" w:rsidRPr="00431AB0">
        <w:rPr>
          <w:rFonts w:eastAsia="MS PGothic"/>
          <w:lang w:val="en-US"/>
        </w:rPr>
        <w:t xml:space="preserve"> fed for untreated OMW</w:t>
      </w:r>
      <w:r w:rsidR="00B504B1">
        <w:rPr>
          <w:rFonts w:eastAsia="MS PGothic"/>
          <w:lang w:val="en-US"/>
        </w:rPr>
        <w:t xml:space="preserve"> </w:t>
      </w:r>
      <w:r w:rsidR="00B504B1" w:rsidRPr="00431AB0">
        <w:rPr>
          <w:rFonts w:eastAsia="MS PGothic"/>
          <w:lang w:val="en-US"/>
        </w:rPr>
        <w:t>and 179 NL</w:t>
      </w:r>
      <w:r w:rsidR="00B504B1" w:rsidRPr="00431AB0">
        <w:rPr>
          <w:rFonts w:eastAsia="MS PGothic"/>
          <w:vertAlign w:val="subscript"/>
          <w:lang w:val="en-US"/>
        </w:rPr>
        <w:t>CH4</w:t>
      </w:r>
      <w:r w:rsidR="00B504B1" w:rsidRPr="00431AB0">
        <w:rPr>
          <w:rFonts w:eastAsia="MS PGothic"/>
          <w:lang w:val="en-US"/>
        </w:rPr>
        <w:t>/</w:t>
      </w:r>
      <w:proofErr w:type="spellStart"/>
      <w:r w:rsidR="00B504B1" w:rsidRPr="00431AB0">
        <w:rPr>
          <w:rFonts w:eastAsia="MS PGothic"/>
          <w:lang w:val="en-US"/>
        </w:rPr>
        <w:t>kg</w:t>
      </w:r>
      <w:r w:rsidR="00B504B1" w:rsidRPr="00431AB0">
        <w:rPr>
          <w:rFonts w:eastAsia="MS PGothic"/>
          <w:vertAlign w:val="subscript"/>
          <w:lang w:val="en-US"/>
        </w:rPr>
        <w:t>VS</w:t>
      </w:r>
      <w:proofErr w:type="spellEnd"/>
      <w:r w:rsidR="00B504B1" w:rsidRPr="00431AB0">
        <w:rPr>
          <w:rFonts w:eastAsia="MS PGothic"/>
          <w:lang w:val="en-US"/>
        </w:rPr>
        <w:t xml:space="preserve"> fed for </w:t>
      </w:r>
      <w:r w:rsidR="00DD6703" w:rsidRPr="00431AB0">
        <w:rPr>
          <w:rFonts w:eastAsia="MS PGothic"/>
          <w:lang w:val="en-US"/>
        </w:rPr>
        <w:t>dephenolised</w:t>
      </w:r>
      <w:r w:rsidR="00B504B1" w:rsidRPr="00431AB0">
        <w:rPr>
          <w:rFonts w:eastAsia="MS PGothic"/>
          <w:lang w:val="en-US"/>
        </w:rPr>
        <w:t xml:space="preserve"> OMW</w:t>
      </w:r>
      <w:r w:rsidR="00B504B1">
        <w:rPr>
          <w:rFonts w:eastAsia="MS PGothic"/>
          <w:lang w:val="en-US"/>
        </w:rPr>
        <w:t xml:space="preserve">, values </w:t>
      </w:r>
      <w:r w:rsidR="00B504B1" w:rsidRPr="00B504B1">
        <w:rPr>
          <w:rFonts w:eastAsia="MS PGothic"/>
          <w:lang w:val="en-US"/>
        </w:rPr>
        <w:t>much higher than that obtained with the sole SwS (110 NL</w:t>
      </w:r>
      <w:r w:rsidR="00B504B1" w:rsidRPr="00B504B1">
        <w:rPr>
          <w:rFonts w:eastAsia="MS PGothic"/>
          <w:vertAlign w:val="subscript"/>
          <w:lang w:val="en-US"/>
        </w:rPr>
        <w:t>CH4</w:t>
      </w:r>
      <w:r w:rsidR="00B504B1" w:rsidRPr="00B504B1">
        <w:rPr>
          <w:rFonts w:eastAsia="MS PGothic"/>
          <w:lang w:val="en-US"/>
        </w:rPr>
        <w:t>/</w:t>
      </w:r>
      <w:proofErr w:type="spellStart"/>
      <w:r w:rsidR="00B504B1" w:rsidRPr="00B504B1">
        <w:rPr>
          <w:rFonts w:eastAsia="MS PGothic"/>
          <w:lang w:val="en-US"/>
        </w:rPr>
        <w:t>kg</w:t>
      </w:r>
      <w:r w:rsidR="00B504B1" w:rsidRPr="00B504B1">
        <w:rPr>
          <w:rFonts w:eastAsia="MS PGothic"/>
          <w:vertAlign w:val="subscript"/>
          <w:lang w:val="en-US"/>
        </w:rPr>
        <w:t>VS</w:t>
      </w:r>
      <w:proofErr w:type="spellEnd"/>
      <w:r w:rsidR="00B504B1" w:rsidRPr="00B504B1">
        <w:rPr>
          <w:rFonts w:eastAsia="MS PGothic"/>
          <w:lang w:val="en-US"/>
        </w:rPr>
        <w:t xml:space="preserve">). The untreated OMW showed higher performances than the corresponding </w:t>
      </w:r>
      <w:r w:rsidR="00DD6703" w:rsidRPr="00B504B1">
        <w:rPr>
          <w:rFonts w:eastAsia="MS PGothic"/>
          <w:lang w:val="en-US"/>
        </w:rPr>
        <w:t>dephenolised</w:t>
      </w:r>
      <w:r w:rsidR="00B504B1" w:rsidRPr="00B504B1">
        <w:rPr>
          <w:rFonts w:eastAsia="MS PGothic"/>
          <w:lang w:val="en-US"/>
        </w:rPr>
        <w:t xml:space="preserve"> OMW, indicating that </w:t>
      </w:r>
      <w:r w:rsidR="00DD6703" w:rsidRPr="00B504B1">
        <w:rPr>
          <w:rFonts w:eastAsia="MS PGothic"/>
          <w:lang w:val="en-US"/>
        </w:rPr>
        <w:t>dephenolisation</w:t>
      </w:r>
      <w:r w:rsidR="00B504B1" w:rsidRPr="00B504B1">
        <w:rPr>
          <w:rFonts w:eastAsia="MS PGothic"/>
          <w:lang w:val="en-US"/>
        </w:rPr>
        <w:t xml:space="preserve"> did not lead to a beneficial effect in terms of methane production whereas the higher VS content of untreated OMW seems to the reason of the higher methane yield. The results obtained so far showed that: </w:t>
      </w:r>
      <w:proofErr w:type="spellStart"/>
      <w:r w:rsidR="00B504B1" w:rsidRPr="00B504B1">
        <w:rPr>
          <w:rFonts w:eastAsia="MS PGothic"/>
          <w:lang w:val="en-US"/>
        </w:rPr>
        <w:t>i</w:t>
      </w:r>
      <w:proofErr w:type="spellEnd"/>
      <w:r w:rsidR="00B504B1" w:rsidRPr="00B504B1">
        <w:rPr>
          <w:rFonts w:eastAsia="MS PGothic"/>
          <w:lang w:val="en-US"/>
        </w:rPr>
        <w:t xml:space="preserve">) the co-AD of OMW and SwS leads to a significant enhancement of the biomethanation performance, ii) the OMW </w:t>
      </w:r>
      <w:r w:rsidR="00DD6703" w:rsidRPr="00B504B1">
        <w:rPr>
          <w:rFonts w:eastAsia="MS PGothic"/>
          <w:lang w:val="en-US"/>
        </w:rPr>
        <w:t>dephenolisation</w:t>
      </w:r>
      <w:r w:rsidR="00B504B1" w:rsidRPr="00B504B1">
        <w:rPr>
          <w:rFonts w:eastAsia="MS PGothic"/>
          <w:lang w:val="en-US"/>
        </w:rPr>
        <w:t xml:space="preserve"> is not economically justified, unless the produced PC mixture can be sold at a price high enough to repay the investment in the adsorption/desorption plant. </w:t>
      </w:r>
    </w:p>
    <w:p w14:paraId="4B30AFA3" w14:textId="6177ABEC" w:rsidR="0033712D" w:rsidRDefault="0033712D" w:rsidP="00991901">
      <w:pPr>
        <w:rPr>
          <w:rStyle w:val="text"/>
          <w:rFonts w:cs="Times New Roman"/>
          <w:lang w:val="en-GB"/>
        </w:rPr>
      </w:pPr>
      <w:r>
        <w:rPr>
          <w:noProof/>
        </w:rPr>
        <w:lastRenderedPageBreak/>
        <w:drawing>
          <wp:inline distT="0" distB="0" distL="0" distR="0" wp14:anchorId="5B6D668F" wp14:editId="66114C4B">
            <wp:extent cx="3031958" cy="2630805"/>
            <wp:effectExtent l="0" t="0" r="3810" b="0"/>
            <wp:docPr id="7" name="Grafico 7">
              <a:extLst xmlns:a="http://schemas.openxmlformats.org/drawingml/2006/main">
                <a:ext uri="{FF2B5EF4-FFF2-40B4-BE49-F238E27FC236}">
                  <a16:creationId xmlns:a16="http://schemas.microsoft.com/office/drawing/2014/main" id="{F9D60FCB-42EE-FC41-80B5-16608F84DB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noProof/>
        </w:rPr>
        <w:drawing>
          <wp:inline distT="0" distB="0" distL="0" distR="0" wp14:anchorId="702BEEC5" wp14:editId="5EB90F8B">
            <wp:extent cx="3031490" cy="2621691"/>
            <wp:effectExtent l="0" t="0" r="3810" b="0"/>
            <wp:docPr id="8" name="Grafico 8">
              <a:extLst xmlns:a="http://schemas.openxmlformats.org/drawingml/2006/main">
                <a:ext uri="{FF2B5EF4-FFF2-40B4-BE49-F238E27FC236}">
                  <a16:creationId xmlns:a16="http://schemas.microsoft.com/office/drawing/2014/main" id="{FF1C9D84-02DB-E24C-A66E-0396D04B52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DE4CBDF" w14:textId="47323D1B" w:rsidR="00AE5C39" w:rsidRPr="002B48EE" w:rsidRDefault="00AE5C39" w:rsidP="00AE5C39">
      <w:pPr>
        <w:pStyle w:val="Didascalia"/>
        <w:jc w:val="center"/>
        <w:rPr>
          <w:rFonts w:eastAsia="MS PGothic" w:cs="Times New Roman"/>
          <w:i w:val="0"/>
          <w:iCs w:val="0"/>
          <w:lang w:val="en-GB"/>
        </w:rPr>
      </w:pPr>
      <w:r w:rsidRPr="002B48EE">
        <w:rPr>
          <w:rFonts w:cs="Times New Roman"/>
          <w:b/>
          <w:bCs/>
          <w:i w:val="0"/>
          <w:iCs w:val="0"/>
          <w:color w:val="auto"/>
          <w:lang w:val="en-GB"/>
        </w:rPr>
        <w:t xml:space="preserve">Figure </w:t>
      </w:r>
      <w:r w:rsidRPr="002B48EE">
        <w:rPr>
          <w:rFonts w:cs="Times New Roman"/>
          <w:b/>
          <w:bCs/>
          <w:i w:val="0"/>
          <w:iCs w:val="0"/>
          <w:color w:val="auto"/>
        </w:rPr>
        <w:fldChar w:fldCharType="begin"/>
      </w:r>
      <w:r w:rsidRPr="002B48EE">
        <w:rPr>
          <w:rFonts w:cs="Times New Roman"/>
          <w:b/>
          <w:bCs/>
          <w:i w:val="0"/>
          <w:iCs w:val="0"/>
          <w:color w:val="auto"/>
          <w:lang w:val="en-GB"/>
        </w:rPr>
        <w:instrText xml:space="preserve"> SEQ Figure \* ARABIC </w:instrText>
      </w:r>
      <w:r w:rsidRPr="002B48EE">
        <w:rPr>
          <w:rFonts w:cs="Times New Roman"/>
          <w:b/>
          <w:bCs/>
          <w:i w:val="0"/>
          <w:iCs w:val="0"/>
          <w:color w:val="auto"/>
        </w:rPr>
        <w:fldChar w:fldCharType="separate"/>
      </w:r>
      <w:r>
        <w:rPr>
          <w:rFonts w:cs="Times New Roman"/>
          <w:b/>
          <w:bCs/>
          <w:i w:val="0"/>
          <w:iCs w:val="0"/>
          <w:noProof/>
          <w:color w:val="auto"/>
          <w:lang w:val="en-GB"/>
        </w:rPr>
        <w:t>1</w:t>
      </w:r>
      <w:r w:rsidRPr="002B48EE">
        <w:rPr>
          <w:rFonts w:cs="Times New Roman"/>
          <w:b/>
          <w:bCs/>
          <w:i w:val="0"/>
          <w:iCs w:val="0"/>
          <w:color w:val="auto"/>
        </w:rPr>
        <w:fldChar w:fldCharType="end"/>
      </w:r>
      <w:r w:rsidRPr="002B48EE">
        <w:rPr>
          <w:i w:val="0"/>
          <w:iCs w:val="0"/>
          <w:lang w:val="en-GB"/>
        </w:rPr>
        <w:t xml:space="preserve"> - </w:t>
      </w:r>
      <w:r w:rsidRPr="00AE5C39">
        <w:rPr>
          <w:rFonts w:cs="Times New Roman"/>
          <w:i w:val="0"/>
          <w:iCs w:val="0"/>
          <w:color w:val="171717" w:themeColor="background2" w:themeShade="1A"/>
          <w:lang w:val="en-GB"/>
        </w:rPr>
        <w:t xml:space="preserve">Comparison between the </w:t>
      </w:r>
      <w:r w:rsidR="0033712D" w:rsidRPr="00AE5C39">
        <w:rPr>
          <w:rFonts w:cs="Times New Roman"/>
          <w:i w:val="0"/>
          <w:iCs w:val="0"/>
          <w:color w:val="171717" w:themeColor="background2" w:themeShade="1A"/>
          <w:lang w:val="en-GB"/>
        </w:rPr>
        <w:t>CH</w:t>
      </w:r>
      <w:r w:rsidR="0033712D" w:rsidRPr="004829F0">
        <w:rPr>
          <w:rFonts w:cs="Times New Roman"/>
          <w:i w:val="0"/>
          <w:iCs w:val="0"/>
          <w:color w:val="171717" w:themeColor="background2" w:themeShade="1A"/>
          <w:vertAlign w:val="subscript"/>
          <w:lang w:val="en-GB"/>
        </w:rPr>
        <w:t>4</w:t>
      </w:r>
      <w:r w:rsidR="0033712D" w:rsidRPr="00AE5C39">
        <w:rPr>
          <w:rFonts w:cs="Times New Roman"/>
          <w:i w:val="0"/>
          <w:iCs w:val="0"/>
          <w:color w:val="171717" w:themeColor="background2" w:themeShade="1A"/>
          <w:lang w:val="en-GB"/>
        </w:rPr>
        <w:t xml:space="preserve"> yields </w:t>
      </w:r>
      <w:r w:rsidRPr="00AE5C39">
        <w:rPr>
          <w:rFonts w:cs="Times New Roman"/>
          <w:i w:val="0"/>
          <w:iCs w:val="0"/>
          <w:color w:val="171717" w:themeColor="background2" w:themeShade="1A"/>
          <w:lang w:val="en-GB"/>
        </w:rPr>
        <w:t xml:space="preserve">obtained in the bioreactors operated with different OMW/SwS ratios with a 23-day HRT. </w:t>
      </w:r>
      <w:r w:rsidR="0033712D">
        <w:rPr>
          <w:rFonts w:cs="Times New Roman"/>
          <w:i w:val="0"/>
          <w:iCs w:val="0"/>
          <w:color w:val="171717" w:themeColor="background2" w:themeShade="1A"/>
          <w:lang w:val="en-GB"/>
        </w:rPr>
        <w:t xml:space="preserve">A) untreated </w:t>
      </w:r>
      <w:r w:rsidRPr="00AE5C39">
        <w:rPr>
          <w:rFonts w:cs="Times New Roman"/>
          <w:i w:val="0"/>
          <w:iCs w:val="0"/>
          <w:color w:val="171717" w:themeColor="background2" w:themeShade="1A"/>
          <w:lang w:val="en-GB"/>
        </w:rPr>
        <w:t>OMW</w:t>
      </w:r>
      <w:r w:rsidR="0033712D">
        <w:rPr>
          <w:rFonts w:cs="Times New Roman"/>
          <w:i w:val="0"/>
          <w:iCs w:val="0"/>
          <w:color w:val="171717" w:themeColor="background2" w:themeShade="1A"/>
          <w:lang w:val="en-GB"/>
        </w:rPr>
        <w:t xml:space="preserve">; B) </w:t>
      </w:r>
      <w:r w:rsidR="00DD6703" w:rsidRPr="00AE5C39">
        <w:rPr>
          <w:rFonts w:cs="Times New Roman"/>
          <w:i w:val="0"/>
          <w:iCs w:val="0"/>
          <w:color w:val="171717" w:themeColor="background2" w:themeShade="1A"/>
          <w:lang w:val="en-GB"/>
        </w:rPr>
        <w:t>dephenolised</w:t>
      </w:r>
      <w:r w:rsidRPr="00AE5C39">
        <w:rPr>
          <w:rFonts w:cs="Times New Roman"/>
          <w:i w:val="0"/>
          <w:iCs w:val="0"/>
          <w:color w:val="171717" w:themeColor="background2" w:themeShade="1A"/>
          <w:lang w:val="en-GB"/>
        </w:rPr>
        <w:t xml:space="preserve"> OMW</w:t>
      </w:r>
      <w:r>
        <w:rPr>
          <w:rFonts w:cs="Times New Roman"/>
          <w:i w:val="0"/>
          <w:iCs w:val="0"/>
          <w:color w:val="171717" w:themeColor="background2" w:themeShade="1A"/>
          <w:lang w:val="en-GB"/>
        </w:rPr>
        <w:t>.</w:t>
      </w:r>
    </w:p>
    <w:p w14:paraId="314C3409" w14:textId="77777777" w:rsidR="00DD6703" w:rsidRDefault="00035EFE" w:rsidP="00991901">
      <w:pPr>
        <w:snapToGrid w:val="0"/>
        <w:spacing w:before="240" w:line="300" w:lineRule="auto"/>
        <w:jc w:val="both"/>
        <w:rPr>
          <w:rFonts w:eastAsia="MS PGothic"/>
          <w:lang w:val="en-US"/>
        </w:rPr>
      </w:pPr>
      <w:r w:rsidRPr="005A1005">
        <w:rPr>
          <w:rFonts w:eastAsia="MS PGothic"/>
          <w:lang w:val="en-US"/>
        </w:rPr>
        <w:t>At day 100, a second part of the work was started aimed at maximizing the OMW/SwS ratio and, in turn, the biogas productivity with a stable performance without a long adaptation time, hardly compatible with the typical seasonality of OMW production.</w:t>
      </w:r>
      <w:r w:rsidRPr="005A1005">
        <w:rPr>
          <w:rFonts w:eastAsia="MS PGothic"/>
          <w:color w:val="FF0000"/>
          <w:lang w:val="en-US"/>
        </w:rPr>
        <w:t xml:space="preserve"> </w:t>
      </w:r>
      <w:r w:rsidRPr="005A1005">
        <w:rPr>
          <w:rFonts w:eastAsia="MS PGothic"/>
          <w:lang w:val="en-US"/>
        </w:rPr>
        <w:t xml:space="preserve">The HRT of the bioreactors fed with 25% OMW contained a methanogenic microbial consortium acclimatized to a PCs concentration of 260 mg/L and 23 mg/L, respectively for untreated and </w:t>
      </w:r>
      <w:r w:rsidR="00DD6703" w:rsidRPr="005A1005">
        <w:rPr>
          <w:rFonts w:eastAsia="MS PGothic"/>
          <w:lang w:val="en-US"/>
        </w:rPr>
        <w:t>dephenolised</w:t>
      </w:r>
      <w:r w:rsidRPr="005A1005">
        <w:rPr>
          <w:rFonts w:eastAsia="MS PGothic"/>
          <w:lang w:val="en-US"/>
        </w:rPr>
        <w:t xml:space="preserve"> OMW, was raised from 23 to 40 days and the OMW fraction was increased to 40%. In both the bioreactors a rapid increase of the CH</w:t>
      </w:r>
      <w:r w:rsidRPr="005A1005">
        <w:rPr>
          <w:rFonts w:eastAsia="MS PGothic"/>
          <w:vertAlign w:val="subscript"/>
          <w:lang w:val="en-US"/>
        </w:rPr>
        <w:t>4</w:t>
      </w:r>
      <w:r w:rsidRPr="005A1005">
        <w:rPr>
          <w:rFonts w:eastAsia="MS PGothic"/>
          <w:lang w:val="en-US"/>
        </w:rPr>
        <w:t xml:space="preserve"> yields, that reached 268 ± 3 NL</w:t>
      </w:r>
      <w:r w:rsidRPr="005A1005">
        <w:rPr>
          <w:rFonts w:eastAsia="MS PGothic"/>
          <w:vertAlign w:val="subscript"/>
          <w:lang w:val="en-US"/>
        </w:rPr>
        <w:t>CH4</w:t>
      </w:r>
      <w:r w:rsidRPr="005A1005">
        <w:rPr>
          <w:rFonts w:eastAsia="MS PGothic"/>
          <w:lang w:val="en-US"/>
        </w:rPr>
        <w:t>/kg VS fed for untreated OMW and 235 ± 13 NL</w:t>
      </w:r>
      <w:r w:rsidRPr="005A1005">
        <w:rPr>
          <w:rFonts w:eastAsia="MS PGothic"/>
          <w:vertAlign w:val="subscript"/>
          <w:lang w:val="en-US"/>
        </w:rPr>
        <w:t>CH4</w:t>
      </w:r>
      <w:r w:rsidRPr="005A1005">
        <w:rPr>
          <w:rFonts w:eastAsia="MS PGothic"/>
          <w:lang w:val="en-US"/>
        </w:rPr>
        <w:t xml:space="preserve">/kg VS fed for </w:t>
      </w:r>
      <w:r w:rsidR="00DD6703" w:rsidRPr="005A1005">
        <w:rPr>
          <w:rFonts w:eastAsia="MS PGothic"/>
          <w:lang w:val="en-US"/>
        </w:rPr>
        <w:t>dephenolised</w:t>
      </w:r>
      <w:r w:rsidRPr="005A1005">
        <w:rPr>
          <w:rFonts w:eastAsia="MS PGothic"/>
          <w:lang w:val="en-US"/>
        </w:rPr>
        <w:t xml:space="preserve"> OMW</w:t>
      </w:r>
      <w:r>
        <w:rPr>
          <w:rFonts w:eastAsia="MS PGothic"/>
          <w:lang w:val="en-US"/>
        </w:rPr>
        <w:t xml:space="preserve">, corresponding to </w:t>
      </w:r>
      <w:r w:rsidRPr="005A1005">
        <w:rPr>
          <w:rFonts w:eastAsia="MS PGothic"/>
          <w:lang w:val="en-US"/>
        </w:rPr>
        <w:t>increase</w:t>
      </w:r>
      <w:r>
        <w:rPr>
          <w:rFonts w:eastAsia="MS PGothic"/>
          <w:lang w:val="en-US"/>
        </w:rPr>
        <w:t xml:space="preserve">s of </w:t>
      </w:r>
      <w:r w:rsidRPr="005A1005">
        <w:rPr>
          <w:rFonts w:eastAsia="MS PGothic"/>
          <w:lang w:val="en-US"/>
        </w:rPr>
        <w:t xml:space="preserve">19% and 31% </w:t>
      </w:r>
      <w:r>
        <w:rPr>
          <w:rFonts w:eastAsia="MS PGothic"/>
          <w:lang w:val="en-US"/>
        </w:rPr>
        <w:t>in methane yield respectively</w:t>
      </w:r>
      <w:r w:rsidRPr="005A1005">
        <w:rPr>
          <w:rFonts w:eastAsia="MS PGothic"/>
          <w:lang w:val="en-US"/>
        </w:rPr>
        <w:t xml:space="preserve">. </w:t>
      </w:r>
      <w:r w:rsidRPr="0076197E">
        <w:rPr>
          <w:rFonts w:eastAsia="MS PGothic"/>
          <w:lang w:val="en-US"/>
        </w:rPr>
        <w:t>The 40% untreated OMW bioreactor achieved a stable PCs concentration with a mean value of about 125 mg/L with a 70% PCs conversion. These results showed that the OMW PCs can be effectively degraded by a co-AD</w:t>
      </w:r>
      <w:r w:rsidRPr="00C75214">
        <w:rPr>
          <w:rFonts w:eastAsia="MS PGothic"/>
          <w:lang w:val="en-US"/>
        </w:rPr>
        <w:t xml:space="preserve"> process</w:t>
      </w:r>
      <w:r>
        <w:rPr>
          <w:rFonts w:eastAsia="MS PGothic"/>
          <w:lang w:val="en-US"/>
        </w:rPr>
        <w:t xml:space="preserve"> and that </w:t>
      </w:r>
      <w:r w:rsidRPr="00C75214">
        <w:rPr>
          <w:rFonts w:eastAsia="MS PGothic"/>
          <w:lang w:val="en-US"/>
        </w:rPr>
        <w:t xml:space="preserve">the residual </w:t>
      </w:r>
      <w:r>
        <w:rPr>
          <w:rFonts w:eastAsia="MS PGothic"/>
          <w:lang w:val="en-US"/>
        </w:rPr>
        <w:t>PCs</w:t>
      </w:r>
      <w:r w:rsidRPr="00C75214">
        <w:rPr>
          <w:rFonts w:eastAsia="MS PGothic"/>
          <w:lang w:val="en-US"/>
        </w:rPr>
        <w:t xml:space="preserve"> </w:t>
      </w:r>
      <w:r>
        <w:rPr>
          <w:rFonts w:eastAsia="MS PGothic"/>
          <w:lang w:val="en-US"/>
        </w:rPr>
        <w:t xml:space="preserve">does not </w:t>
      </w:r>
      <w:r w:rsidRPr="00C75214">
        <w:rPr>
          <w:rFonts w:eastAsia="MS PGothic"/>
          <w:lang w:val="en-US"/>
        </w:rPr>
        <w:t xml:space="preserve">significantly </w:t>
      </w:r>
      <w:r>
        <w:rPr>
          <w:rFonts w:eastAsia="MS PGothic"/>
          <w:lang w:val="en-US"/>
        </w:rPr>
        <w:t xml:space="preserve">inhibit the </w:t>
      </w:r>
      <w:r w:rsidRPr="00C75214">
        <w:rPr>
          <w:rFonts w:eastAsia="MS PGothic"/>
          <w:lang w:val="en-US"/>
        </w:rPr>
        <w:t>methanogenesis</w:t>
      </w:r>
      <w:r>
        <w:rPr>
          <w:rFonts w:eastAsia="MS PGothic"/>
          <w:lang w:val="en-US"/>
        </w:rPr>
        <w:t>.</w:t>
      </w:r>
      <w:r w:rsidR="00DD6703">
        <w:rPr>
          <w:rFonts w:eastAsia="MS PGothic"/>
          <w:lang w:val="en-US"/>
        </w:rPr>
        <w:t xml:space="preserve"> </w:t>
      </w:r>
    </w:p>
    <w:p w14:paraId="6C6D1F11" w14:textId="75C589E2" w:rsidR="006130FE" w:rsidRPr="00795F3C" w:rsidRDefault="00795F3C" w:rsidP="00991901">
      <w:pPr>
        <w:snapToGrid w:val="0"/>
        <w:spacing w:before="240" w:line="300" w:lineRule="auto"/>
        <w:jc w:val="both"/>
        <w:rPr>
          <w:rFonts w:eastAsia="MS PGothic"/>
          <w:lang w:val="en-US"/>
        </w:rPr>
      </w:pPr>
      <w:r>
        <w:rPr>
          <w:rFonts w:eastAsia="MS PGothic"/>
          <w:lang w:val="en-US"/>
        </w:rPr>
        <w:t>Finally,</w:t>
      </w:r>
      <w:r w:rsidR="00106304">
        <w:rPr>
          <w:rFonts w:eastAsia="MS PGothic"/>
          <w:lang w:val="en-US"/>
        </w:rPr>
        <w:t xml:space="preserve"> </w:t>
      </w:r>
      <w:r w:rsidR="00106304" w:rsidRPr="00C75214">
        <w:rPr>
          <w:rFonts w:eastAsia="MS PGothic"/>
          <w:lang w:val="en-US"/>
        </w:rPr>
        <w:t>the last part of the work was</w:t>
      </w:r>
      <w:r w:rsidR="00106304">
        <w:rPr>
          <w:rFonts w:eastAsia="MS PGothic"/>
          <w:lang w:val="en-US"/>
        </w:rPr>
        <w:t xml:space="preserve"> </w:t>
      </w:r>
      <w:r w:rsidR="00DD6703">
        <w:rPr>
          <w:rFonts w:eastAsia="MS PGothic"/>
          <w:lang w:val="en-US"/>
        </w:rPr>
        <w:t>meant</w:t>
      </w:r>
      <w:r w:rsidR="00106304">
        <w:rPr>
          <w:rFonts w:eastAsia="MS PGothic"/>
          <w:lang w:val="en-US"/>
        </w:rPr>
        <w:t xml:space="preserve"> to </w:t>
      </w:r>
      <w:r w:rsidR="00106304" w:rsidRPr="00C75214">
        <w:rPr>
          <w:rFonts w:eastAsia="MS PGothic"/>
          <w:lang w:val="en-US"/>
        </w:rPr>
        <w:t xml:space="preserve">assess the large-scale applicability of the OMW/SwS </w:t>
      </w:r>
      <w:proofErr w:type="gramStart"/>
      <w:r w:rsidR="00106304" w:rsidRPr="00C75214">
        <w:rPr>
          <w:rFonts w:eastAsia="MS PGothic"/>
          <w:lang w:val="en-US"/>
        </w:rPr>
        <w:t>co-AD</w:t>
      </w:r>
      <w:proofErr w:type="gramEnd"/>
      <w:r w:rsidR="00106304" w:rsidRPr="00C75214">
        <w:rPr>
          <w:rFonts w:eastAsia="MS PGothic"/>
          <w:lang w:val="en-US"/>
        </w:rPr>
        <w:t xml:space="preserve"> process</w:t>
      </w:r>
      <w:r w:rsidR="000E0C2A">
        <w:rPr>
          <w:rFonts w:eastAsia="MS PGothic"/>
          <w:lang w:val="en-US"/>
        </w:rPr>
        <w:t xml:space="preserve"> and a cost-benefit analysis (CBA) on two possible scenarios</w:t>
      </w:r>
      <w:r w:rsidR="00106304">
        <w:rPr>
          <w:rFonts w:eastAsia="MS PGothic"/>
          <w:lang w:val="en-US"/>
        </w:rPr>
        <w:t xml:space="preserve">. </w:t>
      </w:r>
      <w:proofErr w:type="gramStart"/>
      <w:r w:rsidR="00106304" w:rsidRPr="00035EFE">
        <w:rPr>
          <w:rFonts w:eastAsia="MS PGothic"/>
          <w:lang w:val="en-US"/>
        </w:rPr>
        <w:t>In particular, two</w:t>
      </w:r>
      <w:proofErr w:type="gramEnd"/>
      <w:r w:rsidR="00106304" w:rsidRPr="00035EFE">
        <w:rPr>
          <w:rFonts w:eastAsia="MS PGothic"/>
          <w:lang w:val="en-US"/>
        </w:rPr>
        <w:t xml:space="preserve"> Italian regions, Apulia and Tuscany, with a very high production of olives for oil were considered. </w:t>
      </w:r>
      <w:r w:rsidR="00106304" w:rsidRPr="00106304">
        <w:rPr>
          <w:rFonts w:eastAsia="MS PGothic"/>
          <w:lang w:val="en-US"/>
        </w:rPr>
        <w:t xml:space="preserve">For both the regions, the volumetric production of SwS was estimated and a mean volumetric OMW fraction in the feed of the OMW/SwS </w:t>
      </w:r>
      <w:proofErr w:type="gramStart"/>
      <w:r w:rsidR="00106304" w:rsidRPr="00106304">
        <w:rPr>
          <w:rFonts w:eastAsia="MS PGothic"/>
          <w:lang w:val="en-US"/>
        </w:rPr>
        <w:t>co-AD</w:t>
      </w:r>
      <w:proofErr w:type="gramEnd"/>
      <w:r w:rsidR="00106304" w:rsidRPr="00106304">
        <w:rPr>
          <w:rFonts w:eastAsia="MS PGothic"/>
          <w:lang w:val="en-US"/>
        </w:rPr>
        <w:t xml:space="preserve"> was estimated under the following simplifying assumptions: </w:t>
      </w:r>
      <w:proofErr w:type="spellStart"/>
      <w:r w:rsidR="00106304" w:rsidRPr="00106304">
        <w:rPr>
          <w:rFonts w:eastAsia="MS PGothic"/>
          <w:lang w:val="en-US"/>
        </w:rPr>
        <w:t>i</w:t>
      </w:r>
      <w:proofErr w:type="spellEnd"/>
      <w:r w:rsidR="00106304" w:rsidRPr="00106304">
        <w:rPr>
          <w:rFonts w:eastAsia="MS PGothic"/>
          <w:lang w:val="en-US"/>
        </w:rPr>
        <w:t xml:space="preserve">) the OMW produced in a given region is treated in a fraction of the total AD capacity of that region (for example 1/4 to 1/3 of the total capacity), ii) the OMW co-AD process is distributed over a 4-month period. The estimated OMW fractions required to dispose all the regional OMW was </w:t>
      </w:r>
      <w:r w:rsidR="00106304">
        <w:rPr>
          <w:rFonts w:eastAsia="MS PGothic"/>
          <w:lang w:val="en-US"/>
        </w:rPr>
        <w:t>25-35</w:t>
      </w:r>
      <w:r w:rsidR="00106304" w:rsidRPr="00106304">
        <w:rPr>
          <w:rFonts w:eastAsia="MS PGothic"/>
          <w:lang w:val="en-US"/>
        </w:rPr>
        <w:t xml:space="preserve">% for Apulia and </w:t>
      </w:r>
      <w:r w:rsidR="00106304">
        <w:rPr>
          <w:rFonts w:eastAsia="MS PGothic"/>
          <w:lang w:val="en-US"/>
        </w:rPr>
        <w:t>6.8-9.1</w:t>
      </w:r>
      <w:r w:rsidR="00106304" w:rsidRPr="00106304">
        <w:rPr>
          <w:rFonts w:eastAsia="MS PGothic"/>
          <w:lang w:val="en-US"/>
        </w:rPr>
        <w:t xml:space="preserve">% for Tuscany, </w:t>
      </w:r>
      <w:r w:rsidR="00106304">
        <w:rPr>
          <w:rFonts w:eastAsia="MS PGothic"/>
          <w:lang w:val="en-US"/>
        </w:rPr>
        <w:t xml:space="preserve">values </w:t>
      </w:r>
      <w:r w:rsidR="00106304" w:rsidRPr="00106304">
        <w:rPr>
          <w:rFonts w:eastAsia="MS PGothic"/>
          <w:lang w:val="en-US"/>
        </w:rPr>
        <w:t xml:space="preserve">below </w:t>
      </w:r>
      <w:r w:rsidR="00106304">
        <w:rPr>
          <w:rFonts w:eastAsia="MS PGothic"/>
          <w:lang w:val="en-US"/>
        </w:rPr>
        <w:t xml:space="preserve">those </w:t>
      </w:r>
      <w:r w:rsidR="00106304" w:rsidRPr="00106304">
        <w:rPr>
          <w:rFonts w:eastAsia="MS PGothic"/>
          <w:lang w:val="en-US"/>
        </w:rPr>
        <w:t xml:space="preserve">successfully </w:t>
      </w:r>
      <w:r w:rsidR="00106304">
        <w:rPr>
          <w:rFonts w:eastAsia="MS PGothic"/>
          <w:lang w:val="en-US"/>
        </w:rPr>
        <w:t>applied</w:t>
      </w:r>
      <w:r w:rsidR="00106304" w:rsidRPr="00106304">
        <w:rPr>
          <w:rFonts w:eastAsia="MS PGothic"/>
          <w:lang w:val="en-US"/>
        </w:rPr>
        <w:t xml:space="preserve"> in this work.</w:t>
      </w:r>
      <w:r w:rsidR="00991901">
        <w:rPr>
          <w:rFonts w:eastAsia="MS PGothic"/>
          <w:lang w:val="en-US"/>
        </w:rPr>
        <w:t xml:space="preserve"> </w:t>
      </w:r>
      <w:r w:rsidR="005C1C81" w:rsidRPr="00106304">
        <w:rPr>
          <w:rFonts w:eastAsia="MS PGothic"/>
          <w:lang w:val="en-US"/>
        </w:rPr>
        <w:t xml:space="preserve">The CBA was based on the following scenario: </w:t>
      </w:r>
      <w:proofErr w:type="spellStart"/>
      <w:r w:rsidR="005C1C81" w:rsidRPr="00106304">
        <w:rPr>
          <w:rFonts w:eastAsia="MS PGothic"/>
          <w:lang w:val="en-US"/>
        </w:rPr>
        <w:t>i</w:t>
      </w:r>
      <w:proofErr w:type="spellEnd"/>
      <w:r w:rsidR="005C1C81" w:rsidRPr="00106304">
        <w:rPr>
          <w:rFonts w:eastAsia="MS PGothic"/>
          <w:lang w:val="en-US"/>
        </w:rPr>
        <w:t>) a 500,000 PE WWTP, that receives 0.2 m</w:t>
      </w:r>
      <w:r w:rsidR="005C1C81" w:rsidRPr="00106304">
        <w:rPr>
          <w:rFonts w:eastAsia="MS PGothic"/>
          <w:vertAlign w:val="superscript"/>
          <w:lang w:val="en-US"/>
        </w:rPr>
        <w:t>3</w:t>
      </w:r>
      <w:r w:rsidR="005C1C81" w:rsidRPr="00106304">
        <w:rPr>
          <w:rFonts w:eastAsia="MS PGothic"/>
          <w:lang w:val="en-US"/>
        </w:rPr>
        <w:t xml:space="preserve"> d</w:t>
      </w:r>
      <w:r w:rsidR="005C1C81" w:rsidRPr="00106304">
        <w:rPr>
          <w:rFonts w:eastAsia="MS PGothic"/>
          <w:vertAlign w:val="superscript"/>
          <w:lang w:val="en-US"/>
        </w:rPr>
        <w:t>-1</w:t>
      </w:r>
      <w:r w:rsidR="005C1C81" w:rsidRPr="00106304">
        <w:rPr>
          <w:rFonts w:eastAsia="MS PGothic"/>
          <w:lang w:val="en-US"/>
        </w:rPr>
        <w:t xml:space="preserve"> PE</w:t>
      </w:r>
      <w:r w:rsidR="005C1C81" w:rsidRPr="00106304">
        <w:rPr>
          <w:rFonts w:eastAsia="MS PGothic"/>
          <w:vertAlign w:val="superscript"/>
          <w:lang w:val="en-US"/>
        </w:rPr>
        <w:t>-1</w:t>
      </w:r>
      <w:r w:rsidR="005C1C81" w:rsidRPr="00106304">
        <w:rPr>
          <w:rFonts w:eastAsia="MS PGothic"/>
          <w:lang w:val="en-US"/>
        </w:rPr>
        <w:t>, and therefore treats 100,000 m</w:t>
      </w:r>
      <w:r w:rsidR="005C1C81" w:rsidRPr="00106304">
        <w:rPr>
          <w:rFonts w:eastAsia="MS PGothic"/>
          <w:vertAlign w:val="superscript"/>
          <w:lang w:val="en-US"/>
        </w:rPr>
        <w:t>3</w:t>
      </w:r>
      <w:r w:rsidR="005C1C81" w:rsidRPr="00106304">
        <w:rPr>
          <w:rFonts w:eastAsia="MS PGothic"/>
          <w:lang w:val="en-US"/>
        </w:rPr>
        <w:t>/d of municipal wastewater (MWW), ii) the digester was assumed to treat 600 m</w:t>
      </w:r>
      <w:r w:rsidR="005C1C81" w:rsidRPr="00106304">
        <w:rPr>
          <w:rFonts w:eastAsia="MS PGothic"/>
          <w:vertAlign w:val="superscript"/>
          <w:lang w:val="en-US"/>
        </w:rPr>
        <w:t>3</w:t>
      </w:r>
      <w:r w:rsidR="005C1C81" w:rsidRPr="00106304">
        <w:rPr>
          <w:rFonts w:eastAsia="MS PGothic"/>
          <w:lang w:val="en-US"/>
        </w:rPr>
        <w:t>/d of SwS, iii) a OMW/SwS volumetric ratio equal to 0.25 i</w:t>
      </w:r>
      <w:r w:rsidR="005C1C81">
        <w:rPr>
          <w:rFonts w:eastAsia="MS PGothic"/>
          <w:lang w:val="en-US"/>
        </w:rPr>
        <w:t>s</w:t>
      </w:r>
      <w:r w:rsidR="005C1C81" w:rsidRPr="00106304">
        <w:rPr>
          <w:rFonts w:eastAsia="MS PGothic"/>
          <w:lang w:val="en-US"/>
        </w:rPr>
        <w:t xml:space="preserve"> applied for a 4-month period with a</w:t>
      </w:r>
      <w:r w:rsidR="005C1C81">
        <w:rPr>
          <w:rFonts w:eastAsia="MS PGothic"/>
          <w:lang w:val="en-US"/>
        </w:rPr>
        <w:t>n untreated</w:t>
      </w:r>
      <w:r w:rsidR="005C1C81" w:rsidRPr="00106304">
        <w:rPr>
          <w:rFonts w:eastAsia="MS PGothic"/>
          <w:lang w:val="en-US"/>
        </w:rPr>
        <w:t xml:space="preserve"> OMW </w:t>
      </w:r>
      <w:r w:rsidR="005C1C81">
        <w:rPr>
          <w:rFonts w:eastAsia="MS PGothic"/>
          <w:lang w:val="en-US"/>
        </w:rPr>
        <w:t xml:space="preserve">(no </w:t>
      </w:r>
      <w:r w:rsidR="00DD6703">
        <w:rPr>
          <w:rFonts w:eastAsia="MS PGothic"/>
          <w:lang w:val="en-US"/>
        </w:rPr>
        <w:t>dephenolisation</w:t>
      </w:r>
      <w:r w:rsidR="005C1C81">
        <w:rPr>
          <w:rFonts w:eastAsia="MS PGothic"/>
          <w:lang w:val="en-US"/>
        </w:rPr>
        <w:t xml:space="preserve">) </w:t>
      </w:r>
      <w:r w:rsidR="005C1C81" w:rsidRPr="00106304">
        <w:rPr>
          <w:rFonts w:eastAsia="MS PGothic"/>
          <w:lang w:val="en-US"/>
        </w:rPr>
        <w:t xml:space="preserve">flowrate </w:t>
      </w:r>
      <w:r w:rsidR="005C1C81" w:rsidRPr="00DF4F71">
        <w:rPr>
          <w:rFonts w:eastAsia="MS PGothic"/>
          <w:lang w:val="en-US"/>
        </w:rPr>
        <w:t>equal to 200 m</w:t>
      </w:r>
      <w:r w:rsidR="005C1C81" w:rsidRPr="00DF4F71">
        <w:rPr>
          <w:rFonts w:eastAsia="MS PGothic"/>
          <w:vertAlign w:val="superscript"/>
          <w:lang w:val="en-US"/>
        </w:rPr>
        <w:t>3</w:t>
      </w:r>
      <w:r w:rsidR="005C1C81" w:rsidRPr="00DF4F71">
        <w:rPr>
          <w:rFonts w:eastAsia="MS PGothic"/>
          <w:lang w:val="en-US"/>
        </w:rPr>
        <w:t>/d, iv) a 10% spare capacity is present in the digester, that lead to an HRT reduction from 30 to 25 days.</w:t>
      </w:r>
      <w:r w:rsidR="000E0C2A">
        <w:rPr>
          <w:rFonts w:eastAsia="MS PGothic"/>
          <w:lang w:val="en-US"/>
        </w:rPr>
        <w:t xml:space="preserve"> </w:t>
      </w:r>
      <w:r w:rsidR="005C1C81" w:rsidRPr="00D70BFA">
        <w:rPr>
          <w:rFonts w:eastAsia="MS PGothic"/>
          <w:lang w:val="en-US"/>
        </w:rPr>
        <w:t xml:space="preserve">The benchmark scenario was the treatment of only SwS AD, assuming the characteristics and performance used in this work. The scenario to be compared was untreated OMW/SwS </w:t>
      </w:r>
      <w:proofErr w:type="gramStart"/>
      <w:r w:rsidR="005C1C81" w:rsidRPr="00D70BFA">
        <w:rPr>
          <w:rFonts w:eastAsia="MS PGothic"/>
          <w:lang w:val="en-US"/>
        </w:rPr>
        <w:t>co-AD</w:t>
      </w:r>
      <w:proofErr w:type="gramEnd"/>
      <w:r w:rsidR="005C1C81" w:rsidRPr="00D70BFA">
        <w:rPr>
          <w:rFonts w:eastAsia="MS PGothic"/>
          <w:lang w:val="en-US"/>
        </w:rPr>
        <w:t xml:space="preserve">, assuming the characteristics and performance used in this work. The CBA estimated a </w:t>
      </w:r>
      <w:r w:rsidRPr="00D70BFA">
        <w:rPr>
          <w:rFonts w:eastAsia="MS PGothic"/>
          <w:lang w:val="en-US"/>
        </w:rPr>
        <w:t>total additional revenue</w:t>
      </w:r>
      <w:r w:rsidR="005C1C81" w:rsidRPr="00D70BFA">
        <w:rPr>
          <w:rFonts w:eastAsia="MS PGothic"/>
          <w:lang w:val="en-US"/>
        </w:rPr>
        <w:t xml:space="preserve"> associated to OMW co-AD in the existing digester varying in the 1,440,000-2,640,000 € range. Assuming a mean total cost of MWW treatment declared by several WWTP managers in Northern Italy of 0.65 €/m3 (average value), the additional revenues correspond to an 18-34% </w:t>
      </w:r>
      <w:r w:rsidR="005C1C81" w:rsidRPr="00D70BFA">
        <w:rPr>
          <w:rFonts w:eastAsia="MS PGothic"/>
          <w:lang w:val="en-US"/>
        </w:rPr>
        <w:lastRenderedPageBreak/>
        <w:t>reduction of the cost of MWW treatment, during the 4-month OMW season.</w:t>
      </w:r>
      <w:r w:rsidR="000E0C2A">
        <w:rPr>
          <w:rFonts w:eastAsia="MS PGothic"/>
          <w:lang w:val="en-US"/>
        </w:rPr>
        <w:t xml:space="preserve"> </w:t>
      </w:r>
      <w:r w:rsidR="005C1C81" w:rsidRPr="00702762">
        <w:rPr>
          <w:rFonts w:eastAsia="MS PGothic"/>
          <w:lang w:val="en-US"/>
        </w:rPr>
        <w:t xml:space="preserve">In a second scenario with </w:t>
      </w:r>
      <w:r w:rsidR="00DD6703" w:rsidRPr="00702762">
        <w:rPr>
          <w:rFonts w:eastAsia="MS PGothic"/>
          <w:lang w:val="en-US"/>
        </w:rPr>
        <w:t>dephenolisation</w:t>
      </w:r>
      <w:r w:rsidR="005C1C81" w:rsidRPr="00702762">
        <w:rPr>
          <w:rFonts w:eastAsia="MS PGothic"/>
          <w:lang w:val="en-US"/>
        </w:rPr>
        <w:t xml:space="preserve"> of the OMW and OMW/SwS </w:t>
      </w:r>
      <w:proofErr w:type="gramStart"/>
      <w:r w:rsidR="005C1C81" w:rsidRPr="00702762">
        <w:rPr>
          <w:rFonts w:eastAsia="MS PGothic"/>
          <w:lang w:val="en-US"/>
        </w:rPr>
        <w:t>co-AD</w:t>
      </w:r>
      <w:proofErr w:type="gramEnd"/>
      <w:r w:rsidR="005C1C81" w:rsidRPr="00702762">
        <w:rPr>
          <w:rFonts w:eastAsia="MS PGothic"/>
          <w:lang w:val="en-US"/>
        </w:rPr>
        <w:t xml:space="preserve">, the market price at which the </w:t>
      </w:r>
      <w:r w:rsidR="005C1C81" w:rsidRPr="00DE4FE7">
        <w:rPr>
          <w:rFonts w:eastAsia="MS PGothic"/>
          <w:lang w:val="en-US"/>
        </w:rPr>
        <w:t xml:space="preserve">PC-rich antioxidant product obtained from OMW </w:t>
      </w:r>
      <w:r w:rsidR="00DD6703" w:rsidRPr="00DE4FE7">
        <w:rPr>
          <w:rFonts w:eastAsia="MS PGothic"/>
          <w:lang w:val="en-US"/>
        </w:rPr>
        <w:t>dephenolisation</w:t>
      </w:r>
      <w:r w:rsidR="005C1C81" w:rsidRPr="00DE4FE7">
        <w:rPr>
          <w:rFonts w:eastAsia="MS PGothic"/>
          <w:lang w:val="en-US"/>
        </w:rPr>
        <w:t xml:space="preserve"> should be sold in order to attain a 6% FRR was estimated. This price resulted equal to 8.17 €/</w:t>
      </w:r>
      <w:proofErr w:type="spellStart"/>
      <w:r w:rsidR="005C1C81" w:rsidRPr="00DE4FE7">
        <w:rPr>
          <w:rFonts w:eastAsia="MS PGothic"/>
          <w:lang w:val="en-US"/>
        </w:rPr>
        <w:t>kg</w:t>
      </w:r>
      <w:r w:rsidR="005C1C81" w:rsidRPr="00DE4FE7">
        <w:rPr>
          <w:rFonts w:eastAsia="MS PGothic"/>
          <w:vertAlign w:val="subscript"/>
          <w:lang w:val="en-US"/>
        </w:rPr>
        <w:t>PC</w:t>
      </w:r>
      <w:proofErr w:type="spellEnd"/>
      <w:r w:rsidR="005C1C81" w:rsidRPr="00DE4FE7">
        <w:rPr>
          <w:rFonts w:eastAsia="MS PGothic"/>
          <w:lang w:val="en-US"/>
        </w:rPr>
        <w:t>. Considering that the market price of PC-rich antioxidants varies between 250 and 2500 €/</w:t>
      </w:r>
      <w:proofErr w:type="spellStart"/>
      <w:r w:rsidR="005C1C81" w:rsidRPr="00DE4FE7">
        <w:rPr>
          <w:rFonts w:eastAsia="MS PGothic"/>
          <w:lang w:val="en-US"/>
        </w:rPr>
        <w:t>kg</w:t>
      </w:r>
      <w:r w:rsidR="005C1C81" w:rsidRPr="00DE4FE7">
        <w:rPr>
          <w:rFonts w:eastAsia="MS PGothic"/>
          <w:vertAlign w:val="subscript"/>
          <w:lang w:val="en-US"/>
        </w:rPr>
        <w:t>PC</w:t>
      </w:r>
      <w:proofErr w:type="spellEnd"/>
      <w:r w:rsidR="005C1C81" w:rsidRPr="00DE4FE7">
        <w:rPr>
          <w:rFonts w:eastAsia="MS PGothic"/>
          <w:lang w:val="en-US"/>
        </w:rPr>
        <w:t xml:space="preserve">, even if the antioxidant product obtained from the above-described plant needs a further refining before being placed in the market, the resulting price for the generation of an attractive business case is considered a realistic one. In this scenario, a lower but significant 16-32% reduction </w:t>
      </w:r>
      <w:bookmarkStart w:id="0" w:name="OLE_LINK1"/>
      <w:r w:rsidR="005C1C81" w:rsidRPr="00DE4FE7">
        <w:rPr>
          <w:rFonts w:eastAsia="MS PGothic"/>
          <w:lang w:val="en-US"/>
        </w:rPr>
        <w:t>of the cost of MWW treatment during the 4-month OMW season was calculated</w:t>
      </w:r>
      <w:bookmarkEnd w:id="0"/>
      <w:r w:rsidR="005C1C81" w:rsidRPr="00DE4FE7">
        <w:rPr>
          <w:rFonts w:eastAsia="MS PGothic"/>
          <w:lang w:val="en-US"/>
        </w:rPr>
        <w:t>.</w:t>
      </w:r>
      <w:r w:rsidR="000E0C2A">
        <w:rPr>
          <w:rFonts w:eastAsia="MS PGothic"/>
          <w:lang w:val="en-US"/>
        </w:rPr>
        <w:t xml:space="preserve"> </w:t>
      </w:r>
      <w:r w:rsidR="005C1C81" w:rsidRPr="005C1C81">
        <w:rPr>
          <w:rFonts w:eastAsia="MS PGothic"/>
          <w:lang w:val="en-US"/>
        </w:rPr>
        <w:t xml:space="preserve">The comparison between the two scenarios allows some conclusions: </w:t>
      </w:r>
      <w:proofErr w:type="spellStart"/>
      <w:r w:rsidR="005C1C81" w:rsidRPr="005C1C81">
        <w:rPr>
          <w:rFonts w:eastAsia="MS PGothic"/>
          <w:lang w:val="en-US"/>
        </w:rPr>
        <w:t>i</w:t>
      </w:r>
      <w:proofErr w:type="spellEnd"/>
      <w:r w:rsidR="005C1C81" w:rsidRPr="005C1C81">
        <w:rPr>
          <w:rFonts w:eastAsia="MS PGothic"/>
          <w:lang w:val="en-US"/>
        </w:rPr>
        <w:t xml:space="preserve">) the benefit is substantial in both cases, ii) the largest fraction of the additional revenue is associated to the OMW disposal tariff, iii) the difference between the two scenarios is low, considering the uncertainties that affect this analysis, iv) the scenario of OMW </w:t>
      </w:r>
      <w:r w:rsidR="00DD6703" w:rsidRPr="005C1C81">
        <w:rPr>
          <w:rFonts w:eastAsia="MS PGothic"/>
          <w:lang w:val="en-US"/>
        </w:rPr>
        <w:t>dephenolisation</w:t>
      </w:r>
      <w:r w:rsidR="005C1C81" w:rsidRPr="005C1C81">
        <w:rPr>
          <w:rFonts w:eastAsia="MS PGothic"/>
          <w:lang w:val="en-US"/>
        </w:rPr>
        <w:t xml:space="preserve"> requires additional investments in plants and personnel formation, and v) it has an economic uncertainty associated to the actual feasibility of selling at a reasonable price the entire PC-rich antioxidant mixture produced in each season, vi) a significant degradation of the OMW PCs is obtained also without the additional dephenoli</w:t>
      </w:r>
      <w:r w:rsidR="00DD6703">
        <w:rPr>
          <w:rFonts w:eastAsia="MS PGothic"/>
          <w:lang w:val="en-US"/>
        </w:rPr>
        <w:t>s</w:t>
      </w:r>
      <w:r w:rsidR="005C1C81" w:rsidRPr="005C1C81">
        <w:rPr>
          <w:rFonts w:eastAsia="MS PGothic"/>
          <w:lang w:val="en-US"/>
        </w:rPr>
        <w:t>ation step. For these reasons, the scenario of untreated OMW co-AD is considered the best choice.</w:t>
      </w:r>
    </w:p>
    <w:p w14:paraId="0DE817AB" w14:textId="721F9A6B" w:rsidR="00DA51A3" w:rsidRDefault="00DA51A3" w:rsidP="00DA51A3">
      <w:pPr>
        <w:snapToGrid w:val="0"/>
        <w:spacing w:before="240" w:line="300" w:lineRule="auto"/>
        <w:rPr>
          <w:rFonts w:eastAsia="MS PGothic"/>
          <w:b/>
          <w:bCs/>
          <w:lang w:val="en-US" w:eastAsia="ko-KR"/>
        </w:rPr>
      </w:pPr>
      <w:r w:rsidRPr="00466FFD">
        <w:rPr>
          <w:rFonts w:eastAsia="MS PGothic"/>
          <w:b/>
          <w:bCs/>
          <w:lang w:val="en-US"/>
        </w:rPr>
        <w:t>4. Conclusion</w:t>
      </w:r>
      <w:r w:rsidRPr="00466FFD">
        <w:rPr>
          <w:rFonts w:eastAsia="MS PGothic"/>
          <w:b/>
          <w:bCs/>
          <w:lang w:val="en-US" w:eastAsia="ko-KR"/>
        </w:rPr>
        <w:t>s</w:t>
      </w:r>
    </w:p>
    <w:p w14:paraId="4E7B7EFD" w14:textId="3AA57A34" w:rsidR="00BF2817" w:rsidRDefault="00A21854" w:rsidP="00BF2817">
      <w:pPr>
        <w:snapToGrid w:val="0"/>
        <w:spacing w:before="240" w:line="300" w:lineRule="auto"/>
        <w:jc w:val="both"/>
        <w:rPr>
          <w:rFonts w:cs="Times New Roman"/>
          <w:lang w:val="en-GB"/>
        </w:rPr>
      </w:pPr>
      <w:r w:rsidRPr="00C75214">
        <w:rPr>
          <w:rFonts w:cs="Times New Roman"/>
          <w:lang w:val="en-GB"/>
        </w:rPr>
        <w:t xml:space="preserve">This work </w:t>
      </w:r>
      <w:r w:rsidR="00BF2817">
        <w:rPr>
          <w:rFonts w:cs="Times New Roman"/>
          <w:lang w:val="en-GB"/>
        </w:rPr>
        <w:t>showed</w:t>
      </w:r>
      <w:r w:rsidRPr="00C75214">
        <w:rPr>
          <w:rFonts w:cs="Times New Roman"/>
          <w:lang w:val="en-GB"/>
        </w:rPr>
        <w:t xml:space="preserve"> that</w:t>
      </w:r>
      <w:r w:rsidR="00BF2817">
        <w:rPr>
          <w:rFonts w:cs="Times New Roman"/>
          <w:lang w:val="en-GB"/>
        </w:rPr>
        <w:t xml:space="preserve"> it is technically possible and economically profitable </w:t>
      </w:r>
      <w:r w:rsidR="00BF2817" w:rsidRPr="00C75214">
        <w:rPr>
          <w:rFonts w:cs="Times New Roman"/>
          <w:lang w:val="en-GB"/>
        </w:rPr>
        <w:t>to co-digest the entire OMW production in regions characterized by intense olive oil production</w:t>
      </w:r>
      <w:r w:rsidR="00BF2817">
        <w:rPr>
          <w:rFonts w:cs="Times New Roman"/>
          <w:lang w:val="en-GB"/>
        </w:rPr>
        <w:t xml:space="preserve"> by </w:t>
      </w:r>
      <w:r w:rsidR="00B935FC">
        <w:rPr>
          <w:rFonts w:cs="Times New Roman"/>
          <w:lang w:val="en-GB"/>
        </w:rPr>
        <w:t xml:space="preserve">taking advantage </w:t>
      </w:r>
      <w:r w:rsidR="00BF2817">
        <w:rPr>
          <w:rFonts w:cs="Times New Roman"/>
          <w:lang w:val="en-GB"/>
        </w:rPr>
        <w:t xml:space="preserve">the </w:t>
      </w:r>
      <w:r w:rsidR="00BF2817" w:rsidRPr="00C75214">
        <w:rPr>
          <w:rFonts w:cs="Times New Roman"/>
          <w:lang w:val="en-GB"/>
        </w:rPr>
        <w:t>existing network of SwS anaerobic digesters</w:t>
      </w:r>
      <w:r w:rsidR="00B935FC">
        <w:rPr>
          <w:rFonts w:cs="Times New Roman"/>
          <w:lang w:val="en-GB"/>
        </w:rPr>
        <w:t>. A substantial</w:t>
      </w:r>
      <w:r w:rsidR="00BF2817" w:rsidRPr="00C75214">
        <w:rPr>
          <w:rFonts w:cs="Times New Roman"/>
          <w:lang w:val="en-GB"/>
        </w:rPr>
        <w:t xml:space="preserve"> increase in methane production yield (144% increase in comparison to 100% SwS)</w:t>
      </w:r>
      <w:r w:rsidR="00B935FC">
        <w:rPr>
          <w:rFonts w:cs="Times New Roman"/>
          <w:lang w:val="en-GB"/>
        </w:rPr>
        <w:t xml:space="preserve"> was achieved</w:t>
      </w:r>
      <w:r w:rsidR="00BF2817" w:rsidRPr="00C75214">
        <w:rPr>
          <w:rFonts w:cs="Times New Roman"/>
          <w:lang w:val="en-GB"/>
        </w:rPr>
        <w:t>.</w:t>
      </w:r>
      <w:r w:rsidR="000E0C2A">
        <w:rPr>
          <w:rFonts w:cs="Times New Roman"/>
          <w:lang w:val="en-GB"/>
        </w:rPr>
        <w:t xml:space="preserve"> The increase of the revenues of the OMW treatment, mainly associated </w:t>
      </w:r>
      <w:r w:rsidR="000E0C2A" w:rsidRPr="005C1C81">
        <w:rPr>
          <w:rFonts w:eastAsia="MS PGothic"/>
          <w:lang w:val="en-US"/>
        </w:rPr>
        <w:t>to the OMW disposal tariff</w:t>
      </w:r>
      <w:r w:rsidR="000E0C2A">
        <w:rPr>
          <w:rFonts w:eastAsia="MS PGothic"/>
          <w:lang w:val="en-US"/>
        </w:rPr>
        <w:t>,</w:t>
      </w:r>
      <w:r w:rsidR="000E0C2A">
        <w:rPr>
          <w:rFonts w:cs="Times New Roman"/>
          <w:lang w:val="en-GB"/>
        </w:rPr>
        <w:t xml:space="preserve"> can potentially lead to a substantial decrease in the </w:t>
      </w:r>
      <w:r w:rsidR="000E0C2A" w:rsidRPr="00DE4FE7">
        <w:rPr>
          <w:rFonts w:eastAsia="MS PGothic"/>
          <w:lang w:val="en-US"/>
        </w:rPr>
        <w:t xml:space="preserve">cost of MWW treatment during the 4-month </w:t>
      </w:r>
      <w:r w:rsidR="000E0C2A">
        <w:rPr>
          <w:rFonts w:eastAsia="MS PGothic"/>
          <w:lang w:val="en-US"/>
        </w:rPr>
        <w:t xml:space="preserve">of the </w:t>
      </w:r>
      <w:r w:rsidR="000E0C2A" w:rsidRPr="00DE4FE7">
        <w:rPr>
          <w:rFonts w:eastAsia="MS PGothic"/>
          <w:lang w:val="en-US"/>
        </w:rPr>
        <w:t>OMW season</w:t>
      </w:r>
      <w:r w:rsidR="000E0C2A">
        <w:rPr>
          <w:rFonts w:eastAsia="MS PGothic"/>
          <w:lang w:val="en-US"/>
        </w:rPr>
        <w:t>.</w:t>
      </w:r>
    </w:p>
    <w:p w14:paraId="1845F659" w14:textId="77777777" w:rsidR="00DA51A3" w:rsidRPr="00AA3AF3" w:rsidRDefault="00DA51A3" w:rsidP="00DA51A3">
      <w:pPr>
        <w:snapToGrid w:val="0"/>
        <w:spacing w:before="240" w:line="300" w:lineRule="auto"/>
        <w:rPr>
          <w:rFonts w:eastAsia="SimSun"/>
          <w:b/>
          <w:bCs/>
          <w:lang w:eastAsia="zh-CN"/>
        </w:rPr>
      </w:pPr>
      <w:proofErr w:type="spellStart"/>
      <w:r w:rsidRPr="00AA3AF3">
        <w:rPr>
          <w:rFonts w:eastAsia="MS PGothic"/>
          <w:b/>
          <w:bCs/>
        </w:rPr>
        <w:t>References</w:t>
      </w:r>
      <w:proofErr w:type="spellEnd"/>
      <w:r w:rsidRPr="00AA3AF3">
        <w:rPr>
          <w:rFonts w:eastAsia="MS PGothic"/>
          <w:b/>
          <w:bCs/>
        </w:rPr>
        <w:t xml:space="preserve"> </w:t>
      </w:r>
    </w:p>
    <w:p w14:paraId="501681E8" w14:textId="29119883" w:rsidR="00C75214" w:rsidRPr="00AA3AF3" w:rsidRDefault="00336555" w:rsidP="00821A8D">
      <w:pPr>
        <w:spacing w:after="0" w:line="240" w:lineRule="auto"/>
        <w:ind w:left="386" w:hanging="386"/>
        <w:rPr>
          <w:sz w:val="20"/>
          <w:szCs w:val="20"/>
        </w:rPr>
      </w:pPr>
      <w:r w:rsidRPr="00AA3AF3">
        <w:rPr>
          <w:sz w:val="20"/>
          <w:szCs w:val="20"/>
        </w:rPr>
        <w:t>[1]</w:t>
      </w:r>
      <w:r w:rsidR="00C75214" w:rsidRPr="00AA3AF3">
        <w:rPr>
          <w:sz w:val="20"/>
          <w:szCs w:val="20"/>
        </w:rPr>
        <w:t xml:space="preserve"> </w:t>
      </w:r>
      <w:r w:rsidR="00C75214" w:rsidRPr="00AA3AF3">
        <w:rPr>
          <w:sz w:val="20"/>
          <w:szCs w:val="20"/>
        </w:rPr>
        <w:tab/>
      </w:r>
      <w:r w:rsidR="0021392D" w:rsidRPr="00AA3AF3">
        <w:rPr>
          <w:sz w:val="20"/>
          <w:szCs w:val="20"/>
        </w:rPr>
        <w:t xml:space="preserve">A. </w:t>
      </w:r>
      <w:proofErr w:type="spellStart"/>
      <w:r w:rsidR="00C75214" w:rsidRPr="00AA3AF3">
        <w:rPr>
          <w:sz w:val="20"/>
          <w:szCs w:val="20"/>
        </w:rPr>
        <w:t>Messineo</w:t>
      </w:r>
      <w:proofErr w:type="spellEnd"/>
      <w:r w:rsidR="00C75214" w:rsidRPr="00AA3AF3">
        <w:rPr>
          <w:sz w:val="20"/>
          <w:szCs w:val="20"/>
        </w:rPr>
        <w:t xml:space="preserve">, </w:t>
      </w:r>
      <w:r w:rsidR="0021392D" w:rsidRPr="00AA3AF3">
        <w:rPr>
          <w:sz w:val="20"/>
          <w:szCs w:val="20"/>
        </w:rPr>
        <w:t xml:space="preserve">M.P. </w:t>
      </w:r>
      <w:r w:rsidR="00C75214" w:rsidRPr="00AA3AF3">
        <w:rPr>
          <w:sz w:val="20"/>
          <w:szCs w:val="20"/>
        </w:rPr>
        <w:t>Maniscalco</w:t>
      </w:r>
      <w:r w:rsidR="0021392D" w:rsidRPr="00AA3AF3">
        <w:rPr>
          <w:sz w:val="20"/>
          <w:szCs w:val="20"/>
        </w:rPr>
        <w:t>,</w:t>
      </w:r>
      <w:r w:rsidR="00C75214" w:rsidRPr="00AA3AF3">
        <w:rPr>
          <w:sz w:val="20"/>
          <w:szCs w:val="20"/>
        </w:rPr>
        <w:t xml:space="preserve"> </w:t>
      </w:r>
      <w:r w:rsidR="0021392D" w:rsidRPr="00AA3AF3">
        <w:rPr>
          <w:sz w:val="20"/>
          <w:szCs w:val="20"/>
        </w:rPr>
        <w:t xml:space="preserve">R. </w:t>
      </w:r>
      <w:r w:rsidR="00C75214" w:rsidRPr="00AA3AF3">
        <w:rPr>
          <w:sz w:val="20"/>
          <w:szCs w:val="20"/>
        </w:rPr>
        <w:t>Volpe, Sci</w:t>
      </w:r>
      <w:r w:rsidR="00175BFC" w:rsidRPr="00AA3AF3">
        <w:rPr>
          <w:sz w:val="20"/>
          <w:szCs w:val="20"/>
        </w:rPr>
        <w:t>.</w:t>
      </w:r>
      <w:r w:rsidR="00C75214" w:rsidRPr="00AA3AF3">
        <w:rPr>
          <w:sz w:val="20"/>
          <w:szCs w:val="20"/>
        </w:rPr>
        <w:t xml:space="preserve"> Total</w:t>
      </w:r>
      <w:r w:rsidR="00175BFC" w:rsidRPr="00AA3AF3">
        <w:rPr>
          <w:sz w:val="20"/>
          <w:szCs w:val="20"/>
        </w:rPr>
        <w:t>.</w:t>
      </w:r>
      <w:r w:rsidR="00C75214" w:rsidRPr="00AA3AF3">
        <w:rPr>
          <w:sz w:val="20"/>
          <w:szCs w:val="20"/>
        </w:rPr>
        <w:t xml:space="preserve"> </w:t>
      </w:r>
      <w:proofErr w:type="spellStart"/>
      <w:r w:rsidR="00C75214" w:rsidRPr="00AA3AF3">
        <w:rPr>
          <w:sz w:val="20"/>
          <w:szCs w:val="20"/>
        </w:rPr>
        <w:t>Environ</w:t>
      </w:r>
      <w:proofErr w:type="spellEnd"/>
      <w:r w:rsidR="00175BFC" w:rsidRPr="00AA3AF3">
        <w:rPr>
          <w:sz w:val="20"/>
          <w:szCs w:val="20"/>
        </w:rPr>
        <w:t>.</w:t>
      </w:r>
      <w:r w:rsidR="00C75214" w:rsidRPr="00AA3AF3">
        <w:rPr>
          <w:sz w:val="20"/>
          <w:szCs w:val="20"/>
        </w:rPr>
        <w:t xml:space="preserve"> 703 (2020)</w:t>
      </w:r>
      <w:r w:rsidR="00175BFC" w:rsidRPr="00AA3AF3">
        <w:rPr>
          <w:sz w:val="20"/>
          <w:szCs w:val="20"/>
        </w:rPr>
        <w:t xml:space="preserve"> 135508</w:t>
      </w:r>
      <w:r w:rsidR="00C75214" w:rsidRPr="00AA3AF3">
        <w:rPr>
          <w:sz w:val="20"/>
          <w:szCs w:val="20"/>
        </w:rPr>
        <w:t xml:space="preserve">. </w:t>
      </w:r>
    </w:p>
    <w:p w14:paraId="4B46FF99" w14:textId="2AB33FF1" w:rsidR="00C75214" w:rsidRPr="00AA3AF3" w:rsidRDefault="00336555" w:rsidP="00821A8D">
      <w:pPr>
        <w:spacing w:after="0" w:line="240" w:lineRule="auto"/>
        <w:ind w:left="386" w:hanging="386"/>
        <w:rPr>
          <w:sz w:val="20"/>
          <w:szCs w:val="20"/>
        </w:rPr>
      </w:pPr>
      <w:r w:rsidRPr="00AA3AF3">
        <w:rPr>
          <w:sz w:val="20"/>
          <w:szCs w:val="20"/>
        </w:rPr>
        <w:t>[2]</w:t>
      </w:r>
      <w:r w:rsidR="00C75214" w:rsidRPr="00AA3AF3">
        <w:rPr>
          <w:sz w:val="20"/>
          <w:szCs w:val="20"/>
        </w:rPr>
        <w:t xml:space="preserve"> </w:t>
      </w:r>
      <w:r w:rsidR="00C75214" w:rsidRPr="00AA3AF3">
        <w:rPr>
          <w:sz w:val="20"/>
          <w:szCs w:val="20"/>
        </w:rPr>
        <w:tab/>
      </w:r>
      <w:r w:rsidR="0021392D" w:rsidRPr="00AA3AF3">
        <w:rPr>
          <w:sz w:val="20"/>
          <w:szCs w:val="20"/>
        </w:rPr>
        <w:t xml:space="preserve">D. </w:t>
      </w:r>
      <w:r w:rsidR="00C75214" w:rsidRPr="00AA3AF3">
        <w:rPr>
          <w:sz w:val="20"/>
          <w:szCs w:val="20"/>
        </w:rPr>
        <w:t xml:space="preserve">Frascari, </w:t>
      </w:r>
      <w:r w:rsidR="0021392D" w:rsidRPr="00AA3AF3">
        <w:rPr>
          <w:sz w:val="20"/>
          <w:szCs w:val="20"/>
        </w:rPr>
        <w:t>A.E.</w:t>
      </w:r>
      <w:r w:rsidR="00E03DA7" w:rsidRPr="00AA3AF3">
        <w:rPr>
          <w:sz w:val="20"/>
          <w:szCs w:val="20"/>
        </w:rPr>
        <w:t xml:space="preserve"> </w:t>
      </w:r>
      <w:r w:rsidR="0021392D" w:rsidRPr="00AA3AF3">
        <w:rPr>
          <w:sz w:val="20"/>
          <w:szCs w:val="20"/>
        </w:rPr>
        <w:t>M</w:t>
      </w:r>
      <w:r w:rsidR="00E03DA7" w:rsidRPr="00AA3AF3">
        <w:rPr>
          <w:sz w:val="20"/>
          <w:szCs w:val="20"/>
        </w:rPr>
        <w:t>olina</w:t>
      </w:r>
      <w:r w:rsidR="0021392D" w:rsidRPr="00AA3AF3">
        <w:rPr>
          <w:sz w:val="20"/>
          <w:szCs w:val="20"/>
        </w:rPr>
        <w:t xml:space="preserve"> </w:t>
      </w:r>
      <w:r w:rsidR="00C75214" w:rsidRPr="00AA3AF3">
        <w:rPr>
          <w:sz w:val="20"/>
          <w:szCs w:val="20"/>
        </w:rPr>
        <w:t xml:space="preserve">Bacca, </w:t>
      </w:r>
      <w:r w:rsidR="0021392D" w:rsidRPr="00AA3AF3">
        <w:rPr>
          <w:sz w:val="20"/>
          <w:szCs w:val="20"/>
        </w:rPr>
        <w:t xml:space="preserve">F. </w:t>
      </w:r>
      <w:r w:rsidR="00C75214" w:rsidRPr="00AA3AF3">
        <w:rPr>
          <w:sz w:val="20"/>
          <w:szCs w:val="20"/>
        </w:rPr>
        <w:t xml:space="preserve">Zama, </w:t>
      </w:r>
      <w:r w:rsidR="0021392D" w:rsidRPr="00AA3AF3">
        <w:rPr>
          <w:sz w:val="20"/>
          <w:szCs w:val="20"/>
        </w:rPr>
        <w:t xml:space="preserve">L. </w:t>
      </w:r>
      <w:proofErr w:type="spellStart"/>
      <w:r w:rsidR="00C75214" w:rsidRPr="00AA3AF3">
        <w:rPr>
          <w:sz w:val="20"/>
          <w:szCs w:val="20"/>
        </w:rPr>
        <w:t>Bertin</w:t>
      </w:r>
      <w:proofErr w:type="spellEnd"/>
      <w:r w:rsidR="00C75214" w:rsidRPr="00AA3AF3">
        <w:rPr>
          <w:sz w:val="20"/>
          <w:szCs w:val="20"/>
        </w:rPr>
        <w:t xml:space="preserve">, </w:t>
      </w:r>
      <w:r w:rsidR="0021392D" w:rsidRPr="00AA3AF3">
        <w:rPr>
          <w:sz w:val="20"/>
          <w:szCs w:val="20"/>
        </w:rPr>
        <w:t>F. F</w:t>
      </w:r>
      <w:r w:rsidR="00C75214" w:rsidRPr="00AA3AF3">
        <w:rPr>
          <w:sz w:val="20"/>
          <w:szCs w:val="20"/>
        </w:rPr>
        <w:t xml:space="preserve">ava, </w:t>
      </w:r>
      <w:r w:rsidR="0021392D" w:rsidRPr="00AA3AF3">
        <w:rPr>
          <w:sz w:val="20"/>
          <w:szCs w:val="20"/>
        </w:rPr>
        <w:t xml:space="preserve">D. </w:t>
      </w:r>
      <w:r w:rsidR="00C75214" w:rsidRPr="00AA3AF3">
        <w:rPr>
          <w:sz w:val="20"/>
          <w:szCs w:val="20"/>
        </w:rPr>
        <w:t xml:space="preserve">Pinelli, </w:t>
      </w:r>
      <w:proofErr w:type="spellStart"/>
      <w:r w:rsidR="00C75214" w:rsidRPr="00AA3AF3">
        <w:rPr>
          <w:sz w:val="20"/>
          <w:szCs w:val="20"/>
        </w:rPr>
        <w:t>Chem</w:t>
      </w:r>
      <w:proofErr w:type="spellEnd"/>
      <w:r w:rsidR="00175BFC" w:rsidRPr="00AA3AF3">
        <w:rPr>
          <w:sz w:val="20"/>
          <w:szCs w:val="20"/>
        </w:rPr>
        <w:t>.</w:t>
      </w:r>
      <w:r w:rsidR="00C75214" w:rsidRPr="00AA3AF3">
        <w:rPr>
          <w:sz w:val="20"/>
          <w:szCs w:val="20"/>
        </w:rPr>
        <w:t xml:space="preserve"> </w:t>
      </w:r>
      <w:proofErr w:type="spellStart"/>
      <w:r w:rsidR="00C75214" w:rsidRPr="00AA3AF3">
        <w:rPr>
          <w:sz w:val="20"/>
          <w:szCs w:val="20"/>
        </w:rPr>
        <w:t>Eng</w:t>
      </w:r>
      <w:proofErr w:type="spellEnd"/>
      <w:r w:rsidR="00175BFC" w:rsidRPr="00AA3AF3">
        <w:rPr>
          <w:sz w:val="20"/>
          <w:szCs w:val="20"/>
        </w:rPr>
        <w:t>.</w:t>
      </w:r>
      <w:r w:rsidR="00C75214" w:rsidRPr="00AA3AF3">
        <w:rPr>
          <w:sz w:val="20"/>
          <w:szCs w:val="20"/>
        </w:rPr>
        <w:t xml:space="preserve"> J</w:t>
      </w:r>
      <w:r w:rsidR="00175BFC" w:rsidRPr="00AA3AF3">
        <w:rPr>
          <w:sz w:val="20"/>
          <w:szCs w:val="20"/>
        </w:rPr>
        <w:t>.</w:t>
      </w:r>
      <w:r w:rsidR="00C75214" w:rsidRPr="00AA3AF3">
        <w:rPr>
          <w:sz w:val="20"/>
          <w:szCs w:val="20"/>
        </w:rPr>
        <w:t xml:space="preserve"> </w:t>
      </w:r>
      <w:r w:rsidR="00175BFC" w:rsidRPr="00AA3AF3">
        <w:rPr>
          <w:sz w:val="20"/>
          <w:szCs w:val="20"/>
        </w:rPr>
        <w:t xml:space="preserve">283 </w:t>
      </w:r>
      <w:r w:rsidR="00C75214" w:rsidRPr="00AA3AF3">
        <w:rPr>
          <w:sz w:val="20"/>
          <w:szCs w:val="20"/>
        </w:rPr>
        <w:t>(2016)</w:t>
      </w:r>
      <w:r w:rsidR="00175BFC" w:rsidRPr="00AA3AF3">
        <w:rPr>
          <w:sz w:val="20"/>
          <w:szCs w:val="20"/>
        </w:rPr>
        <w:t xml:space="preserve"> 293–303</w:t>
      </w:r>
    </w:p>
    <w:p w14:paraId="0B123525" w14:textId="32D47A98" w:rsidR="00C75214" w:rsidRPr="00AA3AF3" w:rsidRDefault="00336555" w:rsidP="00821A8D">
      <w:pPr>
        <w:spacing w:after="0" w:line="240" w:lineRule="auto"/>
        <w:ind w:left="386" w:hanging="386"/>
        <w:rPr>
          <w:sz w:val="20"/>
          <w:szCs w:val="20"/>
        </w:rPr>
      </w:pPr>
      <w:r w:rsidRPr="00AA3AF3">
        <w:rPr>
          <w:sz w:val="20"/>
          <w:szCs w:val="20"/>
        </w:rPr>
        <w:t>[3</w:t>
      </w:r>
      <w:proofErr w:type="gramStart"/>
      <w:r w:rsidRPr="00AA3AF3">
        <w:rPr>
          <w:sz w:val="20"/>
          <w:szCs w:val="20"/>
        </w:rPr>
        <w:t xml:space="preserve">] </w:t>
      </w:r>
      <w:r w:rsidR="00C75214" w:rsidRPr="00AA3AF3">
        <w:rPr>
          <w:sz w:val="20"/>
          <w:szCs w:val="20"/>
        </w:rPr>
        <w:t xml:space="preserve"> </w:t>
      </w:r>
      <w:r w:rsidR="00C75214" w:rsidRPr="00AA3AF3">
        <w:rPr>
          <w:sz w:val="20"/>
          <w:szCs w:val="20"/>
        </w:rPr>
        <w:tab/>
      </w:r>
      <w:proofErr w:type="gramEnd"/>
      <w:r w:rsidR="0021392D" w:rsidRPr="00AA3AF3">
        <w:rPr>
          <w:sz w:val="20"/>
          <w:szCs w:val="20"/>
        </w:rPr>
        <w:t xml:space="preserve">D. </w:t>
      </w:r>
      <w:r w:rsidR="00C75214" w:rsidRPr="00AA3AF3">
        <w:rPr>
          <w:sz w:val="20"/>
          <w:szCs w:val="20"/>
        </w:rPr>
        <w:t xml:space="preserve">Frascari, </w:t>
      </w:r>
      <w:r w:rsidR="00E03DA7" w:rsidRPr="00AA3AF3">
        <w:rPr>
          <w:sz w:val="20"/>
          <w:szCs w:val="20"/>
        </w:rPr>
        <w:t xml:space="preserve">A.E. </w:t>
      </w:r>
      <w:r w:rsidR="00C75214" w:rsidRPr="00AA3AF3">
        <w:rPr>
          <w:sz w:val="20"/>
          <w:szCs w:val="20"/>
        </w:rPr>
        <w:t xml:space="preserve">Molina Bacca, </w:t>
      </w:r>
      <w:r w:rsidR="00E03DA7" w:rsidRPr="00AA3AF3">
        <w:rPr>
          <w:sz w:val="20"/>
          <w:szCs w:val="20"/>
        </w:rPr>
        <w:t xml:space="preserve">T. </w:t>
      </w:r>
      <w:proofErr w:type="spellStart"/>
      <w:r w:rsidR="00C75214" w:rsidRPr="00AA3AF3">
        <w:rPr>
          <w:sz w:val="20"/>
          <w:szCs w:val="20"/>
        </w:rPr>
        <w:t>Wardenaar</w:t>
      </w:r>
      <w:proofErr w:type="spellEnd"/>
      <w:r w:rsidR="00C75214" w:rsidRPr="00AA3AF3">
        <w:rPr>
          <w:sz w:val="20"/>
          <w:szCs w:val="20"/>
        </w:rPr>
        <w:t xml:space="preserve">, </w:t>
      </w:r>
      <w:r w:rsidR="00E03DA7" w:rsidRPr="00AA3AF3">
        <w:rPr>
          <w:sz w:val="20"/>
          <w:szCs w:val="20"/>
        </w:rPr>
        <w:t xml:space="preserve">E. </w:t>
      </w:r>
      <w:proofErr w:type="spellStart"/>
      <w:r w:rsidR="00C75214" w:rsidRPr="00AA3AF3">
        <w:rPr>
          <w:sz w:val="20"/>
          <w:szCs w:val="20"/>
        </w:rPr>
        <w:t>Oertlé</w:t>
      </w:r>
      <w:proofErr w:type="spellEnd"/>
      <w:r w:rsidR="00C75214" w:rsidRPr="00AA3AF3">
        <w:rPr>
          <w:sz w:val="20"/>
          <w:szCs w:val="20"/>
        </w:rPr>
        <w:t xml:space="preserve">, </w:t>
      </w:r>
      <w:r w:rsidR="00E03DA7" w:rsidRPr="00AA3AF3">
        <w:rPr>
          <w:sz w:val="20"/>
          <w:szCs w:val="20"/>
        </w:rPr>
        <w:t xml:space="preserve">D. </w:t>
      </w:r>
      <w:r w:rsidR="00C75214" w:rsidRPr="00AA3AF3">
        <w:rPr>
          <w:sz w:val="20"/>
          <w:szCs w:val="20"/>
        </w:rPr>
        <w:t>Pinelli, J</w:t>
      </w:r>
      <w:r w:rsidR="00175BFC" w:rsidRPr="00AA3AF3">
        <w:rPr>
          <w:sz w:val="20"/>
          <w:szCs w:val="20"/>
        </w:rPr>
        <w:t>.</w:t>
      </w:r>
      <w:r w:rsidR="00C75214" w:rsidRPr="00AA3AF3">
        <w:rPr>
          <w:sz w:val="20"/>
          <w:szCs w:val="20"/>
        </w:rPr>
        <w:t xml:space="preserve"> </w:t>
      </w:r>
      <w:proofErr w:type="spellStart"/>
      <w:r w:rsidR="00C75214" w:rsidRPr="00AA3AF3">
        <w:rPr>
          <w:sz w:val="20"/>
          <w:szCs w:val="20"/>
        </w:rPr>
        <w:t>Chem</w:t>
      </w:r>
      <w:proofErr w:type="spellEnd"/>
      <w:r w:rsidR="00175BFC" w:rsidRPr="00AA3AF3">
        <w:rPr>
          <w:sz w:val="20"/>
          <w:szCs w:val="20"/>
        </w:rPr>
        <w:t>.</w:t>
      </w:r>
      <w:r w:rsidR="00C75214" w:rsidRPr="00AA3AF3">
        <w:rPr>
          <w:sz w:val="20"/>
          <w:szCs w:val="20"/>
        </w:rPr>
        <w:t xml:space="preserve"> </w:t>
      </w:r>
      <w:proofErr w:type="spellStart"/>
      <w:r w:rsidR="00C75214" w:rsidRPr="00AA3AF3">
        <w:rPr>
          <w:sz w:val="20"/>
          <w:szCs w:val="20"/>
        </w:rPr>
        <w:t>Technol</w:t>
      </w:r>
      <w:proofErr w:type="spellEnd"/>
      <w:r w:rsidR="00175BFC" w:rsidRPr="00AA3AF3">
        <w:rPr>
          <w:sz w:val="20"/>
          <w:szCs w:val="20"/>
        </w:rPr>
        <w:t>.</w:t>
      </w:r>
      <w:r w:rsidR="00C75214" w:rsidRPr="00AA3AF3">
        <w:rPr>
          <w:sz w:val="20"/>
          <w:szCs w:val="20"/>
        </w:rPr>
        <w:t xml:space="preserve"> </w:t>
      </w:r>
      <w:proofErr w:type="spellStart"/>
      <w:r w:rsidR="00C75214" w:rsidRPr="00AA3AF3">
        <w:rPr>
          <w:sz w:val="20"/>
          <w:szCs w:val="20"/>
        </w:rPr>
        <w:t>Biotechnol</w:t>
      </w:r>
      <w:proofErr w:type="spellEnd"/>
      <w:r w:rsidR="00175BFC" w:rsidRPr="00AA3AF3">
        <w:rPr>
          <w:sz w:val="20"/>
          <w:szCs w:val="20"/>
        </w:rPr>
        <w:t>.</w:t>
      </w:r>
      <w:r w:rsidR="00C75214" w:rsidRPr="00AA3AF3">
        <w:rPr>
          <w:sz w:val="20"/>
          <w:szCs w:val="20"/>
        </w:rPr>
        <w:t xml:space="preserve"> 94 (2019)</w:t>
      </w:r>
      <w:r w:rsidR="00175BFC" w:rsidRPr="00AA3AF3">
        <w:rPr>
          <w:sz w:val="20"/>
          <w:szCs w:val="20"/>
        </w:rPr>
        <w:t xml:space="preserve"> 1968–81</w:t>
      </w:r>
    </w:p>
    <w:p w14:paraId="761B1EE6" w14:textId="5153BC22" w:rsidR="00821A8D" w:rsidRPr="00AA3AF3" w:rsidRDefault="00821A8D" w:rsidP="00821A8D">
      <w:pPr>
        <w:spacing w:after="0" w:line="240" w:lineRule="auto"/>
        <w:ind w:left="386" w:hanging="386"/>
        <w:rPr>
          <w:sz w:val="20"/>
          <w:szCs w:val="20"/>
        </w:rPr>
      </w:pPr>
      <w:r w:rsidRPr="00AA3AF3">
        <w:rPr>
          <w:sz w:val="20"/>
          <w:szCs w:val="20"/>
        </w:rPr>
        <w:t>[4</w:t>
      </w:r>
      <w:proofErr w:type="gramStart"/>
      <w:r w:rsidRPr="00AA3AF3">
        <w:rPr>
          <w:sz w:val="20"/>
          <w:szCs w:val="20"/>
        </w:rPr>
        <w:t xml:space="preserve">]  </w:t>
      </w:r>
      <w:r w:rsidRPr="00AA3AF3">
        <w:rPr>
          <w:sz w:val="20"/>
          <w:szCs w:val="20"/>
        </w:rPr>
        <w:tab/>
      </w:r>
      <w:proofErr w:type="gramEnd"/>
      <w:r w:rsidR="00E03DA7" w:rsidRPr="00AA3AF3">
        <w:rPr>
          <w:sz w:val="20"/>
          <w:szCs w:val="20"/>
        </w:rPr>
        <w:t xml:space="preserve">D. </w:t>
      </w:r>
      <w:r w:rsidRPr="00AA3AF3">
        <w:rPr>
          <w:sz w:val="20"/>
          <w:szCs w:val="20"/>
        </w:rPr>
        <w:t xml:space="preserve">Pinelli, </w:t>
      </w:r>
      <w:r w:rsidR="00E03DA7" w:rsidRPr="00AA3AF3">
        <w:rPr>
          <w:sz w:val="20"/>
          <w:szCs w:val="20"/>
        </w:rPr>
        <w:t xml:space="preserve">A.E. </w:t>
      </w:r>
      <w:r w:rsidRPr="00AA3AF3">
        <w:rPr>
          <w:sz w:val="20"/>
          <w:szCs w:val="20"/>
        </w:rPr>
        <w:t xml:space="preserve">Molina Bacca, </w:t>
      </w:r>
      <w:r w:rsidR="00E03DA7" w:rsidRPr="00AA3AF3">
        <w:rPr>
          <w:sz w:val="20"/>
          <w:szCs w:val="20"/>
        </w:rPr>
        <w:t xml:space="preserve">A. </w:t>
      </w:r>
      <w:proofErr w:type="spellStart"/>
      <w:r w:rsidRPr="00AA3AF3">
        <w:rPr>
          <w:sz w:val="20"/>
          <w:szCs w:val="20"/>
        </w:rPr>
        <w:t>Kaushik</w:t>
      </w:r>
      <w:proofErr w:type="spellEnd"/>
      <w:r w:rsidRPr="00AA3AF3">
        <w:rPr>
          <w:sz w:val="20"/>
          <w:szCs w:val="20"/>
        </w:rPr>
        <w:t xml:space="preserve">, </w:t>
      </w:r>
      <w:r w:rsidR="00E03DA7" w:rsidRPr="00AA3AF3">
        <w:rPr>
          <w:sz w:val="20"/>
          <w:szCs w:val="20"/>
        </w:rPr>
        <w:t xml:space="preserve">S. </w:t>
      </w:r>
      <w:proofErr w:type="spellStart"/>
      <w:r w:rsidRPr="00AA3AF3">
        <w:rPr>
          <w:sz w:val="20"/>
          <w:szCs w:val="20"/>
        </w:rPr>
        <w:t>Basu</w:t>
      </w:r>
      <w:proofErr w:type="spellEnd"/>
      <w:r w:rsidRPr="00AA3AF3">
        <w:rPr>
          <w:sz w:val="20"/>
          <w:szCs w:val="20"/>
        </w:rPr>
        <w:t xml:space="preserve">, </w:t>
      </w:r>
      <w:r w:rsidR="00E03DA7" w:rsidRPr="00AA3AF3">
        <w:rPr>
          <w:sz w:val="20"/>
          <w:szCs w:val="20"/>
        </w:rPr>
        <w:t xml:space="preserve">M. </w:t>
      </w:r>
      <w:proofErr w:type="spellStart"/>
      <w:r w:rsidRPr="00AA3AF3">
        <w:rPr>
          <w:sz w:val="20"/>
          <w:szCs w:val="20"/>
        </w:rPr>
        <w:t>Nocentini</w:t>
      </w:r>
      <w:proofErr w:type="spellEnd"/>
      <w:r w:rsidRPr="00AA3AF3">
        <w:rPr>
          <w:sz w:val="20"/>
          <w:szCs w:val="20"/>
        </w:rPr>
        <w:t xml:space="preserve">, </w:t>
      </w:r>
      <w:r w:rsidR="00E03DA7" w:rsidRPr="00AA3AF3">
        <w:rPr>
          <w:sz w:val="20"/>
          <w:szCs w:val="20"/>
        </w:rPr>
        <w:t xml:space="preserve">L. </w:t>
      </w:r>
      <w:proofErr w:type="spellStart"/>
      <w:r w:rsidRPr="00AA3AF3">
        <w:rPr>
          <w:sz w:val="20"/>
          <w:szCs w:val="20"/>
        </w:rPr>
        <w:t>Bertin</w:t>
      </w:r>
      <w:proofErr w:type="spellEnd"/>
      <w:r w:rsidRPr="00AA3AF3">
        <w:rPr>
          <w:sz w:val="20"/>
          <w:szCs w:val="20"/>
        </w:rPr>
        <w:t xml:space="preserve">, </w:t>
      </w:r>
      <w:r w:rsidR="00E03DA7" w:rsidRPr="00AA3AF3">
        <w:rPr>
          <w:sz w:val="20"/>
          <w:szCs w:val="20"/>
        </w:rPr>
        <w:t xml:space="preserve">D. </w:t>
      </w:r>
      <w:r w:rsidRPr="00AA3AF3">
        <w:rPr>
          <w:sz w:val="20"/>
          <w:szCs w:val="20"/>
        </w:rPr>
        <w:t xml:space="preserve">Frascari, </w:t>
      </w:r>
      <w:proofErr w:type="spellStart"/>
      <w:r w:rsidRPr="00AA3AF3">
        <w:rPr>
          <w:sz w:val="20"/>
          <w:szCs w:val="20"/>
        </w:rPr>
        <w:t>Int</w:t>
      </w:r>
      <w:proofErr w:type="spellEnd"/>
      <w:r w:rsidR="00175BFC" w:rsidRPr="00AA3AF3">
        <w:rPr>
          <w:sz w:val="20"/>
          <w:szCs w:val="20"/>
        </w:rPr>
        <w:t>.</w:t>
      </w:r>
      <w:r w:rsidRPr="00AA3AF3">
        <w:rPr>
          <w:sz w:val="20"/>
          <w:szCs w:val="20"/>
        </w:rPr>
        <w:t xml:space="preserve"> J</w:t>
      </w:r>
      <w:r w:rsidR="00175BFC" w:rsidRPr="00AA3AF3">
        <w:rPr>
          <w:sz w:val="20"/>
          <w:szCs w:val="20"/>
        </w:rPr>
        <w:t>.</w:t>
      </w:r>
      <w:r w:rsidRPr="00AA3AF3">
        <w:rPr>
          <w:sz w:val="20"/>
          <w:szCs w:val="20"/>
        </w:rPr>
        <w:t xml:space="preserve"> </w:t>
      </w:r>
      <w:proofErr w:type="spellStart"/>
      <w:r w:rsidRPr="00AA3AF3">
        <w:rPr>
          <w:sz w:val="20"/>
          <w:szCs w:val="20"/>
        </w:rPr>
        <w:t>Chem</w:t>
      </w:r>
      <w:proofErr w:type="spellEnd"/>
      <w:r w:rsidR="00175BFC" w:rsidRPr="00AA3AF3">
        <w:rPr>
          <w:sz w:val="20"/>
          <w:szCs w:val="20"/>
        </w:rPr>
        <w:t>.</w:t>
      </w:r>
      <w:r w:rsidRPr="00AA3AF3">
        <w:rPr>
          <w:sz w:val="20"/>
          <w:szCs w:val="20"/>
        </w:rPr>
        <w:t xml:space="preserve"> </w:t>
      </w:r>
      <w:proofErr w:type="spellStart"/>
      <w:r w:rsidRPr="00AA3AF3">
        <w:rPr>
          <w:sz w:val="20"/>
          <w:szCs w:val="20"/>
        </w:rPr>
        <w:t>Eng</w:t>
      </w:r>
      <w:proofErr w:type="spellEnd"/>
      <w:r w:rsidR="00175BFC" w:rsidRPr="00AA3AF3">
        <w:rPr>
          <w:sz w:val="20"/>
          <w:szCs w:val="20"/>
        </w:rPr>
        <w:t>.</w:t>
      </w:r>
      <w:r w:rsidRPr="00AA3AF3">
        <w:rPr>
          <w:sz w:val="20"/>
          <w:szCs w:val="20"/>
        </w:rPr>
        <w:t xml:space="preserve"> vol. 2016</w:t>
      </w:r>
      <w:r w:rsidR="00661249" w:rsidRPr="00AA3AF3">
        <w:rPr>
          <w:rFonts w:cs="Times New Roman"/>
          <w:noProof/>
          <w:sz w:val="20"/>
          <w:szCs w:val="20"/>
        </w:rPr>
        <w:t xml:space="preserve"> (2016) Article ID 9349627</w:t>
      </w:r>
    </w:p>
    <w:p w14:paraId="097D43FC" w14:textId="2411A787" w:rsidR="00821A8D" w:rsidRPr="00AA3AF3" w:rsidRDefault="00821A8D" w:rsidP="00821A8D">
      <w:pPr>
        <w:spacing w:after="0" w:line="240" w:lineRule="auto"/>
        <w:ind w:left="386" w:hanging="386"/>
        <w:rPr>
          <w:sz w:val="20"/>
          <w:szCs w:val="20"/>
        </w:rPr>
      </w:pPr>
      <w:r w:rsidRPr="00AA3AF3">
        <w:rPr>
          <w:sz w:val="20"/>
          <w:szCs w:val="20"/>
        </w:rPr>
        <w:t>[5</w:t>
      </w:r>
      <w:proofErr w:type="gramStart"/>
      <w:r w:rsidRPr="00AA3AF3">
        <w:rPr>
          <w:sz w:val="20"/>
          <w:szCs w:val="20"/>
        </w:rPr>
        <w:t xml:space="preserve">]  </w:t>
      </w:r>
      <w:r w:rsidRPr="00AA3AF3">
        <w:rPr>
          <w:sz w:val="20"/>
          <w:szCs w:val="20"/>
        </w:rPr>
        <w:tab/>
      </w:r>
      <w:proofErr w:type="gramEnd"/>
      <w:r w:rsidR="00E03DA7" w:rsidRPr="00AA3AF3">
        <w:rPr>
          <w:sz w:val="20"/>
          <w:szCs w:val="20"/>
        </w:rPr>
        <w:t xml:space="preserve">D. </w:t>
      </w:r>
      <w:r w:rsidRPr="00AA3AF3">
        <w:rPr>
          <w:sz w:val="20"/>
          <w:szCs w:val="20"/>
        </w:rPr>
        <w:t xml:space="preserve">Frascari, </w:t>
      </w:r>
      <w:r w:rsidR="00E03DA7" w:rsidRPr="00AA3AF3">
        <w:rPr>
          <w:sz w:val="20"/>
          <w:szCs w:val="20"/>
        </w:rPr>
        <w:t xml:space="preserve">G. </w:t>
      </w:r>
      <w:proofErr w:type="spellStart"/>
      <w:r w:rsidRPr="00AA3AF3">
        <w:rPr>
          <w:sz w:val="20"/>
          <w:szCs w:val="20"/>
        </w:rPr>
        <w:t>Rubertelli</w:t>
      </w:r>
      <w:proofErr w:type="spellEnd"/>
      <w:r w:rsidRPr="00AA3AF3">
        <w:rPr>
          <w:sz w:val="20"/>
          <w:szCs w:val="20"/>
        </w:rPr>
        <w:t xml:space="preserve">, </w:t>
      </w:r>
      <w:r w:rsidR="00E03DA7" w:rsidRPr="00AA3AF3">
        <w:rPr>
          <w:sz w:val="20"/>
          <w:szCs w:val="20"/>
        </w:rPr>
        <w:t xml:space="preserve">F. </w:t>
      </w:r>
      <w:proofErr w:type="spellStart"/>
      <w:r w:rsidRPr="00AA3AF3">
        <w:rPr>
          <w:sz w:val="20"/>
          <w:szCs w:val="20"/>
        </w:rPr>
        <w:t>Arous</w:t>
      </w:r>
      <w:proofErr w:type="spellEnd"/>
      <w:r w:rsidRPr="00AA3AF3">
        <w:rPr>
          <w:sz w:val="20"/>
          <w:szCs w:val="20"/>
        </w:rPr>
        <w:t xml:space="preserve">, </w:t>
      </w:r>
      <w:r w:rsidR="00E03DA7" w:rsidRPr="00AA3AF3">
        <w:rPr>
          <w:sz w:val="20"/>
          <w:szCs w:val="20"/>
        </w:rPr>
        <w:t xml:space="preserve">A. </w:t>
      </w:r>
      <w:proofErr w:type="spellStart"/>
      <w:r w:rsidRPr="00AA3AF3">
        <w:rPr>
          <w:sz w:val="20"/>
          <w:szCs w:val="20"/>
        </w:rPr>
        <w:t>Ragini</w:t>
      </w:r>
      <w:proofErr w:type="spellEnd"/>
      <w:r w:rsidRPr="00AA3AF3">
        <w:rPr>
          <w:sz w:val="20"/>
          <w:szCs w:val="20"/>
        </w:rPr>
        <w:t xml:space="preserve">, </w:t>
      </w:r>
      <w:r w:rsidR="00E03DA7" w:rsidRPr="00AA3AF3">
        <w:rPr>
          <w:sz w:val="20"/>
          <w:szCs w:val="20"/>
        </w:rPr>
        <w:t xml:space="preserve">L. </w:t>
      </w:r>
      <w:r w:rsidRPr="00AA3AF3">
        <w:rPr>
          <w:sz w:val="20"/>
          <w:szCs w:val="20"/>
        </w:rPr>
        <w:t xml:space="preserve">Bresciani, </w:t>
      </w:r>
      <w:r w:rsidR="00E03DA7" w:rsidRPr="00AA3AF3">
        <w:rPr>
          <w:sz w:val="20"/>
          <w:szCs w:val="20"/>
        </w:rPr>
        <w:t xml:space="preserve">A. </w:t>
      </w:r>
      <w:proofErr w:type="spellStart"/>
      <w:r w:rsidRPr="00AA3AF3">
        <w:rPr>
          <w:sz w:val="20"/>
          <w:szCs w:val="20"/>
        </w:rPr>
        <w:t>Arzu</w:t>
      </w:r>
      <w:proofErr w:type="spellEnd"/>
      <w:r w:rsidRPr="00AA3AF3">
        <w:rPr>
          <w:sz w:val="20"/>
          <w:szCs w:val="20"/>
        </w:rPr>
        <w:t xml:space="preserve">, </w:t>
      </w:r>
      <w:r w:rsidR="00E03DA7" w:rsidRPr="00AA3AF3">
        <w:rPr>
          <w:sz w:val="20"/>
          <w:szCs w:val="20"/>
        </w:rPr>
        <w:t xml:space="preserve">D. </w:t>
      </w:r>
      <w:r w:rsidRPr="00AA3AF3">
        <w:rPr>
          <w:sz w:val="20"/>
          <w:szCs w:val="20"/>
        </w:rPr>
        <w:t xml:space="preserve">Pinelli, </w:t>
      </w:r>
      <w:proofErr w:type="spellStart"/>
      <w:r w:rsidRPr="00AA3AF3">
        <w:rPr>
          <w:sz w:val="20"/>
          <w:szCs w:val="20"/>
        </w:rPr>
        <w:t>Chem</w:t>
      </w:r>
      <w:proofErr w:type="spellEnd"/>
      <w:r w:rsidR="00175BFC" w:rsidRPr="00AA3AF3">
        <w:rPr>
          <w:sz w:val="20"/>
          <w:szCs w:val="20"/>
        </w:rPr>
        <w:t>.</w:t>
      </w:r>
      <w:r w:rsidRPr="00AA3AF3">
        <w:rPr>
          <w:sz w:val="20"/>
          <w:szCs w:val="20"/>
        </w:rPr>
        <w:t xml:space="preserve"> </w:t>
      </w:r>
      <w:proofErr w:type="spellStart"/>
      <w:r w:rsidRPr="00AA3AF3">
        <w:rPr>
          <w:sz w:val="20"/>
          <w:szCs w:val="20"/>
        </w:rPr>
        <w:t>Eng</w:t>
      </w:r>
      <w:proofErr w:type="spellEnd"/>
      <w:r w:rsidR="00175BFC" w:rsidRPr="00AA3AF3">
        <w:rPr>
          <w:sz w:val="20"/>
          <w:szCs w:val="20"/>
        </w:rPr>
        <w:t>.</w:t>
      </w:r>
      <w:r w:rsidRPr="00AA3AF3">
        <w:rPr>
          <w:sz w:val="20"/>
          <w:szCs w:val="20"/>
        </w:rPr>
        <w:t xml:space="preserve"> </w:t>
      </w:r>
      <w:r w:rsidR="00175BFC" w:rsidRPr="00AA3AF3">
        <w:rPr>
          <w:sz w:val="20"/>
          <w:szCs w:val="20"/>
        </w:rPr>
        <w:t>J.</w:t>
      </w:r>
      <w:r w:rsidRPr="00AA3AF3">
        <w:rPr>
          <w:sz w:val="20"/>
          <w:szCs w:val="20"/>
        </w:rPr>
        <w:t xml:space="preserve"> 360 (2019)</w:t>
      </w:r>
      <w:r w:rsidR="00175BFC" w:rsidRPr="00AA3AF3">
        <w:rPr>
          <w:sz w:val="20"/>
          <w:szCs w:val="20"/>
        </w:rPr>
        <w:t xml:space="preserve"> 124–38</w:t>
      </w:r>
    </w:p>
    <w:p w14:paraId="5BFCC61C" w14:textId="4922B33B" w:rsidR="00C75214" w:rsidRPr="00AA3AF3" w:rsidRDefault="00087A1C" w:rsidP="00821A8D">
      <w:pPr>
        <w:spacing w:after="0" w:line="240" w:lineRule="auto"/>
        <w:ind w:left="386" w:hanging="386"/>
        <w:rPr>
          <w:sz w:val="20"/>
          <w:szCs w:val="20"/>
        </w:rPr>
      </w:pPr>
      <w:r w:rsidRPr="00AA3AF3">
        <w:rPr>
          <w:sz w:val="20"/>
          <w:szCs w:val="20"/>
        </w:rPr>
        <w:t>[6</w:t>
      </w:r>
      <w:proofErr w:type="gramStart"/>
      <w:r w:rsidRPr="00AA3AF3">
        <w:rPr>
          <w:sz w:val="20"/>
          <w:szCs w:val="20"/>
        </w:rPr>
        <w:t xml:space="preserve">] </w:t>
      </w:r>
      <w:r w:rsidR="00C75214" w:rsidRPr="00AA3AF3">
        <w:rPr>
          <w:sz w:val="20"/>
          <w:szCs w:val="20"/>
        </w:rPr>
        <w:t xml:space="preserve"> </w:t>
      </w:r>
      <w:r w:rsidR="00C75214" w:rsidRPr="00AA3AF3">
        <w:rPr>
          <w:sz w:val="20"/>
          <w:szCs w:val="20"/>
        </w:rPr>
        <w:tab/>
      </w:r>
      <w:proofErr w:type="gramEnd"/>
      <w:r w:rsidR="00E03DA7" w:rsidRPr="00AA3AF3">
        <w:rPr>
          <w:sz w:val="20"/>
          <w:szCs w:val="20"/>
        </w:rPr>
        <w:t xml:space="preserve">A.E. </w:t>
      </w:r>
      <w:proofErr w:type="spellStart"/>
      <w:r w:rsidR="00C75214" w:rsidRPr="00AA3AF3">
        <w:rPr>
          <w:sz w:val="20"/>
          <w:szCs w:val="20"/>
        </w:rPr>
        <w:t>Maragkaki</w:t>
      </w:r>
      <w:proofErr w:type="spellEnd"/>
      <w:r w:rsidR="00C75214" w:rsidRPr="00AA3AF3">
        <w:rPr>
          <w:sz w:val="20"/>
          <w:szCs w:val="20"/>
        </w:rPr>
        <w:t xml:space="preserve">, </w:t>
      </w:r>
      <w:r w:rsidR="00E03DA7" w:rsidRPr="00AA3AF3">
        <w:rPr>
          <w:sz w:val="20"/>
          <w:szCs w:val="20"/>
        </w:rPr>
        <w:t xml:space="preserve">M. </w:t>
      </w:r>
      <w:proofErr w:type="spellStart"/>
      <w:r w:rsidR="00C75214" w:rsidRPr="00AA3AF3">
        <w:rPr>
          <w:sz w:val="20"/>
          <w:szCs w:val="20"/>
        </w:rPr>
        <w:t>Fountoulakis</w:t>
      </w:r>
      <w:proofErr w:type="spellEnd"/>
      <w:r w:rsidR="00E03DA7" w:rsidRPr="00AA3AF3">
        <w:rPr>
          <w:sz w:val="20"/>
          <w:szCs w:val="20"/>
        </w:rPr>
        <w:t>,</w:t>
      </w:r>
      <w:r w:rsidR="00C75214" w:rsidRPr="00AA3AF3">
        <w:rPr>
          <w:sz w:val="20"/>
          <w:szCs w:val="20"/>
        </w:rPr>
        <w:t xml:space="preserve"> </w:t>
      </w:r>
      <w:r w:rsidR="00E03DA7" w:rsidRPr="00AA3AF3">
        <w:rPr>
          <w:sz w:val="20"/>
          <w:szCs w:val="20"/>
        </w:rPr>
        <w:t xml:space="preserve">A. </w:t>
      </w:r>
      <w:proofErr w:type="spellStart"/>
      <w:r w:rsidR="00C75214" w:rsidRPr="00AA3AF3">
        <w:rPr>
          <w:sz w:val="20"/>
          <w:szCs w:val="20"/>
        </w:rPr>
        <w:t>Gypakis</w:t>
      </w:r>
      <w:proofErr w:type="spellEnd"/>
      <w:r w:rsidR="00C75214" w:rsidRPr="00AA3AF3">
        <w:rPr>
          <w:sz w:val="20"/>
          <w:szCs w:val="20"/>
        </w:rPr>
        <w:t xml:space="preserve">, </w:t>
      </w:r>
      <w:r w:rsidR="00E03DA7" w:rsidRPr="00AA3AF3">
        <w:rPr>
          <w:sz w:val="20"/>
          <w:szCs w:val="20"/>
        </w:rPr>
        <w:t xml:space="preserve">A. </w:t>
      </w:r>
      <w:proofErr w:type="spellStart"/>
      <w:r w:rsidR="00C75214" w:rsidRPr="00AA3AF3">
        <w:rPr>
          <w:sz w:val="20"/>
          <w:szCs w:val="20"/>
        </w:rPr>
        <w:t>Kyriakou</w:t>
      </w:r>
      <w:proofErr w:type="spellEnd"/>
      <w:r w:rsidR="00C75214" w:rsidRPr="00AA3AF3">
        <w:rPr>
          <w:sz w:val="20"/>
          <w:szCs w:val="20"/>
        </w:rPr>
        <w:t xml:space="preserve">, </w:t>
      </w:r>
      <w:r w:rsidR="00E03DA7" w:rsidRPr="00AA3AF3">
        <w:rPr>
          <w:sz w:val="20"/>
          <w:szCs w:val="20"/>
        </w:rPr>
        <w:t xml:space="preserve">K. </w:t>
      </w:r>
      <w:proofErr w:type="spellStart"/>
      <w:r w:rsidR="00C75214" w:rsidRPr="00AA3AF3">
        <w:rPr>
          <w:sz w:val="20"/>
          <w:szCs w:val="20"/>
        </w:rPr>
        <w:t>Lasaridi</w:t>
      </w:r>
      <w:proofErr w:type="spellEnd"/>
      <w:r w:rsidR="00C75214" w:rsidRPr="00AA3AF3">
        <w:rPr>
          <w:sz w:val="20"/>
          <w:szCs w:val="20"/>
        </w:rPr>
        <w:t xml:space="preserve">, </w:t>
      </w:r>
      <w:r w:rsidR="00E03DA7" w:rsidRPr="00AA3AF3">
        <w:rPr>
          <w:sz w:val="20"/>
          <w:szCs w:val="20"/>
        </w:rPr>
        <w:t xml:space="preserve">T. </w:t>
      </w:r>
      <w:proofErr w:type="spellStart"/>
      <w:r w:rsidR="00C75214" w:rsidRPr="00AA3AF3">
        <w:rPr>
          <w:sz w:val="20"/>
          <w:szCs w:val="20"/>
        </w:rPr>
        <w:t>Manios</w:t>
      </w:r>
      <w:proofErr w:type="spellEnd"/>
      <w:r w:rsidR="00C75214" w:rsidRPr="00AA3AF3">
        <w:rPr>
          <w:sz w:val="20"/>
          <w:szCs w:val="20"/>
        </w:rPr>
        <w:t xml:space="preserve">, Waste </w:t>
      </w:r>
      <w:proofErr w:type="spellStart"/>
      <w:r w:rsidR="00C75214" w:rsidRPr="00AA3AF3">
        <w:rPr>
          <w:sz w:val="20"/>
          <w:szCs w:val="20"/>
        </w:rPr>
        <w:t>Manag</w:t>
      </w:r>
      <w:proofErr w:type="spellEnd"/>
      <w:r w:rsidR="00175BFC" w:rsidRPr="00AA3AF3">
        <w:rPr>
          <w:sz w:val="20"/>
          <w:szCs w:val="20"/>
        </w:rPr>
        <w:t>.</w:t>
      </w:r>
      <w:r w:rsidR="00C75214" w:rsidRPr="00AA3AF3">
        <w:rPr>
          <w:sz w:val="20"/>
          <w:szCs w:val="20"/>
        </w:rPr>
        <w:t xml:space="preserve"> 59 (2017)</w:t>
      </w:r>
      <w:r w:rsidR="00175BFC" w:rsidRPr="00AA3AF3">
        <w:rPr>
          <w:sz w:val="20"/>
          <w:szCs w:val="20"/>
        </w:rPr>
        <w:t xml:space="preserve"> 362–70</w:t>
      </w:r>
    </w:p>
    <w:p w14:paraId="51B10DA5" w14:textId="60F2A132" w:rsidR="00821A8D" w:rsidRPr="00AA3AF3" w:rsidRDefault="00821A8D" w:rsidP="00821A8D">
      <w:pPr>
        <w:spacing w:after="0" w:line="240" w:lineRule="auto"/>
        <w:ind w:left="386" w:hanging="386"/>
        <w:rPr>
          <w:sz w:val="20"/>
          <w:szCs w:val="20"/>
        </w:rPr>
      </w:pPr>
      <w:r w:rsidRPr="00AA3AF3">
        <w:rPr>
          <w:sz w:val="20"/>
          <w:szCs w:val="20"/>
        </w:rPr>
        <w:t>[7</w:t>
      </w:r>
      <w:proofErr w:type="gramStart"/>
      <w:r w:rsidRPr="00AA3AF3">
        <w:rPr>
          <w:sz w:val="20"/>
          <w:szCs w:val="20"/>
        </w:rPr>
        <w:t xml:space="preserve">]  </w:t>
      </w:r>
      <w:r w:rsidRPr="00AA3AF3">
        <w:rPr>
          <w:sz w:val="20"/>
          <w:szCs w:val="20"/>
        </w:rPr>
        <w:tab/>
      </w:r>
      <w:proofErr w:type="gramEnd"/>
      <w:r w:rsidR="00E03DA7" w:rsidRPr="00AA3AF3">
        <w:rPr>
          <w:sz w:val="20"/>
          <w:szCs w:val="20"/>
        </w:rPr>
        <w:t xml:space="preserve">A.I. </w:t>
      </w:r>
      <w:proofErr w:type="spellStart"/>
      <w:r w:rsidRPr="00AA3AF3">
        <w:rPr>
          <w:sz w:val="20"/>
          <w:szCs w:val="20"/>
        </w:rPr>
        <w:t>Vavouraki</w:t>
      </w:r>
      <w:proofErr w:type="spellEnd"/>
      <w:r w:rsidRPr="00AA3AF3">
        <w:rPr>
          <w:sz w:val="20"/>
          <w:szCs w:val="20"/>
        </w:rPr>
        <w:t xml:space="preserve">, </w:t>
      </w:r>
      <w:r w:rsidR="00E03DA7" w:rsidRPr="00AA3AF3">
        <w:rPr>
          <w:sz w:val="20"/>
          <w:szCs w:val="20"/>
        </w:rPr>
        <w:t xml:space="preserve">M.A. </w:t>
      </w:r>
      <w:proofErr w:type="spellStart"/>
      <w:r w:rsidRPr="00AA3AF3">
        <w:rPr>
          <w:sz w:val="20"/>
          <w:szCs w:val="20"/>
        </w:rPr>
        <w:t>Dareioti</w:t>
      </w:r>
      <w:proofErr w:type="spellEnd"/>
      <w:r w:rsidRPr="00AA3AF3">
        <w:rPr>
          <w:sz w:val="20"/>
          <w:szCs w:val="20"/>
        </w:rPr>
        <w:t xml:space="preserve">, </w:t>
      </w:r>
      <w:r w:rsidR="00E03DA7" w:rsidRPr="00AA3AF3">
        <w:rPr>
          <w:sz w:val="20"/>
          <w:szCs w:val="20"/>
        </w:rPr>
        <w:t xml:space="preserve">M. </w:t>
      </w:r>
      <w:proofErr w:type="spellStart"/>
      <w:r w:rsidRPr="00AA3AF3">
        <w:rPr>
          <w:sz w:val="20"/>
          <w:szCs w:val="20"/>
        </w:rPr>
        <w:t>Kornaros</w:t>
      </w:r>
      <w:proofErr w:type="spellEnd"/>
      <w:r w:rsidRPr="00AA3AF3">
        <w:rPr>
          <w:sz w:val="20"/>
          <w:szCs w:val="20"/>
        </w:rPr>
        <w:t xml:space="preserve">, Waste </w:t>
      </w:r>
      <w:proofErr w:type="spellStart"/>
      <w:r w:rsidRPr="00AA3AF3">
        <w:rPr>
          <w:sz w:val="20"/>
          <w:szCs w:val="20"/>
        </w:rPr>
        <w:t>Biomass</w:t>
      </w:r>
      <w:proofErr w:type="spellEnd"/>
      <w:r w:rsidRPr="00AA3AF3">
        <w:rPr>
          <w:sz w:val="20"/>
          <w:szCs w:val="20"/>
        </w:rPr>
        <w:t xml:space="preserve"> </w:t>
      </w:r>
      <w:proofErr w:type="spellStart"/>
      <w:r w:rsidRPr="00AA3AF3">
        <w:rPr>
          <w:sz w:val="20"/>
          <w:szCs w:val="20"/>
        </w:rPr>
        <w:t>Valorization</w:t>
      </w:r>
      <w:proofErr w:type="spellEnd"/>
      <w:r w:rsidRPr="00AA3AF3">
        <w:rPr>
          <w:sz w:val="20"/>
          <w:szCs w:val="20"/>
        </w:rPr>
        <w:t xml:space="preserve">, </w:t>
      </w:r>
      <w:r w:rsidR="00661249" w:rsidRPr="00AA3AF3">
        <w:rPr>
          <w:sz w:val="20"/>
          <w:szCs w:val="20"/>
        </w:rPr>
        <w:t>12 (2021) 2271–2281</w:t>
      </w:r>
      <w:r w:rsidRPr="00AA3AF3">
        <w:rPr>
          <w:sz w:val="20"/>
          <w:szCs w:val="20"/>
        </w:rPr>
        <w:t xml:space="preserve"> </w:t>
      </w:r>
    </w:p>
    <w:p w14:paraId="17B2B82E" w14:textId="072B6BE0" w:rsidR="00821A8D" w:rsidRPr="00AA3AF3" w:rsidRDefault="00821A8D" w:rsidP="00821A8D">
      <w:pPr>
        <w:spacing w:after="0" w:line="240" w:lineRule="auto"/>
        <w:ind w:left="386" w:hanging="386"/>
        <w:rPr>
          <w:sz w:val="20"/>
          <w:szCs w:val="20"/>
        </w:rPr>
      </w:pPr>
      <w:r w:rsidRPr="00AA3AF3">
        <w:rPr>
          <w:sz w:val="20"/>
          <w:szCs w:val="20"/>
        </w:rPr>
        <w:t>[8</w:t>
      </w:r>
      <w:proofErr w:type="gramStart"/>
      <w:r w:rsidRPr="00AA3AF3">
        <w:rPr>
          <w:sz w:val="20"/>
          <w:szCs w:val="20"/>
        </w:rPr>
        <w:t xml:space="preserve">]  </w:t>
      </w:r>
      <w:r w:rsidRPr="00AA3AF3">
        <w:rPr>
          <w:sz w:val="20"/>
          <w:szCs w:val="20"/>
        </w:rPr>
        <w:tab/>
      </w:r>
      <w:proofErr w:type="gramEnd"/>
      <w:r w:rsidR="00E03DA7" w:rsidRPr="00AA3AF3">
        <w:rPr>
          <w:sz w:val="20"/>
          <w:szCs w:val="20"/>
        </w:rPr>
        <w:t xml:space="preserve">S. </w:t>
      </w:r>
      <w:r w:rsidRPr="00AA3AF3">
        <w:rPr>
          <w:sz w:val="20"/>
          <w:szCs w:val="20"/>
        </w:rPr>
        <w:t xml:space="preserve">Bovina, </w:t>
      </w:r>
      <w:r w:rsidR="00E03DA7" w:rsidRPr="00AA3AF3">
        <w:rPr>
          <w:sz w:val="20"/>
          <w:szCs w:val="20"/>
        </w:rPr>
        <w:t xml:space="preserve">D. </w:t>
      </w:r>
      <w:r w:rsidRPr="00AA3AF3">
        <w:rPr>
          <w:sz w:val="20"/>
          <w:szCs w:val="20"/>
        </w:rPr>
        <w:t xml:space="preserve">Frascari, </w:t>
      </w:r>
      <w:r w:rsidR="00E03DA7" w:rsidRPr="00AA3AF3">
        <w:rPr>
          <w:sz w:val="20"/>
          <w:szCs w:val="20"/>
        </w:rPr>
        <w:t xml:space="preserve">A. </w:t>
      </w:r>
      <w:proofErr w:type="spellStart"/>
      <w:r w:rsidRPr="00AA3AF3">
        <w:rPr>
          <w:sz w:val="20"/>
          <w:szCs w:val="20"/>
        </w:rPr>
        <w:t>Ragini</w:t>
      </w:r>
      <w:proofErr w:type="spellEnd"/>
      <w:r w:rsidRPr="00AA3AF3">
        <w:rPr>
          <w:sz w:val="20"/>
          <w:szCs w:val="20"/>
        </w:rPr>
        <w:t>,</w:t>
      </w:r>
      <w:r w:rsidR="00E03DA7" w:rsidRPr="00AA3AF3">
        <w:rPr>
          <w:sz w:val="20"/>
          <w:szCs w:val="20"/>
        </w:rPr>
        <w:t xml:space="preserve"> F.</w:t>
      </w:r>
      <w:r w:rsidRPr="00AA3AF3">
        <w:rPr>
          <w:sz w:val="20"/>
          <w:szCs w:val="20"/>
        </w:rPr>
        <w:t xml:space="preserve"> </w:t>
      </w:r>
      <w:proofErr w:type="spellStart"/>
      <w:r w:rsidRPr="00AA3AF3">
        <w:rPr>
          <w:sz w:val="20"/>
          <w:szCs w:val="20"/>
        </w:rPr>
        <w:t>Avolio</w:t>
      </w:r>
      <w:proofErr w:type="spellEnd"/>
      <w:r w:rsidRPr="00AA3AF3">
        <w:rPr>
          <w:sz w:val="20"/>
          <w:szCs w:val="20"/>
        </w:rPr>
        <w:t xml:space="preserve">, </w:t>
      </w:r>
      <w:r w:rsidR="00E03DA7" w:rsidRPr="00AA3AF3">
        <w:rPr>
          <w:sz w:val="20"/>
          <w:szCs w:val="20"/>
        </w:rPr>
        <w:t xml:space="preserve">G. </w:t>
      </w:r>
      <w:r w:rsidRPr="00AA3AF3">
        <w:rPr>
          <w:sz w:val="20"/>
          <w:szCs w:val="20"/>
        </w:rPr>
        <w:t xml:space="preserve">Scarcella, </w:t>
      </w:r>
      <w:r w:rsidR="00E03DA7" w:rsidRPr="00AA3AF3">
        <w:rPr>
          <w:sz w:val="20"/>
          <w:szCs w:val="20"/>
        </w:rPr>
        <w:t xml:space="preserve">D. </w:t>
      </w:r>
      <w:r w:rsidRPr="00AA3AF3">
        <w:rPr>
          <w:sz w:val="20"/>
          <w:szCs w:val="20"/>
        </w:rPr>
        <w:t xml:space="preserve">Pinelli, </w:t>
      </w:r>
      <w:r w:rsidR="00175BFC" w:rsidRPr="00AA3AF3">
        <w:rPr>
          <w:sz w:val="20"/>
          <w:szCs w:val="20"/>
        </w:rPr>
        <w:t xml:space="preserve">J. </w:t>
      </w:r>
      <w:proofErr w:type="spellStart"/>
      <w:r w:rsidRPr="00AA3AF3">
        <w:rPr>
          <w:sz w:val="20"/>
          <w:szCs w:val="20"/>
        </w:rPr>
        <w:t>Chem</w:t>
      </w:r>
      <w:proofErr w:type="spellEnd"/>
      <w:r w:rsidR="00175BFC" w:rsidRPr="00AA3AF3">
        <w:rPr>
          <w:sz w:val="20"/>
          <w:szCs w:val="20"/>
        </w:rPr>
        <w:t>.</w:t>
      </w:r>
      <w:r w:rsidRPr="00AA3AF3">
        <w:rPr>
          <w:sz w:val="20"/>
          <w:szCs w:val="20"/>
        </w:rPr>
        <w:t xml:space="preserve"> </w:t>
      </w:r>
      <w:proofErr w:type="spellStart"/>
      <w:r w:rsidRPr="00AA3AF3">
        <w:rPr>
          <w:sz w:val="20"/>
          <w:szCs w:val="20"/>
        </w:rPr>
        <w:t>Technol</w:t>
      </w:r>
      <w:proofErr w:type="spellEnd"/>
      <w:r w:rsidR="00175BFC" w:rsidRPr="00AA3AF3">
        <w:rPr>
          <w:sz w:val="20"/>
          <w:szCs w:val="20"/>
        </w:rPr>
        <w:t>.</w:t>
      </w:r>
      <w:r w:rsidRPr="00AA3AF3">
        <w:rPr>
          <w:sz w:val="20"/>
          <w:szCs w:val="20"/>
        </w:rPr>
        <w:t xml:space="preserve"> </w:t>
      </w:r>
      <w:proofErr w:type="spellStart"/>
      <w:r w:rsidRPr="00AA3AF3">
        <w:rPr>
          <w:sz w:val="20"/>
          <w:szCs w:val="20"/>
        </w:rPr>
        <w:t>Biotechnol</w:t>
      </w:r>
      <w:proofErr w:type="spellEnd"/>
      <w:r w:rsidR="00175BFC" w:rsidRPr="00AA3AF3">
        <w:rPr>
          <w:sz w:val="20"/>
          <w:szCs w:val="20"/>
        </w:rPr>
        <w:t>.</w:t>
      </w:r>
      <w:r w:rsidR="00661249" w:rsidRPr="00AA3AF3">
        <w:rPr>
          <w:sz w:val="20"/>
          <w:szCs w:val="20"/>
        </w:rPr>
        <w:t xml:space="preserve"> 2020 (</w:t>
      </w:r>
      <w:r w:rsidRPr="00AA3AF3">
        <w:rPr>
          <w:sz w:val="20"/>
          <w:szCs w:val="20"/>
        </w:rPr>
        <w:t>2020</w:t>
      </w:r>
      <w:r w:rsidR="00661249" w:rsidRPr="00AA3AF3">
        <w:rPr>
          <w:sz w:val="20"/>
          <w:szCs w:val="20"/>
        </w:rPr>
        <w:t>)</w:t>
      </w:r>
    </w:p>
    <w:p w14:paraId="5D93AA85" w14:textId="50F5C274" w:rsidR="00C75214" w:rsidRPr="00175BFC" w:rsidRDefault="00C75214" w:rsidP="00C75214"/>
    <w:p w14:paraId="5D1C57E9" w14:textId="77777777" w:rsidR="00045DEB" w:rsidRPr="00175BFC" w:rsidRDefault="00045DEB"/>
    <w:sectPr w:rsidR="00045DEB" w:rsidRPr="00175BFC" w:rsidSect="001D0E0C">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3898B" w14:textId="77777777" w:rsidR="00947DBF" w:rsidRDefault="00947DBF" w:rsidP="001D0E0C">
      <w:pPr>
        <w:spacing w:after="0" w:line="240" w:lineRule="auto"/>
      </w:pPr>
      <w:r>
        <w:separator/>
      </w:r>
    </w:p>
  </w:endnote>
  <w:endnote w:type="continuationSeparator" w:id="0">
    <w:p w14:paraId="17592909" w14:textId="77777777" w:rsidR="00947DBF" w:rsidRDefault="00947DBF"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8DB03" w14:textId="77777777" w:rsidR="00702762" w:rsidRDefault="0070276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C72D2" w14:textId="77777777" w:rsidR="00702762" w:rsidRDefault="0070276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2FF87" w14:textId="77777777" w:rsidR="00702762" w:rsidRDefault="0070276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84055" w14:textId="77777777" w:rsidR="00947DBF" w:rsidRDefault="00947DBF" w:rsidP="001D0E0C">
      <w:pPr>
        <w:spacing w:after="0" w:line="240" w:lineRule="auto"/>
      </w:pPr>
      <w:r>
        <w:separator/>
      </w:r>
    </w:p>
  </w:footnote>
  <w:footnote w:type="continuationSeparator" w:id="0">
    <w:p w14:paraId="3C2E64D8" w14:textId="77777777" w:rsidR="00947DBF" w:rsidRDefault="00947DBF"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D8880" w14:textId="77777777" w:rsidR="00702762" w:rsidRDefault="0070276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BBF7" w14:textId="24434349" w:rsidR="00702762" w:rsidRPr="001B060D" w:rsidRDefault="00702762" w:rsidP="001B060D">
    <w:pPr>
      <w:pStyle w:val="Intestazione"/>
      <w:jc w:val="center"/>
    </w:pPr>
    <w:r w:rsidRPr="005C2A12">
      <w:rPr>
        <w:b/>
        <w:i/>
        <w:color w:val="2E74B5" w:themeColor="accent5" w:themeShade="BF"/>
        <w:sz w:val="24"/>
        <w:szCs w:val="24"/>
      </w:rPr>
      <w:t>GRICU 2022, Ischia, (Italy), July 3-6,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5D5F" w14:textId="292CCFE8" w:rsidR="00702762" w:rsidRDefault="00702762" w:rsidP="000517B4">
    <w:pPr>
      <w:pStyle w:val="Intestazione"/>
      <w:tabs>
        <w:tab w:val="left" w:pos="1188"/>
      </w:tabs>
      <w:jc w:val="center"/>
      <w:rPr>
        <w:b/>
        <w:i/>
        <w:color w:val="2E74B5" w:themeColor="accent5" w:themeShade="BF"/>
        <w:sz w:val="24"/>
        <w:szCs w:val="24"/>
      </w:rPr>
    </w:pPr>
    <w:r>
      <w:rPr>
        <w:b/>
        <w:i/>
        <w:noProof/>
        <w:color w:val="2E74B5" w:themeColor="accent5" w:themeShade="BF"/>
        <w:sz w:val="24"/>
        <w:szCs w:val="24"/>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Pr>
        <w:b/>
        <w:i/>
        <w:color w:val="2E74B5" w:themeColor="accent5" w:themeShade="BF"/>
        <w:sz w:val="24"/>
        <w:szCs w:val="24"/>
      </w:rPr>
      <w:tab/>
    </w:r>
    <w:r w:rsidRPr="005C2A12">
      <w:rPr>
        <w:b/>
        <w:i/>
        <w:color w:val="2E74B5" w:themeColor="accent5" w:themeShade="BF"/>
        <w:sz w:val="24"/>
        <w:szCs w:val="24"/>
      </w:rPr>
      <w:t>GRICU 2022, Ischia, (Italy), July 3-6, 2022</w:t>
    </w:r>
  </w:p>
  <w:p w14:paraId="14E4AC61" w14:textId="77777777" w:rsidR="00702762" w:rsidRPr="005C2A12" w:rsidRDefault="00702762" w:rsidP="000517B4">
    <w:pPr>
      <w:pStyle w:val="Intestazione"/>
      <w:tabs>
        <w:tab w:val="left" w:pos="1188"/>
      </w:tabs>
      <w:jc w:val="center"/>
      <w:rPr>
        <w:b/>
        <w:i/>
        <w:color w:val="2E74B5" w:themeColor="accent5" w:themeShade="BF"/>
        <w:sz w:val="24"/>
        <w:szCs w:val="24"/>
      </w:rPr>
    </w:pPr>
  </w:p>
  <w:p w14:paraId="2DF8C760" w14:textId="77777777" w:rsidR="00702762" w:rsidRDefault="00702762" w:rsidP="001D0E0C">
    <w:pPr>
      <w:pStyle w:val="Intestazione"/>
      <w:jc w:val="center"/>
    </w:pPr>
    <w:r w:rsidRPr="005C2A12">
      <w:rPr>
        <w:noProof/>
        <w:color w:val="00B0F0"/>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DD1064"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 w15:restartNumberingAfterBreak="0">
    <w:nsid w:val="24377C00"/>
    <w:multiLevelType w:val="multilevel"/>
    <w:tmpl w:val="A10E04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75E602F"/>
    <w:multiLevelType w:val="hybridMultilevel"/>
    <w:tmpl w:val="38A0CB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doNotDisplayPageBoundarie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A3"/>
    <w:rsid w:val="0001221B"/>
    <w:rsid w:val="00021DA8"/>
    <w:rsid w:val="00030F8F"/>
    <w:rsid w:val="00035EFE"/>
    <w:rsid w:val="00045DEB"/>
    <w:rsid w:val="000517B4"/>
    <w:rsid w:val="00061E32"/>
    <w:rsid w:val="00076450"/>
    <w:rsid w:val="00087A1C"/>
    <w:rsid w:val="00092772"/>
    <w:rsid w:val="000D4DAA"/>
    <w:rsid w:val="000E0C2A"/>
    <w:rsid w:val="000F66BB"/>
    <w:rsid w:val="000F7692"/>
    <w:rsid w:val="00106304"/>
    <w:rsid w:val="00127942"/>
    <w:rsid w:val="001316CF"/>
    <w:rsid w:val="00153021"/>
    <w:rsid w:val="001542ED"/>
    <w:rsid w:val="00154326"/>
    <w:rsid w:val="0016726E"/>
    <w:rsid w:val="00175BFC"/>
    <w:rsid w:val="00176519"/>
    <w:rsid w:val="0018667F"/>
    <w:rsid w:val="001B060D"/>
    <w:rsid w:val="001B59FE"/>
    <w:rsid w:val="001D0E0C"/>
    <w:rsid w:val="00211602"/>
    <w:rsid w:val="0021392D"/>
    <w:rsid w:val="002240BD"/>
    <w:rsid w:val="00261AD8"/>
    <w:rsid w:val="002768C9"/>
    <w:rsid w:val="00287505"/>
    <w:rsid w:val="002956E5"/>
    <w:rsid w:val="002A2D3A"/>
    <w:rsid w:val="002B48EE"/>
    <w:rsid w:val="002F2BA3"/>
    <w:rsid w:val="00321F81"/>
    <w:rsid w:val="00336555"/>
    <w:rsid w:val="0033712D"/>
    <w:rsid w:val="00376B22"/>
    <w:rsid w:val="00376D2B"/>
    <w:rsid w:val="003A683D"/>
    <w:rsid w:val="003C0381"/>
    <w:rsid w:val="003F160A"/>
    <w:rsid w:val="003F1D2F"/>
    <w:rsid w:val="00402674"/>
    <w:rsid w:val="0040502B"/>
    <w:rsid w:val="00431AB0"/>
    <w:rsid w:val="00437543"/>
    <w:rsid w:val="0046604B"/>
    <w:rsid w:val="004829F0"/>
    <w:rsid w:val="004A121D"/>
    <w:rsid w:val="004B1AC6"/>
    <w:rsid w:val="004C56B4"/>
    <w:rsid w:val="004F64F3"/>
    <w:rsid w:val="00544808"/>
    <w:rsid w:val="00550E4D"/>
    <w:rsid w:val="00554093"/>
    <w:rsid w:val="005A1005"/>
    <w:rsid w:val="005B71B2"/>
    <w:rsid w:val="005C1C81"/>
    <w:rsid w:val="005C2A12"/>
    <w:rsid w:val="005F42EB"/>
    <w:rsid w:val="006130FE"/>
    <w:rsid w:val="00661249"/>
    <w:rsid w:val="00671717"/>
    <w:rsid w:val="00674FAB"/>
    <w:rsid w:val="00680A17"/>
    <w:rsid w:val="006870F1"/>
    <w:rsid w:val="00697CD6"/>
    <w:rsid w:val="006B052B"/>
    <w:rsid w:val="006F1A0E"/>
    <w:rsid w:val="00702762"/>
    <w:rsid w:val="007162A4"/>
    <w:rsid w:val="00717130"/>
    <w:rsid w:val="00730A75"/>
    <w:rsid w:val="0076197E"/>
    <w:rsid w:val="00795F3C"/>
    <w:rsid w:val="007C723D"/>
    <w:rsid w:val="007E3A95"/>
    <w:rsid w:val="00821A8D"/>
    <w:rsid w:val="00837ABB"/>
    <w:rsid w:val="00842A42"/>
    <w:rsid w:val="008517F9"/>
    <w:rsid w:val="00866297"/>
    <w:rsid w:val="0088389B"/>
    <w:rsid w:val="008871B1"/>
    <w:rsid w:val="00892FA7"/>
    <w:rsid w:val="008949BA"/>
    <w:rsid w:val="008D0098"/>
    <w:rsid w:val="008E0261"/>
    <w:rsid w:val="008F23B6"/>
    <w:rsid w:val="0091104F"/>
    <w:rsid w:val="009273C4"/>
    <w:rsid w:val="00931DA8"/>
    <w:rsid w:val="00947DBF"/>
    <w:rsid w:val="00972C49"/>
    <w:rsid w:val="00991901"/>
    <w:rsid w:val="009A4993"/>
    <w:rsid w:val="009B5997"/>
    <w:rsid w:val="00A21854"/>
    <w:rsid w:val="00A46A4D"/>
    <w:rsid w:val="00A53DB8"/>
    <w:rsid w:val="00A66201"/>
    <w:rsid w:val="00A73C04"/>
    <w:rsid w:val="00A75283"/>
    <w:rsid w:val="00AA3AF3"/>
    <w:rsid w:val="00AA6DBD"/>
    <w:rsid w:val="00AB1801"/>
    <w:rsid w:val="00AB6D37"/>
    <w:rsid w:val="00AC198A"/>
    <w:rsid w:val="00AD5149"/>
    <w:rsid w:val="00AE5C39"/>
    <w:rsid w:val="00AF6DDE"/>
    <w:rsid w:val="00B10813"/>
    <w:rsid w:val="00B504B1"/>
    <w:rsid w:val="00B935FC"/>
    <w:rsid w:val="00BF2817"/>
    <w:rsid w:val="00BF3DDE"/>
    <w:rsid w:val="00C068F2"/>
    <w:rsid w:val="00C10320"/>
    <w:rsid w:val="00C27EC0"/>
    <w:rsid w:val="00C32FED"/>
    <w:rsid w:val="00C40840"/>
    <w:rsid w:val="00C56456"/>
    <w:rsid w:val="00C75214"/>
    <w:rsid w:val="00CA65AA"/>
    <w:rsid w:val="00CB0412"/>
    <w:rsid w:val="00CC5928"/>
    <w:rsid w:val="00D03DB3"/>
    <w:rsid w:val="00D322F1"/>
    <w:rsid w:val="00D412A9"/>
    <w:rsid w:val="00D4676F"/>
    <w:rsid w:val="00D50355"/>
    <w:rsid w:val="00D54691"/>
    <w:rsid w:val="00D70BFA"/>
    <w:rsid w:val="00D809D8"/>
    <w:rsid w:val="00DA51A3"/>
    <w:rsid w:val="00DA787E"/>
    <w:rsid w:val="00DB396D"/>
    <w:rsid w:val="00DB538F"/>
    <w:rsid w:val="00DD2D8C"/>
    <w:rsid w:val="00DD6703"/>
    <w:rsid w:val="00DE420D"/>
    <w:rsid w:val="00DE4FE7"/>
    <w:rsid w:val="00DF4F71"/>
    <w:rsid w:val="00E03DA7"/>
    <w:rsid w:val="00E11F9A"/>
    <w:rsid w:val="00E3776A"/>
    <w:rsid w:val="00E44832"/>
    <w:rsid w:val="00EC5407"/>
    <w:rsid w:val="00ED23ED"/>
    <w:rsid w:val="00EE529C"/>
    <w:rsid w:val="00F02B47"/>
    <w:rsid w:val="00F0781E"/>
    <w:rsid w:val="00F10D55"/>
    <w:rsid w:val="00F24290"/>
    <w:rsid w:val="00F809DD"/>
    <w:rsid w:val="00F905DD"/>
    <w:rsid w:val="00FA7832"/>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A65AA"/>
    <w:pPr>
      <w:spacing w:after="120"/>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rsid w:val="00DA51A3"/>
    <w:pPr>
      <w:spacing w:after="0" w:line="240" w:lineRule="atLeast"/>
      <w:jc w:val="both"/>
    </w:pPr>
    <w:rPr>
      <w:rFonts w:ascii="Times" w:eastAsia="Times New Roman" w:hAnsi="Times" w:cs="Times New Roman"/>
      <w:sz w:val="20"/>
      <w:szCs w:val="20"/>
      <w:lang w:val="en-US"/>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 w:type="character" w:styleId="Rimandocommento">
    <w:name w:val="annotation reference"/>
    <w:basedOn w:val="Carpredefinitoparagrafo"/>
    <w:uiPriority w:val="99"/>
    <w:semiHidden/>
    <w:unhideWhenUsed/>
    <w:rsid w:val="00127942"/>
    <w:rPr>
      <w:sz w:val="16"/>
      <w:szCs w:val="16"/>
    </w:rPr>
  </w:style>
  <w:style w:type="paragraph" w:styleId="Testocommento">
    <w:name w:val="annotation text"/>
    <w:basedOn w:val="Normale"/>
    <w:link w:val="TestocommentoCarattere"/>
    <w:uiPriority w:val="99"/>
    <w:semiHidden/>
    <w:unhideWhenUsed/>
    <w:rsid w:val="0012794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27942"/>
    <w:rPr>
      <w:sz w:val="20"/>
      <w:szCs w:val="20"/>
    </w:rPr>
  </w:style>
  <w:style w:type="paragraph" w:styleId="Soggettocommento">
    <w:name w:val="annotation subject"/>
    <w:basedOn w:val="Testocommento"/>
    <w:next w:val="Testocommento"/>
    <w:link w:val="SoggettocommentoCarattere"/>
    <w:uiPriority w:val="99"/>
    <w:semiHidden/>
    <w:unhideWhenUsed/>
    <w:rsid w:val="00127942"/>
    <w:rPr>
      <w:b/>
      <w:bCs/>
    </w:rPr>
  </w:style>
  <w:style w:type="character" w:customStyle="1" w:styleId="SoggettocommentoCarattere">
    <w:name w:val="Soggetto commento Carattere"/>
    <w:basedOn w:val="TestocommentoCarattere"/>
    <w:link w:val="Soggettocommento"/>
    <w:uiPriority w:val="99"/>
    <w:semiHidden/>
    <w:rsid w:val="00127942"/>
    <w:rPr>
      <w:b/>
      <w:bCs/>
      <w:sz w:val="20"/>
      <w:szCs w:val="20"/>
    </w:rPr>
  </w:style>
  <w:style w:type="character" w:styleId="Collegamentoipertestuale">
    <w:name w:val="Hyperlink"/>
    <w:basedOn w:val="Carpredefinitoparagrafo"/>
    <w:uiPriority w:val="99"/>
    <w:semiHidden/>
    <w:unhideWhenUsed/>
    <w:rsid w:val="00F0781E"/>
    <w:rPr>
      <w:color w:val="0000FF"/>
      <w:u w:val="single"/>
    </w:rPr>
  </w:style>
  <w:style w:type="paragraph" w:styleId="Didascalia">
    <w:name w:val="caption"/>
    <w:basedOn w:val="Normale"/>
    <w:next w:val="Normale"/>
    <w:uiPriority w:val="35"/>
    <w:unhideWhenUsed/>
    <w:qFormat/>
    <w:rsid w:val="00A75283"/>
    <w:pPr>
      <w:spacing w:after="200" w:line="240" w:lineRule="auto"/>
    </w:pPr>
    <w:rPr>
      <w:i/>
      <w:iCs/>
      <w:color w:val="44546A" w:themeColor="text2"/>
      <w:sz w:val="18"/>
      <w:szCs w:val="18"/>
    </w:rPr>
  </w:style>
  <w:style w:type="paragraph" w:styleId="NormaleWeb">
    <w:name w:val="Normal (Web)"/>
    <w:uiPriority w:val="99"/>
    <w:unhideWhenUsed/>
    <w:qFormat/>
    <w:rsid w:val="00C32FED"/>
    <w:pPr>
      <w:spacing w:beforeAutospacing="1" w:after="0" w:afterAutospacing="1" w:line="240" w:lineRule="auto"/>
    </w:pPr>
    <w:rPr>
      <w:rFonts w:ascii="Times New Roman" w:eastAsia="SimSun" w:hAnsi="Times New Roman" w:cs="Times New Roman"/>
      <w:sz w:val="24"/>
      <w:szCs w:val="24"/>
      <w:lang w:val="en-US" w:eastAsia="zh-CN"/>
    </w:rPr>
  </w:style>
  <w:style w:type="table" w:styleId="Tabellasemplice5">
    <w:name w:val="Plain Table 5"/>
    <w:basedOn w:val="Tabellanormale"/>
    <w:uiPriority w:val="45"/>
    <w:rsid w:val="00C32FED"/>
    <w:pPr>
      <w:spacing w:after="0" w:line="240" w:lineRule="auto"/>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gliatabella">
    <w:name w:val="Table Grid"/>
    <w:basedOn w:val="Tabellanormale"/>
    <w:uiPriority w:val="39"/>
    <w:qFormat/>
    <w:rsid w:val="008517F9"/>
    <w:pPr>
      <w:spacing w:after="0" w:line="240" w:lineRule="auto"/>
    </w:pPr>
    <w:rPr>
      <w:rFonts w:ascii="Times New Roman" w:eastAsia="SimSu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aliases w:val="List1,Task Body,Paragraphe de liste,Bullets_normal,1st level - Bullet List Paragraph,Lettre d'introduction,Viñetas (Inicio Parrafo),3 Txt tabla,Zerrenda-paragrafoa,Listenabsatz,Syn Numbered List"/>
    <w:basedOn w:val="Normale"/>
    <w:link w:val="ParagrafoelencoCarattere"/>
    <w:uiPriority w:val="34"/>
    <w:qFormat/>
    <w:rsid w:val="00F905DD"/>
    <w:pPr>
      <w:ind w:left="720"/>
      <w:contextualSpacing/>
    </w:pPr>
    <w:rPr>
      <w:lang w:val="el-GR"/>
    </w:rPr>
  </w:style>
  <w:style w:type="character" w:customStyle="1" w:styleId="ParagrafoelencoCarattere">
    <w:name w:val="Paragrafo elenco Carattere"/>
    <w:aliases w:val="List1 Carattere,Task Body Carattere,Paragraphe de liste Carattere,Bullets_normal Carattere,1st level - Bullet List Paragraph Carattere,Lettre d'introduction Carattere,Viñetas (Inicio Parrafo) Carattere,3 Txt tabla Carattere"/>
    <w:link w:val="Paragrafoelenco"/>
    <w:uiPriority w:val="34"/>
    <w:qFormat/>
    <w:locked/>
    <w:rsid w:val="00F905DD"/>
    <w:rPr>
      <w:lang w:val="el-GR"/>
    </w:rPr>
  </w:style>
  <w:style w:type="paragraph" w:styleId="Bibliografia">
    <w:name w:val="Bibliography"/>
    <w:basedOn w:val="Normale"/>
    <w:next w:val="Normale"/>
    <w:uiPriority w:val="37"/>
    <w:unhideWhenUsed/>
    <w:rsid w:val="00AC198A"/>
    <w:pPr>
      <w:tabs>
        <w:tab w:val="left" w:pos="384"/>
      </w:tabs>
      <w:spacing w:after="0" w:line="240" w:lineRule="auto"/>
      <w:ind w:left="384" w:hanging="384"/>
    </w:pPr>
  </w:style>
  <w:style w:type="character" w:customStyle="1" w:styleId="text">
    <w:name w:val="text"/>
    <w:basedOn w:val="Carpredefinitoparagrafo"/>
    <w:rsid w:val="00E11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oleObject" Target="file:////Volumes\GoogleDrive\Il%20mio%20Drive\OMW%20Romagna%20AD\Articolo%20OMW\FIGURE%20E%20TABELLE\_FIGURE.S5%20-%2006.%205-25%25%20rOMW&amp;dOMW_ver%201.2.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Volumes\GoogleDrive\Il%20mio%20Drive\OMW%20Romagna%20AD\Articolo%20OMW\FIGURE%20E%20TABELLE\_FIGURE.S5%20-%2006.%205-25%25%20rOMW&amp;dOMW_ver%201.2.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979109282893889"/>
          <c:y val="2.3013632735698231E-2"/>
          <c:w val="0.78596927583465559"/>
          <c:h val="0.81374864347604625"/>
        </c:manualLayout>
      </c:layout>
      <c:scatterChart>
        <c:scatterStyle val="lineMarker"/>
        <c:varyColors val="0"/>
        <c:ser>
          <c:idx val="0"/>
          <c:order val="0"/>
          <c:tx>
            <c:v>5% OMW</c:v>
          </c:tx>
          <c:spPr>
            <a:ln w="25400" cap="rnd">
              <a:solidFill>
                <a:srgbClr val="7030A0"/>
              </a:solidFill>
              <a:round/>
            </a:ln>
            <a:effectLst/>
          </c:spPr>
          <c:marker>
            <c:symbol val="diamond"/>
            <c:size val="7"/>
            <c:spPr>
              <a:solidFill>
                <a:srgbClr val="7030A0"/>
              </a:solidFill>
              <a:ln w="9525">
                <a:solidFill>
                  <a:srgbClr val="7030A0"/>
                </a:solidFill>
              </a:ln>
              <a:effectLst/>
            </c:spPr>
          </c:marker>
          <c:errBars>
            <c:errDir val="x"/>
            <c:errBarType val="both"/>
            <c:errValType val="fixedVal"/>
            <c:noEndCap val="0"/>
            <c:val val="0"/>
            <c:spPr>
              <a:noFill/>
              <a:ln w="9525" cap="flat" cmpd="sng" algn="ctr">
                <a:solidFill>
                  <a:schemeClr val="tx1">
                    <a:lumMod val="65000"/>
                    <a:lumOff val="35000"/>
                  </a:schemeClr>
                </a:solidFill>
                <a:round/>
              </a:ln>
              <a:effectLst/>
            </c:spPr>
          </c:errBars>
          <c:xVal>
            <c:numRef>
              <c:f>'Data Yield'!$C$11:$C$38</c:f>
              <c:numCache>
                <c:formatCode>General</c:formatCode>
                <c:ptCount val="28"/>
                <c:pt idx="0">
                  <c:v>0</c:v>
                </c:pt>
                <c:pt idx="1">
                  <c:v>2</c:v>
                </c:pt>
                <c:pt idx="2">
                  <c:v>4</c:v>
                </c:pt>
                <c:pt idx="3">
                  <c:v>7</c:v>
                </c:pt>
                <c:pt idx="4">
                  <c:v>9</c:v>
                </c:pt>
                <c:pt idx="5">
                  <c:v>11</c:v>
                </c:pt>
                <c:pt idx="6">
                  <c:v>14</c:v>
                </c:pt>
                <c:pt idx="7">
                  <c:v>16</c:v>
                </c:pt>
                <c:pt idx="8">
                  <c:v>18</c:v>
                </c:pt>
                <c:pt idx="9">
                  <c:v>21</c:v>
                </c:pt>
                <c:pt idx="10">
                  <c:v>23</c:v>
                </c:pt>
                <c:pt idx="11">
                  <c:v>25</c:v>
                </c:pt>
                <c:pt idx="12">
                  <c:v>28</c:v>
                </c:pt>
                <c:pt idx="13">
                  <c:v>30</c:v>
                </c:pt>
                <c:pt idx="14">
                  <c:v>32</c:v>
                </c:pt>
                <c:pt idx="15">
                  <c:v>35</c:v>
                </c:pt>
                <c:pt idx="16">
                  <c:v>37</c:v>
                </c:pt>
                <c:pt idx="17">
                  <c:v>39</c:v>
                </c:pt>
                <c:pt idx="18">
                  <c:v>42</c:v>
                </c:pt>
                <c:pt idx="19">
                  <c:v>44</c:v>
                </c:pt>
                <c:pt idx="20">
                  <c:v>46</c:v>
                </c:pt>
                <c:pt idx="21">
                  <c:v>49</c:v>
                </c:pt>
                <c:pt idx="22">
                  <c:v>51</c:v>
                </c:pt>
                <c:pt idx="23">
                  <c:v>53</c:v>
                </c:pt>
                <c:pt idx="24">
                  <c:v>56</c:v>
                </c:pt>
                <c:pt idx="25">
                  <c:v>58</c:v>
                </c:pt>
                <c:pt idx="26">
                  <c:v>60</c:v>
                </c:pt>
                <c:pt idx="27">
                  <c:v>63</c:v>
                </c:pt>
              </c:numCache>
            </c:numRef>
          </c:xVal>
          <c:yVal>
            <c:numRef>
              <c:f>'Data Yield'!$H$11:$H$38</c:f>
              <c:numCache>
                <c:formatCode>0</c:formatCode>
                <c:ptCount val="28"/>
                <c:pt idx="0">
                  <c:v>171.17176746522247</c:v>
                </c:pt>
                <c:pt idx="1">
                  <c:v>150.99611897343559</c:v>
                </c:pt>
                <c:pt idx="2">
                  <c:v>116.40532714077494</c:v>
                </c:pt>
                <c:pt idx="3">
                  <c:v>120.7541149099078</c:v>
                </c:pt>
                <c:pt idx="4">
                  <c:v>122.41538000178498</c:v>
                </c:pt>
                <c:pt idx="5">
                  <c:v>136.17346508334569</c:v>
                </c:pt>
                <c:pt idx="6">
                  <c:v>145.37909158678517</c:v>
                </c:pt>
                <c:pt idx="7">
                  <c:v>147.70240044506781</c:v>
                </c:pt>
                <c:pt idx="8">
                  <c:v>141.32175034279695</c:v>
                </c:pt>
                <c:pt idx="9">
                  <c:v>135.19589126893894</c:v>
                </c:pt>
                <c:pt idx="10">
                  <c:v>134.48322505708117</c:v>
                </c:pt>
                <c:pt idx="11">
                  <c:v>137.40896960380658</c:v>
                </c:pt>
                <c:pt idx="12">
                  <c:v>141.75598334816991</c:v>
                </c:pt>
                <c:pt idx="13">
                  <c:v>146.87136436555332</c:v>
                </c:pt>
                <c:pt idx="14">
                  <c:v>152.87370275449635</c:v>
                </c:pt>
                <c:pt idx="15">
                  <c:v>150.48334284899781</c:v>
                </c:pt>
                <c:pt idx="16">
                  <c:v>141.13139982574123</c:v>
                </c:pt>
                <c:pt idx="17">
                  <c:v>131.36199570378659</c:v>
                </c:pt>
                <c:pt idx="18">
                  <c:v>124.1739599530124</c:v>
                </c:pt>
                <c:pt idx="19">
                  <c:v>121.36912491637058</c:v>
                </c:pt>
                <c:pt idx="20">
                  <c:v>116.35984152657288</c:v>
                </c:pt>
                <c:pt idx="21">
                  <c:v>115.34840929628818</c:v>
                </c:pt>
                <c:pt idx="22">
                  <c:v>116.11487603203101</c:v>
                </c:pt>
                <c:pt idx="23">
                  <c:v>112.83591795576508</c:v>
                </c:pt>
                <c:pt idx="24">
                  <c:v>112.38851979031601</c:v>
                </c:pt>
                <c:pt idx="25">
                  <c:v>110.57522984130334</c:v>
                </c:pt>
                <c:pt idx="26">
                  <c:v>128.97402445775276</c:v>
                </c:pt>
                <c:pt idx="27">
                  <c:v>136.29764630032506</c:v>
                </c:pt>
              </c:numCache>
            </c:numRef>
          </c:yVal>
          <c:smooth val="1"/>
          <c:extLst>
            <c:ext xmlns:c16="http://schemas.microsoft.com/office/drawing/2014/chart" uri="{C3380CC4-5D6E-409C-BE32-E72D297353CC}">
              <c16:uniqueId val="{00000000-6C56-7E42-85CF-CBE9495D23FD}"/>
            </c:ext>
          </c:extLst>
        </c:ser>
        <c:ser>
          <c:idx val="1"/>
          <c:order val="1"/>
          <c:tx>
            <c:v>12% OMW</c:v>
          </c:tx>
          <c:spPr>
            <a:ln w="25400" cap="rnd">
              <a:solidFill>
                <a:srgbClr val="FF0000"/>
              </a:solidFill>
              <a:round/>
            </a:ln>
            <a:effectLst/>
          </c:spPr>
          <c:marker>
            <c:symbol val="circle"/>
            <c:size val="5"/>
            <c:spPr>
              <a:solidFill>
                <a:srgbClr val="FF0000"/>
              </a:solidFill>
              <a:ln w="9525">
                <a:solidFill>
                  <a:srgbClr val="FF0000"/>
                </a:solidFill>
              </a:ln>
              <a:effectLst/>
            </c:spPr>
          </c:marker>
          <c:errBars>
            <c:errDir val="x"/>
            <c:errBarType val="both"/>
            <c:errValType val="fixedVal"/>
            <c:noEndCap val="0"/>
            <c:val val="0"/>
            <c:spPr>
              <a:noFill/>
              <a:ln w="9525" cap="flat" cmpd="sng" algn="ctr">
                <a:solidFill>
                  <a:schemeClr val="tx1">
                    <a:lumMod val="65000"/>
                    <a:lumOff val="35000"/>
                  </a:schemeClr>
                </a:solidFill>
                <a:round/>
              </a:ln>
              <a:effectLst/>
            </c:spPr>
          </c:errBars>
          <c:xVal>
            <c:numRef>
              <c:f>'Data Yield'!$C$11:$C$38</c:f>
              <c:numCache>
                <c:formatCode>General</c:formatCode>
                <c:ptCount val="28"/>
                <c:pt idx="0">
                  <c:v>0</c:v>
                </c:pt>
                <c:pt idx="1">
                  <c:v>2</c:v>
                </c:pt>
                <c:pt idx="2">
                  <c:v>4</c:v>
                </c:pt>
                <c:pt idx="3">
                  <c:v>7</c:v>
                </c:pt>
                <c:pt idx="4">
                  <c:v>9</c:v>
                </c:pt>
                <c:pt idx="5">
                  <c:v>11</c:v>
                </c:pt>
                <c:pt idx="6">
                  <c:v>14</c:v>
                </c:pt>
                <c:pt idx="7">
                  <c:v>16</c:v>
                </c:pt>
                <c:pt idx="8">
                  <c:v>18</c:v>
                </c:pt>
                <c:pt idx="9">
                  <c:v>21</c:v>
                </c:pt>
                <c:pt idx="10">
                  <c:v>23</c:v>
                </c:pt>
                <c:pt idx="11">
                  <c:v>25</c:v>
                </c:pt>
                <c:pt idx="12">
                  <c:v>28</c:v>
                </c:pt>
                <c:pt idx="13">
                  <c:v>30</c:v>
                </c:pt>
                <c:pt idx="14">
                  <c:v>32</c:v>
                </c:pt>
                <c:pt idx="15">
                  <c:v>35</c:v>
                </c:pt>
                <c:pt idx="16">
                  <c:v>37</c:v>
                </c:pt>
                <c:pt idx="17">
                  <c:v>39</c:v>
                </c:pt>
                <c:pt idx="18">
                  <c:v>42</c:v>
                </c:pt>
                <c:pt idx="19">
                  <c:v>44</c:v>
                </c:pt>
                <c:pt idx="20">
                  <c:v>46</c:v>
                </c:pt>
                <c:pt idx="21">
                  <c:v>49</c:v>
                </c:pt>
                <c:pt idx="22">
                  <c:v>51</c:v>
                </c:pt>
                <c:pt idx="23">
                  <c:v>53</c:v>
                </c:pt>
                <c:pt idx="24">
                  <c:v>56</c:v>
                </c:pt>
                <c:pt idx="25">
                  <c:v>58</c:v>
                </c:pt>
                <c:pt idx="26">
                  <c:v>60</c:v>
                </c:pt>
                <c:pt idx="27">
                  <c:v>63</c:v>
                </c:pt>
              </c:numCache>
            </c:numRef>
          </c:xVal>
          <c:yVal>
            <c:numRef>
              <c:f>'Data Yield'!$N$11:$N$38</c:f>
              <c:numCache>
                <c:formatCode>0</c:formatCode>
                <c:ptCount val="28"/>
                <c:pt idx="0">
                  <c:v>168.51715064902797</c:v>
                </c:pt>
                <c:pt idx="1">
                  <c:v>148.84523788891599</c:v>
                </c:pt>
                <c:pt idx="2">
                  <c:v>119.54992698058982</c:v>
                </c:pt>
                <c:pt idx="3">
                  <c:v>127.48628678150334</c:v>
                </c:pt>
                <c:pt idx="4">
                  <c:v>132.53438825453168</c:v>
                </c:pt>
                <c:pt idx="5">
                  <c:v>146.27524245752122</c:v>
                </c:pt>
                <c:pt idx="6">
                  <c:v>149.7644040696309</c:v>
                </c:pt>
                <c:pt idx="7">
                  <c:v>156.8645328313178</c:v>
                </c:pt>
                <c:pt idx="8">
                  <c:v>161.44831873235549</c:v>
                </c:pt>
                <c:pt idx="9">
                  <c:v>170.98559361204943</c:v>
                </c:pt>
                <c:pt idx="10">
                  <c:v>174.28886378168113</c:v>
                </c:pt>
                <c:pt idx="11">
                  <c:v>175.87434955481751</c:v>
                </c:pt>
                <c:pt idx="12">
                  <c:v>176.18956107427164</c:v>
                </c:pt>
                <c:pt idx="13">
                  <c:v>172.50754664233736</c:v>
                </c:pt>
                <c:pt idx="14">
                  <c:v>171.23740787074371</c:v>
                </c:pt>
                <c:pt idx="15">
                  <c:v>171.33202169355738</c:v>
                </c:pt>
                <c:pt idx="16">
                  <c:v>171.74841667324463</c:v>
                </c:pt>
                <c:pt idx="17">
                  <c:v>167.44085462826808</c:v>
                </c:pt>
                <c:pt idx="18">
                  <c:v>153.930701969924</c:v>
                </c:pt>
                <c:pt idx="19">
                  <c:v>147.29487534604624</c:v>
                </c:pt>
                <c:pt idx="20">
                  <c:v>140.630872845862</c:v>
                </c:pt>
                <c:pt idx="21">
                  <c:v>138.58037758949146</c:v>
                </c:pt>
                <c:pt idx="22">
                  <c:v>134.2235610724409</c:v>
                </c:pt>
                <c:pt idx="23">
                  <c:v>129.96399191185981</c:v>
                </c:pt>
                <c:pt idx="24">
                  <c:v>127.68346231085337</c:v>
                </c:pt>
                <c:pt idx="25">
                  <c:v>131.91675012420609</c:v>
                </c:pt>
                <c:pt idx="26">
                  <c:v>148.28405817645998</c:v>
                </c:pt>
                <c:pt idx="27">
                  <c:v>159.37483181688387</c:v>
                </c:pt>
              </c:numCache>
            </c:numRef>
          </c:yVal>
          <c:smooth val="1"/>
          <c:extLst>
            <c:ext xmlns:c16="http://schemas.microsoft.com/office/drawing/2014/chart" uri="{C3380CC4-5D6E-409C-BE32-E72D297353CC}">
              <c16:uniqueId val="{00000001-6C56-7E42-85CF-CBE9495D23FD}"/>
            </c:ext>
          </c:extLst>
        </c:ser>
        <c:ser>
          <c:idx val="2"/>
          <c:order val="2"/>
          <c:tx>
            <c:v>18% OMW</c:v>
          </c:tx>
          <c:spPr>
            <a:ln w="25400" cap="rnd">
              <a:solidFill>
                <a:schemeClr val="accent6">
                  <a:lumMod val="75000"/>
                </a:schemeClr>
              </a:solidFill>
              <a:round/>
            </a:ln>
            <a:effectLst/>
          </c:spPr>
          <c:marker>
            <c:symbol val="circle"/>
            <c:size val="5"/>
            <c:spPr>
              <a:solidFill>
                <a:schemeClr val="accent6">
                  <a:lumMod val="75000"/>
                </a:schemeClr>
              </a:solidFill>
              <a:ln w="9525">
                <a:solidFill>
                  <a:schemeClr val="accent6">
                    <a:lumMod val="75000"/>
                  </a:schemeClr>
                </a:solidFill>
              </a:ln>
              <a:effectLst/>
            </c:spPr>
          </c:marker>
          <c:errBars>
            <c:errDir val="x"/>
            <c:errBarType val="both"/>
            <c:errValType val="fixedVal"/>
            <c:noEndCap val="0"/>
            <c:val val="0"/>
            <c:spPr>
              <a:noFill/>
              <a:ln w="9525" cap="flat" cmpd="sng" algn="ctr">
                <a:solidFill>
                  <a:schemeClr val="tx1">
                    <a:lumMod val="65000"/>
                    <a:lumOff val="35000"/>
                  </a:schemeClr>
                </a:solidFill>
                <a:round/>
              </a:ln>
              <a:effectLst/>
            </c:spPr>
          </c:errBars>
          <c:xVal>
            <c:numRef>
              <c:f>'Data Yield'!$C$11:$C$38</c:f>
              <c:numCache>
                <c:formatCode>General</c:formatCode>
                <c:ptCount val="28"/>
                <c:pt idx="0">
                  <c:v>0</c:v>
                </c:pt>
                <c:pt idx="1">
                  <c:v>2</c:v>
                </c:pt>
                <c:pt idx="2">
                  <c:v>4</c:v>
                </c:pt>
                <c:pt idx="3">
                  <c:v>7</c:v>
                </c:pt>
                <c:pt idx="4">
                  <c:v>9</c:v>
                </c:pt>
                <c:pt idx="5">
                  <c:v>11</c:v>
                </c:pt>
                <c:pt idx="6">
                  <c:v>14</c:v>
                </c:pt>
                <c:pt idx="7">
                  <c:v>16</c:v>
                </c:pt>
                <c:pt idx="8">
                  <c:v>18</c:v>
                </c:pt>
                <c:pt idx="9">
                  <c:v>21</c:v>
                </c:pt>
                <c:pt idx="10">
                  <c:v>23</c:v>
                </c:pt>
                <c:pt idx="11">
                  <c:v>25</c:v>
                </c:pt>
                <c:pt idx="12">
                  <c:v>28</c:v>
                </c:pt>
                <c:pt idx="13">
                  <c:v>30</c:v>
                </c:pt>
                <c:pt idx="14">
                  <c:v>32</c:v>
                </c:pt>
                <c:pt idx="15">
                  <c:v>35</c:v>
                </c:pt>
                <c:pt idx="16">
                  <c:v>37</c:v>
                </c:pt>
                <c:pt idx="17">
                  <c:v>39</c:v>
                </c:pt>
                <c:pt idx="18">
                  <c:v>42</c:v>
                </c:pt>
                <c:pt idx="19">
                  <c:v>44</c:v>
                </c:pt>
                <c:pt idx="20">
                  <c:v>46</c:v>
                </c:pt>
                <c:pt idx="21">
                  <c:v>49</c:v>
                </c:pt>
                <c:pt idx="22">
                  <c:v>51</c:v>
                </c:pt>
                <c:pt idx="23">
                  <c:v>53</c:v>
                </c:pt>
                <c:pt idx="24">
                  <c:v>56</c:v>
                </c:pt>
                <c:pt idx="25">
                  <c:v>58</c:v>
                </c:pt>
                <c:pt idx="26">
                  <c:v>60</c:v>
                </c:pt>
                <c:pt idx="27">
                  <c:v>63</c:v>
                </c:pt>
              </c:numCache>
            </c:numRef>
          </c:xVal>
          <c:yVal>
            <c:numRef>
              <c:f>'Data Yield'!$T$11:$T$38</c:f>
              <c:numCache>
                <c:formatCode>0</c:formatCode>
                <c:ptCount val="28"/>
                <c:pt idx="0">
                  <c:v>168.46881453614716</c:v>
                </c:pt>
                <c:pt idx="1">
                  <c:v>151.18317444053156</c:v>
                </c:pt>
                <c:pt idx="2">
                  <c:v>116.55232334252049</c:v>
                </c:pt>
                <c:pt idx="3">
                  <c:v>119.39070458076445</c:v>
                </c:pt>
                <c:pt idx="4">
                  <c:v>122.65052659302751</c:v>
                </c:pt>
                <c:pt idx="5">
                  <c:v>142.54754237667865</c:v>
                </c:pt>
                <c:pt idx="6">
                  <c:v>154.94847069818283</c:v>
                </c:pt>
                <c:pt idx="7">
                  <c:v>163.13223826847437</c:v>
                </c:pt>
                <c:pt idx="8">
                  <c:v>163.42344481860417</c:v>
                </c:pt>
                <c:pt idx="9">
                  <c:v>171.26051978747725</c:v>
                </c:pt>
                <c:pt idx="10">
                  <c:v>176.32656870030021</c:v>
                </c:pt>
                <c:pt idx="11">
                  <c:v>187.62925478008853</c:v>
                </c:pt>
                <c:pt idx="12">
                  <c:v>190.34136132670525</c:v>
                </c:pt>
                <c:pt idx="13">
                  <c:v>198.36105071725069</c:v>
                </c:pt>
                <c:pt idx="14">
                  <c:v>198.2044758330122</c:v>
                </c:pt>
                <c:pt idx="15">
                  <c:v>198.44323468220816</c:v>
                </c:pt>
                <c:pt idx="16">
                  <c:v>193.05806782845539</c:v>
                </c:pt>
                <c:pt idx="17">
                  <c:v>189.32955572520447</c:v>
                </c:pt>
                <c:pt idx="18">
                  <c:v>179.24535768791648</c:v>
                </c:pt>
                <c:pt idx="19">
                  <c:v>175.25713874268885</c:v>
                </c:pt>
                <c:pt idx="20">
                  <c:v>168.01106066071512</c:v>
                </c:pt>
                <c:pt idx="21">
                  <c:v>170.62962801011062</c:v>
                </c:pt>
                <c:pt idx="22">
                  <c:v>167.49977006507046</c:v>
                </c:pt>
                <c:pt idx="23">
                  <c:v>167.14445709461259</c:v>
                </c:pt>
                <c:pt idx="24">
                  <c:v>163.80458472181292</c:v>
                </c:pt>
                <c:pt idx="25">
                  <c:v>161.57112739224215</c:v>
                </c:pt>
                <c:pt idx="26">
                  <c:v>170.76583112283262</c:v>
                </c:pt>
                <c:pt idx="27">
                  <c:v>175.06594769371125</c:v>
                </c:pt>
              </c:numCache>
            </c:numRef>
          </c:yVal>
          <c:smooth val="1"/>
          <c:extLst>
            <c:ext xmlns:c16="http://schemas.microsoft.com/office/drawing/2014/chart" uri="{C3380CC4-5D6E-409C-BE32-E72D297353CC}">
              <c16:uniqueId val="{00000002-6C56-7E42-85CF-CBE9495D23FD}"/>
            </c:ext>
          </c:extLst>
        </c:ser>
        <c:ser>
          <c:idx val="3"/>
          <c:order val="3"/>
          <c:tx>
            <c:v>25% OMW</c:v>
          </c:tx>
          <c:spPr>
            <a:ln w="25400" cap="rnd">
              <a:solidFill>
                <a:srgbClr val="0432FF"/>
              </a:solidFill>
              <a:round/>
            </a:ln>
            <a:effectLst/>
          </c:spPr>
          <c:marker>
            <c:symbol val="square"/>
            <c:size val="5"/>
            <c:spPr>
              <a:solidFill>
                <a:srgbClr val="0432FF"/>
              </a:solidFill>
              <a:ln w="12700">
                <a:solidFill>
                  <a:srgbClr val="0432FF"/>
                </a:solidFill>
              </a:ln>
              <a:effectLst/>
            </c:spPr>
          </c:marker>
          <c:errBars>
            <c:errDir val="x"/>
            <c:errBarType val="both"/>
            <c:errValType val="fixedVal"/>
            <c:noEndCap val="0"/>
            <c:val val="0"/>
            <c:spPr>
              <a:noFill/>
              <a:ln w="9525" cap="flat" cmpd="sng" algn="ctr">
                <a:solidFill>
                  <a:schemeClr val="tx1">
                    <a:lumMod val="65000"/>
                    <a:lumOff val="35000"/>
                  </a:schemeClr>
                </a:solidFill>
                <a:round/>
              </a:ln>
              <a:effectLst/>
            </c:spPr>
          </c:errBars>
          <c:xVal>
            <c:numRef>
              <c:f>'Data Yield'!$C$11:$C$38</c:f>
              <c:numCache>
                <c:formatCode>General</c:formatCode>
                <c:ptCount val="28"/>
                <c:pt idx="0">
                  <c:v>0</c:v>
                </c:pt>
                <c:pt idx="1">
                  <c:v>2</c:v>
                </c:pt>
                <c:pt idx="2">
                  <c:v>4</c:v>
                </c:pt>
                <c:pt idx="3">
                  <c:v>7</c:v>
                </c:pt>
                <c:pt idx="4">
                  <c:v>9</c:v>
                </c:pt>
                <c:pt idx="5">
                  <c:v>11</c:v>
                </c:pt>
                <c:pt idx="6">
                  <c:v>14</c:v>
                </c:pt>
                <c:pt idx="7">
                  <c:v>16</c:v>
                </c:pt>
                <c:pt idx="8">
                  <c:v>18</c:v>
                </c:pt>
                <c:pt idx="9">
                  <c:v>21</c:v>
                </c:pt>
                <c:pt idx="10">
                  <c:v>23</c:v>
                </c:pt>
                <c:pt idx="11">
                  <c:v>25</c:v>
                </c:pt>
                <c:pt idx="12">
                  <c:v>28</c:v>
                </c:pt>
                <c:pt idx="13">
                  <c:v>30</c:v>
                </c:pt>
                <c:pt idx="14">
                  <c:v>32</c:v>
                </c:pt>
                <c:pt idx="15">
                  <c:v>35</c:v>
                </c:pt>
                <c:pt idx="16">
                  <c:v>37</c:v>
                </c:pt>
                <c:pt idx="17">
                  <c:v>39</c:v>
                </c:pt>
                <c:pt idx="18">
                  <c:v>42</c:v>
                </c:pt>
                <c:pt idx="19">
                  <c:v>44</c:v>
                </c:pt>
                <c:pt idx="20">
                  <c:v>46</c:v>
                </c:pt>
                <c:pt idx="21">
                  <c:v>49</c:v>
                </c:pt>
                <c:pt idx="22">
                  <c:v>51</c:v>
                </c:pt>
                <c:pt idx="23">
                  <c:v>53</c:v>
                </c:pt>
                <c:pt idx="24">
                  <c:v>56</c:v>
                </c:pt>
                <c:pt idx="25">
                  <c:v>58</c:v>
                </c:pt>
                <c:pt idx="26">
                  <c:v>60</c:v>
                </c:pt>
                <c:pt idx="27">
                  <c:v>63</c:v>
                </c:pt>
              </c:numCache>
            </c:numRef>
          </c:xVal>
          <c:yVal>
            <c:numRef>
              <c:f>'Data Yield'!$Z$11:$Z$38</c:f>
              <c:numCache>
                <c:formatCode>0</c:formatCode>
                <c:ptCount val="28"/>
                <c:pt idx="0">
                  <c:v>175.01468573060569</c:v>
                </c:pt>
                <c:pt idx="1">
                  <c:v>158.77063297146981</c:v>
                </c:pt>
                <c:pt idx="2">
                  <c:v>126.25117534713314</c:v>
                </c:pt>
                <c:pt idx="3">
                  <c:v>133.72302639571583</c:v>
                </c:pt>
                <c:pt idx="4">
                  <c:v>134.17723862851847</c:v>
                </c:pt>
                <c:pt idx="5">
                  <c:v>152.87413662673882</c:v>
                </c:pt>
                <c:pt idx="6">
                  <c:v>158.10509065795384</c:v>
                </c:pt>
                <c:pt idx="7">
                  <c:v>163.9020084502811</c:v>
                </c:pt>
                <c:pt idx="8">
                  <c:v>161.64118458033565</c:v>
                </c:pt>
                <c:pt idx="9">
                  <c:v>172.56910030226769</c:v>
                </c:pt>
                <c:pt idx="10">
                  <c:v>179.52641999625135</c:v>
                </c:pt>
                <c:pt idx="11">
                  <c:v>195.82850703131678</c:v>
                </c:pt>
                <c:pt idx="12">
                  <c:v>212.541577477397</c:v>
                </c:pt>
                <c:pt idx="13">
                  <c:v>234.27801137448532</c:v>
                </c:pt>
                <c:pt idx="14">
                  <c:v>249.72331307384965</c:v>
                </c:pt>
                <c:pt idx="15">
                  <c:v>252.11841662493043</c:v>
                </c:pt>
                <c:pt idx="16">
                  <c:v>242.0039824602546</c:v>
                </c:pt>
                <c:pt idx="17">
                  <c:v>227.89220559638866</c:v>
                </c:pt>
                <c:pt idx="18">
                  <c:v>208.40017249623341</c:v>
                </c:pt>
                <c:pt idx="19">
                  <c:v>203.22097016503355</c:v>
                </c:pt>
                <c:pt idx="20">
                  <c:v>195.36098922937208</c:v>
                </c:pt>
                <c:pt idx="21">
                  <c:v>200.36398777295179</c:v>
                </c:pt>
                <c:pt idx="22">
                  <c:v>197.50205198976207</c:v>
                </c:pt>
                <c:pt idx="23">
                  <c:v>197.54087846284236</c:v>
                </c:pt>
                <c:pt idx="24">
                  <c:v>208.08754685626525</c:v>
                </c:pt>
                <c:pt idx="25">
                  <c:v>223.80903291951242</c:v>
                </c:pt>
                <c:pt idx="26">
                  <c:v>247.43394580037048</c:v>
                </c:pt>
                <c:pt idx="27">
                  <c:v>253.82898461196027</c:v>
                </c:pt>
              </c:numCache>
            </c:numRef>
          </c:yVal>
          <c:smooth val="1"/>
          <c:extLst>
            <c:ext xmlns:c16="http://schemas.microsoft.com/office/drawing/2014/chart" uri="{C3380CC4-5D6E-409C-BE32-E72D297353CC}">
              <c16:uniqueId val="{00000003-6C56-7E42-85CF-CBE9495D23FD}"/>
            </c:ext>
          </c:extLst>
        </c:ser>
        <c:ser>
          <c:idx val="4"/>
          <c:order val="4"/>
          <c:tx>
            <c:v>100% SwS</c:v>
          </c:tx>
          <c:spPr>
            <a:ln w="25400" cap="rnd">
              <a:solidFill>
                <a:schemeClr val="accent6"/>
              </a:solidFill>
              <a:prstDash val="dash"/>
              <a:round/>
            </a:ln>
            <a:effectLst/>
          </c:spPr>
          <c:marker>
            <c:symbol val="none"/>
          </c:marker>
          <c:xVal>
            <c:numRef>
              <c:f>'Data Yield'!$BG$10:$BH$10</c:f>
              <c:numCache>
                <c:formatCode>General</c:formatCode>
                <c:ptCount val="2"/>
                <c:pt idx="0">
                  <c:v>0</c:v>
                </c:pt>
                <c:pt idx="1">
                  <c:v>65</c:v>
                </c:pt>
              </c:numCache>
            </c:numRef>
          </c:xVal>
          <c:yVal>
            <c:numRef>
              <c:f>'Data Yield'!$BG$11:$BH$11</c:f>
              <c:numCache>
                <c:formatCode>General</c:formatCode>
                <c:ptCount val="2"/>
                <c:pt idx="0">
                  <c:v>110</c:v>
                </c:pt>
                <c:pt idx="1">
                  <c:v>110</c:v>
                </c:pt>
              </c:numCache>
            </c:numRef>
          </c:yVal>
          <c:smooth val="0"/>
          <c:extLst>
            <c:ext xmlns:c16="http://schemas.microsoft.com/office/drawing/2014/chart" uri="{C3380CC4-5D6E-409C-BE32-E72D297353CC}">
              <c16:uniqueId val="{00000004-6C56-7E42-85CF-CBE9495D23FD}"/>
            </c:ext>
          </c:extLst>
        </c:ser>
        <c:ser>
          <c:idx val="5"/>
          <c:order val="5"/>
          <c:tx>
            <c:v>fine transitorio</c:v>
          </c:tx>
          <c:spPr>
            <a:ln w="12700" cap="rnd">
              <a:solidFill>
                <a:schemeClr val="tx1"/>
              </a:solidFill>
              <a:prstDash val="dash"/>
              <a:round/>
            </a:ln>
            <a:effectLst/>
          </c:spPr>
          <c:marker>
            <c:symbol val="none"/>
          </c:marker>
          <c:xVal>
            <c:numRef>
              <c:f>'Data Yield'!$I$1:$I$2</c:f>
              <c:numCache>
                <c:formatCode>General</c:formatCode>
                <c:ptCount val="2"/>
                <c:pt idx="0">
                  <c:v>35</c:v>
                </c:pt>
                <c:pt idx="1">
                  <c:v>35</c:v>
                </c:pt>
              </c:numCache>
            </c:numRef>
          </c:xVal>
          <c:yVal>
            <c:numRef>
              <c:f>'Data Yield'!$J$1:$J$2</c:f>
              <c:numCache>
                <c:formatCode>0</c:formatCode>
                <c:ptCount val="2"/>
                <c:pt idx="0" formatCode="General">
                  <c:v>0</c:v>
                </c:pt>
                <c:pt idx="1">
                  <c:v>461.72096413784556</c:v>
                </c:pt>
              </c:numCache>
            </c:numRef>
          </c:yVal>
          <c:smooth val="0"/>
          <c:extLst>
            <c:ext xmlns:c16="http://schemas.microsoft.com/office/drawing/2014/chart" uri="{C3380CC4-5D6E-409C-BE32-E72D297353CC}">
              <c16:uniqueId val="{00000005-6C56-7E42-85CF-CBE9495D23FD}"/>
            </c:ext>
          </c:extLst>
        </c:ser>
        <c:dLbls>
          <c:showLegendKey val="0"/>
          <c:showVal val="0"/>
          <c:showCatName val="0"/>
          <c:showSerName val="0"/>
          <c:showPercent val="0"/>
          <c:showBubbleSize val="0"/>
        </c:dLbls>
        <c:axId val="1503948656"/>
        <c:axId val="1029868864"/>
      </c:scatterChart>
      <c:valAx>
        <c:axId val="1503948656"/>
        <c:scaling>
          <c:orientation val="minMax"/>
          <c:max val="65"/>
          <c:min val="0"/>
        </c:scaling>
        <c:delete val="0"/>
        <c:axPos val="b"/>
        <c:title>
          <c:tx>
            <c:rich>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it-IT" sz="1000" b="1">
                    <a:solidFill>
                      <a:schemeClr val="tx1"/>
                    </a:solidFill>
                  </a:rPr>
                  <a:t>Time (days)</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it-IT"/>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t-IT"/>
          </a:p>
        </c:txPr>
        <c:crossAx val="1029868864"/>
        <c:crosses val="autoZero"/>
        <c:crossBetween val="midCat"/>
        <c:majorUnit val="5"/>
      </c:valAx>
      <c:valAx>
        <c:axId val="1029868864"/>
        <c:scaling>
          <c:orientation val="minMax"/>
          <c:max val="300"/>
        </c:scaling>
        <c:delete val="0"/>
        <c:axPos val="l"/>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it-IT" sz="1000" b="1">
                    <a:solidFill>
                      <a:schemeClr val="tx1"/>
                    </a:solidFill>
                  </a:rPr>
                  <a:t>Y</a:t>
                </a:r>
                <a:r>
                  <a:rPr lang="it-IT" sz="1000" b="1" baseline="-25000">
                    <a:solidFill>
                      <a:schemeClr val="tx1"/>
                    </a:solidFill>
                  </a:rPr>
                  <a:t>CH4</a:t>
                </a:r>
                <a:r>
                  <a:rPr lang="it-IT" sz="1000" b="1" baseline="0">
                    <a:solidFill>
                      <a:schemeClr val="tx1"/>
                    </a:solidFill>
                  </a:rPr>
                  <a:t> (NL / kg</a:t>
                </a:r>
                <a:r>
                  <a:rPr lang="it-IT" sz="1000" b="1" baseline="-25000">
                    <a:solidFill>
                      <a:schemeClr val="tx1"/>
                    </a:solidFill>
                  </a:rPr>
                  <a:t>VS</a:t>
                </a:r>
                <a:r>
                  <a:rPr lang="it-IT" sz="1000" b="1" baseline="0">
                    <a:solidFill>
                      <a:schemeClr val="tx1"/>
                    </a:solidFill>
                  </a:rPr>
                  <a:t>)</a:t>
                </a:r>
                <a:endParaRPr lang="it-IT" sz="1000" b="1">
                  <a:solidFill>
                    <a:schemeClr val="tx1"/>
                  </a:solidFill>
                </a:endParaRPr>
              </a:p>
            </c:rich>
          </c:tx>
          <c:layout>
            <c:manualLayout>
              <c:xMode val="edge"/>
              <c:yMode val="edge"/>
              <c:x val="3.5900241579077167E-3"/>
              <c:y val="0.32856849291037854"/>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it-IT"/>
            </a:p>
          </c:txPr>
        </c:title>
        <c:numFmt formatCode="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t-IT"/>
          </a:p>
        </c:txPr>
        <c:crossAx val="1503948656"/>
        <c:crosses val="autoZero"/>
        <c:crossBetween val="midCat"/>
      </c:valAx>
      <c:spPr>
        <a:noFill/>
        <a:ln>
          <a:solidFill>
            <a:schemeClr val="tx1"/>
          </a:solidFill>
        </a:ln>
        <a:effectLst/>
      </c:spPr>
    </c:plotArea>
    <c:legend>
      <c:legendPos val="r"/>
      <c:legendEntry>
        <c:idx val="5"/>
        <c:delete val="1"/>
      </c:legendEntry>
      <c:layout>
        <c:manualLayout>
          <c:xMode val="edge"/>
          <c:yMode val="edge"/>
          <c:x val="0.12272347921319217"/>
          <c:y val="0.6094488188976378"/>
          <c:w val="0.85918245918323211"/>
          <c:h val="0.2429058786189018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it-IT"/>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398045185700761"/>
          <c:y val="2.1135970703332532E-2"/>
          <c:w val="0.78177991680658687"/>
          <c:h val="0.81232184276384056"/>
        </c:manualLayout>
      </c:layout>
      <c:scatterChart>
        <c:scatterStyle val="lineMarker"/>
        <c:varyColors val="0"/>
        <c:ser>
          <c:idx val="0"/>
          <c:order val="0"/>
          <c:tx>
            <c:v>5% OMW</c:v>
          </c:tx>
          <c:spPr>
            <a:ln w="25400" cap="rnd">
              <a:solidFill>
                <a:srgbClr val="7030A0"/>
              </a:solidFill>
              <a:prstDash val="dash"/>
              <a:round/>
            </a:ln>
            <a:effectLst/>
          </c:spPr>
          <c:marker>
            <c:symbol val="diamond"/>
            <c:size val="7"/>
            <c:spPr>
              <a:solidFill>
                <a:schemeClr val="bg1"/>
              </a:solidFill>
              <a:ln w="9525">
                <a:solidFill>
                  <a:srgbClr val="7030A0"/>
                </a:solidFill>
              </a:ln>
              <a:effectLst/>
            </c:spPr>
          </c:marker>
          <c:errBars>
            <c:errDir val="x"/>
            <c:errBarType val="both"/>
            <c:errValType val="fixedVal"/>
            <c:noEndCap val="0"/>
            <c:val val="0"/>
            <c:spPr>
              <a:noFill/>
              <a:ln w="9525" cap="flat" cmpd="sng" algn="ctr">
                <a:solidFill>
                  <a:schemeClr val="tx1">
                    <a:lumMod val="65000"/>
                    <a:lumOff val="35000"/>
                  </a:schemeClr>
                </a:solidFill>
                <a:round/>
              </a:ln>
              <a:effectLst/>
            </c:spPr>
          </c:errBars>
          <c:xVal>
            <c:numRef>
              <c:f>'Data Yield'!$C$11:$C$38</c:f>
              <c:numCache>
                <c:formatCode>General</c:formatCode>
                <c:ptCount val="28"/>
                <c:pt idx="0">
                  <c:v>0</c:v>
                </c:pt>
                <c:pt idx="1">
                  <c:v>2</c:v>
                </c:pt>
                <c:pt idx="2">
                  <c:v>4</c:v>
                </c:pt>
                <c:pt idx="3">
                  <c:v>7</c:v>
                </c:pt>
                <c:pt idx="4">
                  <c:v>9</c:v>
                </c:pt>
                <c:pt idx="5">
                  <c:v>11</c:v>
                </c:pt>
                <c:pt idx="6">
                  <c:v>14</c:v>
                </c:pt>
                <c:pt idx="7">
                  <c:v>16</c:v>
                </c:pt>
                <c:pt idx="8">
                  <c:v>18</c:v>
                </c:pt>
                <c:pt idx="9">
                  <c:v>21</c:v>
                </c:pt>
                <c:pt idx="10">
                  <c:v>23</c:v>
                </c:pt>
                <c:pt idx="11">
                  <c:v>25</c:v>
                </c:pt>
                <c:pt idx="12">
                  <c:v>28</c:v>
                </c:pt>
                <c:pt idx="13">
                  <c:v>30</c:v>
                </c:pt>
                <c:pt idx="14">
                  <c:v>32</c:v>
                </c:pt>
                <c:pt idx="15">
                  <c:v>35</c:v>
                </c:pt>
                <c:pt idx="16">
                  <c:v>37</c:v>
                </c:pt>
                <c:pt idx="17">
                  <c:v>39</c:v>
                </c:pt>
                <c:pt idx="18">
                  <c:v>42</c:v>
                </c:pt>
                <c:pt idx="19">
                  <c:v>44</c:v>
                </c:pt>
                <c:pt idx="20">
                  <c:v>46</c:v>
                </c:pt>
                <c:pt idx="21">
                  <c:v>49</c:v>
                </c:pt>
                <c:pt idx="22">
                  <c:v>51</c:v>
                </c:pt>
                <c:pt idx="23">
                  <c:v>53</c:v>
                </c:pt>
                <c:pt idx="24">
                  <c:v>56</c:v>
                </c:pt>
                <c:pt idx="25">
                  <c:v>58</c:v>
                </c:pt>
                <c:pt idx="26">
                  <c:v>60</c:v>
                </c:pt>
                <c:pt idx="27">
                  <c:v>63</c:v>
                </c:pt>
              </c:numCache>
            </c:numRef>
          </c:xVal>
          <c:yVal>
            <c:numRef>
              <c:f>'Data Yield'!$AF$11:$AF$38</c:f>
              <c:numCache>
                <c:formatCode>0</c:formatCode>
                <c:ptCount val="28"/>
                <c:pt idx="0">
                  <c:v>177.3240359111463</c:v>
                </c:pt>
                <c:pt idx="1">
                  <c:v>155.44503673980714</c:v>
                </c:pt>
                <c:pt idx="2">
                  <c:v>118.71125664470536</c:v>
                </c:pt>
                <c:pt idx="3">
                  <c:v>119.95367221614551</c:v>
                </c:pt>
                <c:pt idx="4">
                  <c:v>120.83415340023923</c:v>
                </c:pt>
                <c:pt idx="5">
                  <c:v>133.45855871637636</c:v>
                </c:pt>
                <c:pt idx="6">
                  <c:v>133.84326017354402</c:v>
                </c:pt>
                <c:pt idx="7">
                  <c:v>134.98356865459374</c:v>
                </c:pt>
                <c:pt idx="8">
                  <c:v>131.02673197587148</c:v>
                </c:pt>
                <c:pt idx="9">
                  <c:v>133.45944047782245</c:v>
                </c:pt>
                <c:pt idx="10">
                  <c:v>133.05267373328272</c:v>
                </c:pt>
                <c:pt idx="11">
                  <c:v>133.41843121016296</c:v>
                </c:pt>
                <c:pt idx="12">
                  <c:v>134.56568833659605</c:v>
                </c:pt>
                <c:pt idx="13">
                  <c:v>137.07897247999688</c:v>
                </c:pt>
                <c:pt idx="14">
                  <c:v>151.75559482168001</c:v>
                </c:pt>
                <c:pt idx="15">
                  <c:v>160.40507229922525</c:v>
                </c:pt>
                <c:pt idx="16">
                  <c:v>161.57474912917121</c:v>
                </c:pt>
                <c:pt idx="17">
                  <c:v>139.67148386590267</c:v>
                </c:pt>
                <c:pt idx="18">
                  <c:v>122.83738413874143</c:v>
                </c:pt>
                <c:pt idx="19">
                  <c:v>112.37871442753806</c:v>
                </c:pt>
                <c:pt idx="20">
                  <c:v>109.0573194096791</c:v>
                </c:pt>
                <c:pt idx="21">
                  <c:v>101.61289663897441</c:v>
                </c:pt>
                <c:pt idx="22">
                  <c:v>95.057698769465603</c:v>
                </c:pt>
                <c:pt idx="23">
                  <c:v>93.570289305778871</c:v>
                </c:pt>
                <c:pt idx="24">
                  <c:v>101.1913356455032</c:v>
                </c:pt>
                <c:pt idx="25">
                  <c:v>112.21221110587533</c:v>
                </c:pt>
                <c:pt idx="26">
                  <c:v>125.18212264602801</c:v>
                </c:pt>
                <c:pt idx="27">
                  <c:v>130.93642229880152</c:v>
                </c:pt>
              </c:numCache>
            </c:numRef>
          </c:yVal>
          <c:smooth val="1"/>
          <c:extLst>
            <c:ext xmlns:c16="http://schemas.microsoft.com/office/drawing/2014/chart" uri="{C3380CC4-5D6E-409C-BE32-E72D297353CC}">
              <c16:uniqueId val="{00000000-22E3-5C4C-B835-3999A550620B}"/>
            </c:ext>
          </c:extLst>
        </c:ser>
        <c:ser>
          <c:idx val="1"/>
          <c:order val="1"/>
          <c:tx>
            <c:v>12% OMW</c:v>
          </c:tx>
          <c:spPr>
            <a:ln w="25400" cap="rnd">
              <a:solidFill>
                <a:srgbClr val="FF0000"/>
              </a:solidFill>
              <a:prstDash val="dash"/>
              <a:round/>
            </a:ln>
            <a:effectLst/>
          </c:spPr>
          <c:marker>
            <c:symbol val="triangle"/>
            <c:size val="5"/>
            <c:spPr>
              <a:solidFill>
                <a:schemeClr val="bg1"/>
              </a:solidFill>
              <a:ln w="9525">
                <a:solidFill>
                  <a:srgbClr val="FF0000"/>
                </a:solidFill>
              </a:ln>
              <a:effectLst/>
            </c:spPr>
          </c:marker>
          <c:errBars>
            <c:errDir val="x"/>
            <c:errBarType val="both"/>
            <c:errValType val="fixedVal"/>
            <c:noEndCap val="0"/>
            <c:val val="0"/>
            <c:spPr>
              <a:noFill/>
              <a:ln w="9525" cap="flat" cmpd="sng" algn="ctr">
                <a:solidFill>
                  <a:schemeClr val="tx1">
                    <a:lumMod val="65000"/>
                    <a:lumOff val="35000"/>
                  </a:schemeClr>
                </a:solidFill>
                <a:round/>
              </a:ln>
              <a:effectLst/>
            </c:spPr>
          </c:errBars>
          <c:xVal>
            <c:numRef>
              <c:f>'Data Yield'!$C$11:$C$38</c:f>
              <c:numCache>
                <c:formatCode>General</c:formatCode>
                <c:ptCount val="28"/>
                <c:pt idx="0">
                  <c:v>0</c:v>
                </c:pt>
                <c:pt idx="1">
                  <c:v>2</c:v>
                </c:pt>
                <c:pt idx="2">
                  <c:v>4</c:v>
                </c:pt>
                <c:pt idx="3">
                  <c:v>7</c:v>
                </c:pt>
                <c:pt idx="4">
                  <c:v>9</c:v>
                </c:pt>
                <c:pt idx="5">
                  <c:v>11</c:v>
                </c:pt>
                <c:pt idx="6">
                  <c:v>14</c:v>
                </c:pt>
                <c:pt idx="7">
                  <c:v>16</c:v>
                </c:pt>
                <c:pt idx="8">
                  <c:v>18</c:v>
                </c:pt>
                <c:pt idx="9">
                  <c:v>21</c:v>
                </c:pt>
                <c:pt idx="10">
                  <c:v>23</c:v>
                </c:pt>
                <c:pt idx="11">
                  <c:v>25</c:v>
                </c:pt>
                <c:pt idx="12">
                  <c:v>28</c:v>
                </c:pt>
                <c:pt idx="13">
                  <c:v>30</c:v>
                </c:pt>
                <c:pt idx="14">
                  <c:v>32</c:v>
                </c:pt>
                <c:pt idx="15">
                  <c:v>35</c:v>
                </c:pt>
                <c:pt idx="16">
                  <c:v>37</c:v>
                </c:pt>
                <c:pt idx="17">
                  <c:v>39</c:v>
                </c:pt>
                <c:pt idx="18">
                  <c:v>42</c:v>
                </c:pt>
                <c:pt idx="19">
                  <c:v>44</c:v>
                </c:pt>
                <c:pt idx="20">
                  <c:v>46</c:v>
                </c:pt>
                <c:pt idx="21">
                  <c:v>49</c:v>
                </c:pt>
                <c:pt idx="22">
                  <c:v>51</c:v>
                </c:pt>
                <c:pt idx="23">
                  <c:v>53</c:v>
                </c:pt>
                <c:pt idx="24">
                  <c:v>56</c:v>
                </c:pt>
                <c:pt idx="25">
                  <c:v>58</c:v>
                </c:pt>
                <c:pt idx="26">
                  <c:v>60</c:v>
                </c:pt>
                <c:pt idx="27">
                  <c:v>63</c:v>
                </c:pt>
              </c:numCache>
            </c:numRef>
          </c:xVal>
          <c:yVal>
            <c:numRef>
              <c:f>'Data Yield'!$AL$11:$AL$38</c:f>
              <c:numCache>
                <c:formatCode>0</c:formatCode>
                <c:ptCount val="28"/>
                <c:pt idx="0">
                  <c:v>176.56121644381062</c:v>
                </c:pt>
                <c:pt idx="1">
                  <c:v>142.70483980730708</c:v>
                </c:pt>
                <c:pt idx="2">
                  <c:v>94.421290956039343</c:v>
                </c:pt>
                <c:pt idx="3">
                  <c:v>86.845004741313005</c:v>
                </c:pt>
                <c:pt idx="4">
                  <c:v>112.49665071069086</c:v>
                </c:pt>
                <c:pt idx="5">
                  <c:v>139.62717730451413</c:v>
                </c:pt>
                <c:pt idx="6">
                  <c:v>157.30661509988067</c:v>
                </c:pt>
                <c:pt idx="7">
                  <c:v>157.32617531660043</c:v>
                </c:pt>
                <c:pt idx="8">
                  <c:v>156.43393597936196</c:v>
                </c:pt>
                <c:pt idx="9">
                  <c:v>157.53000622530391</c:v>
                </c:pt>
                <c:pt idx="10">
                  <c:v>156.7802414250549</c:v>
                </c:pt>
                <c:pt idx="11">
                  <c:v>160.58778788680118</c:v>
                </c:pt>
                <c:pt idx="12">
                  <c:v>159.63689074612998</c:v>
                </c:pt>
                <c:pt idx="13">
                  <c:v>164.0258760397235</c:v>
                </c:pt>
                <c:pt idx="14">
                  <c:v>170.96232849363295</c:v>
                </c:pt>
                <c:pt idx="15">
                  <c:v>173.02472468429502</c:v>
                </c:pt>
                <c:pt idx="16">
                  <c:v>166.45569915684231</c:v>
                </c:pt>
                <c:pt idx="17">
                  <c:v>144.92912695738542</c:v>
                </c:pt>
                <c:pt idx="18">
                  <c:v>133.53354185373465</c:v>
                </c:pt>
                <c:pt idx="19">
                  <c:v>127.11710287898393</c:v>
                </c:pt>
                <c:pt idx="20">
                  <c:v>129.16170370760145</c:v>
                </c:pt>
                <c:pt idx="21">
                  <c:v>126.92631840044534</c:v>
                </c:pt>
                <c:pt idx="22">
                  <c:v>125.00702292640612</c:v>
                </c:pt>
                <c:pt idx="23">
                  <c:v>119.07805403736781</c:v>
                </c:pt>
                <c:pt idx="24">
                  <c:v>118.42087956261355</c:v>
                </c:pt>
                <c:pt idx="25">
                  <c:v>124.32507074757405</c:v>
                </c:pt>
                <c:pt idx="26">
                  <c:v>138.05754482125312</c:v>
                </c:pt>
                <c:pt idx="27">
                  <c:v>146.24396236306609</c:v>
                </c:pt>
              </c:numCache>
            </c:numRef>
          </c:yVal>
          <c:smooth val="1"/>
          <c:extLst>
            <c:ext xmlns:c16="http://schemas.microsoft.com/office/drawing/2014/chart" uri="{C3380CC4-5D6E-409C-BE32-E72D297353CC}">
              <c16:uniqueId val="{00000001-22E3-5C4C-B835-3999A550620B}"/>
            </c:ext>
          </c:extLst>
        </c:ser>
        <c:ser>
          <c:idx val="2"/>
          <c:order val="2"/>
          <c:tx>
            <c:v>12% OMW</c:v>
          </c:tx>
          <c:spPr>
            <a:ln w="25400" cap="rnd">
              <a:solidFill>
                <a:schemeClr val="accent6">
                  <a:lumMod val="75000"/>
                </a:schemeClr>
              </a:solidFill>
              <a:prstDash val="dash"/>
              <a:round/>
            </a:ln>
            <a:effectLst/>
          </c:spPr>
          <c:marker>
            <c:symbol val="circle"/>
            <c:size val="5"/>
            <c:spPr>
              <a:noFill/>
              <a:ln w="9525">
                <a:solidFill>
                  <a:schemeClr val="accent6">
                    <a:lumMod val="75000"/>
                  </a:schemeClr>
                </a:solidFill>
              </a:ln>
              <a:effectLst/>
            </c:spPr>
          </c:marker>
          <c:errBars>
            <c:errDir val="x"/>
            <c:errBarType val="both"/>
            <c:errValType val="fixedVal"/>
            <c:noEndCap val="0"/>
            <c:val val="0"/>
            <c:spPr>
              <a:noFill/>
              <a:ln w="9525" cap="flat" cmpd="sng" algn="ctr">
                <a:solidFill>
                  <a:schemeClr val="tx1">
                    <a:lumMod val="65000"/>
                    <a:lumOff val="35000"/>
                  </a:schemeClr>
                </a:solidFill>
                <a:round/>
              </a:ln>
              <a:effectLst/>
            </c:spPr>
          </c:errBars>
          <c:xVal>
            <c:numRef>
              <c:f>'Data Yield'!$C$11:$C$38</c:f>
              <c:numCache>
                <c:formatCode>General</c:formatCode>
                <c:ptCount val="28"/>
                <c:pt idx="0">
                  <c:v>0</c:v>
                </c:pt>
                <c:pt idx="1">
                  <c:v>2</c:v>
                </c:pt>
                <c:pt idx="2">
                  <c:v>4</c:v>
                </c:pt>
                <c:pt idx="3">
                  <c:v>7</c:v>
                </c:pt>
                <c:pt idx="4">
                  <c:v>9</c:v>
                </c:pt>
                <c:pt idx="5">
                  <c:v>11</c:v>
                </c:pt>
                <c:pt idx="6">
                  <c:v>14</c:v>
                </c:pt>
                <c:pt idx="7">
                  <c:v>16</c:v>
                </c:pt>
                <c:pt idx="8">
                  <c:v>18</c:v>
                </c:pt>
                <c:pt idx="9">
                  <c:v>21</c:v>
                </c:pt>
                <c:pt idx="10">
                  <c:v>23</c:v>
                </c:pt>
                <c:pt idx="11">
                  <c:v>25</c:v>
                </c:pt>
                <c:pt idx="12">
                  <c:v>28</c:v>
                </c:pt>
                <c:pt idx="13">
                  <c:v>30</c:v>
                </c:pt>
                <c:pt idx="14">
                  <c:v>32</c:v>
                </c:pt>
                <c:pt idx="15">
                  <c:v>35</c:v>
                </c:pt>
                <c:pt idx="16">
                  <c:v>37</c:v>
                </c:pt>
                <c:pt idx="17">
                  <c:v>39</c:v>
                </c:pt>
                <c:pt idx="18">
                  <c:v>42</c:v>
                </c:pt>
                <c:pt idx="19">
                  <c:v>44</c:v>
                </c:pt>
                <c:pt idx="20">
                  <c:v>46</c:v>
                </c:pt>
                <c:pt idx="21">
                  <c:v>49</c:v>
                </c:pt>
                <c:pt idx="22">
                  <c:v>51</c:v>
                </c:pt>
                <c:pt idx="23">
                  <c:v>53</c:v>
                </c:pt>
                <c:pt idx="24">
                  <c:v>56</c:v>
                </c:pt>
                <c:pt idx="25">
                  <c:v>58</c:v>
                </c:pt>
                <c:pt idx="26">
                  <c:v>60</c:v>
                </c:pt>
                <c:pt idx="27">
                  <c:v>63</c:v>
                </c:pt>
              </c:numCache>
            </c:numRef>
          </c:xVal>
          <c:yVal>
            <c:numRef>
              <c:f>'Data Yield'!$AR$11:$AR$38</c:f>
              <c:numCache>
                <c:formatCode>0</c:formatCode>
                <c:ptCount val="28"/>
                <c:pt idx="0">
                  <c:v>162.3548615612597</c:v>
                </c:pt>
                <c:pt idx="1">
                  <c:v>152.49823792384299</c:v>
                </c:pt>
                <c:pt idx="2">
                  <c:v>120.15537353848912</c:v>
                </c:pt>
                <c:pt idx="3">
                  <c:v>120.3176003170036</c:v>
                </c:pt>
                <c:pt idx="4">
                  <c:v>121.51916992848733</c:v>
                </c:pt>
                <c:pt idx="5">
                  <c:v>138.03671736745889</c:v>
                </c:pt>
                <c:pt idx="6">
                  <c:v>148.00107774685523</c:v>
                </c:pt>
                <c:pt idx="7">
                  <c:v>150.42361362279087</c:v>
                </c:pt>
                <c:pt idx="8">
                  <c:v>153.41265680487382</c:v>
                </c:pt>
                <c:pt idx="9">
                  <c:v>157.91311639165093</c:v>
                </c:pt>
                <c:pt idx="10">
                  <c:v>170.70264831295015</c:v>
                </c:pt>
                <c:pt idx="11">
                  <c:v>179.00194720700415</c:v>
                </c:pt>
                <c:pt idx="12">
                  <c:v>182.05763379500036</c:v>
                </c:pt>
                <c:pt idx="13">
                  <c:v>183.74052142190078</c:v>
                </c:pt>
                <c:pt idx="14">
                  <c:v>185.59187630312363</c:v>
                </c:pt>
                <c:pt idx="15">
                  <c:v>187.18025385422689</c:v>
                </c:pt>
                <c:pt idx="16">
                  <c:v>177.87217542847171</c:v>
                </c:pt>
                <c:pt idx="17">
                  <c:v>165.6248540305285</c:v>
                </c:pt>
                <c:pt idx="18">
                  <c:v>154.66253527643894</c:v>
                </c:pt>
                <c:pt idx="19">
                  <c:v>152.61974222149703</c:v>
                </c:pt>
                <c:pt idx="20">
                  <c:v>147.14024749693715</c:v>
                </c:pt>
                <c:pt idx="21">
                  <c:v>143.45476689900948</c:v>
                </c:pt>
                <c:pt idx="22">
                  <c:v>138.40154367910131</c:v>
                </c:pt>
                <c:pt idx="23">
                  <c:v>137.62889283332385</c:v>
                </c:pt>
                <c:pt idx="24">
                  <c:v>138.45789461356259</c:v>
                </c:pt>
                <c:pt idx="25">
                  <c:v>146.82036982137552</c:v>
                </c:pt>
                <c:pt idx="26">
                  <c:v>161.53400123195632</c:v>
                </c:pt>
                <c:pt idx="27">
                  <c:v>171.62894108638397</c:v>
                </c:pt>
              </c:numCache>
            </c:numRef>
          </c:yVal>
          <c:smooth val="1"/>
          <c:extLst>
            <c:ext xmlns:c16="http://schemas.microsoft.com/office/drawing/2014/chart" uri="{C3380CC4-5D6E-409C-BE32-E72D297353CC}">
              <c16:uniqueId val="{00000002-22E3-5C4C-B835-3999A550620B}"/>
            </c:ext>
          </c:extLst>
        </c:ser>
        <c:ser>
          <c:idx val="3"/>
          <c:order val="3"/>
          <c:tx>
            <c:v>25% OMW</c:v>
          </c:tx>
          <c:spPr>
            <a:ln w="25400" cap="rnd">
              <a:solidFill>
                <a:srgbClr val="0432FF"/>
              </a:solidFill>
              <a:prstDash val="dash"/>
              <a:round/>
            </a:ln>
            <a:effectLst/>
          </c:spPr>
          <c:marker>
            <c:symbol val="square"/>
            <c:size val="5"/>
            <c:spPr>
              <a:solidFill>
                <a:schemeClr val="bg1"/>
              </a:solidFill>
              <a:ln w="9525">
                <a:solidFill>
                  <a:srgbClr val="0432FF"/>
                </a:solidFill>
              </a:ln>
              <a:effectLst/>
            </c:spPr>
          </c:marker>
          <c:errBars>
            <c:errDir val="x"/>
            <c:errBarType val="both"/>
            <c:errValType val="fixedVal"/>
            <c:noEndCap val="0"/>
            <c:val val="0"/>
            <c:spPr>
              <a:noFill/>
              <a:ln w="9525" cap="flat" cmpd="sng" algn="ctr">
                <a:solidFill>
                  <a:schemeClr val="tx1">
                    <a:lumMod val="65000"/>
                    <a:lumOff val="35000"/>
                  </a:schemeClr>
                </a:solidFill>
                <a:round/>
              </a:ln>
              <a:effectLst/>
            </c:spPr>
          </c:errBars>
          <c:xVal>
            <c:numRef>
              <c:f>'Data Yield'!$C$11:$C$38</c:f>
              <c:numCache>
                <c:formatCode>General</c:formatCode>
                <c:ptCount val="28"/>
                <c:pt idx="0">
                  <c:v>0</c:v>
                </c:pt>
                <c:pt idx="1">
                  <c:v>2</c:v>
                </c:pt>
                <c:pt idx="2">
                  <c:v>4</c:v>
                </c:pt>
                <c:pt idx="3">
                  <c:v>7</c:v>
                </c:pt>
                <c:pt idx="4">
                  <c:v>9</c:v>
                </c:pt>
                <c:pt idx="5">
                  <c:v>11</c:v>
                </c:pt>
                <c:pt idx="6">
                  <c:v>14</c:v>
                </c:pt>
                <c:pt idx="7">
                  <c:v>16</c:v>
                </c:pt>
                <c:pt idx="8">
                  <c:v>18</c:v>
                </c:pt>
                <c:pt idx="9">
                  <c:v>21</c:v>
                </c:pt>
                <c:pt idx="10">
                  <c:v>23</c:v>
                </c:pt>
                <c:pt idx="11">
                  <c:v>25</c:v>
                </c:pt>
                <c:pt idx="12">
                  <c:v>28</c:v>
                </c:pt>
                <c:pt idx="13">
                  <c:v>30</c:v>
                </c:pt>
                <c:pt idx="14">
                  <c:v>32</c:v>
                </c:pt>
                <c:pt idx="15">
                  <c:v>35</c:v>
                </c:pt>
                <c:pt idx="16">
                  <c:v>37</c:v>
                </c:pt>
                <c:pt idx="17">
                  <c:v>39</c:v>
                </c:pt>
                <c:pt idx="18">
                  <c:v>42</c:v>
                </c:pt>
                <c:pt idx="19">
                  <c:v>44</c:v>
                </c:pt>
                <c:pt idx="20">
                  <c:v>46</c:v>
                </c:pt>
                <c:pt idx="21">
                  <c:v>49</c:v>
                </c:pt>
                <c:pt idx="22">
                  <c:v>51</c:v>
                </c:pt>
                <c:pt idx="23">
                  <c:v>53</c:v>
                </c:pt>
                <c:pt idx="24">
                  <c:v>56</c:v>
                </c:pt>
                <c:pt idx="25">
                  <c:v>58</c:v>
                </c:pt>
                <c:pt idx="26">
                  <c:v>60</c:v>
                </c:pt>
                <c:pt idx="27">
                  <c:v>63</c:v>
                </c:pt>
              </c:numCache>
            </c:numRef>
          </c:xVal>
          <c:yVal>
            <c:numRef>
              <c:f>'Data Yield'!$AX$11:$AX$38</c:f>
              <c:numCache>
                <c:formatCode>0</c:formatCode>
                <c:ptCount val="28"/>
                <c:pt idx="0">
                  <c:v>175.8137702953176</c:v>
                </c:pt>
                <c:pt idx="1">
                  <c:v>154.59586416268544</c:v>
                </c:pt>
                <c:pt idx="2">
                  <c:v>118.66728011049214</c:v>
                </c:pt>
                <c:pt idx="3">
                  <c:v>121.10643407379528</c:v>
                </c:pt>
                <c:pt idx="4">
                  <c:v>124.60386680927984</c:v>
                </c:pt>
                <c:pt idx="5">
                  <c:v>134.9024692927452</c:v>
                </c:pt>
                <c:pt idx="6">
                  <c:v>141.70054133283983</c:v>
                </c:pt>
                <c:pt idx="7">
                  <c:v>146.56791318072078</c:v>
                </c:pt>
                <c:pt idx="8">
                  <c:v>154.53128917541528</c:v>
                </c:pt>
                <c:pt idx="9">
                  <c:v>167.09204376029649</c:v>
                </c:pt>
                <c:pt idx="10">
                  <c:v>173.823610200752</c:v>
                </c:pt>
                <c:pt idx="11">
                  <c:v>181.59642483707682</c:v>
                </c:pt>
                <c:pt idx="12">
                  <c:v>184.87389216744614</c:v>
                </c:pt>
                <c:pt idx="13">
                  <c:v>193.23115187190078</c:v>
                </c:pt>
                <c:pt idx="14">
                  <c:v>202.00716689439264</c:v>
                </c:pt>
                <c:pt idx="15">
                  <c:v>211.19699793759642</c:v>
                </c:pt>
                <c:pt idx="16">
                  <c:v>209.25271041192198</c:v>
                </c:pt>
                <c:pt idx="17">
                  <c:v>202.13029780867703</c:v>
                </c:pt>
                <c:pt idx="18">
                  <c:v>184.5990844148339</c:v>
                </c:pt>
                <c:pt idx="19">
                  <c:v>179.12610014772335</c:v>
                </c:pt>
                <c:pt idx="20">
                  <c:v>165.35892915833509</c:v>
                </c:pt>
                <c:pt idx="21">
                  <c:v>163.36582039455476</c:v>
                </c:pt>
                <c:pt idx="22">
                  <c:v>159.82526209058207</c:v>
                </c:pt>
                <c:pt idx="23">
                  <c:v>163.69311940068721</c:v>
                </c:pt>
                <c:pt idx="24">
                  <c:v>165.08169344758903</c:v>
                </c:pt>
                <c:pt idx="25">
                  <c:v>176.57887026609924</c:v>
                </c:pt>
                <c:pt idx="26">
                  <c:v>189.27318964163896</c:v>
                </c:pt>
                <c:pt idx="27">
                  <c:v>201.10284536878888</c:v>
                </c:pt>
              </c:numCache>
            </c:numRef>
          </c:yVal>
          <c:smooth val="1"/>
          <c:extLst>
            <c:ext xmlns:c16="http://schemas.microsoft.com/office/drawing/2014/chart" uri="{C3380CC4-5D6E-409C-BE32-E72D297353CC}">
              <c16:uniqueId val="{00000003-22E3-5C4C-B835-3999A550620B}"/>
            </c:ext>
          </c:extLst>
        </c:ser>
        <c:ser>
          <c:idx val="4"/>
          <c:order val="4"/>
          <c:tx>
            <c:v>100% SwS</c:v>
          </c:tx>
          <c:spPr>
            <a:ln w="15875" cap="rnd">
              <a:solidFill>
                <a:schemeClr val="accent6"/>
              </a:solidFill>
              <a:prstDash val="dash"/>
              <a:round/>
            </a:ln>
            <a:effectLst/>
          </c:spPr>
          <c:marker>
            <c:symbol val="none"/>
          </c:marker>
          <c:dPt>
            <c:idx val="1"/>
            <c:marker>
              <c:symbol val="none"/>
            </c:marker>
            <c:bubble3D val="0"/>
            <c:spPr>
              <a:ln w="25400" cap="rnd">
                <a:solidFill>
                  <a:schemeClr val="accent6"/>
                </a:solidFill>
                <a:prstDash val="dash"/>
                <a:round/>
              </a:ln>
              <a:effectLst/>
            </c:spPr>
            <c:extLst>
              <c:ext xmlns:c16="http://schemas.microsoft.com/office/drawing/2014/chart" uri="{C3380CC4-5D6E-409C-BE32-E72D297353CC}">
                <c16:uniqueId val="{00000005-22E3-5C4C-B835-3999A550620B}"/>
              </c:ext>
            </c:extLst>
          </c:dPt>
          <c:xVal>
            <c:numRef>
              <c:f>'Data Yield'!$BG$10:$BH$10</c:f>
              <c:numCache>
                <c:formatCode>General</c:formatCode>
                <c:ptCount val="2"/>
                <c:pt idx="0">
                  <c:v>0</c:v>
                </c:pt>
                <c:pt idx="1">
                  <c:v>65</c:v>
                </c:pt>
              </c:numCache>
            </c:numRef>
          </c:xVal>
          <c:yVal>
            <c:numRef>
              <c:f>'Data Yield'!$BG$11:$BH$11</c:f>
              <c:numCache>
                <c:formatCode>General</c:formatCode>
                <c:ptCount val="2"/>
                <c:pt idx="0">
                  <c:v>110</c:v>
                </c:pt>
                <c:pt idx="1">
                  <c:v>110</c:v>
                </c:pt>
              </c:numCache>
            </c:numRef>
          </c:yVal>
          <c:smooth val="0"/>
          <c:extLst>
            <c:ext xmlns:c16="http://schemas.microsoft.com/office/drawing/2014/chart" uri="{C3380CC4-5D6E-409C-BE32-E72D297353CC}">
              <c16:uniqueId val="{00000006-22E3-5C4C-B835-3999A550620B}"/>
            </c:ext>
          </c:extLst>
        </c:ser>
        <c:ser>
          <c:idx val="5"/>
          <c:order val="5"/>
          <c:tx>
            <c:v>fine transitorio</c:v>
          </c:tx>
          <c:spPr>
            <a:ln w="12700" cap="rnd">
              <a:solidFill>
                <a:schemeClr val="tx1"/>
              </a:solidFill>
              <a:prstDash val="sysDash"/>
              <a:round/>
            </a:ln>
            <a:effectLst/>
          </c:spPr>
          <c:marker>
            <c:symbol val="none"/>
          </c:marker>
          <c:xVal>
            <c:numRef>
              <c:f>'Data Yield'!$I$1:$I$2</c:f>
              <c:numCache>
                <c:formatCode>General</c:formatCode>
                <c:ptCount val="2"/>
                <c:pt idx="0">
                  <c:v>35</c:v>
                </c:pt>
                <c:pt idx="1">
                  <c:v>35</c:v>
                </c:pt>
              </c:numCache>
            </c:numRef>
          </c:xVal>
          <c:yVal>
            <c:numRef>
              <c:f>'Data Yield'!$J$1:$J$2</c:f>
              <c:numCache>
                <c:formatCode>0</c:formatCode>
                <c:ptCount val="2"/>
                <c:pt idx="0" formatCode="General">
                  <c:v>0</c:v>
                </c:pt>
                <c:pt idx="1">
                  <c:v>461.72096413784556</c:v>
                </c:pt>
              </c:numCache>
            </c:numRef>
          </c:yVal>
          <c:smooth val="0"/>
          <c:extLst>
            <c:ext xmlns:c16="http://schemas.microsoft.com/office/drawing/2014/chart" uri="{C3380CC4-5D6E-409C-BE32-E72D297353CC}">
              <c16:uniqueId val="{00000007-22E3-5C4C-B835-3999A550620B}"/>
            </c:ext>
          </c:extLst>
        </c:ser>
        <c:dLbls>
          <c:showLegendKey val="0"/>
          <c:showVal val="0"/>
          <c:showCatName val="0"/>
          <c:showSerName val="0"/>
          <c:showPercent val="0"/>
          <c:showBubbleSize val="0"/>
        </c:dLbls>
        <c:axId val="1503947056"/>
        <c:axId val="1415038560"/>
      </c:scatterChart>
      <c:valAx>
        <c:axId val="1503947056"/>
        <c:scaling>
          <c:orientation val="minMax"/>
          <c:max val="65"/>
          <c:min val="0"/>
        </c:scaling>
        <c:delete val="0"/>
        <c:axPos val="b"/>
        <c:title>
          <c:tx>
            <c:rich>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it-IT" sz="1000" b="1">
                    <a:solidFill>
                      <a:schemeClr val="tx1"/>
                    </a:solidFill>
                  </a:rPr>
                  <a:t>Time (days)</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it-IT"/>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t-IT"/>
          </a:p>
        </c:txPr>
        <c:crossAx val="1415038560"/>
        <c:crosses val="autoZero"/>
        <c:crossBetween val="midCat"/>
        <c:majorUnit val="5"/>
      </c:valAx>
      <c:valAx>
        <c:axId val="1415038560"/>
        <c:scaling>
          <c:orientation val="minMax"/>
          <c:max val="300"/>
        </c:scaling>
        <c:delete val="0"/>
        <c:axPos val="l"/>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it-IT" sz="1000" b="1">
                    <a:solidFill>
                      <a:schemeClr val="tx1"/>
                    </a:solidFill>
                  </a:rPr>
                  <a:t>Y</a:t>
                </a:r>
                <a:r>
                  <a:rPr lang="it-IT" sz="1000" b="1" baseline="-25000">
                    <a:solidFill>
                      <a:schemeClr val="tx1"/>
                    </a:solidFill>
                  </a:rPr>
                  <a:t>CH4</a:t>
                </a:r>
                <a:r>
                  <a:rPr lang="it-IT" sz="1000" b="1">
                    <a:solidFill>
                      <a:schemeClr val="tx1"/>
                    </a:solidFill>
                  </a:rPr>
                  <a:t> (NL / kg</a:t>
                </a:r>
                <a:r>
                  <a:rPr lang="it-IT" sz="1000" b="1" baseline="-25000">
                    <a:solidFill>
                      <a:schemeClr val="tx1"/>
                    </a:solidFill>
                  </a:rPr>
                  <a:t>VS</a:t>
                </a:r>
                <a:r>
                  <a:rPr lang="it-IT" sz="1000" b="1">
                    <a:solidFill>
                      <a:schemeClr val="tx1"/>
                    </a:solidFill>
                  </a:rPr>
                  <a:t>)</a:t>
                </a:r>
              </a:p>
            </c:rich>
          </c:tx>
          <c:layout>
            <c:manualLayout>
              <c:xMode val="edge"/>
              <c:yMode val="edge"/>
              <c:x val="6.1698035826036387E-3"/>
              <c:y val="0.30181814081005631"/>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it-IT"/>
            </a:p>
          </c:txPr>
        </c:title>
        <c:numFmt formatCode="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t-IT"/>
          </a:p>
        </c:txPr>
        <c:crossAx val="1503947056"/>
        <c:crosses val="autoZero"/>
        <c:crossBetween val="midCat"/>
      </c:valAx>
      <c:spPr>
        <a:noFill/>
        <a:ln>
          <a:solidFill>
            <a:schemeClr val="tx1"/>
          </a:solidFill>
        </a:ln>
        <a:effectLst/>
      </c:spPr>
    </c:plotArea>
    <c:legend>
      <c:legendPos val="r"/>
      <c:legendEntry>
        <c:idx val="5"/>
        <c:delete val="1"/>
      </c:legendEntry>
      <c:layout>
        <c:manualLayout>
          <c:xMode val="edge"/>
          <c:yMode val="edge"/>
          <c:x val="0.13997176306040923"/>
          <c:y val="0.62628486846120979"/>
          <c:w val="0.8550927048550967"/>
          <c:h val="0.20516713787123389"/>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it-IT"/>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0.17303</cdr:x>
      <cdr:y>0.03322</cdr:y>
    </cdr:from>
    <cdr:to>
      <cdr:x>0.72525</cdr:x>
      <cdr:y>0.14758</cdr:y>
    </cdr:to>
    <cdr:sp macro="" textlink="">
      <cdr:nvSpPr>
        <cdr:cNvPr id="2" name="CasellaDiTesto 4">
          <a:extLst xmlns:a="http://schemas.openxmlformats.org/drawingml/2006/main">
            <a:ext uri="{FF2B5EF4-FFF2-40B4-BE49-F238E27FC236}">
              <a16:creationId xmlns:a16="http://schemas.microsoft.com/office/drawing/2014/main" id="{6733729F-DA61-F547-AC2C-41568E3237C2}"/>
            </a:ext>
          </a:extLst>
        </cdr:cNvPr>
        <cdr:cNvSpPr txBox="1"/>
      </cdr:nvSpPr>
      <cdr:spPr>
        <a:xfrm xmlns:a="http://schemas.openxmlformats.org/drawingml/2006/main">
          <a:off x="524552" y="87406"/>
          <a:ext cx="1674042" cy="300859"/>
        </a:xfrm>
        <a:prstGeom xmlns:a="http://schemas.openxmlformats.org/drawingml/2006/main" prst="rect">
          <a:avLst/>
        </a:prstGeom>
        <a:solidFill xmlns:a="http://schemas.openxmlformats.org/drawingml/2006/main">
          <a:schemeClr val="lt1"/>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it-IT" sz="1200" b="1">
              <a:solidFill>
                <a:srgbClr val="FF0000"/>
              </a:solidFill>
            </a:rPr>
            <a:t>A) untreated OMW</a:t>
          </a:r>
        </a:p>
      </cdr:txBody>
    </cdr:sp>
  </cdr:relSizeAnchor>
</c:userShapes>
</file>

<file path=word/drawings/drawing2.xml><?xml version="1.0" encoding="utf-8"?>
<c:userShapes xmlns:c="http://schemas.openxmlformats.org/drawingml/2006/chart">
  <cdr:relSizeAnchor xmlns:cdr="http://schemas.openxmlformats.org/drawingml/2006/chartDrawing">
    <cdr:from>
      <cdr:x>0.18226</cdr:x>
      <cdr:y>0.03717</cdr:y>
    </cdr:from>
    <cdr:to>
      <cdr:x>0.9049</cdr:x>
      <cdr:y>0.15217</cdr:y>
    </cdr:to>
    <cdr:sp macro="" textlink="">
      <cdr:nvSpPr>
        <cdr:cNvPr id="2" name="CasellaDiTesto 4">
          <a:extLst xmlns:a="http://schemas.openxmlformats.org/drawingml/2006/main">
            <a:ext uri="{FF2B5EF4-FFF2-40B4-BE49-F238E27FC236}">
              <a16:creationId xmlns:a16="http://schemas.microsoft.com/office/drawing/2014/main" id="{6733729F-DA61-F547-AC2C-41568E3237C2}"/>
            </a:ext>
          </a:extLst>
        </cdr:cNvPr>
        <cdr:cNvSpPr txBox="1"/>
      </cdr:nvSpPr>
      <cdr:spPr>
        <a:xfrm xmlns:a="http://schemas.openxmlformats.org/drawingml/2006/main">
          <a:off x="552512" y="94209"/>
          <a:ext cx="2190687" cy="291443"/>
        </a:xfrm>
        <a:prstGeom xmlns:a="http://schemas.openxmlformats.org/drawingml/2006/main" prst="rect">
          <a:avLst/>
        </a:prstGeom>
        <a:solidFill xmlns:a="http://schemas.openxmlformats.org/drawingml/2006/main">
          <a:schemeClr val="lt1"/>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it-IT" sz="1200" b="1">
              <a:solidFill>
                <a:srgbClr val="0432FF"/>
              </a:solidFill>
            </a:rPr>
            <a:t>B) dephenolized OMW</a:t>
          </a:r>
        </a:p>
      </cdr:txBody>
    </cdr:sp>
  </cdr:relSizeAnchor>
</c:userShape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TotalTime>
  <Pages>4</Pages>
  <Words>2113</Words>
  <Characters>12045</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Davide Pinelli</cp:lastModifiedBy>
  <cp:revision>37</cp:revision>
  <cp:lastPrinted>2022-01-31T11:56:00Z</cp:lastPrinted>
  <dcterms:created xsi:type="dcterms:W3CDTF">2022-03-05T15:55:00Z</dcterms:created>
  <dcterms:modified xsi:type="dcterms:W3CDTF">2022-03-15T08:09:00Z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id="flChVE1D"/&gt;&lt;style id="http://www.zotero.org/styles/ieee" locale="it-IT" hasBibliography="1" bibliographyStyleHasBeenSet="1"/&gt;&lt;prefs&gt;&lt;pref name="fieldType" value="Field"/&gt;&lt;pref name="automaticJo</vt:lpwstr>
  </property>
  <property fmtid="{D5CDD505-2E9C-101B-9397-08002B2CF9AE}" pid="3" name="ZOTERO_PREF_2">
    <vt:lpwstr>urnalAbbreviations" value="true"/&gt;&lt;/prefs&gt;&lt;/data&gt;</vt:lpwstr>
  </property>
</Properties>
</file>