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71AE62BE" w:rsidR="00DA51A3" w:rsidRPr="006248F4" w:rsidRDefault="00752456" w:rsidP="00DA51A3">
      <w:pPr>
        <w:snapToGrid w:val="0"/>
        <w:jc w:val="center"/>
        <w:rPr>
          <w:rFonts w:ascii="Times New Roman" w:eastAsia="MS PGothic" w:hAnsi="Times New Roman" w:cs="Times New Roman"/>
          <w:b/>
          <w:bCs/>
          <w:sz w:val="24"/>
          <w:szCs w:val="24"/>
          <w:lang w:val="en-US"/>
        </w:rPr>
      </w:pPr>
      <w:r w:rsidRPr="006248F4">
        <w:rPr>
          <w:rFonts w:ascii="Times New Roman" w:eastAsia="MS PGothic" w:hAnsi="Times New Roman" w:cs="Times New Roman"/>
          <w:b/>
          <w:bCs/>
          <w:sz w:val="24"/>
          <w:szCs w:val="24"/>
          <w:lang w:val="en-US"/>
        </w:rPr>
        <w:t>Biological conversion of agricultural wastes into microbial proteins for aquaculture feed</w:t>
      </w:r>
    </w:p>
    <w:p w14:paraId="5DC330F9" w14:textId="77777777" w:rsidR="00DA51A3" w:rsidRPr="006248F4" w:rsidRDefault="00DA51A3" w:rsidP="00DA51A3">
      <w:pPr>
        <w:snapToGrid w:val="0"/>
        <w:jc w:val="center"/>
        <w:rPr>
          <w:rFonts w:ascii="Times New Roman" w:eastAsia="MS PGothic" w:hAnsi="Times New Roman" w:cs="Times New Roman"/>
          <w:b/>
          <w:bCs/>
          <w:sz w:val="24"/>
          <w:szCs w:val="24"/>
          <w:lang w:val="en-US" w:eastAsia="ko-KR"/>
        </w:rPr>
      </w:pPr>
    </w:p>
    <w:p w14:paraId="243AAF34" w14:textId="73C72FCD" w:rsidR="00DA51A3" w:rsidRPr="006248F4" w:rsidRDefault="00DB7F8E" w:rsidP="00DA51A3">
      <w:pPr>
        <w:snapToGrid w:val="0"/>
        <w:jc w:val="center"/>
        <w:rPr>
          <w:rFonts w:ascii="Times New Roman" w:eastAsia="MS PGothic" w:hAnsi="Times New Roman" w:cs="Times New Roman"/>
          <w:sz w:val="24"/>
          <w:szCs w:val="24"/>
        </w:rPr>
      </w:pPr>
      <w:r w:rsidRPr="006248F4">
        <w:rPr>
          <w:rFonts w:ascii="Times New Roman" w:eastAsia="SimSun" w:hAnsi="Times New Roman" w:cs="Times New Roman"/>
          <w:sz w:val="24"/>
          <w:szCs w:val="24"/>
          <w:lang w:eastAsia="zh-CN"/>
        </w:rPr>
        <w:t>Giovanna Pesante</w:t>
      </w:r>
      <w:r w:rsidR="00D33C69" w:rsidRPr="006248F4">
        <w:rPr>
          <w:rFonts w:ascii="Times New Roman" w:eastAsia="SimSun" w:hAnsi="Times New Roman" w:cs="Times New Roman"/>
          <w:sz w:val="24"/>
          <w:szCs w:val="24"/>
          <w:vertAlign w:val="superscript"/>
          <w:lang w:eastAsia="zh-CN"/>
        </w:rPr>
        <w:t>1</w:t>
      </w:r>
      <w:r w:rsidRPr="006248F4">
        <w:rPr>
          <w:rFonts w:ascii="Times New Roman" w:eastAsia="SimSun" w:hAnsi="Times New Roman" w:cs="Times New Roman"/>
          <w:sz w:val="24"/>
          <w:szCs w:val="24"/>
          <w:lang w:eastAsia="zh-CN"/>
        </w:rPr>
        <w:t>, Anna Zuliani</w:t>
      </w:r>
      <w:r w:rsidRPr="006248F4">
        <w:rPr>
          <w:rFonts w:ascii="Times New Roman" w:eastAsia="SimSun" w:hAnsi="Times New Roman" w:cs="Times New Roman"/>
          <w:sz w:val="24"/>
          <w:szCs w:val="24"/>
          <w:vertAlign w:val="superscript"/>
          <w:lang w:eastAsia="zh-CN"/>
        </w:rPr>
        <w:t>1</w:t>
      </w:r>
      <w:r w:rsidRPr="006248F4">
        <w:rPr>
          <w:rFonts w:ascii="Times New Roman" w:eastAsia="SimSun" w:hAnsi="Times New Roman" w:cs="Times New Roman"/>
          <w:sz w:val="24"/>
          <w:szCs w:val="24"/>
          <w:lang w:eastAsia="zh-CN"/>
        </w:rPr>
        <w:t>, David Bolzonella</w:t>
      </w:r>
      <w:r w:rsidRPr="006248F4">
        <w:rPr>
          <w:rFonts w:ascii="Times New Roman" w:eastAsia="SimSun" w:hAnsi="Times New Roman" w:cs="Times New Roman"/>
          <w:sz w:val="24"/>
          <w:szCs w:val="24"/>
          <w:vertAlign w:val="superscript"/>
          <w:lang w:eastAsia="zh-CN"/>
        </w:rPr>
        <w:t>1</w:t>
      </w:r>
      <w:r w:rsidRPr="006248F4">
        <w:rPr>
          <w:rFonts w:ascii="Times New Roman" w:eastAsia="SimSun" w:hAnsi="Times New Roman" w:cs="Times New Roman"/>
          <w:sz w:val="24"/>
          <w:szCs w:val="24"/>
          <w:lang w:eastAsia="zh-CN"/>
        </w:rPr>
        <w:t xml:space="preserve"> and Nicola Frison</w:t>
      </w:r>
      <w:r w:rsidR="00D33C69" w:rsidRPr="006248F4">
        <w:rPr>
          <w:rFonts w:ascii="Times New Roman" w:eastAsia="SimSun" w:hAnsi="Times New Roman" w:cs="Times New Roman"/>
          <w:sz w:val="24"/>
          <w:szCs w:val="24"/>
          <w:vertAlign w:val="superscript"/>
          <w:lang w:eastAsia="zh-CN"/>
        </w:rPr>
        <w:t>*,1</w:t>
      </w:r>
    </w:p>
    <w:p w14:paraId="7A602332" w14:textId="6F09C3C4" w:rsidR="00DA51A3" w:rsidRPr="006248F4" w:rsidRDefault="00DA51A3" w:rsidP="00DA51A3">
      <w:pPr>
        <w:snapToGrid w:val="0"/>
        <w:spacing w:after="120"/>
        <w:jc w:val="center"/>
        <w:rPr>
          <w:rFonts w:ascii="Times New Roman" w:eastAsia="MS PGothic" w:hAnsi="Times New Roman" w:cs="Times New Roman"/>
          <w:i/>
          <w:iCs/>
          <w:sz w:val="20"/>
          <w:lang w:val="en-US"/>
        </w:rPr>
      </w:pPr>
      <w:r w:rsidRPr="006248F4">
        <w:rPr>
          <w:rFonts w:ascii="Times New Roman" w:eastAsia="MS PGothic" w:hAnsi="Times New Roman" w:cs="Times New Roman"/>
          <w:i/>
          <w:iCs/>
          <w:sz w:val="20"/>
          <w:lang w:val="en-US"/>
        </w:rPr>
        <w:t xml:space="preserve">1 </w:t>
      </w:r>
      <w:r w:rsidR="00CF7302" w:rsidRPr="006248F4">
        <w:rPr>
          <w:rFonts w:ascii="Times New Roman" w:eastAsia="MS PGothic" w:hAnsi="Times New Roman" w:cs="Times New Roman"/>
          <w:i/>
          <w:iCs/>
          <w:sz w:val="20"/>
          <w:lang w:val="en-US"/>
        </w:rPr>
        <w:t xml:space="preserve">Department of Biotechnology, University of Verona, Strada Le </w:t>
      </w:r>
      <w:proofErr w:type="spellStart"/>
      <w:r w:rsidR="00CF7302" w:rsidRPr="006248F4">
        <w:rPr>
          <w:rFonts w:ascii="Times New Roman" w:eastAsia="MS PGothic" w:hAnsi="Times New Roman" w:cs="Times New Roman"/>
          <w:i/>
          <w:iCs/>
          <w:sz w:val="20"/>
          <w:lang w:val="en-US"/>
        </w:rPr>
        <w:t>Grazie</w:t>
      </w:r>
      <w:proofErr w:type="spellEnd"/>
      <w:r w:rsidR="00CF7302" w:rsidRPr="006248F4">
        <w:rPr>
          <w:rFonts w:ascii="Times New Roman" w:eastAsia="MS PGothic" w:hAnsi="Times New Roman" w:cs="Times New Roman"/>
          <w:i/>
          <w:iCs/>
          <w:sz w:val="20"/>
          <w:lang w:val="en-US"/>
        </w:rPr>
        <w:t xml:space="preserve"> 15, 37134 Verona, Italy</w:t>
      </w:r>
    </w:p>
    <w:p w14:paraId="5533360A" w14:textId="62F24672" w:rsidR="00DA51A3" w:rsidRPr="006248F4" w:rsidRDefault="00DA51A3" w:rsidP="00DA51A3">
      <w:pPr>
        <w:snapToGrid w:val="0"/>
        <w:jc w:val="center"/>
        <w:rPr>
          <w:rFonts w:ascii="Times New Roman" w:eastAsia="MS PGothic" w:hAnsi="Times New Roman" w:cs="Times New Roman"/>
          <w:bCs/>
          <w:i/>
          <w:iCs/>
          <w:sz w:val="20"/>
          <w:lang w:val="en-US"/>
        </w:rPr>
      </w:pPr>
      <w:r w:rsidRPr="006248F4">
        <w:rPr>
          <w:rFonts w:ascii="Times New Roman" w:eastAsia="MS PGothic" w:hAnsi="Times New Roman" w:cs="Times New Roman"/>
          <w:bCs/>
          <w:i/>
          <w:iCs/>
          <w:sz w:val="20"/>
          <w:lang w:val="en-US"/>
        </w:rPr>
        <w:t>*Corresponding author</w:t>
      </w:r>
      <w:r w:rsidRPr="006248F4">
        <w:rPr>
          <w:rFonts w:ascii="Times New Roman" w:eastAsia="MS PGothic" w:hAnsi="Times New Roman" w:cs="Times New Roman"/>
          <w:bCs/>
          <w:i/>
          <w:iCs/>
          <w:sz w:val="20"/>
          <w:lang w:val="en-US" w:eastAsia="ko-KR"/>
        </w:rPr>
        <w:t xml:space="preserve"> E-Mail:</w:t>
      </w:r>
      <w:r w:rsidR="00CF7302" w:rsidRPr="006248F4">
        <w:rPr>
          <w:rFonts w:ascii="Times New Roman" w:eastAsia="MS PGothic" w:hAnsi="Times New Roman" w:cs="Times New Roman"/>
          <w:bCs/>
          <w:i/>
          <w:iCs/>
          <w:sz w:val="20"/>
          <w:lang w:val="en-US" w:eastAsia="ko-KR"/>
        </w:rPr>
        <w:t xml:space="preserve"> nicola.frison</w:t>
      </w:r>
      <w:r w:rsidRPr="006248F4">
        <w:rPr>
          <w:rFonts w:ascii="Times New Roman" w:eastAsia="MS PGothic" w:hAnsi="Times New Roman" w:cs="Times New Roman"/>
          <w:bCs/>
          <w:i/>
          <w:iCs/>
          <w:sz w:val="20"/>
          <w:lang w:val="en-US"/>
        </w:rPr>
        <w:t>@</w:t>
      </w:r>
      <w:r w:rsidR="00CF7302" w:rsidRPr="006248F4">
        <w:rPr>
          <w:rFonts w:ascii="Times New Roman" w:eastAsia="MS PGothic" w:hAnsi="Times New Roman" w:cs="Times New Roman"/>
          <w:bCs/>
          <w:i/>
          <w:iCs/>
          <w:sz w:val="20"/>
          <w:lang w:val="en-US"/>
        </w:rPr>
        <w:t xml:space="preserve">univr.it </w:t>
      </w:r>
    </w:p>
    <w:p w14:paraId="28AD07A8" w14:textId="77777777" w:rsidR="00DA51A3" w:rsidRPr="006248F4" w:rsidRDefault="00DA51A3" w:rsidP="00DA51A3">
      <w:pPr>
        <w:snapToGrid w:val="0"/>
        <w:spacing w:after="120"/>
        <w:jc w:val="center"/>
        <w:rPr>
          <w:rFonts w:ascii="Times New Roman" w:eastAsia="SimSun" w:hAnsi="Times New Roman" w:cs="Times New Roman"/>
          <w:bCs/>
          <w:i/>
          <w:iCs/>
          <w:sz w:val="20"/>
          <w:lang w:val="en-US" w:eastAsia="zh-CN"/>
        </w:rPr>
      </w:pPr>
    </w:p>
    <w:p w14:paraId="110B92B3" w14:textId="77777777" w:rsidR="00DA51A3" w:rsidRPr="006248F4" w:rsidRDefault="00DA51A3" w:rsidP="00DA51A3">
      <w:pPr>
        <w:snapToGrid w:val="0"/>
        <w:spacing w:line="300" w:lineRule="auto"/>
        <w:rPr>
          <w:rFonts w:ascii="Times New Roman" w:eastAsia="MS PGothic" w:hAnsi="Times New Roman" w:cs="Times New Roman"/>
          <w:b/>
          <w:bCs/>
          <w:lang w:val="en-US" w:eastAsia="ko-KR"/>
        </w:rPr>
      </w:pPr>
      <w:r w:rsidRPr="006248F4">
        <w:rPr>
          <w:rFonts w:ascii="Times New Roman" w:eastAsia="MS PGothic" w:hAnsi="Times New Roman" w:cs="Times New Roman"/>
          <w:b/>
          <w:bCs/>
          <w:lang w:val="en-US"/>
        </w:rPr>
        <w:t>1.</w:t>
      </w:r>
      <w:r w:rsidR="003F160A" w:rsidRPr="006248F4">
        <w:rPr>
          <w:rFonts w:ascii="Times New Roman" w:eastAsia="MS PGothic" w:hAnsi="Times New Roman" w:cs="Times New Roman"/>
          <w:b/>
          <w:bCs/>
          <w:lang w:val="en-US"/>
        </w:rPr>
        <w:t>Introduction</w:t>
      </w:r>
    </w:p>
    <w:p w14:paraId="300344C3" w14:textId="29E68812" w:rsidR="00DA51A3" w:rsidRPr="006248F4" w:rsidRDefault="00E864B0" w:rsidP="00E864B0">
      <w:pPr>
        <w:snapToGrid w:val="0"/>
        <w:spacing w:after="120"/>
        <w:jc w:val="both"/>
        <w:rPr>
          <w:rFonts w:ascii="Times New Roman" w:eastAsia="MS PGothic" w:hAnsi="Times New Roman" w:cs="Times New Roman"/>
          <w:b/>
          <w:u w:val="single"/>
          <w:lang w:val="en-US"/>
        </w:rPr>
      </w:pPr>
      <w:r w:rsidRPr="006248F4">
        <w:rPr>
          <w:rFonts w:ascii="Times New Roman" w:eastAsia="MS PGothic" w:hAnsi="Times New Roman" w:cs="Times New Roman"/>
          <w:lang w:val="en-US"/>
        </w:rPr>
        <w:t>Due to the ever-growing population, the demand of protein-rich food for human and animal nutrition is continually increasing (FAO, 2018). The current use of plant and animal-based proteins is not environmentally sustainable because of the high CO2 footprint of agriculture and livestock rearing (Vermeulen et al., 2012) and is also problematic because of the scarcity of land (</w:t>
      </w:r>
      <w:proofErr w:type="spellStart"/>
      <w:r w:rsidRPr="006248F4">
        <w:rPr>
          <w:rFonts w:ascii="Times New Roman" w:eastAsia="MS PGothic" w:hAnsi="Times New Roman" w:cs="Times New Roman"/>
          <w:lang w:val="en-US"/>
        </w:rPr>
        <w:t>Mekonnen</w:t>
      </w:r>
      <w:proofErr w:type="spellEnd"/>
      <w:r w:rsidRPr="006248F4">
        <w:rPr>
          <w:rFonts w:ascii="Times New Roman" w:eastAsia="MS PGothic" w:hAnsi="Times New Roman" w:cs="Times New Roman"/>
          <w:lang w:val="en-US"/>
        </w:rPr>
        <w:t xml:space="preserve"> &amp; Hoekstra, 2014). The European Green Deal promotes the use of alternative sources of proteins, such as insects or single cell proteins (SCP) (</w:t>
      </w:r>
      <w:proofErr w:type="spellStart"/>
      <w:r w:rsidRPr="006248F4">
        <w:rPr>
          <w:rFonts w:ascii="Times New Roman" w:eastAsia="MS PGothic" w:hAnsi="Times New Roman" w:cs="Times New Roman"/>
          <w:lang w:val="en-US"/>
        </w:rPr>
        <w:t>Siddi</w:t>
      </w:r>
      <w:proofErr w:type="spellEnd"/>
      <w:r w:rsidRPr="006248F4">
        <w:rPr>
          <w:rFonts w:ascii="Times New Roman" w:eastAsia="MS PGothic" w:hAnsi="Times New Roman" w:cs="Times New Roman"/>
          <w:lang w:val="en-US"/>
        </w:rPr>
        <w:t xml:space="preserve">, 2020). SCP or microbial proteins include dried microorganisms rich in proteins, </w:t>
      </w:r>
      <w:proofErr w:type="gramStart"/>
      <w:r w:rsidRPr="006248F4">
        <w:rPr>
          <w:rFonts w:ascii="Times New Roman" w:eastAsia="MS PGothic" w:hAnsi="Times New Roman" w:cs="Times New Roman"/>
          <w:lang w:val="en-US"/>
        </w:rPr>
        <w:t>vitamins</w:t>
      </w:r>
      <w:proofErr w:type="gramEnd"/>
      <w:r w:rsidRPr="006248F4">
        <w:rPr>
          <w:rFonts w:ascii="Times New Roman" w:eastAsia="MS PGothic" w:hAnsi="Times New Roman" w:cs="Times New Roman"/>
          <w:lang w:val="en-US"/>
        </w:rPr>
        <w:t xml:space="preserve"> and lipids (bacteria, algae, fungi and yeasts), which can be used as supplements in human food or as animal feed (Saeed et al., 2016), but also for the production of third-generation biofuels – bioethanol and biodiesel (Martínez et al., 2015) and the manufacture of bioplastics and adhesive materials (Yadav et al., 2020), as well as </w:t>
      </w:r>
      <w:proofErr w:type="spellStart"/>
      <w:r w:rsidRPr="006248F4">
        <w:rPr>
          <w:rFonts w:ascii="Times New Roman" w:eastAsia="MS PGothic" w:hAnsi="Times New Roman" w:cs="Times New Roman"/>
          <w:lang w:val="en-US"/>
        </w:rPr>
        <w:t>fertilisers</w:t>
      </w:r>
      <w:proofErr w:type="spellEnd"/>
      <w:r w:rsidRPr="006248F4">
        <w:rPr>
          <w:rFonts w:ascii="Times New Roman" w:eastAsia="MS PGothic" w:hAnsi="Times New Roman" w:cs="Times New Roman"/>
          <w:lang w:val="en-US"/>
        </w:rPr>
        <w:t xml:space="preserve"> replacing conventional nitrogen and phosphorous rich material. SCP have so far mainly been produced from raw materials with high commercial value, while they could be obtained by the fermentation of inexpensive feedstocks such waste, making them more economical, and helping with the environmental burden created by the disposal of wastes (</w:t>
      </w:r>
      <w:proofErr w:type="spellStart"/>
      <w:r w:rsidRPr="006248F4">
        <w:rPr>
          <w:rFonts w:ascii="Times New Roman" w:eastAsia="MS PGothic" w:hAnsi="Times New Roman" w:cs="Times New Roman"/>
          <w:lang w:val="en-US"/>
        </w:rPr>
        <w:t>Nasseri</w:t>
      </w:r>
      <w:proofErr w:type="spellEnd"/>
      <w:r w:rsidRPr="006248F4">
        <w:rPr>
          <w:rFonts w:ascii="Times New Roman" w:eastAsia="MS PGothic" w:hAnsi="Times New Roman" w:cs="Times New Roman"/>
          <w:lang w:val="en-US"/>
        </w:rPr>
        <w:t xml:space="preserve"> et al., 2011). In our study we set up the production of SCP of microbial origin from agricultural and zootechnical waste, using the VFA-rich fluid obtained from the fermentation of the waste as feed for a bioreactor, with the aim of using them microbial biomass in the aquaculture industry. The bacterial species used to produce the SCP were selected to be </w:t>
      </w:r>
      <w:proofErr w:type="spellStart"/>
      <w:r w:rsidRPr="006248F4">
        <w:rPr>
          <w:rFonts w:ascii="Times New Roman" w:eastAsia="MS PGothic" w:hAnsi="Times New Roman" w:cs="Times New Roman"/>
          <w:lang w:val="en-US"/>
        </w:rPr>
        <w:t>polyhydroxyalkanoates</w:t>
      </w:r>
      <w:proofErr w:type="spellEnd"/>
      <w:r w:rsidRPr="006248F4">
        <w:rPr>
          <w:rFonts w:ascii="Times New Roman" w:eastAsia="MS PGothic" w:hAnsi="Times New Roman" w:cs="Times New Roman"/>
          <w:lang w:val="en-US"/>
        </w:rPr>
        <w:t xml:space="preserve"> (PHAs) producers, because of the added value they provided in the fish feed. Indeed, these biological polymers have been shown to help protect aquatic animals from pathogenic bacteria acting both as prebiotics and probiotics (</w:t>
      </w:r>
      <w:proofErr w:type="spellStart"/>
      <w:r w:rsidRPr="006248F4">
        <w:rPr>
          <w:rFonts w:ascii="Times New Roman" w:eastAsia="MS PGothic" w:hAnsi="Times New Roman" w:cs="Times New Roman"/>
          <w:lang w:val="en-US"/>
        </w:rPr>
        <w:t>Laranja</w:t>
      </w:r>
      <w:proofErr w:type="spellEnd"/>
      <w:r w:rsidRPr="006248F4">
        <w:rPr>
          <w:rFonts w:ascii="Times New Roman" w:eastAsia="MS PGothic" w:hAnsi="Times New Roman" w:cs="Times New Roman"/>
          <w:lang w:val="en-US"/>
        </w:rPr>
        <w:t xml:space="preserve"> et al., 2014; Suguna et al., 2014). PHAs producing organisms can be used directly as SCP without the need of expensive extraction and purification PHAs procedures, which are at present hindering their use as </w:t>
      </w:r>
      <w:proofErr w:type="gramStart"/>
      <w:r w:rsidRPr="006248F4">
        <w:rPr>
          <w:rFonts w:ascii="Times New Roman" w:eastAsia="MS PGothic" w:hAnsi="Times New Roman" w:cs="Times New Roman"/>
          <w:lang w:val="en-US"/>
        </w:rPr>
        <w:t>bio-plastics</w:t>
      </w:r>
      <w:proofErr w:type="gramEnd"/>
      <w:r w:rsidRPr="006248F4">
        <w:rPr>
          <w:rFonts w:ascii="Times New Roman" w:eastAsia="MS PGothic" w:hAnsi="Times New Roman" w:cs="Times New Roman"/>
          <w:lang w:val="en-US"/>
        </w:rPr>
        <w:t xml:space="preserve"> (Chee et al., 2019).</w:t>
      </w:r>
    </w:p>
    <w:p w14:paraId="0871BF31" w14:textId="77777777" w:rsidR="00DA51A3" w:rsidRPr="006248F4" w:rsidRDefault="00DA51A3" w:rsidP="00DA51A3">
      <w:pPr>
        <w:snapToGrid w:val="0"/>
        <w:spacing w:before="240" w:line="300" w:lineRule="auto"/>
        <w:rPr>
          <w:rFonts w:ascii="Times New Roman" w:eastAsia="MS PGothic" w:hAnsi="Times New Roman" w:cs="Times New Roman"/>
          <w:lang w:val="en-US"/>
        </w:rPr>
      </w:pPr>
      <w:r w:rsidRPr="006248F4">
        <w:rPr>
          <w:rFonts w:ascii="Times New Roman" w:eastAsia="MS PGothic" w:hAnsi="Times New Roman" w:cs="Times New Roman"/>
          <w:b/>
          <w:bCs/>
          <w:lang w:val="en-US"/>
        </w:rPr>
        <w:t>2. Methods</w:t>
      </w:r>
    </w:p>
    <w:p w14:paraId="53108C86" w14:textId="77777777" w:rsidR="00335A3C" w:rsidRPr="006248F4" w:rsidRDefault="00335A3C" w:rsidP="00335A3C">
      <w:pPr>
        <w:snapToGrid w:val="0"/>
        <w:spacing w:before="240" w:line="300" w:lineRule="auto"/>
        <w:rPr>
          <w:rFonts w:ascii="Times New Roman" w:eastAsia="MS PGothic" w:hAnsi="Times New Roman" w:cs="Times New Roman"/>
          <w:lang w:val="en-US"/>
        </w:rPr>
      </w:pPr>
      <w:r w:rsidRPr="006248F4">
        <w:rPr>
          <w:rFonts w:ascii="Times New Roman" w:eastAsia="MS PGothic" w:hAnsi="Times New Roman" w:cs="Times New Roman"/>
          <w:lang w:val="en-US"/>
        </w:rPr>
        <w:t>2.1 Experimental set-up</w:t>
      </w:r>
    </w:p>
    <w:p w14:paraId="3CEBCBA5" w14:textId="77777777" w:rsidR="00335A3C" w:rsidRPr="006248F4" w:rsidRDefault="00335A3C" w:rsidP="00A32A7D">
      <w:pPr>
        <w:snapToGrid w:val="0"/>
        <w:spacing w:before="240"/>
        <w:jc w:val="both"/>
        <w:rPr>
          <w:rFonts w:ascii="Times New Roman" w:eastAsia="MS PGothic" w:hAnsi="Times New Roman" w:cs="Times New Roman"/>
          <w:lang w:val="en-US"/>
        </w:rPr>
      </w:pPr>
      <w:r w:rsidRPr="006248F4">
        <w:rPr>
          <w:rFonts w:ascii="Times New Roman" w:eastAsia="MS PGothic" w:hAnsi="Times New Roman" w:cs="Times New Roman"/>
          <w:lang w:val="en-US"/>
        </w:rPr>
        <w:t xml:space="preserve">The feedstock consisted in cattle’s manure or digestate obtained at the end of an anaerobic digestion process, together with leftovers from a pasta making factory. This mixture was homogenized with water (total solids content 5-10%) and loaded in a 4 m3 acidogenic fermentation unit (AFU) at the anaerobic digestion (AD) plant “La Torre” located near Verona, Italy, where the initial acidogenic fermentation (AF) took place, according to Righetti and colleagues (Righetti et al., 2020). The volatile fatty acids (VFAs) stream obtained from the AFU was used to feed a 1.6 liters continuous stirred tank reactor (CSTR) after a solid-liquid separation step and a mechanical filtration phase up to 0.22 </w:t>
      </w:r>
      <w:proofErr w:type="spellStart"/>
      <w:r w:rsidRPr="006248F4">
        <w:rPr>
          <w:rFonts w:ascii="Times New Roman" w:eastAsia="MS PGothic" w:hAnsi="Times New Roman" w:cs="Times New Roman"/>
          <w:lang w:val="en-US"/>
        </w:rPr>
        <w:t>μm</w:t>
      </w:r>
      <w:proofErr w:type="spellEnd"/>
      <w:r w:rsidRPr="006248F4">
        <w:rPr>
          <w:rFonts w:ascii="Times New Roman" w:eastAsia="MS PGothic" w:hAnsi="Times New Roman" w:cs="Times New Roman"/>
          <w:lang w:val="en-US"/>
        </w:rPr>
        <w:t xml:space="preserve"> with a Juice Clarification System pump. The reactor was inoculated either with the bacterial consortium of the AF, or with a pure culture of the PHA producer </w:t>
      </w:r>
      <w:proofErr w:type="spellStart"/>
      <w:r w:rsidRPr="006248F4">
        <w:rPr>
          <w:rFonts w:ascii="Times New Roman" w:eastAsia="MS PGothic" w:hAnsi="Times New Roman" w:cs="Times New Roman"/>
          <w:lang w:val="en-US"/>
        </w:rPr>
        <w:t>Thauera</w:t>
      </w:r>
      <w:proofErr w:type="spellEnd"/>
      <w:r w:rsidRPr="006248F4">
        <w:rPr>
          <w:rFonts w:ascii="Times New Roman" w:eastAsia="MS PGothic" w:hAnsi="Times New Roman" w:cs="Times New Roman"/>
          <w:lang w:val="en-US"/>
        </w:rPr>
        <w:t xml:space="preserve"> sp. Sel9 (Conca et al., 2020; </w:t>
      </w:r>
      <w:proofErr w:type="spellStart"/>
      <w:r w:rsidRPr="006248F4">
        <w:rPr>
          <w:rFonts w:ascii="Times New Roman" w:eastAsia="MS PGothic" w:hAnsi="Times New Roman" w:cs="Times New Roman"/>
          <w:lang w:val="en-US"/>
        </w:rPr>
        <w:t>Sabapathy</w:t>
      </w:r>
      <w:proofErr w:type="spellEnd"/>
      <w:r w:rsidRPr="006248F4">
        <w:rPr>
          <w:rFonts w:ascii="Times New Roman" w:eastAsia="MS PGothic" w:hAnsi="Times New Roman" w:cs="Times New Roman"/>
          <w:lang w:val="en-US"/>
        </w:rPr>
        <w:t xml:space="preserve"> et al., 2020). The culture was supplied with oxygen, kept at 30˚ </w:t>
      </w:r>
      <w:proofErr w:type="gramStart"/>
      <w:r w:rsidRPr="006248F4">
        <w:rPr>
          <w:rFonts w:ascii="Times New Roman" w:eastAsia="MS PGothic" w:hAnsi="Times New Roman" w:cs="Times New Roman"/>
          <w:lang w:val="en-US"/>
        </w:rPr>
        <w:t>C</w:t>
      </w:r>
      <w:proofErr w:type="gramEnd"/>
      <w:r w:rsidRPr="006248F4">
        <w:rPr>
          <w:rFonts w:ascii="Times New Roman" w:eastAsia="MS PGothic" w:hAnsi="Times New Roman" w:cs="Times New Roman"/>
          <w:lang w:val="en-US"/>
        </w:rPr>
        <w:t xml:space="preserve"> and stirred at 180 rpm. Different hydraulic retention times (HRT) were tested, with steady-state conditions reached when MLSSs (mixed liquor suspended solids) variations were less than 5% for 3 times the value of the HRT. The bacterial biomass obtained from the culture at the end of the 38 days of the experiment was centrifuged, resuspended in deionized water to remove any remaining culture </w:t>
      </w:r>
      <w:proofErr w:type="gramStart"/>
      <w:r w:rsidRPr="006248F4">
        <w:rPr>
          <w:rFonts w:ascii="Times New Roman" w:eastAsia="MS PGothic" w:hAnsi="Times New Roman" w:cs="Times New Roman"/>
          <w:lang w:val="en-US"/>
        </w:rPr>
        <w:t>medium</w:t>
      </w:r>
      <w:proofErr w:type="gramEnd"/>
      <w:r w:rsidRPr="006248F4">
        <w:rPr>
          <w:rFonts w:ascii="Times New Roman" w:eastAsia="MS PGothic" w:hAnsi="Times New Roman" w:cs="Times New Roman"/>
          <w:lang w:val="en-US"/>
        </w:rPr>
        <w:t xml:space="preserve"> and was analyzed for the determination of its centesimal composition, with particular focus on the amino acid composition. Part of the </w:t>
      </w:r>
      <w:r w:rsidRPr="006248F4">
        <w:rPr>
          <w:rFonts w:ascii="Times New Roman" w:eastAsia="MS PGothic" w:hAnsi="Times New Roman" w:cs="Times New Roman"/>
          <w:lang w:val="en-US"/>
        </w:rPr>
        <w:lastRenderedPageBreak/>
        <w:t xml:space="preserve">biomass obtained from the CSRT was also used, prior to the centrifugation step, for a PHAs accumulation test designed to produce the highest possible content of PHAs. </w:t>
      </w:r>
    </w:p>
    <w:p w14:paraId="67D5F4A8" w14:textId="77777777" w:rsidR="00335A3C" w:rsidRPr="006248F4" w:rsidRDefault="00335A3C" w:rsidP="00335A3C">
      <w:pPr>
        <w:snapToGrid w:val="0"/>
        <w:spacing w:before="240" w:line="300" w:lineRule="auto"/>
        <w:rPr>
          <w:rFonts w:ascii="Times New Roman" w:eastAsia="MS PGothic" w:hAnsi="Times New Roman" w:cs="Times New Roman"/>
          <w:b/>
          <w:bCs/>
          <w:lang w:val="en-US"/>
        </w:rPr>
      </w:pPr>
      <w:r w:rsidRPr="006248F4">
        <w:rPr>
          <w:rFonts w:ascii="Times New Roman" w:eastAsia="MS PGothic" w:hAnsi="Times New Roman" w:cs="Times New Roman"/>
          <w:b/>
          <w:bCs/>
          <w:lang w:val="en-US"/>
        </w:rPr>
        <w:t>2.2 Fermentation fluid characterization</w:t>
      </w:r>
    </w:p>
    <w:p w14:paraId="1617CB3E" w14:textId="77777777" w:rsidR="00335A3C" w:rsidRPr="006248F4" w:rsidRDefault="00335A3C" w:rsidP="00A32A7D">
      <w:pPr>
        <w:snapToGrid w:val="0"/>
        <w:spacing w:before="240"/>
        <w:jc w:val="both"/>
        <w:rPr>
          <w:rFonts w:ascii="Times New Roman" w:eastAsia="MS PGothic" w:hAnsi="Times New Roman" w:cs="Times New Roman"/>
          <w:lang w:val="en-US"/>
        </w:rPr>
      </w:pPr>
      <w:r w:rsidRPr="006248F4">
        <w:rPr>
          <w:rFonts w:ascii="Times New Roman" w:eastAsia="MS PGothic" w:hAnsi="Times New Roman" w:cs="Times New Roman"/>
          <w:lang w:val="en-US"/>
        </w:rPr>
        <w:t>Total suspended solids (TSS), volatile suspended solids (VSS) and soluble COD (</w:t>
      </w:r>
      <w:proofErr w:type="spellStart"/>
      <w:r w:rsidRPr="006248F4">
        <w:rPr>
          <w:rFonts w:ascii="Times New Roman" w:eastAsia="MS PGothic" w:hAnsi="Times New Roman" w:cs="Times New Roman"/>
          <w:lang w:val="en-US"/>
        </w:rPr>
        <w:t>sCOD</w:t>
      </w:r>
      <w:proofErr w:type="spellEnd"/>
      <w:r w:rsidRPr="006248F4">
        <w:rPr>
          <w:rFonts w:ascii="Times New Roman" w:eastAsia="MS PGothic" w:hAnsi="Times New Roman" w:cs="Times New Roman"/>
          <w:lang w:val="en-US"/>
        </w:rPr>
        <w:t xml:space="preserve">) were determined according to standard protocols (APHA et al., 1998; IRSA-CNR, 2003). Total nitrogen (TN) was determined using LCK338 LATON kit and ammonium (NH4-N) with LCK303 kit, both by Hack, following manufacturer’s protocol. VFAs concentration was verified by ion-chromatography using a </w:t>
      </w:r>
      <w:proofErr w:type="spellStart"/>
      <w:r w:rsidRPr="006248F4">
        <w:rPr>
          <w:rFonts w:ascii="Times New Roman" w:eastAsia="MS PGothic" w:hAnsi="Times New Roman" w:cs="Times New Roman"/>
          <w:lang w:val="en-US"/>
        </w:rPr>
        <w:t>Dionex</w:t>
      </w:r>
      <w:proofErr w:type="spellEnd"/>
      <w:r w:rsidRPr="006248F4">
        <w:rPr>
          <w:rFonts w:ascii="Times New Roman" w:eastAsia="MS PGothic" w:hAnsi="Times New Roman" w:cs="Times New Roman"/>
          <w:lang w:val="en-US"/>
        </w:rPr>
        <w:t xml:space="preserve"> ICS-1100 (Thermo Fisher Scientific, USA) equipped with </w:t>
      </w:r>
      <w:proofErr w:type="spellStart"/>
      <w:r w:rsidRPr="006248F4">
        <w:rPr>
          <w:rFonts w:ascii="Times New Roman" w:eastAsia="MS PGothic" w:hAnsi="Times New Roman" w:cs="Times New Roman"/>
          <w:lang w:val="en-US"/>
        </w:rPr>
        <w:t>IonPac</w:t>
      </w:r>
      <w:proofErr w:type="spellEnd"/>
      <w:r w:rsidRPr="006248F4">
        <w:rPr>
          <w:rFonts w:ascii="Times New Roman" w:eastAsia="MS PGothic" w:hAnsi="Times New Roman" w:cs="Times New Roman"/>
          <w:lang w:val="en-US"/>
        </w:rPr>
        <w:t xml:space="preserve"> ICE-AS1 column as described by Conca and colleagues (Conca et al., 2020). PHA contents were quantified by gas chromatography (GC) following </w:t>
      </w:r>
      <w:proofErr w:type="spellStart"/>
      <w:r w:rsidRPr="006248F4">
        <w:rPr>
          <w:rFonts w:ascii="Times New Roman" w:eastAsia="MS PGothic" w:hAnsi="Times New Roman" w:cs="Times New Roman"/>
          <w:lang w:val="en-US"/>
        </w:rPr>
        <w:t>Braunegg</w:t>
      </w:r>
      <w:proofErr w:type="spellEnd"/>
      <w:r w:rsidRPr="006248F4">
        <w:rPr>
          <w:rFonts w:ascii="Times New Roman" w:eastAsia="MS PGothic" w:hAnsi="Times New Roman" w:cs="Times New Roman"/>
          <w:lang w:val="en-US"/>
        </w:rPr>
        <w:t xml:space="preserve"> and colleagues (</w:t>
      </w:r>
      <w:proofErr w:type="spellStart"/>
      <w:r w:rsidRPr="006248F4">
        <w:rPr>
          <w:rFonts w:ascii="Times New Roman" w:eastAsia="MS PGothic" w:hAnsi="Times New Roman" w:cs="Times New Roman"/>
          <w:lang w:val="en-US"/>
        </w:rPr>
        <w:t>Braunegg</w:t>
      </w:r>
      <w:proofErr w:type="spellEnd"/>
      <w:r w:rsidRPr="006248F4">
        <w:rPr>
          <w:rFonts w:ascii="Times New Roman" w:eastAsia="MS PGothic" w:hAnsi="Times New Roman" w:cs="Times New Roman"/>
          <w:lang w:val="en-US"/>
        </w:rPr>
        <w:t xml:space="preserve"> et al., 1978) together with standards of pure </w:t>
      </w:r>
      <w:proofErr w:type="gramStart"/>
      <w:r w:rsidRPr="006248F4">
        <w:rPr>
          <w:rFonts w:ascii="Times New Roman" w:eastAsia="MS PGothic" w:hAnsi="Times New Roman" w:cs="Times New Roman"/>
          <w:lang w:val="en-US"/>
        </w:rPr>
        <w:t>poly(</w:t>
      </w:r>
      <w:proofErr w:type="gramEnd"/>
      <w:r w:rsidRPr="006248F4">
        <w:rPr>
          <w:rFonts w:ascii="Times New Roman" w:eastAsia="MS PGothic" w:hAnsi="Times New Roman" w:cs="Times New Roman"/>
          <w:lang w:val="en-US"/>
        </w:rPr>
        <w:t>3-hydroxybutyric acid-co-3-hydroxyvaleric acid) (Sigma, 403105). PHA contents in experimental samples were calculated as percentage over the sample VSS with the following equation: (</w:t>
      </w:r>
      <w:proofErr w:type="spellStart"/>
      <w:r w:rsidRPr="006248F4">
        <w:rPr>
          <w:rFonts w:ascii="Times New Roman" w:eastAsia="MS PGothic" w:hAnsi="Times New Roman" w:cs="Times New Roman"/>
          <w:lang w:val="en-US"/>
        </w:rPr>
        <w:t>mgPHA</w:t>
      </w:r>
      <w:proofErr w:type="spellEnd"/>
      <w:r w:rsidRPr="006248F4">
        <w:rPr>
          <w:rFonts w:ascii="Times New Roman" w:eastAsia="MS PGothic" w:hAnsi="Times New Roman" w:cs="Times New Roman"/>
          <w:lang w:val="en-US"/>
        </w:rPr>
        <w:t>/</w:t>
      </w:r>
      <w:proofErr w:type="spellStart"/>
      <w:proofErr w:type="gramStart"/>
      <w:r w:rsidRPr="006248F4">
        <w:rPr>
          <w:rFonts w:ascii="Times New Roman" w:eastAsia="MS PGothic" w:hAnsi="Times New Roman" w:cs="Times New Roman"/>
          <w:lang w:val="en-US"/>
        </w:rPr>
        <w:t>mgVSS</w:t>
      </w:r>
      <w:proofErr w:type="spellEnd"/>
      <w:r w:rsidRPr="006248F4">
        <w:rPr>
          <w:rFonts w:ascii="Times New Roman" w:eastAsia="MS PGothic" w:hAnsi="Times New Roman" w:cs="Times New Roman"/>
          <w:lang w:val="en-US"/>
        </w:rPr>
        <w:t>)*</w:t>
      </w:r>
      <w:proofErr w:type="gramEnd"/>
      <w:r w:rsidRPr="006248F4">
        <w:rPr>
          <w:rFonts w:ascii="Times New Roman" w:eastAsia="MS PGothic" w:hAnsi="Times New Roman" w:cs="Times New Roman"/>
          <w:lang w:val="en-US"/>
        </w:rPr>
        <w:t xml:space="preserve">100, whereas the PHA yields were calculated as </w:t>
      </w:r>
      <w:proofErr w:type="spellStart"/>
      <w:r w:rsidRPr="006248F4">
        <w:rPr>
          <w:rFonts w:ascii="Times New Roman" w:eastAsia="MS PGothic" w:hAnsi="Times New Roman" w:cs="Times New Roman"/>
          <w:lang w:val="en-US"/>
        </w:rPr>
        <w:t>mgPHA</w:t>
      </w:r>
      <w:proofErr w:type="spellEnd"/>
      <w:r w:rsidRPr="006248F4">
        <w:rPr>
          <w:rFonts w:ascii="Times New Roman" w:eastAsia="MS PGothic" w:hAnsi="Times New Roman" w:cs="Times New Roman"/>
          <w:lang w:val="en-US"/>
        </w:rPr>
        <w:t>/</w:t>
      </w:r>
      <w:proofErr w:type="spellStart"/>
      <w:r w:rsidRPr="006248F4">
        <w:rPr>
          <w:rFonts w:ascii="Times New Roman" w:eastAsia="MS PGothic" w:hAnsi="Times New Roman" w:cs="Times New Roman"/>
          <w:lang w:val="en-US"/>
        </w:rPr>
        <w:t>mgCOD</w:t>
      </w:r>
      <w:proofErr w:type="spellEnd"/>
      <w:r w:rsidRPr="006248F4">
        <w:rPr>
          <w:rFonts w:ascii="Times New Roman" w:eastAsia="MS PGothic" w:hAnsi="Times New Roman" w:cs="Times New Roman"/>
          <w:lang w:val="en-US"/>
        </w:rPr>
        <w:t xml:space="preserve">. </w:t>
      </w:r>
    </w:p>
    <w:p w14:paraId="15C409BC" w14:textId="77777777" w:rsidR="00335A3C" w:rsidRPr="006248F4" w:rsidRDefault="00335A3C" w:rsidP="00335A3C">
      <w:pPr>
        <w:snapToGrid w:val="0"/>
        <w:spacing w:before="240" w:line="300" w:lineRule="auto"/>
        <w:rPr>
          <w:rFonts w:ascii="Times New Roman" w:eastAsia="MS PGothic" w:hAnsi="Times New Roman" w:cs="Times New Roman"/>
          <w:b/>
          <w:bCs/>
          <w:lang w:val="en-US"/>
        </w:rPr>
      </w:pPr>
      <w:r w:rsidRPr="006248F4">
        <w:rPr>
          <w:rFonts w:ascii="Times New Roman" w:eastAsia="MS PGothic" w:hAnsi="Times New Roman" w:cs="Times New Roman"/>
          <w:b/>
          <w:bCs/>
          <w:lang w:val="en-US"/>
        </w:rPr>
        <w:t xml:space="preserve">2.3 Bacterial biomass </w:t>
      </w:r>
      <w:proofErr w:type="spellStart"/>
      <w:r w:rsidRPr="006248F4">
        <w:rPr>
          <w:rFonts w:ascii="Times New Roman" w:eastAsia="MS PGothic" w:hAnsi="Times New Roman" w:cs="Times New Roman"/>
          <w:b/>
          <w:bCs/>
          <w:lang w:val="en-US"/>
        </w:rPr>
        <w:t>characterisation</w:t>
      </w:r>
      <w:proofErr w:type="spellEnd"/>
    </w:p>
    <w:p w14:paraId="1CB6218E" w14:textId="77777777" w:rsidR="00335A3C" w:rsidRPr="006248F4" w:rsidRDefault="00335A3C" w:rsidP="0098582E">
      <w:pPr>
        <w:snapToGrid w:val="0"/>
        <w:spacing w:before="240"/>
        <w:jc w:val="both"/>
        <w:rPr>
          <w:rFonts w:ascii="Times New Roman" w:eastAsia="MS PGothic" w:hAnsi="Times New Roman" w:cs="Times New Roman"/>
          <w:lang w:val="en-US"/>
        </w:rPr>
      </w:pPr>
      <w:r w:rsidRPr="006248F4">
        <w:rPr>
          <w:rFonts w:ascii="Times New Roman" w:eastAsia="MS PGothic" w:hAnsi="Times New Roman" w:cs="Times New Roman"/>
          <w:lang w:val="en-US"/>
        </w:rPr>
        <w:t xml:space="preserve">The proximate composition and amino acid analyses were performed by </w:t>
      </w:r>
      <w:proofErr w:type="spellStart"/>
      <w:r w:rsidRPr="006248F4">
        <w:rPr>
          <w:rFonts w:ascii="Times New Roman" w:eastAsia="MS PGothic" w:hAnsi="Times New Roman" w:cs="Times New Roman"/>
          <w:lang w:val="en-US"/>
        </w:rPr>
        <w:t>Chelab</w:t>
      </w:r>
      <w:proofErr w:type="spellEnd"/>
      <w:r w:rsidRPr="006248F4">
        <w:rPr>
          <w:rFonts w:ascii="Times New Roman" w:eastAsia="MS PGothic" w:hAnsi="Times New Roman" w:cs="Times New Roman"/>
          <w:lang w:val="en-US"/>
        </w:rPr>
        <w:t xml:space="preserve"> Srl laboratories - </w:t>
      </w:r>
      <w:proofErr w:type="spellStart"/>
      <w:r w:rsidRPr="006248F4">
        <w:rPr>
          <w:rFonts w:ascii="Times New Roman" w:eastAsia="MS PGothic" w:hAnsi="Times New Roman" w:cs="Times New Roman"/>
          <w:lang w:val="en-US"/>
        </w:rPr>
        <w:t>Merieux</w:t>
      </w:r>
      <w:proofErr w:type="spellEnd"/>
      <w:r w:rsidRPr="006248F4">
        <w:rPr>
          <w:rFonts w:ascii="Times New Roman" w:eastAsia="MS PGothic" w:hAnsi="Times New Roman" w:cs="Times New Roman"/>
          <w:lang w:val="en-US"/>
        </w:rPr>
        <w:t xml:space="preserve"> NutriSciences (</w:t>
      </w:r>
      <w:proofErr w:type="spellStart"/>
      <w:r w:rsidRPr="006248F4">
        <w:rPr>
          <w:rFonts w:ascii="Times New Roman" w:eastAsia="MS PGothic" w:hAnsi="Times New Roman" w:cs="Times New Roman"/>
          <w:lang w:val="en-US"/>
        </w:rPr>
        <w:t>Resana</w:t>
      </w:r>
      <w:proofErr w:type="spellEnd"/>
      <w:r w:rsidRPr="006248F4">
        <w:rPr>
          <w:rFonts w:ascii="Times New Roman" w:eastAsia="MS PGothic" w:hAnsi="Times New Roman" w:cs="Times New Roman"/>
          <w:lang w:val="en-US"/>
        </w:rPr>
        <w:t xml:space="preserve">, Treviso, Italy, www.merieuxnutrisciences.com/it/). Moisture and ash contents were determined gravimetrically according to standard methods (APHA et al., 1998; IRSA-CNR, 2003). Crude lipids, oils and cellulose were quantified using internal methods subject to copyright and therefore not disclosable. Nitrogen-free compounds were obtained by subgrating from 100 the other obtained values, which are presented as g/100g. Crude protein amounts were determined by quantifying the total nitrogen content with the Dumas method (Saint-Denis &amp; </w:t>
      </w:r>
      <w:proofErr w:type="spellStart"/>
      <w:r w:rsidRPr="006248F4">
        <w:rPr>
          <w:rFonts w:ascii="Times New Roman" w:eastAsia="MS PGothic" w:hAnsi="Times New Roman" w:cs="Times New Roman"/>
          <w:lang w:val="en-US"/>
        </w:rPr>
        <w:t>Goupy</w:t>
      </w:r>
      <w:proofErr w:type="spellEnd"/>
      <w:r w:rsidRPr="006248F4">
        <w:rPr>
          <w:rFonts w:ascii="Times New Roman" w:eastAsia="MS PGothic" w:hAnsi="Times New Roman" w:cs="Times New Roman"/>
          <w:lang w:val="en-US"/>
        </w:rPr>
        <w:t xml:space="preserve">, 2004) and then multiplying the result by the conversion factor of 6.25 (IRSA-CNR, 2003). The amino acid composition was determined in triplicates by </w:t>
      </w:r>
      <w:proofErr w:type="spellStart"/>
      <w:r w:rsidRPr="006248F4">
        <w:rPr>
          <w:rFonts w:ascii="Times New Roman" w:eastAsia="MS PGothic" w:hAnsi="Times New Roman" w:cs="Times New Roman"/>
          <w:lang w:val="en-US"/>
        </w:rPr>
        <w:t>oxidising</w:t>
      </w:r>
      <w:proofErr w:type="spellEnd"/>
      <w:r w:rsidRPr="006248F4">
        <w:rPr>
          <w:rFonts w:ascii="Times New Roman" w:eastAsia="MS PGothic" w:hAnsi="Times New Roman" w:cs="Times New Roman"/>
          <w:lang w:val="en-US"/>
        </w:rPr>
        <w:t xml:space="preserve"> and then </w:t>
      </w:r>
      <w:proofErr w:type="spellStart"/>
      <w:r w:rsidRPr="006248F4">
        <w:rPr>
          <w:rFonts w:ascii="Times New Roman" w:eastAsia="MS PGothic" w:hAnsi="Times New Roman" w:cs="Times New Roman"/>
          <w:lang w:val="en-US"/>
        </w:rPr>
        <w:t>hydrolysing</w:t>
      </w:r>
      <w:proofErr w:type="spellEnd"/>
      <w:r w:rsidRPr="006248F4">
        <w:rPr>
          <w:rFonts w:ascii="Times New Roman" w:eastAsia="MS PGothic" w:hAnsi="Times New Roman" w:cs="Times New Roman"/>
          <w:lang w:val="en-US"/>
        </w:rPr>
        <w:t xml:space="preserve"> the samples (or vice versa, depending on the amino acid under examination) and then determining each amino acid presence and quantity by ion chromatography with post-column </w:t>
      </w:r>
      <w:proofErr w:type="spellStart"/>
      <w:r w:rsidRPr="006248F4">
        <w:rPr>
          <w:rFonts w:ascii="Times New Roman" w:eastAsia="MS PGothic" w:hAnsi="Times New Roman" w:cs="Times New Roman"/>
          <w:lang w:val="en-US"/>
        </w:rPr>
        <w:t>derivatisation</w:t>
      </w:r>
      <w:proofErr w:type="spellEnd"/>
      <w:r w:rsidRPr="006248F4">
        <w:rPr>
          <w:rFonts w:ascii="Times New Roman" w:eastAsia="MS PGothic" w:hAnsi="Times New Roman" w:cs="Times New Roman"/>
          <w:lang w:val="en-US"/>
        </w:rPr>
        <w:t xml:space="preserve"> with ninhydrin. Cystine and cysteine were both determined as </w:t>
      </w:r>
      <w:proofErr w:type="spellStart"/>
      <w:r w:rsidRPr="006248F4">
        <w:rPr>
          <w:rFonts w:ascii="Times New Roman" w:eastAsia="MS PGothic" w:hAnsi="Times New Roman" w:cs="Times New Roman"/>
          <w:lang w:val="en-US"/>
        </w:rPr>
        <w:t>cysteic</w:t>
      </w:r>
      <w:proofErr w:type="spellEnd"/>
      <w:r w:rsidRPr="006248F4">
        <w:rPr>
          <w:rFonts w:ascii="Times New Roman" w:eastAsia="MS PGothic" w:hAnsi="Times New Roman" w:cs="Times New Roman"/>
          <w:lang w:val="en-US"/>
        </w:rPr>
        <w:t xml:space="preserve"> acid and then calculated as a sum expressed as cysteine; methionine was determined as methionine sulfone and then calculated as methionine. Tryptophan was determined according to the AOAC method 2017.03 (</w:t>
      </w:r>
      <w:proofErr w:type="spellStart"/>
      <w:r w:rsidRPr="006248F4">
        <w:rPr>
          <w:rFonts w:ascii="Times New Roman" w:eastAsia="MS PGothic" w:hAnsi="Times New Roman" w:cs="Times New Roman"/>
          <w:lang w:val="en-US"/>
        </w:rPr>
        <w:t>Draher</w:t>
      </w:r>
      <w:proofErr w:type="spellEnd"/>
      <w:r w:rsidRPr="006248F4">
        <w:rPr>
          <w:rFonts w:ascii="Times New Roman" w:eastAsia="MS PGothic" w:hAnsi="Times New Roman" w:cs="Times New Roman"/>
          <w:lang w:val="en-US"/>
        </w:rPr>
        <w:t xml:space="preserve"> &amp; White, 2018). Total carbohydrate contents were calculated by a two-step acid hydrolysis with sulfuric acid (72% v/v) (</w:t>
      </w:r>
      <w:proofErr w:type="spellStart"/>
      <w:r w:rsidRPr="006248F4">
        <w:rPr>
          <w:rFonts w:ascii="Times New Roman" w:eastAsia="MS PGothic" w:hAnsi="Times New Roman" w:cs="Times New Roman"/>
          <w:lang w:val="en-US"/>
        </w:rPr>
        <w:t>Sluiter</w:t>
      </w:r>
      <w:proofErr w:type="spellEnd"/>
      <w:r w:rsidRPr="006248F4">
        <w:rPr>
          <w:rFonts w:ascii="Times New Roman" w:eastAsia="MS PGothic" w:hAnsi="Times New Roman" w:cs="Times New Roman"/>
          <w:lang w:val="en-US"/>
        </w:rPr>
        <w:t xml:space="preserve"> et al., 2008), followed by HPLC using a Jasco Extrema LC-4000 system equipped with a </w:t>
      </w:r>
      <w:proofErr w:type="spellStart"/>
      <w:r w:rsidRPr="006248F4">
        <w:rPr>
          <w:rFonts w:ascii="Times New Roman" w:eastAsia="MS PGothic" w:hAnsi="Times New Roman" w:cs="Times New Roman"/>
          <w:lang w:val="en-US"/>
        </w:rPr>
        <w:t>Rezex</w:t>
      </w:r>
      <w:proofErr w:type="spellEnd"/>
      <w:r w:rsidRPr="006248F4">
        <w:rPr>
          <w:rFonts w:ascii="Times New Roman" w:eastAsia="MS PGothic" w:hAnsi="Times New Roman" w:cs="Times New Roman"/>
          <w:lang w:val="en-US"/>
        </w:rPr>
        <w:t xml:space="preserve"> </w:t>
      </w:r>
      <w:proofErr w:type="spellStart"/>
      <w:r w:rsidRPr="006248F4">
        <w:rPr>
          <w:rFonts w:ascii="Times New Roman" w:eastAsia="MS PGothic" w:hAnsi="Times New Roman" w:cs="Times New Roman"/>
          <w:lang w:val="en-US"/>
        </w:rPr>
        <w:t>RoA</w:t>
      </w:r>
      <w:proofErr w:type="spellEnd"/>
      <w:r w:rsidRPr="006248F4">
        <w:rPr>
          <w:rFonts w:ascii="Times New Roman" w:eastAsia="MS PGothic" w:hAnsi="Times New Roman" w:cs="Times New Roman"/>
          <w:lang w:val="en-US"/>
        </w:rPr>
        <w:t xml:space="preserve"> H+ (Phenomenex) column.</w:t>
      </w:r>
    </w:p>
    <w:p w14:paraId="21E3D10A" w14:textId="77777777" w:rsidR="00335A3C" w:rsidRPr="006248F4" w:rsidRDefault="00335A3C" w:rsidP="00335A3C">
      <w:pPr>
        <w:snapToGrid w:val="0"/>
        <w:spacing w:before="240" w:line="300" w:lineRule="auto"/>
        <w:rPr>
          <w:rFonts w:ascii="Times New Roman" w:eastAsia="MS PGothic" w:hAnsi="Times New Roman" w:cs="Times New Roman"/>
          <w:b/>
          <w:bCs/>
          <w:lang w:val="en-US"/>
        </w:rPr>
      </w:pPr>
      <w:r w:rsidRPr="006248F4">
        <w:rPr>
          <w:rFonts w:ascii="Times New Roman" w:eastAsia="MS PGothic" w:hAnsi="Times New Roman" w:cs="Times New Roman"/>
          <w:b/>
          <w:bCs/>
          <w:lang w:val="en-US"/>
        </w:rPr>
        <w:t>2.4 PHAs accumulation test</w:t>
      </w:r>
    </w:p>
    <w:p w14:paraId="50642B55" w14:textId="77777777" w:rsidR="00335A3C" w:rsidRPr="006248F4" w:rsidRDefault="00335A3C" w:rsidP="0098582E">
      <w:pPr>
        <w:snapToGrid w:val="0"/>
        <w:spacing w:before="240"/>
        <w:jc w:val="both"/>
        <w:rPr>
          <w:rFonts w:ascii="Times New Roman" w:eastAsia="MS PGothic" w:hAnsi="Times New Roman" w:cs="Times New Roman"/>
          <w:lang w:val="en-US"/>
        </w:rPr>
      </w:pPr>
      <w:r w:rsidRPr="006248F4">
        <w:rPr>
          <w:rFonts w:ascii="Times New Roman" w:eastAsia="MS PGothic" w:hAnsi="Times New Roman" w:cs="Times New Roman"/>
          <w:lang w:val="en-US"/>
        </w:rPr>
        <w:t xml:space="preserve">500 ml of bacterial biomass extracted from the CSRT were placed at the concentration of 1g MLVSS/L in 1 </w:t>
      </w:r>
      <w:proofErr w:type="spellStart"/>
      <w:r w:rsidRPr="006248F4">
        <w:rPr>
          <w:rFonts w:ascii="Times New Roman" w:eastAsia="MS PGothic" w:hAnsi="Times New Roman" w:cs="Times New Roman"/>
          <w:lang w:val="en-US"/>
        </w:rPr>
        <w:t>litre</w:t>
      </w:r>
      <w:proofErr w:type="spellEnd"/>
      <w:r w:rsidRPr="006248F4">
        <w:rPr>
          <w:rFonts w:ascii="Times New Roman" w:eastAsia="MS PGothic" w:hAnsi="Times New Roman" w:cs="Times New Roman"/>
          <w:lang w:val="en-US"/>
        </w:rPr>
        <w:t xml:space="preserve"> flasks at the temperature of 27°C and 180 rpm. 5 hourly spikes of either fermentation fluid or VFAs mix (acetic, butyric, propionic, </w:t>
      </w:r>
      <w:proofErr w:type="spellStart"/>
      <w:r w:rsidRPr="006248F4">
        <w:rPr>
          <w:rFonts w:ascii="Times New Roman" w:eastAsia="MS PGothic" w:hAnsi="Times New Roman" w:cs="Times New Roman"/>
          <w:lang w:val="en-US"/>
        </w:rPr>
        <w:t>pentanoic</w:t>
      </w:r>
      <w:proofErr w:type="spellEnd"/>
      <w:r w:rsidRPr="006248F4">
        <w:rPr>
          <w:rFonts w:ascii="Times New Roman" w:eastAsia="MS PGothic" w:hAnsi="Times New Roman" w:cs="Times New Roman"/>
          <w:lang w:val="en-US"/>
        </w:rPr>
        <w:t xml:space="preserve">, </w:t>
      </w:r>
      <w:proofErr w:type="spellStart"/>
      <w:r w:rsidRPr="006248F4">
        <w:rPr>
          <w:rFonts w:ascii="Times New Roman" w:eastAsia="MS PGothic" w:hAnsi="Times New Roman" w:cs="Times New Roman"/>
          <w:lang w:val="en-US"/>
        </w:rPr>
        <w:t>isobutyric</w:t>
      </w:r>
      <w:proofErr w:type="spellEnd"/>
      <w:r w:rsidRPr="006248F4">
        <w:rPr>
          <w:rFonts w:ascii="Times New Roman" w:eastAsia="MS PGothic" w:hAnsi="Times New Roman" w:cs="Times New Roman"/>
          <w:lang w:val="en-US"/>
        </w:rPr>
        <w:t xml:space="preserve">, </w:t>
      </w:r>
      <w:proofErr w:type="spellStart"/>
      <w:r w:rsidRPr="006248F4">
        <w:rPr>
          <w:rFonts w:ascii="Times New Roman" w:eastAsia="MS PGothic" w:hAnsi="Times New Roman" w:cs="Times New Roman"/>
          <w:lang w:val="en-US"/>
        </w:rPr>
        <w:t>isopentanoic</w:t>
      </w:r>
      <w:proofErr w:type="spellEnd"/>
      <w:r w:rsidRPr="006248F4">
        <w:rPr>
          <w:rFonts w:ascii="Times New Roman" w:eastAsia="MS PGothic" w:hAnsi="Times New Roman" w:cs="Times New Roman"/>
          <w:lang w:val="en-US"/>
        </w:rPr>
        <w:t xml:space="preserve">) were dosed to reach an </w:t>
      </w:r>
      <w:proofErr w:type="spellStart"/>
      <w:r w:rsidRPr="006248F4">
        <w:rPr>
          <w:rFonts w:ascii="Times New Roman" w:eastAsia="MS PGothic" w:hAnsi="Times New Roman" w:cs="Times New Roman"/>
          <w:lang w:val="en-US"/>
        </w:rPr>
        <w:t>sCOD</w:t>
      </w:r>
      <w:proofErr w:type="spellEnd"/>
      <w:r w:rsidRPr="006248F4">
        <w:rPr>
          <w:rFonts w:ascii="Times New Roman" w:eastAsia="MS PGothic" w:hAnsi="Times New Roman" w:cs="Times New Roman"/>
          <w:lang w:val="en-US"/>
        </w:rPr>
        <w:t xml:space="preserve"> concentration of 2 g/L and pH of 8.5 in the mixed liquor, and at the same time 100 ml samples were extracted for analysis of MLVSS, </w:t>
      </w:r>
      <w:proofErr w:type="spellStart"/>
      <w:r w:rsidRPr="006248F4">
        <w:rPr>
          <w:rFonts w:ascii="Times New Roman" w:eastAsia="MS PGothic" w:hAnsi="Times New Roman" w:cs="Times New Roman"/>
          <w:lang w:val="en-US"/>
        </w:rPr>
        <w:t>sCOD</w:t>
      </w:r>
      <w:proofErr w:type="spellEnd"/>
      <w:r w:rsidRPr="006248F4">
        <w:rPr>
          <w:rFonts w:ascii="Times New Roman" w:eastAsia="MS PGothic" w:hAnsi="Times New Roman" w:cs="Times New Roman"/>
          <w:lang w:val="en-US"/>
        </w:rPr>
        <w:t xml:space="preserve">, PHAs, VFAs and </w:t>
      </w:r>
      <w:proofErr w:type="spellStart"/>
      <w:r w:rsidRPr="006248F4">
        <w:rPr>
          <w:rFonts w:ascii="Times New Roman" w:eastAsia="MS PGothic" w:hAnsi="Times New Roman" w:cs="Times New Roman"/>
          <w:lang w:val="en-US"/>
        </w:rPr>
        <w:t>pH.</w:t>
      </w:r>
      <w:proofErr w:type="spellEnd"/>
    </w:p>
    <w:p w14:paraId="0528A46E" w14:textId="488FD17B" w:rsidR="00DA51A3" w:rsidRPr="006248F4" w:rsidRDefault="00DA51A3" w:rsidP="00335A3C">
      <w:pPr>
        <w:snapToGrid w:val="0"/>
        <w:spacing w:before="240" w:line="300" w:lineRule="auto"/>
        <w:rPr>
          <w:rFonts w:ascii="Times New Roman" w:eastAsia="MS PGothic" w:hAnsi="Times New Roman" w:cs="Times New Roman"/>
          <w:lang w:val="en-US"/>
        </w:rPr>
      </w:pPr>
      <w:r w:rsidRPr="006248F4">
        <w:rPr>
          <w:rFonts w:ascii="Times New Roman" w:eastAsia="MS PGothic" w:hAnsi="Times New Roman" w:cs="Times New Roman"/>
          <w:b/>
          <w:bCs/>
          <w:lang w:val="en-US"/>
        </w:rPr>
        <w:t>3. Results and discussion</w:t>
      </w:r>
    </w:p>
    <w:p w14:paraId="24933EBD" w14:textId="77777777" w:rsidR="006248F4" w:rsidRPr="006248F4" w:rsidRDefault="006248F4" w:rsidP="0098582E">
      <w:pPr>
        <w:pStyle w:val="CETBodytext"/>
        <w:spacing w:line="22" w:lineRule="atLeast"/>
        <w:rPr>
          <w:rFonts w:ascii="Times New Roman" w:hAnsi="Times New Roman"/>
          <w:sz w:val="22"/>
          <w:szCs w:val="22"/>
          <w:highlight w:val="lightGray"/>
          <w:lang w:val="en-GB"/>
        </w:rPr>
      </w:pPr>
      <w:r w:rsidRPr="006248F4">
        <w:rPr>
          <w:rFonts w:ascii="Times New Roman" w:hAnsi="Times New Roman"/>
          <w:sz w:val="22"/>
          <w:szCs w:val="22"/>
          <w:lang w:val="en-GB"/>
        </w:rPr>
        <w:t xml:space="preserve">Table 1 and 2 present the results of the analysis of the fermentation fluid obtained from the AF of the zootechnical waste, and subsequently used to feed the CSRT. The </w:t>
      </w:r>
      <w:proofErr w:type="spellStart"/>
      <w:r w:rsidRPr="006248F4">
        <w:rPr>
          <w:rFonts w:ascii="Times New Roman" w:hAnsi="Times New Roman"/>
          <w:sz w:val="22"/>
          <w:szCs w:val="22"/>
          <w:lang w:val="en-GB"/>
        </w:rPr>
        <w:t>sCOD</w:t>
      </w:r>
      <w:proofErr w:type="spellEnd"/>
      <w:r w:rsidRPr="006248F4">
        <w:rPr>
          <w:rFonts w:ascii="Times New Roman" w:hAnsi="Times New Roman"/>
          <w:sz w:val="22"/>
          <w:szCs w:val="22"/>
          <w:lang w:val="en-GB"/>
        </w:rPr>
        <w:t xml:space="preserve"> had a value of 42.93 g/L, to which the VFAs contributed with 8.9 g/L. Among the VFAs, acetic acid was the most abundant (43.8%), followed by butyric (21.2%) and propionic acid (20.2%), while </w:t>
      </w:r>
      <w:proofErr w:type="spellStart"/>
      <w:r w:rsidRPr="006248F4">
        <w:rPr>
          <w:rFonts w:ascii="Times New Roman" w:hAnsi="Times New Roman"/>
          <w:sz w:val="22"/>
          <w:szCs w:val="22"/>
          <w:lang w:val="en-GB"/>
        </w:rPr>
        <w:t>pentanoic</w:t>
      </w:r>
      <w:proofErr w:type="spellEnd"/>
      <w:r w:rsidRPr="006248F4">
        <w:rPr>
          <w:rFonts w:ascii="Times New Roman" w:hAnsi="Times New Roman"/>
          <w:sz w:val="22"/>
          <w:szCs w:val="22"/>
          <w:lang w:val="en-GB"/>
        </w:rPr>
        <w:t xml:space="preserve">, </w:t>
      </w:r>
      <w:proofErr w:type="spellStart"/>
      <w:r w:rsidRPr="006248F4">
        <w:rPr>
          <w:rFonts w:ascii="Times New Roman" w:hAnsi="Times New Roman"/>
          <w:sz w:val="22"/>
          <w:szCs w:val="22"/>
          <w:lang w:val="en-GB"/>
        </w:rPr>
        <w:t>isobutyric</w:t>
      </w:r>
      <w:proofErr w:type="spellEnd"/>
      <w:r w:rsidRPr="006248F4">
        <w:rPr>
          <w:rFonts w:ascii="Times New Roman" w:hAnsi="Times New Roman"/>
          <w:sz w:val="22"/>
          <w:szCs w:val="22"/>
          <w:lang w:val="en-GB"/>
        </w:rPr>
        <w:t xml:space="preserve"> and </w:t>
      </w:r>
      <w:proofErr w:type="spellStart"/>
      <w:r w:rsidRPr="006248F4">
        <w:rPr>
          <w:rFonts w:ascii="Times New Roman" w:hAnsi="Times New Roman"/>
          <w:sz w:val="22"/>
          <w:szCs w:val="22"/>
          <w:lang w:val="en-GB"/>
        </w:rPr>
        <w:t>isopentanoic</w:t>
      </w:r>
      <w:proofErr w:type="spellEnd"/>
      <w:r w:rsidRPr="006248F4">
        <w:rPr>
          <w:rFonts w:ascii="Times New Roman" w:hAnsi="Times New Roman"/>
          <w:sz w:val="22"/>
          <w:szCs w:val="22"/>
          <w:lang w:val="en-GB"/>
        </w:rPr>
        <w:t xml:space="preserve"> made up together to the remaining 14.8%. The pH of the fluid was quite acidic, and therefore it was increased to 8.5 before feeding it to the CSTR. The C/N ratio of the fluid was around 24, thus creating nitrogen deficiency conditions in the mixed liquor, which are favourable for cell PHAs accumulation.</w:t>
      </w:r>
    </w:p>
    <w:p w14:paraId="3FDAAD54" w14:textId="77777777" w:rsidR="006248F4" w:rsidRPr="006248F4" w:rsidRDefault="006248F4" w:rsidP="0098582E">
      <w:pPr>
        <w:pStyle w:val="CETBodytext"/>
        <w:spacing w:line="22" w:lineRule="atLeast"/>
        <w:rPr>
          <w:rFonts w:ascii="Times New Roman" w:hAnsi="Times New Roman"/>
          <w:sz w:val="20"/>
          <w:lang w:val="en-GB"/>
        </w:rPr>
      </w:pPr>
    </w:p>
    <w:p w14:paraId="43385318" w14:textId="77777777" w:rsidR="006248F4" w:rsidRPr="006248F4" w:rsidRDefault="006248F4" w:rsidP="006248F4">
      <w:pPr>
        <w:pStyle w:val="CETBodytext"/>
        <w:jc w:val="center"/>
        <w:rPr>
          <w:rFonts w:ascii="Times New Roman" w:hAnsi="Times New Roman"/>
          <w:i/>
          <w:iCs/>
          <w:sz w:val="20"/>
          <w:lang w:val="en-GB"/>
        </w:rPr>
      </w:pPr>
      <w:r w:rsidRPr="006248F4">
        <w:rPr>
          <w:rFonts w:ascii="Times New Roman" w:hAnsi="Times New Roman"/>
          <w:i/>
          <w:iCs/>
          <w:sz w:val="20"/>
          <w:lang w:val="en-GB"/>
        </w:rPr>
        <w:t>Table 1. Characterisation of the fermentation liquid used to feed the CSTR bioreactor.</w:t>
      </w:r>
    </w:p>
    <w:p w14:paraId="62D8A8EB" w14:textId="77777777" w:rsidR="006248F4" w:rsidRPr="006248F4" w:rsidRDefault="006248F4" w:rsidP="006248F4">
      <w:pPr>
        <w:pStyle w:val="CETBodytext"/>
        <w:spacing w:line="160" w:lineRule="exact"/>
        <w:rPr>
          <w:rFonts w:ascii="Times New Roman" w:hAnsi="Times New Roman"/>
          <w:sz w:val="20"/>
          <w:lang w:val="en-GB"/>
        </w:rPr>
      </w:pPr>
    </w:p>
    <w:tbl>
      <w:tblPr>
        <w:tblStyle w:val="Tabellasemplice-2"/>
        <w:tblW w:w="9493" w:type="dxa"/>
        <w:tblLook w:val="04A0" w:firstRow="1" w:lastRow="0" w:firstColumn="1" w:lastColumn="0" w:noHBand="0" w:noVBand="1"/>
      </w:tblPr>
      <w:tblGrid>
        <w:gridCol w:w="4468"/>
        <w:gridCol w:w="1928"/>
        <w:gridCol w:w="1738"/>
        <w:gridCol w:w="1359"/>
      </w:tblGrid>
      <w:tr w:rsidR="006248F4" w:rsidRPr="006248F4" w14:paraId="18BCB637" w14:textId="77777777" w:rsidTr="006248F4">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12" w:space="0" w:color="auto"/>
            </w:tcBorders>
            <w:noWrap/>
            <w:hideMark/>
          </w:tcPr>
          <w:p w14:paraId="2CD51A1C" w14:textId="77777777" w:rsidR="006248F4" w:rsidRPr="006248F4" w:rsidRDefault="006248F4" w:rsidP="006248F4">
            <w:pPr>
              <w:jc w:val="center"/>
              <w:rPr>
                <w:rFonts w:ascii="Times New Roman" w:hAnsi="Times New Roman"/>
                <w:color w:val="000000"/>
                <w:lang w:eastAsia="en-GB"/>
              </w:rPr>
            </w:pPr>
            <w:bookmarkStart w:id="0" w:name="_Hlk84265678"/>
            <w:r w:rsidRPr="006248F4">
              <w:rPr>
                <w:rFonts w:ascii="Times New Roman" w:hAnsi="Times New Roman"/>
                <w:color w:val="000000"/>
                <w:lang w:eastAsia="en-GB"/>
              </w:rPr>
              <w:lastRenderedPageBreak/>
              <w:t>Parameter</w:t>
            </w:r>
          </w:p>
        </w:tc>
        <w:tc>
          <w:tcPr>
            <w:tcW w:w="0" w:type="auto"/>
            <w:tcBorders>
              <w:top w:val="single" w:sz="12" w:space="0" w:color="auto"/>
              <w:bottom w:val="single" w:sz="12" w:space="0" w:color="auto"/>
            </w:tcBorders>
            <w:noWrap/>
            <w:hideMark/>
          </w:tcPr>
          <w:p w14:paraId="06577CBE" w14:textId="77777777" w:rsidR="006248F4" w:rsidRPr="006248F4" w:rsidRDefault="006248F4" w:rsidP="006248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lang w:eastAsia="en-GB"/>
              </w:rPr>
            </w:pPr>
            <w:r w:rsidRPr="006248F4">
              <w:rPr>
                <w:rFonts w:ascii="Times New Roman" w:hAnsi="Times New Roman"/>
                <w:color w:val="000000"/>
                <w:lang w:eastAsia="en-GB"/>
              </w:rPr>
              <w:t>Acronym</w:t>
            </w:r>
          </w:p>
        </w:tc>
        <w:tc>
          <w:tcPr>
            <w:tcW w:w="0" w:type="auto"/>
            <w:tcBorders>
              <w:top w:val="single" w:sz="12" w:space="0" w:color="auto"/>
              <w:bottom w:val="single" w:sz="12" w:space="0" w:color="auto"/>
            </w:tcBorders>
            <w:noWrap/>
            <w:hideMark/>
          </w:tcPr>
          <w:p w14:paraId="65592CF5" w14:textId="77777777" w:rsidR="006248F4" w:rsidRPr="006248F4" w:rsidRDefault="006248F4" w:rsidP="006248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lang w:eastAsia="en-GB"/>
              </w:rPr>
            </w:pPr>
            <w:r w:rsidRPr="006248F4">
              <w:rPr>
                <w:rFonts w:ascii="Times New Roman" w:hAnsi="Times New Roman"/>
                <w:color w:val="000000"/>
                <w:lang w:eastAsia="en-GB"/>
              </w:rPr>
              <w:t>Unit</w:t>
            </w:r>
          </w:p>
        </w:tc>
        <w:tc>
          <w:tcPr>
            <w:tcW w:w="0" w:type="auto"/>
            <w:tcBorders>
              <w:top w:val="single" w:sz="12" w:space="0" w:color="auto"/>
              <w:bottom w:val="single" w:sz="12" w:space="0" w:color="auto"/>
            </w:tcBorders>
            <w:noWrap/>
            <w:hideMark/>
          </w:tcPr>
          <w:p w14:paraId="291EAC17" w14:textId="77777777" w:rsidR="006248F4" w:rsidRPr="006248F4" w:rsidRDefault="006248F4" w:rsidP="006248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lang w:eastAsia="en-GB"/>
              </w:rPr>
            </w:pPr>
            <w:r w:rsidRPr="006248F4">
              <w:rPr>
                <w:rFonts w:ascii="Times New Roman" w:hAnsi="Times New Roman"/>
                <w:color w:val="000000"/>
                <w:lang w:eastAsia="en-GB"/>
              </w:rPr>
              <w:t>Value</w:t>
            </w:r>
          </w:p>
        </w:tc>
      </w:tr>
      <w:tr w:rsidR="006248F4" w:rsidRPr="006248F4" w14:paraId="4B4349BF" w14:textId="77777777" w:rsidTr="006248F4">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tcBorders>
            <w:noWrap/>
            <w:hideMark/>
          </w:tcPr>
          <w:p w14:paraId="1AA716E0" w14:textId="77777777" w:rsidR="006248F4" w:rsidRPr="006248F4" w:rsidRDefault="006248F4" w:rsidP="006248F4">
            <w:pPr>
              <w:jc w:val="center"/>
              <w:rPr>
                <w:rFonts w:ascii="Times New Roman" w:hAnsi="Times New Roman"/>
                <w:color w:val="000000"/>
                <w:lang w:eastAsia="en-GB"/>
              </w:rPr>
            </w:pPr>
            <w:r w:rsidRPr="006248F4">
              <w:rPr>
                <w:rFonts w:ascii="Times New Roman" w:hAnsi="Times New Roman"/>
                <w:color w:val="000000"/>
                <w:lang w:eastAsia="en-GB"/>
              </w:rPr>
              <w:t>Soluble C</w:t>
            </w:r>
            <w:bookmarkEnd w:id="0"/>
            <w:r w:rsidRPr="006248F4">
              <w:rPr>
                <w:rFonts w:ascii="Times New Roman" w:hAnsi="Times New Roman"/>
                <w:color w:val="000000"/>
                <w:lang w:eastAsia="en-GB"/>
              </w:rPr>
              <w:t>OD</w:t>
            </w:r>
          </w:p>
        </w:tc>
        <w:tc>
          <w:tcPr>
            <w:tcW w:w="0" w:type="auto"/>
            <w:tcBorders>
              <w:top w:val="single" w:sz="12" w:space="0" w:color="auto"/>
            </w:tcBorders>
            <w:noWrap/>
            <w:hideMark/>
          </w:tcPr>
          <w:p w14:paraId="17256060" w14:textId="77777777" w:rsidR="006248F4" w:rsidRPr="006248F4" w:rsidRDefault="006248F4" w:rsidP="0062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en-GB"/>
              </w:rPr>
            </w:pPr>
            <w:r w:rsidRPr="006248F4">
              <w:rPr>
                <w:rFonts w:ascii="Times New Roman" w:hAnsi="Times New Roman"/>
                <w:color w:val="000000"/>
                <w:lang w:eastAsia="en-GB"/>
              </w:rPr>
              <w:t>sCOD</w:t>
            </w:r>
          </w:p>
        </w:tc>
        <w:tc>
          <w:tcPr>
            <w:tcW w:w="0" w:type="auto"/>
            <w:tcBorders>
              <w:top w:val="single" w:sz="12" w:space="0" w:color="auto"/>
            </w:tcBorders>
            <w:noWrap/>
            <w:hideMark/>
          </w:tcPr>
          <w:p w14:paraId="0FEF03EB" w14:textId="77777777" w:rsidR="006248F4" w:rsidRPr="006248F4" w:rsidRDefault="006248F4" w:rsidP="0062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en-GB"/>
              </w:rPr>
            </w:pPr>
            <w:r w:rsidRPr="006248F4">
              <w:rPr>
                <w:rFonts w:ascii="Times New Roman" w:hAnsi="Times New Roman"/>
                <w:color w:val="000000"/>
                <w:lang w:eastAsia="en-GB"/>
              </w:rPr>
              <w:t>gCOD/L</w:t>
            </w:r>
          </w:p>
        </w:tc>
        <w:tc>
          <w:tcPr>
            <w:tcW w:w="0" w:type="auto"/>
            <w:tcBorders>
              <w:top w:val="single" w:sz="12" w:space="0" w:color="auto"/>
            </w:tcBorders>
            <w:noWrap/>
            <w:hideMark/>
          </w:tcPr>
          <w:p w14:paraId="5F75F4F5" w14:textId="77777777" w:rsidR="006248F4" w:rsidRPr="006248F4" w:rsidRDefault="006248F4" w:rsidP="0062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en-GB"/>
              </w:rPr>
            </w:pPr>
            <w:r w:rsidRPr="006248F4">
              <w:rPr>
                <w:rFonts w:ascii="Times New Roman" w:hAnsi="Times New Roman"/>
                <w:color w:val="000000"/>
                <w:lang w:eastAsia="en-GB"/>
              </w:rPr>
              <w:t>42.5</w:t>
            </w:r>
          </w:p>
        </w:tc>
      </w:tr>
      <w:tr w:rsidR="006248F4" w:rsidRPr="006248F4" w14:paraId="0FA56BE0" w14:textId="77777777" w:rsidTr="006248F4">
        <w:trPr>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6F71100E" w14:textId="77777777" w:rsidR="006248F4" w:rsidRPr="006248F4" w:rsidRDefault="006248F4" w:rsidP="006248F4">
            <w:pPr>
              <w:jc w:val="center"/>
              <w:rPr>
                <w:rFonts w:ascii="Times New Roman" w:hAnsi="Times New Roman"/>
                <w:color w:val="000000"/>
                <w:lang w:eastAsia="en-GB"/>
              </w:rPr>
            </w:pPr>
            <w:r w:rsidRPr="006248F4">
              <w:rPr>
                <w:rFonts w:ascii="Times New Roman" w:hAnsi="Times New Roman"/>
                <w:color w:val="000000"/>
                <w:lang w:eastAsia="en-GB"/>
              </w:rPr>
              <w:t>Volatile Fatty Acids</w:t>
            </w:r>
          </w:p>
        </w:tc>
        <w:tc>
          <w:tcPr>
            <w:tcW w:w="0" w:type="auto"/>
            <w:noWrap/>
            <w:hideMark/>
          </w:tcPr>
          <w:p w14:paraId="5F81E9F6" w14:textId="77777777" w:rsidR="006248F4" w:rsidRPr="006248F4" w:rsidRDefault="006248F4" w:rsidP="0062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en-GB"/>
              </w:rPr>
            </w:pPr>
            <w:r w:rsidRPr="006248F4">
              <w:rPr>
                <w:rFonts w:ascii="Times New Roman" w:hAnsi="Times New Roman"/>
                <w:color w:val="000000"/>
                <w:lang w:eastAsia="en-GB"/>
              </w:rPr>
              <w:t>VFAs</w:t>
            </w:r>
          </w:p>
        </w:tc>
        <w:tc>
          <w:tcPr>
            <w:tcW w:w="0" w:type="auto"/>
            <w:noWrap/>
            <w:hideMark/>
          </w:tcPr>
          <w:p w14:paraId="15F96C65" w14:textId="77777777" w:rsidR="006248F4" w:rsidRPr="006248F4" w:rsidRDefault="006248F4" w:rsidP="0062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en-GB"/>
              </w:rPr>
            </w:pPr>
            <w:r w:rsidRPr="006248F4">
              <w:rPr>
                <w:rFonts w:ascii="Times New Roman" w:hAnsi="Times New Roman"/>
                <w:color w:val="000000"/>
                <w:lang w:eastAsia="en-GB"/>
              </w:rPr>
              <w:t>gCOD/L</w:t>
            </w:r>
          </w:p>
        </w:tc>
        <w:tc>
          <w:tcPr>
            <w:tcW w:w="0" w:type="auto"/>
            <w:noWrap/>
            <w:hideMark/>
          </w:tcPr>
          <w:p w14:paraId="1CC012FE" w14:textId="77777777" w:rsidR="006248F4" w:rsidRPr="006248F4" w:rsidRDefault="006248F4" w:rsidP="0062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en-GB"/>
              </w:rPr>
            </w:pPr>
            <w:r w:rsidRPr="006248F4">
              <w:rPr>
                <w:rFonts w:ascii="Times New Roman" w:hAnsi="Times New Roman"/>
                <w:color w:val="000000"/>
                <w:lang w:eastAsia="en-GB"/>
              </w:rPr>
              <w:t>8.9</w:t>
            </w:r>
          </w:p>
        </w:tc>
      </w:tr>
      <w:tr w:rsidR="006248F4" w:rsidRPr="006248F4" w14:paraId="07930026" w14:textId="77777777" w:rsidTr="006248F4">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58281C6F" w14:textId="77777777" w:rsidR="006248F4" w:rsidRPr="006248F4" w:rsidRDefault="006248F4" w:rsidP="006248F4">
            <w:pPr>
              <w:jc w:val="center"/>
              <w:rPr>
                <w:rFonts w:ascii="Times New Roman" w:hAnsi="Times New Roman"/>
                <w:color w:val="000000"/>
                <w:lang w:eastAsia="en-GB"/>
              </w:rPr>
            </w:pPr>
            <w:r w:rsidRPr="006248F4">
              <w:rPr>
                <w:rFonts w:ascii="Times New Roman" w:hAnsi="Times New Roman"/>
                <w:color w:val="000000"/>
                <w:lang w:eastAsia="en-GB"/>
              </w:rPr>
              <w:t>Total solids</w:t>
            </w:r>
          </w:p>
        </w:tc>
        <w:tc>
          <w:tcPr>
            <w:tcW w:w="0" w:type="auto"/>
            <w:noWrap/>
            <w:hideMark/>
          </w:tcPr>
          <w:p w14:paraId="15D7A0AC" w14:textId="77777777" w:rsidR="006248F4" w:rsidRPr="006248F4" w:rsidRDefault="006248F4" w:rsidP="0062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en-GB"/>
              </w:rPr>
            </w:pPr>
            <w:r w:rsidRPr="006248F4">
              <w:rPr>
                <w:rFonts w:ascii="Times New Roman" w:hAnsi="Times New Roman"/>
                <w:color w:val="000000"/>
                <w:lang w:eastAsia="en-GB"/>
              </w:rPr>
              <w:t>TS</w:t>
            </w:r>
          </w:p>
        </w:tc>
        <w:tc>
          <w:tcPr>
            <w:tcW w:w="0" w:type="auto"/>
            <w:noWrap/>
            <w:hideMark/>
          </w:tcPr>
          <w:p w14:paraId="0C3BB1DE" w14:textId="77777777" w:rsidR="006248F4" w:rsidRPr="006248F4" w:rsidRDefault="006248F4" w:rsidP="0062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en-GB"/>
              </w:rPr>
            </w:pPr>
            <w:r w:rsidRPr="006248F4">
              <w:rPr>
                <w:rFonts w:ascii="Times New Roman" w:hAnsi="Times New Roman"/>
                <w:color w:val="000000"/>
                <w:lang w:eastAsia="en-GB"/>
              </w:rPr>
              <w:t>%</w:t>
            </w:r>
          </w:p>
        </w:tc>
        <w:tc>
          <w:tcPr>
            <w:tcW w:w="0" w:type="auto"/>
            <w:noWrap/>
            <w:hideMark/>
          </w:tcPr>
          <w:p w14:paraId="69233AC8" w14:textId="77777777" w:rsidR="006248F4" w:rsidRPr="006248F4" w:rsidRDefault="006248F4" w:rsidP="0062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en-GB"/>
              </w:rPr>
            </w:pPr>
            <w:r w:rsidRPr="006248F4">
              <w:rPr>
                <w:rFonts w:ascii="Times New Roman" w:hAnsi="Times New Roman"/>
                <w:color w:val="000000"/>
                <w:lang w:eastAsia="en-GB"/>
              </w:rPr>
              <w:t>13.3</w:t>
            </w:r>
          </w:p>
        </w:tc>
      </w:tr>
      <w:tr w:rsidR="006248F4" w:rsidRPr="006248F4" w14:paraId="28DF330F" w14:textId="77777777" w:rsidTr="006248F4">
        <w:trPr>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2D795E17" w14:textId="77777777" w:rsidR="006248F4" w:rsidRPr="006248F4" w:rsidRDefault="006248F4" w:rsidP="006248F4">
            <w:pPr>
              <w:jc w:val="center"/>
              <w:rPr>
                <w:rFonts w:ascii="Times New Roman" w:hAnsi="Times New Roman"/>
                <w:color w:val="000000"/>
                <w:lang w:eastAsia="en-GB"/>
              </w:rPr>
            </w:pPr>
            <w:r w:rsidRPr="006248F4">
              <w:rPr>
                <w:rFonts w:ascii="Times New Roman" w:hAnsi="Times New Roman"/>
                <w:color w:val="000000"/>
                <w:lang w:eastAsia="en-GB"/>
              </w:rPr>
              <w:t>Ammonium</w:t>
            </w:r>
          </w:p>
        </w:tc>
        <w:tc>
          <w:tcPr>
            <w:tcW w:w="0" w:type="auto"/>
            <w:noWrap/>
            <w:hideMark/>
          </w:tcPr>
          <w:p w14:paraId="241B593F" w14:textId="77777777" w:rsidR="006248F4" w:rsidRPr="006248F4" w:rsidRDefault="006248F4" w:rsidP="0062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en-GB"/>
              </w:rPr>
            </w:pPr>
            <w:r w:rsidRPr="006248F4">
              <w:rPr>
                <w:rFonts w:ascii="Times New Roman" w:hAnsi="Times New Roman"/>
                <w:color w:val="000000"/>
                <w:lang w:eastAsia="en-GB"/>
              </w:rPr>
              <w:t>NH</w:t>
            </w:r>
            <w:r w:rsidRPr="006248F4">
              <w:rPr>
                <w:rFonts w:ascii="Times New Roman" w:hAnsi="Times New Roman"/>
                <w:color w:val="000000"/>
                <w:vertAlign w:val="subscript"/>
                <w:lang w:eastAsia="en-GB"/>
              </w:rPr>
              <w:t>4</w:t>
            </w:r>
            <w:r w:rsidRPr="006248F4">
              <w:rPr>
                <w:rFonts w:ascii="Times New Roman" w:hAnsi="Times New Roman"/>
                <w:color w:val="000000"/>
                <w:lang w:eastAsia="en-GB"/>
              </w:rPr>
              <w:t>-N</w:t>
            </w:r>
          </w:p>
        </w:tc>
        <w:tc>
          <w:tcPr>
            <w:tcW w:w="0" w:type="auto"/>
            <w:noWrap/>
            <w:hideMark/>
          </w:tcPr>
          <w:p w14:paraId="483B84E7" w14:textId="77777777" w:rsidR="006248F4" w:rsidRPr="006248F4" w:rsidRDefault="006248F4" w:rsidP="0062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en-GB"/>
              </w:rPr>
            </w:pPr>
            <w:r w:rsidRPr="006248F4">
              <w:rPr>
                <w:rFonts w:ascii="Times New Roman" w:hAnsi="Times New Roman"/>
                <w:color w:val="000000"/>
                <w:lang w:eastAsia="en-GB"/>
              </w:rPr>
              <w:t>g/L</w:t>
            </w:r>
          </w:p>
        </w:tc>
        <w:tc>
          <w:tcPr>
            <w:tcW w:w="0" w:type="auto"/>
            <w:noWrap/>
            <w:hideMark/>
          </w:tcPr>
          <w:p w14:paraId="2E66628B" w14:textId="77777777" w:rsidR="006248F4" w:rsidRPr="006248F4" w:rsidRDefault="006248F4" w:rsidP="0062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en-GB"/>
              </w:rPr>
            </w:pPr>
            <w:r w:rsidRPr="006248F4">
              <w:rPr>
                <w:rFonts w:ascii="Times New Roman" w:hAnsi="Times New Roman"/>
                <w:color w:val="000000"/>
                <w:lang w:eastAsia="en-GB"/>
              </w:rPr>
              <w:t>1.6</w:t>
            </w:r>
          </w:p>
        </w:tc>
      </w:tr>
      <w:tr w:rsidR="006248F4" w:rsidRPr="006248F4" w14:paraId="5C32DB31" w14:textId="77777777" w:rsidTr="006248F4">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noWrap/>
          </w:tcPr>
          <w:p w14:paraId="15B681A5" w14:textId="77777777" w:rsidR="006248F4" w:rsidRPr="006248F4" w:rsidRDefault="006248F4" w:rsidP="006248F4">
            <w:pPr>
              <w:jc w:val="center"/>
              <w:rPr>
                <w:rFonts w:ascii="Times New Roman" w:hAnsi="Times New Roman"/>
                <w:color w:val="000000"/>
                <w:lang w:eastAsia="en-GB"/>
              </w:rPr>
            </w:pPr>
            <w:r w:rsidRPr="006248F4">
              <w:rPr>
                <w:rFonts w:ascii="Times New Roman" w:hAnsi="Times New Roman"/>
                <w:color w:val="000000"/>
                <w:lang w:eastAsia="en-GB"/>
              </w:rPr>
              <w:t>pH</w:t>
            </w:r>
          </w:p>
        </w:tc>
        <w:tc>
          <w:tcPr>
            <w:tcW w:w="0" w:type="auto"/>
            <w:noWrap/>
          </w:tcPr>
          <w:p w14:paraId="15985D74" w14:textId="77777777" w:rsidR="006248F4" w:rsidRPr="006248F4" w:rsidRDefault="006248F4" w:rsidP="0062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en-GB"/>
              </w:rPr>
            </w:pPr>
            <w:r w:rsidRPr="006248F4">
              <w:rPr>
                <w:rFonts w:ascii="Times New Roman" w:hAnsi="Times New Roman"/>
                <w:color w:val="000000"/>
                <w:lang w:eastAsia="en-GB"/>
              </w:rPr>
              <w:t>pH</w:t>
            </w:r>
          </w:p>
        </w:tc>
        <w:tc>
          <w:tcPr>
            <w:tcW w:w="0" w:type="auto"/>
            <w:noWrap/>
          </w:tcPr>
          <w:p w14:paraId="1145DBB3" w14:textId="77777777" w:rsidR="006248F4" w:rsidRPr="006248F4" w:rsidRDefault="006248F4" w:rsidP="0062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en-GB"/>
              </w:rPr>
            </w:pPr>
            <w:r w:rsidRPr="006248F4">
              <w:rPr>
                <w:rFonts w:ascii="Times New Roman" w:hAnsi="Times New Roman"/>
                <w:color w:val="000000"/>
                <w:lang w:eastAsia="en-GB"/>
              </w:rPr>
              <w:t>-</w:t>
            </w:r>
          </w:p>
        </w:tc>
        <w:tc>
          <w:tcPr>
            <w:tcW w:w="0" w:type="auto"/>
            <w:noWrap/>
          </w:tcPr>
          <w:p w14:paraId="400A0A1D" w14:textId="77777777" w:rsidR="006248F4" w:rsidRPr="006248F4" w:rsidRDefault="006248F4" w:rsidP="0062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en-GB"/>
              </w:rPr>
            </w:pPr>
            <w:r w:rsidRPr="006248F4">
              <w:rPr>
                <w:rFonts w:ascii="Times New Roman" w:hAnsi="Times New Roman"/>
                <w:color w:val="000000"/>
                <w:lang w:eastAsia="en-GB"/>
              </w:rPr>
              <w:t>3.9</w:t>
            </w:r>
          </w:p>
        </w:tc>
      </w:tr>
      <w:tr w:rsidR="006248F4" w:rsidRPr="006248F4" w14:paraId="01FADA5F" w14:textId="77777777" w:rsidTr="006248F4">
        <w:trPr>
          <w:trHeight w:val="261"/>
        </w:trPr>
        <w:tc>
          <w:tcPr>
            <w:cnfStyle w:val="001000000000" w:firstRow="0" w:lastRow="0" w:firstColumn="1" w:lastColumn="0" w:oddVBand="0" w:evenVBand="0" w:oddHBand="0" w:evenHBand="0" w:firstRowFirstColumn="0" w:firstRowLastColumn="0" w:lastRowFirstColumn="0" w:lastRowLastColumn="0"/>
            <w:tcW w:w="0" w:type="auto"/>
            <w:tcBorders>
              <w:bottom w:val="single" w:sz="12" w:space="0" w:color="auto"/>
            </w:tcBorders>
            <w:noWrap/>
          </w:tcPr>
          <w:p w14:paraId="260FCCC8" w14:textId="77777777" w:rsidR="006248F4" w:rsidRPr="006248F4" w:rsidRDefault="006248F4" w:rsidP="006248F4">
            <w:pPr>
              <w:jc w:val="center"/>
              <w:rPr>
                <w:rFonts w:ascii="Times New Roman" w:hAnsi="Times New Roman"/>
                <w:color w:val="000000"/>
                <w:lang w:eastAsia="en-GB"/>
              </w:rPr>
            </w:pPr>
            <w:r w:rsidRPr="006248F4">
              <w:rPr>
                <w:rFonts w:ascii="Times New Roman" w:hAnsi="Times New Roman"/>
                <w:color w:val="000000"/>
                <w:lang w:eastAsia="en-GB"/>
              </w:rPr>
              <w:t>Carbon to Nitrogen ratio</w:t>
            </w:r>
          </w:p>
        </w:tc>
        <w:tc>
          <w:tcPr>
            <w:tcW w:w="0" w:type="auto"/>
            <w:tcBorders>
              <w:bottom w:val="single" w:sz="12" w:space="0" w:color="auto"/>
            </w:tcBorders>
            <w:noWrap/>
          </w:tcPr>
          <w:p w14:paraId="472FD04D" w14:textId="77777777" w:rsidR="006248F4" w:rsidRPr="006248F4" w:rsidRDefault="006248F4" w:rsidP="0062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en-GB"/>
              </w:rPr>
            </w:pPr>
            <w:r w:rsidRPr="006248F4">
              <w:rPr>
                <w:rFonts w:ascii="Times New Roman" w:hAnsi="Times New Roman"/>
                <w:color w:val="000000"/>
                <w:lang w:eastAsia="en-GB"/>
              </w:rPr>
              <w:t>C/N</w:t>
            </w:r>
          </w:p>
        </w:tc>
        <w:tc>
          <w:tcPr>
            <w:tcW w:w="0" w:type="auto"/>
            <w:tcBorders>
              <w:bottom w:val="single" w:sz="12" w:space="0" w:color="auto"/>
            </w:tcBorders>
            <w:noWrap/>
          </w:tcPr>
          <w:p w14:paraId="1056E3EE" w14:textId="77777777" w:rsidR="006248F4" w:rsidRPr="006248F4" w:rsidRDefault="006248F4" w:rsidP="0062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en-GB"/>
              </w:rPr>
            </w:pPr>
            <w:r w:rsidRPr="006248F4">
              <w:rPr>
                <w:rFonts w:ascii="Times New Roman" w:hAnsi="Times New Roman"/>
                <w:color w:val="000000"/>
                <w:lang w:eastAsia="en-GB"/>
              </w:rPr>
              <w:t>-</w:t>
            </w:r>
          </w:p>
        </w:tc>
        <w:tc>
          <w:tcPr>
            <w:tcW w:w="0" w:type="auto"/>
            <w:tcBorders>
              <w:bottom w:val="single" w:sz="12" w:space="0" w:color="auto"/>
            </w:tcBorders>
            <w:noWrap/>
          </w:tcPr>
          <w:p w14:paraId="7072DFA6" w14:textId="77777777" w:rsidR="006248F4" w:rsidRPr="006248F4" w:rsidRDefault="006248F4" w:rsidP="0062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en-GB"/>
              </w:rPr>
            </w:pPr>
            <w:r w:rsidRPr="006248F4">
              <w:rPr>
                <w:rFonts w:ascii="Times New Roman" w:hAnsi="Times New Roman"/>
                <w:color w:val="000000"/>
                <w:lang w:eastAsia="en-GB"/>
              </w:rPr>
              <w:t>24</w:t>
            </w:r>
          </w:p>
        </w:tc>
      </w:tr>
    </w:tbl>
    <w:p w14:paraId="4EDEC246" w14:textId="77777777" w:rsidR="006248F4" w:rsidRPr="006248F4" w:rsidRDefault="006248F4" w:rsidP="006248F4">
      <w:pPr>
        <w:pStyle w:val="CETBodytext"/>
        <w:jc w:val="center"/>
        <w:rPr>
          <w:rFonts w:ascii="Times New Roman" w:hAnsi="Times New Roman"/>
          <w:i/>
          <w:iCs/>
          <w:sz w:val="20"/>
          <w:lang w:val="en-GB"/>
        </w:rPr>
      </w:pPr>
      <w:r w:rsidRPr="006248F4">
        <w:rPr>
          <w:rFonts w:ascii="Times New Roman" w:hAnsi="Times New Roman"/>
          <w:i/>
          <w:iCs/>
          <w:sz w:val="20"/>
          <w:lang w:val="en-GB"/>
        </w:rPr>
        <w:t>Table 2. Details of the VFAs composition of the fermentation fluid.</w:t>
      </w:r>
    </w:p>
    <w:p w14:paraId="52CFE75F" w14:textId="77777777" w:rsidR="006248F4" w:rsidRPr="006248F4" w:rsidRDefault="006248F4" w:rsidP="006248F4">
      <w:pPr>
        <w:pStyle w:val="CETBodytext"/>
        <w:spacing w:line="160" w:lineRule="exact"/>
        <w:jc w:val="center"/>
        <w:rPr>
          <w:rFonts w:ascii="Times New Roman" w:hAnsi="Times New Roman"/>
          <w:i/>
          <w:iCs/>
          <w:sz w:val="20"/>
          <w:lang w:val="en-GB"/>
        </w:rPr>
      </w:pPr>
    </w:p>
    <w:tbl>
      <w:tblPr>
        <w:tblStyle w:val="Tabellasemplice-2"/>
        <w:tblW w:w="9479" w:type="dxa"/>
        <w:tblLook w:val="04A0" w:firstRow="1" w:lastRow="0" w:firstColumn="1" w:lastColumn="0" w:noHBand="0" w:noVBand="1"/>
      </w:tblPr>
      <w:tblGrid>
        <w:gridCol w:w="4257"/>
        <w:gridCol w:w="2655"/>
        <w:gridCol w:w="1444"/>
        <w:gridCol w:w="1123"/>
      </w:tblGrid>
      <w:tr w:rsidR="006248F4" w:rsidRPr="006248F4" w14:paraId="571ED2CB" w14:textId="77777777" w:rsidTr="006248F4">
        <w:trPr>
          <w:cnfStyle w:val="100000000000" w:firstRow="1" w:lastRow="0" w:firstColumn="0" w:lastColumn="0" w:oddVBand="0" w:evenVBand="0" w:oddHBand="0"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9479" w:type="dxa"/>
            <w:gridSpan w:val="4"/>
            <w:tcBorders>
              <w:top w:val="single" w:sz="12" w:space="0" w:color="auto"/>
              <w:bottom w:val="single" w:sz="12" w:space="0" w:color="auto"/>
            </w:tcBorders>
            <w:noWrap/>
            <w:hideMark/>
          </w:tcPr>
          <w:p w14:paraId="0CEC0F97" w14:textId="77777777" w:rsidR="006248F4" w:rsidRPr="006248F4" w:rsidRDefault="006248F4" w:rsidP="006248F4">
            <w:pPr>
              <w:jc w:val="center"/>
              <w:rPr>
                <w:rFonts w:ascii="Times New Roman" w:hAnsi="Times New Roman"/>
              </w:rPr>
            </w:pPr>
            <w:r w:rsidRPr="006248F4">
              <w:rPr>
                <w:rFonts w:ascii="Times New Roman" w:hAnsi="Times New Roman"/>
                <w:color w:val="000000"/>
                <w:lang w:eastAsia="en-GB"/>
              </w:rPr>
              <w:t>Volatile fatty acids</w:t>
            </w:r>
          </w:p>
        </w:tc>
      </w:tr>
      <w:tr w:rsidR="006248F4" w:rsidRPr="006248F4" w14:paraId="7520E761" w14:textId="77777777" w:rsidTr="006248F4">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3850" w:type="dxa"/>
            <w:tcBorders>
              <w:top w:val="single" w:sz="12" w:space="0" w:color="auto"/>
            </w:tcBorders>
            <w:noWrap/>
            <w:hideMark/>
          </w:tcPr>
          <w:p w14:paraId="5489A5C3" w14:textId="77777777" w:rsidR="006248F4" w:rsidRPr="006248F4" w:rsidRDefault="006248F4" w:rsidP="006248F4">
            <w:pPr>
              <w:jc w:val="center"/>
              <w:rPr>
                <w:rFonts w:ascii="Times New Roman" w:hAnsi="Times New Roman"/>
                <w:color w:val="000000"/>
                <w:lang w:eastAsia="en-GB"/>
              </w:rPr>
            </w:pPr>
            <w:r w:rsidRPr="006248F4">
              <w:rPr>
                <w:rFonts w:ascii="Times New Roman" w:hAnsi="Times New Roman"/>
                <w:color w:val="000000"/>
                <w:lang w:eastAsia="en-GB"/>
              </w:rPr>
              <w:t>Acetic</w:t>
            </w:r>
          </w:p>
        </w:tc>
        <w:tc>
          <w:tcPr>
            <w:tcW w:w="2401" w:type="dxa"/>
            <w:tcBorders>
              <w:top w:val="single" w:sz="12" w:space="0" w:color="auto"/>
            </w:tcBorders>
            <w:noWrap/>
            <w:vAlign w:val="bottom"/>
            <w:hideMark/>
          </w:tcPr>
          <w:p w14:paraId="3FA918E2" w14:textId="77777777" w:rsidR="006248F4" w:rsidRPr="006248F4" w:rsidRDefault="006248F4" w:rsidP="0062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en-GB"/>
              </w:rPr>
            </w:pPr>
            <w:r w:rsidRPr="006248F4">
              <w:rPr>
                <w:rFonts w:ascii="Times New Roman" w:hAnsi="Times New Roman"/>
                <w:color w:val="000000"/>
              </w:rPr>
              <w:t>43.8%</w:t>
            </w:r>
          </w:p>
        </w:tc>
        <w:tc>
          <w:tcPr>
            <w:tcW w:w="0" w:type="auto"/>
            <w:tcBorders>
              <w:bottom w:val="single" w:sz="6" w:space="0" w:color="auto"/>
            </w:tcBorders>
          </w:tcPr>
          <w:p w14:paraId="552C7748" w14:textId="77777777" w:rsidR="006248F4" w:rsidRPr="006248F4" w:rsidRDefault="006248F4" w:rsidP="0062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6248F4">
              <w:rPr>
                <w:rFonts w:ascii="Times New Roman" w:hAnsi="Times New Roman"/>
                <w:b/>
                <w:bCs/>
                <w:color w:val="000000"/>
                <w:lang w:eastAsia="en-GB"/>
              </w:rPr>
              <w:t>Pentanoic</w:t>
            </w:r>
          </w:p>
        </w:tc>
        <w:tc>
          <w:tcPr>
            <w:tcW w:w="1398" w:type="dxa"/>
            <w:tcBorders>
              <w:bottom w:val="single" w:sz="6" w:space="0" w:color="auto"/>
            </w:tcBorders>
            <w:vAlign w:val="bottom"/>
          </w:tcPr>
          <w:p w14:paraId="25E8F58D" w14:textId="77777777" w:rsidR="006248F4" w:rsidRPr="006248F4" w:rsidRDefault="006248F4" w:rsidP="0062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248F4">
              <w:rPr>
                <w:rFonts w:ascii="Times New Roman" w:hAnsi="Times New Roman"/>
                <w:color w:val="000000"/>
              </w:rPr>
              <w:t>8.1%</w:t>
            </w:r>
          </w:p>
        </w:tc>
      </w:tr>
      <w:tr w:rsidR="006248F4" w:rsidRPr="006248F4" w14:paraId="61398E0B" w14:textId="77777777" w:rsidTr="006248F4">
        <w:trPr>
          <w:cantSplit/>
          <w:trHeight w:val="283"/>
        </w:trPr>
        <w:tc>
          <w:tcPr>
            <w:cnfStyle w:val="001000000000" w:firstRow="0" w:lastRow="0" w:firstColumn="1" w:lastColumn="0" w:oddVBand="0" w:evenVBand="0" w:oddHBand="0" w:evenHBand="0" w:firstRowFirstColumn="0" w:firstRowLastColumn="0" w:lastRowFirstColumn="0" w:lastRowLastColumn="0"/>
            <w:tcW w:w="3850" w:type="dxa"/>
            <w:noWrap/>
            <w:hideMark/>
          </w:tcPr>
          <w:p w14:paraId="0A59672F" w14:textId="77777777" w:rsidR="006248F4" w:rsidRPr="006248F4" w:rsidRDefault="006248F4" w:rsidP="006248F4">
            <w:pPr>
              <w:jc w:val="center"/>
              <w:rPr>
                <w:rFonts w:ascii="Times New Roman" w:hAnsi="Times New Roman"/>
                <w:color w:val="000000"/>
                <w:lang w:eastAsia="en-GB"/>
              </w:rPr>
            </w:pPr>
            <w:r w:rsidRPr="006248F4">
              <w:rPr>
                <w:rFonts w:ascii="Times New Roman" w:hAnsi="Times New Roman"/>
                <w:color w:val="000000"/>
                <w:lang w:eastAsia="en-GB"/>
              </w:rPr>
              <w:t>Butyric</w:t>
            </w:r>
          </w:p>
        </w:tc>
        <w:tc>
          <w:tcPr>
            <w:tcW w:w="2401" w:type="dxa"/>
            <w:noWrap/>
            <w:vAlign w:val="bottom"/>
            <w:hideMark/>
          </w:tcPr>
          <w:p w14:paraId="22D81BC4" w14:textId="77777777" w:rsidR="006248F4" w:rsidRPr="006248F4" w:rsidRDefault="006248F4" w:rsidP="0062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en-GB"/>
              </w:rPr>
            </w:pPr>
            <w:r w:rsidRPr="006248F4">
              <w:rPr>
                <w:rFonts w:ascii="Times New Roman" w:hAnsi="Times New Roman"/>
                <w:color w:val="000000"/>
              </w:rPr>
              <w:t>21.2%</w:t>
            </w:r>
          </w:p>
        </w:tc>
        <w:tc>
          <w:tcPr>
            <w:tcW w:w="0" w:type="auto"/>
            <w:tcBorders>
              <w:top w:val="single" w:sz="6" w:space="0" w:color="auto"/>
              <w:bottom w:val="single" w:sz="6" w:space="0" w:color="auto"/>
            </w:tcBorders>
          </w:tcPr>
          <w:p w14:paraId="57ADEFB0" w14:textId="77777777" w:rsidR="006248F4" w:rsidRPr="006248F4" w:rsidRDefault="006248F4" w:rsidP="0062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6248F4">
              <w:rPr>
                <w:rFonts w:ascii="Times New Roman" w:hAnsi="Times New Roman"/>
                <w:b/>
                <w:bCs/>
                <w:color w:val="000000"/>
                <w:lang w:eastAsia="en-GB"/>
              </w:rPr>
              <w:t>Isobutyric</w:t>
            </w:r>
          </w:p>
        </w:tc>
        <w:tc>
          <w:tcPr>
            <w:tcW w:w="1398" w:type="dxa"/>
            <w:tcBorders>
              <w:top w:val="single" w:sz="6" w:space="0" w:color="auto"/>
              <w:bottom w:val="single" w:sz="6" w:space="0" w:color="auto"/>
            </w:tcBorders>
            <w:vAlign w:val="bottom"/>
          </w:tcPr>
          <w:p w14:paraId="46D129B3" w14:textId="77777777" w:rsidR="006248F4" w:rsidRPr="006248F4" w:rsidRDefault="006248F4" w:rsidP="0062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248F4">
              <w:rPr>
                <w:rFonts w:ascii="Times New Roman" w:hAnsi="Times New Roman"/>
                <w:color w:val="000000"/>
              </w:rPr>
              <w:t>3.7%</w:t>
            </w:r>
          </w:p>
        </w:tc>
      </w:tr>
      <w:tr w:rsidR="006248F4" w:rsidRPr="006248F4" w14:paraId="19D88715" w14:textId="77777777" w:rsidTr="006248F4">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3850" w:type="dxa"/>
            <w:tcBorders>
              <w:bottom w:val="single" w:sz="12" w:space="0" w:color="auto"/>
            </w:tcBorders>
            <w:noWrap/>
            <w:hideMark/>
          </w:tcPr>
          <w:p w14:paraId="780B29EA" w14:textId="77777777" w:rsidR="006248F4" w:rsidRPr="006248F4" w:rsidRDefault="006248F4" w:rsidP="006248F4">
            <w:pPr>
              <w:jc w:val="center"/>
              <w:rPr>
                <w:rFonts w:ascii="Times New Roman" w:hAnsi="Times New Roman"/>
                <w:color w:val="000000"/>
                <w:lang w:eastAsia="en-GB"/>
              </w:rPr>
            </w:pPr>
            <w:r w:rsidRPr="006248F4">
              <w:rPr>
                <w:rFonts w:ascii="Times New Roman" w:hAnsi="Times New Roman"/>
                <w:color w:val="000000"/>
                <w:lang w:eastAsia="en-GB"/>
              </w:rPr>
              <w:t>Propionic</w:t>
            </w:r>
          </w:p>
        </w:tc>
        <w:tc>
          <w:tcPr>
            <w:tcW w:w="2401" w:type="dxa"/>
            <w:tcBorders>
              <w:bottom w:val="single" w:sz="12" w:space="0" w:color="auto"/>
            </w:tcBorders>
            <w:noWrap/>
            <w:vAlign w:val="bottom"/>
            <w:hideMark/>
          </w:tcPr>
          <w:p w14:paraId="5F53E1C1" w14:textId="77777777" w:rsidR="006248F4" w:rsidRPr="006248F4" w:rsidRDefault="006248F4" w:rsidP="0062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en-GB"/>
              </w:rPr>
            </w:pPr>
            <w:r w:rsidRPr="006248F4">
              <w:rPr>
                <w:rFonts w:ascii="Times New Roman" w:hAnsi="Times New Roman"/>
                <w:color w:val="000000"/>
              </w:rPr>
              <w:t>20.2%</w:t>
            </w:r>
          </w:p>
        </w:tc>
        <w:tc>
          <w:tcPr>
            <w:tcW w:w="0" w:type="auto"/>
            <w:tcBorders>
              <w:top w:val="single" w:sz="6" w:space="0" w:color="auto"/>
              <w:bottom w:val="single" w:sz="12" w:space="0" w:color="auto"/>
            </w:tcBorders>
          </w:tcPr>
          <w:p w14:paraId="30088ABF" w14:textId="77777777" w:rsidR="006248F4" w:rsidRPr="006248F4" w:rsidRDefault="006248F4" w:rsidP="0062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6248F4">
              <w:rPr>
                <w:rFonts w:ascii="Times New Roman" w:hAnsi="Times New Roman"/>
                <w:b/>
                <w:bCs/>
                <w:color w:val="000000"/>
                <w:lang w:eastAsia="en-GB"/>
              </w:rPr>
              <w:t>Isopentanoic</w:t>
            </w:r>
          </w:p>
        </w:tc>
        <w:tc>
          <w:tcPr>
            <w:tcW w:w="1398" w:type="dxa"/>
            <w:tcBorders>
              <w:top w:val="single" w:sz="6" w:space="0" w:color="auto"/>
              <w:bottom w:val="single" w:sz="12" w:space="0" w:color="auto"/>
            </w:tcBorders>
            <w:vAlign w:val="bottom"/>
          </w:tcPr>
          <w:p w14:paraId="52BF8EDD" w14:textId="77777777" w:rsidR="006248F4" w:rsidRPr="006248F4" w:rsidRDefault="006248F4" w:rsidP="0062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248F4">
              <w:rPr>
                <w:rFonts w:ascii="Times New Roman" w:hAnsi="Times New Roman"/>
                <w:color w:val="000000"/>
              </w:rPr>
              <w:t>3.0%</w:t>
            </w:r>
          </w:p>
        </w:tc>
      </w:tr>
    </w:tbl>
    <w:p w14:paraId="4A773AB9" w14:textId="77777777" w:rsidR="006248F4" w:rsidRPr="006248F4" w:rsidRDefault="006248F4" w:rsidP="006248F4">
      <w:pPr>
        <w:pStyle w:val="CETBodytext"/>
        <w:rPr>
          <w:rFonts w:ascii="Times New Roman" w:hAnsi="Times New Roman"/>
          <w:sz w:val="20"/>
          <w:lang w:val="en-GB"/>
        </w:rPr>
      </w:pPr>
    </w:p>
    <w:p w14:paraId="5B14A126" w14:textId="77777777" w:rsidR="006248F4" w:rsidRPr="006248F4" w:rsidRDefault="006248F4" w:rsidP="0098582E">
      <w:pPr>
        <w:jc w:val="both"/>
        <w:rPr>
          <w:rFonts w:ascii="Times New Roman" w:hAnsi="Times New Roman" w:cs="Times New Roman"/>
          <w:bCs/>
          <w:lang w:val="en-GB"/>
        </w:rPr>
      </w:pPr>
      <w:r w:rsidRPr="006248F4">
        <w:rPr>
          <w:rFonts w:ascii="Times New Roman" w:hAnsi="Times New Roman" w:cs="Times New Roman"/>
          <w:bCs/>
          <w:lang w:val="en-GB"/>
        </w:rPr>
        <w:t xml:space="preserve">Figure 1 shows the variations of the HRT (from 17 to 1 days) and of the OLR (from 2.5 to 42.5 g/L per day), with the consequent increase of the bacterial biomass and of the </w:t>
      </w:r>
      <w:proofErr w:type="spellStart"/>
      <w:r w:rsidRPr="006248F4">
        <w:rPr>
          <w:rFonts w:ascii="Times New Roman" w:hAnsi="Times New Roman" w:cs="Times New Roman"/>
          <w:bCs/>
          <w:lang w:val="en-GB"/>
        </w:rPr>
        <w:t>sCOD</w:t>
      </w:r>
      <w:proofErr w:type="spellEnd"/>
      <w:r w:rsidRPr="006248F4">
        <w:rPr>
          <w:rFonts w:ascii="Times New Roman" w:hAnsi="Times New Roman" w:cs="Times New Roman"/>
          <w:bCs/>
          <w:lang w:val="en-GB"/>
        </w:rPr>
        <w:t xml:space="preserve"> (after an acclimatisation period during day 1 to 5), followed by a steady state up to day 28 (Figure 2). </w:t>
      </w:r>
      <w:r w:rsidRPr="006248F4">
        <w:rPr>
          <w:rFonts w:ascii="Times New Roman" w:hAnsi="Times New Roman" w:cs="Times New Roman"/>
          <w:lang w:val="en-GB"/>
        </w:rPr>
        <w:t xml:space="preserve">The best performances of the CSTR were obtained with an HRT of 2 days, with a productivity of 1.6-2.0 </w:t>
      </w:r>
      <w:proofErr w:type="spellStart"/>
      <w:r w:rsidRPr="006248F4">
        <w:rPr>
          <w:rFonts w:ascii="Times New Roman" w:hAnsi="Times New Roman" w:cs="Times New Roman"/>
          <w:lang w:val="en-GB"/>
        </w:rPr>
        <w:t>gMLVSS</w:t>
      </w:r>
      <w:proofErr w:type="spellEnd"/>
      <w:r w:rsidRPr="006248F4">
        <w:rPr>
          <w:rFonts w:ascii="Times New Roman" w:hAnsi="Times New Roman" w:cs="Times New Roman"/>
          <w:lang w:val="en-GB"/>
        </w:rPr>
        <w:t>/L per day (Figure 1), with progressive bacterial death and CSRT wash out happening with higher ORL and lower HRT after day 28.</w:t>
      </w:r>
    </w:p>
    <w:p w14:paraId="417715C2" w14:textId="77777777" w:rsidR="006248F4" w:rsidRPr="006248F4" w:rsidRDefault="006248F4" w:rsidP="006248F4">
      <w:pPr>
        <w:pStyle w:val="CETBodytext"/>
        <w:jc w:val="center"/>
        <w:rPr>
          <w:rFonts w:ascii="Times New Roman" w:hAnsi="Times New Roman"/>
          <w:sz w:val="20"/>
          <w:lang w:val="en-GB"/>
        </w:rPr>
      </w:pPr>
      <w:r w:rsidRPr="006248F4">
        <w:rPr>
          <w:rFonts w:ascii="Times New Roman" w:hAnsi="Times New Roman"/>
          <w:noProof/>
          <w:sz w:val="20"/>
          <w:lang w:val="en-GB"/>
        </w:rPr>
        <w:drawing>
          <wp:inline distT="0" distB="0" distL="0" distR="0" wp14:anchorId="426BD7FF" wp14:editId="3E4A20B0">
            <wp:extent cx="5294630" cy="2493193"/>
            <wp:effectExtent l="0" t="0" r="1270" b="254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l="1719" t="2500" r="1214" b="2454"/>
                    <a:stretch/>
                  </pic:blipFill>
                  <pic:spPr bwMode="auto">
                    <a:xfrm>
                      <a:off x="0" y="0"/>
                      <a:ext cx="5337618" cy="2513435"/>
                    </a:xfrm>
                    <a:prstGeom prst="rect">
                      <a:avLst/>
                    </a:prstGeom>
                    <a:noFill/>
                    <a:ln>
                      <a:noFill/>
                    </a:ln>
                    <a:extLst>
                      <a:ext uri="{53640926-AAD7-44D8-BBD7-CCE9431645EC}">
                        <a14:shadowObscured xmlns:a14="http://schemas.microsoft.com/office/drawing/2010/main"/>
                      </a:ext>
                    </a:extLst>
                  </pic:spPr>
                </pic:pic>
              </a:graphicData>
            </a:graphic>
          </wp:inline>
        </w:drawing>
      </w:r>
    </w:p>
    <w:p w14:paraId="108A7CFC" w14:textId="77777777" w:rsidR="006248F4" w:rsidRPr="006248F4" w:rsidRDefault="006248F4" w:rsidP="006248F4">
      <w:pPr>
        <w:pStyle w:val="CETBodytext"/>
        <w:jc w:val="center"/>
        <w:rPr>
          <w:rFonts w:ascii="Times New Roman" w:hAnsi="Times New Roman"/>
          <w:i/>
          <w:iCs/>
          <w:sz w:val="20"/>
          <w:lang w:val="en-GB"/>
        </w:rPr>
      </w:pPr>
      <w:r w:rsidRPr="006248F4">
        <w:rPr>
          <w:rFonts w:ascii="Times New Roman" w:hAnsi="Times New Roman"/>
          <w:i/>
          <w:iCs/>
          <w:sz w:val="20"/>
          <w:lang w:val="en-GB"/>
        </w:rPr>
        <w:t xml:space="preserve">Figure 1. </w:t>
      </w:r>
      <w:r w:rsidRPr="006248F4">
        <w:rPr>
          <w:rStyle w:val="normaltextrun"/>
          <w:rFonts w:ascii="Times New Roman" w:hAnsi="Times New Roman"/>
          <w:i/>
          <w:iCs/>
          <w:color w:val="000000"/>
          <w:sz w:val="20"/>
          <w:shd w:val="clear" w:color="auto" w:fill="FFFFFF"/>
          <w:lang w:val="en-GB"/>
        </w:rPr>
        <w:t xml:space="preserve">OLR, HRT and productivity </w:t>
      </w:r>
      <w:r w:rsidRPr="006248F4">
        <w:rPr>
          <w:rStyle w:val="normaltextrun"/>
          <w:rFonts w:ascii="Times New Roman" w:hAnsi="Times New Roman"/>
          <w:i/>
          <w:iCs/>
          <w:color w:val="000000"/>
          <w:sz w:val="20"/>
          <w:shd w:val="clear" w:color="auto" w:fill="FFFFFF"/>
        </w:rPr>
        <w:t xml:space="preserve">during the 38 days of the </w:t>
      </w:r>
      <w:r w:rsidRPr="006248F4">
        <w:rPr>
          <w:rStyle w:val="normaltextrun"/>
          <w:rFonts w:ascii="Times New Roman" w:hAnsi="Times New Roman"/>
          <w:i/>
          <w:iCs/>
          <w:color w:val="000000"/>
          <w:sz w:val="20"/>
          <w:shd w:val="clear" w:color="auto" w:fill="FFFFFF"/>
          <w:lang w:val="en-GB"/>
        </w:rPr>
        <w:t>CSTR operation.</w:t>
      </w:r>
    </w:p>
    <w:p w14:paraId="2BE98A4B" w14:textId="77777777" w:rsidR="006248F4" w:rsidRPr="006248F4" w:rsidRDefault="006248F4" w:rsidP="006248F4">
      <w:pPr>
        <w:pStyle w:val="CETBodytext"/>
        <w:jc w:val="center"/>
        <w:rPr>
          <w:rFonts w:ascii="Times New Roman" w:hAnsi="Times New Roman"/>
          <w:sz w:val="20"/>
          <w:lang w:val="en-GB"/>
        </w:rPr>
      </w:pPr>
      <w:r w:rsidRPr="006248F4">
        <w:rPr>
          <w:rFonts w:ascii="Times New Roman" w:hAnsi="Times New Roman"/>
          <w:noProof/>
          <w:sz w:val="20"/>
          <w:lang w:val="en-GB"/>
        </w:rPr>
        <w:drawing>
          <wp:inline distT="0" distB="0" distL="0" distR="0" wp14:anchorId="3CD4CB9E" wp14:editId="4A943168">
            <wp:extent cx="5238115" cy="2469397"/>
            <wp:effectExtent l="0" t="0" r="635" b="762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a:extLst>
                        <a:ext uri="{28A0092B-C50C-407E-A947-70E740481C1C}">
                          <a14:useLocalDpi xmlns:a14="http://schemas.microsoft.com/office/drawing/2010/main" val="0"/>
                        </a:ext>
                      </a:extLst>
                    </a:blip>
                    <a:srcRect l="1051" t="3583" r="852" b="1831"/>
                    <a:stretch/>
                  </pic:blipFill>
                  <pic:spPr bwMode="auto">
                    <a:xfrm>
                      <a:off x="0" y="0"/>
                      <a:ext cx="5254023" cy="2476897"/>
                    </a:xfrm>
                    <a:prstGeom prst="rect">
                      <a:avLst/>
                    </a:prstGeom>
                    <a:noFill/>
                    <a:ln>
                      <a:noFill/>
                    </a:ln>
                    <a:extLst>
                      <a:ext uri="{53640926-AAD7-44D8-BBD7-CCE9431645EC}">
                        <a14:shadowObscured xmlns:a14="http://schemas.microsoft.com/office/drawing/2010/main"/>
                      </a:ext>
                    </a:extLst>
                  </pic:spPr>
                </pic:pic>
              </a:graphicData>
            </a:graphic>
          </wp:inline>
        </w:drawing>
      </w:r>
    </w:p>
    <w:p w14:paraId="396B224F" w14:textId="77777777" w:rsidR="006248F4" w:rsidRPr="006248F4" w:rsidRDefault="006248F4" w:rsidP="006248F4">
      <w:pPr>
        <w:jc w:val="center"/>
        <w:rPr>
          <w:rFonts w:ascii="Times New Roman" w:hAnsi="Times New Roman" w:cs="Times New Roman"/>
          <w:b/>
          <w:i/>
          <w:iCs/>
          <w:sz w:val="24"/>
          <w:szCs w:val="24"/>
          <w:lang w:val="en-GB"/>
        </w:rPr>
      </w:pPr>
      <w:r w:rsidRPr="006248F4">
        <w:rPr>
          <w:rFonts w:ascii="Times New Roman" w:hAnsi="Times New Roman" w:cs="Times New Roman"/>
          <w:i/>
          <w:iCs/>
          <w:sz w:val="20"/>
          <w:lang w:val="en-GB"/>
        </w:rPr>
        <w:t xml:space="preserve">Figure 2. </w:t>
      </w:r>
      <w:r w:rsidRPr="006248F4">
        <w:rPr>
          <w:rStyle w:val="normaltextrun"/>
          <w:rFonts w:ascii="Times New Roman" w:hAnsi="Times New Roman" w:cs="Times New Roman"/>
          <w:i/>
          <w:iCs/>
          <w:color w:val="000000"/>
          <w:sz w:val="20"/>
          <w:shd w:val="clear" w:color="auto" w:fill="FFFFFF"/>
          <w:lang w:val="en-GB"/>
        </w:rPr>
        <w:t xml:space="preserve">Biomass growth and </w:t>
      </w:r>
      <w:proofErr w:type="spellStart"/>
      <w:r w:rsidRPr="006248F4">
        <w:rPr>
          <w:rStyle w:val="normaltextrun"/>
          <w:rFonts w:ascii="Times New Roman" w:hAnsi="Times New Roman" w:cs="Times New Roman"/>
          <w:i/>
          <w:iCs/>
          <w:color w:val="000000"/>
          <w:sz w:val="20"/>
          <w:shd w:val="clear" w:color="auto" w:fill="FFFFFF"/>
          <w:lang w:val="en-GB"/>
        </w:rPr>
        <w:t>sCOD</w:t>
      </w:r>
      <w:proofErr w:type="spellEnd"/>
      <w:r w:rsidRPr="006248F4">
        <w:rPr>
          <w:rStyle w:val="normaltextrun"/>
          <w:rFonts w:ascii="Times New Roman" w:hAnsi="Times New Roman" w:cs="Times New Roman"/>
          <w:i/>
          <w:iCs/>
          <w:color w:val="000000"/>
          <w:sz w:val="20"/>
          <w:shd w:val="clear" w:color="auto" w:fill="FFFFFF"/>
          <w:lang w:val="en-GB"/>
        </w:rPr>
        <w:t xml:space="preserve"> of the mixed liquor during the 38 days of the CSTR operation. </w:t>
      </w:r>
    </w:p>
    <w:p w14:paraId="5E0FF9FA" w14:textId="77777777" w:rsidR="006248F4" w:rsidRPr="006248F4" w:rsidRDefault="006248F4" w:rsidP="006248F4">
      <w:pPr>
        <w:pStyle w:val="CETBodytext"/>
        <w:spacing w:line="300" w:lineRule="auto"/>
        <w:rPr>
          <w:rFonts w:ascii="Times New Roman" w:hAnsi="Times New Roman"/>
          <w:sz w:val="20"/>
          <w:lang w:val="en-GB"/>
        </w:rPr>
      </w:pPr>
    </w:p>
    <w:p w14:paraId="25F5DE63" w14:textId="77777777" w:rsidR="006248F4" w:rsidRPr="006248F4" w:rsidRDefault="006248F4" w:rsidP="0098582E">
      <w:pPr>
        <w:pStyle w:val="CETBodytext"/>
        <w:spacing w:line="259" w:lineRule="auto"/>
        <w:rPr>
          <w:rFonts w:ascii="Times New Roman" w:hAnsi="Times New Roman"/>
          <w:sz w:val="22"/>
          <w:szCs w:val="22"/>
          <w:lang w:val="en-GB"/>
        </w:rPr>
      </w:pPr>
      <w:r w:rsidRPr="006248F4">
        <w:rPr>
          <w:rFonts w:ascii="Times New Roman" w:hAnsi="Times New Roman"/>
          <w:sz w:val="22"/>
          <w:szCs w:val="22"/>
          <w:lang w:val="en-GB"/>
        </w:rPr>
        <w:lastRenderedPageBreak/>
        <w:t>The bacterial biomass presented a high protein content (70.4% of TSS, Table 3), with the amino acids glutamic and aspartic acid being the most abundant and histidine not possible to quantify (Figure 3). Most of the amino acids were found in quantities similar or higher to those necessary for the growth of commercial fish species. However, the absence of oils, carbohydrates and of the essential amino acid histidine, indicates that this biomass cannot be used on its own as fish feed, but it could however be part of a carefully formulated feed where SCP can make up to 50% of the diet and oils or PHAs are added to complement the formula.</w:t>
      </w:r>
    </w:p>
    <w:p w14:paraId="64614B63" w14:textId="77777777" w:rsidR="006248F4" w:rsidRPr="006248F4" w:rsidRDefault="006248F4" w:rsidP="006248F4">
      <w:pPr>
        <w:pStyle w:val="CETBodytext"/>
        <w:rPr>
          <w:rFonts w:ascii="Times New Roman" w:hAnsi="Times New Roman"/>
          <w:sz w:val="20"/>
          <w:lang w:val="en-GB"/>
        </w:rPr>
      </w:pPr>
    </w:p>
    <w:p w14:paraId="0396037D" w14:textId="77777777" w:rsidR="006248F4" w:rsidRPr="006248F4" w:rsidRDefault="006248F4" w:rsidP="006248F4">
      <w:pPr>
        <w:pStyle w:val="CETBodytext"/>
        <w:jc w:val="center"/>
        <w:rPr>
          <w:rFonts w:ascii="Times New Roman" w:hAnsi="Times New Roman"/>
          <w:i/>
          <w:iCs/>
          <w:sz w:val="20"/>
          <w:lang w:val="en-GB"/>
        </w:rPr>
      </w:pPr>
      <w:r w:rsidRPr="006248F4">
        <w:rPr>
          <w:rFonts w:ascii="Times New Roman" w:hAnsi="Times New Roman"/>
          <w:i/>
          <w:iCs/>
          <w:sz w:val="20"/>
          <w:lang w:val="en-GB"/>
        </w:rPr>
        <w:t>Table 3. Centesimal composition of the bacterial biomass used as fish feed (% of dry sample).</w:t>
      </w:r>
    </w:p>
    <w:tbl>
      <w:tblPr>
        <w:tblStyle w:val="Tabellasemplice-2"/>
        <w:tblpPr w:leftFromText="141" w:rightFromText="141" w:vertAnchor="text" w:horzAnchor="margin" w:tblpXSpec="center" w:tblpY="132"/>
        <w:tblW w:w="7376" w:type="dxa"/>
        <w:tblLook w:val="04A0" w:firstRow="1" w:lastRow="0" w:firstColumn="1" w:lastColumn="0" w:noHBand="0" w:noVBand="1"/>
      </w:tblPr>
      <w:tblGrid>
        <w:gridCol w:w="5390"/>
        <w:gridCol w:w="1986"/>
      </w:tblGrid>
      <w:tr w:rsidR="006248F4" w:rsidRPr="006248F4" w14:paraId="14BC4D97" w14:textId="77777777" w:rsidTr="006248F4">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12" w:space="0" w:color="auto"/>
            </w:tcBorders>
            <w:noWrap/>
            <w:hideMark/>
          </w:tcPr>
          <w:p w14:paraId="2D1082D1" w14:textId="77777777" w:rsidR="006248F4" w:rsidRPr="006248F4" w:rsidRDefault="006248F4" w:rsidP="00165A33">
            <w:pPr>
              <w:rPr>
                <w:rFonts w:ascii="Times New Roman" w:hAnsi="Times New Roman"/>
                <w:color w:val="000000"/>
                <w:lang w:eastAsia="en-GB"/>
              </w:rPr>
            </w:pPr>
            <w:r w:rsidRPr="006248F4">
              <w:rPr>
                <w:rFonts w:ascii="Times New Roman" w:hAnsi="Times New Roman"/>
                <w:color w:val="000000"/>
                <w:lang w:eastAsia="en-GB"/>
              </w:rPr>
              <w:t>Parameter</w:t>
            </w:r>
          </w:p>
        </w:tc>
        <w:tc>
          <w:tcPr>
            <w:tcW w:w="0" w:type="auto"/>
            <w:tcBorders>
              <w:top w:val="single" w:sz="12" w:space="0" w:color="auto"/>
              <w:bottom w:val="single" w:sz="12" w:space="0" w:color="auto"/>
            </w:tcBorders>
            <w:noWrap/>
            <w:hideMark/>
          </w:tcPr>
          <w:p w14:paraId="6D774C70" w14:textId="77777777" w:rsidR="006248F4" w:rsidRPr="006248F4" w:rsidRDefault="006248F4" w:rsidP="00165A3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lang w:eastAsia="en-GB"/>
              </w:rPr>
            </w:pPr>
            <w:r w:rsidRPr="006248F4">
              <w:rPr>
                <w:rFonts w:ascii="Times New Roman" w:hAnsi="Times New Roman"/>
                <w:color w:val="000000"/>
                <w:lang w:eastAsia="en-GB"/>
              </w:rPr>
              <w:t>Value</w:t>
            </w:r>
          </w:p>
        </w:tc>
      </w:tr>
      <w:tr w:rsidR="006248F4" w:rsidRPr="006248F4" w14:paraId="42E3E4FE" w14:textId="77777777" w:rsidTr="006248F4">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tcBorders>
            <w:noWrap/>
            <w:hideMark/>
          </w:tcPr>
          <w:p w14:paraId="16F958B9" w14:textId="77777777" w:rsidR="006248F4" w:rsidRPr="006248F4" w:rsidRDefault="006248F4" w:rsidP="00165A33">
            <w:pPr>
              <w:rPr>
                <w:rFonts w:ascii="Times New Roman" w:hAnsi="Times New Roman"/>
                <w:color w:val="000000"/>
                <w:lang w:eastAsia="en-GB"/>
              </w:rPr>
            </w:pPr>
            <w:r w:rsidRPr="006248F4">
              <w:rPr>
                <w:rFonts w:ascii="Times New Roman" w:hAnsi="Times New Roman"/>
                <w:color w:val="000000"/>
                <w:lang w:eastAsia="en-GB"/>
              </w:rPr>
              <w:t xml:space="preserve">Moisture </w:t>
            </w:r>
          </w:p>
        </w:tc>
        <w:tc>
          <w:tcPr>
            <w:tcW w:w="0" w:type="auto"/>
            <w:tcBorders>
              <w:top w:val="single" w:sz="12" w:space="0" w:color="auto"/>
            </w:tcBorders>
            <w:noWrap/>
            <w:hideMark/>
          </w:tcPr>
          <w:p w14:paraId="76CD73E4" w14:textId="77777777" w:rsidR="006248F4" w:rsidRPr="006248F4" w:rsidRDefault="006248F4" w:rsidP="00165A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en-GB"/>
              </w:rPr>
            </w:pPr>
            <w:r w:rsidRPr="006248F4">
              <w:rPr>
                <w:rFonts w:ascii="Times New Roman" w:hAnsi="Times New Roman"/>
                <w:color w:val="000000"/>
                <w:lang w:eastAsia="en-GB"/>
              </w:rPr>
              <w:t>98.4%</w:t>
            </w:r>
          </w:p>
        </w:tc>
      </w:tr>
      <w:tr w:rsidR="006248F4" w:rsidRPr="006248F4" w14:paraId="46B71C5E" w14:textId="77777777" w:rsidTr="006248F4">
        <w:trPr>
          <w:trHeight w:val="253"/>
        </w:trPr>
        <w:tc>
          <w:tcPr>
            <w:cnfStyle w:val="001000000000" w:firstRow="0" w:lastRow="0" w:firstColumn="1" w:lastColumn="0" w:oddVBand="0" w:evenVBand="0" w:oddHBand="0" w:evenHBand="0" w:firstRowFirstColumn="0" w:firstRowLastColumn="0" w:lastRowFirstColumn="0" w:lastRowLastColumn="0"/>
            <w:tcW w:w="0" w:type="auto"/>
            <w:noWrap/>
            <w:hideMark/>
          </w:tcPr>
          <w:p w14:paraId="3BD4C528" w14:textId="77777777" w:rsidR="006248F4" w:rsidRPr="006248F4" w:rsidRDefault="006248F4" w:rsidP="00165A33">
            <w:pPr>
              <w:rPr>
                <w:rFonts w:ascii="Times New Roman" w:hAnsi="Times New Roman"/>
                <w:color w:val="000000"/>
                <w:lang w:eastAsia="en-GB"/>
              </w:rPr>
            </w:pPr>
            <w:r w:rsidRPr="006248F4">
              <w:rPr>
                <w:rFonts w:ascii="Times New Roman" w:hAnsi="Times New Roman"/>
                <w:color w:val="000000"/>
                <w:lang w:eastAsia="en-GB"/>
              </w:rPr>
              <w:t>Ash</w:t>
            </w:r>
          </w:p>
        </w:tc>
        <w:tc>
          <w:tcPr>
            <w:tcW w:w="0" w:type="auto"/>
            <w:noWrap/>
            <w:hideMark/>
          </w:tcPr>
          <w:p w14:paraId="6C9C640C" w14:textId="77777777" w:rsidR="006248F4" w:rsidRPr="006248F4" w:rsidRDefault="006248F4" w:rsidP="00165A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en-GB"/>
              </w:rPr>
            </w:pPr>
            <w:r w:rsidRPr="006248F4">
              <w:rPr>
                <w:rFonts w:ascii="Times New Roman" w:hAnsi="Times New Roman"/>
                <w:color w:val="000000"/>
                <w:lang w:eastAsia="en-GB"/>
              </w:rPr>
              <w:t>8.9%</w:t>
            </w:r>
          </w:p>
        </w:tc>
      </w:tr>
      <w:tr w:rsidR="006248F4" w:rsidRPr="006248F4" w14:paraId="15763D1A" w14:textId="77777777" w:rsidTr="006248F4">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0" w:type="auto"/>
            <w:noWrap/>
          </w:tcPr>
          <w:p w14:paraId="79C80D4C" w14:textId="77777777" w:rsidR="006248F4" w:rsidRPr="006248F4" w:rsidRDefault="006248F4" w:rsidP="00165A33">
            <w:pPr>
              <w:rPr>
                <w:rFonts w:ascii="Times New Roman" w:hAnsi="Times New Roman"/>
                <w:color w:val="000000"/>
                <w:lang w:eastAsia="en-GB"/>
              </w:rPr>
            </w:pPr>
            <w:r w:rsidRPr="006248F4">
              <w:rPr>
                <w:rFonts w:ascii="Times New Roman" w:hAnsi="Times New Roman"/>
                <w:color w:val="000000"/>
                <w:lang w:eastAsia="en-GB"/>
              </w:rPr>
              <w:t>Crude proteins</w:t>
            </w:r>
          </w:p>
        </w:tc>
        <w:tc>
          <w:tcPr>
            <w:tcW w:w="0" w:type="auto"/>
            <w:noWrap/>
          </w:tcPr>
          <w:p w14:paraId="0AB323EF" w14:textId="77777777" w:rsidR="006248F4" w:rsidRPr="006248F4" w:rsidRDefault="006248F4" w:rsidP="00165A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en-GB"/>
              </w:rPr>
            </w:pPr>
            <w:r w:rsidRPr="006248F4">
              <w:rPr>
                <w:rFonts w:ascii="Times New Roman" w:hAnsi="Times New Roman"/>
                <w:color w:val="000000"/>
                <w:lang w:eastAsia="en-GB"/>
              </w:rPr>
              <w:t>74.0%</w:t>
            </w:r>
          </w:p>
        </w:tc>
      </w:tr>
      <w:tr w:rsidR="006248F4" w:rsidRPr="006248F4" w14:paraId="6B6F110B" w14:textId="77777777" w:rsidTr="006248F4">
        <w:trPr>
          <w:trHeight w:val="253"/>
        </w:trPr>
        <w:tc>
          <w:tcPr>
            <w:cnfStyle w:val="001000000000" w:firstRow="0" w:lastRow="0" w:firstColumn="1" w:lastColumn="0" w:oddVBand="0" w:evenVBand="0" w:oddHBand="0" w:evenHBand="0" w:firstRowFirstColumn="0" w:firstRowLastColumn="0" w:lastRowFirstColumn="0" w:lastRowLastColumn="0"/>
            <w:tcW w:w="0" w:type="auto"/>
            <w:noWrap/>
            <w:hideMark/>
          </w:tcPr>
          <w:p w14:paraId="7412C78A" w14:textId="77777777" w:rsidR="006248F4" w:rsidRPr="006248F4" w:rsidRDefault="006248F4" w:rsidP="00165A33">
            <w:pPr>
              <w:rPr>
                <w:rFonts w:ascii="Times New Roman" w:hAnsi="Times New Roman"/>
                <w:color w:val="000000"/>
                <w:lang w:eastAsia="en-GB"/>
              </w:rPr>
            </w:pPr>
            <w:r w:rsidRPr="006248F4">
              <w:rPr>
                <w:rFonts w:ascii="Times New Roman" w:hAnsi="Times New Roman"/>
                <w:color w:val="000000"/>
                <w:lang w:eastAsia="en-GB"/>
              </w:rPr>
              <w:t xml:space="preserve">Crude lipids and oils </w:t>
            </w:r>
          </w:p>
        </w:tc>
        <w:tc>
          <w:tcPr>
            <w:tcW w:w="0" w:type="auto"/>
            <w:noWrap/>
            <w:hideMark/>
          </w:tcPr>
          <w:p w14:paraId="0F7DE2B6" w14:textId="77777777" w:rsidR="006248F4" w:rsidRPr="006248F4" w:rsidRDefault="006248F4" w:rsidP="00165A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en-GB"/>
              </w:rPr>
            </w:pPr>
            <w:r w:rsidRPr="006248F4">
              <w:rPr>
                <w:rFonts w:ascii="Times New Roman" w:hAnsi="Times New Roman"/>
                <w:color w:val="000000"/>
                <w:lang w:eastAsia="en-GB"/>
              </w:rPr>
              <w:t>&lt;LoQ</w:t>
            </w:r>
          </w:p>
        </w:tc>
      </w:tr>
      <w:tr w:rsidR="006248F4" w:rsidRPr="006248F4" w14:paraId="0CCCB6AE" w14:textId="77777777" w:rsidTr="006248F4">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0" w:type="auto"/>
            <w:tcBorders>
              <w:bottom w:val="single" w:sz="12" w:space="0" w:color="auto"/>
            </w:tcBorders>
            <w:noWrap/>
          </w:tcPr>
          <w:p w14:paraId="1EEDC44A" w14:textId="77777777" w:rsidR="006248F4" w:rsidRPr="006248F4" w:rsidRDefault="006248F4" w:rsidP="00165A33">
            <w:pPr>
              <w:ind w:right="-613"/>
              <w:rPr>
                <w:rFonts w:ascii="Times New Roman" w:hAnsi="Times New Roman"/>
                <w:color w:val="000000"/>
                <w:lang w:eastAsia="en-GB"/>
              </w:rPr>
            </w:pPr>
            <w:r w:rsidRPr="006248F4">
              <w:rPr>
                <w:rFonts w:ascii="Times New Roman" w:hAnsi="Times New Roman"/>
                <w:color w:val="000000"/>
                <w:lang w:eastAsia="en-GB"/>
              </w:rPr>
              <w:t>Carbohydrates</w:t>
            </w:r>
          </w:p>
        </w:tc>
        <w:tc>
          <w:tcPr>
            <w:tcW w:w="0" w:type="auto"/>
            <w:tcBorders>
              <w:bottom w:val="single" w:sz="12" w:space="0" w:color="auto"/>
            </w:tcBorders>
            <w:noWrap/>
          </w:tcPr>
          <w:p w14:paraId="229016F0" w14:textId="77777777" w:rsidR="006248F4" w:rsidRPr="006248F4" w:rsidRDefault="006248F4" w:rsidP="00165A33">
            <w:pPr>
              <w:ind w:right="-613" w:hanging="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en-GB"/>
              </w:rPr>
            </w:pPr>
            <w:r w:rsidRPr="006248F4">
              <w:rPr>
                <w:rFonts w:ascii="Times New Roman" w:hAnsi="Times New Roman"/>
                <w:color w:val="000000"/>
                <w:lang w:eastAsia="en-GB"/>
              </w:rPr>
              <w:t>&lt;LoQ</w:t>
            </w:r>
          </w:p>
        </w:tc>
      </w:tr>
    </w:tbl>
    <w:p w14:paraId="2488DB3F" w14:textId="77777777" w:rsidR="006248F4" w:rsidRPr="006248F4" w:rsidRDefault="006248F4" w:rsidP="006248F4">
      <w:pPr>
        <w:pStyle w:val="CETBodytext"/>
        <w:jc w:val="center"/>
        <w:rPr>
          <w:rFonts w:ascii="Times New Roman" w:hAnsi="Times New Roman"/>
          <w:sz w:val="20"/>
          <w:lang w:val="en-GB"/>
        </w:rPr>
      </w:pPr>
    </w:p>
    <w:p w14:paraId="314FD5E8" w14:textId="77777777" w:rsidR="006248F4" w:rsidRPr="006248F4" w:rsidRDefault="006248F4" w:rsidP="006248F4">
      <w:pPr>
        <w:pStyle w:val="CETBodytext"/>
        <w:rPr>
          <w:rFonts w:ascii="Times New Roman" w:hAnsi="Times New Roman"/>
          <w:noProof/>
        </w:rPr>
      </w:pPr>
    </w:p>
    <w:p w14:paraId="5ECDECD6" w14:textId="77777777" w:rsidR="006248F4" w:rsidRPr="006248F4" w:rsidRDefault="006248F4" w:rsidP="006248F4">
      <w:pPr>
        <w:pStyle w:val="CETBodytext"/>
        <w:rPr>
          <w:rFonts w:ascii="Times New Roman" w:hAnsi="Times New Roman"/>
          <w:sz w:val="20"/>
          <w:lang w:val="en-GB"/>
        </w:rPr>
      </w:pPr>
    </w:p>
    <w:p w14:paraId="1D03B97E" w14:textId="77777777" w:rsidR="006248F4" w:rsidRPr="006248F4" w:rsidRDefault="006248F4" w:rsidP="006248F4">
      <w:pPr>
        <w:pStyle w:val="CETBodytext"/>
        <w:jc w:val="center"/>
        <w:rPr>
          <w:rFonts w:ascii="Times New Roman" w:hAnsi="Times New Roman"/>
          <w:sz w:val="20"/>
          <w:lang w:val="en-GB"/>
        </w:rPr>
      </w:pPr>
    </w:p>
    <w:p w14:paraId="32EFD1E5" w14:textId="77777777" w:rsidR="006248F4" w:rsidRPr="006248F4" w:rsidRDefault="006248F4" w:rsidP="006248F4">
      <w:pPr>
        <w:pStyle w:val="CETBodytext"/>
        <w:rPr>
          <w:rFonts w:ascii="Times New Roman" w:hAnsi="Times New Roman"/>
          <w:sz w:val="20"/>
          <w:lang w:val="en-GB"/>
        </w:rPr>
      </w:pPr>
    </w:p>
    <w:p w14:paraId="3553FDBB" w14:textId="77777777" w:rsidR="006248F4" w:rsidRPr="006248F4" w:rsidRDefault="006248F4" w:rsidP="006248F4">
      <w:pPr>
        <w:pStyle w:val="CETBodytext"/>
        <w:rPr>
          <w:rFonts w:ascii="Times New Roman" w:hAnsi="Times New Roman"/>
          <w:sz w:val="20"/>
          <w:lang w:val="en-GB"/>
        </w:rPr>
      </w:pPr>
      <w:r w:rsidRPr="006248F4">
        <w:rPr>
          <w:rFonts w:ascii="Times New Roman" w:hAnsi="Times New Roman"/>
          <w:noProof/>
          <w:sz w:val="20"/>
          <w:lang w:val="en-GB"/>
        </w:rPr>
        <mc:AlternateContent>
          <mc:Choice Requires="wps">
            <w:drawing>
              <wp:anchor distT="45720" distB="45720" distL="114300" distR="114300" simplePos="0" relativeHeight="251659264" behindDoc="0" locked="0" layoutInCell="1" allowOverlap="1" wp14:anchorId="323847C9" wp14:editId="3426BE2A">
                <wp:simplePos x="0" y="0"/>
                <wp:positionH relativeFrom="column">
                  <wp:posOffset>5569902</wp:posOffset>
                </wp:positionH>
                <wp:positionV relativeFrom="paragraph">
                  <wp:posOffset>1007428</wp:posOffset>
                </wp:positionV>
                <wp:extent cx="923925" cy="140462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23925" cy="1404620"/>
                        </a:xfrm>
                        <a:prstGeom prst="rect">
                          <a:avLst/>
                        </a:prstGeom>
                        <a:noFill/>
                        <a:ln w="9525">
                          <a:noFill/>
                          <a:miter lim="800000"/>
                          <a:headEnd/>
                          <a:tailEnd/>
                        </a:ln>
                      </wps:spPr>
                      <wps:txbx>
                        <w:txbxContent>
                          <w:p w14:paraId="4907A9E4" w14:textId="77777777" w:rsidR="006248F4" w:rsidRPr="00832FF3" w:rsidRDefault="006248F4" w:rsidP="006248F4">
                            <w:pPr>
                              <w:rPr>
                                <w:color w:val="FFFFFF" w:themeColor="background1"/>
                                <w:sz w:val="16"/>
                                <w:szCs w:val="16"/>
                              </w:rPr>
                            </w:pPr>
                            <w:proofErr w:type="spellStart"/>
                            <w:r>
                              <w:rPr>
                                <w:color w:val="FFFFFF" w:themeColor="background1"/>
                                <w:sz w:val="16"/>
                                <w:szCs w:val="16"/>
                              </w:rPr>
                              <w:t>Tryptophan</w:t>
                            </w:r>
                            <w:proofErr w:type="spellEnd"/>
                            <w:r>
                              <w:rPr>
                                <w:color w:val="FFFFFF" w:themeColor="background1"/>
                                <w:sz w:val="16"/>
                                <w:szCs w:val="16"/>
                              </w:rPr>
                              <w:t>, 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3847C9" id="_x0000_t202" coordsize="21600,21600" o:spt="202" path="m,l,21600r21600,l21600,xe">
                <v:stroke joinstyle="miter"/>
                <v:path gradientshapeok="t" o:connecttype="rect"/>
              </v:shapetype>
              <v:shape id="Casella di testo 2" o:spid="_x0000_s1026" type="#_x0000_t202" style="position:absolute;left:0;text-align:left;margin-left:438.55pt;margin-top:79.35pt;width:72.75pt;height:110.6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" filled="f" stroked="f">
                <v:textbox style="mso-fit-shape-to-text:t">
                  <w:txbxContent>
                    <w:p w14:paraId="4907A9E4" w14:textId="77777777" w:rsidR="006248F4" w:rsidRPr="00832FF3" w:rsidRDefault="006248F4" w:rsidP="006248F4">
                      <w:pPr>
                        <w:rPr>
                          <w:color w:val="FFFFFF" w:themeColor="background1"/>
                          <w:sz w:val="16"/>
                          <w:szCs w:val="16"/>
                        </w:rPr>
                      </w:pPr>
                      <w:proofErr w:type="spellStart"/>
                      <w:r>
                        <w:rPr>
                          <w:color w:val="FFFFFF" w:themeColor="background1"/>
                          <w:sz w:val="16"/>
                          <w:szCs w:val="16"/>
                        </w:rPr>
                        <w:t>Tryptophan</w:t>
                      </w:r>
                      <w:proofErr w:type="spellEnd"/>
                      <w:r>
                        <w:rPr>
                          <w:color w:val="FFFFFF" w:themeColor="background1"/>
                          <w:sz w:val="16"/>
                          <w:szCs w:val="16"/>
                        </w:rPr>
                        <w:t>, 0,3</w:t>
                      </w:r>
                    </w:p>
                  </w:txbxContent>
                </v:textbox>
              </v:shape>
            </w:pict>
          </mc:Fallback>
        </mc:AlternateContent>
      </w:r>
    </w:p>
    <w:p w14:paraId="7239C9F8" w14:textId="77777777" w:rsidR="006248F4" w:rsidRPr="006248F4" w:rsidRDefault="006248F4" w:rsidP="006248F4">
      <w:pPr>
        <w:pStyle w:val="CETBodytext"/>
        <w:jc w:val="center"/>
        <w:rPr>
          <w:rFonts w:ascii="Times New Roman" w:hAnsi="Times New Roman"/>
          <w:sz w:val="20"/>
          <w:lang w:val="en-GB"/>
        </w:rPr>
      </w:pPr>
    </w:p>
    <w:p w14:paraId="2E062389" w14:textId="77777777" w:rsidR="006248F4" w:rsidRPr="006248F4" w:rsidRDefault="006248F4" w:rsidP="006248F4">
      <w:pPr>
        <w:pStyle w:val="CETBodytext"/>
        <w:jc w:val="center"/>
        <w:rPr>
          <w:rFonts w:ascii="Times New Roman" w:hAnsi="Times New Roman"/>
          <w:sz w:val="20"/>
          <w:lang w:val="en-GB"/>
        </w:rPr>
      </w:pPr>
      <w:r w:rsidRPr="006248F4">
        <w:rPr>
          <w:rFonts w:ascii="Times New Roman" w:hAnsi="Times New Roman"/>
          <w:noProof/>
          <w:sz w:val="20"/>
          <w:lang w:val="en-GB"/>
        </w:rPr>
        <w:drawing>
          <wp:inline distT="0" distB="0" distL="0" distR="0" wp14:anchorId="4D5A2A6C" wp14:editId="20EFA85F">
            <wp:extent cx="6142319" cy="28956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8984" cy="2903456"/>
                    </a:xfrm>
                    <a:prstGeom prst="rect">
                      <a:avLst/>
                    </a:prstGeom>
                    <a:noFill/>
                  </pic:spPr>
                </pic:pic>
              </a:graphicData>
            </a:graphic>
          </wp:inline>
        </w:drawing>
      </w:r>
    </w:p>
    <w:p w14:paraId="3C8DFCBC" w14:textId="77777777" w:rsidR="006248F4" w:rsidRPr="006248F4" w:rsidRDefault="006248F4" w:rsidP="006248F4">
      <w:pPr>
        <w:pStyle w:val="CETBodytext"/>
        <w:jc w:val="center"/>
        <w:rPr>
          <w:rFonts w:ascii="Times New Roman" w:hAnsi="Times New Roman"/>
          <w:i/>
          <w:iCs/>
          <w:sz w:val="20"/>
          <w:lang w:val="en-GB"/>
        </w:rPr>
      </w:pPr>
      <w:r w:rsidRPr="006248F4">
        <w:rPr>
          <w:rFonts w:ascii="Times New Roman" w:hAnsi="Times New Roman"/>
          <w:i/>
          <w:iCs/>
          <w:sz w:val="20"/>
          <w:lang w:val="en-GB"/>
        </w:rPr>
        <w:t>Figure 3. Amino acid profile (% of dry weight) of the bacterial biomass used as fish feed.</w:t>
      </w:r>
    </w:p>
    <w:p w14:paraId="2E259A74" w14:textId="77777777" w:rsidR="006248F4" w:rsidRPr="006248F4" w:rsidRDefault="006248F4" w:rsidP="006248F4">
      <w:pPr>
        <w:pStyle w:val="CETBodytext"/>
        <w:jc w:val="center"/>
        <w:rPr>
          <w:rFonts w:ascii="Times New Roman" w:hAnsi="Times New Roman"/>
          <w:i/>
          <w:iCs/>
          <w:sz w:val="20"/>
          <w:lang w:val="en-GB"/>
        </w:rPr>
      </w:pPr>
    </w:p>
    <w:p w14:paraId="73A32C07" w14:textId="77777777" w:rsidR="006248F4" w:rsidRPr="006248F4" w:rsidRDefault="006248F4" w:rsidP="0098582E">
      <w:pPr>
        <w:rPr>
          <w:rFonts w:ascii="Times New Roman" w:hAnsi="Times New Roman" w:cs="Times New Roman"/>
          <w:noProof/>
          <w:lang w:val="en-GB"/>
        </w:rPr>
      </w:pPr>
      <w:r w:rsidRPr="006248F4">
        <w:rPr>
          <w:rFonts w:ascii="Times New Roman" w:hAnsi="Times New Roman" w:cs="Times New Roman"/>
          <w:lang w:val="en-GB"/>
        </w:rPr>
        <w:t>The accumulation of PHAs in the microbial cells was more evident with the fermentation fluid that with the VFAs mix, with percentages increasing from the initial 27.7% and reaching a maximum of 62.3% after the 4</w:t>
      </w:r>
      <w:r w:rsidRPr="006248F4">
        <w:rPr>
          <w:rFonts w:ascii="Times New Roman" w:hAnsi="Times New Roman" w:cs="Times New Roman"/>
          <w:vertAlign w:val="superscript"/>
          <w:lang w:val="en-GB"/>
        </w:rPr>
        <w:t>th</w:t>
      </w:r>
      <w:r w:rsidRPr="006248F4">
        <w:rPr>
          <w:rFonts w:ascii="Times New Roman" w:hAnsi="Times New Roman" w:cs="Times New Roman"/>
          <w:lang w:val="en-GB"/>
        </w:rPr>
        <w:t xml:space="preserve"> spike (Figure 4), while the bacterial biomass remained constant. The PHAs composition indicated that </w:t>
      </w:r>
      <w:r w:rsidRPr="006248F4">
        <w:rPr>
          <w:rFonts w:ascii="Times New Roman" w:hAnsi="Times New Roman" w:cs="Times New Roman"/>
          <w:color w:val="000000"/>
          <w:lang w:val="en-GB" w:eastAsia="it-IT"/>
        </w:rPr>
        <w:t>methyl 3-hydroxypentanoate</w:t>
      </w:r>
      <w:r w:rsidRPr="006248F4">
        <w:rPr>
          <w:rFonts w:ascii="Times New Roman" w:hAnsi="Times New Roman" w:cs="Times New Roman"/>
          <w:lang w:val="en-GB"/>
        </w:rPr>
        <w:t xml:space="preserve"> constituted 100% of the bioplastic at the beginning of the test, while </w:t>
      </w:r>
      <w:r w:rsidRPr="006248F4">
        <w:rPr>
          <w:rFonts w:ascii="Times New Roman" w:hAnsi="Times New Roman" w:cs="Times New Roman"/>
          <w:color w:val="000000"/>
          <w:lang w:val="en-GB" w:eastAsia="it-IT"/>
        </w:rPr>
        <w:t xml:space="preserve">methyl 3-hydroxybutanoate rose steadily during the experiment for both conditions, up to a final methyl 3-hydroxybutanoate/methyl 3-hydroxypentanoate ratio </w:t>
      </w:r>
      <w:r w:rsidRPr="006248F4">
        <w:rPr>
          <w:rFonts w:ascii="Times New Roman" w:hAnsi="Times New Roman" w:cs="Times New Roman"/>
          <w:lang w:val="en-GB"/>
        </w:rPr>
        <w:t>of around 4,21 (</w:t>
      </w:r>
      <w:proofErr w:type="spellStart"/>
      <w:r w:rsidRPr="006248F4">
        <w:rPr>
          <w:rFonts w:ascii="Times New Roman" w:hAnsi="Times New Roman" w:cs="Times New Roman"/>
          <w:lang w:val="en-GB"/>
        </w:rPr>
        <w:t>fermentate</w:t>
      </w:r>
      <w:proofErr w:type="spellEnd"/>
      <w:r w:rsidRPr="006248F4">
        <w:rPr>
          <w:rFonts w:ascii="Times New Roman" w:hAnsi="Times New Roman" w:cs="Times New Roman"/>
          <w:lang w:val="en-GB"/>
        </w:rPr>
        <w:t>) and 3,77 (VFA mix) after the 5th spike%.</w:t>
      </w:r>
    </w:p>
    <w:p w14:paraId="1C0434CB" w14:textId="77777777" w:rsidR="006248F4" w:rsidRPr="006248F4" w:rsidRDefault="006248F4" w:rsidP="006248F4">
      <w:pPr>
        <w:rPr>
          <w:rFonts w:ascii="Times New Roman" w:hAnsi="Times New Roman" w:cs="Times New Roman"/>
          <w:sz w:val="20"/>
        </w:rPr>
      </w:pPr>
      <w:r w:rsidRPr="006248F4">
        <w:rPr>
          <w:rFonts w:ascii="Times New Roman" w:hAnsi="Times New Roman" w:cs="Times New Roman"/>
          <w:noProof/>
        </w:rPr>
        <w:lastRenderedPageBreak/>
        <mc:AlternateContent>
          <mc:Choice Requires="wps">
            <w:drawing>
              <wp:anchor distT="0" distB="0" distL="114300" distR="114300" simplePos="0" relativeHeight="251662336" behindDoc="0" locked="0" layoutInCell="1" allowOverlap="1" wp14:anchorId="679F1F7C" wp14:editId="5E87C943">
                <wp:simplePos x="0" y="0"/>
                <wp:positionH relativeFrom="column">
                  <wp:posOffset>3469640</wp:posOffset>
                </wp:positionH>
                <wp:positionV relativeFrom="paragraph">
                  <wp:posOffset>2280285</wp:posOffset>
                </wp:positionV>
                <wp:extent cx="609600" cy="304800"/>
                <wp:effectExtent l="0" t="0" r="0" b="0"/>
                <wp:wrapNone/>
                <wp:docPr id="7" name="CasellaDiTesto 12"/>
                <wp:cNvGraphicFramePr/>
                <a:graphic xmlns:a="http://schemas.openxmlformats.org/drawingml/2006/main">
                  <a:graphicData uri="http://schemas.microsoft.com/office/word/2010/wordprocessingShape">
                    <wps:wsp>
                      <wps:cNvSpPr txBox="1"/>
                      <wps:spPr>
                        <a:xfrm>
                          <a:off x="0" y="0"/>
                          <a:ext cx="609600" cy="3048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B22DC3A" w14:textId="77777777" w:rsidR="006248F4" w:rsidRPr="00485249" w:rsidRDefault="006248F4" w:rsidP="006248F4">
                            <w:pPr>
                              <w:rPr>
                                <w:rFonts w:hAnsi="Calibri"/>
                                <w:b/>
                                <w:bCs/>
                                <w:color w:val="000000"/>
                                <w:sz w:val="20"/>
                              </w:rPr>
                            </w:pPr>
                            <w:r w:rsidRPr="00485249">
                              <w:rPr>
                                <w:rFonts w:hAnsi="Calibri"/>
                                <w:b/>
                                <w:bCs/>
                                <w:color w:val="000000"/>
                                <w:sz w:val="20"/>
                              </w:rPr>
                              <w:t>MLVSS</w:t>
                            </w:r>
                          </w:p>
                        </w:txbxContent>
                      </wps:txbx>
                      <wps:bodyPr vertOverflow="clip" horzOverflow="clip" wrap="square" rtlCol="0" anchor="t"/>
                    </wps:wsp>
                  </a:graphicData>
                </a:graphic>
              </wp:anchor>
            </w:drawing>
          </mc:Choice>
          <mc:Fallback>
            <w:pict>
              <v:shape w14:anchorId="679F1F7C" id="CasellaDiTesto 12" o:spid="_x0000_s1027" type="#_x0000_t202" style="position:absolute;margin-left:273.2pt;margin-top:179.55pt;width:48pt;height: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" filled="f" stroked="f">
                <v:textbox>
                  <w:txbxContent>
                    <w:p w14:paraId="0B22DC3A" w14:textId="77777777" w:rsidR="006248F4" w:rsidRPr="00485249" w:rsidRDefault="006248F4" w:rsidP="006248F4">
                      <w:pPr>
                        <w:rPr>
                          <w:rFonts w:hAnsi="Calibri"/>
                          <w:b/>
                          <w:bCs/>
                          <w:color w:val="000000"/>
                          <w:sz w:val="20"/>
                        </w:rPr>
                      </w:pPr>
                      <w:r w:rsidRPr="00485249">
                        <w:rPr>
                          <w:rFonts w:hAnsi="Calibri"/>
                          <w:b/>
                          <w:bCs/>
                          <w:color w:val="000000"/>
                          <w:sz w:val="20"/>
                        </w:rPr>
                        <w:t>MLVSS</w:t>
                      </w:r>
                    </w:p>
                  </w:txbxContent>
                </v:textbox>
              </v:shape>
            </w:pict>
          </mc:Fallback>
        </mc:AlternateContent>
      </w:r>
      <w:r w:rsidRPr="006248F4">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A40FACA" wp14:editId="49E1DCFE">
                <wp:simplePos x="0" y="0"/>
                <wp:positionH relativeFrom="column">
                  <wp:posOffset>2805734</wp:posOffset>
                </wp:positionH>
                <wp:positionV relativeFrom="paragraph">
                  <wp:posOffset>832486</wp:posOffset>
                </wp:positionV>
                <wp:extent cx="575020" cy="304800"/>
                <wp:effectExtent l="0" t="95250" r="0" b="95250"/>
                <wp:wrapNone/>
                <wp:docPr id="12" name="CasellaDiTesto 11">
                  <a:extLst xmlns:a="http://schemas.openxmlformats.org/drawingml/2006/main">
                    <a:ext uri="{FF2B5EF4-FFF2-40B4-BE49-F238E27FC236}">
                      <a16:creationId xmlns:a16="http://schemas.microsoft.com/office/drawing/2014/main" id="{727AEB09-DEA9-44F9-BFA2-4089BAC174DC}"/>
                    </a:ext>
                  </a:extLst>
                </wp:docPr>
                <wp:cNvGraphicFramePr/>
                <a:graphic xmlns:a="http://schemas.openxmlformats.org/drawingml/2006/main">
                  <a:graphicData uri="http://schemas.microsoft.com/office/word/2010/wordprocessingShape">
                    <wps:wsp>
                      <wps:cNvSpPr txBox="1"/>
                      <wps:spPr>
                        <a:xfrm rot="19262262">
                          <a:off x="0" y="0"/>
                          <a:ext cx="575020" cy="3048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069BB6D" w14:textId="77777777" w:rsidR="006248F4" w:rsidRPr="00485249" w:rsidRDefault="006248F4" w:rsidP="006248F4">
                            <w:pPr>
                              <w:rPr>
                                <w:rFonts w:hAnsi="Calibri"/>
                                <w:b/>
                                <w:bCs/>
                                <w:color w:val="000000"/>
                                <w:sz w:val="20"/>
                              </w:rPr>
                            </w:pPr>
                            <w:proofErr w:type="spellStart"/>
                            <w:r w:rsidRPr="00485249">
                              <w:rPr>
                                <w:rFonts w:hAnsi="Calibri"/>
                                <w:b/>
                                <w:bCs/>
                                <w:color w:val="000000"/>
                                <w:sz w:val="20"/>
                              </w:rPr>
                              <w:t>sCOD</w:t>
                            </w:r>
                            <w:proofErr w:type="spellEnd"/>
                          </w:p>
                        </w:txbxContent>
                      </wps:txbx>
                      <wps:bodyPr vertOverflow="clip" horzOverflow="clip" wrap="square" rtlCol="0" anchor="t"/>
                    </wps:wsp>
                  </a:graphicData>
                </a:graphic>
              </wp:anchor>
            </w:drawing>
          </mc:Choice>
          <mc:Fallback>
            <w:pict>
              <v:shape w14:anchorId="1A40FACA" id="CasellaDiTesto 11" o:spid="_x0000_s1028" type="#_x0000_t202" style="position:absolute;margin-left:220.9pt;margin-top:65.55pt;width:45.3pt;height:24pt;rotation:-2553433fd;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" filled="f" stroked="f">
                <v:textbox>
                  <w:txbxContent>
                    <w:p w14:paraId="4069BB6D" w14:textId="77777777" w:rsidR="006248F4" w:rsidRPr="00485249" w:rsidRDefault="006248F4" w:rsidP="006248F4">
                      <w:pPr>
                        <w:rPr>
                          <w:rFonts w:hAnsi="Calibri"/>
                          <w:b/>
                          <w:bCs/>
                          <w:color w:val="000000"/>
                          <w:sz w:val="20"/>
                        </w:rPr>
                      </w:pPr>
                      <w:proofErr w:type="spellStart"/>
                      <w:r w:rsidRPr="00485249">
                        <w:rPr>
                          <w:rFonts w:hAnsi="Calibri"/>
                          <w:b/>
                          <w:bCs/>
                          <w:color w:val="000000"/>
                          <w:sz w:val="20"/>
                        </w:rPr>
                        <w:t>sCOD</w:t>
                      </w:r>
                      <w:proofErr w:type="spellEnd"/>
                    </w:p>
                  </w:txbxContent>
                </v:textbox>
              </v:shape>
            </w:pict>
          </mc:Fallback>
        </mc:AlternateContent>
      </w:r>
      <w:r w:rsidRPr="006248F4">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8E7CC4B" wp14:editId="6F955925">
                <wp:simplePos x="0" y="0"/>
                <wp:positionH relativeFrom="column">
                  <wp:posOffset>643890</wp:posOffset>
                </wp:positionH>
                <wp:positionV relativeFrom="paragraph">
                  <wp:posOffset>1375410</wp:posOffset>
                </wp:positionV>
                <wp:extent cx="504825" cy="285750"/>
                <wp:effectExtent l="0" t="0" r="0" b="0"/>
                <wp:wrapNone/>
                <wp:docPr id="14" name="CasellaDiTesto 13">
                  <a:extLst xmlns:a="http://schemas.openxmlformats.org/drawingml/2006/main">
                    <a:ext uri="{FF2B5EF4-FFF2-40B4-BE49-F238E27FC236}">
                      <a16:creationId xmlns:a16="http://schemas.microsoft.com/office/drawing/2014/main" id="{3EEA5582-4251-4F08-A0AC-8EE0292B3F26}"/>
                    </a:ext>
                  </a:extLst>
                </wp:docPr>
                <wp:cNvGraphicFramePr/>
                <a:graphic xmlns:a="http://schemas.openxmlformats.org/drawingml/2006/main">
                  <a:graphicData uri="http://schemas.microsoft.com/office/word/2010/wordprocessingShape">
                    <wps:wsp>
                      <wps:cNvSpPr txBox="1"/>
                      <wps:spPr>
                        <a:xfrm>
                          <a:off x="0" y="0"/>
                          <a:ext cx="504825" cy="2857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DD3623E" w14:textId="77777777" w:rsidR="006248F4" w:rsidRPr="00485249" w:rsidRDefault="006248F4" w:rsidP="006248F4">
                            <w:pPr>
                              <w:rPr>
                                <w:rFonts w:hAnsi="Calibri"/>
                                <w:b/>
                                <w:bCs/>
                                <w:color w:val="000000"/>
                                <w:sz w:val="20"/>
                              </w:rPr>
                            </w:pPr>
                            <w:proofErr w:type="spellStart"/>
                            <w:r w:rsidRPr="00485249">
                              <w:rPr>
                                <w:rFonts w:hAnsi="Calibri"/>
                                <w:b/>
                                <w:bCs/>
                                <w:color w:val="000000"/>
                                <w:sz w:val="20"/>
                              </w:rPr>
                              <w:t>PHAs</w:t>
                            </w:r>
                            <w:proofErr w:type="spellEnd"/>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8E7CC4B" id="CasellaDiTesto 13" o:spid="_x0000_s1029" type="#_x0000_t202" style="position:absolute;margin-left:50.7pt;margin-top:108.3pt;width:39.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" filled="f" stroked="f">
                <v:textbox>
                  <w:txbxContent>
                    <w:p w14:paraId="6DD3623E" w14:textId="77777777" w:rsidR="006248F4" w:rsidRPr="00485249" w:rsidRDefault="006248F4" w:rsidP="006248F4">
                      <w:pPr>
                        <w:rPr>
                          <w:rFonts w:hAnsi="Calibri"/>
                          <w:b/>
                          <w:bCs/>
                          <w:color w:val="000000"/>
                          <w:sz w:val="20"/>
                        </w:rPr>
                      </w:pPr>
                      <w:proofErr w:type="spellStart"/>
                      <w:r w:rsidRPr="00485249">
                        <w:rPr>
                          <w:rFonts w:hAnsi="Calibri"/>
                          <w:b/>
                          <w:bCs/>
                          <w:color w:val="000000"/>
                          <w:sz w:val="20"/>
                        </w:rPr>
                        <w:t>PHAs</w:t>
                      </w:r>
                      <w:proofErr w:type="spellEnd"/>
                    </w:p>
                  </w:txbxContent>
                </v:textbox>
              </v:shape>
            </w:pict>
          </mc:Fallback>
        </mc:AlternateContent>
      </w:r>
      <w:r w:rsidRPr="006248F4">
        <w:rPr>
          <w:rFonts w:ascii="Times New Roman" w:hAnsi="Times New Roman" w:cs="Times New Roman"/>
          <w:noProof/>
          <w:sz w:val="20"/>
        </w:rPr>
        <w:drawing>
          <wp:inline distT="0" distB="0" distL="0" distR="0" wp14:anchorId="4F89E30A" wp14:editId="77D7E78C">
            <wp:extent cx="5566410" cy="2857744"/>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230" cy="2865353"/>
                    </a:xfrm>
                    <a:prstGeom prst="rect">
                      <a:avLst/>
                    </a:prstGeom>
                    <a:noFill/>
                  </pic:spPr>
                </pic:pic>
              </a:graphicData>
            </a:graphic>
          </wp:inline>
        </w:drawing>
      </w:r>
    </w:p>
    <w:p w14:paraId="686A143A" w14:textId="77777777" w:rsidR="006248F4" w:rsidRPr="006248F4" w:rsidRDefault="006248F4" w:rsidP="006248F4">
      <w:pPr>
        <w:pStyle w:val="CETBodytext"/>
        <w:rPr>
          <w:rFonts w:ascii="Times New Roman" w:hAnsi="Times New Roman"/>
          <w:i/>
          <w:iCs/>
          <w:sz w:val="20"/>
          <w:lang w:val="en-GB"/>
        </w:rPr>
      </w:pPr>
      <w:r w:rsidRPr="006248F4">
        <w:rPr>
          <w:rFonts w:ascii="Times New Roman" w:hAnsi="Times New Roman"/>
          <w:i/>
          <w:iCs/>
          <w:sz w:val="20"/>
          <w:lang w:val="en-GB"/>
        </w:rPr>
        <w:t xml:space="preserve">Figure 4. PHAs accumulation test performed with the biomass extracted from the CSTR. The data show the results for the flasks fed with either synthetic VFAs medium (dark shades) or with fermentation fluid (light shades). </w:t>
      </w:r>
    </w:p>
    <w:p w14:paraId="4896F606" w14:textId="77777777" w:rsidR="006248F4" w:rsidRPr="006248F4" w:rsidRDefault="006248F4" w:rsidP="006248F4">
      <w:pPr>
        <w:pStyle w:val="CETBodytext"/>
        <w:rPr>
          <w:rFonts w:ascii="Times New Roman" w:hAnsi="Times New Roman"/>
          <w:b/>
          <w:bCs/>
          <w:sz w:val="20"/>
          <w:lang w:val="en-GB"/>
        </w:rPr>
      </w:pPr>
    </w:p>
    <w:p w14:paraId="62690ECE" w14:textId="77777777" w:rsidR="006248F4" w:rsidRPr="006248F4" w:rsidRDefault="006248F4" w:rsidP="006248F4">
      <w:pPr>
        <w:pStyle w:val="CETBodytext"/>
        <w:rPr>
          <w:rFonts w:ascii="Times New Roman" w:hAnsi="Times New Roman"/>
          <w:b/>
          <w:bCs/>
          <w:sz w:val="22"/>
          <w:szCs w:val="22"/>
          <w:lang w:val="en-GB"/>
        </w:rPr>
      </w:pPr>
      <w:r w:rsidRPr="006248F4">
        <w:rPr>
          <w:rFonts w:ascii="Times New Roman" w:hAnsi="Times New Roman"/>
          <w:b/>
          <w:bCs/>
          <w:sz w:val="22"/>
          <w:szCs w:val="22"/>
          <w:lang w:val="en-GB"/>
        </w:rPr>
        <w:t>4. Conclusions</w:t>
      </w:r>
    </w:p>
    <w:p w14:paraId="7369F1BD" w14:textId="77777777" w:rsidR="006248F4" w:rsidRPr="006248F4" w:rsidRDefault="006248F4" w:rsidP="0098582E">
      <w:pPr>
        <w:pStyle w:val="CETBodytext"/>
        <w:spacing w:line="259" w:lineRule="auto"/>
        <w:rPr>
          <w:rFonts w:ascii="Times New Roman" w:hAnsi="Times New Roman"/>
          <w:sz w:val="22"/>
          <w:szCs w:val="22"/>
          <w:lang w:val="en-GB"/>
        </w:rPr>
      </w:pPr>
      <w:r w:rsidRPr="006248F4">
        <w:rPr>
          <w:rFonts w:ascii="Times New Roman" w:hAnsi="Times New Roman"/>
          <w:sz w:val="22"/>
          <w:szCs w:val="22"/>
          <w:lang w:val="en-GB"/>
        </w:rPr>
        <w:t>Leftovers from food industries and from zootechnical and agricultural practices can be used to produce SCP and therefore fish feed, while at the same reducing the economic and environmental burden linked to waste disposal. The analysis of the microbial biomass produced from the bioreactor and from PHA accumulation test showed that high protein and PHA content can be achieved, therefore producing fish food of great nutritional value. Further work is needed to test the SCP feed on the survival and growth rates of commercial fish species, and to quantify the presence of unwanted compounds such as heavy metals and antibiotics in the feed.</w:t>
      </w:r>
    </w:p>
    <w:p w14:paraId="1845F659" w14:textId="77777777" w:rsidR="00DA51A3" w:rsidRPr="006248F4" w:rsidRDefault="00DA51A3" w:rsidP="00DA51A3">
      <w:pPr>
        <w:snapToGrid w:val="0"/>
        <w:spacing w:before="240" w:line="300" w:lineRule="auto"/>
        <w:rPr>
          <w:rFonts w:ascii="Times New Roman" w:eastAsia="SimSun" w:hAnsi="Times New Roman" w:cs="Times New Roman"/>
          <w:b/>
          <w:bCs/>
          <w:lang w:val="en-US" w:eastAsia="zh-CN"/>
        </w:rPr>
      </w:pPr>
      <w:r w:rsidRPr="006248F4">
        <w:rPr>
          <w:rFonts w:ascii="Times New Roman" w:eastAsia="MS PGothic" w:hAnsi="Times New Roman" w:cs="Times New Roman"/>
          <w:b/>
          <w:bCs/>
          <w:lang w:val="en-US"/>
        </w:rPr>
        <w:t xml:space="preserve">References </w:t>
      </w:r>
    </w:p>
    <w:p w14:paraId="429BD9FB" w14:textId="06F3D88A" w:rsidR="00142E6A" w:rsidRPr="00142E6A" w:rsidRDefault="00142E6A" w:rsidP="0098582E">
      <w:pPr>
        <w:pStyle w:val="CETBodytext"/>
        <w:tabs>
          <w:tab w:val="clear" w:pos="7100"/>
          <w:tab w:val="left" w:pos="426"/>
        </w:tabs>
        <w:spacing w:line="259" w:lineRule="auto"/>
        <w:rPr>
          <w:rFonts w:ascii="Times New Roman" w:hAnsi="Times New Roman"/>
          <w:sz w:val="22"/>
          <w:szCs w:val="22"/>
          <w:lang w:val="en-GB"/>
        </w:rPr>
      </w:pPr>
      <w:r w:rsidRPr="00142E6A">
        <w:rPr>
          <w:rFonts w:ascii="Times New Roman" w:hAnsi="Times New Roman"/>
          <w:sz w:val="22"/>
          <w:szCs w:val="22"/>
          <w:lang w:val="en-GB"/>
        </w:rPr>
        <w:fldChar w:fldCharType="begin"/>
      </w:r>
      <w:r w:rsidRPr="00142E6A">
        <w:rPr>
          <w:rFonts w:ascii="Times New Roman" w:hAnsi="Times New Roman"/>
          <w:sz w:val="22"/>
          <w:szCs w:val="22"/>
          <w:lang w:val="en-GB"/>
        </w:rPr>
        <w:instrText xml:space="preserve"> ADDIN EN.REFLIST </w:instrText>
      </w:r>
      <w:r w:rsidRPr="00142E6A">
        <w:rPr>
          <w:rFonts w:ascii="Times New Roman" w:hAnsi="Times New Roman"/>
          <w:sz w:val="22"/>
          <w:szCs w:val="22"/>
          <w:lang w:val="en-GB"/>
        </w:rPr>
        <w:fldChar w:fldCharType="separate"/>
      </w:r>
      <w:r w:rsidRPr="00142E6A">
        <w:rPr>
          <w:rFonts w:ascii="Times New Roman" w:hAnsi="Times New Roman"/>
          <w:sz w:val="22"/>
          <w:szCs w:val="22"/>
          <w:lang w:val="en-GB"/>
        </w:rPr>
        <w:t>APHA, AWWA, WEF, 1998, Standard Methods for the Examinations of Water and Wastewater. Washington, DC, USA: American Public Health Association.</w:t>
      </w:r>
    </w:p>
    <w:p w14:paraId="70063BFC" w14:textId="77777777" w:rsidR="00142E6A" w:rsidRPr="00142E6A" w:rsidRDefault="00142E6A" w:rsidP="0098582E">
      <w:pPr>
        <w:pStyle w:val="CETBodytext"/>
        <w:tabs>
          <w:tab w:val="left" w:pos="426"/>
        </w:tabs>
        <w:spacing w:line="259" w:lineRule="auto"/>
        <w:rPr>
          <w:rFonts w:ascii="Times New Roman" w:hAnsi="Times New Roman"/>
          <w:sz w:val="22"/>
          <w:szCs w:val="22"/>
          <w:lang w:val="en-GB"/>
        </w:rPr>
      </w:pPr>
      <w:r w:rsidRPr="00142E6A">
        <w:rPr>
          <w:rFonts w:ascii="Times New Roman" w:hAnsi="Times New Roman"/>
          <w:sz w:val="22"/>
          <w:szCs w:val="22"/>
          <w:lang w:val="en-GB"/>
        </w:rPr>
        <w:t>Braunegg, G., Sonnleitner, B., Lafferty, R., 1978, A rapid gas chromatographic method for the determination of poly-β-hydroxybutyric acid in microbial biomass. European journal of applied microbiology and biotechnology, 6(1), 29-37.</w:t>
      </w:r>
    </w:p>
    <w:p w14:paraId="3A382F87" w14:textId="77777777" w:rsidR="00142E6A" w:rsidRPr="00142E6A" w:rsidRDefault="00142E6A" w:rsidP="0098582E">
      <w:pPr>
        <w:pStyle w:val="CETBodytext"/>
        <w:tabs>
          <w:tab w:val="left" w:pos="426"/>
        </w:tabs>
        <w:spacing w:line="259" w:lineRule="auto"/>
        <w:rPr>
          <w:rFonts w:ascii="Times New Roman" w:hAnsi="Times New Roman"/>
          <w:sz w:val="22"/>
          <w:szCs w:val="22"/>
          <w:lang w:val="en-GB"/>
        </w:rPr>
      </w:pPr>
      <w:r w:rsidRPr="00142E6A">
        <w:rPr>
          <w:rFonts w:ascii="Times New Roman" w:hAnsi="Times New Roman"/>
          <w:sz w:val="22"/>
          <w:szCs w:val="22"/>
          <w:lang w:val="en-GB"/>
        </w:rPr>
        <w:t>Chee, Y.Y., Lakshmanan, M., Jeepery, I.F., Hairudin, N.H.M., Sudesh, K., 2019, The Potential Application of Cupriavidus necator as Polyhydroxy-alkanoates Producer and Single Cell Protein. Applied Food Biotechnology, 6(1), 19-34.</w:t>
      </w:r>
    </w:p>
    <w:p w14:paraId="188426FC" w14:textId="77777777" w:rsidR="00142E6A" w:rsidRPr="00142E6A" w:rsidRDefault="00142E6A" w:rsidP="0098582E">
      <w:pPr>
        <w:pStyle w:val="CETBodytext"/>
        <w:tabs>
          <w:tab w:val="left" w:pos="426"/>
        </w:tabs>
        <w:spacing w:line="259" w:lineRule="auto"/>
        <w:rPr>
          <w:rFonts w:ascii="Times New Roman" w:hAnsi="Times New Roman"/>
          <w:sz w:val="22"/>
          <w:szCs w:val="22"/>
          <w:lang w:val="en-GB"/>
        </w:rPr>
      </w:pPr>
      <w:r w:rsidRPr="00142E6A">
        <w:rPr>
          <w:rFonts w:ascii="Times New Roman" w:hAnsi="Times New Roman"/>
          <w:sz w:val="22"/>
          <w:szCs w:val="22"/>
          <w:lang w:val="en-GB"/>
        </w:rPr>
        <w:t>Conca, V., da Ros, C., Valentino, F., Eusebi, A.L., Frison, N., Fatone, F., 2020, Long-term validation of polyhydroxyalkanoates production potential from the sidestream of municipal wastewater treatment plant at pilot scale. Chemical Engineering Journal, 390, 124627.</w:t>
      </w:r>
    </w:p>
    <w:p w14:paraId="20D85C54" w14:textId="77777777" w:rsidR="00142E6A" w:rsidRPr="00142E6A" w:rsidRDefault="00142E6A" w:rsidP="0098582E">
      <w:pPr>
        <w:pStyle w:val="CETBodytext"/>
        <w:tabs>
          <w:tab w:val="left" w:pos="426"/>
        </w:tabs>
        <w:spacing w:line="259" w:lineRule="auto"/>
        <w:rPr>
          <w:rFonts w:ascii="Times New Roman" w:hAnsi="Times New Roman"/>
          <w:sz w:val="22"/>
          <w:szCs w:val="22"/>
          <w:lang w:val="en-GB"/>
        </w:rPr>
      </w:pPr>
      <w:r w:rsidRPr="00142E6A">
        <w:rPr>
          <w:rFonts w:ascii="Times New Roman" w:hAnsi="Times New Roman"/>
          <w:sz w:val="22"/>
          <w:szCs w:val="22"/>
          <w:lang w:val="en-GB"/>
        </w:rPr>
        <w:t>Draher, J., White, N., 2018, HPLC determination of total tryptophan in infant formula and adult/pediatric nutritional formula following enzymatic hydrolysis: single-laboratory validation, first action 2017.03. Journal of AOAC International, 101(3), 824-830.</w:t>
      </w:r>
    </w:p>
    <w:p w14:paraId="275AC0A2" w14:textId="77777777" w:rsidR="00142E6A" w:rsidRPr="00142E6A" w:rsidRDefault="00142E6A" w:rsidP="0098582E">
      <w:pPr>
        <w:pStyle w:val="CETBodytext"/>
        <w:tabs>
          <w:tab w:val="left" w:pos="426"/>
        </w:tabs>
        <w:spacing w:line="259" w:lineRule="auto"/>
        <w:rPr>
          <w:rFonts w:ascii="Times New Roman" w:hAnsi="Times New Roman"/>
          <w:sz w:val="22"/>
          <w:szCs w:val="22"/>
          <w:lang w:val="en-GB"/>
        </w:rPr>
      </w:pPr>
      <w:r w:rsidRPr="00142E6A">
        <w:rPr>
          <w:rFonts w:ascii="Times New Roman" w:hAnsi="Times New Roman"/>
          <w:sz w:val="22"/>
          <w:szCs w:val="22"/>
          <w:lang w:val="en-GB"/>
        </w:rPr>
        <w:t>FAO, 2018. Future of food and agriculture 2018: Alternative Pathways to 2050.</w:t>
      </w:r>
    </w:p>
    <w:p w14:paraId="5F9CD094" w14:textId="53C6DC28" w:rsidR="00142E6A" w:rsidRPr="00142E6A" w:rsidRDefault="00142E6A" w:rsidP="0098582E">
      <w:pPr>
        <w:pStyle w:val="CETBodytext"/>
        <w:tabs>
          <w:tab w:val="left" w:pos="426"/>
        </w:tabs>
        <w:spacing w:line="259" w:lineRule="auto"/>
        <w:rPr>
          <w:rFonts w:ascii="Times New Roman" w:hAnsi="Times New Roman"/>
          <w:sz w:val="22"/>
          <w:szCs w:val="22"/>
          <w:lang w:val="en-GB"/>
        </w:rPr>
      </w:pPr>
      <w:r>
        <w:rPr>
          <w:rFonts w:ascii="Times New Roman" w:hAnsi="Times New Roman"/>
          <w:sz w:val="22"/>
          <w:szCs w:val="22"/>
          <w:lang w:val="en-GB"/>
        </w:rPr>
        <w:tab/>
      </w:r>
      <w:r w:rsidRPr="00142E6A">
        <w:rPr>
          <w:rFonts w:ascii="Times New Roman" w:hAnsi="Times New Roman"/>
          <w:sz w:val="22"/>
          <w:szCs w:val="22"/>
          <w:lang w:val="en-GB"/>
        </w:rPr>
        <w:t>IRSA-CNR, A., 2003, Analytical methods for waters (Vol. 3). Rome, Italy.</w:t>
      </w:r>
    </w:p>
    <w:p w14:paraId="1DFAB3C8" w14:textId="0EF8C2F3" w:rsidR="00142E6A" w:rsidRPr="00142E6A" w:rsidRDefault="00142E6A" w:rsidP="0098582E">
      <w:pPr>
        <w:pStyle w:val="CETBodytext"/>
        <w:tabs>
          <w:tab w:val="left" w:pos="426"/>
        </w:tabs>
        <w:spacing w:line="259" w:lineRule="auto"/>
        <w:rPr>
          <w:rFonts w:ascii="Times New Roman" w:hAnsi="Times New Roman"/>
          <w:sz w:val="22"/>
          <w:szCs w:val="22"/>
          <w:lang w:val="en-GB"/>
        </w:rPr>
      </w:pPr>
      <w:r>
        <w:rPr>
          <w:rFonts w:ascii="Times New Roman" w:hAnsi="Times New Roman"/>
          <w:sz w:val="22"/>
          <w:szCs w:val="22"/>
          <w:lang w:val="en-GB"/>
        </w:rPr>
        <w:tab/>
      </w:r>
      <w:r w:rsidRPr="00142E6A">
        <w:rPr>
          <w:rFonts w:ascii="Times New Roman" w:hAnsi="Times New Roman"/>
          <w:sz w:val="22"/>
          <w:szCs w:val="22"/>
          <w:lang w:val="en-GB"/>
        </w:rPr>
        <w:t>Laranja, J.L., Ludevese-Pascual, G.L., Amar, E.C., Sorgeloos, P., Bossier, P., De Schryver, P., 2014, Poly-beta-hydroxybutyrate (PHB) accumulating Bacillus spp. improve the survival, growth and robustness of Penaeus monodon (Fabricius, 1798) postlarvae. Veterinary Microbiology, 173(3-4), 310-317.</w:t>
      </w:r>
    </w:p>
    <w:p w14:paraId="35CFB65B" w14:textId="77777777" w:rsidR="00142E6A" w:rsidRPr="00142E6A" w:rsidRDefault="00142E6A" w:rsidP="0098582E">
      <w:pPr>
        <w:pStyle w:val="CETBodytext"/>
        <w:tabs>
          <w:tab w:val="left" w:pos="426"/>
        </w:tabs>
        <w:spacing w:line="259" w:lineRule="auto"/>
        <w:rPr>
          <w:rFonts w:ascii="Times New Roman" w:hAnsi="Times New Roman"/>
          <w:sz w:val="22"/>
          <w:szCs w:val="22"/>
          <w:lang w:val="en-GB"/>
        </w:rPr>
      </w:pPr>
      <w:r w:rsidRPr="00142E6A">
        <w:rPr>
          <w:rFonts w:ascii="Times New Roman" w:hAnsi="Times New Roman"/>
          <w:sz w:val="22"/>
          <w:szCs w:val="22"/>
          <w:lang w:val="en-GB"/>
        </w:rPr>
        <w:t>Martínez, E.J., Raghavan, V., González-Andrés, F., Gómez, X., 2015, New biofuel alternatives: integrating waste management and single cell oil production. International journal of molecular sciences, 16(5), 9385-9405.</w:t>
      </w:r>
    </w:p>
    <w:p w14:paraId="7C938B76" w14:textId="77777777" w:rsidR="00142E6A" w:rsidRPr="00142E6A" w:rsidRDefault="00142E6A" w:rsidP="0098582E">
      <w:pPr>
        <w:pStyle w:val="CETBodytext"/>
        <w:tabs>
          <w:tab w:val="left" w:pos="426"/>
        </w:tabs>
        <w:spacing w:line="259" w:lineRule="auto"/>
        <w:rPr>
          <w:rFonts w:ascii="Times New Roman" w:hAnsi="Times New Roman"/>
          <w:sz w:val="22"/>
          <w:szCs w:val="22"/>
          <w:lang w:val="en-GB"/>
        </w:rPr>
      </w:pPr>
      <w:r w:rsidRPr="00142E6A">
        <w:rPr>
          <w:rFonts w:ascii="Times New Roman" w:hAnsi="Times New Roman"/>
          <w:sz w:val="22"/>
          <w:szCs w:val="22"/>
          <w:lang w:val="en-GB"/>
        </w:rPr>
        <w:lastRenderedPageBreak/>
        <w:t>Mekonnen, M.M., Hoekstra, A.Y., 2014, Water footprint benchmarks for crop production: A first global assessment. Ecological indicators, 46, 214-223.</w:t>
      </w:r>
    </w:p>
    <w:p w14:paraId="435A15DE" w14:textId="77777777" w:rsidR="00142E6A" w:rsidRPr="00142E6A" w:rsidRDefault="00142E6A" w:rsidP="0098582E">
      <w:pPr>
        <w:pStyle w:val="CETBodytext"/>
        <w:tabs>
          <w:tab w:val="left" w:pos="426"/>
        </w:tabs>
        <w:spacing w:line="259" w:lineRule="auto"/>
        <w:rPr>
          <w:rFonts w:ascii="Times New Roman" w:hAnsi="Times New Roman"/>
          <w:sz w:val="22"/>
          <w:szCs w:val="22"/>
          <w:lang w:val="en-GB"/>
        </w:rPr>
      </w:pPr>
      <w:r w:rsidRPr="00142E6A">
        <w:rPr>
          <w:rFonts w:ascii="Times New Roman" w:hAnsi="Times New Roman"/>
          <w:sz w:val="22"/>
          <w:szCs w:val="22"/>
          <w:lang w:val="en-GB"/>
        </w:rPr>
        <w:t>Nasseri, A.T., Rasoul-Ami, S., Morowvat, M.H., Ghasemi, Y., 2011, Single Cell Protein: Production and Process. American Journal of Food Technology, 6(2), 103-116.</w:t>
      </w:r>
    </w:p>
    <w:p w14:paraId="7205C3FB" w14:textId="77777777" w:rsidR="00142E6A" w:rsidRPr="00142E6A" w:rsidRDefault="00142E6A" w:rsidP="0098582E">
      <w:pPr>
        <w:pStyle w:val="CETBodytext"/>
        <w:tabs>
          <w:tab w:val="left" w:pos="426"/>
        </w:tabs>
        <w:spacing w:line="259" w:lineRule="auto"/>
        <w:rPr>
          <w:rFonts w:ascii="Times New Roman" w:hAnsi="Times New Roman"/>
          <w:sz w:val="22"/>
          <w:szCs w:val="22"/>
          <w:lang w:val="en-GB"/>
        </w:rPr>
      </w:pPr>
      <w:r w:rsidRPr="00142E6A">
        <w:rPr>
          <w:rFonts w:ascii="Times New Roman" w:hAnsi="Times New Roman"/>
          <w:sz w:val="22"/>
          <w:szCs w:val="22"/>
          <w:lang w:val="en-GB"/>
        </w:rPr>
        <w:t>Righetti, E., Nortilli, S., Fatone, F., Frison, N., Bolzonella, D., 2020, A Multiproduct Biorefinery Approach for the Production of Hydrogen, Methane and Volatile Fatty Acids from Agricultural Waste. Waste and Biomass Valorization, 1-8.</w:t>
      </w:r>
    </w:p>
    <w:p w14:paraId="623C6852" w14:textId="77777777" w:rsidR="00142E6A" w:rsidRPr="00142E6A" w:rsidRDefault="00142E6A" w:rsidP="0098582E">
      <w:pPr>
        <w:pStyle w:val="CETBodytext"/>
        <w:tabs>
          <w:tab w:val="left" w:pos="426"/>
        </w:tabs>
        <w:spacing w:line="259" w:lineRule="auto"/>
        <w:rPr>
          <w:rFonts w:ascii="Times New Roman" w:hAnsi="Times New Roman"/>
          <w:sz w:val="22"/>
          <w:szCs w:val="22"/>
          <w:lang w:val="en-GB"/>
        </w:rPr>
      </w:pPr>
      <w:r w:rsidRPr="00142E6A">
        <w:rPr>
          <w:rFonts w:ascii="Times New Roman" w:hAnsi="Times New Roman"/>
          <w:sz w:val="22"/>
          <w:szCs w:val="22"/>
          <w:lang w:val="en-GB"/>
        </w:rPr>
        <w:t>Sabapathy, P.C., Devaraj, S., Meixner, K., Anburajan, P., Kathirvel, P., Ravikumar, Y., Zabed, H.M., Qi, X., 2020, Recent developments in Polyhydroxyalkanoates (PHAs) production–A review. Bioresource technology, 306, 123132.</w:t>
      </w:r>
    </w:p>
    <w:p w14:paraId="427B009C" w14:textId="77777777" w:rsidR="00142E6A" w:rsidRPr="00142E6A" w:rsidRDefault="00142E6A" w:rsidP="0098582E">
      <w:pPr>
        <w:pStyle w:val="CETBodytext"/>
        <w:tabs>
          <w:tab w:val="left" w:pos="426"/>
        </w:tabs>
        <w:spacing w:line="259" w:lineRule="auto"/>
        <w:rPr>
          <w:rFonts w:ascii="Times New Roman" w:hAnsi="Times New Roman"/>
          <w:sz w:val="22"/>
          <w:szCs w:val="22"/>
          <w:lang w:val="en-GB"/>
        </w:rPr>
      </w:pPr>
      <w:r w:rsidRPr="00142E6A">
        <w:rPr>
          <w:rFonts w:ascii="Times New Roman" w:hAnsi="Times New Roman"/>
          <w:sz w:val="22"/>
          <w:szCs w:val="22"/>
          <w:lang w:val="en-GB"/>
        </w:rPr>
        <w:t>Saeed, M., Yasmin, Y., Murtaza, M.A., Fatima, I., Saeed, S., 2016, Single cell proteins_ A novel value added food product.pdf. Pakistan Journal of Food Science, 26(4), 211-217.</w:t>
      </w:r>
    </w:p>
    <w:p w14:paraId="03D32CF4" w14:textId="77777777" w:rsidR="00142E6A" w:rsidRPr="00142E6A" w:rsidRDefault="00142E6A" w:rsidP="0098582E">
      <w:pPr>
        <w:pStyle w:val="CETBodytext"/>
        <w:tabs>
          <w:tab w:val="left" w:pos="426"/>
        </w:tabs>
        <w:spacing w:line="259" w:lineRule="auto"/>
        <w:rPr>
          <w:rFonts w:ascii="Times New Roman" w:hAnsi="Times New Roman"/>
          <w:sz w:val="22"/>
          <w:szCs w:val="22"/>
          <w:lang w:val="en-GB"/>
        </w:rPr>
      </w:pPr>
      <w:r w:rsidRPr="00142E6A">
        <w:rPr>
          <w:rFonts w:ascii="Times New Roman" w:hAnsi="Times New Roman"/>
          <w:sz w:val="22"/>
          <w:szCs w:val="22"/>
          <w:lang w:val="en-GB"/>
        </w:rPr>
        <w:t>Saint-Denis, T., Goupy, J., 2004, Optimization of a nitrogen analyser based on the Dumas method. Analytica Chimica Acta, 515(1), 191-198.</w:t>
      </w:r>
    </w:p>
    <w:p w14:paraId="57703CAB" w14:textId="77777777" w:rsidR="00142E6A" w:rsidRPr="00142E6A" w:rsidRDefault="00142E6A" w:rsidP="0098582E">
      <w:pPr>
        <w:pStyle w:val="CETBodytext"/>
        <w:tabs>
          <w:tab w:val="left" w:pos="426"/>
        </w:tabs>
        <w:spacing w:line="259" w:lineRule="auto"/>
        <w:rPr>
          <w:rFonts w:ascii="Times New Roman" w:hAnsi="Times New Roman"/>
          <w:sz w:val="22"/>
          <w:szCs w:val="22"/>
          <w:lang w:val="en-GB"/>
        </w:rPr>
      </w:pPr>
      <w:r w:rsidRPr="00142E6A">
        <w:rPr>
          <w:rFonts w:ascii="Times New Roman" w:hAnsi="Times New Roman"/>
          <w:sz w:val="22"/>
          <w:szCs w:val="22"/>
          <w:lang w:val="en-GB"/>
        </w:rPr>
        <w:t>Siddi, M., 2020. The European Green Deal: Assessing its current state and future implementation. Finnish Institute of International Affair, Helsinki.</w:t>
      </w:r>
    </w:p>
    <w:p w14:paraId="07D45686" w14:textId="77777777" w:rsidR="00142E6A" w:rsidRPr="00142E6A" w:rsidRDefault="00142E6A" w:rsidP="0098582E">
      <w:pPr>
        <w:pStyle w:val="CETBodytext"/>
        <w:tabs>
          <w:tab w:val="left" w:pos="426"/>
        </w:tabs>
        <w:spacing w:line="259" w:lineRule="auto"/>
        <w:rPr>
          <w:rFonts w:ascii="Times New Roman" w:hAnsi="Times New Roman"/>
          <w:sz w:val="22"/>
          <w:szCs w:val="22"/>
          <w:lang w:val="en-GB"/>
        </w:rPr>
      </w:pPr>
      <w:r w:rsidRPr="00142E6A">
        <w:rPr>
          <w:rFonts w:ascii="Times New Roman" w:hAnsi="Times New Roman"/>
          <w:sz w:val="22"/>
          <w:szCs w:val="22"/>
          <w:lang w:val="en-GB"/>
        </w:rPr>
        <w:t>Sluiter, A., Hames, B., Ruiz, R., Scarlata, C., Sluiter, J., Templeton, D., Crocker, D., 2008, Determination of structural carbohydrates and lignin in biomass. Laboratory analytical procedure, 1617(1), 1-16.</w:t>
      </w:r>
    </w:p>
    <w:p w14:paraId="78080374" w14:textId="77777777" w:rsidR="00142E6A" w:rsidRPr="00142E6A" w:rsidRDefault="00142E6A" w:rsidP="0098582E">
      <w:pPr>
        <w:pStyle w:val="CETBodytext"/>
        <w:tabs>
          <w:tab w:val="left" w:pos="426"/>
        </w:tabs>
        <w:spacing w:line="259" w:lineRule="auto"/>
        <w:rPr>
          <w:rFonts w:ascii="Times New Roman" w:hAnsi="Times New Roman"/>
          <w:sz w:val="22"/>
          <w:szCs w:val="22"/>
          <w:lang w:val="en-GB"/>
        </w:rPr>
      </w:pPr>
      <w:r w:rsidRPr="00142E6A">
        <w:rPr>
          <w:rFonts w:ascii="Times New Roman" w:hAnsi="Times New Roman"/>
          <w:sz w:val="22"/>
          <w:szCs w:val="22"/>
          <w:lang w:val="en-GB"/>
        </w:rPr>
        <w:t>Suguna, P., Binuramesh, C., Abirami, P., Saranya, V., Poornima, K., Rajeswari, V., Shenbagarathai, R., 2014, Immunostimulation by poly-beta hydroxybutyrate-hydroxyvalerate (PHB-HV) from Bacillus thuringiensis in Oreochromis mossambicus. Fish Shellfish Immunol, 36(1), 90-97.</w:t>
      </w:r>
    </w:p>
    <w:p w14:paraId="667982DB" w14:textId="77777777" w:rsidR="00142E6A" w:rsidRPr="00142E6A" w:rsidRDefault="00142E6A" w:rsidP="0098582E">
      <w:pPr>
        <w:pStyle w:val="CETBodytext"/>
        <w:tabs>
          <w:tab w:val="left" w:pos="426"/>
        </w:tabs>
        <w:spacing w:line="259" w:lineRule="auto"/>
        <w:rPr>
          <w:rFonts w:ascii="Times New Roman" w:hAnsi="Times New Roman"/>
          <w:sz w:val="22"/>
          <w:szCs w:val="22"/>
          <w:lang w:val="en-GB"/>
        </w:rPr>
      </w:pPr>
      <w:r w:rsidRPr="00142E6A">
        <w:rPr>
          <w:rFonts w:ascii="Times New Roman" w:hAnsi="Times New Roman"/>
          <w:sz w:val="22"/>
          <w:szCs w:val="22"/>
          <w:lang w:val="en-GB"/>
        </w:rPr>
        <w:t>Vermeulen, S.J., Campbell, B.M., Ingram, J.S., 2012, Climate change and food systems. Annual review of environment and resources, 37, 195-222.</w:t>
      </w:r>
    </w:p>
    <w:p w14:paraId="5E9E065D" w14:textId="77777777" w:rsidR="00142E6A" w:rsidRPr="00142E6A" w:rsidRDefault="00142E6A" w:rsidP="0098582E">
      <w:pPr>
        <w:pStyle w:val="CETBodytext"/>
        <w:tabs>
          <w:tab w:val="left" w:pos="426"/>
        </w:tabs>
        <w:spacing w:line="259" w:lineRule="auto"/>
        <w:rPr>
          <w:rFonts w:ascii="Times New Roman" w:hAnsi="Times New Roman"/>
          <w:sz w:val="22"/>
          <w:szCs w:val="22"/>
          <w:lang w:val="en-GB"/>
        </w:rPr>
      </w:pPr>
      <w:r w:rsidRPr="00142E6A">
        <w:rPr>
          <w:rFonts w:ascii="Times New Roman" w:hAnsi="Times New Roman"/>
          <w:sz w:val="22"/>
          <w:szCs w:val="22"/>
          <w:lang w:val="en-GB"/>
        </w:rPr>
        <w:t>Yadav, B., Chavan, S., Atmakuri, A., Tyagi, R.D., Drogui, P., 2020, A review on recovery of proteins from industrial wastewaters with special emphasis on PHA production process: Sustainable circular bioeconomy process development. Bioresource technology, 317, 124006.</w:t>
      </w:r>
    </w:p>
    <w:p w14:paraId="086CAD5F" w14:textId="6F6712D2" w:rsidR="00F66C20" w:rsidRDefault="00142E6A" w:rsidP="0098582E">
      <w:pPr>
        <w:pStyle w:val="CETBodytext"/>
        <w:tabs>
          <w:tab w:val="left" w:pos="426"/>
        </w:tabs>
        <w:spacing w:line="259" w:lineRule="auto"/>
        <w:rPr>
          <w:rFonts w:ascii="Times New Roman" w:hAnsi="Times New Roman"/>
        </w:rPr>
      </w:pPr>
      <w:r w:rsidRPr="00142E6A">
        <w:rPr>
          <w:rFonts w:ascii="Times New Roman" w:hAnsi="Times New Roman"/>
          <w:sz w:val="22"/>
          <w:szCs w:val="22"/>
          <w:lang w:val="en-GB"/>
        </w:rPr>
        <w:fldChar w:fldCharType="end"/>
      </w:r>
    </w:p>
    <w:p w14:paraId="5A650773" w14:textId="1C228BC9" w:rsidR="005B71B2" w:rsidRPr="006248F4" w:rsidRDefault="005B71B2">
      <w:pPr>
        <w:rPr>
          <w:rFonts w:ascii="Times New Roman" w:hAnsi="Times New Roman" w:cs="Times New Roman"/>
          <w:lang w:val="en-US"/>
        </w:rPr>
      </w:pPr>
    </w:p>
    <w:sectPr w:rsidR="005B71B2" w:rsidRPr="006248F4" w:rsidSect="001D0E0C">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D1C90" w14:textId="77777777" w:rsidR="00AB1801" w:rsidRDefault="00AB1801" w:rsidP="001D0E0C">
      <w:pPr>
        <w:spacing w:after="0" w:line="240" w:lineRule="auto"/>
      </w:pPr>
      <w:r>
        <w:separator/>
      </w:r>
    </w:p>
  </w:endnote>
  <w:endnote w:type="continuationSeparator" w:id="0">
    <w:p w14:paraId="3239361C" w14:textId="77777777" w:rsidR="00AB1801" w:rsidRDefault="00AB1801"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1F3FE" w14:textId="77777777" w:rsidR="00AB1801" w:rsidRDefault="00AB1801" w:rsidP="001D0E0C">
      <w:pPr>
        <w:spacing w:after="0" w:line="240" w:lineRule="auto"/>
      </w:pPr>
      <w:r>
        <w:separator/>
      </w:r>
    </w:p>
  </w:footnote>
  <w:footnote w:type="continuationSeparator" w:id="0">
    <w:p w14:paraId="1A191C66" w14:textId="77777777" w:rsidR="00AB1801" w:rsidRDefault="00AB1801"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517B4"/>
    <w:rsid w:val="00142E6A"/>
    <w:rsid w:val="0018667F"/>
    <w:rsid w:val="001B060D"/>
    <w:rsid w:val="001D0E0C"/>
    <w:rsid w:val="00335A3C"/>
    <w:rsid w:val="003375E7"/>
    <w:rsid w:val="003F160A"/>
    <w:rsid w:val="00402674"/>
    <w:rsid w:val="004373FC"/>
    <w:rsid w:val="004C56B4"/>
    <w:rsid w:val="005B71B2"/>
    <w:rsid w:val="005C2A12"/>
    <w:rsid w:val="006248F4"/>
    <w:rsid w:val="00697CD6"/>
    <w:rsid w:val="006F0F8F"/>
    <w:rsid w:val="00752456"/>
    <w:rsid w:val="008064EA"/>
    <w:rsid w:val="008871B1"/>
    <w:rsid w:val="0098582E"/>
    <w:rsid w:val="00A32A7D"/>
    <w:rsid w:val="00AB1801"/>
    <w:rsid w:val="00C40840"/>
    <w:rsid w:val="00CF7302"/>
    <w:rsid w:val="00D03DB3"/>
    <w:rsid w:val="00D322F1"/>
    <w:rsid w:val="00D33C69"/>
    <w:rsid w:val="00D412A9"/>
    <w:rsid w:val="00DA51A3"/>
    <w:rsid w:val="00DB7F8E"/>
    <w:rsid w:val="00DD2D8C"/>
    <w:rsid w:val="00E864B0"/>
    <w:rsid w:val="00F24290"/>
    <w:rsid w:val="00F66C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paragraph" w:customStyle="1" w:styleId="CETBodytext">
    <w:name w:val="CET Body text"/>
    <w:link w:val="CETBodytextCarattere"/>
    <w:qFormat/>
    <w:rsid w:val="006248F4"/>
    <w:pPr>
      <w:tabs>
        <w:tab w:val="right" w:pos="7100"/>
      </w:tabs>
      <w:spacing w:after="0" w:line="264" w:lineRule="auto"/>
      <w:jc w:val="both"/>
    </w:pPr>
    <w:rPr>
      <w:rFonts w:ascii="Arial" w:eastAsia="Times New Roman" w:hAnsi="Arial" w:cs="Times New Roman"/>
      <w:sz w:val="18"/>
      <w:szCs w:val="20"/>
      <w:lang w:val="en-US"/>
    </w:rPr>
  </w:style>
  <w:style w:type="character" w:customStyle="1" w:styleId="CETBodytextCarattere">
    <w:name w:val="CET Body text Carattere"/>
    <w:link w:val="CETBodytext"/>
    <w:rsid w:val="006248F4"/>
    <w:rPr>
      <w:rFonts w:ascii="Arial" w:eastAsia="Times New Roman" w:hAnsi="Arial" w:cs="Times New Roman"/>
      <w:sz w:val="18"/>
      <w:szCs w:val="20"/>
      <w:lang w:val="en-US"/>
    </w:rPr>
  </w:style>
  <w:style w:type="table" w:styleId="Tabellasemplice-2">
    <w:name w:val="Plain Table 2"/>
    <w:basedOn w:val="Tabellanormale"/>
    <w:uiPriority w:val="42"/>
    <w:rsid w:val="006248F4"/>
    <w:pPr>
      <w:spacing w:after="0" w:line="240" w:lineRule="auto"/>
    </w:pPr>
    <w:rPr>
      <w:rFonts w:ascii="Calibri" w:eastAsia="Calibri" w:hAnsi="Calibri" w:cs="Times New Roman"/>
      <w:sz w:val="20"/>
      <w:szCs w:val="20"/>
      <w:lang w:val="el-GR" w:eastAsia="el-G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Carpredefinitoparagrafo"/>
    <w:rsid w:val="006248F4"/>
  </w:style>
  <w:style w:type="paragraph" w:customStyle="1" w:styleId="EndNoteBibliography">
    <w:name w:val="EndNote Bibliography"/>
    <w:basedOn w:val="Normale"/>
    <w:link w:val="EndNoteBibliographyCarattere"/>
    <w:rsid w:val="00142E6A"/>
    <w:pPr>
      <w:tabs>
        <w:tab w:val="right" w:pos="7100"/>
      </w:tabs>
      <w:spacing w:after="0" w:line="240" w:lineRule="auto"/>
    </w:pPr>
    <w:rPr>
      <w:rFonts w:ascii="Arial" w:eastAsia="Times New Roman" w:hAnsi="Arial" w:cs="Arial"/>
      <w:noProof/>
      <w:sz w:val="20"/>
      <w:szCs w:val="20"/>
      <w:lang w:val="en-US"/>
    </w:rPr>
  </w:style>
  <w:style w:type="character" w:customStyle="1" w:styleId="EndNoteBibliographyCarattere">
    <w:name w:val="EndNote Bibliography Carattere"/>
    <w:basedOn w:val="CETBodytextCarattere"/>
    <w:link w:val="EndNoteBibliography"/>
    <w:rsid w:val="00142E6A"/>
    <w:rPr>
      <w:rFonts w:ascii="Arial" w:eastAsia="Times New Roman" w:hAnsi="Arial" w:cs="Arial"/>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A118E17-E3B6-4B33-9908-39DE996BC2F2}">
  <we:reference id="f78a3046-9e99-4300-aa2b-5814002b01a2" version="1.35.0.0" store="EXCatalog" storeType="EXCatalog"/>
  <we:alternateReferences>
    <we:reference id="WA104382081" version="1.35.0.0" store="it-IT" storeType="OMEX"/>
  </we:alternateReferences>
  <we:properties>
    <we:property name="MENDELEY_CITATIONS" value="[]"/>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B478F-A65A-4946-B2C1-53CD65D1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2332</Words>
  <Characters>13294</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Nicola Frison</cp:lastModifiedBy>
  <cp:revision>3</cp:revision>
  <cp:lastPrinted>2022-01-31T11:56:00Z</cp:lastPrinted>
  <dcterms:created xsi:type="dcterms:W3CDTF">2022-03-10T17:53:00Z</dcterms:created>
  <dcterms:modified xsi:type="dcterms:W3CDTF">2022-03-11T12:24:00Z</dcterms:modified>
</cp:coreProperties>
</file>