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E7BE" w14:textId="7F95BA8B" w:rsidR="00DA51A3" w:rsidRPr="00466FFD" w:rsidRDefault="00FD0B5B"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A comprehensive chemical kinetic framework for the thermo-catalytic pyrolysis of </w:t>
      </w:r>
      <w:r w:rsidR="00DF4D23">
        <w:rPr>
          <w:rFonts w:ascii="Times New Roman" w:eastAsia="MS PGothic" w:hAnsi="Times New Roman"/>
          <w:b/>
          <w:bCs/>
          <w:sz w:val="24"/>
          <w:szCs w:val="24"/>
          <w:lang w:val="en-US"/>
        </w:rPr>
        <w:t xml:space="preserve">light hydrocarbons </w:t>
      </w:r>
      <w:r>
        <w:rPr>
          <w:rFonts w:ascii="Times New Roman" w:eastAsia="MS PGothic" w:hAnsi="Times New Roman"/>
          <w:b/>
          <w:bCs/>
          <w:sz w:val="24"/>
          <w:szCs w:val="24"/>
          <w:lang w:val="en-US"/>
        </w:rPr>
        <w:t xml:space="preserve">for value added carbon solids and </w:t>
      </w:r>
      <w:r w:rsidR="00DF4D23">
        <w:rPr>
          <w:rFonts w:ascii="Times New Roman" w:eastAsia="MS PGothic" w:hAnsi="Times New Roman"/>
          <w:b/>
          <w:bCs/>
          <w:sz w:val="24"/>
          <w:szCs w:val="24"/>
          <w:lang w:val="en-US"/>
        </w:rPr>
        <w:t xml:space="preserve">turquoise </w:t>
      </w:r>
      <w:r>
        <w:rPr>
          <w:rFonts w:ascii="Times New Roman" w:eastAsia="MS PGothic" w:hAnsi="Times New Roman"/>
          <w:b/>
          <w:bCs/>
          <w:sz w:val="24"/>
          <w:szCs w:val="24"/>
          <w:lang w:val="en-US"/>
        </w:rPr>
        <w:t>hydrogen production.</w:t>
      </w:r>
    </w:p>
    <w:p w14:paraId="243AAF34" w14:textId="397797D6" w:rsidR="00DA51A3" w:rsidRPr="00FD0B5B" w:rsidRDefault="00FD0B5B" w:rsidP="00DA51A3">
      <w:pPr>
        <w:snapToGrid w:val="0"/>
        <w:jc w:val="center"/>
        <w:rPr>
          <w:rFonts w:ascii="Times New Roman" w:eastAsia="MS PGothic" w:hAnsi="Times New Roman"/>
          <w:sz w:val="24"/>
          <w:szCs w:val="24"/>
        </w:rPr>
      </w:pPr>
      <w:r w:rsidRPr="00FD0B5B">
        <w:rPr>
          <w:rFonts w:ascii="Times New Roman" w:eastAsia="SimSun" w:hAnsi="Times New Roman"/>
          <w:sz w:val="24"/>
          <w:szCs w:val="24"/>
          <w:u w:val="single"/>
          <w:lang w:eastAsia="zh-CN"/>
        </w:rPr>
        <w:t>Matteo Pelucchi</w:t>
      </w:r>
      <w:r w:rsidR="00DA51A3" w:rsidRPr="00FD0B5B">
        <w:rPr>
          <w:rFonts w:ascii="Times New Roman" w:eastAsia="SimSun" w:hAnsi="Times New Roman"/>
          <w:sz w:val="24"/>
          <w:szCs w:val="24"/>
          <w:u w:val="single"/>
          <w:vertAlign w:val="superscript"/>
          <w:lang w:eastAsia="zh-CN"/>
        </w:rPr>
        <w:t>1</w:t>
      </w:r>
      <w:r>
        <w:rPr>
          <w:rFonts w:ascii="Times New Roman" w:eastAsia="SimSun" w:hAnsi="Times New Roman"/>
          <w:sz w:val="24"/>
          <w:szCs w:val="24"/>
          <w:u w:val="single"/>
          <w:vertAlign w:val="superscript"/>
          <w:lang w:eastAsia="zh-CN"/>
        </w:rPr>
        <w:t>*</w:t>
      </w:r>
      <w:r w:rsidR="00DA51A3" w:rsidRPr="00FD0B5B">
        <w:rPr>
          <w:rFonts w:ascii="Times New Roman" w:eastAsia="SimSun" w:hAnsi="Times New Roman"/>
          <w:sz w:val="24"/>
          <w:szCs w:val="24"/>
          <w:lang w:eastAsia="zh-CN"/>
        </w:rPr>
        <w:t xml:space="preserve">, </w:t>
      </w:r>
      <w:r w:rsidRPr="00FD0B5B">
        <w:rPr>
          <w:rFonts w:ascii="Times New Roman" w:eastAsia="SimSun" w:hAnsi="Times New Roman"/>
          <w:sz w:val="24"/>
          <w:szCs w:val="24"/>
          <w:lang w:eastAsia="zh-CN"/>
        </w:rPr>
        <w:t>Francesco Serse</w:t>
      </w:r>
      <w:r w:rsidRPr="00FD0B5B">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xml:space="preserve">, </w:t>
      </w:r>
      <w:r w:rsidR="00A15F66">
        <w:rPr>
          <w:rFonts w:ascii="Times New Roman" w:eastAsia="SimSun" w:hAnsi="Times New Roman"/>
          <w:sz w:val="24"/>
          <w:szCs w:val="24"/>
          <w:lang w:eastAsia="zh-CN"/>
        </w:rPr>
        <w:t>Clarissa Giudici</w:t>
      </w:r>
      <w:r w:rsidR="00A15F66" w:rsidRPr="00FD0B5B">
        <w:rPr>
          <w:rFonts w:ascii="Times New Roman" w:eastAsia="SimSun" w:hAnsi="Times New Roman"/>
          <w:sz w:val="24"/>
          <w:szCs w:val="24"/>
          <w:vertAlign w:val="superscript"/>
          <w:lang w:eastAsia="zh-CN"/>
        </w:rPr>
        <w:t>1</w:t>
      </w:r>
      <w:r w:rsidR="00A15F66">
        <w:rPr>
          <w:rFonts w:ascii="Times New Roman" w:eastAsia="SimSun" w:hAnsi="Times New Roman"/>
          <w:sz w:val="24"/>
          <w:szCs w:val="24"/>
          <w:lang w:eastAsia="zh-CN"/>
        </w:rPr>
        <w:t xml:space="preserve">, </w:t>
      </w:r>
      <w:proofErr w:type="spellStart"/>
      <w:r w:rsidR="003559A2">
        <w:rPr>
          <w:rFonts w:ascii="Times New Roman" w:eastAsia="SimSun" w:hAnsi="Times New Roman"/>
          <w:sz w:val="24"/>
          <w:szCs w:val="24"/>
          <w:lang w:eastAsia="zh-CN"/>
        </w:rPr>
        <w:t>Zhaobin</w:t>
      </w:r>
      <w:proofErr w:type="spellEnd"/>
      <w:r w:rsidR="003559A2">
        <w:rPr>
          <w:rFonts w:ascii="Times New Roman" w:eastAsia="SimSun" w:hAnsi="Times New Roman"/>
          <w:sz w:val="24"/>
          <w:szCs w:val="24"/>
          <w:lang w:eastAsia="zh-CN"/>
        </w:rPr>
        <w:t xml:space="preserve"> Ding</w:t>
      </w:r>
      <w:r w:rsidR="003559A2">
        <w:rPr>
          <w:rFonts w:ascii="Times New Roman" w:eastAsia="SimSun" w:hAnsi="Times New Roman"/>
          <w:sz w:val="24"/>
          <w:szCs w:val="24"/>
          <w:vertAlign w:val="superscript"/>
          <w:lang w:eastAsia="zh-CN"/>
        </w:rPr>
        <w:t>2</w:t>
      </w:r>
      <w:r w:rsidR="003559A2">
        <w:rPr>
          <w:rFonts w:ascii="Times New Roman" w:eastAsia="SimSun" w:hAnsi="Times New Roman"/>
          <w:sz w:val="24"/>
          <w:szCs w:val="24"/>
          <w:lang w:eastAsia="zh-CN"/>
        </w:rPr>
        <w:t xml:space="preserve">, </w:t>
      </w:r>
      <w:r>
        <w:rPr>
          <w:rFonts w:ascii="Times New Roman" w:eastAsia="SimSun" w:hAnsi="Times New Roman"/>
          <w:sz w:val="24"/>
          <w:szCs w:val="24"/>
          <w:lang w:eastAsia="zh-CN"/>
        </w:rPr>
        <w:t>Andrea Nobili</w:t>
      </w:r>
      <w:r w:rsidRPr="00FD0B5B">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Davide Cafaro</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Daniele Micale</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xml:space="preserve">, </w:t>
      </w:r>
      <w:r w:rsidR="00A15F66">
        <w:rPr>
          <w:rFonts w:ascii="Times New Roman" w:eastAsia="SimSun" w:hAnsi="Times New Roman"/>
          <w:sz w:val="24"/>
          <w:szCs w:val="24"/>
          <w:lang w:eastAsia="zh-CN"/>
        </w:rPr>
        <w:t>Matteo Ferri</w:t>
      </w:r>
      <w:r w:rsidR="00A15F66">
        <w:rPr>
          <w:rFonts w:ascii="Times New Roman" w:eastAsia="SimSun" w:hAnsi="Times New Roman"/>
          <w:sz w:val="24"/>
          <w:szCs w:val="24"/>
          <w:vertAlign w:val="superscript"/>
          <w:lang w:eastAsia="zh-CN"/>
        </w:rPr>
        <w:t>2</w:t>
      </w:r>
      <w:r w:rsidR="00A15F66">
        <w:rPr>
          <w:rFonts w:ascii="Times New Roman" w:eastAsia="SimSun" w:hAnsi="Times New Roman"/>
          <w:sz w:val="24"/>
          <w:szCs w:val="24"/>
          <w:lang w:eastAsia="zh-CN"/>
        </w:rPr>
        <w:t xml:space="preserve">, </w:t>
      </w:r>
      <w:r>
        <w:rPr>
          <w:rFonts w:ascii="Times New Roman" w:eastAsia="SimSun" w:hAnsi="Times New Roman"/>
          <w:sz w:val="24"/>
          <w:szCs w:val="24"/>
          <w:lang w:eastAsia="zh-CN"/>
        </w:rPr>
        <w:t>Mauro Bracconi</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Matteo Maestri</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xml:space="preserve"> </w:t>
      </w:r>
    </w:p>
    <w:p w14:paraId="2D250A15" w14:textId="4D1D34CD" w:rsidR="00FD0B5B" w:rsidRPr="00A15F66" w:rsidRDefault="00DA51A3" w:rsidP="00DA51A3">
      <w:pPr>
        <w:snapToGrid w:val="0"/>
        <w:spacing w:after="120"/>
        <w:jc w:val="center"/>
        <w:rPr>
          <w:rFonts w:ascii="Times New Roman" w:eastAsia="MS PGothic" w:hAnsi="Times New Roman"/>
          <w:i/>
          <w:iCs/>
          <w:sz w:val="20"/>
        </w:rPr>
      </w:pPr>
      <w:r w:rsidRPr="00733ED4">
        <w:rPr>
          <w:rFonts w:ascii="Times New Roman" w:eastAsia="MS PGothic" w:hAnsi="Times New Roman"/>
          <w:i/>
          <w:iCs/>
          <w:sz w:val="20"/>
          <w:vertAlign w:val="superscript"/>
        </w:rPr>
        <w:t>1</w:t>
      </w:r>
      <w:r w:rsidR="00FD0B5B" w:rsidRPr="00A15F66">
        <w:rPr>
          <w:rFonts w:ascii="Times New Roman" w:eastAsia="MS PGothic" w:hAnsi="Times New Roman"/>
          <w:i/>
          <w:iCs/>
          <w:sz w:val="20"/>
        </w:rPr>
        <w:t xml:space="preserve">CRECK Modeling Lab. Department of Chemistry </w:t>
      </w:r>
      <w:proofErr w:type="spellStart"/>
      <w:r w:rsidR="00FD0B5B" w:rsidRPr="00A15F66">
        <w:rPr>
          <w:rFonts w:ascii="Times New Roman" w:eastAsia="MS PGothic" w:hAnsi="Times New Roman"/>
          <w:i/>
          <w:iCs/>
          <w:sz w:val="20"/>
        </w:rPr>
        <w:t>Materials</w:t>
      </w:r>
      <w:proofErr w:type="spellEnd"/>
      <w:r w:rsidR="00FD0B5B" w:rsidRPr="00A15F66">
        <w:rPr>
          <w:rFonts w:ascii="Times New Roman" w:eastAsia="MS PGothic" w:hAnsi="Times New Roman"/>
          <w:i/>
          <w:iCs/>
          <w:sz w:val="20"/>
        </w:rPr>
        <w:t xml:space="preserve"> and Chemical Engineering, Politecnico di Milano, Piazza Leonardo da Vinci 32, 20133, Milano</w:t>
      </w:r>
    </w:p>
    <w:p w14:paraId="7A602332" w14:textId="747F8C0A" w:rsidR="00DA51A3" w:rsidRPr="00FD0B5B" w:rsidRDefault="00DA51A3" w:rsidP="00DA51A3">
      <w:pPr>
        <w:snapToGrid w:val="0"/>
        <w:spacing w:after="120"/>
        <w:jc w:val="center"/>
        <w:rPr>
          <w:rFonts w:ascii="Times New Roman" w:eastAsia="MS PGothic" w:hAnsi="Times New Roman"/>
          <w:i/>
          <w:iCs/>
          <w:sz w:val="20"/>
        </w:rPr>
      </w:pPr>
      <w:r w:rsidRPr="00733ED4">
        <w:rPr>
          <w:rFonts w:ascii="Times New Roman" w:eastAsia="MS PGothic" w:hAnsi="Times New Roman"/>
          <w:i/>
          <w:iCs/>
          <w:sz w:val="20"/>
          <w:vertAlign w:val="superscript"/>
        </w:rPr>
        <w:t>2</w:t>
      </w:r>
      <w:r w:rsidR="00FD0B5B" w:rsidRPr="00FD0B5B">
        <w:rPr>
          <w:rFonts w:ascii="Times New Roman" w:eastAsia="MS PGothic" w:hAnsi="Times New Roman"/>
          <w:i/>
          <w:iCs/>
          <w:sz w:val="20"/>
        </w:rPr>
        <w:t>Department of Energy, Politecnico di Milano, Via La Masa, 34, 20156, Milano</w:t>
      </w:r>
    </w:p>
    <w:p w14:paraId="5533360A" w14:textId="7B52EBB9"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FD0B5B">
        <w:rPr>
          <w:rFonts w:ascii="Times New Roman" w:eastAsia="MS PGothic" w:hAnsi="Times New Roman"/>
          <w:bCs/>
          <w:i/>
          <w:iCs/>
          <w:sz w:val="20"/>
          <w:lang w:val="en-US"/>
        </w:rPr>
        <w:t>matteo.pelucchi</w:t>
      </w:r>
      <w:r w:rsidRPr="00466FFD">
        <w:rPr>
          <w:rFonts w:ascii="Times New Roman" w:eastAsia="MS PGothic" w:hAnsi="Times New Roman"/>
          <w:bCs/>
          <w:i/>
          <w:iCs/>
          <w:sz w:val="20"/>
          <w:lang w:val="en-US"/>
        </w:rPr>
        <w:t>@</w:t>
      </w:r>
      <w:r w:rsidR="00FD0B5B">
        <w:rPr>
          <w:rFonts w:ascii="Times New Roman" w:eastAsia="MS PGothic" w:hAnsi="Times New Roman"/>
          <w:bCs/>
          <w:i/>
          <w:iCs/>
          <w:sz w:val="20"/>
          <w:lang w:val="en-US"/>
        </w:rPr>
        <w:t>polimi</w:t>
      </w:r>
      <w:r w:rsidRPr="00466FFD">
        <w:rPr>
          <w:rFonts w:ascii="Times New Roman" w:eastAsia="MS PGothic" w:hAnsi="Times New Roman"/>
          <w:bCs/>
          <w:i/>
          <w:iCs/>
          <w:sz w:val="20"/>
          <w:lang w:val="en-US"/>
        </w:rPr>
        <w:t>.</w:t>
      </w:r>
      <w:r w:rsidR="00FD0B5B">
        <w:rPr>
          <w:rFonts w:ascii="Times New Roman" w:eastAsia="MS PGothic" w:hAnsi="Times New Roman"/>
          <w:bCs/>
          <w:i/>
          <w:iCs/>
          <w:sz w:val="20"/>
          <w:lang w:val="en-US"/>
        </w:rPr>
        <w:t>it</w:t>
      </w:r>
    </w:p>
    <w:p w14:paraId="110B92B3" w14:textId="314D17C2"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234DBA">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04078844" w14:textId="78E33619" w:rsidR="00DA51A3" w:rsidRPr="00466FFD" w:rsidRDefault="00FD0B5B" w:rsidP="00E87827">
      <w:pPr>
        <w:snapToGrid w:val="0"/>
        <w:spacing w:after="0"/>
        <w:jc w:val="both"/>
        <w:rPr>
          <w:rFonts w:ascii="Times New Roman" w:eastAsia="MS PGothic" w:hAnsi="Times New Roman"/>
          <w:lang w:val="en-US"/>
        </w:rPr>
      </w:pPr>
      <w:r w:rsidRPr="00FD0B5B">
        <w:rPr>
          <w:rFonts w:ascii="Times New Roman" w:eastAsia="MS PGothic" w:hAnsi="Times New Roman"/>
          <w:lang w:val="en-US"/>
        </w:rPr>
        <w:t xml:space="preserve">The large majority of fossil sources (gas, oil, coal, ~10 </w:t>
      </w:r>
      <w:proofErr w:type="spellStart"/>
      <w:r w:rsidRPr="00FD0B5B">
        <w:rPr>
          <w:rFonts w:ascii="Times New Roman" w:eastAsia="MS PGothic" w:hAnsi="Times New Roman"/>
          <w:lang w:val="en-US"/>
        </w:rPr>
        <w:t>gigatonnes</w:t>
      </w:r>
      <w:proofErr w:type="spellEnd"/>
      <w:r w:rsidRPr="00FD0B5B">
        <w:rPr>
          <w:rFonts w:ascii="Times New Roman" w:eastAsia="MS PGothic" w:hAnsi="Times New Roman"/>
          <w:lang w:val="en-US"/>
        </w:rPr>
        <w:t>/</w:t>
      </w:r>
      <w:proofErr w:type="spellStart"/>
      <w:r w:rsidRPr="00FD0B5B">
        <w:rPr>
          <w:rFonts w:ascii="Times New Roman" w:eastAsia="MS PGothic" w:hAnsi="Times New Roman"/>
          <w:lang w:val="en-US"/>
        </w:rPr>
        <w:t>yr</w:t>
      </w:r>
      <w:proofErr w:type="spellEnd"/>
      <w:r w:rsidRPr="00FD0B5B">
        <w:rPr>
          <w:rFonts w:ascii="Times New Roman" w:eastAsia="MS PGothic" w:hAnsi="Times New Roman"/>
          <w:lang w:val="en-US"/>
        </w:rPr>
        <w:t>) are exploited to generate energy through combustion, the main responsible of CO</w:t>
      </w:r>
      <w:r w:rsidRPr="00FD0B5B">
        <w:rPr>
          <w:rFonts w:ascii="Times New Roman" w:eastAsia="MS PGothic" w:hAnsi="Times New Roman"/>
          <w:vertAlign w:val="subscript"/>
          <w:lang w:val="en-US"/>
        </w:rPr>
        <w:t>2</w:t>
      </w:r>
      <w:r w:rsidRPr="00FD0B5B">
        <w:rPr>
          <w:rFonts w:ascii="Times New Roman" w:eastAsia="MS PGothic" w:hAnsi="Times New Roman"/>
          <w:lang w:val="en-US"/>
        </w:rPr>
        <w:t xml:space="preserve"> emissions (&gt;30 GT/</w:t>
      </w:r>
      <w:proofErr w:type="spellStart"/>
      <w:r w:rsidRPr="00FD0B5B">
        <w:rPr>
          <w:rFonts w:ascii="Times New Roman" w:eastAsia="MS PGothic" w:hAnsi="Times New Roman"/>
          <w:lang w:val="en-US"/>
        </w:rPr>
        <w:t>yr</w:t>
      </w:r>
      <w:proofErr w:type="spellEnd"/>
      <w:r w:rsidRPr="00FD0B5B">
        <w:rPr>
          <w:rFonts w:ascii="Times New Roman" w:eastAsia="MS PGothic" w:hAnsi="Times New Roman"/>
          <w:lang w:val="en-US"/>
        </w:rPr>
        <w:t>) and of climate change. More than 12% of this energy is used by the metal industry to process materials that currently cannot be fully replaced by plastic polymers (e.g. low thermal/electrical conductivity, insufficient strength). In this context, value added carbon solids (VACS) pave the way for sustainable energy and large-scale advanced materials production as well as climate change mitigation</w:t>
      </w:r>
      <w:r w:rsidRPr="00FD0B5B">
        <w:rPr>
          <w:rFonts w:ascii="Times New Roman" w:eastAsia="MS PGothic" w:hAnsi="Times New Roman"/>
          <w:vertAlign w:val="superscript"/>
          <w:lang w:val="en-US"/>
        </w:rPr>
        <w:t>1</w:t>
      </w:r>
      <w:r w:rsidRPr="00FD0B5B">
        <w:rPr>
          <w:rFonts w:ascii="Times New Roman" w:eastAsia="MS PGothic" w:hAnsi="Times New Roman"/>
          <w:lang w:val="en-US"/>
        </w:rPr>
        <w:t>. Specifically, the contextual production of hydrogen and carbon materials from methane</w:t>
      </w:r>
      <w:r>
        <w:rPr>
          <w:rFonts w:ascii="Times New Roman" w:eastAsia="MS PGothic" w:hAnsi="Times New Roman"/>
          <w:lang w:val="en-US"/>
        </w:rPr>
        <w:t xml:space="preserve"> and hydrocarbons</w:t>
      </w:r>
      <w:r w:rsidRPr="00FD0B5B">
        <w:rPr>
          <w:rFonts w:ascii="Times New Roman" w:eastAsia="MS PGothic" w:hAnsi="Times New Roman"/>
          <w:lang w:val="en-US"/>
        </w:rPr>
        <w:t xml:space="preserve"> cracking allows to overcome challenges in storage or disposal of carbon in the form of gas</w:t>
      </w:r>
      <w:r>
        <w:rPr>
          <w:rFonts w:ascii="Times New Roman" w:eastAsia="MS PGothic" w:hAnsi="Times New Roman"/>
          <w:lang w:val="en-US"/>
        </w:rPr>
        <w:t xml:space="preserve"> or</w:t>
      </w:r>
      <w:r w:rsidRPr="00FD0B5B">
        <w:rPr>
          <w:rFonts w:ascii="Times New Roman" w:eastAsia="MS PGothic" w:hAnsi="Times New Roman"/>
          <w:lang w:val="en-US"/>
        </w:rPr>
        <w:t xml:space="preserve"> liquid (e.g. CO</w:t>
      </w:r>
      <w:r w:rsidRPr="00FD0B5B">
        <w:rPr>
          <w:rFonts w:ascii="Times New Roman" w:eastAsia="MS PGothic" w:hAnsi="Times New Roman"/>
          <w:vertAlign w:val="subscript"/>
          <w:lang w:val="en-US"/>
        </w:rPr>
        <w:t>2</w:t>
      </w:r>
      <w:r w:rsidRPr="00FD0B5B">
        <w:rPr>
          <w:rFonts w:ascii="Times New Roman" w:eastAsia="MS PGothic" w:hAnsi="Times New Roman"/>
          <w:lang w:val="en-US"/>
        </w:rPr>
        <w:t>) or solid side products, currently limiting the large scale implementation of carbon capture and storage technologies, by creating valuable products that can be used at large scale (above 1 million tons/</w:t>
      </w:r>
      <w:proofErr w:type="spellStart"/>
      <w:r w:rsidR="00BE28B1">
        <w:rPr>
          <w:rFonts w:ascii="Times New Roman" w:eastAsia="MS PGothic" w:hAnsi="Times New Roman"/>
          <w:lang w:val="en-US"/>
        </w:rPr>
        <w:t>yr</w:t>
      </w:r>
      <w:proofErr w:type="spellEnd"/>
      <w:r w:rsidRPr="00FD0B5B">
        <w:rPr>
          <w:rFonts w:ascii="Times New Roman" w:eastAsia="MS PGothic" w:hAnsi="Times New Roman"/>
          <w:lang w:val="en-US"/>
        </w:rPr>
        <w:t xml:space="preserve">) by displacing metals, ceramics, fertilizers and other materials with high carbon dioxide footprint. Beyond the widely known and implemented technology of carbon black (i.e. amorphous carbon) production, direct conversion of hydrogen rich feedstock such </w:t>
      </w:r>
      <w:r w:rsidR="00733ED4">
        <w:rPr>
          <w:rFonts w:ascii="Times New Roman" w:eastAsia="MS PGothic" w:hAnsi="Times New Roman"/>
          <w:lang w:val="en-US"/>
        </w:rPr>
        <w:t xml:space="preserve">as </w:t>
      </w:r>
      <w:r w:rsidRPr="00FD0B5B">
        <w:rPr>
          <w:rFonts w:ascii="Times New Roman" w:eastAsia="MS PGothic" w:hAnsi="Times New Roman"/>
          <w:lang w:val="en-US"/>
        </w:rPr>
        <w:t>methane</w:t>
      </w:r>
      <w:r w:rsidR="00733ED4">
        <w:rPr>
          <w:rFonts w:ascii="Times New Roman" w:eastAsia="MS PGothic" w:hAnsi="Times New Roman"/>
          <w:lang w:val="en-US"/>
        </w:rPr>
        <w:t xml:space="preserve"> or light hydrocarbons</w:t>
      </w:r>
      <w:r w:rsidRPr="00FD0B5B">
        <w:rPr>
          <w:rFonts w:ascii="Times New Roman" w:eastAsia="MS PGothic" w:hAnsi="Times New Roman"/>
          <w:lang w:val="en-US"/>
        </w:rPr>
        <w:t xml:space="preserve"> to VACS and H</w:t>
      </w:r>
      <w:r w:rsidRPr="00FD0B5B">
        <w:rPr>
          <w:rFonts w:ascii="Times New Roman" w:eastAsia="MS PGothic" w:hAnsi="Times New Roman"/>
          <w:vertAlign w:val="subscript"/>
          <w:lang w:val="en-US"/>
        </w:rPr>
        <w:t>2</w:t>
      </w:r>
      <w:r w:rsidRPr="00FD0B5B">
        <w:rPr>
          <w:rFonts w:ascii="Times New Roman" w:eastAsia="MS PGothic" w:hAnsi="Times New Roman"/>
          <w:lang w:val="en-US"/>
        </w:rPr>
        <w:t xml:space="preserve"> is becoming of increasing scientific and industrial interest. This work proposes a first semi-detailed chemical kinetic framework, hierarchical and modular in nature, able to describe qualitatively and quantitatively the relationships between catalyst, reaction conditions and VACS</w:t>
      </w:r>
      <w:r>
        <w:rPr>
          <w:rFonts w:ascii="Times New Roman" w:eastAsia="MS PGothic" w:hAnsi="Times New Roman"/>
          <w:lang w:val="en-US"/>
        </w:rPr>
        <w:t xml:space="preserve"> (carbon black, carbon nanotubes</w:t>
      </w:r>
      <w:r w:rsidR="00E87827">
        <w:rPr>
          <w:rFonts w:ascii="Times New Roman" w:eastAsia="MS PGothic" w:hAnsi="Times New Roman"/>
          <w:lang w:val="en-US"/>
        </w:rPr>
        <w:t>-CNT</w:t>
      </w:r>
      <w:r>
        <w:rPr>
          <w:rFonts w:ascii="Times New Roman" w:eastAsia="MS PGothic" w:hAnsi="Times New Roman"/>
          <w:lang w:val="en-US"/>
        </w:rPr>
        <w:t>)</w:t>
      </w:r>
      <w:r w:rsidRPr="00FD0B5B">
        <w:rPr>
          <w:rFonts w:ascii="Times New Roman" w:eastAsia="MS PGothic" w:hAnsi="Times New Roman"/>
          <w:lang w:val="en-US"/>
        </w:rPr>
        <w:t xml:space="preserve"> properties in the thermo-catalytic pyrolysis of methane.</w:t>
      </w:r>
      <w:r>
        <w:rPr>
          <w:rFonts w:ascii="Times New Roman" w:eastAsia="MS PGothic" w:hAnsi="Times New Roman"/>
          <w:lang w:val="en-US"/>
        </w:rPr>
        <w:t xml:space="preserve">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6B4470A3" w:rsidR="00DA51A3" w:rsidRPr="00466FFD" w:rsidRDefault="003559A2" w:rsidP="00E87827">
      <w:pPr>
        <w:snapToGrid w:val="0"/>
        <w:spacing w:after="0"/>
        <w:jc w:val="both"/>
        <w:rPr>
          <w:rFonts w:ascii="Times New Roman" w:eastAsia="MS PGothic" w:hAnsi="Times New Roman"/>
          <w:i/>
          <w:lang w:val="en-US"/>
        </w:rPr>
      </w:pPr>
      <w:r w:rsidRPr="003559A2">
        <w:rPr>
          <w:rFonts w:ascii="Times New Roman" w:eastAsia="MS PGothic" w:hAnsi="Times New Roman"/>
          <w:lang w:val="en-US"/>
        </w:rPr>
        <w:t xml:space="preserve">An amorphous carbon model and a VACS growth model are coupled to </w:t>
      </w:r>
      <w:r>
        <w:rPr>
          <w:rFonts w:ascii="Times New Roman" w:eastAsia="MS PGothic" w:hAnsi="Times New Roman"/>
          <w:lang w:val="en-US"/>
        </w:rPr>
        <w:t xml:space="preserve">a homogeneous </w:t>
      </w:r>
      <w:r w:rsidRPr="003559A2">
        <w:rPr>
          <w:rFonts w:ascii="Times New Roman" w:eastAsia="MS PGothic" w:hAnsi="Times New Roman"/>
          <w:lang w:val="en-US"/>
        </w:rPr>
        <w:t xml:space="preserve">gas-phase </w:t>
      </w:r>
      <w:r>
        <w:rPr>
          <w:rFonts w:ascii="Times New Roman" w:eastAsia="MS PGothic" w:hAnsi="Times New Roman"/>
          <w:lang w:val="en-US"/>
        </w:rPr>
        <w:t xml:space="preserve">pyrolysis </w:t>
      </w:r>
      <w:r w:rsidRPr="003559A2">
        <w:rPr>
          <w:rFonts w:ascii="Times New Roman" w:eastAsia="MS PGothic" w:hAnsi="Times New Roman"/>
          <w:lang w:val="en-US"/>
        </w:rPr>
        <w:t xml:space="preserve">model to follow the transition from gas-phase to </w:t>
      </w:r>
      <w:r>
        <w:rPr>
          <w:rFonts w:ascii="Times New Roman" w:eastAsia="MS PGothic" w:hAnsi="Times New Roman"/>
          <w:lang w:val="en-US"/>
        </w:rPr>
        <w:t xml:space="preserve">particulate matter </w:t>
      </w:r>
      <w:r w:rsidRPr="003559A2">
        <w:rPr>
          <w:rFonts w:ascii="Times New Roman" w:eastAsia="MS PGothic" w:hAnsi="Times New Roman"/>
          <w:lang w:val="en-US"/>
        </w:rPr>
        <w:t>particles in the gas phase and to carbon nanotubes (CNT) at the catalyst surface. The amorphous carbon model has been described and extensively validated in a previous work</w:t>
      </w:r>
      <w:r w:rsidR="00F53B86">
        <w:rPr>
          <w:rFonts w:ascii="Times New Roman" w:eastAsia="MS PGothic" w:hAnsi="Times New Roman"/>
          <w:vertAlign w:val="superscript"/>
          <w:lang w:val="en-US"/>
        </w:rPr>
        <w:t>2</w:t>
      </w:r>
      <w:r>
        <w:rPr>
          <w:rFonts w:ascii="Times New Roman" w:eastAsia="MS PGothic" w:hAnsi="Times New Roman"/>
          <w:lang w:val="en-US"/>
        </w:rPr>
        <w:t xml:space="preserve"> and implements recent experimental and theoretical findings on the persistent radical behavior of particles and aggregates</w:t>
      </w:r>
      <w:r w:rsidR="00F53B86">
        <w:rPr>
          <w:rFonts w:ascii="Times New Roman" w:eastAsia="MS PGothic" w:hAnsi="Times New Roman"/>
          <w:vertAlign w:val="superscript"/>
          <w:lang w:val="en-US"/>
        </w:rPr>
        <w:t>3</w:t>
      </w:r>
      <w:r>
        <w:rPr>
          <w:rFonts w:ascii="Times New Roman" w:eastAsia="MS PGothic" w:hAnsi="Times New Roman"/>
          <w:lang w:val="en-US"/>
        </w:rPr>
        <w:t xml:space="preserve">. </w:t>
      </w:r>
      <w:r w:rsidRPr="003559A2">
        <w:rPr>
          <w:rFonts w:ascii="Times New Roman" w:eastAsia="MS PGothic" w:hAnsi="Times New Roman"/>
          <w:lang w:val="en-US"/>
        </w:rPr>
        <w:t>It discretizes heavy PAHs and soot particles into 25 sections of lumped pseudo species, called BINs, from 20 to over 10</w:t>
      </w:r>
      <w:r w:rsidRPr="003559A2">
        <w:rPr>
          <w:rFonts w:ascii="Times New Roman" w:eastAsia="MS PGothic" w:hAnsi="Times New Roman"/>
          <w:vertAlign w:val="superscript"/>
          <w:lang w:val="en-US"/>
        </w:rPr>
        <w:t>8</w:t>
      </w:r>
      <w:r w:rsidRPr="003559A2">
        <w:rPr>
          <w:rFonts w:ascii="Times New Roman" w:eastAsia="MS PGothic" w:hAnsi="Times New Roman"/>
          <w:lang w:val="en-US"/>
        </w:rPr>
        <w:t xml:space="preserve"> C-atoms, with a spacing factor of two. Each section consists of three subsections covering different H/C ratio, with thermochemical and diffusion properties computed through group additivity method and aerosol dynamics theory</w:t>
      </w:r>
      <w:r w:rsidR="00F53B86">
        <w:rPr>
          <w:rFonts w:ascii="Times New Roman" w:eastAsia="MS PGothic" w:hAnsi="Times New Roman"/>
          <w:vertAlign w:val="superscript"/>
          <w:lang w:val="en-US"/>
        </w:rPr>
        <w:t>2</w:t>
      </w:r>
      <w:r w:rsidRPr="003559A2">
        <w:rPr>
          <w:rFonts w:ascii="Times New Roman" w:eastAsia="MS PGothic" w:hAnsi="Times New Roman"/>
          <w:lang w:val="en-US"/>
        </w:rPr>
        <w:t xml:space="preserve">. Different reaction classes are implemented to rigorously describe the main chemical and physical pathways involving amorphous carbon such as </w:t>
      </w:r>
      <w:r w:rsidR="00BE28B1">
        <w:rPr>
          <w:rFonts w:ascii="Times New Roman" w:eastAsia="MS PGothic" w:hAnsi="Times New Roman"/>
          <w:lang w:val="en-US"/>
        </w:rPr>
        <w:t xml:space="preserve">particle </w:t>
      </w:r>
      <w:r w:rsidRPr="003559A2">
        <w:rPr>
          <w:rFonts w:ascii="Times New Roman" w:eastAsia="MS PGothic" w:hAnsi="Times New Roman"/>
          <w:lang w:val="en-US"/>
        </w:rPr>
        <w:t>inception, growth, coagulation, and dehydrogenation. Reference kinetic parameters for particles are derived by analogy from model PAHs molecules accounting for the transition from gas to solid as resulting from extensive density functional theory calculations</w:t>
      </w:r>
      <w:r w:rsidR="00E87827">
        <w:rPr>
          <w:rFonts w:ascii="Times New Roman" w:eastAsia="MS PGothic" w:hAnsi="Times New Roman"/>
          <w:lang w:val="en-US"/>
        </w:rPr>
        <w:t xml:space="preserve"> on large PAHs molecules and graphene layers</w:t>
      </w:r>
      <w:r w:rsidR="00F53B86">
        <w:rPr>
          <w:rFonts w:ascii="Times New Roman" w:eastAsia="MS PGothic" w:hAnsi="Times New Roman"/>
          <w:vertAlign w:val="superscript"/>
          <w:lang w:val="en-US"/>
        </w:rPr>
        <w:t>4</w:t>
      </w:r>
      <w:r w:rsidRPr="003559A2">
        <w:rPr>
          <w:rFonts w:ascii="Times New Roman" w:eastAsia="MS PGothic" w:hAnsi="Times New Roman"/>
          <w:lang w:val="en-US"/>
        </w:rPr>
        <w:t>. The flexibility of the amorphous</w:t>
      </w:r>
      <w:r>
        <w:rPr>
          <w:rFonts w:ascii="Times New Roman" w:eastAsia="MS PGothic" w:hAnsi="Times New Roman"/>
          <w:lang w:val="en-US"/>
        </w:rPr>
        <w:t xml:space="preserve"> gas-phase</w:t>
      </w:r>
      <w:r w:rsidRPr="003559A2">
        <w:rPr>
          <w:rFonts w:ascii="Times New Roman" w:eastAsia="MS PGothic" w:hAnsi="Times New Roman"/>
          <w:lang w:val="en-US"/>
        </w:rPr>
        <w:t xml:space="preserve"> carbon model</w:t>
      </w:r>
      <w:r>
        <w:rPr>
          <w:rFonts w:ascii="Times New Roman" w:eastAsia="MS PGothic" w:hAnsi="Times New Roman"/>
          <w:lang w:val="en-US"/>
        </w:rPr>
        <w:t xml:space="preserve"> (soot)</w:t>
      </w:r>
      <w:r w:rsidRPr="003559A2">
        <w:rPr>
          <w:rFonts w:ascii="Times New Roman" w:eastAsia="MS PGothic" w:hAnsi="Times New Roman"/>
          <w:lang w:val="en-US"/>
        </w:rPr>
        <w:t xml:space="preserve"> is here extended to include </w:t>
      </w:r>
      <w:r>
        <w:rPr>
          <w:rFonts w:ascii="Times New Roman" w:eastAsia="MS PGothic" w:hAnsi="Times New Roman"/>
          <w:lang w:val="en-US"/>
        </w:rPr>
        <w:t>surface adsorption</w:t>
      </w:r>
      <w:r w:rsidRPr="003559A2">
        <w:rPr>
          <w:rFonts w:ascii="Times New Roman" w:eastAsia="MS PGothic" w:hAnsi="Times New Roman"/>
          <w:lang w:val="en-US"/>
        </w:rPr>
        <w:t xml:space="preserve"> o</w:t>
      </w:r>
      <w:r>
        <w:rPr>
          <w:rFonts w:ascii="Times New Roman" w:eastAsia="MS PGothic" w:hAnsi="Times New Roman"/>
          <w:lang w:val="en-US"/>
        </w:rPr>
        <w:t>f</w:t>
      </w:r>
      <w:r w:rsidRPr="003559A2">
        <w:rPr>
          <w:rFonts w:ascii="Times New Roman" w:eastAsia="MS PGothic" w:hAnsi="Times New Roman"/>
          <w:lang w:val="en-US"/>
        </w:rPr>
        <w:t xml:space="preserve"> gas phase species and successive growth </w:t>
      </w:r>
      <w:r>
        <w:rPr>
          <w:rFonts w:ascii="Times New Roman" w:eastAsia="MS PGothic" w:hAnsi="Times New Roman"/>
          <w:lang w:val="en-US"/>
        </w:rPr>
        <w:t>of solid carbon deposits</w:t>
      </w:r>
      <w:r w:rsidR="00E87827">
        <w:rPr>
          <w:rFonts w:ascii="Times New Roman" w:eastAsia="MS PGothic" w:hAnsi="Times New Roman"/>
          <w:lang w:val="en-US"/>
        </w:rPr>
        <w:t xml:space="preserve"> according to a similar systematic approach. Further extension to catalytic surface deposition mechanisms paves the way for a semi-detailed approach to </w:t>
      </w:r>
      <w:r w:rsidR="00E06E1B">
        <w:rPr>
          <w:rFonts w:ascii="Times New Roman" w:eastAsia="MS PGothic" w:hAnsi="Times New Roman"/>
          <w:lang w:val="en-US"/>
        </w:rPr>
        <w:t xml:space="preserve">turquoise hydrogen and carbon materials production modelling. </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36C85DAA" w14:textId="65BA2DA8" w:rsidR="00E87827" w:rsidRDefault="00E87827" w:rsidP="00DF4D23">
      <w:pPr>
        <w:snapToGrid w:val="0"/>
        <w:spacing w:after="0" w:line="240" w:lineRule="auto"/>
        <w:jc w:val="both"/>
        <w:rPr>
          <w:rFonts w:ascii="Times New Roman" w:eastAsia="MS PGothic" w:hAnsi="Times New Roman"/>
          <w:lang w:val="en-US"/>
        </w:rPr>
      </w:pPr>
      <w:r w:rsidRPr="00E87827">
        <w:rPr>
          <w:rFonts w:ascii="Times New Roman" w:eastAsia="MS PGothic" w:hAnsi="Times New Roman"/>
          <w:lang w:val="en-US"/>
        </w:rPr>
        <w:t xml:space="preserve">Figure 1 summarizes the capability of the model to reproduce both (a) </w:t>
      </w:r>
      <w:r w:rsidR="00733ED4">
        <w:rPr>
          <w:rFonts w:ascii="Times New Roman" w:eastAsia="MS PGothic" w:hAnsi="Times New Roman"/>
          <w:lang w:val="en-US"/>
        </w:rPr>
        <w:t>gas species formation and evolution (including hydrogen) and deposition rates as a function of temperature</w:t>
      </w:r>
      <w:r w:rsidRPr="00E87827">
        <w:rPr>
          <w:rFonts w:ascii="Times New Roman" w:eastAsia="MS PGothic" w:hAnsi="Times New Roman"/>
          <w:lang w:val="en-US"/>
        </w:rPr>
        <w:t xml:space="preserve"> (b)</w:t>
      </w:r>
      <w:r w:rsidR="00733ED4">
        <w:rPr>
          <w:rFonts w:ascii="Times New Roman" w:eastAsia="MS PGothic" w:hAnsi="Times New Roman"/>
          <w:lang w:val="en-US"/>
        </w:rPr>
        <w:t xml:space="preserve"> and residence time (c)</w:t>
      </w:r>
      <w:r w:rsidR="00DF4D23">
        <w:rPr>
          <w:rFonts w:ascii="Times New Roman" w:eastAsia="MS PGothic" w:hAnsi="Times New Roman"/>
          <w:lang w:val="en-US"/>
        </w:rPr>
        <w:t xml:space="preserve"> for propane </w:t>
      </w:r>
      <w:r w:rsidR="00DF4D23">
        <w:rPr>
          <w:rFonts w:ascii="Times New Roman" w:eastAsia="MS PGothic" w:hAnsi="Times New Roman"/>
          <w:lang w:val="en-US"/>
        </w:rPr>
        <w:lastRenderedPageBreak/>
        <w:t xml:space="preserve">pyrolysis at </w:t>
      </w:r>
      <w:r w:rsidR="00E80356">
        <w:rPr>
          <w:rFonts w:ascii="Times New Roman" w:eastAsia="MS PGothic" w:hAnsi="Times New Roman"/>
          <w:lang w:val="en-US"/>
        </w:rPr>
        <w:t xml:space="preserve">p=2.7 kPa in a perfectly stirred reactor, as reported in [5]. </w:t>
      </w:r>
      <w:r w:rsidR="00733ED4">
        <w:rPr>
          <w:rFonts w:ascii="Times New Roman" w:eastAsia="MS PGothic" w:hAnsi="Times New Roman"/>
          <w:lang w:val="en-US"/>
        </w:rPr>
        <w:t>Panel (d) shows the competition between amorphous carbon formation</w:t>
      </w:r>
      <w:r w:rsidR="00DF4D23">
        <w:rPr>
          <w:rFonts w:ascii="Times New Roman" w:eastAsia="MS PGothic" w:hAnsi="Times New Roman"/>
          <w:lang w:val="en-US"/>
        </w:rPr>
        <w:t xml:space="preserve"> (black lines)</w:t>
      </w:r>
      <w:r w:rsidR="00733ED4">
        <w:rPr>
          <w:rFonts w:ascii="Times New Roman" w:eastAsia="MS PGothic" w:hAnsi="Times New Roman"/>
          <w:lang w:val="en-US"/>
        </w:rPr>
        <w:t xml:space="preserve"> in the gas stream and carbon deposition</w:t>
      </w:r>
      <w:r w:rsidR="00DF4D23">
        <w:rPr>
          <w:rFonts w:ascii="Times New Roman" w:eastAsia="MS PGothic" w:hAnsi="Times New Roman"/>
          <w:lang w:val="en-US"/>
        </w:rPr>
        <w:t xml:space="preserve"> (red lines)</w:t>
      </w:r>
      <w:r w:rsidR="00733ED4">
        <w:rPr>
          <w:rFonts w:ascii="Times New Roman" w:eastAsia="MS PGothic" w:hAnsi="Times New Roman"/>
          <w:lang w:val="en-US"/>
        </w:rPr>
        <w:t>.</w:t>
      </w:r>
      <w:r w:rsidR="00E80356">
        <w:rPr>
          <w:rFonts w:ascii="Times New Roman" w:eastAsia="MS PGothic" w:hAnsi="Times New Roman"/>
          <w:lang w:val="en-US"/>
        </w:rPr>
        <w:t xml:space="preserve"> </w:t>
      </w:r>
    </w:p>
    <w:p w14:paraId="069FC7CB" w14:textId="3AC06CB2" w:rsidR="00234DBA" w:rsidRDefault="00234DBA" w:rsidP="00E87827">
      <w:pPr>
        <w:snapToGrid w:val="0"/>
        <w:spacing w:after="0" w:line="240" w:lineRule="auto"/>
        <w:rPr>
          <w:rFonts w:ascii="Times New Roman" w:eastAsia="MS PGothic" w:hAnsi="Times New Roman"/>
          <w:lang w:val="en-U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3951"/>
      </w:tblGrid>
      <w:tr w:rsidR="00234DBA" w14:paraId="4D15107B" w14:textId="77777777" w:rsidTr="00234DBA">
        <w:trPr>
          <w:jc w:val="center"/>
        </w:trPr>
        <w:tc>
          <w:tcPr>
            <w:tcW w:w="0" w:type="auto"/>
            <w:vAlign w:val="center"/>
          </w:tcPr>
          <w:p w14:paraId="0F38EC82" w14:textId="00F342BC" w:rsidR="00234DBA" w:rsidRDefault="00234DBA" w:rsidP="00234DBA">
            <w:pPr>
              <w:snapToGrid w:val="0"/>
              <w:jc w:val="center"/>
              <w:rPr>
                <w:rFonts w:ascii="Times New Roman" w:eastAsia="MS PGothic" w:hAnsi="Times New Roman"/>
                <w:lang w:val="en-US"/>
              </w:rPr>
            </w:pPr>
            <w:r>
              <w:rPr>
                <w:i/>
                <w:iCs/>
                <w:noProof/>
                <w:sz w:val="18"/>
                <w:szCs w:val="18"/>
                <w:lang w:val="en-GB"/>
              </w:rPr>
              <w:drawing>
                <wp:inline distT="0" distB="0" distL="0" distR="0" wp14:anchorId="0F53E085" wp14:editId="3FA4DC15">
                  <wp:extent cx="2305050" cy="1498077"/>
                  <wp:effectExtent l="0" t="0" r="0" b="6985"/>
                  <wp:docPr id="461" name="Graphic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Graphic 461"/>
                          <pic:cNvPicPr/>
                        </pic:nvPicPr>
                        <pic:blipFill>
                          <a:blip r:embed="rId7">
                            <a:extLst>
                              <a:ext uri="{96DAC541-7B7A-43D3-8B79-37D633B846F1}">
                                <asvg:svgBlip xmlns:asvg="http://schemas.microsoft.com/office/drawing/2016/SVG/main" r:embed="rId8"/>
                              </a:ext>
                            </a:extLst>
                          </a:blip>
                          <a:stretch>
                            <a:fillRect/>
                          </a:stretch>
                        </pic:blipFill>
                        <pic:spPr>
                          <a:xfrm>
                            <a:off x="0" y="0"/>
                            <a:ext cx="2313530" cy="1503588"/>
                          </a:xfrm>
                          <a:prstGeom prst="rect">
                            <a:avLst/>
                          </a:prstGeom>
                        </pic:spPr>
                      </pic:pic>
                    </a:graphicData>
                  </a:graphic>
                </wp:inline>
              </w:drawing>
            </w:r>
          </w:p>
        </w:tc>
        <w:tc>
          <w:tcPr>
            <w:tcW w:w="0" w:type="auto"/>
            <w:vAlign w:val="center"/>
          </w:tcPr>
          <w:p w14:paraId="15D5FB44" w14:textId="42261ADC" w:rsidR="00234DBA" w:rsidRDefault="00234DBA" w:rsidP="00234DBA">
            <w:pPr>
              <w:snapToGrid w:val="0"/>
              <w:jc w:val="center"/>
              <w:rPr>
                <w:rFonts w:ascii="Times New Roman" w:eastAsia="MS PGothic" w:hAnsi="Times New Roman"/>
                <w:lang w:val="en-US"/>
              </w:rPr>
            </w:pPr>
            <w:r>
              <w:rPr>
                <w:noProof/>
                <w:lang w:val="en-GB"/>
              </w:rPr>
              <w:drawing>
                <wp:inline distT="0" distB="0" distL="0" distR="0" wp14:anchorId="4AE13D04" wp14:editId="545BAC87">
                  <wp:extent cx="2371725" cy="1533149"/>
                  <wp:effectExtent l="0" t="0" r="0" b="0"/>
                  <wp:docPr id="50" name="Graphic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pic:cNvPicPr/>
                        </pic:nvPicPr>
                        <pic:blipFill>
                          <a:blip r:embed="rId9">
                            <a:extLst>
                              <a:ext uri="{96DAC541-7B7A-43D3-8B79-37D633B846F1}">
                                <asvg:svgBlip xmlns:asvg="http://schemas.microsoft.com/office/drawing/2016/SVG/main" r:embed="rId10"/>
                              </a:ext>
                            </a:extLst>
                          </a:blip>
                          <a:stretch>
                            <a:fillRect/>
                          </a:stretch>
                        </pic:blipFill>
                        <pic:spPr>
                          <a:xfrm>
                            <a:off x="0" y="0"/>
                            <a:ext cx="2375564" cy="1535630"/>
                          </a:xfrm>
                          <a:prstGeom prst="rect">
                            <a:avLst/>
                          </a:prstGeom>
                        </pic:spPr>
                      </pic:pic>
                    </a:graphicData>
                  </a:graphic>
                </wp:inline>
              </w:drawing>
            </w:r>
          </w:p>
        </w:tc>
      </w:tr>
      <w:tr w:rsidR="00234DBA" w14:paraId="4EC14433" w14:textId="77777777" w:rsidTr="00234DBA">
        <w:trPr>
          <w:jc w:val="center"/>
        </w:trPr>
        <w:tc>
          <w:tcPr>
            <w:tcW w:w="0" w:type="auto"/>
            <w:vAlign w:val="center"/>
          </w:tcPr>
          <w:p w14:paraId="3C26220A" w14:textId="006853A3" w:rsidR="00234DBA" w:rsidRDefault="00234DBA" w:rsidP="00234DBA">
            <w:pPr>
              <w:snapToGrid w:val="0"/>
              <w:jc w:val="center"/>
              <w:rPr>
                <w:rFonts w:ascii="Times New Roman" w:eastAsia="MS PGothic" w:hAnsi="Times New Roman"/>
                <w:lang w:val="en-US"/>
              </w:rPr>
            </w:pPr>
            <w:r>
              <w:rPr>
                <w:i/>
                <w:iCs/>
                <w:noProof/>
                <w:sz w:val="18"/>
                <w:szCs w:val="18"/>
                <w:lang w:val="en-GB"/>
              </w:rPr>
              <w:drawing>
                <wp:inline distT="0" distB="0" distL="0" distR="0" wp14:anchorId="3D5D4106" wp14:editId="01C80505">
                  <wp:extent cx="2066925" cy="1537251"/>
                  <wp:effectExtent l="0" t="0" r="0" b="6350"/>
                  <wp:docPr id="5" name="Elemento gra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Elemento grafico 455"/>
                          <pic:cNvPicPr/>
                        </pic:nvPicPr>
                        <pic:blipFill>
                          <a:blip r:embed="rId11">
                            <a:extLst>
                              <a:ext uri="{96DAC541-7B7A-43D3-8B79-37D633B846F1}">
                                <asvg:svgBlip xmlns:asvg="http://schemas.microsoft.com/office/drawing/2016/SVG/main" r:embed="rId12"/>
                              </a:ext>
                            </a:extLst>
                          </a:blip>
                          <a:stretch>
                            <a:fillRect/>
                          </a:stretch>
                        </pic:blipFill>
                        <pic:spPr>
                          <a:xfrm>
                            <a:off x="0" y="0"/>
                            <a:ext cx="2073833" cy="1542389"/>
                          </a:xfrm>
                          <a:prstGeom prst="rect">
                            <a:avLst/>
                          </a:prstGeom>
                        </pic:spPr>
                      </pic:pic>
                    </a:graphicData>
                  </a:graphic>
                </wp:inline>
              </w:drawing>
            </w:r>
          </w:p>
        </w:tc>
        <w:tc>
          <w:tcPr>
            <w:tcW w:w="0" w:type="auto"/>
            <w:vAlign w:val="center"/>
          </w:tcPr>
          <w:p w14:paraId="1DF4ADEE" w14:textId="5BD4FB85" w:rsidR="00234DBA" w:rsidRDefault="00234DBA" w:rsidP="00234DBA">
            <w:pPr>
              <w:snapToGrid w:val="0"/>
              <w:jc w:val="center"/>
              <w:rPr>
                <w:rFonts w:ascii="Times New Roman" w:eastAsia="MS PGothic" w:hAnsi="Times New Roman"/>
                <w:lang w:val="en-US"/>
              </w:rPr>
            </w:pPr>
            <w:r>
              <w:rPr>
                <w:i/>
                <w:iCs/>
                <w:noProof/>
                <w:sz w:val="18"/>
                <w:szCs w:val="18"/>
                <w:lang w:val="en-GB"/>
              </w:rPr>
              <w:drawing>
                <wp:inline distT="0" distB="0" distL="0" distR="0" wp14:anchorId="14C20E03" wp14:editId="2D678F6E">
                  <wp:extent cx="2219325" cy="1550592"/>
                  <wp:effectExtent l="0" t="0" r="0" b="0"/>
                  <wp:docPr id="6" name="Elemento gra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lemento grafico 54"/>
                          <pic:cNvPicPr/>
                        </pic:nvPicPr>
                        <pic:blipFill rotWithShape="1">
                          <a:blip r:embed="rId13">
                            <a:extLst>
                              <a:ext uri="{96DAC541-7B7A-43D3-8B79-37D633B846F1}">
                                <asvg:svgBlip xmlns:asvg="http://schemas.microsoft.com/office/drawing/2016/SVG/main" r:embed="rId14"/>
                              </a:ext>
                            </a:extLst>
                          </a:blip>
                          <a:srcRect t="1764" b="2977"/>
                          <a:stretch/>
                        </pic:blipFill>
                        <pic:spPr bwMode="auto">
                          <a:xfrm>
                            <a:off x="0" y="0"/>
                            <a:ext cx="2222475" cy="1552793"/>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1C2012" w14:textId="3D9AB10D" w:rsidR="00E87827" w:rsidRPr="00E87827" w:rsidRDefault="00DA51A3" w:rsidP="00E06E1B">
      <w:pPr>
        <w:snapToGrid w:val="0"/>
        <w:spacing w:after="60" w:line="300" w:lineRule="auto"/>
        <w:jc w:val="center"/>
        <w:rPr>
          <w:rFonts w:ascii="Times New Roman" w:eastAsia="MS PGothic" w:hAnsi="Times New Roman"/>
          <w:sz w:val="18"/>
          <w:szCs w:val="18"/>
          <w:lang w:val="en-US"/>
        </w:rPr>
      </w:pPr>
      <w:r w:rsidRPr="00E87827">
        <w:rPr>
          <w:rFonts w:ascii="Times New Roman" w:eastAsia="MS PGothic" w:hAnsi="Times New Roman"/>
          <w:b/>
          <w:sz w:val="18"/>
          <w:szCs w:val="18"/>
          <w:lang w:val="en-US"/>
        </w:rPr>
        <w:t>Figure 1</w:t>
      </w:r>
      <w:r w:rsidRPr="00E87827">
        <w:rPr>
          <w:rFonts w:ascii="Times New Roman" w:eastAsia="MS PGothic" w:hAnsi="Times New Roman"/>
          <w:b/>
          <w:sz w:val="18"/>
          <w:szCs w:val="18"/>
          <w:lang w:val="en-US" w:eastAsia="ko-KR"/>
        </w:rPr>
        <w:t>.</w:t>
      </w:r>
      <w:r w:rsidRPr="00E87827">
        <w:rPr>
          <w:rFonts w:ascii="Times New Roman" w:eastAsia="MS PGothic" w:hAnsi="Times New Roman"/>
          <w:sz w:val="18"/>
          <w:szCs w:val="18"/>
          <w:lang w:val="en-US"/>
        </w:rPr>
        <w:t xml:space="preserve"> </w:t>
      </w:r>
      <w:r w:rsidRPr="00E87827">
        <w:rPr>
          <w:rFonts w:ascii="Times New Roman" w:hAnsi="Times New Roman"/>
          <w:sz w:val="18"/>
          <w:szCs w:val="18"/>
          <w:lang w:val="en-US"/>
        </w:rPr>
        <w:t xml:space="preserve"> </w:t>
      </w:r>
      <w:r w:rsidR="00E87827" w:rsidRPr="00E87827">
        <w:rPr>
          <w:rFonts w:ascii="Times New Roman" w:eastAsia="MS PGothic" w:hAnsi="Times New Roman"/>
          <w:sz w:val="18"/>
          <w:szCs w:val="18"/>
          <w:lang w:val="en-US"/>
        </w:rPr>
        <w:t>Model performances for methane pyrolysis: from gas-phase (a) to amorphous and pyrolytic carbon (</w:t>
      </w:r>
      <w:proofErr w:type="spellStart"/>
      <w:proofErr w:type="gramStart"/>
      <w:r w:rsidR="00E87827" w:rsidRPr="00E87827">
        <w:rPr>
          <w:rFonts w:ascii="Times New Roman" w:eastAsia="MS PGothic" w:hAnsi="Times New Roman"/>
          <w:sz w:val="18"/>
          <w:szCs w:val="18"/>
          <w:lang w:val="en-US"/>
        </w:rPr>
        <w:t>b,c</w:t>
      </w:r>
      <w:proofErr w:type="spellEnd"/>
      <w:proofErr w:type="gramEnd"/>
      <w:r w:rsidR="00E87827" w:rsidRPr="00E87827">
        <w:rPr>
          <w:rFonts w:ascii="Times New Roman" w:eastAsia="MS PGothic" w:hAnsi="Times New Roman"/>
          <w:sz w:val="18"/>
          <w:szCs w:val="18"/>
          <w:lang w:val="en-US"/>
        </w:rPr>
        <w:t>)</w:t>
      </w:r>
      <w:r w:rsidR="00234DBA">
        <w:rPr>
          <w:rFonts w:ascii="Times New Roman" w:eastAsia="MS PGothic" w:hAnsi="Times New Roman"/>
          <w:sz w:val="18"/>
          <w:szCs w:val="18"/>
          <w:lang w:val="en-US"/>
        </w:rPr>
        <w:t xml:space="preserve"> and their competing formation (d)</w:t>
      </w:r>
      <w:r w:rsidR="00E87827" w:rsidRPr="00E87827">
        <w:rPr>
          <w:rFonts w:ascii="Times New Roman" w:eastAsia="MS PGothic" w:hAnsi="Times New Roman"/>
          <w:sz w:val="18"/>
          <w:szCs w:val="18"/>
          <w:lang w:val="en-US"/>
        </w:rPr>
        <w:t>.</w:t>
      </w:r>
      <w:r w:rsidR="00234DBA">
        <w:rPr>
          <w:rFonts w:ascii="Times New Roman" w:eastAsia="MS PGothic" w:hAnsi="Times New Roman"/>
          <w:sz w:val="18"/>
          <w:szCs w:val="18"/>
          <w:lang w:val="en-US"/>
        </w:rPr>
        <w:t xml:space="preserve"> </w:t>
      </w:r>
      <w:r w:rsidR="00733ED4">
        <w:rPr>
          <w:rFonts w:ascii="Times New Roman" w:eastAsia="MS PGothic" w:hAnsi="Times New Roman"/>
          <w:sz w:val="18"/>
          <w:szCs w:val="18"/>
          <w:lang w:val="en-US"/>
        </w:rPr>
        <w:t xml:space="preserve">Experiments and dashed lines from [5], solid lines: this work. </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0B7C0A36" w14:textId="518EB7D3" w:rsidR="00E87827" w:rsidRDefault="00E87827" w:rsidP="00F53B86">
      <w:pPr>
        <w:snapToGrid w:val="0"/>
        <w:spacing w:after="0" w:line="240" w:lineRule="auto"/>
        <w:jc w:val="both"/>
        <w:rPr>
          <w:rFonts w:ascii="Times New Roman" w:eastAsia="MS PGothic" w:hAnsi="Times New Roman"/>
          <w:lang w:val="en-US"/>
        </w:rPr>
      </w:pPr>
      <w:r w:rsidRPr="00E87827">
        <w:rPr>
          <w:rFonts w:ascii="Times New Roman" w:eastAsia="MS PGothic" w:hAnsi="Times New Roman"/>
          <w:lang w:val="en-US"/>
        </w:rPr>
        <w:t>The novel approach here presented overcomes the state-of-the-art modelling efforts for carbon materials growth</w:t>
      </w:r>
      <w:r w:rsidR="00F53B86">
        <w:rPr>
          <w:rFonts w:ascii="Times New Roman" w:eastAsia="MS PGothic" w:hAnsi="Times New Roman"/>
          <w:lang w:val="en-US"/>
        </w:rPr>
        <w:t>. Indeed, available models are largely</w:t>
      </w:r>
      <w:r w:rsidRPr="00E87827">
        <w:rPr>
          <w:rFonts w:ascii="Times New Roman" w:eastAsia="MS PGothic" w:hAnsi="Times New Roman"/>
          <w:lang w:val="en-US"/>
        </w:rPr>
        <w:t xml:space="preserve"> based on purely phenomenological </w:t>
      </w:r>
      <w:r w:rsidR="00F53B86">
        <w:rPr>
          <w:rFonts w:ascii="Times New Roman" w:eastAsia="MS PGothic" w:hAnsi="Times New Roman"/>
          <w:lang w:val="en-US"/>
        </w:rPr>
        <w:t>approaches</w:t>
      </w:r>
      <w:r w:rsidRPr="00E87827">
        <w:rPr>
          <w:rFonts w:ascii="Times New Roman" w:eastAsia="MS PGothic" w:hAnsi="Times New Roman"/>
          <w:lang w:val="en-US"/>
        </w:rPr>
        <w:t xml:space="preserve"> (i.e. power-law single step kinetics) of limited validity</w:t>
      </w:r>
      <w:r w:rsidR="00F53B86">
        <w:rPr>
          <w:rFonts w:ascii="Times New Roman" w:eastAsia="MS PGothic" w:hAnsi="Times New Roman"/>
          <w:lang w:val="en-US"/>
        </w:rPr>
        <w:t>.</w:t>
      </w:r>
      <w:r w:rsidRPr="00E87827">
        <w:rPr>
          <w:rFonts w:ascii="Times New Roman" w:eastAsia="MS PGothic" w:hAnsi="Times New Roman"/>
          <w:lang w:val="en-US"/>
        </w:rPr>
        <w:t xml:space="preserve"> </w:t>
      </w:r>
      <w:r w:rsidR="00F53B86">
        <w:rPr>
          <w:rFonts w:ascii="Times New Roman" w:eastAsia="MS PGothic" w:hAnsi="Times New Roman"/>
          <w:lang w:val="en-US"/>
        </w:rPr>
        <w:t>This work provides</w:t>
      </w:r>
      <w:r w:rsidRPr="00E87827">
        <w:rPr>
          <w:rFonts w:ascii="Times New Roman" w:eastAsia="MS PGothic" w:hAnsi="Times New Roman"/>
          <w:lang w:val="en-US"/>
        </w:rPr>
        <w:t xml:space="preserve"> a fundamentally based semi-detailed kinetic model describing both homogeneous gas-phase species evolutio</w:t>
      </w:r>
      <w:r w:rsidR="00F53B86">
        <w:rPr>
          <w:rFonts w:ascii="Times New Roman" w:eastAsia="MS PGothic" w:hAnsi="Times New Roman"/>
          <w:lang w:val="en-US"/>
        </w:rPr>
        <w:t>n and amorphous carbon formation</w:t>
      </w:r>
      <w:r w:rsidR="00E80356">
        <w:rPr>
          <w:rFonts w:ascii="Times New Roman" w:eastAsia="MS PGothic" w:hAnsi="Times New Roman"/>
          <w:lang w:val="en-US"/>
        </w:rPr>
        <w:t xml:space="preserve"> </w:t>
      </w:r>
      <w:proofErr w:type="spellStart"/>
      <w:r w:rsidR="00E80356">
        <w:rPr>
          <w:rFonts w:ascii="Times New Roman" w:eastAsia="MS PGothic" w:hAnsi="Times New Roman"/>
          <w:lang w:val="en-US"/>
        </w:rPr>
        <w:t>and</w:t>
      </w:r>
      <w:r w:rsidR="00F53B86">
        <w:rPr>
          <w:rFonts w:ascii="Times New Roman" w:eastAsia="MS PGothic" w:hAnsi="Times New Roman"/>
          <w:lang w:val="en-US"/>
        </w:rPr>
        <w:t>surface</w:t>
      </w:r>
      <w:proofErr w:type="spellEnd"/>
      <w:r w:rsidR="00F53B86">
        <w:rPr>
          <w:rFonts w:ascii="Times New Roman" w:eastAsia="MS PGothic" w:hAnsi="Times New Roman"/>
          <w:lang w:val="en-US"/>
        </w:rPr>
        <w:t xml:space="preserve"> carbon deposition</w:t>
      </w:r>
      <w:r w:rsidR="00E80356">
        <w:rPr>
          <w:rFonts w:ascii="Times New Roman" w:eastAsia="MS PGothic" w:hAnsi="Times New Roman"/>
          <w:lang w:val="en-US"/>
        </w:rPr>
        <w:t>. The approach has been extended also to catalytic CNT growth, providing promising results.</w:t>
      </w:r>
      <w:r w:rsidR="00E06E1B">
        <w:rPr>
          <w:rFonts w:ascii="Times New Roman" w:eastAsia="MS PGothic" w:hAnsi="Times New Roman"/>
          <w:lang w:val="en-US"/>
        </w:rPr>
        <w:t xml:space="preserve"> Further model reduction makes our framework applicable to reactor scale simulations. </w:t>
      </w:r>
      <w:r w:rsidR="00E80356">
        <w:rPr>
          <w:rFonts w:ascii="Times New Roman" w:eastAsia="MS PGothic" w:hAnsi="Times New Roman"/>
          <w:lang w:val="en-US"/>
        </w:rPr>
        <w:t>However, a scarcity of kinetic relevant data suitable for model validation is highlighted in the literature</w:t>
      </w:r>
      <w:r w:rsidR="00E06E1B">
        <w:rPr>
          <w:rFonts w:ascii="Times New Roman" w:eastAsia="MS PGothic" w:hAnsi="Times New Roman"/>
          <w:lang w:val="en-US"/>
        </w:rPr>
        <w:t xml:space="preserve">. On one hand, this limits model reliability assessments, and on the other hand forces a systematic approach for modeling activities of such complex multiphase and multiscale phenomena. </w:t>
      </w:r>
      <w:r w:rsidR="00F53B86">
        <w:rPr>
          <w:rFonts w:ascii="Times New Roman" w:eastAsia="MS PGothic" w:hAnsi="Times New Roman"/>
          <w:lang w:val="en-US"/>
        </w:rPr>
        <w:t>In addition, the systematic theoretical investigation of chemical pathways, potential energy surfaces and kinetic rate constants for H-abstraction reactions provides an effective methodological workflow for investigating heterogeneous gas/solid chemistry.</w:t>
      </w:r>
      <w:r w:rsidR="00E80356">
        <w:rPr>
          <w:rFonts w:ascii="Times New Roman" w:eastAsia="MS PGothic" w:hAnsi="Times New Roman"/>
          <w:lang w:val="en-US"/>
        </w:rPr>
        <w:t xml:space="preserve"> </w:t>
      </w:r>
      <w:r w:rsidR="00F53B86">
        <w:rPr>
          <w:rFonts w:ascii="Times New Roman" w:eastAsia="MS PGothic" w:hAnsi="Times New Roman"/>
          <w:lang w:val="en-US"/>
        </w:rPr>
        <w:t xml:space="preserve">  </w:t>
      </w:r>
    </w:p>
    <w:p w14:paraId="1845F659" w14:textId="43511EBC" w:rsidR="00DA51A3" w:rsidRPr="00466FFD" w:rsidRDefault="00E87827" w:rsidP="00DA51A3">
      <w:pPr>
        <w:snapToGrid w:val="0"/>
        <w:spacing w:before="240" w:line="300" w:lineRule="auto"/>
        <w:rPr>
          <w:rFonts w:ascii="Times New Roman" w:eastAsia="SimSun" w:hAnsi="Times New Roman"/>
          <w:b/>
          <w:bCs/>
          <w:lang w:val="en-US" w:eastAsia="zh-CN"/>
        </w:rPr>
      </w:pPr>
      <w:r>
        <w:rPr>
          <w:rFonts w:ascii="Times New Roman" w:eastAsia="MS PGothic" w:hAnsi="Times New Roman"/>
          <w:b/>
          <w:bCs/>
          <w:lang w:val="en-US"/>
        </w:rPr>
        <w:t xml:space="preserve">5. </w:t>
      </w:r>
      <w:r w:rsidR="00DA51A3" w:rsidRPr="00466FFD">
        <w:rPr>
          <w:rFonts w:ascii="Times New Roman" w:eastAsia="MS PGothic" w:hAnsi="Times New Roman"/>
          <w:b/>
          <w:bCs/>
          <w:lang w:val="en-US"/>
        </w:rPr>
        <w:t xml:space="preserve">References </w:t>
      </w:r>
    </w:p>
    <w:p w14:paraId="3D420C54" w14:textId="6D67ECDE" w:rsidR="00FD0B5B" w:rsidRDefault="003559A2" w:rsidP="00E87827">
      <w:pPr>
        <w:spacing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[1] </w:t>
      </w:r>
      <w:r w:rsidRPr="003559A2">
        <w:rPr>
          <w:rFonts w:ascii="Times New Roman" w:eastAsia="Times New Roman" w:hAnsi="Times New Roman" w:cs="Times New Roman"/>
          <w:sz w:val="20"/>
          <w:szCs w:val="20"/>
          <w:lang w:val="en-US"/>
        </w:rPr>
        <w:t xml:space="preserve">Pasquali, M., &amp; </w:t>
      </w:r>
      <w:proofErr w:type="spellStart"/>
      <w:r w:rsidRPr="003559A2">
        <w:rPr>
          <w:rFonts w:ascii="Times New Roman" w:eastAsia="Times New Roman" w:hAnsi="Times New Roman" w:cs="Times New Roman"/>
          <w:sz w:val="20"/>
          <w:szCs w:val="20"/>
          <w:lang w:val="en-US"/>
        </w:rPr>
        <w:t>Mesters</w:t>
      </w:r>
      <w:proofErr w:type="spellEnd"/>
      <w:r w:rsidRPr="003559A2">
        <w:rPr>
          <w:rFonts w:ascii="Times New Roman" w:eastAsia="Times New Roman" w:hAnsi="Times New Roman" w:cs="Times New Roman"/>
          <w:sz w:val="20"/>
          <w:szCs w:val="20"/>
          <w:lang w:val="en-US"/>
        </w:rPr>
        <w:t>, C. (2021). Opinion: We can use carbon to decarbonize—and get hydrogen for free. Proceedings of the National Academy of Sciences, 118(31).</w:t>
      </w:r>
    </w:p>
    <w:p w14:paraId="3C7EF8E8" w14:textId="363E7C11" w:rsidR="00FD0B5B" w:rsidRPr="00A15F66" w:rsidRDefault="003559A2" w:rsidP="00E87827">
      <w:pPr>
        <w:spacing w:after="0"/>
        <w:jc w:val="both"/>
        <w:rPr>
          <w:rFonts w:ascii="Times New Roman" w:eastAsia="Times New Roman" w:hAnsi="Times New Roman" w:cs="Times New Roman"/>
          <w:sz w:val="20"/>
          <w:szCs w:val="20"/>
        </w:rPr>
      </w:pPr>
      <w:r w:rsidRPr="00A15F66">
        <w:rPr>
          <w:rFonts w:ascii="Times New Roman" w:eastAsia="Times New Roman" w:hAnsi="Times New Roman" w:cs="Times New Roman"/>
          <w:sz w:val="20"/>
          <w:szCs w:val="20"/>
          <w:lang w:val="en-US"/>
        </w:rPr>
        <w:t>[</w:t>
      </w:r>
      <w:r w:rsidR="00F53B86" w:rsidRPr="00A15F66">
        <w:rPr>
          <w:rFonts w:ascii="Times New Roman" w:eastAsia="Times New Roman" w:hAnsi="Times New Roman" w:cs="Times New Roman"/>
          <w:sz w:val="20"/>
          <w:szCs w:val="20"/>
          <w:lang w:val="en-US"/>
        </w:rPr>
        <w:t>2</w:t>
      </w:r>
      <w:r w:rsidRPr="00A15F66">
        <w:rPr>
          <w:rFonts w:ascii="Times New Roman" w:eastAsia="Times New Roman" w:hAnsi="Times New Roman" w:cs="Times New Roman"/>
          <w:sz w:val="20"/>
          <w:szCs w:val="20"/>
          <w:lang w:val="en-US"/>
        </w:rPr>
        <w:t xml:space="preserve">] Nobili, A., Cuoci, A., Pejpichestakul, W., Pelucchi, M., Cavallotti, C., &amp; Faravelli, T. (2022). </w:t>
      </w:r>
      <w:r w:rsidRPr="003559A2">
        <w:rPr>
          <w:rFonts w:ascii="Times New Roman" w:eastAsia="Times New Roman" w:hAnsi="Times New Roman" w:cs="Times New Roman"/>
          <w:sz w:val="20"/>
          <w:szCs w:val="20"/>
          <w:lang w:val="en-US"/>
        </w:rPr>
        <w:t xml:space="preserve">Modeling soot particles as stable radicals: a chemical kinetic study on formation and oxidation. Part I. Soot formation in ethylene laminar premixed and counterflow diffusion flames. </w:t>
      </w:r>
      <w:proofErr w:type="spellStart"/>
      <w:r w:rsidRPr="00A15F66">
        <w:rPr>
          <w:rFonts w:ascii="Times New Roman" w:eastAsia="Times New Roman" w:hAnsi="Times New Roman" w:cs="Times New Roman"/>
          <w:sz w:val="20"/>
          <w:szCs w:val="20"/>
        </w:rPr>
        <w:t>Combustion</w:t>
      </w:r>
      <w:proofErr w:type="spellEnd"/>
      <w:r w:rsidRPr="00A15F66">
        <w:rPr>
          <w:rFonts w:ascii="Times New Roman" w:eastAsia="Times New Roman" w:hAnsi="Times New Roman" w:cs="Times New Roman"/>
          <w:sz w:val="20"/>
          <w:szCs w:val="20"/>
        </w:rPr>
        <w:t xml:space="preserve"> and </w:t>
      </w:r>
      <w:proofErr w:type="spellStart"/>
      <w:r w:rsidRPr="00A15F66">
        <w:rPr>
          <w:rFonts w:ascii="Times New Roman" w:eastAsia="Times New Roman" w:hAnsi="Times New Roman" w:cs="Times New Roman"/>
          <w:sz w:val="20"/>
          <w:szCs w:val="20"/>
        </w:rPr>
        <w:t>Flame</w:t>
      </w:r>
      <w:proofErr w:type="spellEnd"/>
      <w:r w:rsidRPr="00A15F66">
        <w:rPr>
          <w:rFonts w:ascii="Times New Roman" w:eastAsia="Times New Roman" w:hAnsi="Times New Roman" w:cs="Times New Roman"/>
          <w:sz w:val="20"/>
          <w:szCs w:val="20"/>
        </w:rPr>
        <w:t>, 112073.</w:t>
      </w:r>
    </w:p>
    <w:p w14:paraId="465A75DC" w14:textId="7DBF995B" w:rsidR="003559A2" w:rsidRPr="00FD0B5B" w:rsidRDefault="003559A2" w:rsidP="00E8782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F53B86">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Pr="003559A2">
        <w:rPr>
          <w:rFonts w:ascii="Times New Roman" w:eastAsia="Times New Roman" w:hAnsi="Times New Roman" w:cs="Times New Roman"/>
          <w:sz w:val="20"/>
          <w:szCs w:val="20"/>
        </w:rPr>
        <w:t xml:space="preserve">Nobili, A., Maffei, L. P., Baggioli, A., Pelucchi, M., Cuoci, A., Cavallotti, C., &amp; Faravelli, T. (2022). </w:t>
      </w:r>
      <w:r w:rsidRPr="003559A2">
        <w:rPr>
          <w:rFonts w:ascii="Times New Roman" w:eastAsia="Times New Roman" w:hAnsi="Times New Roman" w:cs="Times New Roman"/>
          <w:sz w:val="20"/>
          <w:szCs w:val="20"/>
          <w:lang w:val="en-US"/>
        </w:rPr>
        <w:t xml:space="preserve">On the radical behavior of large polycyclic aromatic hydrocarbons in soot formation and oxidation. </w:t>
      </w:r>
      <w:proofErr w:type="spellStart"/>
      <w:r w:rsidRPr="003559A2">
        <w:rPr>
          <w:rFonts w:ascii="Times New Roman" w:eastAsia="Times New Roman" w:hAnsi="Times New Roman" w:cs="Times New Roman"/>
          <w:sz w:val="20"/>
          <w:szCs w:val="20"/>
        </w:rPr>
        <w:t>Combustion</w:t>
      </w:r>
      <w:proofErr w:type="spellEnd"/>
      <w:r w:rsidRPr="003559A2">
        <w:rPr>
          <w:rFonts w:ascii="Times New Roman" w:eastAsia="Times New Roman" w:hAnsi="Times New Roman" w:cs="Times New Roman"/>
          <w:sz w:val="20"/>
          <w:szCs w:val="20"/>
        </w:rPr>
        <w:t xml:space="preserve"> and </w:t>
      </w:r>
      <w:proofErr w:type="spellStart"/>
      <w:r w:rsidRPr="003559A2">
        <w:rPr>
          <w:rFonts w:ascii="Times New Roman" w:eastAsia="Times New Roman" w:hAnsi="Times New Roman" w:cs="Times New Roman"/>
          <w:sz w:val="20"/>
          <w:szCs w:val="20"/>
        </w:rPr>
        <w:t>Flame</w:t>
      </w:r>
      <w:proofErr w:type="spellEnd"/>
      <w:r w:rsidRPr="003559A2">
        <w:rPr>
          <w:rFonts w:ascii="Times New Roman" w:eastAsia="Times New Roman" w:hAnsi="Times New Roman" w:cs="Times New Roman"/>
          <w:sz w:val="20"/>
          <w:szCs w:val="20"/>
        </w:rPr>
        <w:t>, 235, 111692.</w:t>
      </w:r>
    </w:p>
    <w:p w14:paraId="6E1FA27D" w14:textId="4E2724B1" w:rsidR="00FD0B5B" w:rsidRDefault="00E87827" w:rsidP="00E87827">
      <w:pPr>
        <w:spacing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F53B8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FD0B5B" w:rsidRPr="00FD0B5B">
        <w:rPr>
          <w:rFonts w:ascii="Times New Roman" w:eastAsia="Times New Roman" w:hAnsi="Times New Roman" w:cs="Times New Roman"/>
          <w:sz w:val="20"/>
          <w:szCs w:val="20"/>
        </w:rPr>
        <w:t xml:space="preserve">Ding, Z.B., Di Marco, E., Pelucchi, M., Faravelli. </w:t>
      </w:r>
      <w:r w:rsidR="00FD0B5B" w:rsidRPr="00FD0B5B">
        <w:rPr>
          <w:rFonts w:ascii="Times New Roman" w:eastAsia="Times New Roman" w:hAnsi="Times New Roman" w:cs="Times New Roman"/>
          <w:sz w:val="20"/>
          <w:szCs w:val="20"/>
          <w:lang w:val="en-US"/>
        </w:rPr>
        <w:t>T., Maestri, M., “First-principles assessment of the analogy between gas-phase and gas-solid H-abstraction reactions at graphene edges”, Chem. Eng. J. 377, 119691 (2019).</w:t>
      </w:r>
    </w:p>
    <w:p w14:paraId="4EB782FA" w14:textId="544138D7" w:rsidR="00733ED4" w:rsidRDefault="00733ED4" w:rsidP="00D42910">
      <w:pPr>
        <w:spacing w:after="1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[5] </w:t>
      </w:r>
      <w:r w:rsidRPr="00733ED4">
        <w:rPr>
          <w:rFonts w:ascii="Times New Roman" w:eastAsia="Times New Roman" w:hAnsi="Times New Roman" w:cs="Times New Roman"/>
          <w:sz w:val="20"/>
          <w:szCs w:val="20"/>
          <w:lang w:val="en-US"/>
        </w:rPr>
        <w:t xml:space="preserve">Lacroix, R., Fournet, R., Ziegler-Devin, I., &amp; </w:t>
      </w:r>
      <w:proofErr w:type="spellStart"/>
      <w:r w:rsidRPr="00733ED4">
        <w:rPr>
          <w:rFonts w:ascii="Times New Roman" w:eastAsia="Times New Roman" w:hAnsi="Times New Roman" w:cs="Times New Roman"/>
          <w:sz w:val="20"/>
          <w:szCs w:val="20"/>
          <w:lang w:val="en-US"/>
        </w:rPr>
        <w:t>Marquaire</w:t>
      </w:r>
      <w:proofErr w:type="spellEnd"/>
      <w:r w:rsidRPr="00733ED4">
        <w:rPr>
          <w:rFonts w:ascii="Times New Roman" w:eastAsia="Times New Roman" w:hAnsi="Times New Roman" w:cs="Times New Roman"/>
          <w:sz w:val="20"/>
          <w:szCs w:val="20"/>
          <w:lang w:val="en-US"/>
        </w:rPr>
        <w:t xml:space="preserve">, P. M. (2010). Kinetic modeling of surface reactions involved in CVI of </w:t>
      </w:r>
      <w:proofErr w:type="spellStart"/>
      <w:r w:rsidRPr="00733ED4">
        <w:rPr>
          <w:rFonts w:ascii="Times New Roman" w:eastAsia="Times New Roman" w:hAnsi="Times New Roman" w:cs="Times New Roman"/>
          <w:sz w:val="20"/>
          <w:szCs w:val="20"/>
          <w:lang w:val="en-US"/>
        </w:rPr>
        <w:t>pyrocarbon</w:t>
      </w:r>
      <w:proofErr w:type="spellEnd"/>
      <w:r w:rsidRPr="00733ED4">
        <w:rPr>
          <w:rFonts w:ascii="Times New Roman" w:eastAsia="Times New Roman" w:hAnsi="Times New Roman" w:cs="Times New Roman"/>
          <w:sz w:val="20"/>
          <w:szCs w:val="20"/>
          <w:lang w:val="en-US"/>
        </w:rPr>
        <w:t xml:space="preserve"> obtained by propane pyrolysis. Carbon, 48(1), 132-144.</w:t>
      </w:r>
      <w:bookmarkStart w:id="0" w:name="_GoBack"/>
      <w:bookmarkEnd w:id="0"/>
    </w:p>
    <w:p w14:paraId="521E7C88" w14:textId="6AD67342" w:rsidR="00234DBA" w:rsidRDefault="00234DBA" w:rsidP="00234DBA">
      <w:pPr>
        <w:pStyle w:val="AuthorInfo"/>
        <w:tabs>
          <w:tab w:val="left" w:pos="720"/>
        </w:tabs>
        <w:spacing w:line="240" w:lineRule="auto"/>
        <w:jc w:val="both"/>
        <w:rPr>
          <w:b/>
          <w:bCs/>
          <w:sz w:val="22"/>
          <w:szCs w:val="22"/>
        </w:rPr>
      </w:pPr>
      <w:r>
        <w:rPr>
          <w:b/>
          <w:bCs/>
          <w:sz w:val="22"/>
          <w:szCs w:val="22"/>
        </w:rPr>
        <w:t>Acknowledgements</w:t>
      </w:r>
    </w:p>
    <w:p w14:paraId="5A650773" w14:textId="2963FAF8" w:rsidR="005B71B2" w:rsidRPr="00FD0B5B" w:rsidRDefault="00234DBA" w:rsidP="00E06E1B">
      <w:pPr>
        <w:pStyle w:val="Nessunaspaziatura"/>
        <w:jc w:val="both"/>
      </w:pPr>
      <w:r>
        <w:rPr>
          <w:rFonts w:ascii="Times New Roman" w:hAnsi="Times New Roman" w:cs="Times New Roman"/>
          <w:szCs w:val="22"/>
        </w:rPr>
        <w:t>The authors acknowledge the financial support from the industry members of the Carbon-Hub consortium.</w:t>
      </w:r>
    </w:p>
    <w:sectPr w:rsidR="005B71B2" w:rsidRPr="00FD0B5B" w:rsidSect="001D0E0C">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50AC" w16cex:dateUtc="2022-03-15T16:51:00Z"/>
  <w16cex:commentExtensible w16cex:durableId="25DB50CA" w16cex:dateUtc="2022-03-15T16:52:00Z"/>
  <w16cex:commentExtensible w16cex:durableId="25DB511A" w16cex:dateUtc="2022-03-15T1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3A39" w14:textId="77777777" w:rsidR="0074622D" w:rsidRDefault="0074622D" w:rsidP="001D0E0C">
      <w:pPr>
        <w:spacing w:after="0" w:line="240" w:lineRule="auto"/>
      </w:pPr>
      <w:r>
        <w:separator/>
      </w:r>
    </w:p>
  </w:endnote>
  <w:endnote w:type="continuationSeparator" w:id="0">
    <w:p w14:paraId="6FA22D4E" w14:textId="77777777" w:rsidR="0074622D" w:rsidRDefault="0074622D"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63FA7" w14:textId="77777777" w:rsidR="0074622D" w:rsidRDefault="0074622D" w:rsidP="001D0E0C">
      <w:pPr>
        <w:spacing w:after="0" w:line="240" w:lineRule="auto"/>
      </w:pPr>
      <w:r>
        <w:separator/>
      </w:r>
    </w:p>
  </w:footnote>
  <w:footnote w:type="continuationSeparator" w:id="0">
    <w:p w14:paraId="1FD88E94" w14:textId="77777777" w:rsidR="0074622D" w:rsidRDefault="0074622D"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38BB183C"/>
    <w:multiLevelType w:val="hybridMultilevel"/>
    <w:tmpl w:val="C9D2F45A"/>
    <w:lvl w:ilvl="0" w:tplc="1BDAE318">
      <w:start w:val="1"/>
      <w:numFmt w:val="decimal"/>
      <w:lvlText w:val="%1."/>
      <w:lvlJc w:val="left"/>
      <w:pPr>
        <w:ind w:left="924" w:hanging="56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8515B0"/>
    <w:multiLevelType w:val="hybridMultilevel"/>
    <w:tmpl w:val="911EB3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63CB"/>
    <w:rsid w:val="000517B4"/>
    <w:rsid w:val="001568D7"/>
    <w:rsid w:val="0018667F"/>
    <w:rsid w:val="001B060D"/>
    <w:rsid w:val="001D0E0C"/>
    <w:rsid w:val="00234DBA"/>
    <w:rsid w:val="003051B3"/>
    <w:rsid w:val="003559A2"/>
    <w:rsid w:val="003F160A"/>
    <w:rsid w:val="00402674"/>
    <w:rsid w:val="004C56B4"/>
    <w:rsid w:val="004E5C6E"/>
    <w:rsid w:val="005B71B2"/>
    <w:rsid w:val="005C2A12"/>
    <w:rsid w:val="00634F99"/>
    <w:rsid w:val="00640811"/>
    <w:rsid w:val="00697CD6"/>
    <w:rsid w:val="00733ED4"/>
    <w:rsid w:val="0074622D"/>
    <w:rsid w:val="008871B1"/>
    <w:rsid w:val="00A15F66"/>
    <w:rsid w:val="00AB1801"/>
    <w:rsid w:val="00B10D69"/>
    <w:rsid w:val="00BB3CA8"/>
    <w:rsid w:val="00BE28B1"/>
    <w:rsid w:val="00C40840"/>
    <w:rsid w:val="00D03DB3"/>
    <w:rsid w:val="00D322F1"/>
    <w:rsid w:val="00D412A9"/>
    <w:rsid w:val="00D42910"/>
    <w:rsid w:val="00DA51A3"/>
    <w:rsid w:val="00DD2D8C"/>
    <w:rsid w:val="00DF4D23"/>
    <w:rsid w:val="00E06E1B"/>
    <w:rsid w:val="00E80356"/>
    <w:rsid w:val="00E87827"/>
    <w:rsid w:val="00E87B77"/>
    <w:rsid w:val="00F24290"/>
    <w:rsid w:val="00F53B86"/>
    <w:rsid w:val="00FD0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uiPriority w:val="99"/>
    <w:semiHidden/>
    <w:unhideWhenUsed/>
    <w:rsid w:val="00FD0B5B"/>
    <w:rPr>
      <w:color w:val="0000FF"/>
      <w:u w:val="single"/>
    </w:rPr>
  </w:style>
  <w:style w:type="paragraph" w:styleId="Didascalia">
    <w:name w:val="caption"/>
    <w:basedOn w:val="Normale"/>
    <w:next w:val="Normale"/>
    <w:uiPriority w:val="35"/>
    <w:semiHidden/>
    <w:unhideWhenUsed/>
    <w:qFormat/>
    <w:rsid w:val="00FD0B5B"/>
    <w:pPr>
      <w:spacing w:after="200" w:line="240" w:lineRule="auto"/>
    </w:pPr>
    <w:rPr>
      <w:rFonts w:ascii="Times New Roman" w:eastAsia="Times New Roman" w:hAnsi="Times New Roman" w:cs="Times New Roman"/>
      <w:i/>
      <w:iCs/>
      <w:color w:val="44546A" w:themeColor="text2"/>
      <w:sz w:val="18"/>
      <w:szCs w:val="18"/>
      <w:lang w:val="en-US"/>
    </w:rPr>
  </w:style>
  <w:style w:type="paragraph" w:styleId="Nessunaspaziatura">
    <w:name w:val="No Spacing"/>
    <w:uiPriority w:val="1"/>
    <w:qFormat/>
    <w:rsid w:val="00FD0B5B"/>
    <w:pPr>
      <w:spacing w:after="0" w:line="240" w:lineRule="auto"/>
    </w:pPr>
    <w:rPr>
      <w:rFonts w:cs="Mangal"/>
      <w:szCs w:val="20"/>
      <w:lang w:val="en-IN" w:bidi="hi-IN"/>
    </w:rPr>
  </w:style>
  <w:style w:type="paragraph" w:customStyle="1" w:styleId="AuthorInfo">
    <w:name w:val="Author Info"/>
    <w:basedOn w:val="Normale"/>
    <w:rsid w:val="00FD0B5B"/>
    <w:pPr>
      <w:tabs>
        <w:tab w:val="right" w:pos="8640"/>
      </w:tabs>
      <w:spacing w:after="0" w:line="480" w:lineRule="auto"/>
      <w:jc w:val="center"/>
    </w:pPr>
    <w:rPr>
      <w:rFonts w:ascii="Times New Roman" w:eastAsia="Times New Roman" w:hAnsi="Times New Roman" w:cs="Times New Roman"/>
      <w:sz w:val="24"/>
      <w:szCs w:val="24"/>
      <w:lang w:val="en-US"/>
    </w:rPr>
  </w:style>
  <w:style w:type="table" w:styleId="Grigliatabella">
    <w:name w:val="Table Grid"/>
    <w:basedOn w:val="Tabellanormale"/>
    <w:uiPriority w:val="39"/>
    <w:rsid w:val="0023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40811"/>
    <w:rPr>
      <w:sz w:val="16"/>
      <w:szCs w:val="16"/>
    </w:rPr>
  </w:style>
  <w:style w:type="paragraph" w:styleId="Testocommento">
    <w:name w:val="annotation text"/>
    <w:basedOn w:val="Normale"/>
    <w:link w:val="TestocommentoCarattere"/>
    <w:uiPriority w:val="99"/>
    <w:unhideWhenUsed/>
    <w:rsid w:val="00640811"/>
    <w:pPr>
      <w:spacing w:line="240" w:lineRule="auto"/>
    </w:pPr>
    <w:rPr>
      <w:sz w:val="20"/>
      <w:szCs w:val="20"/>
    </w:rPr>
  </w:style>
  <w:style w:type="character" w:customStyle="1" w:styleId="TestocommentoCarattere">
    <w:name w:val="Testo commento Carattere"/>
    <w:basedOn w:val="Carpredefinitoparagrafo"/>
    <w:link w:val="Testocommento"/>
    <w:uiPriority w:val="99"/>
    <w:rsid w:val="00640811"/>
    <w:rPr>
      <w:sz w:val="20"/>
      <w:szCs w:val="20"/>
    </w:rPr>
  </w:style>
  <w:style w:type="paragraph" w:styleId="Soggettocommento">
    <w:name w:val="annotation subject"/>
    <w:basedOn w:val="Testocommento"/>
    <w:next w:val="Testocommento"/>
    <w:link w:val="SoggettocommentoCarattere"/>
    <w:uiPriority w:val="99"/>
    <w:semiHidden/>
    <w:unhideWhenUsed/>
    <w:rsid w:val="00640811"/>
    <w:rPr>
      <w:b/>
      <w:bCs/>
    </w:rPr>
  </w:style>
  <w:style w:type="character" w:customStyle="1" w:styleId="SoggettocommentoCarattere">
    <w:name w:val="Soggetto commento Carattere"/>
    <w:basedOn w:val="TestocommentoCarattere"/>
    <w:link w:val="Soggettocommento"/>
    <w:uiPriority w:val="99"/>
    <w:semiHidden/>
    <w:rsid w:val="00640811"/>
    <w:rPr>
      <w:b/>
      <w:bCs/>
      <w:sz w:val="20"/>
      <w:szCs w:val="20"/>
    </w:rPr>
  </w:style>
  <w:style w:type="paragraph" w:styleId="Revisione">
    <w:name w:val="Revision"/>
    <w:hidden/>
    <w:uiPriority w:val="99"/>
    <w:semiHidden/>
    <w:rsid w:val="00BE2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7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4.sv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1062</Words>
  <Characters>6057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Matteo Pelucchi</cp:lastModifiedBy>
  <cp:revision>6</cp:revision>
  <cp:lastPrinted>2022-01-31T11:56:00Z</cp:lastPrinted>
  <dcterms:created xsi:type="dcterms:W3CDTF">2022-03-15T16:56:00Z</dcterms:created>
  <dcterms:modified xsi:type="dcterms:W3CDTF">2022-03-15T18:11:00Z</dcterms:modified>
</cp:coreProperties>
</file>