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D288" w14:textId="413380EC" w:rsidR="00BB7AB9" w:rsidRPr="00752BC1" w:rsidRDefault="00425E29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bookmarkStart w:id="0" w:name="_Hlk97904179"/>
      <w:bookmarkEnd w:id="0"/>
      <w:r w:rsidRPr="00752BC1">
        <w:rPr>
          <w:rFonts w:ascii="Times New Roman" w:eastAsia="MS PGothic" w:hAnsi="Times New Roman"/>
          <w:b/>
          <w:bCs/>
          <w:sz w:val="24"/>
          <w:szCs w:val="24"/>
          <w:lang w:val="en-US"/>
        </w:rPr>
        <w:t>A</w:t>
      </w:r>
      <w:r w:rsidR="00E11359" w:rsidRPr="00752BC1">
        <w:rPr>
          <w:rFonts w:ascii="Times New Roman" w:eastAsia="MS PGothic" w:hAnsi="Times New Roman"/>
          <w:b/>
          <w:bCs/>
          <w:sz w:val="24"/>
          <w:szCs w:val="24"/>
          <w:lang w:val="en-US"/>
        </w:rPr>
        <w:t>n experimental</w:t>
      </w:r>
      <w:r w:rsidR="00F70298" w:rsidRPr="00752BC1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  <w:r w:rsidRPr="00752BC1">
        <w:rPr>
          <w:rFonts w:ascii="Times New Roman" w:eastAsia="MS PGothic" w:hAnsi="Times New Roman"/>
          <w:b/>
          <w:bCs/>
          <w:sz w:val="24"/>
          <w:szCs w:val="24"/>
          <w:lang w:val="en-US"/>
        </w:rPr>
        <w:t>investigation o</w:t>
      </w:r>
      <w:r w:rsidR="001D6E61" w:rsidRPr="00752BC1">
        <w:rPr>
          <w:rFonts w:ascii="Times New Roman" w:eastAsia="MS PGothic" w:hAnsi="Times New Roman"/>
          <w:b/>
          <w:bCs/>
          <w:sz w:val="24"/>
          <w:szCs w:val="24"/>
          <w:lang w:val="en-US"/>
        </w:rPr>
        <w:t>n</w:t>
      </w:r>
      <w:r w:rsidRPr="00752BC1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ionic</w:t>
      </w:r>
      <w:r w:rsidR="00BB7AB9" w:rsidRPr="00752BC1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shortcut</w:t>
      </w:r>
      <w:r w:rsidRPr="00752BC1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currents</w:t>
      </w:r>
      <w:r w:rsidR="00BB7AB9" w:rsidRPr="00752BC1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reduction</w:t>
      </w:r>
    </w:p>
    <w:p w14:paraId="5DC330F9" w14:textId="4E50FDB5" w:rsidR="00DA51A3" w:rsidRPr="00466FFD" w:rsidRDefault="00425E29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  <w:r w:rsidRPr="008D152F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in </w:t>
      </w:r>
      <w:r w:rsidR="00BB7AB9" w:rsidRPr="008D152F">
        <w:rPr>
          <w:rFonts w:ascii="Times New Roman" w:eastAsia="MS PGothic" w:hAnsi="Times New Roman"/>
          <w:b/>
          <w:bCs/>
          <w:sz w:val="24"/>
          <w:szCs w:val="24"/>
          <w:lang w:val="en-US"/>
        </w:rPr>
        <w:t>A</w:t>
      </w:r>
      <w:r w:rsidRPr="008D152F">
        <w:rPr>
          <w:rFonts w:ascii="Times New Roman" w:eastAsia="MS PGothic" w:hAnsi="Times New Roman"/>
          <w:b/>
          <w:bCs/>
          <w:sz w:val="24"/>
          <w:szCs w:val="24"/>
          <w:lang w:val="en-US"/>
        </w:rPr>
        <w:t>cid</w:t>
      </w:r>
      <w:r w:rsidR="00E11359" w:rsidRPr="008D152F">
        <w:rPr>
          <w:rFonts w:ascii="Times New Roman" w:eastAsia="MS PGothic" w:hAnsi="Times New Roman"/>
          <w:b/>
          <w:bCs/>
          <w:sz w:val="24"/>
          <w:szCs w:val="24"/>
          <w:lang w:val="en-US"/>
        </w:rPr>
        <w:t>-</w:t>
      </w:r>
      <w:r w:rsidR="00BB7AB9" w:rsidRPr="008D152F">
        <w:rPr>
          <w:rFonts w:ascii="Times New Roman" w:eastAsia="MS PGothic" w:hAnsi="Times New Roman"/>
          <w:b/>
          <w:bCs/>
          <w:sz w:val="24"/>
          <w:szCs w:val="24"/>
          <w:lang w:val="en-US"/>
        </w:rPr>
        <w:t>B</w:t>
      </w:r>
      <w:r w:rsidRPr="008D152F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ase </w:t>
      </w:r>
      <w:r w:rsidR="00BB7AB9" w:rsidRPr="008D152F">
        <w:rPr>
          <w:rFonts w:ascii="Times New Roman" w:eastAsia="MS PGothic" w:hAnsi="Times New Roman"/>
          <w:b/>
          <w:bCs/>
          <w:sz w:val="24"/>
          <w:szCs w:val="24"/>
          <w:lang w:val="en-US"/>
        </w:rPr>
        <w:t>F</w:t>
      </w:r>
      <w:r w:rsidRPr="008D152F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low </w:t>
      </w:r>
      <w:r w:rsidR="00BB7AB9" w:rsidRPr="008D152F">
        <w:rPr>
          <w:rFonts w:ascii="Times New Roman" w:eastAsia="MS PGothic" w:hAnsi="Times New Roman"/>
          <w:b/>
          <w:bCs/>
          <w:sz w:val="24"/>
          <w:szCs w:val="24"/>
          <w:lang w:val="en-US"/>
        </w:rPr>
        <w:t>B</w:t>
      </w:r>
      <w:r w:rsidRPr="008D152F">
        <w:rPr>
          <w:rFonts w:ascii="Times New Roman" w:eastAsia="MS PGothic" w:hAnsi="Times New Roman"/>
          <w:b/>
          <w:bCs/>
          <w:sz w:val="24"/>
          <w:szCs w:val="24"/>
          <w:lang w:val="en-US"/>
        </w:rPr>
        <w:t>attery</w:t>
      </w:r>
      <w:r w:rsidR="00E11359" w:rsidRPr="008D152F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systems</w:t>
      </w:r>
    </w:p>
    <w:p w14:paraId="243AAF34" w14:textId="0FFC2F46" w:rsidR="00DA51A3" w:rsidRPr="00710B0B" w:rsidRDefault="00B32264" w:rsidP="008D152F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710B0B">
        <w:rPr>
          <w:rFonts w:ascii="Times New Roman" w:eastAsia="SimSun" w:hAnsi="Times New Roman"/>
          <w:sz w:val="24"/>
          <w:szCs w:val="24"/>
          <w:u w:val="single"/>
          <w:lang w:eastAsia="zh-CN"/>
        </w:rPr>
        <w:t>Alessandra Pellegrino</w:t>
      </w:r>
      <w:r w:rsidR="00DA51A3" w:rsidRPr="00710B0B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C044DA" w:rsidRPr="00710B0B">
        <w:rPr>
          <w:rFonts w:ascii="Times New Roman" w:eastAsia="SimSun" w:hAnsi="Times New Roman"/>
          <w:sz w:val="24"/>
          <w:szCs w:val="24"/>
          <w:lang w:eastAsia="zh-CN"/>
        </w:rPr>
        <w:t>Andrea Culcasi</w:t>
      </w:r>
      <w:r w:rsidR="00DA51A3" w:rsidRPr="00710B0B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5A2403">
        <w:rPr>
          <w:rFonts w:ascii="Times New Roman" w:eastAsia="SimSun" w:hAnsi="Times New Roman"/>
          <w:sz w:val="24"/>
          <w:szCs w:val="24"/>
          <w:lang w:eastAsia="zh-CN"/>
        </w:rPr>
        <w:t>Alessandro</w:t>
      </w:r>
      <w:r w:rsidR="008D152F">
        <w:rPr>
          <w:rFonts w:ascii="Times New Roman" w:eastAsia="SimSun" w:hAnsi="Times New Roman"/>
          <w:sz w:val="24"/>
          <w:szCs w:val="24"/>
          <w:lang w:eastAsia="zh-CN"/>
        </w:rPr>
        <w:t xml:space="preserve"> Cosenza, Alessandro</w:t>
      </w:r>
      <w:r w:rsidR="005A2403">
        <w:rPr>
          <w:rFonts w:ascii="Times New Roman" w:eastAsia="SimSun" w:hAnsi="Times New Roman"/>
          <w:sz w:val="24"/>
          <w:szCs w:val="24"/>
          <w:lang w:eastAsia="zh-CN"/>
        </w:rPr>
        <w:t xml:space="preserve"> Tamburini</w:t>
      </w:r>
      <w:r w:rsidR="00DA51A3" w:rsidRPr="00710B0B">
        <w:rPr>
          <w:rFonts w:ascii="Times New Roman" w:eastAsia="SimSun" w:hAnsi="Times New Roman"/>
          <w:sz w:val="24"/>
          <w:szCs w:val="24"/>
          <w:lang w:eastAsia="zh-CN"/>
        </w:rPr>
        <w:t>*</w:t>
      </w:r>
      <w:r w:rsidR="005A2403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096236">
        <w:rPr>
          <w:rFonts w:ascii="Times New Roman" w:eastAsia="SimSun" w:hAnsi="Times New Roman"/>
          <w:sz w:val="24"/>
          <w:szCs w:val="24"/>
          <w:lang w:eastAsia="zh-CN"/>
        </w:rPr>
        <w:t xml:space="preserve">Andrea Cipollina, </w:t>
      </w:r>
      <w:r w:rsidR="005A2403">
        <w:rPr>
          <w:rFonts w:ascii="Times New Roman" w:eastAsia="SimSun" w:hAnsi="Times New Roman"/>
          <w:sz w:val="24"/>
          <w:szCs w:val="24"/>
          <w:lang w:eastAsia="zh-CN"/>
        </w:rPr>
        <w:t>Giorgio Micale</w:t>
      </w:r>
    </w:p>
    <w:p w14:paraId="7A602332" w14:textId="2AF5ABAB" w:rsidR="00DA51A3" w:rsidRPr="00842917" w:rsidRDefault="00842917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</w:rPr>
      </w:pPr>
      <w:r w:rsidRPr="00842917">
        <w:rPr>
          <w:rFonts w:ascii="Times New Roman" w:eastAsia="MS PGothic" w:hAnsi="Times New Roman"/>
          <w:i/>
          <w:iCs/>
          <w:sz w:val="20"/>
        </w:rPr>
        <w:t>Dipartimento</w:t>
      </w:r>
      <w:r>
        <w:rPr>
          <w:rFonts w:ascii="Times New Roman" w:eastAsia="MS PGothic" w:hAnsi="Times New Roman"/>
          <w:i/>
          <w:iCs/>
          <w:sz w:val="20"/>
        </w:rPr>
        <w:t xml:space="preserve"> </w:t>
      </w:r>
      <w:r w:rsidRPr="00842917">
        <w:rPr>
          <w:rFonts w:ascii="Times New Roman" w:eastAsia="MS PGothic" w:hAnsi="Times New Roman"/>
          <w:i/>
          <w:iCs/>
          <w:sz w:val="20"/>
        </w:rPr>
        <w:t>di</w:t>
      </w:r>
      <w:r>
        <w:rPr>
          <w:rFonts w:ascii="Times New Roman" w:eastAsia="MS PGothic" w:hAnsi="Times New Roman"/>
          <w:i/>
          <w:iCs/>
          <w:sz w:val="20"/>
        </w:rPr>
        <w:t xml:space="preserve"> </w:t>
      </w:r>
      <w:r w:rsidRPr="00842917">
        <w:rPr>
          <w:rFonts w:ascii="Times New Roman" w:eastAsia="MS PGothic" w:hAnsi="Times New Roman"/>
          <w:i/>
          <w:iCs/>
          <w:sz w:val="20"/>
        </w:rPr>
        <w:t>Ingegneria,</w:t>
      </w:r>
      <w:r>
        <w:rPr>
          <w:rFonts w:ascii="Times New Roman" w:eastAsia="MS PGothic" w:hAnsi="Times New Roman"/>
          <w:i/>
          <w:iCs/>
          <w:sz w:val="20"/>
        </w:rPr>
        <w:t xml:space="preserve"> </w:t>
      </w:r>
      <w:r w:rsidRPr="00842917">
        <w:rPr>
          <w:rFonts w:ascii="Times New Roman" w:eastAsia="MS PGothic" w:hAnsi="Times New Roman"/>
          <w:i/>
          <w:iCs/>
          <w:sz w:val="20"/>
        </w:rPr>
        <w:t>Università</w:t>
      </w:r>
      <w:r>
        <w:rPr>
          <w:rFonts w:ascii="Times New Roman" w:eastAsia="MS PGothic" w:hAnsi="Times New Roman"/>
          <w:i/>
          <w:iCs/>
          <w:sz w:val="20"/>
        </w:rPr>
        <w:t xml:space="preserve"> </w:t>
      </w:r>
      <w:r w:rsidRPr="00842917">
        <w:rPr>
          <w:rFonts w:ascii="Times New Roman" w:eastAsia="MS PGothic" w:hAnsi="Times New Roman"/>
          <w:i/>
          <w:iCs/>
          <w:sz w:val="20"/>
        </w:rPr>
        <w:t>degli</w:t>
      </w:r>
      <w:r>
        <w:rPr>
          <w:rFonts w:ascii="Times New Roman" w:eastAsia="MS PGothic" w:hAnsi="Times New Roman"/>
          <w:i/>
          <w:iCs/>
          <w:sz w:val="20"/>
        </w:rPr>
        <w:t xml:space="preserve"> </w:t>
      </w:r>
      <w:r w:rsidRPr="00842917">
        <w:rPr>
          <w:rFonts w:ascii="Times New Roman" w:eastAsia="MS PGothic" w:hAnsi="Times New Roman"/>
          <w:i/>
          <w:iCs/>
          <w:sz w:val="20"/>
        </w:rPr>
        <w:t>Studi</w:t>
      </w:r>
      <w:r>
        <w:rPr>
          <w:rFonts w:ascii="Times New Roman" w:eastAsia="MS PGothic" w:hAnsi="Times New Roman"/>
          <w:i/>
          <w:iCs/>
          <w:sz w:val="20"/>
        </w:rPr>
        <w:t xml:space="preserve"> </w:t>
      </w:r>
      <w:r w:rsidRPr="00842917">
        <w:rPr>
          <w:rFonts w:ascii="Times New Roman" w:eastAsia="MS PGothic" w:hAnsi="Times New Roman"/>
          <w:i/>
          <w:iCs/>
          <w:sz w:val="20"/>
        </w:rPr>
        <w:t>di</w:t>
      </w:r>
      <w:r w:rsidR="0094364A">
        <w:rPr>
          <w:rFonts w:ascii="Times New Roman" w:eastAsia="MS PGothic" w:hAnsi="Times New Roman"/>
          <w:i/>
          <w:iCs/>
          <w:sz w:val="20"/>
        </w:rPr>
        <w:t xml:space="preserve"> </w:t>
      </w:r>
      <w:r w:rsidRPr="00842917">
        <w:rPr>
          <w:rFonts w:ascii="Times New Roman" w:eastAsia="MS PGothic" w:hAnsi="Times New Roman"/>
          <w:i/>
          <w:iCs/>
          <w:sz w:val="20"/>
        </w:rPr>
        <w:t>Palermo,</w:t>
      </w:r>
      <w:r w:rsidR="0094364A">
        <w:rPr>
          <w:rFonts w:ascii="Times New Roman" w:eastAsia="MS PGothic" w:hAnsi="Times New Roman"/>
          <w:i/>
          <w:iCs/>
          <w:sz w:val="20"/>
        </w:rPr>
        <w:t xml:space="preserve"> </w:t>
      </w:r>
      <w:r w:rsidRPr="00842917">
        <w:rPr>
          <w:rFonts w:ascii="Times New Roman" w:eastAsia="MS PGothic" w:hAnsi="Times New Roman"/>
          <w:i/>
          <w:iCs/>
          <w:sz w:val="20"/>
        </w:rPr>
        <w:t>Viale</w:t>
      </w:r>
      <w:r w:rsidR="0094364A">
        <w:rPr>
          <w:rFonts w:ascii="Times New Roman" w:eastAsia="MS PGothic" w:hAnsi="Times New Roman"/>
          <w:i/>
          <w:iCs/>
          <w:sz w:val="20"/>
        </w:rPr>
        <w:t xml:space="preserve"> </w:t>
      </w:r>
      <w:r w:rsidRPr="00842917">
        <w:rPr>
          <w:rFonts w:ascii="Times New Roman" w:eastAsia="MS PGothic" w:hAnsi="Times New Roman"/>
          <w:i/>
          <w:iCs/>
          <w:sz w:val="20"/>
        </w:rPr>
        <w:t>delle</w:t>
      </w:r>
      <w:r w:rsidR="0094364A">
        <w:rPr>
          <w:rFonts w:ascii="Times New Roman" w:eastAsia="MS PGothic" w:hAnsi="Times New Roman"/>
          <w:i/>
          <w:iCs/>
          <w:sz w:val="20"/>
        </w:rPr>
        <w:t xml:space="preserve"> </w:t>
      </w:r>
      <w:r w:rsidRPr="00842917">
        <w:rPr>
          <w:rFonts w:ascii="Times New Roman" w:eastAsia="MS PGothic" w:hAnsi="Times New Roman"/>
          <w:i/>
          <w:iCs/>
          <w:sz w:val="20"/>
        </w:rPr>
        <w:t>Scienze</w:t>
      </w:r>
      <w:r w:rsidR="0094364A">
        <w:rPr>
          <w:rFonts w:ascii="Times New Roman" w:eastAsia="MS PGothic" w:hAnsi="Times New Roman"/>
          <w:i/>
          <w:iCs/>
          <w:sz w:val="20"/>
        </w:rPr>
        <w:t xml:space="preserve"> </w:t>
      </w:r>
      <w:r w:rsidRPr="00842917">
        <w:rPr>
          <w:rFonts w:ascii="Times New Roman" w:eastAsia="MS PGothic" w:hAnsi="Times New Roman"/>
          <w:i/>
          <w:iCs/>
          <w:sz w:val="20"/>
        </w:rPr>
        <w:t>ed.6,</w:t>
      </w:r>
      <w:r w:rsidR="0094364A">
        <w:rPr>
          <w:rFonts w:ascii="Times New Roman" w:eastAsia="MS PGothic" w:hAnsi="Times New Roman"/>
          <w:i/>
          <w:iCs/>
          <w:sz w:val="20"/>
        </w:rPr>
        <w:t xml:space="preserve"> </w:t>
      </w:r>
      <w:r w:rsidRPr="00842917">
        <w:rPr>
          <w:rFonts w:ascii="Times New Roman" w:eastAsia="MS PGothic" w:hAnsi="Times New Roman"/>
          <w:i/>
          <w:iCs/>
          <w:sz w:val="20"/>
        </w:rPr>
        <w:t>90128</w:t>
      </w:r>
      <w:r w:rsidR="0094364A">
        <w:rPr>
          <w:rFonts w:ascii="Times New Roman" w:eastAsia="MS PGothic" w:hAnsi="Times New Roman"/>
          <w:i/>
          <w:iCs/>
          <w:sz w:val="20"/>
        </w:rPr>
        <w:t xml:space="preserve"> </w:t>
      </w:r>
      <w:r w:rsidRPr="00842917">
        <w:rPr>
          <w:rFonts w:ascii="Times New Roman" w:eastAsia="MS PGothic" w:hAnsi="Times New Roman"/>
          <w:i/>
          <w:iCs/>
          <w:sz w:val="20"/>
        </w:rPr>
        <w:t>Palermo,</w:t>
      </w:r>
      <w:r w:rsidR="0094364A">
        <w:rPr>
          <w:rFonts w:ascii="Times New Roman" w:eastAsia="MS PGothic" w:hAnsi="Times New Roman"/>
          <w:i/>
          <w:iCs/>
          <w:sz w:val="20"/>
        </w:rPr>
        <w:t xml:space="preserve"> </w:t>
      </w:r>
      <w:r w:rsidRPr="00842917">
        <w:rPr>
          <w:rFonts w:ascii="Times New Roman" w:eastAsia="MS PGothic" w:hAnsi="Times New Roman"/>
          <w:i/>
          <w:iCs/>
          <w:sz w:val="20"/>
        </w:rPr>
        <w:t>Italy</w:t>
      </w:r>
    </w:p>
    <w:p w14:paraId="28AD07A8" w14:textId="0BF8F1ED" w:rsidR="00DA51A3" w:rsidRPr="00E171E6" w:rsidRDefault="00DA51A3" w:rsidP="00E171E6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 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</w:t>
      </w:r>
      <w:r w:rsidR="005A2403">
        <w:rPr>
          <w:rFonts w:ascii="Times New Roman" w:eastAsia="MS PGothic" w:hAnsi="Times New Roman"/>
          <w:bCs/>
          <w:i/>
          <w:iCs/>
          <w:sz w:val="20"/>
          <w:lang w:val="en-US"/>
        </w:rPr>
        <w:t>alessandro.tamburini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@</w:t>
      </w:r>
      <w:r w:rsidR="005A2403">
        <w:rPr>
          <w:rFonts w:ascii="Times New Roman" w:eastAsia="MS PGothic" w:hAnsi="Times New Roman"/>
          <w:bCs/>
          <w:i/>
          <w:iCs/>
          <w:sz w:val="20"/>
          <w:lang w:val="en-US"/>
        </w:rPr>
        <w:t>unipa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.</w:t>
      </w:r>
      <w:r w:rsidR="005A2403">
        <w:rPr>
          <w:rFonts w:ascii="Times New Roman" w:eastAsia="MS PGothic" w:hAnsi="Times New Roman"/>
          <w:bCs/>
          <w:i/>
          <w:iCs/>
          <w:sz w:val="20"/>
          <w:lang w:val="en-US"/>
        </w:rPr>
        <w:t>it</w:t>
      </w:r>
    </w:p>
    <w:p w14:paraId="110B92B3" w14:textId="57C8AB27" w:rsidR="00DA51A3" w:rsidRDefault="00DA51A3" w:rsidP="00BC79DF">
      <w:pPr>
        <w:snapToGrid w:val="0"/>
        <w:spacing w:line="300" w:lineRule="auto"/>
        <w:jc w:val="both"/>
        <w:rPr>
          <w:rFonts w:ascii="Times New Roman" w:eastAsia="MS PGothic" w:hAnsi="Times New Roman"/>
          <w:b/>
          <w:bCs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35C1802A" w14:textId="0FADA85D" w:rsidR="00163AB1" w:rsidRDefault="00CB0E51" w:rsidP="00BC79DF">
      <w:pPr>
        <w:snapToGrid w:val="0"/>
        <w:spacing w:line="300" w:lineRule="auto"/>
        <w:jc w:val="both"/>
        <w:rPr>
          <w:rFonts w:ascii="Times New Roman" w:eastAsia="MS PGothic" w:hAnsi="Times New Roman"/>
          <w:lang w:val="en-US" w:eastAsia="ko-KR"/>
        </w:rPr>
      </w:pPr>
      <w:bookmarkStart w:id="1" w:name="_Hlk97823990"/>
      <w:r w:rsidRPr="00CB0E51">
        <w:rPr>
          <w:rFonts w:ascii="Times New Roman" w:eastAsia="MS PGothic" w:hAnsi="Times New Roman"/>
          <w:lang w:val="en-US" w:eastAsia="ko-KR"/>
        </w:rPr>
        <w:t xml:space="preserve">In </w:t>
      </w:r>
      <w:r w:rsidR="001D6E61">
        <w:rPr>
          <w:rFonts w:ascii="Times New Roman" w:eastAsia="MS PGothic" w:hAnsi="Times New Roman"/>
          <w:lang w:val="en-US" w:eastAsia="ko-KR"/>
        </w:rPr>
        <w:t>recent years,</w:t>
      </w:r>
      <w:r w:rsidR="009F69D5">
        <w:rPr>
          <w:rFonts w:ascii="Times New Roman" w:eastAsia="MS PGothic" w:hAnsi="Times New Roman"/>
          <w:lang w:val="en-US" w:eastAsia="ko-KR"/>
        </w:rPr>
        <w:t xml:space="preserve"> t</w:t>
      </w:r>
      <w:r>
        <w:rPr>
          <w:rFonts w:ascii="Times New Roman" w:eastAsia="MS PGothic" w:hAnsi="Times New Roman"/>
          <w:lang w:val="en-US" w:eastAsia="ko-KR"/>
        </w:rPr>
        <w:t>he</w:t>
      </w:r>
      <w:r w:rsidRPr="00CB0E51">
        <w:rPr>
          <w:rFonts w:ascii="Times New Roman" w:eastAsia="MS PGothic" w:hAnsi="Times New Roman"/>
          <w:lang w:val="en-US" w:eastAsia="ko-KR"/>
        </w:rPr>
        <w:t xml:space="preserve"> global scenario </w:t>
      </w:r>
      <w:r w:rsidR="001D6E61">
        <w:rPr>
          <w:rFonts w:ascii="Times New Roman" w:eastAsia="MS PGothic" w:hAnsi="Times New Roman"/>
          <w:lang w:val="en-US" w:eastAsia="ko-KR"/>
        </w:rPr>
        <w:t xml:space="preserve">has </w:t>
      </w:r>
      <w:r w:rsidR="00C76A51">
        <w:rPr>
          <w:rFonts w:ascii="Times New Roman" w:eastAsia="MS PGothic" w:hAnsi="Times New Roman"/>
          <w:lang w:val="en-US" w:eastAsia="ko-KR"/>
        </w:rPr>
        <w:t xml:space="preserve">been </w:t>
      </w:r>
      <w:r w:rsidR="001D6E61">
        <w:rPr>
          <w:rFonts w:ascii="Times New Roman" w:eastAsia="MS PGothic" w:hAnsi="Times New Roman"/>
          <w:lang w:val="en-US" w:eastAsia="ko-KR"/>
        </w:rPr>
        <w:t>shift</w:t>
      </w:r>
      <w:r w:rsidR="00C76A51">
        <w:rPr>
          <w:rFonts w:ascii="Times New Roman" w:eastAsia="MS PGothic" w:hAnsi="Times New Roman"/>
          <w:lang w:val="en-US" w:eastAsia="ko-KR"/>
        </w:rPr>
        <w:t>ing</w:t>
      </w:r>
      <w:r w:rsidR="001D6E61">
        <w:rPr>
          <w:rFonts w:ascii="Times New Roman" w:eastAsia="MS PGothic" w:hAnsi="Times New Roman"/>
          <w:lang w:val="en-US" w:eastAsia="ko-KR"/>
        </w:rPr>
        <w:t xml:space="preserve"> </w:t>
      </w:r>
      <w:r w:rsidRPr="00CB0E51">
        <w:rPr>
          <w:rFonts w:ascii="Times New Roman" w:eastAsia="MS PGothic" w:hAnsi="Times New Roman"/>
          <w:lang w:val="en-US" w:eastAsia="ko-KR"/>
        </w:rPr>
        <w:t>toward energy transition</w:t>
      </w:r>
      <w:r w:rsidR="00163AB1">
        <w:rPr>
          <w:rFonts w:ascii="Times New Roman" w:eastAsia="MS PGothic" w:hAnsi="Times New Roman"/>
          <w:lang w:val="en-US" w:eastAsia="ko-KR"/>
        </w:rPr>
        <w:t xml:space="preserve"> and</w:t>
      </w:r>
      <w:r w:rsidR="001D6E61">
        <w:rPr>
          <w:rFonts w:ascii="Times New Roman" w:eastAsia="MS PGothic" w:hAnsi="Times New Roman"/>
          <w:lang w:val="en-US" w:eastAsia="ko-KR"/>
        </w:rPr>
        <w:t xml:space="preserve"> widespread</w:t>
      </w:r>
      <w:r w:rsidRPr="00CB0E51">
        <w:rPr>
          <w:rFonts w:ascii="Times New Roman" w:eastAsia="MS PGothic" w:hAnsi="Times New Roman"/>
          <w:lang w:val="en-US" w:eastAsia="ko-KR"/>
        </w:rPr>
        <w:t xml:space="preserve"> of renewable</w:t>
      </w:r>
      <w:r w:rsidR="001D6E61">
        <w:rPr>
          <w:rFonts w:ascii="Times New Roman" w:eastAsia="MS PGothic" w:hAnsi="Times New Roman"/>
          <w:lang w:val="en-US" w:eastAsia="ko-KR"/>
        </w:rPr>
        <w:t>s. However,</w:t>
      </w:r>
      <w:r w:rsidRPr="00CB0E51">
        <w:rPr>
          <w:rFonts w:ascii="Times New Roman" w:eastAsia="MS PGothic" w:hAnsi="Times New Roman"/>
          <w:lang w:val="en-US" w:eastAsia="ko-KR"/>
        </w:rPr>
        <w:t xml:space="preserve"> </w:t>
      </w:r>
      <w:r w:rsidR="001D6E61">
        <w:rPr>
          <w:rFonts w:ascii="Times New Roman" w:eastAsia="MS PGothic" w:hAnsi="Times New Roman"/>
          <w:lang w:val="en-US" w:eastAsia="ko-KR"/>
        </w:rPr>
        <w:t>the discontinuity nature of the most commonly used</w:t>
      </w:r>
      <w:r w:rsidR="002D4F81">
        <w:rPr>
          <w:rFonts w:ascii="Times New Roman" w:eastAsia="MS PGothic" w:hAnsi="Times New Roman"/>
          <w:lang w:val="en-US" w:eastAsia="ko-KR"/>
        </w:rPr>
        <w:t xml:space="preserve"> renewable </w:t>
      </w:r>
      <w:r w:rsidRPr="00CB0E51">
        <w:rPr>
          <w:rFonts w:ascii="Times New Roman" w:eastAsia="MS PGothic" w:hAnsi="Times New Roman"/>
          <w:lang w:val="en-US" w:eastAsia="ko-KR"/>
        </w:rPr>
        <w:t>resources</w:t>
      </w:r>
      <w:r w:rsidR="002D4F81">
        <w:rPr>
          <w:rFonts w:ascii="Times New Roman" w:eastAsia="MS PGothic" w:hAnsi="Times New Roman"/>
          <w:lang w:val="en-US" w:eastAsia="ko-KR"/>
        </w:rPr>
        <w:t>, such as</w:t>
      </w:r>
      <w:r w:rsidRPr="00CB0E51">
        <w:rPr>
          <w:rFonts w:ascii="Times New Roman" w:eastAsia="MS PGothic" w:hAnsi="Times New Roman"/>
          <w:lang w:val="en-US" w:eastAsia="ko-KR"/>
        </w:rPr>
        <w:t xml:space="preserve"> s</w:t>
      </w:r>
      <w:r w:rsidR="00163AB1">
        <w:rPr>
          <w:rFonts w:ascii="Times New Roman" w:eastAsia="MS PGothic" w:hAnsi="Times New Roman"/>
          <w:lang w:val="en-US" w:eastAsia="ko-KR"/>
        </w:rPr>
        <w:t>olar</w:t>
      </w:r>
      <w:r w:rsidRPr="00CB0E51">
        <w:rPr>
          <w:rFonts w:ascii="Times New Roman" w:eastAsia="MS PGothic" w:hAnsi="Times New Roman"/>
          <w:lang w:val="en-US" w:eastAsia="ko-KR"/>
        </w:rPr>
        <w:t xml:space="preserve"> and wind</w:t>
      </w:r>
      <w:r w:rsidR="002D4F81">
        <w:rPr>
          <w:rFonts w:ascii="Times New Roman" w:eastAsia="MS PGothic" w:hAnsi="Times New Roman"/>
          <w:lang w:val="en-US" w:eastAsia="ko-KR"/>
        </w:rPr>
        <w:t>,</w:t>
      </w:r>
      <w:r w:rsidR="00163AB1">
        <w:rPr>
          <w:rFonts w:ascii="Times New Roman" w:eastAsia="MS PGothic" w:hAnsi="Times New Roman"/>
          <w:lang w:val="en-US" w:eastAsia="ko-KR"/>
        </w:rPr>
        <w:t xml:space="preserve"> </w:t>
      </w:r>
      <w:r w:rsidR="00C76A51">
        <w:rPr>
          <w:rFonts w:ascii="Times New Roman" w:eastAsia="MS PGothic" w:hAnsi="Times New Roman"/>
          <w:lang w:val="en-US" w:eastAsia="ko-KR"/>
        </w:rPr>
        <w:t xml:space="preserve">intrinsically requires </w:t>
      </w:r>
      <w:r w:rsidRPr="00CB0E51">
        <w:rPr>
          <w:rFonts w:ascii="Times New Roman" w:eastAsia="MS PGothic" w:hAnsi="Times New Roman"/>
          <w:lang w:val="en-US" w:eastAsia="ko-KR"/>
        </w:rPr>
        <w:t xml:space="preserve">the use of </w:t>
      </w:r>
      <w:r w:rsidR="00C76A51">
        <w:rPr>
          <w:rFonts w:ascii="Times New Roman" w:eastAsia="MS PGothic" w:hAnsi="Times New Roman"/>
          <w:lang w:val="en-US" w:eastAsia="ko-KR"/>
        </w:rPr>
        <w:t xml:space="preserve">suitable </w:t>
      </w:r>
      <w:r w:rsidRPr="00CB0E51">
        <w:rPr>
          <w:rFonts w:ascii="Times New Roman" w:eastAsia="MS PGothic" w:hAnsi="Times New Roman"/>
          <w:lang w:val="en-US" w:eastAsia="ko-KR"/>
        </w:rPr>
        <w:t xml:space="preserve">Energy Storage Systems (ESS). </w:t>
      </w:r>
      <w:r w:rsidR="002D4F81">
        <w:rPr>
          <w:rFonts w:ascii="Times New Roman" w:eastAsia="MS PGothic" w:hAnsi="Times New Roman"/>
          <w:lang w:val="en-US" w:eastAsia="ko-KR"/>
        </w:rPr>
        <w:t xml:space="preserve">In this regard, </w:t>
      </w:r>
      <w:r w:rsidRPr="00CB0E51">
        <w:rPr>
          <w:rFonts w:ascii="Times New Roman" w:eastAsia="MS PGothic" w:hAnsi="Times New Roman"/>
          <w:lang w:val="en-US" w:eastAsia="ko-KR"/>
        </w:rPr>
        <w:t>the Acid</w:t>
      </w:r>
      <w:r w:rsidR="002D4F81">
        <w:rPr>
          <w:rFonts w:ascii="Times New Roman" w:eastAsia="MS PGothic" w:hAnsi="Times New Roman"/>
          <w:lang w:val="en-US" w:eastAsia="ko-KR"/>
        </w:rPr>
        <w:t>-</w:t>
      </w:r>
      <w:r w:rsidRPr="00CB0E51">
        <w:rPr>
          <w:rFonts w:ascii="Times New Roman" w:eastAsia="MS PGothic" w:hAnsi="Times New Roman"/>
          <w:lang w:val="en-US" w:eastAsia="ko-KR"/>
        </w:rPr>
        <w:t xml:space="preserve">Base Flow Battery (ABFB) is </w:t>
      </w:r>
      <w:r w:rsidR="002D4F81">
        <w:rPr>
          <w:rFonts w:ascii="Times New Roman" w:eastAsia="MS PGothic" w:hAnsi="Times New Roman"/>
          <w:lang w:val="en-US" w:eastAsia="ko-KR"/>
        </w:rPr>
        <w:t xml:space="preserve">a </w:t>
      </w:r>
      <w:r w:rsidR="00C76A51">
        <w:rPr>
          <w:rFonts w:ascii="Times New Roman" w:eastAsia="MS PGothic" w:hAnsi="Times New Roman"/>
          <w:lang w:val="en-US" w:eastAsia="ko-KR"/>
        </w:rPr>
        <w:t xml:space="preserve">novel and </w:t>
      </w:r>
      <w:r w:rsidR="002D4F81">
        <w:rPr>
          <w:rFonts w:ascii="Times New Roman" w:eastAsia="MS PGothic" w:hAnsi="Times New Roman"/>
          <w:lang w:val="en-US" w:eastAsia="ko-KR"/>
        </w:rPr>
        <w:t>sustainable storage system based on two</w:t>
      </w:r>
      <w:r w:rsidRPr="00CB0E51">
        <w:rPr>
          <w:rFonts w:ascii="Times New Roman" w:eastAsia="MS PGothic" w:hAnsi="Times New Roman"/>
          <w:lang w:val="en-US" w:eastAsia="ko-KR"/>
        </w:rPr>
        <w:t xml:space="preserve"> membrane technolog</w:t>
      </w:r>
      <w:r w:rsidR="002D4F81">
        <w:rPr>
          <w:rFonts w:ascii="Times New Roman" w:eastAsia="MS PGothic" w:hAnsi="Times New Roman"/>
          <w:lang w:val="en-US" w:eastAsia="ko-KR"/>
        </w:rPr>
        <w:t>ies:</w:t>
      </w:r>
      <w:r w:rsidRPr="00CB0E51">
        <w:rPr>
          <w:rFonts w:ascii="Times New Roman" w:eastAsia="MS PGothic" w:hAnsi="Times New Roman"/>
          <w:lang w:val="en-US" w:eastAsia="ko-KR"/>
        </w:rPr>
        <w:t xml:space="preserve"> Electrodialysis with Bipolar Membrane (EDBM) for the charging phase and Reverse Electrodialysis with Bipolar Membrane (REDBM) for the discharging phase</w:t>
      </w:r>
      <w:r w:rsidR="002D4F81">
        <w:rPr>
          <w:rFonts w:ascii="Times New Roman" w:eastAsia="MS PGothic" w:hAnsi="Times New Roman"/>
          <w:lang w:val="en-US" w:eastAsia="ko-KR"/>
        </w:rPr>
        <w:t xml:space="preserve"> [1]</w:t>
      </w:r>
      <w:r w:rsidR="00163AB1">
        <w:rPr>
          <w:rFonts w:ascii="Times New Roman" w:eastAsia="MS PGothic" w:hAnsi="Times New Roman"/>
          <w:lang w:val="en-US" w:eastAsia="ko-KR"/>
        </w:rPr>
        <w:t xml:space="preserve">. </w:t>
      </w:r>
      <w:r w:rsidRPr="00CB0E51">
        <w:rPr>
          <w:rFonts w:ascii="Times New Roman" w:eastAsia="MS PGothic" w:hAnsi="Times New Roman"/>
          <w:lang w:val="en-US" w:eastAsia="ko-KR"/>
        </w:rPr>
        <w:t>The EDBM process</w:t>
      </w:r>
      <w:r w:rsidR="002D4F81">
        <w:rPr>
          <w:rFonts w:ascii="Times New Roman" w:eastAsia="MS PGothic" w:hAnsi="Times New Roman"/>
          <w:lang w:val="en-US" w:eastAsia="ko-KR"/>
        </w:rPr>
        <w:t>, in particular,</w:t>
      </w:r>
      <w:r w:rsidRPr="00CB0E51">
        <w:rPr>
          <w:rFonts w:ascii="Times New Roman" w:eastAsia="MS PGothic" w:hAnsi="Times New Roman"/>
          <w:lang w:val="en-US" w:eastAsia="ko-KR"/>
        </w:rPr>
        <w:t xml:space="preserve"> </w:t>
      </w:r>
      <w:r w:rsidR="002D4F81">
        <w:rPr>
          <w:rFonts w:ascii="Times New Roman" w:eastAsia="MS PGothic" w:hAnsi="Times New Roman"/>
          <w:lang w:val="en-US" w:eastAsia="ko-KR"/>
        </w:rPr>
        <w:t xml:space="preserve">can </w:t>
      </w:r>
      <w:r w:rsidRPr="00CB0E51">
        <w:rPr>
          <w:rFonts w:ascii="Times New Roman" w:eastAsia="MS PGothic" w:hAnsi="Times New Roman"/>
          <w:lang w:val="en-US" w:eastAsia="ko-KR"/>
        </w:rPr>
        <w:t xml:space="preserve">store </w:t>
      </w:r>
      <w:r w:rsidR="002D4F81">
        <w:rPr>
          <w:rFonts w:ascii="Times New Roman" w:eastAsia="MS PGothic" w:hAnsi="Times New Roman"/>
          <w:lang w:val="en-US" w:eastAsia="ko-KR"/>
        </w:rPr>
        <w:t xml:space="preserve">electrical </w:t>
      </w:r>
      <w:r w:rsidRPr="00CB0E51">
        <w:rPr>
          <w:rFonts w:ascii="Times New Roman" w:eastAsia="MS PGothic" w:hAnsi="Times New Roman"/>
          <w:lang w:val="en-US" w:eastAsia="ko-KR"/>
        </w:rPr>
        <w:t xml:space="preserve">energy in the form of </w:t>
      </w:r>
      <w:r w:rsidR="002D4F81">
        <w:rPr>
          <w:rFonts w:ascii="Times New Roman" w:eastAsia="MS PGothic" w:hAnsi="Times New Roman"/>
          <w:lang w:val="en-US" w:eastAsia="ko-KR"/>
        </w:rPr>
        <w:t>pH and salinity gradients</w:t>
      </w:r>
      <w:r w:rsidRPr="00CB0E51">
        <w:rPr>
          <w:rFonts w:ascii="Times New Roman" w:eastAsia="MS PGothic" w:hAnsi="Times New Roman"/>
          <w:lang w:val="en-US" w:eastAsia="ko-KR"/>
        </w:rPr>
        <w:t>, wh</w:t>
      </w:r>
      <w:r w:rsidR="002D4F81">
        <w:rPr>
          <w:rFonts w:ascii="Times New Roman" w:eastAsia="MS PGothic" w:hAnsi="Times New Roman"/>
          <w:lang w:val="en-US" w:eastAsia="ko-KR"/>
        </w:rPr>
        <w:t>ereas</w:t>
      </w:r>
      <w:r w:rsidRPr="00CB0E51">
        <w:rPr>
          <w:rFonts w:ascii="Times New Roman" w:eastAsia="MS PGothic" w:hAnsi="Times New Roman"/>
          <w:lang w:val="en-US" w:eastAsia="ko-KR"/>
        </w:rPr>
        <w:t xml:space="preserve"> </w:t>
      </w:r>
      <w:r w:rsidR="003F2E33">
        <w:rPr>
          <w:rFonts w:ascii="Times New Roman" w:eastAsia="MS PGothic" w:hAnsi="Times New Roman"/>
          <w:lang w:val="en-US" w:eastAsia="ko-KR"/>
        </w:rPr>
        <w:t xml:space="preserve">the </w:t>
      </w:r>
      <w:r w:rsidRPr="00CB0E51">
        <w:rPr>
          <w:rFonts w:ascii="Times New Roman" w:eastAsia="MS PGothic" w:hAnsi="Times New Roman"/>
          <w:lang w:val="en-US" w:eastAsia="ko-KR"/>
        </w:rPr>
        <w:t xml:space="preserve">REDBM </w:t>
      </w:r>
      <w:r w:rsidR="003F2E33">
        <w:rPr>
          <w:rFonts w:ascii="Times New Roman" w:eastAsia="MS PGothic" w:hAnsi="Times New Roman"/>
          <w:lang w:val="en-US" w:eastAsia="ko-KR"/>
        </w:rPr>
        <w:t xml:space="preserve">process can </w:t>
      </w:r>
      <w:r w:rsidRPr="00CB0E51">
        <w:rPr>
          <w:rFonts w:ascii="Times New Roman" w:eastAsia="MS PGothic" w:hAnsi="Times New Roman"/>
          <w:lang w:val="en-US" w:eastAsia="ko-KR"/>
        </w:rPr>
        <w:t>suppl</w:t>
      </w:r>
      <w:r w:rsidR="003F2E33">
        <w:rPr>
          <w:rFonts w:ascii="Times New Roman" w:eastAsia="MS PGothic" w:hAnsi="Times New Roman"/>
          <w:lang w:val="en-US" w:eastAsia="ko-KR"/>
        </w:rPr>
        <w:t>y</w:t>
      </w:r>
      <w:r w:rsidRPr="00CB0E51">
        <w:rPr>
          <w:rFonts w:ascii="Times New Roman" w:eastAsia="MS PGothic" w:hAnsi="Times New Roman"/>
          <w:lang w:val="en-US" w:eastAsia="ko-KR"/>
        </w:rPr>
        <w:t xml:space="preserve"> </w:t>
      </w:r>
      <w:r w:rsidR="003F2E33">
        <w:rPr>
          <w:rFonts w:ascii="Times New Roman" w:eastAsia="MS PGothic" w:hAnsi="Times New Roman"/>
          <w:lang w:val="en-US" w:eastAsia="ko-KR"/>
        </w:rPr>
        <w:t xml:space="preserve">electricity by consuming </w:t>
      </w:r>
      <w:r w:rsidR="00450B6A">
        <w:rPr>
          <w:rFonts w:ascii="Times New Roman" w:eastAsia="MS PGothic" w:hAnsi="Times New Roman"/>
          <w:lang w:val="en-US" w:eastAsia="ko-KR"/>
        </w:rPr>
        <w:t>these</w:t>
      </w:r>
      <w:r w:rsidR="003F2E33">
        <w:rPr>
          <w:rFonts w:ascii="Times New Roman" w:eastAsia="MS PGothic" w:hAnsi="Times New Roman"/>
          <w:lang w:val="en-US" w:eastAsia="ko-KR"/>
        </w:rPr>
        <w:t xml:space="preserve"> gradients </w:t>
      </w:r>
      <w:r w:rsidRPr="00CB0E51">
        <w:rPr>
          <w:rFonts w:ascii="Times New Roman" w:eastAsia="MS PGothic" w:hAnsi="Times New Roman"/>
          <w:lang w:val="en-US" w:eastAsia="ko-KR"/>
        </w:rPr>
        <w:t xml:space="preserve">when </w:t>
      </w:r>
      <w:r w:rsidR="003F2E33">
        <w:rPr>
          <w:rFonts w:ascii="Times New Roman" w:eastAsia="MS PGothic" w:hAnsi="Times New Roman"/>
          <w:lang w:val="en-US" w:eastAsia="ko-KR"/>
        </w:rPr>
        <w:t xml:space="preserve">needed </w:t>
      </w:r>
      <w:r w:rsidR="000D056B">
        <w:rPr>
          <w:rFonts w:ascii="Times New Roman" w:eastAsia="MS PGothic" w:hAnsi="Times New Roman"/>
          <w:lang w:val="en-US" w:eastAsia="ko-KR"/>
        </w:rPr>
        <w:t>[2]</w:t>
      </w:r>
      <w:r w:rsidRPr="00CB0E51">
        <w:rPr>
          <w:rFonts w:ascii="Times New Roman" w:eastAsia="MS PGothic" w:hAnsi="Times New Roman"/>
          <w:lang w:val="en-US" w:eastAsia="ko-KR"/>
        </w:rPr>
        <w:t>.</w:t>
      </w:r>
      <w:r w:rsidR="00163AB1">
        <w:rPr>
          <w:rFonts w:ascii="Times New Roman" w:eastAsia="MS PGothic" w:hAnsi="Times New Roman"/>
          <w:lang w:val="en-US" w:eastAsia="ko-KR"/>
        </w:rPr>
        <w:t xml:space="preserve"> </w:t>
      </w:r>
      <w:bookmarkEnd w:id="1"/>
      <w:r w:rsidR="001635E6">
        <w:rPr>
          <w:rFonts w:ascii="Times New Roman" w:eastAsia="MS PGothic" w:hAnsi="Times New Roman"/>
          <w:lang w:val="en-US" w:eastAsia="ko-KR"/>
        </w:rPr>
        <w:t xml:space="preserve">The </w:t>
      </w:r>
      <w:r w:rsidR="00937285">
        <w:rPr>
          <w:rFonts w:ascii="Times New Roman" w:eastAsia="MS PGothic" w:hAnsi="Times New Roman"/>
          <w:lang w:val="en-US" w:eastAsia="ko-KR"/>
        </w:rPr>
        <w:t>ABFB</w:t>
      </w:r>
      <w:r w:rsidR="001635E6">
        <w:rPr>
          <w:rFonts w:ascii="Times New Roman" w:eastAsia="MS PGothic" w:hAnsi="Times New Roman"/>
          <w:lang w:val="en-US" w:eastAsia="ko-KR"/>
        </w:rPr>
        <w:t xml:space="preserve"> technological feasibility</w:t>
      </w:r>
      <w:r w:rsidR="00937285">
        <w:rPr>
          <w:rFonts w:ascii="Times New Roman" w:eastAsia="MS PGothic" w:hAnsi="Times New Roman"/>
          <w:lang w:val="en-US" w:eastAsia="ko-KR"/>
        </w:rPr>
        <w:t xml:space="preserve"> </w:t>
      </w:r>
      <w:r w:rsidR="00163AB1">
        <w:rPr>
          <w:rFonts w:ascii="Times New Roman" w:eastAsia="MS PGothic" w:hAnsi="Times New Roman"/>
          <w:lang w:val="en-US" w:eastAsia="ko-KR"/>
        </w:rPr>
        <w:t xml:space="preserve">is </w:t>
      </w:r>
      <w:r w:rsidR="00C76A51">
        <w:rPr>
          <w:rFonts w:ascii="Times New Roman" w:eastAsia="MS PGothic" w:hAnsi="Times New Roman"/>
          <w:lang w:val="en-US" w:eastAsia="ko-KR"/>
        </w:rPr>
        <w:t>strongly related to the reduction of</w:t>
      </w:r>
      <w:r w:rsidR="001635E6">
        <w:rPr>
          <w:rFonts w:ascii="Times New Roman" w:eastAsia="MS PGothic" w:hAnsi="Times New Roman"/>
          <w:lang w:val="en-US" w:eastAsia="ko-KR"/>
        </w:rPr>
        <w:t xml:space="preserve"> the main detrimental phenomena</w:t>
      </w:r>
      <w:r w:rsidR="00C76A51">
        <w:rPr>
          <w:rFonts w:ascii="Times New Roman" w:eastAsia="MS PGothic" w:hAnsi="Times New Roman"/>
          <w:lang w:val="en-US" w:eastAsia="ko-KR"/>
        </w:rPr>
        <w:t xml:space="preserve"> affecting the process</w:t>
      </w:r>
      <w:r w:rsidR="00163AB1">
        <w:rPr>
          <w:rFonts w:ascii="Times New Roman" w:eastAsia="MS PGothic" w:hAnsi="Times New Roman"/>
          <w:lang w:val="en-US" w:eastAsia="ko-KR"/>
        </w:rPr>
        <w:t xml:space="preserve">. </w:t>
      </w:r>
      <w:r w:rsidR="00C76A51">
        <w:rPr>
          <w:rFonts w:ascii="Times New Roman" w:eastAsia="MS PGothic" w:hAnsi="Times New Roman"/>
          <w:lang w:val="en-US" w:eastAsia="ko-KR"/>
        </w:rPr>
        <w:t xml:space="preserve">Among these, the passage of ionic shortcut (or parasitic) currents through manifolds is the </w:t>
      </w:r>
      <w:r w:rsidR="001635E6">
        <w:rPr>
          <w:rFonts w:ascii="Times New Roman" w:eastAsia="MS PGothic" w:hAnsi="Times New Roman"/>
          <w:lang w:val="en-US" w:eastAsia="ko-KR"/>
        </w:rPr>
        <w:t>ABFB most important issue. Indeed, w</w:t>
      </w:r>
      <w:r w:rsidR="00163AB1">
        <w:rPr>
          <w:rFonts w:ascii="Times New Roman" w:eastAsia="MS PGothic" w:hAnsi="Times New Roman"/>
          <w:lang w:val="en-US" w:eastAsia="ko-KR"/>
        </w:rPr>
        <w:t xml:space="preserve">hen </w:t>
      </w:r>
      <w:r w:rsidR="001635E6">
        <w:rPr>
          <w:rFonts w:ascii="Times New Roman" w:eastAsia="MS PGothic" w:hAnsi="Times New Roman"/>
          <w:lang w:val="en-US" w:eastAsia="ko-KR"/>
        </w:rPr>
        <w:t xml:space="preserve">parallel </w:t>
      </w:r>
      <w:r w:rsidR="00163AB1">
        <w:rPr>
          <w:rFonts w:ascii="Times New Roman" w:eastAsia="MS PGothic" w:hAnsi="Times New Roman"/>
          <w:lang w:val="en-US" w:eastAsia="ko-KR"/>
        </w:rPr>
        <w:t>c</w:t>
      </w:r>
      <w:r w:rsidR="00163AB1" w:rsidRPr="009F69D5">
        <w:rPr>
          <w:rFonts w:ascii="Times New Roman" w:eastAsia="MS PGothic" w:hAnsi="Times New Roman"/>
          <w:lang w:val="en-US" w:eastAsia="ko-KR"/>
        </w:rPr>
        <w:t>hannels of the same solution</w:t>
      </w:r>
      <w:r w:rsidR="00163AB1">
        <w:rPr>
          <w:rFonts w:ascii="Times New Roman" w:eastAsia="MS PGothic" w:hAnsi="Times New Roman"/>
          <w:lang w:val="en-US" w:eastAsia="ko-KR"/>
        </w:rPr>
        <w:t xml:space="preserve"> are </w:t>
      </w:r>
      <w:r w:rsidR="00163AB1" w:rsidRPr="009F69D5">
        <w:rPr>
          <w:rFonts w:ascii="Times New Roman" w:eastAsia="MS PGothic" w:hAnsi="Times New Roman"/>
          <w:lang w:val="en-US" w:eastAsia="ko-KR"/>
        </w:rPr>
        <w:t>exposed to a voltage difference</w:t>
      </w:r>
      <w:r w:rsidR="00937285">
        <w:rPr>
          <w:rFonts w:ascii="Times New Roman" w:eastAsia="MS PGothic" w:hAnsi="Times New Roman"/>
          <w:lang w:val="en-US" w:eastAsia="ko-KR"/>
        </w:rPr>
        <w:t>,</w:t>
      </w:r>
      <w:r w:rsidR="00163AB1">
        <w:rPr>
          <w:rFonts w:ascii="Times New Roman" w:eastAsia="MS PGothic" w:hAnsi="Times New Roman"/>
          <w:lang w:val="en-US" w:eastAsia="ko-KR"/>
        </w:rPr>
        <w:t xml:space="preserve"> </w:t>
      </w:r>
      <w:r w:rsidR="001635E6">
        <w:rPr>
          <w:rFonts w:ascii="Times New Roman" w:eastAsia="MS PGothic" w:hAnsi="Times New Roman"/>
          <w:lang w:val="en-US" w:eastAsia="ko-KR"/>
        </w:rPr>
        <w:t xml:space="preserve">a portion </w:t>
      </w:r>
      <w:r w:rsidR="00163AB1" w:rsidRPr="00163AB1">
        <w:rPr>
          <w:rFonts w:ascii="Times New Roman" w:eastAsia="MS PGothic" w:hAnsi="Times New Roman"/>
          <w:lang w:val="en-US" w:eastAsia="ko-KR"/>
        </w:rPr>
        <w:t>of</w:t>
      </w:r>
      <w:r w:rsidR="001635E6">
        <w:rPr>
          <w:rFonts w:ascii="Times New Roman" w:eastAsia="MS PGothic" w:hAnsi="Times New Roman"/>
          <w:lang w:val="en-US" w:eastAsia="ko-KR"/>
        </w:rPr>
        <w:t xml:space="preserve"> the</w:t>
      </w:r>
      <w:r w:rsidR="00163AB1" w:rsidRPr="00163AB1">
        <w:rPr>
          <w:rFonts w:ascii="Times New Roman" w:eastAsia="MS PGothic" w:hAnsi="Times New Roman"/>
          <w:lang w:val="en-US" w:eastAsia="ko-KR"/>
        </w:rPr>
        <w:t xml:space="preserve"> ionic current </w:t>
      </w:r>
      <w:r w:rsidR="001635E6">
        <w:rPr>
          <w:rFonts w:ascii="Times New Roman" w:eastAsia="MS PGothic" w:hAnsi="Times New Roman"/>
          <w:lang w:val="en-US" w:eastAsia="ko-KR"/>
        </w:rPr>
        <w:t xml:space="preserve">can pass </w:t>
      </w:r>
      <w:r w:rsidR="00163AB1" w:rsidRPr="00163AB1">
        <w:rPr>
          <w:rFonts w:ascii="Times New Roman" w:eastAsia="MS PGothic" w:hAnsi="Times New Roman"/>
          <w:lang w:val="en-US" w:eastAsia="ko-KR"/>
        </w:rPr>
        <w:t xml:space="preserve">through </w:t>
      </w:r>
      <w:r w:rsidR="001635E6">
        <w:rPr>
          <w:rFonts w:ascii="Times New Roman" w:eastAsia="MS PGothic" w:hAnsi="Times New Roman"/>
          <w:lang w:val="en-US" w:eastAsia="ko-KR"/>
        </w:rPr>
        <w:t xml:space="preserve">alternative pathways </w:t>
      </w:r>
      <w:r w:rsidR="00162246">
        <w:rPr>
          <w:rFonts w:ascii="Times New Roman" w:eastAsia="MS PGothic" w:hAnsi="Times New Roman"/>
          <w:lang w:val="en-US" w:eastAsia="ko-KR"/>
        </w:rPr>
        <w:t>constituted by</w:t>
      </w:r>
      <w:r w:rsidR="001635E6">
        <w:rPr>
          <w:rFonts w:ascii="Times New Roman" w:eastAsia="MS PGothic" w:hAnsi="Times New Roman"/>
          <w:lang w:val="en-US" w:eastAsia="ko-KR"/>
        </w:rPr>
        <w:t xml:space="preserve"> the manifolds</w:t>
      </w:r>
      <w:r w:rsidR="00652238">
        <w:rPr>
          <w:rFonts w:ascii="Times New Roman" w:eastAsia="MS PGothic" w:hAnsi="Times New Roman"/>
          <w:lang w:val="en-US" w:eastAsia="ko-KR"/>
        </w:rPr>
        <w:t xml:space="preserve"> </w:t>
      </w:r>
      <w:r w:rsidR="000D056B">
        <w:rPr>
          <w:rFonts w:ascii="Times New Roman" w:eastAsia="MS PGothic" w:hAnsi="Times New Roman"/>
          <w:lang w:val="en-US" w:eastAsia="ko-KR"/>
        </w:rPr>
        <w:t>[3</w:t>
      </w:r>
      <w:r w:rsidR="000D056B" w:rsidRPr="00531886">
        <w:rPr>
          <w:rFonts w:ascii="Times New Roman" w:eastAsia="MS PGothic" w:hAnsi="Times New Roman"/>
          <w:lang w:val="en-US" w:eastAsia="ko-KR"/>
        </w:rPr>
        <w:t>]</w:t>
      </w:r>
      <w:r w:rsidR="00163AB1" w:rsidRPr="00531886">
        <w:rPr>
          <w:rFonts w:ascii="Times New Roman" w:eastAsia="MS PGothic" w:hAnsi="Times New Roman"/>
          <w:lang w:val="en-US" w:eastAsia="ko-KR"/>
        </w:rPr>
        <w:t>.</w:t>
      </w:r>
      <w:r w:rsidR="00937285" w:rsidRPr="00531886">
        <w:rPr>
          <w:rFonts w:ascii="Times New Roman" w:eastAsia="MS PGothic" w:hAnsi="Times New Roman"/>
          <w:lang w:val="en-US" w:eastAsia="ko-KR"/>
        </w:rPr>
        <w:t xml:space="preserve"> As a result, </w:t>
      </w:r>
      <w:r w:rsidR="001635E6" w:rsidRPr="00531886">
        <w:rPr>
          <w:rFonts w:ascii="Times New Roman" w:eastAsia="MS PGothic" w:hAnsi="Times New Roman"/>
          <w:lang w:val="en-US" w:eastAsia="ko-KR"/>
        </w:rPr>
        <w:t xml:space="preserve">during </w:t>
      </w:r>
      <w:r w:rsidR="00937285" w:rsidRPr="00531886">
        <w:rPr>
          <w:rFonts w:ascii="Times New Roman" w:eastAsia="MS PGothic" w:hAnsi="Times New Roman"/>
          <w:lang w:val="en-US" w:eastAsia="ko-KR"/>
        </w:rPr>
        <w:t>the charging phase</w:t>
      </w:r>
      <w:r w:rsidR="001635E6" w:rsidRPr="00531886">
        <w:rPr>
          <w:rFonts w:ascii="Times New Roman" w:eastAsia="MS PGothic" w:hAnsi="Times New Roman"/>
          <w:lang w:val="en-US" w:eastAsia="ko-KR"/>
        </w:rPr>
        <w:t>,</w:t>
      </w:r>
      <w:r w:rsidR="00937285" w:rsidRPr="00531886">
        <w:rPr>
          <w:rFonts w:ascii="Times New Roman" w:eastAsia="MS PGothic" w:hAnsi="Times New Roman"/>
          <w:lang w:val="en-US" w:eastAsia="ko-KR"/>
        </w:rPr>
        <w:t xml:space="preserve"> the cell current decreases</w:t>
      </w:r>
      <w:r w:rsidR="001635E6" w:rsidRPr="00531886">
        <w:rPr>
          <w:rFonts w:ascii="Times New Roman" w:eastAsia="MS PGothic" w:hAnsi="Times New Roman"/>
          <w:lang w:val="en-US" w:eastAsia="ko-KR"/>
        </w:rPr>
        <w:t>, reducing</w:t>
      </w:r>
      <w:r w:rsidR="00937285" w:rsidRPr="00531886">
        <w:rPr>
          <w:rFonts w:ascii="Times New Roman" w:eastAsia="MS PGothic" w:hAnsi="Times New Roman"/>
          <w:lang w:val="en-US" w:eastAsia="ko-KR"/>
        </w:rPr>
        <w:t xml:space="preserve"> acid and base </w:t>
      </w:r>
      <w:r w:rsidR="001635E6" w:rsidRPr="00531886">
        <w:rPr>
          <w:rFonts w:ascii="Times New Roman" w:eastAsia="MS PGothic" w:hAnsi="Times New Roman"/>
          <w:lang w:val="en-US" w:eastAsia="ko-KR"/>
        </w:rPr>
        <w:t>production</w:t>
      </w:r>
      <w:r w:rsidR="00937285" w:rsidRPr="00531886">
        <w:rPr>
          <w:rFonts w:ascii="Times New Roman" w:eastAsia="MS PGothic" w:hAnsi="Times New Roman"/>
          <w:lang w:val="en-US" w:eastAsia="ko-KR"/>
        </w:rPr>
        <w:t xml:space="preserve">. </w:t>
      </w:r>
      <w:r w:rsidR="00256C7D" w:rsidRPr="00531886">
        <w:rPr>
          <w:rFonts w:ascii="Times New Roman" w:eastAsia="MS PGothic" w:hAnsi="Times New Roman"/>
          <w:lang w:val="en-US" w:eastAsia="ko-KR"/>
        </w:rPr>
        <w:t>O</w:t>
      </w:r>
      <w:r w:rsidR="00937285" w:rsidRPr="00531886">
        <w:rPr>
          <w:rFonts w:ascii="Times New Roman" w:eastAsia="MS PGothic" w:hAnsi="Times New Roman"/>
          <w:lang w:val="en-US" w:eastAsia="ko-KR"/>
        </w:rPr>
        <w:t xml:space="preserve">n the </w:t>
      </w:r>
      <w:r w:rsidR="00256C7D" w:rsidRPr="00531886">
        <w:rPr>
          <w:rFonts w:ascii="Times New Roman" w:eastAsia="MS PGothic" w:hAnsi="Times New Roman"/>
          <w:lang w:val="en-US" w:eastAsia="ko-KR"/>
        </w:rPr>
        <w:t>contrary</w:t>
      </w:r>
      <w:r w:rsidR="00937285" w:rsidRPr="00531886">
        <w:rPr>
          <w:rFonts w:ascii="Times New Roman" w:eastAsia="MS PGothic" w:hAnsi="Times New Roman"/>
          <w:lang w:val="en-US" w:eastAsia="ko-KR"/>
        </w:rPr>
        <w:t xml:space="preserve">, </w:t>
      </w:r>
      <w:r w:rsidR="00256C7D" w:rsidRPr="00531886">
        <w:rPr>
          <w:rFonts w:ascii="Times New Roman" w:eastAsia="MS PGothic" w:hAnsi="Times New Roman"/>
          <w:lang w:val="en-US" w:eastAsia="ko-KR"/>
        </w:rPr>
        <w:t xml:space="preserve">during the discharging phase, </w:t>
      </w:r>
      <w:r w:rsidR="00937285" w:rsidRPr="00531886">
        <w:rPr>
          <w:rFonts w:ascii="Times New Roman" w:eastAsia="MS PGothic" w:hAnsi="Times New Roman"/>
          <w:lang w:val="en-US" w:eastAsia="ko-KR"/>
        </w:rPr>
        <w:t xml:space="preserve">the </w:t>
      </w:r>
      <w:r w:rsidR="00531886" w:rsidRPr="00531886">
        <w:rPr>
          <w:rFonts w:ascii="Times New Roman" w:eastAsia="MS PGothic" w:hAnsi="Times New Roman"/>
          <w:lang w:val="en-US" w:eastAsia="ko-KR"/>
        </w:rPr>
        <w:t>dissipated</w:t>
      </w:r>
      <w:r w:rsidR="00937285" w:rsidRPr="00531886">
        <w:rPr>
          <w:rFonts w:ascii="Times New Roman" w:eastAsia="MS PGothic" w:hAnsi="Times New Roman"/>
          <w:lang w:val="en-US" w:eastAsia="ko-KR"/>
        </w:rPr>
        <w:t xml:space="preserve"> current increases</w:t>
      </w:r>
      <w:r w:rsidR="00256C7D" w:rsidRPr="00531886">
        <w:rPr>
          <w:rFonts w:ascii="Times New Roman" w:eastAsia="MS PGothic" w:hAnsi="Times New Roman"/>
          <w:lang w:val="en-US" w:eastAsia="ko-KR"/>
        </w:rPr>
        <w:t>, causing</w:t>
      </w:r>
      <w:r w:rsidR="00937285" w:rsidRPr="00531886">
        <w:rPr>
          <w:rFonts w:ascii="Times New Roman" w:eastAsia="MS PGothic" w:hAnsi="Times New Roman"/>
          <w:lang w:val="en-US" w:eastAsia="ko-KR"/>
        </w:rPr>
        <w:t xml:space="preserve"> the battery </w:t>
      </w:r>
      <w:r w:rsidR="00256C7D" w:rsidRPr="00531886">
        <w:rPr>
          <w:rFonts w:ascii="Times New Roman" w:eastAsia="MS PGothic" w:hAnsi="Times New Roman"/>
          <w:lang w:val="en-US" w:eastAsia="ko-KR"/>
        </w:rPr>
        <w:t>to discharge faster</w:t>
      </w:r>
      <w:r w:rsidR="00937285" w:rsidRPr="00531886">
        <w:rPr>
          <w:rFonts w:ascii="Times New Roman" w:eastAsia="MS PGothic" w:hAnsi="Times New Roman"/>
          <w:lang w:val="en-US" w:eastAsia="ko-KR"/>
        </w:rPr>
        <w:t xml:space="preserve">. The </w:t>
      </w:r>
      <w:r w:rsidR="001B5C83" w:rsidRPr="00531886">
        <w:rPr>
          <w:rFonts w:ascii="Times New Roman" w:eastAsia="MS PGothic" w:hAnsi="Times New Roman"/>
          <w:lang w:val="en-US" w:eastAsia="ko-KR"/>
        </w:rPr>
        <w:t>present</w:t>
      </w:r>
      <w:r w:rsidR="00256C7D" w:rsidRPr="00531886">
        <w:rPr>
          <w:rFonts w:ascii="Times New Roman" w:eastAsia="MS PGothic" w:hAnsi="Times New Roman"/>
          <w:lang w:val="en-US" w:eastAsia="ko-KR"/>
        </w:rPr>
        <w:t xml:space="preserve"> work </w:t>
      </w:r>
      <w:r w:rsidR="00937285" w:rsidRPr="00531886">
        <w:rPr>
          <w:rFonts w:ascii="Times New Roman" w:eastAsia="MS PGothic" w:hAnsi="Times New Roman"/>
          <w:lang w:val="en-US" w:eastAsia="ko-KR"/>
        </w:rPr>
        <w:t>aim</w:t>
      </w:r>
      <w:r w:rsidR="00256C7D" w:rsidRPr="00531886">
        <w:rPr>
          <w:rFonts w:ascii="Times New Roman" w:eastAsia="MS PGothic" w:hAnsi="Times New Roman"/>
          <w:lang w:val="en-US" w:eastAsia="ko-KR"/>
        </w:rPr>
        <w:t>s</w:t>
      </w:r>
      <w:r w:rsidR="00937285" w:rsidRPr="00531886">
        <w:rPr>
          <w:rFonts w:ascii="Times New Roman" w:eastAsia="MS PGothic" w:hAnsi="Times New Roman"/>
          <w:lang w:val="en-US" w:eastAsia="ko-KR"/>
        </w:rPr>
        <w:t xml:space="preserve"> </w:t>
      </w:r>
      <w:r w:rsidR="00256C7D" w:rsidRPr="00531886">
        <w:rPr>
          <w:rFonts w:ascii="Times New Roman" w:eastAsia="MS PGothic" w:hAnsi="Times New Roman"/>
          <w:lang w:val="en-US" w:eastAsia="ko-KR"/>
        </w:rPr>
        <w:t>to reduce the impact of this critical issue, thereby improving the ABFB Round Trip Efficiency</w:t>
      </w:r>
      <w:r w:rsidR="00DE5F27" w:rsidRPr="00531886">
        <w:rPr>
          <w:rFonts w:ascii="Times New Roman" w:eastAsia="MS PGothic" w:hAnsi="Times New Roman"/>
          <w:lang w:val="en-US" w:eastAsia="ko-KR"/>
        </w:rPr>
        <w:t xml:space="preserve"> (RTE)</w:t>
      </w:r>
      <w:r w:rsidR="00937285" w:rsidRPr="00531886">
        <w:rPr>
          <w:rFonts w:ascii="Times New Roman" w:eastAsia="MS PGothic" w:hAnsi="Times New Roman"/>
          <w:lang w:val="en-US" w:eastAsia="ko-KR"/>
        </w:rPr>
        <w:t>.</w:t>
      </w:r>
    </w:p>
    <w:p w14:paraId="0871BF31" w14:textId="58ECE0C6" w:rsidR="00DA51A3" w:rsidRDefault="000D056B" w:rsidP="00BC79DF">
      <w:pPr>
        <w:snapToGrid w:val="0"/>
        <w:spacing w:line="300" w:lineRule="auto"/>
        <w:jc w:val="both"/>
        <w:rPr>
          <w:rFonts w:ascii="Times New Roman" w:eastAsia="MS PGothic" w:hAnsi="Times New Roman"/>
          <w:b/>
          <w:bCs/>
          <w:lang w:val="en-US"/>
        </w:rPr>
      </w:pPr>
      <w:r>
        <w:rPr>
          <w:rFonts w:ascii="Times New Roman" w:eastAsia="MS PGothic" w:hAnsi="Times New Roman"/>
          <w:b/>
          <w:bCs/>
          <w:lang w:val="en-US"/>
        </w:rPr>
        <w:t>2</w:t>
      </w:r>
      <w:r w:rsidR="00DA51A3" w:rsidRPr="00466FFD">
        <w:rPr>
          <w:rFonts w:ascii="Times New Roman" w:eastAsia="MS PGothic" w:hAnsi="Times New Roman"/>
          <w:b/>
          <w:bCs/>
          <w:lang w:val="en-US"/>
        </w:rPr>
        <w:t>. Methods</w:t>
      </w:r>
    </w:p>
    <w:p w14:paraId="6347D325" w14:textId="7F411A2B" w:rsidR="00A363FB" w:rsidRDefault="00531886" w:rsidP="00BC79DF">
      <w:pPr>
        <w:snapToGrid w:val="0"/>
        <w:spacing w:line="300" w:lineRule="auto"/>
        <w:jc w:val="both"/>
        <w:rPr>
          <w:noProof/>
          <w:lang w:val="en-US"/>
        </w:rPr>
      </w:pPr>
      <w:bookmarkStart w:id="2" w:name="_Hlk97823959"/>
      <w:r w:rsidRPr="002C0E9B">
        <w:rPr>
          <w:noProof/>
          <w:sz w:val="18"/>
          <w:szCs w:val="18"/>
        </w:rPr>
        <w:drawing>
          <wp:anchor distT="0" distB="0" distL="114300" distR="114300" simplePos="0" relativeHeight="251663872" behindDoc="0" locked="0" layoutInCell="1" allowOverlap="1" wp14:anchorId="57A5A9B4" wp14:editId="61B395C7">
            <wp:simplePos x="0" y="0"/>
            <wp:positionH relativeFrom="column">
              <wp:posOffset>1344930</wp:posOffset>
            </wp:positionH>
            <wp:positionV relativeFrom="paragraph">
              <wp:posOffset>905510</wp:posOffset>
            </wp:positionV>
            <wp:extent cx="3524250" cy="1511935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B2B" w:rsidRPr="00860AE0">
        <w:rPr>
          <w:rFonts w:ascii="Times New Roman" w:eastAsia="MS PGothic" w:hAnsi="Times New Roman"/>
          <w:lang w:val="en-US"/>
        </w:rPr>
        <w:t xml:space="preserve">A lab-scale setup was provided by Fumatech®. </w:t>
      </w:r>
      <w:r w:rsidR="00116B2B">
        <w:rPr>
          <w:rFonts w:ascii="Times New Roman" w:eastAsia="MS PGothic" w:hAnsi="Times New Roman"/>
          <w:lang w:val="en-US"/>
        </w:rPr>
        <w:t xml:space="preserve">The stack was equipped with </w:t>
      </w:r>
      <w:r w:rsidR="00116B2B" w:rsidRPr="00116B2B">
        <w:rPr>
          <w:rFonts w:ascii="Times New Roman" w:eastAsia="MS PGothic" w:hAnsi="Times New Roman"/>
          <w:lang w:val="en-US"/>
        </w:rPr>
        <w:t xml:space="preserve">FAB®, FKB®, and FBM® membranes, as well as PVC/ECTFE spacers. </w:t>
      </w:r>
      <w:r w:rsidR="002C4078">
        <w:rPr>
          <w:rFonts w:ascii="Times New Roman" w:eastAsia="MS PGothic" w:hAnsi="Times New Roman"/>
          <w:lang w:val="en-US"/>
        </w:rPr>
        <w:t>T</w:t>
      </w:r>
      <w:r w:rsidR="00E857B8" w:rsidRPr="00E857B8">
        <w:rPr>
          <w:rFonts w:ascii="Times New Roman" w:eastAsia="MS PGothic" w:hAnsi="Times New Roman"/>
          <w:lang w:val="en-US"/>
        </w:rPr>
        <w:t xml:space="preserve">he system </w:t>
      </w:r>
      <w:r w:rsidR="00116B2B">
        <w:rPr>
          <w:rFonts w:ascii="Times New Roman" w:eastAsia="MS PGothic" w:hAnsi="Times New Roman"/>
          <w:lang w:val="en-US"/>
        </w:rPr>
        <w:t>was</w:t>
      </w:r>
      <w:r w:rsidR="008F6C3F" w:rsidRPr="00E857B8">
        <w:rPr>
          <w:rFonts w:ascii="Times New Roman" w:eastAsia="MS PGothic" w:hAnsi="Times New Roman"/>
          <w:lang w:val="en-US"/>
        </w:rPr>
        <w:t xml:space="preserve"> assembled</w:t>
      </w:r>
      <w:r w:rsidR="008F6C3F" w:rsidRPr="002C4078">
        <w:rPr>
          <w:rFonts w:ascii="Times New Roman" w:eastAsia="MS PGothic" w:hAnsi="Times New Roman"/>
          <w:lang w:val="en-US"/>
        </w:rPr>
        <w:t xml:space="preserve"> </w:t>
      </w:r>
      <w:r w:rsidR="00E857B8" w:rsidRPr="00E857B8">
        <w:rPr>
          <w:rFonts w:ascii="Times New Roman" w:eastAsia="MS PGothic" w:hAnsi="Times New Roman"/>
          <w:lang w:val="en-US"/>
        </w:rPr>
        <w:t>with 30 triplets</w:t>
      </w:r>
      <w:r w:rsidR="00E22DAD">
        <w:rPr>
          <w:rFonts w:ascii="Times New Roman" w:eastAsia="MS PGothic" w:hAnsi="Times New Roman"/>
          <w:lang w:val="en-US"/>
        </w:rPr>
        <w:t xml:space="preserve"> </w:t>
      </w:r>
      <w:r w:rsidR="001B5C83">
        <w:rPr>
          <w:rFonts w:ascii="Times New Roman" w:eastAsia="MS PGothic" w:hAnsi="Times New Roman"/>
          <w:lang w:val="en-US"/>
        </w:rPr>
        <w:t>and t</w:t>
      </w:r>
      <w:r w:rsidR="00E22DAD" w:rsidRPr="00E22DAD">
        <w:rPr>
          <w:rFonts w:ascii="Times New Roman" w:eastAsia="MS PGothic" w:hAnsi="Times New Roman"/>
          <w:lang w:val="en-US"/>
        </w:rPr>
        <w:t xml:space="preserve">he </w:t>
      </w:r>
      <w:r w:rsidR="00DE71ED" w:rsidRPr="00937285">
        <w:rPr>
          <w:rFonts w:ascii="Times New Roman" w:eastAsia="MS PGothic" w:hAnsi="Times New Roman"/>
          <w:lang w:val="en-US"/>
        </w:rPr>
        <w:t>inlet</w:t>
      </w:r>
      <w:r w:rsidR="00DE71ED">
        <w:rPr>
          <w:rFonts w:ascii="Times New Roman" w:eastAsia="MS PGothic" w:hAnsi="Times New Roman"/>
          <w:lang w:val="en-US"/>
        </w:rPr>
        <w:t xml:space="preserve"> </w:t>
      </w:r>
      <w:r w:rsidR="00E22DAD" w:rsidRPr="00E22DAD">
        <w:rPr>
          <w:rFonts w:ascii="Times New Roman" w:eastAsia="MS PGothic" w:hAnsi="Times New Roman"/>
          <w:lang w:val="en-US"/>
        </w:rPr>
        <w:t xml:space="preserve">operating conditions </w:t>
      </w:r>
      <w:r w:rsidR="00116B2B">
        <w:rPr>
          <w:rFonts w:ascii="Times New Roman" w:eastAsia="MS PGothic" w:hAnsi="Times New Roman"/>
          <w:lang w:val="en-US"/>
        </w:rPr>
        <w:t>we</w:t>
      </w:r>
      <w:r w:rsidR="00E22DAD" w:rsidRPr="00E22DAD">
        <w:rPr>
          <w:rFonts w:ascii="Times New Roman" w:eastAsia="MS PGothic" w:hAnsi="Times New Roman"/>
          <w:lang w:val="en-US"/>
        </w:rPr>
        <w:t>re</w:t>
      </w:r>
      <w:r w:rsidR="00E22DAD">
        <w:rPr>
          <w:rFonts w:ascii="Times New Roman" w:eastAsia="MS PGothic" w:hAnsi="Times New Roman"/>
          <w:lang w:val="en-US"/>
        </w:rPr>
        <w:t>: 0.5 cm s</w:t>
      </w:r>
      <w:r w:rsidR="00E22DAD" w:rsidRPr="00E22DAD">
        <w:rPr>
          <w:rFonts w:ascii="Times New Roman" w:eastAsia="MS PGothic" w:hAnsi="Times New Roman"/>
          <w:vertAlign w:val="superscript"/>
          <w:lang w:val="en-US"/>
        </w:rPr>
        <w:t>-1</w:t>
      </w:r>
      <w:r w:rsidR="00116B2B">
        <w:rPr>
          <w:rFonts w:ascii="Times New Roman" w:eastAsia="MS PGothic" w:hAnsi="Times New Roman"/>
          <w:lang w:val="en-US"/>
        </w:rPr>
        <w:t xml:space="preserve"> average</w:t>
      </w:r>
      <w:r w:rsidR="008F6C3F">
        <w:rPr>
          <w:rFonts w:ascii="Times New Roman" w:eastAsia="MS PGothic" w:hAnsi="Times New Roman"/>
          <w:lang w:val="en-US"/>
        </w:rPr>
        <w:t xml:space="preserve"> </w:t>
      </w:r>
      <w:r w:rsidR="00116B2B">
        <w:rPr>
          <w:rFonts w:ascii="Times New Roman" w:eastAsia="MS PGothic" w:hAnsi="Times New Roman"/>
          <w:lang w:val="en-US"/>
        </w:rPr>
        <w:t xml:space="preserve">velocity of the solutions in the channels, </w:t>
      </w:r>
      <w:r w:rsidR="00E22DAD">
        <w:rPr>
          <w:rFonts w:ascii="Times New Roman" w:eastAsia="MS PGothic" w:hAnsi="Times New Roman"/>
          <w:lang w:val="en-US"/>
        </w:rPr>
        <w:t>1 M</w:t>
      </w:r>
      <w:r w:rsidR="00116B2B">
        <w:rPr>
          <w:rFonts w:ascii="Times New Roman" w:eastAsia="MS PGothic" w:hAnsi="Times New Roman"/>
          <w:lang w:val="en-US"/>
        </w:rPr>
        <w:t xml:space="preserve"> inlet acid (HCl) and base (NaOH) concentrations,</w:t>
      </w:r>
      <w:r w:rsidR="00E22DAD">
        <w:rPr>
          <w:rFonts w:ascii="Times New Roman" w:eastAsia="MS PGothic" w:hAnsi="Times New Roman"/>
          <w:lang w:val="en-US"/>
        </w:rPr>
        <w:t xml:space="preserve"> and </w:t>
      </w:r>
      <w:r w:rsidR="00116B2B">
        <w:rPr>
          <w:rFonts w:ascii="Times New Roman" w:eastAsia="MS PGothic" w:hAnsi="Times New Roman"/>
          <w:lang w:val="en-US"/>
        </w:rPr>
        <w:t xml:space="preserve">0.25M </w:t>
      </w:r>
      <w:r w:rsidR="00A3691A">
        <w:rPr>
          <w:rFonts w:ascii="Times New Roman" w:eastAsia="MS PGothic" w:hAnsi="Times New Roman"/>
          <w:lang w:val="en-US"/>
        </w:rPr>
        <w:t>salt</w:t>
      </w:r>
      <w:r w:rsidR="00116B2B">
        <w:rPr>
          <w:rFonts w:ascii="Times New Roman" w:eastAsia="MS PGothic" w:hAnsi="Times New Roman"/>
          <w:lang w:val="en-US"/>
        </w:rPr>
        <w:t xml:space="preserve"> (NaCl)</w:t>
      </w:r>
      <w:r w:rsidR="00D82283">
        <w:rPr>
          <w:rFonts w:ascii="Times New Roman" w:eastAsia="MS PGothic" w:hAnsi="Times New Roman"/>
          <w:lang w:val="en-US"/>
        </w:rPr>
        <w:t xml:space="preserve"> concentration</w:t>
      </w:r>
      <w:r w:rsidR="00E22DAD" w:rsidRPr="00E857B8">
        <w:rPr>
          <w:rFonts w:ascii="Times New Roman" w:eastAsia="MS PGothic" w:hAnsi="Times New Roman"/>
          <w:lang w:val="en-US"/>
        </w:rPr>
        <w:t xml:space="preserve">. </w:t>
      </w:r>
      <w:bookmarkEnd w:id="2"/>
    </w:p>
    <w:p w14:paraId="429F853F" w14:textId="5129E914" w:rsidR="00A363FB" w:rsidRPr="002C0E9B" w:rsidRDefault="000579B3" w:rsidP="002C0E9B">
      <w:pPr>
        <w:keepNext/>
        <w:snapToGrid w:val="0"/>
        <w:spacing w:before="240" w:line="30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 w:rsidRPr="002C0E9B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Figur</w:t>
      </w:r>
      <w:r w:rsidR="001C2EF2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e</w:t>
      </w:r>
      <w:r w:rsidRPr="002C0E9B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 </w:t>
      </w:r>
      <w:r w:rsidRPr="002C0E9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fldChar w:fldCharType="begin"/>
      </w:r>
      <w:r w:rsidRPr="002C0E9B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instrText xml:space="preserve"> SEQ Figura \* ARABIC </w:instrText>
      </w:r>
      <w:r w:rsidRPr="002C0E9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fldChar w:fldCharType="separate"/>
      </w:r>
      <w:r w:rsidRPr="002C0E9B">
        <w:rPr>
          <w:rFonts w:ascii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1</w:t>
      </w:r>
      <w:r w:rsidRPr="002C0E9B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fldChar w:fldCharType="end"/>
      </w:r>
      <w:r w:rsidRPr="002C0E9B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.</w:t>
      </w:r>
      <w:r w:rsidR="00913F8D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 xml:space="preserve"> </w:t>
      </w:r>
      <w:r w:rsidRPr="002C0E9B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Configuration of REDBM Open Loop tests.</w:t>
      </w:r>
    </w:p>
    <w:p w14:paraId="4BB3753E" w14:textId="0685F83F" w:rsidR="00BE4D93" w:rsidRPr="004E4D13" w:rsidRDefault="008009F1" w:rsidP="00BC79DF">
      <w:pPr>
        <w:spacing w:line="300" w:lineRule="auto"/>
        <w:jc w:val="both"/>
        <w:rPr>
          <w:i/>
          <w:iCs/>
          <w:lang w:val="en-US"/>
        </w:rPr>
      </w:pPr>
      <w:r w:rsidRPr="00C10983">
        <w:rPr>
          <w:rFonts w:ascii="Times New Roman" w:eastAsia="MS PGothic" w:hAnsi="Times New Roman"/>
          <w:lang w:val="en-US"/>
        </w:rPr>
        <w:t xml:space="preserve">In order to </w:t>
      </w:r>
      <w:r w:rsidR="007252E3" w:rsidRPr="00C10983">
        <w:rPr>
          <w:rFonts w:ascii="Times New Roman" w:eastAsia="MS PGothic" w:hAnsi="Times New Roman"/>
          <w:lang w:val="en-US"/>
        </w:rPr>
        <w:t>study the effect of the ionic shortcut current</w:t>
      </w:r>
      <w:r w:rsidR="00592BE9" w:rsidRPr="00C10983">
        <w:rPr>
          <w:rFonts w:ascii="Times New Roman" w:eastAsia="MS PGothic" w:hAnsi="Times New Roman"/>
          <w:lang w:val="en-US"/>
        </w:rPr>
        <w:t>s</w:t>
      </w:r>
      <w:r w:rsidR="007252E3" w:rsidRPr="00C10983">
        <w:rPr>
          <w:rFonts w:ascii="Times New Roman" w:eastAsia="MS PGothic" w:hAnsi="Times New Roman"/>
          <w:lang w:val="en-US"/>
        </w:rPr>
        <w:t>, plastic</w:t>
      </w:r>
      <w:r w:rsidR="001918DB" w:rsidRPr="00C10983">
        <w:rPr>
          <w:rFonts w:ascii="Times New Roman" w:eastAsia="MS PGothic" w:hAnsi="Times New Roman"/>
          <w:lang w:val="en-US"/>
        </w:rPr>
        <w:t xml:space="preserve"> no</w:t>
      </w:r>
      <w:r w:rsidR="00C10983" w:rsidRPr="00C10983">
        <w:rPr>
          <w:rFonts w:ascii="Times New Roman" w:eastAsia="MS PGothic" w:hAnsi="Times New Roman"/>
          <w:lang w:val="en-US"/>
        </w:rPr>
        <w:t>n-</w:t>
      </w:r>
      <w:r w:rsidR="001918DB" w:rsidRPr="00C10983">
        <w:rPr>
          <w:rFonts w:ascii="Times New Roman" w:eastAsia="MS PGothic" w:hAnsi="Times New Roman"/>
          <w:lang w:val="en-US"/>
        </w:rPr>
        <w:t>conductive</w:t>
      </w:r>
      <w:r w:rsidR="007252E3" w:rsidRPr="00C10983">
        <w:rPr>
          <w:rFonts w:ascii="Times New Roman" w:eastAsia="MS PGothic" w:hAnsi="Times New Roman"/>
          <w:lang w:val="en-US"/>
        </w:rPr>
        <w:t xml:space="preserve"> stick</w:t>
      </w:r>
      <w:r w:rsidR="00EC67D8" w:rsidRPr="00C10983">
        <w:rPr>
          <w:rFonts w:ascii="Times New Roman" w:eastAsia="MS PGothic" w:hAnsi="Times New Roman"/>
          <w:lang w:val="en-US"/>
        </w:rPr>
        <w:t xml:space="preserve">s were </w:t>
      </w:r>
      <w:r w:rsidR="0008773A">
        <w:rPr>
          <w:rFonts w:ascii="Times New Roman" w:eastAsia="MS PGothic" w:hAnsi="Times New Roman"/>
          <w:lang w:val="en-US"/>
        </w:rPr>
        <w:t>used</w:t>
      </w:r>
      <w:r w:rsidR="008B5130">
        <w:rPr>
          <w:rFonts w:ascii="Times New Roman" w:eastAsia="MS PGothic" w:hAnsi="Times New Roman"/>
          <w:lang w:val="en-US"/>
        </w:rPr>
        <w:t xml:space="preserve"> to reduce the manifold section</w:t>
      </w:r>
      <w:r w:rsidR="00EC67D8" w:rsidRPr="00C10983">
        <w:rPr>
          <w:rFonts w:ascii="Times New Roman" w:eastAsia="MS PGothic" w:hAnsi="Times New Roman"/>
          <w:lang w:val="en-US"/>
        </w:rPr>
        <w:t xml:space="preserve">. </w:t>
      </w:r>
      <w:r w:rsidR="006D4FAA" w:rsidRPr="00C10983">
        <w:rPr>
          <w:rFonts w:ascii="Times New Roman" w:eastAsia="MS PGothic" w:hAnsi="Times New Roman"/>
          <w:lang w:val="en-US"/>
        </w:rPr>
        <w:t>In detail, the sticks were made of plexiglass and occlude the section by approximately 90%: this reduction increases the electrical resistance of the manifolds and is therefore expected to reduce the relevant ionic short</w:t>
      </w:r>
      <w:r w:rsidR="00F363A6">
        <w:rPr>
          <w:rFonts w:ascii="Times New Roman" w:eastAsia="MS PGothic" w:hAnsi="Times New Roman"/>
          <w:lang w:val="en-US"/>
        </w:rPr>
        <w:t>cut</w:t>
      </w:r>
      <w:r w:rsidR="006D4FAA" w:rsidRPr="00C10983">
        <w:rPr>
          <w:rFonts w:ascii="Times New Roman" w:eastAsia="MS PGothic" w:hAnsi="Times New Roman"/>
          <w:lang w:val="en-US"/>
        </w:rPr>
        <w:t xml:space="preserve"> currents.</w:t>
      </w:r>
      <w:r w:rsidR="00280615">
        <w:rPr>
          <w:rFonts w:ascii="Times New Roman" w:eastAsia="MS PGothic" w:hAnsi="Times New Roman"/>
          <w:lang w:val="en-US"/>
        </w:rPr>
        <w:t xml:space="preserve"> </w:t>
      </w:r>
      <w:r w:rsidR="00280615" w:rsidRPr="00B92B0C">
        <w:rPr>
          <w:rFonts w:ascii="Times New Roman" w:eastAsia="MS PGothic" w:hAnsi="Times New Roman"/>
          <w:lang w:val="en-US"/>
        </w:rPr>
        <w:t xml:space="preserve">On the other hand, pressure drops are expected to increase. </w:t>
      </w:r>
      <w:r w:rsidR="006D4FAA" w:rsidRPr="00B92B0C">
        <w:rPr>
          <w:rFonts w:ascii="Times New Roman" w:eastAsia="MS PGothic" w:hAnsi="Times New Roman"/>
          <w:lang w:val="en-US"/>
        </w:rPr>
        <w:t xml:space="preserve"> </w:t>
      </w:r>
      <w:r w:rsidR="004E2A58" w:rsidRPr="00B92B0C">
        <w:rPr>
          <w:rFonts w:ascii="Times New Roman" w:eastAsia="MS PGothic" w:hAnsi="Times New Roman"/>
          <w:lang w:val="en-US"/>
        </w:rPr>
        <w:t>In t</w:t>
      </w:r>
      <w:r w:rsidR="006D02DE" w:rsidRPr="00B92B0C">
        <w:rPr>
          <w:rFonts w:ascii="Times New Roman" w:eastAsia="MS PGothic" w:hAnsi="Times New Roman"/>
          <w:lang w:val="en-US"/>
        </w:rPr>
        <w:t>his work</w:t>
      </w:r>
      <w:r w:rsidR="004E2A58" w:rsidRPr="00B92B0C">
        <w:rPr>
          <w:rFonts w:ascii="Times New Roman" w:eastAsia="MS PGothic" w:hAnsi="Times New Roman"/>
          <w:lang w:val="en-US"/>
        </w:rPr>
        <w:t xml:space="preserve"> </w:t>
      </w:r>
      <w:r w:rsidR="006B3600" w:rsidRPr="00B92B0C">
        <w:rPr>
          <w:rFonts w:ascii="Times New Roman" w:eastAsia="MS PGothic" w:hAnsi="Times New Roman"/>
          <w:lang w:val="en-US"/>
        </w:rPr>
        <w:t>REDBM tests (</w:t>
      </w:r>
      <w:r w:rsidR="00D15E4D" w:rsidRPr="00B92B0C">
        <w:rPr>
          <w:rFonts w:ascii="Times New Roman" w:eastAsia="MS PGothic" w:hAnsi="Times New Roman"/>
          <w:lang w:val="en-US"/>
        </w:rPr>
        <w:t xml:space="preserve">i.e. the </w:t>
      </w:r>
      <w:r w:rsidR="006B3600" w:rsidRPr="00B92B0C">
        <w:rPr>
          <w:rFonts w:ascii="Times New Roman" w:eastAsia="MS PGothic" w:hAnsi="Times New Roman"/>
          <w:lang w:val="en-US"/>
        </w:rPr>
        <w:t>discharge phase</w:t>
      </w:r>
      <w:r w:rsidR="00D15E4D" w:rsidRPr="00B92B0C">
        <w:rPr>
          <w:rFonts w:ascii="Times New Roman" w:eastAsia="MS PGothic" w:hAnsi="Times New Roman"/>
          <w:lang w:val="en-US"/>
        </w:rPr>
        <w:t xml:space="preserve"> of the battery</w:t>
      </w:r>
      <w:r w:rsidR="006B3600" w:rsidRPr="00B92B0C">
        <w:rPr>
          <w:rFonts w:ascii="Times New Roman" w:eastAsia="MS PGothic" w:hAnsi="Times New Roman"/>
          <w:lang w:val="en-US"/>
        </w:rPr>
        <w:t>)</w:t>
      </w:r>
      <w:r w:rsidR="00F767E8" w:rsidRPr="00B92B0C">
        <w:rPr>
          <w:rFonts w:ascii="Times New Roman" w:eastAsia="MS PGothic" w:hAnsi="Times New Roman"/>
          <w:lang w:val="en-US"/>
        </w:rPr>
        <w:t xml:space="preserve"> in open loop (i.e. without recirculation, Figure 1) </w:t>
      </w:r>
      <w:r w:rsidR="001A54BE" w:rsidRPr="00B92B0C">
        <w:rPr>
          <w:rFonts w:ascii="Times New Roman" w:eastAsia="MS PGothic" w:hAnsi="Times New Roman"/>
          <w:lang w:val="en-US"/>
        </w:rPr>
        <w:t xml:space="preserve">with a </w:t>
      </w:r>
      <w:r w:rsidR="001A54BE" w:rsidRPr="00B92B0C">
        <w:rPr>
          <w:rFonts w:ascii="Times New Roman" w:eastAsia="MS PGothic" w:hAnsi="Times New Roman"/>
          <w:lang w:val="en-US"/>
        </w:rPr>
        <w:lastRenderedPageBreak/>
        <w:t xml:space="preserve">unit </w:t>
      </w:r>
      <w:r w:rsidR="001918DB" w:rsidRPr="00B92B0C">
        <w:rPr>
          <w:rFonts w:ascii="Times New Roman" w:eastAsia="MS PGothic" w:hAnsi="Times New Roman"/>
          <w:lang w:val="en-US"/>
        </w:rPr>
        <w:t>assembled with</w:t>
      </w:r>
      <w:r w:rsidR="00313153" w:rsidRPr="00B92B0C">
        <w:rPr>
          <w:rFonts w:ascii="Times New Roman" w:eastAsia="MS PGothic" w:hAnsi="Times New Roman"/>
          <w:lang w:val="en-US"/>
        </w:rPr>
        <w:t>out</w:t>
      </w:r>
      <w:r w:rsidR="00DC7329" w:rsidRPr="00B92B0C">
        <w:rPr>
          <w:rFonts w:ascii="Times New Roman" w:eastAsia="MS PGothic" w:hAnsi="Times New Roman"/>
          <w:lang w:val="en-US"/>
        </w:rPr>
        <w:t xml:space="preserve"> the</w:t>
      </w:r>
      <w:r w:rsidR="001918DB" w:rsidRPr="00B92B0C">
        <w:rPr>
          <w:rFonts w:ascii="Times New Roman" w:eastAsia="MS PGothic" w:hAnsi="Times New Roman"/>
          <w:lang w:val="en-US"/>
        </w:rPr>
        <w:t xml:space="preserve"> </w:t>
      </w:r>
      <w:r w:rsidR="00DC7329" w:rsidRPr="00B92B0C">
        <w:rPr>
          <w:rFonts w:ascii="Times New Roman" w:eastAsia="MS PGothic" w:hAnsi="Times New Roman"/>
          <w:lang w:val="en-US"/>
        </w:rPr>
        <w:t>sticks</w:t>
      </w:r>
      <w:r w:rsidR="00313153" w:rsidRPr="00B92B0C">
        <w:rPr>
          <w:rFonts w:ascii="Times New Roman" w:eastAsia="MS PGothic" w:hAnsi="Times New Roman"/>
          <w:lang w:val="en-US"/>
        </w:rPr>
        <w:t xml:space="preserve"> (classic configuration, </w:t>
      </w:r>
      <w:r w:rsidR="00DC7329" w:rsidRPr="00B92B0C">
        <w:rPr>
          <w:rFonts w:ascii="Times New Roman" w:eastAsia="MS PGothic" w:hAnsi="Times New Roman"/>
          <w:lang w:val="en-US"/>
        </w:rPr>
        <w:t xml:space="preserve">referred to as “test </w:t>
      </w:r>
      <w:r w:rsidR="00313153" w:rsidRPr="00B92B0C">
        <w:rPr>
          <w:rFonts w:ascii="Times New Roman" w:eastAsia="MS PGothic" w:hAnsi="Times New Roman"/>
          <w:lang w:val="en-US"/>
        </w:rPr>
        <w:t>1</w:t>
      </w:r>
      <w:r w:rsidR="00D21A05" w:rsidRPr="00B92B0C">
        <w:rPr>
          <w:rFonts w:ascii="Times New Roman" w:eastAsia="MS PGothic" w:hAnsi="Times New Roman"/>
          <w:lang w:val="en-US"/>
        </w:rPr>
        <w:t>”) and</w:t>
      </w:r>
      <w:r w:rsidR="00DC7329" w:rsidRPr="00B92B0C">
        <w:rPr>
          <w:rFonts w:ascii="Times New Roman" w:eastAsia="MS PGothic" w:hAnsi="Times New Roman"/>
          <w:lang w:val="en-US"/>
        </w:rPr>
        <w:t xml:space="preserve"> with</w:t>
      </w:r>
      <w:r w:rsidR="00313153" w:rsidRPr="00B92B0C">
        <w:rPr>
          <w:rFonts w:ascii="Times New Roman" w:eastAsia="MS PGothic" w:hAnsi="Times New Roman"/>
          <w:lang w:val="en-US"/>
        </w:rPr>
        <w:t xml:space="preserve"> the sticks (referred to</w:t>
      </w:r>
      <w:r w:rsidR="00815E44">
        <w:rPr>
          <w:rFonts w:ascii="Times New Roman" w:eastAsia="MS PGothic" w:hAnsi="Times New Roman"/>
          <w:lang w:val="en-US"/>
        </w:rPr>
        <w:t xml:space="preserve"> </w:t>
      </w:r>
      <w:r w:rsidR="00313153" w:rsidRPr="00B92B0C">
        <w:rPr>
          <w:rFonts w:ascii="Times New Roman" w:eastAsia="MS PGothic" w:hAnsi="Times New Roman"/>
          <w:lang w:val="en-US"/>
        </w:rPr>
        <w:t>as “test 2”)</w:t>
      </w:r>
      <w:r w:rsidR="000D315D" w:rsidRPr="00B92B0C">
        <w:rPr>
          <w:rFonts w:ascii="Times New Roman" w:eastAsia="MS PGothic" w:hAnsi="Times New Roman"/>
          <w:lang w:val="en-US"/>
        </w:rPr>
        <w:t xml:space="preserve"> are shown</w:t>
      </w:r>
      <w:r w:rsidR="00313153" w:rsidRPr="00B92B0C">
        <w:rPr>
          <w:rFonts w:ascii="Times New Roman" w:eastAsia="MS PGothic" w:hAnsi="Times New Roman"/>
          <w:lang w:val="en-US"/>
        </w:rPr>
        <w:t>.</w:t>
      </w:r>
      <w:r w:rsidR="006D4FAA" w:rsidRPr="00B92B0C">
        <w:rPr>
          <w:rFonts w:ascii="Times New Roman" w:eastAsia="MS PGothic" w:hAnsi="Times New Roman"/>
          <w:lang w:val="en-US"/>
        </w:rPr>
        <w:t xml:space="preserve"> </w:t>
      </w:r>
      <w:r w:rsidR="00FC5A84" w:rsidRPr="00B92B0C">
        <w:rPr>
          <w:rFonts w:ascii="Times New Roman" w:eastAsia="MS PGothic" w:hAnsi="Times New Roman"/>
          <w:lang w:val="en-US"/>
        </w:rPr>
        <w:t>Moreover, the</w:t>
      </w:r>
      <w:r w:rsidR="00BE4D93" w:rsidRPr="00B92B0C">
        <w:rPr>
          <w:rFonts w:ascii="Times New Roman" w:eastAsia="MS PGothic" w:hAnsi="Times New Roman"/>
          <w:lang w:val="en-US"/>
        </w:rPr>
        <w:t xml:space="preserve"> battery gross and net power densities, voltage, and Round Trip Efficiency were all evaluated.</w:t>
      </w:r>
    </w:p>
    <w:p w14:paraId="513C1072" w14:textId="77777777" w:rsidR="00A363FB" w:rsidRDefault="00DA51A3" w:rsidP="00BC79DF">
      <w:pPr>
        <w:snapToGrid w:val="0"/>
        <w:spacing w:line="300" w:lineRule="auto"/>
        <w:jc w:val="both"/>
        <w:rPr>
          <w:rFonts w:ascii="Times New Roman" w:eastAsia="MS PGothic" w:hAnsi="Times New Roman"/>
          <w:b/>
          <w:bCs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3A141D5E" w14:textId="1DF6A020" w:rsidR="00450B6A" w:rsidRDefault="00BF7EEB" w:rsidP="00BC79DF">
      <w:pPr>
        <w:snapToGrid w:val="0"/>
        <w:spacing w:line="300" w:lineRule="auto"/>
        <w:jc w:val="both"/>
        <w:rPr>
          <w:rFonts w:ascii="Times New Roman" w:eastAsia="MS PGothic" w:hAnsi="Times New Roman"/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49A7B0D4" wp14:editId="09979097">
            <wp:simplePos x="0" y="0"/>
            <wp:positionH relativeFrom="margin">
              <wp:posOffset>1617980</wp:posOffset>
            </wp:positionH>
            <wp:positionV relativeFrom="paragraph">
              <wp:posOffset>1809750</wp:posOffset>
            </wp:positionV>
            <wp:extent cx="2884170" cy="2231390"/>
            <wp:effectExtent l="0" t="0" r="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" b="774"/>
                    <a:stretch/>
                  </pic:blipFill>
                  <pic:spPr bwMode="auto">
                    <a:xfrm>
                      <a:off x="0" y="0"/>
                      <a:ext cx="2884170" cy="2231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53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F1C9A5" wp14:editId="1969BE6C">
                <wp:simplePos x="0" y="0"/>
                <wp:positionH relativeFrom="margin">
                  <wp:posOffset>173990</wp:posOffset>
                </wp:positionH>
                <wp:positionV relativeFrom="paragraph">
                  <wp:posOffset>4036060</wp:posOffset>
                </wp:positionV>
                <wp:extent cx="5768340" cy="198120"/>
                <wp:effectExtent l="0" t="0" r="3810" b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981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780924" w14:textId="04CFCBC5" w:rsidR="00450B6A" w:rsidRPr="00450B6A" w:rsidRDefault="00450B6A" w:rsidP="00450B6A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color w:val="000000" w:themeColor="text1"/>
                                <w:lang w:val="en-US"/>
                              </w:rPr>
                            </w:pPr>
                            <w:r w:rsidRPr="00450B6A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lang w:val="en-US"/>
                              </w:rPr>
                              <w:t xml:space="preserve">Figure </w:t>
                            </w:r>
                            <w:r w:rsidRPr="00BF7EEB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fldChar w:fldCharType="begin"/>
                            </w:r>
                            <w:r w:rsidRPr="00BF7EEB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lang w:val="en-US"/>
                              </w:rPr>
                              <w:instrText xml:space="preserve"> SEQ Figure \* ARABIC </w:instrText>
                            </w:r>
                            <w:r w:rsidRPr="00BF7EEB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fldChar w:fldCharType="separate"/>
                            </w:r>
                            <w:r w:rsidRPr="00BF7EEB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  <w:lang w:val="en-US"/>
                              </w:rPr>
                              <w:t>2</w:t>
                            </w:r>
                            <w:r w:rsidRPr="00BF7EEB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fldChar w:fldCharType="end"/>
                            </w:r>
                            <w:r w:rsidRPr="00450B6A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  <w:r w:rsidRPr="00450B6A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color w:val="000000" w:themeColor="text1"/>
                                <w:lang w:val="en-US"/>
                              </w:rPr>
                              <w:t>Comparison between test 1 and test 2: trend of external voltage and power density as the current density changes.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1C9A5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13.7pt;margin-top:317.8pt;width:454.2pt;height:15.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" stroked="f">
                <v:textbox inset="0,0,0,0">
                  <w:txbxContent>
                    <w:p w14:paraId="7B780924" w14:textId="04CFCBC5" w:rsidR="00450B6A" w:rsidRPr="00450B6A" w:rsidRDefault="00450B6A" w:rsidP="00450B6A">
                      <w:pPr>
                        <w:pStyle w:val="Didascalia"/>
                        <w:jc w:val="center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color w:val="000000" w:themeColor="text1"/>
                          <w:lang w:val="en-US"/>
                        </w:rPr>
                      </w:pPr>
                      <w:r w:rsidRPr="00450B6A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000000" w:themeColor="text1"/>
                          <w:lang w:val="en-US"/>
                        </w:rPr>
                        <w:t xml:space="preserve">Figure </w:t>
                      </w:r>
                      <w:r w:rsidRPr="00BF7EEB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fldChar w:fldCharType="begin"/>
                      </w:r>
                      <w:r w:rsidRPr="00BF7EEB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000000" w:themeColor="text1"/>
                          <w:lang w:val="en-US"/>
                        </w:rPr>
                        <w:instrText xml:space="preserve"> SEQ Figure \* ARABIC </w:instrText>
                      </w:r>
                      <w:r w:rsidRPr="00BF7EEB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fldChar w:fldCharType="separate"/>
                      </w:r>
                      <w:r w:rsidRPr="00BF7EEB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  <w:lang w:val="en-US"/>
                        </w:rPr>
                        <w:t>2</w:t>
                      </w:r>
                      <w:r w:rsidRPr="00BF7EEB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fldChar w:fldCharType="end"/>
                      </w:r>
                      <w:r w:rsidRPr="00450B6A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iCs w:val="0"/>
                          <w:color w:val="000000" w:themeColor="text1"/>
                          <w:lang w:val="en-US"/>
                        </w:rPr>
                        <w:t>.</w:t>
                      </w:r>
                      <w:r w:rsidRPr="00450B6A">
                        <w:rPr>
                          <w:rFonts w:ascii="Times New Roman" w:hAnsi="Times New Roman" w:cs="Times New Roman"/>
                          <w:i w:val="0"/>
                          <w:iCs w:val="0"/>
                          <w:color w:val="000000" w:themeColor="text1"/>
                          <w:lang w:val="en-US"/>
                        </w:rPr>
                        <w:t>Comparison between test 1 and test 2: trend of external voltage and power density as the current density changes.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21700">
        <w:rPr>
          <w:rFonts w:ascii="Times New Roman" w:hAnsi="Times New Roman" w:cs="Times New Roman"/>
          <w:noProof/>
          <w:lang w:val="en-US"/>
        </w:rPr>
        <w:t>Figure 2</w:t>
      </w:r>
      <w:r w:rsidR="007753B0">
        <w:rPr>
          <w:rFonts w:ascii="Times New Roman" w:eastAsia="MS PGothic" w:hAnsi="Times New Roman"/>
          <w:lang w:val="en-US"/>
        </w:rPr>
        <w:t xml:space="preserve"> show</w:t>
      </w:r>
      <w:r w:rsidR="00421700">
        <w:rPr>
          <w:rFonts w:ascii="Times New Roman" w:eastAsia="MS PGothic" w:hAnsi="Times New Roman"/>
          <w:lang w:val="en-US"/>
        </w:rPr>
        <w:t xml:space="preserve">s </w:t>
      </w:r>
      <w:r w:rsidR="00DD0907" w:rsidRPr="00DD0907">
        <w:rPr>
          <w:rFonts w:ascii="Times New Roman" w:eastAsia="MS PGothic" w:hAnsi="Times New Roman"/>
          <w:lang w:val="en-US"/>
        </w:rPr>
        <w:t xml:space="preserve">the external voltage and power density as </w:t>
      </w:r>
      <w:r w:rsidR="007010B6">
        <w:rPr>
          <w:rFonts w:ascii="Times New Roman" w:eastAsia="MS PGothic" w:hAnsi="Times New Roman"/>
          <w:lang w:val="en-US"/>
        </w:rPr>
        <w:t xml:space="preserve">a function of </w:t>
      </w:r>
      <w:r w:rsidR="00DD0907" w:rsidRPr="00DD0907">
        <w:rPr>
          <w:rFonts w:ascii="Times New Roman" w:eastAsia="MS PGothic" w:hAnsi="Times New Roman"/>
          <w:lang w:val="en-US"/>
        </w:rPr>
        <w:t>the current density.</w:t>
      </w:r>
      <w:r w:rsidR="00DD0907">
        <w:rPr>
          <w:rFonts w:ascii="Times New Roman" w:eastAsia="MS PGothic" w:hAnsi="Times New Roman"/>
          <w:lang w:val="en-US"/>
        </w:rPr>
        <w:t xml:space="preserve"> </w:t>
      </w:r>
      <w:r w:rsidR="00250586">
        <w:rPr>
          <w:rFonts w:ascii="Times New Roman" w:eastAsia="MS PGothic" w:hAnsi="Times New Roman"/>
          <w:lang w:val="en-US"/>
        </w:rPr>
        <w:t>T</w:t>
      </w:r>
      <w:r w:rsidR="00875760">
        <w:rPr>
          <w:rFonts w:ascii="Times New Roman" w:eastAsia="MS PGothic" w:hAnsi="Times New Roman"/>
          <w:lang w:val="en-US"/>
        </w:rPr>
        <w:t>he</w:t>
      </w:r>
      <w:r w:rsidR="007010B6">
        <w:rPr>
          <w:rFonts w:ascii="Times New Roman" w:eastAsia="MS PGothic" w:hAnsi="Times New Roman"/>
          <w:lang w:val="en-US"/>
        </w:rPr>
        <w:t xml:space="preserve"> external voltage values in</w:t>
      </w:r>
      <w:r w:rsidR="00875760">
        <w:rPr>
          <w:rFonts w:ascii="Times New Roman" w:eastAsia="MS PGothic" w:hAnsi="Times New Roman"/>
          <w:lang w:val="en-US"/>
        </w:rPr>
        <w:t xml:space="preserve"> </w:t>
      </w:r>
      <w:r w:rsidR="00DF4C20">
        <w:rPr>
          <w:rFonts w:ascii="Times New Roman" w:eastAsia="MS PGothic" w:hAnsi="Times New Roman"/>
          <w:lang w:val="en-US"/>
        </w:rPr>
        <w:t>test</w:t>
      </w:r>
      <w:r w:rsidR="00E90ACE">
        <w:rPr>
          <w:rFonts w:ascii="Times New Roman" w:eastAsia="MS PGothic" w:hAnsi="Times New Roman"/>
          <w:lang w:val="en-US"/>
        </w:rPr>
        <w:t xml:space="preserve"> </w:t>
      </w:r>
      <w:r w:rsidR="00DD0907">
        <w:rPr>
          <w:rFonts w:ascii="Times New Roman" w:eastAsia="MS PGothic" w:hAnsi="Times New Roman"/>
          <w:lang w:val="en-US"/>
        </w:rPr>
        <w:t>2</w:t>
      </w:r>
      <w:r w:rsidR="00DF4C20">
        <w:rPr>
          <w:rFonts w:ascii="Times New Roman" w:eastAsia="MS PGothic" w:hAnsi="Times New Roman"/>
          <w:lang w:val="en-US"/>
        </w:rPr>
        <w:t xml:space="preserve"> </w:t>
      </w:r>
      <w:r w:rsidR="007010B6">
        <w:rPr>
          <w:rFonts w:ascii="Times New Roman" w:eastAsia="MS PGothic" w:hAnsi="Times New Roman"/>
          <w:lang w:val="en-US"/>
        </w:rPr>
        <w:t xml:space="preserve">were </w:t>
      </w:r>
      <w:r w:rsidR="00DD0907">
        <w:rPr>
          <w:rFonts w:ascii="Times New Roman" w:eastAsia="MS PGothic" w:hAnsi="Times New Roman"/>
          <w:lang w:val="en-US"/>
        </w:rPr>
        <w:t>higher</w:t>
      </w:r>
      <w:r w:rsidR="00F63E29">
        <w:rPr>
          <w:rFonts w:ascii="Times New Roman" w:eastAsia="MS PGothic" w:hAnsi="Times New Roman"/>
          <w:lang w:val="en-US"/>
        </w:rPr>
        <w:t xml:space="preserve"> </w:t>
      </w:r>
      <w:r w:rsidR="007010B6">
        <w:rPr>
          <w:rFonts w:ascii="Times New Roman" w:eastAsia="MS PGothic" w:hAnsi="Times New Roman"/>
          <w:lang w:val="en-US"/>
        </w:rPr>
        <w:t xml:space="preserve">than in </w:t>
      </w:r>
      <w:r w:rsidR="008F13A4">
        <w:rPr>
          <w:rFonts w:ascii="Times New Roman" w:eastAsia="MS PGothic" w:hAnsi="Times New Roman"/>
          <w:lang w:val="en-US"/>
        </w:rPr>
        <w:t>test</w:t>
      </w:r>
      <w:r w:rsidR="00E90ACE">
        <w:rPr>
          <w:rFonts w:ascii="Times New Roman" w:eastAsia="MS PGothic" w:hAnsi="Times New Roman"/>
          <w:lang w:val="en-US"/>
        </w:rPr>
        <w:t xml:space="preserve"> </w:t>
      </w:r>
      <w:r w:rsidR="00DD0907">
        <w:rPr>
          <w:rFonts w:ascii="Times New Roman" w:eastAsia="MS PGothic" w:hAnsi="Times New Roman"/>
          <w:lang w:val="en-US"/>
        </w:rPr>
        <w:t xml:space="preserve">1: </w:t>
      </w:r>
      <w:r w:rsidR="007010B6">
        <w:rPr>
          <w:rFonts w:ascii="Times New Roman" w:eastAsia="MS PGothic" w:hAnsi="Times New Roman"/>
          <w:lang w:val="en-US"/>
        </w:rPr>
        <w:t>O</w:t>
      </w:r>
      <w:r w:rsidR="0033148E">
        <w:rPr>
          <w:rFonts w:ascii="Times New Roman" w:eastAsia="MS PGothic" w:hAnsi="Times New Roman"/>
          <w:lang w:val="en-US"/>
        </w:rPr>
        <w:t xml:space="preserve">pen </w:t>
      </w:r>
      <w:r w:rsidR="007010B6">
        <w:rPr>
          <w:rFonts w:ascii="Times New Roman" w:eastAsia="MS PGothic" w:hAnsi="Times New Roman"/>
          <w:lang w:val="en-US"/>
        </w:rPr>
        <w:t>C</w:t>
      </w:r>
      <w:r w:rsidR="0033148E">
        <w:rPr>
          <w:rFonts w:ascii="Times New Roman" w:eastAsia="MS PGothic" w:hAnsi="Times New Roman"/>
          <w:lang w:val="en-US"/>
        </w:rPr>
        <w:t xml:space="preserve">ircuit </w:t>
      </w:r>
      <w:r w:rsidR="007010B6">
        <w:rPr>
          <w:rFonts w:ascii="Times New Roman" w:eastAsia="MS PGothic" w:hAnsi="Times New Roman"/>
          <w:lang w:val="en-US"/>
        </w:rPr>
        <w:t>V</w:t>
      </w:r>
      <w:r w:rsidR="0033148E">
        <w:rPr>
          <w:rFonts w:ascii="Times New Roman" w:eastAsia="MS PGothic" w:hAnsi="Times New Roman"/>
          <w:lang w:val="en-US"/>
        </w:rPr>
        <w:t xml:space="preserve">oltage </w:t>
      </w:r>
      <w:r w:rsidR="00C07C70">
        <w:rPr>
          <w:rFonts w:ascii="Times New Roman" w:eastAsia="MS PGothic" w:hAnsi="Times New Roman"/>
          <w:lang w:val="en-US"/>
        </w:rPr>
        <w:t xml:space="preserve">(OCV) </w:t>
      </w:r>
      <w:r w:rsidR="007010B6">
        <w:rPr>
          <w:rFonts w:ascii="Times New Roman" w:eastAsia="MS PGothic" w:hAnsi="Times New Roman"/>
          <w:lang w:val="en-US"/>
        </w:rPr>
        <w:t xml:space="preserve">was </w:t>
      </w:r>
      <w:r w:rsidR="00302747">
        <w:rPr>
          <w:rFonts w:ascii="Times New Roman" w:eastAsia="MS PGothic" w:hAnsi="Times New Roman"/>
          <w:lang w:val="en-US"/>
        </w:rPr>
        <w:t>36%</w:t>
      </w:r>
      <w:r w:rsidR="007010B6">
        <w:rPr>
          <w:rFonts w:ascii="Times New Roman" w:eastAsia="MS PGothic" w:hAnsi="Times New Roman"/>
          <w:lang w:val="en-US"/>
        </w:rPr>
        <w:t xml:space="preserve"> higher</w:t>
      </w:r>
      <w:r w:rsidR="0085036C">
        <w:rPr>
          <w:rFonts w:ascii="Times New Roman" w:eastAsia="MS PGothic" w:hAnsi="Times New Roman"/>
          <w:lang w:val="en-US"/>
        </w:rPr>
        <w:t xml:space="preserve"> and </w:t>
      </w:r>
      <w:r w:rsidR="00920DEA">
        <w:rPr>
          <w:rFonts w:ascii="Times New Roman" w:eastAsia="MS PGothic" w:hAnsi="Times New Roman"/>
          <w:lang w:val="en-US"/>
        </w:rPr>
        <w:t xml:space="preserve">the voltage </w:t>
      </w:r>
      <w:r w:rsidR="0085036C">
        <w:rPr>
          <w:rFonts w:ascii="Times New Roman" w:eastAsia="MS PGothic" w:hAnsi="Times New Roman"/>
          <w:lang w:val="en-US"/>
        </w:rPr>
        <w:t xml:space="preserve">at </w:t>
      </w:r>
      <w:r w:rsidR="007C573D">
        <w:rPr>
          <w:rFonts w:ascii="Times New Roman" w:eastAsia="MS PGothic" w:hAnsi="Times New Roman"/>
          <w:lang w:val="en-US"/>
        </w:rPr>
        <w:t xml:space="preserve">the </w:t>
      </w:r>
      <w:r w:rsidR="007010B6">
        <w:rPr>
          <w:rFonts w:ascii="Times New Roman" w:eastAsia="MS PGothic" w:hAnsi="Times New Roman"/>
          <w:lang w:val="en-US"/>
        </w:rPr>
        <w:t xml:space="preserve">highest investigated </w:t>
      </w:r>
      <w:r w:rsidR="0085036C">
        <w:rPr>
          <w:rFonts w:ascii="Times New Roman" w:eastAsia="MS PGothic" w:hAnsi="Times New Roman"/>
          <w:lang w:val="en-US"/>
        </w:rPr>
        <w:t xml:space="preserve">current density </w:t>
      </w:r>
      <w:r w:rsidR="001D4259">
        <w:rPr>
          <w:rFonts w:ascii="Times New Roman" w:eastAsia="MS PGothic" w:hAnsi="Times New Roman"/>
          <w:lang w:val="en-US"/>
        </w:rPr>
        <w:t>for REDBM</w:t>
      </w:r>
      <w:r w:rsidR="004E2B64">
        <w:rPr>
          <w:rFonts w:ascii="Times New Roman" w:eastAsia="MS PGothic" w:hAnsi="Times New Roman"/>
          <w:lang w:val="en-US"/>
        </w:rPr>
        <w:t xml:space="preserve"> </w:t>
      </w:r>
      <w:r w:rsidR="001D4259">
        <w:rPr>
          <w:rFonts w:ascii="Times New Roman" w:eastAsia="MS PGothic" w:hAnsi="Times New Roman"/>
          <w:lang w:val="en-US"/>
        </w:rPr>
        <w:t>(</w:t>
      </w:r>
      <w:r w:rsidR="007010B6">
        <w:rPr>
          <w:rFonts w:ascii="Times New Roman" w:eastAsia="MS PGothic" w:hAnsi="Times New Roman"/>
          <w:lang w:val="en-US"/>
        </w:rPr>
        <w:t xml:space="preserve">i.e., </w:t>
      </w:r>
      <w:r w:rsidR="0085036C">
        <w:rPr>
          <w:rFonts w:ascii="Times New Roman" w:eastAsia="MS PGothic" w:hAnsi="Times New Roman"/>
          <w:lang w:val="en-US"/>
        </w:rPr>
        <w:t>29 Am</w:t>
      </w:r>
      <w:r w:rsidR="00A363FB">
        <w:rPr>
          <w:rFonts w:ascii="Times New Roman" w:eastAsia="MS PGothic" w:hAnsi="Times New Roman"/>
          <w:vertAlign w:val="superscript"/>
          <w:lang w:val="en-US"/>
        </w:rPr>
        <w:t>-</w:t>
      </w:r>
      <w:r w:rsidR="0085036C" w:rsidRPr="0085036C">
        <w:rPr>
          <w:rFonts w:ascii="Times New Roman" w:eastAsia="MS PGothic" w:hAnsi="Times New Roman"/>
          <w:vertAlign w:val="superscript"/>
          <w:lang w:val="en-US"/>
        </w:rPr>
        <w:t>2</w:t>
      </w:r>
      <w:r w:rsidR="001D4259">
        <w:rPr>
          <w:rFonts w:ascii="Times New Roman" w:eastAsia="MS PGothic" w:hAnsi="Times New Roman"/>
          <w:lang w:val="en-US"/>
        </w:rPr>
        <w:t xml:space="preserve">) </w:t>
      </w:r>
      <w:r w:rsidR="007010B6">
        <w:rPr>
          <w:rFonts w:ascii="Times New Roman" w:eastAsia="MS PGothic" w:hAnsi="Times New Roman"/>
          <w:lang w:val="en-US"/>
        </w:rPr>
        <w:t>was</w:t>
      </w:r>
      <w:r w:rsidR="0085036C">
        <w:rPr>
          <w:rFonts w:ascii="Times New Roman" w:eastAsia="MS PGothic" w:hAnsi="Times New Roman"/>
          <w:lang w:val="en-US"/>
        </w:rPr>
        <w:t xml:space="preserve"> </w:t>
      </w:r>
      <w:r w:rsidR="00B21389">
        <w:rPr>
          <w:rFonts w:ascii="Times New Roman" w:eastAsia="MS PGothic" w:hAnsi="Times New Roman"/>
          <w:lang w:val="en-US"/>
        </w:rPr>
        <w:t>30%</w:t>
      </w:r>
      <w:r w:rsidR="007010B6">
        <w:rPr>
          <w:rFonts w:ascii="Times New Roman" w:eastAsia="MS PGothic" w:hAnsi="Times New Roman"/>
          <w:lang w:val="en-US"/>
        </w:rPr>
        <w:t xml:space="preserve"> higher</w:t>
      </w:r>
      <w:r w:rsidR="00B21389">
        <w:rPr>
          <w:rFonts w:ascii="Times New Roman" w:eastAsia="MS PGothic" w:hAnsi="Times New Roman"/>
          <w:lang w:val="en-US"/>
        </w:rPr>
        <w:t xml:space="preserve">. </w:t>
      </w:r>
      <w:r w:rsidR="007010B6">
        <w:rPr>
          <w:rFonts w:ascii="Times New Roman" w:eastAsia="MS PGothic" w:hAnsi="Times New Roman"/>
          <w:lang w:val="en-US"/>
        </w:rPr>
        <w:t>Moreover, as the current density increases, t</w:t>
      </w:r>
      <w:r w:rsidR="00A363FB" w:rsidRPr="00A363FB">
        <w:rPr>
          <w:rFonts w:ascii="Times New Roman" w:eastAsia="MS PGothic" w:hAnsi="Times New Roman"/>
          <w:lang w:val="en-US"/>
        </w:rPr>
        <w:t>he di</w:t>
      </w:r>
      <w:r w:rsidR="007010B6">
        <w:rPr>
          <w:rFonts w:ascii="Times New Roman" w:eastAsia="MS PGothic" w:hAnsi="Times New Roman"/>
          <w:lang w:val="en-US"/>
        </w:rPr>
        <w:t>fference</w:t>
      </w:r>
      <w:r w:rsidR="00A363FB" w:rsidRPr="00A363FB">
        <w:rPr>
          <w:rFonts w:ascii="Times New Roman" w:eastAsia="MS PGothic" w:hAnsi="Times New Roman"/>
          <w:lang w:val="en-US"/>
        </w:rPr>
        <w:t xml:space="preserve"> between the two curves of external voltage </w:t>
      </w:r>
      <w:r w:rsidR="007010B6">
        <w:rPr>
          <w:rFonts w:ascii="Times New Roman" w:eastAsia="MS PGothic" w:hAnsi="Times New Roman"/>
          <w:lang w:val="en-US"/>
        </w:rPr>
        <w:t>was</w:t>
      </w:r>
      <w:r w:rsidR="00450B6A">
        <w:rPr>
          <w:rFonts w:ascii="Times New Roman" w:eastAsia="MS PGothic" w:hAnsi="Times New Roman"/>
          <w:lang w:val="en-US"/>
        </w:rPr>
        <w:t>n’</w:t>
      </w:r>
      <w:r w:rsidR="007010B6">
        <w:rPr>
          <w:rFonts w:ascii="Times New Roman" w:eastAsia="MS PGothic" w:hAnsi="Times New Roman"/>
          <w:lang w:val="en-US"/>
        </w:rPr>
        <w:t>t</w:t>
      </w:r>
      <w:r w:rsidR="00CD789B">
        <w:rPr>
          <w:rFonts w:ascii="Times New Roman" w:eastAsia="MS PGothic" w:hAnsi="Times New Roman"/>
          <w:lang w:val="en-US"/>
        </w:rPr>
        <w:t xml:space="preserve"> </w:t>
      </w:r>
      <w:r w:rsidR="00652238" w:rsidRPr="00A363FB">
        <w:rPr>
          <w:rFonts w:ascii="Times New Roman" w:eastAsia="MS PGothic" w:hAnsi="Times New Roman"/>
          <w:lang w:val="en-US"/>
        </w:rPr>
        <w:t>constant</w:t>
      </w:r>
      <w:r w:rsidR="00DD0907">
        <w:rPr>
          <w:rFonts w:ascii="Times New Roman" w:eastAsia="MS PGothic" w:hAnsi="Times New Roman"/>
          <w:lang w:val="en-US"/>
        </w:rPr>
        <w:t>.</w:t>
      </w:r>
      <w:r w:rsidR="00250586">
        <w:rPr>
          <w:rFonts w:ascii="Times New Roman" w:eastAsia="MS PGothic" w:hAnsi="Times New Roman"/>
          <w:lang w:val="en-US"/>
        </w:rPr>
        <w:t xml:space="preserve"> </w:t>
      </w:r>
      <w:r w:rsidR="007010B6">
        <w:rPr>
          <w:rFonts w:ascii="Times New Roman" w:eastAsia="MS PGothic" w:hAnsi="Times New Roman"/>
          <w:lang w:val="en-US"/>
        </w:rPr>
        <w:t>T</w:t>
      </w:r>
      <w:r w:rsidR="00A363FB" w:rsidRPr="00A363FB">
        <w:rPr>
          <w:rFonts w:ascii="Times New Roman" w:eastAsia="MS PGothic" w:hAnsi="Times New Roman"/>
          <w:lang w:val="en-US"/>
        </w:rPr>
        <w:t xml:space="preserve">he introduction of plastic sticks into the manifolds has </w:t>
      </w:r>
      <w:r w:rsidR="007010B6">
        <w:rPr>
          <w:rFonts w:ascii="Times New Roman" w:eastAsia="MS PGothic" w:hAnsi="Times New Roman"/>
          <w:lang w:val="en-US"/>
        </w:rPr>
        <w:t xml:space="preserve">increased </w:t>
      </w:r>
      <w:r w:rsidR="00A363FB" w:rsidRPr="00A363FB">
        <w:rPr>
          <w:rFonts w:ascii="Times New Roman" w:eastAsia="MS PGothic" w:hAnsi="Times New Roman"/>
          <w:lang w:val="en-US"/>
        </w:rPr>
        <w:t>the internal</w:t>
      </w:r>
      <w:r w:rsidR="00FA00D9">
        <w:rPr>
          <w:rFonts w:ascii="Times New Roman" w:eastAsia="MS PGothic" w:hAnsi="Times New Roman"/>
          <w:lang w:val="en-US"/>
        </w:rPr>
        <w:t xml:space="preserve"> global</w:t>
      </w:r>
      <w:r w:rsidR="00A363FB" w:rsidRPr="00A363FB">
        <w:rPr>
          <w:rFonts w:ascii="Times New Roman" w:eastAsia="MS PGothic" w:hAnsi="Times New Roman"/>
          <w:lang w:val="en-US"/>
        </w:rPr>
        <w:t xml:space="preserve"> resistance of the stack</w:t>
      </w:r>
      <w:r w:rsidR="00DD0907">
        <w:rPr>
          <w:rFonts w:ascii="Times New Roman" w:eastAsia="MS PGothic" w:hAnsi="Times New Roman"/>
          <w:lang w:val="en-US"/>
        </w:rPr>
        <w:t>,</w:t>
      </w:r>
      <w:r w:rsidR="00A363FB" w:rsidRPr="00A363FB">
        <w:rPr>
          <w:rFonts w:ascii="Times New Roman" w:eastAsia="MS PGothic" w:hAnsi="Times New Roman"/>
          <w:lang w:val="en-US"/>
        </w:rPr>
        <w:t xml:space="preserve"> </w:t>
      </w:r>
      <w:r w:rsidR="007010B6">
        <w:rPr>
          <w:rFonts w:ascii="Times New Roman" w:eastAsia="MS PGothic" w:hAnsi="Times New Roman"/>
          <w:lang w:val="en-US"/>
        </w:rPr>
        <w:t>as evidence</w:t>
      </w:r>
      <w:r w:rsidR="00652238">
        <w:rPr>
          <w:rFonts w:ascii="Times New Roman" w:eastAsia="MS PGothic" w:hAnsi="Times New Roman"/>
          <w:lang w:val="en-US"/>
        </w:rPr>
        <w:t xml:space="preserve">d </w:t>
      </w:r>
      <w:r w:rsidR="007010B6">
        <w:rPr>
          <w:rFonts w:ascii="Times New Roman" w:eastAsia="MS PGothic" w:hAnsi="Times New Roman"/>
          <w:lang w:val="en-US"/>
        </w:rPr>
        <w:t>by</w:t>
      </w:r>
      <w:r w:rsidR="00A363FB" w:rsidRPr="00A363FB">
        <w:rPr>
          <w:rFonts w:ascii="Times New Roman" w:eastAsia="MS PGothic" w:hAnsi="Times New Roman"/>
          <w:lang w:val="en-US"/>
        </w:rPr>
        <w:t xml:space="preserve"> the slope of the curves.</w:t>
      </w:r>
      <w:r w:rsidR="00E75A7E">
        <w:rPr>
          <w:rFonts w:ascii="Times New Roman" w:eastAsia="MS PGothic" w:hAnsi="Times New Roman"/>
          <w:lang w:val="en-US"/>
        </w:rPr>
        <w:t xml:space="preserve"> </w:t>
      </w:r>
      <w:r w:rsidR="007010B6">
        <w:rPr>
          <w:rFonts w:ascii="Times New Roman" w:eastAsia="MS PGothic" w:hAnsi="Times New Roman"/>
          <w:lang w:val="en-US"/>
        </w:rPr>
        <w:t>Furthermore,</w:t>
      </w:r>
      <w:r w:rsidR="00F7680E" w:rsidRPr="00F7680E">
        <w:rPr>
          <w:rFonts w:ascii="Times New Roman" w:eastAsia="MS PGothic" w:hAnsi="Times New Roman"/>
          <w:lang w:val="en-US"/>
        </w:rPr>
        <w:t xml:space="preserve"> </w:t>
      </w:r>
      <w:r w:rsidR="001131F1">
        <w:rPr>
          <w:rFonts w:ascii="Times New Roman" w:eastAsia="MS PGothic" w:hAnsi="Times New Roman"/>
          <w:lang w:val="en-US"/>
        </w:rPr>
        <w:t xml:space="preserve">tests </w:t>
      </w:r>
      <w:r w:rsidR="007010B6">
        <w:rPr>
          <w:rFonts w:ascii="Times New Roman" w:eastAsia="MS PGothic" w:hAnsi="Times New Roman"/>
          <w:lang w:val="en-US"/>
        </w:rPr>
        <w:t>were</w:t>
      </w:r>
      <w:r w:rsidR="00F7680E" w:rsidRPr="00F7680E">
        <w:rPr>
          <w:rFonts w:ascii="Times New Roman" w:eastAsia="MS PGothic" w:hAnsi="Times New Roman"/>
          <w:lang w:val="en-US"/>
        </w:rPr>
        <w:t xml:space="preserve"> </w:t>
      </w:r>
      <w:r w:rsidR="007010B6">
        <w:rPr>
          <w:rFonts w:ascii="Times New Roman" w:eastAsia="MS PGothic" w:hAnsi="Times New Roman"/>
          <w:lang w:val="en-US"/>
        </w:rPr>
        <w:t xml:space="preserve">performed </w:t>
      </w:r>
      <w:r w:rsidR="00F7680E" w:rsidRPr="00F7680E">
        <w:rPr>
          <w:rFonts w:ascii="Times New Roman" w:eastAsia="MS PGothic" w:hAnsi="Times New Roman"/>
          <w:lang w:val="en-US"/>
        </w:rPr>
        <w:t>to determin</w:t>
      </w:r>
      <w:r w:rsidR="007E79E2">
        <w:rPr>
          <w:rFonts w:ascii="Times New Roman" w:eastAsia="MS PGothic" w:hAnsi="Times New Roman"/>
          <w:lang w:val="en-US"/>
        </w:rPr>
        <w:t>e</w:t>
      </w:r>
      <w:r w:rsidR="00F7680E" w:rsidRPr="00F7680E">
        <w:rPr>
          <w:rFonts w:ascii="Times New Roman" w:eastAsia="MS PGothic" w:hAnsi="Times New Roman"/>
          <w:lang w:val="en-US"/>
        </w:rPr>
        <w:t xml:space="preserve"> the pressure </w:t>
      </w:r>
      <w:r w:rsidR="001131F1">
        <w:rPr>
          <w:rFonts w:ascii="Times New Roman" w:eastAsia="MS PGothic" w:hAnsi="Times New Roman"/>
          <w:lang w:val="en-US"/>
        </w:rPr>
        <w:t>drop</w:t>
      </w:r>
      <w:r w:rsidR="00F7680E" w:rsidRPr="00F7680E">
        <w:rPr>
          <w:rFonts w:ascii="Times New Roman" w:eastAsia="MS PGothic" w:hAnsi="Times New Roman"/>
          <w:lang w:val="en-US"/>
        </w:rPr>
        <w:t>s in the two different configurations.</w:t>
      </w:r>
      <w:r w:rsidR="001131F1">
        <w:rPr>
          <w:rFonts w:ascii="Times New Roman" w:eastAsia="MS PGothic" w:hAnsi="Times New Roman"/>
          <w:lang w:val="en-US"/>
        </w:rPr>
        <w:t xml:space="preserve"> </w:t>
      </w:r>
      <w:r w:rsidR="00250586">
        <w:rPr>
          <w:rFonts w:ascii="Times New Roman" w:eastAsia="MS PGothic" w:hAnsi="Times New Roman"/>
          <w:lang w:val="en-US"/>
        </w:rPr>
        <w:t>Finally,</w:t>
      </w:r>
      <w:r w:rsidR="007010B6">
        <w:rPr>
          <w:rFonts w:ascii="Times New Roman" w:eastAsia="MS PGothic" w:hAnsi="Times New Roman"/>
          <w:lang w:val="en-US"/>
        </w:rPr>
        <w:t xml:space="preserve"> the achievable</w:t>
      </w:r>
      <w:r w:rsidR="001131F1">
        <w:rPr>
          <w:rFonts w:ascii="Times New Roman" w:eastAsia="MS PGothic" w:hAnsi="Times New Roman"/>
          <w:lang w:val="en-US"/>
        </w:rPr>
        <w:t xml:space="preserve"> </w:t>
      </w:r>
      <w:r w:rsidR="00924E5D" w:rsidRPr="00924E5D">
        <w:rPr>
          <w:rFonts w:ascii="Times New Roman" w:eastAsia="MS PGothic" w:hAnsi="Times New Roman"/>
          <w:lang w:val="en-US"/>
        </w:rPr>
        <w:t>power</w:t>
      </w:r>
      <w:r w:rsidR="00250586">
        <w:rPr>
          <w:rFonts w:ascii="Times New Roman" w:eastAsia="MS PGothic" w:hAnsi="Times New Roman"/>
          <w:lang w:val="en-US"/>
        </w:rPr>
        <w:t xml:space="preserve"> density</w:t>
      </w:r>
      <w:r w:rsidR="00924E5D" w:rsidRPr="00924E5D">
        <w:rPr>
          <w:rFonts w:ascii="Times New Roman" w:eastAsia="MS PGothic" w:hAnsi="Times New Roman"/>
          <w:lang w:val="en-US"/>
        </w:rPr>
        <w:t xml:space="preserve"> </w:t>
      </w:r>
      <w:r w:rsidR="007010B6">
        <w:rPr>
          <w:rFonts w:ascii="Times New Roman" w:eastAsia="MS PGothic" w:hAnsi="Times New Roman"/>
          <w:lang w:val="en-US"/>
        </w:rPr>
        <w:t>was computed</w:t>
      </w:r>
      <w:r w:rsidR="00924E5D" w:rsidRPr="00924E5D">
        <w:rPr>
          <w:rFonts w:ascii="Times New Roman" w:eastAsia="MS PGothic" w:hAnsi="Times New Roman"/>
          <w:lang w:val="en-US"/>
        </w:rPr>
        <w:t xml:space="preserve">, </w:t>
      </w:r>
      <w:r w:rsidR="007010B6">
        <w:rPr>
          <w:rFonts w:ascii="Times New Roman" w:eastAsia="MS PGothic" w:hAnsi="Times New Roman"/>
          <w:lang w:val="en-US"/>
        </w:rPr>
        <w:t xml:space="preserve">after subtracting </w:t>
      </w:r>
      <w:r w:rsidR="00924E5D" w:rsidRPr="00924E5D">
        <w:rPr>
          <w:rFonts w:ascii="Times New Roman" w:eastAsia="MS PGothic" w:hAnsi="Times New Roman"/>
          <w:lang w:val="en-US"/>
        </w:rPr>
        <w:t>the</w:t>
      </w:r>
      <w:r w:rsidR="00421700">
        <w:rPr>
          <w:rFonts w:ascii="Times New Roman" w:eastAsia="MS PGothic" w:hAnsi="Times New Roman"/>
          <w:lang w:val="en-US"/>
        </w:rPr>
        <w:t xml:space="preserve"> </w:t>
      </w:r>
      <w:r w:rsidR="00924E5D" w:rsidRPr="00924E5D">
        <w:rPr>
          <w:rFonts w:ascii="Times New Roman" w:eastAsia="MS PGothic" w:hAnsi="Times New Roman"/>
          <w:lang w:val="en-US"/>
        </w:rPr>
        <w:t>pumping power</w:t>
      </w:r>
      <w:r w:rsidR="00250586">
        <w:rPr>
          <w:rFonts w:ascii="Times New Roman" w:eastAsia="MS PGothic" w:hAnsi="Times New Roman"/>
          <w:lang w:val="en-US"/>
        </w:rPr>
        <w:t xml:space="preserve"> </w:t>
      </w:r>
      <w:r w:rsidR="007010B6">
        <w:rPr>
          <w:rFonts w:ascii="Times New Roman" w:eastAsia="MS PGothic" w:hAnsi="Times New Roman"/>
          <w:lang w:val="en-US"/>
        </w:rPr>
        <w:t>consumption</w:t>
      </w:r>
      <w:r w:rsidR="00924E5D" w:rsidRPr="00924E5D">
        <w:rPr>
          <w:rFonts w:ascii="Times New Roman" w:eastAsia="MS PGothic" w:hAnsi="Times New Roman"/>
          <w:lang w:val="en-US"/>
        </w:rPr>
        <w:t>.</w:t>
      </w:r>
      <w:r w:rsidR="00323924">
        <w:rPr>
          <w:rFonts w:ascii="Times New Roman" w:eastAsia="MS PGothic" w:hAnsi="Times New Roman"/>
          <w:lang w:val="en-US"/>
        </w:rPr>
        <w:t xml:space="preserve"> </w:t>
      </w:r>
      <w:r w:rsidR="005971B9">
        <w:rPr>
          <w:rFonts w:ascii="Times New Roman" w:eastAsia="MS PGothic" w:hAnsi="Times New Roman"/>
          <w:lang w:val="en-US"/>
        </w:rPr>
        <w:t>The maximum net power density</w:t>
      </w:r>
      <w:r w:rsidR="001A3B34">
        <w:rPr>
          <w:rFonts w:ascii="Times New Roman" w:eastAsia="MS PGothic" w:hAnsi="Times New Roman"/>
          <w:lang w:val="en-US"/>
        </w:rPr>
        <w:t xml:space="preserve"> of test 1</w:t>
      </w:r>
      <w:r w:rsidR="000106E8">
        <w:rPr>
          <w:rFonts w:ascii="Times New Roman" w:eastAsia="MS PGothic" w:hAnsi="Times New Roman"/>
          <w:lang w:val="en-US"/>
        </w:rPr>
        <w:t xml:space="preserve"> (</w:t>
      </w:r>
      <w:r w:rsidR="00450B6A">
        <w:rPr>
          <w:rFonts w:ascii="Times New Roman" w:eastAsia="MS PGothic" w:hAnsi="Times New Roman"/>
          <w:lang w:val="en-US"/>
        </w:rPr>
        <w:t>at</w:t>
      </w:r>
      <w:r w:rsidR="000106E8">
        <w:rPr>
          <w:rFonts w:ascii="Times New Roman" w:eastAsia="MS PGothic" w:hAnsi="Times New Roman"/>
          <w:lang w:val="en-US"/>
        </w:rPr>
        <w:t xml:space="preserve"> </w:t>
      </w:r>
      <w:r w:rsidR="00CF44F2">
        <w:rPr>
          <w:rFonts w:ascii="Times New Roman" w:eastAsia="MS PGothic" w:hAnsi="Times New Roman"/>
          <w:lang w:val="en-US"/>
        </w:rPr>
        <w:t>29 Am</w:t>
      </w:r>
      <w:r w:rsidR="00CF44F2" w:rsidRPr="0085036C">
        <w:rPr>
          <w:rFonts w:ascii="Times New Roman" w:eastAsia="MS PGothic" w:hAnsi="Times New Roman"/>
          <w:vertAlign w:val="superscript"/>
          <w:lang w:val="en-US"/>
        </w:rPr>
        <w:t>-2</w:t>
      </w:r>
      <w:r w:rsidR="00CF44F2">
        <w:rPr>
          <w:rFonts w:ascii="Times New Roman" w:eastAsia="MS PGothic" w:hAnsi="Times New Roman"/>
          <w:lang w:val="en-US"/>
        </w:rPr>
        <w:t xml:space="preserve">) </w:t>
      </w:r>
      <w:r w:rsidR="007010B6">
        <w:rPr>
          <w:rFonts w:ascii="Times New Roman" w:eastAsia="MS PGothic" w:hAnsi="Times New Roman"/>
          <w:lang w:val="en-US"/>
        </w:rPr>
        <w:t xml:space="preserve">was </w:t>
      </w:r>
      <w:r w:rsidR="009345F6">
        <w:rPr>
          <w:rFonts w:ascii="Times New Roman" w:eastAsia="MS PGothic" w:hAnsi="Times New Roman"/>
          <w:lang w:val="en-US"/>
        </w:rPr>
        <w:t>4.3 Wm</w:t>
      </w:r>
      <w:r w:rsidR="009345F6" w:rsidRPr="00323924">
        <w:rPr>
          <w:rFonts w:ascii="Times New Roman" w:eastAsia="MS PGothic" w:hAnsi="Times New Roman"/>
          <w:vertAlign w:val="superscript"/>
          <w:lang w:val="en-US"/>
        </w:rPr>
        <w:t>-2</w:t>
      </w:r>
      <w:r w:rsidR="009345F6">
        <w:rPr>
          <w:rFonts w:ascii="Times New Roman" w:eastAsia="MS PGothic" w:hAnsi="Times New Roman"/>
          <w:lang w:val="en-US"/>
        </w:rPr>
        <w:t>N</w:t>
      </w:r>
      <w:r w:rsidR="009345F6" w:rsidRPr="00323924">
        <w:rPr>
          <w:rFonts w:ascii="Times New Roman" w:eastAsia="MS PGothic" w:hAnsi="Times New Roman"/>
          <w:vertAlign w:val="subscript"/>
          <w:lang w:val="en-US"/>
        </w:rPr>
        <w:t>tr</w:t>
      </w:r>
      <w:r w:rsidR="009345F6" w:rsidRPr="00323924">
        <w:rPr>
          <w:rFonts w:ascii="Times New Roman" w:eastAsia="MS PGothic" w:hAnsi="Times New Roman"/>
          <w:vertAlign w:val="superscript"/>
          <w:lang w:val="en-US"/>
        </w:rPr>
        <w:t>-1</w:t>
      </w:r>
      <w:r w:rsidR="007010B6">
        <w:rPr>
          <w:rFonts w:ascii="Times New Roman" w:eastAsia="MS PGothic" w:hAnsi="Times New Roman"/>
          <w:lang w:val="en-US"/>
        </w:rPr>
        <w:t>, while</w:t>
      </w:r>
      <w:r w:rsidR="001B5C83">
        <w:rPr>
          <w:rFonts w:ascii="Times New Roman" w:eastAsia="MS PGothic" w:hAnsi="Times New Roman"/>
          <w:lang w:val="en-US"/>
        </w:rPr>
        <w:t xml:space="preserve"> for test 2</w:t>
      </w:r>
      <w:r w:rsidR="007010B6">
        <w:rPr>
          <w:rFonts w:ascii="Times New Roman" w:eastAsia="MS PGothic" w:hAnsi="Times New Roman"/>
          <w:lang w:val="en-US"/>
        </w:rPr>
        <w:t xml:space="preserve"> was </w:t>
      </w:r>
      <w:r w:rsidR="00652238">
        <w:rPr>
          <w:rFonts w:ascii="Times New Roman" w:eastAsia="MS PGothic" w:hAnsi="Times New Roman"/>
          <w:lang w:val="en-US"/>
        </w:rPr>
        <w:t xml:space="preserve">5.4 </w:t>
      </w:r>
      <w:r w:rsidR="007010B6">
        <w:rPr>
          <w:rFonts w:ascii="Times New Roman" w:eastAsia="MS PGothic" w:hAnsi="Times New Roman"/>
          <w:lang w:val="en-US"/>
        </w:rPr>
        <w:t>Wm</w:t>
      </w:r>
      <w:r w:rsidR="007010B6" w:rsidRPr="00323924">
        <w:rPr>
          <w:rFonts w:ascii="Times New Roman" w:eastAsia="MS PGothic" w:hAnsi="Times New Roman"/>
          <w:vertAlign w:val="superscript"/>
          <w:lang w:val="en-US"/>
        </w:rPr>
        <w:t>-2</w:t>
      </w:r>
      <w:r w:rsidR="007010B6">
        <w:rPr>
          <w:rFonts w:ascii="Times New Roman" w:eastAsia="MS PGothic" w:hAnsi="Times New Roman"/>
          <w:lang w:val="en-US"/>
        </w:rPr>
        <w:t>N</w:t>
      </w:r>
      <w:r w:rsidR="007010B6" w:rsidRPr="00323924">
        <w:rPr>
          <w:rFonts w:ascii="Times New Roman" w:eastAsia="MS PGothic" w:hAnsi="Times New Roman"/>
          <w:vertAlign w:val="subscript"/>
          <w:lang w:val="en-US"/>
        </w:rPr>
        <w:t>tr</w:t>
      </w:r>
      <w:r w:rsidR="007010B6" w:rsidRPr="00323924">
        <w:rPr>
          <w:rFonts w:ascii="Times New Roman" w:eastAsia="MS PGothic" w:hAnsi="Times New Roman"/>
          <w:vertAlign w:val="superscript"/>
          <w:lang w:val="en-US"/>
        </w:rPr>
        <w:t>-1</w:t>
      </w:r>
      <w:r w:rsidR="00250586">
        <w:rPr>
          <w:rFonts w:ascii="Times New Roman" w:eastAsia="MS PGothic" w:hAnsi="Times New Roman"/>
          <w:lang w:val="en-US"/>
        </w:rPr>
        <w:t>.</w:t>
      </w:r>
      <w:r w:rsidR="007010B6">
        <w:rPr>
          <w:rFonts w:ascii="Times New Roman" w:eastAsia="MS PGothic" w:hAnsi="Times New Roman"/>
          <w:lang w:val="en-US"/>
        </w:rPr>
        <w:t xml:space="preserve"> </w:t>
      </w:r>
      <w:r w:rsidR="00450B6A">
        <w:rPr>
          <w:rFonts w:ascii="Times New Roman" w:eastAsia="MS PGothic" w:hAnsi="Times New Roman"/>
          <w:lang w:val="en-US"/>
        </w:rPr>
        <w:t>Therefore</w:t>
      </w:r>
      <w:r w:rsidR="007010B6" w:rsidRPr="007010B6">
        <w:rPr>
          <w:rFonts w:ascii="Times New Roman" w:eastAsia="MS PGothic" w:hAnsi="Times New Roman"/>
          <w:lang w:val="en-US"/>
        </w:rPr>
        <w:t xml:space="preserve">, the effect of the </w:t>
      </w:r>
      <w:r w:rsidR="00F70298">
        <w:rPr>
          <w:rFonts w:ascii="Times New Roman" w:eastAsia="MS PGothic" w:hAnsi="Times New Roman"/>
          <w:lang w:val="en-US"/>
        </w:rPr>
        <w:t xml:space="preserve">plastic </w:t>
      </w:r>
      <w:r w:rsidR="007010B6" w:rsidRPr="007010B6">
        <w:rPr>
          <w:rFonts w:ascii="Times New Roman" w:eastAsia="MS PGothic" w:hAnsi="Times New Roman"/>
          <w:lang w:val="en-US"/>
        </w:rPr>
        <w:t>sticks may potentially result in a</w:t>
      </w:r>
      <w:r w:rsidR="00DE4021">
        <w:rPr>
          <w:rFonts w:ascii="Times New Roman" w:eastAsia="MS PGothic" w:hAnsi="Times New Roman"/>
          <w:lang w:val="en-US"/>
        </w:rPr>
        <w:t xml:space="preserve"> RTE</w:t>
      </w:r>
      <w:r w:rsidR="007010B6" w:rsidRPr="007010B6">
        <w:rPr>
          <w:rFonts w:ascii="Times New Roman" w:eastAsia="MS PGothic" w:hAnsi="Times New Roman"/>
          <w:lang w:val="en-US"/>
        </w:rPr>
        <w:t xml:space="preserve"> increase of </w:t>
      </w:r>
      <w:r w:rsidR="00652238">
        <w:rPr>
          <w:rFonts w:ascii="Times New Roman" w:eastAsia="MS PGothic" w:hAnsi="Times New Roman"/>
          <w:lang w:val="en-US"/>
        </w:rPr>
        <w:t>2</w:t>
      </w:r>
      <w:r w:rsidR="00450B6A">
        <w:rPr>
          <w:rFonts w:ascii="Times New Roman" w:eastAsia="MS PGothic" w:hAnsi="Times New Roman"/>
          <w:lang w:val="en-US"/>
        </w:rPr>
        <w:t>5</w:t>
      </w:r>
      <w:r w:rsidR="007010B6">
        <w:rPr>
          <w:rFonts w:ascii="Times New Roman" w:eastAsia="MS PGothic" w:hAnsi="Times New Roman"/>
          <w:lang w:val="en-US"/>
        </w:rPr>
        <w:t>%</w:t>
      </w:r>
      <w:r w:rsidR="00DE4021">
        <w:rPr>
          <w:rFonts w:ascii="Times New Roman" w:eastAsia="MS PGothic" w:hAnsi="Times New Roman"/>
          <w:lang w:val="en-US"/>
        </w:rPr>
        <w:t>.</w:t>
      </w:r>
    </w:p>
    <w:p w14:paraId="2A891344" w14:textId="1E899A48" w:rsidR="00770F83" w:rsidRDefault="00DA51A3" w:rsidP="00BC79DF">
      <w:pPr>
        <w:snapToGrid w:val="0"/>
        <w:spacing w:line="300" w:lineRule="auto"/>
        <w:jc w:val="both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22A70ECF" w14:textId="087C9415" w:rsidR="00652238" w:rsidRDefault="000D78CC" w:rsidP="00BC79DF">
      <w:pPr>
        <w:snapToGrid w:val="0"/>
        <w:spacing w:line="300" w:lineRule="auto"/>
        <w:jc w:val="both"/>
        <w:rPr>
          <w:rFonts w:ascii="Times New Roman" w:eastAsia="MS PGothic" w:hAnsi="Times New Roman"/>
          <w:lang w:val="en-US" w:eastAsia="ko-KR"/>
        </w:rPr>
      </w:pPr>
      <w:r w:rsidRPr="000D78CC">
        <w:rPr>
          <w:rFonts w:ascii="Times New Roman" w:eastAsia="MS PGothic" w:hAnsi="Times New Roman"/>
          <w:lang w:val="en-US" w:eastAsia="ko-KR"/>
        </w:rPr>
        <w:t xml:space="preserve">This work </w:t>
      </w:r>
      <w:r w:rsidR="00D47F63">
        <w:rPr>
          <w:rFonts w:ascii="Times New Roman" w:eastAsia="MS PGothic" w:hAnsi="Times New Roman"/>
          <w:lang w:val="en-US" w:eastAsia="ko-KR"/>
        </w:rPr>
        <w:t xml:space="preserve">demonstrates </w:t>
      </w:r>
      <w:r w:rsidRPr="000D78CC">
        <w:rPr>
          <w:rFonts w:ascii="Times New Roman" w:eastAsia="MS PGothic" w:hAnsi="Times New Roman"/>
          <w:lang w:val="en-US" w:eastAsia="ko-KR"/>
        </w:rPr>
        <w:t xml:space="preserve">how </w:t>
      </w:r>
      <w:r w:rsidR="00A93CFB" w:rsidRPr="00A93CFB">
        <w:rPr>
          <w:rFonts w:ascii="Times New Roman" w:eastAsia="MS PGothic" w:hAnsi="Times New Roman"/>
          <w:lang w:val="en-US" w:eastAsia="ko-KR"/>
        </w:rPr>
        <w:t>the inclusion of isolating material inside the manifolds</w:t>
      </w:r>
      <w:r w:rsidR="00D47F63">
        <w:rPr>
          <w:rFonts w:ascii="Times New Roman" w:eastAsia="MS PGothic" w:hAnsi="Times New Roman"/>
          <w:lang w:val="en-US" w:eastAsia="ko-KR"/>
        </w:rPr>
        <w:t xml:space="preserve"> can reduce the effect of parasitic currents in the system</w:t>
      </w:r>
      <w:r w:rsidR="00A93CFB" w:rsidRPr="00A93CFB">
        <w:rPr>
          <w:rFonts w:ascii="Times New Roman" w:eastAsia="MS PGothic" w:hAnsi="Times New Roman"/>
          <w:lang w:val="en-US" w:eastAsia="ko-KR"/>
        </w:rPr>
        <w:t xml:space="preserve">. </w:t>
      </w:r>
      <w:r w:rsidR="00D47F63">
        <w:rPr>
          <w:rFonts w:ascii="Times New Roman" w:eastAsia="MS PGothic" w:hAnsi="Times New Roman"/>
          <w:lang w:val="en-US" w:eastAsia="ko-KR"/>
        </w:rPr>
        <w:t xml:space="preserve"> The best design </w:t>
      </w:r>
      <w:r w:rsidR="00250586" w:rsidRPr="00250586">
        <w:rPr>
          <w:rFonts w:ascii="Times New Roman" w:eastAsia="MS PGothic" w:hAnsi="Times New Roman"/>
          <w:lang w:val="en-US" w:eastAsia="ko-KR"/>
        </w:rPr>
        <w:t>of plastic sticks cross-sectional area</w:t>
      </w:r>
      <w:r w:rsidR="00D47F63">
        <w:rPr>
          <w:rFonts w:ascii="Times New Roman" w:eastAsia="MS PGothic" w:hAnsi="Times New Roman"/>
          <w:lang w:val="en-US" w:eastAsia="ko-KR"/>
        </w:rPr>
        <w:t xml:space="preserve"> can be chosen to achieve a balance </w:t>
      </w:r>
      <w:r w:rsidR="00250586" w:rsidRPr="00250586">
        <w:rPr>
          <w:rFonts w:ascii="Times New Roman" w:eastAsia="MS PGothic" w:hAnsi="Times New Roman"/>
          <w:lang w:val="en-US" w:eastAsia="ko-KR"/>
        </w:rPr>
        <w:t xml:space="preserve">between reducing </w:t>
      </w:r>
      <w:r w:rsidR="00250586">
        <w:rPr>
          <w:rFonts w:ascii="Times New Roman" w:eastAsia="MS PGothic" w:hAnsi="Times New Roman"/>
          <w:lang w:val="en-US" w:eastAsia="ko-KR"/>
        </w:rPr>
        <w:t>parasitic</w:t>
      </w:r>
      <w:r w:rsidR="00250586" w:rsidRPr="00250586">
        <w:rPr>
          <w:rFonts w:ascii="Times New Roman" w:eastAsia="MS PGothic" w:hAnsi="Times New Roman"/>
          <w:lang w:val="en-US" w:eastAsia="ko-KR"/>
        </w:rPr>
        <w:t xml:space="preserve"> currents and increasing </w:t>
      </w:r>
      <w:r w:rsidR="00D47F63">
        <w:rPr>
          <w:rFonts w:ascii="Times New Roman" w:eastAsia="MS PGothic" w:hAnsi="Times New Roman"/>
          <w:lang w:val="en-US" w:eastAsia="ko-KR"/>
        </w:rPr>
        <w:t xml:space="preserve">stack </w:t>
      </w:r>
      <w:r w:rsidR="00250586" w:rsidRPr="00250586">
        <w:rPr>
          <w:rFonts w:ascii="Times New Roman" w:eastAsia="MS PGothic" w:hAnsi="Times New Roman"/>
          <w:lang w:val="en-US" w:eastAsia="ko-KR"/>
        </w:rPr>
        <w:t xml:space="preserve">pressure </w:t>
      </w:r>
      <w:r w:rsidR="00250586">
        <w:rPr>
          <w:rFonts w:ascii="Times New Roman" w:eastAsia="MS PGothic" w:hAnsi="Times New Roman"/>
          <w:lang w:val="en-US" w:eastAsia="ko-KR"/>
        </w:rPr>
        <w:t>drops</w:t>
      </w:r>
      <w:r w:rsidR="00250586" w:rsidRPr="00250586">
        <w:rPr>
          <w:rFonts w:ascii="Times New Roman" w:eastAsia="MS PGothic" w:hAnsi="Times New Roman"/>
          <w:lang w:val="en-US" w:eastAsia="ko-KR"/>
        </w:rPr>
        <w:t xml:space="preserve">. </w:t>
      </w:r>
      <w:r w:rsidR="00250586" w:rsidRPr="00A93CFB">
        <w:rPr>
          <w:rFonts w:ascii="Times New Roman" w:eastAsia="MS PGothic" w:hAnsi="Times New Roman"/>
          <w:lang w:val="en-US" w:eastAsia="ko-KR"/>
        </w:rPr>
        <w:t xml:space="preserve">As </w:t>
      </w:r>
      <w:r w:rsidR="00D47F63">
        <w:rPr>
          <w:rFonts w:ascii="Times New Roman" w:eastAsia="MS PGothic" w:hAnsi="Times New Roman"/>
          <w:lang w:val="en-US" w:eastAsia="ko-KR"/>
        </w:rPr>
        <w:t>demonstrated</w:t>
      </w:r>
      <w:r w:rsidR="00250586" w:rsidRPr="00A93CFB">
        <w:rPr>
          <w:rFonts w:ascii="Times New Roman" w:eastAsia="MS PGothic" w:hAnsi="Times New Roman"/>
          <w:lang w:val="en-US" w:eastAsia="ko-KR"/>
        </w:rPr>
        <w:t xml:space="preserve">, the technology has </w:t>
      </w:r>
      <w:r w:rsidR="00D47F63">
        <w:rPr>
          <w:rFonts w:ascii="Times New Roman" w:eastAsia="MS PGothic" w:hAnsi="Times New Roman"/>
          <w:lang w:val="en-US" w:eastAsia="ko-KR"/>
        </w:rPr>
        <w:t xml:space="preserve">significant potential </w:t>
      </w:r>
      <w:r w:rsidR="00250586" w:rsidRPr="00A93CFB">
        <w:rPr>
          <w:rFonts w:ascii="Times New Roman" w:eastAsia="MS PGothic" w:hAnsi="Times New Roman"/>
          <w:lang w:val="en-US" w:eastAsia="ko-KR"/>
        </w:rPr>
        <w:t>for future growth</w:t>
      </w:r>
      <w:r w:rsidR="00975A97">
        <w:rPr>
          <w:rFonts w:ascii="Times New Roman" w:eastAsia="MS PGothic" w:hAnsi="Times New Roman"/>
          <w:lang w:val="en-US" w:eastAsia="ko-KR"/>
        </w:rPr>
        <w:t>,</w:t>
      </w:r>
      <w:r w:rsidR="006A0692">
        <w:rPr>
          <w:rFonts w:ascii="Times New Roman" w:eastAsia="MS PGothic" w:hAnsi="Times New Roman"/>
          <w:lang w:val="en-US" w:eastAsia="ko-KR"/>
        </w:rPr>
        <w:t xml:space="preserve"> although</w:t>
      </w:r>
      <w:r w:rsidR="00D47F63">
        <w:rPr>
          <w:rFonts w:ascii="Times New Roman" w:eastAsia="MS PGothic" w:hAnsi="Times New Roman"/>
          <w:lang w:val="en-US" w:eastAsia="ko-KR"/>
        </w:rPr>
        <w:t xml:space="preserve"> additional experimental and modelling tests are required to improve </w:t>
      </w:r>
      <w:r w:rsidR="00D47F63" w:rsidRPr="00161CFA">
        <w:rPr>
          <w:rFonts w:ascii="Times New Roman" w:eastAsia="MS PGothic" w:hAnsi="Times New Roman"/>
          <w:lang w:val="en-US" w:eastAsia="ko-KR"/>
        </w:rPr>
        <w:t xml:space="preserve">the </w:t>
      </w:r>
      <w:r w:rsidR="00975A97">
        <w:rPr>
          <w:rFonts w:ascii="Times New Roman" w:eastAsia="MS PGothic" w:hAnsi="Times New Roman"/>
          <w:lang w:val="en-US" w:eastAsia="ko-KR"/>
        </w:rPr>
        <w:t>battery</w:t>
      </w:r>
      <w:r w:rsidR="00D47F63">
        <w:rPr>
          <w:rFonts w:ascii="Times New Roman" w:eastAsia="MS PGothic" w:hAnsi="Times New Roman"/>
          <w:lang w:val="en-US" w:eastAsia="ko-KR"/>
        </w:rPr>
        <w:t xml:space="preserve"> performance</w:t>
      </w:r>
      <w:r w:rsidR="00250586" w:rsidRPr="00A93CFB">
        <w:rPr>
          <w:rFonts w:ascii="Times New Roman" w:eastAsia="MS PGothic" w:hAnsi="Times New Roman"/>
          <w:lang w:val="en-US" w:eastAsia="ko-KR"/>
        </w:rPr>
        <w:t>.</w:t>
      </w:r>
    </w:p>
    <w:p w14:paraId="1159634B" w14:textId="7FA46639" w:rsidR="00652238" w:rsidRPr="00652238" w:rsidRDefault="00652238" w:rsidP="005658CB">
      <w:pPr>
        <w:snapToGrid w:val="0"/>
        <w:spacing w:after="0" w:line="25" w:lineRule="atLeast"/>
        <w:jc w:val="both"/>
        <w:rPr>
          <w:rFonts w:ascii="Times New Roman" w:eastAsia="MS PGothic" w:hAnsi="Times New Roman"/>
          <w:b/>
          <w:bCs/>
          <w:lang w:val="en-US"/>
        </w:rPr>
      </w:pPr>
      <w:r w:rsidRPr="00652238">
        <w:rPr>
          <w:rFonts w:ascii="Times New Roman" w:eastAsia="MS PGothic" w:hAnsi="Times New Roman"/>
          <w:b/>
          <w:bCs/>
          <w:lang w:val="en-US"/>
        </w:rPr>
        <w:t>Acknowledges</w:t>
      </w:r>
    </w:p>
    <w:p w14:paraId="2FDB5E22" w14:textId="407375B5" w:rsidR="00652238" w:rsidRPr="00652238" w:rsidRDefault="00770F83" w:rsidP="005658CB">
      <w:pPr>
        <w:snapToGrid w:val="0"/>
        <w:spacing w:line="25" w:lineRule="atLeast"/>
        <w:jc w:val="both"/>
        <w:rPr>
          <w:rFonts w:ascii="Times New Roman" w:eastAsia="MS PGothic" w:hAnsi="Times New Roman"/>
          <w:lang w:val="en-US"/>
        </w:rPr>
      </w:pPr>
      <w:r w:rsidRPr="00770F83">
        <w:rPr>
          <w:rFonts w:ascii="Times New Roman" w:eastAsia="MS PGothic" w:hAnsi="Times New Roman"/>
          <w:lang w:val="en-US"/>
        </w:rPr>
        <w:t>This work was performed in the framework of the BAoBaB project</w:t>
      </w:r>
      <w:r>
        <w:rPr>
          <w:rFonts w:ascii="Times New Roman" w:eastAsia="MS PGothic" w:hAnsi="Times New Roman"/>
          <w:lang w:val="en-US"/>
        </w:rPr>
        <w:t xml:space="preserve"> </w:t>
      </w:r>
      <w:r w:rsidRPr="00770F83">
        <w:rPr>
          <w:rFonts w:ascii="Times New Roman" w:eastAsia="MS PGothic" w:hAnsi="Times New Roman"/>
          <w:lang w:val="en-US"/>
        </w:rPr>
        <w:t>(</w:t>
      </w:r>
      <w:r w:rsidRPr="00770F83">
        <w:rPr>
          <w:rFonts w:ascii="Times New Roman" w:eastAsia="MS PGothic" w:hAnsi="Times New Roman"/>
          <w:i/>
          <w:iCs/>
          <w:lang w:val="en-US"/>
        </w:rPr>
        <w:t>Blue Acid/Base Battery: Storage and recovery of renewable electrical energy by reversible salt water dissociation</w:t>
      </w:r>
      <w:r w:rsidRPr="00770F83">
        <w:rPr>
          <w:rFonts w:ascii="Times New Roman" w:eastAsia="MS PGothic" w:hAnsi="Times New Roman"/>
          <w:lang w:val="en-US"/>
        </w:rPr>
        <w:t>). The BAoBaB project has received funding from the European Union’s Horizon 2020 Research and</w:t>
      </w:r>
      <w:r>
        <w:rPr>
          <w:rFonts w:ascii="Times New Roman" w:eastAsia="MS PGothic" w:hAnsi="Times New Roman"/>
          <w:lang w:val="en-US"/>
        </w:rPr>
        <w:t xml:space="preserve"> </w:t>
      </w:r>
      <w:r w:rsidRPr="00770F83">
        <w:rPr>
          <w:rFonts w:ascii="Times New Roman" w:eastAsia="MS PGothic" w:hAnsi="Times New Roman"/>
          <w:lang w:val="en-US"/>
        </w:rPr>
        <w:t>Innovation program under Grant Agreement no. 731187 (</w:t>
      </w:r>
      <w:hyperlink r:id="rId10" w:history="1">
        <w:r w:rsidR="00652238" w:rsidRPr="00760E5E">
          <w:rPr>
            <w:rStyle w:val="Collegamentoipertestuale"/>
            <w:rFonts w:ascii="Times New Roman" w:eastAsia="MS PGothic" w:hAnsi="Times New Roman"/>
            <w:lang w:val="en-US"/>
          </w:rPr>
          <w:t>www.baobabproject.eu</w:t>
        </w:r>
      </w:hyperlink>
      <w:r w:rsidRPr="00770F83">
        <w:rPr>
          <w:rFonts w:ascii="Times New Roman" w:eastAsia="MS PGothic" w:hAnsi="Times New Roman"/>
          <w:lang w:val="en-US"/>
        </w:rPr>
        <w:t>).</w:t>
      </w:r>
    </w:p>
    <w:p w14:paraId="1845F659" w14:textId="04294E56" w:rsidR="00DA51A3" w:rsidRPr="00466FFD" w:rsidRDefault="00DA51A3" w:rsidP="00D878C0">
      <w:pPr>
        <w:snapToGrid w:val="0"/>
        <w:spacing w:after="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67451231" w14:textId="1E88D221" w:rsidR="00073FC4" w:rsidRPr="009818C3" w:rsidRDefault="00073FC4" w:rsidP="00E33516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 New Roman" w:hAnsi="Times New Roman"/>
        </w:rPr>
      </w:pPr>
      <w:r w:rsidRPr="00073FC4">
        <w:rPr>
          <w:rFonts w:ascii="Times New Roman" w:hAnsi="Times New Roman"/>
        </w:rPr>
        <w:t>R</w:t>
      </w:r>
      <w:r w:rsidR="00C53A75">
        <w:rPr>
          <w:rFonts w:ascii="Times New Roman" w:hAnsi="Times New Roman"/>
        </w:rPr>
        <w:t>.</w:t>
      </w:r>
      <w:r w:rsidRPr="00073FC4">
        <w:rPr>
          <w:rFonts w:ascii="Times New Roman" w:hAnsi="Times New Roman"/>
        </w:rPr>
        <w:t xml:space="preserve"> Pärnamäe, L</w:t>
      </w:r>
      <w:r w:rsidR="00C53A75">
        <w:rPr>
          <w:rFonts w:ascii="Times New Roman" w:hAnsi="Times New Roman"/>
        </w:rPr>
        <w:t>.</w:t>
      </w:r>
      <w:r w:rsidRPr="00073FC4">
        <w:rPr>
          <w:rFonts w:ascii="Times New Roman" w:hAnsi="Times New Roman"/>
        </w:rPr>
        <w:t xml:space="preserve"> Gurreri, J</w:t>
      </w:r>
      <w:r w:rsidR="00C53A75">
        <w:rPr>
          <w:rFonts w:ascii="Times New Roman" w:hAnsi="Times New Roman"/>
        </w:rPr>
        <w:t>.</w:t>
      </w:r>
      <w:r w:rsidRPr="00073FC4">
        <w:rPr>
          <w:rFonts w:ascii="Times New Roman" w:hAnsi="Times New Roman"/>
        </w:rPr>
        <w:t xml:space="preserve"> Post, W</w:t>
      </w:r>
      <w:r w:rsidR="00C53A75">
        <w:rPr>
          <w:rFonts w:ascii="Times New Roman" w:hAnsi="Times New Roman"/>
        </w:rPr>
        <w:t>.</w:t>
      </w:r>
      <w:r w:rsidRPr="00073FC4">
        <w:rPr>
          <w:rFonts w:ascii="Times New Roman" w:hAnsi="Times New Roman"/>
        </w:rPr>
        <w:t xml:space="preserve"> J</w:t>
      </w:r>
      <w:r w:rsidR="00C53A75">
        <w:rPr>
          <w:rFonts w:ascii="Times New Roman" w:hAnsi="Times New Roman"/>
        </w:rPr>
        <w:t>.</w:t>
      </w:r>
      <w:r w:rsidRPr="00073FC4">
        <w:rPr>
          <w:rFonts w:ascii="Times New Roman" w:hAnsi="Times New Roman"/>
        </w:rPr>
        <w:t xml:space="preserve"> van Egmond</w:t>
      </w:r>
      <w:r w:rsidR="00C53A7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C53A75">
        <w:rPr>
          <w:rFonts w:ascii="Times New Roman" w:hAnsi="Times New Roman"/>
        </w:rPr>
        <w:t>A.</w:t>
      </w:r>
      <w:r w:rsidRPr="00073FC4">
        <w:rPr>
          <w:rFonts w:ascii="Times New Roman" w:hAnsi="Times New Roman"/>
        </w:rPr>
        <w:t xml:space="preserve"> Culcasi, M</w:t>
      </w:r>
      <w:r w:rsidR="00C53A75">
        <w:rPr>
          <w:rFonts w:ascii="Times New Roman" w:hAnsi="Times New Roman"/>
        </w:rPr>
        <w:t>.</w:t>
      </w:r>
      <w:r w:rsidRPr="00073FC4">
        <w:rPr>
          <w:rFonts w:ascii="Times New Roman" w:hAnsi="Times New Roman"/>
        </w:rPr>
        <w:t xml:space="preserve"> Saakes, J</w:t>
      </w:r>
      <w:r w:rsidR="00C53A75">
        <w:rPr>
          <w:rFonts w:ascii="Times New Roman" w:hAnsi="Times New Roman"/>
        </w:rPr>
        <w:t>.</w:t>
      </w:r>
      <w:r w:rsidRPr="00073FC4">
        <w:rPr>
          <w:rFonts w:ascii="Times New Roman" w:hAnsi="Times New Roman"/>
        </w:rPr>
        <w:t xml:space="preserve"> Cen, E</w:t>
      </w:r>
      <w:r w:rsidR="00C53A75">
        <w:rPr>
          <w:rFonts w:ascii="Times New Roman" w:hAnsi="Times New Roman"/>
        </w:rPr>
        <w:t xml:space="preserve">. </w:t>
      </w:r>
      <w:r w:rsidRPr="00073FC4">
        <w:rPr>
          <w:rFonts w:ascii="Times New Roman" w:hAnsi="Times New Roman"/>
        </w:rPr>
        <w:t>Goosen, A</w:t>
      </w:r>
      <w:r w:rsidR="00C53A75">
        <w:rPr>
          <w:rFonts w:ascii="Times New Roman" w:hAnsi="Times New Roman"/>
        </w:rPr>
        <w:t>.</w:t>
      </w:r>
      <w:r w:rsidRPr="00073FC4">
        <w:rPr>
          <w:rFonts w:ascii="Times New Roman" w:hAnsi="Times New Roman"/>
        </w:rPr>
        <w:t xml:space="preserve"> Tamburini,</w:t>
      </w:r>
      <w:r w:rsidR="00C53A75">
        <w:rPr>
          <w:rFonts w:ascii="Times New Roman" w:hAnsi="Times New Roman"/>
        </w:rPr>
        <w:t xml:space="preserve"> </w:t>
      </w:r>
      <w:r w:rsidRPr="00C53A75">
        <w:rPr>
          <w:rFonts w:ascii="Times New Roman" w:hAnsi="Times New Roman"/>
        </w:rPr>
        <w:t>D</w:t>
      </w:r>
      <w:r w:rsidR="00C53A75">
        <w:rPr>
          <w:rFonts w:ascii="Times New Roman" w:hAnsi="Times New Roman"/>
        </w:rPr>
        <w:t>.</w:t>
      </w:r>
      <w:r w:rsidRPr="00C53A75">
        <w:rPr>
          <w:rFonts w:ascii="Times New Roman" w:hAnsi="Times New Roman"/>
        </w:rPr>
        <w:t xml:space="preserve"> A. Vermaas, M</w:t>
      </w:r>
      <w:r w:rsidR="00C53A75">
        <w:rPr>
          <w:rFonts w:ascii="Times New Roman" w:hAnsi="Times New Roman"/>
        </w:rPr>
        <w:t>.</w:t>
      </w:r>
      <w:r w:rsidRPr="00C53A75">
        <w:rPr>
          <w:rFonts w:ascii="Times New Roman" w:hAnsi="Times New Roman"/>
        </w:rPr>
        <w:t xml:space="preserve"> Tedesco</w:t>
      </w:r>
      <w:r w:rsidR="00C53A75">
        <w:rPr>
          <w:rFonts w:ascii="Times New Roman" w:hAnsi="Times New Roman"/>
        </w:rPr>
        <w:t xml:space="preserve">, </w:t>
      </w:r>
      <w:r w:rsidR="009818C3" w:rsidRPr="009818C3">
        <w:rPr>
          <w:rFonts w:ascii="Times New Roman" w:hAnsi="Times New Roman"/>
        </w:rPr>
        <w:t>The Acid–Base Flow Battery: Sustainable Energy</w:t>
      </w:r>
      <w:r w:rsidR="009818C3">
        <w:rPr>
          <w:rFonts w:ascii="Times New Roman" w:hAnsi="Times New Roman"/>
        </w:rPr>
        <w:t xml:space="preserve"> </w:t>
      </w:r>
      <w:r w:rsidR="009818C3" w:rsidRPr="009818C3">
        <w:rPr>
          <w:rFonts w:ascii="Times New Roman" w:hAnsi="Times New Roman"/>
        </w:rPr>
        <w:t>Storage via Reversible</w:t>
      </w:r>
      <w:r w:rsidR="009818C3">
        <w:rPr>
          <w:rFonts w:ascii="Times New Roman" w:hAnsi="Times New Roman"/>
        </w:rPr>
        <w:t xml:space="preserve"> </w:t>
      </w:r>
      <w:r w:rsidR="009818C3" w:rsidRPr="009818C3">
        <w:rPr>
          <w:rFonts w:ascii="Times New Roman" w:hAnsi="Times New Roman"/>
        </w:rPr>
        <w:t>Water Dissociation with</w:t>
      </w:r>
      <w:r w:rsidR="009818C3">
        <w:rPr>
          <w:rFonts w:ascii="Times New Roman" w:hAnsi="Times New Roman"/>
        </w:rPr>
        <w:t xml:space="preserve"> </w:t>
      </w:r>
      <w:r w:rsidR="009818C3" w:rsidRPr="009818C3">
        <w:rPr>
          <w:rFonts w:ascii="Times New Roman" w:hAnsi="Times New Roman"/>
        </w:rPr>
        <w:t>Bipolar Membranes</w:t>
      </w:r>
      <w:r w:rsidR="009818C3">
        <w:rPr>
          <w:rFonts w:ascii="Times New Roman" w:hAnsi="Times New Roman"/>
        </w:rPr>
        <w:t xml:space="preserve">, </w:t>
      </w:r>
      <w:r w:rsidR="00E33516" w:rsidRPr="00E33516">
        <w:rPr>
          <w:rFonts w:ascii="Times New Roman" w:hAnsi="Times New Roman"/>
        </w:rPr>
        <w:t xml:space="preserve">Membranes 2020, 10, 409; </w:t>
      </w:r>
      <w:r w:rsidR="000D056B" w:rsidRPr="000D056B">
        <w:rPr>
          <w:rFonts w:ascii="Times New Roman" w:hAnsi="Times New Roman"/>
        </w:rPr>
        <w:t>https://doi.org/10.3390/membranes10120409</w:t>
      </w:r>
    </w:p>
    <w:p w14:paraId="0D0567AF" w14:textId="23D57DBB" w:rsidR="00286B8D" w:rsidRPr="00286B8D" w:rsidRDefault="00AC1D75" w:rsidP="00286B8D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Style w:val="Collegamentoipertestuale"/>
          <w:rFonts w:ascii="Times New Roman" w:hAnsi="Times New Roman"/>
          <w:color w:val="auto"/>
          <w:u w:val="none"/>
        </w:rPr>
      </w:pPr>
      <w:r w:rsidRPr="00652238">
        <w:rPr>
          <w:rFonts w:ascii="Times New Roman" w:hAnsi="Times New Roman"/>
        </w:rPr>
        <w:t xml:space="preserve">A. Culcasi, L. Gurreri, A. Zaffora, A. Cosenza, A. Tamburini,, G. Micale, </w:t>
      </w:r>
      <w:r w:rsidR="000D056B" w:rsidRPr="00652238">
        <w:rPr>
          <w:rFonts w:ascii="Times New Roman" w:hAnsi="Times New Roman"/>
        </w:rPr>
        <w:t>On the modelling of an Acid/Base Flow Battery: An innovative electrical energy storage device based on pH and salinity gradients</w:t>
      </w:r>
      <w:r w:rsidRPr="00652238">
        <w:rPr>
          <w:rFonts w:ascii="Times New Roman" w:hAnsi="Times New Roman"/>
        </w:rPr>
        <w:t xml:space="preserve">, </w:t>
      </w:r>
      <w:r w:rsidR="000D056B" w:rsidRPr="00652238">
        <w:rPr>
          <w:rFonts w:ascii="Times New Roman" w:hAnsi="Times New Roman"/>
        </w:rPr>
        <w:t>Applied Energy 277 (2020) 115576</w:t>
      </w:r>
      <w:r w:rsidR="00872345" w:rsidRPr="00652238">
        <w:rPr>
          <w:rFonts w:ascii="Times New Roman" w:hAnsi="Times New Roman"/>
        </w:rPr>
        <w:t xml:space="preserve">, </w:t>
      </w:r>
      <w:hyperlink r:id="rId11" w:history="1">
        <w:r w:rsidR="000D056B" w:rsidRPr="00652238">
          <w:rPr>
            <w:rStyle w:val="Collegamentoipertestuale"/>
            <w:rFonts w:ascii="Times New Roman" w:hAnsi="Times New Roman"/>
          </w:rPr>
          <w:t>https://doi.org/10.1016/j.apenergy.2020.115576</w:t>
        </w:r>
      </w:hyperlink>
    </w:p>
    <w:p w14:paraId="30D28F12" w14:textId="2A9D1C06" w:rsidR="00D878C0" w:rsidRPr="00D878C0" w:rsidRDefault="000D056B" w:rsidP="00D878C0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Style w:val="Collegamentoipertestuale"/>
          <w:rFonts w:ascii="Times New Roman" w:hAnsi="Times New Roman"/>
          <w:color w:val="auto"/>
          <w:u w:val="none"/>
          <w:lang w:val="it-IT"/>
        </w:rPr>
      </w:pPr>
      <w:r w:rsidRPr="00652238">
        <w:rPr>
          <w:rFonts w:ascii="Times New Roman" w:hAnsi="Times New Roman"/>
          <w:lang w:val="it-IT"/>
        </w:rPr>
        <w:t xml:space="preserve">A. Culcasi, L. Gurreri, A. Zaffora, A. Cosenza, A. Tamburini, A. Cipollina, G. Micale, Ionic shortcut currents via manifolds in reverse electrodialysis stacks, Desalination 485 (2020) 114450, </w:t>
      </w:r>
      <w:hyperlink r:id="rId12" w:history="1">
        <w:r w:rsidR="00274CA1" w:rsidRPr="00274CA1">
          <w:rPr>
            <w:rStyle w:val="Collegamentoipertestuale"/>
            <w:rFonts w:ascii="Times New Roman" w:hAnsi="Times New Roman"/>
            <w:lang w:val="it-IT"/>
          </w:rPr>
          <w:t>https://doi.org/10.1016/j.desal.2020.114450</w:t>
        </w:r>
      </w:hyperlink>
    </w:p>
    <w:sectPr w:rsidR="00D878C0" w:rsidRPr="00D878C0" w:rsidSect="001D0E0C">
      <w:headerReference w:type="default" r:id="rId13"/>
      <w:head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F839" w14:textId="77777777" w:rsidR="00EF2BF0" w:rsidRDefault="00EF2BF0" w:rsidP="001D0E0C">
      <w:pPr>
        <w:spacing w:after="0" w:line="240" w:lineRule="auto"/>
      </w:pPr>
      <w:r>
        <w:separator/>
      </w:r>
    </w:p>
  </w:endnote>
  <w:endnote w:type="continuationSeparator" w:id="0">
    <w:p w14:paraId="605255E3" w14:textId="77777777" w:rsidR="00EF2BF0" w:rsidRDefault="00EF2BF0" w:rsidP="001D0E0C">
      <w:pPr>
        <w:spacing w:after="0" w:line="240" w:lineRule="auto"/>
      </w:pPr>
      <w:r>
        <w:continuationSeparator/>
      </w:r>
    </w:p>
  </w:endnote>
  <w:endnote w:type="continuationNotice" w:id="1">
    <w:p w14:paraId="39CD01BC" w14:textId="77777777" w:rsidR="00EF4E8B" w:rsidRDefault="00EF4E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92FE" w14:textId="77777777" w:rsidR="00EF2BF0" w:rsidRDefault="00EF2BF0" w:rsidP="001D0E0C">
      <w:pPr>
        <w:spacing w:after="0" w:line="240" w:lineRule="auto"/>
      </w:pPr>
      <w:r>
        <w:separator/>
      </w:r>
    </w:p>
  </w:footnote>
  <w:footnote w:type="continuationSeparator" w:id="0">
    <w:p w14:paraId="4233FFD0" w14:textId="77777777" w:rsidR="00EF2BF0" w:rsidRDefault="00EF2BF0" w:rsidP="001D0E0C">
      <w:pPr>
        <w:spacing w:after="0" w:line="240" w:lineRule="auto"/>
      </w:pPr>
      <w:r>
        <w:continuationSeparator/>
      </w:r>
    </w:p>
  </w:footnote>
  <w:footnote w:type="continuationNotice" w:id="1">
    <w:p w14:paraId="088294DA" w14:textId="77777777" w:rsidR="00EF4E8B" w:rsidRDefault="00EF4E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  <w:lang w:eastAsia="it-IT"/>
      </w:rPr>
      <w:drawing>
        <wp:anchor distT="0" distB="0" distL="114300" distR="114300" simplePos="0" relativeHeight="251658241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(Italy), July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5C9A0A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A3"/>
    <w:rsid w:val="000106E8"/>
    <w:rsid w:val="00013466"/>
    <w:rsid w:val="00016CF8"/>
    <w:rsid w:val="000517B4"/>
    <w:rsid w:val="000579B3"/>
    <w:rsid w:val="000621DE"/>
    <w:rsid w:val="00064090"/>
    <w:rsid w:val="00067018"/>
    <w:rsid w:val="00073FC4"/>
    <w:rsid w:val="000740B6"/>
    <w:rsid w:val="00085C99"/>
    <w:rsid w:val="0008773A"/>
    <w:rsid w:val="00096236"/>
    <w:rsid w:val="000A1BA7"/>
    <w:rsid w:val="000C4890"/>
    <w:rsid w:val="000D056B"/>
    <w:rsid w:val="000D1703"/>
    <w:rsid w:val="000D315D"/>
    <w:rsid w:val="000D5382"/>
    <w:rsid w:val="000D607B"/>
    <w:rsid w:val="000D78CC"/>
    <w:rsid w:val="000E4CDB"/>
    <w:rsid w:val="00104D50"/>
    <w:rsid w:val="001131F1"/>
    <w:rsid w:val="00116B2B"/>
    <w:rsid w:val="0014428D"/>
    <w:rsid w:val="00147852"/>
    <w:rsid w:val="00160E67"/>
    <w:rsid w:val="00161CFA"/>
    <w:rsid w:val="00162246"/>
    <w:rsid w:val="00162FF6"/>
    <w:rsid w:val="001635E6"/>
    <w:rsid w:val="00163AB1"/>
    <w:rsid w:val="00183E42"/>
    <w:rsid w:val="0018504A"/>
    <w:rsid w:val="0018667F"/>
    <w:rsid w:val="001918DB"/>
    <w:rsid w:val="001A3B34"/>
    <w:rsid w:val="001A54BE"/>
    <w:rsid w:val="001B060D"/>
    <w:rsid w:val="001B5C83"/>
    <w:rsid w:val="001C2EF2"/>
    <w:rsid w:val="001C313B"/>
    <w:rsid w:val="001D0E0C"/>
    <w:rsid w:val="001D4259"/>
    <w:rsid w:val="001D4264"/>
    <w:rsid w:val="001D6E61"/>
    <w:rsid w:val="001E3009"/>
    <w:rsid w:val="001E7482"/>
    <w:rsid w:val="001F5830"/>
    <w:rsid w:val="00212EFC"/>
    <w:rsid w:val="002204BD"/>
    <w:rsid w:val="002354CB"/>
    <w:rsid w:val="00250586"/>
    <w:rsid w:val="00256C7D"/>
    <w:rsid w:val="00274BF2"/>
    <w:rsid w:val="00274CA1"/>
    <w:rsid w:val="00280615"/>
    <w:rsid w:val="00286B8D"/>
    <w:rsid w:val="002A1F56"/>
    <w:rsid w:val="002A2AF0"/>
    <w:rsid w:val="002C0E9B"/>
    <w:rsid w:val="002C4078"/>
    <w:rsid w:val="002C7F96"/>
    <w:rsid w:val="002D4225"/>
    <w:rsid w:val="002D4F81"/>
    <w:rsid w:val="00302747"/>
    <w:rsid w:val="00304BFA"/>
    <w:rsid w:val="00313153"/>
    <w:rsid w:val="0031575F"/>
    <w:rsid w:val="00323924"/>
    <w:rsid w:val="0033148E"/>
    <w:rsid w:val="003547E5"/>
    <w:rsid w:val="00370414"/>
    <w:rsid w:val="00381B9A"/>
    <w:rsid w:val="0038226E"/>
    <w:rsid w:val="003867B1"/>
    <w:rsid w:val="003B350A"/>
    <w:rsid w:val="003F160A"/>
    <w:rsid w:val="003F2E33"/>
    <w:rsid w:val="003F34AB"/>
    <w:rsid w:val="003F4CC4"/>
    <w:rsid w:val="004005E8"/>
    <w:rsid w:val="00402674"/>
    <w:rsid w:val="00403144"/>
    <w:rsid w:val="004128DC"/>
    <w:rsid w:val="00414383"/>
    <w:rsid w:val="00416453"/>
    <w:rsid w:val="00421700"/>
    <w:rsid w:val="00424271"/>
    <w:rsid w:val="00425E29"/>
    <w:rsid w:val="00430C4C"/>
    <w:rsid w:val="00433111"/>
    <w:rsid w:val="004431A9"/>
    <w:rsid w:val="00450B6A"/>
    <w:rsid w:val="004813C6"/>
    <w:rsid w:val="00484ECD"/>
    <w:rsid w:val="0049562E"/>
    <w:rsid w:val="004A3895"/>
    <w:rsid w:val="004C56B4"/>
    <w:rsid w:val="004D7570"/>
    <w:rsid w:val="004E2A58"/>
    <w:rsid w:val="004E2B64"/>
    <w:rsid w:val="004E4D13"/>
    <w:rsid w:val="005244C5"/>
    <w:rsid w:val="00530964"/>
    <w:rsid w:val="00531886"/>
    <w:rsid w:val="00535664"/>
    <w:rsid w:val="00541BAF"/>
    <w:rsid w:val="005435C0"/>
    <w:rsid w:val="00560554"/>
    <w:rsid w:val="005658CB"/>
    <w:rsid w:val="00571075"/>
    <w:rsid w:val="00584A2D"/>
    <w:rsid w:val="00592BE9"/>
    <w:rsid w:val="005971B9"/>
    <w:rsid w:val="005A2403"/>
    <w:rsid w:val="005B71B2"/>
    <w:rsid w:val="005C2A12"/>
    <w:rsid w:val="005C6911"/>
    <w:rsid w:val="005C7B3A"/>
    <w:rsid w:val="005E763F"/>
    <w:rsid w:val="00652238"/>
    <w:rsid w:val="00683A62"/>
    <w:rsid w:val="00684BB5"/>
    <w:rsid w:val="00697CD6"/>
    <w:rsid w:val="006A0692"/>
    <w:rsid w:val="006A2923"/>
    <w:rsid w:val="006A2981"/>
    <w:rsid w:val="006B250B"/>
    <w:rsid w:val="006B269E"/>
    <w:rsid w:val="006B3600"/>
    <w:rsid w:val="006D02DE"/>
    <w:rsid w:val="006D2C1D"/>
    <w:rsid w:val="006D4FAA"/>
    <w:rsid w:val="006E5EC3"/>
    <w:rsid w:val="007010B6"/>
    <w:rsid w:val="0070140B"/>
    <w:rsid w:val="00710B0B"/>
    <w:rsid w:val="007252E3"/>
    <w:rsid w:val="007271E9"/>
    <w:rsid w:val="00752BC1"/>
    <w:rsid w:val="0076698F"/>
    <w:rsid w:val="00770F83"/>
    <w:rsid w:val="007753B0"/>
    <w:rsid w:val="007761B3"/>
    <w:rsid w:val="00795B7C"/>
    <w:rsid w:val="00797E0C"/>
    <w:rsid w:val="007A2EE0"/>
    <w:rsid w:val="007B60F4"/>
    <w:rsid w:val="007C573D"/>
    <w:rsid w:val="007D02E3"/>
    <w:rsid w:val="007E79E2"/>
    <w:rsid w:val="007F626D"/>
    <w:rsid w:val="008009F1"/>
    <w:rsid w:val="00806493"/>
    <w:rsid w:val="0080649E"/>
    <w:rsid w:val="00815E44"/>
    <w:rsid w:val="008354F1"/>
    <w:rsid w:val="00842917"/>
    <w:rsid w:val="0085036C"/>
    <w:rsid w:val="00851E7E"/>
    <w:rsid w:val="00860AE0"/>
    <w:rsid w:val="008632F3"/>
    <w:rsid w:val="008650AC"/>
    <w:rsid w:val="008665DA"/>
    <w:rsid w:val="00872345"/>
    <w:rsid w:val="00875760"/>
    <w:rsid w:val="008871B1"/>
    <w:rsid w:val="008B5130"/>
    <w:rsid w:val="008D152F"/>
    <w:rsid w:val="008F13A4"/>
    <w:rsid w:val="008F3CE4"/>
    <w:rsid w:val="008F6C3F"/>
    <w:rsid w:val="00913F8D"/>
    <w:rsid w:val="00920DEA"/>
    <w:rsid w:val="00924E5D"/>
    <w:rsid w:val="009345F6"/>
    <w:rsid w:val="00937285"/>
    <w:rsid w:val="009429E3"/>
    <w:rsid w:val="0094364A"/>
    <w:rsid w:val="00953211"/>
    <w:rsid w:val="00953283"/>
    <w:rsid w:val="00975A97"/>
    <w:rsid w:val="009818C3"/>
    <w:rsid w:val="009952D6"/>
    <w:rsid w:val="009F69D5"/>
    <w:rsid w:val="00A07B3C"/>
    <w:rsid w:val="00A21E8A"/>
    <w:rsid w:val="00A256A8"/>
    <w:rsid w:val="00A3132E"/>
    <w:rsid w:val="00A319D1"/>
    <w:rsid w:val="00A35530"/>
    <w:rsid w:val="00A363FB"/>
    <w:rsid w:val="00A3691A"/>
    <w:rsid w:val="00A73513"/>
    <w:rsid w:val="00A93CFB"/>
    <w:rsid w:val="00A95A0D"/>
    <w:rsid w:val="00AB1801"/>
    <w:rsid w:val="00AB2026"/>
    <w:rsid w:val="00AC0E47"/>
    <w:rsid w:val="00AC1A65"/>
    <w:rsid w:val="00AC1D75"/>
    <w:rsid w:val="00AC468D"/>
    <w:rsid w:val="00AC5D18"/>
    <w:rsid w:val="00B02913"/>
    <w:rsid w:val="00B11C1E"/>
    <w:rsid w:val="00B13F41"/>
    <w:rsid w:val="00B173C8"/>
    <w:rsid w:val="00B21389"/>
    <w:rsid w:val="00B32264"/>
    <w:rsid w:val="00B85FD4"/>
    <w:rsid w:val="00B92B0C"/>
    <w:rsid w:val="00B97319"/>
    <w:rsid w:val="00BB6CB5"/>
    <w:rsid w:val="00BB7AB9"/>
    <w:rsid w:val="00BC729B"/>
    <w:rsid w:val="00BC79DF"/>
    <w:rsid w:val="00BE3445"/>
    <w:rsid w:val="00BE4D93"/>
    <w:rsid w:val="00BE586C"/>
    <w:rsid w:val="00BF7EEB"/>
    <w:rsid w:val="00C044DA"/>
    <w:rsid w:val="00C04B43"/>
    <w:rsid w:val="00C07C70"/>
    <w:rsid w:val="00C10983"/>
    <w:rsid w:val="00C31464"/>
    <w:rsid w:val="00C35AF4"/>
    <w:rsid w:val="00C40840"/>
    <w:rsid w:val="00C53A75"/>
    <w:rsid w:val="00C7340C"/>
    <w:rsid w:val="00C76A51"/>
    <w:rsid w:val="00C865A4"/>
    <w:rsid w:val="00C91C00"/>
    <w:rsid w:val="00C968EB"/>
    <w:rsid w:val="00CA13FD"/>
    <w:rsid w:val="00CA211F"/>
    <w:rsid w:val="00CA4296"/>
    <w:rsid w:val="00CB0E51"/>
    <w:rsid w:val="00CB4412"/>
    <w:rsid w:val="00CC276B"/>
    <w:rsid w:val="00CD3C89"/>
    <w:rsid w:val="00CD789B"/>
    <w:rsid w:val="00CE5A39"/>
    <w:rsid w:val="00CF44F2"/>
    <w:rsid w:val="00CF5D38"/>
    <w:rsid w:val="00D03DB3"/>
    <w:rsid w:val="00D15E4D"/>
    <w:rsid w:val="00D21A05"/>
    <w:rsid w:val="00D322F1"/>
    <w:rsid w:val="00D412A9"/>
    <w:rsid w:val="00D47F63"/>
    <w:rsid w:val="00D551E9"/>
    <w:rsid w:val="00D82283"/>
    <w:rsid w:val="00D878C0"/>
    <w:rsid w:val="00D9102B"/>
    <w:rsid w:val="00D920E1"/>
    <w:rsid w:val="00DA51A3"/>
    <w:rsid w:val="00DC35DF"/>
    <w:rsid w:val="00DC426F"/>
    <w:rsid w:val="00DC7329"/>
    <w:rsid w:val="00DD0907"/>
    <w:rsid w:val="00DD2D8C"/>
    <w:rsid w:val="00DE4021"/>
    <w:rsid w:val="00DE5F27"/>
    <w:rsid w:val="00DE71ED"/>
    <w:rsid w:val="00DF4C20"/>
    <w:rsid w:val="00E11359"/>
    <w:rsid w:val="00E171E6"/>
    <w:rsid w:val="00E22DAD"/>
    <w:rsid w:val="00E33516"/>
    <w:rsid w:val="00E421A3"/>
    <w:rsid w:val="00E63ABC"/>
    <w:rsid w:val="00E67379"/>
    <w:rsid w:val="00E75A7E"/>
    <w:rsid w:val="00E857B8"/>
    <w:rsid w:val="00E85CB6"/>
    <w:rsid w:val="00E85D6F"/>
    <w:rsid w:val="00E9060D"/>
    <w:rsid w:val="00E90ACE"/>
    <w:rsid w:val="00E9281E"/>
    <w:rsid w:val="00EC67D8"/>
    <w:rsid w:val="00EF2BF0"/>
    <w:rsid w:val="00EF4E8B"/>
    <w:rsid w:val="00F24290"/>
    <w:rsid w:val="00F25532"/>
    <w:rsid w:val="00F27267"/>
    <w:rsid w:val="00F363A6"/>
    <w:rsid w:val="00F52B1E"/>
    <w:rsid w:val="00F5667E"/>
    <w:rsid w:val="00F63E29"/>
    <w:rsid w:val="00F70298"/>
    <w:rsid w:val="00F70B8B"/>
    <w:rsid w:val="00F767E8"/>
    <w:rsid w:val="00F7680E"/>
    <w:rsid w:val="00F76898"/>
    <w:rsid w:val="00FA00D9"/>
    <w:rsid w:val="00FC3A6F"/>
    <w:rsid w:val="00FC5A84"/>
    <w:rsid w:val="00FD00D6"/>
    <w:rsid w:val="00FE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B322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gliatabella">
    <w:name w:val="Table Grid"/>
    <w:basedOn w:val="Tabellanormale"/>
    <w:uiPriority w:val="39"/>
    <w:rsid w:val="00A3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1D7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A29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29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298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29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2981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F583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583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41BAF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274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desal.2020.11445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apenergy.2020.1155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obabproject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9BDC-43F1-44E3-BDE0-42E7A0A9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alessandra pellegrino</cp:lastModifiedBy>
  <cp:revision>3</cp:revision>
  <cp:lastPrinted>2022-01-31T11:56:00Z</cp:lastPrinted>
  <dcterms:created xsi:type="dcterms:W3CDTF">2022-03-14T16:40:00Z</dcterms:created>
  <dcterms:modified xsi:type="dcterms:W3CDTF">2022-03-14T17:04:00Z</dcterms:modified>
</cp:coreProperties>
</file>