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4B433EA0" w:rsidR="00DA51A3" w:rsidRPr="00466FFD" w:rsidRDefault="009C4B66" w:rsidP="004D281B">
      <w:pPr>
        <w:snapToGrid w:val="0"/>
        <w:jc w:val="center"/>
        <w:rPr>
          <w:rFonts w:ascii="Times New Roman" w:eastAsia="MS PGothic" w:hAnsi="Times New Roman"/>
          <w:b/>
          <w:bCs/>
          <w:sz w:val="24"/>
          <w:szCs w:val="24"/>
          <w:lang w:val="en-US"/>
        </w:rPr>
      </w:pPr>
      <w:r w:rsidRPr="009C4B66">
        <w:rPr>
          <w:rFonts w:ascii="Times New Roman" w:eastAsia="MS PGothic" w:hAnsi="Times New Roman"/>
          <w:b/>
          <w:bCs/>
          <w:lang w:val="en-US"/>
        </w:rPr>
        <w:t xml:space="preserve">Comparison of kinetic models </w:t>
      </w:r>
      <w:r>
        <w:rPr>
          <w:rFonts w:ascii="Times New Roman" w:eastAsia="MS PGothic" w:hAnsi="Times New Roman"/>
          <w:b/>
          <w:bCs/>
          <w:lang w:val="en-US"/>
        </w:rPr>
        <w:t xml:space="preserve">for </w:t>
      </w:r>
      <w:r w:rsidR="004D281B" w:rsidRPr="009C4B66">
        <w:rPr>
          <w:rFonts w:ascii="Times New Roman" w:eastAsia="MS PGothic" w:hAnsi="Times New Roman"/>
          <w:b/>
          <w:bCs/>
          <w:i/>
          <w:iCs/>
          <w:lang w:val="en-US"/>
        </w:rPr>
        <w:t>Chlorella vulgaris</w:t>
      </w:r>
      <w:r w:rsidR="004D281B" w:rsidRPr="004D281B">
        <w:rPr>
          <w:rFonts w:ascii="Times New Roman" w:eastAsia="MS PGothic" w:hAnsi="Times New Roman"/>
          <w:b/>
          <w:bCs/>
          <w:lang w:val="en-US"/>
        </w:rPr>
        <w:t xml:space="preserve"> growth in mixotrophic culture</w:t>
      </w:r>
      <w:r w:rsidR="004D281B" w:rsidRPr="00466FFD">
        <w:rPr>
          <w:rFonts w:ascii="Times New Roman" w:eastAsia="MS PGothic" w:hAnsi="Times New Roman"/>
          <w:b/>
          <w:bCs/>
          <w:sz w:val="24"/>
          <w:szCs w:val="24"/>
          <w:lang w:val="en-US"/>
        </w:rPr>
        <w:t xml:space="preserve">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492E23AB" w:rsidR="00DA51A3" w:rsidRPr="00FE037B" w:rsidRDefault="004D281B" w:rsidP="009C4B66">
      <w:pPr>
        <w:snapToGrid w:val="0"/>
        <w:jc w:val="center"/>
        <w:rPr>
          <w:rFonts w:ascii="Times New Roman" w:eastAsia="MS PGothic" w:hAnsi="Times New Roman"/>
          <w:sz w:val="24"/>
          <w:szCs w:val="24"/>
        </w:rPr>
      </w:pPr>
      <w:r w:rsidRPr="00FE037B">
        <w:rPr>
          <w:rFonts w:ascii="Times New Roman" w:eastAsia="SimSun" w:hAnsi="Times New Roman"/>
          <w:sz w:val="24"/>
          <w:szCs w:val="24"/>
          <w:u w:val="single"/>
          <w:lang w:eastAsia="zh-CN"/>
        </w:rPr>
        <w:t>Shabnam Mirizadeh</w:t>
      </w:r>
      <w:r w:rsidR="00FE037B" w:rsidRPr="00FE037B">
        <w:rPr>
          <w:rFonts w:ascii="Times New Roman" w:eastAsia="SimSun" w:hAnsi="Times New Roman"/>
          <w:sz w:val="24"/>
          <w:szCs w:val="24"/>
          <w:lang w:eastAsia="zh-CN"/>
        </w:rPr>
        <w:t>*</w:t>
      </w:r>
      <w:r w:rsidR="009C4B66" w:rsidRPr="00FE037B">
        <w:rPr>
          <w:rFonts w:ascii="Times New Roman" w:eastAsia="SimSun" w:hAnsi="Times New Roman"/>
          <w:sz w:val="24"/>
          <w:szCs w:val="24"/>
          <w:lang w:eastAsia="zh-CN"/>
        </w:rPr>
        <w:t>, Alessandro Alberto Casazza, Attilio Converti</w:t>
      </w:r>
      <w:r w:rsidR="009C4B66" w:rsidRPr="00FE037B">
        <w:rPr>
          <w:rFonts w:ascii="Times New Roman" w:eastAsia="SimSun" w:hAnsi="Times New Roman"/>
          <w:sz w:val="24"/>
          <w:szCs w:val="24"/>
          <w:vertAlign w:val="superscript"/>
          <w:lang w:eastAsia="zh-CN"/>
        </w:rPr>
        <w:t xml:space="preserve"> </w:t>
      </w:r>
    </w:p>
    <w:p w14:paraId="7A602332" w14:textId="51FF5237" w:rsidR="00DA51A3" w:rsidRPr="00466FFD" w:rsidRDefault="009C4B66" w:rsidP="009C4B66">
      <w:pPr>
        <w:snapToGrid w:val="0"/>
        <w:spacing w:after="120"/>
        <w:jc w:val="center"/>
        <w:rPr>
          <w:rFonts w:ascii="Times New Roman" w:eastAsia="MS PGothic" w:hAnsi="Times New Roman"/>
          <w:i/>
          <w:iCs/>
          <w:sz w:val="20"/>
          <w:lang w:val="en-US"/>
        </w:rPr>
      </w:pPr>
      <w:r w:rsidRPr="00FE037B">
        <w:rPr>
          <w:rFonts w:ascii="Times New Roman" w:eastAsia="MS PGothic" w:hAnsi="Times New Roman"/>
          <w:i/>
          <w:iCs/>
          <w:sz w:val="20"/>
          <w:lang w:val="en-US"/>
        </w:rPr>
        <w:t>Department of Civil, Chemical and Environmental Engineering (DICCA), University of Genoa, Via Opera Pia 15, 16145 Genoa, Italy</w:t>
      </w:r>
      <w:r w:rsidR="00DA51A3" w:rsidRPr="00466FFD">
        <w:rPr>
          <w:rFonts w:ascii="Times New Roman" w:eastAsia="MS PGothic" w:hAnsi="Times New Roman"/>
          <w:i/>
          <w:iCs/>
          <w:sz w:val="20"/>
          <w:lang w:val="en-US"/>
        </w:rPr>
        <w:t xml:space="preserve"> </w:t>
      </w:r>
    </w:p>
    <w:p w14:paraId="5533360A" w14:textId="5F2057CD" w:rsidR="00DA51A3" w:rsidRPr="009C4B66" w:rsidRDefault="00DA51A3" w:rsidP="009C4B66">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8" w:history="1">
        <w:r w:rsidR="00FE037B" w:rsidRPr="0006298F">
          <w:rPr>
            <w:rStyle w:val="Hyperlink"/>
            <w:rFonts w:ascii="Times New Roman" w:eastAsia="MS PGothic" w:hAnsi="Times New Roman"/>
            <w:bCs/>
            <w:i/>
            <w:iCs/>
            <w:sz w:val="20"/>
            <w:lang w:val="en-US"/>
          </w:rPr>
          <w:t>shabnam.mirizadeh@edu.unige.it</w:t>
        </w:r>
      </w:hyperlink>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58C35D5" w14:textId="607346B5" w:rsidR="00303E16" w:rsidRPr="00FE037B" w:rsidRDefault="004D281B" w:rsidP="004E1653">
      <w:pPr>
        <w:rPr>
          <w:rStyle w:val="fontstyle01"/>
          <w:rFonts w:asciiTheme="majorBidi" w:hAnsiTheme="majorBidi" w:cstheme="majorBidi"/>
          <w:lang w:val="en-US"/>
        </w:rPr>
      </w:pPr>
      <w:r w:rsidRPr="004D281B">
        <w:rPr>
          <w:rFonts w:ascii="Times New Roman" w:eastAsia="MS PGothic" w:hAnsi="Times New Roman"/>
          <w:lang w:val="en-US"/>
        </w:rPr>
        <w:t>In the past few years, microalgae have become a promising candidate for large-scale biodiesel production, which is a solution for carbon dioxide emissions and energy shortages</w:t>
      </w:r>
      <w:r w:rsidR="009C4B66">
        <w:rPr>
          <w:rFonts w:ascii="Times New Roman" w:eastAsia="MS PGothic" w:hAnsi="Times New Roman"/>
          <w:lang w:val="en-US"/>
        </w:rPr>
        <w:t xml:space="preserve"> </w:t>
      </w:r>
      <w:r w:rsidR="009C4B66">
        <w:rPr>
          <w:rFonts w:ascii="Times New Roman" w:eastAsia="MS PGothic" w:hAnsi="Times New Roman"/>
          <w:lang w:val="en-US"/>
        </w:rPr>
        <w:fldChar w:fldCharType="begin" w:fldLock="1"/>
      </w:r>
      <w:r w:rsidR="009C4B66">
        <w:rPr>
          <w:rFonts w:ascii="Times New Roman" w:eastAsia="MS PGothic" w:hAnsi="Times New Roman"/>
          <w:lang w:val="en-US"/>
        </w:rPr>
        <w:instrText>ADDIN CSL_CITATION {"citationItems":[{"id":"ITEM-1","itemData":{"DOI":"https://doi.org/10.1016/j.jclepro.2018.01.125","ISSN":"0959-6526","abstract":"Climate changes induced by anthropogenic greenhouse gas emissions (mainly carbon dioxide) is one of the major threats of the modern era. Primary causes are the high reliance on fossil fuels for power generation, transportation, manufacturing and the intensive land usage (deforestation). The current share of renewable biofuel production in the overall fuel demand has been found insufficient to replace fossil fuels. Microalgae can deliver a sustainable and complementary biofuel platform with some important advantages. This review aims to offer a state-of-the art review of algal biomass conversion methods into various biofuel products, including biodiesel, syngas, biogas, bioethanol. Emerging more sustainable biofuel/bioenergy production technologies are highlighted. Attention is also paid to sustainable cultivation methods, including wastewater treatment and bioremediation to capture CO2 and fix nitrogen and phosphorus, produced from industrial, agricultural and municipal sources. Finally, a light is shed on the important role of algae metabolic engineering.","author":[{"dropping-particle":"","family":"Raheem","given":"Abdul","non-dropping-particle":"","parse-names":false,"suffix":""},{"dropping-particle":"","family":"Prinsen","given":"Pepijn","non-dropping-particle":"","parse-names":false,"suffix":""},{"dropping-particle":"","family":"Vuppaladadiyam","given":"Arun K","non-dropping-particle":"","parse-names":false,"suffix":""},{"dropping-particle":"","family":"Zhao","given":"Ming","non-dropping-particle":"","parse-names":false,"suffix":""},{"dropping-particle":"","family":"Luque","given":"Rafael","non-dropping-particle":"","parse-names":false,"suffix":""}],"container-title":"Journal of Cleaner Production","id":"ITEM-1","issued":{"date-parts":[["2018"]]},"page":"42-59","title":"A review on sustainable microalgae based biofuel and bioenergy production: Recent developments","type":"article-journal","volume":"181"},"uris":["http://www.mendeley.com/documents/?uuid=18358bb1-e3d5-4673-8e31-a3b0f99193cb"]}],"mendeley":{"formattedCitation":"[1]","plainTextFormattedCitation":"[1]","previouslyFormattedCitation":"[1]"},"properties":{"noteIndex":0},"schema":"https://github.com/citation-style-language/schema/raw/master/csl-citation.json"}</w:instrText>
      </w:r>
      <w:r w:rsidR="009C4B66">
        <w:rPr>
          <w:rFonts w:ascii="Times New Roman" w:eastAsia="MS PGothic" w:hAnsi="Times New Roman"/>
          <w:lang w:val="en-US"/>
        </w:rPr>
        <w:fldChar w:fldCharType="separate"/>
      </w:r>
      <w:r w:rsidR="009C4B66" w:rsidRPr="009C4B66">
        <w:rPr>
          <w:rFonts w:ascii="Times New Roman" w:eastAsia="MS PGothic" w:hAnsi="Times New Roman"/>
          <w:noProof/>
          <w:lang w:val="en-US"/>
        </w:rPr>
        <w:t>[1]</w:t>
      </w:r>
      <w:r w:rsidR="009C4B66">
        <w:rPr>
          <w:rFonts w:ascii="Times New Roman" w:eastAsia="MS PGothic" w:hAnsi="Times New Roman"/>
          <w:lang w:val="en-US"/>
        </w:rPr>
        <w:fldChar w:fldCharType="end"/>
      </w:r>
      <w:r w:rsidRPr="004D281B">
        <w:rPr>
          <w:rFonts w:ascii="Times New Roman" w:eastAsia="MS PGothic" w:hAnsi="Times New Roman"/>
          <w:lang w:val="en-US"/>
        </w:rPr>
        <w:t>. Despite many advantages, microalgae biodiesel production has not yet been commercialized due to low lipid productivity and the high cost of feedstock compared to diesel produced from fossil fuels</w:t>
      </w:r>
      <w:r w:rsidR="009C4B66">
        <w:rPr>
          <w:rFonts w:ascii="Times New Roman" w:eastAsia="MS PGothic" w:hAnsi="Times New Roman"/>
          <w:lang w:val="en-US"/>
        </w:rPr>
        <w:t xml:space="preserve"> </w:t>
      </w:r>
      <w:r w:rsidR="009C4B66">
        <w:rPr>
          <w:rFonts w:ascii="Times New Roman" w:eastAsia="MS PGothic" w:hAnsi="Times New Roman"/>
          <w:lang w:val="en-US"/>
        </w:rPr>
        <w:fldChar w:fldCharType="begin" w:fldLock="1"/>
      </w:r>
      <w:r w:rsidR="009C4B66">
        <w:rPr>
          <w:rFonts w:ascii="Times New Roman" w:eastAsia="MS PGothic" w:hAnsi="Times New Roman"/>
          <w:lang w:val="en-US"/>
        </w:rPr>
        <w:instrText>ADDIN CSL_CITATION {"citationItems":[{"id":"ITEM-1","itemData":{"author":[{"dropping-particle":"","family":"Sukahara","given":"Kenichiro T","non-dropping-particle":"","parse-names":false,"suffix":""},{"dropping-particle":"","family":"Awayama","given":"Shigeki S","non-dropping-particle":"","parse-names":false,"suffix":""}],"container-title":"J. Japan Petrol. Inst.","id":"ITEM-1","issue":"5","issued":{"date-parts":[["2005"]]},"page":"251-259","title":"Liquid Fuel Production Using Microalgae","type":"article-journal","volume":"48"},"uris":["http://www.mendeley.com/documents/?uuid=835b3468-b65e-4ac5-91df-3c1e8492d7d1"]}],"mendeley":{"formattedCitation":"[2]","plainTextFormattedCitation":"[2]","previouslyFormattedCitation":"[2]"},"properties":{"noteIndex":0},"schema":"https://github.com/citation-style-language/schema/raw/master/csl-citation.json"}</w:instrText>
      </w:r>
      <w:r w:rsidR="009C4B66">
        <w:rPr>
          <w:rFonts w:ascii="Times New Roman" w:eastAsia="MS PGothic" w:hAnsi="Times New Roman"/>
          <w:lang w:val="en-US"/>
        </w:rPr>
        <w:fldChar w:fldCharType="separate"/>
      </w:r>
      <w:r w:rsidR="009C4B66" w:rsidRPr="009C4B66">
        <w:rPr>
          <w:rFonts w:ascii="Times New Roman" w:eastAsia="MS PGothic" w:hAnsi="Times New Roman"/>
          <w:noProof/>
          <w:lang w:val="en-US"/>
        </w:rPr>
        <w:t>[2]</w:t>
      </w:r>
      <w:r w:rsidR="009C4B66">
        <w:rPr>
          <w:rFonts w:ascii="Times New Roman" w:eastAsia="MS PGothic" w:hAnsi="Times New Roman"/>
          <w:lang w:val="en-US"/>
        </w:rPr>
        <w:fldChar w:fldCharType="end"/>
      </w:r>
      <w:r w:rsidR="009C4B66">
        <w:rPr>
          <w:rFonts w:ascii="Times New Roman" w:eastAsia="MS PGothic" w:hAnsi="Times New Roman"/>
          <w:lang w:val="en-US"/>
        </w:rPr>
        <w:t>.</w:t>
      </w:r>
      <w:r w:rsidRPr="004D281B">
        <w:rPr>
          <w:rFonts w:ascii="Times New Roman" w:eastAsia="MS PGothic" w:hAnsi="Times New Roman"/>
          <w:lang w:val="en-US"/>
        </w:rPr>
        <w:t xml:space="preserve"> Furthermore, biodiesel production from microalgae is highly dependent on the availability of biomass and the scale-up process, which must be</w:t>
      </w:r>
      <w:r w:rsidR="009C4B66">
        <w:rPr>
          <w:rFonts w:ascii="Times New Roman" w:eastAsia="MS PGothic" w:hAnsi="Times New Roman"/>
          <w:lang w:val="en-US"/>
        </w:rPr>
        <w:t xml:space="preserve"> optimized to reduce costs. </w:t>
      </w:r>
      <w:r w:rsidRPr="004D281B">
        <w:rPr>
          <w:rFonts w:ascii="Times New Roman" w:eastAsia="MS PGothic" w:hAnsi="Times New Roman"/>
          <w:lang w:val="en-US"/>
        </w:rPr>
        <w:t xml:space="preserve">Kinetic models simplify designing a bioreactor, controlling microbial processes, and predicting their behavior more easily than laboratory experiments </w:t>
      </w:r>
      <w:r w:rsidR="009C4B66">
        <w:rPr>
          <w:rFonts w:ascii="Times New Roman" w:eastAsia="MS PGothic" w:hAnsi="Times New Roman"/>
          <w:lang w:val="en-US"/>
        </w:rPr>
        <w:fldChar w:fldCharType="begin" w:fldLock="1"/>
      </w:r>
      <w:r w:rsidR="009C4B66">
        <w:rPr>
          <w:rFonts w:ascii="Times New Roman" w:eastAsia="MS PGothic" w:hAnsi="Times New Roman"/>
          <w:lang w:val="en-US"/>
        </w:rPr>
        <w:instrText>ADDIN CSL_CITATION {"citationItems":[{"id":"ITEM-1","itemData":{"DOI":"10.1007/s13205-014-0264-3","ISSN":"21905738","PMID":"28324516","abstract":"A mathematical modeling of microalgae biomass is an essential step to optimize the biomass and lipid production rate and to reduce the cost of microalgal bio-diesel production system. In the present study, kinetic studies were carried out to describe the growth and neutral lipid production of two marine microalgae Chlorella salina and Nannochloropsis oculata under the nitrogen-repleted and depleted conditions using logistic and Luedeking– Piret equations. This research paper provides the infor- mation on mathematically efficient procedure to predict suitable environment condition for biomass and lipid production. The predicted results were compared with exper- imental data, which showed that this model closely agreed with simulated results. From this investigation, it was found that nitrogen was an essential nutrient for algal growth, which increased under nitrogen-rich condition, whereas during nitrogen-limited condition some loss in growth was observed but with increased lipid content. Since metabolic changes occurred under nitrogen- depleted state, the protein and carbohydrate pathways were shifted to lipid biosynthesis.","author":[{"dropping-particle":"","family":"Surendhiran","given":"D.","non-dropping-particle":"","parse-names":false,"suffix":""},{"dropping-particle":"","family":"Vijay","given":"M.","non-dropping-particle":"","parse-names":false,"suffix":""},{"dropping-particle":"","family":"Sivaprakash","given":"B.","non-dropping-particle":"","parse-names":false,"suffix":""},{"dropping-particle":"","family":"Sirajunnisa","given":"A.","non-dropping-particle":"","parse-names":false,"suffix":""}],"container-title":"3 Biotech","id":"ITEM-1","issue":"5","issued":{"date-parts":[["2015"]]},"page":"663-669","title":"Kinetic modeling of microalgal growth and lipid synthesis for biodiesel production","type":"article-journal","volume":"5"},"uris":["http://www.mendeley.com/documents/?uuid=07b7535c-12d2-4f20-b0c3-ee381c78a7f9"]}],"mendeley":{"formattedCitation":"[3]","plainTextFormattedCitation":"[3]","previouslyFormattedCitation":"[3]"},"properties":{"noteIndex":0},"schema":"https://github.com/citation-style-language/schema/raw/master/csl-citation.json"}</w:instrText>
      </w:r>
      <w:r w:rsidR="009C4B66">
        <w:rPr>
          <w:rFonts w:ascii="Times New Roman" w:eastAsia="MS PGothic" w:hAnsi="Times New Roman"/>
          <w:lang w:val="en-US"/>
        </w:rPr>
        <w:fldChar w:fldCharType="separate"/>
      </w:r>
      <w:r w:rsidR="009C4B66" w:rsidRPr="009C4B66">
        <w:rPr>
          <w:rFonts w:ascii="Times New Roman" w:eastAsia="MS PGothic" w:hAnsi="Times New Roman"/>
          <w:noProof/>
          <w:lang w:val="en-US"/>
        </w:rPr>
        <w:t>[3]</w:t>
      </w:r>
      <w:r w:rsidR="009C4B66">
        <w:rPr>
          <w:rFonts w:ascii="Times New Roman" w:eastAsia="MS PGothic" w:hAnsi="Times New Roman"/>
          <w:lang w:val="en-US"/>
        </w:rPr>
        <w:fldChar w:fldCharType="end"/>
      </w:r>
      <w:r w:rsidR="009C4B66">
        <w:rPr>
          <w:rFonts w:ascii="Times New Roman" w:eastAsia="MS PGothic" w:hAnsi="Times New Roman"/>
          <w:lang w:val="en-US"/>
        </w:rPr>
        <w:t>.</w:t>
      </w:r>
      <w:r w:rsidRPr="004D281B">
        <w:rPr>
          <w:rFonts w:ascii="Times New Roman" w:eastAsia="MS PGothic" w:hAnsi="Times New Roman"/>
          <w:lang w:val="en-US"/>
        </w:rPr>
        <w:t xml:space="preserve"> Few reports are available on kinetic modeling of algae growth and lipid production under mixotrophic conditions. The Luedeking-Piret equation can adequately explain microalgae growth kinetics. It is an unstructured model, and growth and non-growth related contributions are combined towards product formation</w:t>
      </w:r>
      <w:r w:rsidR="009C4B66">
        <w:rPr>
          <w:rFonts w:ascii="Times New Roman" w:eastAsia="MS PGothic" w:hAnsi="Times New Roman"/>
          <w:lang w:val="en-US"/>
        </w:rPr>
        <w:t xml:space="preserve"> </w:t>
      </w:r>
      <w:r w:rsidR="009C4B66">
        <w:rPr>
          <w:rFonts w:ascii="Times New Roman" w:eastAsia="MS PGothic" w:hAnsi="Times New Roman"/>
          <w:lang w:val="en-US"/>
        </w:rPr>
        <w:fldChar w:fldCharType="begin" w:fldLock="1"/>
      </w:r>
      <w:r w:rsidR="009C4B66">
        <w:rPr>
          <w:rFonts w:ascii="Times New Roman" w:eastAsia="MS PGothic" w:hAnsi="Times New Roman"/>
          <w:lang w:val="en-US"/>
        </w:rPr>
        <w:instrText>ADDIN CSL_CITATION {"citationItems":[{"id":"ITEM-1","itemData":{"DOI":"10.1016/j.seta.2016.09.004","ISSN":"22131388","abstract":"Madhuca indica (Mahua flowers) abundantly available in tropical region of India was used to produce bioethanol using Saccharomyces cerevisiae in batch fermentation process. The experiments were investigated at three different initial substrate concentrations at 30 °C for 96 h maintaining pH at 5. A regression analysis on various kinetic models was performed to illustrate the concentration – time evolutions. Each model was analyzed to determine the various constraints like R2, R2adjusted, root mean square deviation (RMSD) and variances for different experimental runs. 4th order Runge-Kutta method was employed to obtain the performance curves to predict its compatibility with experimental profiles. Hinshelwood model fits the concentration time profile most satisfactorily and can predict the bioethanol yield within acceptable error range. Hence, the Hinshelwood model could be applied to predict the bioethanol yield and describe the kinetics of batch fermentation of Madhuca indica.","author":[{"dropping-particle":"","family":"Halder","given":"Gopinath","non-dropping-particle":"","parse-names":false,"suffix":""},{"dropping-particle":"","family":"Dhawane","given":"Sumit H.","non-dropping-particle":"","parse-names":false,"suffix":""},{"dropping-particle":"","family":"Dutta","given":"Debaprasad","non-dropping-particle":"","parse-names":false,"suffix":""},{"dropping-particle":"","family":"Dey","given":"Sohan","non-dropping-particle":"","parse-names":false,"suffix":""},{"dropping-particle":"","family":"Banerjee","given":"Soumya","non-dropping-particle":"","parse-names":false,"suffix":""},{"dropping-particle":"","family":"Mukherjee","given":"Shraboni","non-dropping-particle":"","parse-names":false,"suffix":""},{"dropping-particle":"","family":"Mondal","given":"Madhumanti","non-dropping-particle":"","parse-names":false,"suffix":""}],"container-title":"Sustainable Energy Technologies and Assessments","id":"ITEM-1","issued":{"date-parts":[["2016"]]},"page":"16-33","publisher":"Elsevier Ltd","title":"Computational simulation and statistical analysis of bioethanol production from Madhuca indica by batch fermentation process using Saccharomycescerevisiae","type":"article-journal","volume":"18"},"uris":["http://www.mendeley.com/documents/?uuid=21d2f5c0-9704-453d-ae51-36258f4ce7bd"]}],"mendeley":{"formattedCitation":"[4]","plainTextFormattedCitation":"[4]","previouslyFormattedCitation":"[4]"},"properties":{"noteIndex":0},"schema":"https://github.com/citation-style-language/schema/raw/master/csl-citation.json"}</w:instrText>
      </w:r>
      <w:r w:rsidR="009C4B66">
        <w:rPr>
          <w:rFonts w:ascii="Times New Roman" w:eastAsia="MS PGothic" w:hAnsi="Times New Roman"/>
          <w:lang w:val="en-US"/>
        </w:rPr>
        <w:fldChar w:fldCharType="separate"/>
      </w:r>
      <w:r w:rsidR="009C4B66" w:rsidRPr="009C4B66">
        <w:rPr>
          <w:rFonts w:ascii="Times New Roman" w:eastAsia="MS PGothic" w:hAnsi="Times New Roman"/>
          <w:noProof/>
          <w:lang w:val="en-US"/>
        </w:rPr>
        <w:t>[4]</w:t>
      </w:r>
      <w:r w:rsidR="009C4B66">
        <w:rPr>
          <w:rFonts w:ascii="Times New Roman" w:eastAsia="MS PGothic" w:hAnsi="Times New Roman"/>
          <w:lang w:val="en-US"/>
        </w:rPr>
        <w:fldChar w:fldCharType="end"/>
      </w:r>
      <w:r w:rsidRPr="004D281B">
        <w:rPr>
          <w:rFonts w:ascii="Times New Roman" w:eastAsia="MS PGothic" w:hAnsi="Times New Roman"/>
          <w:lang w:val="en-US"/>
        </w:rPr>
        <w:t xml:space="preserve">. In this study, </w:t>
      </w:r>
      <w:proofErr w:type="gramStart"/>
      <w:r w:rsidR="009C4B66" w:rsidRPr="009C4B66">
        <w:rPr>
          <w:rFonts w:ascii="Times New Roman" w:eastAsia="MS PGothic" w:hAnsi="Times New Roman"/>
          <w:lang w:val="en-US"/>
        </w:rPr>
        <w:t>g</w:t>
      </w:r>
      <w:r w:rsidR="004E1653">
        <w:rPr>
          <w:rFonts w:ascii="Times New Roman" w:eastAsia="MS PGothic" w:hAnsi="Times New Roman"/>
          <w:lang w:val="en-US"/>
        </w:rPr>
        <w:t>rowth</w:t>
      </w:r>
      <w:proofErr w:type="gramEnd"/>
      <w:r w:rsidR="004E1653">
        <w:rPr>
          <w:rFonts w:ascii="Times New Roman" w:eastAsia="MS PGothic" w:hAnsi="Times New Roman"/>
          <w:lang w:val="en-US"/>
        </w:rPr>
        <w:t xml:space="preserve"> and substrate consumption</w:t>
      </w:r>
      <w:r w:rsidRPr="004D281B">
        <w:rPr>
          <w:rFonts w:ascii="Times New Roman" w:eastAsia="MS PGothic" w:hAnsi="Times New Roman"/>
          <w:lang w:val="en-US"/>
        </w:rPr>
        <w:t xml:space="preserve"> kinetics</w:t>
      </w:r>
      <w:r w:rsidR="009C4B66">
        <w:rPr>
          <w:rFonts w:ascii="Times New Roman" w:eastAsia="MS PGothic" w:hAnsi="Times New Roman"/>
          <w:lang w:val="en-US"/>
        </w:rPr>
        <w:t xml:space="preserve"> of </w:t>
      </w:r>
      <w:r w:rsidR="009C4B66" w:rsidRPr="009C4B66">
        <w:rPr>
          <w:rFonts w:ascii="Times New Roman" w:eastAsia="MS PGothic" w:hAnsi="Times New Roman"/>
          <w:i/>
          <w:iCs/>
          <w:lang w:val="en-US"/>
        </w:rPr>
        <w:t>Chlorella vulg</w:t>
      </w:r>
      <w:r w:rsidR="009C4B66" w:rsidRPr="004D281B">
        <w:rPr>
          <w:rFonts w:ascii="Times New Roman" w:eastAsia="MS PGothic" w:hAnsi="Times New Roman"/>
          <w:lang w:val="en-US"/>
        </w:rPr>
        <w:t>aris</w:t>
      </w:r>
      <w:r w:rsidRPr="004D281B">
        <w:rPr>
          <w:rFonts w:ascii="Times New Roman" w:eastAsia="MS PGothic" w:hAnsi="Times New Roman"/>
          <w:lang w:val="en-US"/>
        </w:rPr>
        <w:t xml:space="preserve"> were modeled according to the distinguished Ludeking-Piret mathematical model with </w:t>
      </w:r>
      <w:r w:rsidR="009C4B66">
        <w:rPr>
          <w:rFonts w:ascii="Times New Roman" w:eastAsia="MS PGothic" w:hAnsi="Times New Roman"/>
          <w:lang w:val="en-US"/>
        </w:rPr>
        <w:t>four</w:t>
      </w:r>
      <w:r w:rsidRPr="004D281B">
        <w:rPr>
          <w:rFonts w:ascii="Times New Roman" w:eastAsia="MS PGothic" w:hAnsi="Times New Roman"/>
          <w:lang w:val="en-US"/>
        </w:rPr>
        <w:t xml:space="preserve"> different kinetics of Monod, Logistic, Tessier</w:t>
      </w:r>
      <w:r w:rsidR="009C4B66">
        <w:rPr>
          <w:rFonts w:ascii="Times New Roman" w:eastAsia="MS PGothic" w:hAnsi="Times New Roman"/>
          <w:lang w:val="en-US"/>
        </w:rPr>
        <w:t>, and</w:t>
      </w:r>
      <w:r w:rsidRPr="004D281B">
        <w:rPr>
          <w:rFonts w:ascii="Times New Roman" w:eastAsia="MS PGothic" w:hAnsi="Times New Roman"/>
          <w:lang w:val="en-US"/>
        </w:rPr>
        <w:t xml:space="preserve"> Bolton. Different parameters of K</w:t>
      </w:r>
      <w:r w:rsidRPr="009C4B66">
        <w:rPr>
          <w:rFonts w:ascii="Times New Roman" w:eastAsia="MS PGothic" w:hAnsi="Times New Roman"/>
          <w:vertAlign w:val="subscript"/>
          <w:lang w:val="en-US"/>
        </w:rPr>
        <w:t>S</w:t>
      </w:r>
      <w:r w:rsidRPr="004D281B">
        <w:rPr>
          <w:rFonts w:ascii="Times New Roman" w:eastAsia="MS PGothic" w:hAnsi="Times New Roman"/>
          <w:lang w:val="en-US"/>
        </w:rPr>
        <w:t>, K</w:t>
      </w:r>
      <w:r w:rsidRPr="009C4B66">
        <w:rPr>
          <w:rFonts w:ascii="Times New Roman" w:eastAsia="MS PGothic" w:hAnsi="Times New Roman"/>
          <w:vertAlign w:val="subscript"/>
          <w:lang w:val="en-US"/>
        </w:rPr>
        <w:t>P</w:t>
      </w:r>
      <w:r w:rsidRPr="004D281B">
        <w:rPr>
          <w:rFonts w:ascii="Times New Roman" w:eastAsia="MS PGothic" w:hAnsi="Times New Roman"/>
          <w:lang w:val="en-US"/>
        </w:rPr>
        <w:t>, µ</w:t>
      </w:r>
      <w:r w:rsidRPr="009C4B66">
        <w:rPr>
          <w:rFonts w:ascii="Times New Roman" w:eastAsia="MS PGothic" w:hAnsi="Times New Roman"/>
          <w:vertAlign w:val="subscript"/>
          <w:lang w:val="en-US"/>
        </w:rPr>
        <w:t>max</w:t>
      </w:r>
      <w:r w:rsidRPr="004D281B">
        <w:rPr>
          <w:rFonts w:ascii="Times New Roman" w:eastAsia="MS PGothic" w:hAnsi="Times New Roman"/>
          <w:lang w:val="en-US"/>
        </w:rPr>
        <w:t>, Y</w:t>
      </w:r>
      <w:r w:rsidRPr="009C4B66">
        <w:rPr>
          <w:rFonts w:ascii="Times New Roman" w:eastAsia="MS PGothic" w:hAnsi="Times New Roman"/>
          <w:vertAlign w:val="subscript"/>
          <w:lang w:val="en-US"/>
        </w:rPr>
        <w:t>X/S</w:t>
      </w:r>
      <w:r w:rsidRPr="004D281B">
        <w:rPr>
          <w:rFonts w:ascii="Times New Roman" w:eastAsia="MS PGothic" w:hAnsi="Times New Roman"/>
          <w:lang w:val="en-US"/>
        </w:rPr>
        <w:t>, Y</w:t>
      </w:r>
      <w:r w:rsidRPr="009C4B66">
        <w:rPr>
          <w:rFonts w:ascii="Times New Roman" w:eastAsia="MS PGothic" w:hAnsi="Times New Roman"/>
          <w:vertAlign w:val="subscript"/>
          <w:lang w:val="en-US"/>
        </w:rPr>
        <w:t>P/S</w:t>
      </w:r>
      <w:r w:rsidRPr="004D281B">
        <w:rPr>
          <w:rFonts w:ascii="Times New Roman" w:eastAsia="MS PGothic" w:hAnsi="Times New Roman"/>
          <w:lang w:val="en-US"/>
        </w:rPr>
        <w:t xml:space="preserve">, α, and β were estimated to obtain the most meaningful results and the most efficient model to describe growth, lipid production, and </w:t>
      </w:r>
      <w:r w:rsidR="009C4B66" w:rsidRPr="004D281B">
        <w:rPr>
          <w:rFonts w:ascii="Times New Roman" w:eastAsia="MS PGothic" w:hAnsi="Times New Roman"/>
          <w:lang w:val="en-US"/>
        </w:rPr>
        <w:t>substr</w:t>
      </w:r>
      <w:r w:rsidR="009C4B66">
        <w:rPr>
          <w:rFonts w:ascii="Times New Roman" w:eastAsia="MS PGothic" w:hAnsi="Times New Roman"/>
          <w:lang w:val="en-US"/>
        </w:rPr>
        <w:t>ate</w:t>
      </w:r>
      <w:r w:rsidRPr="004D281B">
        <w:rPr>
          <w:rFonts w:ascii="Times New Roman" w:eastAsia="MS PGothic" w:hAnsi="Times New Roman"/>
          <w:lang w:val="en-US"/>
        </w:rPr>
        <w:t xml:space="preserve"> consumption.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544DEF13" w14:textId="77777777" w:rsidR="009C4B66" w:rsidRPr="00FE037B" w:rsidRDefault="009C4B66" w:rsidP="009C4B66">
      <w:pPr>
        <w:spacing w:after="0" w:line="240" w:lineRule="auto"/>
        <w:rPr>
          <w:lang w:val="en-US"/>
        </w:rPr>
      </w:pPr>
      <w:r w:rsidRPr="00FE037B">
        <w:rPr>
          <w:rFonts w:asciiTheme="majorBidi" w:hAnsiTheme="majorBidi" w:cstheme="majorBidi"/>
          <w:i/>
          <w:iCs/>
          <w:color w:val="131413"/>
          <w:lang w:val="en-US"/>
        </w:rPr>
        <w:t>C. vulgaris </w:t>
      </w:r>
      <w:r w:rsidRPr="00FE037B">
        <w:rPr>
          <w:rFonts w:asciiTheme="majorBidi" w:hAnsiTheme="majorBidi" w:cstheme="majorBidi"/>
          <w:color w:val="131413"/>
          <w:lang w:val="en-US"/>
        </w:rPr>
        <w:t>was grown in a synthetic medium with 480 mg L</w:t>
      </w:r>
      <w:r w:rsidRPr="00FE037B">
        <w:rPr>
          <w:rFonts w:asciiTheme="majorBidi" w:hAnsiTheme="majorBidi" w:cstheme="majorBidi"/>
          <w:color w:val="131413"/>
          <w:vertAlign w:val="superscript"/>
          <w:lang w:val="en-US"/>
        </w:rPr>
        <w:t>-1</w:t>
      </w:r>
      <w:r w:rsidRPr="00FE037B">
        <w:rPr>
          <w:rFonts w:asciiTheme="majorBidi" w:hAnsiTheme="majorBidi" w:cstheme="majorBidi"/>
          <w:color w:val="131413"/>
          <w:lang w:val="en-US"/>
        </w:rPr>
        <w:t xml:space="preserve"> COD (chemical oxygen demand), 200 mg L</w:t>
      </w:r>
      <w:r w:rsidRPr="00FE037B">
        <w:rPr>
          <w:rFonts w:asciiTheme="majorBidi" w:hAnsiTheme="majorBidi" w:cstheme="majorBidi"/>
          <w:color w:val="131413"/>
          <w:vertAlign w:val="superscript"/>
          <w:lang w:val="en-US"/>
        </w:rPr>
        <w:t>-1</w:t>
      </w:r>
      <w:r w:rsidRPr="00FE037B">
        <w:rPr>
          <w:rFonts w:asciiTheme="majorBidi" w:hAnsiTheme="majorBidi" w:cstheme="majorBidi"/>
          <w:color w:val="131413"/>
          <w:lang w:val="en-US"/>
        </w:rPr>
        <w:t xml:space="preserve"> TN (total nitrogen), and 14 mg L</w:t>
      </w:r>
      <w:r w:rsidRPr="00FE037B">
        <w:rPr>
          <w:rFonts w:asciiTheme="majorBidi" w:hAnsiTheme="majorBidi" w:cstheme="majorBidi"/>
          <w:color w:val="131413"/>
          <w:vertAlign w:val="superscript"/>
          <w:lang w:val="en-US"/>
        </w:rPr>
        <w:t>-1</w:t>
      </w:r>
      <w:r w:rsidRPr="00FE037B">
        <w:rPr>
          <w:rFonts w:asciiTheme="majorBidi" w:hAnsiTheme="majorBidi" w:cstheme="majorBidi"/>
          <w:color w:val="131413"/>
          <w:lang w:val="en-US"/>
        </w:rPr>
        <w:t xml:space="preserve"> TP (total phosphorus) for 12 days. Samples of the culture were centrifuged, and supernatants were analyzed for COD, TN, and TP [5]. Total lipids were determined according to the modified Bligh and Dyer method [6].</w:t>
      </w:r>
    </w:p>
    <w:p w14:paraId="0AF90FD0" w14:textId="4CD97E66" w:rsidR="009C4B66" w:rsidRPr="00FE037B" w:rsidRDefault="009C4B66" w:rsidP="009C4B66">
      <w:pPr>
        <w:spacing w:line="240" w:lineRule="auto"/>
        <w:rPr>
          <w:lang w:val="en-US"/>
        </w:rPr>
      </w:pPr>
      <w:r w:rsidRPr="00FE037B">
        <w:rPr>
          <w:rFonts w:asciiTheme="majorBidi" w:hAnsiTheme="majorBidi" w:cstheme="majorBidi"/>
          <w:color w:val="131413"/>
          <w:lang w:val="en-US"/>
        </w:rPr>
        <w:t xml:space="preserve">The growth, product, and consumption of substrates (COD, TN, and TP) were predicted according to equations (1), (2), and (3). Equations (2) and (3) are known as </w:t>
      </w:r>
      <w:proofErr w:type="spellStart"/>
      <w:r w:rsidRPr="00FE037B">
        <w:rPr>
          <w:rFonts w:asciiTheme="majorBidi" w:hAnsiTheme="majorBidi" w:cstheme="majorBidi"/>
          <w:color w:val="131413"/>
          <w:lang w:val="en-US"/>
        </w:rPr>
        <w:t>Luedeking</w:t>
      </w:r>
      <w:proofErr w:type="spellEnd"/>
      <w:r w:rsidRPr="00FE037B">
        <w:rPr>
          <w:rFonts w:asciiTheme="majorBidi" w:hAnsiTheme="majorBidi" w:cstheme="majorBidi"/>
          <w:color w:val="131413"/>
          <w:lang w:val="en-US"/>
        </w:rPr>
        <w:t>-Piret equations.</w:t>
      </w:r>
    </w:p>
    <w:p w14:paraId="3137C8D4" w14:textId="1B8FF9C5" w:rsidR="006A44E5" w:rsidRDefault="009C4B66" w:rsidP="009C4B66">
      <w:pPr>
        <w:ind w:hanging="1"/>
        <w:jc w:val="both"/>
        <w:rPr>
          <w:rFonts w:asciiTheme="majorBidi" w:hAnsiTheme="majorBidi" w:cstheme="majorBidi"/>
          <w:lang w:val="en-US"/>
        </w:rPr>
      </w:pPr>
      <w:r w:rsidRPr="00FE037B">
        <w:rPr>
          <w:rFonts w:asciiTheme="majorBidi" w:hAnsiTheme="majorBidi" w:cstheme="majorBidi"/>
          <w:lang w:val="en-US" w:bidi="fa-IR"/>
        </w:rPr>
        <w:t xml:space="preserve">   </w:t>
      </w:r>
      <m:oMath>
        <m:f>
          <m:fPr>
            <m:ctrlPr>
              <w:rPr>
                <w:rFonts w:ascii="Cambria Math" w:hAnsi="Cambria Math" w:cstheme="majorBidi"/>
                <w:lang w:bidi="fa-IR"/>
              </w:rPr>
            </m:ctrlPr>
          </m:fPr>
          <m:num>
            <m:r>
              <m:rPr>
                <m:sty m:val="p"/>
              </m:rPr>
              <w:rPr>
                <w:rFonts w:ascii="Cambria Math" w:hAnsi="Cambria Math" w:cstheme="majorBidi"/>
                <w:lang w:val="en-US" w:bidi="fa-IR"/>
              </w:rPr>
              <m:t>dX</m:t>
            </m:r>
          </m:num>
          <m:den>
            <m:r>
              <m:rPr>
                <m:sty m:val="p"/>
              </m:rPr>
              <w:rPr>
                <w:rFonts w:ascii="Cambria Math" w:hAnsi="Cambria Math" w:cstheme="majorBidi"/>
                <w:lang w:val="en-US" w:bidi="fa-IR"/>
              </w:rPr>
              <m:t>dt</m:t>
            </m:r>
          </m:den>
        </m:f>
        <m:r>
          <m:rPr>
            <m:sty m:val="p"/>
          </m:rPr>
          <w:rPr>
            <w:rFonts w:ascii="Cambria Math" w:hAnsi="Cambria Math" w:cstheme="majorBidi"/>
            <w:lang w:val="en-US" w:bidi="fa-IR"/>
          </w:rPr>
          <m:t>=</m:t>
        </m:r>
        <m:r>
          <m:rPr>
            <m:sty m:val="p"/>
          </m:rPr>
          <w:rPr>
            <w:rFonts w:ascii="Cambria Math" w:hAnsi="Cambria Math" w:cstheme="majorBidi"/>
            <w:lang w:bidi="fa-IR"/>
          </w:rPr>
          <m:t>μ</m:t>
        </m:r>
        <m:r>
          <m:rPr>
            <m:sty m:val="p"/>
          </m:rPr>
          <w:rPr>
            <w:rFonts w:ascii="Cambria Math" w:hAnsi="Cambria Math" w:cstheme="majorBidi"/>
            <w:lang w:val="en-US" w:bidi="fa-IR"/>
          </w:rPr>
          <m:t>X</m:t>
        </m:r>
      </m:oMath>
      <w:r w:rsidRPr="00FE037B">
        <w:rPr>
          <w:rFonts w:asciiTheme="majorBidi" w:hAnsiTheme="majorBidi" w:cstheme="majorBidi"/>
          <w:lang w:val="en-US" w:bidi="fa-IR"/>
        </w:rPr>
        <w:t xml:space="preserve">    </w:t>
      </w:r>
      <w:r w:rsidR="006A44E5">
        <w:rPr>
          <w:rFonts w:asciiTheme="majorBidi" w:hAnsiTheme="majorBidi" w:cstheme="majorBidi"/>
          <w:lang w:val="en-US" w:bidi="fa-IR"/>
        </w:rPr>
        <w:tab/>
      </w:r>
      <w:r w:rsidR="006A44E5">
        <w:rPr>
          <w:rFonts w:asciiTheme="majorBidi" w:hAnsiTheme="majorBidi" w:cstheme="majorBidi"/>
          <w:lang w:val="en-US" w:bidi="fa-IR"/>
        </w:rPr>
        <w:tab/>
      </w:r>
      <w:r w:rsidR="006A44E5">
        <w:rPr>
          <w:rFonts w:asciiTheme="majorBidi" w:hAnsiTheme="majorBidi" w:cstheme="majorBidi"/>
          <w:lang w:val="en-US" w:bidi="fa-IR"/>
        </w:rPr>
        <w:tab/>
      </w:r>
      <w:r w:rsidR="006A44E5">
        <w:rPr>
          <w:rFonts w:asciiTheme="majorBidi" w:hAnsiTheme="majorBidi" w:cstheme="majorBidi"/>
          <w:lang w:val="en-US" w:bidi="fa-IR"/>
        </w:rPr>
        <w:tab/>
      </w:r>
      <w:r w:rsidR="006A44E5">
        <w:rPr>
          <w:rFonts w:asciiTheme="majorBidi" w:hAnsiTheme="majorBidi" w:cstheme="majorBidi"/>
          <w:lang w:val="en-US" w:bidi="fa-IR"/>
        </w:rPr>
        <w:tab/>
      </w:r>
      <w:r w:rsidR="006A44E5">
        <w:rPr>
          <w:rFonts w:asciiTheme="majorBidi" w:hAnsiTheme="majorBidi" w:cstheme="majorBidi"/>
          <w:lang w:val="en-US" w:bidi="fa-IR"/>
        </w:rPr>
        <w:tab/>
      </w:r>
      <w:r w:rsidR="006A44E5">
        <w:rPr>
          <w:rFonts w:asciiTheme="majorBidi" w:hAnsiTheme="majorBidi" w:cstheme="majorBidi"/>
          <w:lang w:val="en-US" w:bidi="fa-IR"/>
        </w:rPr>
        <w:tab/>
      </w:r>
      <w:r w:rsidRPr="00FE037B">
        <w:rPr>
          <w:rFonts w:asciiTheme="majorBidi" w:hAnsiTheme="majorBidi" w:cstheme="majorBidi"/>
          <w:lang w:val="en-US" w:bidi="fa-IR"/>
        </w:rPr>
        <w:t xml:space="preserve"> </w:t>
      </w:r>
      <w:r w:rsidRPr="00FE037B">
        <w:rPr>
          <w:rFonts w:asciiTheme="majorBidi" w:hAnsiTheme="majorBidi" w:cstheme="majorBidi"/>
          <w:lang w:val="en-US"/>
        </w:rPr>
        <w:t xml:space="preserve">(1)     </w:t>
      </w:r>
    </w:p>
    <w:p w14:paraId="2300AB9D" w14:textId="00030EF9" w:rsidR="006A44E5" w:rsidRDefault="009C4B66" w:rsidP="009C4B66">
      <w:pPr>
        <w:ind w:hanging="1"/>
        <w:jc w:val="both"/>
        <w:rPr>
          <w:rFonts w:asciiTheme="majorBidi" w:hAnsiTheme="majorBidi" w:cstheme="majorBidi"/>
          <w:iCs/>
          <w:lang w:val="en-US" w:bidi="fa-IR"/>
        </w:rPr>
      </w:pPr>
      <w:r w:rsidRPr="00FE037B">
        <w:rPr>
          <w:rFonts w:asciiTheme="majorBidi" w:hAnsiTheme="majorBidi" w:cstheme="majorBidi"/>
          <w:lang w:val="en-US"/>
        </w:rPr>
        <w:t xml:space="preserve">   </w:t>
      </w:r>
      <m:oMath>
        <m:r>
          <w:rPr>
            <w:rFonts w:ascii="Cambria Math" w:hAnsi="Cambria Math" w:cstheme="majorBidi"/>
            <w:lang w:val="en-US" w:bidi="fa-IR"/>
          </w:rPr>
          <m:t xml:space="preserve">  </m:t>
        </m:r>
        <m:f>
          <m:fPr>
            <m:ctrlPr>
              <w:rPr>
                <w:rFonts w:ascii="Cambria Math" w:hAnsi="Cambria Math" w:cstheme="majorBidi"/>
                <w:lang w:bidi="fa-IR"/>
              </w:rPr>
            </m:ctrlPr>
          </m:fPr>
          <m:num>
            <m:r>
              <m:rPr>
                <m:sty m:val="p"/>
              </m:rPr>
              <w:rPr>
                <w:rFonts w:ascii="Cambria Math" w:hAnsi="Cambria Math" w:cstheme="majorBidi"/>
                <w:lang w:val="en-US" w:bidi="fa-IR"/>
              </w:rPr>
              <m:t>dP</m:t>
            </m:r>
          </m:num>
          <m:den>
            <m:r>
              <m:rPr>
                <m:sty m:val="p"/>
              </m:rPr>
              <w:rPr>
                <w:rFonts w:ascii="Cambria Math" w:hAnsi="Cambria Math" w:cstheme="majorBidi"/>
                <w:lang w:val="en-US" w:bidi="fa-IR"/>
              </w:rPr>
              <m:t>dt</m:t>
            </m:r>
          </m:den>
        </m:f>
        <m:r>
          <m:rPr>
            <m:sty m:val="p"/>
          </m:rPr>
          <w:rPr>
            <w:rFonts w:ascii="Cambria Math" w:hAnsi="Cambria Math" w:cstheme="majorBidi"/>
            <w:lang w:val="en-US" w:bidi="fa-IR"/>
          </w:rPr>
          <m:t>=∝</m:t>
        </m:r>
        <m:d>
          <m:dPr>
            <m:ctrlPr>
              <w:rPr>
                <w:rFonts w:ascii="Cambria Math" w:hAnsi="Cambria Math" w:cstheme="majorBidi"/>
                <w:iCs/>
                <w:lang w:bidi="fa-IR"/>
              </w:rPr>
            </m:ctrlPr>
          </m:dPr>
          <m:e>
            <m:f>
              <m:fPr>
                <m:ctrlPr>
                  <w:rPr>
                    <w:rFonts w:ascii="Cambria Math" w:hAnsi="Cambria Math" w:cstheme="majorBidi"/>
                    <w:iCs/>
                    <w:lang w:bidi="fa-IR"/>
                  </w:rPr>
                </m:ctrlPr>
              </m:fPr>
              <m:num>
                <m:r>
                  <m:rPr>
                    <m:sty m:val="p"/>
                  </m:rPr>
                  <w:rPr>
                    <w:rFonts w:ascii="Cambria Math" w:hAnsi="Cambria Math" w:cstheme="majorBidi"/>
                    <w:lang w:val="en-US" w:bidi="fa-IR"/>
                  </w:rPr>
                  <m:t>dX</m:t>
                </m:r>
              </m:num>
              <m:den>
                <m:r>
                  <m:rPr>
                    <m:sty m:val="p"/>
                  </m:rPr>
                  <w:rPr>
                    <w:rFonts w:ascii="Cambria Math" w:hAnsi="Cambria Math" w:cstheme="majorBidi"/>
                    <w:lang w:val="en-US" w:bidi="fa-IR"/>
                  </w:rPr>
                  <m:t>dt</m:t>
                </m:r>
              </m:den>
            </m:f>
          </m:e>
        </m:d>
        <m:r>
          <m:rPr>
            <m:sty m:val="p"/>
          </m:rPr>
          <w:rPr>
            <w:rFonts w:ascii="Cambria Math" w:hAnsi="Cambria Math" w:cstheme="majorBidi"/>
            <w:lang w:val="en-US" w:bidi="fa-IR"/>
          </w:rPr>
          <m:t>+</m:t>
        </m:r>
        <m:r>
          <m:rPr>
            <m:sty m:val="p"/>
          </m:rPr>
          <w:rPr>
            <w:rFonts w:ascii="Cambria Math" w:hAnsi="Cambria Math" w:cstheme="majorBidi"/>
            <w:lang w:bidi="fa-IR"/>
          </w:rPr>
          <m:t>β</m:t>
        </m:r>
        <m:r>
          <m:rPr>
            <m:sty m:val="p"/>
          </m:rPr>
          <w:rPr>
            <w:rFonts w:ascii="Cambria Math" w:hAnsi="Cambria Math" w:cstheme="majorBidi"/>
            <w:lang w:val="en-US" w:bidi="fa-IR"/>
          </w:rPr>
          <m:t>X</m:t>
        </m:r>
      </m:oMath>
      <w:r w:rsidRPr="00FE037B">
        <w:rPr>
          <w:rFonts w:asciiTheme="majorBidi" w:hAnsiTheme="majorBidi" w:cstheme="majorBidi"/>
          <w:i/>
          <w:lang w:val="en-US" w:bidi="fa-IR"/>
        </w:rPr>
        <w:t xml:space="preserve">      </w:t>
      </w:r>
      <w:r w:rsidR="006A44E5">
        <w:rPr>
          <w:rFonts w:asciiTheme="majorBidi" w:hAnsiTheme="majorBidi" w:cstheme="majorBidi"/>
          <w:i/>
          <w:lang w:val="en-US" w:bidi="fa-IR"/>
        </w:rPr>
        <w:tab/>
      </w:r>
      <w:r w:rsidR="006A44E5">
        <w:rPr>
          <w:rFonts w:asciiTheme="majorBidi" w:hAnsiTheme="majorBidi" w:cstheme="majorBidi"/>
          <w:i/>
          <w:lang w:val="en-US" w:bidi="fa-IR"/>
        </w:rPr>
        <w:tab/>
      </w:r>
      <w:r w:rsidR="006A44E5">
        <w:rPr>
          <w:rFonts w:asciiTheme="majorBidi" w:hAnsiTheme="majorBidi" w:cstheme="majorBidi"/>
          <w:i/>
          <w:lang w:val="en-US" w:bidi="fa-IR"/>
        </w:rPr>
        <w:tab/>
      </w:r>
      <w:r w:rsidR="006A44E5">
        <w:rPr>
          <w:rFonts w:asciiTheme="majorBidi" w:hAnsiTheme="majorBidi" w:cstheme="majorBidi"/>
          <w:i/>
          <w:lang w:val="en-US" w:bidi="fa-IR"/>
        </w:rPr>
        <w:tab/>
      </w:r>
      <w:r w:rsidR="006A44E5">
        <w:rPr>
          <w:rFonts w:asciiTheme="majorBidi" w:hAnsiTheme="majorBidi" w:cstheme="majorBidi"/>
          <w:i/>
          <w:lang w:val="en-US" w:bidi="fa-IR"/>
        </w:rPr>
        <w:tab/>
      </w:r>
      <w:r w:rsidRPr="00FE037B">
        <w:rPr>
          <w:rFonts w:asciiTheme="majorBidi" w:hAnsiTheme="majorBidi" w:cstheme="majorBidi"/>
          <w:i/>
          <w:lang w:val="en-US" w:bidi="fa-IR"/>
        </w:rPr>
        <w:t xml:space="preserve"> </w:t>
      </w:r>
      <w:r w:rsidRPr="00FE037B">
        <w:rPr>
          <w:rFonts w:asciiTheme="majorBidi" w:hAnsiTheme="majorBidi" w:cstheme="majorBidi"/>
          <w:lang w:val="en-US"/>
        </w:rPr>
        <w:t>(2)</w:t>
      </w:r>
      <w:r w:rsidRPr="00FE037B">
        <w:rPr>
          <w:rFonts w:asciiTheme="majorBidi" w:hAnsiTheme="majorBidi" w:cstheme="majorBidi"/>
          <w:i/>
          <w:lang w:val="en-US" w:bidi="fa-IR"/>
        </w:rPr>
        <w:t xml:space="preserve">  </w:t>
      </w:r>
      <w:r w:rsidRPr="00FE037B">
        <w:rPr>
          <w:rFonts w:asciiTheme="majorBidi" w:hAnsiTheme="majorBidi" w:cstheme="majorBidi"/>
          <w:iCs/>
          <w:lang w:val="en-US"/>
        </w:rPr>
        <w:t xml:space="preserve"> </w:t>
      </w:r>
      <w:r w:rsidRPr="00FE037B">
        <w:rPr>
          <w:rFonts w:asciiTheme="majorBidi" w:hAnsiTheme="majorBidi" w:cstheme="majorBidi"/>
          <w:iCs/>
          <w:lang w:val="en-US" w:bidi="fa-IR"/>
        </w:rPr>
        <w:t xml:space="preserve">  </w:t>
      </w:r>
    </w:p>
    <w:p w14:paraId="0FE0509E" w14:textId="1151767C" w:rsidR="009C4B66" w:rsidRPr="00FE037B" w:rsidRDefault="009C4B66" w:rsidP="009C4B66">
      <w:pPr>
        <w:ind w:hanging="1"/>
        <w:jc w:val="both"/>
        <w:rPr>
          <w:rFonts w:asciiTheme="majorBidi" w:hAnsiTheme="majorBidi" w:cstheme="majorBidi"/>
          <w:i/>
          <w:lang w:val="en-US"/>
        </w:rPr>
      </w:pPr>
      <w:r w:rsidRPr="00FE037B">
        <w:rPr>
          <w:rFonts w:asciiTheme="majorBidi" w:hAnsiTheme="majorBidi" w:cstheme="majorBidi"/>
          <w:iCs/>
          <w:lang w:val="en-US" w:bidi="fa-IR"/>
        </w:rPr>
        <w:t xml:space="preserve"> </w:t>
      </w:r>
      <m:oMath>
        <m:r>
          <w:rPr>
            <w:rFonts w:ascii="Cambria Math" w:hAnsi="Cambria Math" w:cstheme="majorBidi"/>
            <w:lang w:val="en-US" w:bidi="fa-IR"/>
          </w:rPr>
          <m:t xml:space="preserve"> -</m:t>
        </m:r>
        <m:f>
          <m:fPr>
            <m:ctrlPr>
              <w:rPr>
                <w:rFonts w:ascii="Cambria Math" w:hAnsi="Cambria Math" w:cstheme="majorBidi"/>
                <w:iCs/>
                <w:lang w:bidi="fa-IR"/>
              </w:rPr>
            </m:ctrlPr>
          </m:fPr>
          <m:num>
            <m:r>
              <m:rPr>
                <m:sty m:val="p"/>
              </m:rPr>
              <w:rPr>
                <w:rFonts w:ascii="Cambria Math" w:hAnsi="Cambria Math" w:cstheme="majorBidi"/>
                <w:lang w:val="en-US" w:bidi="fa-IR"/>
              </w:rPr>
              <m:t>dS</m:t>
            </m:r>
          </m:num>
          <m:den>
            <m:r>
              <m:rPr>
                <m:sty m:val="p"/>
              </m:rPr>
              <w:rPr>
                <w:rFonts w:ascii="Cambria Math" w:hAnsi="Cambria Math" w:cstheme="majorBidi"/>
                <w:lang w:val="en-US" w:bidi="fa-IR"/>
              </w:rPr>
              <m:t>dt</m:t>
            </m:r>
          </m:den>
        </m:f>
        <m:r>
          <m:rPr>
            <m:sty m:val="p"/>
          </m:rPr>
          <w:rPr>
            <w:rFonts w:ascii="Cambria Math" w:hAnsi="Cambria Math" w:cstheme="majorBidi"/>
            <w:lang w:val="en-US" w:bidi="fa-IR"/>
          </w:rPr>
          <m:t>=</m:t>
        </m:r>
        <m:f>
          <m:fPr>
            <m:ctrlPr>
              <w:rPr>
                <w:rFonts w:ascii="Cambria Math" w:hAnsi="Cambria Math" w:cstheme="majorBidi"/>
                <w:iCs/>
                <w:lang w:bidi="fa-IR"/>
              </w:rPr>
            </m:ctrlPr>
          </m:fPr>
          <m:num>
            <m:r>
              <m:rPr>
                <m:sty m:val="p"/>
              </m:rPr>
              <w:rPr>
                <w:rFonts w:ascii="Cambria Math" w:hAnsi="Cambria Math" w:cstheme="majorBidi"/>
                <w:lang w:val="en-US" w:bidi="fa-IR"/>
              </w:rPr>
              <m:t>1</m:t>
            </m:r>
          </m:num>
          <m:den>
            <m:sSub>
              <m:sSubPr>
                <m:ctrlPr>
                  <w:rPr>
                    <w:rFonts w:ascii="Cambria Math" w:hAnsi="Cambria Math" w:cstheme="majorBidi"/>
                    <w:iCs/>
                    <w:lang w:bidi="fa-IR"/>
                  </w:rPr>
                </m:ctrlPr>
              </m:sSubPr>
              <m:e>
                <m:r>
                  <m:rPr>
                    <m:sty m:val="p"/>
                  </m:rPr>
                  <w:rPr>
                    <w:rFonts w:ascii="Cambria Math" w:hAnsi="Cambria Math" w:cstheme="majorBidi"/>
                    <w:lang w:val="en-US" w:bidi="fa-IR"/>
                  </w:rPr>
                  <m:t>Y</m:t>
                </m:r>
              </m:e>
              <m:sub>
                <m:f>
                  <m:fPr>
                    <m:type m:val="skw"/>
                    <m:ctrlPr>
                      <w:rPr>
                        <w:rFonts w:ascii="Cambria Math" w:hAnsi="Cambria Math" w:cstheme="majorBidi"/>
                        <w:iCs/>
                        <w:lang w:bidi="fa-IR"/>
                      </w:rPr>
                    </m:ctrlPr>
                  </m:fPr>
                  <m:num>
                    <m:r>
                      <m:rPr>
                        <m:sty m:val="p"/>
                      </m:rPr>
                      <w:rPr>
                        <w:rFonts w:ascii="Cambria Math" w:hAnsi="Cambria Math" w:cstheme="majorBidi"/>
                        <w:lang w:val="en-US" w:bidi="fa-IR"/>
                      </w:rPr>
                      <m:t>X</m:t>
                    </m:r>
                  </m:num>
                  <m:den>
                    <m:r>
                      <m:rPr>
                        <m:sty m:val="p"/>
                      </m:rPr>
                      <w:rPr>
                        <w:rFonts w:ascii="Cambria Math" w:hAnsi="Cambria Math" w:cstheme="majorBidi"/>
                        <w:lang w:val="en-US" w:bidi="fa-IR"/>
                      </w:rPr>
                      <m:t>S</m:t>
                    </m:r>
                  </m:den>
                </m:f>
              </m:sub>
            </m:sSub>
          </m:den>
        </m:f>
        <m:d>
          <m:dPr>
            <m:ctrlPr>
              <w:rPr>
                <w:rFonts w:ascii="Cambria Math" w:hAnsi="Cambria Math" w:cstheme="majorBidi"/>
                <w:iCs/>
                <w:lang w:bidi="fa-IR"/>
              </w:rPr>
            </m:ctrlPr>
          </m:dPr>
          <m:e>
            <m:f>
              <m:fPr>
                <m:ctrlPr>
                  <w:rPr>
                    <w:rFonts w:ascii="Cambria Math" w:hAnsi="Cambria Math" w:cstheme="majorBidi"/>
                    <w:iCs/>
                    <w:lang w:bidi="fa-IR"/>
                  </w:rPr>
                </m:ctrlPr>
              </m:fPr>
              <m:num>
                <m:r>
                  <m:rPr>
                    <m:sty m:val="p"/>
                  </m:rPr>
                  <w:rPr>
                    <w:rFonts w:ascii="Cambria Math" w:hAnsi="Cambria Math" w:cstheme="majorBidi"/>
                    <w:lang w:val="en-US" w:bidi="fa-IR"/>
                  </w:rPr>
                  <m:t>dX</m:t>
                </m:r>
              </m:num>
              <m:den>
                <m:r>
                  <m:rPr>
                    <m:sty m:val="p"/>
                  </m:rPr>
                  <w:rPr>
                    <w:rFonts w:ascii="Cambria Math" w:hAnsi="Cambria Math" w:cstheme="majorBidi"/>
                    <w:lang w:val="en-US" w:bidi="fa-IR"/>
                  </w:rPr>
                  <m:t>dt</m:t>
                </m:r>
              </m:den>
            </m:f>
          </m:e>
        </m:d>
        <m:r>
          <m:rPr>
            <m:sty m:val="p"/>
          </m:rPr>
          <w:rPr>
            <w:rFonts w:ascii="Cambria Math" w:hAnsi="Cambria Math" w:cstheme="majorBidi"/>
            <w:lang w:val="en-US" w:bidi="fa-IR"/>
          </w:rPr>
          <m:t>+mX</m:t>
        </m:r>
        <m:r>
          <w:rPr>
            <w:rFonts w:ascii="Cambria Math" w:hAnsi="Cambria Math" w:cstheme="majorBidi"/>
            <w:lang w:val="en-US" w:bidi="fa-IR"/>
          </w:rPr>
          <m:t>+</m:t>
        </m:r>
        <m:f>
          <m:fPr>
            <m:ctrlPr>
              <w:rPr>
                <w:rFonts w:ascii="Cambria Math" w:hAnsi="Cambria Math" w:cstheme="majorBidi"/>
                <w:lang w:bidi="fa-IR"/>
              </w:rPr>
            </m:ctrlPr>
          </m:fPr>
          <m:num>
            <m:r>
              <m:rPr>
                <m:sty m:val="p"/>
              </m:rPr>
              <w:rPr>
                <w:rFonts w:ascii="Cambria Math" w:hAnsi="Cambria Math" w:cstheme="majorBidi"/>
                <w:lang w:val="en-US" w:bidi="fa-IR"/>
              </w:rPr>
              <m:t>1</m:t>
            </m:r>
          </m:num>
          <m:den>
            <m:sSub>
              <m:sSubPr>
                <m:ctrlPr>
                  <w:rPr>
                    <w:rFonts w:ascii="Cambria Math" w:hAnsi="Cambria Math" w:cstheme="majorBidi"/>
                    <w:lang w:bidi="fa-IR"/>
                  </w:rPr>
                </m:ctrlPr>
              </m:sSubPr>
              <m:e>
                <m:r>
                  <m:rPr>
                    <m:sty m:val="p"/>
                  </m:rPr>
                  <w:rPr>
                    <w:rFonts w:ascii="Cambria Math" w:hAnsi="Cambria Math" w:cstheme="majorBidi"/>
                    <w:lang w:val="en-US" w:bidi="fa-IR"/>
                  </w:rPr>
                  <m:t>Y</m:t>
                </m:r>
              </m:e>
              <m:sub>
                <m:f>
                  <m:fPr>
                    <m:type m:val="skw"/>
                    <m:ctrlPr>
                      <w:rPr>
                        <w:rFonts w:ascii="Cambria Math" w:hAnsi="Cambria Math" w:cstheme="majorBidi"/>
                        <w:lang w:bidi="fa-IR"/>
                      </w:rPr>
                    </m:ctrlPr>
                  </m:fPr>
                  <m:num>
                    <m:r>
                      <m:rPr>
                        <m:sty m:val="p"/>
                      </m:rPr>
                      <w:rPr>
                        <w:rFonts w:ascii="Cambria Math" w:hAnsi="Cambria Math" w:cstheme="majorBidi"/>
                        <w:lang w:val="en-US" w:bidi="fa-IR"/>
                      </w:rPr>
                      <m:t>P</m:t>
                    </m:r>
                  </m:num>
                  <m:den>
                    <m:r>
                      <m:rPr>
                        <m:sty m:val="p"/>
                      </m:rPr>
                      <w:rPr>
                        <w:rFonts w:ascii="Cambria Math" w:hAnsi="Cambria Math" w:cstheme="majorBidi"/>
                        <w:lang w:val="en-US" w:bidi="fa-IR"/>
                      </w:rPr>
                      <m:t>S</m:t>
                    </m:r>
                  </m:den>
                </m:f>
              </m:sub>
            </m:sSub>
          </m:den>
        </m:f>
        <m:d>
          <m:dPr>
            <m:ctrlPr>
              <w:rPr>
                <w:rFonts w:ascii="Cambria Math" w:hAnsi="Cambria Math" w:cstheme="majorBidi"/>
                <w:lang w:bidi="fa-IR"/>
              </w:rPr>
            </m:ctrlPr>
          </m:dPr>
          <m:e>
            <m:f>
              <m:fPr>
                <m:ctrlPr>
                  <w:rPr>
                    <w:rFonts w:ascii="Cambria Math" w:hAnsi="Cambria Math" w:cstheme="majorBidi"/>
                    <w:lang w:bidi="fa-IR"/>
                  </w:rPr>
                </m:ctrlPr>
              </m:fPr>
              <m:num>
                <m:r>
                  <m:rPr>
                    <m:sty m:val="p"/>
                  </m:rPr>
                  <w:rPr>
                    <w:rFonts w:ascii="Cambria Math" w:hAnsi="Cambria Math" w:cstheme="majorBidi"/>
                    <w:lang w:val="en-US" w:bidi="fa-IR"/>
                  </w:rPr>
                  <m:t>dP</m:t>
                </m:r>
              </m:num>
              <m:den>
                <m:r>
                  <m:rPr>
                    <m:sty m:val="p"/>
                  </m:rPr>
                  <w:rPr>
                    <w:rFonts w:ascii="Cambria Math" w:hAnsi="Cambria Math" w:cstheme="majorBidi"/>
                    <w:lang w:val="en-US" w:bidi="fa-IR"/>
                  </w:rPr>
                  <m:t>dt</m:t>
                </m:r>
              </m:den>
            </m:f>
          </m:e>
        </m:d>
      </m:oMath>
      <w:r w:rsidRPr="00FE037B">
        <w:rPr>
          <w:rFonts w:asciiTheme="majorBidi" w:hAnsiTheme="majorBidi" w:cstheme="majorBidi"/>
          <w:i/>
          <w:lang w:val="en-US" w:bidi="fa-IR"/>
        </w:rPr>
        <w:t xml:space="preserve">    </w:t>
      </w:r>
      <w:r w:rsidR="006A44E5">
        <w:rPr>
          <w:rFonts w:asciiTheme="majorBidi" w:hAnsiTheme="majorBidi" w:cstheme="majorBidi"/>
          <w:i/>
          <w:lang w:val="en-US" w:bidi="fa-IR"/>
        </w:rPr>
        <w:tab/>
      </w:r>
      <w:r w:rsidR="006A44E5">
        <w:rPr>
          <w:rFonts w:asciiTheme="majorBidi" w:hAnsiTheme="majorBidi" w:cstheme="majorBidi"/>
          <w:i/>
          <w:lang w:val="en-US" w:bidi="fa-IR"/>
        </w:rPr>
        <w:tab/>
      </w:r>
      <w:r w:rsidR="006A44E5">
        <w:rPr>
          <w:rFonts w:asciiTheme="majorBidi" w:hAnsiTheme="majorBidi" w:cstheme="majorBidi"/>
          <w:i/>
          <w:lang w:val="en-US" w:bidi="fa-IR"/>
        </w:rPr>
        <w:tab/>
      </w:r>
      <w:r w:rsidR="006A44E5">
        <w:rPr>
          <w:rFonts w:asciiTheme="majorBidi" w:hAnsiTheme="majorBidi" w:cstheme="majorBidi"/>
          <w:i/>
          <w:lang w:val="en-US" w:bidi="fa-IR"/>
        </w:rPr>
        <w:tab/>
      </w:r>
      <w:r w:rsidRPr="00FE037B">
        <w:rPr>
          <w:rFonts w:asciiTheme="majorBidi" w:hAnsiTheme="majorBidi" w:cstheme="majorBidi"/>
          <w:i/>
          <w:lang w:val="en-US" w:bidi="fa-IR"/>
        </w:rPr>
        <w:t xml:space="preserve"> </w:t>
      </w:r>
      <w:r w:rsidRPr="00FE037B">
        <w:rPr>
          <w:rFonts w:asciiTheme="majorBidi" w:hAnsiTheme="majorBidi" w:cstheme="majorBidi"/>
          <w:iCs/>
          <w:lang w:val="en-US"/>
        </w:rPr>
        <w:t>(3)</w:t>
      </w:r>
    </w:p>
    <w:p w14:paraId="6FC54857" w14:textId="4B01FB5F" w:rsidR="009C4B66" w:rsidRDefault="009C4B66" w:rsidP="009C4B66">
      <w:pPr>
        <w:ind w:hanging="1"/>
        <w:jc w:val="both"/>
        <w:rPr>
          <w:rFonts w:asciiTheme="majorBidi" w:hAnsiTheme="majorBidi" w:cstheme="majorBidi"/>
          <w:iCs/>
          <w:lang w:val="en-US"/>
        </w:rPr>
      </w:pPr>
      <w:r w:rsidRPr="00FE037B">
        <w:rPr>
          <w:rFonts w:asciiTheme="majorBidi" w:hAnsiTheme="majorBidi" w:cstheme="majorBidi"/>
          <w:iCs/>
          <w:lang w:val="en-US"/>
        </w:rPr>
        <w:t>where X is the biomass concentration (g L</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t is the growth time (days), µ is the specific growth rate (day</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P is the lipid concentration (g L</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xml:space="preserve">), </w:t>
      </w:r>
      <w:r w:rsidRPr="009C4B66">
        <w:rPr>
          <w:rFonts w:asciiTheme="majorBidi" w:hAnsiTheme="majorBidi" w:cstheme="majorBidi"/>
          <w:iCs/>
        </w:rPr>
        <w:t>α</w:t>
      </w:r>
      <w:r w:rsidRPr="00FE037B">
        <w:rPr>
          <w:rFonts w:asciiTheme="majorBidi" w:hAnsiTheme="majorBidi" w:cstheme="majorBidi"/>
          <w:iCs/>
          <w:lang w:val="en-US"/>
        </w:rPr>
        <w:t xml:space="preserve"> is the lipid formation coefficient, and </w:t>
      </w:r>
      <w:r w:rsidRPr="009C4B66">
        <w:rPr>
          <w:rFonts w:asciiTheme="majorBidi" w:hAnsiTheme="majorBidi" w:cstheme="majorBidi"/>
          <w:iCs/>
        </w:rPr>
        <w:t>β</w:t>
      </w:r>
      <w:r w:rsidRPr="00FE037B">
        <w:rPr>
          <w:rFonts w:asciiTheme="majorBidi" w:hAnsiTheme="majorBidi" w:cstheme="majorBidi"/>
          <w:iCs/>
          <w:lang w:val="en-US"/>
        </w:rPr>
        <w:t xml:space="preserve"> (day</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a non-growth correlation coefficient, S is the concentration of rate-limiting substrate (COD, TAN, and TP) (g L</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xml:space="preserve">), </w:t>
      </w:r>
      <w:proofErr w:type="spellStart"/>
      <w:r w:rsidRPr="00FE037B">
        <w:rPr>
          <w:rFonts w:asciiTheme="majorBidi" w:hAnsiTheme="majorBidi" w:cstheme="majorBidi"/>
          <w:iCs/>
          <w:lang w:val="en-US"/>
        </w:rPr>
        <w:t>Yx</w:t>
      </w:r>
      <w:proofErr w:type="spellEnd"/>
      <w:r w:rsidRPr="00FE037B">
        <w:rPr>
          <w:rFonts w:asciiTheme="majorBidi" w:hAnsiTheme="majorBidi" w:cstheme="majorBidi"/>
          <w:iCs/>
          <w:lang w:val="en-US"/>
        </w:rPr>
        <w:t xml:space="preserve">/s is the growth yield coefficient; </w:t>
      </w:r>
      <w:proofErr w:type="spellStart"/>
      <w:r w:rsidRPr="00FE037B">
        <w:rPr>
          <w:rFonts w:asciiTheme="majorBidi" w:hAnsiTheme="majorBidi" w:cstheme="majorBidi"/>
          <w:iCs/>
          <w:lang w:val="en-US"/>
        </w:rPr>
        <w:t>Yp</w:t>
      </w:r>
      <w:proofErr w:type="spellEnd"/>
      <w:r w:rsidRPr="00FE037B">
        <w:rPr>
          <w:rFonts w:asciiTheme="majorBidi" w:hAnsiTheme="majorBidi" w:cstheme="majorBidi"/>
          <w:iCs/>
          <w:lang w:val="en-US"/>
        </w:rPr>
        <w:t>/s is the lipid yield coefficient, m is the maintenance coefficient (day</w:t>
      </w:r>
      <w:r w:rsidRPr="00FE037B">
        <w:rPr>
          <w:rFonts w:asciiTheme="majorBidi" w:hAnsiTheme="majorBidi" w:cstheme="majorBidi"/>
          <w:iCs/>
          <w:vertAlign w:val="superscript"/>
          <w:lang w:val="en-US"/>
        </w:rPr>
        <w:t>-1</w:t>
      </w:r>
      <w:r w:rsidRPr="00FE037B">
        <w:rPr>
          <w:rFonts w:asciiTheme="majorBidi" w:hAnsiTheme="majorBidi" w:cstheme="majorBidi"/>
          <w:iCs/>
          <w:lang w:val="en-US"/>
        </w:rPr>
        <w:t>). These parameters are correlated with biomass production rate (</w:t>
      </w:r>
      <w:proofErr w:type="spellStart"/>
      <w:r w:rsidRPr="00FE037B">
        <w:rPr>
          <w:rFonts w:asciiTheme="majorBidi" w:hAnsiTheme="majorBidi" w:cstheme="majorBidi"/>
          <w:iCs/>
          <w:lang w:val="en-US"/>
        </w:rPr>
        <w:t>dX</w:t>
      </w:r>
      <w:proofErr w:type="spellEnd"/>
      <w:r w:rsidRPr="00FE037B">
        <w:rPr>
          <w:rFonts w:asciiTheme="majorBidi" w:hAnsiTheme="majorBidi" w:cstheme="majorBidi"/>
          <w:iCs/>
          <w:lang w:val="en-US"/>
        </w:rPr>
        <w:t xml:space="preserve">/dt), and therefore, solving them simultaneously results in more accurate results. The mentioned growth kinetic models are used to determine </w:t>
      </w:r>
      <w:r w:rsidRPr="009C4B66">
        <w:rPr>
          <w:rFonts w:asciiTheme="majorBidi" w:hAnsiTheme="majorBidi" w:cstheme="majorBidi"/>
          <w:iCs/>
        </w:rPr>
        <w:t>μ</w:t>
      </w:r>
      <w:r w:rsidRPr="00FE037B">
        <w:rPr>
          <w:rFonts w:asciiTheme="majorBidi" w:hAnsiTheme="majorBidi" w:cstheme="majorBidi"/>
          <w:iCs/>
          <w:lang w:val="en-US"/>
        </w:rPr>
        <w:t>. The ordinary differential equations were solved by MATLAB software, and the predicted results were compared with experimental data.</w:t>
      </w:r>
    </w:p>
    <w:p w14:paraId="26153ADD" w14:textId="77777777" w:rsidR="00BC79CF" w:rsidRDefault="00BC79CF" w:rsidP="009C4B66">
      <w:pPr>
        <w:ind w:hanging="1"/>
        <w:jc w:val="both"/>
        <w:rPr>
          <w:rFonts w:ascii="Times New Roman" w:eastAsia="MS PGothic" w:hAnsi="Times New Roman"/>
          <w:lang w:val="en-US"/>
        </w:rPr>
      </w:pPr>
    </w:p>
    <w:p w14:paraId="0528A46E" w14:textId="77C5867C" w:rsidR="00DA51A3" w:rsidRPr="00466FFD" w:rsidRDefault="009C4B66" w:rsidP="009C4B66">
      <w:pPr>
        <w:ind w:hanging="1"/>
        <w:jc w:val="both"/>
        <w:rPr>
          <w:rFonts w:ascii="Times New Roman" w:eastAsia="MS PGothic" w:hAnsi="Times New Roman"/>
          <w:lang w:val="en-US"/>
        </w:rPr>
      </w:pPr>
      <w:r w:rsidRPr="004D281B">
        <w:rPr>
          <w:rFonts w:ascii="Times New Roman" w:eastAsia="MS PGothic" w:hAnsi="Times New Roman"/>
          <w:lang w:val="en-US"/>
        </w:rPr>
        <w:lastRenderedPageBreak/>
        <w:t xml:space="preserve"> </w:t>
      </w:r>
      <w:r w:rsidR="00DA51A3" w:rsidRPr="00466FFD">
        <w:rPr>
          <w:rFonts w:ascii="Times New Roman" w:eastAsia="MS PGothic" w:hAnsi="Times New Roman"/>
          <w:b/>
          <w:bCs/>
          <w:lang w:val="en-US"/>
        </w:rPr>
        <w:t>3. Results and discussion</w:t>
      </w:r>
    </w:p>
    <w:p w14:paraId="1BC5C9B6" w14:textId="0ADB8F35" w:rsidR="009C4B66" w:rsidRDefault="009C4B66" w:rsidP="00FE037B">
      <w:pPr>
        <w:snapToGrid w:val="0"/>
        <w:spacing w:before="240" w:after="120"/>
        <w:jc w:val="both"/>
        <w:rPr>
          <w:rFonts w:ascii="Times New Roman" w:eastAsia="MS PGothic" w:hAnsi="Times New Roman"/>
          <w:lang w:val="en-US"/>
        </w:rPr>
      </w:pPr>
      <w:r w:rsidRPr="009C4B66">
        <w:rPr>
          <w:rFonts w:ascii="Times New Roman" w:eastAsia="MS PGothic" w:hAnsi="Times New Roman"/>
          <w:lang w:val="en-US"/>
        </w:rPr>
        <w:t xml:space="preserve">The Monod equation for phosphorus, which has the lowest concentration relative to COD and nitrogen, has calculated the lowest </w:t>
      </w:r>
      <w:proofErr w:type="spellStart"/>
      <w:r w:rsidRPr="009C4B66">
        <w:rPr>
          <w:rFonts w:ascii="Times New Roman" w:eastAsia="MS PGothic" w:hAnsi="Times New Roman"/>
          <w:lang w:val="en-US"/>
        </w:rPr>
        <w:t>μ</w:t>
      </w:r>
      <w:r w:rsidRPr="009C4B66">
        <w:rPr>
          <w:rFonts w:ascii="Times New Roman" w:eastAsia="MS PGothic" w:hAnsi="Times New Roman"/>
          <w:vertAlign w:val="subscript"/>
          <w:lang w:val="en-US"/>
        </w:rPr>
        <w:t>max</w:t>
      </w:r>
      <w:proofErr w:type="spellEnd"/>
      <w:r>
        <w:rPr>
          <w:rFonts w:ascii="Times New Roman" w:eastAsia="MS PGothic" w:hAnsi="Times New Roman"/>
          <w:lang w:val="en-US"/>
        </w:rPr>
        <w:t xml:space="preserve"> (0.87 </w:t>
      </w:r>
      <w:r w:rsidRPr="009C4B66">
        <w:rPr>
          <w:rFonts w:ascii="Times New Roman" w:eastAsia="MS PGothic" w:hAnsi="Times New Roman"/>
          <w:lang w:val="en-US"/>
        </w:rPr>
        <w:t>d</w:t>
      </w:r>
      <w:r w:rsidRPr="009C4B66">
        <w:rPr>
          <w:rFonts w:ascii="Times New Roman" w:eastAsia="MS PGothic" w:hAnsi="Times New Roman"/>
          <w:vertAlign w:val="superscript"/>
          <w:lang w:val="en-US"/>
        </w:rPr>
        <w:t>-1</w:t>
      </w:r>
      <w:r>
        <w:rPr>
          <w:rFonts w:ascii="Times New Roman" w:eastAsia="MS PGothic" w:hAnsi="Times New Roman"/>
          <w:lang w:val="en-US"/>
        </w:rPr>
        <w:t>)</w:t>
      </w:r>
      <w:r w:rsidRPr="009C4B66">
        <w:rPr>
          <w:rFonts w:ascii="Times New Roman" w:eastAsia="MS PGothic" w:hAnsi="Times New Roman"/>
          <w:lang w:val="en-US"/>
        </w:rPr>
        <w:t>, which is not valid enough to determine the correlation coefficient R</w:t>
      </w:r>
      <w:r w:rsidRPr="009C4B66">
        <w:rPr>
          <w:rFonts w:ascii="Times New Roman" w:eastAsia="MS PGothic" w:hAnsi="Times New Roman"/>
          <w:vertAlign w:val="superscript"/>
          <w:lang w:val="en-US"/>
        </w:rPr>
        <w:t>2</w:t>
      </w:r>
      <w:r w:rsidRPr="009C4B66">
        <w:rPr>
          <w:rFonts w:ascii="Times New Roman" w:eastAsia="MS PGothic" w:hAnsi="Times New Roman"/>
          <w:lang w:val="en-US"/>
        </w:rPr>
        <w:t xml:space="preserve"> (0.72). This model has reached a suitable R</w:t>
      </w:r>
      <w:r w:rsidRPr="009C4B66">
        <w:rPr>
          <w:rFonts w:ascii="Times New Roman" w:eastAsia="MS PGothic" w:hAnsi="Times New Roman"/>
          <w:vertAlign w:val="superscript"/>
          <w:lang w:val="en-US"/>
        </w:rPr>
        <w:t>2</w:t>
      </w:r>
      <w:r w:rsidRPr="009C4B66">
        <w:rPr>
          <w:rFonts w:ascii="Times New Roman" w:eastAsia="MS PGothic" w:hAnsi="Times New Roman"/>
          <w:lang w:val="en-US"/>
        </w:rPr>
        <w:t xml:space="preserve"> for COD and nitrogen and has calculated a significant </w:t>
      </w:r>
      <w:proofErr w:type="spellStart"/>
      <w:r w:rsidRPr="009C4B66">
        <w:rPr>
          <w:rFonts w:ascii="Times New Roman" w:eastAsia="MS PGothic" w:hAnsi="Times New Roman"/>
          <w:lang w:val="en-US"/>
        </w:rPr>
        <w:t>μ</w:t>
      </w:r>
      <w:r w:rsidRPr="009C4B66">
        <w:rPr>
          <w:rFonts w:ascii="Times New Roman" w:eastAsia="MS PGothic" w:hAnsi="Times New Roman"/>
          <w:vertAlign w:val="subscript"/>
          <w:lang w:val="en-US"/>
        </w:rPr>
        <w:t>max</w:t>
      </w:r>
      <w:proofErr w:type="spellEnd"/>
      <w:r>
        <w:rPr>
          <w:rFonts w:ascii="Times New Roman" w:eastAsia="MS PGothic" w:hAnsi="Times New Roman"/>
          <w:lang w:val="en-US"/>
        </w:rPr>
        <w:t xml:space="preserve"> (1.48 d</w:t>
      </w:r>
      <w:r w:rsidRPr="009C4B66">
        <w:rPr>
          <w:rFonts w:ascii="Times New Roman" w:eastAsia="MS PGothic" w:hAnsi="Times New Roman"/>
          <w:vertAlign w:val="superscript"/>
          <w:lang w:val="en-US"/>
        </w:rPr>
        <w:t>-1</w:t>
      </w:r>
      <w:r>
        <w:rPr>
          <w:rFonts w:ascii="Times New Roman" w:eastAsia="MS PGothic" w:hAnsi="Times New Roman"/>
          <w:lang w:val="en-US"/>
        </w:rPr>
        <w:t>)</w:t>
      </w:r>
      <w:r w:rsidRPr="009C4B66">
        <w:rPr>
          <w:rFonts w:ascii="Times New Roman" w:eastAsia="MS PGothic" w:hAnsi="Times New Roman"/>
          <w:lang w:val="en-US"/>
        </w:rPr>
        <w:t>. Due to the exponential term, the Tessier equation includes the effect of severe inhibition of the substrate. However, when the substrate concentration is low in the medium, the comprehensiveness of the model in determining the kinetic parameters is well estimated, and the logical values ​​for the kinetic parameters are calculated. The logistic equation in determining biomass growth is independent of the effect of substrate and product. Since the subst</w:t>
      </w:r>
      <w:r>
        <w:rPr>
          <w:rFonts w:ascii="Times New Roman" w:eastAsia="MS PGothic" w:hAnsi="Times New Roman"/>
          <w:lang w:val="en-US"/>
        </w:rPr>
        <w:t>rate</w:t>
      </w:r>
      <w:r w:rsidRPr="009C4B66">
        <w:rPr>
          <w:rFonts w:ascii="Times New Roman" w:eastAsia="MS PGothic" w:hAnsi="Times New Roman"/>
          <w:lang w:val="en-US"/>
        </w:rPr>
        <w:t xml:space="preserve"> concentrations were low and within the standard range, it is natural that no growth inhibition was observed in the medium. Compared to other models, this model best fits experimental data (R</w:t>
      </w:r>
      <w:r w:rsidRPr="009C4B66">
        <w:rPr>
          <w:rFonts w:ascii="Times New Roman" w:eastAsia="MS PGothic" w:hAnsi="Times New Roman"/>
          <w:vertAlign w:val="superscript"/>
          <w:lang w:val="en-US"/>
        </w:rPr>
        <w:t>2</w:t>
      </w:r>
      <w:r w:rsidRPr="009C4B66">
        <w:rPr>
          <w:rFonts w:ascii="Times New Roman" w:eastAsia="MS PGothic" w:hAnsi="Times New Roman"/>
          <w:lang w:val="en-US"/>
        </w:rPr>
        <w:t xml:space="preserve"> &gt; 0.98) and predicts the highest Y</w:t>
      </w:r>
      <w:r w:rsidRPr="009C4B66">
        <w:rPr>
          <w:rFonts w:ascii="Times New Roman" w:eastAsia="MS PGothic" w:hAnsi="Times New Roman"/>
          <w:vertAlign w:val="subscript"/>
          <w:lang w:val="en-US"/>
        </w:rPr>
        <w:t>X/S</w:t>
      </w:r>
      <w:r>
        <w:rPr>
          <w:rFonts w:ascii="Times New Roman" w:eastAsia="MS PGothic" w:hAnsi="Times New Roman"/>
          <w:lang w:val="en-US"/>
        </w:rPr>
        <w:t xml:space="preserve"> (137.7 g/g)</w:t>
      </w:r>
      <w:r w:rsidRPr="009C4B66">
        <w:rPr>
          <w:rFonts w:ascii="Times New Roman" w:eastAsia="MS PGothic" w:hAnsi="Times New Roman"/>
          <w:vertAlign w:val="subscript"/>
          <w:lang w:val="en-US"/>
        </w:rPr>
        <w:t xml:space="preserve"> </w:t>
      </w:r>
      <w:r w:rsidRPr="009C4B66">
        <w:rPr>
          <w:rFonts w:ascii="Times New Roman" w:eastAsia="MS PGothic" w:hAnsi="Times New Roman"/>
          <w:lang w:val="en-US"/>
        </w:rPr>
        <w:t xml:space="preserve">for phosphorus. The Bolton equation is independent of the concentration of the substance and includes the inhibitory parameter of the product. This model calculates the lowest </w:t>
      </w:r>
      <w:proofErr w:type="spellStart"/>
      <w:r w:rsidRPr="009C4B66">
        <w:rPr>
          <w:rFonts w:ascii="Times New Roman" w:eastAsia="MS PGothic" w:hAnsi="Times New Roman"/>
          <w:lang w:val="en-US"/>
        </w:rPr>
        <w:t>μ</w:t>
      </w:r>
      <w:r w:rsidRPr="009C4B66">
        <w:rPr>
          <w:rFonts w:ascii="Times New Roman" w:eastAsia="MS PGothic" w:hAnsi="Times New Roman"/>
          <w:vertAlign w:val="subscript"/>
          <w:lang w:val="en-US"/>
        </w:rPr>
        <w:t>max</w:t>
      </w:r>
      <w:proofErr w:type="spellEnd"/>
      <w:r w:rsidRPr="009C4B66">
        <w:rPr>
          <w:rFonts w:ascii="Times New Roman" w:eastAsia="MS PGothic" w:hAnsi="Times New Roman"/>
          <w:lang w:val="en-US"/>
        </w:rPr>
        <w:t xml:space="preserve"> compared to other models. When the microalgae are in the growth phase, there is little change in the intracellular lipid content. As the biomass concentration increases, the amount of lipid in the medium also increases. Therefore</w:t>
      </w:r>
      <w:proofErr w:type="gramStart"/>
      <w:r w:rsidRPr="009C4B66">
        <w:rPr>
          <w:rFonts w:ascii="Times New Roman" w:eastAsia="MS PGothic" w:hAnsi="Times New Roman"/>
          <w:lang w:val="en-US"/>
        </w:rPr>
        <w:t>, in reality, the</w:t>
      </w:r>
      <w:proofErr w:type="gramEnd"/>
      <w:r w:rsidRPr="009C4B66">
        <w:rPr>
          <w:rFonts w:ascii="Times New Roman" w:eastAsia="MS PGothic" w:hAnsi="Times New Roman"/>
          <w:lang w:val="en-US"/>
        </w:rPr>
        <w:t xml:space="preserve"> product does not act as a deterrent to microalgae growth. In general, in the models that strongly (or even relatively) attributed the inhibition to the initial </w:t>
      </w:r>
      <w:r>
        <w:rPr>
          <w:rFonts w:ascii="Times New Roman" w:eastAsia="MS PGothic" w:hAnsi="Times New Roman"/>
          <w:lang w:val="en-US"/>
        </w:rPr>
        <w:t>c</w:t>
      </w:r>
      <w:r w:rsidRPr="009C4B66">
        <w:rPr>
          <w:rFonts w:ascii="Times New Roman" w:eastAsia="MS PGothic" w:hAnsi="Times New Roman"/>
          <w:lang w:val="en-US"/>
        </w:rPr>
        <w:t xml:space="preserve">oncentrations of the substance, there was no good agreement in determining the concentration of biomass or </w:t>
      </w:r>
      <w:r>
        <w:rPr>
          <w:rFonts w:ascii="Times New Roman" w:eastAsia="MS PGothic" w:hAnsi="Times New Roman"/>
          <w:lang w:val="en-US"/>
        </w:rPr>
        <w:t xml:space="preserve">substrate </w:t>
      </w:r>
      <w:r w:rsidRPr="009C4B66">
        <w:rPr>
          <w:rFonts w:ascii="Times New Roman" w:eastAsia="MS PGothic" w:hAnsi="Times New Roman"/>
          <w:lang w:val="en-US"/>
        </w:rPr>
        <w:t>with its practical reality.</w:t>
      </w:r>
    </w:p>
    <w:p w14:paraId="241197F5" w14:textId="77777777" w:rsidR="00BC79CF" w:rsidRDefault="00BC79CF" w:rsidP="00FE037B">
      <w:pPr>
        <w:snapToGrid w:val="0"/>
        <w:spacing w:before="240" w:after="120"/>
        <w:jc w:val="both"/>
        <w:rPr>
          <w:rFonts w:ascii="Times New Roman" w:eastAsia="MS PGothic" w:hAnsi="Times New Roman"/>
          <w:szCs w:val="18"/>
          <w:lang w:val="en-US"/>
        </w:rPr>
      </w:pPr>
    </w:p>
    <w:p w14:paraId="389B1511" w14:textId="37AA027F" w:rsidR="009C4B66" w:rsidRDefault="009C4B66" w:rsidP="009C4B66">
      <w:pPr>
        <w:snapToGrid w:val="0"/>
        <w:spacing w:after="120"/>
        <w:jc w:val="center"/>
        <w:rPr>
          <w:rFonts w:ascii="Times New Roman" w:eastAsia="MS PGothic" w:hAnsi="Times New Roman"/>
          <w:szCs w:val="18"/>
          <w:lang w:val="en-US"/>
        </w:rPr>
      </w:pPr>
      <w:r>
        <w:rPr>
          <w:noProof/>
          <w:lang w:val="en-US" w:bidi="fa-IR"/>
        </w:rPr>
        <w:drawing>
          <wp:inline distT="0" distB="0" distL="0" distR="0" wp14:anchorId="50F73AA3" wp14:editId="09C84566">
            <wp:extent cx="2497540" cy="2016580"/>
            <wp:effectExtent l="0" t="0" r="0" b="3175"/>
            <wp:docPr id="5" name="Picture 5" descr="C:\Users\Shabnam\AppData\Local\Microsoft\Windows\Temporary Internet Files\Content.Word\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bnam\AppData\Local\Microsoft\Windows\Temporary Internet Files\Content.Word\Presentation1.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08862" cy="2025722"/>
                    </a:xfrm>
                    <a:prstGeom prst="rect">
                      <a:avLst/>
                    </a:prstGeom>
                    <a:noFill/>
                    <a:ln>
                      <a:noFill/>
                    </a:ln>
                  </pic:spPr>
                </pic:pic>
              </a:graphicData>
            </a:graphic>
          </wp:inline>
        </w:drawing>
      </w:r>
    </w:p>
    <w:p w14:paraId="664E1B1D" w14:textId="6C6EA571" w:rsidR="009C4B66" w:rsidRPr="009C4B66" w:rsidRDefault="009C4B66" w:rsidP="009C4B66">
      <w:pPr>
        <w:snapToGrid w:val="0"/>
        <w:spacing w:after="0" w:line="240" w:lineRule="auto"/>
        <w:jc w:val="center"/>
        <w:rPr>
          <w:rFonts w:asciiTheme="majorBidi" w:eastAsia="MS PGothic" w:hAnsiTheme="majorBidi" w:cstheme="majorBidi"/>
          <w:sz w:val="18"/>
          <w:szCs w:val="18"/>
          <w:lang w:val="en-US"/>
        </w:rPr>
      </w:pPr>
      <w:r>
        <w:rPr>
          <w:rFonts w:asciiTheme="majorBidi" w:eastAsia="MS PGothic" w:hAnsiTheme="majorBidi" w:cstheme="majorBidi"/>
          <w:sz w:val="18"/>
          <w:szCs w:val="18"/>
          <w:lang w:val="en-US"/>
        </w:rPr>
        <w:t xml:space="preserve"> </w:t>
      </w: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Pr="009C4B66">
        <w:rPr>
          <w:rFonts w:asciiTheme="majorBidi" w:eastAsia="MS PGothic" w:hAnsiTheme="majorBidi" w:cstheme="majorBidi"/>
          <w:sz w:val="18"/>
          <w:szCs w:val="18"/>
          <w:lang w:val="en-US"/>
        </w:rPr>
        <w:t>Fitting of biomass concentrations</w:t>
      </w:r>
      <w:r>
        <w:rPr>
          <w:rFonts w:asciiTheme="majorBidi" w:eastAsia="MS PGothic" w:hAnsiTheme="majorBidi" w:cstheme="majorBidi"/>
          <w:sz w:val="18"/>
          <w:szCs w:val="18"/>
          <w:lang w:val="en-US"/>
        </w:rPr>
        <w:t>,</w:t>
      </w:r>
      <w:r w:rsidRPr="009C4B66">
        <w:rPr>
          <w:rFonts w:asciiTheme="majorBidi" w:eastAsia="MS PGothic" w:hAnsiTheme="majorBidi" w:cstheme="majorBidi"/>
          <w:sz w:val="18"/>
          <w:szCs w:val="18"/>
          <w:rtl/>
          <w:lang w:val="en-US" w:bidi="fa-IR"/>
        </w:rPr>
        <w:t xml:space="preserve"> </w:t>
      </w:r>
      <w:r w:rsidRPr="009C4B66">
        <w:rPr>
          <w:rFonts w:asciiTheme="majorBidi" w:eastAsia="MS PGothic" w:hAnsiTheme="majorBidi" w:cstheme="majorBidi"/>
          <w:sz w:val="18"/>
          <w:szCs w:val="18"/>
          <w:lang w:val="en-US"/>
        </w:rPr>
        <w:t>lipid production and COD</w:t>
      </w:r>
      <w:r w:rsidRPr="009C4B66">
        <w:rPr>
          <w:rFonts w:asciiTheme="majorBidi" w:eastAsia="MS PGothic" w:hAnsiTheme="majorBidi" w:cstheme="majorBidi"/>
          <w:sz w:val="18"/>
          <w:szCs w:val="18"/>
          <w:rtl/>
          <w:lang w:val="en-US" w:bidi="fa-IR"/>
        </w:rPr>
        <w:t xml:space="preserve"> </w:t>
      </w:r>
      <w:r w:rsidRPr="009C4B66">
        <w:rPr>
          <w:rFonts w:asciiTheme="majorBidi" w:eastAsia="MS PGothic" w:hAnsiTheme="majorBidi" w:cstheme="majorBidi"/>
          <w:sz w:val="18"/>
          <w:szCs w:val="18"/>
          <w:lang w:val="en-US"/>
        </w:rPr>
        <w:t>on logistic model</w:t>
      </w:r>
    </w:p>
    <w:p w14:paraId="5D73148E" w14:textId="77777777" w:rsidR="009C4B66" w:rsidRPr="009C4B66" w:rsidRDefault="009C4B66" w:rsidP="009C4B66">
      <w:pPr>
        <w:snapToGrid w:val="0"/>
        <w:spacing w:after="0" w:line="240" w:lineRule="auto"/>
        <w:jc w:val="center"/>
        <w:rPr>
          <w:rFonts w:asciiTheme="majorBidi" w:eastAsia="MS PGothic" w:hAnsiTheme="majorBidi" w:cstheme="majorBidi"/>
          <w:sz w:val="18"/>
          <w:szCs w:val="18"/>
          <w:rtl/>
          <w:lang w:val="en-US" w:bidi="fa-IR"/>
        </w:rPr>
      </w:pPr>
      <w:r w:rsidRPr="009C4B66">
        <w:rPr>
          <w:rFonts w:asciiTheme="majorBidi" w:eastAsia="MS PGothic" w:hAnsiTheme="majorBidi" w:cstheme="majorBidi"/>
          <w:sz w:val="18"/>
          <w:szCs w:val="18"/>
          <w:rtl/>
          <w:lang w:val="en-US" w:bidi="fa-IR"/>
        </w:rPr>
        <w:t xml:space="preserve"> </w:t>
      </w:r>
      <w:r w:rsidRPr="009C4B66">
        <w:rPr>
          <w:rFonts w:asciiTheme="majorBidi" w:eastAsia="MS PGothic" w:hAnsiTheme="majorBidi" w:cstheme="majorBidi"/>
          <w:sz w:val="18"/>
          <w:szCs w:val="18"/>
          <w:lang w:val="en-US"/>
        </w:rPr>
        <w:t>(Blue diagrams are</w:t>
      </w:r>
      <w:r w:rsidRPr="009C4B66">
        <w:rPr>
          <w:rFonts w:asciiTheme="majorBidi" w:eastAsia="MS PGothic" w:hAnsiTheme="majorBidi" w:cstheme="majorBidi"/>
          <w:sz w:val="18"/>
          <w:szCs w:val="18"/>
          <w:rtl/>
          <w:lang w:val="en-US" w:bidi="fa-IR"/>
        </w:rPr>
        <w:t xml:space="preserve"> </w:t>
      </w:r>
      <w:r w:rsidRPr="009C4B66">
        <w:rPr>
          <w:rFonts w:asciiTheme="majorBidi" w:eastAsia="MS PGothic" w:hAnsiTheme="majorBidi" w:cstheme="majorBidi"/>
          <w:sz w:val="18"/>
          <w:szCs w:val="18"/>
          <w:lang w:val="en-US"/>
        </w:rPr>
        <w:t>experimental</w:t>
      </w:r>
      <w:r w:rsidRPr="009C4B66">
        <w:rPr>
          <w:rFonts w:asciiTheme="majorBidi" w:eastAsia="MS PGothic" w:hAnsiTheme="majorBidi" w:cstheme="majorBidi"/>
          <w:sz w:val="18"/>
          <w:szCs w:val="18"/>
          <w:rtl/>
          <w:lang w:val="en-US" w:bidi="fa-IR"/>
        </w:rPr>
        <w:t xml:space="preserve"> </w:t>
      </w:r>
      <w:r w:rsidRPr="009C4B66">
        <w:rPr>
          <w:rFonts w:asciiTheme="majorBidi" w:eastAsia="MS PGothic" w:hAnsiTheme="majorBidi" w:cstheme="majorBidi"/>
          <w:sz w:val="18"/>
          <w:szCs w:val="18"/>
          <w:lang w:val="en-US"/>
        </w:rPr>
        <w:t>data)</w:t>
      </w:r>
    </w:p>
    <w:p w14:paraId="71EEDEB0" w14:textId="77777777" w:rsidR="009C4B66" w:rsidRPr="00466FFD" w:rsidRDefault="009C4B66" w:rsidP="00DA51A3">
      <w:pPr>
        <w:snapToGrid w:val="0"/>
        <w:spacing w:after="120"/>
        <w:jc w:val="center"/>
        <w:rPr>
          <w:rFonts w:ascii="Times New Roman" w:eastAsia="MS PGothic" w:hAnsi="Times New Roman"/>
          <w:szCs w:val="18"/>
          <w:lang w:val="en-US"/>
        </w:rPr>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68B40DFA" w14:textId="08ABA0AC" w:rsidR="009C4B66" w:rsidRPr="00FE037B" w:rsidRDefault="009C4B66" w:rsidP="009C4B66">
      <w:pPr>
        <w:rPr>
          <w:rFonts w:asciiTheme="majorBidi" w:hAnsiTheme="majorBidi" w:cstheme="majorBidi"/>
          <w:lang w:val="en-US"/>
        </w:rPr>
      </w:pPr>
      <w:r w:rsidRPr="00FE037B">
        <w:rPr>
          <w:rFonts w:asciiTheme="majorBidi" w:hAnsiTheme="majorBidi" w:cstheme="majorBidi"/>
          <w:lang w:val="en-US"/>
        </w:rPr>
        <w:t>Examining the obtained results based on the performed modeling, it was found that the logistic model with a fitting coefficient of 0.98 has a good prediction. The greater complexity of the equations and the increase of the effective parameters will not increase the accuracy of their predictions but will sometimes deviate from the correct estimation.</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856FA94" w14:textId="0649963B" w:rsidR="009C4B66" w:rsidRDefault="009C4B66" w:rsidP="00DA51A3">
      <w:pPr>
        <w:pStyle w:val="FirstParagraph"/>
        <w:numPr>
          <w:ilvl w:val="0"/>
          <w:numId w:val="1"/>
        </w:numPr>
        <w:tabs>
          <w:tab w:val="left" w:pos="426"/>
        </w:tabs>
        <w:spacing w:line="240" w:lineRule="auto"/>
        <w:ind w:left="426" w:hanging="426"/>
        <w:rPr>
          <w:rFonts w:ascii="Times New Roman" w:hAnsi="Times New Roman"/>
        </w:rPr>
      </w:pPr>
      <w:r w:rsidRPr="009C4B66">
        <w:rPr>
          <w:rFonts w:ascii="Times New Roman" w:hAnsi="Times New Roman"/>
        </w:rPr>
        <w:t>A. Raheem, P. Prinsen, A.</w:t>
      </w:r>
      <w:r w:rsidR="00BC79CF">
        <w:rPr>
          <w:rFonts w:ascii="Times New Roman" w:hAnsi="Times New Roman"/>
        </w:rPr>
        <w:t xml:space="preserve">K. </w:t>
      </w:r>
      <w:proofErr w:type="spellStart"/>
      <w:r w:rsidRPr="009C4B66">
        <w:rPr>
          <w:rFonts w:ascii="Times New Roman" w:hAnsi="Times New Roman"/>
        </w:rPr>
        <w:t>Vuppalad</w:t>
      </w:r>
      <w:r>
        <w:rPr>
          <w:rFonts w:ascii="Times New Roman" w:hAnsi="Times New Roman"/>
        </w:rPr>
        <w:t>adiyam</w:t>
      </w:r>
      <w:proofErr w:type="spellEnd"/>
      <w:r>
        <w:rPr>
          <w:rFonts w:ascii="Times New Roman" w:hAnsi="Times New Roman"/>
        </w:rPr>
        <w:t xml:space="preserve">, M. Zhao, R. Luque, </w:t>
      </w:r>
      <w:r w:rsidRPr="009C4B66">
        <w:rPr>
          <w:rFonts w:ascii="Times New Roman" w:hAnsi="Times New Roman"/>
        </w:rPr>
        <w:t>J. Clean. Prod.</w:t>
      </w:r>
      <w:r w:rsidR="00CC6167">
        <w:rPr>
          <w:rFonts w:ascii="Times New Roman" w:hAnsi="Times New Roman"/>
        </w:rPr>
        <w:t xml:space="preserve"> 181</w:t>
      </w:r>
      <w:r w:rsidRPr="009C4B66">
        <w:rPr>
          <w:rFonts w:ascii="Times New Roman" w:hAnsi="Times New Roman"/>
        </w:rPr>
        <w:t xml:space="preserve"> </w:t>
      </w:r>
      <w:r w:rsidR="00CC6167">
        <w:rPr>
          <w:rFonts w:ascii="Times New Roman" w:hAnsi="Times New Roman"/>
        </w:rPr>
        <w:t>(</w:t>
      </w:r>
      <w:r>
        <w:rPr>
          <w:rFonts w:ascii="Times New Roman" w:hAnsi="Times New Roman"/>
        </w:rPr>
        <w:t>2018</w:t>
      </w:r>
      <w:r w:rsidR="00CC6167">
        <w:rPr>
          <w:rFonts w:ascii="Times New Roman" w:hAnsi="Times New Roman"/>
        </w:rPr>
        <w:t>)</w:t>
      </w:r>
      <w:r w:rsidRPr="009C4B66">
        <w:rPr>
          <w:rFonts w:ascii="Times New Roman" w:hAnsi="Times New Roman"/>
        </w:rPr>
        <w:t xml:space="preserve"> 42–59.</w:t>
      </w:r>
    </w:p>
    <w:p w14:paraId="490C6B4A" w14:textId="5F675206" w:rsidR="00DA51A3" w:rsidRPr="009C4B66" w:rsidRDefault="009C4B66" w:rsidP="009C4B66">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FE037B">
        <w:rPr>
          <w:rFonts w:ascii="Times New Roman" w:hAnsi="Times New Roman"/>
        </w:rPr>
        <w:t>K.</w:t>
      </w:r>
      <w:r w:rsidR="00242ABD">
        <w:rPr>
          <w:rFonts w:ascii="Times New Roman" w:hAnsi="Times New Roman"/>
        </w:rPr>
        <w:t>T.</w:t>
      </w:r>
      <w:r w:rsidRPr="00FE037B">
        <w:rPr>
          <w:rFonts w:ascii="Times New Roman" w:hAnsi="Times New Roman"/>
        </w:rPr>
        <w:t xml:space="preserve"> </w:t>
      </w:r>
      <w:proofErr w:type="spellStart"/>
      <w:r w:rsidRPr="00FE037B">
        <w:rPr>
          <w:rFonts w:ascii="Times New Roman" w:hAnsi="Times New Roman"/>
        </w:rPr>
        <w:t>Sukahara</w:t>
      </w:r>
      <w:proofErr w:type="spellEnd"/>
      <w:r w:rsidR="00CC6167">
        <w:rPr>
          <w:rFonts w:ascii="Times New Roman" w:hAnsi="Times New Roman"/>
        </w:rPr>
        <w:t>,</w:t>
      </w:r>
      <w:r w:rsidRPr="00FE037B">
        <w:rPr>
          <w:rFonts w:ascii="Times New Roman" w:hAnsi="Times New Roman"/>
        </w:rPr>
        <w:t xml:space="preserve"> S</w:t>
      </w:r>
      <w:r w:rsidR="00BC79CF">
        <w:rPr>
          <w:rFonts w:ascii="Times New Roman" w:hAnsi="Times New Roman"/>
        </w:rPr>
        <w:t>.S</w:t>
      </w:r>
      <w:r w:rsidRPr="00FE037B">
        <w:rPr>
          <w:rFonts w:ascii="Times New Roman" w:hAnsi="Times New Roman"/>
        </w:rPr>
        <w:t xml:space="preserve">. </w:t>
      </w:r>
      <w:proofErr w:type="spellStart"/>
      <w:r w:rsidRPr="00FE037B">
        <w:rPr>
          <w:rFonts w:ascii="Times New Roman" w:hAnsi="Times New Roman"/>
        </w:rPr>
        <w:t>Awayama</w:t>
      </w:r>
      <w:proofErr w:type="spellEnd"/>
      <w:r w:rsidRPr="00FE037B">
        <w:rPr>
          <w:rFonts w:ascii="Times New Roman" w:hAnsi="Times New Roman"/>
        </w:rPr>
        <w:t xml:space="preserve">, J. Japan Pet. </w:t>
      </w:r>
      <w:r w:rsidRPr="00CC6167">
        <w:rPr>
          <w:rFonts w:ascii="Times New Roman" w:hAnsi="Times New Roman"/>
        </w:rPr>
        <w:t>Inst.</w:t>
      </w:r>
      <w:r w:rsidR="00CC6167">
        <w:rPr>
          <w:rFonts w:ascii="Times New Roman" w:hAnsi="Times New Roman"/>
        </w:rPr>
        <w:t xml:space="preserve"> 5</w:t>
      </w:r>
      <w:r w:rsidRPr="00CC6167">
        <w:rPr>
          <w:rFonts w:ascii="Times New Roman" w:hAnsi="Times New Roman"/>
        </w:rPr>
        <w:t xml:space="preserve"> </w:t>
      </w:r>
      <w:r w:rsidR="00CC6167">
        <w:rPr>
          <w:rFonts w:ascii="Times New Roman" w:hAnsi="Times New Roman"/>
        </w:rPr>
        <w:t>(</w:t>
      </w:r>
      <w:r w:rsidRPr="00CC6167">
        <w:rPr>
          <w:rFonts w:ascii="Times New Roman" w:hAnsi="Times New Roman"/>
        </w:rPr>
        <w:t>2005</w:t>
      </w:r>
      <w:r w:rsidR="00CC6167">
        <w:rPr>
          <w:rFonts w:ascii="Times New Roman" w:hAnsi="Times New Roman"/>
        </w:rPr>
        <w:t>)</w:t>
      </w:r>
      <w:r w:rsidRPr="00CC6167">
        <w:rPr>
          <w:rFonts w:ascii="Times New Roman" w:hAnsi="Times New Roman"/>
        </w:rPr>
        <w:t xml:space="preserve"> 251–259.</w:t>
      </w:r>
    </w:p>
    <w:p w14:paraId="551541A9" w14:textId="19C2A8D1" w:rsidR="009C4B66" w:rsidRPr="009C4B66" w:rsidRDefault="009C4B66" w:rsidP="009C4B66">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9C4B66">
        <w:rPr>
          <w:rFonts w:ascii="Times New Roman" w:hAnsi="Times New Roman"/>
        </w:rPr>
        <w:t xml:space="preserve">D. Surendhiran, M. Vijay, B. Sivaprakash, A. </w:t>
      </w:r>
      <w:proofErr w:type="spellStart"/>
      <w:r w:rsidR="000153E4" w:rsidRPr="009C4B66">
        <w:rPr>
          <w:rFonts w:ascii="Times New Roman" w:hAnsi="Times New Roman"/>
        </w:rPr>
        <w:t>Sira</w:t>
      </w:r>
      <w:r w:rsidR="000153E4">
        <w:rPr>
          <w:rFonts w:ascii="Times New Roman" w:hAnsi="Times New Roman"/>
        </w:rPr>
        <w:t>junnisa</w:t>
      </w:r>
      <w:proofErr w:type="spellEnd"/>
      <w:r w:rsidR="000153E4">
        <w:rPr>
          <w:rFonts w:ascii="Times New Roman" w:hAnsi="Times New Roman"/>
        </w:rPr>
        <w:t>,</w:t>
      </w:r>
      <w:r w:rsidRPr="009C4B66">
        <w:rPr>
          <w:rFonts w:ascii="Times New Roman" w:hAnsi="Times New Roman"/>
        </w:rPr>
        <w:t xml:space="preserve"> 3 Biotech</w:t>
      </w:r>
      <w:r w:rsidR="000153E4">
        <w:rPr>
          <w:rFonts w:ascii="Times New Roman" w:hAnsi="Times New Roman"/>
        </w:rPr>
        <w:t>. 5</w:t>
      </w:r>
      <w:r w:rsidRPr="009C4B66">
        <w:rPr>
          <w:rFonts w:ascii="Times New Roman" w:hAnsi="Times New Roman"/>
        </w:rPr>
        <w:t xml:space="preserve"> </w:t>
      </w:r>
      <w:r w:rsidR="000153E4">
        <w:rPr>
          <w:rFonts w:ascii="Times New Roman" w:hAnsi="Times New Roman"/>
        </w:rPr>
        <w:t>(</w:t>
      </w:r>
      <w:r>
        <w:rPr>
          <w:rFonts w:ascii="Times New Roman" w:hAnsi="Times New Roman"/>
        </w:rPr>
        <w:t>2015</w:t>
      </w:r>
      <w:r w:rsidR="000153E4">
        <w:rPr>
          <w:rFonts w:ascii="Times New Roman" w:hAnsi="Times New Roman"/>
        </w:rPr>
        <w:t xml:space="preserve">) </w:t>
      </w:r>
      <w:r w:rsidRPr="009C4B66">
        <w:rPr>
          <w:rFonts w:ascii="Times New Roman" w:hAnsi="Times New Roman"/>
        </w:rPr>
        <w:t>663–669</w:t>
      </w:r>
      <w:r>
        <w:rPr>
          <w:rFonts w:ascii="Times New Roman" w:hAnsi="Times New Roman"/>
        </w:rPr>
        <w:t>.</w:t>
      </w:r>
    </w:p>
    <w:p w14:paraId="77928855" w14:textId="5BD31E55" w:rsidR="009C4B66" w:rsidRDefault="009C4B66" w:rsidP="009C4B66">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sz w:val="22"/>
          <w:szCs w:val="22"/>
          <w:lang w:eastAsia="zh-CN"/>
        </w:rPr>
      </w:pPr>
      <w:r w:rsidRPr="00053C33">
        <w:rPr>
          <w:rFonts w:ascii="Times New Roman" w:hAnsi="Times New Roman"/>
        </w:rPr>
        <w:t>G. Halder</w:t>
      </w:r>
      <w:r w:rsidR="000153E4" w:rsidRPr="00053C33">
        <w:rPr>
          <w:rFonts w:ascii="Times New Roman" w:hAnsi="Times New Roman"/>
        </w:rPr>
        <w:t xml:space="preserve">, S.H. </w:t>
      </w:r>
      <w:proofErr w:type="spellStart"/>
      <w:r w:rsidR="000153E4" w:rsidRPr="00053C33">
        <w:rPr>
          <w:rFonts w:ascii="Times New Roman" w:hAnsi="Times New Roman"/>
        </w:rPr>
        <w:t>Dhawane</w:t>
      </w:r>
      <w:proofErr w:type="spellEnd"/>
      <w:r w:rsidR="000153E4" w:rsidRPr="00053C33">
        <w:rPr>
          <w:rFonts w:ascii="Times New Roman" w:hAnsi="Times New Roman"/>
        </w:rPr>
        <w:t>, D. Dutta</w:t>
      </w:r>
      <w:r w:rsidR="00053C33" w:rsidRPr="00053C33">
        <w:rPr>
          <w:rFonts w:ascii="Times New Roman" w:hAnsi="Times New Roman"/>
        </w:rPr>
        <w:t>, S. Dey</w:t>
      </w:r>
      <w:r w:rsidRPr="00053C33">
        <w:rPr>
          <w:rFonts w:ascii="Times New Roman" w:hAnsi="Times New Roman"/>
        </w:rPr>
        <w:t xml:space="preserve">, Sustain. </w:t>
      </w:r>
      <w:r w:rsidRPr="009C4B66">
        <w:rPr>
          <w:rFonts w:ascii="Times New Roman" w:hAnsi="Times New Roman"/>
        </w:rPr>
        <w:t>Energy Technol. Assessments</w:t>
      </w:r>
      <w:r w:rsidR="000153E4">
        <w:rPr>
          <w:rFonts w:ascii="Times New Roman" w:hAnsi="Times New Roman"/>
        </w:rPr>
        <w:t xml:space="preserve">. </w:t>
      </w:r>
      <w:r w:rsidRPr="009C4B66">
        <w:rPr>
          <w:rFonts w:ascii="Times New Roman" w:hAnsi="Times New Roman"/>
        </w:rPr>
        <w:t>18</w:t>
      </w:r>
      <w:r w:rsidR="00BC79CF">
        <w:rPr>
          <w:rFonts w:ascii="Times New Roman" w:hAnsi="Times New Roman"/>
        </w:rPr>
        <w:t xml:space="preserve"> </w:t>
      </w:r>
      <w:r w:rsidR="000153E4">
        <w:rPr>
          <w:rFonts w:ascii="Times New Roman" w:hAnsi="Times New Roman"/>
        </w:rPr>
        <w:t>(2016)</w:t>
      </w:r>
      <w:r w:rsidRPr="009C4B66">
        <w:rPr>
          <w:rFonts w:ascii="Times New Roman" w:hAnsi="Times New Roman"/>
        </w:rPr>
        <w:t xml:space="preserve"> 16–33</w:t>
      </w:r>
      <w:r>
        <w:rPr>
          <w:rFonts w:ascii="Times New Roman" w:eastAsia="SimSun" w:hAnsi="Times New Roman"/>
          <w:sz w:val="22"/>
          <w:szCs w:val="22"/>
          <w:lang w:eastAsia="zh-CN"/>
        </w:rPr>
        <w:t>.</w:t>
      </w:r>
    </w:p>
    <w:p w14:paraId="187080AA" w14:textId="68B59D94" w:rsidR="009C4B66" w:rsidRPr="009C4B66" w:rsidRDefault="009C4B66" w:rsidP="009C4B66">
      <w:pPr>
        <w:pStyle w:val="FirstParagraph"/>
        <w:numPr>
          <w:ilvl w:val="0"/>
          <w:numId w:val="1"/>
        </w:numPr>
        <w:tabs>
          <w:tab w:val="left" w:pos="426"/>
        </w:tabs>
        <w:spacing w:line="240" w:lineRule="auto"/>
        <w:ind w:left="426" w:hanging="426"/>
        <w:rPr>
          <w:rFonts w:ascii="Times New Roman" w:hAnsi="Times New Roman"/>
        </w:rPr>
      </w:pPr>
      <w:r w:rsidRPr="009C4B66">
        <w:rPr>
          <w:rFonts w:ascii="Times New Roman" w:hAnsi="Times New Roman"/>
        </w:rPr>
        <w:t>E.</w:t>
      </w:r>
      <w:r w:rsidR="00BC79CF">
        <w:rPr>
          <w:rFonts w:ascii="Times New Roman" w:hAnsi="Times New Roman"/>
        </w:rPr>
        <w:t>W</w:t>
      </w:r>
      <w:r w:rsidRPr="009C4B66">
        <w:rPr>
          <w:rFonts w:ascii="Times New Roman" w:hAnsi="Times New Roman"/>
        </w:rPr>
        <w:t>. Rice, R</w:t>
      </w:r>
      <w:r w:rsidR="00BC79CF">
        <w:rPr>
          <w:rFonts w:ascii="Times New Roman" w:hAnsi="Times New Roman"/>
        </w:rPr>
        <w:t>.</w:t>
      </w:r>
      <w:r w:rsidRPr="009C4B66">
        <w:rPr>
          <w:rFonts w:ascii="Times New Roman" w:hAnsi="Times New Roman"/>
        </w:rPr>
        <w:t>B. Baird, A.</w:t>
      </w:r>
      <w:r w:rsidR="00BC79CF">
        <w:rPr>
          <w:rFonts w:ascii="Times New Roman" w:hAnsi="Times New Roman"/>
        </w:rPr>
        <w:t>D.</w:t>
      </w:r>
      <w:r w:rsidRPr="009C4B66">
        <w:rPr>
          <w:rFonts w:ascii="Times New Roman" w:hAnsi="Times New Roman"/>
        </w:rPr>
        <w:t xml:space="preserve"> Eaton, L</w:t>
      </w:r>
      <w:r w:rsidR="00BC79CF">
        <w:rPr>
          <w:rFonts w:ascii="Times New Roman" w:hAnsi="Times New Roman"/>
        </w:rPr>
        <w:t>.S.</w:t>
      </w:r>
      <w:r w:rsidRPr="009C4B66">
        <w:rPr>
          <w:rFonts w:ascii="Times New Roman" w:hAnsi="Times New Roman"/>
        </w:rPr>
        <w:t xml:space="preserve"> Clesceri, Standard Methods for the Examination of Water and Wastewater</w:t>
      </w:r>
      <w:r w:rsidR="00053C33">
        <w:rPr>
          <w:rFonts w:ascii="Times New Roman" w:hAnsi="Times New Roman"/>
        </w:rPr>
        <w:t>, 22 ed.,</w:t>
      </w:r>
      <w:r w:rsidRPr="009C4B66">
        <w:rPr>
          <w:rFonts w:ascii="Times New Roman" w:hAnsi="Times New Roman"/>
        </w:rPr>
        <w:t xml:space="preserve"> </w:t>
      </w:r>
      <w:r w:rsidR="00242ABD" w:rsidRPr="009C4B66">
        <w:rPr>
          <w:rFonts w:ascii="Times New Roman" w:hAnsi="Times New Roman"/>
        </w:rPr>
        <w:t>American Public Health Association</w:t>
      </w:r>
      <w:r w:rsidR="00242ABD">
        <w:rPr>
          <w:rFonts w:ascii="Times New Roman" w:hAnsi="Times New Roman"/>
        </w:rPr>
        <w:t>,</w:t>
      </w:r>
      <w:r w:rsidR="00242ABD" w:rsidRPr="009C4B66">
        <w:rPr>
          <w:rFonts w:ascii="Times New Roman" w:hAnsi="Times New Roman"/>
        </w:rPr>
        <w:t xml:space="preserve"> </w:t>
      </w:r>
      <w:r w:rsidRPr="009C4B66">
        <w:rPr>
          <w:rFonts w:ascii="Times New Roman" w:hAnsi="Times New Roman"/>
        </w:rPr>
        <w:t>Washington DC, 2012.</w:t>
      </w:r>
    </w:p>
    <w:p w14:paraId="5A650773" w14:textId="637B438E" w:rsidR="005B71B2" w:rsidRPr="006A44E5" w:rsidRDefault="009C4B66" w:rsidP="00F2607B">
      <w:pPr>
        <w:pStyle w:val="FirstParagraph"/>
        <w:widowControl w:val="0"/>
        <w:numPr>
          <w:ilvl w:val="0"/>
          <w:numId w:val="1"/>
        </w:numPr>
        <w:tabs>
          <w:tab w:val="left" w:pos="426"/>
        </w:tabs>
        <w:autoSpaceDE w:val="0"/>
        <w:autoSpaceDN w:val="0"/>
        <w:adjustRightInd w:val="0"/>
        <w:spacing w:line="240" w:lineRule="auto"/>
        <w:ind w:left="426" w:hanging="426"/>
        <w:rPr>
          <w:rFonts w:ascii="Times New Roman" w:hAnsi="Times New Roman"/>
        </w:rPr>
      </w:pPr>
      <w:r w:rsidRPr="00242ABD">
        <w:rPr>
          <w:rFonts w:ascii="Times New Roman" w:hAnsi="Times New Roman"/>
          <w:lang w:val="it-IT"/>
        </w:rPr>
        <w:t>B.</w:t>
      </w:r>
      <w:r w:rsidR="00BC79CF">
        <w:rPr>
          <w:rFonts w:ascii="Times New Roman" w:hAnsi="Times New Roman"/>
          <w:lang w:val="it-IT"/>
        </w:rPr>
        <w:t>E.</w:t>
      </w:r>
      <w:r w:rsidRPr="00242ABD">
        <w:rPr>
          <w:rFonts w:ascii="Times New Roman" w:hAnsi="Times New Roman"/>
          <w:lang w:val="it-IT"/>
        </w:rPr>
        <w:t xml:space="preserve"> Kates, M. Volcani, Biochim. </w:t>
      </w:r>
      <w:proofErr w:type="spellStart"/>
      <w:r w:rsidRPr="006A44E5">
        <w:rPr>
          <w:rFonts w:ascii="Times New Roman" w:hAnsi="Times New Roman"/>
        </w:rPr>
        <w:t>Biophys</w:t>
      </w:r>
      <w:proofErr w:type="spellEnd"/>
      <w:r w:rsidRPr="006A44E5">
        <w:rPr>
          <w:rFonts w:ascii="Times New Roman" w:hAnsi="Times New Roman"/>
        </w:rPr>
        <w:t xml:space="preserve">. Acta - Lipids Lipid </w:t>
      </w:r>
      <w:proofErr w:type="spellStart"/>
      <w:r w:rsidRPr="006A44E5">
        <w:rPr>
          <w:rFonts w:ascii="Times New Roman" w:hAnsi="Times New Roman"/>
        </w:rPr>
        <w:t>Metab</w:t>
      </w:r>
      <w:proofErr w:type="spellEnd"/>
      <w:r w:rsidRPr="006A44E5">
        <w:rPr>
          <w:rFonts w:ascii="Times New Roman" w:hAnsi="Times New Roman"/>
        </w:rPr>
        <w:t>.</w:t>
      </w:r>
      <w:r w:rsidR="00242ABD">
        <w:rPr>
          <w:rFonts w:ascii="Times New Roman" w:hAnsi="Times New Roman"/>
        </w:rPr>
        <w:t xml:space="preserve"> 116 (</w:t>
      </w:r>
      <w:r w:rsidRPr="006A44E5">
        <w:rPr>
          <w:rFonts w:ascii="Times New Roman" w:hAnsi="Times New Roman"/>
        </w:rPr>
        <w:t>1966</w:t>
      </w:r>
      <w:r w:rsidR="00242ABD">
        <w:rPr>
          <w:rFonts w:ascii="Times New Roman" w:hAnsi="Times New Roman"/>
        </w:rPr>
        <w:t>)</w:t>
      </w:r>
      <w:r w:rsidRPr="006A44E5">
        <w:rPr>
          <w:rFonts w:ascii="Times New Roman" w:hAnsi="Times New Roman"/>
        </w:rPr>
        <w:t xml:space="preserve"> 264–278.</w:t>
      </w:r>
    </w:p>
    <w:sectPr w:rsidR="005B71B2" w:rsidRPr="006A44E5"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F4C2" w14:textId="77777777" w:rsidR="003A1CA8" w:rsidRDefault="003A1CA8" w:rsidP="001D0E0C">
      <w:pPr>
        <w:spacing w:after="0" w:line="240" w:lineRule="auto"/>
      </w:pPr>
      <w:r>
        <w:separator/>
      </w:r>
    </w:p>
  </w:endnote>
  <w:endnote w:type="continuationSeparator" w:id="0">
    <w:p w14:paraId="25F94920" w14:textId="77777777" w:rsidR="003A1CA8" w:rsidRDefault="003A1CA8"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D24C" w14:textId="77777777" w:rsidR="003A1CA8" w:rsidRDefault="003A1CA8" w:rsidP="001D0E0C">
      <w:pPr>
        <w:spacing w:after="0" w:line="240" w:lineRule="auto"/>
      </w:pPr>
      <w:r>
        <w:separator/>
      </w:r>
    </w:p>
  </w:footnote>
  <w:footnote w:type="continuationSeparator" w:id="0">
    <w:p w14:paraId="5A716F78" w14:textId="77777777" w:rsidR="003A1CA8" w:rsidRDefault="003A1CA8"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lang w:val="en-US" w:bidi="fa-IR"/>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lang w:val="en-US" w:bidi="fa-IR"/>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MDIyBBKWlgZGFko6SsGpxcWZ+XkgBYa1AFU2gygsAAAA"/>
  </w:docVars>
  <w:rsids>
    <w:rsidRoot w:val="00DA51A3"/>
    <w:rsid w:val="000153E4"/>
    <w:rsid w:val="000517B4"/>
    <w:rsid w:val="00053C33"/>
    <w:rsid w:val="00183E25"/>
    <w:rsid w:val="0018667F"/>
    <w:rsid w:val="001B060D"/>
    <w:rsid w:val="001D0E0C"/>
    <w:rsid w:val="00242ABD"/>
    <w:rsid w:val="00303E16"/>
    <w:rsid w:val="003A1CA8"/>
    <w:rsid w:val="003F160A"/>
    <w:rsid w:val="004018F8"/>
    <w:rsid w:val="00402674"/>
    <w:rsid w:val="004363C7"/>
    <w:rsid w:val="004C56B4"/>
    <w:rsid w:val="004D281B"/>
    <w:rsid w:val="004E1653"/>
    <w:rsid w:val="005B71B2"/>
    <w:rsid w:val="005C2A12"/>
    <w:rsid w:val="00697CD6"/>
    <w:rsid w:val="006A44E5"/>
    <w:rsid w:val="007129FE"/>
    <w:rsid w:val="007F0999"/>
    <w:rsid w:val="00863437"/>
    <w:rsid w:val="008871B1"/>
    <w:rsid w:val="008B1900"/>
    <w:rsid w:val="009C4B66"/>
    <w:rsid w:val="00AB1801"/>
    <w:rsid w:val="00BC79CF"/>
    <w:rsid w:val="00C40840"/>
    <w:rsid w:val="00CC6167"/>
    <w:rsid w:val="00D03DB3"/>
    <w:rsid w:val="00D322F1"/>
    <w:rsid w:val="00D412A9"/>
    <w:rsid w:val="00DA51A3"/>
    <w:rsid w:val="00DD2D8C"/>
    <w:rsid w:val="00F24290"/>
    <w:rsid w:val="00FE037B"/>
  </w:rsids>
  <m:mathPr>
    <m:mathFont m:val="Cambria Math"/>
    <m:brkBin m:val="before"/>
    <m:brkBinSub m:val="--"/>
    <m:smallFrac m:val="0"/>
    <m:dispDef/>
    <m:lMargin m:val="0"/>
    <m:rMargin m:val="0"/>
    <m:defJc m:val="centerGroup"/>
    <m:wrapIndent m:val="1440"/>
    <m:intLim m:val="subSup"/>
    <m:naryLim m:val="undOvr"/>
  </m:mathPr>
  <w:themeFontLang w:val="it-IT"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character" w:customStyle="1" w:styleId="fontstyle01">
    <w:name w:val="fontstyle01"/>
    <w:basedOn w:val="DefaultParagraphFont"/>
    <w:rsid w:val="00303E16"/>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9C4B66"/>
    <w:rPr>
      <w:color w:val="0563C1" w:themeColor="hyperlink"/>
      <w:u w:val="single"/>
    </w:rPr>
  </w:style>
  <w:style w:type="character" w:styleId="Emphasis">
    <w:name w:val="Emphasis"/>
    <w:basedOn w:val="DefaultParagraphFont"/>
    <w:uiPriority w:val="20"/>
    <w:qFormat/>
    <w:rsid w:val="009C4B66"/>
    <w:rPr>
      <w:i/>
      <w:iCs/>
    </w:rPr>
  </w:style>
  <w:style w:type="character" w:styleId="UnresolvedMention">
    <w:name w:val="Unresolved Mention"/>
    <w:basedOn w:val="DefaultParagraphFont"/>
    <w:uiPriority w:val="99"/>
    <w:semiHidden/>
    <w:unhideWhenUsed/>
    <w:rsid w:val="00FE037B"/>
    <w:rPr>
      <w:color w:val="605E5C"/>
      <w:shd w:val="clear" w:color="auto" w:fill="E1DFDD"/>
    </w:rPr>
  </w:style>
  <w:style w:type="character" w:styleId="CommentReference">
    <w:name w:val="annotation reference"/>
    <w:basedOn w:val="DefaultParagraphFont"/>
    <w:uiPriority w:val="99"/>
    <w:semiHidden/>
    <w:unhideWhenUsed/>
    <w:rsid w:val="007F0999"/>
    <w:rPr>
      <w:sz w:val="16"/>
      <w:szCs w:val="16"/>
    </w:rPr>
  </w:style>
  <w:style w:type="paragraph" w:styleId="CommentText">
    <w:name w:val="annotation text"/>
    <w:basedOn w:val="Normal"/>
    <w:link w:val="CommentTextChar"/>
    <w:uiPriority w:val="99"/>
    <w:unhideWhenUsed/>
    <w:rsid w:val="007F0999"/>
    <w:pPr>
      <w:spacing w:line="240" w:lineRule="auto"/>
    </w:pPr>
    <w:rPr>
      <w:sz w:val="20"/>
      <w:szCs w:val="20"/>
    </w:rPr>
  </w:style>
  <w:style w:type="character" w:customStyle="1" w:styleId="CommentTextChar">
    <w:name w:val="Comment Text Char"/>
    <w:basedOn w:val="DefaultParagraphFont"/>
    <w:link w:val="CommentText"/>
    <w:uiPriority w:val="99"/>
    <w:rsid w:val="007F0999"/>
    <w:rPr>
      <w:sz w:val="20"/>
      <w:szCs w:val="20"/>
    </w:rPr>
  </w:style>
  <w:style w:type="paragraph" w:styleId="CommentSubject">
    <w:name w:val="annotation subject"/>
    <w:basedOn w:val="CommentText"/>
    <w:next w:val="CommentText"/>
    <w:link w:val="CommentSubjectChar"/>
    <w:uiPriority w:val="99"/>
    <w:semiHidden/>
    <w:unhideWhenUsed/>
    <w:rsid w:val="007F0999"/>
    <w:rPr>
      <w:b/>
      <w:bCs/>
    </w:rPr>
  </w:style>
  <w:style w:type="character" w:customStyle="1" w:styleId="CommentSubjectChar">
    <w:name w:val="Comment Subject Char"/>
    <w:basedOn w:val="CommentTextChar"/>
    <w:link w:val="CommentSubject"/>
    <w:uiPriority w:val="99"/>
    <w:semiHidden/>
    <w:rsid w:val="007F09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nam.mirizadeh@edu.un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792B-C294-45D4-AFF6-DC8C4DB1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2170</Words>
  <Characters>12369</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Shabnam Mirizadeh</cp:lastModifiedBy>
  <cp:revision>4</cp:revision>
  <cp:lastPrinted>2022-01-31T11:56:00Z</cp:lastPrinted>
  <dcterms:created xsi:type="dcterms:W3CDTF">2022-03-18T07:48:00Z</dcterms:created>
  <dcterms:modified xsi:type="dcterms:W3CDTF">2022-03-18T08:29:00Z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34ca453c-93c6-330a-9855-e80bc57c47c4</vt:lpwstr>
  </property>
  <property fmtid="{D5CDD505-2E9C-101B-9397-08002B2CF9AE}" pid="24" name="Mendeley Citation Style_1">
    <vt:lpwstr>http://www.zotero.org/styles/ieee</vt:lpwstr>
  </property>
</Properties>
</file>