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FDD9A" w14:textId="75939B66" w:rsidR="001368AE" w:rsidRDefault="001368AE" w:rsidP="00DA51A3">
      <w:pPr>
        <w:snapToGrid w:val="0"/>
        <w:jc w:val="center"/>
        <w:rPr>
          <w:rFonts w:ascii="Times New Roman" w:eastAsia="MS PGothic" w:hAnsi="Times New Roman"/>
          <w:b/>
          <w:bCs/>
          <w:sz w:val="24"/>
          <w:szCs w:val="24"/>
          <w:lang w:val="en-US"/>
        </w:rPr>
      </w:pPr>
      <w:r>
        <w:rPr>
          <w:rFonts w:ascii="Times New Roman" w:eastAsia="MS PGothic" w:hAnsi="Times New Roman"/>
          <w:b/>
          <w:bCs/>
          <w:sz w:val="24"/>
          <w:szCs w:val="24"/>
          <w:lang w:val="en-US"/>
        </w:rPr>
        <w:t>Multiscale</w:t>
      </w:r>
      <w:r w:rsidR="00E92417">
        <w:rPr>
          <w:rFonts w:ascii="Times New Roman" w:eastAsia="MS PGothic" w:hAnsi="Times New Roman"/>
          <w:b/>
          <w:bCs/>
          <w:sz w:val="24"/>
          <w:szCs w:val="24"/>
          <w:lang w:val="en-US"/>
        </w:rPr>
        <w:t xml:space="preserve"> modeling</w:t>
      </w:r>
      <w:r>
        <w:rPr>
          <w:rFonts w:ascii="Times New Roman" w:eastAsia="MS PGothic" w:hAnsi="Times New Roman"/>
          <w:b/>
          <w:bCs/>
          <w:sz w:val="24"/>
          <w:szCs w:val="24"/>
          <w:lang w:val="en-US"/>
        </w:rPr>
        <w:t xml:space="preserve"> for the estimation of economic, energy and environmental indicators</w:t>
      </w:r>
    </w:p>
    <w:p w14:paraId="1160967C" w14:textId="541392A5" w:rsidR="00C81D4B" w:rsidRPr="00B74190" w:rsidRDefault="00C81D4B" w:rsidP="00C81D4B">
      <w:pPr>
        <w:pStyle w:val="Sottotitolo"/>
        <w:rPr>
          <w:rFonts w:ascii="Times New Roman" w:hAnsi="Times New Roman" w:cs="Times New Roman"/>
          <w:sz w:val="20"/>
          <w:szCs w:val="20"/>
          <w:lang w:val="it-IT"/>
        </w:rPr>
      </w:pPr>
      <w:bookmarkStart w:id="0" w:name="_Hlk59982890"/>
      <w:bookmarkStart w:id="1" w:name="_Hlk60034419"/>
      <w:bookmarkStart w:id="2" w:name="_Hlk59982917"/>
      <w:r w:rsidRPr="00C81D4B">
        <w:rPr>
          <w:rFonts w:ascii="Times New Roman" w:hAnsi="Times New Roman" w:cs="Times New Roman"/>
          <w:sz w:val="24"/>
          <w:lang w:val="it-IT"/>
        </w:rPr>
        <w:t xml:space="preserve">Andrea </w:t>
      </w:r>
      <w:proofErr w:type="spellStart"/>
      <w:proofErr w:type="gramStart"/>
      <w:r w:rsidRPr="00C81D4B">
        <w:rPr>
          <w:rFonts w:ascii="Times New Roman" w:hAnsi="Times New Roman" w:cs="Times New Roman"/>
          <w:sz w:val="24"/>
          <w:lang w:val="it-IT"/>
        </w:rPr>
        <w:t>Mio</w:t>
      </w:r>
      <w:r w:rsidR="00C0206F">
        <w:rPr>
          <w:rFonts w:ascii="Times New Roman" w:hAnsi="Times New Roman" w:cs="Times New Roman"/>
          <w:sz w:val="24"/>
          <w:vertAlign w:val="superscript"/>
          <w:lang w:val="it-IT"/>
        </w:rPr>
        <w:t>a</w:t>
      </w:r>
      <w:r w:rsidRPr="00C81D4B">
        <w:rPr>
          <w:rFonts w:ascii="Times New Roman" w:hAnsi="Times New Roman" w:cs="Times New Roman"/>
          <w:sz w:val="24"/>
          <w:vertAlign w:val="superscript"/>
          <w:lang w:val="it-IT"/>
        </w:rPr>
        <w:t>,d</w:t>
      </w:r>
      <w:proofErr w:type="spellEnd"/>
      <w:proofErr w:type="gramEnd"/>
      <w:r w:rsidRPr="00C81D4B">
        <w:rPr>
          <w:rFonts w:ascii="Times New Roman" w:hAnsi="Times New Roman" w:cs="Times New Roman"/>
          <w:sz w:val="24"/>
          <w:vertAlign w:val="superscript"/>
          <w:lang w:val="it-IT"/>
        </w:rPr>
        <w:t>*</w:t>
      </w:r>
      <w:r w:rsidRPr="00C81D4B">
        <w:rPr>
          <w:rFonts w:ascii="Times New Roman" w:hAnsi="Times New Roman" w:cs="Times New Roman"/>
          <w:sz w:val="24"/>
          <w:lang w:val="it-IT"/>
        </w:rPr>
        <w:t xml:space="preserve">, Elena </w:t>
      </w:r>
      <w:proofErr w:type="spellStart"/>
      <w:r w:rsidRPr="00C81D4B">
        <w:rPr>
          <w:rFonts w:ascii="Times New Roman" w:hAnsi="Times New Roman" w:cs="Times New Roman"/>
          <w:sz w:val="24"/>
          <w:lang w:val="it-IT"/>
        </w:rPr>
        <w:t>Barbera</w:t>
      </w:r>
      <w:r w:rsidR="00C0206F">
        <w:rPr>
          <w:rFonts w:ascii="Times New Roman" w:hAnsi="Times New Roman" w:cs="Times New Roman"/>
          <w:sz w:val="24"/>
          <w:vertAlign w:val="superscript"/>
          <w:lang w:val="it-IT"/>
        </w:rPr>
        <w:t>b</w:t>
      </w:r>
      <w:proofErr w:type="spellEnd"/>
      <w:r w:rsidRPr="00C81D4B">
        <w:rPr>
          <w:rFonts w:ascii="Times New Roman" w:hAnsi="Times New Roman" w:cs="Times New Roman"/>
          <w:sz w:val="24"/>
          <w:lang w:val="it-IT"/>
        </w:rPr>
        <w:t xml:space="preserve">, Alessandro Massi </w:t>
      </w:r>
      <w:proofErr w:type="spellStart"/>
      <w:r w:rsidRPr="00C81D4B">
        <w:rPr>
          <w:rFonts w:ascii="Times New Roman" w:hAnsi="Times New Roman" w:cs="Times New Roman"/>
          <w:sz w:val="24"/>
          <w:lang w:val="it-IT"/>
        </w:rPr>
        <w:t>Pavan</w:t>
      </w:r>
      <w:r w:rsidR="00C0206F">
        <w:rPr>
          <w:rFonts w:ascii="Times New Roman" w:hAnsi="Times New Roman" w:cs="Times New Roman"/>
          <w:sz w:val="24"/>
          <w:vertAlign w:val="superscript"/>
          <w:lang w:val="it-IT"/>
        </w:rPr>
        <w:t>a</w:t>
      </w:r>
      <w:r w:rsidRPr="00C81D4B">
        <w:rPr>
          <w:rFonts w:ascii="Times New Roman" w:hAnsi="Times New Roman" w:cs="Times New Roman"/>
          <w:sz w:val="24"/>
          <w:vertAlign w:val="superscript"/>
          <w:lang w:val="it-IT"/>
        </w:rPr>
        <w:t>,d</w:t>
      </w:r>
      <w:proofErr w:type="spellEnd"/>
      <w:r w:rsidRPr="00C81D4B">
        <w:rPr>
          <w:rFonts w:ascii="Times New Roman" w:hAnsi="Times New Roman" w:cs="Times New Roman"/>
          <w:sz w:val="24"/>
          <w:lang w:val="it-IT"/>
        </w:rPr>
        <w:t xml:space="preserve">, Alberto </w:t>
      </w:r>
      <w:proofErr w:type="spellStart"/>
      <w:r w:rsidRPr="00C81D4B">
        <w:rPr>
          <w:rFonts w:ascii="Times New Roman" w:hAnsi="Times New Roman" w:cs="Times New Roman"/>
          <w:sz w:val="24"/>
          <w:lang w:val="it-IT"/>
        </w:rPr>
        <w:t>Bertucco</w:t>
      </w:r>
      <w:r w:rsidR="00C0206F">
        <w:rPr>
          <w:rFonts w:ascii="Times New Roman" w:hAnsi="Times New Roman" w:cs="Times New Roman"/>
          <w:sz w:val="24"/>
          <w:vertAlign w:val="superscript"/>
          <w:lang w:val="it-IT"/>
        </w:rPr>
        <w:t>b</w:t>
      </w:r>
      <w:r w:rsidRPr="00C81D4B">
        <w:rPr>
          <w:rFonts w:ascii="Times New Roman" w:hAnsi="Times New Roman" w:cs="Times New Roman"/>
          <w:sz w:val="24"/>
          <w:vertAlign w:val="superscript"/>
          <w:lang w:val="it-IT"/>
        </w:rPr>
        <w:t>,c</w:t>
      </w:r>
      <w:proofErr w:type="spellEnd"/>
      <w:r w:rsidRPr="00C81D4B">
        <w:rPr>
          <w:rFonts w:ascii="Times New Roman" w:hAnsi="Times New Roman" w:cs="Times New Roman"/>
          <w:sz w:val="24"/>
          <w:lang w:val="it-IT"/>
        </w:rPr>
        <w:t xml:space="preserve">, </w:t>
      </w:r>
      <w:r w:rsidR="00B74190">
        <w:rPr>
          <w:rFonts w:ascii="Times New Roman" w:hAnsi="Times New Roman" w:cs="Times New Roman"/>
          <w:sz w:val="24"/>
          <w:lang w:val="it-IT"/>
        </w:rPr>
        <w:br/>
      </w:r>
      <w:r w:rsidRPr="00C0206F">
        <w:rPr>
          <w:rFonts w:ascii="Times New Roman" w:hAnsi="Times New Roman" w:cs="Times New Roman"/>
          <w:sz w:val="24"/>
          <w:szCs w:val="24"/>
          <w:lang w:val="it-IT"/>
        </w:rPr>
        <w:t xml:space="preserve">Maurizio </w:t>
      </w:r>
      <w:proofErr w:type="spellStart"/>
      <w:r w:rsidRPr="00C0206F">
        <w:rPr>
          <w:rFonts w:ascii="Times New Roman" w:hAnsi="Times New Roman" w:cs="Times New Roman"/>
          <w:sz w:val="24"/>
          <w:szCs w:val="24"/>
          <w:lang w:val="it-IT"/>
        </w:rPr>
        <w:t>Fermeglia</w:t>
      </w:r>
      <w:r w:rsidR="00C0206F" w:rsidRPr="00C0206F">
        <w:rPr>
          <w:rFonts w:ascii="Times New Roman" w:hAnsi="Times New Roman" w:cs="Times New Roman"/>
          <w:sz w:val="24"/>
          <w:szCs w:val="24"/>
          <w:vertAlign w:val="superscript"/>
          <w:lang w:val="it-IT"/>
        </w:rPr>
        <w:t>a</w:t>
      </w:r>
      <w:r w:rsidRPr="00C0206F">
        <w:rPr>
          <w:rFonts w:ascii="Times New Roman" w:hAnsi="Times New Roman" w:cs="Times New Roman"/>
          <w:sz w:val="24"/>
          <w:szCs w:val="24"/>
          <w:vertAlign w:val="superscript"/>
          <w:lang w:val="it-IT"/>
        </w:rPr>
        <w:t>,d</w:t>
      </w:r>
      <w:proofErr w:type="spellEnd"/>
      <w:r w:rsidRPr="00B74190">
        <w:rPr>
          <w:rFonts w:ascii="Times New Roman" w:hAnsi="Times New Roman" w:cs="Times New Roman"/>
          <w:sz w:val="20"/>
          <w:szCs w:val="20"/>
          <w:lang w:val="it-IT"/>
        </w:rPr>
        <w:t xml:space="preserve"> </w:t>
      </w:r>
    </w:p>
    <w:p w14:paraId="4179D43C" w14:textId="28812801" w:rsidR="00C81D4B" w:rsidRPr="00B74190" w:rsidRDefault="00C81D4B" w:rsidP="00C81D4B">
      <w:pPr>
        <w:spacing w:after="0"/>
        <w:jc w:val="center"/>
        <w:rPr>
          <w:rFonts w:ascii="Times New Roman" w:hAnsi="Times New Roman" w:cs="Times New Roman"/>
          <w:sz w:val="20"/>
          <w:szCs w:val="20"/>
          <w:lang w:val="en-GB"/>
        </w:rPr>
      </w:pPr>
      <w:r w:rsidRPr="00B74190">
        <w:rPr>
          <w:rFonts w:ascii="Times New Roman" w:hAnsi="Times New Roman" w:cs="Times New Roman"/>
          <w:sz w:val="20"/>
          <w:szCs w:val="20"/>
          <w:lang w:val="en-GB"/>
        </w:rPr>
        <w:t xml:space="preserve">a. </w:t>
      </w:r>
      <w:r w:rsidR="00C0206F" w:rsidRPr="00B74190">
        <w:rPr>
          <w:rFonts w:ascii="Times New Roman" w:hAnsi="Times New Roman" w:cs="Times New Roman"/>
          <w:sz w:val="20"/>
          <w:szCs w:val="20"/>
          <w:lang w:val="en-GB"/>
        </w:rPr>
        <w:t xml:space="preserve">Department of Engineering and Architecture, University of Trieste, </w:t>
      </w:r>
      <w:r w:rsidR="00C0206F">
        <w:rPr>
          <w:rFonts w:ascii="Times New Roman" w:hAnsi="Times New Roman" w:cs="Times New Roman"/>
          <w:sz w:val="20"/>
          <w:szCs w:val="20"/>
          <w:lang w:val="en-GB"/>
        </w:rPr>
        <w:t>Italy</w:t>
      </w:r>
    </w:p>
    <w:p w14:paraId="50EBB35F" w14:textId="2ADE5DFA" w:rsidR="00C0206F" w:rsidRPr="00B74190" w:rsidRDefault="00C81D4B" w:rsidP="00C0206F">
      <w:pPr>
        <w:spacing w:after="0"/>
        <w:jc w:val="center"/>
        <w:rPr>
          <w:rFonts w:ascii="Times New Roman" w:hAnsi="Times New Roman" w:cs="Times New Roman"/>
          <w:sz w:val="20"/>
          <w:szCs w:val="20"/>
          <w:lang w:val="en-GB"/>
        </w:rPr>
      </w:pPr>
      <w:r w:rsidRPr="00B74190">
        <w:rPr>
          <w:rFonts w:ascii="Times New Roman" w:hAnsi="Times New Roman" w:cs="Times New Roman"/>
          <w:sz w:val="20"/>
          <w:szCs w:val="20"/>
          <w:lang w:val="en-GB"/>
        </w:rPr>
        <w:t xml:space="preserve">b. </w:t>
      </w:r>
      <w:r w:rsidR="00C0206F" w:rsidRPr="00B74190">
        <w:rPr>
          <w:rFonts w:ascii="Times New Roman" w:hAnsi="Times New Roman" w:cs="Times New Roman"/>
          <w:sz w:val="20"/>
          <w:szCs w:val="20"/>
          <w:lang w:val="en-GB"/>
        </w:rPr>
        <w:t>Department of Industrial Engineering (DII), University of Padova, Italy</w:t>
      </w:r>
    </w:p>
    <w:p w14:paraId="36520C14" w14:textId="77777777" w:rsidR="00C81D4B" w:rsidRPr="00B74190" w:rsidRDefault="00C81D4B" w:rsidP="00C81D4B">
      <w:pPr>
        <w:spacing w:after="0"/>
        <w:jc w:val="center"/>
        <w:rPr>
          <w:rFonts w:ascii="Times New Roman" w:hAnsi="Times New Roman" w:cs="Times New Roman"/>
          <w:sz w:val="20"/>
          <w:szCs w:val="20"/>
          <w:lang w:val="en-GB"/>
        </w:rPr>
      </w:pPr>
      <w:r w:rsidRPr="00B74190">
        <w:rPr>
          <w:rFonts w:ascii="Times New Roman" w:hAnsi="Times New Roman" w:cs="Times New Roman"/>
          <w:sz w:val="20"/>
          <w:szCs w:val="20"/>
          <w:lang w:val="en-GB"/>
        </w:rPr>
        <w:t xml:space="preserve">c. Centro </w:t>
      </w:r>
      <w:proofErr w:type="spellStart"/>
      <w:r w:rsidRPr="00B74190">
        <w:rPr>
          <w:rFonts w:ascii="Times New Roman" w:hAnsi="Times New Roman" w:cs="Times New Roman"/>
          <w:sz w:val="20"/>
          <w:szCs w:val="20"/>
          <w:lang w:val="en-GB"/>
        </w:rPr>
        <w:t>Studi</w:t>
      </w:r>
      <w:proofErr w:type="spellEnd"/>
      <w:r w:rsidRPr="00B74190">
        <w:rPr>
          <w:rFonts w:ascii="Times New Roman" w:hAnsi="Times New Roman" w:cs="Times New Roman"/>
          <w:sz w:val="20"/>
          <w:szCs w:val="20"/>
          <w:lang w:val="en-GB"/>
        </w:rPr>
        <w:t xml:space="preserve"> “Levi Cases” for Energy Economics and Technology, University of Padova, Italy</w:t>
      </w:r>
    </w:p>
    <w:p w14:paraId="04A62154" w14:textId="77777777" w:rsidR="00C81D4B" w:rsidRPr="00B74190" w:rsidRDefault="00C81D4B" w:rsidP="00C81D4B">
      <w:pPr>
        <w:spacing w:after="0"/>
        <w:jc w:val="center"/>
        <w:rPr>
          <w:rFonts w:ascii="Times New Roman" w:hAnsi="Times New Roman" w:cs="Times New Roman"/>
          <w:sz w:val="20"/>
          <w:szCs w:val="20"/>
          <w:lang w:val="en-US"/>
        </w:rPr>
      </w:pPr>
      <w:r w:rsidRPr="00B74190">
        <w:rPr>
          <w:rFonts w:ascii="Times New Roman" w:hAnsi="Times New Roman" w:cs="Times New Roman"/>
          <w:sz w:val="20"/>
          <w:szCs w:val="20"/>
          <w:lang w:val="en-GB"/>
        </w:rPr>
        <w:t xml:space="preserve">d. </w:t>
      </w:r>
      <w:proofErr w:type="spellStart"/>
      <w:r w:rsidRPr="00B74190">
        <w:rPr>
          <w:rFonts w:ascii="Times New Roman" w:hAnsi="Times New Roman" w:cs="Times New Roman"/>
          <w:sz w:val="20"/>
          <w:szCs w:val="20"/>
          <w:lang w:val="en-GB"/>
        </w:rPr>
        <w:t>Center</w:t>
      </w:r>
      <w:proofErr w:type="spellEnd"/>
      <w:r w:rsidRPr="00B74190">
        <w:rPr>
          <w:rFonts w:ascii="Times New Roman" w:hAnsi="Times New Roman" w:cs="Times New Roman"/>
          <w:sz w:val="20"/>
          <w:szCs w:val="20"/>
          <w:lang w:val="en-GB"/>
        </w:rPr>
        <w:t xml:space="preserve"> for Energy, Environment and Transport Giacomo </w:t>
      </w:r>
      <w:proofErr w:type="spellStart"/>
      <w:r w:rsidRPr="00B74190">
        <w:rPr>
          <w:rFonts w:ascii="Times New Roman" w:hAnsi="Times New Roman" w:cs="Times New Roman"/>
          <w:sz w:val="20"/>
          <w:szCs w:val="20"/>
          <w:lang w:val="en-GB"/>
        </w:rPr>
        <w:t>Ciamician</w:t>
      </w:r>
      <w:proofErr w:type="spellEnd"/>
      <w:r w:rsidRPr="00B74190">
        <w:rPr>
          <w:rFonts w:ascii="Times New Roman" w:hAnsi="Times New Roman" w:cs="Times New Roman"/>
          <w:sz w:val="20"/>
          <w:szCs w:val="20"/>
          <w:lang w:val="en-GB"/>
        </w:rPr>
        <w:t>, University of Trieste, Italy</w:t>
      </w:r>
    </w:p>
    <w:p w14:paraId="7459409F" w14:textId="7CB8AC66" w:rsidR="00C81D4B" w:rsidRPr="006F2347" w:rsidRDefault="00C81D4B" w:rsidP="00C81D4B">
      <w:pPr>
        <w:spacing w:after="0"/>
        <w:jc w:val="center"/>
        <w:rPr>
          <w:rStyle w:val="Collegamentoipertestuale"/>
          <w:rFonts w:ascii="Times New Roman" w:hAnsi="Times New Roman" w:cs="Times New Roman"/>
          <w:sz w:val="20"/>
          <w:szCs w:val="20"/>
          <w:lang w:val="en-GB"/>
        </w:rPr>
      </w:pPr>
      <w:r w:rsidRPr="00B74190">
        <w:rPr>
          <w:rFonts w:ascii="Times New Roman" w:hAnsi="Times New Roman" w:cs="Times New Roman"/>
          <w:sz w:val="20"/>
          <w:szCs w:val="20"/>
          <w:lang w:val="en-GB"/>
        </w:rPr>
        <w:t xml:space="preserve">* Corresponding author e-mail: </w:t>
      </w:r>
      <w:hyperlink r:id="rId7" w:history="1">
        <w:r w:rsidRPr="00B74190">
          <w:rPr>
            <w:rStyle w:val="Collegamentoipertestuale"/>
            <w:rFonts w:ascii="Times New Roman" w:hAnsi="Times New Roman" w:cs="Times New Roman"/>
            <w:sz w:val="20"/>
            <w:szCs w:val="20"/>
            <w:lang w:val="en-GB"/>
          </w:rPr>
          <w:t>amio@units.it</w:t>
        </w:r>
      </w:hyperlink>
    </w:p>
    <w:bookmarkEnd w:id="0"/>
    <w:bookmarkEnd w:id="1"/>
    <w:bookmarkEnd w:id="2"/>
    <w:p w14:paraId="110B92B3" w14:textId="77777777"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3F160A">
        <w:rPr>
          <w:rFonts w:ascii="Times New Roman" w:eastAsia="MS PGothic" w:hAnsi="Times New Roman"/>
          <w:b/>
          <w:bCs/>
          <w:lang w:val="en-US"/>
        </w:rPr>
        <w:t>Introduction</w:t>
      </w:r>
    </w:p>
    <w:p w14:paraId="3753F905" w14:textId="47E93885" w:rsidR="001F761C" w:rsidRDefault="005F6887" w:rsidP="005F6887">
      <w:pPr>
        <w:snapToGrid w:val="0"/>
        <w:spacing w:after="120"/>
        <w:rPr>
          <w:rFonts w:ascii="Times New Roman" w:eastAsia="MS PGothic" w:hAnsi="Times New Roman"/>
          <w:lang w:val="en-GB"/>
        </w:rPr>
      </w:pPr>
      <w:r w:rsidRPr="005F6887">
        <w:rPr>
          <w:rFonts w:ascii="Times New Roman" w:eastAsia="MS PGothic" w:hAnsi="Times New Roman"/>
          <w:lang w:val="en-GB"/>
        </w:rPr>
        <w:t xml:space="preserve">One of the major challenges </w:t>
      </w:r>
      <w:r w:rsidR="001F761C">
        <w:rPr>
          <w:rFonts w:ascii="Times New Roman" w:eastAsia="MS PGothic" w:hAnsi="Times New Roman"/>
          <w:lang w:val="en-GB"/>
        </w:rPr>
        <w:t xml:space="preserve">of the design of new processes and new products is the evaluation of indicators </w:t>
      </w:r>
      <w:r w:rsidR="005F08FA">
        <w:rPr>
          <w:rFonts w:ascii="Times New Roman" w:eastAsia="MS PGothic" w:hAnsi="Times New Roman"/>
          <w:lang w:val="en-GB"/>
        </w:rPr>
        <w:t xml:space="preserve">to </w:t>
      </w:r>
      <w:r w:rsidR="00E92417">
        <w:rPr>
          <w:rFonts w:ascii="Times New Roman" w:eastAsia="MS PGothic" w:hAnsi="Times New Roman"/>
          <w:lang w:val="en-GB"/>
        </w:rPr>
        <w:t>support</w:t>
      </w:r>
      <w:r w:rsidR="001F761C">
        <w:rPr>
          <w:rFonts w:ascii="Times New Roman" w:eastAsia="MS PGothic" w:hAnsi="Times New Roman"/>
          <w:lang w:val="en-GB"/>
        </w:rPr>
        <w:t xml:space="preserve"> decisions makers and investors</w:t>
      </w:r>
      <w:r w:rsidR="005F08FA">
        <w:rPr>
          <w:rFonts w:ascii="Times New Roman" w:eastAsia="MS PGothic" w:hAnsi="Times New Roman"/>
          <w:lang w:val="en-GB"/>
        </w:rPr>
        <w:t xml:space="preserve">. </w:t>
      </w:r>
      <w:r w:rsidR="00E92417">
        <w:rPr>
          <w:rFonts w:ascii="Times New Roman" w:eastAsia="MS PGothic" w:hAnsi="Times New Roman"/>
          <w:lang w:val="en-GB"/>
        </w:rPr>
        <w:t>The ultimate choice of the best process</w:t>
      </w:r>
      <w:r w:rsidR="006F2347">
        <w:rPr>
          <w:rFonts w:ascii="Times New Roman" w:eastAsia="MS PGothic" w:hAnsi="Times New Roman"/>
          <w:lang w:val="en-GB"/>
        </w:rPr>
        <w:t xml:space="preserve"> or </w:t>
      </w:r>
      <w:r w:rsidR="00E92417">
        <w:rPr>
          <w:rFonts w:ascii="Times New Roman" w:eastAsia="MS PGothic" w:hAnsi="Times New Roman"/>
          <w:lang w:val="en-GB"/>
        </w:rPr>
        <w:t xml:space="preserve">product to be developed should be based on economic, energy and environmental indicators internationally recognized as standard and relatively easy to be calculated at design time. Such indicators are based on properties strongly related to the molecular structure of the product and to the details of the production processes of interest. </w:t>
      </w:r>
    </w:p>
    <w:p w14:paraId="1BB78888" w14:textId="553AA971" w:rsidR="00E92417" w:rsidRDefault="00E92417" w:rsidP="00E92417">
      <w:pPr>
        <w:snapToGrid w:val="0"/>
        <w:spacing w:after="120"/>
        <w:rPr>
          <w:rFonts w:ascii="Times New Roman" w:eastAsia="MS PGothic" w:hAnsi="Times New Roman"/>
          <w:lang w:val="en-GB"/>
        </w:rPr>
      </w:pPr>
      <w:r>
        <w:rPr>
          <w:rFonts w:ascii="Times New Roman" w:eastAsia="MS PGothic" w:hAnsi="Times New Roman"/>
          <w:lang w:val="en-GB"/>
        </w:rPr>
        <w:t xml:space="preserve">Multiscale molecular modelling is used to provide </w:t>
      </w:r>
      <w:r w:rsidR="005F08FA">
        <w:rPr>
          <w:rFonts w:ascii="Times New Roman" w:eastAsia="MS PGothic" w:hAnsi="Times New Roman"/>
          <w:lang w:val="en-GB"/>
        </w:rPr>
        <w:t>basic</w:t>
      </w:r>
      <w:r>
        <w:rPr>
          <w:rFonts w:ascii="Times New Roman" w:eastAsia="MS PGothic" w:hAnsi="Times New Roman"/>
          <w:lang w:val="en-GB"/>
        </w:rPr>
        <w:t xml:space="preserve"> information </w:t>
      </w:r>
      <w:r w:rsidR="005F08FA">
        <w:rPr>
          <w:rFonts w:ascii="Times New Roman" w:eastAsia="MS PGothic" w:hAnsi="Times New Roman"/>
          <w:lang w:val="en-GB"/>
        </w:rPr>
        <w:t xml:space="preserve">for the estimation of such indicators </w:t>
      </w:r>
      <w:r>
        <w:rPr>
          <w:rFonts w:ascii="Times New Roman" w:eastAsia="MS PGothic" w:hAnsi="Times New Roman"/>
          <w:lang w:val="en-GB"/>
        </w:rPr>
        <w:t>thus allowing comparison among different products for the same application and different production processes for the same product. On one hand, t</w:t>
      </w:r>
      <w:r w:rsidRPr="00177AAD">
        <w:rPr>
          <w:rFonts w:ascii="Times New Roman" w:eastAsia="MS PGothic" w:hAnsi="Times New Roman"/>
          <w:lang w:val="en-GB"/>
        </w:rPr>
        <w:t>he multiscale molecular modelling paradigm provides a full collection of material properties, such as mechanical, thermal, electrical, magnetic, and toxicological properties [1]</w:t>
      </w:r>
      <w:r>
        <w:rPr>
          <w:rFonts w:ascii="Times New Roman" w:eastAsia="MS PGothic" w:hAnsi="Times New Roman"/>
          <w:lang w:val="en-GB"/>
        </w:rPr>
        <w:t xml:space="preserve"> as well as all the data estimated from a material and energy balance of a given production process. </w:t>
      </w:r>
      <w:r w:rsidRPr="00177AAD">
        <w:rPr>
          <w:rFonts w:ascii="Times New Roman" w:eastAsia="MS PGothic" w:hAnsi="Times New Roman"/>
          <w:lang w:val="en-GB"/>
        </w:rPr>
        <w:t>Multiscale molecular modelling permits all phenomena to be captured at each scale, with the essential information being transferred to the upper scale until the macroscopic system is achieved [</w:t>
      </w:r>
      <w:r w:rsidR="00723A70">
        <w:rPr>
          <w:rFonts w:ascii="Times New Roman" w:eastAsia="MS PGothic" w:hAnsi="Times New Roman"/>
          <w:lang w:val="en-GB"/>
        </w:rPr>
        <w:t>2</w:t>
      </w:r>
      <w:r w:rsidRPr="00177AAD">
        <w:rPr>
          <w:rFonts w:ascii="Times New Roman" w:eastAsia="MS PGothic" w:hAnsi="Times New Roman"/>
          <w:lang w:val="en-GB"/>
        </w:rPr>
        <w:t>].</w:t>
      </w:r>
      <w:r>
        <w:rPr>
          <w:rFonts w:ascii="Times New Roman" w:eastAsia="MS PGothic" w:hAnsi="Times New Roman"/>
          <w:lang w:val="en-GB"/>
        </w:rPr>
        <w:t xml:space="preserve"> </w:t>
      </w:r>
      <w:r w:rsidRPr="00177AAD">
        <w:rPr>
          <w:rFonts w:ascii="Times New Roman" w:eastAsia="MS PGothic" w:hAnsi="Times New Roman"/>
          <w:lang w:val="en-GB"/>
        </w:rPr>
        <w:t>Multiscale molecular modelling, by definition, involves the generation of computational models at several length and temporal scales, which are frequently unconnected theoretically. The variety of methods and models commonly employed in the multiscale modelling hierarchy are shown in Fig</w:t>
      </w:r>
      <w:r w:rsidR="000E5DCE">
        <w:rPr>
          <w:rFonts w:ascii="Times New Roman" w:eastAsia="MS PGothic" w:hAnsi="Times New Roman"/>
          <w:lang w:val="en-GB"/>
        </w:rPr>
        <w:t>ure</w:t>
      </w:r>
      <w:r w:rsidRPr="00177AAD">
        <w:rPr>
          <w:rFonts w:ascii="Times New Roman" w:eastAsia="MS PGothic" w:hAnsi="Times New Roman"/>
          <w:lang w:val="en-GB"/>
        </w:rPr>
        <w:t xml:space="preserve"> 1, where the </w:t>
      </w:r>
      <w:r>
        <w:rPr>
          <w:rFonts w:ascii="Times New Roman" w:eastAsia="MS PGothic" w:hAnsi="Times New Roman"/>
          <w:lang w:val="en-GB"/>
        </w:rPr>
        <w:t xml:space="preserve">estimation of indicators methodology </w:t>
      </w:r>
      <w:r w:rsidRPr="00177AAD">
        <w:rPr>
          <w:rFonts w:ascii="Times New Roman" w:eastAsia="MS PGothic" w:hAnsi="Times New Roman"/>
          <w:lang w:val="en-GB"/>
        </w:rPr>
        <w:t xml:space="preserve">has been introduced on </w:t>
      </w:r>
      <w:r>
        <w:rPr>
          <w:rFonts w:ascii="Times New Roman" w:eastAsia="MS PGothic" w:hAnsi="Times New Roman"/>
          <w:lang w:val="en-GB"/>
        </w:rPr>
        <w:t xml:space="preserve">its </w:t>
      </w:r>
      <w:r w:rsidRPr="00177AAD">
        <w:rPr>
          <w:rFonts w:ascii="Times New Roman" w:eastAsia="MS PGothic" w:hAnsi="Times New Roman"/>
          <w:lang w:val="en-GB"/>
        </w:rPr>
        <w:t>top right corner.</w:t>
      </w:r>
    </w:p>
    <w:p w14:paraId="07D6B1BB" w14:textId="0E4E5F40" w:rsidR="00286627" w:rsidRPr="00F848B2" w:rsidRDefault="003C6D7A" w:rsidP="000E5DCE">
      <w:pPr>
        <w:snapToGrid w:val="0"/>
        <w:spacing w:after="120"/>
        <w:jc w:val="center"/>
        <w:rPr>
          <w:rFonts w:ascii="Times New Roman" w:eastAsia="MS PGothic" w:hAnsi="Times New Roman"/>
        </w:rPr>
      </w:pPr>
      <w:r w:rsidRPr="003C6D7A">
        <w:rPr>
          <w:rFonts w:ascii="Times New Roman" w:eastAsia="MS PGothic" w:hAnsi="Times New Roman"/>
          <w:noProof/>
        </w:rPr>
        <w:drawing>
          <wp:inline distT="0" distB="0" distL="0" distR="0" wp14:anchorId="6FA8E075" wp14:editId="32A4B2DB">
            <wp:extent cx="3793570" cy="2046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11314" cy="2055927"/>
                    </a:xfrm>
                    <a:prstGeom prst="rect">
                      <a:avLst/>
                    </a:prstGeom>
                  </pic:spPr>
                </pic:pic>
              </a:graphicData>
            </a:graphic>
          </wp:inline>
        </w:drawing>
      </w:r>
    </w:p>
    <w:p w14:paraId="2B09B65D" w14:textId="540AE8BA" w:rsidR="00907036" w:rsidRPr="00907036" w:rsidRDefault="00907036" w:rsidP="00292E92">
      <w:pPr>
        <w:snapToGrid w:val="0"/>
        <w:spacing w:before="60" w:after="120"/>
        <w:jc w:val="center"/>
        <w:rPr>
          <w:rFonts w:ascii="Times New Roman" w:eastAsia="MS PGothic" w:hAnsi="Times New Roman"/>
          <w:sz w:val="18"/>
          <w:szCs w:val="18"/>
          <w:lang w:val="en-US"/>
        </w:rPr>
      </w:pPr>
      <w:r w:rsidRPr="00292E92">
        <w:rPr>
          <w:rFonts w:ascii="Times New Roman" w:eastAsia="MS PGothic" w:hAnsi="Times New Roman"/>
          <w:b/>
          <w:sz w:val="18"/>
          <w:szCs w:val="18"/>
          <w:lang w:val="en-US"/>
        </w:rPr>
        <w:t>Figure 1</w:t>
      </w:r>
      <w:r w:rsidRPr="00292E92">
        <w:rPr>
          <w:rFonts w:ascii="Times New Roman" w:eastAsia="MS PGothic" w:hAnsi="Times New Roman"/>
          <w:sz w:val="18"/>
          <w:szCs w:val="18"/>
          <w:lang w:val="en-US"/>
        </w:rPr>
        <w:t>.</w:t>
      </w:r>
      <w:r w:rsidRPr="00907036">
        <w:rPr>
          <w:rFonts w:ascii="Times New Roman" w:eastAsia="MS PGothic" w:hAnsi="Times New Roman"/>
          <w:sz w:val="18"/>
          <w:szCs w:val="18"/>
          <w:lang w:val="en-US"/>
        </w:rPr>
        <w:t xml:space="preserve"> </w:t>
      </w:r>
      <w:r w:rsidR="000E5DCE" w:rsidRPr="000E5DCE">
        <w:rPr>
          <w:rFonts w:ascii="Times New Roman" w:eastAsia="MS PGothic" w:hAnsi="Times New Roman"/>
          <w:sz w:val="18"/>
          <w:szCs w:val="18"/>
          <w:lang w:val="en-US"/>
        </w:rPr>
        <w:t>Multiscale molecular modelling scheme</w:t>
      </w:r>
      <w:r w:rsidRPr="00907036">
        <w:rPr>
          <w:rFonts w:ascii="Times New Roman" w:eastAsia="MS PGothic" w:hAnsi="Times New Roman"/>
          <w:sz w:val="18"/>
          <w:szCs w:val="18"/>
          <w:lang w:val="en-US"/>
        </w:rPr>
        <w:t>.</w:t>
      </w:r>
    </w:p>
    <w:p w14:paraId="0AA59989" w14:textId="1A061949" w:rsidR="00F848B2" w:rsidRDefault="008B7582" w:rsidP="005F6887">
      <w:pPr>
        <w:snapToGrid w:val="0"/>
        <w:spacing w:after="120"/>
        <w:rPr>
          <w:rFonts w:ascii="Times New Roman" w:eastAsia="MS PGothic" w:hAnsi="Times New Roman"/>
          <w:lang w:val="en-GB"/>
        </w:rPr>
      </w:pPr>
      <w:r>
        <w:rPr>
          <w:rFonts w:ascii="Times New Roman" w:eastAsia="MS PGothic" w:hAnsi="Times New Roman"/>
          <w:lang w:val="en-GB"/>
        </w:rPr>
        <w:t xml:space="preserve">In the preliminary phase of the design of a new product </w:t>
      </w:r>
      <w:r w:rsidR="006F2347">
        <w:rPr>
          <w:rFonts w:ascii="Times New Roman" w:eastAsia="MS PGothic" w:hAnsi="Times New Roman"/>
          <w:lang w:val="en-GB"/>
        </w:rPr>
        <w:t>or</w:t>
      </w:r>
      <w:r>
        <w:rPr>
          <w:rFonts w:ascii="Times New Roman" w:eastAsia="MS PGothic" w:hAnsi="Times New Roman"/>
          <w:lang w:val="en-GB"/>
        </w:rPr>
        <w:t xml:space="preserve"> process, most of the relevant data for the calculation of the indicators are not available experimentally </w:t>
      </w:r>
      <w:r w:rsidR="00F848B2">
        <w:rPr>
          <w:rFonts w:ascii="Times New Roman" w:eastAsia="MS PGothic" w:hAnsi="Times New Roman"/>
          <w:lang w:val="en-GB"/>
        </w:rPr>
        <w:t xml:space="preserve">nor </w:t>
      </w:r>
      <w:r>
        <w:rPr>
          <w:rFonts w:ascii="Times New Roman" w:eastAsia="MS PGothic" w:hAnsi="Times New Roman"/>
          <w:lang w:val="en-GB"/>
        </w:rPr>
        <w:t xml:space="preserve">in the literature </w:t>
      </w:r>
      <w:r w:rsidR="00F848B2">
        <w:rPr>
          <w:rFonts w:ascii="Times New Roman" w:eastAsia="MS PGothic" w:hAnsi="Times New Roman"/>
          <w:lang w:val="en-GB"/>
        </w:rPr>
        <w:t>n</w:t>
      </w:r>
      <w:r>
        <w:rPr>
          <w:rFonts w:ascii="Times New Roman" w:eastAsia="MS PGothic" w:hAnsi="Times New Roman"/>
          <w:lang w:val="en-GB"/>
        </w:rPr>
        <w:t xml:space="preserve">or in the databases </w:t>
      </w:r>
      <w:r w:rsidR="00F848B2">
        <w:rPr>
          <w:rFonts w:ascii="Times New Roman" w:eastAsia="MS PGothic" w:hAnsi="Times New Roman"/>
          <w:lang w:val="en-GB"/>
        </w:rPr>
        <w:t xml:space="preserve">used for </w:t>
      </w:r>
      <w:r>
        <w:rPr>
          <w:rFonts w:ascii="Times New Roman" w:eastAsia="MS PGothic" w:hAnsi="Times New Roman"/>
          <w:lang w:val="en-GB"/>
        </w:rPr>
        <w:t>the estimation of the indicators</w:t>
      </w:r>
      <w:r w:rsidR="00F848B2">
        <w:rPr>
          <w:rFonts w:ascii="Times New Roman" w:eastAsia="MS PGothic" w:hAnsi="Times New Roman"/>
          <w:lang w:val="en-GB"/>
        </w:rPr>
        <w:t>. Furthermore, the accuracy of the data possibly present is missing or questionable: c</w:t>
      </w:r>
      <w:r w:rsidR="00F848B2" w:rsidRPr="005F6887">
        <w:rPr>
          <w:rFonts w:ascii="Times New Roman" w:eastAsia="MS PGothic" w:hAnsi="Times New Roman"/>
          <w:lang w:val="en-GB"/>
        </w:rPr>
        <w:t>onsequently,</w:t>
      </w:r>
      <w:r w:rsidRPr="005F6887">
        <w:rPr>
          <w:rFonts w:ascii="Times New Roman" w:eastAsia="MS PGothic" w:hAnsi="Times New Roman"/>
          <w:lang w:val="en-GB"/>
        </w:rPr>
        <w:t xml:space="preserve"> it is necessary to predict the properties of new </w:t>
      </w:r>
      <w:r>
        <w:rPr>
          <w:rFonts w:ascii="Times New Roman" w:eastAsia="MS PGothic" w:hAnsi="Times New Roman"/>
          <w:lang w:val="en-GB"/>
        </w:rPr>
        <w:t>products</w:t>
      </w:r>
      <w:r w:rsidRPr="005F6887">
        <w:rPr>
          <w:rFonts w:ascii="Times New Roman" w:eastAsia="MS PGothic" w:hAnsi="Times New Roman"/>
          <w:lang w:val="en-GB"/>
        </w:rPr>
        <w:t xml:space="preserve"> and perform material and energy balance for the</w:t>
      </w:r>
      <w:r>
        <w:rPr>
          <w:rFonts w:ascii="Times New Roman" w:eastAsia="MS PGothic" w:hAnsi="Times New Roman"/>
          <w:lang w:val="en-GB"/>
        </w:rPr>
        <w:t>ir</w:t>
      </w:r>
      <w:r w:rsidRPr="005F6887">
        <w:rPr>
          <w:rFonts w:ascii="Times New Roman" w:eastAsia="MS PGothic" w:hAnsi="Times New Roman"/>
          <w:lang w:val="en-GB"/>
        </w:rPr>
        <w:t xml:space="preserve"> production processes. </w:t>
      </w:r>
    </w:p>
    <w:p w14:paraId="2768590C" w14:textId="21A323EA" w:rsidR="001F761C" w:rsidRDefault="008B7582" w:rsidP="005F6887">
      <w:pPr>
        <w:snapToGrid w:val="0"/>
        <w:spacing w:after="120"/>
        <w:rPr>
          <w:rFonts w:ascii="Times New Roman" w:eastAsia="MS PGothic" w:hAnsi="Times New Roman"/>
          <w:lang w:val="en-GB"/>
        </w:rPr>
      </w:pPr>
      <w:r w:rsidRPr="005F6887">
        <w:rPr>
          <w:rFonts w:ascii="Times New Roman" w:eastAsia="MS PGothic" w:hAnsi="Times New Roman"/>
          <w:lang w:val="en-GB"/>
        </w:rPr>
        <w:t xml:space="preserve">Despite the tremendous advances in the modelling of structural, thermal, mechanical and transport properties of </w:t>
      </w:r>
      <w:r>
        <w:rPr>
          <w:rFonts w:ascii="Times New Roman" w:eastAsia="MS PGothic" w:hAnsi="Times New Roman"/>
          <w:lang w:val="en-GB"/>
        </w:rPr>
        <w:t>products</w:t>
      </w:r>
      <w:r w:rsidRPr="005F6887">
        <w:rPr>
          <w:rFonts w:ascii="Times New Roman" w:eastAsia="MS PGothic" w:hAnsi="Times New Roman"/>
          <w:lang w:val="en-GB"/>
        </w:rPr>
        <w:t xml:space="preserve"> at the macroscopic level, there remains a high level of uncertainty about how to predict many critical properties related to advanced materials, which strongly depend on </w:t>
      </w:r>
      <w:r>
        <w:rPr>
          <w:rFonts w:ascii="Times New Roman" w:eastAsia="MS PGothic" w:hAnsi="Times New Roman"/>
          <w:lang w:val="en-GB"/>
        </w:rPr>
        <w:t xml:space="preserve">their </w:t>
      </w:r>
      <w:r w:rsidRPr="005F6887">
        <w:rPr>
          <w:rFonts w:ascii="Times New Roman" w:eastAsia="MS PGothic" w:hAnsi="Times New Roman"/>
          <w:lang w:val="en-GB"/>
        </w:rPr>
        <w:t>structure</w:t>
      </w:r>
      <w:r>
        <w:rPr>
          <w:rFonts w:ascii="Times New Roman" w:eastAsia="MS PGothic" w:hAnsi="Times New Roman"/>
          <w:lang w:val="en-GB"/>
        </w:rPr>
        <w:t xml:space="preserve">. </w:t>
      </w:r>
    </w:p>
    <w:p w14:paraId="7030C1D3" w14:textId="6D3DD54A" w:rsidR="008B7582" w:rsidRDefault="008B7582" w:rsidP="005F6887">
      <w:pPr>
        <w:snapToGrid w:val="0"/>
        <w:spacing w:after="120"/>
        <w:rPr>
          <w:rFonts w:ascii="Times New Roman" w:eastAsia="MS PGothic" w:hAnsi="Times New Roman"/>
          <w:lang w:val="en-GB"/>
        </w:rPr>
      </w:pPr>
      <w:r>
        <w:rPr>
          <w:rFonts w:ascii="Times New Roman" w:eastAsia="MS PGothic" w:hAnsi="Times New Roman"/>
          <w:lang w:val="en-GB"/>
        </w:rPr>
        <w:lastRenderedPageBreak/>
        <w:t>P</w:t>
      </w:r>
      <w:r w:rsidR="005F6887" w:rsidRPr="005F6887">
        <w:rPr>
          <w:rFonts w:ascii="Times New Roman" w:eastAsia="MS PGothic" w:hAnsi="Times New Roman"/>
          <w:lang w:val="en-GB"/>
        </w:rPr>
        <w:t>rocess simulators</w:t>
      </w:r>
      <w:r>
        <w:rPr>
          <w:rFonts w:ascii="Times New Roman" w:eastAsia="MS PGothic" w:hAnsi="Times New Roman"/>
          <w:lang w:val="en-GB"/>
        </w:rPr>
        <w:t xml:space="preserve">, an important component of the multiscale molecular modelling, </w:t>
      </w:r>
      <w:r w:rsidR="005F6887" w:rsidRPr="005F6887">
        <w:rPr>
          <w:rFonts w:ascii="Times New Roman" w:eastAsia="MS PGothic" w:hAnsi="Times New Roman"/>
          <w:lang w:val="en-GB"/>
        </w:rPr>
        <w:t>emerged as powerful tools for solving the material and energy balances for any production process</w:t>
      </w:r>
      <w:r>
        <w:rPr>
          <w:rFonts w:ascii="Times New Roman" w:eastAsia="MS PGothic" w:hAnsi="Times New Roman"/>
          <w:lang w:val="en-GB"/>
        </w:rPr>
        <w:t xml:space="preserve"> as well as for energy integration and costs evaluation</w:t>
      </w:r>
      <w:r w:rsidR="005F6887" w:rsidRPr="005F6887">
        <w:rPr>
          <w:rFonts w:ascii="Times New Roman" w:eastAsia="MS PGothic" w:hAnsi="Times New Roman"/>
          <w:lang w:val="en-GB"/>
        </w:rPr>
        <w:t xml:space="preserve">. Specifically, they can deal with innovative processes for the production of </w:t>
      </w:r>
      <w:r>
        <w:rPr>
          <w:rFonts w:ascii="Times New Roman" w:eastAsia="MS PGothic" w:hAnsi="Times New Roman"/>
          <w:lang w:val="en-GB"/>
        </w:rPr>
        <w:t>new products</w:t>
      </w:r>
      <w:r w:rsidR="005F6887" w:rsidRPr="005F6887">
        <w:rPr>
          <w:rFonts w:ascii="Times New Roman" w:eastAsia="MS PGothic" w:hAnsi="Times New Roman"/>
          <w:lang w:val="en-GB"/>
        </w:rPr>
        <w:t xml:space="preserve"> involving batch operations, complex separations and reactions.</w:t>
      </w:r>
    </w:p>
    <w:p w14:paraId="74FC9F29" w14:textId="0348E356" w:rsidR="00177AAD" w:rsidRDefault="00177AAD" w:rsidP="00177AAD">
      <w:pPr>
        <w:snapToGrid w:val="0"/>
        <w:spacing w:after="120"/>
        <w:rPr>
          <w:rFonts w:ascii="Times New Roman" w:eastAsia="MS PGothic" w:hAnsi="Times New Roman"/>
          <w:lang w:val="en-GB"/>
        </w:rPr>
      </w:pPr>
      <w:r w:rsidRPr="00177AAD">
        <w:rPr>
          <w:rFonts w:ascii="Times New Roman" w:eastAsia="MS PGothic" w:hAnsi="Times New Roman"/>
          <w:lang w:val="en-GB"/>
        </w:rPr>
        <w:t>Collecting data for life cycle inventory, for instance, is generally a difficult task for practitioners. While reliable primary data is desirable, when case-specific information is lacking, it is standard practice to rely on recognized databases, such as ecoinvent [</w:t>
      </w:r>
      <w:r w:rsidR="00252748">
        <w:rPr>
          <w:rFonts w:ascii="Times New Roman" w:eastAsia="MS PGothic" w:hAnsi="Times New Roman"/>
          <w:lang w:val="en-GB"/>
        </w:rPr>
        <w:t>3</w:t>
      </w:r>
      <w:r w:rsidRPr="00177AAD">
        <w:rPr>
          <w:rFonts w:ascii="Times New Roman" w:eastAsia="MS PGothic" w:hAnsi="Times New Roman"/>
          <w:lang w:val="en-GB"/>
        </w:rPr>
        <w:t>] or Gabi</w:t>
      </w:r>
      <w:r w:rsidR="00F848B2">
        <w:rPr>
          <w:rFonts w:ascii="Times New Roman" w:eastAsia="MS PGothic" w:hAnsi="Times New Roman"/>
          <w:lang w:val="en-GB"/>
        </w:rPr>
        <w:t xml:space="preserve"> </w:t>
      </w:r>
      <w:r w:rsidRPr="00177AAD">
        <w:rPr>
          <w:rFonts w:ascii="Times New Roman" w:eastAsia="MS PGothic" w:hAnsi="Times New Roman"/>
          <w:lang w:val="en-GB"/>
        </w:rPr>
        <w:t>[</w:t>
      </w:r>
      <w:r w:rsidR="00252748">
        <w:rPr>
          <w:rFonts w:ascii="Times New Roman" w:eastAsia="MS PGothic" w:hAnsi="Times New Roman"/>
          <w:lang w:val="en-GB"/>
        </w:rPr>
        <w:t>4</w:t>
      </w:r>
      <w:r w:rsidRPr="00177AAD">
        <w:rPr>
          <w:rFonts w:ascii="Times New Roman" w:eastAsia="MS PGothic" w:hAnsi="Times New Roman"/>
          <w:lang w:val="en-GB"/>
        </w:rPr>
        <w:t>]. However, even though current databases contain a wide range of information, data on innovative materials or unusual production methods is still lacking. In the event of insufficient data, ISO recommends using proxy inventories, i.e., the mass and energy balances of equivalent products/processes. Surely, the accuracy of the final outcomes is determined by the resemblance between the two systems. Therefore, several in-silico modelling approaches have been used to estimate LCI of products in order to reduce the inaccuracy of proxy data. Process modelling [</w:t>
      </w:r>
      <w:r w:rsidR="00252748">
        <w:rPr>
          <w:rFonts w:ascii="Times New Roman" w:eastAsia="MS PGothic" w:hAnsi="Times New Roman"/>
          <w:lang w:val="en-GB"/>
        </w:rPr>
        <w:t>5</w:t>
      </w:r>
      <w:r w:rsidRPr="00177AAD">
        <w:rPr>
          <w:rFonts w:ascii="Times New Roman" w:eastAsia="MS PGothic" w:hAnsi="Times New Roman"/>
          <w:lang w:val="en-GB"/>
        </w:rPr>
        <w:t>–</w:t>
      </w:r>
      <w:r w:rsidR="00252748">
        <w:rPr>
          <w:rFonts w:ascii="Times New Roman" w:eastAsia="MS PGothic" w:hAnsi="Times New Roman"/>
          <w:lang w:val="en-GB"/>
        </w:rPr>
        <w:t>6</w:t>
      </w:r>
      <w:r w:rsidRPr="00177AAD">
        <w:rPr>
          <w:rFonts w:ascii="Times New Roman" w:eastAsia="MS PGothic" w:hAnsi="Times New Roman"/>
          <w:lang w:val="en-GB"/>
        </w:rPr>
        <w:t>], dedicated frameworks [</w:t>
      </w:r>
      <w:r w:rsidR="00252748">
        <w:rPr>
          <w:rFonts w:ascii="Times New Roman" w:eastAsia="MS PGothic" w:hAnsi="Times New Roman"/>
          <w:lang w:val="en-GB"/>
        </w:rPr>
        <w:t>7</w:t>
      </w:r>
      <w:r w:rsidRPr="00177AAD">
        <w:rPr>
          <w:rFonts w:ascii="Times New Roman" w:eastAsia="MS PGothic" w:hAnsi="Times New Roman"/>
          <w:lang w:val="en-GB"/>
        </w:rPr>
        <w:t>], molecular structure-based models [</w:t>
      </w:r>
      <w:r w:rsidR="00252748">
        <w:rPr>
          <w:rFonts w:ascii="Times New Roman" w:eastAsia="MS PGothic" w:hAnsi="Times New Roman"/>
          <w:lang w:val="en-GB"/>
        </w:rPr>
        <w:t>8</w:t>
      </w:r>
      <w:r w:rsidRPr="00177AAD">
        <w:rPr>
          <w:rFonts w:ascii="Times New Roman" w:eastAsia="MS PGothic" w:hAnsi="Times New Roman"/>
          <w:lang w:val="en-GB"/>
        </w:rPr>
        <w:t>] or artificial neural networks [</w:t>
      </w:r>
      <w:r w:rsidR="00252748">
        <w:rPr>
          <w:rFonts w:ascii="Times New Roman" w:eastAsia="MS PGothic" w:hAnsi="Times New Roman"/>
          <w:lang w:val="en-GB"/>
        </w:rPr>
        <w:t>9</w:t>
      </w:r>
      <w:r w:rsidRPr="00177AAD">
        <w:rPr>
          <w:rFonts w:ascii="Times New Roman" w:eastAsia="MS PGothic" w:hAnsi="Times New Roman"/>
          <w:lang w:val="en-GB"/>
        </w:rPr>
        <w:t xml:space="preserve">] are some examples of computational approaches for generating raw materials inventories thus far. </w:t>
      </w:r>
      <w:r w:rsidR="00F848B2">
        <w:rPr>
          <w:rFonts w:ascii="Times New Roman" w:eastAsia="MS PGothic" w:hAnsi="Times New Roman"/>
          <w:lang w:val="en-GB"/>
        </w:rPr>
        <w:t xml:space="preserve">Similar difficulties apply also for the estimation of other indicators. </w:t>
      </w:r>
    </w:p>
    <w:p w14:paraId="231F6EDA" w14:textId="4260EC33" w:rsidR="00F848B2" w:rsidRPr="00177AAD" w:rsidRDefault="00F848B2" w:rsidP="00177AAD">
      <w:pPr>
        <w:snapToGrid w:val="0"/>
        <w:spacing w:after="120"/>
        <w:rPr>
          <w:rFonts w:ascii="Times New Roman" w:eastAsia="MS PGothic" w:hAnsi="Times New Roman"/>
          <w:lang w:val="en-GB"/>
        </w:rPr>
      </w:pPr>
      <w:r>
        <w:rPr>
          <w:rFonts w:ascii="Times New Roman" w:eastAsia="MS PGothic" w:hAnsi="Times New Roman"/>
          <w:lang w:val="en-GB"/>
        </w:rPr>
        <w:t xml:space="preserve">Aim of this paper is to propose a methodology for connecting the multiscale molecular modelling techniques to the main energy, economic and environmental indicators to be used for the selection of a process </w:t>
      </w:r>
      <w:r w:rsidR="00464BFC">
        <w:rPr>
          <w:rFonts w:ascii="Times New Roman" w:eastAsia="MS PGothic" w:hAnsi="Times New Roman"/>
          <w:lang w:val="en-GB"/>
        </w:rPr>
        <w:t>or a product</w:t>
      </w:r>
      <w:r>
        <w:rPr>
          <w:rFonts w:ascii="Times New Roman" w:eastAsia="MS PGothic" w:hAnsi="Times New Roman"/>
          <w:lang w:val="en-GB"/>
        </w:rPr>
        <w:t>. The methodology will be applied to two particularly relevant chemical process</w:t>
      </w:r>
      <w:r w:rsidR="00464BFC">
        <w:rPr>
          <w:rFonts w:ascii="Times New Roman" w:eastAsia="MS PGothic" w:hAnsi="Times New Roman"/>
          <w:lang w:val="en-GB"/>
        </w:rPr>
        <w:t xml:space="preserve"> groups</w:t>
      </w:r>
      <w:r>
        <w:rPr>
          <w:rFonts w:ascii="Times New Roman" w:eastAsia="MS PGothic" w:hAnsi="Times New Roman"/>
          <w:lang w:val="en-GB"/>
        </w:rPr>
        <w:t>, namely</w:t>
      </w:r>
      <w:r w:rsidR="00464BFC">
        <w:rPr>
          <w:rFonts w:ascii="Times New Roman" w:eastAsia="MS PGothic" w:hAnsi="Times New Roman"/>
          <w:lang w:val="en-GB"/>
        </w:rPr>
        <w:t xml:space="preserve"> the </w:t>
      </w:r>
      <w:r>
        <w:rPr>
          <w:rFonts w:ascii="Times New Roman" w:eastAsia="MS PGothic" w:hAnsi="Times New Roman"/>
          <w:lang w:val="en-GB"/>
        </w:rPr>
        <w:t>carbon capture and s</w:t>
      </w:r>
      <w:r w:rsidR="00464BFC">
        <w:rPr>
          <w:rFonts w:ascii="Times New Roman" w:eastAsia="MS PGothic" w:hAnsi="Times New Roman"/>
          <w:lang w:val="en-GB"/>
        </w:rPr>
        <w:t>torage</w:t>
      </w:r>
      <w:r>
        <w:rPr>
          <w:rFonts w:ascii="Times New Roman" w:eastAsia="MS PGothic" w:hAnsi="Times New Roman"/>
          <w:lang w:val="en-GB"/>
        </w:rPr>
        <w:t xml:space="preserve"> and the hydrogen </w:t>
      </w:r>
      <w:r w:rsidR="00CA3197">
        <w:rPr>
          <w:rFonts w:ascii="Times New Roman" w:eastAsia="MS PGothic" w:hAnsi="Times New Roman"/>
          <w:lang w:val="en-GB"/>
        </w:rPr>
        <w:t>production</w:t>
      </w:r>
      <w:r>
        <w:rPr>
          <w:rFonts w:ascii="Times New Roman" w:eastAsia="MS PGothic" w:hAnsi="Times New Roman"/>
          <w:lang w:val="en-GB"/>
        </w:rPr>
        <w:t xml:space="preserve"> from methane </w:t>
      </w:r>
      <w:r w:rsidR="00CA3197">
        <w:rPr>
          <w:rFonts w:ascii="Times New Roman" w:eastAsia="MS PGothic" w:hAnsi="Times New Roman"/>
          <w:lang w:val="en-GB"/>
        </w:rPr>
        <w:t>steam</w:t>
      </w:r>
      <w:r>
        <w:rPr>
          <w:rFonts w:ascii="Times New Roman" w:eastAsia="MS PGothic" w:hAnsi="Times New Roman"/>
          <w:lang w:val="en-GB"/>
        </w:rPr>
        <w:t xml:space="preserve"> reforming and from water electrolysis. </w:t>
      </w:r>
    </w:p>
    <w:p w14:paraId="65B2C568" w14:textId="1CFBD3BB" w:rsidR="001F761C" w:rsidRPr="001F761C" w:rsidRDefault="001F761C" w:rsidP="001F761C">
      <w:pPr>
        <w:snapToGrid w:val="0"/>
        <w:spacing w:after="120"/>
        <w:rPr>
          <w:rFonts w:ascii="Times New Roman" w:eastAsia="MS PGothic" w:hAnsi="Times New Roman"/>
          <w:bCs/>
          <w:lang w:val="en-US"/>
        </w:rPr>
      </w:pPr>
      <w:r w:rsidRPr="001F761C">
        <w:rPr>
          <w:rFonts w:ascii="Times New Roman" w:eastAsia="MS PGothic" w:hAnsi="Times New Roman"/>
          <w:bCs/>
          <w:lang w:val="en-US"/>
        </w:rPr>
        <w:t xml:space="preserve">The paper is organized as follows: section 2 presents the methods used in this paper </w:t>
      </w:r>
      <w:r w:rsidR="00EE7C27">
        <w:rPr>
          <w:rFonts w:ascii="Times New Roman" w:eastAsia="MS PGothic" w:hAnsi="Times New Roman"/>
          <w:bCs/>
          <w:lang w:val="en-US"/>
        </w:rPr>
        <w:t>for</w:t>
      </w:r>
      <w:r w:rsidRPr="001F761C">
        <w:rPr>
          <w:rFonts w:ascii="Times New Roman" w:eastAsia="MS PGothic" w:hAnsi="Times New Roman"/>
          <w:bCs/>
          <w:lang w:val="en-US"/>
        </w:rPr>
        <w:t xml:space="preserve"> the calculation of the EROEI, </w:t>
      </w:r>
      <w:r w:rsidR="006B2EF4">
        <w:rPr>
          <w:rFonts w:ascii="Times New Roman" w:eastAsia="MS PGothic" w:hAnsi="Times New Roman"/>
          <w:bCs/>
          <w:lang w:val="en-US"/>
        </w:rPr>
        <w:t xml:space="preserve">EROC, </w:t>
      </w:r>
      <w:r w:rsidRPr="001F761C">
        <w:rPr>
          <w:rFonts w:ascii="Times New Roman" w:eastAsia="MS PGothic" w:hAnsi="Times New Roman"/>
          <w:bCs/>
          <w:lang w:val="en-US"/>
        </w:rPr>
        <w:t>LCOE</w:t>
      </w:r>
      <w:r w:rsidR="00EE7C27">
        <w:rPr>
          <w:rFonts w:ascii="Times New Roman" w:eastAsia="MS PGothic" w:hAnsi="Times New Roman"/>
          <w:bCs/>
          <w:lang w:val="en-US"/>
        </w:rPr>
        <w:t xml:space="preserve">, LCOH </w:t>
      </w:r>
      <w:r w:rsidRPr="001F761C">
        <w:rPr>
          <w:rFonts w:ascii="Times New Roman" w:eastAsia="MS PGothic" w:hAnsi="Times New Roman"/>
          <w:bCs/>
          <w:lang w:val="en-US"/>
        </w:rPr>
        <w:t xml:space="preserve">and LCA; section 3 </w:t>
      </w:r>
      <w:r w:rsidR="006B2EF4">
        <w:rPr>
          <w:rFonts w:ascii="Times New Roman" w:eastAsia="MS PGothic" w:hAnsi="Times New Roman"/>
          <w:bCs/>
          <w:lang w:val="en-US"/>
        </w:rPr>
        <w:t>shows</w:t>
      </w:r>
      <w:r w:rsidRPr="001F761C">
        <w:rPr>
          <w:rFonts w:ascii="Times New Roman" w:eastAsia="MS PGothic" w:hAnsi="Times New Roman"/>
          <w:bCs/>
          <w:lang w:val="en-US"/>
        </w:rPr>
        <w:t xml:space="preserve"> the results obtained with the methods previously</w:t>
      </w:r>
      <w:r w:rsidR="006B2EF4">
        <w:rPr>
          <w:rFonts w:ascii="Times New Roman" w:eastAsia="MS PGothic" w:hAnsi="Times New Roman"/>
          <w:bCs/>
          <w:lang w:val="en-US"/>
        </w:rPr>
        <w:t xml:space="preserve"> </w:t>
      </w:r>
      <w:r w:rsidRPr="001F761C">
        <w:rPr>
          <w:rFonts w:ascii="Times New Roman" w:eastAsia="MS PGothic" w:hAnsi="Times New Roman"/>
          <w:bCs/>
          <w:lang w:val="en-US"/>
        </w:rPr>
        <w:t>described</w:t>
      </w:r>
      <w:r w:rsidR="006B2EF4">
        <w:rPr>
          <w:rFonts w:ascii="Times New Roman" w:eastAsia="MS PGothic" w:hAnsi="Times New Roman"/>
          <w:bCs/>
          <w:lang w:val="en-US"/>
        </w:rPr>
        <w:t>,</w:t>
      </w:r>
      <w:r w:rsidR="00917150">
        <w:rPr>
          <w:rFonts w:ascii="Times New Roman" w:eastAsia="MS PGothic" w:hAnsi="Times New Roman"/>
          <w:bCs/>
          <w:lang w:val="en-US"/>
        </w:rPr>
        <w:t xml:space="preserve"> applied to </w:t>
      </w:r>
      <w:r w:rsidR="00464BFC">
        <w:rPr>
          <w:rFonts w:ascii="Times New Roman" w:eastAsia="MS PGothic" w:hAnsi="Times New Roman"/>
          <w:bCs/>
          <w:lang w:val="en-US"/>
        </w:rPr>
        <w:t>alte</w:t>
      </w:r>
      <w:r w:rsidR="006B2EF4">
        <w:rPr>
          <w:rFonts w:ascii="Times New Roman" w:eastAsia="MS PGothic" w:hAnsi="Times New Roman"/>
          <w:bCs/>
          <w:lang w:val="en-US"/>
        </w:rPr>
        <w:t>r</w:t>
      </w:r>
      <w:r w:rsidR="00464BFC">
        <w:rPr>
          <w:rFonts w:ascii="Times New Roman" w:eastAsia="MS PGothic" w:hAnsi="Times New Roman"/>
          <w:bCs/>
          <w:lang w:val="en-US"/>
        </w:rPr>
        <w:t>native</w:t>
      </w:r>
      <w:r w:rsidR="00917150">
        <w:rPr>
          <w:rFonts w:ascii="Times New Roman" w:eastAsia="MS PGothic" w:hAnsi="Times New Roman"/>
          <w:bCs/>
          <w:lang w:val="en-US"/>
        </w:rPr>
        <w:t xml:space="preserve"> production processes</w:t>
      </w:r>
      <w:r w:rsidRPr="001F761C">
        <w:rPr>
          <w:rFonts w:ascii="Times New Roman" w:eastAsia="MS PGothic" w:hAnsi="Times New Roman"/>
          <w:bCs/>
          <w:lang w:val="en-US"/>
        </w:rPr>
        <w:t>; lastly, some final considerations are reported in section 4.</w:t>
      </w:r>
      <w:r w:rsidR="00EE7C27">
        <w:rPr>
          <w:rFonts w:ascii="Times New Roman" w:eastAsia="MS PGothic" w:hAnsi="Times New Roman"/>
          <w:bCs/>
          <w:lang w:val="en-US"/>
        </w:rPr>
        <w:t xml:space="preserve"> </w:t>
      </w:r>
    </w:p>
    <w:p w14:paraId="0871BF31" w14:textId="54C36D87" w:rsidR="00DA51A3" w:rsidRPr="00466FFD" w:rsidRDefault="00DA51A3" w:rsidP="001F761C">
      <w:pPr>
        <w:snapToGrid w:val="0"/>
        <w:spacing w:after="120"/>
        <w:rPr>
          <w:rFonts w:ascii="Times New Roman" w:eastAsia="MS PGothic" w:hAnsi="Times New Roman"/>
          <w:lang w:val="en-US"/>
        </w:rPr>
      </w:pPr>
      <w:r w:rsidRPr="00466FFD">
        <w:rPr>
          <w:rFonts w:ascii="Times New Roman" w:eastAsia="MS PGothic" w:hAnsi="Times New Roman"/>
          <w:b/>
          <w:bCs/>
          <w:lang w:val="en-US"/>
        </w:rPr>
        <w:t>2. Methods</w:t>
      </w:r>
    </w:p>
    <w:p w14:paraId="63AA6DEE" w14:textId="6274C158" w:rsidR="00C60262" w:rsidRPr="00C60262" w:rsidRDefault="00C60262" w:rsidP="00C60262">
      <w:pPr>
        <w:snapToGrid w:val="0"/>
        <w:spacing w:after="120"/>
        <w:rPr>
          <w:rFonts w:ascii="Times New Roman" w:eastAsia="MS PGothic" w:hAnsi="Times New Roman"/>
          <w:i/>
          <w:lang w:val="en-US"/>
        </w:rPr>
      </w:pPr>
      <w:r w:rsidRPr="00C60262">
        <w:rPr>
          <w:rFonts w:ascii="Times New Roman" w:eastAsia="MS PGothic" w:hAnsi="Times New Roman"/>
          <w:i/>
          <w:lang w:val="en-US"/>
        </w:rPr>
        <w:t xml:space="preserve">Energy Return </w:t>
      </w:r>
      <w:r w:rsidR="0002245D" w:rsidRPr="00C60262">
        <w:rPr>
          <w:rFonts w:ascii="Times New Roman" w:eastAsia="MS PGothic" w:hAnsi="Times New Roman"/>
          <w:i/>
          <w:lang w:val="en-US"/>
        </w:rPr>
        <w:t>on</w:t>
      </w:r>
      <w:r w:rsidRPr="00C60262">
        <w:rPr>
          <w:rFonts w:ascii="Times New Roman" w:eastAsia="MS PGothic" w:hAnsi="Times New Roman"/>
          <w:i/>
          <w:lang w:val="en-US"/>
        </w:rPr>
        <w:t xml:space="preserve"> Energy Invested </w:t>
      </w:r>
      <w:r w:rsidR="006B2EF4">
        <w:rPr>
          <w:rFonts w:ascii="Times New Roman" w:eastAsia="MS PGothic" w:hAnsi="Times New Roman"/>
          <w:i/>
          <w:lang w:val="en-US"/>
        </w:rPr>
        <w:t>(EROEI) and Energy Return on Carbon (EROC)</w:t>
      </w:r>
    </w:p>
    <w:p w14:paraId="4EE423F0" w14:textId="22107D73"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 xml:space="preserve">Several methods and indices can be used to assess the efficiency of </w:t>
      </w:r>
      <w:r w:rsidR="00814B70">
        <w:rPr>
          <w:rFonts w:ascii="Times New Roman" w:eastAsia="MS PGothic" w:hAnsi="Times New Roman"/>
          <w:lang w:val="en-US"/>
        </w:rPr>
        <w:t>production processes involving the generation of energy carriers (electricity and/or hydrogen</w:t>
      </w:r>
      <w:r w:rsidR="00CA3197">
        <w:rPr>
          <w:rFonts w:ascii="Times New Roman" w:eastAsia="MS PGothic" w:hAnsi="Times New Roman"/>
          <w:lang w:val="en-US"/>
        </w:rPr>
        <w:t>)</w:t>
      </w:r>
      <w:r w:rsidRPr="00C60262">
        <w:rPr>
          <w:rFonts w:ascii="Times New Roman" w:eastAsia="MS PGothic" w:hAnsi="Times New Roman"/>
          <w:lang w:val="en-US"/>
        </w:rPr>
        <w:t xml:space="preserve">, but the best method for comparing different energy production industries is Net Energy Analysis (NEA). The goal of NEA is to calculate whether the energy produced by any production process is greater than the energy required to build, operate and maintain the infrastructure. </w:t>
      </w:r>
      <w:r w:rsidR="000E5DCE">
        <w:rPr>
          <w:rFonts w:ascii="Times New Roman" w:eastAsia="MS PGothic" w:hAnsi="Times New Roman"/>
          <w:lang w:val="en-US"/>
        </w:rPr>
        <w:t xml:space="preserve">Among the possible indexes derived from </w:t>
      </w:r>
      <w:r w:rsidRPr="00C60262">
        <w:rPr>
          <w:rFonts w:ascii="Times New Roman" w:eastAsia="MS PGothic" w:hAnsi="Times New Roman"/>
          <w:lang w:val="en-US"/>
        </w:rPr>
        <w:t>NEA</w:t>
      </w:r>
      <w:r w:rsidR="000E5DCE">
        <w:rPr>
          <w:rFonts w:ascii="Times New Roman" w:eastAsia="MS PGothic" w:hAnsi="Times New Roman"/>
          <w:lang w:val="en-US"/>
        </w:rPr>
        <w:t xml:space="preserve">, </w:t>
      </w:r>
      <w:r w:rsidR="00C62D97">
        <w:rPr>
          <w:rFonts w:ascii="Times New Roman" w:eastAsia="MS PGothic" w:hAnsi="Times New Roman"/>
          <w:lang w:val="en-US"/>
        </w:rPr>
        <w:t>the</w:t>
      </w:r>
      <w:r w:rsidR="00814B70">
        <w:rPr>
          <w:rFonts w:ascii="Times New Roman" w:eastAsia="MS PGothic" w:hAnsi="Times New Roman"/>
          <w:lang w:val="en-US"/>
        </w:rPr>
        <w:t xml:space="preserve"> most suitable indicator for the processes of interest is the EROEI</w:t>
      </w:r>
      <w:r w:rsidR="002A40A9">
        <w:rPr>
          <w:rFonts w:ascii="Times New Roman" w:eastAsia="MS PGothic" w:hAnsi="Times New Roman"/>
          <w:lang w:val="en-US"/>
        </w:rPr>
        <w:t xml:space="preserve"> </w:t>
      </w:r>
      <w:r w:rsidRPr="00C60262">
        <w:rPr>
          <w:rFonts w:ascii="Times New Roman" w:eastAsia="MS PGothic" w:hAnsi="Times New Roman"/>
          <w:lang w:val="en-US"/>
        </w:rPr>
        <w:t>defin</w:t>
      </w:r>
      <w:r w:rsidR="002A40A9">
        <w:rPr>
          <w:rFonts w:ascii="Times New Roman" w:eastAsia="MS PGothic" w:hAnsi="Times New Roman"/>
          <w:lang w:val="en-US"/>
        </w:rPr>
        <w:t>ed as</w:t>
      </w:r>
      <w:r w:rsidRPr="00C60262">
        <w:rPr>
          <w:rFonts w:ascii="Times New Roman" w:eastAsia="MS PGothic" w:hAnsi="Times New Roman"/>
          <w:lang w:val="en-US"/>
        </w:rPr>
        <w:t xml:space="preserve">: </w:t>
      </w:r>
    </w:p>
    <w:tbl>
      <w:tblPr>
        <w:tblW w:w="8725" w:type="dxa"/>
        <w:tblBorders>
          <w:top w:val="nil"/>
          <w:left w:val="nil"/>
          <w:bottom w:val="nil"/>
          <w:right w:val="nil"/>
          <w:insideH w:val="nil"/>
          <w:insideV w:val="nil"/>
        </w:tblBorders>
        <w:tblLayout w:type="fixed"/>
        <w:tblLook w:val="0400" w:firstRow="0" w:lastRow="0" w:firstColumn="0" w:lastColumn="0" w:noHBand="0" w:noVBand="1"/>
      </w:tblPr>
      <w:tblGrid>
        <w:gridCol w:w="715"/>
        <w:gridCol w:w="7020"/>
        <w:gridCol w:w="990"/>
      </w:tblGrid>
      <w:tr w:rsidR="00C60262" w:rsidRPr="002A40A9" w14:paraId="68766779" w14:textId="77777777" w:rsidTr="00E1330C">
        <w:tc>
          <w:tcPr>
            <w:tcW w:w="715" w:type="dxa"/>
            <w:vAlign w:val="center"/>
          </w:tcPr>
          <w:p w14:paraId="1D5ED31C" w14:textId="77777777" w:rsidR="00C60262" w:rsidRPr="002A40A9" w:rsidRDefault="00C60262" w:rsidP="00E1330C">
            <w:pPr>
              <w:rPr>
                <w:sz w:val="18"/>
                <w:lang w:val="en-GB"/>
              </w:rPr>
            </w:pPr>
          </w:p>
        </w:tc>
        <w:tc>
          <w:tcPr>
            <w:tcW w:w="7020" w:type="dxa"/>
            <w:vAlign w:val="center"/>
          </w:tcPr>
          <w:p w14:paraId="59D589B9" w14:textId="77777777" w:rsidR="00C60262" w:rsidRPr="002A40A9" w:rsidRDefault="00C60262" w:rsidP="00E1330C">
            <w:pPr>
              <w:jc w:val="center"/>
              <w:rPr>
                <w:rFonts w:ascii="Cambria Math" w:eastAsia="Cambria Math" w:hAnsi="Cambria Math" w:cs="Cambria Math"/>
                <w:sz w:val="18"/>
              </w:rPr>
            </w:pPr>
            <m:oMathPara>
              <m:oMath>
                <m:r>
                  <w:rPr>
                    <w:rFonts w:ascii="Cambria Math" w:eastAsia="Cambria Math" w:hAnsi="Cambria Math" w:cs="Cambria Math"/>
                    <w:sz w:val="18"/>
                  </w:rPr>
                  <m:t>EROEI=</m:t>
                </m:r>
                <m:sSub>
                  <m:sSubPr>
                    <m:ctrlPr>
                      <w:rPr>
                        <w:rFonts w:ascii="Cambria Math" w:eastAsia="Cambria Math" w:hAnsi="Cambria Math" w:cs="Cambria Math"/>
                        <w:sz w:val="18"/>
                      </w:rPr>
                    </m:ctrlPr>
                  </m:sSubPr>
                  <m:e>
                    <m:r>
                      <w:rPr>
                        <w:rFonts w:ascii="Cambria Math" w:eastAsia="Cambria Math" w:hAnsi="Cambria Math" w:cs="Cambria Math"/>
                        <w:sz w:val="18"/>
                      </w:rPr>
                      <m:t>E</m:t>
                    </m:r>
                  </m:e>
                  <m:sub>
                    <m:r>
                      <w:rPr>
                        <w:rFonts w:ascii="Cambria Math" w:eastAsia="Cambria Math" w:hAnsi="Cambria Math" w:cs="Cambria Math"/>
                        <w:sz w:val="18"/>
                      </w:rPr>
                      <m:t>out</m:t>
                    </m:r>
                  </m:sub>
                </m:sSub>
                <m:r>
                  <w:rPr>
                    <w:rFonts w:ascii="Cambria Math" w:eastAsia="Cambria Math" w:hAnsi="Cambria Math" w:cs="Cambria Math"/>
                    <w:sz w:val="18"/>
                  </w:rPr>
                  <m:t>/</m:t>
                </m:r>
                <m:sSub>
                  <m:sSubPr>
                    <m:ctrlPr>
                      <w:rPr>
                        <w:rFonts w:ascii="Cambria Math" w:eastAsia="Cambria Math" w:hAnsi="Cambria Math" w:cs="Cambria Math"/>
                        <w:sz w:val="18"/>
                      </w:rPr>
                    </m:ctrlPr>
                  </m:sSubPr>
                  <m:e>
                    <m:r>
                      <w:rPr>
                        <w:rFonts w:ascii="Cambria Math" w:eastAsia="Cambria Math" w:hAnsi="Cambria Math" w:cs="Cambria Math"/>
                        <w:sz w:val="18"/>
                      </w:rPr>
                      <m:t>E</m:t>
                    </m:r>
                  </m:e>
                  <m:sub>
                    <m:r>
                      <w:rPr>
                        <w:rFonts w:ascii="Cambria Math" w:eastAsia="Cambria Math" w:hAnsi="Cambria Math" w:cs="Cambria Math"/>
                        <w:sz w:val="18"/>
                      </w:rPr>
                      <m:t>in</m:t>
                    </m:r>
                  </m:sub>
                </m:sSub>
                <m:r>
                  <w:rPr>
                    <w:rFonts w:ascii="Cambria Math" w:eastAsia="Cambria Math" w:hAnsi="Cambria Math" w:cs="Cambria Math"/>
                    <w:sz w:val="18"/>
                  </w:rPr>
                  <m:t xml:space="preserve"> </m:t>
                </m:r>
              </m:oMath>
            </m:oMathPara>
          </w:p>
        </w:tc>
        <w:tc>
          <w:tcPr>
            <w:tcW w:w="990" w:type="dxa"/>
            <w:vAlign w:val="center"/>
          </w:tcPr>
          <w:p w14:paraId="70117305" w14:textId="77777777" w:rsidR="00C60262" w:rsidRPr="002A40A9" w:rsidRDefault="00C60262" w:rsidP="00E1330C">
            <w:pPr>
              <w:rPr>
                <w:rFonts w:ascii="Times New Roman" w:hAnsi="Times New Roman" w:cs="Times New Roman"/>
                <w:sz w:val="18"/>
              </w:rPr>
            </w:pPr>
            <w:r w:rsidRPr="002A40A9">
              <w:rPr>
                <w:rFonts w:ascii="Times New Roman" w:hAnsi="Times New Roman" w:cs="Times New Roman"/>
                <w:sz w:val="18"/>
              </w:rPr>
              <w:t>(1)</w:t>
            </w:r>
          </w:p>
        </w:tc>
      </w:tr>
    </w:tbl>
    <w:p w14:paraId="59BAECEB" w14:textId="567AA837"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 xml:space="preserve">where </w:t>
      </w:r>
      <w:proofErr w:type="spellStart"/>
      <w:r w:rsidRPr="00C60262">
        <w:rPr>
          <w:rFonts w:ascii="Times New Roman" w:eastAsia="MS PGothic" w:hAnsi="Times New Roman"/>
          <w:lang w:val="en-US"/>
        </w:rPr>
        <w:t>E</w:t>
      </w:r>
      <w:r w:rsidRPr="00814B70">
        <w:rPr>
          <w:rFonts w:ascii="Times New Roman" w:eastAsia="MS PGothic" w:hAnsi="Times New Roman"/>
          <w:vertAlign w:val="subscript"/>
          <w:lang w:val="en-US"/>
        </w:rPr>
        <w:t>out</w:t>
      </w:r>
      <w:proofErr w:type="spellEnd"/>
      <w:r w:rsidRPr="00C60262">
        <w:rPr>
          <w:rFonts w:ascii="Times New Roman" w:eastAsia="MS PGothic" w:hAnsi="Times New Roman"/>
          <w:lang w:val="en-US"/>
        </w:rPr>
        <w:t xml:space="preserve"> is the available energy that the process provides (which for hydrogen is the energy stored in a given quantity of hydrogen) and E</w:t>
      </w:r>
      <w:r w:rsidRPr="00814B70">
        <w:rPr>
          <w:rFonts w:ascii="Times New Roman" w:eastAsia="MS PGothic" w:hAnsi="Times New Roman"/>
          <w:vertAlign w:val="subscript"/>
          <w:lang w:val="en-US"/>
        </w:rPr>
        <w:t>in</w:t>
      </w:r>
      <w:r w:rsidRPr="00C60262">
        <w:rPr>
          <w:rFonts w:ascii="Times New Roman" w:eastAsia="MS PGothic" w:hAnsi="Times New Roman"/>
          <w:lang w:val="en-US"/>
        </w:rPr>
        <w:t xml:space="preserve"> is defined as:</w:t>
      </w:r>
    </w:p>
    <w:tbl>
      <w:tblPr>
        <w:tblW w:w="8725" w:type="dxa"/>
        <w:tblBorders>
          <w:top w:val="nil"/>
          <w:left w:val="nil"/>
          <w:bottom w:val="nil"/>
          <w:right w:val="nil"/>
          <w:insideH w:val="nil"/>
          <w:insideV w:val="nil"/>
        </w:tblBorders>
        <w:tblLayout w:type="fixed"/>
        <w:tblLook w:val="0400" w:firstRow="0" w:lastRow="0" w:firstColumn="0" w:lastColumn="0" w:noHBand="0" w:noVBand="1"/>
      </w:tblPr>
      <w:tblGrid>
        <w:gridCol w:w="715"/>
        <w:gridCol w:w="7020"/>
        <w:gridCol w:w="990"/>
      </w:tblGrid>
      <w:tr w:rsidR="00C60262" w:rsidRPr="002A40A9" w14:paraId="542D05E3" w14:textId="77777777" w:rsidTr="00E1330C">
        <w:tc>
          <w:tcPr>
            <w:tcW w:w="715" w:type="dxa"/>
            <w:vAlign w:val="center"/>
          </w:tcPr>
          <w:p w14:paraId="0DE22306" w14:textId="77777777" w:rsidR="00C60262" w:rsidRPr="002A40A9" w:rsidRDefault="00C60262" w:rsidP="00E1330C">
            <w:pPr>
              <w:rPr>
                <w:sz w:val="18"/>
                <w:lang w:val="en-GB"/>
              </w:rPr>
            </w:pPr>
          </w:p>
        </w:tc>
        <w:tc>
          <w:tcPr>
            <w:tcW w:w="7020" w:type="dxa"/>
            <w:vAlign w:val="center"/>
          </w:tcPr>
          <w:p w14:paraId="37664BC9" w14:textId="77777777" w:rsidR="00C60262" w:rsidRPr="002A40A9" w:rsidRDefault="00DE7A43" w:rsidP="00E1330C">
            <w:pPr>
              <w:jc w:val="center"/>
              <w:rPr>
                <w:rFonts w:ascii="Cambria Math" w:eastAsia="Cambria Math" w:hAnsi="Cambria Math" w:cs="Cambria Math"/>
                <w:sz w:val="18"/>
              </w:rPr>
            </w:pPr>
            <m:oMathPara>
              <m:oMath>
                <m:sSub>
                  <m:sSubPr>
                    <m:ctrlPr>
                      <w:rPr>
                        <w:rFonts w:ascii="Cambria Math" w:eastAsia="Cambria Math" w:hAnsi="Cambria Math" w:cs="Cambria Math"/>
                        <w:sz w:val="18"/>
                      </w:rPr>
                    </m:ctrlPr>
                  </m:sSubPr>
                  <m:e>
                    <m:r>
                      <w:rPr>
                        <w:rFonts w:ascii="Cambria Math" w:eastAsia="Cambria Math" w:hAnsi="Cambria Math" w:cs="Cambria Math"/>
                        <w:sz w:val="18"/>
                      </w:rPr>
                      <m:t>E</m:t>
                    </m:r>
                  </m:e>
                  <m:sub>
                    <m:r>
                      <w:rPr>
                        <w:rFonts w:ascii="Cambria Math" w:eastAsia="Cambria Math" w:hAnsi="Cambria Math" w:cs="Cambria Math"/>
                        <w:sz w:val="18"/>
                      </w:rPr>
                      <m:t>in</m:t>
                    </m:r>
                  </m:sub>
                </m:sSub>
                <m:r>
                  <w:rPr>
                    <w:rFonts w:ascii="Cambria Math" w:eastAsia="Cambria Math" w:hAnsi="Cambria Math" w:cs="Cambria Math"/>
                    <w:sz w:val="18"/>
                  </w:rPr>
                  <m:t>=</m:t>
                </m:r>
                <m:sSub>
                  <m:sSubPr>
                    <m:ctrlPr>
                      <w:rPr>
                        <w:rFonts w:ascii="Cambria Math" w:eastAsia="Cambria Math" w:hAnsi="Cambria Math" w:cs="Cambria Math"/>
                        <w:sz w:val="18"/>
                      </w:rPr>
                    </m:ctrlPr>
                  </m:sSubPr>
                  <m:e>
                    <m:r>
                      <w:rPr>
                        <w:rFonts w:ascii="Cambria Math" w:eastAsia="Cambria Math" w:hAnsi="Cambria Math" w:cs="Cambria Math"/>
                        <w:sz w:val="18"/>
                      </w:rPr>
                      <m:t>E</m:t>
                    </m:r>
                  </m:e>
                  <m:sub>
                    <m:r>
                      <w:rPr>
                        <w:rFonts w:ascii="Cambria Math" w:eastAsia="Cambria Math" w:hAnsi="Cambria Math" w:cs="Cambria Math"/>
                        <w:sz w:val="18"/>
                      </w:rPr>
                      <m:t>cap</m:t>
                    </m:r>
                  </m:sub>
                </m:sSub>
                <m:r>
                  <w:rPr>
                    <w:rFonts w:ascii="Cambria Math" w:eastAsia="Cambria Math" w:hAnsi="Cambria Math" w:cs="Cambria Math"/>
                    <w:sz w:val="18"/>
                  </w:rPr>
                  <m:t>+</m:t>
                </m:r>
                <m:sSub>
                  <m:sSubPr>
                    <m:ctrlPr>
                      <w:rPr>
                        <w:rFonts w:ascii="Cambria Math" w:eastAsia="Cambria Math" w:hAnsi="Cambria Math" w:cs="Cambria Math"/>
                        <w:sz w:val="18"/>
                      </w:rPr>
                    </m:ctrlPr>
                  </m:sSubPr>
                  <m:e>
                    <m:r>
                      <w:rPr>
                        <w:rFonts w:ascii="Cambria Math" w:eastAsia="Cambria Math" w:hAnsi="Cambria Math" w:cs="Cambria Math"/>
                        <w:sz w:val="18"/>
                      </w:rPr>
                      <m:t>E</m:t>
                    </m:r>
                  </m:e>
                  <m:sub>
                    <m:r>
                      <w:rPr>
                        <w:rFonts w:ascii="Cambria Math" w:eastAsia="Cambria Math" w:hAnsi="Cambria Math" w:cs="Cambria Math"/>
                        <w:sz w:val="18"/>
                      </w:rPr>
                      <m:t>o&amp;m</m:t>
                    </m:r>
                  </m:sub>
                </m:sSub>
                <m:r>
                  <w:rPr>
                    <w:rFonts w:ascii="Cambria Math" w:eastAsia="Cambria Math" w:hAnsi="Cambria Math" w:cs="Cambria Math"/>
                    <w:sz w:val="18"/>
                  </w:rPr>
                  <m:t>+</m:t>
                </m:r>
                <m:sSub>
                  <m:sSubPr>
                    <m:ctrlPr>
                      <w:rPr>
                        <w:rFonts w:ascii="Cambria Math" w:eastAsia="Cambria Math" w:hAnsi="Cambria Math" w:cs="Cambria Math"/>
                        <w:sz w:val="18"/>
                      </w:rPr>
                    </m:ctrlPr>
                  </m:sSubPr>
                  <m:e>
                    <m:r>
                      <w:rPr>
                        <w:rFonts w:ascii="Cambria Math" w:eastAsia="Cambria Math" w:hAnsi="Cambria Math" w:cs="Cambria Math"/>
                        <w:sz w:val="18"/>
                      </w:rPr>
                      <m:t>E</m:t>
                    </m:r>
                  </m:e>
                  <m:sub>
                    <m:r>
                      <w:rPr>
                        <w:rFonts w:ascii="Cambria Math" w:eastAsia="Cambria Math" w:hAnsi="Cambria Math" w:cs="Cambria Math"/>
                        <w:sz w:val="18"/>
                      </w:rPr>
                      <m:t>f</m:t>
                    </m:r>
                  </m:sub>
                </m:sSub>
                <m:r>
                  <w:rPr>
                    <w:rFonts w:ascii="Cambria Math" w:eastAsia="Cambria Math" w:hAnsi="Cambria Math" w:cs="Cambria Math"/>
                    <w:sz w:val="18"/>
                  </w:rPr>
                  <m:t xml:space="preserve"> </m:t>
                </m:r>
              </m:oMath>
            </m:oMathPara>
          </w:p>
        </w:tc>
        <w:tc>
          <w:tcPr>
            <w:tcW w:w="990" w:type="dxa"/>
            <w:vAlign w:val="center"/>
          </w:tcPr>
          <w:p w14:paraId="6A76371B" w14:textId="77777777" w:rsidR="00C60262" w:rsidRPr="002A40A9" w:rsidRDefault="00C60262" w:rsidP="00E1330C">
            <w:pPr>
              <w:rPr>
                <w:rFonts w:ascii="Times New Roman" w:hAnsi="Times New Roman" w:cs="Times New Roman"/>
                <w:sz w:val="18"/>
              </w:rPr>
            </w:pPr>
            <w:r w:rsidRPr="002A40A9">
              <w:rPr>
                <w:rFonts w:ascii="Times New Roman" w:hAnsi="Times New Roman" w:cs="Times New Roman"/>
                <w:sz w:val="18"/>
              </w:rPr>
              <w:t>(2)</w:t>
            </w:r>
          </w:p>
        </w:tc>
      </w:tr>
    </w:tbl>
    <w:p w14:paraId="2C19731E" w14:textId="7879CDB5" w:rsid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In Eq. (2) E</w:t>
      </w:r>
      <w:r w:rsidRPr="00814B70">
        <w:rPr>
          <w:rFonts w:ascii="Times New Roman" w:eastAsia="MS PGothic" w:hAnsi="Times New Roman"/>
          <w:vertAlign w:val="subscript"/>
          <w:lang w:val="en-US"/>
        </w:rPr>
        <w:t>in</w:t>
      </w:r>
      <w:r w:rsidRPr="00C60262">
        <w:rPr>
          <w:rFonts w:ascii="Times New Roman" w:eastAsia="MS PGothic" w:hAnsi="Times New Roman"/>
          <w:lang w:val="en-US"/>
        </w:rPr>
        <w:t xml:space="preserve"> is the total energy that is provided and consumed during the production and operations periods of the plant and is made up of three contributions: </w:t>
      </w:r>
      <w:proofErr w:type="spellStart"/>
      <w:r w:rsidRPr="00C60262">
        <w:rPr>
          <w:rFonts w:ascii="Times New Roman" w:eastAsia="MS PGothic" w:hAnsi="Times New Roman"/>
          <w:lang w:val="en-US"/>
        </w:rPr>
        <w:t>E</w:t>
      </w:r>
      <w:r w:rsidRPr="00814B70">
        <w:rPr>
          <w:rFonts w:ascii="Times New Roman" w:eastAsia="MS PGothic" w:hAnsi="Times New Roman"/>
          <w:vertAlign w:val="subscript"/>
          <w:lang w:val="en-US"/>
        </w:rPr>
        <w:t>cap</w:t>
      </w:r>
      <w:proofErr w:type="spellEnd"/>
      <w:r w:rsidRPr="00C60262">
        <w:rPr>
          <w:rFonts w:ascii="Times New Roman" w:eastAsia="MS PGothic" w:hAnsi="Times New Roman"/>
          <w:lang w:val="en-US"/>
        </w:rPr>
        <w:t xml:space="preserve"> is the capital energy embodied in the materials and used for construction and decommissioning of the plant; </w:t>
      </w:r>
      <w:proofErr w:type="spellStart"/>
      <w:r w:rsidRPr="00C60262">
        <w:rPr>
          <w:rFonts w:ascii="Times New Roman" w:eastAsia="MS PGothic" w:hAnsi="Times New Roman"/>
          <w:lang w:val="en-US"/>
        </w:rPr>
        <w:t>E</w:t>
      </w:r>
      <w:r w:rsidRPr="00814B70">
        <w:rPr>
          <w:rFonts w:ascii="Times New Roman" w:eastAsia="MS PGothic" w:hAnsi="Times New Roman"/>
          <w:vertAlign w:val="subscript"/>
          <w:lang w:val="en-US"/>
        </w:rPr>
        <w:t>o&amp;m</w:t>
      </w:r>
      <w:proofErr w:type="spellEnd"/>
      <w:r w:rsidRPr="00C60262">
        <w:rPr>
          <w:rFonts w:ascii="Times New Roman" w:eastAsia="MS PGothic" w:hAnsi="Times New Roman"/>
          <w:lang w:val="en-US"/>
        </w:rPr>
        <w:t xml:space="preserve"> is the energy needed for operating and maintaining the plant; E</w:t>
      </w:r>
      <w:r w:rsidRPr="00814B70">
        <w:rPr>
          <w:rFonts w:ascii="Times New Roman" w:eastAsia="MS PGothic" w:hAnsi="Times New Roman"/>
          <w:vertAlign w:val="subscript"/>
          <w:lang w:val="en-US"/>
        </w:rPr>
        <w:t>f</w:t>
      </w:r>
      <w:r w:rsidRPr="00C60262">
        <w:rPr>
          <w:rFonts w:ascii="Times New Roman" w:eastAsia="MS PGothic" w:hAnsi="Times New Roman"/>
          <w:lang w:val="en-US"/>
        </w:rPr>
        <w:t xml:space="preserve"> is the energy needed for procuring and distributing the fuels, which includes also the energy used for extracting, refining and transporting the fuels from the production well to the plant. All terms are expressed in GWh for consistency: the EROEI is thus dimensionless. </w:t>
      </w:r>
    </w:p>
    <w:p w14:paraId="3461BDC4" w14:textId="2DD34575" w:rsidR="00292E92" w:rsidRDefault="00292E92" w:rsidP="00292E92">
      <w:pPr>
        <w:snapToGrid w:val="0"/>
        <w:spacing w:after="120"/>
        <w:rPr>
          <w:rFonts w:ascii="Times New Roman" w:eastAsia="MS PGothic" w:hAnsi="Times New Roman"/>
          <w:lang w:val="en-US"/>
        </w:rPr>
      </w:pPr>
      <w:r>
        <w:rPr>
          <w:rFonts w:ascii="Times New Roman" w:eastAsia="MS PGothic" w:hAnsi="Times New Roman"/>
          <w:lang w:val="en-US"/>
        </w:rPr>
        <w:t>T</w:t>
      </w:r>
      <w:r w:rsidRPr="00292E92">
        <w:rPr>
          <w:rFonts w:ascii="Times New Roman" w:eastAsia="MS PGothic" w:hAnsi="Times New Roman"/>
          <w:lang w:val="en-US"/>
        </w:rPr>
        <w:t>he Energy Return on Carbon (EROC)</w:t>
      </w:r>
      <w:r>
        <w:rPr>
          <w:rFonts w:ascii="Times New Roman" w:eastAsia="MS PGothic" w:hAnsi="Times New Roman"/>
          <w:lang w:val="en-US"/>
        </w:rPr>
        <w:t xml:space="preserve"> allows </w:t>
      </w:r>
      <w:r w:rsidRPr="00292E92">
        <w:rPr>
          <w:rFonts w:ascii="Times New Roman" w:eastAsia="MS PGothic" w:hAnsi="Times New Roman"/>
          <w:lang w:val="en-US"/>
        </w:rPr>
        <w:t xml:space="preserve">a comparison of </w:t>
      </w:r>
      <w:r>
        <w:rPr>
          <w:rFonts w:ascii="Times New Roman" w:eastAsia="MS PGothic" w:hAnsi="Times New Roman"/>
          <w:lang w:val="en-US"/>
        </w:rPr>
        <w:t xml:space="preserve">processes </w:t>
      </w:r>
      <w:r w:rsidRPr="00292E92">
        <w:rPr>
          <w:rFonts w:ascii="Times New Roman" w:eastAsia="MS PGothic" w:hAnsi="Times New Roman"/>
          <w:lang w:val="en-US"/>
        </w:rPr>
        <w:t>under the constraint of climate change targets. The EROC is calculated as</w:t>
      </w:r>
      <w:r>
        <w:rPr>
          <w:rFonts w:ascii="Times New Roman" w:eastAsia="MS PGothic" w:hAnsi="Times New Roman"/>
          <w:lang w:val="en-US"/>
        </w:rPr>
        <w:t xml:space="preserve"> (</w:t>
      </w:r>
      <w:proofErr w:type="spellStart"/>
      <w:r>
        <w:rPr>
          <w:rFonts w:ascii="Times New Roman" w:eastAsia="MS PGothic" w:hAnsi="Times New Roman"/>
          <w:lang w:val="en-US"/>
        </w:rPr>
        <w:t>C</w:t>
      </w:r>
      <w:r w:rsidRPr="00292E92">
        <w:rPr>
          <w:rFonts w:ascii="Times New Roman" w:eastAsia="MS PGothic" w:hAnsi="Times New Roman"/>
          <w:vertAlign w:val="subscript"/>
          <w:lang w:val="en-US"/>
        </w:rPr>
        <w:t>ef</w:t>
      </w:r>
      <w:proofErr w:type="spellEnd"/>
      <w:r>
        <w:rPr>
          <w:rFonts w:ascii="Times New Roman" w:eastAsia="MS PGothic" w:hAnsi="Times New Roman"/>
          <w:lang w:val="en-US"/>
        </w:rPr>
        <w:t xml:space="preserve"> is the carbon emission factor)</w:t>
      </w:r>
      <w:r w:rsidRPr="00292E92">
        <w:rPr>
          <w:rFonts w:ascii="Times New Roman" w:eastAsia="MS PGothic" w:hAnsi="Times New Roman"/>
          <w:lang w:val="en-US"/>
        </w:rPr>
        <w:t xml:space="preserve">: </w:t>
      </w:r>
    </w:p>
    <w:tbl>
      <w:tblPr>
        <w:tblW w:w="8725" w:type="dxa"/>
        <w:tblBorders>
          <w:top w:val="nil"/>
          <w:left w:val="nil"/>
          <w:bottom w:val="nil"/>
          <w:right w:val="nil"/>
          <w:insideH w:val="nil"/>
          <w:insideV w:val="nil"/>
        </w:tblBorders>
        <w:tblLayout w:type="fixed"/>
        <w:tblLook w:val="0400" w:firstRow="0" w:lastRow="0" w:firstColumn="0" w:lastColumn="0" w:noHBand="0" w:noVBand="1"/>
      </w:tblPr>
      <w:tblGrid>
        <w:gridCol w:w="715"/>
        <w:gridCol w:w="7020"/>
        <w:gridCol w:w="990"/>
      </w:tblGrid>
      <w:tr w:rsidR="00292E92" w:rsidRPr="009D775A" w14:paraId="4D65AD9F" w14:textId="77777777" w:rsidTr="00011135">
        <w:tc>
          <w:tcPr>
            <w:tcW w:w="715" w:type="dxa"/>
            <w:vAlign w:val="center"/>
          </w:tcPr>
          <w:p w14:paraId="71F784CA" w14:textId="77777777" w:rsidR="00292E92" w:rsidRPr="00292E92" w:rsidRDefault="00292E92" w:rsidP="00011135">
            <w:pPr>
              <w:rPr>
                <w:lang w:val="en-GB"/>
              </w:rPr>
            </w:pPr>
          </w:p>
        </w:tc>
        <w:tc>
          <w:tcPr>
            <w:tcW w:w="7020" w:type="dxa"/>
            <w:vAlign w:val="center"/>
          </w:tcPr>
          <w:p w14:paraId="3FAE3551" w14:textId="7A9A9234" w:rsidR="00292E92" w:rsidRPr="009D775A" w:rsidRDefault="00292E92" w:rsidP="00011135">
            <w:pPr>
              <w:jc w:val="center"/>
              <w:rPr>
                <w:rFonts w:ascii="Cambria Math" w:eastAsia="Cambria Math" w:hAnsi="Cambria Math" w:cs="Cambria Math"/>
              </w:rPr>
            </w:pPr>
            <m:oMathPara>
              <m:oMath>
                <m:r>
                  <w:rPr>
                    <w:rFonts w:ascii="Cambria Math" w:eastAsia="Cambria Math" w:hAnsi="Cambria Math" w:cs="Cambria Math"/>
                    <w:sz w:val="16"/>
                  </w:rPr>
                  <m:t xml:space="preserve">EROC= </m:t>
                </m:r>
                <m:r>
                  <m:rPr>
                    <m:sty m:val="p"/>
                  </m:rPr>
                  <w:rPr>
                    <w:rFonts w:ascii="Cambria Math" w:eastAsia="Cambria Math" w:hAnsi="Cambria Math" w:cs="Cambria Math"/>
                    <w:sz w:val="16"/>
                  </w:rPr>
                  <m:t>[((</m:t>
                </m:r>
                <m:r>
                  <w:rPr>
                    <w:rFonts w:ascii="Cambria Math" w:eastAsia="Cambria Math" w:hAnsi="Cambria Math" w:cs="Cambria Math"/>
                    <w:sz w:val="16"/>
                  </w:rPr>
                  <m:t>1-1/EROEI</m:t>
                </m:r>
                <m:r>
                  <m:rPr>
                    <m:sty m:val="p"/>
                  </m:rPr>
                  <w:rPr>
                    <w:rFonts w:ascii="Cambria Math" w:eastAsia="Cambria Math" w:hAnsi="Cambria Math" w:cs="Cambria Math"/>
                    <w:sz w:val="16"/>
                  </w:rPr>
                  <m:t>))/((</m:t>
                </m:r>
                <m:sSub>
                  <m:sSubPr>
                    <m:ctrlPr>
                      <w:rPr>
                        <w:rFonts w:ascii="Cambria Math" w:eastAsia="Cambria Math" w:hAnsi="Cambria Math" w:cs="Cambria Math"/>
                        <w:i/>
                        <w:sz w:val="16"/>
                      </w:rPr>
                    </m:ctrlPr>
                  </m:sSubPr>
                  <m:e>
                    <m:r>
                      <w:rPr>
                        <w:rFonts w:ascii="Cambria Math" w:eastAsia="Cambria Math" w:hAnsi="Cambria Math" w:cs="Cambria Math"/>
                        <w:sz w:val="16"/>
                      </w:rPr>
                      <m:t>C</m:t>
                    </m:r>
                    <m:ctrlPr>
                      <w:rPr>
                        <w:rFonts w:ascii="Cambria Math" w:eastAsia="Cambria Math" w:hAnsi="Cambria Math" w:cs="Cambria Math"/>
                        <w:sz w:val="16"/>
                      </w:rPr>
                    </m:ctrlPr>
                  </m:e>
                  <m:sub>
                    <m:r>
                      <w:rPr>
                        <w:rFonts w:ascii="Cambria Math" w:eastAsia="Cambria Math" w:hAnsi="Cambria Math" w:cs="Cambria Math"/>
                        <w:sz w:val="16"/>
                      </w:rPr>
                      <m:t>ef</m:t>
                    </m:r>
                  </m:sub>
                </m:sSub>
                <m:r>
                  <m:rPr>
                    <m:sty m:val="p"/>
                  </m:rPr>
                  <w:rPr>
                    <w:rFonts w:ascii="Cambria Math" w:eastAsia="Cambria Math" w:hAnsi="Cambria Math" w:cs="Cambria Math"/>
                    <w:sz w:val="16"/>
                  </w:rPr>
                  <m:t xml:space="preserve"> ) )]</m:t>
                </m:r>
              </m:oMath>
            </m:oMathPara>
          </w:p>
        </w:tc>
        <w:tc>
          <w:tcPr>
            <w:tcW w:w="990" w:type="dxa"/>
            <w:vAlign w:val="center"/>
          </w:tcPr>
          <w:p w14:paraId="194028B0" w14:textId="4840B6BE" w:rsidR="00292E92" w:rsidRPr="00292E92" w:rsidRDefault="00292E92" w:rsidP="00011135">
            <w:pPr>
              <w:rPr>
                <w:rFonts w:ascii="Times New Roman" w:hAnsi="Times New Roman" w:cs="Times New Roman"/>
                <w:sz w:val="18"/>
                <w:szCs w:val="18"/>
              </w:rPr>
            </w:pPr>
            <w:r w:rsidRPr="00292E92">
              <w:rPr>
                <w:rFonts w:ascii="Times New Roman" w:hAnsi="Times New Roman" w:cs="Times New Roman"/>
                <w:sz w:val="18"/>
                <w:szCs w:val="18"/>
              </w:rPr>
              <w:t>(</w:t>
            </w:r>
            <w:r>
              <w:rPr>
                <w:rFonts w:ascii="Times New Roman" w:hAnsi="Times New Roman" w:cs="Times New Roman"/>
                <w:sz w:val="18"/>
                <w:szCs w:val="18"/>
              </w:rPr>
              <w:t>3</w:t>
            </w:r>
            <w:r w:rsidRPr="00292E92">
              <w:rPr>
                <w:rFonts w:ascii="Times New Roman" w:hAnsi="Times New Roman" w:cs="Times New Roman"/>
                <w:sz w:val="18"/>
                <w:szCs w:val="18"/>
              </w:rPr>
              <w:t>)</w:t>
            </w:r>
          </w:p>
        </w:tc>
      </w:tr>
    </w:tbl>
    <w:p w14:paraId="676209C8" w14:textId="1BD0D142" w:rsidR="00C60262" w:rsidRPr="00C60262" w:rsidRDefault="00C60262" w:rsidP="006B2EF4">
      <w:pPr>
        <w:snapToGrid w:val="0"/>
        <w:spacing w:before="120" w:after="120"/>
        <w:rPr>
          <w:rFonts w:ascii="Times New Roman" w:eastAsia="MS PGothic" w:hAnsi="Times New Roman"/>
          <w:i/>
          <w:lang w:val="en-US"/>
        </w:rPr>
      </w:pPr>
      <w:r w:rsidRPr="00C60262">
        <w:rPr>
          <w:rFonts w:ascii="Times New Roman" w:eastAsia="MS PGothic" w:hAnsi="Times New Roman"/>
          <w:i/>
          <w:lang w:val="en-US"/>
        </w:rPr>
        <w:lastRenderedPageBreak/>
        <w:t>Levelized cost of energy</w:t>
      </w:r>
      <w:r w:rsidR="006B2EF4">
        <w:rPr>
          <w:rFonts w:ascii="Times New Roman" w:eastAsia="MS PGothic" w:hAnsi="Times New Roman"/>
          <w:i/>
          <w:lang w:val="en-US"/>
        </w:rPr>
        <w:t xml:space="preserve"> (LCOE)</w:t>
      </w:r>
      <w:r w:rsidRPr="00C60262">
        <w:rPr>
          <w:rFonts w:ascii="Times New Roman" w:eastAsia="MS PGothic" w:hAnsi="Times New Roman"/>
          <w:i/>
          <w:lang w:val="en-US"/>
        </w:rPr>
        <w:t xml:space="preserve"> and levelized cost of hydrogen</w:t>
      </w:r>
      <w:r w:rsidR="006B2EF4">
        <w:rPr>
          <w:rFonts w:ascii="Times New Roman" w:eastAsia="MS PGothic" w:hAnsi="Times New Roman"/>
          <w:i/>
          <w:lang w:val="en-US"/>
        </w:rPr>
        <w:t xml:space="preserve"> (LCOH)</w:t>
      </w:r>
    </w:p>
    <w:p w14:paraId="371E2D3A" w14:textId="2B1713DE"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 xml:space="preserve">The LCOE, which is a measure of the </w:t>
      </w:r>
      <w:r w:rsidR="00814B70">
        <w:rPr>
          <w:rFonts w:ascii="Times New Roman" w:eastAsia="MS PGothic" w:hAnsi="Times New Roman"/>
          <w:lang w:val="en-US"/>
        </w:rPr>
        <w:t>energy carrier</w:t>
      </w:r>
      <w:r w:rsidRPr="00C60262">
        <w:rPr>
          <w:rFonts w:ascii="Times New Roman" w:eastAsia="MS PGothic" w:hAnsi="Times New Roman"/>
          <w:lang w:val="en-US"/>
        </w:rPr>
        <w:t xml:space="preserve"> generation cost, </w:t>
      </w:r>
      <w:r w:rsidR="00814B70">
        <w:rPr>
          <w:rFonts w:ascii="Times New Roman" w:eastAsia="MS PGothic" w:hAnsi="Times New Roman"/>
          <w:lang w:val="en-US"/>
        </w:rPr>
        <w:t>is</w:t>
      </w:r>
      <w:r w:rsidRPr="00C60262">
        <w:rPr>
          <w:rFonts w:ascii="Times New Roman" w:eastAsia="MS PGothic" w:hAnsi="Times New Roman"/>
          <w:lang w:val="en-US"/>
        </w:rPr>
        <w:t xml:space="preserve"> used in order to compare different power technologies. The LCOE</w:t>
      </w:r>
      <w:r w:rsidR="00814B70">
        <w:rPr>
          <w:rFonts w:ascii="Times New Roman" w:eastAsia="MS PGothic" w:hAnsi="Times New Roman"/>
          <w:lang w:val="en-US"/>
        </w:rPr>
        <w:t>, which refers to electrical energy production,</w:t>
      </w:r>
      <w:r w:rsidRPr="00C60262">
        <w:rPr>
          <w:rFonts w:ascii="Times New Roman" w:eastAsia="MS PGothic" w:hAnsi="Times New Roman"/>
          <w:lang w:val="en-US"/>
        </w:rPr>
        <w:t xml:space="preserve"> is calculated as follows:</w:t>
      </w:r>
    </w:p>
    <w:tbl>
      <w:tblPr>
        <w:tblW w:w="8725" w:type="dxa"/>
        <w:tblBorders>
          <w:top w:val="nil"/>
          <w:left w:val="nil"/>
          <w:bottom w:val="nil"/>
          <w:right w:val="nil"/>
          <w:insideH w:val="nil"/>
          <w:insideV w:val="nil"/>
        </w:tblBorders>
        <w:tblLayout w:type="fixed"/>
        <w:tblLook w:val="0400" w:firstRow="0" w:lastRow="0" w:firstColumn="0" w:lastColumn="0" w:noHBand="0" w:noVBand="1"/>
      </w:tblPr>
      <w:tblGrid>
        <w:gridCol w:w="715"/>
        <w:gridCol w:w="7020"/>
        <w:gridCol w:w="990"/>
      </w:tblGrid>
      <w:tr w:rsidR="00C60262" w:rsidRPr="002A40A9" w14:paraId="0948C501" w14:textId="77777777" w:rsidTr="00E1330C">
        <w:tc>
          <w:tcPr>
            <w:tcW w:w="715" w:type="dxa"/>
            <w:vAlign w:val="center"/>
          </w:tcPr>
          <w:p w14:paraId="13C86D4D" w14:textId="77777777" w:rsidR="00C60262" w:rsidRPr="002A40A9" w:rsidRDefault="00C60262" w:rsidP="00E1330C">
            <w:pPr>
              <w:jc w:val="center"/>
              <w:rPr>
                <w:sz w:val="18"/>
                <w:lang w:val="en-GB"/>
              </w:rPr>
            </w:pPr>
          </w:p>
        </w:tc>
        <w:tc>
          <w:tcPr>
            <w:tcW w:w="7020" w:type="dxa"/>
            <w:vAlign w:val="center"/>
          </w:tcPr>
          <w:p w14:paraId="0B15E237" w14:textId="4D8F136C" w:rsidR="00C60262" w:rsidRPr="002A40A9" w:rsidRDefault="00C60262" w:rsidP="00E1330C">
            <w:pPr>
              <w:jc w:val="center"/>
              <w:rPr>
                <w:rFonts w:ascii="Cambria Math" w:eastAsia="Cambria Math" w:hAnsi="Cambria Math" w:cs="Cambria Math"/>
                <w:sz w:val="18"/>
              </w:rPr>
            </w:pPr>
            <m:oMathPara>
              <m:oMath>
                <m:r>
                  <w:rPr>
                    <w:rFonts w:ascii="Cambria Math" w:eastAsia="Cambria Math" w:hAnsi="Cambria Math" w:cs="Cambria Math"/>
                    <w:sz w:val="18"/>
                  </w:rPr>
                  <m:t>LCOE=</m:t>
                </m:r>
                <m:r>
                  <m:rPr>
                    <m:sty m:val="p"/>
                  </m:rPr>
                  <w:rPr>
                    <w:rFonts w:ascii="Cambria Math" w:eastAsia="Cambria Math" w:hAnsi="Cambria Math" w:cs="Cambria Math"/>
                    <w:sz w:val="18"/>
                  </w:rPr>
                  <m:t>(</m:t>
                </m:r>
                <m:r>
                  <w:rPr>
                    <w:rFonts w:ascii="Cambria Math" w:eastAsia="Cambria Math" w:hAnsi="Cambria Math" w:cs="Cambria Math"/>
                    <w:sz w:val="18"/>
                  </w:rPr>
                  <m:t>OC∙P∙CRF∙FO&amp;MC</m:t>
                </m:r>
                <m:r>
                  <m:rPr>
                    <m:sty m:val="p"/>
                  </m:rPr>
                  <w:rPr>
                    <w:rFonts w:ascii="Cambria Math" w:eastAsia="Cambria Math" w:hAnsi="Cambria Math" w:cs="Cambria Math"/>
                    <w:sz w:val="18"/>
                  </w:rPr>
                  <m:t>)/(</m:t>
                </m:r>
                <m:r>
                  <w:rPr>
                    <w:rFonts w:ascii="Cambria Math" w:eastAsia="Cambria Math" w:hAnsi="Cambria Math" w:cs="Cambria Math"/>
                    <w:sz w:val="18"/>
                  </w:rPr>
                  <m:t>8760∙cf</m:t>
                </m:r>
                <m:r>
                  <m:rPr>
                    <m:sty m:val="p"/>
                  </m:rPr>
                  <w:rPr>
                    <w:rFonts w:ascii="Cambria Math" w:eastAsia="Cambria Math" w:hAnsi="Cambria Math" w:cs="Cambria Math"/>
                    <w:sz w:val="18"/>
                  </w:rPr>
                  <m:t>)</m:t>
                </m:r>
                <m:r>
                  <w:rPr>
                    <w:rFonts w:ascii="Cambria Math" w:eastAsia="Cambria Math" w:hAnsi="Cambria Math" w:cs="Cambria Math"/>
                    <w:sz w:val="18"/>
                  </w:rPr>
                  <m:t>+VO&amp;MC</m:t>
                </m:r>
              </m:oMath>
            </m:oMathPara>
          </w:p>
        </w:tc>
        <w:tc>
          <w:tcPr>
            <w:tcW w:w="990" w:type="dxa"/>
            <w:vAlign w:val="center"/>
          </w:tcPr>
          <w:p w14:paraId="61941725" w14:textId="5BABB1E6" w:rsidR="00C60262" w:rsidRPr="002A40A9" w:rsidRDefault="00C60262" w:rsidP="00E1330C">
            <w:pPr>
              <w:jc w:val="center"/>
              <w:rPr>
                <w:rFonts w:ascii="Times New Roman" w:hAnsi="Times New Roman" w:cs="Times New Roman"/>
                <w:sz w:val="18"/>
              </w:rPr>
            </w:pPr>
            <w:r w:rsidRPr="002A40A9">
              <w:rPr>
                <w:rFonts w:ascii="Times New Roman" w:hAnsi="Times New Roman" w:cs="Times New Roman"/>
                <w:sz w:val="18"/>
              </w:rPr>
              <w:t>(</w:t>
            </w:r>
            <w:r w:rsidR="00292E92">
              <w:rPr>
                <w:rFonts w:ascii="Times New Roman" w:hAnsi="Times New Roman" w:cs="Times New Roman"/>
                <w:sz w:val="18"/>
              </w:rPr>
              <w:t>4</w:t>
            </w:r>
            <w:r w:rsidRPr="002A40A9">
              <w:rPr>
                <w:rFonts w:ascii="Times New Roman" w:hAnsi="Times New Roman" w:cs="Times New Roman"/>
                <w:sz w:val="18"/>
              </w:rPr>
              <w:t>)</w:t>
            </w:r>
          </w:p>
        </w:tc>
      </w:tr>
    </w:tbl>
    <w:p w14:paraId="54ED8F64" w14:textId="6BD47EB4"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 xml:space="preserve">where OC [€/kW] is the overnight cost (cost per unit power produced), P [kW] is the net power output of the plant, CRF [-] the capital recovery factor, </w:t>
      </w:r>
      <w:proofErr w:type="spellStart"/>
      <w:r w:rsidRPr="00C60262">
        <w:rPr>
          <w:rFonts w:ascii="Times New Roman" w:eastAsia="MS PGothic" w:hAnsi="Times New Roman"/>
          <w:lang w:val="en-US"/>
        </w:rPr>
        <w:t>cf</w:t>
      </w:r>
      <w:proofErr w:type="spellEnd"/>
      <w:r w:rsidRPr="00C60262">
        <w:rPr>
          <w:rFonts w:ascii="Times New Roman" w:eastAsia="MS PGothic" w:hAnsi="Times New Roman"/>
          <w:lang w:val="en-US"/>
        </w:rPr>
        <w:t xml:space="preserve"> [-] the capacity factor, while FO&amp;MC [€/kW/year] and VO&amp;MC [€/kWh] are the fixed and the variable operation costs respectively. The overnight cost is calculated as the ratio between the total plant cost (TPC) and the net power output P.</w:t>
      </w:r>
      <w:r w:rsidR="00C62D97">
        <w:rPr>
          <w:rFonts w:ascii="Times New Roman" w:eastAsia="MS PGothic" w:hAnsi="Times New Roman"/>
          <w:lang w:val="en-US"/>
        </w:rPr>
        <w:t xml:space="preserve"> </w:t>
      </w:r>
      <w:r w:rsidRPr="00C60262">
        <w:rPr>
          <w:rFonts w:ascii="Times New Roman" w:eastAsia="MS PGothic" w:hAnsi="Times New Roman"/>
          <w:lang w:val="en-US"/>
        </w:rPr>
        <w:t xml:space="preserve">The </w:t>
      </w:r>
      <w:r w:rsidR="00C62D97">
        <w:rPr>
          <w:rFonts w:ascii="Times New Roman" w:eastAsia="MS PGothic" w:hAnsi="Times New Roman"/>
          <w:lang w:val="en-US"/>
        </w:rPr>
        <w:t>CRF</w:t>
      </w:r>
      <w:r w:rsidRPr="00C60262">
        <w:rPr>
          <w:rFonts w:ascii="Times New Roman" w:eastAsia="MS PGothic" w:hAnsi="Times New Roman"/>
          <w:lang w:val="en-US"/>
        </w:rPr>
        <w:t xml:space="preserve"> is: </w:t>
      </w:r>
    </w:p>
    <w:tbl>
      <w:tblPr>
        <w:tblW w:w="8725" w:type="dxa"/>
        <w:tblBorders>
          <w:top w:val="nil"/>
          <w:left w:val="nil"/>
          <w:bottom w:val="nil"/>
          <w:right w:val="nil"/>
          <w:insideH w:val="nil"/>
          <w:insideV w:val="nil"/>
        </w:tblBorders>
        <w:tblLayout w:type="fixed"/>
        <w:tblLook w:val="0400" w:firstRow="0" w:lastRow="0" w:firstColumn="0" w:lastColumn="0" w:noHBand="0" w:noVBand="1"/>
      </w:tblPr>
      <w:tblGrid>
        <w:gridCol w:w="715"/>
        <w:gridCol w:w="7020"/>
        <w:gridCol w:w="990"/>
      </w:tblGrid>
      <w:tr w:rsidR="00C60262" w:rsidRPr="002A40A9" w14:paraId="30C28444" w14:textId="77777777" w:rsidTr="00C62D97">
        <w:trPr>
          <w:trHeight w:val="466"/>
        </w:trPr>
        <w:tc>
          <w:tcPr>
            <w:tcW w:w="715" w:type="dxa"/>
            <w:vAlign w:val="center"/>
          </w:tcPr>
          <w:p w14:paraId="33763DED" w14:textId="77777777" w:rsidR="00C60262" w:rsidRPr="00C62D97" w:rsidRDefault="00C60262" w:rsidP="00E1330C">
            <w:pPr>
              <w:jc w:val="center"/>
              <w:rPr>
                <w:sz w:val="18"/>
                <w:lang w:val="en-GB"/>
              </w:rPr>
            </w:pPr>
          </w:p>
        </w:tc>
        <w:tc>
          <w:tcPr>
            <w:tcW w:w="7020" w:type="dxa"/>
            <w:vAlign w:val="center"/>
          </w:tcPr>
          <w:p w14:paraId="5A3284EA" w14:textId="72DE67D5" w:rsidR="00C60262" w:rsidRPr="002A40A9" w:rsidRDefault="00C60262" w:rsidP="00E1330C">
            <w:pPr>
              <w:jc w:val="center"/>
              <w:rPr>
                <w:rFonts w:ascii="Cambria Math" w:eastAsia="Cambria Math" w:hAnsi="Cambria Math" w:cs="Cambria Math"/>
                <w:sz w:val="18"/>
              </w:rPr>
            </w:pPr>
            <m:oMathPara>
              <m:oMath>
                <m:r>
                  <w:rPr>
                    <w:rFonts w:ascii="Cambria Math" w:eastAsia="Cambria Math" w:hAnsi="Cambria Math" w:cs="Cambria Math"/>
                    <w:sz w:val="18"/>
                  </w:rPr>
                  <m:t>CRF=</m:t>
                </m:r>
                <m:f>
                  <m:fPr>
                    <m:ctrlPr>
                      <w:rPr>
                        <w:rFonts w:ascii="Cambria Math" w:eastAsia="Cambria Math" w:hAnsi="Cambria Math" w:cs="Cambria Math"/>
                        <w:sz w:val="18"/>
                      </w:rPr>
                    </m:ctrlPr>
                  </m:fPr>
                  <m:num>
                    <m:r>
                      <w:rPr>
                        <w:rFonts w:ascii="Cambria Math" w:eastAsia="Cambria Math" w:hAnsi="Cambria Math" w:cs="Cambria Math"/>
                        <w:sz w:val="18"/>
                      </w:rPr>
                      <m:t>i*</m:t>
                    </m:r>
                    <m:sSup>
                      <m:sSupPr>
                        <m:ctrlPr>
                          <w:rPr>
                            <w:rFonts w:ascii="Cambria Math" w:eastAsia="Cambria Math" w:hAnsi="Cambria Math" w:cs="Cambria Math"/>
                            <w:i/>
                            <w:sz w:val="18"/>
                          </w:rPr>
                        </m:ctrlPr>
                      </m:sSupPr>
                      <m:e>
                        <m:r>
                          <w:rPr>
                            <w:rFonts w:ascii="Cambria Math" w:eastAsia="Cambria Math" w:hAnsi="Cambria Math" w:cs="Cambria Math"/>
                            <w:sz w:val="18"/>
                          </w:rPr>
                          <m:t>(i+1)</m:t>
                        </m:r>
                      </m:e>
                      <m:sup>
                        <m:r>
                          <w:rPr>
                            <w:rFonts w:ascii="Cambria Math" w:eastAsia="Cambria Math" w:hAnsi="Cambria Math" w:cs="Cambria Math"/>
                            <w:sz w:val="18"/>
                          </w:rPr>
                          <m:t>L</m:t>
                        </m:r>
                      </m:sup>
                    </m:sSup>
                  </m:num>
                  <m:den>
                    <m:sSup>
                      <m:sSupPr>
                        <m:ctrlPr>
                          <w:rPr>
                            <w:rFonts w:ascii="Cambria Math" w:eastAsia="Cambria Math" w:hAnsi="Cambria Math" w:cs="Cambria Math"/>
                            <w:i/>
                            <w:sz w:val="18"/>
                          </w:rPr>
                        </m:ctrlPr>
                      </m:sSupPr>
                      <m:e>
                        <m:r>
                          <w:rPr>
                            <w:rFonts w:ascii="Cambria Math" w:eastAsia="Cambria Math" w:hAnsi="Cambria Math" w:cs="Cambria Math"/>
                            <w:sz w:val="18"/>
                          </w:rPr>
                          <m:t>(i+1)</m:t>
                        </m:r>
                      </m:e>
                      <m:sup>
                        <m:r>
                          <w:rPr>
                            <w:rFonts w:ascii="Cambria Math" w:eastAsia="Cambria Math" w:hAnsi="Cambria Math" w:cs="Cambria Math"/>
                            <w:sz w:val="18"/>
                          </w:rPr>
                          <m:t>L</m:t>
                        </m:r>
                      </m:sup>
                    </m:sSup>
                    <m:r>
                      <w:rPr>
                        <w:rFonts w:ascii="Cambria Math" w:eastAsia="Cambria Math" w:hAnsi="Cambria Math" w:cs="Cambria Math"/>
                        <w:sz w:val="18"/>
                      </w:rPr>
                      <m:t>-1</m:t>
                    </m:r>
                  </m:den>
                </m:f>
                <m:r>
                  <w:rPr>
                    <w:rFonts w:ascii="Cambria Math" w:eastAsia="Cambria Math" w:hAnsi="Cambria Math" w:cs="Cambria Math"/>
                    <w:sz w:val="18"/>
                  </w:rPr>
                  <m:t xml:space="preserve">  </m:t>
                </m:r>
              </m:oMath>
            </m:oMathPara>
          </w:p>
        </w:tc>
        <w:tc>
          <w:tcPr>
            <w:tcW w:w="990" w:type="dxa"/>
            <w:vAlign w:val="center"/>
          </w:tcPr>
          <w:p w14:paraId="5F21DA59" w14:textId="367CBD01" w:rsidR="00C60262" w:rsidRPr="002A40A9" w:rsidRDefault="00C60262" w:rsidP="00E1330C">
            <w:pPr>
              <w:jc w:val="center"/>
              <w:rPr>
                <w:rFonts w:ascii="Times New Roman" w:hAnsi="Times New Roman" w:cs="Times New Roman"/>
                <w:sz w:val="18"/>
              </w:rPr>
            </w:pPr>
            <w:r w:rsidRPr="002A40A9">
              <w:rPr>
                <w:rFonts w:ascii="Times New Roman" w:hAnsi="Times New Roman" w:cs="Times New Roman"/>
                <w:sz w:val="18"/>
              </w:rPr>
              <w:t>(</w:t>
            </w:r>
            <w:r w:rsidR="00292E92">
              <w:rPr>
                <w:rFonts w:ascii="Times New Roman" w:hAnsi="Times New Roman" w:cs="Times New Roman"/>
                <w:sz w:val="18"/>
              </w:rPr>
              <w:t>5</w:t>
            </w:r>
            <w:r w:rsidRPr="002A40A9">
              <w:rPr>
                <w:rFonts w:ascii="Times New Roman" w:hAnsi="Times New Roman" w:cs="Times New Roman"/>
                <w:sz w:val="18"/>
              </w:rPr>
              <w:t>)</w:t>
            </w:r>
          </w:p>
        </w:tc>
      </w:tr>
    </w:tbl>
    <w:p w14:paraId="3530996A" w14:textId="77777777"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 xml:space="preserve">where </w:t>
      </w:r>
      <w:proofErr w:type="spellStart"/>
      <w:r w:rsidRPr="00C60262">
        <w:rPr>
          <w:rFonts w:ascii="Times New Roman" w:eastAsia="MS PGothic" w:hAnsi="Times New Roman"/>
          <w:lang w:val="en-US"/>
        </w:rPr>
        <w:t>i</w:t>
      </w:r>
      <w:proofErr w:type="spellEnd"/>
      <w:r w:rsidRPr="00C60262">
        <w:rPr>
          <w:rFonts w:ascii="Times New Roman" w:eastAsia="MS PGothic" w:hAnsi="Times New Roman"/>
          <w:lang w:val="en-US"/>
        </w:rPr>
        <w:t xml:space="preserve"> [%] is the interest rate and L [years] is the plant life time.</w:t>
      </w:r>
    </w:p>
    <w:p w14:paraId="247A54DF" w14:textId="7BEC71AF"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The levelized cost of hydrogen (LCOH)</w:t>
      </w:r>
      <w:r w:rsidR="00814B70">
        <w:rPr>
          <w:rFonts w:ascii="Times New Roman" w:eastAsia="MS PGothic" w:hAnsi="Times New Roman"/>
          <w:lang w:val="en-US"/>
        </w:rPr>
        <w:t xml:space="preserve">, which is used for hydrogen production processes, </w:t>
      </w:r>
      <w:r w:rsidRPr="00C60262">
        <w:rPr>
          <w:rFonts w:ascii="Times New Roman" w:eastAsia="MS PGothic" w:hAnsi="Times New Roman"/>
          <w:lang w:val="en-US"/>
        </w:rPr>
        <w:t>is an indicator specifically derived for hydrogen as an energy carrier. It is calculated as follows:</w:t>
      </w:r>
    </w:p>
    <w:tbl>
      <w:tblPr>
        <w:tblW w:w="8789" w:type="dxa"/>
        <w:tblBorders>
          <w:top w:val="nil"/>
          <w:left w:val="nil"/>
          <w:bottom w:val="nil"/>
          <w:right w:val="nil"/>
          <w:insideH w:val="nil"/>
          <w:insideV w:val="nil"/>
        </w:tblBorders>
        <w:tblLayout w:type="fixed"/>
        <w:tblLook w:val="0400" w:firstRow="0" w:lastRow="0" w:firstColumn="0" w:lastColumn="0" w:noHBand="0" w:noVBand="1"/>
      </w:tblPr>
      <w:tblGrid>
        <w:gridCol w:w="8080"/>
        <w:gridCol w:w="709"/>
      </w:tblGrid>
      <w:tr w:rsidR="00C60262" w14:paraId="7C95D482" w14:textId="77777777" w:rsidTr="00E1330C">
        <w:tc>
          <w:tcPr>
            <w:tcW w:w="8080" w:type="dxa"/>
            <w:vAlign w:val="center"/>
          </w:tcPr>
          <w:p w14:paraId="75908E76" w14:textId="3EBF185B" w:rsidR="00C60262" w:rsidRPr="002A40A9" w:rsidRDefault="00C60262" w:rsidP="00E1330C">
            <w:pPr>
              <w:jc w:val="center"/>
              <w:rPr>
                <w:rFonts w:ascii="Cambria Math" w:eastAsia="Cambria Math" w:hAnsi="Cambria Math" w:cs="Cambria Math"/>
                <w:sz w:val="18"/>
              </w:rPr>
            </w:pPr>
            <m:oMathPara>
              <m:oMath>
                <m:r>
                  <w:rPr>
                    <w:rFonts w:ascii="Cambria Math" w:eastAsia="Cambria Math" w:hAnsi="Cambria Math" w:cs="Cambria Math"/>
                    <w:sz w:val="18"/>
                  </w:rPr>
                  <m:t>LCOH=</m:t>
                </m:r>
                <m:f>
                  <m:fPr>
                    <m:ctrlPr>
                      <w:rPr>
                        <w:rFonts w:ascii="Cambria Math" w:eastAsia="Cambria Math" w:hAnsi="Cambria Math" w:cs="Cambria Math"/>
                        <w:i/>
                        <w:sz w:val="18"/>
                      </w:rPr>
                    </m:ctrlPr>
                  </m:fPr>
                  <m:num>
                    <m:r>
                      <m:rPr>
                        <m:sty m:val="p"/>
                      </m:rPr>
                      <w:rPr>
                        <w:rFonts w:ascii="Cambria Math" w:eastAsia="Cambria Math" w:hAnsi="Cambria Math" w:cs="Cambria Math"/>
                        <w:sz w:val="18"/>
                      </w:rPr>
                      <m:t>(</m:t>
                    </m:r>
                    <m:r>
                      <w:rPr>
                        <w:rFonts w:ascii="Cambria Math" w:eastAsia="Cambria Math" w:hAnsi="Cambria Math" w:cs="Cambria Math"/>
                        <w:sz w:val="18"/>
                      </w:rPr>
                      <m:t>Total Costs-Electrical Revenue</m:t>
                    </m:r>
                    <m:r>
                      <m:rPr>
                        <m:sty m:val="p"/>
                      </m:rPr>
                      <w:rPr>
                        <w:rFonts w:ascii="Cambria Math" w:eastAsia="Cambria Math" w:hAnsi="Cambria Math" w:cs="Cambria Math"/>
                        <w:sz w:val="18"/>
                      </w:rPr>
                      <m:t>)</m:t>
                    </m:r>
                  </m:num>
                  <m:den>
                    <m:sSub>
                      <m:sSubPr>
                        <m:ctrlPr>
                          <w:rPr>
                            <w:rFonts w:ascii="Cambria Math" w:eastAsia="Cambria Math" w:hAnsi="Cambria Math" w:cs="Cambria Math"/>
                            <w:i/>
                            <w:sz w:val="18"/>
                          </w:rPr>
                        </m:ctrlPr>
                      </m:sSubPr>
                      <m:e>
                        <m:r>
                          <w:rPr>
                            <w:rFonts w:ascii="Cambria Math" w:eastAsia="Cambria Math" w:hAnsi="Cambria Math" w:cs="Cambria Math"/>
                            <w:sz w:val="18"/>
                          </w:rPr>
                          <m:t>H</m:t>
                        </m:r>
                      </m:e>
                      <m:sub>
                        <m:r>
                          <w:rPr>
                            <w:rFonts w:ascii="Cambria Math" w:eastAsia="Cambria Math" w:hAnsi="Cambria Math" w:cs="Cambria Math"/>
                            <w:sz w:val="18"/>
                          </w:rPr>
                          <m:t>2</m:t>
                        </m:r>
                      </m:sub>
                    </m:sSub>
                    <m:r>
                      <w:rPr>
                        <w:rFonts w:ascii="Cambria Math" w:eastAsia="Cambria Math" w:hAnsi="Cambria Math" w:cs="Cambria Math"/>
                        <w:sz w:val="18"/>
                      </w:rPr>
                      <m:t xml:space="preserve"> Annual Production</m:t>
                    </m:r>
                  </m:den>
                </m:f>
              </m:oMath>
            </m:oMathPara>
          </w:p>
        </w:tc>
        <w:tc>
          <w:tcPr>
            <w:tcW w:w="709" w:type="dxa"/>
            <w:vAlign w:val="center"/>
          </w:tcPr>
          <w:p w14:paraId="45B64585" w14:textId="3CE59CFB" w:rsidR="00C60262" w:rsidRPr="00292E92" w:rsidRDefault="00C60262" w:rsidP="00292E92">
            <w:pPr>
              <w:jc w:val="center"/>
              <w:rPr>
                <w:rFonts w:ascii="Times New Roman" w:hAnsi="Times New Roman" w:cs="Times New Roman"/>
                <w:sz w:val="18"/>
              </w:rPr>
            </w:pPr>
            <w:r w:rsidRPr="00292E92">
              <w:rPr>
                <w:rFonts w:ascii="Times New Roman" w:hAnsi="Times New Roman" w:cs="Times New Roman"/>
                <w:sz w:val="18"/>
              </w:rPr>
              <w:t>(</w:t>
            </w:r>
            <w:r w:rsidR="00292E92" w:rsidRPr="00292E92">
              <w:rPr>
                <w:rFonts w:ascii="Times New Roman" w:hAnsi="Times New Roman" w:cs="Times New Roman"/>
                <w:sz w:val="18"/>
              </w:rPr>
              <w:t>6</w:t>
            </w:r>
            <w:r w:rsidRPr="00292E92">
              <w:rPr>
                <w:rFonts w:ascii="Times New Roman" w:hAnsi="Times New Roman" w:cs="Times New Roman"/>
                <w:sz w:val="18"/>
              </w:rPr>
              <w:t>)</w:t>
            </w:r>
          </w:p>
        </w:tc>
      </w:tr>
    </w:tbl>
    <w:p w14:paraId="061311C8" w14:textId="77777777" w:rsidR="00C60262" w:rsidRPr="00C60262" w:rsidRDefault="00C60262" w:rsidP="002E4D61">
      <w:pPr>
        <w:snapToGrid w:val="0"/>
        <w:spacing w:before="120" w:after="120"/>
        <w:rPr>
          <w:rFonts w:ascii="Times New Roman" w:eastAsia="MS PGothic" w:hAnsi="Times New Roman"/>
          <w:i/>
          <w:lang w:val="en-US"/>
        </w:rPr>
      </w:pPr>
      <w:r w:rsidRPr="00C60262">
        <w:rPr>
          <w:rFonts w:ascii="Times New Roman" w:eastAsia="MS PGothic" w:hAnsi="Times New Roman"/>
          <w:i/>
          <w:lang w:val="en-US"/>
        </w:rPr>
        <w:t>Life Cycle Assessment</w:t>
      </w:r>
    </w:p>
    <w:p w14:paraId="5432DAF5" w14:textId="09A0898C" w:rsidR="00C60262" w:rsidRPr="00C60262" w:rsidRDefault="00C60262" w:rsidP="00C60262">
      <w:pPr>
        <w:snapToGrid w:val="0"/>
        <w:spacing w:after="120"/>
        <w:rPr>
          <w:rFonts w:ascii="Times New Roman" w:eastAsia="MS PGothic" w:hAnsi="Times New Roman"/>
          <w:lang w:val="en-US"/>
        </w:rPr>
      </w:pPr>
      <w:r w:rsidRPr="00C60262">
        <w:rPr>
          <w:rFonts w:ascii="Times New Roman" w:eastAsia="MS PGothic" w:hAnsi="Times New Roman"/>
          <w:lang w:val="en-US"/>
        </w:rPr>
        <w:t>Following the International Standard Organization (ISO) 14040 and ISO 14044 guidelines, LCA enables practitioners to predict the potential emissions to environmental compartments (i.e., soil, water and atmosphere) coming from the system under investigation. The LCA procedure employs material and energy balances over the entire life cycle of the product system, taking into consideration the extraction of raw materials, manufacturing, use phase, end-of-life and the transportation between life cycle stages. The results of life cycle assessments are depicted by means of several impact categories, which are able to represent the entire range of ecological burdens associated with the product system, avoiding shifting the impact among environmental compartments.</w:t>
      </w:r>
      <w:r w:rsidR="00C62D97">
        <w:rPr>
          <w:rFonts w:ascii="Times New Roman" w:eastAsia="MS PGothic" w:hAnsi="Times New Roman"/>
          <w:lang w:val="en-US"/>
        </w:rPr>
        <w:t xml:space="preserve"> </w:t>
      </w:r>
      <w:r w:rsidRPr="00C60262">
        <w:rPr>
          <w:rFonts w:ascii="Times New Roman" w:eastAsia="MS PGothic" w:hAnsi="Times New Roman"/>
          <w:lang w:val="en-US"/>
        </w:rPr>
        <w:t>The LCA methodology prescribes the fulfillment of four stages as follows:</w:t>
      </w:r>
    </w:p>
    <w:p w14:paraId="3E06CA30" w14:textId="15F4A274" w:rsidR="00C60262" w:rsidRPr="00C60262" w:rsidRDefault="00C60262" w:rsidP="00C60262">
      <w:pPr>
        <w:pStyle w:val="Paragrafoelenco"/>
        <w:numPr>
          <w:ilvl w:val="0"/>
          <w:numId w:val="3"/>
        </w:numPr>
        <w:snapToGrid w:val="0"/>
        <w:spacing w:after="120"/>
        <w:rPr>
          <w:rFonts w:ascii="Times New Roman" w:eastAsia="MS PGothic" w:hAnsi="Times New Roman"/>
          <w:lang w:val="en-US"/>
        </w:rPr>
      </w:pPr>
      <w:r w:rsidRPr="00C60262">
        <w:rPr>
          <w:rFonts w:ascii="Times New Roman" w:eastAsia="MS PGothic" w:hAnsi="Times New Roman"/>
          <w:lang w:val="en-US"/>
        </w:rPr>
        <w:t>Goal and scope definition: this stage requires to specify the aim of the study, the system boundaries, the quality of data source, the assumptions and limitations introduced and the functional.</w:t>
      </w:r>
    </w:p>
    <w:p w14:paraId="25875D78" w14:textId="41C4A7C0" w:rsidR="00C60262" w:rsidRPr="00C60262" w:rsidRDefault="00C60262" w:rsidP="00C60262">
      <w:pPr>
        <w:pStyle w:val="Paragrafoelenco"/>
        <w:numPr>
          <w:ilvl w:val="0"/>
          <w:numId w:val="3"/>
        </w:numPr>
        <w:snapToGrid w:val="0"/>
        <w:spacing w:after="120"/>
        <w:rPr>
          <w:rFonts w:ascii="Times New Roman" w:eastAsia="MS PGothic" w:hAnsi="Times New Roman"/>
          <w:lang w:val="en-US"/>
        </w:rPr>
      </w:pPr>
      <w:r w:rsidRPr="00C60262">
        <w:rPr>
          <w:rFonts w:ascii="Times New Roman" w:eastAsia="MS PGothic" w:hAnsi="Times New Roman"/>
          <w:lang w:val="en-US"/>
        </w:rPr>
        <w:t>Life cycle inventory analysis (LCI): during this step, the practitioner needs to collect the mass and energy balances of the product system under investigation</w:t>
      </w:r>
      <w:r w:rsidR="000E5DCE">
        <w:rPr>
          <w:rFonts w:ascii="Times New Roman" w:eastAsia="MS PGothic" w:hAnsi="Times New Roman"/>
          <w:lang w:val="en-US"/>
        </w:rPr>
        <w:t>: t</w:t>
      </w:r>
      <w:r w:rsidRPr="00C60262">
        <w:rPr>
          <w:rFonts w:ascii="Times New Roman" w:eastAsia="MS PGothic" w:hAnsi="Times New Roman"/>
          <w:lang w:val="en-US"/>
        </w:rPr>
        <w:t>he employment of primary data is preferred, since actual process data provide highest accuracy in comparison to secondary data.</w:t>
      </w:r>
    </w:p>
    <w:p w14:paraId="551989C0" w14:textId="2ACF6A57" w:rsidR="00C60262" w:rsidRPr="00C60262" w:rsidRDefault="00C60262" w:rsidP="00C60262">
      <w:pPr>
        <w:pStyle w:val="Paragrafoelenco"/>
        <w:numPr>
          <w:ilvl w:val="0"/>
          <w:numId w:val="3"/>
        </w:numPr>
        <w:snapToGrid w:val="0"/>
        <w:spacing w:after="120"/>
        <w:rPr>
          <w:rFonts w:ascii="Times New Roman" w:eastAsia="MS PGothic" w:hAnsi="Times New Roman"/>
          <w:lang w:val="en-US"/>
        </w:rPr>
      </w:pPr>
      <w:r w:rsidRPr="00C60262">
        <w:rPr>
          <w:rFonts w:ascii="Times New Roman" w:eastAsia="MS PGothic" w:hAnsi="Times New Roman"/>
          <w:lang w:val="en-US"/>
        </w:rPr>
        <w:t>Life cycle impact assessment (LCIA): this phase assigns specific environmental impacts to inventory data through recognized characterization factors, which typify the contribution of each substance to a determined impact category, providing harmonization on a shared unit of measure.</w:t>
      </w:r>
    </w:p>
    <w:p w14:paraId="42662ADC" w14:textId="45E8B139" w:rsidR="00C60262" w:rsidRDefault="00C60262" w:rsidP="00DA51A3">
      <w:pPr>
        <w:pStyle w:val="Paragrafoelenco"/>
        <w:numPr>
          <w:ilvl w:val="0"/>
          <w:numId w:val="3"/>
        </w:numPr>
        <w:snapToGrid w:val="0"/>
        <w:spacing w:after="120"/>
        <w:rPr>
          <w:rFonts w:ascii="Times New Roman" w:eastAsia="MS PGothic" w:hAnsi="Times New Roman"/>
          <w:lang w:val="en-US"/>
        </w:rPr>
      </w:pPr>
      <w:r w:rsidRPr="00C60262">
        <w:rPr>
          <w:rFonts w:ascii="Times New Roman" w:eastAsia="MS PGothic" w:hAnsi="Times New Roman"/>
          <w:lang w:val="en-US"/>
        </w:rPr>
        <w:t>Life cycle interpretation: this stage provides an evaluation of the results obtained by previous steps</w:t>
      </w:r>
      <w:r w:rsidR="000E5DCE">
        <w:rPr>
          <w:rFonts w:ascii="Times New Roman" w:eastAsia="MS PGothic" w:hAnsi="Times New Roman"/>
          <w:lang w:val="en-US"/>
        </w:rPr>
        <w:t xml:space="preserve">: </w:t>
      </w:r>
      <w:r w:rsidRPr="00C60262">
        <w:rPr>
          <w:rFonts w:ascii="Times New Roman" w:eastAsia="MS PGothic" w:hAnsi="Times New Roman"/>
          <w:lang w:val="en-US"/>
        </w:rPr>
        <w:t>it embeds the overall LCA procedure including comments and recommendations. Usually, sensitivity analysis and uncertainty are assessed during this phase.</w:t>
      </w:r>
    </w:p>
    <w:p w14:paraId="0AE3A6E9" w14:textId="2EE892D1" w:rsidR="00B27AD5" w:rsidRPr="00B27AD5" w:rsidRDefault="00B27AD5" w:rsidP="00B27AD5">
      <w:pPr>
        <w:snapToGrid w:val="0"/>
        <w:spacing w:after="120"/>
        <w:rPr>
          <w:rFonts w:ascii="Times New Roman" w:eastAsia="MS PGothic" w:hAnsi="Times New Roman"/>
          <w:lang w:val="en-US"/>
        </w:rPr>
      </w:pPr>
      <w:r w:rsidRPr="00B27AD5">
        <w:rPr>
          <w:rFonts w:ascii="Times New Roman" w:eastAsia="MS PGothic" w:hAnsi="Times New Roman"/>
          <w:lang w:val="en-US"/>
        </w:rPr>
        <w:t>Table 1 summarizes the link between process simulation output and indicators’ calculation methods.</w:t>
      </w:r>
    </w:p>
    <w:tbl>
      <w:tblPr>
        <w:tblStyle w:val="Tabellagriglia3-colore31"/>
        <w:tblW w:w="9636" w:type="dxa"/>
        <w:tblLayout w:type="fixed"/>
        <w:tblLook w:val="0420" w:firstRow="1" w:lastRow="0" w:firstColumn="0" w:lastColumn="0" w:noHBand="0" w:noVBand="1"/>
      </w:tblPr>
      <w:tblGrid>
        <w:gridCol w:w="5484"/>
        <w:gridCol w:w="895"/>
        <w:gridCol w:w="851"/>
        <w:gridCol w:w="850"/>
        <w:gridCol w:w="851"/>
        <w:gridCol w:w="705"/>
      </w:tblGrid>
      <w:tr w:rsidR="00FB3DED" w:rsidRPr="00486D5B" w14:paraId="2FF8120D" w14:textId="77777777" w:rsidTr="006B71E7">
        <w:trPr>
          <w:cnfStyle w:val="100000000000" w:firstRow="1" w:lastRow="0" w:firstColumn="0" w:lastColumn="0" w:oddVBand="0" w:evenVBand="0" w:oddHBand="0" w:evenHBand="0" w:firstRowFirstColumn="0" w:firstRowLastColumn="0" w:lastRowFirstColumn="0" w:lastRowLastColumn="0"/>
          <w:trHeight w:val="340"/>
        </w:trPr>
        <w:tc>
          <w:tcPr>
            <w:tcW w:w="5484" w:type="dxa"/>
            <w:vAlign w:val="center"/>
          </w:tcPr>
          <w:p w14:paraId="145FE8FC" w14:textId="77777777" w:rsidR="00FB3DED" w:rsidRPr="00486D5B" w:rsidRDefault="00FB3DED" w:rsidP="00FB3DED">
            <w:pPr>
              <w:pStyle w:val="FigureCaptionwhec"/>
              <w:pBdr>
                <w:top w:val="nil"/>
                <w:left w:val="nil"/>
                <w:bottom w:val="nil"/>
                <w:right w:val="nil"/>
                <w:between w:val="nil"/>
              </w:pBdr>
              <w:rPr>
                <w:rFonts w:ascii="Times New Roman" w:hAnsi="Times New Roman" w:cs="Times New Roman"/>
                <w:b w:val="0"/>
                <w:bCs w:val="0"/>
                <w:szCs w:val="18"/>
              </w:rPr>
            </w:pPr>
          </w:p>
        </w:tc>
        <w:tc>
          <w:tcPr>
            <w:tcW w:w="895" w:type="dxa"/>
            <w:vAlign w:val="center"/>
          </w:tcPr>
          <w:p w14:paraId="3E79BC7A" w14:textId="77777777" w:rsidR="00FB3DED" w:rsidRPr="00486D5B" w:rsidRDefault="00FB3DED" w:rsidP="00FB3DED">
            <w:pPr>
              <w:pStyle w:val="FigureCaptionwhec"/>
              <w:pBdr>
                <w:top w:val="nil"/>
                <w:left w:val="nil"/>
                <w:bottom w:val="nil"/>
                <w:right w:val="nil"/>
                <w:between w:val="nil"/>
              </w:pBdr>
              <w:rPr>
                <w:rFonts w:ascii="Times New Roman" w:hAnsi="Times New Roman" w:cs="Times New Roman"/>
                <w:b w:val="0"/>
                <w:bCs w:val="0"/>
                <w:szCs w:val="18"/>
              </w:rPr>
            </w:pPr>
          </w:p>
        </w:tc>
        <w:tc>
          <w:tcPr>
            <w:tcW w:w="851" w:type="dxa"/>
            <w:vAlign w:val="center"/>
          </w:tcPr>
          <w:p w14:paraId="5F405F3F" w14:textId="6400EEEB" w:rsidR="00FB3DED" w:rsidRPr="00486D5B" w:rsidRDefault="00FB3DED" w:rsidP="00FB3DED">
            <w:pPr>
              <w:pStyle w:val="FigureCaptionwhec"/>
              <w:spacing w:after="0"/>
              <w:rPr>
                <w:rFonts w:ascii="Times New Roman" w:hAnsi="Times New Roman" w:cs="Times New Roman"/>
                <w:b w:val="0"/>
                <w:bCs w:val="0"/>
                <w:szCs w:val="18"/>
              </w:rPr>
            </w:pPr>
            <w:r w:rsidRPr="00486D5B">
              <w:rPr>
                <w:rFonts w:ascii="Times New Roman" w:hAnsi="Times New Roman" w:cs="Times New Roman"/>
                <w:b w:val="0"/>
                <w:bCs w:val="0"/>
                <w:szCs w:val="18"/>
              </w:rPr>
              <w:t>EROEI</w:t>
            </w:r>
            <w:r w:rsidR="002E4D61">
              <w:rPr>
                <w:rFonts w:ascii="Times New Roman" w:hAnsi="Times New Roman" w:cs="Times New Roman"/>
                <w:b w:val="0"/>
                <w:bCs w:val="0"/>
                <w:szCs w:val="18"/>
              </w:rPr>
              <w:t>/EROC</w:t>
            </w:r>
          </w:p>
        </w:tc>
        <w:tc>
          <w:tcPr>
            <w:tcW w:w="850" w:type="dxa"/>
            <w:vAlign w:val="center"/>
          </w:tcPr>
          <w:p w14:paraId="4392E64D" w14:textId="77777777" w:rsidR="00FB3DED" w:rsidRPr="00486D5B" w:rsidRDefault="00FB3DED" w:rsidP="00FB3DED">
            <w:pPr>
              <w:pStyle w:val="FigureCaptionwhec"/>
              <w:spacing w:after="0"/>
              <w:rPr>
                <w:rFonts w:ascii="Times New Roman" w:hAnsi="Times New Roman" w:cs="Times New Roman"/>
                <w:b w:val="0"/>
                <w:bCs w:val="0"/>
                <w:szCs w:val="18"/>
              </w:rPr>
            </w:pPr>
            <w:r w:rsidRPr="00486D5B">
              <w:rPr>
                <w:rFonts w:ascii="Times New Roman" w:hAnsi="Times New Roman" w:cs="Times New Roman"/>
                <w:b w:val="0"/>
                <w:bCs w:val="0"/>
                <w:szCs w:val="18"/>
              </w:rPr>
              <w:t>LCOH</w:t>
            </w:r>
          </w:p>
        </w:tc>
        <w:tc>
          <w:tcPr>
            <w:tcW w:w="851" w:type="dxa"/>
            <w:vAlign w:val="center"/>
          </w:tcPr>
          <w:p w14:paraId="1E2C6908" w14:textId="3BACE064" w:rsidR="00FB3DED" w:rsidRPr="00486D5B" w:rsidRDefault="00FB3DED" w:rsidP="00FB3DED">
            <w:pPr>
              <w:pStyle w:val="FigureCaptionwhec"/>
              <w:spacing w:after="0"/>
              <w:rPr>
                <w:rFonts w:ascii="Times New Roman" w:hAnsi="Times New Roman" w:cs="Times New Roman"/>
                <w:b w:val="0"/>
                <w:bCs w:val="0"/>
                <w:szCs w:val="18"/>
              </w:rPr>
            </w:pPr>
            <w:r w:rsidRPr="00486D5B">
              <w:rPr>
                <w:rFonts w:ascii="Times New Roman" w:hAnsi="Times New Roman" w:cs="Times New Roman"/>
                <w:b w:val="0"/>
                <w:bCs w:val="0"/>
                <w:szCs w:val="18"/>
              </w:rPr>
              <w:t>LCOE</w:t>
            </w:r>
          </w:p>
        </w:tc>
        <w:tc>
          <w:tcPr>
            <w:tcW w:w="705" w:type="dxa"/>
            <w:vAlign w:val="center"/>
          </w:tcPr>
          <w:p w14:paraId="7599FFD2" w14:textId="3C6C31FF" w:rsidR="00FB3DED" w:rsidRPr="00486D5B" w:rsidRDefault="00FB3DED" w:rsidP="00FB3DED">
            <w:pPr>
              <w:pStyle w:val="FigureCaptionwhec"/>
              <w:spacing w:after="0"/>
              <w:rPr>
                <w:rFonts w:ascii="Times New Roman" w:hAnsi="Times New Roman" w:cs="Times New Roman"/>
                <w:b w:val="0"/>
                <w:bCs w:val="0"/>
                <w:szCs w:val="18"/>
              </w:rPr>
            </w:pPr>
            <w:r w:rsidRPr="00486D5B">
              <w:rPr>
                <w:rFonts w:ascii="Times New Roman" w:hAnsi="Times New Roman" w:cs="Times New Roman"/>
                <w:b w:val="0"/>
                <w:bCs w:val="0"/>
                <w:szCs w:val="18"/>
              </w:rPr>
              <w:t>LCA</w:t>
            </w:r>
          </w:p>
        </w:tc>
      </w:tr>
      <w:tr w:rsidR="00FB3DED" w:rsidRPr="00486D5B" w14:paraId="560F86BC" w14:textId="77777777" w:rsidTr="006B71E7">
        <w:trPr>
          <w:cnfStyle w:val="000000100000" w:firstRow="0" w:lastRow="0" w:firstColumn="0" w:lastColumn="0" w:oddVBand="0" w:evenVBand="0" w:oddHBand="1" w:evenHBand="0" w:firstRowFirstColumn="0" w:firstRowLastColumn="0" w:lastRowFirstColumn="0" w:lastRowLastColumn="0"/>
          <w:trHeight w:val="340"/>
        </w:trPr>
        <w:tc>
          <w:tcPr>
            <w:tcW w:w="5484" w:type="dxa"/>
            <w:vAlign w:val="center"/>
          </w:tcPr>
          <w:p w14:paraId="5AD952D0" w14:textId="06A5C774" w:rsidR="00FB3DED" w:rsidRPr="00486D5B" w:rsidRDefault="00FB3DED" w:rsidP="00FB3DED">
            <w:pPr>
              <w:rPr>
                <w:b/>
                <w:sz w:val="18"/>
                <w:szCs w:val="18"/>
              </w:rPr>
            </w:pPr>
            <w:r w:rsidRPr="00486D5B">
              <w:rPr>
                <w:b/>
                <w:sz w:val="18"/>
                <w:szCs w:val="18"/>
              </w:rPr>
              <w:t>Gross power output</w:t>
            </w:r>
          </w:p>
        </w:tc>
        <w:tc>
          <w:tcPr>
            <w:tcW w:w="895" w:type="dxa"/>
            <w:vAlign w:val="center"/>
          </w:tcPr>
          <w:p w14:paraId="5E4AEA73" w14:textId="77777777" w:rsidR="00FB3DED" w:rsidRPr="00486D5B" w:rsidRDefault="00FB3DED" w:rsidP="00FB3DED">
            <w:pPr>
              <w:rPr>
                <w:b/>
                <w:sz w:val="18"/>
                <w:szCs w:val="18"/>
              </w:rPr>
            </w:pPr>
            <w:r w:rsidRPr="00486D5B">
              <w:rPr>
                <w:b/>
                <w:sz w:val="18"/>
                <w:szCs w:val="18"/>
              </w:rPr>
              <w:t>kW</w:t>
            </w:r>
          </w:p>
        </w:tc>
        <w:tc>
          <w:tcPr>
            <w:tcW w:w="851" w:type="dxa"/>
            <w:vAlign w:val="center"/>
          </w:tcPr>
          <w:p w14:paraId="7B112566" w14:textId="77777777" w:rsidR="00FB3DED" w:rsidRPr="00486D5B" w:rsidRDefault="00FB3DED" w:rsidP="00FB3DED">
            <w:pPr>
              <w:jc w:val="center"/>
              <w:rPr>
                <w:sz w:val="18"/>
                <w:szCs w:val="18"/>
              </w:rPr>
            </w:pPr>
            <w:r w:rsidRPr="00486D5B">
              <w:rPr>
                <w:sz w:val="18"/>
                <w:szCs w:val="18"/>
              </w:rPr>
              <w:t>x</w:t>
            </w:r>
          </w:p>
        </w:tc>
        <w:tc>
          <w:tcPr>
            <w:tcW w:w="850" w:type="dxa"/>
            <w:vAlign w:val="center"/>
          </w:tcPr>
          <w:p w14:paraId="5BD4C246" w14:textId="77777777" w:rsidR="00FB3DED" w:rsidRPr="00486D5B" w:rsidRDefault="00FB3DED" w:rsidP="00FB3DED">
            <w:pPr>
              <w:jc w:val="center"/>
              <w:rPr>
                <w:sz w:val="18"/>
                <w:szCs w:val="18"/>
              </w:rPr>
            </w:pPr>
            <w:r w:rsidRPr="00486D5B">
              <w:rPr>
                <w:sz w:val="18"/>
                <w:szCs w:val="18"/>
              </w:rPr>
              <w:t>x</w:t>
            </w:r>
          </w:p>
        </w:tc>
        <w:tc>
          <w:tcPr>
            <w:tcW w:w="851" w:type="dxa"/>
            <w:vAlign w:val="center"/>
          </w:tcPr>
          <w:p w14:paraId="5591E804" w14:textId="5854C71F" w:rsidR="00FB3DED" w:rsidRPr="00486D5B" w:rsidRDefault="00FB3DED" w:rsidP="00FB3DED">
            <w:pPr>
              <w:jc w:val="center"/>
              <w:rPr>
                <w:sz w:val="18"/>
                <w:szCs w:val="18"/>
              </w:rPr>
            </w:pPr>
            <w:r w:rsidRPr="00486D5B">
              <w:rPr>
                <w:sz w:val="18"/>
                <w:szCs w:val="18"/>
              </w:rPr>
              <w:t>x</w:t>
            </w:r>
          </w:p>
        </w:tc>
        <w:tc>
          <w:tcPr>
            <w:tcW w:w="705" w:type="dxa"/>
            <w:vAlign w:val="center"/>
          </w:tcPr>
          <w:p w14:paraId="0C2DD9F7" w14:textId="70E38639" w:rsidR="00FB3DED" w:rsidRPr="00486D5B" w:rsidRDefault="00FB3DED" w:rsidP="00FB3DED">
            <w:pPr>
              <w:jc w:val="center"/>
              <w:rPr>
                <w:sz w:val="18"/>
                <w:szCs w:val="18"/>
              </w:rPr>
            </w:pPr>
            <w:r w:rsidRPr="00486D5B">
              <w:rPr>
                <w:sz w:val="18"/>
                <w:szCs w:val="18"/>
              </w:rPr>
              <w:t>x</w:t>
            </w:r>
          </w:p>
        </w:tc>
      </w:tr>
      <w:tr w:rsidR="00FB3DED" w:rsidRPr="00486D5B" w14:paraId="2FE0FE26" w14:textId="77777777" w:rsidTr="006B71E7">
        <w:trPr>
          <w:trHeight w:val="340"/>
        </w:trPr>
        <w:tc>
          <w:tcPr>
            <w:tcW w:w="5484" w:type="dxa"/>
            <w:vAlign w:val="center"/>
          </w:tcPr>
          <w:p w14:paraId="2CB0C85E" w14:textId="20E16EA1" w:rsidR="00FB3DED" w:rsidRPr="00486D5B" w:rsidRDefault="00FB3DED" w:rsidP="00FB3DED">
            <w:pPr>
              <w:rPr>
                <w:b/>
                <w:sz w:val="18"/>
                <w:szCs w:val="18"/>
              </w:rPr>
            </w:pPr>
            <w:r w:rsidRPr="00486D5B">
              <w:rPr>
                <w:b/>
                <w:sz w:val="18"/>
                <w:szCs w:val="18"/>
              </w:rPr>
              <w:t xml:space="preserve">Power energy requirement </w:t>
            </w:r>
          </w:p>
        </w:tc>
        <w:tc>
          <w:tcPr>
            <w:tcW w:w="895" w:type="dxa"/>
            <w:vAlign w:val="center"/>
          </w:tcPr>
          <w:p w14:paraId="15039179" w14:textId="77777777" w:rsidR="00FB3DED" w:rsidRPr="00486D5B" w:rsidRDefault="00FB3DED" w:rsidP="00FB3DED">
            <w:pPr>
              <w:rPr>
                <w:b/>
                <w:sz w:val="18"/>
                <w:szCs w:val="18"/>
              </w:rPr>
            </w:pPr>
            <w:r w:rsidRPr="00486D5B">
              <w:rPr>
                <w:b/>
                <w:sz w:val="18"/>
                <w:szCs w:val="18"/>
              </w:rPr>
              <w:t>%</w:t>
            </w:r>
          </w:p>
        </w:tc>
        <w:tc>
          <w:tcPr>
            <w:tcW w:w="851" w:type="dxa"/>
            <w:vAlign w:val="center"/>
          </w:tcPr>
          <w:p w14:paraId="44F081D5" w14:textId="77777777" w:rsidR="00FB3DED" w:rsidRPr="00486D5B" w:rsidRDefault="00FB3DED" w:rsidP="00FB3DED">
            <w:pPr>
              <w:jc w:val="center"/>
              <w:rPr>
                <w:sz w:val="18"/>
                <w:szCs w:val="18"/>
              </w:rPr>
            </w:pPr>
            <w:r w:rsidRPr="00486D5B">
              <w:rPr>
                <w:sz w:val="18"/>
                <w:szCs w:val="18"/>
              </w:rPr>
              <w:t>x</w:t>
            </w:r>
          </w:p>
        </w:tc>
        <w:tc>
          <w:tcPr>
            <w:tcW w:w="850" w:type="dxa"/>
            <w:vAlign w:val="center"/>
          </w:tcPr>
          <w:p w14:paraId="59B1AF08" w14:textId="77777777" w:rsidR="00FB3DED" w:rsidRPr="00486D5B" w:rsidRDefault="00FB3DED" w:rsidP="00FB3DED">
            <w:pPr>
              <w:jc w:val="center"/>
              <w:rPr>
                <w:sz w:val="18"/>
                <w:szCs w:val="18"/>
              </w:rPr>
            </w:pPr>
          </w:p>
        </w:tc>
        <w:tc>
          <w:tcPr>
            <w:tcW w:w="851" w:type="dxa"/>
            <w:vAlign w:val="center"/>
          </w:tcPr>
          <w:p w14:paraId="6F624CB7" w14:textId="77777777" w:rsidR="00FB3DED" w:rsidRPr="00486D5B" w:rsidRDefault="00FB3DED" w:rsidP="00FB3DED">
            <w:pPr>
              <w:jc w:val="center"/>
              <w:rPr>
                <w:sz w:val="18"/>
                <w:szCs w:val="18"/>
              </w:rPr>
            </w:pPr>
          </w:p>
        </w:tc>
        <w:tc>
          <w:tcPr>
            <w:tcW w:w="705" w:type="dxa"/>
            <w:vAlign w:val="center"/>
          </w:tcPr>
          <w:p w14:paraId="109499E7" w14:textId="393109EA" w:rsidR="00FB3DED" w:rsidRPr="00486D5B" w:rsidRDefault="00FB3DED" w:rsidP="00FB3DED">
            <w:pPr>
              <w:jc w:val="center"/>
              <w:rPr>
                <w:sz w:val="18"/>
                <w:szCs w:val="18"/>
              </w:rPr>
            </w:pPr>
            <w:r w:rsidRPr="00486D5B">
              <w:rPr>
                <w:sz w:val="18"/>
                <w:szCs w:val="18"/>
              </w:rPr>
              <w:t>x</w:t>
            </w:r>
          </w:p>
        </w:tc>
      </w:tr>
      <w:tr w:rsidR="00FB3DED" w:rsidRPr="00486D5B" w14:paraId="2B268913" w14:textId="77777777" w:rsidTr="006B71E7">
        <w:trPr>
          <w:cnfStyle w:val="000000100000" w:firstRow="0" w:lastRow="0" w:firstColumn="0" w:lastColumn="0" w:oddVBand="0" w:evenVBand="0" w:oddHBand="1" w:evenHBand="0" w:firstRowFirstColumn="0" w:firstRowLastColumn="0" w:lastRowFirstColumn="0" w:lastRowLastColumn="0"/>
          <w:trHeight w:val="340"/>
        </w:trPr>
        <w:tc>
          <w:tcPr>
            <w:tcW w:w="5484" w:type="dxa"/>
            <w:vAlign w:val="center"/>
          </w:tcPr>
          <w:p w14:paraId="6582B95D" w14:textId="02944010" w:rsidR="00FB3DED" w:rsidRPr="00486D5B" w:rsidRDefault="00FB3DED" w:rsidP="00FB3DED">
            <w:pPr>
              <w:rPr>
                <w:b/>
                <w:sz w:val="18"/>
                <w:szCs w:val="18"/>
              </w:rPr>
            </w:pPr>
            <w:r w:rsidRPr="00486D5B">
              <w:rPr>
                <w:b/>
                <w:sz w:val="18"/>
                <w:szCs w:val="18"/>
              </w:rPr>
              <w:t>Thermal power requirement</w:t>
            </w:r>
          </w:p>
        </w:tc>
        <w:tc>
          <w:tcPr>
            <w:tcW w:w="895" w:type="dxa"/>
            <w:vAlign w:val="center"/>
          </w:tcPr>
          <w:p w14:paraId="630E2283" w14:textId="77777777" w:rsidR="00FB3DED" w:rsidRPr="00486D5B" w:rsidRDefault="00FB3DED" w:rsidP="00FB3DED">
            <w:pPr>
              <w:rPr>
                <w:b/>
                <w:sz w:val="18"/>
                <w:szCs w:val="18"/>
              </w:rPr>
            </w:pPr>
            <w:r w:rsidRPr="00486D5B">
              <w:rPr>
                <w:b/>
                <w:sz w:val="18"/>
                <w:szCs w:val="18"/>
              </w:rPr>
              <w:t>%</w:t>
            </w:r>
          </w:p>
        </w:tc>
        <w:tc>
          <w:tcPr>
            <w:tcW w:w="851" w:type="dxa"/>
            <w:vAlign w:val="center"/>
          </w:tcPr>
          <w:p w14:paraId="304EF3DA" w14:textId="77777777" w:rsidR="00FB3DED" w:rsidRPr="00486D5B" w:rsidRDefault="00FB3DED" w:rsidP="00FB3DED">
            <w:pPr>
              <w:jc w:val="center"/>
              <w:rPr>
                <w:sz w:val="18"/>
                <w:szCs w:val="18"/>
              </w:rPr>
            </w:pPr>
            <w:r w:rsidRPr="00486D5B">
              <w:rPr>
                <w:sz w:val="18"/>
                <w:szCs w:val="18"/>
              </w:rPr>
              <w:t>x</w:t>
            </w:r>
          </w:p>
        </w:tc>
        <w:tc>
          <w:tcPr>
            <w:tcW w:w="850" w:type="dxa"/>
            <w:vAlign w:val="center"/>
          </w:tcPr>
          <w:p w14:paraId="5FEDBA20" w14:textId="77777777" w:rsidR="00FB3DED" w:rsidRPr="00486D5B" w:rsidRDefault="00FB3DED" w:rsidP="00FB3DED">
            <w:pPr>
              <w:jc w:val="center"/>
              <w:rPr>
                <w:sz w:val="18"/>
                <w:szCs w:val="18"/>
              </w:rPr>
            </w:pPr>
          </w:p>
        </w:tc>
        <w:tc>
          <w:tcPr>
            <w:tcW w:w="851" w:type="dxa"/>
            <w:vAlign w:val="center"/>
          </w:tcPr>
          <w:p w14:paraId="3170272F" w14:textId="77777777" w:rsidR="00FB3DED" w:rsidRPr="00486D5B" w:rsidRDefault="00FB3DED" w:rsidP="00FB3DED">
            <w:pPr>
              <w:jc w:val="center"/>
              <w:rPr>
                <w:sz w:val="18"/>
                <w:szCs w:val="18"/>
              </w:rPr>
            </w:pPr>
          </w:p>
        </w:tc>
        <w:tc>
          <w:tcPr>
            <w:tcW w:w="705" w:type="dxa"/>
            <w:vAlign w:val="center"/>
          </w:tcPr>
          <w:p w14:paraId="3E0A45DA" w14:textId="6A0C0E49" w:rsidR="00FB3DED" w:rsidRPr="00486D5B" w:rsidRDefault="00FB3DED" w:rsidP="00FB3DED">
            <w:pPr>
              <w:jc w:val="center"/>
              <w:rPr>
                <w:sz w:val="18"/>
                <w:szCs w:val="18"/>
              </w:rPr>
            </w:pPr>
            <w:r w:rsidRPr="00486D5B">
              <w:rPr>
                <w:sz w:val="18"/>
                <w:szCs w:val="18"/>
              </w:rPr>
              <w:t>x</w:t>
            </w:r>
          </w:p>
        </w:tc>
      </w:tr>
      <w:tr w:rsidR="00FB3DED" w:rsidRPr="00486D5B" w14:paraId="62F58F69" w14:textId="77777777" w:rsidTr="006B71E7">
        <w:trPr>
          <w:trHeight w:val="340"/>
        </w:trPr>
        <w:tc>
          <w:tcPr>
            <w:tcW w:w="5484" w:type="dxa"/>
            <w:vAlign w:val="center"/>
          </w:tcPr>
          <w:p w14:paraId="00655F52" w14:textId="5F217B23" w:rsidR="00FB3DED" w:rsidRPr="00486D5B" w:rsidRDefault="00FB3DED" w:rsidP="00FB3DED">
            <w:pPr>
              <w:rPr>
                <w:b/>
                <w:sz w:val="18"/>
                <w:szCs w:val="18"/>
              </w:rPr>
            </w:pPr>
            <w:r w:rsidRPr="00486D5B">
              <w:rPr>
                <w:b/>
                <w:sz w:val="18"/>
                <w:szCs w:val="18"/>
              </w:rPr>
              <w:t xml:space="preserve">Net power output </w:t>
            </w:r>
          </w:p>
        </w:tc>
        <w:tc>
          <w:tcPr>
            <w:tcW w:w="895" w:type="dxa"/>
            <w:vAlign w:val="center"/>
          </w:tcPr>
          <w:p w14:paraId="4C066FDB" w14:textId="77777777" w:rsidR="00FB3DED" w:rsidRPr="00486D5B" w:rsidRDefault="00FB3DED" w:rsidP="00FB3DED">
            <w:pPr>
              <w:rPr>
                <w:b/>
                <w:sz w:val="18"/>
                <w:szCs w:val="18"/>
              </w:rPr>
            </w:pPr>
            <w:r w:rsidRPr="00486D5B">
              <w:rPr>
                <w:b/>
                <w:sz w:val="18"/>
                <w:szCs w:val="18"/>
              </w:rPr>
              <w:t>kW</w:t>
            </w:r>
          </w:p>
        </w:tc>
        <w:tc>
          <w:tcPr>
            <w:tcW w:w="851" w:type="dxa"/>
            <w:vAlign w:val="center"/>
          </w:tcPr>
          <w:p w14:paraId="2DFDFEB3" w14:textId="77777777" w:rsidR="00FB3DED" w:rsidRPr="00486D5B" w:rsidRDefault="00FB3DED" w:rsidP="00FB3DED">
            <w:pPr>
              <w:jc w:val="center"/>
              <w:rPr>
                <w:sz w:val="18"/>
                <w:szCs w:val="18"/>
              </w:rPr>
            </w:pPr>
            <w:r w:rsidRPr="00486D5B">
              <w:rPr>
                <w:sz w:val="18"/>
                <w:szCs w:val="18"/>
              </w:rPr>
              <w:t>x</w:t>
            </w:r>
          </w:p>
        </w:tc>
        <w:tc>
          <w:tcPr>
            <w:tcW w:w="850" w:type="dxa"/>
            <w:vAlign w:val="center"/>
          </w:tcPr>
          <w:p w14:paraId="0420EE99" w14:textId="77777777" w:rsidR="00FB3DED" w:rsidRPr="00486D5B" w:rsidRDefault="00FB3DED" w:rsidP="00FB3DED">
            <w:pPr>
              <w:jc w:val="center"/>
              <w:rPr>
                <w:sz w:val="18"/>
                <w:szCs w:val="18"/>
              </w:rPr>
            </w:pPr>
            <w:r w:rsidRPr="00486D5B">
              <w:rPr>
                <w:sz w:val="18"/>
                <w:szCs w:val="18"/>
              </w:rPr>
              <w:t>x</w:t>
            </w:r>
          </w:p>
        </w:tc>
        <w:tc>
          <w:tcPr>
            <w:tcW w:w="851" w:type="dxa"/>
            <w:vAlign w:val="center"/>
          </w:tcPr>
          <w:p w14:paraId="1AE203C7" w14:textId="4767D2DE" w:rsidR="00FB3DED" w:rsidRPr="00486D5B" w:rsidRDefault="00FB3DED" w:rsidP="00FB3DED">
            <w:pPr>
              <w:jc w:val="center"/>
              <w:rPr>
                <w:sz w:val="18"/>
                <w:szCs w:val="18"/>
              </w:rPr>
            </w:pPr>
            <w:r w:rsidRPr="00486D5B">
              <w:rPr>
                <w:sz w:val="18"/>
                <w:szCs w:val="18"/>
              </w:rPr>
              <w:t>x</w:t>
            </w:r>
          </w:p>
        </w:tc>
        <w:tc>
          <w:tcPr>
            <w:tcW w:w="705" w:type="dxa"/>
            <w:vAlign w:val="center"/>
          </w:tcPr>
          <w:p w14:paraId="7E6E27B0" w14:textId="1C111B57" w:rsidR="00FB3DED" w:rsidRPr="00486D5B" w:rsidRDefault="00FB3DED" w:rsidP="00FB3DED">
            <w:pPr>
              <w:jc w:val="center"/>
              <w:rPr>
                <w:sz w:val="18"/>
                <w:szCs w:val="18"/>
              </w:rPr>
            </w:pPr>
            <w:r w:rsidRPr="00486D5B">
              <w:rPr>
                <w:sz w:val="18"/>
                <w:szCs w:val="18"/>
              </w:rPr>
              <w:t>x</w:t>
            </w:r>
          </w:p>
        </w:tc>
      </w:tr>
      <w:tr w:rsidR="00FB3DED" w:rsidRPr="00486D5B" w14:paraId="2042F0D7" w14:textId="77777777" w:rsidTr="006B71E7">
        <w:trPr>
          <w:cnfStyle w:val="000000100000" w:firstRow="0" w:lastRow="0" w:firstColumn="0" w:lastColumn="0" w:oddVBand="0" w:evenVBand="0" w:oddHBand="1" w:evenHBand="0" w:firstRowFirstColumn="0" w:firstRowLastColumn="0" w:lastRowFirstColumn="0" w:lastRowLastColumn="0"/>
          <w:trHeight w:val="340"/>
        </w:trPr>
        <w:tc>
          <w:tcPr>
            <w:tcW w:w="5484" w:type="dxa"/>
            <w:vAlign w:val="center"/>
          </w:tcPr>
          <w:p w14:paraId="018B8E62" w14:textId="77777777" w:rsidR="00FB3DED" w:rsidRPr="00486D5B" w:rsidRDefault="00FB3DED" w:rsidP="00FB3DED">
            <w:pPr>
              <w:rPr>
                <w:b/>
                <w:sz w:val="18"/>
                <w:szCs w:val="18"/>
              </w:rPr>
            </w:pPr>
            <w:r w:rsidRPr="00486D5B">
              <w:rPr>
                <w:b/>
                <w:sz w:val="18"/>
                <w:szCs w:val="18"/>
              </w:rPr>
              <w:t>Total plant cost (TPC)</w:t>
            </w:r>
          </w:p>
        </w:tc>
        <w:tc>
          <w:tcPr>
            <w:tcW w:w="895" w:type="dxa"/>
            <w:vAlign w:val="center"/>
          </w:tcPr>
          <w:p w14:paraId="61E1F3E8" w14:textId="77777777" w:rsidR="00FB3DED" w:rsidRPr="00486D5B" w:rsidRDefault="00FB3DED" w:rsidP="00FB3DED">
            <w:pPr>
              <w:rPr>
                <w:b/>
                <w:sz w:val="18"/>
                <w:szCs w:val="18"/>
              </w:rPr>
            </w:pPr>
            <w:r w:rsidRPr="00486D5B">
              <w:rPr>
                <w:b/>
                <w:sz w:val="18"/>
                <w:szCs w:val="18"/>
              </w:rPr>
              <w:t>€</w:t>
            </w:r>
          </w:p>
        </w:tc>
        <w:tc>
          <w:tcPr>
            <w:tcW w:w="851" w:type="dxa"/>
            <w:vAlign w:val="center"/>
          </w:tcPr>
          <w:p w14:paraId="3456EEDD" w14:textId="77777777" w:rsidR="00FB3DED" w:rsidRPr="00486D5B" w:rsidRDefault="00FB3DED" w:rsidP="00FB3DED">
            <w:pPr>
              <w:jc w:val="center"/>
              <w:rPr>
                <w:sz w:val="18"/>
                <w:szCs w:val="18"/>
              </w:rPr>
            </w:pPr>
          </w:p>
        </w:tc>
        <w:tc>
          <w:tcPr>
            <w:tcW w:w="850" w:type="dxa"/>
            <w:vAlign w:val="center"/>
          </w:tcPr>
          <w:p w14:paraId="06166297" w14:textId="77777777" w:rsidR="00FB3DED" w:rsidRPr="00486D5B" w:rsidRDefault="00FB3DED" w:rsidP="00FB3DED">
            <w:pPr>
              <w:jc w:val="center"/>
              <w:rPr>
                <w:sz w:val="18"/>
                <w:szCs w:val="18"/>
              </w:rPr>
            </w:pPr>
            <w:r w:rsidRPr="00486D5B">
              <w:rPr>
                <w:sz w:val="18"/>
                <w:szCs w:val="18"/>
              </w:rPr>
              <w:t>x</w:t>
            </w:r>
          </w:p>
        </w:tc>
        <w:tc>
          <w:tcPr>
            <w:tcW w:w="851" w:type="dxa"/>
            <w:vAlign w:val="center"/>
          </w:tcPr>
          <w:p w14:paraId="02083513" w14:textId="751169FC" w:rsidR="00FB3DED" w:rsidRPr="00486D5B" w:rsidRDefault="00FB3DED" w:rsidP="00FB3DED">
            <w:pPr>
              <w:jc w:val="center"/>
              <w:rPr>
                <w:sz w:val="18"/>
                <w:szCs w:val="18"/>
              </w:rPr>
            </w:pPr>
            <w:r w:rsidRPr="00486D5B">
              <w:rPr>
                <w:sz w:val="18"/>
                <w:szCs w:val="18"/>
              </w:rPr>
              <w:t>x</w:t>
            </w:r>
          </w:p>
        </w:tc>
        <w:tc>
          <w:tcPr>
            <w:tcW w:w="705" w:type="dxa"/>
            <w:vAlign w:val="center"/>
          </w:tcPr>
          <w:p w14:paraId="23D0E737" w14:textId="1502D13C" w:rsidR="00FB3DED" w:rsidRPr="00486D5B" w:rsidRDefault="00FB3DED" w:rsidP="00FB3DED">
            <w:pPr>
              <w:jc w:val="center"/>
              <w:rPr>
                <w:sz w:val="18"/>
                <w:szCs w:val="18"/>
              </w:rPr>
            </w:pPr>
          </w:p>
        </w:tc>
      </w:tr>
      <w:tr w:rsidR="00FB3DED" w:rsidRPr="00486D5B" w14:paraId="304EC9AF" w14:textId="77777777" w:rsidTr="006B71E7">
        <w:trPr>
          <w:trHeight w:val="340"/>
        </w:trPr>
        <w:tc>
          <w:tcPr>
            <w:tcW w:w="5484" w:type="dxa"/>
            <w:vAlign w:val="center"/>
          </w:tcPr>
          <w:p w14:paraId="431E2300" w14:textId="77777777" w:rsidR="00FB3DED" w:rsidRPr="00486D5B" w:rsidRDefault="00FB3DED" w:rsidP="00FB3DED">
            <w:pPr>
              <w:rPr>
                <w:b/>
                <w:sz w:val="18"/>
                <w:szCs w:val="18"/>
              </w:rPr>
            </w:pPr>
            <w:r w:rsidRPr="00486D5B">
              <w:rPr>
                <w:b/>
                <w:sz w:val="18"/>
                <w:szCs w:val="18"/>
              </w:rPr>
              <w:t>Share of investment costs due to operation and maintenance (</w:t>
            </w:r>
            <w:proofErr w:type="spellStart"/>
            <w:r w:rsidRPr="00486D5B">
              <w:rPr>
                <w:b/>
                <w:sz w:val="18"/>
                <w:szCs w:val="18"/>
              </w:rPr>
              <w:t>so&amp;m</w:t>
            </w:r>
            <w:proofErr w:type="spellEnd"/>
            <w:r w:rsidRPr="00486D5B">
              <w:rPr>
                <w:b/>
                <w:sz w:val="18"/>
                <w:szCs w:val="18"/>
              </w:rPr>
              <w:t>)</w:t>
            </w:r>
          </w:p>
        </w:tc>
        <w:tc>
          <w:tcPr>
            <w:tcW w:w="895" w:type="dxa"/>
            <w:vAlign w:val="center"/>
          </w:tcPr>
          <w:p w14:paraId="763187FF" w14:textId="77777777" w:rsidR="00FB3DED" w:rsidRPr="00486D5B" w:rsidRDefault="00FB3DED" w:rsidP="00FB3DED">
            <w:pPr>
              <w:rPr>
                <w:b/>
                <w:sz w:val="18"/>
                <w:szCs w:val="18"/>
              </w:rPr>
            </w:pPr>
            <w:r w:rsidRPr="00486D5B">
              <w:rPr>
                <w:b/>
                <w:sz w:val="18"/>
                <w:szCs w:val="18"/>
              </w:rPr>
              <w:t>%</w:t>
            </w:r>
          </w:p>
        </w:tc>
        <w:tc>
          <w:tcPr>
            <w:tcW w:w="851" w:type="dxa"/>
            <w:vAlign w:val="center"/>
          </w:tcPr>
          <w:p w14:paraId="653B2909" w14:textId="77777777" w:rsidR="00FB3DED" w:rsidRPr="00486D5B" w:rsidRDefault="00FB3DED" w:rsidP="00FB3DED">
            <w:pPr>
              <w:jc w:val="center"/>
              <w:rPr>
                <w:sz w:val="18"/>
                <w:szCs w:val="18"/>
              </w:rPr>
            </w:pPr>
            <w:r w:rsidRPr="00486D5B">
              <w:rPr>
                <w:sz w:val="18"/>
                <w:szCs w:val="18"/>
              </w:rPr>
              <w:t>x</w:t>
            </w:r>
          </w:p>
        </w:tc>
        <w:tc>
          <w:tcPr>
            <w:tcW w:w="850" w:type="dxa"/>
            <w:vAlign w:val="center"/>
          </w:tcPr>
          <w:p w14:paraId="29A23196" w14:textId="77777777" w:rsidR="00FB3DED" w:rsidRPr="00486D5B" w:rsidRDefault="00FB3DED" w:rsidP="00FB3DED">
            <w:pPr>
              <w:jc w:val="center"/>
              <w:rPr>
                <w:sz w:val="18"/>
                <w:szCs w:val="18"/>
              </w:rPr>
            </w:pPr>
          </w:p>
        </w:tc>
        <w:tc>
          <w:tcPr>
            <w:tcW w:w="851" w:type="dxa"/>
            <w:vAlign w:val="center"/>
          </w:tcPr>
          <w:p w14:paraId="6F0AEBB5" w14:textId="77777777" w:rsidR="00FB3DED" w:rsidRPr="00486D5B" w:rsidRDefault="00FB3DED" w:rsidP="00FB3DED">
            <w:pPr>
              <w:jc w:val="center"/>
              <w:rPr>
                <w:sz w:val="18"/>
                <w:szCs w:val="18"/>
              </w:rPr>
            </w:pPr>
          </w:p>
        </w:tc>
        <w:tc>
          <w:tcPr>
            <w:tcW w:w="705" w:type="dxa"/>
            <w:vAlign w:val="center"/>
          </w:tcPr>
          <w:p w14:paraId="4E550FDF" w14:textId="2E4E6342" w:rsidR="00FB3DED" w:rsidRPr="00486D5B" w:rsidRDefault="00FB3DED" w:rsidP="00FB3DED">
            <w:pPr>
              <w:jc w:val="center"/>
              <w:rPr>
                <w:sz w:val="18"/>
                <w:szCs w:val="18"/>
              </w:rPr>
            </w:pPr>
          </w:p>
        </w:tc>
      </w:tr>
      <w:tr w:rsidR="00FB3DED" w:rsidRPr="00486D5B" w14:paraId="0270C14D" w14:textId="77777777" w:rsidTr="006B71E7">
        <w:trPr>
          <w:cnfStyle w:val="000000100000" w:firstRow="0" w:lastRow="0" w:firstColumn="0" w:lastColumn="0" w:oddVBand="0" w:evenVBand="0" w:oddHBand="1" w:evenHBand="0" w:firstRowFirstColumn="0" w:firstRowLastColumn="0" w:lastRowFirstColumn="0" w:lastRowLastColumn="0"/>
          <w:trHeight w:val="340"/>
        </w:trPr>
        <w:tc>
          <w:tcPr>
            <w:tcW w:w="5484" w:type="dxa"/>
            <w:vAlign w:val="center"/>
          </w:tcPr>
          <w:p w14:paraId="599C1916" w14:textId="77777777" w:rsidR="00FB3DED" w:rsidRPr="00486D5B" w:rsidRDefault="00FB3DED" w:rsidP="00FB3DED">
            <w:pPr>
              <w:rPr>
                <w:b/>
                <w:sz w:val="18"/>
                <w:szCs w:val="18"/>
              </w:rPr>
            </w:pPr>
            <w:r w:rsidRPr="00486D5B">
              <w:rPr>
                <w:b/>
                <w:sz w:val="18"/>
                <w:szCs w:val="18"/>
              </w:rPr>
              <w:t>Fixed operation and maintenance costs (FO&amp;MC)</w:t>
            </w:r>
          </w:p>
        </w:tc>
        <w:tc>
          <w:tcPr>
            <w:tcW w:w="895" w:type="dxa"/>
            <w:vAlign w:val="center"/>
          </w:tcPr>
          <w:p w14:paraId="547B4B04" w14:textId="47B3BC96" w:rsidR="00FB3DED" w:rsidRPr="00486D5B" w:rsidRDefault="00FB3DED" w:rsidP="00FB3DED">
            <w:pPr>
              <w:rPr>
                <w:b/>
                <w:sz w:val="18"/>
                <w:szCs w:val="18"/>
              </w:rPr>
            </w:pPr>
            <w:r w:rsidRPr="00486D5B">
              <w:rPr>
                <w:b/>
                <w:sz w:val="18"/>
                <w:szCs w:val="18"/>
              </w:rPr>
              <w:t>€/kW/y</w:t>
            </w:r>
          </w:p>
        </w:tc>
        <w:tc>
          <w:tcPr>
            <w:tcW w:w="851" w:type="dxa"/>
            <w:vAlign w:val="center"/>
          </w:tcPr>
          <w:p w14:paraId="18F9B31E" w14:textId="77777777" w:rsidR="00FB3DED" w:rsidRPr="00486D5B" w:rsidRDefault="00FB3DED" w:rsidP="00FB3DED">
            <w:pPr>
              <w:jc w:val="center"/>
              <w:rPr>
                <w:sz w:val="18"/>
                <w:szCs w:val="18"/>
              </w:rPr>
            </w:pPr>
          </w:p>
        </w:tc>
        <w:tc>
          <w:tcPr>
            <w:tcW w:w="850" w:type="dxa"/>
            <w:vAlign w:val="center"/>
          </w:tcPr>
          <w:p w14:paraId="3E59577F" w14:textId="77777777" w:rsidR="00FB3DED" w:rsidRPr="00486D5B" w:rsidRDefault="00FB3DED" w:rsidP="00FB3DED">
            <w:pPr>
              <w:jc w:val="center"/>
              <w:rPr>
                <w:sz w:val="18"/>
                <w:szCs w:val="18"/>
              </w:rPr>
            </w:pPr>
            <w:r w:rsidRPr="00486D5B">
              <w:rPr>
                <w:sz w:val="18"/>
                <w:szCs w:val="18"/>
              </w:rPr>
              <w:t>x</w:t>
            </w:r>
          </w:p>
        </w:tc>
        <w:tc>
          <w:tcPr>
            <w:tcW w:w="851" w:type="dxa"/>
            <w:vAlign w:val="center"/>
          </w:tcPr>
          <w:p w14:paraId="7DB8D97B" w14:textId="381BD27F" w:rsidR="00FB3DED" w:rsidRPr="00486D5B" w:rsidRDefault="00FB3DED" w:rsidP="00FB3DED">
            <w:pPr>
              <w:widowControl w:val="0"/>
              <w:pBdr>
                <w:top w:val="nil"/>
                <w:left w:val="nil"/>
                <w:bottom w:val="nil"/>
                <w:right w:val="nil"/>
                <w:between w:val="nil"/>
              </w:pBdr>
              <w:jc w:val="center"/>
              <w:rPr>
                <w:sz w:val="18"/>
                <w:szCs w:val="18"/>
              </w:rPr>
            </w:pPr>
            <w:r w:rsidRPr="00486D5B">
              <w:rPr>
                <w:sz w:val="18"/>
                <w:szCs w:val="18"/>
              </w:rPr>
              <w:t>x</w:t>
            </w:r>
          </w:p>
        </w:tc>
        <w:tc>
          <w:tcPr>
            <w:tcW w:w="705" w:type="dxa"/>
            <w:vAlign w:val="center"/>
          </w:tcPr>
          <w:p w14:paraId="047E7590" w14:textId="65513EF2" w:rsidR="00FB3DED" w:rsidRPr="00486D5B" w:rsidRDefault="00FB3DED" w:rsidP="00FB3DED">
            <w:pPr>
              <w:widowControl w:val="0"/>
              <w:pBdr>
                <w:top w:val="nil"/>
                <w:left w:val="nil"/>
                <w:bottom w:val="nil"/>
                <w:right w:val="nil"/>
                <w:between w:val="nil"/>
              </w:pBdr>
              <w:jc w:val="center"/>
              <w:rPr>
                <w:sz w:val="18"/>
                <w:szCs w:val="18"/>
              </w:rPr>
            </w:pPr>
          </w:p>
        </w:tc>
      </w:tr>
      <w:tr w:rsidR="00FB3DED" w:rsidRPr="00486D5B" w14:paraId="3555E2C7" w14:textId="77777777" w:rsidTr="006B71E7">
        <w:trPr>
          <w:trHeight w:val="340"/>
        </w:trPr>
        <w:tc>
          <w:tcPr>
            <w:tcW w:w="5484" w:type="dxa"/>
            <w:vAlign w:val="center"/>
          </w:tcPr>
          <w:p w14:paraId="3AB44BFD" w14:textId="77777777" w:rsidR="00FB3DED" w:rsidRPr="00486D5B" w:rsidRDefault="00FB3DED" w:rsidP="00FB3DED">
            <w:pPr>
              <w:rPr>
                <w:b/>
                <w:sz w:val="18"/>
                <w:szCs w:val="18"/>
              </w:rPr>
            </w:pPr>
            <w:r w:rsidRPr="00486D5B">
              <w:rPr>
                <w:b/>
                <w:sz w:val="18"/>
                <w:szCs w:val="18"/>
              </w:rPr>
              <w:lastRenderedPageBreak/>
              <w:t>Variable operation and maintenance costs (VO&amp;MC)</w:t>
            </w:r>
          </w:p>
        </w:tc>
        <w:tc>
          <w:tcPr>
            <w:tcW w:w="895" w:type="dxa"/>
            <w:vAlign w:val="center"/>
          </w:tcPr>
          <w:p w14:paraId="31D3F86A" w14:textId="77777777" w:rsidR="00FB3DED" w:rsidRPr="00486D5B" w:rsidRDefault="00FB3DED" w:rsidP="00FB3DED">
            <w:pPr>
              <w:rPr>
                <w:b/>
                <w:sz w:val="18"/>
                <w:szCs w:val="18"/>
              </w:rPr>
            </w:pPr>
            <w:r w:rsidRPr="00486D5B">
              <w:rPr>
                <w:b/>
                <w:sz w:val="18"/>
                <w:szCs w:val="18"/>
              </w:rPr>
              <w:t>€/kWh</w:t>
            </w:r>
          </w:p>
        </w:tc>
        <w:tc>
          <w:tcPr>
            <w:tcW w:w="851" w:type="dxa"/>
            <w:vAlign w:val="center"/>
          </w:tcPr>
          <w:p w14:paraId="2BEDBA46" w14:textId="77777777" w:rsidR="00FB3DED" w:rsidRPr="00486D5B" w:rsidRDefault="00FB3DED" w:rsidP="00FB3DED">
            <w:pPr>
              <w:jc w:val="center"/>
              <w:rPr>
                <w:sz w:val="18"/>
                <w:szCs w:val="18"/>
              </w:rPr>
            </w:pPr>
          </w:p>
        </w:tc>
        <w:tc>
          <w:tcPr>
            <w:tcW w:w="850" w:type="dxa"/>
            <w:vAlign w:val="center"/>
          </w:tcPr>
          <w:p w14:paraId="5A0FD902" w14:textId="77777777" w:rsidR="00FB3DED" w:rsidRPr="00486D5B" w:rsidRDefault="00FB3DED" w:rsidP="00FB3DED">
            <w:pPr>
              <w:jc w:val="center"/>
              <w:rPr>
                <w:sz w:val="18"/>
                <w:szCs w:val="18"/>
              </w:rPr>
            </w:pPr>
            <w:r w:rsidRPr="00486D5B">
              <w:rPr>
                <w:sz w:val="18"/>
                <w:szCs w:val="18"/>
              </w:rPr>
              <w:t>x</w:t>
            </w:r>
          </w:p>
        </w:tc>
        <w:tc>
          <w:tcPr>
            <w:tcW w:w="851" w:type="dxa"/>
            <w:vAlign w:val="center"/>
          </w:tcPr>
          <w:p w14:paraId="32A76B6C" w14:textId="1E6725FC" w:rsidR="00FB3DED" w:rsidRPr="00486D5B" w:rsidRDefault="00FB3DED" w:rsidP="00FB3DED">
            <w:pPr>
              <w:widowControl w:val="0"/>
              <w:pBdr>
                <w:top w:val="nil"/>
                <w:left w:val="nil"/>
                <w:bottom w:val="nil"/>
                <w:right w:val="nil"/>
                <w:between w:val="nil"/>
              </w:pBdr>
              <w:jc w:val="center"/>
              <w:rPr>
                <w:sz w:val="18"/>
                <w:szCs w:val="18"/>
              </w:rPr>
            </w:pPr>
            <w:r w:rsidRPr="00486D5B">
              <w:rPr>
                <w:sz w:val="18"/>
                <w:szCs w:val="18"/>
              </w:rPr>
              <w:t>x</w:t>
            </w:r>
          </w:p>
        </w:tc>
        <w:tc>
          <w:tcPr>
            <w:tcW w:w="705" w:type="dxa"/>
            <w:vAlign w:val="center"/>
          </w:tcPr>
          <w:p w14:paraId="2D0509CE" w14:textId="156AF4E7" w:rsidR="00FB3DED" w:rsidRPr="00486D5B" w:rsidRDefault="00FB3DED" w:rsidP="00FB3DED">
            <w:pPr>
              <w:widowControl w:val="0"/>
              <w:pBdr>
                <w:top w:val="nil"/>
                <w:left w:val="nil"/>
                <w:bottom w:val="nil"/>
                <w:right w:val="nil"/>
                <w:between w:val="nil"/>
              </w:pBdr>
              <w:jc w:val="center"/>
              <w:rPr>
                <w:sz w:val="18"/>
                <w:szCs w:val="18"/>
              </w:rPr>
            </w:pPr>
          </w:p>
        </w:tc>
      </w:tr>
      <w:tr w:rsidR="00FB3DED" w:rsidRPr="00486D5B" w14:paraId="4C1CE6B1" w14:textId="77777777" w:rsidTr="006B71E7">
        <w:trPr>
          <w:cnfStyle w:val="000000100000" w:firstRow="0" w:lastRow="0" w:firstColumn="0" w:lastColumn="0" w:oddVBand="0" w:evenVBand="0" w:oddHBand="1" w:evenHBand="0" w:firstRowFirstColumn="0" w:firstRowLastColumn="0" w:lastRowFirstColumn="0" w:lastRowLastColumn="0"/>
          <w:trHeight w:val="340"/>
        </w:trPr>
        <w:tc>
          <w:tcPr>
            <w:tcW w:w="5484" w:type="dxa"/>
            <w:vAlign w:val="center"/>
          </w:tcPr>
          <w:p w14:paraId="3AE9B5F3" w14:textId="77777777" w:rsidR="00FB3DED" w:rsidRPr="00486D5B" w:rsidRDefault="00FB3DED" w:rsidP="00FB3DED">
            <w:pPr>
              <w:rPr>
                <w:b/>
                <w:sz w:val="18"/>
                <w:szCs w:val="18"/>
              </w:rPr>
            </w:pPr>
            <w:r w:rsidRPr="00486D5B">
              <w:rPr>
                <w:b/>
                <w:sz w:val="18"/>
                <w:szCs w:val="18"/>
              </w:rPr>
              <w:t>Total amount of solvent (for CCS)</w:t>
            </w:r>
          </w:p>
        </w:tc>
        <w:tc>
          <w:tcPr>
            <w:tcW w:w="895" w:type="dxa"/>
            <w:vAlign w:val="center"/>
          </w:tcPr>
          <w:p w14:paraId="32F5F3F5" w14:textId="77777777" w:rsidR="00FB3DED" w:rsidRPr="00486D5B" w:rsidRDefault="00FB3DED" w:rsidP="00FB3DED">
            <w:pPr>
              <w:rPr>
                <w:b/>
                <w:sz w:val="18"/>
                <w:szCs w:val="18"/>
              </w:rPr>
            </w:pPr>
            <w:r w:rsidRPr="00486D5B">
              <w:rPr>
                <w:b/>
                <w:sz w:val="18"/>
                <w:szCs w:val="18"/>
              </w:rPr>
              <w:t>kg</w:t>
            </w:r>
          </w:p>
        </w:tc>
        <w:tc>
          <w:tcPr>
            <w:tcW w:w="851" w:type="dxa"/>
            <w:vAlign w:val="center"/>
          </w:tcPr>
          <w:p w14:paraId="209CDF30" w14:textId="77777777" w:rsidR="00FB3DED" w:rsidRPr="00486D5B" w:rsidRDefault="00FB3DED" w:rsidP="00FB3DED">
            <w:pPr>
              <w:jc w:val="center"/>
              <w:rPr>
                <w:sz w:val="18"/>
                <w:szCs w:val="18"/>
              </w:rPr>
            </w:pPr>
          </w:p>
        </w:tc>
        <w:tc>
          <w:tcPr>
            <w:tcW w:w="850" w:type="dxa"/>
            <w:vAlign w:val="center"/>
          </w:tcPr>
          <w:p w14:paraId="3D2AFE78" w14:textId="77777777" w:rsidR="00FB3DED" w:rsidRPr="00486D5B" w:rsidRDefault="00FB3DED" w:rsidP="00FB3DED">
            <w:pPr>
              <w:jc w:val="center"/>
              <w:rPr>
                <w:sz w:val="18"/>
                <w:szCs w:val="18"/>
              </w:rPr>
            </w:pPr>
          </w:p>
        </w:tc>
        <w:tc>
          <w:tcPr>
            <w:tcW w:w="851" w:type="dxa"/>
            <w:vAlign w:val="center"/>
          </w:tcPr>
          <w:p w14:paraId="74D4BB91" w14:textId="77777777" w:rsidR="00FB3DED" w:rsidRPr="00486D5B" w:rsidRDefault="00FB3DED" w:rsidP="00FB3DED">
            <w:pPr>
              <w:jc w:val="center"/>
              <w:rPr>
                <w:sz w:val="18"/>
                <w:szCs w:val="18"/>
              </w:rPr>
            </w:pPr>
          </w:p>
        </w:tc>
        <w:tc>
          <w:tcPr>
            <w:tcW w:w="705" w:type="dxa"/>
            <w:vAlign w:val="center"/>
          </w:tcPr>
          <w:p w14:paraId="357106C1" w14:textId="53FCFA89" w:rsidR="00FB3DED" w:rsidRPr="00486D5B" w:rsidRDefault="00FB3DED" w:rsidP="00FB3DED">
            <w:pPr>
              <w:jc w:val="center"/>
              <w:rPr>
                <w:sz w:val="18"/>
                <w:szCs w:val="18"/>
              </w:rPr>
            </w:pPr>
            <w:r w:rsidRPr="00486D5B">
              <w:rPr>
                <w:sz w:val="18"/>
                <w:szCs w:val="18"/>
              </w:rPr>
              <w:t>x</w:t>
            </w:r>
          </w:p>
        </w:tc>
      </w:tr>
    </w:tbl>
    <w:p w14:paraId="5CBD6EF6" w14:textId="2225CBA9" w:rsidR="00DB642A" w:rsidRPr="00292E92" w:rsidRDefault="00CA3197" w:rsidP="00292E92">
      <w:pPr>
        <w:snapToGrid w:val="0"/>
        <w:spacing w:before="60" w:after="120"/>
        <w:jc w:val="center"/>
        <w:rPr>
          <w:rFonts w:ascii="Times New Roman" w:eastAsia="MS PGothic" w:hAnsi="Times New Roman"/>
          <w:sz w:val="18"/>
          <w:szCs w:val="18"/>
          <w:lang w:val="en-US"/>
        </w:rPr>
      </w:pPr>
      <w:r w:rsidRPr="00B27AD5">
        <w:rPr>
          <w:rFonts w:ascii="Times New Roman" w:eastAsia="MS PGothic" w:hAnsi="Times New Roman"/>
          <w:b/>
          <w:sz w:val="18"/>
          <w:szCs w:val="18"/>
          <w:lang w:val="en-US"/>
        </w:rPr>
        <w:t>Table 1</w:t>
      </w:r>
      <w:r w:rsidRPr="00292E92">
        <w:rPr>
          <w:rFonts w:ascii="Times New Roman" w:eastAsia="MS PGothic" w:hAnsi="Times New Roman"/>
          <w:sz w:val="18"/>
          <w:szCs w:val="18"/>
          <w:lang w:val="en-US"/>
        </w:rPr>
        <w:t>: Summary of data retrieved from process simulation for the estimation of EROEI, LCOH</w:t>
      </w:r>
      <w:r w:rsidR="000E5DCE" w:rsidRPr="00292E92">
        <w:rPr>
          <w:rFonts w:ascii="Times New Roman" w:eastAsia="MS PGothic" w:hAnsi="Times New Roman"/>
          <w:sz w:val="18"/>
          <w:szCs w:val="18"/>
          <w:lang w:val="en-US"/>
        </w:rPr>
        <w:t>, LCOE</w:t>
      </w:r>
      <w:r w:rsidRPr="00292E92">
        <w:rPr>
          <w:rFonts w:ascii="Times New Roman" w:eastAsia="MS PGothic" w:hAnsi="Times New Roman"/>
          <w:sz w:val="18"/>
          <w:szCs w:val="18"/>
          <w:lang w:val="en-US"/>
        </w:rPr>
        <w:t xml:space="preserve"> and LCA.</w:t>
      </w:r>
    </w:p>
    <w:p w14:paraId="1220335C" w14:textId="77777777" w:rsidR="00DC015A" w:rsidRPr="00466FFD" w:rsidRDefault="00DC015A" w:rsidP="00DC015A">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3. Results and discussion</w:t>
      </w:r>
    </w:p>
    <w:p w14:paraId="0D73120C" w14:textId="68571447" w:rsidR="00A96DAD" w:rsidRPr="006F2347" w:rsidRDefault="00A96DAD" w:rsidP="00DC015A">
      <w:pPr>
        <w:rPr>
          <w:rFonts w:ascii="Times New Roman" w:hAnsi="Times New Roman" w:cs="Times New Roman"/>
          <w:i/>
          <w:lang w:val="en-GB"/>
        </w:rPr>
      </w:pPr>
      <w:r w:rsidRPr="006F2347">
        <w:rPr>
          <w:rFonts w:ascii="Times New Roman" w:hAnsi="Times New Roman" w:cs="Times New Roman"/>
          <w:i/>
          <w:lang w:val="en-GB"/>
        </w:rPr>
        <w:t>Carbon Capture and S</w:t>
      </w:r>
      <w:r w:rsidR="002E4D61">
        <w:rPr>
          <w:rFonts w:ascii="Times New Roman" w:hAnsi="Times New Roman" w:cs="Times New Roman"/>
          <w:i/>
          <w:lang w:val="en-GB"/>
        </w:rPr>
        <w:t>torage</w:t>
      </w:r>
      <w:r w:rsidRPr="006F2347">
        <w:rPr>
          <w:rFonts w:ascii="Times New Roman" w:hAnsi="Times New Roman" w:cs="Times New Roman"/>
          <w:i/>
          <w:lang w:val="en-GB"/>
        </w:rPr>
        <w:t xml:space="preserve"> (CCS)</w:t>
      </w:r>
    </w:p>
    <w:p w14:paraId="12881F74" w14:textId="24810898" w:rsidR="00A96DAD" w:rsidRPr="00DC015A" w:rsidRDefault="00A96DAD" w:rsidP="00A96DAD">
      <w:pPr>
        <w:jc w:val="both"/>
        <w:rPr>
          <w:rFonts w:ascii="Times New Roman" w:hAnsi="Times New Roman" w:cs="Times New Roman"/>
          <w:noProof/>
          <w:lang w:val="en-GB"/>
        </w:rPr>
      </w:pPr>
      <w:r w:rsidRPr="00DC015A">
        <w:rPr>
          <w:rFonts w:ascii="Times New Roman" w:hAnsi="Times New Roman" w:cs="Times New Roman"/>
          <w:lang w:val="en-GB"/>
        </w:rPr>
        <w:t xml:space="preserve">The goal of this work was to assess the energetic, economic and environmental performance of natural gas-fired power plants without and with a CCS system. We integrated detailed process simulation (PS) outcomes with an evaluation of the Energy Return on Energy Invested (EROEI), the actual Levelized Cost of Energy (LCOE) and a Life Cycle Assessment (LCA). The application of comprehensive process simulations of two CCS processes suited to a Natural Gas Combined Cycle (NGCC) plant, chosen as typical of electrical energy generation from natural gas, is </w:t>
      </w:r>
      <w:r w:rsidR="006B71E7">
        <w:rPr>
          <w:rFonts w:ascii="Times New Roman" w:hAnsi="Times New Roman" w:cs="Times New Roman"/>
          <w:lang w:val="en-GB"/>
        </w:rPr>
        <w:t xml:space="preserve">coupled to the above described calculation methods of indicators. </w:t>
      </w:r>
      <w:r w:rsidRPr="00DC015A">
        <w:rPr>
          <w:rFonts w:ascii="Times New Roman" w:hAnsi="Times New Roman" w:cs="Times New Roman"/>
          <w:lang w:val="en-GB"/>
        </w:rPr>
        <w:t xml:space="preserve">We investigated two CCS processes using </w:t>
      </w:r>
      <w:proofErr w:type="spellStart"/>
      <w:r w:rsidR="006B71E7" w:rsidRPr="00DC015A">
        <w:rPr>
          <w:rFonts w:ascii="Times New Roman" w:hAnsi="Times New Roman" w:cs="Times New Roman"/>
          <w:lang w:val="en-GB"/>
        </w:rPr>
        <w:t>AspenPlus</w:t>
      </w:r>
      <w:proofErr w:type="spellEnd"/>
      <w:r w:rsidR="004238E1" w:rsidRPr="00B27AD5">
        <w:rPr>
          <w:rFonts w:ascii="Times New Roman" w:hAnsi="Times New Roman" w:cs="Times New Roman"/>
          <w:lang w:val="en-GB"/>
        </w:rPr>
        <w:t>™</w:t>
      </w:r>
      <w:r w:rsidR="006B71E7" w:rsidRPr="00DC015A">
        <w:rPr>
          <w:rFonts w:ascii="Times New Roman" w:hAnsi="Times New Roman" w:cs="Times New Roman"/>
          <w:lang w:val="en-GB"/>
        </w:rPr>
        <w:t xml:space="preserve"> </w:t>
      </w:r>
      <w:r w:rsidR="006B71E7">
        <w:rPr>
          <w:rFonts w:ascii="Times New Roman" w:hAnsi="Times New Roman" w:cs="Times New Roman"/>
          <w:lang w:val="en-GB"/>
        </w:rPr>
        <w:t>p</w:t>
      </w:r>
      <w:r w:rsidRPr="00DC015A">
        <w:rPr>
          <w:rFonts w:ascii="Times New Roman" w:hAnsi="Times New Roman" w:cs="Times New Roman"/>
          <w:lang w:val="en-GB"/>
        </w:rPr>
        <w:t>rocess simulation software: (</w:t>
      </w:r>
      <w:proofErr w:type="spellStart"/>
      <w:r w:rsidRPr="00DC015A">
        <w:rPr>
          <w:rFonts w:ascii="Times New Roman" w:hAnsi="Times New Roman" w:cs="Times New Roman"/>
          <w:lang w:val="en-GB"/>
        </w:rPr>
        <w:t>i</w:t>
      </w:r>
      <w:proofErr w:type="spellEnd"/>
      <w:r w:rsidRPr="00DC015A">
        <w:rPr>
          <w:rFonts w:ascii="Times New Roman" w:hAnsi="Times New Roman" w:cs="Times New Roman"/>
          <w:lang w:val="en-GB"/>
        </w:rPr>
        <w:t xml:space="preserve">) a traditional one using </w:t>
      </w:r>
      <w:proofErr w:type="spellStart"/>
      <w:r w:rsidRPr="00DC015A">
        <w:rPr>
          <w:rFonts w:ascii="Times New Roman" w:hAnsi="Times New Roman" w:cs="Times New Roman"/>
          <w:lang w:val="en-GB"/>
        </w:rPr>
        <w:t>monoethanolamine</w:t>
      </w:r>
      <w:proofErr w:type="spellEnd"/>
      <w:r w:rsidRPr="00DC015A">
        <w:rPr>
          <w:rFonts w:ascii="Times New Roman" w:hAnsi="Times New Roman" w:cs="Times New Roman"/>
          <w:lang w:val="en-GB"/>
        </w:rPr>
        <w:t xml:space="preserve"> (MEA) as solvent and (ii) an innovative one based on hot potassium carbonate (HPC). The inventories of these absorption plants were not available, since CCS has not been successfully implemented at industrial scale yet. Therefore, we needed to resort to process simulation to provide the material and energy balances required for the following sustainability assessment. To ensure the greatest possible quality of the models used to forecast physical properties, a comprehensive thermodynamic and kinetic study was undertaken. Since the rigorous simulation of the NGCC was not the focus of this work, data related to material and energy balances of the power plant was retrieved in literature </w:t>
      </w:r>
      <w:r w:rsidRPr="00DC015A">
        <w:rPr>
          <w:rFonts w:ascii="Times New Roman" w:hAnsi="Times New Roman" w:cs="Times New Roman"/>
        </w:rPr>
        <w:fldChar w:fldCharType="begin" w:fldLock="1"/>
      </w:r>
      <w:r w:rsidRPr="00DC015A">
        <w:rPr>
          <w:rFonts w:ascii="Times New Roman" w:hAnsi="Times New Roman" w:cs="Times New Roman"/>
          <w:lang w:val="en-GB"/>
        </w:rPr>
        <w:instrText>ADDIN CSL_CITATION {"citationItems":[{"id":"ITEM-1","itemData":{"DOI":"DOE/NETL-2010/1397","ISBN":"9780824740696","ISSN":"1754-5692","PMID":"25246403","abstract":"2, Taylor Francis, New York, 2005, pp.1281-1288. 75. Chilingarian, GV and Yen, TF, Bitumens, Asphalts, and Tar Sands, Elsevier, Amsterdam, 1978, chap. 1. ...","author":[{"dropping-particle":"","family":"National Energy Technology Laboratory (NETL)","given":"","non-dropping-particle":"","parse-names":false,"suffix":""}],"id":"ITEM-1","issue":"November","issued":{"date-parts":[["2010"]]},"number-of-pages":"240","title":"Cost and Performance Baseline for Fossil Energy Plants Volume 1: Bituminous Coal (PC) and Natural Gas to Electricity, Revision 2","type":"report","volume":"1a"},"uris":["http://www.mendeley.com/documents/?uuid=ff5801ba-e9cb-4c86-b4e6-e45278898de2"]}],"mendeley":{"formattedCitation":"[20]","plainTextFormattedCitation":"[20]","previouslyFormattedCitation":"[20]"},"properties":{"noteIndex":0},"schema":"https://github.com/citation-style-language/schema/raw/master/csl-citation.json"}</w:instrText>
      </w:r>
      <w:r w:rsidRPr="00DC015A">
        <w:rPr>
          <w:rFonts w:ascii="Times New Roman" w:hAnsi="Times New Roman" w:cs="Times New Roman"/>
        </w:rPr>
        <w:fldChar w:fldCharType="separate"/>
      </w:r>
      <w:r w:rsidRPr="00DC015A">
        <w:rPr>
          <w:rFonts w:ascii="Times New Roman" w:hAnsi="Times New Roman" w:cs="Times New Roman"/>
          <w:noProof/>
          <w:lang w:val="en-GB"/>
        </w:rPr>
        <w:t>[20]</w:t>
      </w:r>
      <w:r w:rsidRPr="00DC015A">
        <w:rPr>
          <w:rFonts w:ascii="Times New Roman" w:hAnsi="Times New Roman" w:cs="Times New Roman"/>
        </w:rPr>
        <w:fldChar w:fldCharType="end"/>
      </w:r>
      <w:r w:rsidRPr="00DC015A">
        <w:rPr>
          <w:rFonts w:ascii="Times New Roman" w:hAnsi="Times New Roman" w:cs="Times New Roman"/>
          <w:lang w:val="en-GB"/>
        </w:rPr>
        <w:t>. The process flow diagram of carbon capture from flue gases using a HPC is shown in Fig</w:t>
      </w:r>
      <w:r w:rsidR="000E5DCE">
        <w:rPr>
          <w:rFonts w:ascii="Times New Roman" w:hAnsi="Times New Roman" w:cs="Times New Roman"/>
          <w:lang w:val="en-GB"/>
        </w:rPr>
        <w:t>ure 2a</w:t>
      </w:r>
      <w:r w:rsidRPr="00DC015A">
        <w:rPr>
          <w:rFonts w:ascii="Times New Roman" w:hAnsi="Times New Roman" w:cs="Times New Roman"/>
          <w:lang w:val="en-GB"/>
        </w:rPr>
        <w:t>, while the compression and transportation of CO</w:t>
      </w:r>
      <w:r w:rsidRPr="00DC015A">
        <w:rPr>
          <w:rFonts w:ascii="Times New Roman" w:hAnsi="Times New Roman" w:cs="Times New Roman"/>
          <w:vertAlign w:val="subscript"/>
          <w:lang w:val="en-GB"/>
        </w:rPr>
        <w:t>2</w:t>
      </w:r>
      <w:r w:rsidRPr="00DC015A">
        <w:rPr>
          <w:rFonts w:ascii="Times New Roman" w:hAnsi="Times New Roman" w:cs="Times New Roman"/>
          <w:lang w:val="en-GB"/>
        </w:rPr>
        <w:t xml:space="preserve"> to the storage site is shown in Fig</w:t>
      </w:r>
      <w:r w:rsidR="000E5DCE">
        <w:rPr>
          <w:rFonts w:ascii="Times New Roman" w:hAnsi="Times New Roman" w:cs="Times New Roman"/>
          <w:lang w:val="en-GB"/>
        </w:rPr>
        <w:t>ure 2b</w:t>
      </w:r>
      <w:r w:rsidRPr="00DC015A">
        <w:rPr>
          <w:rFonts w:ascii="Times New Roman" w:hAnsi="Times New Roman" w:cs="Times New Roman"/>
          <w:lang w:val="en-GB"/>
        </w:rPr>
        <w:t>.</w:t>
      </w:r>
      <w:r w:rsidRPr="00DC015A">
        <w:rPr>
          <w:rFonts w:ascii="Times New Roman" w:hAnsi="Times New Roman" w:cs="Times New Roman"/>
          <w:noProof/>
          <w:lang w:val="en-GB"/>
        </w:rPr>
        <w:t xml:space="preserve"> A detailed description of the procedure and processes </w:t>
      </w:r>
      <w:r w:rsidR="000E5DCE">
        <w:rPr>
          <w:rFonts w:ascii="Times New Roman" w:hAnsi="Times New Roman" w:cs="Times New Roman"/>
          <w:noProof/>
          <w:lang w:val="en-GB"/>
        </w:rPr>
        <w:t xml:space="preserve">is reported in </w:t>
      </w:r>
      <w:r w:rsidR="00252748">
        <w:rPr>
          <w:rFonts w:ascii="Times New Roman" w:hAnsi="Times New Roman" w:cs="Times New Roman"/>
          <w:noProof/>
          <w:lang w:val="en-GB"/>
        </w:rPr>
        <w:t xml:space="preserve">[5]. </w:t>
      </w:r>
    </w:p>
    <w:p w14:paraId="19CBC557" w14:textId="77777777" w:rsidR="00A96DAD" w:rsidRDefault="00A96DAD" w:rsidP="00A96DAD">
      <w:pPr>
        <w:jc w:val="center"/>
      </w:pPr>
      <w:r>
        <w:rPr>
          <w:noProof/>
        </w:rPr>
        <w:drawing>
          <wp:inline distT="0" distB="0" distL="0" distR="0" wp14:anchorId="14E68831" wp14:editId="5AA3434A">
            <wp:extent cx="3253013" cy="2225615"/>
            <wp:effectExtent l="0" t="0" r="5080" b="381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5196" cy="2384468"/>
                    </a:xfrm>
                    <a:prstGeom prst="rect">
                      <a:avLst/>
                    </a:prstGeom>
                    <a:noFill/>
                  </pic:spPr>
                </pic:pic>
              </a:graphicData>
            </a:graphic>
          </wp:inline>
        </w:drawing>
      </w:r>
    </w:p>
    <w:p w14:paraId="75A9F9F1" w14:textId="034300D9" w:rsidR="00A96DAD" w:rsidRPr="00B27AD5" w:rsidRDefault="00A96DAD" w:rsidP="00292E92">
      <w:pPr>
        <w:snapToGrid w:val="0"/>
        <w:spacing w:before="60" w:after="120"/>
        <w:jc w:val="center"/>
        <w:rPr>
          <w:rFonts w:ascii="Times New Roman" w:eastAsia="MS PGothic" w:hAnsi="Times New Roman"/>
          <w:sz w:val="18"/>
          <w:szCs w:val="18"/>
          <w:lang w:val="en-US"/>
        </w:rPr>
      </w:pPr>
      <w:r w:rsidRPr="00B27AD5">
        <w:rPr>
          <w:rFonts w:ascii="Times New Roman" w:eastAsia="MS PGothic" w:hAnsi="Times New Roman"/>
          <w:b/>
          <w:sz w:val="18"/>
          <w:szCs w:val="18"/>
          <w:lang w:val="en-US"/>
        </w:rPr>
        <w:t>Fig</w:t>
      </w:r>
      <w:r w:rsidR="000E5DCE" w:rsidRPr="00B27AD5">
        <w:rPr>
          <w:rFonts w:ascii="Times New Roman" w:eastAsia="MS PGothic" w:hAnsi="Times New Roman"/>
          <w:b/>
          <w:sz w:val="18"/>
          <w:szCs w:val="18"/>
          <w:lang w:val="en-US"/>
        </w:rPr>
        <w:t>ure 2</w:t>
      </w:r>
      <w:r w:rsidRPr="00B27AD5">
        <w:rPr>
          <w:rFonts w:ascii="Times New Roman" w:eastAsia="MS PGothic" w:hAnsi="Times New Roman"/>
          <w:sz w:val="18"/>
          <w:szCs w:val="18"/>
          <w:lang w:val="en-US"/>
        </w:rPr>
        <w:t xml:space="preserve">: a) HPC carbon capture process flowsheet; b) CO2 transport process flowsheet </w:t>
      </w:r>
    </w:p>
    <w:p w14:paraId="3B7A05FC" w14:textId="0D881893" w:rsidR="006B71E7" w:rsidRPr="00DC015A" w:rsidRDefault="006B71E7" w:rsidP="006B71E7">
      <w:pPr>
        <w:rPr>
          <w:rFonts w:ascii="Times New Roman" w:hAnsi="Times New Roman" w:cs="Times New Roman"/>
          <w:lang w:val="en-GB"/>
        </w:rPr>
      </w:pPr>
      <w:r>
        <w:rPr>
          <w:rFonts w:ascii="Times New Roman" w:hAnsi="Times New Roman" w:cs="Times New Roman"/>
          <w:lang w:val="en-GB"/>
        </w:rPr>
        <w:t xml:space="preserve">Table 2 shows the results obtained for economic and energy indicators. It can be clearly noticed that at constant capacity factor, the EROEI decreases strongly when CCS is used, particularly when HPC process is used, due to the much higher energy consumption required in this CCS process. On the other hand, the effect of the higher costs of CCS reflects into </w:t>
      </w:r>
      <w:proofErr w:type="gramStart"/>
      <w:r>
        <w:rPr>
          <w:rFonts w:ascii="Times New Roman" w:hAnsi="Times New Roman" w:cs="Times New Roman"/>
          <w:lang w:val="en-GB"/>
        </w:rPr>
        <w:t>an</w:t>
      </w:r>
      <w:proofErr w:type="gramEnd"/>
      <w:r>
        <w:rPr>
          <w:rFonts w:ascii="Times New Roman" w:hAnsi="Times New Roman" w:cs="Times New Roman"/>
          <w:lang w:val="en-GB"/>
        </w:rPr>
        <w:t xml:space="preserve"> higher value of LCOE. </w:t>
      </w:r>
    </w:p>
    <w:tbl>
      <w:tblPr>
        <w:tblStyle w:val="Tabellagriglia3-colore3"/>
        <w:tblW w:w="8565" w:type="dxa"/>
        <w:tblInd w:w="5" w:type="dxa"/>
        <w:tblLayout w:type="fixed"/>
        <w:tblLook w:val="0420" w:firstRow="1" w:lastRow="0" w:firstColumn="0" w:lastColumn="0" w:noHBand="0" w:noVBand="1"/>
      </w:tblPr>
      <w:tblGrid>
        <w:gridCol w:w="2745"/>
        <w:gridCol w:w="1230"/>
        <w:gridCol w:w="1410"/>
        <w:gridCol w:w="1590"/>
        <w:gridCol w:w="1590"/>
      </w:tblGrid>
      <w:tr w:rsidR="006B71E7" w:rsidRPr="000B2F49" w14:paraId="5EF34A68" w14:textId="77777777" w:rsidTr="006B71E7">
        <w:trPr>
          <w:cnfStyle w:val="100000000000" w:firstRow="1" w:lastRow="0" w:firstColumn="0" w:lastColumn="0" w:oddVBand="0" w:evenVBand="0" w:oddHBand="0" w:evenHBand="0" w:firstRowFirstColumn="0" w:firstRowLastColumn="0" w:lastRowFirstColumn="0" w:lastRowLastColumn="0"/>
          <w:trHeight w:val="114"/>
        </w:trPr>
        <w:tc>
          <w:tcPr>
            <w:tcW w:w="2745" w:type="dxa"/>
          </w:tcPr>
          <w:p w14:paraId="53446937" w14:textId="77777777" w:rsidR="006B71E7" w:rsidRPr="000B2F49" w:rsidRDefault="006B71E7" w:rsidP="00011135">
            <w:pPr>
              <w:rPr>
                <w:sz w:val="18"/>
                <w:szCs w:val="18"/>
              </w:rPr>
            </w:pPr>
            <w:r w:rsidRPr="000B2F49">
              <w:rPr>
                <w:sz w:val="18"/>
                <w:szCs w:val="18"/>
              </w:rPr>
              <w:t>Process</w:t>
            </w:r>
          </w:p>
        </w:tc>
        <w:tc>
          <w:tcPr>
            <w:tcW w:w="1230" w:type="dxa"/>
          </w:tcPr>
          <w:p w14:paraId="02854690" w14:textId="77777777" w:rsidR="006B71E7" w:rsidRPr="000B2F49" w:rsidRDefault="006B71E7" w:rsidP="00011135">
            <w:pPr>
              <w:keepNext/>
              <w:pBdr>
                <w:top w:val="nil"/>
                <w:left w:val="nil"/>
                <w:bottom w:val="nil"/>
                <w:right w:val="nil"/>
                <w:between w:val="nil"/>
              </w:pBdr>
              <w:spacing w:line="276" w:lineRule="auto"/>
              <w:rPr>
                <w:sz w:val="18"/>
                <w:szCs w:val="18"/>
              </w:rPr>
            </w:pPr>
            <w:bookmarkStart w:id="3" w:name="_heading=h.bg8n0kectj0o" w:colFirst="0" w:colLast="0"/>
            <w:bookmarkEnd w:id="3"/>
            <w:proofErr w:type="spellStart"/>
            <w:r w:rsidRPr="000B2F49">
              <w:rPr>
                <w:sz w:val="18"/>
                <w:szCs w:val="18"/>
              </w:rPr>
              <w:t>cf</w:t>
            </w:r>
            <w:proofErr w:type="spellEnd"/>
          </w:p>
        </w:tc>
        <w:tc>
          <w:tcPr>
            <w:tcW w:w="1410" w:type="dxa"/>
          </w:tcPr>
          <w:p w14:paraId="4DF0C526" w14:textId="77777777" w:rsidR="006B71E7" w:rsidRPr="000B2F49" w:rsidRDefault="006B71E7" w:rsidP="00011135">
            <w:pPr>
              <w:keepNext/>
              <w:pBdr>
                <w:top w:val="nil"/>
                <w:left w:val="nil"/>
                <w:bottom w:val="nil"/>
                <w:right w:val="nil"/>
                <w:between w:val="nil"/>
              </w:pBdr>
              <w:spacing w:line="276" w:lineRule="auto"/>
              <w:rPr>
                <w:sz w:val="18"/>
                <w:szCs w:val="18"/>
              </w:rPr>
            </w:pPr>
            <w:bookmarkStart w:id="4" w:name="_heading=h.7fh5fah5lslp" w:colFirst="0" w:colLast="0"/>
            <w:bookmarkEnd w:id="4"/>
            <w:r w:rsidRPr="000B2F49">
              <w:rPr>
                <w:sz w:val="18"/>
                <w:szCs w:val="18"/>
              </w:rPr>
              <w:t>EROEI</w:t>
            </w:r>
          </w:p>
        </w:tc>
        <w:tc>
          <w:tcPr>
            <w:tcW w:w="1590" w:type="dxa"/>
          </w:tcPr>
          <w:p w14:paraId="28C81D8C" w14:textId="77777777" w:rsidR="006B71E7" w:rsidRPr="000B2F49" w:rsidRDefault="006B71E7" w:rsidP="00011135">
            <w:pPr>
              <w:keepNext/>
              <w:pBdr>
                <w:top w:val="nil"/>
                <w:left w:val="nil"/>
                <w:bottom w:val="nil"/>
                <w:right w:val="nil"/>
                <w:between w:val="nil"/>
              </w:pBdr>
              <w:spacing w:line="276" w:lineRule="auto"/>
              <w:rPr>
                <w:sz w:val="18"/>
                <w:szCs w:val="18"/>
              </w:rPr>
            </w:pPr>
            <w:bookmarkStart w:id="5" w:name="_heading=h.kz12fq2iz3h" w:colFirst="0" w:colLast="0"/>
            <w:bookmarkEnd w:id="5"/>
            <w:r w:rsidRPr="000B2F49">
              <w:rPr>
                <w:sz w:val="18"/>
                <w:szCs w:val="18"/>
              </w:rPr>
              <w:t>EROC</w:t>
            </w:r>
          </w:p>
        </w:tc>
        <w:tc>
          <w:tcPr>
            <w:tcW w:w="1590" w:type="dxa"/>
          </w:tcPr>
          <w:p w14:paraId="20224D11"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LCOE</w:t>
            </w:r>
          </w:p>
        </w:tc>
      </w:tr>
      <w:tr w:rsidR="006B71E7" w:rsidRPr="000B2F49" w14:paraId="0494252A" w14:textId="77777777" w:rsidTr="006B71E7">
        <w:trPr>
          <w:cnfStyle w:val="000000100000" w:firstRow="0" w:lastRow="0" w:firstColumn="0" w:lastColumn="0" w:oddVBand="0" w:evenVBand="0" w:oddHBand="1" w:evenHBand="0" w:firstRowFirstColumn="0" w:firstRowLastColumn="0" w:lastRowFirstColumn="0" w:lastRowLastColumn="0"/>
          <w:trHeight w:val="141"/>
        </w:trPr>
        <w:tc>
          <w:tcPr>
            <w:tcW w:w="2745" w:type="dxa"/>
            <w:vMerge w:val="restart"/>
          </w:tcPr>
          <w:p w14:paraId="367A71B1" w14:textId="77777777" w:rsidR="006B71E7" w:rsidRPr="000B2F49" w:rsidRDefault="006B71E7" w:rsidP="00011135">
            <w:pPr>
              <w:rPr>
                <w:sz w:val="18"/>
                <w:szCs w:val="18"/>
              </w:rPr>
            </w:pPr>
            <w:bookmarkStart w:id="6" w:name="_heading=h.yyauffnn8t3" w:colFirst="0" w:colLast="0"/>
            <w:bookmarkEnd w:id="6"/>
            <w:r w:rsidRPr="000B2F49">
              <w:rPr>
                <w:sz w:val="18"/>
                <w:szCs w:val="18"/>
              </w:rPr>
              <w:t xml:space="preserve">NGCC </w:t>
            </w:r>
          </w:p>
        </w:tc>
        <w:tc>
          <w:tcPr>
            <w:tcW w:w="1230" w:type="dxa"/>
          </w:tcPr>
          <w:p w14:paraId="12685B16" w14:textId="77777777" w:rsidR="006B71E7" w:rsidRPr="000B2F49" w:rsidRDefault="006B71E7" w:rsidP="00011135">
            <w:pPr>
              <w:keepNext/>
              <w:pBdr>
                <w:top w:val="nil"/>
                <w:left w:val="nil"/>
                <w:bottom w:val="nil"/>
                <w:right w:val="nil"/>
                <w:between w:val="nil"/>
              </w:pBdr>
              <w:spacing w:line="276" w:lineRule="auto"/>
              <w:rPr>
                <w:sz w:val="18"/>
                <w:szCs w:val="18"/>
              </w:rPr>
            </w:pPr>
            <w:bookmarkStart w:id="7" w:name="_heading=h.nf4y5pdkughx" w:colFirst="0" w:colLast="0"/>
            <w:bookmarkEnd w:id="7"/>
            <w:r w:rsidRPr="000B2F49">
              <w:rPr>
                <w:sz w:val="18"/>
                <w:szCs w:val="18"/>
              </w:rPr>
              <w:t>0.40</w:t>
            </w:r>
          </w:p>
        </w:tc>
        <w:tc>
          <w:tcPr>
            <w:tcW w:w="1410" w:type="dxa"/>
          </w:tcPr>
          <w:p w14:paraId="487B0EEB" w14:textId="77777777" w:rsidR="006B71E7" w:rsidRPr="000B2F49" w:rsidRDefault="006B71E7" w:rsidP="00011135">
            <w:pPr>
              <w:keepNext/>
              <w:pBdr>
                <w:top w:val="nil"/>
                <w:left w:val="nil"/>
                <w:bottom w:val="nil"/>
                <w:right w:val="nil"/>
                <w:between w:val="nil"/>
              </w:pBdr>
              <w:spacing w:line="276" w:lineRule="auto"/>
              <w:rPr>
                <w:sz w:val="18"/>
                <w:szCs w:val="18"/>
              </w:rPr>
            </w:pPr>
            <w:bookmarkStart w:id="8" w:name="_heading=h.jlcd083g0zv4" w:colFirst="0" w:colLast="0"/>
            <w:bookmarkEnd w:id="8"/>
            <w:r w:rsidRPr="000B2F49">
              <w:rPr>
                <w:sz w:val="18"/>
                <w:szCs w:val="18"/>
              </w:rPr>
              <w:t>17.60</w:t>
            </w:r>
          </w:p>
        </w:tc>
        <w:tc>
          <w:tcPr>
            <w:tcW w:w="1590" w:type="dxa"/>
          </w:tcPr>
          <w:p w14:paraId="33F8227E" w14:textId="77777777" w:rsidR="006B71E7" w:rsidRPr="000B2F49" w:rsidRDefault="006B71E7" w:rsidP="00011135">
            <w:pPr>
              <w:keepNext/>
              <w:pBdr>
                <w:top w:val="nil"/>
                <w:left w:val="nil"/>
                <w:bottom w:val="nil"/>
                <w:right w:val="nil"/>
                <w:between w:val="nil"/>
              </w:pBdr>
              <w:spacing w:line="276" w:lineRule="auto"/>
              <w:rPr>
                <w:sz w:val="18"/>
                <w:szCs w:val="18"/>
              </w:rPr>
            </w:pPr>
            <w:bookmarkStart w:id="9" w:name="_heading=h.5zzzk73xhsnm" w:colFirst="0" w:colLast="0"/>
            <w:bookmarkEnd w:id="9"/>
            <w:r w:rsidRPr="000B2F49">
              <w:rPr>
                <w:sz w:val="18"/>
                <w:szCs w:val="18"/>
              </w:rPr>
              <w:t>16.81</w:t>
            </w:r>
          </w:p>
        </w:tc>
        <w:tc>
          <w:tcPr>
            <w:tcW w:w="1590" w:type="dxa"/>
          </w:tcPr>
          <w:p w14:paraId="514FFC70"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78</w:t>
            </w:r>
          </w:p>
        </w:tc>
      </w:tr>
      <w:tr w:rsidR="006B71E7" w:rsidRPr="000B2F49" w14:paraId="2B1A7033" w14:textId="77777777" w:rsidTr="006B71E7">
        <w:trPr>
          <w:trHeight w:val="48"/>
        </w:trPr>
        <w:tc>
          <w:tcPr>
            <w:tcW w:w="2745" w:type="dxa"/>
            <w:vMerge/>
          </w:tcPr>
          <w:p w14:paraId="426272E1" w14:textId="77777777" w:rsidR="006B71E7" w:rsidRPr="000B2F49" w:rsidRDefault="006B71E7" w:rsidP="00011135">
            <w:pPr>
              <w:rPr>
                <w:sz w:val="18"/>
                <w:szCs w:val="18"/>
              </w:rPr>
            </w:pPr>
            <w:bookmarkStart w:id="10" w:name="_heading=h.hwx3myyg3xcp" w:colFirst="0" w:colLast="0"/>
            <w:bookmarkEnd w:id="10"/>
          </w:p>
        </w:tc>
        <w:tc>
          <w:tcPr>
            <w:tcW w:w="1230" w:type="dxa"/>
          </w:tcPr>
          <w:p w14:paraId="55DE0B89"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1" w:name="_heading=h.9ljkc628nxpp" w:colFirst="0" w:colLast="0"/>
            <w:bookmarkEnd w:id="11"/>
            <w:r w:rsidRPr="000B2F49">
              <w:rPr>
                <w:sz w:val="18"/>
                <w:szCs w:val="18"/>
              </w:rPr>
              <w:t>0.85</w:t>
            </w:r>
          </w:p>
        </w:tc>
        <w:tc>
          <w:tcPr>
            <w:tcW w:w="1410" w:type="dxa"/>
          </w:tcPr>
          <w:p w14:paraId="426D72E4"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2" w:name="_heading=h.jy0c8korspsr" w:colFirst="0" w:colLast="0"/>
            <w:bookmarkEnd w:id="12"/>
            <w:r w:rsidRPr="000B2F49">
              <w:rPr>
                <w:sz w:val="18"/>
                <w:szCs w:val="18"/>
              </w:rPr>
              <w:t>21.37</w:t>
            </w:r>
          </w:p>
        </w:tc>
        <w:tc>
          <w:tcPr>
            <w:tcW w:w="1590" w:type="dxa"/>
          </w:tcPr>
          <w:p w14:paraId="7BDD72C9"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3" w:name="_heading=h.7hpop3h8i4e9" w:colFirst="0" w:colLast="0"/>
            <w:bookmarkEnd w:id="13"/>
            <w:r w:rsidRPr="000B2F49">
              <w:rPr>
                <w:sz w:val="18"/>
                <w:szCs w:val="18"/>
              </w:rPr>
              <w:t>16.99</w:t>
            </w:r>
          </w:p>
        </w:tc>
        <w:tc>
          <w:tcPr>
            <w:tcW w:w="1590" w:type="dxa"/>
          </w:tcPr>
          <w:p w14:paraId="798980AD"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78</w:t>
            </w:r>
          </w:p>
        </w:tc>
      </w:tr>
      <w:tr w:rsidR="006B71E7" w:rsidRPr="000B2F49" w14:paraId="579107FC" w14:textId="77777777" w:rsidTr="006B71E7">
        <w:trPr>
          <w:cnfStyle w:val="000000100000" w:firstRow="0" w:lastRow="0" w:firstColumn="0" w:lastColumn="0" w:oddVBand="0" w:evenVBand="0" w:oddHBand="1" w:evenHBand="0" w:firstRowFirstColumn="0" w:firstRowLastColumn="0" w:lastRowFirstColumn="0" w:lastRowLastColumn="0"/>
          <w:trHeight w:val="20"/>
        </w:trPr>
        <w:tc>
          <w:tcPr>
            <w:tcW w:w="2745" w:type="dxa"/>
            <w:vMerge w:val="restart"/>
          </w:tcPr>
          <w:p w14:paraId="304F180A" w14:textId="77777777" w:rsidR="006B71E7" w:rsidRPr="000B2F49" w:rsidRDefault="006B71E7" w:rsidP="00011135">
            <w:pPr>
              <w:rPr>
                <w:sz w:val="18"/>
                <w:szCs w:val="18"/>
              </w:rPr>
            </w:pPr>
            <w:bookmarkStart w:id="14" w:name="_heading=h.5kdjkmk36c8g" w:colFirst="0" w:colLast="0"/>
            <w:bookmarkEnd w:id="14"/>
            <w:r w:rsidRPr="000B2F49">
              <w:rPr>
                <w:sz w:val="18"/>
                <w:szCs w:val="18"/>
              </w:rPr>
              <w:t>NGCC + CCS MEA</w:t>
            </w:r>
          </w:p>
        </w:tc>
        <w:tc>
          <w:tcPr>
            <w:tcW w:w="1230" w:type="dxa"/>
          </w:tcPr>
          <w:p w14:paraId="655A045C"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5" w:name="_heading=h.3qfj2vvrzfr7" w:colFirst="0" w:colLast="0"/>
            <w:bookmarkEnd w:id="15"/>
            <w:r w:rsidRPr="000B2F49">
              <w:rPr>
                <w:sz w:val="18"/>
                <w:szCs w:val="18"/>
              </w:rPr>
              <w:t>0.40</w:t>
            </w:r>
          </w:p>
        </w:tc>
        <w:tc>
          <w:tcPr>
            <w:tcW w:w="1410" w:type="dxa"/>
          </w:tcPr>
          <w:p w14:paraId="49661743"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6" w:name="_heading=h.u4z04t29evpo" w:colFirst="0" w:colLast="0"/>
            <w:bookmarkEnd w:id="16"/>
            <w:r w:rsidRPr="000B2F49">
              <w:rPr>
                <w:sz w:val="18"/>
                <w:szCs w:val="18"/>
              </w:rPr>
              <w:t>7.73</w:t>
            </w:r>
          </w:p>
        </w:tc>
        <w:tc>
          <w:tcPr>
            <w:tcW w:w="1590" w:type="dxa"/>
          </w:tcPr>
          <w:p w14:paraId="6C973702"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7" w:name="_heading=h.2jbawld4b778" w:colFirst="0" w:colLast="0"/>
            <w:bookmarkEnd w:id="17"/>
            <w:r w:rsidRPr="000B2F49">
              <w:rPr>
                <w:sz w:val="18"/>
                <w:szCs w:val="18"/>
              </w:rPr>
              <w:t>163.1</w:t>
            </w:r>
          </w:p>
        </w:tc>
        <w:tc>
          <w:tcPr>
            <w:tcW w:w="1590" w:type="dxa"/>
          </w:tcPr>
          <w:p w14:paraId="0026477C"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131</w:t>
            </w:r>
          </w:p>
        </w:tc>
      </w:tr>
      <w:tr w:rsidR="006B71E7" w:rsidRPr="000B2F49" w14:paraId="76EB0FAB" w14:textId="77777777" w:rsidTr="006B71E7">
        <w:trPr>
          <w:trHeight w:val="121"/>
        </w:trPr>
        <w:tc>
          <w:tcPr>
            <w:tcW w:w="2745" w:type="dxa"/>
            <w:vMerge/>
          </w:tcPr>
          <w:p w14:paraId="71EC2144" w14:textId="77777777" w:rsidR="006B71E7" w:rsidRPr="000B2F49" w:rsidRDefault="006B71E7" w:rsidP="00011135">
            <w:pPr>
              <w:rPr>
                <w:sz w:val="18"/>
                <w:szCs w:val="18"/>
              </w:rPr>
            </w:pPr>
            <w:bookmarkStart w:id="18" w:name="_heading=h.6qkw6a857v3b" w:colFirst="0" w:colLast="0"/>
            <w:bookmarkEnd w:id="18"/>
          </w:p>
        </w:tc>
        <w:tc>
          <w:tcPr>
            <w:tcW w:w="1230" w:type="dxa"/>
          </w:tcPr>
          <w:p w14:paraId="0AC52A50" w14:textId="77777777" w:rsidR="006B71E7" w:rsidRPr="000B2F49" w:rsidRDefault="006B71E7" w:rsidP="00011135">
            <w:pPr>
              <w:keepNext/>
              <w:pBdr>
                <w:top w:val="nil"/>
                <w:left w:val="nil"/>
                <w:bottom w:val="nil"/>
                <w:right w:val="nil"/>
                <w:between w:val="nil"/>
              </w:pBdr>
              <w:spacing w:line="276" w:lineRule="auto"/>
              <w:rPr>
                <w:sz w:val="18"/>
                <w:szCs w:val="18"/>
              </w:rPr>
            </w:pPr>
            <w:bookmarkStart w:id="19" w:name="_heading=h.53h2cxp8ur9y" w:colFirst="0" w:colLast="0"/>
            <w:bookmarkEnd w:id="19"/>
            <w:r w:rsidRPr="000B2F49">
              <w:rPr>
                <w:sz w:val="18"/>
                <w:szCs w:val="18"/>
              </w:rPr>
              <w:t>0.85</w:t>
            </w:r>
          </w:p>
        </w:tc>
        <w:tc>
          <w:tcPr>
            <w:tcW w:w="1410" w:type="dxa"/>
          </w:tcPr>
          <w:p w14:paraId="48F4F53C"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0" w:name="_heading=h.1elu6a1c711n" w:colFirst="0" w:colLast="0"/>
            <w:bookmarkEnd w:id="20"/>
            <w:r w:rsidRPr="000B2F49">
              <w:rPr>
                <w:sz w:val="18"/>
                <w:szCs w:val="18"/>
              </w:rPr>
              <w:t>12.36</w:t>
            </w:r>
          </w:p>
        </w:tc>
        <w:tc>
          <w:tcPr>
            <w:tcW w:w="1590" w:type="dxa"/>
          </w:tcPr>
          <w:p w14:paraId="7870E525"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1" w:name="_heading=h.bx11hoy62ijp" w:colFirst="0" w:colLast="0"/>
            <w:bookmarkEnd w:id="21"/>
            <w:r w:rsidRPr="000B2F49">
              <w:rPr>
                <w:sz w:val="18"/>
                <w:szCs w:val="18"/>
              </w:rPr>
              <w:t>167.1</w:t>
            </w:r>
          </w:p>
        </w:tc>
        <w:tc>
          <w:tcPr>
            <w:tcW w:w="1590" w:type="dxa"/>
          </w:tcPr>
          <w:p w14:paraId="1E13C14B"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102</w:t>
            </w:r>
          </w:p>
        </w:tc>
      </w:tr>
      <w:tr w:rsidR="006B71E7" w:rsidRPr="000B2F49" w14:paraId="51263354" w14:textId="77777777" w:rsidTr="006B71E7">
        <w:trPr>
          <w:cnfStyle w:val="000000100000" w:firstRow="0" w:lastRow="0" w:firstColumn="0" w:lastColumn="0" w:oddVBand="0" w:evenVBand="0" w:oddHBand="1" w:evenHBand="0" w:firstRowFirstColumn="0" w:firstRowLastColumn="0" w:lastRowFirstColumn="0" w:lastRowLastColumn="0"/>
          <w:trHeight w:val="20"/>
        </w:trPr>
        <w:tc>
          <w:tcPr>
            <w:tcW w:w="2745" w:type="dxa"/>
            <w:vMerge w:val="restart"/>
          </w:tcPr>
          <w:p w14:paraId="32C50084" w14:textId="77777777" w:rsidR="006B71E7" w:rsidRPr="000B2F49" w:rsidRDefault="006B71E7" w:rsidP="00011135">
            <w:pPr>
              <w:rPr>
                <w:sz w:val="18"/>
                <w:szCs w:val="18"/>
              </w:rPr>
            </w:pPr>
            <w:bookmarkStart w:id="22" w:name="_heading=h.ym71h8a7d03l" w:colFirst="0" w:colLast="0"/>
            <w:bookmarkEnd w:id="22"/>
            <w:r w:rsidRPr="000B2F49">
              <w:rPr>
                <w:sz w:val="18"/>
                <w:szCs w:val="18"/>
              </w:rPr>
              <w:t xml:space="preserve">NGCC + CCS HPC </w:t>
            </w:r>
          </w:p>
        </w:tc>
        <w:tc>
          <w:tcPr>
            <w:tcW w:w="1230" w:type="dxa"/>
          </w:tcPr>
          <w:p w14:paraId="4AB1A949"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3" w:name="_heading=h.x3o53ntutfif" w:colFirst="0" w:colLast="0"/>
            <w:bookmarkEnd w:id="23"/>
            <w:r w:rsidRPr="000B2F49">
              <w:rPr>
                <w:sz w:val="18"/>
                <w:szCs w:val="18"/>
              </w:rPr>
              <w:t>0.40</w:t>
            </w:r>
          </w:p>
        </w:tc>
        <w:tc>
          <w:tcPr>
            <w:tcW w:w="1410" w:type="dxa"/>
          </w:tcPr>
          <w:p w14:paraId="1CB82D7D"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4" w:name="_heading=h.y0wjrp7nx0ct" w:colFirst="0" w:colLast="0"/>
            <w:bookmarkEnd w:id="24"/>
            <w:r w:rsidRPr="000B2F49">
              <w:rPr>
                <w:sz w:val="18"/>
                <w:szCs w:val="18"/>
              </w:rPr>
              <w:t>5.21</w:t>
            </w:r>
          </w:p>
        </w:tc>
        <w:tc>
          <w:tcPr>
            <w:tcW w:w="1590" w:type="dxa"/>
          </w:tcPr>
          <w:p w14:paraId="60B5D153"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5" w:name="_heading=h.c6h1p2ho4q7p" w:colFirst="0" w:colLast="0"/>
            <w:bookmarkEnd w:id="25"/>
            <w:r w:rsidRPr="000B2F49">
              <w:rPr>
                <w:sz w:val="18"/>
                <w:szCs w:val="18"/>
              </w:rPr>
              <w:t>163.1</w:t>
            </w:r>
          </w:p>
        </w:tc>
        <w:tc>
          <w:tcPr>
            <w:tcW w:w="1590" w:type="dxa"/>
          </w:tcPr>
          <w:p w14:paraId="3A2C50D8"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178</w:t>
            </w:r>
          </w:p>
        </w:tc>
      </w:tr>
      <w:tr w:rsidR="006B71E7" w:rsidRPr="000B2F49" w14:paraId="19A91CB7" w14:textId="77777777" w:rsidTr="006B71E7">
        <w:trPr>
          <w:trHeight w:val="238"/>
        </w:trPr>
        <w:tc>
          <w:tcPr>
            <w:tcW w:w="2745" w:type="dxa"/>
            <w:vMerge/>
          </w:tcPr>
          <w:p w14:paraId="418BF495"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6" w:name="_heading=h.3mluhnx6p8st" w:colFirst="0" w:colLast="0"/>
            <w:bookmarkEnd w:id="26"/>
          </w:p>
        </w:tc>
        <w:tc>
          <w:tcPr>
            <w:tcW w:w="1230" w:type="dxa"/>
          </w:tcPr>
          <w:p w14:paraId="3132D484"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7" w:name="_heading=h.sxzi3o6kam3m" w:colFirst="0" w:colLast="0"/>
            <w:bookmarkEnd w:id="27"/>
            <w:r w:rsidRPr="000B2F49">
              <w:rPr>
                <w:sz w:val="18"/>
                <w:szCs w:val="18"/>
              </w:rPr>
              <w:t>0.85</w:t>
            </w:r>
          </w:p>
        </w:tc>
        <w:tc>
          <w:tcPr>
            <w:tcW w:w="1410" w:type="dxa"/>
          </w:tcPr>
          <w:p w14:paraId="060FA45F"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8" w:name="_heading=h.m73p61o8gb3b" w:colFirst="0" w:colLast="0"/>
            <w:bookmarkEnd w:id="28"/>
            <w:r w:rsidRPr="000B2F49">
              <w:rPr>
                <w:sz w:val="18"/>
                <w:szCs w:val="18"/>
              </w:rPr>
              <w:t>9.06</w:t>
            </w:r>
          </w:p>
        </w:tc>
        <w:tc>
          <w:tcPr>
            <w:tcW w:w="1590" w:type="dxa"/>
          </w:tcPr>
          <w:p w14:paraId="212190E1" w14:textId="77777777" w:rsidR="006B71E7" w:rsidRPr="000B2F49" w:rsidRDefault="006B71E7" w:rsidP="00011135">
            <w:pPr>
              <w:keepNext/>
              <w:pBdr>
                <w:top w:val="nil"/>
                <w:left w:val="nil"/>
                <w:bottom w:val="nil"/>
                <w:right w:val="nil"/>
                <w:between w:val="nil"/>
              </w:pBdr>
              <w:spacing w:line="276" w:lineRule="auto"/>
              <w:rPr>
                <w:sz w:val="18"/>
                <w:szCs w:val="18"/>
              </w:rPr>
            </w:pPr>
            <w:bookmarkStart w:id="29" w:name="_heading=h.z3e4za9giicl" w:colFirst="0" w:colLast="0"/>
            <w:bookmarkEnd w:id="29"/>
            <w:r w:rsidRPr="000B2F49">
              <w:rPr>
                <w:sz w:val="18"/>
                <w:szCs w:val="18"/>
              </w:rPr>
              <w:t>167.1</w:t>
            </w:r>
          </w:p>
        </w:tc>
        <w:tc>
          <w:tcPr>
            <w:tcW w:w="1590" w:type="dxa"/>
          </w:tcPr>
          <w:p w14:paraId="1FBFBC57" w14:textId="77777777" w:rsidR="006B71E7" w:rsidRPr="000B2F49" w:rsidRDefault="006B71E7" w:rsidP="00011135">
            <w:pPr>
              <w:keepNext/>
              <w:pBdr>
                <w:top w:val="nil"/>
                <w:left w:val="nil"/>
                <w:bottom w:val="nil"/>
                <w:right w:val="nil"/>
                <w:between w:val="nil"/>
              </w:pBdr>
              <w:spacing w:line="276" w:lineRule="auto"/>
              <w:rPr>
                <w:sz w:val="18"/>
                <w:szCs w:val="18"/>
              </w:rPr>
            </w:pPr>
            <w:r w:rsidRPr="000B2F49">
              <w:rPr>
                <w:sz w:val="18"/>
                <w:szCs w:val="18"/>
              </w:rPr>
              <w:t>126</w:t>
            </w:r>
          </w:p>
        </w:tc>
      </w:tr>
    </w:tbl>
    <w:p w14:paraId="3DFBE623" w14:textId="141C86BB" w:rsidR="006B71E7" w:rsidRPr="00CA3197" w:rsidRDefault="006B71E7" w:rsidP="00292E92">
      <w:pPr>
        <w:snapToGrid w:val="0"/>
        <w:spacing w:before="60" w:after="120"/>
        <w:jc w:val="center"/>
        <w:rPr>
          <w:rFonts w:ascii="Times New Roman" w:eastAsia="MS PGothic" w:hAnsi="Times New Roman"/>
          <w:sz w:val="18"/>
          <w:szCs w:val="18"/>
          <w:lang w:val="en-US"/>
        </w:rPr>
      </w:pPr>
      <w:r w:rsidRPr="000E5DCE">
        <w:rPr>
          <w:rFonts w:ascii="Times New Roman" w:eastAsia="MS PGothic" w:hAnsi="Times New Roman"/>
          <w:b/>
          <w:sz w:val="18"/>
          <w:szCs w:val="18"/>
          <w:lang w:val="en-US"/>
        </w:rPr>
        <w:t>Table 2</w:t>
      </w:r>
      <w:r w:rsidRPr="00CA3197">
        <w:rPr>
          <w:rFonts w:ascii="Times New Roman" w:eastAsia="MS PGothic" w:hAnsi="Times New Roman"/>
          <w:sz w:val="18"/>
          <w:szCs w:val="18"/>
          <w:lang w:val="en-US"/>
        </w:rPr>
        <w:t xml:space="preserve">: </w:t>
      </w:r>
      <w:r w:rsidR="000E5DCE">
        <w:rPr>
          <w:rFonts w:ascii="Times New Roman" w:eastAsia="MS PGothic" w:hAnsi="Times New Roman"/>
          <w:sz w:val="18"/>
          <w:szCs w:val="18"/>
          <w:lang w:val="en-US"/>
        </w:rPr>
        <w:t xml:space="preserve">calculated values of EROEI, EROC and LCOE for the processes of interest. </w:t>
      </w:r>
    </w:p>
    <w:p w14:paraId="442EE392" w14:textId="04A132D8" w:rsidR="00DC015A" w:rsidRPr="000E5DCE" w:rsidRDefault="006B71E7" w:rsidP="000E5DCE">
      <w:pPr>
        <w:snapToGrid w:val="0"/>
        <w:spacing w:after="120"/>
        <w:rPr>
          <w:rFonts w:ascii="Times New Roman" w:eastAsia="MS PGothic" w:hAnsi="Times New Roman"/>
          <w:lang w:val="en-GB"/>
        </w:rPr>
      </w:pPr>
      <w:r w:rsidRPr="000E5DCE">
        <w:rPr>
          <w:rFonts w:ascii="Times New Roman" w:eastAsia="MS PGothic" w:hAnsi="Times New Roman"/>
          <w:lang w:val="en-GB"/>
        </w:rPr>
        <w:lastRenderedPageBreak/>
        <w:t>The LCA study shows that a</w:t>
      </w:r>
      <w:r w:rsidR="00DC015A" w:rsidRPr="000E5DCE">
        <w:rPr>
          <w:rFonts w:ascii="Times New Roman" w:eastAsia="MS PGothic" w:hAnsi="Times New Roman"/>
          <w:lang w:val="en-GB"/>
        </w:rPr>
        <w:t xml:space="preserve"> comparison among 1 kWh produced using NGCC, NGCC coupled with MEA-based CCS, NGCC coupled with HPC-based CCS, photovoltaics and wind power has been performed using the environmental categories employed by Environmental Footprint (EF) v2.0 method, as shown in Fig</w:t>
      </w:r>
      <w:r w:rsidR="00B27AD5">
        <w:rPr>
          <w:rFonts w:ascii="Times New Roman" w:eastAsia="MS PGothic" w:hAnsi="Times New Roman"/>
          <w:lang w:val="en-GB"/>
        </w:rPr>
        <w:t>ure 3</w:t>
      </w:r>
      <w:r w:rsidR="00DC015A" w:rsidRPr="000E5DCE">
        <w:rPr>
          <w:rFonts w:ascii="Times New Roman" w:eastAsia="MS PGothic" w:hAnsi="Times New Roman"/>
          <w:lang w:val="en-GB"/>
        </w:rPr>
        <w:t>.</w:t>
      </w:r>
    </w:p>
    <w:p w14:paraId="55DD25D0" w14:textId="77777777" w:rsidR="00DC015A" w:rsidRDefault="00DC015A" w:rsidP="00486D5B">
      <w:pPr>
        <w:jc w:val="center"/>
      </w:pPr>
      <w:r>
        <w:rPr>
          <w:noProof/>
        </w:rPr>
        <w:drawing>
          <wp:inline distT="0" distB="0" distL="0" distR="0" wp14:anchorId="14CBDE5B" wp14:editId="572A4B86">
            <wp:extent cx="3657600" cy="229067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1468" cy="2330671"/>
                    </a:xfrm>
                    <a:prstGeom prst="rect">
                      <a:avLst/>
                    </a:prstGeom>
                    <a:noFill/>
                  </pic:spPr>
                </pic:pic>
              </a:graphicData>
            </a:graphic>
          </wp:inline>
        </w:drawing>
      </w:r>
    </w:p>
    <w:p w14:paraId="20008B3C" w14:textId="37282E29" w:rsidR="00DC015A" w:rsidRPr="00CA3197" w:rsidRDefault="00DC015A" w:rsidP="00B27AD5">
      <w:pPr>
        <w:snapToGrid w:val="0"/>
        <w:spacing w:before="60" w:after="120"/>
        <w:jc w:val="center"/>
        <w:rPr>
          <w:rFonts w:ascii="Times New Roman" w:eastAsia="MS PGothic" w:hAnsi="Times New Roman"/>
          <w:sz w:val="18"/>
          <w:szCs w:val="18"/>
          <w:lang w:val="en-US"/>
        </w:rPr>
      </w:pPr>
      <w:bookmarkStart w:id="30" w:name="_Ref59533271"/>
      <w:r w:rsidRPr="00B27AD5">
        <w:rPr>
          <w:rFonts w:ascii="Times New Roman" w:eastAsia="MS PGothic" w:hAnsi="Times New Roman"/>
          <w:b/>
          <w:sz w:val="18"/>
          <w:szCs w:val="18"/>
          <w:lang w:val="en-US"/>
        </w:rPr>
        <w:t xml:space="preserve">Figure </w:t>
      </w:r>
      <w:bookmarkEnd w:id="30"/>
      <w:r w:rsidR="00B27AD5" w:rsidRPr="00B27AD5">
        <w:rPr>
          <w:rFonts w:ascii="Times New Roman" w:eastAsia="MS PGothic" w:hAnsi="Times New Roman"/>
          <w:b/>
          <w:sz w:val="18"/>
          <w:szCs w:val="18"/>
          <w:lang w:val="en-US"/>
        </w:rPr>
        <w:t>3</w:t>
      </w:r>
      <w:r w:rsidRPr="00CA3197">
        <w:rPr>
          <w:rFonts w:ascii="Times New Roman" w:eastAsia="MS PGothic" w:hAnsi="Times New Roman"/>
          <w:sz w:val="18"/>
          <w:szCs w:val="18"/>
          <w:lang w:val="en-US"/>
        </w:rPr>
        <w:t>: Impact categories scores for each power generation technology considered in this study. NGCC: Natural Gas Combined Cycle, MEA: MEA-based CCS, HPC: HPC-based CCS, PV: photovoltaics, W: wind</w:t>
      </w:r>
      <w:r w:rsidR="00B27AD5">
        <w:rPr>
          <w:rFonts w:ascii="Times New Roman" w:eastAsia="MS PGothic" w:hAnsi="Times New Roman"/>
          <w:sz w:val="18"/>
          <w:szCs w:val="18"/>
          <w:lang w:val="en-US"/>
        </w:rPr>
        <w:t>.</w:t>
      </w:r>
    </w:p>
    <w:p w14:paraId="67EB8C59" w14:textId="725B18AB" w:rsidR="00DC015A" w:rsidRPr="00DC015A" w:rsidRDefault="00DC015A" w:rsidP="00DC015A">
      <w:pPr>
        <w:rPr>
          <w:rFonts w:ascii="Times New Roman" w:hAnsi="Times New Roman" w:cs="Times New Roman"/>
          <w:lang w:val="en-GB"/>
        </w:rPr>
      </w:pPr>
      <w:r w:rsidRPr="00DC015A">
        <w:rPr>
          <w:rFonts w:ascii="Times New Roman" w:hAnsi="Times New Roman" w:cs="Times New Roman"/>
          <w:lang w:val="en-GB"/>
        </w:rPr>
        <w:t xml:space="preserve">It can be shown that natural gas use, in terms of extraction, refining, transportation, and burning, drives many impact category outcomes. Indeed, the largest impacts of HPC-based CCS on resource depletion of fossil fuels (RD-F) and human health (HH-OD and HH-PCOC) may be attributable to the configurations' maximum energy consumption. According to process modelling, this is due to the energy required for the compression of the high flow rate of flue gas, which exceeds the one required for MEA regeneration. Climate change (CC-T), like the previous impact categories, is linked to natural gas combustion. However, in this instance, owing to the carbon capture process, NGCC emerges as the worst option. </w:t>
      </w:r>
      <w:bookmarkStart w:id="31" w:name="_Hlk78893304"/>
      <w:r w:rsidRPr="00DC015A">
        <w:rPr>
          <w:rFonts w:ascii="Times New Roman" w:hAnsi="Times New Roman" w:cs="Times New Roman"/>
          <w:lang w:val="en-GB"/>
        </w:rPr>
        <w:t>Given that the development of CCS is motivated by the need to reduce greenhouse gas emissions as measured by CC-T, it is evident that renewable technologies, such as photovoltaic or wind installations, perform better than CCS in this regard. In fact, in terms of numerous impact categories (including climate change CC-T), it is worth noting how photovoltaic and wind installations have extremely low impacts when compared to fossil-fuel-based technologies. However, care must be taken to avoid burden shifting between the diverse natural compartments.</w:t>
      </w:r>
      <w:bookmarkStart w:id="32" w:name="_Hlk78894946"/>
      <w:bookmarkEnd w:id="31"/>
      <w:r w:rsidRPr="00DC015A">
        <w:rPr>
          <w:rFonts w:ascii="Times New Roman" w:hAnsi="Times New Roman" w:cs="Times New Roman"/>
          <w:lang w:val="en-GB"/>
        </w:rPr>
        <w:t xml:space="preserve"> </w:t>
      </w:r>
      <w:bookmarkEnd w:id="32"/>
      <w:r w:rsidRPr="00DC015A">
        <w:rPr>
          <w:rFonts w:ascii="Times New Roman" w:hAnsi="Times New Roman" w:cs="Times New Roman"/>
          <w:lang w:val="en-GB"/>
        </w:rPr>
        <w:t>The results of several sensitivity analyses were then used to examine various scenarios related to some assumptions adopted through the assessment. Sensitivity analyses dealt with natural gas power plant operating conditions, ranging over capacity factor, natural gas specific consumption and CO</w:t>
      </w:r>
      <w:r w:rsidRPr="00DC015A">
        <w:rPr>
          <w:rFonts w:ascii="Times New Roman" w:hAnsi="Times New Roman" w:cs="Times New Roman"/>
          <w:vertAlign w:val="subscript"/>
          <w:lang w:val="en-GB"/>
        </w:rPr>
        <w:t>2</w:t>
      </w:r>
      <w:r w:rsidRPr="00DC015A">
        <w:rPr>
          <w:rFonts w:ascii="Times New Roman" w:hAnsi="Times New Roman" w:cs="Times New Roman"/>
          <w:lang w:val="en-GB"/>
        </w:rPr>
        <w:t xml:space="preserve"> specific emission. Despite the fact that impact categories values varied owing to parameter changes, the essential analysis previously stated on the benefits and downsides of each technology was confirmed, since sensitivity analyses had no effect on relative performance among the numerous options. </w:t>
      </w:r>
    </w:p>
    <w:p w14:paraId="6BD4135F" w14:textId="1989408F" w:rsidR="00624E1A" w:rsidRPr="002A40A9" w:rsidRDefault="00624E1A" w:rsidP="00486D5B">
      <w:pPr>
        <w:rPr>
          <w:rFonts w:ascii="Times New Roman" w:hAnsi="Times New Roman" w:cs="Times New Roman"/>
          <w:i/>
          <w:lang w:val="en-GB"/>
        </w:rPr>
      </w:pPr>
      <w:r w:rsidRPr="002A40A9">
        <w:rPr>
          <w:rFonts w:ascii="Times New Roman" w:hAnsi="Times New Roman" w:cs="Times New Roman"/>
          <w:i/>
          <w:lang w:val="en-GB"/>
        </w:rPr>
        <w:t>Hydrogen production process</w:t>
      </w:r>
    </w:p>
    <w:p w14:paraId="5E9B8990" w14:textId="3128594E" w:rsidR="002A40A9" w:rsidRPr="00B27AD5" w:rsidRDefault="002A40A9" w:rsidP="002A40A9">
      <w:pPr>
        <w:rPr>
          <w:rFonts w:ascii="Times New Roman" w:hAnsi="Times New Roman" w:cs="Times New Roman"/>
          <w:lang w:val="en-GB"/>
        </w:rPr>
      </w:pPr>
      <w:r w:rsidRPr="00B27AD5">
        <w:rPr>
          <w:rFonts w:ascii="Times New Roman" w:hAnsi="Times New Roman" w:cs="Times New Roman"/>
          <w:lang w:val="en-GB"/>
        </w:rPr>
        <w:t>The following processes have been simulated using Aspen plus™ 12.0: (</w:t>
      </w:r>
      <w:proofErr w:type="spellStart"/>
      <w:r w:rsidRPr="00B27AD5">
        <w:rPr>
          <w:rFonts w:ascii="Times New Roman" w:hAnsi="Times New Roman" w:cs="Times New Roman"/>
          <w:lang w:val="en-GB"/>
        </w:rPr>
        <w:t>i</w:t>
      </w:r>
      <w:proofErr w:type="spellEnd"/>
      <w:r w:rsidRPr="00B27AD5">
        <w:rPr>
          <w:rFonts w:ascii="Times New Roman" w:hAnsi="Times New Roman" w:cs="Times New Roman"/>
          <w:lang w:val="en-GB"/>
        </w:rPr>
        <w:t xml:space="preserve">) water electrolysis (Figure </w:t>
      </w:r>
      <w:r w:rsidR="00B27AD5" w:rsidRPr="00B27AD5">
        <w:rPr>
          <w:rFonts w:ascii="Times New Roman" w:hAnsi="Times New Roman" w:cs="Times New Roman"/>
          <w:lang w:val="en-GB"/>
        </w:rPr>
        <w:t>4</w:t>
      </w:r>
      <w:r w:rsidRPr="00B27AD5">
        <w:rPr>
          <w:rFonts w:ascii="Times New Roman" w:hAnsi="Times New Roman" w:cs="Times New Roman"/>
          <w:lang w:val="en-GB"/>
        </w:rPr>
        <w:t xml:space="preserve">), (ii) methane steam reforming (Figure </w:t>
      </w:r>
      <w:r w:rsidR="00B27AD5">
        <w:rPr>
          <w:rFonts w:ascii="Times New Roman" w:hAnsi="Times New Roman" w:cs="Times New Roman"/>
          <w:lang w:val="en-GB"/>
        </w:rPr>
        <w:t>5</w:t>
      </w:r>
      <w:r w:rsidRPr="00B27AD5">
        <w:rPr>
          <w:rFonts w:ascii="Times New Roman" w:hAnsi="Times New Roman" w:cs="Times New Roman"/>
          <w:lang w:val="en-GB"/>
        </w:rPr>
        <w:t>) and carbon capture and storage</w:t>
      </w:r>
      <w:r w:rsidR="00B27AD5">
        <w:rPr>
          <w:rFonts w:ascii="Times New Roman" w:hAnsi="Times New Roman" w:cs="Times New Roman"/>
          <w:lang w:val="en-GB"/>
        </w:rPr>
        <w:t xml:space="preserve"> (Figure 2)</w:t>
      </w:r>
      <w:r w:rsidRPr="00B27AD5">
        <w:rPr>
          <w:rFonts w:ascii="Times New Roman" w:hAnsi="Times New Roman" w:cs="Times New Roman"/>
          <w:lang w:val="en-GB"/>
        </w:rPr>
        <w:t xml:space="preserve">. </w:t>
      </w:r>
    </w:p>
    <w:p w14:paraId="0FF94031" w14:textId="77777777" w:rsidR="002A40A9" w:rsidRDefault="002A40A9" w:rsidP="002A40A9">
      <w:pPr>
        <w:tabs>
          <w:tab w:val="left" w:pos="-720"/>
          <w:tab w:val="left" w:pos="284"/>
        </w:tabs>
        <w:spacing w:after="0"/>
        <w:jc w:val="center"/>
        <w:rPr>
          <w:rFonts w:cs="Arial"/>
          <w:spacing w:val="-2"/>
        </w:rPr>
      </w:pPr>
      <w:r w:rsidRPr="008F3B9E">
        <w:rPr>
          <w:rFonts w:cs="Arial"/>
          <w:noProof/>
          <w:spacing w:val="-2"/>
          <w:lang w:val="en-US"/>
        </w:rPr>
        <w:drawing>
          <wp:inline distT="0" distB="0" distL="0" distR="0" wp14:anchorId="6751F139" wp14:editId="1F72FFF6">
            <wp:extent cx="4891178" cy="156371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2856" cy="1666550"/>
                    </a:xfrm>
                    <a:prstGeom prst="rect">
                      <a:avLst/>
                    </a:prstGeom>
                  </pic:spPr>
                </pic:pic>
              </a:graphicData>
            </a:graphic>
          </wp:inline>
        </w:drawing>
      </w:r>
    </w:p>
    <w:p w14:paraId="68205A56" w14:textId="3C510658" w:rsidR="002A40A9" w:rsidRPr="00252748" w:rsidRDefault="002A40A9" w:rsidP="00B27AD5">
      <w:pPr>
        <w:snapToGrid w:val="0"/>
        <w:spacing w:before="60" w:after="120"/>
        <w:jc w:val="center"/>
        <w:rPr>
          <w:rFonts w:ascii="Times New Roman" w:eastAsia="MS PGothic" w:hAnsi="Times New Roman"/>
          <w:sz w:val="18"/>
          <w:szCs w:val="18"/>
          <w:lang w:val="en-US"/>
        </w:rPr>
      </w:pPr>
      <w:r w:rsidRPr="00B27AD5">
        <w:rPr>
          <w:rFonts w:ascii="Times New Roman" w:eastAsia="MS PGothic" w:hAnsi="Times New Roman"/>
          <w:b/>
          <w:sz w:val="18"/>
          <w:szCs w:val="18"/>
          <w:lang w:val="en-US"/>
        </w:rPr>
        <w:t xml:space="preserve">Figure </w:t>
      </w:r>
      <w:r w:rsidR="00B27AD5" w:rsidRPr="00B27AD5">
        <w:rPr>
          <w:rFonts w:ascii="Times New Roman" w:eastAsia="MS PGothic" w:hAnsi="Times New Roman"/>
          <w:b/>
          <w:sz w:val="18"/>
          <w:szCs w:val="18"/>
          <w:lang w:val="en-US"/>
        </w:rPr>
        <w:t>4</w:t>
      </w:r>
      <w:r w:rsidRPr="00252748">
        <w:rPr>
          <w:rFonts w:ascii="Times New Roman" w:eastAsia="MS PGothic" w:hAnsi="Times New Roman"/>
          <w:sz w:val="18"/>
          <w:szCs w:val="18"/>
          <w:lang w:val="en-US"/>
        </w:rPr>
        <w:t>.  Water Electrolysis process flowsheet within Aspen Plus™.</w:t>
      </w:r>
    </w:p>
    <w:p w14:paraId="3C367A79" w14:textId="77777777" w:rsidR="002A40A9" w:rsidRPr="002A40A9" w:rsidRDefault="002A40A9" w:rsidP="002A40A9">
      <w:pPr>
        <w:tabs>
          <w:tab w:val="left" w:pos="-720"/>
          <w:tab w:val="left" w:pos="284"/>
        </w:tabs>
        <w:spacing w:after="0"/>
        <w:rPr>
          <w:rFonts w:cs="Arial"/>
          <w:spacing w:val="-2"/>
          <w:lang w:val="en-GB"/>
        </w:rPr>
      </w:pPr>
    </w:p>
    <w:p w14:paraId="110536A5" w14:textId="0E4A7052" w:rsidR="002A40A9" w:rsidRDefault="002A40A9" w:rsidP="00B27AD5">
      <w:pPr>
        <w:tabs>
          <w:tab w:val="left" w:pos="-720"/>
          <w:tab w:val="left" w:pos="284"/>
        </w:tabs>
        <w:spacing w:after="0"/>
        <w:jc w:val="center"/>
        <w:rPr>
          <w:rFonts w:cs="Arial"/>
          <w:spacing w:val="-2"/>
        </w:rPr>
      </w:pPr>
      <w:r w:rsidRPr="00D95DFB">
        <w:rPr>
          <w:noProof/>
          <w:lang w:val="en-US"/>
        </w:rPr>
        <w:drawing>
          <wp:inline distT="0" distB="0" distL="0" distR="0" wp14:anchorId="73CF7230" wp14:editId="1E6FDA1B">
            <wp:extent cx="5398020" cy="2535845"/>
            <wp:effectExtent l="0" t="0" r="0" b="0"/>
            <wp:docPr id="17" name="image6.png" descr="D:\Utenti\barbele06129\Dropbox\Università\Articoli\In preparazione\Articolo CCS\Figure\MEA.tif"/>
            <wp:cNvGraphicFramePr/>
            <a:graphic xmlns:a="http://schemas.openxmlformats.org/drawingml/2006/main">
              <a:graphicData uri="http://schemas.openxmlformats.org/drawingml/2006/picture">
                <pic:pic xmlns:pic="http://schemas.openxmlformats.org/drawingml/2006/picture">
                  <pic:nvPicPr>
                    <pic:cNvPr id="0" name="image6.png" descr="D:\Utenti\barbele06129\Dropbox\Università\Articoli\In preparazione\Articolo CCS\Figure\MEA.tif"/>
                    <pic:cNvPicPr preferRelativeResize="0"/>
                  </pic:nvPicPr>
                  <pic:blipFill rotWithShape="1">
                    <a:blip r:embed="rId12"/>
                    <a:srcRect l="2392"/>
                    <a:stretch/>
                  </pic:blipFill>
                  <pic:spPr bwMode="auto">
                    <a:xfrm>
                      <a:off x="0" y="0"/>
                      <a:ext cx="5548980" cy="2606762"/>
                    </a:xfrm>
                    <a:prstGeom prst="rect">
                      <a:avLst/>
                    </a:prstGeom>
                    <a:ln>
                      <a:noFill/>
                    </a:ln>
                    <a:extLst>
                      <a:ext uri="{53640926-AAD7-44D8-BBD7-CCE9431645EC}">
                        <a14:shadowObscured xmlns:a14="http://schemas.microsoft.com/office/drawing/2010/main"/>
                      </a:ext>
                    </a:extLst>
                  </pic:spPr>
                </pic:pic>
              </a:graphicData>
            </a:graphic>
          </wp:inline>
        </w:drawing>
      </w:r>
    </w:p>
    <w:p w14:paraId="100E24BF" w14:textId="23D344FF" w:rsidR="002A40A9" w:rsidRPr="00252748" w:rsidRDefault="002A40A9" w:rsidP="00B27AD5">
      <w:pPr>
        <w:snapToGrid w:val="0"/>
        <w:spacing w:before="60" w:after="120"/>
        <w:jc w:val="center"/>
        <w:rPr>
          <w:rFonts w:ascii="Times New Roman" w:eastAsia="MS PGothic" w:hAnsi="Times New Roman"/>
          <w:sz w:val="18"/>
          <w:szCs w:val="18"/>
          <w:lang w:val="en-US"/>
        </w:rPr>
      </w:pPr>
      <w:r w:rsidRPr="00B27AD5">
        <w:rPr>
          <w:rFonts w:ascii="Times New Roman" w:eastAsia="MS PGothic" w:hAnsi="Times New Roman"/>
          <w:b/>
          <w:sz w:val="18"/>
          <w:szCs w:val="18"/>
          <w:lang w:val="en-US"/>
        </w:rPr>
        <w:t xml:space="preserve">Figure </w:t>
      </w:r>
      <w:r w:rsidR="00B27AD5" w:rsidRPr="00B27AD5">
        <w:rPr>
          <w:rFonts w:ascii="Times New Roman" w:eastAsia="MS PGothic" w:hAnsi="Times New Roman"/>
          <w:b/>
          <w:sz w:val="18"/>
          <w:szCs w:val="18"/>
          <w:lang w:val="en-US"/>
        </w:rPr>
        <w:t>5</w:t>
      </w:r>
      <w:r w:rsidR="00B27AD5">
        <w:rPr>
          <w:rFonts w:ascii="Times New Roman" w:eastAsia="MS PGothic" w:hAnsi="Times New Roman"/>
          <w:sz w:val="18"/>
          <w:szCs w:val="18"/>
          <w:lang w:val="en-US"/>
        </w:rPr>
        <w:t>:</w:t>
      </w:r>
      <w:r w:rsidRPr="00252748">
        <w:rPr>
          <w:rFonts w:ascii="Times New Roman" w:eastAsia="MS PGothic" w:hAnsi="Times New Roman"/>
          <w:sz w:val="18"/>
          <w:szCs w:val="18"/>
          <w:lang w:val="en-US"/>
        </w:rPr>
        <w:t xml:space="preserve"> Methane steam reforming process </w:t>
      </w:r>
      <w:r w:rsidR="004238E1" w:rsidRPr="00252748">
        <w:rPr>
          <w:rFonts w:ascii="Times New Roman" w:eastAsia="MS PGothic" w:hAnsi="Times New Roman"/>
          <w:sz w:val="18"/>
          <w:szCs w:val="18"/>
          <w:lang w:val="en-US"/>
        </w:rPr>
        <w:t>flowsheet within</w:t>
      </w:r>
      <w:r w:rsidRPr="00252748">
        <w:rPr>
          <w:rFonts w:ascii="Times New Roman" w:eastAsia="MS PGothic" w:hAnsi="Times New Roman"/>
          <w:sz w:val="18"/>
          <w:szCs w:val="18"/>
          <w:lang w:val="en-US"/>
        </w:rPr>
        <w:t xml:space="preserve"> Aspen Plus™.</w:t>
      </w:r>
    </w:p>
    <w:p w14:paraId="09A46DD6" w14:textId="77777777" w:rsidR="002A40A9" w:rsidRPr="00252748" w:rsidRDefault="002A40A9" w:rsidP="00252748">
      <w:pPr>
        <w:pStyle w:val="FigureCaptionwhec"/>
        <w:spacing w:after="0"/>
        <w:rPr>
          <w:szCs w:val="18"/>
        </w:rPr>
      </w:pPr>
    </w:p>
    <w:p w14:paraId="17020003" w14:textId="4E676E8D" w:rsidR="00B27AD5" w:rsidRPr="00B27AD5" w:rsidRDefault="002A40A9" w:rsidP="00B27AD5">
      <w:pPr>
        <w:rPr>
          <w:rFonts w:ascii="Times New Roman" w:hAnsi="Times New Roman" w:cs="Times New Roman"/>
          <w:lang w:val="en-GB"/>
        </w:rPr>
      </w:pPr>
      <w:r w:rsidRPr="00B27AD5">
        <w:rPr>
          <w:rFonts w:ascii="Times New Roman" w:hAnsi="Times New Roman" w:cs="Times New Roman"/>
          <w:lang w:val="en-GB"/>
        </w:rPr>
        <w:t>Material and energy balance data coupled with cost estimation obtained by process simulation software are used to calculate the performance indicators: the detail of the data transferred from the process simulation are reported in Table 1.</w:t>
      </w:r>
      <w:r w:rsidR="00B27AD5" w:rsidRPr="00B27AD5">
        <w:rPr>
          <w:rFonts w:ascii="Times New Roman" w:hAnsi="Times New Roman" w:cs="Times New Roman"/>
          <w:lang w:val="en-GB"/>
        </w:rPr>
        <w:t xml:space="preserve"> Values of the key performance indicators, namely EROEI, LCOH and LCA, indicates that the best route for producing hydrogen in terms of global impact is the green hydrogen. </w:t>
      </w:r>
      <w:r w:rsidR="00B27AD5">
        <w:rPr>
          <w:rFonts w:ascii="Times New Roman" w:hAnsi="Times New Roman" w:cs="Times New Roman"/>
          <w:lang w:val="en-GB"/>
        </w:rPr>
        <w:t xml:space="preserve">Table 3 shows as an example a comparison among EROEI values for the processes of </w:t>
      </w:r>
      <w:r w:rsidR="00DD2E42">
        <w:rPr>
          <w:rFonts w:ascii="Times New Roman" w:hAnsi="Times New Roman" w:cs="Times New Roman"/>
          <w:lang w:val="en-GB"/>
        </w:rPr>
        <w:t>interest</w:t>
      </w:r>
      <w:r w:rsidR="00B27AD5">
        <w:rPr>
          <w:rFonts w:ascii="Times New Roman" w:hAnsi="Times New Roman" w:cs="Times New Roman"/>
          <w:lang w:val="en-GB"/>
        </w:rPr>
        <w:t xml:space="preserve">. </w:t>
      </w:r>
    </w:p>
    <w:tbl>
      <w:tblPr>
        <w:tblStyle w:val="Tabellagriglia6acolori"/>
        <w:tblW w:w="6233" w:type="dxa"/>
        <w:jc w:val="center"/>
        <w:tblLook w:val="04A0" w:firstRow="1" w:lastRow="0" w:firstColumn="1" w:lastColumn="0" w:noHBand="0" w:noVBand="1"/>
      </w:tblPr>
      <w:tblGrid>
        <w:gridCol w:w="1555"/>
        <w:gridCol w:w="1134"/>
        <w:gridCol w:w="1701"/>
        <w:gridCol w:w="1843"/>
      </w:tblGrid>
      <w:tr w:rsidR="00B74190" w:rsidRPr="00B74190" w14:paraId="1C02936D" w14:textId="77777777" w:rsidTr="004238E1">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1D47DDFC" w14:textId="021A0FC0" w:rsidR="00B74190" w:rsidRPr="000B2F49" w:rsidRDefault="00B74190" w:rsidP="000B2F49">
            <w:pPr>
              <w:rPr>
                <w:rFonts w:ascii="Times New Roman" w:hAnsi="Times New Roman" w:cs="Times New Roman"/>
                <w:b w:val="0"/>
                <w:sz w:val="18"/>
                <w:szCs w:val="18"/>
                <w:lang w:val="en-GB"/>
              </w:rPr>
            </w:pPr>
          </w:p>
        </w:tc>
        <w:tc>
          <w:tcPr>
            <w:tcW w:w="1134" w:type="dxa"/>
            <w:hideMark/>
          </w:tcPr>
          <w:p w14:paraId="691BC2DE" w14:textId="77414D31" w:rsidR="00B74190" w:rsidRPr="00B74190" w:rsidRDefault="00B74190" w:rsidP="000B2F49">
            <w:pPr>
              <w:keepNex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M</w:t>
            </w:r>
            <w:r w:rsidR="00B27AD5">
              <w:rPr>
                <w:rFonts w:ascii="Times New Roman" w:hAnsi="Times New Roman" w:cs="Times New Roman"/>
                <w:sz w:val="18"/>
                <w:szCs w:val="18"/>
              </w:rPr>
              <w:t>S</w:t>
            </w:r>
            <w:r w:rsidRPr="00B74190">
              <w:rPr>
                <w:rFonts w:ascii="Times New Roman" w:hAnsi="Times New Roman" w:cs="Times New Roman"/>
                <w:sz w:val="18"/>
                <w:szCs w:val="18"/>
              </w:rPr>
              <w:t>R</w:t>
            </w:r>
          </w:p>
        </w:tc>
        <w:tc>
          <w:tcPr>
            <w:tcW w:w="1701" w:type="dxa"/>
            <w:hideMark/>
          </w:tcPr>
          <w:p w14:paraId="690FB2EF" w14:textId="41E46202" w:rsidR="00B74190" w:rsidRPr="00B74190" w:rsidRDefault="00B74190" w:rsidP="000B2F49">
            <w:pPr>
              <w:keepNex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M</w:t>
            </w:r>
            <w:r w:rsidR="00B27AD5">
              <w:rPr>
                <w:rFonts w:ascii="Times New Roman" w:hAnsi="Times New Roman" w:cs="Times New Roman"/>
                <w:sz w:val="18"/>
                <w:szCs w:val="18"/>
              </w:rPr>
              <w:t>S</w:t>
            </w:r>
            <w:r w:rsidRPr="00B74190">
              <w:rPr>
                <w:rFonts w:ascii="Times New Roman" w:hAnsi="Times New Roman" w:cs="Times New Roman"/>
                <w:sz w:val="18"/>
                <w:szCs w:val="18"/>
              </w:rPr>
              <w:t xml:space="preserve">R </w:t>
            </w:r>
            <w:r>
              <w:rPr>
                <w:rFonts w:ascii="Times New Roman" w:hAnsi="Times New Roman" w:cs="Times New Roman"/>
                <w:sz w:val="18"/>
                <w:szCs w:val="18"/>
              </w:rPr>
              <w:t>&amp;</w:t>
            </w:r>
            <w:r w:rsidRPr="00B74190">
              <w:rPr>
                <w:rFonts w:ascii="Times New Roman" w:hAnsi="Times New Roman" w:cs="Times New Roman"/>
                <w:sz w:val="18"/>
                <w:szCs w:val="18"/>
              </w:rPr>
              <w:t xml:space="preserve"> CCS</w:t>
            </w:r>
          </w:p>
        </w:tc>
        <w:tc>
          <w:tcPr>
            <w:tcW w:w="1843" w:type="dxa"/>
            <w:hideMark/>
          </w:tcPr>
          <w:p w14:paraId="1A50776F" w14:textId="2FB9B323" w:rsidR="00B74190" w:rsidRPr="00B74190" w:rsidRDefault="00B74190" w:rsidP="000B2F49">
            <w:pPr>
              <w:keepNext/>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proofErr w:type="spellStart"/>
            <w:r w:rsidRPr="00B74190">
              <w:rPr>
                <w:rFonts w:ascii="Times New Roman" w:hAnsi="Times New Roman" w:cs="Times New Roman"/>
                <w:sz w:val="18"/>
                <w:szCs w:val="18"/>
              </w:rPr>
              <w:t>Ele</w:t>
            </w:r>
            <w:r>
              <w:rPr>
                <w:rFonts w:ascii="Times New Roman" w:hAnsi="Times New Roman" w:cs="Times New Roman"/>
                <w:sz w:val="18"/>
                <w:szCs w:val="18"/>
              </w:rPr>
              <w:t>c</w:t>
            </w:r>
            <w:r w:rsidRPr="00B74190">
              <w:rPr>
                <w:rFonts w:ascii="Times New Roman" w:hAnsi="Times New Roman" w:cs="Times New Roman"/>
                <w:sz w:val="18"/>
                <w:szCs w:val="18"/>
              </w:rPr>
              <w:t>trol</w:t>
            </w:r>
            <w:r>
              <w:rPr>
                <w:rFonts w:ascii="Times New Roman" w:hAnsi="Times New Roman" w:cs="Times New Roman"/>
                <w:sz w:val="18"/>
                <w:szCs w:val="18"/>
              </w:rPr>
              <w:t>ysis</w:t>
            </w:r>
            <w:proofErr w:type="spellEnd"/>
          </w:p>
        </w:tc>
      </w:tr>
      <w:tr w:rsidR="00B74190" w:rsidRPr="00B74190" w14:paraId="0C63B485" w14:textId="77777777" w:rsidTr="004238E1">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29DE759F" w14:textId="77777777" w:rsidR="00B74190" w:rsidRPr="000B2F49" w:rsidRDefault="00B74190" w:rsidP="000B2F49">
            <w:pPr>
              <w:rPr>
                <w:rFonts w:ascii="Times New Roman" w:hAnsi="Times New Roman" w:cs="Times New Roman"/>
                <w:b w:val="0"/>
                <w:sz w:val="18"/>
                <w:szCs w:val="18"/>
                <w:lang w:val="en-GB"/>
              </w:rPr>
            </w:pPr>
            <w:proofErr w:type="spellStart"/>
            <w:r w:rsidRPr="000B2F49">
              <w:rPr>
                <w:rFonts w:ascii="Times New Roman" w:hAnsi="Times New Roman" w:cs="Times New Roman"/>
                <w:b w:val="0"/>
                <w:sz w:val="18"/>
                <w:szCs w:val="18"/>
              </w:rPr>
              <w:t>Eout</w:t>
            </w:r>
            <w:proofErr w:type="spellEnd"/>
            <w:r w:rsidRPr="000B2F49">
              <w:rPr>
                <w:rFonts w:ascii="Times New Roman" w:hAnsi="Times New Roman" w:cs="Times New Roman"/>
                <w:b w:val="0"/>
                <w:sz w:val="18"/>
                <w:szCs w:val="18"/>
              </w:rPr>
              <w:t xml:space="preserve"> [GWh]</w:t>
            </w:r>
          </w:p>
        </w:tc>
        <w:tc>
          <w:tcPr>
            <w:tcW w:w="1134" w:type="dxa"/>
            <w:hideMark/>
          </w:tcPr>
          <w:p w14:paraId="56531101"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2,369.572</w:t>
            </w:r>
          </w:p>
        </w:tc>
        <w:tc>
          <w:tcPr>
            <w:tcW w:w="1701" w:type="dxa"/>
            <w:hideMark/>
          </w:tcPr>
          <w:p w14:paraId="4BC02EB3"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1,871.962</w:t>
            </w:r>
          </w:p>
        </w:tc>
        <w:tc>
          <w:tcPr>
            <w:tcW w:w="1843" w:type="dxa"/>
            <w:hideMark/>
          </w:tcPr>
          <w:p w14:paraId="26CC72FA"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2,391.152</w:t>
            </w:r>
          </w:p>
        </w:tc>
      </w:tr>
      <w:tr w:rsidR="00B74190" w:rsidRPr="00B74190" w14:paraId="29E630E0" w14:textId="77777777" w:rsidTr="004238E1">
        <w:trPr>
          <w:trHeight w:val="162"/>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681101AB" w14:textId="77777777" w:rsidR="00B74190" w:rsidRPr="000B2F49" w:rsidRDefault="00B74190" w:rsidP="000B2F49">
            <w:pPr>
              <w:rPr>
                <w:rFonts w:ascii="Times New Roman" w:hAnsi="Times New Roman" w:cs="Times New Roman"/>
                <w:b w:val="0"/>
                <w:sz w:val="18"/>
                <w:szCs w:val="18"/>
                <w:lang w:val="en-GB"/>
              </w:rPr>
            </w:pPr>
            <w:proofErr w:type="spellStart"/>
            <w:r w:rsidRPr="000B2F49">
              <w:rPr>
                <w:rFonts w:ascii="Times New Roman" w:hAnsi="Times New Roman" w:cs="Times New Roman"/>
                <w:b w:val="0"/>
                <w:sz w:val="18"/>
                <w:szCs w:val="18"/>
              </w:rPr>
              <w:t>Ecap</w:t>
            </w:r>
            <w:proofErr w:type="spellEnd"/>
            <w:r w:rsidRPr="000B2F49">
              <w:rPr>
                <w:rFonts w:ascii="Times New Roman" w:hAnsi="Times New Roman" w:cs="Times New Roman"/>
                <w:b w:val="0"/>
                <w:sz w:val="18"/>
                <w:szCs w:val="18"/>
              </w:rPr>
              <w:t xml:space="preserve"> [GWh]</w:t>
            </w:r>
          </w:p>
        </w:tc>
        <w:tc>
          <w:tcPr>
            <w:tcW w:w="1134" w:type="dxa"/>
            <w:hideMark/>
          </w:tcPr>
          <w:p w14:paraId="6F79F587" w14:textId="77777777" w:rsidR="00B74190" w:rsidRPr="00B74190" w:rsidRDefault="00B74190" w:rsidP="000B2F49">
            <w:pPr>
              <w:keepNex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5.746</w:t>
            </w:r>
          </w:p>
        </w:tc>
        <w:tc>
          <w:tcPr>
            <w:tcW w:w="1701" w:type="dxa"/>
            <w:hideMark/>
          </w:tcPr>
          <w:p w14:paraId="34CD3846" w14:textId="77777777" w:rsidR="00B74190" w:rsidRPr="00B74190" w:rsidRDefault="00B74190" w:rsidP="000B2F49">
            <w:pPr>
              <w:keepNex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7.783</w:t>
            </w:r>
          </w:p>
        </w:tc>
        <w:tc>
          <w:tcPr>
            <w:tcW w:w="1843" w:type="dxa"/>
            <w:hideMark/>
          </w:tcPr>
          <w:p w14:paraId="3FF4B590" w14:textId="77777777" w:rsidR="00B74190" w:rsidRPr="00B74190" w:rsidRDefault="00B74190" w:rsidP="000B2F49">
            <w:pPr>
              <w:keepNex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4.466</w:t>
            </w:r>
          </w:p>
        </w:tc>
      </w:tr>
      <w:tr w:rsidR="00B74190" w:rsidRPr="00B74190" w14:paraId="26C8431C" w14:textId="77777777" w:rsidTr="004238E1">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7EEDD9DD" w14:textId="77777777" w:rsidR="00B74190" w:rsidRPr="000B2F49" w:rsidRDefault="00B74190" w:rsidP="000B2F49">
            <w:pPr>
              <w:rPr>
                <w:rFonts w:ascii="Times New Roman" w:hAnsi="Times New Roman" w:cs="Times New Roman"/>
                <w:b w:val="0"/>
                <w:sz w:val="18"/>
                <w:szCs w:val="18"/>
                <w:lang w:val="en-GB"/>
              </w:rPr>
            </w:pPr>
            <w:proofErr w:type="spellStart"/>
            <w:r w:rsidRPr="000B2F49">
              <w:rPr>
                <w:rFonts w:ascii="Times New Roman" w:hAnsi="Times New Roman" w:cs="Times New Roman"/>
                <w:b w:val="0"/>
                <w:sz w:val="18"/>
                <w:szCs w:val="18"/>
              </w:rPr>
              <w:t>Eo&amp;m</w:t>
            </w:r>
            <w:proofErr w:type="spellEnd"/>
            <w:r w:rsidRPr="000B2F49">
              <w:rPr>
                <w:rFonts w:ascii="Times New Roman" w:hAnsi="Times New Roman" w:cs="Times New Roman"/>
                <w:b w:val="0"/>
                <w:sz w:val="18"/>
                <w:szCs w:val="18"/>
              </w:rPr>
              <w:t xml:space="preserve"> [GWh]</w:t>
            </w:r>
          </w:p>
        </w:tc>
        <w:tc>
          <w:tcPr>
            <w:tcW w:w="1134" w:type="dxa"/>
            <w:hideMark/>
          </w:tcPr>
          <w:p w14:paraId="05CBE0FC"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6.895</w:t>
            </w:r>
          </w:p>
        </w:tc>
        <w:tc>
          <w:tcPr>
            <w:tcW w:w="1701" w:type="dxa"/>
            <w:hideMark/>
          </w:tcPr>
          <w:p w14:paraId="7982D406"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9.340</w:t>
            </w:r>
          </w:p>
        </w:tc>
        <w:tc>
          <w:tcPr>
            <w:tcW w:w="1843" w:type="dxa"/>
            <w:hideMark/>
          </w:tcPr>
          <w:p w14:paraId="2B0CD807"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5.359</w:t>
            </w:r>
          </w:p>
        </w:tc>
      </w:tr>
      <w:tr w:rsidR="00B74190" w:rsidRPr="00B74190" w14:paraId="6FA695AD" w14:textId="77777777" w:rsidTr="004238E1">
        <w:trPr>
          <w:trHeight w:val="230"/>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6BC35658" w14:textId="77777777" w:rsidR="00B74190" w:rsidRPr="000B2F49" w:rsidRDefault="00B74190" w:rsidP="000B2F49">
            <w:pPr>
              <w:rPr>
                <w:rFonts w:ascii="Times New Roman" w:hAnsi="Times New Roman" w:cs="Times New Roman"/>
                <w:b w:val="0"/>
                <w:sz w:val="18"/>
                <w:szCs w:val="18"/>
                <w:lang w:val="en-GB"/>
              </w:rPr>
            </w:pPr>
            <w:proofErr w:type="spellStart"/>
            <w:r w:rsidRPr="000B2F49">
              <w:rPr>
                <w:rFonts w:ascii="Times New Roman" w:hAnsi="Times New Roman" w:cs="Times New Roman"/>
                <w:b w:val="0"/>
                <w:sz w:val="18"/>
                <w:szCs w:val="18"/>
              </w:rPr>
              <w:t>Ef</w:t>
            </w:r>
            <w:proofErr w:type="spellEnd"/>
            <w:r w:rsidRPr="000B2F49">
              <w:rPr>
                <w:rFonts w:ascii="Times New Roman" w:hAnsi="Times New Roman" w:cs="Times New Roman"/>
                <w:b w:val="0"/>
                <w:sz w:val="18"/>
                <w:szCs w:val="18"/>
              </w:rPr>
              <w:t xml:space="preserve"> [GWh]</w:t>
            </w:r>
          </w:p>
        </w:tc>
        <w:tc>
          <w:tcPr>
            <w:tcW w:w="1134" w:type="dxa"/>
            <w:hideMark/>
          </w:tcPr>
          <w:p w14:paraId="3FD4719E" w14:textId="77777777" w:rsidR="00B74190" w:rsidRPr="00B74190" w:rsidRDefault="00B74190" w:rsidP="000B2F49">
            <w:pPr>
              <w:keepNex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296.197</w:t>
            </w:r>
          </w:p>
        </w:tc>
        <w:tc>
          <w:tcPr>
            <w:tcW w:w="1701" w:type="dxa"/>
            <w:hideMark/>
          </w:tcPr>
          <w:p w14:paraId="541799C8" w14:textId="77777777" w:rsidR="00B74190" w:rsidRPr="00B74190" w:rsidRDefault="00B74190" w:rsidP="000B2F49">
            <w:pPr>
              <w:keepNex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267.423</w:t>
            </w:r>
          </w:p>
        </w:tc>
        <w:tc>
          <w:tcPr>
            <w:tcW w:w="1843" w:type="dxa"/>
            <w:hideMark/>
          </w:tcPr>
          <w:p w14:paraId="28737043" w14:textId="77777777" w:rsidR="00B74190" w:rsidRPr="00B74190" w:rsidRDefault="00B74190" w:rsidP="000B2F49">
            <w:pPr>
              <w:keepNext/>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95.646</w:t>
            </w:r>
          </w:p>
        </w:tc>
      </w:tr>
      <w:tr w:rsidR="00B74190" w:rsidRPr="00B74190" w14:paraId="233EC621" w14:textId="77777777" w:rsidTr="004238E1">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1555" w:type="dxa"/>
            <w:hideMark/>
          </w:tcPr>
          <w:p w14:paraId="64C8F7CB" w14:textId="77777777" w:rsidR="00B74190" w:rsidRPr="000B2F49" w:rsidRDefault="00B74190" w:rsidP="000B2F49">
            <w:pPr>
              <w:rPr>
                <w:rFonts w:ascii="Times New Roman" w:hAnsi="Times New Roman" w:cs="Times New Roman"/>
                <w:b w:val="0"/>
                <w:sz w:val="18"/>
                <w:szCs w:val="18"/>
                <w:lang w:val="en-GB"/>
              </w:rPr>
            </w:pPr>
            <w:r w:rsidRPr="000B2F49">
              <w:rPr>
                <w:rFonts w:ascii="Times New Roman" w:hAnsi="Times New Roman" w:cs="Times New Roman"/>
                <w:b w:val="0"/>
                <w:sz w:val="18"/>
                <w:szCs w:val="18"/>
              </w:rPr>
              <w:t>EROEI</w:t>
            </w:r>
          </w:p>
        </w:tc>
        <w:tc>
          <w:tcPr>
            <w:tcW w:w="1134" w:type="dxa"/>
            <w:hideMark/>
          </w:tcPr>
          <w:p w14:paraId="0CD720F5"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7.8</w:t>
            </w:r>
          </w:p>
        </w:tc>
        <w:tc>
          <w:tcPr>
            <w:tcW w:w="1701" w:type="dxa"/>
            <w:hideMark/>
          </w:tcPr>
          <w:p w14:paraId="3418144C"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lang w:val="en-GB"/>
              </w:rPr>
              <w:t>6.58</w:t>
            </w:r>
          </w:p>
        </w:tc>
        <w:tc>
          <w:tcPr>
            <w:tcW w:w="1843" w:type="dxa"/>
            <w:hideMark/>
          </w:tcPr>
          <w:p w14:paraId="1ACF716B" w14:textId="77777777" w:rsidR="00B74190" w:rsidRPr="00B74190" w:rsidRDefault="00B74190" w:rsidP="000B2F49">
            <w:pPr>
              <w:keepNext/>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GB"/>
              </w:rPr>
            </w:pPr>
            <w:r w:rsidRPr="00B74190">
              <w:rPr>
                <w:rFonts w:ascii="Times New Roman" w:hAnsi="Times New Roman" w:cs="Times New Roman"/>
                <w:sz w:val="18"/>
                <w:szCs w:val="18"/>
              </w:rPr>
              <w:t>22.67</w:t>
            </w:r>
          </w:p>
        </w:tc>
      </w:tr>
    </w:tbl>
    <w:p w14:paraId="33DD6F7E" w14:textId="0F1D8D66" w:rsidR="00624E1A" w:rsidRPr="00B27AD5" w:rsidRDefault="00252748" w:rsidP="00B27AD5">
      <w:pPr>
        <w:snapToGrid w:val="0"/>
        <w:spacing w:before="60" w:after="120"/>
        <w:jc w:val="center"/>
        <w:rPr>
          <w:rFonts w:ascii="Times New Roman" w:eastAsia="MS PGothic" w:hAnsi="Times New Roman"/>
          <w:sz w:val="18"/>
          <w:szCs w:val="18"/>
          <w:lang w:val="en-US"/>
        </w:rPr>
      </w:pPr>
      <w:r w:rsidRPr="00B27AD5">
        <w:rPr>
          <w:rFonts w:ascii="Times New Roman" w:eastAsia="MS PGothic" w:hAnsi="Times New Roman"/>
          <w:b/>
          <w:sz w:val="18"/>
          <w:szCs w:val="18"/>
          <w:lang w:val="en-US"/>
        </w:rPr>
        <w:t>Table 3</w:t>
      </w:r>
      <w:r w:rsidRPr="00B27AD5">
        <w:rPr>
          <w:rFonts w:ascii="Times New Roman" w:eastAsia="MS PGothic" w:hAnsi="Times New Roman"/>
          <w:sz w:val="18"/>
          <w:szCs w:val="18"/>
          <w:lang w:val="en-US"/>
        </w:rPr>
        <w:t xml:space="preserve">: EROEI for methane steam </w:t>
      </w:r>
      <w:r w:rsidR="00B27AD5" w:rsidRPr="00B27AD5">
        <w:rPr>
          <w:rFonts w:ascii="Times New Roman" w:eastAsia="MS PGothic" w:hAnsi="Times New Roman"/>
          <w:sz w:val="18"/>
          <w:szCs w:val="18"/>
          <w:lang w:val="en-US"/>
        </w:rPr>
        <w:t>reforming</w:t>
      </w:r>
      <w:r w:rsidRPr="00B27AD5">
        <w:rPr>
          <w:rFonts w:ascii="Times New Roman" w:eastAsia="MS PGothic" w:hAnsi="Times New Roman"/>
          <w:sz w:val="18"/>
          <w:szCs w:val="18"/>
          <w:lang w:val="en-US"/>
        </w:rPr>
        <w:t xml:space="preserve"> with and without CCS and </w:t>
      </w:r>
      <w:r w:rsidR="00B27AD5">
        <w:rPr>
          <w:rFonts w:ascii="Times New Roman" w:eastAsia="MS PGothic" w:hAnsi="Times New Roman"/>
          <w:sz w:val="18"/>
          <w:szCs w:val="18"/>
          <w:lang w:val="en-US"/>
        </w:rPr>
        <w:t>w</w:t>
      </w:r>
      <w:r w:rsidR="00B27AD5" w:rsidRPr="00252748">
        <w:rPr>
          <w:rFonts w:ascii="Times New Roman" w:eastAsia="MS PGothic" w:hAnsi="Times New Roman"/>
          <w:sz w:val="18"/>
          <w:szCs w:val="18"/>
          <w:lang w:val="en-US"/>
        </w:rPr>
        <w:t xml:space="preserve">ater </w:t>
      </w:r>
      <w:r w:rsidR="00B27AD5">
        <w:rPr>
          <w:rFonts w:ascii="Times New Roman" w:eastAsia="MS PGothic" w:hAnsi="Times New Roman"/>
          <w:sz w:val="18"/>
          <w:szCs w:val="18"/>
          <w:lang w:val="en-US"/>
        </w:rPr>
        <w:t>e</w:t>
      </w:r>
      <w:r w:rsidR="00B27AD5" w:rsidRPr="00252748">
        <w:rPr>
          <w:rFonts w:ascii="Times New Roman" w:eastAsia="MS PGothic" w:hAnsi="Times New Roman"/>
          <w:sz w:val="18"/>
          <w:szCs w:val="18"/>
          <w:lang w:val="en-US"/>
        </w:rPr>
        <w:t xml:space="preserve">lectrolysis </w:t>
      </w:r>
      <w:r w:rsidRPr="00B27AD5">
        <w:rPr>
          <w:rFonts w:ascii="Times New Roman" w:eastAsia="MS PGothic" w:hAnsi="Times New Roman"/>
          <w:sz w:val="18"/>
          <w:szCs w:val="18"/>
          <w:lang w:val="en-US"/>
        </w:rPr>
        <w:t>hydrogen production processes</w:t>
      </w:r>
      <w:r w:rsidR="00B27AD5">
        <w:rPr>
          <w:rFonts w:ascii="Times New Roman" w:eastAsia="MS PGothic" w:hAnsi="Times New Roman"/>
          <w:sz w:val="18"/>
          <w:szCs w:val="18"/>
          <w:lang w:val="en-US"/>
        </w:rPr>
        <w:t xml:space="preserve">. </w:t>
      </w:r>
    </w:p>
    <w:p w14:paraId="0DE817AB" w14:textId="77777777" w:rsidR="00DA51A3" w:rsidRPr="0071230C" w:rsidRDefault="00DA51A3" w:rsidP="00DA51A3">
      <w:pPr>
        <w:snapToGrid w:val="0"/>
        <w:spacing w:before="240" w:line="300" w:lineRule="auto"/>
        <w:rPr>
          <w:rFonts w:ascii="Times New Roman" w:eastAsia="MS PGothic" w:hAnsi="Times New Roman"/>
          <w:lang w:val="en-GB" w:eastAsia="ko-KR"/>
        </w:rPr>
      </w:pPr>
      <w:r w:rsidRPr="0071230C">
        <w:rPr>
          <w:rFonts w:ascii="Times New Roman" w:eastAsia="MS PGothic" w:hAnsi="Times New Roman"/>
          <w:b/>
          <w:bCs/>
          <w:lang w:val="en-GB"/>
        </w:rPr>
        <w:t>4. Conclusion</w:t>
      </w:r>
      <w:r w:rsidRPr="0071230C">
        <w:rPr>
          <w:rFonts w:ascii="Times New Roman" w:eastAsia="MS PGothic" w:hAnsi="Times New Roman"/>
          <w:b/>
          <w:bCs/>
          <w:lang w:val="en-GB" w:eastAsia="ko-KR"/>
        </w:rPr>
        <w:t>s</w:t>
      </w:r>
    </w:p>
    <w:p w14:paraId="1BE0C082" w14:textId="4B93988B" w:rsidR="00DA51A3" w:rsidRPr="00466FFD" w:rsidRDefault="00A96DAD" w:rsidP="00DA51A3">
      <w:pPr>
        <w:snapToGrid w:val="0"/>
        <w:spacing w:after="120"/>
        <w:rPr>
          <w:rFonts w:ascii="Times New Roman" w:eastAsia="MS PGothic" w:hAnsi="Times New Roman"/>
          <w:lang w:val="en-US"/>
        </w:rPr>
      </w:pPr>
      <w:r w:rsidRPr="00A96DAD">
        <w:rPr>
          <w:rFonts w:ascii="Times New Roman" w:eastAsia="MS PGothic" w:hAnsi="Times New Roman"/>
          <w:lang w:val="en-US"/>
        </w:rPr>
        <w:t xml:space="preserve">The goal of this study is to demonstrate how in-silico techniques may be used to generate </w:t>
      </w:r>
      <w:r w:rsidR="0071230C">
        <w:rPr>
          <w:rFonts w:ascii="Times New Roman" w:eastAsia="MS PGothic" w:hAnsi="Times New Roman"/>
          <w:lang w:val="en-US"/>
        </w:rPr>
        <w:t xml:space="preserve">data to be used for the evaluation of different indicators: EROEI, LCOE, LCOH, LCA. </w:t>
      </w:r>
      <w:r w:rsidRPr="00A96DAD">
        <w:rPr>
          <w:rFonts w:ascii="Times New Roman" w:eastAsia="MS PGothic" w:hAnsi="Times New Roman"/>
          <w:lang w:val="en-US"/>
        </w:rPr>
        <w:t xml:space="preserve">The integration of </w:t>
      </w:r>
      <w:r w:rsidR="0071230C">
        <w:rPr>
          <w:rFonts w:ascii="Times New Roman" w:eastAsia="MS PGothic" w:hAnsi="Times New Roman"/>
          <w:lang w:val="en-US"/>
        </w:rPr>
        <w:t xml:space="preserve">indicators’ evaluation </w:t>
      </w:r>
      <w:r w:rsidRPr="00A96DAD">
        <w:rPr>
          <w:rFonts w:ascii="Times New Roman" w:eastAsia="MS PGothic" w:hAnsi="Times New Roman"/>
          <w:lang w:val="en-US"/>
        </w:rPr>
        <w:t xml:space="preserve">into a multiscale molecular modeling framework produces a double benefit: </w:t>
      </w:r>
      <w:proofErr w:type="spellStart"/>
      <w:r w:rsidRPr="00A96DAD">
        <w:rPr>
          <w:rFonts w:ascii="Times New Roman" w:eastAsia="MS PGothic" w:hAnsi="Times New Roman"/>
          <w:lang w:val="en-US"/>
        </w:rPr>
        <w:t>i</w:t>
      </w:r>
      <w:proofErr w:type="spellEnd"/>
      <w:r w:rsidRPr="00A96DAD">
        <w:rPr>
          <w:rFonts w:ascii="Times New Roman" w:eastAsia="MS PGothic" w:hAnsi="Times New Roman"/>
          <w:lang w:val="en-US"/>
        </w:rPr>
        <w:t xml:space="preserve">) we extended the scope of multiscale molecular modelling by taking the most comprehensive approach feasible, and ii) future evaluation applications, may benefit of this cutting-edge approach. </w:t>
      </w:r>
      <w:r w:rsidR="0071230C">
        <w:rPr>
          <w:rFonts w:ascii="Times New Roman" w:eastAsia="MS PGothic" w:hAnsi="Times New Roman"/>
          <w:lang w:val="en-US"/>
        </w:rPr>
        <w:t>This study shows how p</w:t>
      </w:r>
      <w:r w:rsidRPr="00A96DAD">
        <w:rPr>
          <w:rFonts w:ascii="Times New Roman" w:eastAsia="MS PGothic" w:hAnsi="Times New Roman"/>
          <w:lang w:val="en-US"/>
        </w:rPr>
        <w:t>rocess simulation play</w:t>
      </w:r>
      <w:r w:rsidR="0071230C">
        <w:rPr>
          <w:rFonts w:ascii="Times New Roman" w:eastAsia="MS PGothic" w:hAnsi="Times New Roman"/>
          <w:lang w:val="en-US"/>
        </w:rPr>
        <w:t xml:space="preserve">s </w:t>
      </w:r>
      <w:r w:rsidRPr="00A96DAD">
        <w:rPr>
          <w:rFonts w:ascii="Times New Roman" w:eastAsia="MS PGothic" w:hAnsi="Times New Roman"/>
          <w:lang w:val="en-US"/>
        </w:rPr>
        <w:t xml:space="preserve">a fundamental role </w:t>
      </w:r>
      <w:r w:rsidR="0071230C">
        <w:rPr>
          <w:rFonts w:ascii="Times New Roman" w:eastAsia="MS PGothic" w:hAnsi="Times New Roman"/>
          <w:lang w:val="en-US"/>
        </w:rPr>
        <w:t xml:space="preserve">in providing </w:t>
      </w:r>
      <w:r w:rsidRPr="00A96DAD">
        <w:rPr>
          <w:rFonts w:ascii="Times New Roman" w:eastAsia="MS PGothic" w:hAnsi="Times New Roman"/>
          <w:lang w:val="en-US"/>
        </w:rPr>
        <w:t>material and energy balances</w:t>
      </w:r>
      <w:r w:rsidR="0071230C">
        <w:rPr>
          <w:rFonts w:ascii="Times New Roman" w:eastAsia="MS PGothic" w:hAnsi="Times New Roman"/>
          <w:lang w:val="en-US"/>
        </w:rPr>
        <w:t xml:space="preserve"> as well as energy and costs information for the evaluation of the required indicators already at design time.</w:t>
      </w:r>
    </w:p>
    <w:p w14:paraId="1845F659" w14:textId="77777777"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20FB4F31" w14:textId="7D68F535" w:rsidR="00723A70" w:rsidRPr="00252748" w:rsidRDefault="00723A70" w:rsidP="00723A70">
      <w:pPr>
        <w:pStyle w:val="FirstParagraph"/>
        <w:numPr>
          <w:ilvl w:val="0"/>
          <w:numId w:val="1"/>
        </w:numPr>
        <w:tabs>
          <w:tab w:val="left" w:pos="426"/>
        </w:tabs>
        <w:spacing w:line="240" w:lineRule="auto"/>
        <w:rPr>
          <w:rFonts w:ascii="Times New Roman" w:hAnsi="Times New Roman"/>
          <w:lang w:val="it-IT"/>
        </w:rPr>
      </w:pPr>
      <w:r w:rsidRPr="00723A70">
        <w:rPr>
          <w:rFonts w:ascii="Times New Roman" w:hAnsi="Times New Roman"/>
          <w:lang w:val="it-IT"/>
        </w:rPr>
        <w:t xml:space="preserve">Fermeglia M, Mio A, </w:t>
      </w:r>
      <w:proofErr w:type="spellStart"/>
      <w:r w:rsidRPr="00723A70">
        <w:rPr>
          <w:rFonts w:ascii="Times New Roman" w:hAnsi="Times New Roman"/>
          <w:lang w:val="it-IT"/>
        </w:rPr>
        <w:t>Aulic</w:t>
      </w:r>
      <w:proofErr w:type="spellEnd"/>
      <w:r w:rsidRPr="00723A70">
        <w:rPr>
          <w:rFonts w:ascii="Times New Roman" w:hAnsi="Times New Roman"/>
          <w:lang w:val="it-IT"/>
        </w:rPr>
        <w:t xml:space="preserve"> S, Marson D, Laurini E, </w:t>
      </w:r>
      <w:proofErr w:type="spellStart"/>
      <w:r w:rsidRPr="00723A70">
        <w:rPr>
          <w:rFonts w:ascii="Times New Roman" w:hAnsi="Times New Roman"/>
          <w:lang w:val="it-IT"/>
        </w:rPr>
        <w:t>Pricl</w:t>
      </w:r>
      <w:proofErr w:type="spellEnd"/>
      <w:r w:rsidRPr="00723A70">
        <w:rPr>
          <w:rFonts w:ascii="Times New Roman" w:hAnsi="Times New Roman"/>
          <w:lang w:val="it-IT"/>
        </w:rPr>
        <w:t xml:space="preserve"> </w:t>
      </w:r>
      <w:proofErr w:type="gramStart"/>
      <w:r w:rsidRPr="00723A70">
        <w:rPr>
          <w:rFonts w:ascii="Times New Roman" w:hAnsi="Times New Roman"/>
          <w:lang w:val="it-IT"/>
        </w:rPr>
        <w:t>S..</w:t>
      </w:r>
      <w:proofErr w:type="gramEnd"/>
      <w:r w:rsidRPr="00723A70">
        <w:rPr>
          <w:rFonts w:ascii="Times New Roman" w:hAnsi="Times New Roman"/>
          <w:lang w:val="it-IT"/>
        </w:rPr>
        <w:t xml:space="preserve"> </w:t>
      </w:r>
      <w:r w:rsidRPr="00252748">
        <w:rPr>
          <w:rFonts w:ascii="Times New Roman" w:hAnsi="Times New Roman"/>
          <w:lang w:val="it-IT"/>
        </w:rPr>
        <w:t xml:space="preserve">Mol </w:t>
      </w:r>
      <w:proofErr w:type="spellStart"/>
      <w:r w:rsidRPr="00252748">
        <w:rPr>
          <w:rFonts w:ascii="Times New Roman" w:hAnsi="Times New Roman"/>
          <w:lang w:val="it-IT"/>
        </w:rPr>
        <w:t>Syst</w:t>
      </w:r>
      <w:proofErr w:type="spellEnd"/>
      <w:r w:rsidRPr="00252748">
        <w:rPr>
          <w:rFonts w:ascii="Times New Roman" w:hAnsi="Times New Roman"/>
          <w:lang w:val="it-IT"/>
        </w:rPr>
        <w:t xml:space="preserve"> </w:t>
      </w:r>
      <w:proofErr w:type="spellStart"/>
      <w:r w:rsidRPr="00252748">
        <w:rPr>
          <w:rFonts w:ascii="Times New Roman" w:hAnsi="Times New Roman"/>
          <w:lang w:val="it-IT"/>
        </w:rPr>
        <w:t>Des</w:t>
      </w:r>
      <w:proofErr w:type="spellEnd"/>
      <w:r w:rsidRPr="00252748">
        <w:rPr>
          <w:rFonts w:ascii="Times New Roman" w:hAnsi="Times New Roman"/>
          <w:lang w:val="it-IT"/>
        </w:rPr>
        <w:t xml:space="preserve"> Eng 2020; 5:1447–76.</w:t>
      </w:r>
    </w:p>
    <w:p w14:paraId="3E1EB098" w14:textId="241A4473" w:rsidR="00C62D97" w:rsidRDefault="00723A70" w:rsidP="00723A70">
      <w:pPr>
        <w:pStyle w:val="FirstParagraph"/>
        <w:numPr>
          <w:ilvl w:val="0"/>
          <w:numId w:val="1"/>
        </w:numPr>
        <w:tabs>
          <w:tab w:val="left" w:pos="426"/>
        </w:tabs>
        <w:spacing w:line="240" w:lineRule="auto"/>
        <w:rPr>
          <w:rFonts w:ascii="Times New Roman" w:hAnsi="Times New Roman"/>
          <w:lang w:val="it-IT"/>
        </w:rPr>
      </w:pPr>
      <w:r w:rsidRPr="00723A70">
        <w:rPr>
          <w:rFonts w:ascii="Times New Roman" w:hAnsi="Times New Roman"/>
          <w:lang w:val="it-IT"/>
        </w:rPr>
        <w:t xml:space="preserve">Laurini E, Marson D, </w:t>
      </w:r>
      <w:proofErr w:type="spellStart"/>
      <w:r w:rsidRPr="00723A70">
        <w:rPr>
          <w:rFonts w:ascii="Times New Roman" w:hAnsi="Times New Roman"/>
          <w:lang w:val="it-IT"/>
        </w:rPr>
        <w:t>Aulic</w:t>
      </w:r>
      <w:proofErr w:type="spellEnd"/>
      <w:r w:rsidRPr="00723A70">
        <w:rPr>
          <w:rFonts w:ascii="Times New Roman" w:hAnsi="Times New Roman"/>
          <w:lang w:val="it-IT"/>
        </w:rPr>
        <w:t xml:space="preserve"> S, Mio A, Fermeglia M, </w:t>
      </w:r>
      <w:proofErr w:type="spellStart"/>
      <w:r w:rsidRPr="00723A70">
        <w:rPr>
          <w:rFonts w:ascii="Times New Roman" w:hAnsi="Times New Roman"/>
          <w:lang w:val="it-IT"/>
        </w:rPr>
        <w:t>Pricl</w:t>
      </w:r>
      <w:proofErr w:type="spellEnd"/>
      <w:r w:rsidRPr="00723A70">
        <w:rPr>
          <w:rFonts w:ascii="Times New Roman" w:hAnsi="Times New Roman"/>
          <w:lang w:val="it-IT"/>
        </w:rPr>
        <w:t xml:space="preserve"> S., </w:t>
      </w:r>
      <w:proofErr w:type="spellStart"/>
      <w:r w:rsidRPr="00252748">
        <w:rPr>
          <w:rFonts w:ascii="Times New Roman" w:hAnsi="Times New Roman"/>
          <w:lang w:val="it-IT"/>
        </w:rPr>
        <w:t>Chem</w:t>
      </w:r>
      <w:proofErr w:type="spellEnd"/>
      <w:r w:rsidR="00252748">
        <w:rPr>
          <w:rFonts w:ascii="Times New Roman" w:hAnsi="Times New Roman"/>
          <w:lang w:val="it-IT"/>
        </w:rPr>
        <w:t>.</w:t>
      </w:r>
      <w:r w:rsidRPr="00252748">
        <w:rPr>
          <w:rFonts w:ascii="Times New Roman" w:hAnsi="Times New Roman"/>
          <w:lang w:val="it-IT"/>
        </w:rPr>
        <w:t xml:space="preserve"> Eng Trans 2019;</w:t>
      </w:r>
      <w:r w:rsidR="00252748">
        <w:rPr>
          <w:rFonts w:ascii="Times New Roman" w:hAnsi="Times New Roman"/>
          <w:lang w:val="it-IT"/>
        </w:rPr>
        <w:t xml:space="preserve"> </w:t>
      </w:r>
      <w:r w:rsidRPr="00252748">
        <w:rPr>
          <w:rFonts w:ascii="Times New Roman" w:hAnsi="Times New Roman"/>
          <w:lang w:val="it-IT"/>
        </w:rPr>
        <w:t>74:619–24.</w:t>
      </w:r>
    </w:p>
    <w:p w14:paraId="1388A987" w14:textId="696C9EFD" w:rsidR="00252748" w:rsidRPr="00252748" w:rsidRDefault="00252748" w:rsidP="00252748">
      <w:pPr>
        <w:pStyle w:val="FirstParagraph"/>
        <w:numPr>
          <w:ilvl w:val="0"/>
          <w:numId w:val="1"/>
        </w:numPr>
        <w:tabs>
          <w:tab w:val="left" w:pos="426"/>
        </w:tabs>
        <w:spacing w:line="240" w:lineRule="auto"/>
        <w:rPr>
          <w:rFonts w:ascii="Times New Roman" w:hAnsi="Times New Roman"/>
          <w:lang w:val="en-GB"/>
        </w:rPr>
      </w:pPr>
      <w:proofErr w:type="spellStart"/>
      <w:r w:rsidRPr="00252748">
        <w:rPr>
          <w:rFonts w:ascii="Times New Roman" w:hAnsi="Times New Roman"/>
          <w:lang w:val="en-GB"/>
        </w:rPr>
        <w:t>Wernet</w:t>
      </w:r>
      <w:proofErr w:type="spellEnd"/>
      <w:r w:rsidRPr="00252748">
        <w:rPr>
          <w:rFonts w:ascii="Times New Roman" w:hAnsi="Times New Roman"/>
          <w:lang w:val="en-GB"/>
        </w:rPr>
        <w:t xml:space="preserve"> G, Bauer C, </w:t>
      </w:r>
      <w:proofErr w:type="spellStart"/>
      <w:r w:rsidRPr="00252748">
        <w:rPr>
          <w:rFonts w:ascii="Times New Roman" w:hAnsi="Times New Roman"/>
          <w:lang w:val="en-GB"/>
        </w:rPr>
        <w:t>Steubing</w:t>
      </w:r>
      <w:proofErr w:type="spellEnd"/>
      <w:r w:rsidRPr="00252748">
        <w:rPr>
          <w:rFonts w:ascii="Times New Roman" w:hAnsi="Times New Roman"/>
          <w:lang w:val="en-GB"/>
        </w:rPr>
        <w:t xml:space="preserve"> B, Reinhard J, Moreno-Ruiz E, </w:t>
      </w:r>
      <w:proofErr w:type="spellStart"/>
      <w:r w:rsidRPr="00252748">
        <w:rPr>
          <w:rFonts w:ascii="Times New Roman" w:hAnsi="Times New Roman"/>
          <w:lang w:val="en-GB"/>
        </w:rPr>
        <w:t>Weidema</w:t>
      </w:r>
      <w:proofErr w:type="spellEnd"/>
      <w:r w:rsidRPr="00252748">
        <w:rPr>
          <w:rFonts w:ascii="Times New Roman" w:hAnsi="Times New Roman"/>
          <w:lang w:val="en-GB"/>
        </w:rPr>
        <w:t xml:space="preserve"> B.</w:t>
      </w:r>
      <w:r>
        <w:rPr>
          <w:rFonts w:ascii="Times New Roman" w:hAnsi="Times New Roman"/>
          <w:lang w:val="en-GB"/>
        </w:rPr>
        <w:t>,</w:t>
      </w:r>
      <w:r w:rsidRPr="00252748">
        <w:rPr>
          <w:rFonts w:ascii="Times New Roman" w:hAnsi="Times New Roman"/>
          <w:lang w:val="en-GB"/>
        </w:rPr>
        <w:t xml:space="preserve"> Int J Life Cycle Ass</w:t>
      </w:r>
      <w:r>
        <w:rPr>
          <w:rFonts w:ascii="Times New Roman" w:hAnsi="Times New Roman"/>
          <w:lang w:val="en-GB"/>
        </w:rPr>
        <w:t>.</w:t>
      </w:r>
      <w:r w:rsidRPr="00252748">
        <w:rPr>
          <w:rFonts w:ascii="Times New Roman" w:hAnsi="Times New Roman"/>
          <w:lang w:val="en-GB"/>
        </w:rPr>
        <w:t xml:space="preserve"> </w:t>
      </w:r>
      <w:proofErr w:type="gramStart"/>
      <w:r w:rsidRPr="00252748">
        <w:rPr>
          <w:rFonts w:ascii="Times New Roman" w:hAnsi="Times New Roman"/>
          <w:lang w:val="en-GB"/>
        </w:rPr>
        <w:t>2016;21:1218</w:t>
      </w:r>
      <w:proofErr w:type="gramEnd"/>
      <w:r w:rsidRPr="00252748">
        <w:rPr>
          <w:rFonts w:ascii="Times New Roman" w:hAnsi="Times New Roman"/>
          <w:lang w:val="en-GB"/>
        </w:rPr>
        <w:t>–30.</w:t>
      </w:r>
    </w:p>
    <w:p w14:paraId="1EC0B05E" w14:textId="324F2012" w:rsidR="00252748" w:rsidRDefault="00252748" w:rsidP="00252748">
      <w:pPr>
        <w:pStyle w:val="FirstParagraph"/>
        <w:numPr>
          <w:ilvl w:val="0"/>
          <w:numId w:val="1"/>
        </w:numPr>
        <w:tabs>
          <w:tab w:val="left" w:pos="426"/>
        </w:tabs>
        <w:spacing w:line="240" w:lineRule="auto"/>
        <w:rPr>
          <w:rFonts w:ascii="Times New Roman" w:hAnsi="Times New Roman"/>
          <w:lang w:val="it-IT"/>
        </w:rPr>
      </w:pPr>
      <w:r w:rsidRPr="00252748">
        <w:rPr>
          <w:rFonts w:ascii="Times New Roman" w:hAnsi="Times New Roman"/>
          <w:lang w:val="it-IT"/>
        </w:rPr>
        <w:t>PE-International. Gabi Database 2012.</w:t>
      </w:r>
    </w:p>
    <w:p w14:paraId="22333F33" w14:textId="327DE839" w:rsidR="00252748" w:rsidRPr="00252748" w:rsidRDefault="00252748" w:rsidP="00252748">
      <w:pPr>
        <w:pStyle w:val="FirstParagraph"/>
        <w:numPr>
          <w:ilvl w:val="0"/>
          <w:numId w:val="1"/>
        </w:numPr>
        <w:tabs>
          <w:tab w:val="left" w:pos="426"/>
        </w:tabs>
        <w:spacing w:line="240" w:lineRule="auto"/>
        <w:rPr>
          <w:rFonts w:ascii="Times New Roman" w:hAnsi="Times New Roman"/>
          <w:lang w:val="it-IT"/>
        </w:rPr>
      </w:pPr>
      <w:r w:rsidRPr="00252748">
        <w:rPr>
          <w:rFonts w:ascii="Times New Roman" w:hAnsi="Times New Roman"/>
          <w:lang w:val="it-IT"/>
        </w:rPr>
        <w:t xml:space="preserve">Barbera E, Mio A, Massi A, Bertucco A, Fermeglia </w:t>
      </w:r>
      <w:proofErr w:type="gramStart"/>
      <w:r w:rsidRPr="00252748">
        <w:rPr>
          <w:rFonts w:ascii="Times New Roman" w:hAnsi="Times New Roman"/>
          <w:lang w:val="it-IT"/>
        </w:rPr>
        <w:t>M. .</w:t>
      </w:r>
      <w:proofErr w:type="gramEnd"/>
      <w:r w:rsidRPr="00252748">
        <w:rPr>
          <w:rFonts w:ascii="Times New Roman" w:hAnsi="Times New Roman"/>
          <w:lang w:val="it-IT"/>
        </w:rPr>
        <w:t xml:space="preserve"> </w:t>
      </w:r>
      <w:proofErr w:type="spellStart"/>
      <w:r w:rsidRPr="00252748">
        <w:rPr>
          <w:rFonts w:ascii="Times New Roman" w:hAnsi="Times New Roman"/>
          <w:lang w:val="it-IT"/>
        </w:rPr>
        <w:t>Submitted</w:t>
      </w:r>
      <w:proofErr w:type="spellEnd"/>
      <w:r w:rsidRPr="00252748">
        <w:rPr>
          <w:rFonts w:ascii="Times New Roman" w:hAnsi="Times New Roman"/>
          <w:lang w:val="it-IT"/>
        </w:rPr>
        <w:t xml:space="preserve"> 2021.</w:t>
      </w:r>
    </w:p>
    <w:p w14:paraId="208E14C7" w14:textId="10D5F947" w:rsidR="00252748" w:rsidRDefault="00252748" w:rsidP="00252748">
      <w:pPr>
        <w:pStyle w:val="FirstParagraph"/>
        <w:numPr>
          <w:ilvl w:val="0"/>
          <w:numId w:val="1"/>
        </w:numPr>
        <w:tabs>
          <w:tab w:val="left" w:pos="426"/>
        </w:tabs>
        <w:spacing w:line="240" w:lineRule="auto"/>
        <w:rPr>
          <w:rFonts w:ascii="Times New Roman" w:hAnsi="Times New Roman"/>
          <w:lang w:val="it-IT"/>
        </w:rPr>
      </w:pPr>
      <w:proofErr w:type="spellStart"/>
      <w:r w:rsidRPr="00252748">
        <w:rPr>
          <w:rFonts w:ascii="Times New Roman" w:hAnsi="Times New Roman"/>
          <w:lang w:val="it-IT"/>
        </w:rPr>
        <w:t>Petrescu</w:t>
      </w:r>
      <w:proofErr w:type="spellEnd"/>
      <w:r w:rsidRPr="00252748">
        <w:rPr>
          <w:rFonts w:ascii="Times New Roman" w:hAnsi="Times New Roman"/>
          <w:lang w:val="it-IT"/>
        </w:rPr>
        <w:t xml:space="preserve"> L, </w:t>
      </w:r>
      <w:proofErr w:type="spellStart"/>
      <w:r w:rsidRPr="00252748">
        <w:rPr>
          <w:rFonts w:ascii="Times New Roman" w:hAnsi="Times New Roman"/>
          <w:lang w:val="it-IT"/>
        </w:rPr>
        <w:t>Burca</w:t>
      </w:r>
      <w:proofErr w:type="spellEnd"/>
      <w:r w:rsidRPr="00252748">
        <w:rPr>
          <w:rFonts w:ascii="Times New Roman" w:hAnsi="Times New Roman"/>
          <w:lang w:val="it-IT"/>
        </w:rPr>
        <w:t xml:space="preserve"> S, Fermeglia M, Mio A, </w:t>
      </w:r>
      <w:proofErr w:type="spellStart"/>
      <w:r w:rsidRPr="00252748">
        <w:rPr>
          <w:rFonts w:ascii="Times New Roman" w:hAnsi="Times New Roman"/>
          <w:lang w:val="it-IT"/>
        </w:rPr>
        <w:t>Cormos</w:t>
      </w:r>
      <w:proofErr w:type="spellEnd"/>
      <w:r w:rsidRPr="00252748">
        <w:rPr>
          <w:rFonts w:ascii="Times New Roman" w:hAnsi="Times New Roman"/>
          <w:lang w:val="it-IT"/>
        </w:rPr>
        <w:t xml:space="preserve"> CC.</w:t>
      </w:r>
      <w:r>
        <w:rPr>
          <w:rFonts w:ascii="Times New Roman" w:hAnsi="Times New Roman"/>
          <w:lang w:val="it-IT"/>
        </w:rPr>
        <w:t>,</w:t>
      </w:r>
      <w:r w:rsidRPr="00252748">
        <w:rPr>
          <w:rFonts w:ascii="Times New Roman" w:hAnsi="Times New Roman"/>
          <w:lang w:val="en-GB"/>
        </w:rPr>
        <w:t xml:space="preserve"> </w:t>
      </w:r>
      <w:r w:rsidRPr="00252748">
        <w:rPr>
          <w:rFonts w:ascii="Times New Roman" w:hAnsi="Times New Roman"/>
          <w:lang w:val="it-IT"/>
        </w:rPr>
        <w:t>J Water Process Eng 2021;41.</w:t>
      </w:r>
    </w:p>
    <w:p w14:paraId="7EC713AC" w14:textId="1F2C916E" w:rsidR="00252748" w:rsidRPr="00252748" w:rsidRDefault="00252748" w:rsidP="00252748">
      <w:pPr>
        <w:pStyle w:val="FirstParagraph"/>
        <w:numPr>
          <w:ilvl w:val="0"/>
          <w:numId w:val="1"/>
        </w:numPr>
        <w:tabs>
          <w:tab w:val="left" w:pos="426"/>
        </w:tabs>
        <w:spacing w:line="240" w:lineRule="auto"/>
        <w:rPr>
          <w:rFonts w:ascii="Times New Roman" w:hAnsi="Times New Roman"/>
          <w:lang w:val="en-GB"/>
        </w:rPr>
      </w:pPr>
      <w:proofErr w:type="spellStart"/>
      <w:r w:rsidRPr="00252748">
        <w:rPr>
          <w:rFonts w:ascii="Times New Roman" w:hAnsi="Times New Roman"/>
          <w:lang w:val="en-GB"/>
        </w:rPr>
        <w:t>Lodato</w:t>
      </w:r>
      <w:proofErr w:type="spellEnd"/>
      <w:r w:rsidRPr="00252748">
        <w:rPr>
          <w:rFonts w:ascii="Times New Roman" w:hAnsi="Times New Roman"/>
          <w:lang w:val="en-GB"/>
        </w:rPr>
        <w:t xml:space="preserve"> C, </w:t>
      </w:r>
      <w:proofErr w:type="spellStart"/>
      <w:r w:rsidRPr="00252748">
        <w:rPr>
          <w:rFonts w:ascii="Times New Roman" w:hAnsi="Times New Roman"/>
          <w:lang w:val="en-GB"/>
        </w:rPr>
        <w:t>Tonini</w:t>
      </w:r>
      <w:proofErr w:type="spellEnd"/>
      <w:r w:rsidRPr="00252748">
        <w:rPr>
          <w:rFonts w:ascii="Times New Roman" w:hAnsi="Times New Roman"/>
          <w:lang w:val="en-GB"/>
        </w:rPr>
        <w:t xml:space="preserve"> D, </w:t>
      </w:r>
      <w:proofErr w:type="spellStart"/>
      <w:r w:rsidRPr="00252748">
        <w:rPr>
          <w:rFonts w:ascii="Times New Roman" w:hAnsi="Times New Roman"/>
          <w:lang w:val="en-GB"/>
        </w:rPr>
        <w:t>Damgaard</w:t>
      </w:r>
      <w:proofErr w:type="spellEnd"/>
      <w:r w:rsidRPr="00252748">
        <w:rPr>
          <w:rFonts w:ascii="Times New Roman" w:hAnsi="Times New Roman"/>
          <w:lang w:val="en-GB"/>
        </w:rPr>
        <w:t xml:space="preserve"> A, </w:t>
      </w:r>
      <w:proofErr w:type="spellStart"/>
      <w:r w:rsidRPr="00252748">
        <w:rPr>
          <w:rFonts w:ascii="Times New Roman" w:hAnsi="Times New Roman"/>
          <w:lang w:val="en-GB"/>
        </w:rPr>
        <w:t>Fruergaard</w:t>
      </w:r>
      <w:proofErr w:type="spellEnd"/>
      <w:r w:rsidRPr="00252748">
        <w:rPr>
          <w:rFonts w:ascii="Times New Roman" w:hAnsi="Times New Roman"/>
          <w:lang w:val="en-GB"/>
        </w:rPr>
        <w:t xml:space="preserve"> </w:t>
      </w:r>
      <w:proofErr w:type="spellStart"/>
      <w:r w:rsidRPr="00252748">
        <w:rPr>
          <w:rFonts w:ascii="Times New Roman" w:hAnsi="Times New Roman"/>
          <w:lang w:val="en-GB"/>
        </w:rPr>
        <w:t>Astrup</w:t>
      </w:r>
      <w:proofErr w:type="spellEnd"/>
      <w:r w:rsidRPr="00252748">
        <w:rPr>
          <w:rFonts w:ascii="Times New Roman" w:hAnsi="Times New Roman"/>
          <w:lang w:val="en-GB"/>
        </w:rPr>
        <w:t xml:space="preserve"> T.</w:t>
      </w:r>
      <w:r>
        <w:rPr>
          <w:rFonts w:ascii="Times New Roman" w:hAnsi="Times New Roman"/>
          <w:lang w:val="en-GB"/>
        </w:rPr>
        <w:t>,</w:t>
      </w:r>
      <w:r w:rsidRPr="00252748">
        <w:rPr>
          <w:rFonts w:ascii="Times New Roman" w:hAnsi="Times New Roman"/>
          <w:lang w:val="en-GB"/>
        </w:rPr>
        <w:t xml:space="preserve"> Int J Life Cycle Assess 2020;25:73–88. </w:t>
      </w:r>
    </w:p>
    <w:p w14:paraId="389714F4" w14:textId="7E0166F5" w:rsidR="00252748" w:rsidRPr="00252748" w:rsidRDefault="00252748" w:rsidP="00252748">
      <w:pPr>
        <w:pStyle w:val="FirstParagraph"/>
        <w:numPr>
          <w:ilvl w:val="0"/>
          <w:numId w:val="1"/>
        </w:numPr>
        <w:tabs>
          <w:tab w:val="left" w:pos="426"/>
        </w:tabs>
        <w:spacing w:line="240" w:lineRule="auto"/>
        <w:rPr>
          <w:rFonts w:ascii="Times New Roman" w:hAnsi="Times New Roman"/>
          <w:lang w:val="en-GB"/>
        </w:rPr>
      </w:pPr>
      <w:r w:rsidRPr="00252748">
        <w:rPr>
          <w:rFonts w:ascii="Times New Roman" w:hAnsi="Times New Roman"/>
          <w:lang w:val="en-GB"/>
        </w:rPr>
        <w:t>Gonzalez-</w:t>
      </w:r>
      <w:proofErr w:type="spellStart"/>
      <w:r w:rsidRPr="00252748">
        <w:rPr>
          <w:rFonts w:ascii="Times New Roman" w:hAnsi="Times New Roman"/>
          <w:lang w:val="en-GB"/>
        </w:rPr>
        <w:t>Garay</w:t>
      </w:r>
      <w:proofErr w:type="spellEnd"/>
      <w:r w:rsidRPr="00252748">
        <w:rPr>
          <w:rFonts w:ascii="Times New Roman" w:hAnsi="Times New Roman"/>
          <w:lang w:val="en-GB"/>
        </w:rPr>
        <w:t xml:space="preserve"> A, Guillen-</w:t>
      </w:r>
      <w:proofErr w:type="spellStart"/>
      <w:r w:rsidRPr="00252748">
        <w:rPr>
          <w:rFonts w:ascii="Times New Roman" w:hAnsi="Times New Roman"/>
          <w:lang w:val="en-GB"/>
        </w:rPr>
        <w:t>Gosalbez</w:t>
      </w:r>
      <w:proofErr w:type="spellEnd"/>
      <w:r w:rsidRPr="00252748">
        <w:rPr>
          <w:rFonts w:ascii="Times New Roman" w:hAnsi="Times New Roman"/>
          <w:lang w:val="en-GB"/>
        </w:rPr>
        <w:t xml:space="preserve"> G. SUSCAPE.</w:t>
      </w:r>
      <w:r>
        <w:rPr>
          <w:rFonts w:ascii="Times New Roman" w:hAnsi="Times New Roman"/>
          <w:lang w:val="en-GB"/>
        </w:rPr>
        <w:t>,</w:t>
      </w:r>
      <w:r w:rsidRPr="00252748">
        <w:rPr>
          <w:rFonts w:ascii="Times New Roman" w:hAnsi="Times New Roman"/>
          <w:lang w:val="en-GB"/>
        </w:rPr>
        <w:t xml:space="preserve"> Chem </w:t>
      </w:r>
      <w:proofErr w:type="spellStart"/>
      <w:r w:rsidRPr="00252748">
        <w:rPr>
          <w:rFonts w:ascii="Times New Roman" w:hAnsi="Times New Roman"/>
          <w:lang w:val="en-GB"/>
        </w:rPr>
        <w:t>Eng</w:t>
      </w:r>
      <w:proofErr w:type="spellEnd"/>
      <w:r w:rsidRPr="00252748">
        <w:rPr>
          <w:rFonts w:ascii="Times New Roman" w:hAnsi="Times New Roman"/>
          <w:lang w:val="en-GB"/>
        </w:rPr>
        <w:t xml:space="preserve"> Res Des 2018;137:246–64.</w:t>
      </w:r>
    </w:p>
    <w:p w14:paraId="2CFD5C04" w14:textId="3E785745" w:rsidR="00252748" w:rsidRPr="00252748" w:rsidRDefault="00252748" w:rsidP="00252748">
      <w:pPr>
        <w:pStyle w:val="FirstParagraph"/>
        <w:numPr>
          <w:ilvl w:val="0"/>
          <w:numId w:val="1"/>
        </w:numPr>
        <w:tabs>
          <w:tab w:val="left" w:pos="426"/>
        </w:tabs>
        <w:spacing w:line="240" w:lineRule="auto"/>
        <w:rPr>
          <w:rFonts w:ascii="Times New Roman" w:hAnsi="Times New Roman"/>
          <w:lang w:val="en-GB"/>
        </w:rPr>
      </w:pPr>
      <w:r w:rsidRPr="00252748">
        <w:rPr>
          <w:rFonts w:ascii="Times New Roman" w:hAnsi="Times New Roman"/>
          <w:lang w:val="en-GB"/>
        </w:rPr>
        <w:t xml:space="preserve">Calvo-Serrano R, González-Miquel M, </w:t>
      </w:r>
      <w:proofErr w:type="spellStart"/>
      <w:r w:rsidRPr="00252748">
        <w:rPr>
          <w:rFonts w:ascii="Times New Roman" w:hAnsi="Times New Roman"/>
          <w:lang w:val="en-GB"/>
        </w:rPr>
        <w:t>Papadokonstantakis</w:t>
      </w:r>
      <w:proofErr w:type="spellEnd"/>
      <w:r w:rsidRPr="00252748">
        <w:rPr>
          <w:rFonts w:ascii="Times New Roman" w:hAnsi="Times New Roman"/>
          <w:lang w:val="en-GB"/>
        </w:rPr>
        <w:t xml:space="preserve"> S, </w:t>
      </w:r>
      <w:proofErr w:type="spellStart"/>
      <w:r w:rsidRPr="00252748">
        <w:rPr>
          <w:rFonts w:ascii="Times New Roman" w:hAnsi="Times New Roman"/>
          <w:lang w:val="en-GB"/>
        </w:rPr>
        <w:t>Guillén-Gosálbez</w:t>
      </w:r>
      <w:proofErr w:type="spellEnd"/>
      <w:r w:rsidRPr="00252748">
        <w:rPr>
          <w:rFonts w:ascii="Times New Roman" w:hAnsi="Times New Roman"/>
          <w:lang w:val="en-GB"/>
        </w:rPr>
        <w:t xml:space="preserve"> G.</w:t>
      </w:r>
      <w:r>
        <w:rPr>
          <w:rFonts w:ascii="Times New Roman" w:hAnsi="Times New Roman"/>
          <w:lang w:val="en-GB"/>
        </w:rPr>
        <w:t>,</w:t>
      </w:r>
      <w:r w:rsidRPr="00252748">
        <w:rPr>
          <w:rFonts w:ascii="Times New Roman" w:hAnsi="Times New Roman"/>
          <w:lang w:val="en-GB"/>
        </w:rPr>
        <w:t xml:space="preserve"> </w:t>
      </w:r>
      <w:proofErr w:type="spellStart"/>
      <w:r w:rsidRPr="00252748">
        <w:rPr>
          <w:rFonts w:ascii="Times New Roman" w:hAnsi="Times New Roman"/>
          <w:lang w:val="en-GB"/>
        </w:rPr>
        <w:t>Comput</w:t>
      </w:r>
      <w:proofErr w:type="spellEnd"/>
      <w:r w:rsidRPr="00252748">
        <w:rPr>
          <w:rFonts w:ascii="Times New Roman" w:hAnsi="Times New Roman"/>
          <w:lang w:val="en-GB"/>
        </w:rPr>
        <w:t xml:space="preserve"> Chem </w:t>
      </w:r>
      <w:proofErr w:type="spellStart"/>
      <w:r w:rsidRPr="00252748">
        <w:rPr>
          <w:rFonts w:ascii="Times New Roman" w:hAnsi="Times New Roman"/>
          <w:lang w:val="en-GB"/>
        </w:rPr>
        <w:t>Eng</w:t>
      </w:r>
      <w:proofErr w:type="spellEnd"/>
      <w:r w:rsidRPr="00252748">
        <w:rPr>
          <w:rFonts w:ascii="Times New Roman" w:hAnsi="Times New Roman"/>
          <w:lang w:val="en-GB"/>
        </w:rPr>
        <w:t xml:space="preserve"> 2018;108:179–93.</w:t>
      </w:r>
    </w:p>
    <w:sectPr w:rsidR="00252748" w:rsidRPr="00252748" w:rsidSect="001D0E0C">
      <w:headerReference w:type="default" r:id="rId13"/>
      <w:headerReference w:type="first" r:id="rId14"/>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3AAB" w14:textId="77777777" w:rsidR="00DE7A43" w:rsidRDefault="00DE7A43" w:rsidP="001D0E0C">
      <w:pPr>
        <w:spacing w:after="0" w:line="240" w:lineRule="auto"/>
      </w:pPr>
      <w:r>
        <w:separator/>
      </w:r>
    </w:p>
  </w:endnote>
  <w:endnote w:type="continuationSeparator" w:id="0">
    <w:p w14:paraId="3D1E98C6" w14:textId="77777777" w:rsidR="00DE7A43" w:rsidRDefault="00DE7A43"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2AC2" w14:textId="77777777" w:rsidR="00DE7A43" w:rsidRDefault="00DE7A43" w:rsidP="001D0E0C">
      <w:pPr>
        <w:spacing w:after="0" w:line="240" w:lineRule="auto"/>
      </w:pPr>
      <w:r>
        <w:separator/>
      </w:r>
    </w:p>
  </w:footnote>
  <w:footnote w:type="continuationSeparator" w:id="0">
    <w:p w14:paraId="767C2144" w14:textId="77777777" w:rsidR="00DE7A43" w:rsidRDefault="00DE7A43"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BF7" w14:textId="24434349" w:rsidR="001D0E0C" w:rsidRPr="001B060D" w:rsidRDefault="001B060D" w:rsidP="001B060D">
    <w:pPr>
      <w:pStyle w:val="Intestazione"/>
      <w:jc w:val="center"/>
    </w:pPr>
    <w:r w:rsidRPr="005C2A12">
      <w:rPr>
        <w:b/>
        <w:i/>
        <w:color w:val="2E74B5" w:themeColor="accent5" w:themeShade="BF"/>
        <w:sz w:val="24"/>
        <w:szCs w:val="24"/>
      </w:rPr>
      <w:t>GRICU 2022, Ischia, (</w:t>
    </w:r>
    <w:proofErr w:type="spellStart"/>
    <w:r w:rsidRPr="005C2A12">
      <w:rPr>
        <w:b/>
        <w:i/>
        <w:color w:val="2E74B5" w:themeColor="accent5" w:themeShade="BF"/>
        <w:sz w:val="24"/>
        <w:szCs w:val="24"/>
      </w:rPr>
      <w:t>Italy</w:t>
    </w:r>
    <w:proofErr w:type="spellEnd"/>
    <w:r w:rsidRPr="005C2A12">
      <w:rPr>
        <w:b/>
        <w:i/>
        <w:color w:val="2E74B5" w:themeColor="accent5" w:themeShade="BF"/>
        <w:sz w:val="24"/>
        <w:szCs w:val="24"/>
      </w:rPr>
      <w:t xml:space="preserve">),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D5F" w14:textId="292CCFE8" w:rsidR="001D0E0C" w:rsidRDefault="00F24290" w:rsidP="000517B4">
    <w:pPr>
      <w:pStyle w:val="Intestazione"/>
      <w:tabs>
        <w:tab w:val="left" w:pos="1188"/>
      </w:tabs>
      <w:jc w:val="center"/>
      <w:rPr>
        <w:b/>
        <w:i/>
        <w:color w:val="2E74B5" w:themeColor="accent5" w:themeShade="BF"/>
        <w:sz w:val="24"/>
        <w:szCs w:val="24"/>
      </w:rPr>
    </w:pPr>
    <w:r>
      <w:rPr>
        <w:b/>
        <w:i/>
        <w:noProof/>
        <w:color w:val="2E74B5" w:themeColor="accent5" w:themeShade="BF"/>
        <w:sz w:val="24"/>
        <w:szCs w:val="24"/>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GRICU 2022, Ischia, (</w:t>
    </w:r>
    <w:proofErr w:type="spellStart"/>
    <w:r w:rsidR="000517B4" w:rsidRPr="005C2A12">
      <w:rPr>
        <w:b/>
        <w:i/>
        <w:color w:val="2E74B5" w:themeColor="accent5" w:themeShade="BF"/>
        <w:sz w:val="24"/>
        <w:szCs w:val="24"/>
      </w:rPr>
      <w:t>Italy</w:t>
    </w:r>
    <w:proofErr w:type="spellEnd"/>
    <w:r w:rsidR="000517B4" w:rsidRPr="005C2A12">
      <w:rPr>
        <w:b/>
        <w:i/>
        <w:color w:val="2E74B5" w:themeColor="accent5" w:themeShade="BF"/>
        <w:sz w:val="24"/>
        <w:szCs w:val="24"/>
      </w:rPr>
      <w:t xml:space="preserve">), </w:t>
    </w:r>
    <w:proofErr w:type="spellStart"/>
    <w:r w:rsidR="000517B4" w:rsidRPr="005C2A12">
      <w:rPr>
        <w:b/>
        <w:i/>
        <w:color w:val="2E74B5" w:themeColor="accent5" w:themeShade="BF"/>
        <w:sz w:val="24"/>
        <w:szCs w:val="24"/>
      </w:rPr>
      <w:t>July</w:t>
    </w:r>
    <w:proofErr w:type="spellEnd"/>
    <w:r w:rsidR="000517B4" w:rsidRPr="005C2A12">
      <w:rPr>
        <w:b/>
        <w:i/>
        <w:color w:val="2E74B5" w:themeColor="accent5" w:themeShade="BF"/>
        <w:sz w:val="24"/>
        <w:szCs w:val="24"/>
      </w:rPr>
      <w:t xml:space="preserve"> 3-6, 2022</w:t>
    </w:r>
  </w:p>
  <w:p w14:paraId="14E4AC61" w14:textId="77777777" w:rsidR="008871B1" w:rsidRPr="005C2A12" w:rsidRDefault="008871B1" w:rsidP="000517B4">
    <w:pPr>
      <w:pStyle w:val="Intestazione"/>
      <w:tabs>
        <w:tab w:val="left" w:pos="1188"/>
      </w:tabs>
      <w:jc w:val="center"/>
      <w:rPr>
        <w:b/>
        <w:i/>
        <w:color w:val="2E74B5" w:themeColor="accent5" w:themeShade="BF"/>
        <w:sz w:val="24"/>
        <w:szCs w:val="24"/>
      </w:rPr>
    </w:pPr>
  </w:p>
  <w:p w14:paraId="2DF8C760" w14:textId="77777777" w:rsidR="001D0E0C" w:rsidRDefault="000517B4" w:rsidP="001D0E0C">
    <w:pPr>
      <w:pStyle w:val="Intestazione"/>
      <w:jc w:val="center"/>
    </w:pPr>
    <w:r w:rsidRPr="005C2A12">
      <w:rPr>
        <w:noProof/>
        <w:color w:val="00B0F0"/>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5AD973"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A12"/>
    <w:multiLevelType w:val="hybridMultilevel"/>
    <w:tmpl w:val="3B127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3CC2121B"/>
    <w:multiLevelType w:val="hybridMultilevel"/>
    <w:tmpl w:val="97308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205803"/>
    <w:multiLevelType w:val="multilevel"/>
    <w:tmpl w:val="544C3CEC"/>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1560" w:firstLine="0"/>
      </w:pPr>
      <w:rPr>
        <w:lang w:val="en-GB"/>
      </w:r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A3"/>
    <w:rsid w:val="0002245D"/>
    <w:rsid w:val="000517B4"/>
    <w:rsid w:val="000B2F49"/>
    <w:rsid w:val="000E5DCE"/>
    <w:rsid w:val="001368AE"/>
    <w:rsid w:val="00177AAD"/>
    <w:rsid w:val="0018667F"/>
    <w:rsid w:val="001B060D"/>
    <w:rsid w:val="001D0E0C"/>
    <w:rsid w:val="001D1859"/>
    <w:rsid w:val="001E0177"/>
    <w:rsid w:val="001F761C"/>
    <w:rsid w:val="00252748"/>
    <w:rsid w:val="00286627"/>
    <w:rsid w:val="00292E92"/>
    <w:rsid w:val="002A40A9"/>
    <w:rsid w:val="002E4D61"/>
    <w:rsid w:val="003C6D7A"/>
    <w:rsid w:val="003F160A"/>
    <w:rsid w:val="00402674"/>
    <w:rsid w:val="0040573C"/>
    <w:rsid w:val="004238E1"/>
    <w:rsid w:val="00426C9D"/>
    <w:rsid w:val="00464BFC"/>
    <w:rsid w:val="00486D5B"/>
    <w:rsid w:val="004C56B4"/>
    <w:rsid w:val="00513C34"/>
    <w:rsid w:val="005B71B2"/>
    <w:rsid w:val="005C2A12"/>
    <w:rsid w:val="005F08FA"/>
    <w:rsid w:val="005F6887"/>
    <w:rsid w:val="00624E1A"/>
    <w:rsid w:val="0069773A"/>
    <w:rsid w:val="00697CD6"/>
    <w:rsid w:val="006B2EF4"/>
    <w:rsid w:val="006B71E7"/>
    <w:rsid w:val="006F2347"/>
    <w:rsid w:val="0071230C"/>
    <w:rsid w:val="00723A70"/>
    <w:rsid w:val="00814B70"/>
    <w:rsid w:val="008871B1"/>
    <w:rsid w:val="008B7582"/>
    <w:rsid w:val="00907036"/>
    <w:rsid w:val="00917150"/>
    <w:rsid w:val="00A22761"/>
    <w:rsid w:val="00A96DAD"/>
    <w:rsid w:val="00AB1801"/>
    <w:rsid w:val="00B27AD5"/>
    <w:rsid w:val="00B74190"/>
    <w:rsid w:val="00C0206F"/>
    <w:rsid w:val="00C40840"/>
    <w:rsid w:val="00C60262"/>
    <w:rsid w:val="00C62D97"/>
    <w:rsid w:val="00C654C7"/>
    <w:rsid w:val="00C81D4B"/>
    <w:rsid w:val="00CA3197"/>
    <w:rsid w:val="00CB0350"/>
    <w:rsid w:val="00CF2648"/>
    <w:rsid w:val="00D03DB3"/>
    <w:rsid w:val="00D17D1A"/>
    <w:rsid w:val="00D234CA"/>
    <w:rsid w:val="00D322F1"/>
    <w:rsid w:val="00D412A9"/>
    <w:rsid w:val="00D926BF"/>
    <w:rsid w:val="00D94E2A"/>
    <w:rsid w:val="00DA51A3"/>
    <w:rsid w:val="00DB642A"/>
    <w:rsid w:val="00DC015A"/>
    <w:rsid w:val="00DD2D8C"/>
    <w:rsid w:val="00DD2E42"/>
    <w:rsid w:val="00DE7A43"/>
    <w:rsid w:val="00E1330C"/>
    <w:rsid w:val="00E15B2B"/>
    <w:rsid w:val="00E92417"/>
    <w:rsid w:val="00EE7C27"/>
    <w:rsid w:val="00EF6CB5"/>
    <w:rsid w:val="00F24290"/>
    <w:rsid w:val="00F77F8F"/>
    <w:rsid w:val="00F848B2"/>
    <w:rsid w:val="00FB3DED"/>
    <w:rsid w:val="00FE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12EF"/>
  <w15:chartTrackingRefBased/>
  <w15:docId w15:val="{3B6D404C-605B-49FC-90A5-F1672094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71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rstParagraph">
    <w:name w:val="First Paragraph"/>
    <w:basedOn w:val="Normale"/>
    <w:rsid w:val="00DA51A3"/>
    <w:pPr>
      <w:spacing w:after="0" w:line="240" w:lineRule="atLeast"/>
      <w:jc w:val="both"/>
    </w:pPr>
    <w:rPr>
      <w:rFonts w:ascii="Times" w:eastAsia="Times New Roman" w:hAnsi="Times" w:cs="Times New Roman"/>
      <w:sz w:val="20"/>
      <w:szCs w:val="20"/>
      <w:lang w:val="en-US"/>
    </w:rPr>
  </w:style>
  <w:style w:type="paragraph" w:styleId="Intestazione">
    <w:name w:val="header"/>
    <w:basedOn w:val="Normale"/>
    <w:link w:val="IntestazioneCarattere"/>
    <w:uiPriority w:val="99"/>
    <w:unhideWhenUsed/>
    <w:rsid w:val="001D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0E0C"/>
  </w:style>
  <w:style w:type="paragraph" w:styleId="Pidipagina">
    <w:name w:val="footer"/>
    <w:basedOn w:val="Normale"/>
    <w:link w:val="PidipaginaCarattere"/>
    <w:uiPriority w:val="99"/>
    <w:unhideWhenUsed/>
    <w:rsid w:val="001D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E0C"/>
  </w:style>
  <w:style w:type="paragraph" w:styleId="Testofumetto">
    <w:name w:val="Balloon Text"/>
    <w:basedOn w:val="Normale"/>
    <w:link w:val="TestofumettoCarattere"/>
    <w:uiPriority w:val="99"/>
    <w:semiHidden/>
    <w:unhideWhenUsed/>
    <w:rsid w:val="003F16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0A"/>
    <w:rPr>
      <w:rFonts w:ascii="Segoe UI" w:hAnsi="Segoe UI" w:cs="Segoe UI"/>
      <w:sz w:val="18"/>
      <w:szCs w:val="18"/>
    </w:rPr>
  </w:style>
  <w:style w:type="paragraph" w:styleId="Paragrafoelenco">
    <w:name w:val="List Paragraph"/>
    <w:basedOn w:val="Normale"/>
    <w:uiPriority w:val="34"/>
    <w:qFormat/>
    <w:rsid w:val="00C60262"/>
    <w:pPr>
      <w:ind w:left="720"/>
      <w:contextualSpacing/>
    </w:pPr>
  </w:style>
  <w:style w:type="paragraph" w:styleId="Didascalia">
    <w:name w:val="caption"/>
    <w:basedOn w:val="Normale"/>
    <w:next w:val="Normale"/>
    <w:uiPriority w:val="35"/>
    <w:qFormat/>
    <w:rsid w:val="00A96DAD"/>
    <w:pPr>
      <w:keepLines/>
      <w:widowControl w:val="0"/>
      <w:spacing w:before="200" w:after="240" w:line="200" w:lineRule="exact"/>
    </w:pPr>
    <w:rPr>
      <w:rFonts w:ascii="Times New Roman" w:eastAsia="SimSun" w:hAnsi="Times New Roman" w:cs="Times New Roman"/>
      <w:sz w:val="16"/>
      <w:szCs w:val="20"/>
      <w:lang w:val="en-GB"/>
    </w:rPr>
  </w:style>
  <w:style w:type="paragraph" w:customStyle="1" w:styleId="Els-1storder-head">
    <w:name w:val="Els-1storder-head"/>
    <w:next w:val="Els-body-text"/>
    <w:rsid w:val="00A96DAD"/>
    <w:pPr>
      <w:keepNext/>
      <w:numPr>
        <w:numId w:val="4"/>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96DAD"/>
    <w:pPr>
      <w:keepNext/>
      <w:numPr>
        <w:ilvl w:val="1"/>
        <w:numId w:val="4"/>
      </w:numPr>
      <w:suppressAutoHyphens/>
      <w:spacing w:before="240" w:after="240" w:line="240" w:lineRule="exact"/>
      <w:ind w:left="0"/>
    </w:pPr>
    <w:rPr>
      <w:rFonts w:ascii="Times New Roman" w:eastAsia="SimSun" w:hAnsi="Times New Roman" w:cs="Times New Roman"/>
      <w:i/>
      <w:sz w:val="20"/>
      <w:szCs w:val="20"/>
      <w:lang w:val="en-US"/>
    </w:rPr>
  </w:style>
  <w:style w:type="paragraph" w:customStyle="1" w:styleId="Els-3rdorder-head">
    <w:name w:val="Els-3rdorder-head"/>
    <w:next w:val="Els-body-text"/>
    <w:rsid w:val="00A96DAD"/>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96DAD"/>
    <w:pPr>
      <w:keepNext/>
      <w:numPr>
        <w:ilvl w:val="3"/>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A96DAD"/>
    <w:pPr>
      <w:spacing w:after="0" w:line="240" w:lineRule="exact"/>
      <w:ind w:firstLine="238"/>
      <w:jc w:val="both"/>
    </w:pPr>
    <w:rPr>
      <w:rFonts w:ascii="Times New Roman" w:eastAsia="SimSun" w:hAnsi="Times New Roman" w:cs="Times New Roman"/>
      <w:sz w:val="20"/>
      <w:szCs w:val="20"/>
      <w:lang w:val="en-US"/>
    </w:rPr>
  </w:style>
  <w:style w:type="paragraph" w:styleId="Sottotitolo">
    <w:name w:val="Subtitle"/>
    <w:basedOn w:val="Normale"/>
    <w:next w:val="Normale"/>
    <w:link w:val="SottotitoloCarattere"/>
    <w:uiPriority w:val="11"/>
    <w:qFormat/>
    <w:rsid w:val="00C81D4B"/>
    <w:pPr>
      <w:jc w:val="center"/>
    </w:pPr>
    <w:rPr>
      <w:rFonts w:ascii="Calibri" w:eastAsia="Calibri" w:hAnsi="Calibri" w:cs="Calibri"/>
      <w:color w:val="5A5A5A"/>
      <w:lang w:val="en-GB" w:eastAsia="it-IT"/>
    </w:rPr>
  </w:style>
  <w:style w:type="character" w:customStyle="1" w:styleId="SottotitoloCarattere">
    <w:name w:val="Sottotitolo Carattere"/>
    <w:basedOn w:val="Carpredefinitoparagrafo"/>
    <w:link w:val="Sottotitolo"/>
    <w:uiPriority w:val="11"/>
    <w:rsid w:val="00C81D4B"/>
    <w:rPr>
      <w:rFonts w:ascii="Calibri" w:eastAsia="Calibri" w:hAnsi="Calibri" w:cs="Calibri"/>
      <w:color w:val="5A5A5A"/>
      <w:lang w:val="en-GB" w:eastAsia="it-IT"/>
    </w:rPr>
  </w:style>
  <w:style w:type="character" w:styleId="Collegamentoipertestuale">
    <w:name w:val="Hyperlink"/>
    <w:basedOn w:val="Carpredefinitoparagrafo"/>
    <w:uiPriority w:val="99"/>
    <w:unhideWhenUsed/>
    <w:rsid w:val="00C81D4B"/>
    <w:rPr>
      <w:color w:val="0563C1" w:themeColor="hyperlink"/>
      <w:u w:val="single"/>
    </w:rPr>
  </w:style>
  <w:style w:type="paragraph" w:customStyle="1" w:styleId="FigureCaptionwhec">
    <w:name w:val="FigureCaption_whec"/>
    <w:basedOn w:val="Normale"/>
    <w:link w:val="FigureCaptionwhecChar"/>
    <w:qFormat/>
    <w:rsid w:val="00DB642A"/>
    <w:pPr>
      <w:tabs>
        <w:tab w:val="left" w:pos="-720"/>
      </w:tabs>
      <w:spacing w:after="120" w:line="240" w:lineRule="auto"/>
      <w:jc w:val="center"/>
    </w:pPr>
    <w:rPr>
      <w:rFonts w:ascii="Arial" w:hAnsi="Arial" w:cs="Arial"/>
      <w:sz w:val="18"/>
      <w:lang w:val="en-CA"/>
    </w:rPr>
  </w:style>
  <w:style w:type="character" w:customStyle="1" w:styleId="FigureCaptionwhecChar">
    <w:name w:val="FigureCaption_whec Char"/>
    <w:basedOn w:val="Carpredefinitoparagrafo"/>
    <w:link w:val="FigureCaptionwhec"/>
    <w:rsid w:val="00DB642A"/>
    <w:rPr>
      <w:rFonts w:ascii="Arial" w:hAnsi="Arial" w:cs="Arial"/>
      <w:sz w:val="18"/>
      <w:lang w:val="en-CA"/>
    </w:rPr>
  </w:style>
  <w:style w:type="table" w:customStyle="1" w:styleId="Tabellagriglia3-colore31">
    <w:name w:val="Tabella griglia 3 - colore 31"/>
    <w:basedOn w:val="Tabellanormale"/>
    <w:uiPriority w:val="48"/>
    <w:rsid w:val="00DB642A"/>
    <w:pPr>
      <w:spacing w:after="0" w:line="240" w:lineRule="auto"/>
    </w:pPr>
    <w:rPr>
      <w:rFonts w:ascii="Times New Roman" w:eastAsia="Times New Roman" w:hAnsi="Times New Roman" w:cs="Times New Roman"/>
      <w:sz w:val="24"/>
      <w:szCs w:val="24"/>
      <w:lang w:val="en-GB"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gliatab4">
    <w:name w:val="Grid Table 4"/>
    <w:basedOn w:val="Tabellanormale"/>
    <w:uiPriority w:val="49"/>
    <w:rsid w:val="00B7419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3-colore3">
    <w:name w:val="Grid Table 3 Accent 3"/>
    <w:basedOn w:val="Tabellanormale"/>
    <w:uiPriority w:val="48"/>
    <w:rsid w:val="000B2F49"/>
    <w:pPr>
      <w:spacing w:after="0" w:line="240" w:lineRule="auto"/>
    </w:pPr>
    <w:rPr>
      <w:rFonts w:ascii="Times New Roman" w:eastAsia="Times New Roman" w:hAnsi="Times New Roman" w:cs="Times New Roman"/>
      <w:sz w:val="24"/>
      <w:szCs w:val="24"/>
      <w:lang w:val="en-GB"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6acolori">
    <w:name w:val="Grid Table 6 Colorful"/>
    <w:basedOn w:val="Tabellanormale"/>
    <w:uiPriority w:val="51"/>
    <w:rsid w:val="000B2F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zionenonrisolta">
    <w:name w:val="Unresolved Mention"/>
    <w:basedOn w:val="Carpredefinitoparagrafo"/>
    <w:uiPriority w:val="99"/>
    <w:semiHidden/>
    <w:unhideWhenUsed/>
    <w:rsid w:val="00252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o@units.it"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3B49E1-7602-4CA3-8A39-5C6F65191D4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6</Pages>
  <Words>2901</Words>
  <Characters>16541</Characters>
  <Application>Microsoft Office Word</Application>
  <DocSecurity>0</DocSecurity>
  <Lines>137</Lines>
  <Paragraphs>38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andrea mio</cp:lastModifiedBy>
  <cp:revision>2</cp:revision>
  <cp:lastPrinted>2022-01-31T11:56:00Z</cp:lastPrinted>
  <dcterms:created xsi:type="dcterms:W3CDTF">2022-03-15T17:51:00Z</dcterms:created>
  <dcterms:modified xsi:type="dcterms:W3CDTF">2022-03-15T17:51:00Z</dcterms:modified>
</cp:coreProperties>
</file>