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30F9" w14:textId="2AFCF14D" w:rsidR="00DA51A3" w:rsidRPr="00466FFD" w:rsidRDefault="00382DAB" w:rsidP="00E425DA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 w:eastAsia="ko-KR"/>
        </w:rPr>
      </w:pPr>
      <w:r w:rsidRPr="00382DAB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Using 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M</w:t>
      </w:r>
      <w:r w:rsidRPr="00382DAB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achine 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L</w:t>
      </w:r>
      <w:r w:rsidRPr="00382DAB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earning </w:t>
      </w:r>
      <w:r w:rsidR="00E425DA">
        <w:rPr>
          <w:rFonts w:ascii="Times New Roman" w:eastAsia="MS PGothic" w:hAnsi="Times New Roman"/>
          <w:b/>
          <w:bCs/>
          <w:sz w:val="24"/>
          <w:szCs w:val="24"/>
          <w:lang w:val="en-US"/>
        </w:rPr>
        <w:t>T</w:t>
      </w:r>
      <w:r w:rsidRPr="00382DAB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ools for </w:t>
      </w:r>
      <w:r w:rsidR="00E425DA">
        <w:rPr>
          <w:rFonts w:ascii="Times New Roman" w:eastAsia="MS PGothic" w:hAnsi="Times New Roman"/>
          <w:b/>
          <w:bCs/>
          <w:sz w:val="24"/>
          <w:szCs w:val="24"/>
          <w:lang w:val="en-US"/>
        </w:rPr>
        <w:t>R</w:t>
      </w:r>
      <w:r w:rsidRPr="00382DAB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esidual </w:t>
      </w:r>
      <w:r w:rsidR="00E425DA">
        <w:rPr>
          <w:rFonts w:ascii="Times New Roman" w:eastAsia="MS PGothic" w:hAnsi="Times New Roman"/>
          <w:b/>
          <w:bCs/>
          <w:sz w:val="24"/>
          <w:szCs w:val="24"/>
          <w:lang w:val="en-US"/>
        </w:rPr>
        <w:t>M</w:t>
      </w:r>
      <w:r w:rsidRPr="00382DAB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oisture monitoring in </w:t>
      </w:r>
      <w:r w:rsidR="0098437A">
        <w:rPr>
          <w:rFonts w:ascii="Times New Roman" w:eastAsia="MS PGothic" w:hAnsi="Times New Roman"/>
          <w:b/>
          <w:bCs/>
          <w:sz w:val="24"/>
          <w:szCs w:val="24"/>
          <w:lang w:val="en-US"/>
        </w:rPr>
        <w:t>F</w:t>
      </w:r>
      <w:r w:rsidRPr="00382DAB">
        <w:rPr>
          <w:rFonts w:ascii="Times New Roman" w:eastAsia="MS PGothic" w:hAnsi="Times New Roman"/>
          <w:b/>
          <w:bCs/>
          <w:sz w:val="24"/>
          <w:szCs w:val="24"/>
          <w:lang w:val="en-US"/>
        </w:rPr>
        <w:t>reeze-</w:t>
      </w:r>
      <w:r w:rsidR="0098437A">
        <w:rPr>
          <w:rFonts w:ascii="Times New Roman" w:eastAsia="MS PGothic" w:hAnsi="Times New Roman"/>
          <w:b/>
          <w:bCs/>
          <w:sz w:val="24"/>
          <w:szCs w:val="24"/>
          <w:lang w:val="en-US"/>
        </w:rPr>
        <w:t>D</w:t>
      </w:r>
      <w:r w:rsidRPr="00382DAB">
        <w:rPr>
          <w:rFonts w:ascii="Times New Roman" w:eastAsia="MS PGothic" w:hAnsi="Times New Roman"/>
          <w:b/>
          <w:bCs/>
          <w:sz w:val="24"/>
          <w:szCs w:val="24"/>
          <w:lang w:val="en-US"/>
        </w:rPr>
        <w:t>rying process</w:t>
      </w:r>
      <w:r w:rsidR="001501AF">
        <w:rPr>
          <w:rFonts w:ascii="Times New Roman" w:eastAsia="MS PGothic" w:hAnsi="Times New Roman"/>
          <w:b/>
          <w:bCs/>
          <w:sz w:val="24"/>
          <w:szCs w:val="24"/>
          <w:lang w:val="en-US"/>
        </w:rPr>
        <w:t>es</w:t>
      </w:r>
      <w:r w:rsidRPr="00382DAB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</w:t>
      </w:r>
      <w:r w:rsidR="001501AF">
        <w:rPr>
          <w:rFonts w:ascii="Times New Roman" w:eastAsia="MS PGothic" w:hAnsi="Times New Roman"/>
          <w:b/>
          <w:bCs/>
          <w:sz w:val="24"/>
          <w:szCs w:val="24"/>
          <w:lang w:val="en-US"/>
        </w:rPr>
        <w:t>for</w:t>
      </w:r>
      <w:r w:rsidRPr="00382DAB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</w:t>
      </w:r>
      <w:r w:rsidR="0098437A">
        <w:rPr>
          <w:rFonts w:ascii="Times New Roman" w:eastAsia="MS PGothic" w:hAnsi="Times New Roman"/>
          <w:b/>
          <w:bCs/>
          <w:sz w:val="24"/>
          <w:szCs w:val="24"/>
          <w:lang w:val="en-US"/>
        </w:rPr>
        <w:t>P</w:t>
      </w:r>
      <w:r w:rsidRPr="00382DAB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harmaceutical </w:t>
      </w:r>
      <w:r w:rsidR="00E425DA">
        <w:rPr>
          <w:rFonts w:ascii="Times New Roman" w:eastAsia="MS PGothic" w:hAnsi="Times New Roman"/>
          <w:b/>
          <w:bCs/>
          <w:sz w:val="24"/>
          <w:szCs w:val="24"/>
          <w:lang w:val="en-US"/>
        </w:rPr>
        <w:t>A</w:t>
      </w:r>
      <w:r w:rsidRPr="00382DAB">
        <w:rPr>
          <w:rFonts w:ascii="Times New Roman" w:eastAsia="MS PGothic" w:hAnsi="Times New Roman"/>
          <w:b/>
          <w:bCs/>
          <w:sz w:val="24"/>
          <w:szCs w:val="24"/>
          <w:lang w:val="en-US"/>
        </w:rPr>
        <w:t>pplications</w:t>
      </w:r>
    </w:p>
    <w:p w14:paraId="243AAF34" w14:textId="1BF1071F" w:rsidR="00DA51A3" w:rsidRPr="008D0118" w:rsidRDefault="00382DAB" w:rsidP="001501AF">
      <w:pPr>
        <w:snapToGrid w:val="0"/>
        <w:jc w:val="center"/>
        <w:rPr>
          <w:rFonts w:ascii="Times New Roman" w:eastAsia="MS PGothic" w:hAnsi="Times New Roman"/>
          <w:sz w:val="24"/>
          <w:szCs w:val="24"/>
          <w:vertAlign w:val="superscript"/>
        </w:rPr>
      </w:pPr>
      <w:r w:rsidRPr="00382DAB">
        <w:rPr>
          <w:rFonts w:ascii="Times New Roman" w:eastAsia="SimSun" w:hAnsi="Times New Roman"/>
          <w:sz w:val="24"/>
          <w:szCs w:val="24"/>
          <w:lang w:eastAsia="zh-CN"/>
        </w:rPr>
        <w:t>Ambra Massei</w:t>
      </w:r>
      <w:r w:rsidR="00DA51A3" w:rsidRPr="00382DAB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="001501AF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,2</w:t>
      </w:r>
      <w:r w:rsidR="00DA51A3" w:rsidRPr="00382DAB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="001501AF">
        <w:rPr>
          <w:rFonts w:ascii="Times New Roman" w:eastAsia="SimSun" w:hAnsi="Times New Roman"/>
          <w:sz w:val="24"/>
          <w:szCs w:val="24"/>
          <w:lang w:eastAsia="zh-CN"/>
        </w:rPr>
        <w:t>Serena Bobba</w:t>
      </w:r>
      <w:r w:rsidR="001501AF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1,2</w:t>
      </w:r>
      <w:r>
        <w:rPr>
          <w:rFonts w:ascii="Times New Roman" w:eastAsia="SimSun" w:hAnsi="Times New Roman"/>
          <w:sz w:val="24"/>
          <w:szCs w:val="24"/>
          <w:lang w:eastAsia="zh-CN"/>
        </w:rPr>
        <w:t>, Nunzio Zinfollino</w:t>
      </w:r>
      <w:r w:rsidRPr="00382DAB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="001501AF">
        <w:rPr>
          <w:rFonts w:ascii="Times New Roman" w:eastAsia="SimSun" w:hAnsi="Times New Roman"/>
          <w:sz w:val="24"/>
          <w:szCs w:val="24"/>
          <w:lang w:eastAsia="zh-CN"/>
        </w:rPr>
        <w:t>Davide Fissore</w:t>
      </w:r>
      <w:r w:rsidR="001501AF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="001501AF" w:rsidRPr="00382DAB">
        <w:rPr>
          <w:rFonts w:ascii="Times New Roman" w:eastAsia="SimSun" w:hAnsi="Times New Roman"/>
          <w:sz w:val="24"/>
          <w:szCs w:val="24"/>
          <w:lang w:eastAsia="zh-CN"/>
        </w:rPr>
        <w:t>*</w:t>
      </w:r>
    </w:p>
    <w:p w14:paraId="2E5827BC" w14:textId="6B205FFD" w:rsidR="0020734E" w:rsidRDefault="00DA51A3" w:rsidP="00DA51A3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</w:rPr>
      </w:pPr>
      <w:r w:rsidRPr="0020734E">
        <w:rPr>
          <w:rFonts w:ascii="Times New Roman" w:eastAsia="MS PGothic" w:hAnsi="Times New Roman"/>
          <w:i/>
          <w:iCs/>
          <w:sz w:val="20"/>
          <w:vertAlign w:val="superscript"/>
        </w:rPr>
        <w:t>1</w:t>
      </w:r>
      <w:r w:rsidRPr="0020734E">
        <w:rPr>
          <w:rFonts w:ascii="Times New Roman" w:eastAsia="MS PGothic" w:hAnsi="Times New Roman"/>
          <w:i/>
          <w:iCs/>
          <w:sz w:val="20"/>
        </w:rPr>
        <w:t xml:space="preserve"> </w:t>
      </w:r>
      <w:r w:rsidR="0020734E" w:rsidRPr="0020734E">
        <w:rPr>
          <w:rFonts w:ascii="Times New Roman" w:eastAsia="MS PGothic" w:hAnsi="Times New Roman"/>
          <w:i/>
          <w:iCs/>
          <w:sz w:val="20"/>
        </w:rPr>
        <w:t xml:space="preserve">Dipartimento di Scienza Applicata e </w:t>
      </w:r>
      <w:r w:rsidR="0020734E">
        <w:rPr>
          <w:rFonts w:ascii="Times New Roman" w:eastAsia="MS PGothic" w:hAnsi="Times New Roman"/>
          <w:i/>
          <w:iCs/>
          <w:sz w:val="20"/>
        </w:rPr>
        <w:t>Tecnologia, Politecnico di Torino, corso Duca degli Abruzzi 2</w:t>
      </w:r>
      <w:r w:rsidR="00C2172C">
        <w:rPr>
          <w:rFonts w:ascii="Times New Roman" w:eastAsia="MS PGothic" w:hAnsi="Times New Roman"/>
          <w:i/>
          <w:iCs/>
          <w:sz w:val="20"/>
        </w:rPr>
        <w:t>4</w:t>
      </w:r>
      <w:r w:rsidR="0020734E">
        <w:rPr>
          <w:rFonts w:ascii="Times New Roman" w:eastAsia="MS PGothic" w:hAnsi="Times New Roman"/>
          <w:i/>
          <w:iCs/>
          <w:sz w:val="20"/>
        </w:rPr>
        <w:t>, 10129 Torino</w:t>
      </w:r>
    </w:p>
    <w:p w14:paraId="7A602332" w14:textId="7A05580C" w:rsidR="00DA51A3" w:rsidRPr="0091475E" w:rsidRDefault="00DA51A3" w:rsidP="00DA51A3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</w:rPr>
      </w:pPr>
      <w:r w:rsidRPr="0091475E">
        <w:rPr>
          <w:rFonts w:ascii="Times New Roman" w:eastAsia="MS PGothic" w:hAnsi="Times New Roman"/>
          <w:i/>
          <w:iCs/>
          <w:sz w:val="20"/>
          <w:vertAlign w:val="superscript"/>
        </w:rPr>
        <w:t xml:space="preserve">2 </w:t>
      </w:r>
      <w:r w:rsidR="0020734E" w:rsidRPr="0091475E">
        <w:rPr>
          <w:rFonts w:ascii="Times New Roman" w:eastAsia="MS PGothic" w:hAnsi="Times New Roman"/>
          <w:i/>
          <w:iCs/>
          <w:sz w:val="20"/>
        </w:rPr>
        <w:t xml:space="preserve">Biotech </w:t>
      </w:r>
      <w:proofErr w:type="spellStart"/>
      <w:r w:rsidR="0020734E" w:rsidRPr="0091475E">
        <w:rPr>
          <w:rFonts w:ascii="Times New Roman" w:eastAsia="MS PGothic" w:hAnsi="Times New Roman"/>
          <w:i/>
          <w:iCs/>
          <w:sz w:val="20"/>
        </w:rPr>
        <w:t>Pharmaceutical</w:t>
      </w:r>
      <w:proofErr w:type="spellEnd"/>
      <w:r w:rsidR="0020734E" w:rsidRPr="0091475E">
        <w:rPr>
          <w:rFonts w:ascii="Times New Roman" w:eastAsia="MS PGothic" w:hAnsi="Times New Roman"/>
          <w:i/>
          <w:iCs/>
          <w:sz w:val="20"/>
        </w:rPr>
        <w:t xml:space="preserve"> Development Department, Merck </w:t>
      </w:r>
      <w:proofErr w:type="spellStart"/>
      <w:r w:rsidR="0020734E" w:rsidRPr="0091475E">
        <w:rPr>
          <w:rFonts w:ascii="Times New Roman" w:eastAsia="MS PGothic" w:hAnsi="Times New Roman"/>
          <w:i/>
          <w:iCs/>
          <w:sz w:val="20"/>
        </w:rPr>
        <w:t>Serono</w:t>
      </w:r>
      <w:proofErr w:type="spellEnd"/>
      <w:r w:rsidR="0020734E" w:rsidRPr="0091475E">
        <w:rPr>
          <w:rFonts w:ascii="Times New Roman" w:eastAsia="MS PGothic" w:hAnsi="Times New Roman"/>
          <w:i/>
          <w:iCs/>
          <w:sz w:val="20"/>
        </w:rPr>
        <w:t xml:space="preserve"> </w:t>
      </w:r>
      <w:proofErr w:type="spellStart"/>
      <w:r w:rsidR="0020734E" w:rsidRPr="0091475E">
        <w:rPr>
          <w:rFonts w:ascii="Times New Roman" w:eastAsia="MS PGothic" w:hAnsi="Times New Roman"/>
          <w:i/>
          <w:iCs/>
          <w:sz w:val="20"/>
        </w:rPr>
        <w:t>SpA</w:t>
      </w:r>
      <w:proofErr w:type="spellEnd"/>
      <w:r w:rsidR="0020734E" w:rsidRPr="0091475E">
        <w:rPr>
          <w:rFonts w:ascii="Times New Roman" w:eastAsia="MS PGothic" w:hAnsi="Times New Roman"/>
          <w:i/>
          <w:iCs/>
          <w:sz w:val="20"/>
        </w:rPr>
        <w:t>, via Luigi Einaudi 11, 00</w:t>
      </w:r>
      <w:r w:rsidR="0091475E" w:rsidRPr="0091475E">
        <w:rPr>
          <w:rFonts w:ascii="Times New Roman" w:eastAsia="MS PGothic" w:hAnsi="Times New Roman"/>
          <w:i/>
          <w:iCs/>
          <w:sz w:val="20"/>
        </w:rPr>
        <w:t>012 Guidoni</w:t>
      </w:r>
      <w:r w:rsidR="0091475E">
        <w:rPr>
          <w:rFonts w:ascii="Times New Roman" w:eastAsia="MS PGothic" w:hAnsi="Times New Roman"/>
          <w:i/>
          <w:iCs/>
          <w:sz w:val="20"/>
        </w:rPr>
        <w:t>a Montecelio (Roma)</w:t>
      </w:r>
    </w:p>
    <w:p w14:paraId="28AD07A8" w14:textId="14CC456E" w:rsidR="00DA51A3" w:rsidRPr="00FF1107" w:rsidRDefault="00DA51A3" w:rsidP="00FF1107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*Corresponding author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 xml:space="preserve"> E-Mail: 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 xml:space="preserve"> </w:t>
      </w:r>
      <w:hyperlink r:id="rId8" w:history="1">
        <w:r w:rsidR="00375657" w:rsidRPr="00DB019D">
          <w:rPr>
            <w:rStyle w:val="Collegamentoipertestuale"/>
            <w:rFonts w:ascii="Times New Roman" w:eastAsia="MS PGothic" w:hAnsi="Times New Roman"/>
            <w:bCs/>
            <w:i/>
            <w:iCs/>
            <w:sz w:val="20"/>
            <w:lang w:val="en-US"/>
          </w:rPr>
          <w:t>davide.fissore@polito.it</w:t>
        </w:r>
      </w:hyperlink>
      <w:r w:rsidR="00375657">
        <w:rPr>
          <w:rFonts w:ascii="Times New Roman" w:eastAsia="MS PGothic" w:hAnsi="Times New Roman"/>
          <w:bCs/>
          <w:i/>
          <w:iCs/>
          <w:sz w:val="20"/>
          <w:lang w:val="en-US"/>
        </w:rPr>
        <w:t xml:space="preserve"> (D. Fissore)</w:t>
      </w:r>
    </w:p>
    <w:p w14:paraId="110B92B3" w14:textId="6CBD084F" w:rsidR="00DA51A3" w:rsidRDefault="00DA51A3" w:rsidP="00DA51A3">
      <w:pPr>
        <w:snapToGrid w:val="0"/>
        <w:spacing w:line="300" w:lineRule="auto"/>
        <w:rPr>
          <w:rFonts w:ascii="Times New Roman" w:eastAsia="MS PGothic" w:hAnsi="Times New Roman"/>
          <w:b/>
          <w:bCs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1.</w:t>
      </w:r>
      <w:r w:rsidR="003F160A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20063AF4" w14:textId="7ED99A41" w:rsidR="00B72801" w:rsidRDefault="00A12207" w:rsidP="001668FE">
      <w:pPr>
        <w:pStyle w:val="Rientro"/>
      </w:pPr>
      <w:r w:rsidRPr="00A12207">
        <w:t xml:space="preserve">Freeze-drying is a crucial step in many drug manufacturing processes as it provides long-term stability </w:t>
      </w:r>
      <w:r w:rsidR="001501AF">
        <w:t>to</w:t>
      </w:r>
      <w:r w:rsidRPr="00A12207">
        <w:t xml:space="preserve"> formulations containing an active pharmaceutical ingredient</w:t>
      </w:r>
      <w:r w:rsidR="005829E6">
        <w:t xml:space="preserve"> (API)</w:t>
      </w:r>
      <w:r w:rsidRPr="00A12207">
        <w:t xml:space="preserve">. </w:t>
      </w:r>
      <w:r w:rsidR="00B7307F">
        <w:t>Approximately</w:t>
      </w:r>
      <w:r w:rsidRPr="00A12207">
        <w:t xml:space="preserve"> 46% of </w:t>
      </w:r>
      <w:r w:rsidR="00350E7C" w:rsidRPr="00A12207">
        <w:t xml:space="preserve">biopharmaceutical dosage forms </w:t>
      </w:r>
      <w:r w:rsidR="00350E7C">
        <w:t xml:space="preserve">approved by </w:t>
      </w:r>
      <w:r w:rsidRPr="00A12207">
        <w:t>Food and Drug Administration (FDA</w:t>
      </w:r>
      <w:r w:rsidR="00350E7C">
        <w:t>)</w:t>
      </w:r>
      <w:r w:rsidRPr="00A12207">
        <w:t xml:space="preserve"> </w:t>
      </w:r>
      <w:r w:rsidR="00C61DAD">
        <w:t>in the period 2003-2011</w:t>
      </w:r>
      <w:r w:rsidRPr="00A12207">
        <w:t xml:space="preserve"> are prepared by </w:t>
      </w:r>
      <w:r w:rsidR="00350E7C">
        <w:t>freeze-drying</w:t>
      </w:r>
      <w:r w:rsidR="00D85FA8">
        <w:t>.</w:t>
      </w:r>
      <w:r w:rsidR="006D59D5">
        <w:rPr>
          <w:vertAlign w:val="superscript"/>
        </w:rPr>
        <w:t>[1]</w:t>
      </w:r>
      <w:r w:rsidR="007C7E6D">
        <w:t xml:space="preserve"> </w:t>
      </w:r>
    </w:p>
    <w:p w14:paraId="76302771" w14:textId="64D0B962" w:rsidR="007C7E6D" w:rsidRPr="003E126D" w:rsidRDefault="00B72801" w:rsidP="00BB4C3E">
      <w:pPr>
        <w:pStyle w:val="Rientro"/>
        <w:rPr>
          <w:vertAlign w:val="superscript"/>
        </w:rPr>
      </w:pPr>
      <w:r>
        <w:t>A typical freeze-drying process starts with a</w:t>
      </w:r>
      <w:r w:rsidR="007C7E6D" w:rsidRPr="007C7E6D">
        <w:t xml:space="preserve"> freezing phase</w:t>
      </w:r>
      <w:r>
        <w:t xml:space="preserve">, </w:t>
      </w:r>
      <w:r w:rsidR="007C7E6D" w:rsidRPr="007C7E6D">
        <w:t xml:space="preserve">in which </w:t>
      </w:r>
      <w:r w:rsidR="00C719C2" w:rsidRPr="00C719C2">
        <w:t>most of the water</w:t>
      </w:r>
      <w:r w:rsidR="00C719C2">
        <w:t xml:space="preserve">, the </w:t>
      </w:r>
      <w:r w:rsidR="007C7E6D" w:rsidRPr="00C719C2">
        <w:rPr>
          <w:i/>
          <w:iCs/>
        </w:rPr>
        <w:t>free water</w:t>
      </w:r>
      <w:r w:rsidR="00C719C2">
        <w:t>,</w:t>
      </w:r>
      <w:r w:rsidR="007C7E6D" w:rsidRPr="007C7E6D">
        <w:t xml:space="preserve"> crystallizes as ice. A fraction of water, the </w:t>
      </w:r>
      <w:r w:rsidR="007C7E6D" w:rsidRPr="00C719C2">
        <w:rPr>
          <w:i/>
          <w:iCs/>
        </w:rPr>
        <w:t>bound water</w:t>
      </w:r>
      <w:r w:rsidR="007C7E6D" w:rsidRPr="007C7E6D">
        <w:t xml:space="preserve">, is incorporated into the </w:t>
      </w:r>
      <w:r w:rsidR="001501AF">
        <w:t>frozen product</w:t>
      </w:r>
      <w:r w:rsidR="007C7E6D" w:rsidRPr="007C7E6D">
        <w:t xml:space="preserve"> and remains unfrozen. After freezing, there is the primary drying phase, in whic</w:t>
      </w:r>
      <w:r w:rsidR="001501AF">
        <w:t>h</w:t>
      </w:r>
      <w:r w:rsidR="007C7E6D" w:rsidRPr="007C7E6D">
        <w:t xml:space="preserve"> pressure</w:t>
      </w:r>
      <w:r w:rsidR="001501AF">
        <w:t xml:space="preserve"> is lowered</w:t>
      </w:r>
      <w:r w:rsidR="007C7E6D" w:rsidRPr="007C7E6D">
        <w:t xml:space="preserve"> in the chamber to promote sublimation of the ice. This leads to the formation of a porous solid structure, the cake, through which water vapor escapes from the product. </w:t>
      </w:r>
      <w:r w:rsidR="006B5B9E" w:rsidRPr="006B5B9E">
        <w:t>Finally, secondary drying takes place, in which the temperature is increased to promote the desorption of bound water and achieve the target value of residual moisture in the final product</w:t>
      </w:r>
      <w:r w:rsidR="00AA10BC">
        <w:t>.</w:t>
      </w:r>
      <w:r w:rsidR="003E126D">
        <w:rPr>
          <w:vertAlign w:val="superscript"/>
        </w:rPr>
        <w:t>[1]</w:t>
      </w:r>
    </w:p>
    <w:p w14:paraId="1B84E63C" w14:textId="1F16704E" w:rsidR="0024128D" w:rsidRPr="008A7DDE" w:rsidRDefault="001869B0" w:rsidP="004828EB">
      <w:pPr>
        <w:pStyle w:val="Rientro"/>
      </w:pPr>
      <w:r w:rsidRPr="001869B0">
        <w:t>Pharmaceutical companies must meet standards imposed by regulatory agencies</w:t>
      </w:r>
      <w:r w:rsidR="00A7581B">
        <w:t xml:space="preserve">, so final products </w:t>
      </w:r>
      <w:r w:rsidR="00C66957" w:rsidRPr="00C66957">
        <w:t xml:space="preserve">must meet </w:t>
      </w:r>
      <w:r w:rsidR="009A3DCD">
        <w:t>C</w:t>
      </w:r>
      <w:r w:rsidR="00C66957" w:rsidRPr="00C66957">
        <w:t xml:space="preserve">ritical </w:t>
      </w:r>
      <w:r w:rsidR="009A3DCD">
        <w:t>Q</w:t>
      </w:r>
      <w:r w:rsidR="00C66957" w:rsidRPr="00C66957">
        <w:t xml:space="preserve">uality </w:t>
      </w:r>
      <w:r w:rsidR="009A3DCD">
        <w:t>A</w:t>
      </w:r>
      <w:r w:rsidR="00C66957" w:rsidRPr="00C66957">
        <w:t>ttributes</w:t>
      </w:r>
      <w:r w:rsidR="009A3DCD">
        <w:t>. Among all, the residual moisture (RM) plays a</w:t>
      </w:r>
      <w:r w:rsidR="00D70695">
        <w:t xml:space="preserve">n important role because it is closely related to the stability of the active ingredient. </w:t>
      </w:r>
      <w:r w:rsidR="00AF5216" w:rsidRPr="00AF5216">
        <w:t xml:space="preserve">At the end of a freeze-drying cycle, the suggested moisture range is approximately 3-6%. </w:t>
      </w:r>
      <w:r w:rsidR="002F53A5">
        <w:t>So, it is necessary to monitor the residual amount of water in the</w:t>
      </w:r>
      <w:r w:rsidR="00C126FA">
        <w:t xml:space="preserve"> final</w:t>
      </w:r>
      <w:r w:rsidR="002F53A5">
        <w:t xml:space="preserve"> product. </w:t>
      </w:r>
      <w:r w:rsidR="005F5665">
        <w:t xml:space="preserve">The residual moisture is generally investigated by Karl Fisher </w:t>
      </w:r>
      <w:r w:rsidR="006851E1">
        <w:t xml:space="preserve">(KF) </w:t>
      </w:r>
      <w:r w:rsidR="00AA10BC">
        <w:t>titration</w:t>
      </w:r>
      <w:r w:rsidR="006851E1">
        <w:t>.</w:t>
      </w:r>
      <w:r w:rsidR="005F5665">
        <w:t xml:space="preserve"> </w:t>
      </w:r>
      <w:r w:rsidR="00AB0956" w:rsidRPr="00AB0956">
        <w:t>This method is time-consuming, destructive and can therefore</w:t>
      </w:r>
      <w:r w:rsidR="00AB0956">
        <w:t xml:space="preserve"> </w:t>
      </w:r>
      <w:r w:rsidR="00AB0956" w:rsidRPr="00AB0956">
        <w:t>only be applied to a part of a production batch.</w:t>
      </w:r>
      <w:r w:rsidR="007C50AB">
        <w:t xml:space="preserve"> </w:t>
      </w:r>
      <w:r w:rsidR="00946E30">
        <w:t>Near-Infrared Spectroscopy (NIR Spectroscop</w:t>
      </w:r>
      <w:r w:rsidR="00DD1BD7">
        <w:t xml:space="preserve">y), on the other hand, is a fast, non-destructive method that can be applied to many samples. </w:t>
      </w:r>
      <w:r w:rsidR="0024128D">
        <w:t>In NIR spectroscopy the sample is irradiated by a beam of NIR light and some of this NIR light is absorbed by the molecules, bringing them to a higher vibrational state.</w:t>
      </w:r>
      <w:r w:rsidR="0024128D" w:rsidRPr="008A7DDE">
        <w:t xml:space="preserve"> So</w:t>
      </w:r>
      <w:r w:rsidR="0024128D">
        <w:t>,</w:t>
      </w:r>
      <w:r w:rsidR="0024128D" w:rsidRPr="008A7DDE">
        <w:t xml:space="preserve"> NIR spectroscopy is about studying the vibrational transitions in molecules, due to the absorbance of the system in the NIR region, i.e. in a region of the electromagnetic spectrum corresponding to 14300 - 4000 cm</w:t>
      </w:r>
      <w:r w:rsidR="0024128D" w:rsidRPr="008A7DDE">
        <w:rPr>
          <w:vertAlign w:val="superscript"/>
        </w:rPr>
        <w:t>-1</w:t>
      </w:r>
      <w:r w:rsidR="0024128D">
        <w:t>.</w:t>
      </w:r>
      <w:r w:rsidR="008812F3">
        <w:rPr>
          <w:vertAlign w:val="superscript"/>
        </w:rPr>
        <w:t>[2]</w:t>
      </w:r>
      <w:r w:rsidR="0024128D">
        <w:t xml:space="preserve">  </w:t>
      </w:r>
    </w:p>
    <w:p w14:paraId="596E941D" w14:textId="455CA7CA" w:rsidR="00F73ACF" w:rsidRPr="00580EFF" w:rsidRDefault="009B609F" w:rsidP="004828EB">
      <w:pPr>
        <w:pStyle w:val="Rientro"/>
        <w:rPr>
          <w:vertAlign w:val="superscript"/>
        </w:rPr>
      </w:pPr>
      <w:r w:rsidRPr="009B609F">
        <w:t>This is in line with</w:t>
      </w:r>
      <w:r w:rsidR="00FF12F7">
        <w:t xml:space="preserve"> the Process Analytical Technolog</w:t>
      </w:r>
      <w:r w:rsidR="0062731D">
        <w:t>y</w:t>
      </w:r>
      <w:r w:rsidR="00FF12F7">
        <w:t xml:space="preserve"> (PAT)</w:t>
      </w:r>
      <w:r w:rsidR="000648DF">
        <w:t>, a concept proposed by the U.</w:t>
      </w:r>
      <w:r w:rsidR="004A779F">
        <w:t>S</w:t>
      </w:r>
      <w:r w:rsidR="000648DF">
        <w:t>. FDA in 2002 that is expected to lie at the basis of the pharmaceutical “Good Manufacturing Practice” rules.</w:t>
      </w:r>
      <w:r w:rsidR="00580EFF">
        <w:rPr>
          <w:vertAlign w:val="superscript"/>
        </w:rPr>
        <w:t xml:space="preserve">[3] </w:t>
      </w:r>
      <w:r w:rsidR="00644682">
        <w:t>This approach</w:t>
      </w:r>
      <w:r w:rsidR="001825FA">
        <w:t xml:space="preserve"> introduces the concept of Quality-by-Design</w:t>
      </w:r>
      <w:r w:rsidR="0038363A">
        <w:t xml:space="preserve"> (</w:t>
      </w:r>
      <w:proofErr w:type="spellStart"/>
      <w:r w:rsidR="0038363A">
        <w:t>QbD</w:t>
      </w:r>
      <w:proofErr w:type="spellEnd"/>
      <w:r w:rsidR="0038363A">
        <w:t>)</w:t>
      </w:r>
      <w:r w:rsidR="00DF758B">
        <w:t xml:space="preserve"> according to which</w:t>
      </w:r>
      <w:r w:rsidR="004E6CE8">
        <w:t xml:space="preserve"> the quality should be built into product</w:t>
      </w:r>
      <w:r w:rsidR="001825FA">
        <w:t>s</w:t>
      </w:r>
      <w:r w:rsidR="00DF758B">
        <w:t xml:space="preserve">. This is completely different from the Quality-by-Testing approach in which the quality </w:t>
      </w:r>
      <w:r w:rsidR="00C97BE4">
        <w:t>is tested into products.</w:t>
      </w:r>
      <w:r w:rsidR="00580EFF">
        <w:rPr>
          <w:vertAlign w:val="superscript"/>
        </w:rPr>
        <w:t>[4]</w:t>
      </w:r>
    </w:p>
    <w:p w14:paraId="11B66892" w14:textId="7059C043" w:rsidR="00C4567C" w:rsidRPr="00C4567C" w:rsidRDefault="001E79B5" w:rsidP="004828EB">
      <w:pPr>
        <w:pStyle w:val="Rientro"/>
      </w:pPr>
      <w:r>
        <w:t>In this framework, NIR spectroscopy was used as method to measure RM in freeze-dried products.</w:t>
      </w:r>
      <w:r w:rsidR="0024128D">
        <w:t xml:space="preserve"> </w:t>
      </w:r>
      <w:r w:rsidR="00A368AB">
        <w:t xml:space="preserve">Here, </w:t>
      </w:r>
      <w:r w:rsidR="00E05C0F" w:rsidRPr="00E05C0F">
        <w:t xml:space="preserve">a </w:t>
      </w:r>
      <w:r w:rsidR="00E05C0F" w:rsidRPr="00E05C0F">
        <w:rPr>
          <w:i/>
          <w:iCs/>
        </w:rPr>
        <w:t>robust</w:t>
      </w:r>
      <w:r w:rsidR="00E05C0F" w:rsidRPr="00E05C0F">
        <w:t xml:space="preserve"> model</w:t>
      </w:r>
      <w:r w:rsidR="00A368AB">
        <w:t xml:space="preserve"> was developed</w:t>
      </w:r>
      <w:r w:rsidR="00644A23">
        <w:t xml:space="preserve"> using </w:t>
      </w:r>
      <w:r w:rsidR="00644A23" w:rsidRPr="00C53549">
        <w:rPr>
          <w:i/>
          <w:iCs/>
        </w:rPr>
        <w:t>machine learning</w:t>
      </w:r>
      <w:r w:rsidR="00644A23">
        <w:t xml:space="preserve"> tools</w:t>
      </w:r>
      <w:r w:rsidR="00190BCC">
        <w:t xml:space="preserve">: the goal of the model is to estimate RM </w:t>
      </w:r>
      <w:r w:rsidR="00E60953">
        <w:t>from NIR spectra.</w:t>
      </w:r>
      <w:r w:rsidR="00DB1810">
        <w:t xml:space="preserve"> </w:t>
      </w:r>
      <w:r w:rsidR="00EF54E1">
        <w:t xml:space="preserve">The aim was to find a model able to predict </w:t>
      </w:r>
      <w:r w:rsidR="00013B8E" w:rsidRPr="00013B8E">
        <w:t>the RM values of products also different from those used in the training phase of the model</w:t>
      </w:r>
      <w:r w:rsidR="00013B8E">
        <w:t xml:space="preserve">. In particular, the cases of a different percentage of solid fraction, </w:t>
      </w:r>
      <w:r w:rsidR="00E068B3">
        <w:t xml:space="preserve">a different excipient and the presence of another component in </w:t>
      </w:r>
      <w:r w:rsidR="00DB1810">
        <w:t>the product</w:t>
      </w:r>
      <w:r w:rsidR="00E068B3">
        <w:t xml:space="preserve"> were considered. </w:t>
      </w:r>
      <w:r w:rsidR="00D352AF">
        <w:t xml:space="preserve">Great attention was paid </w:t>
      </w:r>
      <w:r w:rsidR="00C4567C" w:rsidRPr="00C4567C">
        <w:t xml:space="preserve">in choosing the wavelength range over which to build the model. Looking at the spectra of the various sample </w:t>
      </w:r>
      <w:r w:rsidR="00E63142">
        <w:t>data set</w:t>
      </w:r>
      <w:r w:rsidR="00C4567C" w:rsidRPr="00C4567C">
        <w:t>s, it was chosen to focus on the range that contains 5150 cm</w:t>
      </w:r>
      <w:r w:rsidR="00C4567C" w:rsidRPr="00E44A10">
        <w:rPr>
          <w:vertAlign w:val="superscript"/>
        </w:rPr>
        <w:t>-1</w:t>
      </w:r>
      <w:r w:rsidR="00C4567C" w:rsidRPr="00C4567C">
        <w:t>,</w:t>
      </w:r>
      <w:r w:rsidR="00E44A10">
        <w:t xml:space="preserve"> </w:t>
      </w:r>
      <w:r w:rsidR="00C4567C" w:rsidRPr="00C4567C">
        <w:t xml:space="preserve">the water peak. In fact, water is a component that all formulations have in common.  As a result, it was thought that, to obtain a robust model, it </w:t>
      </w:r>
      <w:r w:rsidR="00C4567C" w:rsidRPr="00C4567C">
        <w:lastRenderedPageBreak/>
        <w:t xml:space="preserve">might be effective to focus on a narrow range of wavelengths that encompassed the water peak. In this way, specific peaks in product characteristics </w:t>
      </w:r>
      <w:r w:rsidR="00140F8F">
        <w:t>have a lower impact on the spectra</w:t>
      </w:r>
      <w:r w:rsidR="00C4567C" w:rsidRPr="00C4567C">
        <w:t xml:space="preserve">. In addition, it would not become necessary to include all products in the calibration step, allowing for a reduction </w:t>
      </w:r>
      <w:r w:rsidR="00AA3AD7">
        <w:t xml:space="preserve">of the </w:t>
      </w:r>
      <w:r w:rsidR="00C4567C" w:rsidRPr="00C4567C">
        <w:t>experimental effort for model development.</w:t>
      </w:r>
    </w:p>
    <w:p w14:paraId="0871BF31" w14:textId="5C4ED7B3" w:rsidR="00DA51A3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b/>
          <w:bCs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2. Methods</w:t>
      </w:r>
    </w:p>
    <w:p w14:paraId="0F12281A" w14:textId="61AE7C23" w:rsidR="00F64E09" w:rsidRDefault="00CC563C" w:rsidP="001668FE">
      <w:pPr>
        <w:pStyle w:val="Rientro"/>
      </w:pPr>
      <w:r>
        <w:t xml:space="preserve">Some freeze-drying cycles were carried out to get the samples used for model development. </w:t>
      </w:r>
      <w:r w:rsidR="00150D05">
        <w:t>In the first part of the study, a sucrose 6%</w:t>
      </w:r>
      <w:r w:rsidR="00150D05">
        <w:rPr>
          <w:vertAlign w:val="subscript"/>
        </w:rPr>
        <w:t xml:space="preserve">w </w:t>
      </w:r>
      <w:r w:rsidR="00150D05">
        <w:t xml:space="preserve">solution, freeze-dried into 2R glass vial (Nuova </w:t>
      </w:r>
      <w:proofErr w:type="spellStart"/>
      <w:r w:rsidR="00150D05">
        <w:t>Ompi</w:t>
      </w:r>
      <w:proofErr w:type="spellEnd"/>
      <w:r w:rsidR="00150D05">
        <w:t xml:space="preserve">, </w:t>
      </w:r>
      <w:proofErr w:type="spellStart"/>
      <w:r w:rsidR="00150D05">
        <w:t>Piombino</w:t>
      </w:r>
      <w:proofErr w:type="spellEnd"/>
      <w:r w:rsidR="00150D05">
        <w:t xml:space="preserve"> Dese, Italy) with a filling volume of 1 </w:t>
      </w:r>
      <w:r w:rsidR="001A6180">
        <w:t>mL</w:t>
      </w:r>
      <w:r w:rsidR="00150D05">
        <w:t xml:space="preserve">, was considered for samples preparation. </w:t>
      </w:r>
      <w:r w:rsidR="005E11E1">
        <w:t xml:space="preserve">Vials were placed according to a honeycomb layout surrounded by metal frames, in direct contact with the freeze-dried shelves, and processed in a lab-scale freeze-drier (Lyostar3, SP Scientific, Warminster, USA) in the laboratories of the Guidonia </w:t>
      </w:r>
      <w:proofErr w:type="spellStart"/>
      <w:r w:rsidR="005E11E1">
        <w:t>Montecelio</w:t>
      </w:r>
      <w:proofErr w:type="spellEnd"/>
      <w:r w:rsidR="005E11E1">
        <w:t xml:space="preserve"> (Italy) site of Merck Serono </w:t>
      </w:r>
      <w:proofErr w:type="spellStart"/>
      <w:r w:rsidR="005E11E1">
        <w:t>SpA</w:t>
      </w:r>
      <w:proofErr w:type="spellEnd"/>
      <w:r w:rsidR="005E11E1">
        <w:t>.</w:t>
      </w:r>
      <w:r w:rsidR="00D038C3">
        <w:rPr>
          <w:vertAlign w:val="superscript"/>
        </w:rPr>
        <w:t>[5]</w:t>
      </w:r>
      <w:r w:rsidR="00D038C3">
        <w:t xml:space="preserve"> </w:t>
      </w:r>
      <w:r w:rsidR="002C53D6">
        <w:t xml:space="preserve">In order to get a RM in the range 1-5% some vials were humidified on purpose after the freeze-drying step. </w:t>
      </w:r>
      <w:r w:rsidR="007E3F24">
        <w:t xml:space="preserve">Sample sets having specific different features were necessary to test the robustness of the model. </w:t>
      </w:r>
      <w:r w:rsidR="007C0FFD">
        <w:t>For this reason, the following samples were produced:</w:t>
      </w:r>
    </w:p>
    <w:p w14:paraId="6390CFC8" w14:textId="4BC49729" w:rsidR="007C0FFD" w:rsidRDefault="007C0FFD" w:rsidP="007C0FFD">
      <w:pPr>
        <w:pStyle w:val="Paragrafoelenco"/>
        <w:numPr>
          <w:ilvl w:val="0"/>
          <w:numId w:val="2"/>
        </w:numPr>
        <w:snapToGrid w:val="0"/>
        <w:spacing w:before="240" w:line="300" w:lineRule="auto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25 samples of sucrose 9%</w:t>
      </w:r>
      <w:r>
        <w:rPr>
          <w:rFonts w:ascii="Times New Roman" w:eastAsia="MS PGothic" w:hAnsi="Times New Roman"/>
          <w:vertAlign w:val="subscript"/>
          <w:lang w:val="en-US"/>
        </w:rPr>
        <w:t xml:space="preserve">w </w:t>
      </w:r>
      <w:r>
        <w:rPr>
          <w:rFonts w:ascii="Times New Roman" w:eastAsia="MS PGothic" w:hAnsi="Times New Roman"/>
          <w:lang w:val="en-US"/>
        </w:rPr>
        <w:t xml:space="preserve"> (sample set S9), thus having a solid fraction higher than S6;</w:t>
      </w:r>
    </w:p>
    <w:p w14:paraId="4FE7E220" w14:textId="2785AD27" w:rsidR="007C0FFD" w:rsidRDefault="007C0FFD" w:rsidP="007C0FFD">
      <w:pPr>
        <w:pStyle w:val="Paragrafoelenco"/>
        <w:numPr>
          <w:ilvl w:val="0"/>
          <w:numId w:val="2"/>
        </w:numPr>
        <w:snapToGrid w:val="0"/>
        <w:spacing w:before="240" w:line="300" w:lineRule="auto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22 samples of sucrose 3%</w:t>
      </w:r>
      <w:r>
        <w:rPr>
          <w:rFonts w:ascii="Times New Roman" w:eastAsia="MS PGothic" w:hAnsi="Times New Roman"/>
          <w:vertAlign w:val="subscript"/>
          <w:lang w:val="en-US"/>
        </w:rPr>
        <w:t>w</w:t>
      </w:r>
      <w:r>
        <w:rPr>
          <w:rFonts w:ascii="Times New Roman" w:eastAsia="MS PGothic" w:hAnsi="Times New Roman"/>
          <w:lang w:val="en-US"/>
        </w:rPr>
        <w:t xml:space="preserve">  (sample set S3), thus having a solid fraction lower than S6;</w:t>
      </w:r>
    </w:p>
    <w:p w14:paraId="4E506697" w14:textId="26DA897A" w:rsidR="007C0FFD" w:rsidRDefault="007C0FFD" w:rsidP="007C0FFD">
      <w:pPr>
        <w:pStyle w:val="Paragrafoelenco"/>
        <w:numPr>
          <w:ilvl w:val="0"/>
          <w:numId w:val="2"/>
        </w:numPr>
        <w:snapToGrid w:val="0"/>
        <w:spacing w:before="240" w:line="300" w:lineRule="auto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35 samples of trehalose 6%</w:t>
      </w:r>
      <w:r>
        <w:rPr>
          <w:rFonts w:ascii="Times New Roman" w:eastAsia="MS PGothic" w:hAnsi="Times New Roman"/>
          <w:vertAlign w:val="subscript"/>
          <w:lang w:val="en-US"/>
        </w:rPr>
        <w:t xml:space="preserve">w </w:t>
      </w:r>
      <w:r>
        <w:rPr>
          <w:rFonts w:ascii="Times New Roman" w:eastAsia="MS PGothic" w:hAnsi="Times New Roman"/>
          <w:lang w:val="en-US"/>
        </w:rPr>
        <w:t xml:space="preserve"> (sample set T6), thus </w:t>
      </w:r>
      <w:r w:rsidR="006005D7">
        <w:rPr>
          <w:rFonts w:ascii="Times New Roman" w:eastAsia="MS PGothic" w:hAnsi="Times New Roman"/>
          <w:lang w:val="en-US"/>
        </w:rPr>
        <w:t>a different amorphous excipient;</w:t>
      </w:r>
    </w:p>
    <w:p w14:paraId="28D8D75A" w14:textId="3E59ECC6" w:rsidR="006005D7" w:rsidRDefault="006005D7" w:rsidP="007C0FFD">
      <w:pPr>
        <w:pStyle w:val="Paragrafoelenco"/>
        <w:numPr>
          <w:ilvl w:val="0"/>
          <w:numId w:val="2"/>
        </w:numPr>
        <w:snapToGrid w:val="0"/>
        <w:spacing w:before="240" w:line="300" w:lineRule="auto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20 samples of sucrose 6%</w:t>
      </w:r>
      <w:r>
        <w:rPr>
          <w:rFonts w:ascii="Times New Roman" w:eastAsia="MS PGothic" w:hAnsi="Times New Roman"/>
          <w:vertAlign w:val="subscript"/>
          <w:lang w:val="en-US"/>
        </w:rPr>
        <w:t>w</w:t>
      </w:r>
      <w:r>
        <w:rPr>
          <w:rFonts w:ascii="Times New Roman" w:eastAsia="MS PGothic" w:hAnsi="Times New Roman"/>
          <w:lang w:val="en-US"/>
        </w:rPr>
        <w:t xml:space="preserve"> – arginine 1%</w:t>
      </w:r>
      <w:r>
        <w:rPr>
          <w:rFonts w:ascii="Times New Roman" w:eastAsia="MS PGothic" w:hAnsi="Times New Roman"/>
          <w:vertAlign w:val="subscript"/>
          <w:lang w:val="en-US"/>
        </w:rPr>
        <w:t>w</w:t>
      </w:r>
      <w:r w:rsidR="00834976">
        <w:rPr>
          <w:rFonts w:ascii="Times New Roman" w:eastAsia="MS PGothic" w:hAnsi="Times New Roman"/>
          <w:lang w:val="en-US"/>
        </w:rPr>
        <w:t xml:space="preserve"> (sample set SA14), thus 14.3% of arginine;</w:t>
      </w:r>
    </w:p>
    <w:p w14:paraId="729F5DC1" w14:textId="14BB8A36" w:rsidR="00834976" w:rsidRDefault="00834976" w:rsidP="00834976">
      <w:pPr>
        <w:pStyle w:val="Paragrafoelenco"/>
        <w:numPr>
          <w:ilvl w:val="0"/>
          <w:numId w:val="2"/>
        </w:numPr>
        <w:snapToGrid w:val="0"/>
        <w:spacing w:before="240" w:line="300" w:lineRule="auto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10 samples of sucrose 6%</w:t>
      </w:r>
      <w:r>
        <w:rPr>
          <w:rFonts w:ascii="Times New Roman" w:eastAsia="MS PGothic" w:hAnsi="Times New Roman"/>
          <w:vertAlign w:val="subscript"/>
          <w:lang w:val="en-US"/>
        </w:rPr>
        <w:t>w</w:t>
      </w:r>
      <w:r>
        <w:rPr>
          <w:rFonts w:ascii="Times New Roman" w:eastAsia="MS PGothic" w:hAnsi="Times New Roman"/>
          <w:lang w:val="en-US"/>
        </w:rPr>
        <w:t xml:space="preserve"> – arginine 0.5%</w:t>
      </w:r>
      <w:r>
        <w:rPr>
          <w:rFonts w:ascii="Times New Roman" w:eastAsia="MS PGothic" w:hAnsi="Times New Roman"/>
          <w:vertAlign w:val="subscript"/>
          <w:lang w:val="en-US"/>
        </w:rPr>
        <w:t>w</w:t>
      </w:r>
      <w:r>
        <w:rPr>
          <w:rFonts w:ascii="Times New Roman" w:eastAsia="MS PGothic" w:hAnsi="Times New Roman"/>
          <w:lang w:val="en-US"/>
        </w:rPr>
        <w:t xml:space="preserve"> (sample set SA7), thus 7.7% of arginine.</w:t>
      </w:r>
    </w:p>
    <w:p w14:paraId="1ADD4E22" w14:textId="6A2C6A98" w:rsidR="00834976" w:rsidRPr="002E598B" w:rsidRDefault="00340BE6" w:rsidP="00834976">
      <w:pPr>
        <w:snapToGrid w:val="0"/>
        <w:spacing w:before="240" w:line="300" w:lineRule="auto"/>
        <w:jc w:val="both"/>
        <w:rPr>
          <w:rFonts w:ascii="Times New Roman" w:hAnsi="Times New Roman" w:cs="Times New Roman"/>
          <w:lang w:val="en-US"/>
        </w:rPr>
      </w:pPr>
      <w:r w:rsidRPr="002E598B">
        <w:rPr>
          <w:rFonts w:ascii="Times New Roman" w:hAnsi="Times New Roman" w:cs="Times New Roman"/>
          <w:lang w:val="en-US"/>
        </w:rPr>
        <w:t>All RM values less than 1% were removed because they exceeded the lower limit of the experimental technique used (KF). So at the end the number of samples for each case was lower</w:t>
      </w:r>
      <w:r w:rsidR="005B170B" w:rsidRPr="002E598B">
        <w:rPr>
          <w:rFonts w:ascii="Times New Roman" w:hAnsi="Times New Roman" w:cs="Times New Roman"/>
          <w:lang w:val="en-US"/>
        </w:rPr>
        <w:t xml:space="preserve">, as it can be seen in Table 1. </w:t>
      </w:r>
    </w:p>
    <w:p w14:paraId="78E49191" w14:textId="29E66188" w:rsidR="00323F9A" w:rsidRPr="00274528" w:rsidRDefault="00323F9A" w:rsidP="009D6827">
      <w:pPr>
        <w:pStyle w:val="DidascaliaTabella"/>
        <w:rPr>
          <w:i/>
          <w:iCs/>
        </w:rPr>
      </w:pPr>
      <w:r w:rsidRPr="00274528">
        <w:rPr>
          <w:b/>
          <w:bCs/>
        </w:rPr>
        <w:t xml:space="preserve">Table </w:t>
      </w:r>
      <w:r w:rsidRPr="00274528">
        <w:rPr>
          <w:b/>
          <w:bCs/>
          <w:i/>
          <w:iCs/>
        </w:rPr>
        <w:fldChar w:fldCharType="begin"/>
      </w:r>
      <w:r w:rsidRPr="00274528">
        <w:rPr>
          <w:b/>
          <w:bCs/>
        </w:rPr>
        <w:instrText xml:space="preserve"> SEQ Table \* ARABIC </w:instrText>
      </w:r>
      <w:r w:rsidRPr="00274528">
        <w:rPr>
          <w:b/>
          <w:bCs/>
          <w:i/>
          <w:iCs/>
        </w:rPr>
        <w:fldChar w:fldCharType="separate"/>
      </w:r>
      <w:r w:rsidR="0038320D">
        <w:rPr>
          <w:b/>
          <w:bCs/>
          <w:noProof/>
        </w:rPr>
        <w:t>1</w:t>
      </w:r>
      <w:r w:rsidRPr="00274528">
        <w:rPr>
          <w:b/>
          <w:bCs/>
          <w:i/>
          <w:iCs/>
        </w:rPr>
        <w:fldChar w:fldCharType="end"/>
      </w:r>
      <w:r w:rsidRPr="00274528">
        <w:rPr>
          <w:b/>
          <w:bCs/>
        </w:rPr>
        <w:t xml:space="preserve">: </w:t>
      </w:r>
      <w:r w:rsidRPr="00274528">
        <w:t xml:space="preserve">Number of samples for each </w:t>
      </w:r>
      <w:r w:rsidR="00E63142">
        <w:t>data set</w:t>
      </w:r>
    </w:p>
    <w:tbl>
      <w:tblPr>
        <w:tblStyle w:val="Tabellagriglia1chiara-colore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23F9A" w14:paraId="71CB342C" w14:textId="77777777" w:rsidTr="009D6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593EE1BC" w14:textId="57BD5E27" w:rsidR="00323F9A" w:rsidRPr="00FD2254" w:rsidRDefault="00E63142" w:rsidP="00B9136E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Data set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5C66E0CE" w14:textId="77777777" w:rsidR="00323F9A" w:rsidRPr="00FD2254" w:rsidRDefault="00323F9A" w:rsidP="00B913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D2254">
              <w:rPr>
                <w:rFonts w:ascii="Times New Roman" w:hAnsi="Times New Roman" w:cs="Times New Roman"/>
                <w:i/>
                <w:iCs/>
                <w:lang w:val="en-US"/>
              </w:rPr>
              <w:t>N° Samples</w:t>
            </w:r>
          </w:p>
        </w:tc>
      </w:tr>
      <w:tr w:rsidR="00323F9A" w14:paraId="676CB943" w14:textId="77777777" w:rsidTr="009D682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auto"/>
            </w:tcBorders>
          </w:tcPr>
          <w:p w14:paraId="1B9D670F" w14:textId="77777777" w:rsidR="00323F9A" w:rsidRPr="00FD2254" w:rsidRDefault="00323F9A" w:rsidP="00B9136E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lang w:val="en-US"/>
              </w:rPr>
            </w:pPr>
            <w:r w:rsidRPr="00FD2254">
              <w:rPr>
                <w:rFonts w:ascii="Times New Roman" w:hAnsi="Times New Roman" w:cs="Times New Roman"/>
                <w:b w:val="0"/>
                <w:bCs w:val="0"/>
                <w:i/>
                <w:iCs/>
                <w:lang w:val="en-US"/>
              </w:rPr>
              <w:t>S6-V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008773A9" w14:textId="77777777" w:rsidR="00323F9A" w:rsidRPr="00FD2254" w:rsidRDefault="00323F9A" w:rsidP="00B91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D2254">
              <w:rPr>
                <w:rFonts w:ascii="Times New Roman" w:hAnsi="Times New Roman" w:cs="Times New Roman"/>
                <w:lang w:val="en-US"/>
              </w:rPr>
              <w:t>96</w:t>
            </w:r>
          </w:p>
        </w:tc>
      </w:tr>
      <w:tr w:rsidR="00323F9A" w14:paraId="75AE1D68" w14:textId="77777777" w:rsidTr="009D682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510C3940" w14:textId="77777777" w:rsidR="00323F9A" w:rsidRPr="00FD2254" w:rsidRDefault="00323F9A" w:rsidP="00B9136E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lang w:val="en-US"/>
              </w:rPr>
            </w:pPr>
            <w:r w:rsidRPr="00FD2254">
              <w:rPr>
                <w:rFonts w:ascii="Times New Roman" w:hAnsi="Times New Roman" w:cs="Times New Roman"/>
                <w:b w:val="0"/>
                <w:bCs w:val="0"/>
                <w:i/>
                <w:iCs/>
                <w:lang w:val="en-US"/>
              </w:rPr>
              <w:t>S6-H</w:t>
            </w:r>
          </w:p>
        </w:tc>
        <w:tc>
          <w:tcPr>
            <w:tcW w:w="4814" w:type="dxa"/>
          </w:tcPr>
          <w:p w14:paraId="5CFD1F7E" w14:textId="77777777" w:rsidR="00323F9A" w:rsidRPr="00FD2254" w:rsidRDefault="00323F9A" w:rsidP="00B91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D2254">
              <w:rPr>
                <w:rFonts w:ascii="Times New Roman" w:hAnsi="Times New Roman" w:cs="Times New Roman"/>
                <w:lang w:val="en-US"/>
              </w:rPr>
              <w:t>96</w:t>
            </w:r>
          </w:p>
        </w:tc>
      </w:tr>
      <w:tr w:rsidR="00323F9A" w14:paraId="146C7FE1" w14:textId="77777777" w:rsidTr="009D682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33AB098E" w14:textId="77777777" w:rsidR="00323F9A" w:rsidRPr="00FD2254" w:rsidRDefault="00323F9A" w:rsidP="00B9136E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lang w:val="en-US"/>
              </w:rPr>
            </w:pPr>
            <w:r w:rsidRPr="00FD2254">
              <w:rPr>
                <w:rFonts w:ascii="Times New Roman" w:hAnsi="Times New Roman" w:cs="Times New Roman"/>
                <w:b w:val="0"/>
                <w:bCs w:val="0"/>
                <w:i/>
                <w:iCs/>
                <w:lang w:val="en-US"/>
              </w:rPr>
              <w:t>S3</w:t>
            </w:r>
          </w:p>
        </w:tc>
        <w:tc>
          <w:tcPr>
            <w:tcW w:w="4814" w:type="dxa"/>
          </w:tcPr>
          <w:p w14:paraId="439A6048" w14:textId="77777777" w:rsidR="00323F9A" w:rsidRPr="00FD2254" w:rsidRDefault="00323F9A" w:rsidP="00B91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D2254">
              <w:rPr>
                <w:rFonts w:ascii="Times New Roman" w:hAnsi="Times New Roman" w:cs="Times New Roman"/>
                <w:lang w:val="en-US"/>
              </w:rPr>
              <w:t>22</w:t>
            </w:r>
          </w:p>
        </w:tc>
      </w:tr>
      <w:tr w:rsidR="00323F9A" w14:paraId="0D32CC6F" w14:textId="77777777" w:rsidTr="009D682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2172866C" w14:textId="77777777" w:rsidR="00323F9A" w:rsidRPr="00FD2254" w:rsidRDefault="00323F9A" w:rsidP="00B9136E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lang w:val="en-US"/>
              </w:rPr>
            </w:pPr>
            <w:r w:rsidRPr="00FD2254">
              <w:rPr>
                <w:rFonts w:ascii="Times New Roman" w:hAnsi="Times New Roman" w:cs="Times New Roman"/>
                <w:b w:val="0"/>
                <w:bCs w:val="0"/>
                <w:i/>
                <w:iCs/>
                <w:lang w:val="en-US"/>
              </w:rPr>
              <w:t>S9</w:t>
            </w:r>
          </w:p>
        </w:tc>
        <w:tc>
          <w:tcPr>
            <w:tcW w:w="4814" w:type="dxa"/>
          </w:tcPr>
          <w:p w14:paraId="419BB31A" w14:textId="77777777" w:rsidR="00323F9A" w:rsidRPr="00FD2254" w:rsidRDefault="00323F9A" w:rsidP="00B91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D2254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323F9A" w14:paraId="2BB0D3BB" w14:textId="77777777" w:rsidTr="009D682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70D96596" w14:textId="77777777" w:rsidR="00323F9A" w:rsidRPr="00FD2254" w:rsidRDefault="00323F9A" w:rsidP="00B9136E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lang w:val="en-US"/>
              </w:rPr>
            </w:pPr>
            <w:r w:rsidRPr="00FD2254">
              <w:rPr>
                <w:rFonts w:ascii="Times New Roman" w:hAnsi="Times New Roman" w:cs="Times New Roman"/>
                <w:b w:val="0"/>
                <w:bCs w:val="0"/>
                <w:i/>
                <w:iCs/>
                <w:lang w:val="en-US"/>
              </w:rPr>
              <w:t>SA7</w:t>
            </w:r>
          </w:p>
        </w:tc>
        <w:tc>
          <w:tcPr>
            <w:tcW w:w="4814" w:type="dxa"/>
          </w:tcPr>
          <w:p w14:paraId="5F1B0C39" w14:textId="77777777" w:rsidR="00323F9A" w:rsidRPr="00FD2254" w:rsidRDefault="00323F9A" w:rsidP="00B91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D2254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323F9A" w14:paraId="56C2923E" w14:textId="77777777" w:rsidTr="009D682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39B76B6D" w14:textId="77777777" w:rsidR="00323F9A" w:rsidRPr="00FD2254" w:rsidRDefault="00323F9A" w:rsidP="00B9136E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lang w:val="en-US"/>
              </w:rPr>
            </w:pPr>
            <w:r w:rsidRPr="00FD2254">
              <w:rPr>
                <w:rFonts w:ascii="Times New Roman" w:hAnsi="Times New Roman" w:cs="Times New Roman"/>
                <w:b w:val="0"/>
                <w:bCs w:val="0"/>
                <w:i/>
                <w:iCs/>
                <w:lang w:val="en-US"/>
              </w:rPr>
              <w:t>SA14</w:t>
            </w:r>
          </w:p>
        </w:tc>
        <w:tc>
          <w:tcPr>
            <w:tcW w:w="4814" w:type="dxa"/>
          </w:tcPr>
          <w:p w14:paraId="4CA0FACE" w14:textId="77777777" w:rsidR="00323F9A" w:rsidRPr="00FD2254" w:rsidRDefault="00323F9A" w:rsidP="00B91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D2254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323F9A" w14:paraId="3A03BD76" w14:textId="77777777" w:rsidTr="009D682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bottom w:val="single" w:sz="4" w:space="0" w:color="auto"/>
            </w:tcBorders>
          </w:tcPr>
          <w:p w14:paraId="01713376" w14:textId="77777777" w:rsidR="00323F9A" w:rsidRPr="00FD2254" w:rsidRDefault="00323F9A" w:rsidP="00B9136E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lang w:val="en-US"/>
              </w:rPr>
            </w:pPr>
            <w:r w:rsidRPr="00FD2254">
              <w:rPr>
                <w:rFonts w:ascii="Times New Roman" w:hAnsi="Times New Roman" w:cs="Times New Roman"/>
                <w:b w:val="0"/>
                <w:bCs w:val="0"/>
                <w:i/>
                <w:iCs/>
                <w:lang w:val="en-US"/>
              </w:rPr>
              <w:t>T6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6ECFEEA9" w14:textId="77777777" w:rsidR="00323F9A" w:rsidRPr="00FD2254" w:rsidRDefault="00323F9A" w:rsidP="00B91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D2254">
              <w:rPr>
                <w:rFonts w:ascii="Times New Roman" w:hAnsi="Times New Roman" w:cs="Times New Roman"/>
                <w:lang w:val="en-US"/>
              </w:rPr>
              <w:t>26</w:t>
            </w:r>
          </w:p>
        </w:tc>
      </w:tr>
    </w:tbl>
    <w:p w14:paraId="1B1DADD1" w14:textId="77777777" w:rsidR="001668FE" w:rsidRDefault="001668FE" w:rsidP="001668FE">
      <w:pPr>
        <w:pStyle w:val="Rientro"/>
      </w:pPr>
    </w:p>
    <w:p w14:paraId="1EC5E4E3" w14:textId="371A07DD" w:rsidR="00A37FC8" w:rsidRPr="009C1082" w:rsidRDefault="00321FCB" w:rsidP="001668FE">
      <w:pPr>
        <w:pStyle w:val="Rientro"/>
        <w:rPr>
          <w:vertAlign w:val="superscript"/>
        </w:rPr>
      </w:pPr>
      <w:r>
        <w:t>The samples listed above were all analyzed through a Fourier Transform NIR spectrometer (</w:t>
      </w:r>
      <w:proofErr w:type="spellStart"/>
      <w:r>
        <w:t>Antaris</w:t>
      </w:r>
      <w:proofErr w:type="spellEnd"/>
      <w:r>
        <w:t xml:space="preserve"> MX FT-NIR, </w:t>
      </w:r>
      <w:proofErr w:type="spellStart"/>
      <w:r>
        <w:t>Thermo</w:t>
      </w:r>
      <w:proofErr w:type="spellEnd"/>
      <w:r>
        <w:t xml:space="preserve"> Fischer Scientific, Waltham, USA), equipped with an </w:t>
      </w:r>
      <w:proofErr w:type="spellStart"/>
      <w:r>
        <w:t>InGaAs</w:t>
      </w:r>
      <w:proofErr w:type="spellEnd"/>
      <w:r>
        <w:t xml:space="preserve"> detector and a halogen NIR source.</w:t>
      </w:r>
      <w:r w:rsidR="00E05BAC">
        <w:t xml:space="preserve"> </w:t>
      </w:r>
      <w:r w:rsidR="006F6CE7">
        <w:t>Pre-processing of the spectra was carried out by using a standard normal variate (SNV) approach, consisting in subtracting the mean value of the spectrum from all its points,</w:t>
      </w:r>
      <w:r w:rsidR="00A14CCA">
        <w:t xml:space="preserve"> and dividing for its standard deviation. </w:t>
      </w:r>
      <w:r w:rsidR="0018346C">
        <w:t>It is possible to have</w:t>
      </w:r>
      <w:r w:rsidR="0018346C" w:rsidRPr="0018346C">
        <w:t xml:space="preserve"> get more in-depth details on the conduct of the trials in the paper by </w:t>
      </w:r>
      <w:proofErr w:type="spellStart"/>
      <w:r w:rsidR="0018346C" w:rsidRPr="0018346C">
        <w:t>Bobba</w:t>
      </w:r>
      <w:proofErr w:type="spellEnd"/>
      <w:r w:rsidR="0018346C" w:rsidRPr="0018346C">
        <w:t xml:space="preserve"> et al.</w:t>
      </w:r>
      <w:r w:rsidR="009C1082">
        <w:rPr>
          <w:vertAlign w:val="superscript"/>
        </w:rPr>
        <w:t>[5]</w:t>
      </w:r>
    </w:p>
    <w:p w14:paraId="4394F44E" w14:textId="77777777" w:rsidR="00D77095" w:rsidRDefault="00BF0810" w:rsidP="00D77095">
      <w:pPr>
        <w:snapToGrid w:val="0"/>
        <w:spacing w:before="240" w:line="300" w:lineRule="auto"/>
        <w:jc w:val="both"/>
        <w:rPr>
          <w:rFonts w:ascii="Times New Roman" w:eastAsia="MS PGothic" w:hAnsi="Times New Roman"/>
          <w:i/>
          <w:iCs/>
          <w:lang w:val="en-US"/>
        </w:rPr>
      </w:pPr>
      <w:r>
        <w:rPr>
          <w:rFonts w:ascii="Times New Roman" w:eastAsia="MS PGothic" w:hAnsi="Times New Roman"/>
          <w:i/>
          <w:iCs/>
          <w:lang w:val="en-US"/>
        </w:rPr>
        <w:t>Machine Learning Tools</w:t>
      </w:r>
    </w:p>
    <w:p w14:paraId="0AFECADE" w14:textId="4F392416" w:rsidR="003F30F7" w:rsidRDefault="00D03730" w:rsidP="001668FE">
      <w:pPr>
        <w:pStyle w:val="Rientro"/>
      </w:pPr>
      <w:r w:rsidRPr="00D03730">
        <w:t xml:space="preserve">Machine Learning techniques differ from traditional algorithms because they also have the ability to learn as well as apply pre-programmed decisions. Traditional software receives input data and user-written code and generates an output. Machine Learning algorithms, on the other hand, are able to find the functional </w:t>
      </w:r>
      <w:r w:rsidRPr="00D03730">
        <w:lastRenderedPageBreak/>
        <w:t>relationship that binds the input data with the desired output.</w:t>
      </w:r>
      <w:r w:rsidR="000F79CD">
        <w:t xml:space="preserve"> </w:t>
      </w:r>
      <w:r w:rsidR="00766CBF" w:rsidRPr="00766CBF">
        <w:t>Models are obtained from a set of data</w:t>
      </w:r>
      <w:r w:rsidR="00644AC4">
        <w:t>, as shown in Fig. 1</w:t>
      </w:r>
      <w:r w:rsidR="00766CBF" w:rsidRPr="00766CBF">
        <w:t>. Their formulation does not require a priori knowledge of the physics governing the system or of the relationships linking the input and output variables</w:t>
      </w:r>
      <w:r w:rsidR="00E8732C">
        <w:t>, although this may be useful.</w:t>
      </w:r>
    </w:p>
    <w:p w14:paraId="5E2A4392" w14:textId="77777777" w:rsidR="00C44A66" w:rsidRDefault="00C44A66" w:rsidP="001668FE">
      <w:pPr>
        <w:pStyle w:val="Rientro"/>
      </w:pPr>
    </w:p>
    <w:p w14:paraId="7EDB2F94" w14:textId="77777777" w:rsidR="003F30F7" w:rsidRDefault="003F30F7" w:rsidP="003F30F7">
      <w:pPr>
        <w:pStyle w:val="Rientro"/>
        <w:keepNext/>
        <w:jc w:val="center"/>
      </w:pPr>
      <w:r w:rsidRPr="003F30F7">
        <w:rPr>
          <w:noProof/>
          <w:lang w:val="it-IT"/>
        </w:rPr>
        <w:drawing>
          <wp:inline distT="0" distB="0" distL="0" distR="0" wp14:anchorId="77279DF8" wp14:editId="48A5C589">
            <wp:extent cx="3360420" cy="818253"/>
            <wp:effectExtent l="0" t="0" r="0" b="1270"/>
            <wp:docPr id="5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78C5C865-97A1-4B49-98E8-99C07D26E85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id="{78C5C865-97A1-4B49-98E8-99C07D26E85E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9"/>
                    <a:srcRect t="11042" b="10389"/>
                    <a:stretch/>
                  </pic:blipFill>
                  <pic:spPr bwMode="auto">
                    <a:xfrm>
                      <a:off x="0" y="0"/>
                      <a:ext cx="3397957" cy="827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1BE8C2" w14:textId="31C2B61F" w:rsidR="003F30F7" w:rsidRPr="003F30F7" w:rsidRDefault="003F30F7" w:rsidP="003F30F7">
      <w:pPr>
        <w:pStyle w:val="Tabella"/>
        <w:jc w:val="center"/>
        <w:rPr>
          <w:sz w:val="18"/>
          <w:szCs w:val="18"/>
        </w:rPr>
      </w:pPr>
      <w:r w:rsidRPr="003F30F7">
        <w:rPr>
          <w:b/>
          <w:bCs/>
          <w:sz w:val="18"/>
          <w:szCs w:val="18"/>
        </w:rPr>
        <w:t xml:space="preserve">Figure </w:t>
      </w:r>
      <w:r w:rsidRPr="003F30F7">
        <w:rPr>
          <w:b/>
          <w:bCs/>
          <w:sz w:val="18"/>
          <w:szCs w:val="18"/>
        </w:rPr>
        <w:fldChar w:fldCharType="begin"/>
      </w:r>
      <w:r w:rsidRPr="003F30F7">
        <w:rPr>
          <w:b/>
          <w:bCs/>
          <w:sz w:val="18"/>
          <w:szCs w:val="18"/>
        </w:rPr>
        <w:instrText xml:space="preserve"> SEQ Figure \* ARABIC </w:instrText>
      </w:r>
      <w:r w:rsidRPr="003F30F7">
        <w:rPr>
          <w:b/>
          <w:bCs/>
          <w:sz w:val="18"/>
          <w:szCs w:val="18"/>
        </w:rPr>
        <w:fldChar w:fldCharType="separate"/>
      </w:r>
      <w:r w:rsidR="0038320D">
        <w:rPr>
          <w:b/>
          <w:bCs/>
          <w:noProof/>
          <w:sz w:val="18"/>
          <w:szCs w:val="18"/>
        </w:rPr>
        <w:t>1</w:t>
      </w:r>
      <w:r w:rsidRPr="003F30F7">
        <w:rPr>
          <w:b/>
          <w:bCs/>
          <w:sz w:val="18"/>
          <w:szCs w:val="18"/>
        </w:rPr>
        <w:fldChar w:fldCharType="end"/>
      </w:r>
      <w:r w:rsidRPr="003F30F7">
        <w:rPr>
          <w:sz w:val="18"/>
          <w:szCs w:val="18"/>
        </w:rPr>
        <w:t>: Building a model using machine learning tools</w:t>
      </w:r>
    </w:p>
    <w:p w14:paraId="5211E99F" w14:textId="77777777" w:rsidR="007C7917" w:rsidRDefault="007C7917" w:rsidP="001E6D04">
      <w:pPr>
        <w:pStyle w:val="Rientro"/>
        <w:ind w:firstLine="0"/>
      </w:pPr>
    </w:p>
    <w:p w14:paraId="718E9052" w14:textId="2FF28896" w:rsidR="005D3655" w:rsidRPr="00D77095" w:rsidRDefault="00766CBF" w:rsidP="007C7917">
      <w:pPr>
        <w:pStyle w:val="Rientro"/>
        <w:rPr>
          <w:i/>
          <w:iCs/>
        </w:rPr>
      </w:pPr>
      <w:r w:rsidRPr="00766CBF">
        <w:t>The data set contains all the information necessary to obtain the model: in this case</w:t>
      </w:r>
      <w:r w:rsidR="006B2196">
        <w:t>,</w:t>
      </w:r>
      <w:r w:rsidR="00FD171B">
        <w:t xml:space="preserve"> they</w:t>
      </w:r>
      <w:r w:rsidRPr="00766CBF">
        <w:t xml:space="preserve"> are the matrix of the spectra </w:t>
      </w:r>
      <w:r w:rsidRPr="00253379">
        <w:rPr>
          <w:i/>
          <w:iCs/>
        </w:rPr>
        <w:t>X</w:t>
      </w:r>
      <w:r w:rsidRPr="00766CBF">
        <w:t xml:space="preserve"> and the vector of residual moisture </w:t>
      </w:r>
      <w:r w:rsidRPr="001E75BA">
        <w:rPr>
          <w:i/>
          <w:iCs/>
        </w:rPr>
        <w:t>y</w:t>
      </w:r>
      <w:r w:rsidR="003C4488">
        <w:t xml:space="preserve">. </w:t>
      </w:r>
      <w:r w:rsidR="003C4488" w:rsidRPr="003C4488">
        <w:t xml:space="preserve">The rows of the </w:t>
      </w:r>
      <w:r w:rsidR="003C4488" w:rsidRPr="00212A80">
        <w:rPr>
          <w:i/>
          <w:iCs/>
        </w:rPr>
        <w:t>X</w:t>
      </w:r>
      <w:r w:rsidR="003C4488" w:rsidRPr="003C4488">
        <w:t xml:space="preserve">-matrix are the observations and the columns represent the absorbance corresponding to a specific wavelength.  </w:t>
      </w:r>
    </w:p>
    <w:p w14:paraId="31D40634" w14:textId="345665DD" w:rsidR="00BF0810" w:rsidRDefault="00320F04" w:rsidP="00A10F54">
      <w:pPr>
        <w:pStyle w:val="Rientro"/>
      </w:pPr>
      <w:r w:rsidRPr="00320F04">
        <w:t>Building a machine learning model requires a data splitting into two different set</w:t>
      </w:r>
      <w:r>
        <w:t>:</w:t>
      </w:r>
    </w:p>
    <w:p w14:paraId="11457CA3" w14:textId="75695CD9" w:rsidR="00F57285" w:rsidRDefault="00320F04" w:rsidP="00F57285">
      <w:pPr>
        <w:pStyle w:val="Paragrafoelenco"/>
        <w:numPr>
          <w:ilvl w:val="0"/>
          <w:numId w:val="4"/>
        </w:numPr>
        <w:snapToGrid w:val="0"/>
        <w:spacing w:before="240" w:line="300" w:lineRule="auto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Training set: </w:t>
      </w:r>
      <w:r w:rsidR="001978EB" w:rsidRPr="001978EB">
        <w:rPr>
          <w:rFonts w:ascii="Times New Roman" w:eastAsia="MS PGothic" w:hAnsi="Times New Roman"/>
          <w:lang w:val="en-US"/>
        </w:rPr>
        <w:t>the model processes the spectra (input) with the RM values obtained with KF (output)</w:t>
      </w:r>
      <w:r w:rsidR="00F57285">
        <w:rPr>
          <w:rFonts w:ascii="Times New Roman" w:eastAsia="MS PGothic" w:hAnsi="Times New Roman"/>
          <w:lang w:val="en-US"/>
        </w:rPr>
        <w:t>;</w:t>
      </w:r>
    </w:p>
    <w:p w14:paraId="661BE724" w14:textId="13AB5FB5" w:rsidR="00F57285" w:rsidRDefault="00F57285" w:rsidP="00F57285">
      <w:pPr>
        <w:pStyle w:val="Paragrafoelenco"/>
        <w:numPr>
          <w:ilvl w:val="0"/>
          <w:numId w:val="4"/>
        </w:numPr>
        <w:snapToGrid w:val="0"/>
        <w:spacing w:before="240" w:line="300" w:lineRule="auto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Test set: </w:t>
      </w:r>
      <w:r w:rsidR="001C56D2">
        <w:rPr>
          <w:rFonts w:ascii="Times New Roman" w:eastAsia="MS PGothic" w:hAnsi="Times New Roman"/>
          <w:lang w:val="en-US"/>
        </w:rPr>
        <w:t>t</w:t>
      </w:r>
      <w:r w:rsidR="001C56D2" w:rsidRPr="001C56D2">
        <w:rPr>
          <w:rFonts w:ascii="Times New Roman" w:eastAsia="MS PGothic" w:hAnsi="Times New Roman"/>
          <w:lang w:val="en-US"/>
        </w:rPr>
        <w:t>he trained model is used to determine RM in samples not used in the calibration set. The values obtained,</w:t>
      </w:r>
      <w:r w:rsidR="001C56D2">
        <w:rPr>
          <w:rFonts w:ascii="Times New Roman" w:eastAsia="MS PGothic" w:hAnsi="Times New Roman"/>
          <w:lang w:val="en-US"/>
        </w:rPr>
        <w:t xml:space="preserve"> </w:t>
      </w:r>
      <w:r w:rsidR="001C56D2" w:rsidRPr="001C56D2">
        <w:rPr>
          <w:rFonts w:ascii="Times New Roman" w:eastAsia="MS PGothic" w:hAnsi="Times New Roman"/>
          <w:lang w:val="en-US"/>
        </w:rPr>
        <w:t>RM predicted by the model, are compared with those measured with KF.</w:t>
      </w:r>
    </w:p>
    <w:p w14:paraId="3E8636D1" w14:textId="50670747" w:rsidR="000F5276" w:rsidRDefault="008E4B86" w:rsidP="00A10F54">
      <w:pPr>
        <w:pStyle w:val="Rientro"/>
      </w:pPr>
      <w:r>
        <w:t xml:space="preserve">For processing </w:t>
      </w:r>
      <w:r w:rsidR="00E81DF7">
        <w:t>NIR spectra and modeling, scripts were written using Spyder (Python 3.9)</w:t>
      </w:r>
      <w:r w:rsidR="00EF5F9F">
        <w:t>, exploit</w:t>
      </w:r>
      <w:r w:rsidR="006343D5">
        <w:t>ing</w:t>
      </w:r>
      <w:r w:rsidR="00A026DD">
        <w:t xml:space="preserve"> the module </w:t>
      </w:r>
      <w:r w:rsidR="00A026DD" w:rsidRPr="00A026DD">
        <w:rPr>
          <w:i/>
          <w:iCs/>
        </w:rPr>
        <w:t>S</w:t>
      </w:r>
      <w:r w:rsidR="006343D5" w:rsidRPr="00A026DD">
        <w:rPr>
          <w:i/>
          <w:iCs/>
        </w:rPr>
        <w:t>cikit-</w:t>
      </w:r>
      <w:r w:rsidR="00A026DD" w:rsidRPr="00A026DD">
        <w:rPr>
          <w:i/>
          <w:iCs/>
        </w:rPr>
        <w:t>L</w:t>
      </w:r>
      <w:r w:rsidR="006343D5" w:rsidRPr="00A026DD">
        <w:rPr>
          <w:i/>
          <w:iCs/>
        </w:rPr>
        <w:t>earn</w:t>
      </w:r>
      <w:r w:rsidR="006343D5">
        <w:t xml:space="preserve">. </w:t>
      </w:r>
      <w:r w:rsidR="009E0110" w:rsidRPr="009E0110">
        <w:t>In particular, a multivariate linear regression problem was solved</w:t>
      </w:r>
      <w:r w:rsidR="00225CA9">
        <w:t xml:space="preserve"> by using the “</w:t>
      </w:r>
      <w:proofErr w:type="spellStart"/>
      <w:r w:rsidR="00225CA9" w:rsidRPr="00225CA9">
        <w:rPr>
          <w:i/>
          <w:iCs/>
        </w:rPr>
        <w:t>LinearRegression</w:t>
      </w:r>
      <w:proofErr w:type="spellEnd"/>
      <w:r w:rsidR="00225CA9">
        <w:t xml:space="preserve">” tool. </w:t>
      </w:r>
      <w:r w:rsidR="000F5276">
        <w:t>For regression, the general prediction formula for a</w:t>
      </w:r>
      <w:r w:rsidR="00490795">
        <w:t xml:space="preserve"> multivariate</w:t>
      </w:r>
      <w:r w:rsidR="000F5276">
        <w:t xml:space="preserve"> linear model looks as:</w:t>
      </w: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8289"/>
        <w:gridCol w:w="675"/>
      </w:tblGrid>
      <w:tr w:rsidR="00CF049E" w14:paraId="403D9B87" w14:textId="77777777" w:rsidTr="00CE7CDC">
        <w:trPr>
          <w:jc w:val="center"/>
        </w:trPr>
        <w:tc>
          <w:tcPr>
            <w:tcW w:w="350" w:type="pct"/>
            <w:vAlign w:val="center"/>
          </w:tcPr>
          <w:p w14:paraId="59D1825D" w14:textId="77777777" w:rsidR="00CF049E" w:rsidRDefault="00CF049E" w:rsidP="00CF049E">
            <w:pPr>
              <w:pStyle w:val="Tabella"/>
              <w:jc w:val="center"/>
            </w:pPr>
          </w:p>
        </w:tc>
        <w:tc>
          <w:tcPr>
            <w:tcW w:w="4300" w:type="pct"/>
            <w:vAlign w:val="center"/>
          </w:tcPr>
          <w:p w14:paraId="55831C46" w14:textId="062CE21E" w:rsidR="00CF049E" w:rsidRPr="00A44B34" w:rsidRDefault="00D054C3" w:rsidP="00A44B34">
            <w:pPr>
              <w:snapToGrid w:val="0"/>
              <w:spacing w:before="240" w:line="300" w:lineRule="auto"/>
              <w:jc w:val="both"/>
              <w:rPr>
                <w:rFonts w:ascii="Times New Roman" w:eastAsia="MS PGothic" w:hAnsi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S PGothic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MS PGothic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MS PGothic" w:hAnsi="Cambria Math"/>
                        <w:lang w:val="en-US"/>
                      </w:rPr>
                      <m:t>pred</m:t>
                    </m:r>
                    <m:r>
                      <w:rPr>
                        <w:rFonts w:ascii="Cambria Math" w:eastAsia="MS PGothic" w:hAnsi="Cambria Math"/>
                        <w:lang w:val="en-US"/>
                      </w:rPr>
                      <m:t>,</m:t>
                    </m:r>
                    <m:r>
                      <w:rPr>
                        <w:rFonts w:ascii="Cambria Math" w:eastAsia="MS PGothic" w:hAnsi="Cambria Math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MS PGothic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="MS PGothic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MS PGothic" w:hAnsi="Cambria Math"/>
                        <w:lang w:val="en-US"/>
                      </w:rPr>
                      <m:t>θ</m:t>
                    </m:r>
                  </m:e>
                  <m:sub>
                    <m:r>
                      <w:rPr>
                        <w:rFonts w:ascii="Cambria Math" w:eastAsia="MS PGothic" w:hAnsi="Cambria Math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="MS PGothic" w:hAnsi="Cambria Math"/>
                    <w:lang w:val="en-US"/>
                  </w:rPr>
                  <m:t>∙</m:t>
                </m:r>
                <m:sSubSup>
                  <m:sSubSupPr>
                    <m:ctrlPr>
                      <w:rPr>
                        <w:rFonts w:ascii="Cambria Math" w:eastAsia="MS PGothic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MS PGothic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MS PGothic" w:hAnsi="Cambria Math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eastAsia="MS PGothic" w:hAnsi="Cambria Math"/>
                        <w:lang w:val="en-US"/>
                      </w:rPr>
                      <m:t>i</m:t>
                    </m:r>
                  </m:sup>
                </m:sSubSup>
                <m:r>
                  <w:rPr>
                    <w:rFonts w:ascii="Cambria Math" w:eastAsia="MS PGothic" w:hAnsi="Cambria Math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="MS PGothic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MS PGothic" w:hAnsi="Cambria Math"/>
                        <w:lang w:val="en-US"/>
                      </w:rPr>
                      <m:t>θ</m:t>
                    </m:r>
                  </m:e>
                  <m:sub>
                    <m:r>
                      <w:rPr>
                        <w:rFonts w:ascii="Cambria Math" w:eastAsia="MS PGothic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MS PGothic" w:hAnsi="Cambria Math"/>
                    <w:lang w:val="en-US"/>
                  </w:rPr>
                  <m:t>∙</m:t>
                </m:r>
                <m:sSubSup>
                  <m:sSubSupPr>
                    <m:ctrlPr>
                      <w:rPr>
                        <w:rFonts w:ascii="Cambria Math" w:eastAsia="MS PGothic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MS PGothic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MS PGothic" w:hAnsi="Cambria Math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eastAsia="MS PGothic" w:hAnsi="Cambria Math"/>
                        <w:lang w:val="en-US"/>
                      </w:rPr>
                      <m:t>i</m:t>
                    </m:r>
                  </m:sup>
                </m:sSubSup>
                <m:r>
                  <w:rPr>
                    <w:rFonts w:ascii="Cambria Math" w:eastAsia="MS PGothic" w:hAnsi="Cambria Math"/>
                    <w:lang w:val="en-US"/>
                  </w:rPr>
                  <m:t>+…+</m:t>
                </m:r>
                <m:sSub>
                  <m:sSubPr>
                    <m:ctrlPr>
                      <w:rPr>
                        <w:rFonts w:ascii="Cambria Math" w:eastAsia="MS PGothic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MS PGothic" w:hAnsi="Cambria Math"/>
                        <w:lang w:val="en-US"/>
                      </w:rPr>
                      <m:t>θ</m:t>
                    </m:r>
                  </m:e>
                  <m:sub>
                    <m:r>
                      <w:rPr>
                        <w:rFonts w:ascii="Cambria Math" w:eastAsia="MS PGothic" w:hAnsi="Cambria Math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eastAsia="MS PGothic" w:hAnsi="Cambria Math"/>
                    <w:lang w:val="en-US"/>
                  </w:rPr>
                  <m:t>∙</m:t>
                </m:r>
                <m:sSubSup>
                  <m:sSubSupPr>
                    <m:ctrlPr>
                      <w:rPr>
                        <w:rFonts w:ascii="Cambria Math" w:eastAsia="MS PGothic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MS PGothic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MS PGothic" w:hAnsi="Cambria Math"/>
                        <w:lang w:val="en-US"/>
                      </w:rPr>
                      <m:t>p</m:t>
                    </m:r>
                  </m:sub>
                  <m:sup>
                    <m:r>
                      <w:rPr>
                        <w:rFonts w:ascii="Cambria Math" w:eastAsia="MS PGothic" w:hAnsi="Cambria Math"/>
                        <w:lang w:val="en-US"/>
                      </w:rPr>
                      <m:t>i</m:t>
                    </m:r>
                  </m:sup>
                </m:sSubSup>
                <m:r>
                  <w:rPr>
                    <w:rFonts w:ascii="Cambria Math" w:eastAsia="MS PGothic" w:hAnsi="Cambria Math"/>
                    <w:lang w:val="en-US"/>
                  </w:rPr>
                  <m:t>+</m:t>
                </m:r>
                <m:r>
                  <w:rPr>
                    <w:rFonts w:ascii="Cambria Math" w:eastAsia="MS PGothic" w:hAnsi="Cambria Math"/>
                    <w:lang w:val="en-US"/>
                  </w:rPr>
                  <m:t>b</m:t>
                </m:r>
              </m:oMath>
            </m:oMathPara>
          </w:p>
        </w:tc>
        <w:tc>
          <w:tcPr>
            <w:tcW w:w="350" w:type="pct"/>
            <w:vAlign w:val="center"/>
          </w:tcPr>
          <w:p w14:paraId="21E09840" w14:textId="0BE6F909" w:rsidR="00CF049E" w:rsidRDefault="002E6FED" w:rsidP="00CF049E">
            <w:pPr>
              <w:pStyle w:val="Tabella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(1)</m:t>
                </m:r>
              </m:oMath>
            </m:oMathPara>
          </w:p>
        </w:tc>
      </w:tr>
    </w:tbl>
    <w:p w14:paraId="3CCD0201" w14:textId="58C9AA15" w:rsidR="00F930C3" w:rsidRDefault="00804A14" w:rsidP="007C7917">
      <w:pPr>
        <w:pStyle w:val="Rientro"/>
      </w:pPr>
      <w:r>
        <w:t xml:space="preserve">Here,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t xml:space="preserve"> denotes the input variables (</w:t>
      </w:r>
      <w:r w:rsidRPr="00153BDB">
        <w:rPr>
          <w:i/>
          <w:iCs/>
        </w:rPr>
        <w:t>p</w:t>
      </w:r>
      <w:r>
        <w:t xml:space="preserve"> is the number of features)</w:t>
      </w:r>
      <w:r w:rsidR="0001542C">
        <w:t xml:space="preserve">; </w:t>
      </w:r>
      <w:r w:rsidR="00E8589B">
        <w:rPr>
          <w:i/>
          <w:iCs/>
        </w:rPr>
        <w:t xml:space="preserve">i </w:t>
      </w:r>
      <w:r w:rsidR="00B54548">
        <w:t>refers to the row</w:t>
      </w:r>
      <w:r w:rsidR="00CA03DF">
        <w:t>s</w:t>
      </w:r>
      <w:r w:rsidR="00B54548">
        <w:t xml:space="preserve"> of the matrix </w:t>
      </w:r>
      <w:r w:rsidR="00B54548" w:rsidRPr="00976077">
        <w:rPr>
          <w:i/>
          <w:iCs/>
        </w:rPr>
        <w:t>X</w:t>
      </w:r>
      <w:r w:rsidR="00C93447">
        <w:t xml:space="preserve">; </w:t>
      </w:r>
      <m:oMath>
        <m:r>
          <w:rPr>
            <w:rFonts w:ascii="Cambria Math" w:hAnsi="Cambria Math"/>
          </w:rPr>
          <m:t>θ</m:t>
        </m:r>
      </m:oMath>
      <w:r w:rsidR="0001542C">
        <w:t xml:space="preserve"> and </w:t>
      </w:r>
      <m:oMath>
        <m:r>
          <w:rPr>
            <w:rFonts w:ascii="Cambria Math" w:hAnsi="Cambria Math"/>
          </w:rPr>
          <m:t>b</m:t>
        </m:r>
      </m:oMath>
      <w:r w:rsidR="0001542C">
        <w:t xml:space="preserve"> are parameters of the model that are learned,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pred,i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9D1474">
        <w:t>is the prediction the model makes.</w:t>
      </w:r>
      <w:r w:rsidR="004B7A3B">
        <w:rPr>
          <w:vertAlign w:val="superscript"/>
        </w:rPr>
        <w:t>[6]</w:t>
      </w:r>
      <w:r w:rsidR="009D1474">
        <w:t xml:space="preserve"> </w:t>
      </w:r>
    </w:p>
    <w:p w14:paraId="188B3598" w14:textId="1CC07D8F" w:rsidR="001D6856" w:rsidRDefault="005845AC" w:rsidP="00CA03DF">
      <w:pPr>
        <w:pStyle w:val="Rientro"/>
      </w:pPr>
      <w:r>
        <w:t xml:space="preserve">In order to evaluate the performance of the model, the Root Mean Square Error (RMSE) </w:t>
      </w:r>
      <w:r w:rsidR="00DF1B7B">
        <w:t xml:space="preserve">and the </w:t>
      </w:r>
      <w:r w:rsidR="0091352E">
        <w:t xml:space="preserve">Coefficient of determination,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91352E">
        <w:t>,</w:t>
      </w:r>
      <w:r w:rsidR="00DF1B7B">
        <w:t xml:space="preserve"> </w:t>
      </w:r>
      <w:r>
        <w:t>w</w:t>
      </w:r>
      <w:r w:rsidR="00C93447">
        <w:t>ere</w:t>
      </w:r>
      <w:r>
        <w:t xml:space="preserve"> adopted. </w:t>
      </w:r>
      <w:r w:rsidR="0091352E">
        <w:t>They</w:t>
      </w:r>
      <w:r w:rsidR="00D81961">
        <w:t xml:space="preserve"> give an idea of how much error the system typically makes in its predictions.</w:t>
      </w:r>
      <w:r w:rsidR="00CA03DF">
        <w:t xml:space="preserve"> </w:t>
      </w:r>
      <w:r w:rsidR="00BE68AD">
        <w:t>So, linear regression</w:t>
      </w:r>
      <w:r w:rsidR="00724FAD">
        <w:t xml:space="preserve"> finds the parameters </w:t>
      </w:r>
      <m:oMath>
        <m:r>
          <w:rPr>
            <w:rFonts w:ascii="Cambria Math" w:hAnsi="Cambria Math"/>
          </w:rPr>
          <m:t>θ</m:t>
        </m:r>
      </m:oMath>
      <w:r w:rsidR="00724FAD">
        <w:t xml:space="preserve"> and </w:t>
      </w:r>
      <m:oMath>
        <m:r>
          <w:rPr>
            <w:rFonts w:ascii="Cambria Math" w:hAnsi="Cambria Math"/>
          </w:rPr>
          <m:t>b</m:t>
        </m:r>
      </m:oMath>
      <w:r w:rsidR="00724FAD">
        <w:t xml:space="preserve"> that minimize the </w:t>
      </w:r>
      <w:r w:rsidR="00BE68AD">
        <w:t>RMSE</w:t>
      </w:r>
      <w:r w:rsidR="00724FAD">
        <w:t xml:space="preserve"> between predictions and the true regression targets, </w:t>
      </w:r>
      <w:r w:rsidR="00724FAD" w:rsidRPr="00706852">
        <w:rPr>
          <w:i/>
          <w:iCs/>
        </w:rPr>
        <w:t>y</w:t>
      </w:r>
      <w:r w:rsidR="000F5276">
        <w:t xml:space="preserve">, on the training set. </w:t>
      </w:r>
      <w:r w:rsidR="000E7E93">
        <w:t>Equation</w:t>
      </w:r>
      <w:r w:rsidR="00706852">
        <w:t>s</w:t>
      </w:r>
      <w:r w:rsidR="008C5863">
        <w:t xml:space="preserve"> 2 </w:t>
      </w:r>
      <w:r w:rsidR="004C30A6">
        <w:t xml:space="preserve">and 3 </w:t>
      </w:r>
      <w:r w:rsidR="008C5863">
        <w:t>show</w:t>
      </w:r>
      <w:r w:rsidR="00B325B1">
        <w:t xml:space="preserve"> the mathematical formula</w:t>
      </w:r>
      <w:r w:rsidR="006018BA">
        <w:t>s</w:t>
      </w:r>
      <w:r w:rsidR="00B325B1">
        <w:t xml:space="preserve"> to compute the RMSE</w:t>
      </w:r>
      <w:r w:rsidR="004C30A6">
        <w:t xml:space="preserve"> 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4C30A6">
        <w:t>.</w:t>
      </w: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8289"/>
        <w:gridCol w:w="675"/>
      </w:tblGrid>
      <w:tr w:rsidR="00286DF1" w14:paraId="0BEE4016" w14:textId="77777777" w:rsidTr="007F53FC">
        <w:trPr>
          <w:jc w:val="center"/>
        </w:trPr>
        <w:tc>
          <w:tcPr>
            <w:tcW w:w="350" w:type="pct"/>
            <w:vAlign w:val="center"/>
          </w:tcPr>
          <w:p w14:paraId="31F2D4BA" w14:textId="77777777" w:rsidR="00286DF1" w:rsidRDefault="00286DF1" w:rsidP="003D6E45">
            <w:pPr>
              <w:pStyle w:val="Tabella"/>
              <w:jc w:val="center"/>
            </w:pPr>
          </w:p>
        </w:tc>
        <w:tc>
          <w:tcPr>
            <w:tcW w:w="4300" w:type="pct"/>
            <w:vAlign w:val="center"/>
          </w:tcPr>
          <w:p w14:paraId="4BD7A595" w14:textId="7B246421" w:rsidR="00286DF1" w:rsidRPr="007F53FC" w:rsidRDefault="00286DF1" w:rsidP="003D6E45">
            <w:pPr>
              <w:snapToGrid w:val="0"/>
              <w:spacing w:before="240" w:line="300" w:lineRule="auto"/>
              <w:jc w:val="both"/>
              <w:rPr>
                <w:rFonts w:ascii="Times New Roman" w:eastAsia="MS PGothic" w:hAnsi="Times New Roman"/>
                <w:b/>
                <w:bCs/>
                <w:lang w:val="en-US"/>
              </w:rPr>
            </w:pPr>
            <m:oMathPara>
              <m:oMath>
                <m:r>
                  <w:rPr>
                    <w:rFonts w:ascii="Cambria Math" w:eastAsia="MS PGothic" w:hAnsi="Cambria Math"/>
                    <w:lang w:val="en-US"/>
                  </w:rPr>
                  <m:t xml:space="preserve">RMSE </m:t>
                </m:r>
                <m:r>
                  <m:rPr>
                    <m:sty m:val="bi"/>
                  </m:rPr>
                  <w:rPr>
                    <w:rFonts w:ascii="Cambria Math" w:eastAsia="MS PGothic" w:hAnsi="Cambria Math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MS PGothic" w:hAnsi="Cambria Math"/>
                        <w:b/>
                        <w:bCs/>
                        <w:i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MS PGothic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MS PGothic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MS PGothic" w:hAnsi="Cambria Math"/>
                            <w:lang w:val="en-US"/>
                          </w:rPr>
                          <m:t>N</m:t>
                        </m:r>
                      </m:den>
                    </m:f>
                    <m:r>
                      <w:rPr>
                        <w:rFonts w:ascii="Cambria Math" w:eastAsia="MS PGothic" w:hAnsi="Cambria Math"/>
                        <w:lang w:val="en-US"/>
                      </w:rPr>
                      <m:t xml:space="preserve"> 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MS PGothic" w:hAnsi="Cambria Math"/>
                            <w:i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MS PGothic" w:hAnsi="Cambria Math"/>
                            <w:lang w:val="en-US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="MS PGothic" w:hAnsi="Cambria Math"/>
                            <w:lang w:val="en-US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eastAsia="MS PGothic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MS PGothic" w:hAnsi="Cambria Math"/>
                                    <w:i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MS PGothic" w:hAnsi="Cambria Math"/>
                                        <w:i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MS PGothic" w:hAnsi="Cambria Math"/>
                                        <w:lang w:val="en-U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MS PGothic" w:hAnsi="Cambria Math"/>
                                        <w:lang w:val="en-US"/>
                                      </w:rPr>
                                      <m:t>pred,i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MS PGothic" w:hAnsi="Cambria Math"/>
                                    <w:lang w:val="en-US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MS PGothic" w:hAnsi="Cambria Math"/>
                                        <w:i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MS PGothic" w:hAnsi="Cambria Math"/>
                                        <w:lang w:val="en-U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MS PGothic" w:hAnsi="Cambria Math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MS PGothic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rad>
              </m:oMath>
            </m:oMathPara>
          </w:p>
        </w:tc>
        <w:tc>
          <w:tcPr>
            <w:tcW w:w="350" w:type="pct"/>
            <w:vAlign w:val="center"/>
          </w:tcPr>
          <w:p w14:paraId="2AF81FF2" w14:textId="456D93CE" w:rsidR="00286DF1" w:rsidRDefault="00286DF1" w:rsidP="003D6E45">
            <w:pPr>
              <w:pStyle w:val="Tabella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(2)</m:t>
                </m:r>
              </m:oMath>
            </m:oMathPara>
          </w:p>
        </w:tc>
      </w:tr>
      <w:tr w:rsidR="007F53FC" w14:paraId="01350DB9" w14:textId="77777777" w:rsidTr="007F53FC">
        <w:trPr>
          <w:jc w:val="center"/>
        </w:trPr>
        <w:tc>
          <w:tcPr>
            <w:tcW w:w="350" w:type="pct"/>
            <w:vAlign w:val="center"/>
          </w:tcPr>
          <w:p w14:paraId="3B67D264" w14:textId="77777777" w:rsidR="007F53FC" w:rsidRDefault="007F53FC" w:rsidP="003D6E45">
            <w:pPr>
              <w:pStyle w:val="Tabella"/>
              <w:jc w:val="center"/>
            </w:pPr>
          </w:p>
        </w:tc>
        <w:tc>
          <w:tcPr>
            <w:tcW w:w="4300" w:type="pct"/>
            <w:vAlign w:val="center"/>
          </w:tcPr>
          <w:p w14:paraId="18FF0772" w14:textId="6D1213F1" w:rsidR="007F53FC" w:rsidRPr="007F53FC" w:rsidRDefault="00D054C3" w:rsidP="003D6E45">
            <w:pPr>
              <w:snapToGrid w:val="0"/>
              <w:spacing w:before="240" w:line="300" w:lineRule="auto"/>
              <w:jc w:val="both"/>
              <w:rPr>
                <w:rFonts w:ascii="Times New Roman" w:eastAsia="MS PGothic" w:hAnsi="Times New Roman"/>
                <w:b/>
                <w:bCs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MS PGothic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MS PGothic" w:hAnsi="Cambria Math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eastAsia="MS PGothic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MS PGothic" w:hAnsi="Cambria Math"/>
                    <w:lang w:val="en-US"/>
                  </w:rPr>
                  <m:t>=1-</m:t>
                </m:r>
                <m:f>
                  <m:fPr>
                    <m:ctrlPr>
                      <w:rPr>
                        <w:rFonts w:ascii="Cambria Math" w:eastAsia="MS PGothic" w:hAnsi="Cambria Math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MS PGothic" w:hAnsi="Cambria Math"/>
                            <w:i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MS PGothic" w:hAnsi="Cambria Math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eastAsia="MS PGothic" w:hAnsi="Cambria Math"/>
                            <w:lang w:val="en-US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eastAsia="MS PGothic" w:hAnsi="Cambria Math"/>
                            <w:lang w:val="en-US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eastAsia="MS PGothic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MS PGothic" w:hAnsi="Cambria Math"/>
                                    <w:i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MS PGothic" w:hAnsi="Cambria Math"/>
                                        <w:i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MS PGothic" w:hAnsi="Cambria Math"/>
                                        <w:lang w:val="en-U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MS PGothic" w:hAnsi="Cambria Math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MS PGothic" w:hAnsi="Cambria Math"/>
                                    <w:lang w:val="en-US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MS PGothic" w:hAnsi="Cambria Math"/>
                                        <w:i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MS PGothic" w:hAnsi="Cambria Math"/>
                                        <w:lang w:val="en-U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MS PGothic" w:hAnsi="Cambria Math"/>
                                        <w:lang w:val="en-US"/>
                                      </w:rPr>
                                      <m:t>pred</m:t>
                                    </m:r>
                                    <m:r>
                                      <w:rPr>
                                        <w:rFonts w:ascii="Cambria Math" w:eastAsia="MS PGothic" w:hAnsi="Cambria Math"/>
                                        <w:lang w:val="en-US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eastAsia="MS PGothic" w:hAnsi="Cambria Math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MS PGothic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MS PGothic" w:hAnsi="Cambria Math"/>
                            <w:i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MS PGothic" w:hAnsi="Cambria Math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eastAsia="MS PGothic" w:hAnsi="Cambria Math"/>
                            <w:lang w:val="en-US"/>
                          </w:rPr>
                          <m:t xml:space="preserve">=1 </m:t>
                        </m:r>
                      </m:sub>
                      <m:sup>
                        <m:r>
                          <w:rPr>
                            <w:rFonts w:ascii="Cambria Math" w:eastAsia="MS PGothic" w:hAnsi="Cambria Math"/>
                            <w:lang w:val="en-US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eastAsia="MS PGothic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MS PGothic" w:hAnsi="Cambria Math"/>
                                    <w:i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MS PGothic" w:hAnsi="Cambria Math"/>
                                        <w:i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MS PGothic" w:hAnsi="Cambria Math"/>
                                        <w:lang w:val="en-U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MS PGothic" w:hAnsi="Cambria Math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MS PGothic" w:hAnsi="Cambria Math"/>
                                    <w:lang w:val="en-US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MS PGothic" w:hAnsi="Cambria Math"/>
                                        <w:i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MS PGothic" w:hAnsi="Cambria Math"/>
                                        <w:lang w:val="en-U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MS PGothic" w:hAnsi="Cambria Math"/>
                                        <w:lang w:val="en-US"/>
                                      </w:rPr>
                                      <m:t>m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MS PGothic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nary>
                  </m:den>
                </m:f>
              </m:oMath>
            </m:oMathPara>
          </w:p>
        </w:tc>
        <w:tc>
          <w:tcPr>
            <w:tcW w:w="350" w:type="pct"/>
            <w:vAlign w:val="center"/>
          </w:tcPr>
          <w:p w14:paraId="0ACD4DF9" w14:textId="6DC97A65" w:rsidR="007F53FC" w:rsidRDefault="007F53FC" w:rsidP="003D6E45">
            <w:pPr>
              <w:pStyle w:val="Tabella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(3)</m:t>
                </m:r>
              </m:oMath>
            </m:oMathPara>
          </w:p>
        </w:tc>
      </w:tr>
    </w:tbl>
    <w:p w14:paraId="6753AF39" w14:textId="77777777" w:rsidR="007F53FC" w:rsidRDefault="007F53FC" w:rsidP="009027A8">
      <w:pPr>
        <w:jc w:val="both"/>
        <w:rPr>
          <w:rFonts w:ascii="Times New Roman" w:eastAsia="MS PGothic" w:hAnsi="Times New Roman"/>
          <w:lang w:val="en-US"/>
        </w:rPr>
      </w:pPr>
    </w:p>
    <w:p w14:paraId="5C0C6A01" w14:textId="5DB0E820" w:rsidR="009027A8" w:rsidRPr="00D7731C" w:rsidRDefault="00EC0C33" w:rsidP="007C7917">
      <w:pPr>
        <w:pStyle w:val="Rientro"/>
        <w:rPr>
          <w:rFonts w:ascii="Cambria" w:eastAsiaTheme="minorEastAsia" w:hAnsi="Cambria"/>
          <w:sz w:val="24"/>
          <w:szCs w:val="24"/>
          <w:vertAlign w:val="superscript"/>
        </w:rPr>
      </w:pPr>
      <w:r>
        <w:t>T</w:t>
      </w:r>
      <w:r w:rsidR="00253F83">
        <w:t>he total number of observations</w:t>
      </w:r>
      <w:r>
        <w:t xml:space="preserve"> and</w:t>
      </w:r>
      <w:r w:rsidR="00253F83">
        <w:t xml:space="preserve"> </w:t>
      </w:r>
      <w:r w:rsidR="004C30A6">
        <w:t>the mean value</w:t>
      </w:r>
      <w:r>
        <w:t xml:space="preserve"> are designed respectively with </w:t>
      </w:r>
      <m:oMath>
        <m:r>
          <w:rPr>
            <w:rFonts w:ascii="Cambria Math" w:hAnsi="Cambria Math"/>
          </w:rPr>
          <m:t xml:space="preserve">N </m:t>
        </m:r>
      </m:oMath>
      <w:r>
        <w:t xml:space="preserve">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5715F9">
        <w:t xml:space="preserve">. </w:t>
      </w:r>
      <w:r w:rsidR="00E16CC3" w:rsidRPr="00E16CC3">
        <w:t>The lower the RMSE value, the better the model performance.</w:t>
      </w:r>
      <w:r w:rsidR="00593E29">
        <w:rPr>
          <w:vertAlign w:val="superscript"/>
        </w:rPr>
        <w:t xml:space="preserve">[7] </w:t>
      </w:r>
      <w:r w:rsidR="00E16CC3" w:rsidRPr="00E16CC3">
        <w:t>The closer the value of R</w:t>
      </w:r>
      <w:r w:rsidR="00E16CC3" w:rsidRPr="009F12C5">
        <w:rPr>
          <w:vertAlign w:val="superscript"/>
        </w:rPr>
        <w:t>2</w:t>
      </w:r>
      <w:r w:rsidR="00E16CC3" w:rsidRPr="00E16CC3">
        <w:t xml:space="preserve"> is to 1, the more the points are aligned to the bisector in the parity plot.</w:t>
      </w:r>
      <w:r w:rsidR="00E16CC3">
        <w:rPr>
          <w:rFonts w:ascii="Cambria" w:hAnsi="Cambria"/>
          <w:sz w:val="24"/>
          <w:szCs w:val="24"/>
        </w:rPr>
        <w:t xml:space="preserve"> </w:t>
      </w:r>
      <w:r w:rsidR="009027A8" w:rsidRPr="009027A8">
        <w:rPr>
          <w:rFonts w:eastAsiaTheme="minorEastAsia"/>
        </w:rPr>
        <w:t>Parity plots were also made, which correlate the RM values calculated by the model (</w:t>
      </w:r>
      <w:r w:rsidR="009027A8" w:rsidRPr="000B52C4">
        <w:rPr>
          <w:rFonts w:eastAsiaTheme="minorEastAsia"/>
          <w:i/>
          <w:iCs/>
        </w:rPr>
        <w:t>y</w:t>
      </w:r>
      <w:r w:rsidR="009027A8" w:rsidRPr="009027A8">
        <w:rPr>
          <w:rFonts w:eastAsiaTheme="minorEastAsia"/>
        </w:rPr>
        <w:t>-axis) with the RM values measured by the KF (</w:t>
      </w:r>
      <w:r w:rsidR="009027A8" w:rsidRPr="003D2598">
        <w:rPr>
          <w:rFonts w:eastAsiaTheme="minorEastAsia"/>
          <w:i/>
          <w:iCs/>
        </w:rPr>
        <w:t>x</w:t>
      </w:r>
      <w:r w:rsidR="009027A8" w:rsidRPr="009027A8">
        <w:rPr>
          <w:rFonts w:eastAsiaTheme="minorEastAsia"/>
        </w:rPr>
        <w:t xml:space="preserve">-axis). It has been useful to report also the </w:t>
      </w:r>
      <w:r w:rsidR="009027A8" w:rsidRPr="009027A8">
        <w:rPr>
          <w:rFonts w:eastAsiaTheme="minorEastAsia"/>
        </w:rPr>
        <w:lastRenderedPageBreak/>
        <w:t xml:space="preserve">diagrams that correlate the absolute error with the measured RM values considering an </w:t>
      </w:r>
      <w:r w:rsidR="009027A8" w:rsidRPr="009027A8">
        <w:rPr>
          <w:rFonts w:eastAsiaTheme="minorEastAsia"/>
          <w:i/>
          <w:iCs/>
        </w:rPr>
        <w:t>intrinsic error</w:t>
      </w:r>
      <w:r w:rsidR="009027A8" w:rsidRPr="009027A8">
        <w:rPr>
          <w:rFonts w:eastAsiaTheme="minorEastAsia"/>
        </w:rPr>
        <w:t xml:space="preserve"> of the experimental technique of 0.3%.</w:t>
      </w:r>
      <w:r w:rsidR="00D7731C">
        <w:rPr>
          <w:rFonts w:eastAsiaTheme="minorEastAsia"/>
          <w:vertAlign w:val="superscript"/>
        </w:rPr>
        <w:t>[3]</w:t>
      </w:r>
    </w:p>
    <w:p w14:paraId="4A0D7483" w14:textId="0D39AC6C" w:rsidR="00E16CC3" w:rsidRPr="009A5211" w:rsidRDefault="009A5211" w:rsidP="00E16CC3">
      <w:pPr>
        <w:jc w:val="both"/>
        <w:rPr>
          <w:rFonts w:ascii="Times New Roman" w:hAnsi="Times New Roman" w:cs="Times New Roman"/>
          <w:i/>
          <w:iCs/>
          <w:lang w:val="en-US"/>
        </w:rPr>
      </w:pPr>
      <w:r w:rsidRPr="009A5211">
        <w:rPr>
          <w:rFonts w:ascii="Times New Roman" w:hAnsi="Times New Roman" w:cs="Times New Roman"/>
          <w:i/>
          <w:iCs/>
          <w:lang w:val="en-US"/>
        </w:rPr>
        <w:t>Model Develop</w:t>
      </w:r>
      <w:r w:rsidR="001E6D04">
        <w:rPr>
          <w:rFonts w:ascii="Times New Roman" w:hAnsi="Times New Roman" w:cs="Times New Roman"/>
          <w:i/>
          <w:iCs/>
          <w:lang w:val="en-US"/>
        </w:rPr>
        <w:t>ment</w:t>
      </w:r>
    </w:p>
    <w:p w14:paraId="630036C3" w14:textId="0E66733A" w:rsidR="009A5211" w:rsidRDefault="00E63142" w:rsidP="001668FE">
      <w:pPr>
        <w:pStyle w:val="Rientro"/>
      </w:pPr>
      <w:r>
        <w:t>Data set</w:t>
      </w:r>
      <w:r w:rsidR="009A5211" w:rsidRPr="009A5211">
        <w:t xml:space="preserve"> S6-V was use</w:t>
      </w:r>
      <w:r w:rsidR="009A5211">
        <w:t>d for developing two models:</w:t>
      </w:r>
    </w:p>
    <w:p w14:paraId="32BE6CE0" w14:textId="2A065910" w:rsidR="009A5211" w:rsidRPr="00153DCF" w:rsidRDefault="009A5211" w:rsidP="009A521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Model SR, based on a regression on a small wavelength range</w:t>
      </w:r>
      <w:r w:rsidR="00153DCF">
        <w:rPr>
          <w:rFonts w:ascii="Times New Roman" w:hAnsi="Times New Roman" w:cs="Times New Roman"/>
          <w:lang w:val="en-US"/>
        </w:rPr>
        <w:t xml:space="preserve">, </w:t>
      </w:r>
      <m:oMath>
        <m:r>
          <w:rPr>
            <w:rFonts w:ascii="Cambria Math" w:hAnsi="Cambria Math" w:cs="Times New Roman"/>
            <w:lang w:val="en-US"/>
          </w:rPr>
          <m:t>5290-4785 c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-1</m:t>
            </m:r>
          </m:sup>
        </m:sSup>
      </m:oMath>
      <w:r w:rsidR="00153DCF">
        <w:rPr>
          <w:rFonts w:ascii="Times New Roman" w:eastAsiaTheme="minorEastAsia" w:hAnsi="Times New Roman" w:cs="Times New Roman"/>
          <w:lang w:val="en-US"/>
        </w:rPr>
        <w:t>;</w:t>
      </w:r>
    </w:p>
    <w:p w14:paraId="5F4C9595" w14:textId="6B0D0F79" w:rsidR="00153DCF" w:rsidRPr="00833D94" w:rsidRDefault="00153DCF" w:rsidP="009A521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 xml:space="preserve">Model WR, based on a regression on a large wavelength range, </w:t>
      </w:r>
      <m:oMath>
        <m:r>
          <w:rPr>
            <w:rFonts w:ascii="Cambria Math" w:eastAsiaTheme="minorEastAsia" w:hAnsi="Cambria Math" w:cs="Times New Roman"/>
            <w:lang w:val="en-US"/>
          </w:rPr>
          <m:t>7100-4250 c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-1</m:t>
            </m:r>
          </m:sup>
        </m:sSup>
      </m:oMath>
      <w:r w:rsidR="00833D94">
        <w:rPr>
          <w:rFonts w:ascii="Times New Roman" w:eastAsiaTheme="minorEastAsia" w:hAnsi="Times New Roman" w:cs="Times New Roman"/>
          <w:lang w:val="en-US"/>
        </w:rPr>
        <w:t>.</w:t>
      </w:r>
    </w:p>
    <w:p w14:paraId="219DDB62" w14:textId="5620FACE" w:rsidR="002A0A01" w:rsidRPr="00833D94" w:rsidRDefault="00833D94" w:rsidP="001668FE">
      <w:pPr>
        <w:pStyle w:val="Rientro"/>
      </w:pPr>
      <w:r>
        <w:t xml:space="preserve">The </w:t>
      </w:r>
      <w:r w:rsidR="00E63142">
        <w:t>data set</w:t>
      </w:r>
      <w:r>
        <w:t xml:space="preserve"> was split in two sets, in order to perform the training with a set and the validation with the other. </w:t>
      </w:r>
      <w:r w:rsidR="002A342E">
        <w:t>T</w:t>
      </w:r>
      <w:r w:rsidR="002A342E" w:rsidRPr="002A342E">
        <w:t>he size of the training set was varied</w:t>
      </w:r>
      <w:r w:rsidR="00726998">
        <w:t>, from 30% to 70%,</w:t>
      </w:r>
      <w:r w:rsidR="002A342E" w:rsidRPr="002A342E">
        <w:t xml:space="preserve"> to find the minimum that would lead to an acceptable result</w:t>
      </w:r>
      <w:r w:rsidR="008A5DFA">
        <w:t xml:space="preserve"> i</w:t>
      </w:r>
      <w:r w:rsidR="008A5DFA" w:rsidRPr="008A5DFA">
        <w:t>n order to reduce the experimental effort.</w:t>
      </w:r>
      <w:r w:rsidR="005147D1">
        <w:t xml:space="preserve"> Then, the other </w:t>
      </w:r>
      <w:r w:rsidR="00E63142">
        <w:t>data set</w:t>
      </w:r>
      <w:r w:rsidR="00A1051A">
        <w:t>s</w:t>
      </w:r>
      <w:r w:rsidR="005147D1">
        <w:t xml:space="preserve"> were used to perform the external validation of the model and </w:t>
      </w:r>
      <w:r w:rsidR="00726998">
        <w:t xml:space="preserve">challenge its robustness. </w:t>
      </w:r>
      <w:r w:rsidR="0046020B">
        <w:t xml:space="preserve">Also a global model (GM) was developed by considering all the products previously listed as a single </w:t>
      </w:r>
      <w:r w:rsidR="00E63142">
        <w:t>data set</w:t>
      </w:r>
      <w:r w:rsidR="0046020B">
        <w:t xml:space="preserve"> used also for the training phase. </w:t>
      </w:r>
      <w:r w:rsidR="004C7B05">
        <w:t xml:space="preserve">Since model GM was calibrated with different products, it was assumed to provide the best performances in prediction. </w:t>
      </w:r>
    </w:p>
    <w:p w14:paraId="0528A46E" w14:textId="69F6E428" w:rsidR="00DA51A3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b/>
          <w:bCs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3. Results and discussion</w:t>
      </w:r>
    </w:p>
    <w:p w14:paraId="46AF00AD" w14:textId="1CCD29EE" w:rsidR="00274528" w:rsidRDefault="00646367" w:rsidP="001668FE">
      <w:pPr>
        <w:pStyle w:val="Rientro"/>
      </w:pPr>
      <w:r>
        <w:t xml:space="preserve">Model SR, WR and GM are compared in the followings to establish which is the most suitable method for predicting the RM content. </w:t>
      </w:r>
      <w:r w:rsidR="00AD2914" w:rsidRPr="00AD2914">
        <w:t>The most significant results obtained are reported.</w:t>
      </w:r>
      <w:r w:rsidR="002A4CCB">
        <w:t xml:space="preserve"> </w:t>
      </w:r>
      <w:r w:rsidR="0086273E">
        <w:t>Both model WR and SR</w:t>
      </w:r>
      <w:r w:rsidR="009D240F">
        <w:t xml:space="preserve"> </w:t>
      </w:r>
      <w:r w:rsidR="009D240F" w:rsidRPr="009D240F">
        <w:t>appear</w:t>
      </w:r>
      <w:r w:rsidR="00870A1A">
        <w:t>ed</w:t>
      </w:r>
      <w:r w:rsidR="009D240F" w:rsidRPr="009D240F">
        <w:t xml:space="preserve"> to have comparable performance</w:t>
      </w:r>
      <w:r w:rsidR="009D240F">
        <w:t xml:space="preserve"> and seem</w:t>
      </w:r>
      <w:r w:rsidR="005478FA">
        <w:t>ed</w:t>
      </w:r>
      <w:r w:rsidR="009D240F">
        <w:t xml:space="preserve"> to be accurate </w:t>
      </w:r>
      <w:r w:rsidR="004262BC">
        <w:t xml:space="preserve">enough </w:t>
      </w:r>
      <w:r w:rsidR="009D240F">
        <w:t xml:space="preserve">to predict the RM content of formulations not included in the calibration set. </w:t>
      </w:r>
      <w:r w:rsidR="00383882" w:rsidRPr="00383882">
        <w:t>In fact, the RMSE</w:t>
      </w:r>
      <w:r w:rsidR="00FB041A">
        <w:t xml:space="preserve"> 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383882" w:rsidRPr="00383882">
        <w:t xml:space="preserve"> values</w:t>
      </w:r>
      <w:r w:rsidR="00B06BA2">
        <w:t xml:space="preserve"> in the two cases</w:t>
      </w:r>
      <w:r w:rsidR="00383882" w:rsidRPr="00383882">
        <w:t xml:space="preserve"> are almost similar</w:t>
      </w:r>
      <w:r w:rsidR="0065188E">
        <w:t xml:space="preserve">, as it can be seen in Table 2. </w:t>
      </w:r>
    </w:p>
    <w:p w14:paraId="05CE4B2F" w14:textId="77777777" w:rsidR="00A94C66" w:rsidRDefault="00A94C66" w:rsidP="001668FE">
      <w:pPr>
        <w:pStyle w:val="Rientro"/>
      </w:pPr>
    </w:p>
    <w:p w14:paraId="7A01329E" w14:textId="2951D430" w:rsidR="00274528" w:rsidRPr="00274528" w:rsidRDefault="00274528" w:rsidP="00274528">
      <w:pPr>
        <w:pStyle w:val="Tabella"/>
        <w:jc w:val="center"/>
      </w:pPr>
      <w:r w:rsidRPr="00274528">
        <w:rPr>
          <w:b/>
          <w:bCs/>
        </w:rPr>
        <w:t xml:space="preserve">Table </w:t>
      </w:r>
      <w:r w:rsidRPr="00274528">
        <w:rPr>
          <w:b/>
          <w:bCs/>
        </w:rPr>
        <w:fldChar w:fldCharType="begin"/>
      </w:r>
      <w:r w:rsidRPr="00274528">
        <w:rPr>
          <w:b/>
          <w:bCs/>
        </w:rPr>
        <w:instrText xml:space="preserve"> SEQ Table \* ARABIC </w:instrText>
      </w:r>
      <w:r w:rsidRPr="00274528">
        <w:rPr>
          <w:b/>
          <w:bCs/>
        </w:rPr>
        <w:fldChar w:fldCharType="separate"/>
      </w:r>
      <w:r w:rsidR="0038320D">
        <w:rPr>
          <w:b/>
          <w:bCs/>
          <w:noProof/>
        </w:rPr>
        <w:t>2</w:t>
      </w:r>
      <w:r w:rsidRPr="00274528">
        <w:rPr>
          <w:b/>
          <w:bCs/>
        </w:rPr>
        <w:fldChar w:fldCharType="end"/>
      </w:r>
      <w:r w:rsidRPr="00274528">
        <w:t>: Values of RMSE and R</w:t>
      </w:r>
      <w:r w:rsidRPr="00F45083">
        <w:rPr>
          <w:vertAlign w:val="superscript"/>
        </w:rPr>
        <w:t>2</w:t>
      </w:r>
      <w:r w:rsidRPr="00274528">
        <w:t xml:space="preserve"> for each </w:t>
      </w:r>
      <w:r w:rsidR="00E63142">
        <w:t>data set</w:t>
      </w:r>
    </w:p>
    <w:tbl>
      <w:tblPr>
        <w:tblStyle w:val="Tabellagriglia1chiara-colore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1732"/>
        <w:gridCol w:w="1732"/>
        <w:gridCol w:w="1848"/>
        <w:gridCol w:w="2138"/>
      </w:tblGrid>
      <w:tr w:rsidR="00E66E5B" w14:paraId="6A940742" w14:textId="77777777" w:rsidTr="00E66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tcBorders>
              <w:top w:val="single" w:sz="4" w:space="0" w:color="auto"/>
              <w:bottom w:val="single" w:sz="4" w:space="0" w:color="auto"/>
            </w:tcBorders>
          </w:tcPr>
          <w:p w14:paraId="1770828C" w14:textId="01905DE7" w:rsidR="00E66E5B" w:rsidRPr="00FD2254" w:rsidRDefault="00E63142" w:rsidP="003D6E45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Data set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7C399AA1" w14:textId="455D1D9E" w:rsidR="00E66E5B" w:rsidRDefault="00E66E5B" w:rsidP="003D6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R</w:t>
            </w:r>
            <w:r w:rsidRPr="00FB041A">
              <w:rPr>
                <w:rFonts w:ascii="Times New Roman" w:hAnsi="Times New Roman" w:cs="Times New Roman"/>
                <w:i/>
                <w:iCs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 SR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32E8341E" w14:textId="4B3D8207" w:rsidR="00E66E5B" w:rsidRDefault="00E66E5B" w:rsidP="003D6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RMSE SR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5F079EC2" w14:textId="5771012E" w:rsidR="00E66E5B" w:rsidRDefault="00E66E5B" w:rsidP="003D6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R</w:t>
            </w:r>
            <w:r w:rsidRPr="00FB041A">
              <w:rPr>
                <w:rFonts w:ascii="Times New Roman" w:hAnsi="Times New Roman" w:cs="Times New Roman"/>
                <w:i/>
                <w:iCs/>
                <w:vertAlign w:val="super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WR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14:paraId="524CE257" w14:textId="4B368D57" w:rsidR="00E66E5B" w:rsidRPr="00FD2254" w:rsidRDefault="00E66E5B" w:rsidP="003D6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RMSE WR</w:t>
            </w:r>
          </w:p>
        </w:tc>
      </w:tr>
      <w:tr w:rsidR="00925D98" w14:paraId="76154963" w14:textId="77777777" w:rsidTr="00E66E5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tcBorders>
              <w:top w:val="single" w:sz="4" w:space="0" w:color="auto"/>
            </w:tcBorders>
          </w:tcPr>
          <w:p w14:paraId="4BE75F25" w14:textId="77777777" w:rsidR="00925D98" w:rsidRPr="00FD2254" w:rsidRDefault="00925D98" w:rsidP="00925D98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lang w:val="en-US"/>
              </w:rPr>
            </w:pPr>
            <w:r w:rsidRPr="00FD2254">
              <w:rPr>
                <w:rFonts w:ascii="Times New Roman" w:hAnsi="Times New Roman" w:cs="Times New Roman"/>
                <w:b w:val="0"/>
                <w:bCs w:val="0"/>
                <w:i/>
                <w:iCs/>
                <w:lang w:val="en-US"/>
              </w:rPr>
              <w:t>S6-V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04BDA5CB" w14:textId="7F60DDB3" w:rsidR="00925D98" w:rsidRPr="00FD2254" w:rsidRDefault="00925D98" w:rsidP="00925D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0.993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017F94EB" w14:textId="20E8A952" w:rsidR="00925D98" w:rsidRPr="00FD2254" w:rsidRDefault="00925D98" w:rsidP="00925D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0.119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2DEADF47" w14:textId="6885EAED" w:rsidR="00925D98" w:rsidRPr="00FD2254" w:rsidRDefault="00925D98" w:rsidP="00925D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0.995</w:t>
            </w:r>
          </w:p>
        </w:tc>
        <w:tc>
          <w:tcPr>
            <w:tcW w:w="2138" w:type="dxa"/>
            <w:tcBorders>
              <w:top w:val="single" w:sz="4" w:space="0" w:color="auto"/>
            </w:tcBorders>
          </w:tcPr>
          <w:p w14:paraId="0639E510" w14:textId="46BA5DBC" w:rsidR="00925D98" w:rsidRPr="00FD2254" w:rsidRDefault="00925D98" w:rsidP="00925D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0.074</w:t>
            </w:r>
          </w:p>
        </w:tc>
      </w:tr>
      <w:tr w:rsidR="00925D98" w14:paraId="52117C5A" w14:textId="77777777" w:rsidTr="00E66E5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14:paraId="29AD4C1C" w14:textId="77777777" w:rsidR="00925D98" w:rsidRPr="00FD2254" w:rsidRDefault="00925D98" w:rsidP="00925D98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lang w:val="en-US"/>
              </w:rPr>
            </w:pPr>
            <w:r w:rsidRPr="00FD2254">
              <w:rPr>
                <w:rFonts w:ascii="Times New Roman" w:hAnsi="Times New Roman" w:cs="Times New Roman"/>
                <w:b w:val="0"/>
                <w:bCs w:val="0"/>
                <w:i/>
                <w:iCs/>
                <w:lang w:val="en-US"/>
              </w:rPr>
              <w:t>S6-H</w:t>
            </w:r>
          </w:p>
        </w:tc>
        <w:tc>
          <w:tcPr>
            <w:tcW w:w="1732" w:type="dxa"/>
          </w:tcPr>
          <w:p w14:paraId="2C265766" w14:textId="49BCD580" w:rsidR="00925D98" w:rsidRPr="00FD2254" w:rsidRDefault="00925D98" w:rsidP="00925D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0.971</w:t>
            </w:r>
          </w:p>
        </w:tc>
        <w:tc>
          <w:tcPr>
            <w:tcW w:w="1732" w:type="dxa"/>
          </w:tcPr>
          <w:p w14:paraId="0E80289B" w14:textId="5CA6EDD2" w:rsidR="00925D98" w:rsidRPr="00FD2254" w:rsidRDefault="00925D98" w:rsidP="00925D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0.47</w:t>
            </w:r>
          </w:p>
        </w:tc>
        <w:tc>
          <w:tcPr>
            <w:tcW w:w="1848" w:type="dxa"/>
          </w:tcPr>
          <w:p w14:paraId="1617BDAE" w14:textId="74926C26" w:rsidR="00925D98" w:rsidRPr="00FD2254" w:rsidRDefault="00925D98" w:rsidP="00925D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0.966</w:t>
            </w:r>
          </w:p>
        </w:tc>
        <w:tc>
          <w:tcPr>
            <w:tcW w:w="2138" w:type="dxa"/>
          </w:tcPr>
          <w:p w14:paraId="784D8C6F" w14:textId="122F7A8C" w:rsidR="00925D98" w:rsidRPr="00FD2254" w:rsidRDefault="00925D98" w:rsidP="00925D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0.294</w:t>
            </w:r>
          </w:p>
        </w:tc>
      </w:tr>
      <w:tr w:rsidR="00925D98" w14:paraId="358AEA24" w14:textId="77777777" w:rsidTr="00E66E5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tcBorders>
              <w:bottom w:val="single" w:sz="4" w:space="0" w:color="auto"/>
            </w:tcBorders>
          </w:tcPr>
          <w:p w14:paraId="03DC769E" w14:textId="18D3BA50" w:rsidR="00925D98" w:rsidRPr="00FD2254" w:rsidRDefault="00925D98" w:rsidP="00925D98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lang w:val="en-US"/>
              </w:rPr>
            </w:pPr>
            <w:r w:rsidRPr="00FD2254">
              <w:rPr>
                <w:rFonts w:ascii="Times New Roman" w:hAnsi="Times New Roman" w:cs="Times New Roman"/>
                <w:b w:val="0"/>
                <w:bCs w:val="0"/>
                <w:i/>
                <w:iCs/>
                <w:lang w:val="en-US"/>
              </w:rPr>
              <w:t>S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lang w:val="en-US"/>
              </w:rPr>
              <w:t>9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06206FC0" w14:textId="00613CC9" w:rsidR="00925D98" w:rsidRPr="00FD2254" w:rsidRDefault="00925D98" w:rsidP="00925D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0.997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440B4FCA" w14:textId="4C607651" w:rsidR="00925D98" w:rsidRPr="00FD2254" w:rsidRDefault="00925D98" w:rsidP="00925D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0.281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0AD8E462" w14:textId="304BD6C8" w:rsidR="00925D98" w:rsidRPr="00FD2254" w:rsidRDefault="00925D98" w:rsidP="00925D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0.992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3BBF50C8" w14:textId="464D77F2" w:rsidR="00925D98" w:rsidRPr="00FD2254" w:rsidRDefault="00925D98" w:rsidP="00925D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0.248</w:t>
            </w:r>
          </w:p>
        </w:tc>
      </w:tr>
    </w:tbl>
    <w:p w14:paraId="09E6ABB3" w14:textId="1F57CF55" w:rsidR="00764B9F" w:rsidRDefault="0046774B" w:rsidP="00764B9F">
      <w:pPr>
        <w:keepNext/>
        <w:snapToGrid w:val="0"/>
        <w:spacing w:before="240" w:line="300" w:lineRule="auto"/>
        <w:jc w:val="center"/>
      </w:pPr>
      <w:r>
        <w:rPr>
          <w:noProof/>
        </w:rPr>
        <w:lastRenderedPageBreak/>
        <w:drawing>
          <wp:inline distT="0" distB="0" distL="0" distR="0" wp14:anchorId="212DA4C0" wp14:editId="166F213E">
            <wp:extent cx="5756400" cy="4183200"/>
            <wp:effectExtent l="0" t="0" r="0" b="8255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400" cy="41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17A8F" w14:textId="23EB5E00" w:rsidR="003978C9" w:rsidRDefault="00764B9F" w:rsidP="00274528">
      <w:pPr>
        <w:pStyle w:val="Didascalia"/>
        <w:jc w:val="both"/>
        <w:rPr>
          <w:rFonts w:ascii="Times New Roman" w:hAnsi="Times New Roman" w:cs="Times New Roman"/>
          <w:i w:val="0"/>
          <w:iCs w:val="0"/>
          <w:color w:val="auto"/>
          <w:lang w:val="en-US"/>
        </w:rPr>
      </w:pPr>
      <w:r w:rsidRPr="00274528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t xml:space="preserve">Figure </w:t>
      </w:r>
      <w:r w:rsidRPr="00274528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begin"/>
      </w:r>
      <w:r w:rsidRPr="00274528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instrText xml:space="preserve"> SEQ Figure \* ARABIC </w:instrText>
      </w:r>
      <w:r w:rsidRPr="00274528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separate"/>
      </w:r>
      <w:r w:rsidR="0038320D">
        <w:rPr>
          <w:rFonts w:ascii="Times New Roman" w:hAnsi="Times New Roman" w:cs="Times New Roman"/>
          <w:b/>
          <w:bCs/>
          <w:i w:val="0"/>
          <w:iCs w:val="0"/>
          <w:noProof/>
          <w:color w:val="auto"/>
          <w:lang w:val="en-US"/>
        </w:rPr>
        <w:t>2</w:t>
      </w:r>
      <w:r w:rsidRPr="00274528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end"/>
      </w:r>
      <w:r w:rsidRPr="00274528">
        <w:rPr>
          <w:rFonts w:ascii="Times New Roman" w:hAnsi="Times New Roman" w:cs="Times New Roman"/>
          <w:color w:val="auto"/>
          <w:lang w:val="en-US"/>
        </w:rPr>
        <w:t xml:space="preserve">: </w:t>
      </w:r>
      <w:r w:rsidRPr="00274528">
        <w:rPr>
          <w:rFonts w:ascii="Times New Roman" w:hAnsi="Times New Roman" w:cs="Times New Roman"/>
          <w:i w:val="0"/>
          <w:iCs w:val="0"/>
          <w:color w:val="auto"/>
          <w:lang w:val="en-US"/>
        </w:rPr>
        <w:t>Correlation plots between RM (%) measured vs RM (%) calculated</w:t>
      </w:r>
      <w:r w:rsidR="0046774B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and Absolute error plots</w:t>
      </w:r>
      <w:r w:rsidRPr="00274528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, obtained from the </w:t>
      </w:r>
      <w:r w:rsidR="00E63142">
        <w:rPr>
          <w:rFonts w:ascii="Times New Roman" w:hAnsi="Times New Roman" w:cs="Times New Roman"/>
          <w:i w:val="0"/>
          <w:iCs w:val="0"/>
          <w:color w:val="auto"/>
          <w:lang w:val="en-US"/>
        </w:rPr>
        <w:t>data set</w:t>
      </w:r>
      <w:r w:rsidRPr="00274528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S6-V and processed by: (a),(c) model WR; (b),(d) model SR.</w:t>
      </w:r>
    </w:p>
    <w:p w14:paraId="0D9B0059" w14:textId="693D3CFB" w:rsidR="008B44EC" w:rsidRDefault="00874838" w:rsidP="001668FE">
      <w:pPr>
        <w:pStyle w:val="Rientro"/>
      </w:pPr>
      <w:r w:rsidRPr="00874838">
        <w:t>The correlation plots confirm the</w:t>
      </w:r>
      <w:r w:rsidR="007C7917">
        <w:t xml:space="preserve"> conclusions obtained from the</w:t>
      </w:r>
      <w:r w:rsidRPr="00874838">
        <w:t xml:space="preserve"> RMSE and R</w:t>
      </w:r>
      <w:r w:rsidRPr="00874838">
        <w:rPr>
          <w:vertAlign w:val="superscript"/>
        </w:rPr>
        <w:t xml:space="preserve">2 </w:t>
      </w:r>
      <w:r w:rsidRPr="00874838">
        <w:t>values shown in Table 2.</w:t>
      </w:r>
      <w:r>
        <w:t xml:space="preserve"> </w:t>
      </w:r>
      <w:r w:rsidR="00A61128" w:rsidRPr="00A61128">
        <w:t xml:space="preserve">In </w:t>
      </w:r>
      <w:r w:rsidR="00A61128">
        <w:t>Fig.</w:t>
      </w:r>
      <w:r w:rsidR="00A61128" w:rsidRPr="00A61128">
        <w:t xml:space="preserve"> </w:t>
      </w:r>
      <w:r w:rsidR="00644AC4">
        <w:t>2</w:t>
      </w:r>
      <w:r w:rsidR="00BB5095">
        <w:t>a</w:t>
      </w:r>
      <w:r w:rsidR="00FB77C5">
        <w:t xml:space="preserve"> and </w:t>
      </w:r>
      <w:r w:rsidR="00644AC4">
        <w:t>2</w:t>
      </w:r>
      <w:r w:rsidR="00FB77C5">
        <w:t>b</w:t>
      </w:r>
      <w:r w:rsidR="00A61128" w:rsidRPr="00A61128">
        <w:t xml:space="preserve"> it is possible to </w:t>
      </w:r>
      <w:r w:rsidR="00BB5095">
        <w:t>notice</w:t>
      </w:r>
      <w:r w:rsidR="00A61128" w:rsidRPr="00A61128">
        <w:t xml:space="preserve"> that the </w:t>
      </w:r>
      <w:r w:rsidR="00EF30B4">
        <w:t>observations are distributed similarly along the bisector in the two cases</w:t>
      </w:r>
      <w:r w:rsidR="00A61128" w:rsidRPr="00A61128">
        <w:t>, index of a good performance of the model</w:t>
      </w:r>
      <w:r w:rsidR="00EF30B4">
        <w:t>s</w:t>
      </w:r>
      <w:r w:rsidR="00A61128" w:rsidRPr="00A61128">
        <w:t>.</w:t>
      </w:r>
      <w:r w:rsidR="00C74563">
        <w:t xml:space="preserve"> </w:t>
      </w:r>
    </w:p>
    <w:p w14:paraId="30A4D391" w14:textId="0BEAE5B0" w:rsidR="00C74563" w:rsidRDefault="00183D78" w:rsidP="00C35C4B">
      <w:pPr>
        <w:pStyle w:val="Rientro"/>
      </w:pPr>
      <w:r w:rsidRPr="00183D78">
        <w:t xml:space="preserve">To </w:t>
      </w:r>
      <w:r w:rsidR="002F7E4A">
        <w:t>evaluate</w:t>
      </w:r>
      <w:r w:rsidRPr="00183D78">
        <w:t xml:space="preserve"> the percentage of success and failure of the obtained model, a vector called "</w:t>
      </w:r>
      <w:r w:rsidRPr="00183D78">
        <w:rPr>
          <w:i/>
          <w:iCs/>
        </w:rPr>
        <w:t>judgement</w:t>
      </w:r>
      <w:r w:rsidRPr="00183D78">
        <w:t>" was constructed.</w:t>
      </w:r>
      <w:r w:rsidR="007973E4">
        <w:t xml:space="preserve"> </w:t>
      </w:r>
      <w:r w:rsidR="007973E4" w:rsidRPr="007973E4">
        <w:t xml:space="preserve">The </w:t>
      </w:r>
      <w:r w:rsidR="00E17808">
        <w:t>intrinsic</w:t>
      </w:r>
      <w:r w:rsidR="007973E4" w:rsidRPr="007973E4">
        <w:t xml:space="preserve"> error in the KF experimental technique is 0.3%. The absolute error was calculated as the difference in absolute value between the value predicted by the model</w:t>
      </w:r>
      <w:r w:rsidR="004E6CCC">
        <w:t xml:space="preserve">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pred,i</m:t>
            </m:r>
          </m:sub>
        </m:sSub>
        <m:r>
          <w:rPr>
            <w:rFonts w:ascii="Cambria Math" w:hAnsi="Cambria Math"/>
          </w:rPr>
          <m:t>)</m:t>
        </m:r>
      </m:oMath>
      <w:r w:rsidR="007973E4" w:rsidRPr="007973E4">
        <w:t xml:space="preserve"> and the value measured by the KF</w:t>
      </w:r>
      <w:r w:rsidR="004E6CCC">
        <w:t xml:space="preserve">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)</m:t>
        </m:r>
      </m:oMath>
      <w:r w:rsidR="007973E4" w:rsidRPr="007973E4">
        <w:t>.</w:t>
      </w:r>
      <w:r w:rsidR="00374792" w:rsidRPr="00374792">
        <w:t xml:space="preserve"> In the vector the value 1 occurs when the difference is greater than 0.3%; the value 0 if the difference is less than 0.3%. </w:t>
      </w:r>
      <w:r w:rsidR="008B44EC" w:rsidRPr="008B44EC">
        <w:t xml:space="preserve">Figure </w:t>
      </w:r>
      <w:r w:rsidR="00644AC4">
        <w:t>3</w:t>
      </w:r>
      <w:r w:rsidR="008B44EC" w:rsidRPr="008B44EC">
        <w:t xml:space="preserve"> shows the trends obtained for the S6-V </w:t>
      </w:r>
      <w:r w:rsidR="00E63142">
        <w:t>data set</w:t>
      </w:r>
      <w:r w:rsidR="008B44EC" w:rsidRPr="008B44EC">
        <w:t xml:space="preserve"> with both models.</w:t>
      </w:r>
      <w:r w:rsidR="00B03F95">
        <w:t xml:space="preserve"> </w:t>
      </w:r>
      <w:r w:rsidR="00B03F95" w:rsidRPr="00B03F95">
        <w:t>The number of times that in the diagram the</w:t>
      </w:r>
      <w:r w:rsidR="00110A5C">
        <w:t>re is the</w:t>
      </w:r>
      <w:r w:rsidR="00B03F95" w:rsidRPr="00B03F95">
        <w:t xml:space="preserve"> value 1 corresponds to the number of times that the model exceeds the experimental error and, therefore, fails.</w:t>
      </w:r>
      <w:r w:rsidR="00FB1F73" w:rsidRPr="00FB1F73">
        <w:t xml:space="preserve"> The WR model had a good prediction of 100% as all observations were within the range given by the experimental error. In fact, all values in Fig. </w:t>
      </w:r>
      <w:r w:rsidR="00A84D3C">
        <w:t>3</w:t>
      </w:r>
      <w:r w:rsidR="00FB1F73" w:rsidRPr="00FB1F73">
        <w:t xml:space="preserve">a are equal to 0. In contrast, the SR model was able to correctly predict 96.88% of the observations. In fact, 3 values equal to 1 are observed in Fig. </w:t>
      </w:r>
      <w:r w:rsidR="00A84D3C">
        <w:t>3</w:t>
      </w:r>
      <w:r w:rsidR="00FB1F73" w:rsidRPr="00FB1F73">
        <w:t>b.</w:t>
      </w:r>
    </w:p>
    <w:p w14:paraId="01E43B6C" w14:textId="77777777" w:rsidR="007B5519" w:rsidRDefault="008F2F76" w:rsidP="007B5519">
      <w:pPr>
        <w:keepNext/>
        <w:snapToGrid w:val="0"/>
        <w:spacing w:before="240" w:line="300" w:lineRule="auto"/>
        <w:jc w:val="center"/>
      </w:pPr>
      <w:r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695792A3" wp14:editId="405AFBE6">
            <wp:extent cx="3639600" cy="4716000"/>
            <wp:effectExtent l="0" t="0" r="0" b="889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magine 2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600" cy="47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43807" w14:textId="443DB3AB" w:rsidR="008F2F76" w:rsidRPr="007B5519" w:rsidRDefault="007B5519" w:rsidP="000E0D45">
      <w:pPr>
        <w:pStyle w:val="Didascalia"/>
        <w:jc w:val="center"/>
        <w:rPr>
          <w:rFonts w:ascii="Times New Roman" w:hAnsi="Times New Roman" w:cs="Times New Roman"/>
          <w:i w:val="0"/>
          <w:iCs w:val="0"/>
          <w:color w:val="auto"/>
          <w:lang w:val="en-US"/>
        </w:rPr>
      </w:pPr>
      <w:r w:rsidRPr="007B5519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t xml:space="preserve">Figure </w:t>
      </w:r>
      <w:r w:rsidRPr="007B5519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begin"/>
      </w:r>
      <w:r w:rsidRPr="007B5519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instrText xml:space="preserve"> SEQ Figure \* ARABIC </w:instrText>
      </w:r>
      <w:r w:rsidRPr="007B5519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separate"/>
      </w:r>
      <w:r w:rsidR="0038320D">
        <w:rPr>
          <w:rFonts w:ascii="Times New Roman" w:hAnsi="Times New Roman" w:cs="Times New Roman"/>
          <w:b/>
          <w:bCs/>
          <w:i w:val="0"/>
          <w:iCs w:val="0"/>
          <w:noProof/>
          <w:color w:val="auto"/>
          <w:lang w:val="en-US"/>
        </w:rPr>
        <w:t>3</w:t>
      </w:r>
      <w:r w:rsidRPr="007B5519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end"/>
      </w:r>
      <w:r w:rsidRPr="007B5519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: Success rate of the algorithm obtained with the S6-V </w:t>
      </w:r>
      <w:r w:rsidR="00E63142">
        <w:rPr>
          <w:rFonts w:ascii="Times New Roman" w:hAnsi="Times New Roman" w:cs="Times New Roman"/>
          <w:i w:val="0"/>
          <w:iCs w:val="0"/>
          <w:color w:val="auto"/>
          <w:lang w:val="en-US"/>
        </w:rPr>
        <w:t>data set</w:t>
      </w:r>
      <w:r w:rsidRPr="007B5519">
        <w:rPr>
          <w:rFonts w:ascii="Times New Roman" w:hAnsi="Times New Roman" w:cs="Times New Roman"/>
          <w:i w:val="0"/>
          <w:iCs w:val="0"/>
          <w:color w:val="auto"/>
          <w:lang w:val="en-US"/>
        </w:rPr>
        <w:t>: (a) model WR; (b) model SR.</w:t>
      </w:r>
    </w:p>
    <w:p w14:paraId="33273D78" w14:textId="22C55E29" w:rsidR="000D5C69" w:rsidRPr="00C329F6" w:rsidRDefault="00D1388F" w:rsidP="000D5C69">
      <w:pPr>
        <w:pStyle w:val="Rientro"/>
        <w:rPr>
          <w:vertAlign w:val="superscript"/>
        </w:rPr>
      </w:pPr>
      <w:r>
        <w:t>The external validation of model WR and SR with S6-H spectra</w:t>
      </w:r>
      <w:r w:rsidR="0009373A">
        <w:t xml:space="preserve"> also</w:t>
      </w:r>
      <w:r>
        <w:t xml:space="preserve"> yielded in very good performance parameters. </w:t>
      </w:r>
      <w:r w:rsidR="00303D2B">
        <w:t xml:space="preserve">Therefore, model SR and WR could be equally applied to spectra collected with vertical and horizontal layout. </w:t>
      </w:r>
      <w:r w:rsidR="007D48BC">
        <w:t xml:space="preserve">The fact that the spectra collected in vertical layout and in horizontal layout were similar was </w:t>
      </w:r>
      <w:r w:rsidR="008F48C3">
        <w:t xml:space="preserve">a </w:t>
      </w:r>
      <w:r w:rsidR="00587675" w:rsidRPr="00587675">
        <w:t xml:space="preserve">confirmation of what </w:t>
      </w:r>
      <w:proofErr w:type="spellStart"/>
      <w:r w:rsidR="00587675">
        <w:t>Bobba</w:t>
      </w:r>
      <w:proofErr w:type="spellEnd"/>
      <w:r w:rsidR="00587675" w:rsidRPr="00587675">
        <w:t xml:space="preserve"> et al. found by applying the PLS regression</w:t>
      </w:r>
      <w:r w:rsidR="00587675">
        <w:t>.</w:t>
      </w:r>
      <w:r w:rsidR="005278B1">
        <w:t xml:space="preserve"> This means that the spectra collected from two different spots of the cake are basically</w:t>
      </w:r>
      <w:r w:rsidR="00641648">
        <w:t xml:space="preserve"> equivalent.</w:t>
      </w:r>
      <w:r w:rsidR="00C329F6">
        <w:rPr>
          <w:vertAlign w:val="superscript"/>
        </w:rPr>
        <w:t>[5]</w:t>
      </w:r>
    </w:p>
    <w:p w14:paraId="3A79B0A8" w14:textId="77777777" w:rsidR="00F215BD" w:rsidRDefault="00F215BD" w:rsidP="000D5C69">
      <w:pPr>
        <w:pStyle w:val="Rientro"/>
      </w:pPr>
    </w:p>
    <w:p w14:paraId="06724B01" w14:textId="697AFB83" w:rsidR="00FD2DB2" w:rsidRDefault="00641648" w:rsidP="00FD2DB2">
      <w:pPr>
        <w:pStyle w:val="Rientro"/>
        <w:rPr>
          <w:rFonts w:cs="Times New Roman"/>
        </w:rPr>
      </w:pPr>
      <w:r>
        <w:rPr>
          <w:rFonts w:cs="Times New Roman"/>
        </w:rPr>
        <w:t xml:space="preserve">The effect of a different solid fraction was evaluated by means of </w:t>
      </w:r>
      <w:r w:rsidR="00E63142">
        <w:rPr>
          <w:rFonts w:cs="Times New Roman"/>
        </w:rPr>
        <w:t>data set</w:t>
      </w:r>
      <w:r>
        <w:rPr>
          <w:rFonts w:cs="Times New Roman"/>
        </w:rPr>
        <w:t xml:space="preserve"> S9</w:t>
      </w:r>
      <w:r w:rsidR="008F2779">
        <w:rPr>
          <w:rFonts w:cs="Times New Roman"/>
        </w:rPr>
        <w:t xml:space="preserve">. The external validation of model WR with </w:t>
      </w:r>
      <w:r w:rsidR="00E63142">
        <w:rPr>
          <w:rFonts w:cs="Times New Roman"/>
        </w:rPr>
        <w:t>data set</w:t>
      </w:r>
      <w:r w:rsidR="008F2779">
        <w:rPr>
          <w:rFonts w:cs="Times New Roman"/>
        </w:rPr>
        <w:t xml:space="preserve"> S9 was less accurate at lower RM, where the distribution of the observations in the correlation plot </w:t>
      </w:r>
      <w:r w:rsidR="006E7523">
        <w:rPr>
          <w:rFonts w:cs="Times New Roman"/>
        </w:rPr>
        <w:t xml:space="preserve">is wider. </w:t>
      </w:r>
      <w:r w:rsidR="00F97636" w:rsidRPr="00F97636">
        <w:rPr>
          <w:rFonts w:cs="Times New Roman"/>
        </w:rPr>
        <w:t xml:space="preserve">For larger RM values, however, the points lie almost perfectly aligned </w:t>
      </w:r>
      <w:r w:rsidR="00F97636">
        <w:rPr>
          <w:rFonts w:cs="Times New Roman"/>
        </w:rPr>
        <w:t xml:space="preserve">to the bisector </w:t>
      </w:r>
      <w:r w:rsidR="00F97636" w:rsidRPr="00F97636">
        <w:rPr>
          <w:rFonts w:cs="Times New Roman"/>
        </w:rPr>
        <w:t>with both models.</w:t>
      </w:r>
      <w:r w:rsidR="00BA00EA">
        <w:rPr>
          <w:rFonts w:cs="Times New Roman"/>
        </w:rPr>
        <w:t xml:space="preserve"> </w:t>
      </w:r>
      <w:r w:rsidR="00A70588" w:rsidRPr="00A70588">
        <w:rPr>
          <w:rFonts w:cs="Times New Roman"/>
        </w:rPr>
        <w:t xml:space="preserve">In order to confirm the </w:t>
      </w:r>
      <w:r w:rsidR="00A70588">
        <w:rPr>
          <w:rFonts w:cs="Times New Roman"/>
        </w:rPr>
        <w:t>robustness</w:t>
      </w:r>
      <w:r w:rsidR="00A70588" w:rsidRPr="00A70588">
        <w:rPr>
          <w:rFonts w:cs="Times New Roman"/>
        </w:rPr>
        <w:t xml:space="preserve"> of the obtained model, however, it would be appropriate to expand the </w:t>
      </w:r>
      <w:r w:rsidR="00E63142">
        <w:rPr>
          <w:rFonts w:cs="Times New Roman"/>
        </w:rPr>
        <w:t>data set</w:t>
      </w:r>
      <w:r w:rsidR="00A70588" w:rsidRPr="00A70588">
        <w:rPr>
          <w:rFonts w:cs="Times New Roman"/>
        </w:rPr>
        <w:t xml:space="preserve"> with new experimental tests. In fact, only 8 data were made available for the S9 </w:t>
      </w:r>
      <w:r w:rsidR="00E63142">
        <w:rPr>
          <w:rFonts w:cs="Times New Roman"/>
        </w:rPr>
        <w:t>data set</w:t>
      </w:r>
      <w:r w:rsidR="00A70588" w:rsidRPr="00A70588">
        <w:rPr>
          <w:rFonts w:cs="Times New Roman"/>
        </w:rPr>
        <w:t>.</w:t>
      </w:r>
    </w:p>
    <w:p w14:paraId="2E0FD2AB" w14:textId="77777777" w:rsidR="00F215BD" w:rsidRDefault="00F215BD" w:rsidP="00FD2DB2">
      <w:pPr>
        <w:pStyle w:val="Rientro"/>
        <w:rPr>
          <w:rFonts w:cs="Times New Roman"/>
        </w:rPr>
      </w:pPr>
    </w:p>
    <w:p w14:paraId="45537BEE" w14:textId="623815FE" w:rsidR="00CE389B" w:rsidRDefault="009212AF" w:rsidP="00FD2DB2">
      <w:pPr>
        <w:pStyle w:val="Rientro"/>
      </w:pPr>
      <w:r w:rsidRPr="009212AF">
        <w:rPr>
          <w:rFonts w:cs="Times New Roman"/>
        </w:rPr>
        <w:t xml:space="preserve">The effect of adding an amino acid was studied with 7% and 14% sucrose-arginine </w:t>
      </w:r>
      <w:r w:rsidR="00026949">
        <w:rPr>
          <w:rFonts w:cs="Times New Roman"/>
        </w:rPr>
        <w:t>mixture</w:t>
      </w:r>
      <w:r w:rsidRPr="009212AF">
        <w:rPr>
          <w:rFonts w:cs="Times New Roman"/>
        </w:rPr>
        <w:t>s. The case of 14% arginine concentration is reported</w:t>
      </w:r>
      <w:r>
        <w:rPr>
          <w:rFonts w:cs="Times New Roman"/>
        </w:rPr>
        <w:t xml:space="preserve"> in Fig. </w:t>
      </w:r>
      <w:r w:rsidR="00C329F6">
        <w:rPr>
          <w:rFonts w:cs="Times New Roman"/>
        </w:rPr>
        <w:t>4</w:t>
      </w:r>
      <w:r>
        <w:rPr>
          <w:rFonts w:cs="Times New Roman"/>
        </w:rPr>
        <w:t>.</w:t>
      </w:r>
    </w:p>
    <w:p w14:paraId="6F544234" w14:textId="77777777" w:rsidR="009212AF" w:rsidRDefault="00CE389B" w:rsidP="009212AF">
      <w:pPr>
        <w:keepNext/>
        <w:snapToGrid w:val="0"/>
        <w:spacing w:before="240" w:line="300" w:lineRule="auto"/>
        <w:jc w:val="center"/>
      </w:pPr>
      <w:r>
        <w:rPr>
          <w:rFonts w:ascii="Times New Roman" w:eastAsia="MS PGothic" w:hAnsi="Times New Roman"/>
          <w:noProof/>
          <w:lang w:val="en-US"/>
        </w:rPr>
        <w:lastRenderedPageBreak/>
        <w:drawing>
          <wp:inline distT="0" distB="0" distL="0" distR="0" wp14:anchorId="71105256" wp14:editId="4A5C9F09">
            <wp:extent cx="6024302" cy="4375150"/>
            <wp:effectExtent l="0" t="0" r="0" b="635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magine 2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096" cy="437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BD8A9" w14:textId="2BAA650D" w:rsidR="003978C9" w:rsidRPr="009212AF" w:rsidRDefault="009212AF" w:rsidP="009212AF">
      <w:pPr>
        <w:pStyle w:val="Didascalia"/>
        <w:jc w:val="both"/>
        <w:rPr>
          <w:rFonts w:ascii="Times New Roman" w:eastAsia="MS PGothic" w:hAnsi="Times New Roman" w:cs="Times New Roman"/>
          <w:i w:val="0"/>
          <w:iCs w:val="0"/>
          <w:color w:val="auto"/>
          <w:lang w:val="en-US"/>
        </w:rPr>
      </w:pPr>
      <w:r w:rsidRPr="004F531D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t xml:space="preserve">Figure </w:t>
      </w:r>
      <w:r w:rsidRPr="009212AF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begin"/>
      </w:r>
      <w:r w:rsidRPr="004F531D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instrText xml:space="preserve"> SEQ Figure \* ARABIC </w:instrText>
      </w:r>
      <w:r w:rsidRPr="009212AF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separate"/>
      </w:r>
      <w:r w:rsidR="0038320D">
        <w:rPr>
          <w:rFonts w:ascii="Times New Roman" w:hAnsi="Times New Roman" w:cs="Times New Roman"/>
          <w:b/>
          <w:bCs/>
          <w:i w:val="0"/>
          <w:iCs w:val="0"/>
          <w:noProof/>
          <w:color w:val="auto"/>
          <w:lang w:val="en-US"/>
        </w:rPr>
        <w:t>4</w:t>
      </w:r>
      <w:r w:rsidRPr="009212AF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end"/>
      </w:r>
      <w:r w:rsidRPr="004F531D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: Correlation plots for sucrose-arginine </w:t>
      </w:r>
      <w:r w:rsidR="004C2704" w:rsidRPr="004F531D">
        <w:rPr>
          <w:rFonts w:ascii="Times New Roman" w:hAnsi="Times New Roman" w:cs="Times New Roman"/>
          <w:i w:val="0"/>
          <w:iCs w:val="0"/>
          <w:color w:val="auto"/>
          <w:lang w:val="en-US"/>
        </w:rPr>
        <w:t>mixture</w:t>
      </w:r>
      <w:r w:rsidRPr="004F531D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</w:t>
      </w:r>
      <w:r w:rsidR="00130431">
        <w:rPr>
          <w:rFonts w:ascii="Times New Roman" w:hAnsi="Times New Roman" w:cs="Times New Roman"/>
          <w:i w:val="0"/>
          <w:iCs w:val="0"/>
          <w:color w:val="auto"/>
          <w:lang w:val="en-US"/>
        </w:rPr>
        <w:t>and Absolute Error plots</w:t>
      </w:r>
      <w:r w:rsidR="00F618A8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processed</w:t>
      </w:r>
      <w:r w:rsidRPr="004F531D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by: (a)</w:t>
      </w:r>
      <w:r w:rsidR="00F618A8">
        <w:rPr>
          <w:rFonts w:ascii="Times New Roman" w:hAnsi="Times New Roman" w:cs="Times New Roman"/>
          <w:i w:val="0"/>
          <w:iCs w:val="0"/>
          <w:color w:val="auto"/>
          <w:lang w:val="en-US"/>
        </w:rPr>
        <w:t>,(c)</w:t>
      </w:r>
      <w:r w:rsidRPr="004F531D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model WR; (b)</w:t>
      </w:r>
      <w:r w:rsidR="00F618A8">
        <w:rPr>
          <w:rFonts w:ascii="Times New Roman" w:hAnsi="Times New Roman" w:cs="Times New Roman"/>
          <w:i w:val="0"/>
          <w:iCs w:val="0"/>
          <w:color w:val="auto"/>
          <w:lang w:val="en-US"/>
        </w:rPr>
        <w:t>,(d)</w:t>
      </w:r>
      <w:r w:rsidRPr="004F531D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model SR.</w:t>
      </w:r>
    </w:p>
    <w:p w14:paraId="695C235B" w14:textId="4B42FF23" w:rsidR="001E57D0" w:rsidRDefault="004F531D" w:rsidP="00455D71">
      <w:pPr>
        <w:pStyle w:val="Rientro"/>
      </w:pPr>
      <w:r>
        <w:t xml:space="preserve">Model SR turned out to have the poorest performances </w:t>
      </w:r>
      <w:r w:rsidR="001908AE">
        <w:t>in comparison with model WR to</w:t>
      </w:r>
      <w:r w:rsidR="00172C54">
        <w:t xml:space="preserve"> predict the </w:t>
      </w:r>
      <w:r w:rsidR="00AA4867">
        <w:t>residual moisture in a sample where</w:t>
      </w:r>
      <w:r w:rsidR="00E92781">
        <w:t xml:space="preserve"> an</w:t>
      </w:r>
      <w:r w:rsidR="00172C54">
        <w:t xml:space="preserve"> amino acid</w:t>
      </w:r>
      <w:r w:rsidR="00E92781">
        <w:t xml:space="preserve"> is added to the excipient considered in the training phase</w:t>
      </w:r>
      <w:r w:rsidR="00172C54">
        <w:t xml:space="preserve">. </w:t>
      </w:r>
      <w:r w:rsidR="00FE25AD" w:rsidRPr="00FE25AD">
        <w:t>In</w:t>
      </w:r>
      <w:r w:rsidR="00FE25AD">
        <w:t xml:space="preserve"> fact</w:t>
      </w:r>
      <w:r w:rsidR="00FE25AD" w:rsidRPr="00FE25AD">
        <w:t xml:space="preserve">, in Fig. </w:t>
      </w:r>
      <w:r w:rsidR="00C329F6">
        <w:t>4</w:t>
      </w:r>
      <w:r w:rsidR="00FE25AD" w:rsidRPr="00FE25AD">
        <w:t xml:space="preserve">b </w:t>
      </w:r>
      <w:r w:rsidR="00FE25AD">
        <w:t>it can be</w:t>
      </w:r>
      <w:r w:rsidR="00FE25AD" w:rsidRPr="00FE25AD">
        <w:t xml:space="preserve"> observe</w:t>
      </w:r>
      <w:r w:rsidR="00FE25AD">
        <w:t>d</w:t>
      </w:r>
      <w:r w:rsidR="00FE25AD" w:rsidRPr="00FE25AD">
        <w:t xml:space="preserve"> that the observations are much more </w:t>
      </w:r>
      <w:r w:rsidR="00FE25AD">
        <w:t>spread</w:t>
      </w:r>
      <w:r w:rsidR="00FE25AD" w:rsidRPr="00FE25AD">
        <w:t xml:space="preserve"> from the bisector than those processed with the SR model (Fig. </w:t>
      </w:r>
      <w:r w:rsidR="00C329F6">
        <w:t>4</w:t>
      </w:r>
      <w:r w:rsidR="00FE25AD" w:rsidRPr="00FE25AD">
        <w:t>a)</w:t>
      </w:r>
      <w:r w:rsidR="008143FF">
        <w:t xml:space="preserve">. These findings are confirmed also </w:t>
      </w:r>
      <w:r w:rsidR="002104D1">
        <w:t>by</w:t>
      </w:r>
      <w:r w:rsidR="008143FF">
        <w:t xml:space="preserve"> the values of R</w:t>
      </w:r>
      <w:r w:rsidR="008143FF" w:rsidRPr="007F7215">
        <w:rPr>
          <w:vertAlign w:val="superscript"/>
        </w:rPr>
        <w:t xml:space="preserve">2 </w:t>
      </w:r>
      <w:r w:rsidR="008143FF">
        <w:t xml:space="preserve">and RMSE for both model, shown </w:t>
      </w:r>
      <w:r w:rsidR="007F7215">
        <w:t>in Table 3.</w:t>
      </w:r>
    </w:p>
    <w:p w14:paraId="4255E747" w14:textId="77777777" w:rsidR="00C329F6" w:rsidRDefault="00C329F6" w:rsidP="00455D71">
      <w:pPr>
        <w:pStyle w:val="Rientro"/>
      </w:pPr>
    </w:p>
    <w:p w14:paraId="63EB4773" w14:textId="1E22D7E5" w:rsidR="00F45083" w:rsidRDefault="00F45083" w:rsidP="00F45083">
      <w:pPr>
        <w:pStyle w:val="Tabella"/>
        <w:jc w:val="center"/>
      </w:pPr>
      <w:r w:rsidRPr="00F45083">
        <w:rPr>
          <w:b/>
          <w:bCs/>
        </w:rPr>
        <w:t xml:space="preserve">Table </w:t>
      </w:r>
      <w:r w:rsidRPr="00F45083">
        <w:rPr>
          <w:b/>
          <w:bCs/>
        </w:rPr>
        <w:fldChar w:fldCharType="begin"/>
      </w:r>
      <w:r w:rsidRPr="00F45083">
        <w:rPr>
          <w:b/>
          <w:bCs/>
        </w:rPr>
        <w:instrText xml:space="preserve"> SEQ Table \* ARABIC </w:instrText>
      </w:r>
      <w:r w:rsidRPr="00F45083">
        <w:rPr>
          <w:b/>
          <w:bCs/>
        </w:rPr>
        <w:fldChar w:fldCharType="separate"/>
      </w:r>
      <w:r w:rsidR="0038320D">
        <w:rPr>
          <w:b/>
          <w:bCs/>
          <w:noProof/>
        </w:rPr>
        <w:t>3</w:t>
      </w:r>
      <w:r w:rsidRPr="00F45083">
        <w:rPr>
          <w:b/>
          <w:bCs/>
        </w:rPr>
        <w:fldChar w:fldCharType="end"/>
      </w:r>
      <w:r>
        <w:t>: Values of RMSE and R</w:t>
      </w:r>
      <w:r w:rsidRPr="00F45083">
        <w:rPr>
          <w:vertAlign w:val="superscript"/>
        </w:rPr>
        <w:t>2</w:t>
      </w:r>
      <w:r>
        <w:t xml:space="preserve"> for sucrose-arginine</w:t>
      </w:r>
      <w:r w:rsidR="004C2704">
        <w:t xml:space="preserve"> mixture</w:t>
      </w:r>
    </w:p>
    <w:tbl>
      <w:tblPr>
        <w:tblStyle w:val="Tabellagriglia1chiara-colore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1732"/>
        <w:gridCol w:w="1732"/>
        <w:gridCol w:w="1848"/>
        <w:gridCol w:w="2138"/>
      </w:tblGrid>
      <w:tr w:rsidR="007F7215" w14:paraId="0D124A33" w14:textId="77777777" w:rsidTr="00F450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tcBorders>
              <w:top w:val="single" w:sz="4" w:space="0" w:color="auto"/>
              <w:bottom w:val="single" w:sz="4" w:space="0" w:color="auto"/>
            </w:tcBorders>
          </w:tcPr>
          <w:p w14:paraId="409AD303" w14:textId="611F8DF4" w:rsidR="007F7215" w:rsidRPr="00FD2254" w:rsidRDefault="00E63142" w:rsidP="003D6E45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Data set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0E9DF189" w14:textId="77777777" w:rsidR="007F7215" w:rsidRDefault="007F7215" w:rsidP="003D6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R</w:t>
            </w:r>
            <w:r w:rsidRPr="00FB041A">
              <w:rPr>
                <w:rFonts w:ascii="Times New Roman" w:hAnsi="Times New Roman" w:cs="Times New Roman"/>
                <w:i/>
                <w:iCs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 SR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5C47C745" w14:textId="77777777" w:rsidR="007F7215" w:rsidRDefault="007F7215" w:rsidP="003D6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RMSE SR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48B48C3D" w14:textId="77777777" w:rsidR="007F7215" w:rsidRDefault="007F7215" w:rsidP="003D6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R</w:t>
            </w:r>
            <w:r w:rsidRPr="00FB041A">
              <w:rPr>
                <w:rFonts w:ascii="Times New Roman" w:hAnsi="Times New Roman" w:cs="Times New Roman"/>
                <w:i/>
                <w:iCs/>
                <w:vertAlign w:val="super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WR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14:paraId="5174E8C2" w14:textId="77777777" w:rsidR="007F7215" w:rsidRPr="00FD2254" w:rsidRDefault="007F7215" w:rsidP="003D6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RMSE WR</w:t>
            </w:r>
          </w:p>
        </w:tc>
      </w:tr>
      <w:tr w:rsidR="007F7215" w14:paraId="5ADF0134" w14:textId="77777777" w:rsidTr="00F4508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tcBorders>
              <w:top w:val="single" w:sz="4" w:space="0" w:color="auto"/>
              <w:bottom w:val="single" w:sz="4" w:space="0" w:color="auto"/>
            </w:tcBorders>
          </w:tcPr>
          <w:p w14:paraId="11B53356" w14:textId="695C9EDA" w:rsidR="007F7215" w:rsidRPr="00FD2254" w:rsidRDefault="007F7215" w:rsidP="003D6E45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lang w:val="en-US"/>
              </w:rPr>
            </w:pPr>
            <w:r w:rsidRPr="00FD2254">
              <w:rPr>
                <w:rFonts w:ascii="Times New Roman" w:hAnsi="Times New Roman" w:cs="Times New Roman"/>
                <w:b w:val="0"/>
                <w:bCs w:val="0"/>
                <w:i/>
                <w:iCs/>
                <w:lang w:val="en-US"/>
              </w:rPr>
              <w:t>S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lang w:val="en-US"/>
              </w:rPr>
              <w:t>A14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6F7F358B" w14:textId="59526A10" w:rsidR="007F7215" w:rsidRPr="00FD2254" w:rsidRDefault="00380C0E" w:rsidP="003D6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0.863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7E360463" w14:textId="7E818FD8" w:rsidR="007F7215" w:rsidRPr="00FD2254" w:rsidRDefault="00691F92" w:rsidP="003D6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1.837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79534392" w14:textId="6939BA6B" w:rsidR="007F7215" w:rsidRPr="00FD2254" w:rsidRDefault="00380C0E" w:rsidP="003D6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0.949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14:paraId="0A5430C1" w14:textId="3109CF39" w:rsidR="007F7215" w:rsidRPr="00FD2254" w:rsidRDefault="00380C0E" w:rsidP="003D6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0.211</w:t>
            </w:r>
          </w:p>
        </w:tc>
      </w:tr>
    </w:tbl>
    <w:p w14:paraId="70618277" w14:textId="77777777" w:rsidR="00455D71" w:rsidRDefault="00455D71" w:rsidP="00455D71">
      <w:pPr>
        <w:pStyle w:val="Rientro"/>
      </w:pPr>
    </w:p>
    <w:p w14:paraId="5843EAFD" w14:textId="196527D9" w:rsidR="007F7215" w:rsidRDefault="00AF1D6E" w:rsidP="00455D71">
      <w:pPr>
        <w:pStyle w:val="Rientro"/>
      </w:pPr>
      <w:r w:rsidRPr="00AF1D6E">
        <w:t>These differences c</w:t>
      </w:r>
      <w:r>
        <w:t>ould</w:t>
      </w:r>
      <w:r w:rsidRPr="00AF1D6E">
        <w:t xml:space="preserve"> be explained by looking at the spectra of the sucrose-arginine mixture. Significant differences can be seen in the region analyzed by the SR model compared to the 6% sucrose mixture used to calibrate the model.</w:t>
      </w:r>
    </w:p>
    <w:p w14:paraId="58B669AD" w14:textId="77777777" w:rsidR="0029072A" w:rsidRDefault="0029072A" w:rsidP="00455D71">
      <w:pPr>
        <w:pStyle w:val="Rientro"/>
      </w:pPr>
    </w:p>
    <w:p w14:paraId="18A8A8FA" w14:textId="09F4C4C5" w:rsidR="0029072A" w:rsidRDefault="003E3E24" w:rsidP="0029072A">
      <w:pPr>
        <w:pStyle w:val="Rientro"/>
      </w:pPr>
      <w:r>
        <w:t xml:space="preserve">Both the </w:t>
      </w:r>
      <w:r w:rsidRPr="003E3E24">
        <w:t xml:space="preserve">models were also tested using a different excipient, a 6% trehalose </w:t>
      </w:r>
      <w:r w:rsidR="00401FDE">
        <w:t>solution</w:t>
      </w:r>
      <w:r w:rsidRPr="003E3E24">
        <w:t xml:space="preserve">. </w:t>
      </w:r>
      <w:r w:rsidR="00D21E5B" w:rsidRPr="00D21E5B">
        <w:t>The failure of the external validation applied to this data set appeared clear. The correlation plots showed a muddled distribution. The poor performance parameters confirm these findings. Due to the limited number of samples available, a more extended calibration might be advisable.</w:t>
      </w:r>
      <w:r w:rsidR="008D14F3" w:rsidRPr="008D14F3">
        <w:t xml:space="preserve"> Future work may try to use a nonlinear model, such as a neural network, which may have better performance in predicting an excipient different from the one used in the calibration step.</w:t>
      </w:r>
      <w:r w:rsidR="00C500AC">
        <w:t xml:space="preserve"> </w:t>
      </w:r>
    </w:p>
    <w:p w14:paraId="0DE817AB" w14:textId="3FB2D623" w:rsidR="00DA51A3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b/>
          <w:bCs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lastRenderedPageBreak/>
        <w:t>4. Conclusion</w:t>
      </w:r>
      <w:r w:rsidRPr="00466FFD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04C55EF8" w14:textId="5209D51F" w:rsidR="0055167F" w:rsidRDefault="00C90DEC" w:rsidP="007B0E8C">
      <w:pPr>
        <w:pStyle w:val="Rientro"/>
      </w:pPr>
      <w:r>
        <w:t xml:space="preserve">Machine learning tools were applied to develop a model suitable for the prediction of the RM content of freeze-dried products, focusing on its robustness and suitability for different products not involved in the training procedure. </w:t>
      </w:r>
    </w:p>
    <w:p w14:paraId="7C468765" w14:textId="26A47745" w:rsidR="006A606D" w:rsidRDefault="006A38F6" w:rsidP="006A606D">
      <w:pPr>
        <w:pStyle w:val="Rientro"/>
      </w:pPr>
      <w:r w:rsidRPr="006A38F6">
        <w:t>Various tests have been done to find the minimum size of the training set that generates acceptable results</w:t>
      </w:r>
      <w:r w:rsidR="00007EC0">
        <w:t xml:space="preserve">, </w:t>
      </w:r>
      <w:r w:rsidR="00007EC0" w:rsidRPr="00007EC0">
        <w:t>thus reducing the experimental effort required.</w:t>
      </w:r>
      <w:r w:rsidR="00007EC0">
        <w:t xml:space="preserve"> </w:t>
      </w:r>
      <w:r w:rsidR="00EF6494" w:rsidRPr="00EF6494">
        <w:t>Both models, SR and WR, were found to be very accurate in describing samples with high percent</w:t>
      </w:r>
      <w:r w:rsidR="00482D9B">
        <w:t>age of</w:t>
      </w:r>
      <w:r w:rsidR="00EF6494" w:rsidRPr="00EF6494">
        <w:t xml:space="preserve"> solid </w:t>
      </w:r>
      <w:r w:rsidR="00DC0914">
        <w:t>(S9)</w:t>
      </w:r>
      <w:r w:rsidR="00EF6494" w:rsidRPr="00EF6494">
        <w:t>. In contrast, they showed poor performance in predicting samples made from a different excipient</w:t>
      </w:r>
      <w:r w:rsidR="00DC0914">
        <w:t xml:space="preserve"> (T6). </w:t>
      </w:r>
      <w:r w:rsidR="00252AA7">
        <w:t>Model WR</w:t>
      </w:r>
      <w:r w:rsidR="00252AA7" w:rsidRPr="00252AA7">
        <w:t xml:space="preserve"> was more accurate in predicting samples made from sucrose-arginine mixtures than the SR model.</w:t>
      </w:r>
      <w:r w:rsidR="006A606D" w:rsidRPr="006A606D">
        <w:t xml:space="preserve"> </w:t>
      </w:r>
      <w:r w:rsidR="006A606D">
        <w:t xml:space="preserve">It has to be remarked that the accuracy of this method is strongly dependent on the accuracy of the KF titration used for model training. </w:t>
      </w:r>
    </w:p>
    <w:p w14:paraId="70EA60DF" w14:textId="3202542C" w:rsidR="006A38F6" w:rsidRDefault="00DC0914" w:rsidP="006A606D">
      <w:pPr>
        <w:pStyle w:val="Rientro"/>
      </w:pPr>
      <w:r>
        <w:t>A global model GM, calibrated with all products, gave basically the same result</w:t>
      </w:r>
      <w:r w:rsidR="00DD6487">
        <w:t>s as models WR and SR, except for the samples containing trehalose, which were better described.</w:t>
      </w:r>
    </w:p>
    <w:p w14:paraId="2D214008" w14:textId="30FBE61B" w:rsidR="007B0E8C" w:rsidRDefault="007B0E8C" w:rsidP="006A38F6">
      <w:pPr>
        <w:pStyle w:val="Rientro"/>
      </w:pPr>
      <w:r>
        <w:t xml:space="preserve">Future work </w:t>
      </w:r>
      <w:r w:rsidR="004708DE">
        <w:t>may</w:t>
      </w:r>
      <w:r>
        <w:t xml:space="preserve"> focus on </w:t>
      </w:r>
      <w:r w:rsidR="004708DE">
        <w:t xml:space="preserve">applying more complex, nonlinear algorithms such as neural networks. </w:t>
      </w:r>
      <w:r w:rsidR="00FA5C9F">
        <w:t xml:space="preserve">Furthermore, </w:t>
      </w:r>
      <w:r w:rsidR="00686DB6">
        <w:t xml:space="preserve">the data set should be expanded to make the model more </w:t>
      </w:r>
      <w:r w:rsidR="00473E8E">
        <w:t>reliable.</w:t>
      </w:r>
    </w:p>
    <w:p w14:paraId="1845F659" w14:textId="0762B5F0" w:rsidR="00DA51A3" w:rsidRPr="00466FFD" w:rsidRDefault="00DA51A3" w:rsidP="00DA51A3">
      <w:pPr>
        <w:snapToGrid w:val="0"/>
        <w:spacing w:before="240" w:line="300" w:lineRule="auto"/>
        <w:rPr>
          <w:rFonts w:ascii="Times New Roman" w:eastAsia="SimSun" w:hAnsi="Times New Roman"/>
          <w:b/>
          <w:bCs/>
          <w:lang w:val="en-US" w:eastAsia="zh-CN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 xml:space="preserve">References </w:t>
      </w:r>
    </w:p>
    <w:p w14:paraId="12520D0D" w14:textId="61F71353" w:rsidR="00DA51A3" w:rsidRDefault="00E24B88" w:rsidP="00DA51A3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Fissore, </w:t>
      </w:r>
      <w:r w:rsidR="00770700">
        <w:rPr>
          <w:rFonts w:ascii="Times New Roman" w:hAnsi="Times New Roman"/>
        </w:rPr>
        <w:t>Freeze Drying of Pharmaceuticals, Encyclopedia of Pharmaceutical Science and Technology</w:t>
      </w:r>
      <w:r w:rsidR="006D59D5">
        <w:rPr>
          <w:rFonts w:ascii="Times New Roman" w:hAnsi="Times New Roman"/>
        </w:rPr>
        <w:t>, New York, 2013, pp. 1723-1737.</w:t>
      </w:r>
    </w:p>
    <w:p w14:paraId="4631187A" w14:textId="177990DC" w:rsidR="00A14427" w:rsidRDefault="008812F3" w:rsidP="00580EFF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 w:rsidRPr="008812F3">
        <w:rPr>
          <w:rFonts w:ascii="Times New Roman" w:hAnsi="Times New Roman"/>
        </w:rPr>
        <w:t xml:space="preserve">H. </w:t>
      </w:r>
      <w:proofErr w:type="spellStart"/>
      <w:r w:rsidRPr="008812F3">
        <w:rPr>
          <w:rFonts w:ascii="Times New Roman" w:hAnsi="Times New Roman"/>
        </w:rPr>
        <w:t>Grohganz</w:t>
      </w:r>
      <w:proofErr w:type="spellEnd"/>
      <w:r w:rsidRPr="008812F3">
        <w:rPr>
          <w:rFonts w:ascii="Times New Roman" w:hAnsi="Times New Roman"/>
        </w:rPr>
        <w:t xml:space="preserve">, D. </w:t>
      </w:r>
      <w:proofErr w:type="spellStart"/>
      <w:r w:rsidRPr="008812F3">
        <w:rPr>
          <w:rFonts w:ascii="Times New Roman" w:hAnsi="Times New Roman"/>
        </w:rPr>
        <w:t>Gildemyn</w:t>
      </w:r>
      <w:proofErr w:type="spellEnd"/>
      <w:r w:rsidRPr="008812F3">
        <w:rPr>
          <w:rFonts w:ascii="Times New Roman" w:hAnsi="Times New Roman"/>
        </w:rPr>
        <w:t xml:space="preserve">, E. </w:t>
      </w:r>
      <w:proofErr w:type="spellStart"/>
      <w:r w:rsidRPr="008812F3">
        <w:rPr>
          <w:rFonts w:ascii="Times New Roman" w:hAnsi="Times New Roman"/>
        </w:rPr>
        <w:t>Skibsted</w:t>
      </w:r>
      <w:proofErr w:type="spellEnd"/>
      <w:r w:rsidRPr="008812F3">
        <w:rPr>
          <w:rFonts w:ascii="Times New Roman" w:hAnsi="Times New Roman"/>
        </w:rPr>
        <w:t xml:space="preserve">, J. M. </w:t>
      </w:r>
      <w:proofErr w:type="spellStart"/>
      <w:r w:rsidRPr="008812F3">
        <w:rPr>
          <w:rFonts w:ascii="Times New Roman" w:hAnsi="Times New Roman"/>
        </w:rPr>
        <w:t>Flink</w:t>
      </w:r>
      <w:proofErr w:type="spellEnd"/>
      <w:r w:rsidRPr="008812F3">
        <w:rPr>
          <w:rFonts w:ascii="Times New Roman" w:hAnsi="Times New Roman"/>
        </w:rPr>
        <w:t xml:space="preserve">, J. </w:t>
      </w:r>
      <w:proofErr w:type="spellStart"/>
      <w:r w:rsidRPr="008812F3">
        <w:rPr>
          <w:rFonts w:ascii="Times New Roman" w:hAnsi="Times New Roman"/>
        </w:rPr>
        <w:t>Rantanen</w:t>
      </w:r>
      <w:proofErr w:type="spellEnd"/>
      <w:r w:rsidRPr="008812F3">
        <w:rPr>
          <w:rFonts w:ascii="Times New Roman" w:hAnsi="Times New Roman"/>
        </w:rPr>
        <w:t>, Toward</w:t>
      </w:r>
      <w:r>
        <w:rPr>
          <w:rFonts w:ascii="Times New Roman" w:hAnsi="Times New Roman"/>
        </w:rPr>
        <w:t xml:space="preserve">s a robust water content determination of freeze-dried samples by near-infrared spectroscopy, Analytica </w:t>
      </w:r>
      <w:proofErr w:type="spellStart"/>
      <w:r>
        <w:rPr>
          <w:rFonts w:ascii="Times New Roman" w:hAnsi="Times New Roman"/>
        </w:rPr>
        <w:t>Chimica</w:t>
      </w:r>
      <w:proofErr w:type="spellEnd"/>
      <w:r>
        <w:rPr>
          <w:rFonts w:ascii="Times New Roman" w:hAnsi="Times New Roman"/>
        </w:rPr>
        <w:t xml:space="preserve"> Acta, Elsevier, </w:t>
      </w:r>
      <w:r w:rsidR="00A14427">
        <w:rPr>
          <w:rFonts w:ascii="Times New Roman" w:hAnsi="Times New Roman"/>
        </w:rPr>
        <w:t>2010, pp. 34-40.</w:t>
      </w:r>
    </w:p>
    <w:p w14:paraId="2DB6FDE9" w14:textId="43FA8DF0" w:rsidR="00580EFF" w:rsidRDefault="00C50B2F" w:rsidP="00580EFF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 w:rsidRPr="00C358E8">
        <w:rPr>
          <w:rFonts w:ascii="Times New Roman" w:hAnsi="Times New Roman"/>
        </w:rPr>
        <w:t xml:space="preserve">T. De Beer, M. </w:t>
      </w:r>
      <w:proofErr w:type="spellStart"/>
      <w:r w:rsidRPr="00C358E8">
        <w:rPr>
          <w:rFonts w:ascii="Times New Roman" w:hAnsi="Times New Roman"/>
        </w:rPr>
        <w:t>Wiggenhorn</w:t>
      </w:r>
      <w:proofErr w:type="spellEnd"/>
      <w:r w:rsidRPr="00C358E8">
        <w:rPr>
          <w:rFonts w:ascii="Times New Roman" w:hAnsi="Times New Roman"/>
        </w:rPr>
        <w:t xml:space="preserve">, </w:t>
      </w:r>
      <w:r w:rsidR="00C358E8" w:rsidRPr="00C358E8">
        <w:rPr>
          <w:rFonts w:ascii="Times New Roman" w:hAnsi="Times New Roman"/>
        </w:rPr>
        <w:t xml:space="preserve">R. </w:t>
      </w:r>
      <w:proofErr w:type="spellStart"/>
      <w:r w:rsidR="00C358E8" w:rsidRPr="00C358E8">
        <w:rPr>
          <w:rFonts w:ascii="Times New Roman" w:hAnsi="Times New Roman"/>
        </w:rPr>
        <w:t>Veillon</w:t>
      </w:r>
      <w:proofErr w:type="spellEnd"/>
      <w:r w:rsidR="00C358E8" w:rsidRPr="00C358E8">
        <w:rPr>
          <w:rFonts w:ascii="Times New Roman" w:hAnsi="Times New Roman"/>
        </w:rPr>
        <w:t>, Importance of us</w:t>
      </w:r>
      <w:r w:rsidR="00C358E8">
        <w:rPr>
          <w:rFonts w:ascii="Times New Roman" w:hAnsi="Times New Roman"/>
        </w:rPr>
        <w:t>ing complementary process analyzers for the process monitoring, analysis and understanding of freeze drying, Anal</w:t>
      </w:r>
      <w:r w:rsidR="003D17AB">
        <w:rPr>
          <w:rFonts w:ascii="Times New Roman" w:hAnsi="Times New Roman"/>
        </w:rPr>
        <w:t xml:space="preserve">ytica </w:t>
      </w:r>
      <w:proofErr w:type="spellStart"/>
      <w:r w:rsidR="003D17AB">
        <w:rPr>
          <w:rFonts w:ascii="Times New Roman" w:hAnsi="Times New Roman"/>
        </w:rPr>
        <w:t>Chimica</w:t>
      </w:r>
      <w:proofErr w:type="spellEnd"/>
      <w:r w:rsidR="003D17AB">
        <w:rPr>
          <w:rFonts w:ascii="Times New Roman" w:hAnsi="Times New Roman"/>
        </w:rPr>
        <w:t xml:space="preserve"> Acta, Elsevier, 2009, pp. 7639-7649.</w:t>
      </w:r>
    </w:p>
    <w:p w14:paraId="7E241C3B" w14:textId="5F363303" w:rsidR="003D17AB" w:rsidRDefault="003D17AB" w:rsidP="00580EFF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 w:rsidRPr="00C0662D">
        <w:rPr>
          <w:rFonts w:ascii="Times New Roman" w:hAnsi="Times New Roman"/>
        </w:rPr>
        <w:t xml:space="preserve">T. De Beer, A. </w:t>
      </w:r>
      <w:proofErr w:type="spellStart"/>
      <w:r w:rsidRPr="00C0662D">
        <w:rPr>
          <w:rFonts w:ascii="Times New Roman" w:hAnsi="Times New Roman"/>
        </w:rPr>
        <w:t>Bur</w:t>
      </w:r>
      <w:r w:rsidR="00C0662D" w:rsidRPr="00C0662D">
        <w:rPr>
          <w:rFonts w:ascii="Times New Roman" w:hAnsi="Times New Roman"/>
        </w:rPr>
        <w:t>ggraeve</w:t>
      </w:r>
      <w:proofErr w:type="spellEnd"/>
      <w:r w:rsidR="00C0662D" w:rsidRPr="00C0662D">
        <w:rPr>
          <w:rFonts w:ascii="Times New Roman" w:hAnsi="Times New Roman"/>
        </w:rPr>
        <w:t xml:space="preserve">, M. Fonteyne, S. </w:t>
      </w:r>
      <w:proofErr w:type="spellStart"/>
      <w:r w:rsidR="00C0662D" w:rsidRPr="00C0662D">
        <w:rPr>
          <w:rFonts w:ascii="Times New Roman" w:hAnsi="Times New Roman"/>
        </w:rPr>
        <w:t>Saerens</w:t>
      </w:r>
      <w:proofErr w:type="spellEnd"/>
      <w:r w:rsidR="00C0662D" w:rsidRPr="00C0662D">
        <w:rPr>
          <w:rFonts w:ascii="Times New Roman" w:hAnsi="Times New Roman"/>
        </w:rPr>
        <w:t xml:space="preserve">, C. </w:t>
      </w:r>
      <w:proofErr w:type="spellStart"/>
      <w:r w:rsidR="00C0662D" w:rsidRPr="00C0662D">
        <w:rPr>
          <w:rFonts w:ascii="Times New Roman" w:hAnsi="Times New Roman"/>
        </w:rPr>
        <w:t>Vervaet</w:t>
      </w:r>
      <w:proofErr w:type="spellEnd"/>
      <w:r w:rsidR="00C0662D" w:rsidRPr="00C0662D">
        <w:rPr>
          <w:rFonts w:ascii="Times New Roman" w:hAnsi="Times New Roman"/>
        </w:rPr>
        <w:t>, Near infrared and Raman spectroscopy fo</w:t>
      </w:r>
      <w:r w:rsidR="00C0662D">
        <w:rPr>
          <w:rFonts w:ascii="Times New Roman" w:hAnsi="Times New Roman"/>
        </w:rPr>
        <w:t>r the in-process monitoring of pharmaceutical production processes, International Journal of Pharmaceutic</w:t>
      </w:r>
      <w:r w:rsidR="00E5339F">
        <w:rPr>
          <w:rFonts w:ascii="Times New Roman" w:hAnsi="Times New Roman"/>
        </w:rPr>
        <w:t>s, Elsevier, 2011, pp. 32-47.</w:t>
      </w:r>
    </w:p>
    <w:p w14:paraId="3D4FDD98" w14:textId="2D026067" w:rsidR="00E5339F" w:rsidRDefault="009C1082" w:rsidP="00580EFF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 w:rsidRPr="001F076F">
        <w:rPr>
          <w:rFonts w:ascii="Times New Roman" w:hAnsi="Times New Roman"/>
        </w:rPr>
        <w:t xml:space="preserve">S. </w:t>
      </w:r>
      <w:proofErr w:type="spellStart"/>
      <w:r w:rsidRPr="001F076F">
        <w:rPr>
          <w:rFonts w:ascii="Times New Roman" w:hAnsi="Times New Roman"/>
        </w:rPr>
        <w:t>Bobba</w:t>
      </w:r>
      <w:proofErr w:type="spellEnd"/>
      <w:r w:rsidRPr="001F076F">
        <w:rPr>
          <w:rFonts w:ascii="Times New Roman" w:hAnsi="Times New Roman"/>
        </w:rPr>
        <w:t>,</w:t>
      </w:r>
      <w:r w:rsidR="001F076F" w:rsidRPr="001F076F">
        <w:rPr>
          <w:rFonts w:ascii="Times New Roman" w:hAnsi="Times New Roman"/>
        </w:rPr>
        <w:t xml:space="preserve"> D. Fissore, N. Zinfollino, Evaluation of</w:t>
      </w:r>
      <w:r w:rsidR="001F076F">
        <w:rPr>
          <w:rFonts w:ascii="Times New Roman" w:hAnsi="Times New Roman"/>
        </w:rPr>
        <w:t xml:space="preserve"> the Robustness of A Novel NIR-based Technique to Measure the Residual Moisture in Freeze-dried Products, Journal of Pharmaceutical Sciences, </w:t>
      </w:r>
      <w:r w:rsidR="00C44A66">
        <w:rPr>
          <w:rFonts w:ascii="Times New Roman" w:hAnsi="Times New Roman"/>
        </w:rPr>
        <w:t>In press</w:t>
      </w:r>
      <w:r w:rsidR="008B667A">
        <w:rPr>
          <w:rFonts w:ascii="Times New Roman" w:hAnsi="Times New Roman"/>
        </w:rPr>
        <w:t>.</w:t>
      </w:r>
    </w:p>
    <w:p w14:paraId="5A650773" w14:textId="19A59064" w:rsidR="005B71B2" w:rsidRDefault="00D9687E" w:rsidP="00593E29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 w:rsidRPr="00D9687E">
        <w:rPr>
          <w:rFonts w:ascii="Times New Roman" w:hAnsi="Times New Roman"/>
        </w:rPr>
        <w:t>A. C. Muller, S. Guido, Introduction to M</w:t>
      </w:r>
      <w:r>
        <w:rPr>
          <w:rFonts w:ascii="Times New Roman" w:hAnsi="Times New Roman"/>
        </w:rPr>
        <w:t>achine Learning with Python</w:t>
      </w:r>
      <w:r w:rsidR="004B7A3B">
        <w:rPr>
          <w:rFonts w:ascii="Times New Roman" w:hAnsi="Times New Roman"/>
        </w:rPr>
        <w:t>, O’Reilly, 2017.</w:t>
      </w:r>
    </w:p>
    <w:p w14:paraId="7FA101E6" w14:textId="5E42FCAC" w:rsidR="00593E29" w:rsidRPr="00593E29" w:rsidRDefault="00593E29" w:rsidP="00593E29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proofErr w:type="spellStart"/>
      <w:r>
        <w:rPr>
          <w:rFonts w:ascii="Times New Roman" w:hAnsi="Times New Roman"/>
        </w:rPr>
        <w:t>Geron</w:t>
      </w:r>
      <w:proofErr w:type="spellEnd"/>
      <w:r>
        <w:rPr>
          <w:rFonts w:ascii="Times New Roman" w:hAnsi="Times New Roman"/>
        </w:rPr>
        <w:t xml:space="preserve">, Hands-on Machine Learning with Scikit-Learn, </w:t>
      </w:r>
      <w:proofErr w:type="spellStart"/>
      <w:r>
        <w:rPr>
          <w:rFonts w:ascii="Times New Roman" w:hAnsi="Times New Roman"/>
        </w:rPr>
        <w:t>Keras</w:t>
      </w:r>
      <w:proofErr w:type="spellEnd"/>
      <w:r>
        <w:rPr>
          <w:rFonts w:ascii="Times New Roman" w:hAnsi="Times New Roman"/>
        </w:rPr>
        <w:t xml:space="preserve"> and TensorFlow, O’Reilly,</w:t>
      </w:r>
      <w:r w:rsidR="00E63142">
        <w:rPr>
          <w:rFonts w:ascii="Times New Roman" w:hAnsi="Times New Roman"/>
        </w:rPr>
        <w:t xml:space="preserve"> 2019.</w:t>
      </w:r>
    </w:p>
    <w:sectPr w:rsidR="00593E29" w:rsidRPr="00593E29" w:rsidSect="001D0E0C">
      <w:headerReference w:type="default" r:id="rId13"/>
      <w:head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2453E" w14:textId="77777777" w:rsidR="00D054C3" w:rsidRDefault="00D054C3" w:rsidP="001D0E0C">
      <w:pPr>
        <w:spacing w:after="0" w:line="240" w:lineRule="auto"/>
      </w:pPr>
      <w:r>
        <w:separator/>
      </w:r>
    </w:p>
  </w:endnote>
  <w:endnote w:type="continuationSeparator" w:id="0">
    <w:p w14:paraId="294BFF5B" w14:textId="77777777" w:rsidR="00D054C3" w:rsidRDefault="00D054C3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A63B5" w14:textId="77777777" w:rsidR="00D054C3" w:rsidRDefault="00D054C3" w:rsidP="001D0E0C">
      <w:pPr>
        <w:spacing w:after="0" w:line="240" w:lineRule="auto"/>
      </w:pPr>
      <w:r>
        <w:separator/>
      </w:r>
    </w:p>
  </w:footnote>
  <w:footnote w:type="continuationSeparator" w:id="0">
    <w:p w14:paraId="7DFD37B4" w14:textId="77777777" w:rsidR="00D054C3" w:rsidRDefault="00D054C3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BBF7" w14:textId="24434349" w:rsidR="001D0E0C" w:rsidRPr="001B060D" w:rsidRDefault="001B060D" w:rsidP="001B060D">
    <w:pPr>
      <w:pStyle w:val="Intestazione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5D5F" w14:textId="292CCFE8" w:rsidR="001D0E0C" w:rsidRDefault="00F24290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  <w:p w14:paraId="14E4AC61" w14:textId="77777777" w:rsidR="008871B1" w:rsidRPr="005C2A12" w:rsidRDefault="008871B1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Intestazione"/>
      <w:jc w:val="center"/>
    </w:pPr>
    <w:r w:rsidRPr="005C2A12">
      <w:rPr>
        <w:noProof/>
        <w:color w:val="00B0F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DFE468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08EC7377"/>
    <w:multiLevelType w:val="hybridMultilevel"/>
    <w:tmpl w:val="BFE8DFAA"/>
    <w:lvl w:ilvl="0" w:tplc="A7BC853E">
      <w:start w:val="1"/>
      <w:numFmt w:val="bullet"/>
      <w:lvlText w:val="-"/>
      <w:lvlJc w:val="left"/>
      <w:pPr>
        <w:ind w:left="78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59A6350"/>
    <w:multiLevelType w:val="hybridMultilevel"/>
    <w:tmpl w:val="93442E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C493F"/>
    <w:multiLevelType w:val="hybridMultilevel"/>
    <w:tmpl w:val="A1F0FF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E429B"/>
    <w:multiLevelType w:val="hybridMultilevel"/>
    <w:tmpl w:val="655E4B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A3"/>
    <w:rsid w:val="0000065B"/>
    <w:rsid w:val="00007EC0"/>
    <w:rsid w:val="00007FFE"/>
    <w:rsid w:val="00013B8E"/>
    <w:rsid w:val="0001542C"/>
    <w:rsid w:val="00020556"/>
    <w:rsid w:val="00026949"/>
    <w:rsid w:val="00046781"/>
    <w:rsid w:val="000517B4"/>
    <w:rsid w:val="000557C9"/>
    <w:rsid w:val="000571B9"/>
    <w:rsid w:val="000648DF"/>
    <w:rsid w:val="0009373A"/>
    <w:rsid w:val="000B52C4"/>
    <w:rsid w:val="000D4A9B"/>
    <w:rsid w:val="000D5C69"/>
    <w:rsid w:val="000E0D45"/>
    <w:rsid w:val="000E7E93"/>
    <w:rsid w:val="000F5276"/>
    <w:rsid w:val="000F79CD"/>
    <w:rsid w:val="00110A5C"/>
    <w:rsid w:val="00130431"/>
    <w:rsid w:val="001376D9"/>
    <w:rsid w:val="00140F8F"/>
    <w:rsid w:val="0014253A"/>
    <w:rsid w:val="001456AC"/>
    <w:rsid w:val="00146973"/>
    <w:rsid w:val="001501AF"/>
    <w:rsid w:val="00150D05"/>
    <w:rsid w:val="00153BDB"/>
    <w:rsid w:val="00153DCF"/>
    <w:rsid w:val="00165326"/>
    <w:rsid w:val="001668FE"/>
    <w:rsid w:val="00172C54"/>
    <w:rsid w:val="00175ACA"/>
    <w:rsid w:val="001825FA"/>
    <w:rsid w:val="0018346C"/>
    <w:rsid w:val="00183D78"/>
    <w:rsid w:val="0018667F"/>
    <w:rsid w:val="001869B0"/>
    <w:rsid w:val="001908AE"/>
    <w:rsid w:val="00190BCC"/>
    <w:rsid w:val="001978EB"/>
    <w:rsid w:val="001A6180"/>
    <w:rsid w:val="001B060D"/>
    <w:rsid w:val="001B18E5"/>
    <w:rsid w:val="001C56D2"/>
    <w:rsid w:val="001C74EC"/>
    <w:rsid w:val="001D0E0C"/>
    <w:rsid w:val="001D6856"/>
    <w:rsid w:val="001E09B6"/>
    <w:rsid w:val="001E57D0"/>
    <w:rsid w:val="001E6D04"/>
    <w:rsid w:val="001E75BA"/>
    <w:rsid w:val="001E79B5"/>
    <w:rsid w:val="001F076F"/>
    <w:rsid w:val="0020734E"/>
    <w:rsid w:val="002104D1"/>
    <w:rsid w:val="00212A80"/>
    <w:rsid w:val="00225CA9"/>
    <w:rsid w:val="00234924"/>
    <w:rsid w:val="0024128D"/>
    <w:rsid w:val="00252AA7"/>
    <w:rsid w:val="00253379"/>
    <w:rsid w:val="00253F83"/>
    <w:rsid w:val="002738AC"/>
    <w:rsid w:val="00274528"/>
    <w:rsid w:val="002864FE"/>
    <w:rsid w:val="00286DF1"/>
    <w:rsid w:val="0029072A"/>
    <w:rsid w:val="002952D5"/>
    <w:rsid w:val="002A0A01"/>
    <w:rsid w:val="002A342E"/>
    <w:rsid w:val="002A34EC"/>
    <w:rsid w:val="002A4CCB"/>
    <w:rsid w:val="002B04B4"/>
    <w:rsid w:val="002C46D8"/>
    <w:rsid w:val="002C53D6"/>
    <w:rsid w:val="002E598B"/>
    <w:rsid w:val="002E6FED"/>
    <w:rsid w:val="002F53A5"/>
    <w:rsid w:val="002F7E4A"/>
    <w:rsid w:val="00303D2B"/>
    <w:rsid w:val="00306A4D"/>
    <w:rsid w:val="00320F04"/>
    <w:rsid w:val="00321FCB"/>
    <w:rsid w:val="00323F9A"/>
    <w:rsid w:val="00334355"/>
    <w:rsid w:val="00340BE6"/>
    <w:rsid w:val="00350E7C"/>
    <w:rsid w:val="003533CE"/>
    <w:rsid w:val="00374792"/>
    <w:rsid w:val="00375657"/>
    <w:rsid w:val="0038079A"/>
    <w:rsid w:val="00380C0E"/>
    <w:rsid w:val="00382DAB"/>
    <w:rsid w:val="0038320D"/>
    <w:rsid w:val="0038363A"/>
    <w:rsid w:val="00383882"/>
    <w:rsid w:val="0038412C"/>
    <w:rsid w:val="00385C17"/>
    <w:rsid w:val="003978C9"/>
    <w:rsid w:val="003A13A3"/>
    <w:rsid w:val="003C4488"/>
    <w:rsid w:val="003D17AB"/>
    <w:rsid w:val="003D2598"/>
    <w:rsid w:val="003E126D"/>
    <w:rsid w:val="003E3E24"/>
    <w:rsid w:val="003F160A"/>
    <w:rsid w:val="003F30F7"/>
    <w:rsid w:val="00401FDE"/>
    <w:rsid w:val="00402674"/>
    <w:rsid w:val="00410F8A"/>
    <w:rsid w:val="0041390F"/>
    <w:rsid w:val="0042438B"/>
    <w:rsid w:val="004262BC"/>
    <w:rsid w:val="00452467"/>
    <w:rsid w:val="00455D71"/>
    <w:rsid w:val="0046020B"/>
    <w:rsid w:val="00460C51"/>
    <w:rsid w:val="004619C9"/>
    <w:rsid w:val="0046382F"/>
    <w:rsid w:val="0046774B"/>
    <w:rsid w:val="004708DE"/>
    <w:rsid w:val="00473E8E"/>
    <w:rsid w:val="004828EB"/>
    <w:rsid w:val="00482D9B"/>
    <w:rsid w:val="00490795"/>
    <w:rsid w:val="004A40F0"/>
    <w:rsid w:val="004A779F"/>
    <w:rsid w:val="004B7A3B"/>
    <w:rsid w:val="004C2704"/>
    <w:rsid w:val="004C30A6"/>
    <w:rsid w:val="004C56B4"/>
    <w:rsid w:val="004C7B05"/>
    <w:rsid w:val="004E331C"/>
    <w:rsid w:val="004E6CCC"/>
    <w:rsid w:val="004E6CE8"/>
    <w:rsid w:val="004F531D"/>
    <w:rsid w:val="004F71F6"/>
    <w:rsid w:val="005043AF"/>
    <w:rsid w:val="00507528"/>
    <w:rsid w:val="005147D1"/>
    <w:rsid w:val="005278B1"/>
    <w:rsid w:val="0054542A"/>
    <w:rsid w:val="005478FA"/>
    <w:rsid w:val="0055167F"/>
    <w:rsid w:val="005540DD"/>
    <w:rsid w:val="005715F9"/>
    <w:rsid w:val="00580EFF"/>
    <w:rsid w:val="005829E6"/>
    <w:rsid w:val="005845AC"/>
    <w:rsid w:val="00587675"/>
    <w:rsid w:val="00593E29"/>
    <w:rsid w:val="0059445F"/>
    <w:rsid w:val="005B170B"/>
    <w:rsid w:val="005B71B2"/>
    <w:rsid w:val="005C2A12"/>
    <w:rsid w:val="005D3655"/>
    <w:rsid w:val="005E11E1"/>
    <w:rsid w:val="005F5665"/>
    <w:rsid w:val="006005D7"/>
    <w:rsid w:val="006018BA"/>
    <w:rsid w:val="0060586B"/>
    <w:rsid w:val="00617705"/>
    <w:rsid w:val="0062731D"/>
    <w:rsid w:val="006343D5"/>
    <w:rsid w:val="00641648"/>
    <w:rsid w:val="00644682"/>
    <w:rsid w:val="00644A23"/>
    <w:rsid w:val="00644AC4"/>
    <w:rsid w:val="00644AC8"/>
    <w:rsid w:val="00646367"/>
    <w:rsid w:val="0065188E"/>
    <w:rsid w:val="006823FB"/>
    <w:rsid w:val="006851E1"/>
    <w:rsid w:val="00686DB6"/>
    <w:rsid w:val="00691F92"/>
    <w:rsid w:val="00697CD6"/>
    <w:rsid w:val="006A38F6"/>
    <w:rsid w:val="006A606D"/>
    <w:rsid w:val="006B2196"/>
    <w:rsid w:val="006B5B9E"/>
    <w:rsid w:val="006D59D5"/>
    <w:rsid w:val="006E5FE2"/>
    <w:rsid w:val="006E7523"/>
    <w:rsid w:val="006F6CE7"/>
    <w:rsid w:val="00706852"/>
    <w:rsid w:val="00724FAD"/>
    <w:rsid w:val="00726998"/>
    <w:rsid w:val="00756EA0"/>
    <w:rsid w:val="00764B9F"/>
    <w:rsid w:val="00766CBF"/>
    <w:rsid w:val="00770700"/>
    <w:rsid w:val="007973E4"/>
    <w:rsid w:val="007B0E8C"/>
    <w:rsid w:val="007B5519"/>
    <w:rsid w:val="007B6576"/>
    <w:rsid w:val="007C0FFD"/>
    <w:rsid w:val="007C50AB"/>
    <w:rsid w:val="007C7917"/>
    <w:rsid w:val="007C7E6D"/>
    <w:rsid w:val="007D48BC"/>
    <w:rsid w:val="007E3F24"/>
    <w:rsid w:val="007E696E"/>
    <w:rsid w:val="007F53FC"/>
    <w:rsid w:val="007F7215"/>
    <w:rsid w:val="00804A14"/>
    <w:rsid w:val="008143FF"/>
    <w:rsid w:val="00833D94"/>
    <w:rsid w:val="00834976"/>
    <w:rsid w:val="00855D06"/>
    <w:rsid w:val="0086273E"/>
    <w:rsid w:val="00862848"/>
    <w:rsid w:val="00870A1A"/>
    <w:rsid w:val="00874838"/>
    <w:rsid w:val="008812F3"/>
    <w:rsid w:val="008871B1"/>
    <w:rsid w:val="00895830"/>
    <w:rsid w:val="00896A5D"/>
    <w:rsid w:val="008A5DFA"/>
    <w:rsid w:val="008A7DDE"/>
    <w:rsid w:val="008B44EC"/>
    <w:rsid w:val="008B667A"/>
    <w:rsid w:val="008C5863"/>
    <w:rsid w:val="008D0118"/>
    <w:rsid w:val="008D14F3"/>
    <w:rsid w:val="008D4506"/>
    <w:rsid w:val="008E4B86"/>
    <w:rsid w:val="008E53CA"/>
    <w:rsid w:val="008F2779"/>
    <w:rsid w:val="008F2F76"/>
    <w:rsid w:val="008F48C3"/>
    <w:rsid w:val="009027A8"/>
    <w:rsid w:val="00903B40"/>
    <w:rsid w:val="00905603"/>
    <w:rsid w:val="0091352E"/>
    <w:rsid w:val="0091475E"/>
    <w:rsid w:val="00915783"/>
    <w:rsid w:val="009212AF"/>
    <w:rsid w:val="00925D98"/>
    <w:rsid w:val="0093044C"/>
    <w:rsid w:val="0093479B"/>
    <w:rsid w:val="009351FE"/>
    <w:rsid w:val="0093538A"/>
    <w:rsid w:val="0093562F"/>
    <w:rsid w:val="00946E30"/>
    <w:rsid w:val="009507A9"/>
    <w:rsid w:val="00952FEE"/>
    <w:rsid w:val="0096733A"/>
    <w:rsid w:val="00976077"/>
    <w:rsid w:val="009767C7"/>
    <w:rsid w:val="0098437A"/>
    <w:rsid w:val="009A3DCD"/>
    <w:rsid w:val="009A5211"/>
    <w:rsid w:val="009B609F"/>
    <w:rsid w:val="009C1082"/>
    <w:rsid w:val="009C5002"/>
    <w:rsid w:val="009D1474"/>
    <w:rsid w:val="009D240F"/>
    <w:rsid w:val="009D2FAD"/>
    <w:rsid w:val="009D5FFC"/>
    <w:rsid w:val="009D6827"/>
    <w:rsid w:val="009E0110"/>
    <w:rsid w:val="009E2D1D"/>
    <w:rsid w:val="009F12C5"/>
    <w:rsid w:val="00A026DD"/>
    <w:rsid w:val="00A1051A"/>
    <w:rsid w:val="00A10F54"/>
    <w:rsid w:val="00A12207"/>
    <w:rsid w:val="00A14427"/>
    <w:rsid w:val="00A14CCA"/>
    <w:rsid w:val="00A20C6E"/>
    <w:rsid w:val="00A2193A"/>
    <w:rsid w:val="00A35754"/>
    <w:rsid w:val="00A368AB"/>
    <w:rsid w:val="00A37FC8"/>
    <w:rsid w:val="00A43182"/>
    <w:rsid w:val="00A44B34"/>
    <w:rsid w:val="00A61128"/>
    <w:rsid w:val="00A67F22"/>
    <w:rsid w:val="00A70588"/>
    <w:rsid w:val="00A7581B"/>
    <w:rsid w:val="00A84D3C"/>
    <w:rsid w:val="00A94C66"/>
    <w:rsid w:val="00AA10BC"/>
    <w:rsid w:val="00AA3AD7"/>
    <w:rsid w:val="00AA4867"/>
    <w:rsid w:val="00AB0956"/>
    <w:rsid w:val="00AB1801"/>
    <w:rsid w:val="00AC78EC"/>
    <w:rsid w:val="00AD2914"/>
    <w:rsid w:val="00AF1D6E"/>
    <w:rsid w:val="00AF5216"/>
    <w:rsid w:val="00B03F95"/>
    <w:rsid w:val="00B06BA2"/>
    <w:rsid w:val="00B14B5B"/>
    <w:rsid w:val="00B325B1"/>
    <w:rsid w:val="00B52894"/>
    <w:rsid w:val="00B54548"/>
    <w:rsid w:val="00B72801"/>
    <w:rsid w:val="00B7307F"/>
    <w:rsid w:val="00B82263"/>
    <w:rsid w:val="00B85127"/>
    <w:rsid w:val="00B91C0A"/>
    <w:rsid w:val="00BA00EA"/>
    <w:rsid w:val="00BB4C3E"/>
    <w:rsid w:val="00BB5095"/>
    <w:rsid w:val="00BD503E"/>
    <w:rsid w:val="00BE68AD"/>
    <w:rsid w:val="00BF0810"/>
    <w:rsid w:val="00C0662D"/>
    <w:rsid w:val="00C126FA"/>
    <w:rsid w:val="00C140D6"/>
    <w:rsid w:val="00C2172C"/>
    <w:rsid w:val="00C25C1E"/>
    <w:rsid w:val="00C329F6"/>
    <w:rsid w:val="00C358E8"/>
    <w:rsid w:val="00C35C4B"/>
    <w:rsid w:val="00C40840"/>
    <w:rsid w:val="00C44A66"/>
    <w:rsid w:val="00C4567C"/>
    <w:rsid w:val="00C500AC"/>
    <w:rsid w:val="00C50B2F"/>
    <w:rsid w:val="00C53549"/>
    <w:rsid w:val="00C61DAD"/>
    <w:rsid w:val="00C66957"/>
    <w:rsid w:val="00C719C2"/>
    <w:rsid w:val="00C74563"/>
    <w:rsid w:val="00C90DEC"/>
    <w:rsid w:val="00C93447"/>
    <w:rsid w:val="00C97BE4"/>
    <w:rsid w:val="00CA03DF"/>
    <w:rsid w:val="00CA4C95"/>
    <w:rsid w:val="00CC0844"/>
    <w:rsid w:val="00CC563C"/>
    <w:rsid w:val="00CC6240"/>
    <w:rsid w:val="00CD5E13"/>
    <w:rsid w:val="00CE389B"/>
    <w:rsid w:val="00CE7CDC"/>
    <w:rsid w:val="00CF049E"/>
    <w:rsid w:val="00D03730"/>
    <w:rsid w:val="00D038C3"/>
    <w:rsid w:val="00D03DB3"/>
    <w:rsid w:val="00D054C3"/>
    <w:rsid w:val="00D1388F"/>
    <w:rsid w:val="00D21E5B"/>
    <w:rsid w:val="00D322F1"/>
    <w:rsid w:val="00D352AF"/>
    <w:rsid w:val="00D412A9"/>
    <w:rsid w:val="00D4740C"/>
    <w:rsid w:val="00D505D7"/>
    <w:rsid w:val="00D70695"/>
    <w:rsid w:val="00D75046"/>
    <w:rsid w:val="00D77095"/>
    <w:rsid w:val="00D7731C"/>
    <w:rsid w:val="00D81961"/>
    <w:rsid w:val="00D85FA8"/>
    <w:rsid w:val="00D92A98"/>
    <w:rsid w:val="00D9687E"/>
    <w:rsid w:val="00DA51A3"/>
    <w:rsid w:val="00DB1810"/>
    <w:rsid w:val="00DB432C"/>
    <w:rsid w:val="00DC0914"/>
    <w:rsid w:val="00DD1BD7"/>
    <w:rsid w:val="00DD2D8C"/>
    <w:rsid w:val="00DD6487"/>
    <w:rsid w:val="00DF1B7B"/>
    <w:rsid w:val="00DF758B"/>
    <w:rsid w:val="00E05BAC"/>
    <w:rsid w:val="00E05C0F"/>
    <w:rsid w:val="00E068B3"/>
    <w:rsid w:val="00E16CC3"/>
    <w:rsid w:val="00E17808"/>
    <w:rsid w:val="00E24B88"/>
    <w:rsid w:val="00E425DA"/>
    <w:rsid w:val="00E44A10"/>
    <w:rsid w:val="00E53196"/>
    <w:rsid w:val="00E5339F"/>
    <w:rsid w:val="00E56AFA"/>
    <w:rsid w:val="00E60953"/>
    <w:rsid w:val="00E63142"/>
    <w:rsid w:val="00E64E3B"/>
    <w:rsid w:val="00E66E5B"/>
    <w:rsid w:val="00E81DF7"/>
    <w:rsid w:val="00E8589B"/>
    <w:rsid w:val="00E8732C"/>
    <w:rsid w:val="00E92781"/>
    <w:rsid w:val="00EC0C33"/>
    <w:rsid w:val="00EC4DC0"/>
    <w:rsid w:val="00EF0BFC"/>
    <w:rsid w:val="00EF30B4"/>
    <w:rsid w:val="00EF4E7C"/>
    <w:rsid w:val="00EF54E1"/>
    <w:rsid w:val="00EF5F9F"/>
    <w:rsid w:val="00EF6494"/>
    <w:rsid w:val="00F05FE9"/>
    <w:rsid w:val="00F215BD"/>
    <w:rsid w:val="00F24290"/>
    <w:rsid w:val="00F42F35"/>
    <w:rsid w:val="00F45083"/>
    <w:rsid w:val="00F55161"/>
    <w:rsid w:val="00F57285"/>
    <w:rsid w:val="00F618A8"/>
    <w:rsid w:val="00F64E09"/>
    <w:rsid w:val="00F67F68"/>
    <w:rsid w:val="00F72C67"/>
    <w:rsid w:val="00F73ACF"/>
    <w:rsid w:val="00F93042"/>
    <w:rsid w:val="00F930C3"/>
    <w:rsid w:val="00F9592C"/>
    <w:rsid w:val="00F97636"/>
    <w:rsid w:val="00FA5C9F"/>
    <w:rsid w:val="00FB041A"/>
    <w:rsid w:val="00FB1F73"/>
    <w:rsid w:val="00FB6CC3"/>
    <w:rsid w:val="00FB77C5"/>
    <w:rsid w:val="00FD171B"/>
    <w:rsid w:val="00FD2254"/>
    <w:rsid w:val="00FD2DB2"/>
    <w:rsid w:val="00FE25AD"/>
    <w:rsid w:val="00FF1107"/>
    <w:rsid w:val="00F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1A3"/>
  </w:style>
  <w:style w:type="paragraph" w:styleId="Titolo1">
    <w:name w:val="heading 1"/>
    <w:basedOn w:val="Normale"/>
    <w:next w:val="Normale"/>
    <w:link w:val="Titolo1Carattere"/>
    <w:uiPriority w:val="9"/>
    <w:qFormat/>
    <w:rsid w:val="002B04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3538A"/>
    <w:pPr>
      <w:keepNext/>
      <w:keepLines/>
      <w:spacing w:before="240" w:after="120"/>
      <w:outlineLvl w:val="1"/>
    </w:pPr>
    <w:rPr>
      <w:rFonts w:ascii="Times New Roman" w:eastAsiaTheme="majorEastAsia" w:hAnsi="Times New Roman" w:cstheme="majorBidi"/>
      <w:i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7565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5657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0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A35754"/>
    <w:pPr>
      <w:ind w:left="720"/>
      <w:contextualSpacing/>
    </w:pPr>
  </w:style>
  <w:style w:type="table" w:styleId="Grigliatabella">
    <w:name w:val="Table Grid"/>
    <w:basedOn w:val="Tabellanormale"/>
    <w:uiPriority w:val="39"/>
    <w:rsid w:val="0032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link w:val="DidascaliaCarattere"/>
    <w:uiPriority w:val="35"/>
    <w:unhideWhenUsed/>
    <w:qFormat/>
    <w:rsid w:val="00323F9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aelenco7acolori">
    <w:name w:val="List Table 7 Colorful"/>
    <w:basedOn w:val="Tabellanormale"/>
    <w:uiPriority w:val="52"/>
    <w:rsid w:val="000557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0557C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-colore3">
    <w:name w:val="Grid Table 1 Light Accent 3"/>
    <w:basedOn w:val="Tabellanormale"/>
    <w:uiPriority w:val="46"/>
    <w:rsid w:val="000557C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stosegnaposto">
    <w:name w:val="Placeholder Text"/>
    <w:basedOn w:val="Carpredefinitoparagrafo"/>
    <w:uiPriority w:val="99"/>
    <w:semiHidden/>
    <w:rsid w:val="00321FCB"/>
    <w:rPr>
      <w:color w:val="808080"/>
    </w:rPr>
  </w:style>
  <w:style w:type="paragraph" w:customStyle="1" w:styleId="DidascaliaTabella">
    <w:name w:val="Didascalia Tabella"/>
    <w:basedOn w:val="Didascalia"/>
    <w:link w:val="DidascaliaTabellaCarattere"/>
    <w:qFormat/>
    <w:rsid w:val="009D6827"/>
    <w:pPr>
      <w:keepNext/>
      <w:spacing w:before="120" w:after="40"/>
      <w:jc w:val="center"/>
    </w:pPr>
    <w:rPr>
      <w:rFonts w:ascii="Times New Roman" w:hAnsi="Times New Roman" w:cs="Times New Roman"/>
      <w:i w:val="0"/>
      <w:iCs w:val="0"/>
      <w:color w:val="auto"/>
      <w:sz w:val="22"/>
      <w:szCs w:val="2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538A"/>
    <w:rPr>
      <w:rFonts w:ascii="Times New Roman" w:eastAsiaTheme="majorEastAsia" w:hAnsi="Times New Roman" w:cstheme="majorBidi"/>
      <w:i/>
      <w:szCs w:val="26"/>
    </w:rPr>
  </w:style>
  <w:style w:type="character" w:customStyle="1" w:styleId="DidascaliaCarattere">
    <w:name w:val="Didascalia Carattere"/>
    <w:basedOn w:val="Carpredefinitoparagrafo"/>
    <w:link w:val="Didascalia"/>
    <w:uiPriority w:val="35"/>
    <w:rsid w:val="009D6827"/>
    <w:rPr>
      <w:i/>
      <w:iCs/>
      <w:color w:val="44546A" w:themeColor="text2"/>
      <w:sz w:val="18"/>
      <w:szCs w:val="18"/>
    </w:rPr>
  </w:style>
  <w:style w:type="character" w:customStyle="1" w:styleId="DidascaliaTabellaCarattere">
    <w:name w:val="Didascalia Tabella Carattere"/>
    <w:basedOn w:val="DidascaliaCarattere"/>
    <w:link w:val="DidascaliaTabella"/>
    <w:rsid w:val="009D6827"/>
    <w:rPr>
      <w:rFonts w:ascii="Times New Roman" w:hAnsi="Times New Roman" w:cs="Times New Roman"/>
      <w:i w:val="0"/>
      <w:iCs w:val="0"/>
      <w:color w:val="44546A" w:themeColor="text2"/>
      <w:sz w:val="18"/>
      <w:szCs w:val="18"/>
      <w:lang w:val="en-US"/>
    </w:rPr>
  </w:style>
  <w:style w:type="paragraph" w:customStyle="1" w:styleId="Tabella">
    <w:name w:val="Tabella"/>
    <w:basedOn w:val="Normale"/>
    <w:link w:val="TabellaCarattere"/>
    <w:qFormat/>
    <w:rsid w:val="00CF049E"/>
    <w:pPr>
      <w:snapToGrid w:val="0"/>
      <w:spacing w:after="0" w:line="300" w:lineRule="auto"/>
      <w:jc w:val="both"/>
    </w:pPr>
    <w:rPr>
      <w:rFonts w:ascii="Times New Roman" w:eastAsia="MS PGothic" w:hAnsi="Times New Roman"/>
      <w:lang w:val="en-US"/>
    </w:rPr>
  </w:style>
  <w:style w:type="paragraph" w:customStyle="1" w:styleId="Rientro">
    <w:name w:val="Rientro"/>
    <w:basedOn w:val="Normale"/>
    <w:link w:val="RientroCarattere"/>
    <w:qFormat/>
    <w:rsid w:val="004828EB"/>
    <w:pPr>
      <w:snapToGrid w:val="0"/>
      <w:spacing w:after="0" w:line="300" w:lineRule="auto"/>
      <w:ind w:firstLine="227"/>
      <w:jc w:val="both"/>
    </w:pPr>
    <w:rPr>
      <w:rFonts w:ascii="Times New Roman" w:eastAsia="MS PGothic" w:hAnsi="Times New Roman"/>
      <w:lang w:val="en-US" w:eastAsia="ko-KR"/>
    </w:rPr>
  </w:style>
  <w:style w:type="character" w:customStyle="1" w:styleId="TabellaCarattere">
    <w:name w:val="Tabella Carattere"/>
    <w:basedOn w:val="Carpredefinitoparagrafo"/>
    <w:link w:val="Tabella"/>
    <w:rsid w:val="00CF049E"/>
    <w:rPr>
      <w:rFonts w:ascii="Times New Roman" w:eastAsia="MS PGothic" w:hAnsi="Times New Roman"/>
      <w:lang w:val="en-US"/>
    </w:rPr>
  </w:style>
  <w:style w:type="character" w:customStyle="1" w:styleId="RientroCarattere">
    <w:name w:val="Rientro Carattere"/>
    <w:basedOn w:val="Carpredefinitoparagrafo"/>
    <w:link w:val="Rientro"/>
    <w:rsid w:val="004828EB"/>
    <w:rPr>
      <w:rFonts w:ascii="Times New Roman" w:eastAsia="MS PGothic" w:hAnsi="Times New Roman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e.fissore@polito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o elemento e data" Version="1987"/>
</file>

<file path=customXml/itemProps1.xml><?xml version="1.0" encoding="utf-8"?>
<ds:datastoreItem xmlns:ds="http://schemas.openxmlformats.org/officeDocument/2006/customXml" ds:itemID="{7ECD2284-94CE-472C-859B-DB143498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2713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Fissore  Davide</cp:lastModifiedBy>
  <cp:revision>2</cp:revision>
  <cp:lastPrinted>2022-03-08T15:31:00Z</cp:lastPrinted>
  <dcterms:created xsi:type="dcterms:W3CDTF">2022-03-09T17:30:00Z</dcterms:created>
  <dcterms:modified xsi:type="dcterms:W3CDTF">2022-03-09T17:30:00Z</dcterms:modified>
</cp:coreProperties>
</file>