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11CBD" w14:textId="3538BCFB" w:rsidR="00D4386B" w:rsidRPr="00466FFD" w:rsidRDefault="00DA5A2E" w:rsidP="00BE0C5F">
      <w:pPr>
        <w:pStyle w:val="Title"/>
      </w:pPr>
      <w:r>
        <w:t>C</w:t>
      </w:r>
      <w:r w:rsidR="00D4386B">
        <w:t xml:space="preserve">oupling of experimental and computational approaches </w:t>
      </w:r>
      <w:r w:rsidR="00BE0C5F">
        <w:t>in</w:t>
      </w:r>
      <w:r w:rsidR="00D4386B">
        <w:t xml:space="preserve"> </w:t>
      </w:r>
      <w:r w:rsidR="00BE0C5F">
        <w:t>the study of</w:t>
      </w:r>
      <w:r w:rsidR="00BE0C5F">
        <w:t xml:space="preserve"> </w:t>
      </w:r>
      <w:r w:rsidR="008D3D96">
        <w:t>complex</w:t>
      </w:r>
      <w:r w:rsidR="00BE0C5F">
        <w:t xml:space="preserve"> (nano)systems</w:t>
      </w:r>
      <w:r w:rsidR="00BE0C5F">
        <w:t xml:space="preserve"> </w:t>
      </w:r>
      <w:r>
        <w:t>for industrial and biomedical applications</w:t>
      </w:r>
    </w:p>
    <w:p w14:paraId="00787739" w14:textId="77777777" w:rsidR="00D4386B" w:rsidRPr="00E57361" w:rsidRDefault="00D4386B" w:rsidP="00677D6B">
      <w:pPr>
        <w:pStyle w:val="Subtitle"/>
        <w:rPr>
          <w:sz w:val="22"/>
          <w:szCs w:val="22"/>
          <w:lang w:val="it-IT"/>
        </w:rPr>
      </w:pPr>
      <w:r w:rsidRPr="00E57361">
        <w:rPr>
          <w:sz w:val="22"/>
          <w:szCs w:val="22"/>
          <w:lang w:val="it-IT"/>
        </w:rPr>
        <w:t>Domenico Marson</w:t>
      </w:r>
      <w:r w:rsidRPr="00E57361">
        <w:rPr>
          <w:sz w:val="22"/>
          <w:szCs w:val="22"/>
          <w:vertAlign w:val="superscript"/>
          <w:lang w:val="it-IT"/>
        </w:rPr>
        <w:t>1*</w:t>
      </w:r>
      <w:r w:rsidRPr="00E57361">
        <w:rPr>
          <w:sz w:val="22"/>
          <w:szCs w:val="22"/>
          <w:lang w:val="it-IT"/>
        </w:rPr>
        <w:t>, Maria Russi</w:t>
      </w:r>
      <w:r w:rsidRPr="00E57361">
        <w:rPr>
          <w:sz w:val="22"/>
          <w:szCs w:val="22"/>
          <w:vertAlign w:val="superscript"/>
          <w:lang w:val="it-IT"/>
        </w:rPr>
        <w:t>1</w:t>
      </w:r>
      <w:r w:rsidRPr="00E57361">
        <w:rPr>
          <w:sz w:val="22"/>
          <w:szCs w:val="22"/>
          <w:lang w:val="it-IT"/>
        </w:rPr>
        <w:t>, Erik Laurini</w:t>
      </w:r>
      <w:r w:rsidRPr="00E57361">
        <w:rPr>
          <w:sz w:val="22"/>
          <w:szCs w:val="22"/>
          <w:vertAlign w:val="superscript"/>
          <w:lang w:val="it-IT"/>
        </w:rPr>
        <w:t>1</w:t>
      </w:r>
      <w:r w:rsidRPr="00E57361">
        <w:rPr>
          <w:sz w:val="22"/>
          <w:szCs w:val="22"/>
          <w:lang w:val="it-IT"/>
        </w:rPr>
        <w:t>, Sabrina Pricl</w:t>
      </w:r>
      <w:r w:rsidRPr="00E57361">
        <w:rPr>
          <w:sz w:val="22"/>
          <w:szCs w:val="22"/>
          <w:vertAlign w:val="superscript"/>
          <w:lang w:val="it-IT"/>
        </w:rPr>
        <w:t>1,2</w:t>
      </w:r>
    </w:p>
    <w:p w14:paraId="2882833A" w14:textId="77777777" w:rsidR="00D4386B" w:rsidRPr="00677D6B" w:rsidRDefault="00D4386B" w:rsidP="00677D6B">
      <w:pPr>
        <w:jc w:val="center"/>
        <w:rPr>
          <w:i/>
          <w:iCs/>
          <w:sz w:val="20"/>
          <w:szCs w:val="20"/>
        </w:rPr>
      </w:pPr>
      <w:r>
        <w:rPr>
          <w:i/>
          <w:iCs/>
          <w:sz w:val="20"/>
          <w:szCs w:val="20"/>
          <w:vertAlign w:val="superscript"/>
        </w:rPr>
        <w:t xml:space="preserve">1 </w:t>
      </w:r>
      <w:r w:rsidRPr="00677D6B">
        <w:rPr>
          <w:i/>
          <w:iCs/>
          <w:sz w:val="20"/>
          <w:szCs w:val="20"/>
        </w:rPr>
        <w:t>Molecular Biology and Nanotechnology Laboratory (MolBNL@UniTS), DEA, University of Trieste, Piazzale Europa 1, 34127 Trieste, Italy</w:t>
      </w:r>
    </w:p>
    <w:p w14:paraId="31F1006B" w14:textId="77777777" w:rsidR="00D4386B" w:rsidRPr="00677D6B" w:rsidRDefault="00D4386B" w:rsidP="00677D6B">
      <w:pPr>
        <w:jc w:val="center"/>
        <w:rPr>
          <w:i/>
          <w:iCs/>
          <w:sz w:val="20"/>
          <w:szCs w:val="20"/>
        </w:rPr>
      </w:pPr>
      <w:r>
        <w:rPr>
          <w:i/>
          <w:iCs/>
          <w:sz w:val="20"/>
          <w:szCs w:val="20"/>
          <w:vertAlign w:val="superscript"/>
        </w:rPr>
        <w:t>2</w:t>
      </w:r>
      <w:r w:rsidRPr="00677D6B">
        <w:rPr>
          <w:i/>
          <w:iCs/>
          <w:sz w:val="20"/>
          <w:szCs w:val="20"/>
        </w:rPr>
        <w:t xml:space="preserve"> Department of General Biophysics, Faculty of Biology and Environmental Protection, University of Lodz, ul. </w:t>
      </w:r>
      <w:proofErr w:type="spellStart"/>
      <w:r w:rsidRPr="00677D6B">
        <w:rPr>
          <w:i/>
          <w:iCs/>
          <w:sz w:val="20"/>
          <w:szCs w:val="20"/>
        </w:rPr>
        <w:t>Pomorska</w:t>
      </w:r>
      <w:proofErr w:type="spellEnd"/>
      <w:r w:rsidRPr="00677D6B">
        <w:rPr>
          <w:i/>
          <w:iCs/>
          <w:sz w:val="20"/>
          <w:szCs w:val="20"/>
        </w:rPr>
        <w:t xml:space="preserve"> 141/143, 90-236 </w:t>
      </w:r>
      <w:proofErr w:type="spellStart"/>
      <w:r w:rsidRPr="00677D6B">
        <w:rPr>
          <w:i/>
          <w:iCs/>
          <w:sz w:val="20"/>
          <w:szCs w:val="20"/>
        </w:rPr>
        <w:t>Łódź</w:t>
      </w:r>
      <w:proofErr w:type="spellEnd"/>
      <w:r w:rsidRPr="00677D6B">
        <w:rPr>
          <w:i/>
          <w:iCs/>
          <w:sz w:val="20"/>
          <w:szCs w:val="20"/>
        </w:rPr>
        <w:t>, Poland</w:t>
      </w:r>
    </w:p>
    <w:p w14:paraId="05A9DEA1" w14:textId="77777777" w:rsidR="00D4386B" w:rsidRPr="00677D6B" w:rsidRDefault="00D4386B" w:rsidP="00677D6B">
      <w:pPr>
        <w:jc w:val="center"/>
        <w:rPr>
          <w:i/>
          <w:iCs/>
          <w:sz w:val="20"/>
          <w:szCs w:val="20"/>
          <w:lang w:val="en-GB"/>
        </w:rPr>
      </w:pPr>
      <w:r w:rsidRPr="00677D6B">
        <w:rPr>
          <w:i/>
          <w:iCs/>
          <w:sz w:val="20"/>
          <w:szCs w:val="20"/>
        </w:rPr>
        <w:t xml:space="preserve">* Corresponding author </w:t>
      </w:r>
      <w:r w:rsidRPr="00677D6B">
        <w:rPr>
          <w:i/>
          <w:iCs/>
          <w:sz w:val="20"/>
          <w:szCs w:val="20"/>
          <w:lang w:val="en-GB"/>
        </w:rPr>
        <w:t>e-mail: domenico.marson@dia.units.it</w:t>
      </w:r>
    </w:p>
    <w:p w14:paraId="60CE88D6" w14:textId="77777777" w:rsidR="00D4386B" w:rsidRDefault="00D4386B" w:rsidP="00BA2F61">
      <w:pPr>
        <w:pStyle w:val="Heading1"/>
      </w:pPr>
    </w:p>
    <w:p w14:paraId="6E6460BB" w14:textId="77777777" w:rsidR="00D4386B" w:rsidRPr="00F46F57" w:rsidRDefault="00D4386B" w:rsidP="00BA2F61">
      <w:pPr>
        <w:pStyle w:val="Heading1"/>
      </w:pPr>
      <w:r w:rsidRPr="00F46F57">
        <w:t>1.Introduction</w:t>
      </w:r>
    </w:p>
    <w:p w14:paraId="1BDFC625" w14:textId="2E54F512" w:rsidR="00D4386B" w:rsidRDefault="00D4386B" w:rsidP="00B87553">
      <w:r w:rsidRPr="00BA2F61">
        <w:t xml:space="preserve">In the contemporary </w:t>
      </w:r>
      <w:r>
        <w:t>material and drug</w:t>
      </w:r>
      <w:r w:rsidRPr="00BA2F61">
        <w:t xml:space="preserve"> development process, </w:t>
      </w:r>
      <w:r>
        <w:t>computer-assisted material design (CAMD)</w:t>
      </w:r>
      <w:r w:rsidRPr="00BA2F61">
        <w:t xml:space="preserve"> </w:t>
      </w:r>
      <w:r>
        <w:t>has</w:t>
      </w:r>
      <w:r w:rsidRPr="00BA2F61">
        <w:t xml:space="preserve"> proven </w:t>
      </w:r>
      <w:r>
        <w:t xml:space="preserve">to be a great asset in the prediction and characterization of different properties of complex molecular systems. </w:t>
      </w:r>
      <w:r w:rsidRPr="00BA2F61">
        <w:t xml:space="preserve">Advancements in the last two decades, </w:t>
      </w:r>
      <w:r>
        <w:t>in high-performance computing (HPC)</w:t>
      </w:r>
      <w:r w:rsidRPr="00BA2F61">
        <w:t xml:space="preserve"> </w:t>
      </w:r>
      <w:r>
        <w:t xml:space="preserve">allowed researchers to share lights on increasingly multifaceted aspects of (nano)material development for industrial and biomedical applications. Nonetheless, to get detailed structure/property insights on the performance of a variety of materials – from (bio)proteins to micelles and synthetic polymers, a combination of HPC-based methods and experimental techniques are necessary. Accordingly, in this presentation we will give an overview of such hybrid approach with examples that, although referring to specific </w:t>
      </w:r>
      <w:r w:rsidR="00DA5A2E">
        <w:t>case-studies</w:t>
      </w:r>
      <w:r>
        <w:t>, hold a general validity and can be adapted to the study of any sophisticated (nano)systems.</w:t>
      </w:r>
    </w:p>
    <w:p w14:paraId="72C1359B" w14:textId="77777777" w:rsidR="00D4386B" w:rsidRDefault="00D4386B" w:rsidP="00BA2F61">
      <w:pPr>
        <w:pStyle w:val="Heading1"/>
      </w:pPr>
    </w:p>
    <w:p w14:paraId="7932760A" w14:textId="77777777" w:rsidR="00D4386B" w:rsidRDefault="00D4386B" w:rsidP="00BA2F61">
      <w:pPr>
        <w:pStyle w:val="Heading1"/>
      </w:pPr>
      <w:r w:rsidRPr="00F46F57">
        <w:t>2. Methods</w:t>
      </w:r>
    </w:p>
    <w:p w14:paraId="1FE74BDB" w14:textId="77777777" w:rsidR="00D4386B" w:rsidRDefault="00D4386B" w:rsidP="007402EF">
      <w:r>
        <w:t xml:space="preserve">Nowadays, HPC-based calculations allow researchers to design and predict the properties of highly complex materials with a great degree of accuracy, using computational techniques spanning different time and size scales </w:t>
      </w:r>
      <w:r>
        <w:rPr>
          <w:noProof/>
        </w:rPr>
        <w:t>[1]</w:t>
      </w:r>
      <w:r>
        <w:t xml:space="preserve">. In particular, focusing on molecular dynamic (MD) simulations is possible to follow the time evolution of a system of interest with atomistic resolutions, and describe a plethora of phenomena that pertain to the MD time/scale domain, including, </w:t>
      </w:r>
      <w:r w:rsidRPr="0017418D">
        <w:rPr>
          <w:i/>
          <w:iCs/>
        </w:rPr>
        <w:t>e.g.</w:t>
      </w:r>
      <w:r>
        <w:t xml:space="preserve">, thermodynamics and kinetic events </w:t>
      </w:r>
      <w:r>
        <w:rPr>
          <w:noProof/>
        </w:rPr>
        <w:t>[2-7]</w:t>
      </w:r>
      <w:r>
        <w:t xml:space="preserve"> (Figure 1). Yet, with the addition of tailored experimental investigations, other important information including – among many others – structural and mechanical properties of polymer (nano)composites and/or critical micellar concentrations (CMC) and aggregation numbers for (bio)surfactants (N</w:t>
      </w:r>
      <w:r w:rsidRPr="0017418D">
        <w:rPr>
          <w:vertAlign w:val="subscript"/>
        </w:rPr>
        <w:t>agg</w:t>
      </w:r>
      <w:r>
        <w:t xml:space="preserve">) can be precisely derived </w:t>
      </w:r>
      <w:r>
        <w:rPr>
          <w:noProof/>
        </w:rPr>
        <w:t>[8-17]</w:t>
      </w:r>
      <w:r>
        <w:t xml:space="preserve">. </w:t>
      </w:r>
    </w:p>
    <w:p w14:paraId="0755CB88" w14:textId="77777777" w:rsidR="00D4386B" w:rsidRDefault="00D4386B" w:rsidP="00AA0F7B">
      <w:r>
        <w:t xml:space="preserve">Among all physico-chemical experimental techniques available to the purpose, fluorescence spectroscopy (FS) and isothermal titration calorimetry (ITC) are the most versatile and powerful methods. For example, fluorescence quenching of aromatic amino acids induced by a ligand binding can unveil the underlying mechanism, and yield information of the overall ligand-receptor binding affinity </w:t>
      </w:r>
      <w:r>
        <w:rPr>
          <w:noProof/>
        </w:rPr>
        <w:t>[7, 18]</w:t>
      </w:r>
      <w:r>
        <w:t xml:space="preserve">. Contextually, ITC is becoming a </w:t>
      </w:r>
      <w:r w:rsidRPr="00F455C9">
        <w:t xml:space="preserve">gold standard approach for studying intermolecular and/or intramolecular interactions </w:t>
      </w:r>
      <w:r>
        <w:t xml:space="preserve">both in aqueous buffers and in different organic solvents </w:t>
      </w:r>
      <w:r>
        <w:rPr>
          <w:noProof/>
        </w:rPr>
        <w:t>[11-13]</w:t>
      </w:r>
      <w:r>
        <w:t>. Specifically, by measuring the heat exchanged during any interaction event i</w:t>
      </w:r>
      <w:r w:rsidRPr="00F455C9">
        <w:t xml:space="preserve">t </w:t>
      </w:r>
      <w:r>
        <w:t xml:space="preserve">allows the direct derivation of the enthalpy variation, the stoichiometry of the species involved </w:t>
      </w:r>
      <w:r w:rsidRPr="00F455C9">
        <w:t xml:space="preserve">as well as the binding affinity </w:t>
      </w:r>
      <w:r>
        <w:t xml:space="preserve">constant. From the knowledge of these quantities the remaining thermodynamics parameters (entropy and free energy variations) can be directly estimated.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t>. With an eye on surfactants, the relevant CMC and N</w:t>
      </w:r>
      <w:r w:rsidRPr="005B4530">
        <w:rPr>
          <w:vertAlign w:val="subscript"/>
        </w:rPr>
        <w:t>agg</w:t>
      </w:r>
      <w:r>
        <w:t xml:space="preserve"> can be retrieved with this technique; moreover, by re-elaborating </w:t>
      </w:r>
      <w:r>
        <w:lastRenderedPageBreak/>
        <w:t>the ITC thermograms kinetics information (</w:t>
      </w:r>
      <w:r w:rsidRPr="005B4530">
        <w:rPr>
          <w:i/>
          <w:iCs/>
        </w:rPr>
        <w:t>e.g</w:t>
      </w:r>
      <w:r>
        <w:t xml:space="preserve">., </w:t>
      </w:r>
      <w:r w:rsidRPr="00E82D02">
        <w:t>the association (</w:t>
      </w:r>
      <m:oMath>
        <m:sSub>
          <m:sSubPr>
            <m:ctrlPr>
              <w:rPr>
                <w:rFonts w:ascii="Cambria Math" w:hAnsi="Cambria Math"/>
                <w:i/>
              </w:rPr>
            </m:ctrlPr>
          </m:sSubPr>
          <m:e>
            <m:r>
              <w:rPr>
                <w:rFonts w:ascii="Cambria Math" w:hAnsi="Cambria Math"/>
              </w:rPr>
              <m:t>k</m:t>
            </m:r>
          </m:e>
          <m:sub>
            <m:r>
              <w:rPr>
                <w:rFonts w:ascii="Cambria Math" w:hAnsi="Cambria Math"/>
              </w:rPr>
              <m:t>on</m:t>
            </m:r>
          </m:sub>
        </m:sSub>
      </m:oMath>
      <w:r w:rsidRPr="00E82D02">
        <w:t>) and dissociation rate constants (</w:t>
      </w:r>
      <m:oMath>
        <m:sSub>
          <m:sSubPr>
            <m:ctrlPr>
              <w:rPr>
                <w:rFonts w:ascii="Cambria Math" w:hAnsi="Cambria Math"/>
                <w:i/>
              </w:rPr>
            </m:ctrlPr>
          </m:sSubPr>
          <m:e>
            <m:r>
              <w:rPr>
                <w:rFonts w:ascii="Cambria Math" w:hAnsi="Cambria Math"/>
              </w:rPr>
              <m:t>k</m:t>
            </m:r>
          </m:e>
          <m:sub>
            <m:r>
              <w:rPr>
                <w:rFonts w:ascii="Cambria Math" w:hAnsi="Cambria Math"/>
              </w:rPr>
              <m:t>off</m:t>
            </m:r>
          </m:sub>
        </m:sSub>
      </m:oMath>
      <w:r w:rsidRPr="00E82D02">
        <w:t>)</w:t>
      </w:r>
      <w:r>
        <w:t xml:space="preserve">) can be reliably calculated. Interestingly, all these data can find their counterpart </w:t>
      </w:r>
      <w:r w:rsidRPr="00224033">
        <w:rPr>
          <w:i/>
          <w:iCs/>
        </w:rPr>
        <w:t>in silico</w:t>
      </w:r>
      <w:r>
        <w:t xml:space="preserve">, for which more sophisticated techniques, which include metadynamics, free energy perturbation (FEP) and steered MD simulations, exist to investigate in detail the molecular rationales for these phenomena </w:t>
      </w:r>
      <w:r>
        <w:rPr>
          <w:noProof/>
        </w:rPr>
        <w:t>[5, 18-19]</w:t>
      </w:r>
      <w:r>
        <w:t>.</w:t>
      </w:r>
    </w:p>
    <w:p w14:paraId="016DD203" w14:textId="77777777" w:rsidR="00D4386B" w:rsidRDefault="00D4386B" w:rsidP="00C303C7">
      <w:pPr>
        <w:jc w:val="center"/>
      </w:pPr>
      <w:r w:rsidRPr="00C303C7">
        <w:rPr>
          <w:noProof/>
        </w:rPr>
        <w:drawing>
          <wp:inline distT="0" distB="0" distL="0" distR="0" wp14:anchorId="6540BE93" wp14:editId="7FDBED4F">
            <wp:extent cx="2818874" cy="3372237"/>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6490" cy="3381348"/>
                    </a:xfrm>
                    <a:prstGeom prst="rect">
                      <a:avLst/>
                    </a:prstGeom>
                  </pic:spPr>
                </pic:pic>
              </a:graphicData>
            </a:graphic>
          </wp:inline>
        </w:drawing>
      </w:r>
    </w:p>
    <w:p w14:paraId="6D1E7A01" w14:textId="77777777" w:rsidR="00D4386B" w:rsidRPr="00C303C7" w:rsidRDefault="00D4386B" w:rsidP="00C303C7">
      <w:pPr>
        <w:rPr>
          <w:sz w:val="18"/>
          <w:szCs w:val="18"/>
          <w:lang w:val="en-GB"/>
        </w:rPr>
      </w:pPr>
      <w:r w:rsidRPr="00C303C7">
        <w:rPr>
          <w:b/>
          <w:bCs/>
          <w:sz w:val="18"/>
          <w:szCs w:val="18"/>
          <w:lang w:val="en-GB"/>
        </w:rPr>
        <w:t>Figure 1</w:t>
      </w:r>
      <w:r w:rsidRPr="00C303C7">
        <w:rPr>
          <w:sz w:val="18"/>
          <w:szCs w:val="18"/>
          <w:lang w:val="en-GB"/>
        </w:rPr>
        <w:t>.  Upper panel: models of the SARS-CoV-2 spike homotrimeric protein in the down (left) and up (right) conformations. The three spike protomers are highlighted by their light green, tan and light purple van der Waals surfaces, respectively. Bottom panel: computer rendering of the full-length SARS-CoV-2 homotrimer embedded in a membrane model (polar heads in light tan spheres), showing one protomer in the up position and in complex with the LY-CoV555 (bamlanivimab) monoclonal antibody (light blue van der Waals surface)</w:t>
      </w:r>
      <w:r>
        <w:rPr>
          <w:sz w:val="18"/>
          <w:szCs w:val="18"/>
          <w:lang w:val="en-GB"/>
        </w:rPr>
        <w:t xml:space="preserve"> </w:t>
      </w:r>
      <w:r>
        <w:rPr>
          <w:noProof/>
          <w:sz w:val="18"/>
          <w:szCs w:val="18"/>
          <w:lang w:val="en-GB"/>
        </w:rPr>
        <w:t>[3]</w:t>
      </w:r>
      <w:r w:rsidRPr="00C303C7">
        <w:rPr>
          <w:sz w:val="18"/>
          <w:szCs w:val="18"/>
          <w:lang w:val="en-GB"/>
        </w:rPr>
        <w:t>.</w:t>
      </w:r>
    </w:p>
    <w:p w14:paraId="453B6C0E" w14:textId="77777777" w:rsidR="00D4386B" w:rsidRDefault="00D4386B" w:rsidP="00BA2F61">
      <w:pPr>
        <w:pStyle w:val="Heading1"/>
      </w:pPr>
    </w:p>
    <w:p w14:paraId="13AD257D" w14:textId="77777777" w:rsidR="00D4386B" w:rsidRDefault="00D4386B" w:rsidP="00BA2F61">
      <w:pPr>
        <w:pStyle w:val="Heading1"/>
      </w:pPr>
      <w:r w:rsidRPr="00466FFD">
        <w:t>3. Results and discussion</w:t>
      </w:r>
    </w:p>
    <w:p w14:paraId="7483DC10" w14:textId="77777777" w:rsidR="00D4386B" w:rsidRDefault="00D4386B" w:rsidP="003A650B">
      <w:r>
        <w:t xml:space="preserve">To highlight the combined use of FS/ITC and HPC-based simulations, we will report a couple of examples dealing with protein/ligand binding </w:t>
      </w:r>
      <w:r>
        <w:rPr>
          <w:noProof/>
        </w:rPr>
        <w:t>[7, 18]</w:t>
      </w:r>
      <w:r>
        <w:t xml:space="preserve">. Purposely, the results obtained from the application of this hybrid approach to the thermodynamic and kinetic characterization of the interaction of human serum albumin (HSA) – the major protein component of human blood – with different ligands (two FDA anticancer drugs and a complex dendrimeric molecule) will be presented and discussed. </w:t>
      </w:r>
    </w:p>
    <w:p w14:paraId="019E3FBD" w14:textId="77777777" w:rsidR="00D4386B" w:rsidRDefault="00D4386B" w:rsidP="003A650B">
      <w:r>
        <w:t xml:space="preserve">Next, we will report on the accurate determination of the binding </w:t>
      </w:r>
      <w:r w:rsidRPr="00F455C9">
        <w:t xml:space="preserve">stoichiometry </w:t>
      </w:r>
      <w:r>
        <w:t xml:space="preserve">among the radionuclide </w:t>
      </w:r>
      <w:r w:rsidRPr="00AE2ED0">
        <w:rPr>
          <w:vertAlign w:val="superscript"/>
        </w:rPr>
        <w:t>111</w:t>
      </w:r>
      <w:proofErr w:type="gramStart"/>
      <w:r w:rsidRPr="00AE2ED0">
        <w:t>In(</w:t>
      </w:r>
      <w:proofErr w:type="gramEnd"/>
      <w:r w:rsidRPr="00AE2ED0">
        <w:t>III)</w:t>
      </w:r>
      <w:r>
        <w:t xml:space="preserve"> (an element used in clinical  single photon emission computed tomography (SPECT) bioimaging) with biocompatible nanocarriers bearing different terminal macrocyclic rings, </w:t>
      </w:r>
      <w:r w:rsidRPr="00EC52EA">
        <w:rPr>
          <w:i/>
          <w:iCs/>
        </w:rPr>
        <w:t>i.e</w:t>
      </w:r>
      <w:r>
        <w:t xml:space="preserve">. </w:t>
      </w:r>
      <w:r w:rsidRPr="00AE2ED0">
        <w:t>DOTA (1,4,7,10-tetraazacyclododecane-1,4,7,10-tetraacetic acid)</w:t>
      </w:r>
      <w:r>
        <w:t xml:space="preserve"> and NOTA (</w:t>
      </w:r>
      <w:r w:rsidRPr="00AE2ED0">
        <w:t>1,4,7-triazacyclononane-1,4,7triacetic acid</w:t>
      </w:r>
      <w:r>
        <w:t>. For other self-assembling amphiphilic nanosystems we will also show some results stemming from the coupling of HPC- and experimental-based techniques, which allowed us to characterize their main micellar features, including</w:t>
      </w:r>
      <w:r w:rsidRPr="00FD0846">
        <w:t xml:space="preserve"> their</w:t>
      </w:r>
      <w:r>
        <w:t xml:space="preserve"> CMC and N</w:t>
      </w:r>
      <w:r w:rsidRPr="00FD0846">
        <w:rPr>
          <w:vertAlign w:val="subscript"/>
        </w:rPr>
        <w:t>agg</w:t>
      </w:r>
      <w:r>
        <w:t xml:space="preserve"> values </w:t>
      </w:r>
      <w:r>
        <w:rPr>
          <w:noProof/>
        </w:rPr>
        <w:t>[9, 12]</w:t>
      </w:r>
      <w:r>
        <w:t>.</w:t>
      </w:r>
    </w:p>
    <w:p w14:paraId="2EFFD4C2" w14:textId="77777777" w:rsidR="00D4386B" w:rsidRDefault="00D4386B" w:rsidP="00BA2F61">
      <w:pPr>
        <w:pStyle w:val="Heading1"/>
        <w:rPr>
          <w:b w:val="0"/>
          <w:bCs w:val="0"/>
        </w:rPr>
      </w:pPr>
      <w:r>
        <w:rPr>
          <w:b w:val="0"/>
          <w:bCs w:val="0"/>
        </w:rPr>
        <w:lastRenderedPageBreak/>
        <w:t xml:space="preserve">Finally, we will introduce a </w:t>
      </w:r>
      <w:r w:rsidRPr="00FD0846">
        <w:rPr>
          <w:b w:val="0"/>
          <w:bCs w:val="0"/>
        </w:rPr>
        <w:t xml:space="preserve">correlative analysis between the mechanical and structural properties exploited </w:t>
      </w:r>
      <w:r>
        <w:rPr>
          <w:b w:val="0"/>
          <w:bCs w:val="0"/>
        </w:rPr>
        <w:t>in the</w:t>
      </w:r>
      <w:r w:rsidRPr="00FD0846">
        <w:rPr>
          <w:b w:val="0"/>
          <w:bCs w:val="0"/>
        </w:rPr>
        <w:t xml:space="preserve"> </w:t>
      </w:r>
      <w:r>
        <w:rPr>
          <w:b w:val="0"/>
          <w:bCs w:val="0"/>
        </w:rPr>
        <w:t>determination</w:t>
      </w:r>
      <w:r w:rsidRPr="00FD0846">
        <w:rPr>
          <w:b w:val="0"/>
          <w:bCs w:val="0"/>
        </w:rPr>
        <w:t xml:space="preserve"> </w:t>
      </w:r>
      <w:r>
        <w:rPr>
          <w:b w:val="0"/>
          <w:bCs w:val="0"/>
        </w:rPr>
        <w:t xml:space="preserve">of </w:t>
      </w:r>
      <w:r w:rsidRPr="00FD0846">
        <w:rPr>
          <w:b w:val="0"/>
          <w:bCs w:val="0"/>
        </w:rPr>
        <w:t>the intrinsic changes of double strand DNA when interacting with different intercalant molecules</w:t>
      </w:r>
      <w:r>
        <w:rPr>
          <w:b w:val="0"/>
          <w:bCs w:val="0"/>
        </w:rPr>
        <w:t xml:space="preserve"> (Figure 2). The procedures and results obtained in this study can be extended to</w:t>
      </w:r>
      <w:r w:rsidRPr="00FD0846">
        <w:rPr>
          <w:b w:val="0"/>
          <w:bCs w:val="0"/>
        </w:rPr>
        <w:t xml:space="preserve"> a wide category of molecules </w:t>
      </w:r>
      <w:r>
        <w:rPr>
          <w:b w:val="0"/>
          <w:bCs w:val="0"/>
        </w:rPr>
        <w:t>and</w:t>
      </w:r>
      <w:r w:rsidRPr="00FD0846">
        <w:rPr>
          <w:b w:val="0"/>
          <w:bCs w:val="0"/>
        </w:rPr>
        <w:t xml:space="preserve"> </w:t>
      </w:r>
      <w:r>
        <w:rPr>
          <w:b w:val="0"/>
          <w:bCs w:val="0"/>
        </w:rPr>
        <w:t>polymer of different nature</w:t>
      </w:r>
      <w:r w:rsidRPr="00FD0846">
        <w:rPr>
          <w:b w:val="0"/>
          <w:bCs w:val="0"/>
        </w:rPr>
        <w:t xml:space="preserve">, </w:t>
      </w:r>
      <w:r>
        <w:rPr>
          <w:b w:val="0"/>
          <w:bCs w:val="0"/>
        </w:rPr>
        <w:t xml:space="preserve">therefore finding </w:t>
      </w:r>
      <w:r w:rsidRPr="00FD0846">
        <w:rPr>
          <w:b w:val="0"/>
          <w:bCs w:val="0"/>
        </w:rPr>
        <w:t xml:space="preserve">further applications </w:t>
      </w:r>
      <w:r>
        <w:rPr>
          <w:b w:val="0"/>
          <w:bCs w:val="0"/>
        </w:rPr>
        <w:t xml:space="preserve">in different field, </w:t>
      </w:r>
      <w:r w:rsidRPr="00FD0846">
        <w:rPr>
          <w:b w:val="0"/>
          <w:bCs w:val="0"/>
          <w:i/>
          <w:iCs/>
        </w:rPr>
        <w:t>e.g.</w:t>
      </w:r>
      <w:r>
        <w:rPr>
          <w:b w:val="0"/>
          <w:bCs w:val="0"/>
        </w:rPr>
        <w:t xml:space="preserve">, from the </w:t>
      </w:r>
      <w:r w:rsidRPr="00FD0846">
        <w:rPr>
          <w:b w:val="0"/>
          <w:bCs w:val="0"/>
        </w:rPr>
        <w:t xml:space="preserve">optimal titration of chemotherapeutic drugs </w:t>
      </w:r>
      <w:r>
        <w:rPr>
          <w:b w:val="0"/>
          <w:bCs w:val="0"/>
        </w:rPr>
        <w:t>to</w:t>
      </w:r>
      <w:r w:rsidRPr="00FD0846">
        <w:rPr>
          <w:b w:val="0"/>
          <w:bCs w:val="0"/>
        </w:rPr>
        <w:t xml:space="preserve"> environmental studies for the detection of heavy metals in human serum</w:t>
      </w:r>
      <w:r>
        <w:rPr>
          <w:b w:val="0"/>
          <w:bCs w:val="0"/>
        </w:rPr>
        <w:t xml:space="preserve"> </w:t>
      </w:r>
      <w:r>
        <w:rPr>
          <w:b w:val="0"/>
          <w:bCs w:val="0"/>
          <w:noProof/>
        </w:rPr>
        <w:t>[17]</w:t>
      </w:r>
      <w:r>
        <w:rPr>
          <w:b w:val="0"/>
          <w:bCs w:val="0"/>
        </w:rPr>
        <w:t>.</w:t>
      </w:r>
    </w:p>
    <w:p w14:paraId="2791D891" w14:textId="77777777" w:rsidR="00D4386B" w:rsidRDefault="00D4386B" w:rsidP="001D04A5"/>
    <w:p w14:paraId="212DF999" w14:textId="77777777" w:rsidR="00D4386B" w:rsidRDefault="00D4386B" w:rsidP="001D04A5">
      <w:pPr>
        <w:jc w:val="center"/>
      </w:pPr>
      <w:r w:rsidRPr="001D04A5">
        <w:rPr>
          <w:noProof/>
        </w:rPr>
        <w:drawing>
          <wp:inline distT="0" distB="0" distL="0" distR="0" wp14:anchorId="332BDCB9" wp14:editId="34BF63C6">
            <wp:extent cx="3432281" cy="24319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2640" cy="2439281"/>
                    </a:xfrm>
                    <a:prstGeom prst="rect">
                      <a:avLst/>
                    </a:prstGeom>
                  </pic:spPr>
                </pic:pic>
              </a:graphicData>
            </a:graphic>
          </wp:inline>
        </w:drawing>
      </w:r>
    </w:p>
    <w:p w14:paraId="7BCD2647" w14:textId="77777777" w:rsidR="00D4386B" w:rsidRPr="001D04A5" w:rsidRDefault="00D4386B" w:rsidP="001D04A5">
      <w:pPr>
        <w:rPr>
          <w:sz w:val="18"/>
          <w:szCs w:val="18"/>
        </w:rPr>
      </w:pPr>
      <w:r w:rsidRPr="001D04A5">
        <w:rPr>
          <w:b/>
          <w:bCs/>
          <w:sz w:val="18"/>
          <w:szCs w:val="18"/>
        </w:rPr>
        <w:t>Figure 2.</w:t>
      </w:r>
      <w:r w:rsidRPr="001D04A5">
        <w:rPr>
          <w:sz w:val="18"/>
          <w:szCs w:val="18"/>
        </w:rPr>
        <w:t xml:space="preserve"> SMD simulations of pristine DNA and DNA intercalated with YOYO-1 and CisPt. </w:t>
      </w:r>
      <w:r>
        <w:rPr>
          <w:sz w:val="18"/>
          <w:szCs w:val="18"/>
        </w:rPr>
        <w:t>a)</w:t>
      </w:r>
      <w:r w:rsidRPr="001D04A5">
        <w:rPr>
          <w:sz w:val="18"/>
          <w:szCs w:val="18"/>
        </w:rPr>
        <w:t xml:space="preserve"> Simulated conformational structures of the bare DNA (top), DNA intercalated with YOYO-1 (center), and CisPt (bottom) under uniaxial stretching deformation. In each ﬁgure, the ﬁrst corresponds to the initial structure, while the second represents the ﬁnal conformation reached at the maximum simulated strain. b</w:t>
      </w:r>
      <w:r>
        <w:rPr>
          <w:sz w:val="18"/>
          <w:szCs w:val="18"/>
        </w:rPr>
        <w:t>)</w:t>
      </w:r>
      <w:r w:rsidRPr="001D04A5">
        <w:rPr>
          <w:sz w:val="18"/>
          <w:szCs w:val="18"/>
        </w:rPr>
        <w:t xml:space="preserve"> Stress–strain curve of the unidirectional traction applied to the DNA (blue), DNA/YOYO-1 (green), and DNA/CisPt (orange) systems. The Young’s moduli for each complex are calculated from the slope of the linear ﬁtting. The strain at each force has been averaged over three simulations and the corresponding standard errors are reported. </w:t>
      </w:r>
      <w:r>
        <w:rPr>
          <w:sz w:val="18"/>
          <w:szCs w:val="18"/>
        </w:rPr>
        <w:t>c)</w:t>
      </w:r>
      <w:r w:rsidRPr="001D04A5">
        <w:rPr>
          <w:sz w:val="18"/>
          <w:szCs w:val="18"/>
        </w:rPr>
        <w:t xml:space="preserve"> Calculated Young’s modulus</w:t>
      </w:r>
      <w:r>
        <w:rPr>
          <w:sz w:val="18"/>
          <w:szCs w:val="18"/>
        </w:rPr>
        <w:t xml:space="preserve"> </w:t>
      </w:r>
      <w:r w:rsidRPr="001D04A5">
        <w:rPr>
          <w:sz w:val="18"/>
          <w:szCs w:val="18"/>
        </w:rPr>
        <w:t xml:space="preserve">values for DNA (blue), DNA/YOYO-1 (green), and DNA–CisPt (orange) complexes. </w:t>
      </w:r>
      <w:r>
        <w:rPr>
          <w:sz w:val="18"/>
          <w:szCs w:val="18"/>
        </w:rPr>
        <w:t>d)</w:t>
      </w:r>
      <w:r w:rsidRPr="001D04A5">
        <w:rPr>
          <w:sz w:val="18"/>
          <w:szCs w:val="18"/>
        </w:rPr>
        <w:t xml:space="preserve"> Change in the number of hydrogen bonds of DNA (blue), DNA/YOYO-1 (green), and DNA/CisPt (orange) systems during the simulation time applying the maximum stress value</w:t>
      </w:r>
      <w:r>
        <w:rPr>
          <w:sz w:val="18"/>
          <w:szCs w:val="18"/>
        </w:rPr>
        <w:t xml:space="preserve"> </w:t>
      </w:r>
      <w:r>
        <w:rPr>
          <w:noProof/>
          <w:sz w:val="18"/>
          <w:szCs w:val="18"/>
        </w:rPr>
        <w:t>[17]</w:t>
      </w:r>
      <w:r w:rsidRPr="001D04A5">
        <w:rPr>
          <w:sz w:val="18"/>
          <w:szCs w:val="18"/>
        </w:rPr>
        <w:t>.</w:t>
      </w:r>
    </w:p>
    <w:p w14:paraId="08426320" w14:textId="77777777" w:rsidR="00D4386B" w:rsidRDefault="00D4386B" w:rsidP="00BA2F61">
      <w:pPr>
        <w:pStyle w:val="Heading1"/>
      </w:pPr>
    </w:p>
    <w:p w14:paraId="75E17F17" w14:textId="77777777" w:rsidR="00D4386B" w:rsidRPr="00466FFD" w:rsidRDefault="00D4386B" w:rsidP="00BA2F61">
      <w:pPr>
        <w:pStyle w:val="Heading1"/>
      </w:pPr>
      <w:r w:rsidRPr="00466FFD">
        <w:t>4. Conclusions</w:t>
      </w:r>
    </w:p>
    <w:p w14:paraId="66D58599" w14:textId="77777777" w:rsidR="00D4386B" w:rsidRDefault="00D4386B" w:rsidP="00C10B03">
      <w:r>
        <w:t xml:space="preserve">With the advent of supercomputers, </w:t>
      </w:r>
      <w:r w:rsidRPr="00AF356A">
        <w:rPr>
          <w:i/>
          <w:iCs/>
        </w:rPr>
        <w:t xml:space="preserve">in silico </w:t>
      </w:r>
      <w:r>
        <w:t>methods are gaining a true momentum in the design, study and characterization of complex (nano)systems with high performance in different application sectors. Nonetheless, experimental routines based on chemico-physical techniques are still of age to corroborate computer-based predictions and/or to achieve a higher order of accuracy. In this presentation, we offered a necessarily confined yet significant number of examples in which the efficient combination of both methodologies led to effective material structure/property determinations for very complex systems of industrial and biomedical interest. As such, this approach holds a general validity and can be further expanded to the design and characterization of new, high-performance materials.</w:t>
      </w:r>
    </w:p>
    <w:p w14:paraId="28731C52" w14:textId="77777777" w:rsidR="00D4386B" w:rsidRDefault="00D4386B" w:rsidP="0049169D">
      <w:pPr>
        <w:pStyle w:val="Heading1"/>
      </w:pPr>
    </w:p>
    <w:p w14:paraId="6312322E" w14:textId="77777777" w:rsidR="00D4386B" w:rsidRPr="00AF356A" w:rsidRDefault="00D4386B" w:rsidP="0049169D">
      <w:pPr>
        <w:pStyle w:val="Heading1"/>
        <w:rPr>
          <w:rFonts w:eastAsia="SimSun"/>
          <w:lang w:eastAsia="zh-CN"/>
        </w:rPr>
      </w:pPr>
      <w:r w:rsidRPr="00AF356A">
        <w:t xml:space="preserve">References </w:t>
      </w:r>
    </w:p>
    <w:p w14:paraId="4C1BF7FC" w14:textId="77777777" w:rsidR="00D4386B" w:rsidRPr="009017A3" w:rsidRDefault="00D4386B" w:rsidP="009017A3">
      <w:pPr>
        <w:pStyle w:val="EndNoteBibliography"/>
        <w:spacing w:after="0"/>
        <w:ind w:left="720" w:hanging="720"/>
        <w:rPr>
          <w:noProof/>
        </w:rPr>
      </w:pPr>
      <w:r w:rsidRPr="009017A3">
        <w:rPr>
          <w:noProof/>
        </w:rPr>
        <w:t>[1]</w:t>
      </w:r>
      <w:r w:rsidRPr="009017A3">
        <w:rPr>
          <w:noProof/>
        </w:rPr>
        <w:tab/>
        <w:t>M. Fermeglia, A. Mio, S. Aulic, D. Marson, E. Laurini, S. Pricl, Molecular Systems Design &amp; Engineering</w:t>
      </w:r>
      <w:r w:rsidRPr="009017A3">
        <w:rPr>
          <w:i/>
          <w:noProof/>
        </w:rPr>
        <w:t xml:space="preserve"> </w:t>
      </w:r>
      <w:r w:rsidRPr="009017A3">
        <w:rPr>
          <w:noProof/>
        </w:rPr>
        <w:t xml:space="preserve">2020, </w:t>
      </w:r>
      <w:r w:rsidRPr="009017A3">
        <w:rPr>
          <w:i/>
          <w:noProof/>
        </w:rPr>
        <w:t>5</w:t>
      </w:r>
      <w:r w:rsidRPr="009017A3">
        <w:rPr>
          <w:noProof/>
        </w:rPr>
        <w:t>, 1447-1476.</w:t>
      </w:r>
    </w:p>
    <w:p w14:paraId="68056040" w14:textId="77777777" w:rsidR="00D4386B" w:rsidRPr="009017A3" w:rsidRDefault="00D4386B" w:rsidP="009017A3">
      <w:pPr>
        <w:pStyle w:val="EndNoteBibliography"/>
        <w:spacing w:after="0"/>
        <w:ind w:left="720" w:hanging="720"/>
        <w:rPr>
          <w:noProof/>
        </w:rPr>
      </w:pPr>
      <w:r w:rsidRPr="009017A3">
        <w:rPr>
          <w:noProof/>
        </w:rPr>
        <w:lastRenderedPageBreak/>
        <w:t>[2]</w:t>
      </w:r>
      <w:r w:rsidRPr="009017A3">
        <w:rPr>
          <w:noProof/>
        </w:rPr>
        <w:tab/>
        <w:t>E. Laurini, D. Marson, S. Aulic, A. Fermeglia, S. Pricl, Acs Nano</w:t>
      </w:r>
      <w:r w:rsidRPr="009017A3">
        <w:rPr>
          <w:i/>
          <w:noProof/>
        </w:rPr>
        <w:t xml:space="preserve"> </w:t>
      </w:r>
      <w:r w:rsidRPr="009017A3">
        <w:rPr>
          <w:noProof/>
        </w:rPr>
        <w:t xml:space="preserve">2021, </w:t>
      </w:r>
      <w:r w:rsidRPr="009017A3">
        <w:rPr>
          <w:i/>
          <w:noProof/>
        </w:rPr>
        <w:t>15</w:t>
      </w:r>
      <w:r w:rsidRPr="009017A3">
        <w:rPr>
          <w:noProof/>
        </w:rPr>
        <w:t>, 6929-6948.</w:t>
      </w:r>
    </w:p>
    <w:p w14:paraId="314A720F" w14:textId="77777777" w:rsidR="00D4386B" w:rsidRPr="00DA5A2E" w:rsidRDefault="00D4386B" w:rsidP="009017A3">
      <w:pPr>
        <w:pStyle w:val="EndNoteBibliography"/>
        <w:spacing w:after="0"/>
        <w:ind w:left="720" w:hanging="720"/>
        <w:rPr>
          <w:noProof/>
          <w:lang w:val="it-IT"/>
        </w:rPr>
      </w:pPr>
      <w:r w:rsidRPr="00DA5A2E">
        <w:rPr>
          <w:noProof/>
          <w:lang w:val="it-IT"/>
        </w:rPr>
        <w:t>[3]</w:t>
      </w:r>
      <w:r w:rsidRPr="00DA5A2E">
        <w:rPr>
          <w:noProof/>
          <w:lang w:val="it-IT"/>
        </w:rPr>
        <w:tab/>
        <w:t>E. Laurini, D. Marson, S. Aulic, A. Fermeglia, S. Pricl, Sci Rep</w:t>
      </w:r>
      <w:r w:rsidRPr="00DA5A2E">
        <w:rPr>
          <w:i/>
          <w:noProof/>
          <w:lang w:val="it-IT"/>
        </w:rPr>
        <w:t xml:space="preserve"> </w:t>
      </w:r>
      <w:r w:rsidRPr="00DA5A2E">
        <w:rPr>
          <w:noProof/>
          <w:lang w:val="it-IT"/>
        </w:rPr>
        <w:t xml:space="preserve">2021, </w:t>
      </w:r>
      <w:r w:rsidRPr="00DA5A2E">
        <w:rPr>
          <w:i/>
          <w:noProof/>
          <w:lang w:val="it-IT"/>
        </w:rPr>
        <w:t>11</w:t>
      </w:r>
      <w:r w:rsidRPr="00DA5A2E">
        <w:rPr>
          <w:noProof/>
          <w:lang w:val="it-IT"/>
        </w:rPr>
        <w:t>, 20274.</w:t>
      </w:r>
    </w:p>
    <w:p w14:paraId="10067821" w14:textId="77777777" w:rsidR="00D4386B" w:rsidRPr="00DA5A2E" w:rsidRDefault="00D4386B" w:rsidP="009017A3">
      <w:pPr>
        <w:pStyle w:val="EndNoteBibliography"/>
        <w:spacing w:after="0"/>
        <w:ind w:left="720" w:hanging="720"/>
        <w:rPr>
          <w:noProof/>
          <w:lang w:val="it-IT"/>
        </w:rPr>
      </w:pPr>
      <w:r w:rsidRPr="00DA5A2E">
        <w:rPr>
          <w:noProof/>
          <w:lang w:val="it-IT"/>
        </w:rPr>
        <w:t>[4]</w:t>
      </w:r>
      <w:r w:rsidRPr="00DA5A2E">
        <w:rPr>
          <w:noProof/>
          <w:lang w:val="it-IT"/>
        </w:rPr>
        <w:tab/>
        <w:t>E. Laurini, D. Marson, S. Aulic, M. Fermeglia, S. Pricl, Acs Nano</w:t>
      </w:r>
      <w:r w:rsidRPr="00DA5A2E">
        <w:rPr>
          <w:i/>
          <w:noProof/>
          <w:lang w:val="it-IT"/>
        </w:rPr>
        <w:t xml:space="preserve"> </w:t>
      </w:r>
      <w:r w:rsidRPr="00DA5A2E">
        <w:rPr>
          <w:noProof/>
          <w:lang w:val="it-IT"/>
        </w:rPr>
        <w:t xml:space="preserve">2020, </w:t>
      </w:r>
      <w:r w:rsidRPr="00DA5A2E">
        <w:rPr>
          <w:i/>
          <w:noProof/>
          <w:lang w:val="it-IT"/>
        </w:rPr>
        <w:t>14</w:t>
      </w:r>
      <w:r w:rsidRPr="00DA5A2E">
        <w:rPr>
          <w:noProof/>
          <w:lang w:val="it-IT"/>
        </w:rPr>
        <w:t>, 11821-11830.</w:t>
      </w:r>
    </w:p>
    <w:p w14:paraId="633B32D3" w14:textId="77777777" w:rsidR="00D4386B" w:rsidRPr="00DA5A2E" w:rsidRDefault="00D4386B" w:rsidP="009017A3">
      <w:pPr>
        <w:pStyle w:val="EndNoteBibliography"/>
        <w:spacing w:after="0"/>
        <w:ind w:left="720" w:hanging="720"/>
        <w:rPr>
          <w:noProof/>
          <w:lang w:val="it-IT"/>
        </w:rPr>
      </w:pPr>
      <w:r w:rsidRPr="00DA5A2E">
        <w:rPr>
          <w:noProof/>
          <w:lang w:val="it-IT"/>
        </w:rPr>
        <w:t>[5]</w:t>
      </w:r>
      <w:r w:rsidRPr="00DA5A2E">
        <w:rPr>
          <w:noProof/>
          <w:lang w:val="it-IT"/>
        </w:rPr>
        <w:tab/>
        <w:t>D. Marson, E. Laurini, M. Fermeglia, D. K. Smith, S. Pricl, Fluid Phase Equilibria</w:t>
      </w:r>
      <w:r w:rsidRPr="00DA5A2E">
        <w:rPr>
          <w:i/>
          <w:noProof/>
          <w:lang w:val="it-IT"/>
        </w:rPr>
        <w:t xml:space="preserve"> </w:t>
      </w:r>
      <w:r w:rsidRPr="00DA5A2E">
        <w:rPr>
          <w:noProof/>
          <w:lang w:val="it-IT"/>
        </w:rPr>
        <w:t xml:space="preserve">2018, </w:t>
      </w:r>
      <w:r w:rsidRPr="00DA5A2E">
        <w:rPr>
          <w:i/>
          <w:noProof/>
          <w:lang w:val="it-IT"/>
        </w:rPr>
        <w:t>470</w:t>
      </w:r>
      <w:r w:rsidRPr="00DA5A2E">
        <w:rPr>
          <w:noProof/>
          <w:lang w:val="it-IT"/>
        </w:rPr>
        <w:t>, 259-267.</w:t>
      </w:r>
    </w:p>
    <w:p w14:paraId="7119A244" w14:textId="77777777" w:rsidR="00D4386B" w:rsidRPr="00DA5A2E" w:rsidRDefault="00D4386B" w:rsidP="009017A3">
      <w:pPr>
        <w:pStyle w:val="EndNoteBibliography"/>
        <w:spacing w:after="0"/>
        <w:ind w:left="720" w:hanging="720"/>
        <w:rPr>
          <w:noProof/>
          <w:lang w:val="it-IT"/>
        </w:rPr>
      </w:pPr>
      <w:r w:rsidRPr="00DA5A2E">
        <w:rPr>
          <w:noProof/>
          <w:lang w:val="it-IT"/>
        </w:rPr>
        <w:t>[6]</w:t>
      </w:r>
      <w:r w:rsidRPr="00DA5A2E">
        <w:rPr>
          <w:noProof/>
          <w:lang w:val="it-IT"/>
        </w:rPr>
        <w:tab/>
        <w:t>D. Marson, E. Laurini, P. Posocco, M. Fermeglia, S. Pricl, Nanoscale</w:t>
      </w:r>
      <w:r w:rsidRPr="00DA5A2E">
        <w:rPr>
          <w:i/>
          <w:noProof/>
          <w:lang w:val="it-IT"/>
        </w:rPr>
        <w:t xml:space="preserve"> </w:t>
      </w:r>
      <w:r w:rsidRPr="00DA5A2E">
        <w:rPr>
          <w:noProof/>
          <w:lang w:val="it-IT"/>
        </w:rPr>
        <w:t xml:space="preserve">2015, </w:t>
      </w:r>
      <w:r w:rsidRPr="00DA5A2E">
        <w:rPr>
          <w:i/>
          <w:noProof/>
          <w:lang w:val="it-IT"/>
        </w:rPr>
        <w:t>7</w:t>
      </w:r>
      <w:r w:rsidRPr="00DA5A2E">
        <w:rPr>
          <w:noProof/>
          <w:lang w:val="it-IT"/>
        </w:rPr>
        <w:t>, 3876-3887.</w:t>
      </w:r>
    </w:p>
    <w:p w14:paraId="7F72EDD4" w14:textId="77777777" w:rsidR="00D4386B" w:rsidRPr="00DA5A2E" w:rsidRDefault="00D4386B" w:rsidP="009017A3">
      <w:pPr>
        <w:pStyle w:val="EndNoteBibliography"/>
        <w:spacing w:after="0"/>
        <w:ind w:left="720" w:hanging="720"/>
        <w:rPr>
          <w:noProof/>
          <w:lang w:val="it-IT"/>
        </w:rPr>
      </w:pPr>
      <w:r w:rsidRPr="00DA5A2E">
        <w:rPr>
          <w:noProof/>
          <w:lang w:val="it-IT"/>
        </w:rPr>
        <w:t>[7]</w:t>
      </w:r>
      <w:r w:rsidRPr="00DA5A2E">
        <w:rPr>
          <w:noProof/>
          <w:lang w:val="it-IT"/>
        </w:rPr>
        <w:tab/>
        <w:t>E. Laurini, D. Marson, P. Posocco, M. Fermeglia, S. Pricl, Fluid Phase Equilibria</w:t>
      </w:r>
      <w:r w:rsidRPr="00DA5A2E">
        <w:rPr>
          <w:i/>
          <w:noProof/>
          <w:lang w:val="it-IT"/>
        </w:rPr>
        <w:t xml:space="preserve"> </w:t>
      </w:r>
      <w:r w:rsidRPr="00DA5A2E">
        <w:rPr>
          <w:noProof/>
          <w:lang w:val="it-IT"/>
        </w:rPr>
        <w:t xml:space="preserve">2016, </w:t>
      </w:r>
      <w:r w:rsidRPr="00DA5A2E">
        <w:rPr>
          <w:i/>
          <w:noProof/>
          <w:lang w:val="it-IT"/>
        </w:rPr>
        <w:t>422</w:t>
      </w:r>
      <w:r w:rsidRPr="00DA5A2E">
        <w:rPr>
          <w:noProof/>
          <w:lang w:val="it-IT"/>
        </w:rPr>
        <w:t>, 18-31.</w:t>
      </w:r>
    </w:p>
    <w:p w14:paraId="771AEA34" w14:textId="77777777" w:rsidR="00D4386B" w:rsidRPr="009017A3" w:rsidRDefault="00D4386B" w:rsidP="009017A3">
      <w:pPr>
        <w:pStyle w:val="EndNoteBibliography"/>
        <w:spacing w:after="0"/>
        <w:ind w:left="720" w:hanging="720"/>
        <w:rPr>
          <w:noProof/>
        </w:rPr>
      </w:pPr>
      <w:r w:rsidRPr="009017A3">
        <w:rPr>
          <w:noProof/>
        </w:rPr>
        <w:t>[8]</w:t>
      </w:r>
      <w:r w:rsidRPr="009017A3">
        <w:rPr>
          <w:noProof/>
        </w:rPr>
        <w:tab/>
        <w:t>D. Marson, S. Aulic, M. Fermeglia, E. Laurini, S. Pricl, in Design and Delivery of SiRNA Therapeutics (Eds.: H. J. Ditzel, M. Tuttolomondo, S. Kauppinen), Springer US, New York, NY, 2021, pp. 267-296.</w:t>
      </w:r>
    </w:p>
    <w:p w14:paraId="5E97C766" w14:textId="77777777" w:rsidR="00D4386B" w:rsidRPr="009017A3" w:rsidRDefault="00D4386B" w:rsidP="009017A3">
      <w:pPr>
        <w:pStyle w:val="EndNoteBibliography"/>
        <w:spacing w:after="0"/>
        <w:ind w:left="720" w:hanging="720"/>
        <w:rPr>
          <w:noProof/>
        </w:rPr>
      </w:pPr>
      <w:r w:rsidRPr="009017A3">
        <w:rPr>
          <w:noProof/>
        </w:rPr>
        <w:t>[9]</w:t>
      </w:r>
      <w:r w:rsidRPr="009017A3">
        <w:rPr>
          <w:noProof/>
        </w:rPr>
        <w:tab/>
        <w:t>E. Laurini, S. Aulic, N. Skoko, D. Marson, M. Fermeglia, S. Pricl, in Design and Delivery of SiRNA Therapeutics (Eds.: H. J. Ditzel, M. Tuttolomondo, S. Kauppinen), Springer US, New York, NY, 2021, pp. 245-266.</w:t>
      </w:r>
    </w:p>
    <w:p w14:paraId="7FC96D4A" w14:textId="77777777" w:rsidR="00D4386B" w:rsidRPr="009017A3" w:rsidRDefault="00D4386B" w:rsidP="009017A3">
      <w:pPr>
        <w:pStyle w:val="EndNoteBibliography"/>
        <w:spacing w:after="0"/>
        <w:ind w:left="720" w:hanging="720"/>
        <w:rPr>
          <w:noProof/>
        </w:rPr>
      </w:pPr>
      <w:r w:rsidRPr="009017A3">
        <w:rPr>
          <w:noProof/>
        </w:rPr>
        <w:t>[10]</w:t>
      </w:r>
      <w:r w:rsidRPr="009017A3">
        <w:rPr>
          <w:noProof/>
        </w:rPr>
        <w:tab/>
        <w:t>E. Laurini, S. Aulic, D. Marson, M. Fermeglia, S. Pricl, in Design and Delivery of SiRNA Therapeutics (Eds.: H. J. Ditzel, M. Tuttolomondo, S. Kauppinen), Springer US, New York, NY, 2021, pp. 209-244.</w:t>
      </w:r>
    </w:p>
    <w:p w14:paraId="6D72BCE5" w14:textId="77777777" w:rsidR="00D4386B" w:rsidRPr="009017A3" w:rsidRDefault="00D4386B" w:rsidP="009017A3">
      <w:pPr>
        <w:pStyle w:val="EndNoteBibliography"/>
        <w:spacing w:after="0"/>
        <w:ind w:left="720" w:hanging="720"/>
        <w:rPr>
          <w:noProof/>
        </w:rPr>
      </w:pPr>
      <w:r w:rsidRPr="009017A3">
        <w:rPr>
          <w:noProof/>
        </w:rPr>
        <w:t>[11]</w:t>
      </w:r>
      <w:r w:rsidRPr="009017A3">
        <w:rPr>
          <w:noProof/>
        </w:rPr>
        <w:tab/>
        <w:t>L. Ding, Z. Lyu, B. Louis, A. Tintaru, E. Laurini, D. Marson, M. Zhang, W. Shao, Y. Jiang, A. Bouhlel, L. Balasse, P. Garrigue, E. Mas, S. Giorgio, J. Iovanna, Y. Huang, S. Pricl, B. Guillet, L. Peng, Small</w:t>
      </w:r>
      <w:r w:rsidRPr="009017A3">
        <w:rPr>
          <w:i/>
          <w:noProof/>
        </w:rPr>
        <w:t xml:space="preserve"> </w:t>
      </w:r>
      <w:r w:rsidRPr="009017A3">
        <w:rPr>
          <w:noProof/>
        </w:rPr>
        <w:t xml:space="preserve">2020, </w:t>
      </w:r>
      <w:r w:rsidRPr="009017A3">
        <w:rPr>
          <w:i/>
          <w:noProof/>
        </w:rPr>
        <w:t>16</w:t>
      </w:r>
      <w:r w:rsidRPr="009017A3">
        <w:rPr>
          <w:noProof/>
        </w:rPr>
        <w:t>, e2003290.</w:t>
      </w:r>
    </w:p>
    <w:p w14:paraId="65C597B2" w14:textId="77777777" w:rsidR="00D4386B" w:rsidRPr="00DA5A2E" w:rsidRDefault="00D4386B" w:rsidP="009017A3">
      <w:pPr>
        <w:pStyle w:val="EndNoteBibliography"/>
        <w:spacing w:after="0"/>
        <w:ind w:left="720" w:hanging="720"/>
        <w:rPr>
          <w:noProof/>
          <w:lang w:val="it-IT"/>
        </w:rPr>
      </w:pPr>
      <w:r w:rsidRPr="00DA5A2E">
        <w:rPr>
          <w:noProof/>
          <w:lang w:val="it-IT"/>
        </w:rPr>
        <w:t>[12]</w:t>
      </w:r>
      <w:r w:rsidRPr="00DA5A2E">
        <w:rPr>
          <w:noProof/>
          <w:lang w:val="it-IT"/>
        </w:rPr>
        <w:tab/>
        <w:t>D. Dhumal, W. Lan, L. Ding, Y. Jiang, Z. Lyu, E. Laurini, D. Marson, A. Tintaru, N. Dusetti, S. Giorgio, J. L. Iovanna, S. Pricl, L. Peng, Nano Res</w:t>
      </w:r>
      <w:r w:rsidRPr="00DA5A2E">
        <w:rPr>
          <w:i/>
          <w:noProof/>
          <w:lang w:val="it-IT"/>
        </w:rPr>
        <w:t xml:space="preserve"> </w:t>
      </w:r>
      <w:r w:rsidRPr="00DA5A2E">
        <w:rPr>
          <w:noProof/>
          <w:lang w:val="it-IT"/>
        </w:rPr>
        <w:t xml:space="preserve">2020, </w:t>
      </w:r>
      <w:r w:rsidRPr="00DA5A2E">
        <w:rPr>
          <w:i/>
          <w:noProof/>
          <w:lang w:val="it-IT"/>
        </w:rPr>
        <w:t>14</w:t>
      </w:r>
      <w:r w:rsidRPr="00DA5A2E">
        <w:rPr>
          <w:noProof/>
          <w:lang w:val="it-IT"/>
        </w:rPr>
        <w:t>, 2247-2254.</w:t>
      </w:r>
    </w:p>
    <w:p w14:paraId="68598744" w14:textId="77777777" w:rsidR="00D4386B" w:rsidRPr="00DA5A2E" w:rsidRDefault="00D4386B" w:rsidP="009017A3">
      <w:pPr>
        <w:pStyle w:val="EndNoteBibliography"/>
        <w:spacing w:after="0"/>
        <w:ind w:left="720" w:hanging="720"/>
        <w:rPr>
          <w:noProof/>
          <w:lang w:val="it-IT"/>
        </w:rPr>
      </w:pPr>
      <w:r w:rsidRPr="00DA5A2E">
        <w:rPr>
          <w:noProof/>
          <w:lang w:val="it-IT"/>
        </w:rPr>
        <w:t>[13]</w:t>
      </w:r>
      <w:r w:rsidRPr="00DA5A2E">
        <w:rPr>
          <w:noProof/>
          <w:lang w:val="it-IT"/>
        </w:rPr>
        <w:tab/>
        <w:t>L. Ding, Z. Lyu, A. Tintaru, E. Laurini, D. Marson, B. Louis, A. Bouhlel, L. Balasse, S. Fernandez, P. Garrigue, E. Mas, S. Giorgio, S. Pricl, B. Guillet, L. Peng, Chem Commun</w:t>
      </w:r>
      <w:r w:rsidRPr="00DA5A2E">
        <w:rPr>
          <w:i/>
          <w:noProof/>
          <w:lang w:val="it-IT"/>
        </w:rPr>
        <w:t xml:space="preserve"> </w:t>
      </w:r>
      <w:r w:rsidRPr="00DA5A2E">
        <w:rPr>
          <w:noProof/>
          <w:lang w:val="it-IT"/>
        </w:rPr>
        <w:t xml:space="preserve">2019, </w:t>
      </w:r>
      <w:r w:rsidRPr="00DA5A2E">
        <w:rPr>
          <w:i/>
          <w:noProof/>
          <w:lang w:val="it-IT"/>
        </w:rPr>
        <w:t>56</w:t>
      </w:r>
      <w:r w:rsidRPr="00DA5A2E">
        <w:rPr>
          <w:noProof/>
          <w:lang w:val="it-IT"/>
        </w:rPr>
        <w:t>, 301-304.</w:t>
      </w:r>
    </w:p>
    <w:p w14:paraId="4DA7225B" w14:textId="77777777" w:rsidR="00D4386B" w:rsidRPr="009017A3" w:rsidRDefault="00D4386B" w:rsidP="009017A3">
      <w:pPr>
        <w:pStyle w:val="EndNoteBibliography"/>
        <w:spacing w:after="0"/>
        <w:ind w:left="720" w:hanging="720"/>
        <w:rPr>
          <w:noProof/>
        </w:rPr>
      </w:pPr>
      <w:r w:rsidRPr="009017A3">
        <w:rPr>
          <w:noProof/>
        </w:rPr>
        <w:t>[14]</w:t>
      </w:r>
      <w:r w:rsidRPr="009017A3">
        <w:rPr>
          <w:noProof/>
        </w:rPr>
        <w:tab/>
        <w:t>Y. Dong, T. Yu, L. Ding, E. Laurini, Y. Huang, M. Zhang, Y. Weng, S. Lin, P. Chen, D. Marson, Y. Jiang, S. Giorgio, S. Pricl, X. Liu, P. Rocchi, L. Peng, J Am Chem Soc</w:t>
      </w:r>
      <w:r w:rsidRPr="009017A3">
        <w:rPr>
          <w:i/>
          <w:noProof/>
        </w:rPr>
        <w:t xml:space="preserve"> </w:t>
      </w:r>
      <w:r w:rsidRPr="009017A3">
        <w:rPr>
          <w:noProof/>
        </w:rPr>
        <w:t xml:space="preserve">2018, </w:t>
      </w:r>
      <w:r w:rsidRPr="009017A3">
        <w:rPr>
          <w:i/>
          <w:noProof/>
        </w:rPr>
        <w:t>140</w:t>
      </w:r>
      <w:r w:rsidRPr="009017A3">
        <w:rPr>
          <w:noProof/>
        </w:rPr>
        <w:t>, 16264-16274.</w:t>
      </w:r>
    </w:p>
    <w:p w14:paraId="1FDDD10E" w14:textId="77777777" w:rsidR="00D4386B" w:rsidRPr="009017A3" w:rsidRDefault="00D4386B" w:rsidP="009017A3">
      <w:pPr>
        <w:pStyle w:val="EndNoteBibliography"/>
        <w:spacing w:after="0"/>
        <w:ind w:left="720" w:hanging="720"/>
        <w:rPr>
          <w:noProof/>
        </w:rPr>
      </w:pPr>
      <w:r w:rsidRPr="009017A3">
        <w:rPr>
          <w:noProof/>
        </w:rPr>
        <w:t>[15]</w:t>
      </w:r>
      <w:r w:rsidRPr="009017A3">
        <w:rPr>
          <w:noProof/>
        </w:rPr>
        <w:tab/>
        <w:t>E. Laurini, D. Marson, S. Aulic, A. Mio, M. Fermeglia, S. Pricl, Chemical Engineering Transactions</w:t>
      </w:r>
      <w:r w:rsidRPr="009017A3">
        <w:rPr>
          <w:i/>
          <w:noProof/>
        </w:rPr>
        <w:t xml:space="preserve"> </w:t>
      </w:r>
      <w:r w:rsidRPr="009017A3">
        <w:rPr>
          <w:noProof/>
        </w:rPr>
        <w:t xml:space="preserve">2018, </w:t>
      </w:r>
      <w:r w:rsidRPr="009017A3">
        <w:rPr>
          <w:i/>
          <w:noProof/>
        </w:rPr>
        <w:t>74</w:t>
      </w:r>
      <w:r w:rsidRPr="009017A3">
        <w:rPr>
          <w:noProof/>
        </w:rPr>
        <w:t>, 619- 624.</w:t>
      </w:r>
    </w:p>
    <w:p w14:paraId="1BA9D151" w14:textId="77777777" w:rsidR="00D4386B" w:rsidRPr="009017A3" w:rsidRDefault="00D4386B" w:rsidP="009017A3">
      <w:pPr>
        <w:pStyle w:val="EndNoteBibliography"/>
        <w:spacing w:after="0"/>
        <w:ind w:left="720" w:hanging="720"/>
        <w:rPr>
          <w:noProof/>
        </w:rPr>
      </w:pPr>
      <w:r w:rsidRPr="009017A3">
        <w:rPr>
          <w:noProof/>
        </w:rPr>
        <w:t>[16]</w:t>
      </w:r>
      <w:r w:rsidRPr="009017A3">
        <w:rPr>
          <w:noProof/>
        </w:rPr>
        <w:tab/>
        <w:t>E. Laurini, D. Marson, M. Fermeglia, S. Pricl, J Comput Sci-neth</w:t>
      </w:r>
      <w:r w:rsidRPr="009017A3">
        <w:rPr>
          <w:i/>
          <w:noProof/>
        </w:rPr>
        <w:t xml:space="preserve"> </w:t>
      </w:r>
      <w:r w:rsidRPr="009017A3">
        <w:rPr>
          <w:noProof/>
        </w:rPr>
        <w:t xml:space="preserve">2018, </w:t>
      </w:r>
      <w:r w:rsidRPr="009017A3">
        <w:rPr>
          <w:i/>
          <w:noProof/>
        </w:rPr>
        <w:t>26</w:t>
      </w:r>
      <w:r w:rsidRPr="009017A3">
        <w:rPr>
          <w:noProof/>
        </w:rPr>
        <w:t>, 28-38.</w:t>
      </w:r>
    </w:p>
    <w:p w14:paraId="5CCFD1FD" w14:textId="77777777" w:rsidR="00D4386B" w:rsidRPr="00DA5A2E" w:rsidRDefault="00D4386B" w:rsidP="009017A3">
      <w:pPr>
        <w:pStyle w:val="EndNoteBibliography"/>
        <w:spacing w:after="0"/>
        <w:ind w:left="720" w:hanging="720"/>
        <w:rPr>
          <w:noProof/>
          <w:lang w:val="it-IT"/>
        </w:rPr>
      </w:pPr>
      <w:r w:rsidRPr="00DA5A2E">
        <w:rPr>
          <w:noProof/>
          <w:lang w:val="it-IT"/>
        </w:rPr>
        <w:t>[17]</w:t>
      </w:r>
      <w:r w:rsidRPr="00DA5A2E">
        <w:rPr>
          <w:noProof/>
          <w:lang w:val="it-IT"/>
        </w:rPr>
        <w:tab/>
        <w:t>S. Stassi, M. Marini, M. Allione, S. Lopatin, D. Marson, E. Laurini, S. Pricl, C. F. Pirri, C. Ricciardi, E. Di Fabrizio, Nat Commun</w:t>
      </w:r>
      <w:r w:rsidRPr="00DA5A2E">
        <w:rPr>
          <w:i/>
          <w:noProof/>
          <w:lang w:val="it-IT"/>
        </w:rPr>
        <w:t xml:space="preserve"> </w:t>
      </w:r>
      <w:r w:rsidRPr="00DA5A2E">
        <w:rPr>
          <w:noProof/>
          <w:lang w:val="it-IT"/>
        </w:rPr>
        <w:t xml:space="preserve">2019, </w:t>
      </w:r>
      <w:r w:rsidRPr="00DA5A2E">
        <w:rPr>
          <w:i/>
          <w:noProof/>
          <w:lang w:val="it-IT"/>
        </w:rPr>
        <w:t>10</w:t>
      </w:r>
      <w:r w:rsidRPr="00DA5A2E">
        <w:rPr>
          <w:noProof/>
          <w:lang w:val="it-IT"/>
        </w:rPr>
        <w:t>, 1690.</w:t>
      </w:r>
    </w:p>
    <w:p w14:paraId="2BB7AE47" w14:textId="62EFC327" w:rsidR="00D4386B" w:rsidRPr="00DA5A2E" w:rsidRDefault="00D4386B" w:rsidP="009017A3">
      <w:pPr>
        <w:pStyle w:val="EndNoteBibliography"/>
        <w:spacing w:after="0"/>
        <w:ind w:left="720" w:hanging="720"/>
        <w:rPr>
          <w:i/>
          <w:iCs/>
          <w:noProof/>
          <w:lang w:val="it-IT"/>
        </w:rPr>
      </w:pPr>
      <w:r w:rsidRPr="00DA5A2E">
        <w:rPr>
          <w:noProof/>
          <w:lang w:val="it-IT"/>
        </w:rPr>
        <w:t>[18]</w:t>
      </w:r>
      <w:r w:rsidRPr="00DA5A2E">
        <w:rPr>
          <w:noProof/>
          <w:lang w:val="it-IT"/>
        </w:rPr>
        <w:tab/>
        <w:t>M. Russi, G. Cavalieri, D. Marson, E. Laurini, S. Pricl, Mol Pharmaceut</w:t>
      </w:r>
      <w:r w:rsidRPr="00DA5A2E">
        <w:rPr>
          <w:i/>
          <w:noProof/>
          <w:lang w:val="it-IT"/>
        </w:rPr>
        <w:t xml:space="preserve"> </w:t>
      </w:r>
      <w:r w:rsidRPr="00DA5A2E">
        <w:rPr>
          <w:noProof/>
          <w:lang w:val="it-IT"/>
        </w:rPr>
        <w:t xml:space="preserve">2022, </w:t>
      </w:r>
      <w:r w:rsidRPr="00DA5A2E">
        <w:rPr>
          <w:i/>
          <w:iCs/>
          <w:noProof/>
          <w:lang w:val="it-IT"/>
        </w:rPr>
        <w:t>in press.</w:t>
      </w:r>
    </w:p>
    <w:p w14:paraId="40A5ABB1" w14:textId="77777777" w:rsidR="00D4386B" w:rsidRPr="00DA5A2E" w:rsidRDefault="00D4386B" w:rsidP="009017A3">
      <w:pPr>
        <w:pStyle w:val="EndNoteBibliography"/>
        <w:ind w:left="720" w:hanging="720"/>
        <w:rPr>
          <w:noProof/>
          <w:lang w:val="it-IT"/>
        </w:rPr>
      </w:pPr>
      <w:r w:rsidRPr="00DA5A2E">
        <w:rPr>
          <w:noProof/>
          <w:lang w:val="it-IT"/>
        </w:rPr>
        <w:t>[19]</w:t>
      </w:r>
      <w:r w:rsidRPr="00DA5A2E">
        <w:rPr>
          <w:noProof/>
          <w:lang w:val="it-IT"/>
        </w:rPr>
        <w:tab/>
        <w:t>C. Holtschulte, F. Börgel, S. Westphälinger, D. Schepmann, G. Civenni, E. Laurini, D. Marson, C. V. Catapano, S. Pricl, B. Wünsch, Chemmedchem</w:t>
      </w:r>
      <w:r w:rsidRPr="00DA5A2E">
        <w:rPr>
          <w:i/>
          <w:noProof/>
          <w:lang w:val="it-IT"/>
        </w:rPr>
        <w:t xml:space="preserve"> </w:t>
      </w:r>
      <w:r w:rsidRPr="00DA5A2E">
        <w:rPr>
          <w:noProof/>
          <w:lang w:val="it-IT"/>
        </w:rPr>
        <w:t>2022, e202100735.</w:t>
      </w:r>
    </w:p>
    <w:p w14:paraId="2EB86D3C" w14:textId="77777777" w:rsidR="00D4386B" w:rsidRPr="00DA5A2E" w:rsidRDefault="00D4386B" w:rsidP="00BA2F61">
      <w:pPr>
        <w:rPr>
          <w:lang w:val="it-IT"/>
        </w:rPr>
      </w:pPr>
    </w:p>
    <w:p w14:paraId="744358A8" w14:textId="77777777" w:rsidR="00A63B9C" w:rsidRPr="00DA5A2E" w:rsidRDefault="00A35D9D">
      <w:pPr>
        <w:rPr>
          <w:lang w:val="it-IT"/>
        </w:rPr>
      </w:pPr>
    </w:p>
    <w:sectPr w:rsidR="00A63B9C" w:rsidRPr="00DA5A2E" w:rsidSect="009017A3">
      <w:headerReference w:type="default" r:id="rId9"/>
      <w:headerReference w:type="first" r:id="rId10"/>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C81B3" w14:textId="77777777" w:rsidR="00A35D9D" w:rsidRDefault="00A35D9D">
      <w:pPr>
        <w:spacing w:after="0" w:line="240" w:lineRule="auto"/>
      </w:pPr>
      <w:r>
        <w:separator/>
      </w:r>
    </w:p>
  </w:endnote>
  <w:endnote w:type="continuationSeparator" w:id="0">
    <w:p w14:paraId="22ED0E13" w14:textId="77777777" w:rsidR="00A35D9D" w:rsidRDefault="00A35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604020202020204"/>
    <w:charset w:val="EE"/>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90558" w14:textId="77777777" w:rsidR="00A35D9D" w:rsidRDefault="00A35D9D">
      <w:pPr>
        <w:spacing w:after="0" w:line="240" w:lineRule="auto"/>
      </w:pPr>
      <w:r>
        <w:separator/>
      </w:r>
    </w:p>
  </w:footnote>
  <w:footnote w:type="continuationSeparator" w:id="0">
    <w:p w14:paraId="56D6C259" w14:textId="77777777" w:rsidR="00A35D9D" w:rsidRDefault="00A35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E587" w14:textId="77777777" w:rsidR="001D0E0C" w:rsidRPr="001B060D" w:rsidRDefault="00D4386B" w:rsidP="00BA2F61">
    <w:pPr>
      <w:pStyle w:val="Header"/>
    </w:pPr>
    <w:r w:rsidRPr="005C2A12">
      <w:t>GRICU 2022, Ischia, (Italy), July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5B19" w14:textId="77777777" w:rsidR="008D5E40" w:rsidRPr="008D5E40" w:rsidRDefault="00D4386B" w:rsidP="008D5E40">
    <w:pPr>
      <w:pStyle w:val="Header"/>
      <w:tabs>
        <w:tab w:val="left" w:pos="1188"/>
      </w:tabs>
      <w:jc w:val="center"/>
      <w:rPr>
        <w:rStyle w:val="IntenseReference"/>
      </w:rPr>
    </w:pPr>
    <w:r w:rsidRPr="008D5E40">
      <w:rPr>
        <w:rStyle w:val="IntenseReference"/>
        <w:noProof/>
      </w:rPr>
      <w:drawing>
        <wp:anchor distT="0" distB="0" distL="114300" distR="114300" simplePos="0" relativeHeight="251660288" behindDoc="0" locked="0" layoutInCell="1" allowOverlap="1" wp14:anchorId="04E0F5A9" wp14:editId="453D02C6">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sidRPr="008D5E40">
      <w:rPr>
        <w:rStyle w:val="IntenseReference"/>
      </w:rPr>
      <w:t xml:space="preserve"> </w:t>
    </w:r>
    <w:r w:rsidRPr="008D5E40">
      <w:rPr>
        <w:rStyle w:val="IntenseReference"/>
      </w:rPr>
      <w:tab/>
      <w:t>GRICU 2022, Ischia, (Italy), July 3-6, 2022</w:t>
    </w:r>
  </w:p>
  <w:p w14:paraId="6758B8A1" w14:textId="77777777" w:rsidR="008871B1" w:rsidRPr="005C2A12" w:rsidRDefault="00A35D9D" w:rsidP="00BA2F61">
    <w:pPr>
      <w:pStyle w:val="Header"/>
    </w:pPr>
  </w:p>
  <w:p w14:paraId="51AFDD91" w14:textId="77777777" w:rsidR="001D0E0C" w:rsidRDefault="00D4386B" w:rsidP="00BA2F61">
    <w:pPr>
      <w:pStyle w:val="Header"/>
    </w:pPr>
    <w:r w:rsidRPr="005C2A12">
      <w:rPr>
        <w:noProof/>
      </w:rPr>
      <mc:AlternateContent>
        <mc:Choice Requires="wps">
          <w:drawing>
            <wp:anchor distT="0" distB="0" distL="114300" distR="114300" simplePos="0" relativeHeight="251659264" behindDoc="0" locked="0" layoutInCell="1" allowOverlap="1" wp14:anchorId="50A0507A" wp14:editId="313C3D66">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24CEA"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&#13;&#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s>
  <w:rsids>
    <w:rsidRoot w:val="00D4386B"/>
    <w:rsid w:val="00081C81"/>
    <w:rsid w:val="000A0D3A"/>
    <w:rsid w:val="000D3334"/>
    <w:rsid w:val="00104F30"/>
    <w:rsid w:val="00117328"/>
    <w:rsid w:val="001A42B3"/>
    <w:rsid w:val="001E6A01"/>
    <w:rsid w:val="001F2F07"/>
    <w:rsid w:val="00217D6E"/>
    <w:rsid w:val="00227884"/>
    <w:rsid w:val="00235C55"/>
    <w:rsid w:val="00256B92"/>
    <w:rsid w:val="00276D04"/>
    <w:rsid w:val="002B41C8"/>
    <w:rsid w:val="002E7744"/>
    <w:rsid w:val="00342959"/>
    <w:rsid w:val="00365D89"/>
    <w:rsid w:val="003A1270"/>
    <w:rsid w:val="003C2B89"/>
    <w:rsid w:val="00404845"/>
    <w:rsid w:val="00447A0E"/>
    <w:rsid w:val="00447BE9"/>
    <w:rsid w:val="0045568B"/>
    <w:rsid w:val="00463842"/>
    <w:rsid w:val="00463BCB"/>
    <w:rsid w:val="0048628D"/>
    <w:rsid w:val="00492E6D"/>
    <w:rsid w:val="004A50F3"/>
    <w:rsid w:val="004E5871"/>
    <w:rsid w:val="004F698C"/>
    <w:rsid w:val="00502BDD"/>
    <w:rsid w:val="00517BC7"/>
    <w:rsid w:val="005724F5"/>
    <w:rsid w:val="00572F22"/>
    <w:rsid w:val="005766C8"/>
    <w:rsid w:val="005B2456"/>
    <w:rsid w:val="005C1DFB"/>
    <w:rsid w:val="005F6BAA"/>
    <w:rsid w:val="00613FBC"/>
    <w:rsid w:val="006146A9"/>
    <w:rsid w:val="00617159"/>
    <w:rsid w:val="00671D48"/>
    <w:rsid w:val="006774F9"/>
    <w:rsid w:val="00683841"/>
    <w:rsid w:val="00723668"/>
    <w:rsid w:val="00764270"/>
    <w:rsid w:val="007D5081"/>
    <w:rsid w:val="007E0999"/>
    <w:rsid w:val="007E706D"/>
    <w:rsid w:val="00805583"/>
    <w:rsid w:val="00822718"/>
    <w:rsid w:val="00831C56"/>
    <w:rsid w:val="00893A33"/>
    <w:rsid w:val="008A421C"/>
    <w:rsid w:val="008B2775"/>
    <w:rsid w:val="008D3D96"/>
    <w:rsid w:val="008F0E00"/>
    <w:rsid w:val="00910F7B"/>
    <w:rsid w:val="00915D80"/>
    <w:rsid w:val="00934DF5"/>
    <w:rsid w:val="0093558D"/>
    <w:rsid w:val="00937394"/>
    <w:rsid w:val="00937BE6"/>
    <w:rsid w:val="009510E9"/>
    <w:rsid w:val="00953D92"/>
    <w:rsid w:val="00971D5A"/>
    <w:rsid w:val="00986E69"/>
    <w:rsid w:val="0098755E"/>
    <w:rsid w:val="009A4ACA"/>
    <w:rsid w:val="009A4BEA"/>
    <w:rsid w:val="009E6465"/>
    <w:rsid w:val="00A14E6C"/>
    <w:rsid w:val="00A35D9D"/>
    <w:rsid w:val="00A663C8"/>
    <w:rsid w:val="00A70BB7"/>
    <w:rsid w:val="00A74FC3"/>
    <w:rsid w:val="00A95020"/>
    <w:rsid w:val="00AA07EB"/>
    <w:rsid w:val="00AB5B61"/>
    <w:rsid w:val="00AE154B"/>
    <w:rsid w:val="00B0725E"/>
    <w:rsid w:val="00B127AD"/>
    <w:rsid w:val="00B51CD1"/>
    <w:rsid w:val="00B52EDB"/>
    <w:rsid w:val="00B85CC6"/>
    <w:rsid w:val="00B87BAC"/>
    <w:rsid w:val="00B91FBD"/>
    <w:rsid w:val="00BC776B"/>
    <w:rsid w:val="00BE0C5F"/>
    <w:rsid w:val="00C021A1"/>
    <w:rsid w:val="00C121F3"/>
    <w:rsid w:val="00C235E5"/>
    <w:rsid w:val="00C32E61"/>
    <w:rsid w:val="00C345F4"/>
    <w:rsid w:val="00C37E16"/>
    <w:rsid w:val="00C41755"/>
    <w:rsid w:val="00C568CA"/>
    <w:rsid w:val="00C75DB8"/>
    <w:rsid w:val="00D16D18"/>
    <w:rsid w:val="00D37A33"/>
    <w:rsid w:val="00D4386B"/>
    <w:rsid w:val="00D65EF7"/>
    <w:rsid w:val="00D66613"/>
    <w:rsid w:val="00D913EB"/>
    <w:rsid w:val="00DA130B"/>
    <w:rsid w:val="00DA5A2E"/>
    <w:rsid w:val="00DA6119"/>
    <w:rsid w:val="00DD18DB"/>
    <w:rsid w:val="00DE5965"/>
    <w:rsid w:val="00E22CB6"/>
    <w:rsid w:val="00E47E53"/>
    <w:rsid w:val="00E74149"/>
    <w:rsid w:val="00EB1A61"/>
    <w:rsid w:val="00EB5E87"/>
    <w:rsid w:val="00EC13F6"/>
    <w:rsid w:val="00F0606B"/>
    <w:rsid w:val="00F1198F"/>
    <w:rsid w:val="00F215BB"/>
    <w:rsid w:val="00F621A9"/>
    <w:rsid w:val="00F77E61"/>
    <w:rsid w:val="00F859E8"/>
    <w:rsid w:val="00F864BD"/>
    <w:rsid w:val="00F96257"/>
    <w:rsid w:val="00F97C63"/>
    <w:rsid w:val="00FA7952"/>
    <w:rsid w:val="00FD0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F93FAA"/>
  <w14:defaultImageDpi w14:val="32767"/>
  <w15:chartTrackingRefBased/>
  <w15:docId w15:val="{3C053FA3-92FD-F14B-B6F5-177D14A6E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386B"/>
    <w:pPr>
      <w:snapToGrid w:val="0"/>
      <w:spacing w:after="160" w:line="300" w:lineRule="auto"/>
      <w:jc w:val="both"/>
    </w:pPr>
    <w:rPr>
      <w:rFonts w:ascii="Times New Roman" w:eastAsia="MS PGothic" w:hAnsi="Times New Roman"/>
      <w:sz w:val="22"/>
      <w:szCs w:val="22"/>
      <w:lang w:val="en-US" w:eastAsia="ko-KR"/>
    </w:rPr>
  </w:style>
  <w:style w:type="paragraph" w:styleId="Heading1">
    <w:name w:val="heading 1"/>
    <w:basedOn w:val="Normal"/>
    <w:next w:val="Normal"/>
    <w:link w:val="Heading1Char"/>
    <w:uiPriority w:val="9"/>
    <w:qFormat/>
    <w:rsid w:val="00D4386B"/>
    <w:pPr>
      <w:spacing w:before="2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86B"/>
    <w:rPr>
      <w:rFonts w:ascii="Segoe UI" w:eastAsia="MS PGothic" w:hAnsi="Segoe UI" w:cs="Segoe UI"/>
      <w:sz w:val="18"/>
      <w:szCs w:val="18"/>
      <w:lang w:val="en-US" w:eastAsia="ko-KR"/>
    </w:rPr>
  </w:style>
  <w:style w:type="paragraph" w:styleId="Revision">
    <w:name w:val="Revision"/>
    <w:hidden/>
    <w:uiPriority w:val="99"/>
    <w:semiHidden/>
    <w:rsid w:val="00D4386B"/>
    <w:rPr>
      <w:rFonts w:ascii="Times New Roman" w:eastAsia="MS PGothic" w:hAnsi="Times New Roman"/>
      <w:sz w:val="22"/>
      <w:szCs w:val="22"/>
      <w:lang w:val="en-US" w:eastAsia="ko-KR"/>
    </w:rPr>
  </w:style>
  <w:style w:type="character" w:customStyle="1" w:styleId="Heading1Char">
    <w:name w:val="Heading 1 Char"/>
    <w:basedOn w:val="DefaultParagraphFont"/>
    <w:link w:val="Heading1"/>
    <w:uiPriority w:val="9"/>
    <w:rsid w:val="00D4386B"/>
    <w:rPr>
      <w:rFonts w:ascii="Times New Roman" w:eastAsia="MS PGothic" w:hAnsi="Times New Roman"/>
      <w:b/>
      <w:bCs/>
      <w:sz w:val="22"/>
      <w:szCs w:val="22"/>
      <w:lang w:val="en-US" w:eastAsia="ko-KR"/>
    </w:rPr>
  </w:style>
  <w:style w:type="paragraph" w:customStyle="1" w:styleId="FirstParagraph">
    <w:name w:val="First Paragraph"/>
    <w:basedOn w:val="Normal"/>
    <w:rsid w:val="00D4386B"/>
    <w:pPr>
      <w:spacing w:after="0" w:line="240" w:lineRule="atLeast"/>
    </w:pPr>
    <w:rPr>
      <w:rFonts w:ascii="Times" w:eastAsia="Times New Roman" w:hAnsi="Times" w:cs="Times New Roman"/>
      <w:sz w:val="20"/>
      <w:szCs w:val="20"/>
    </w:rPr>
  </w:style>
  <w:style w:type="paragraph" w:styleId="Header">
    <w:name w:val="header"/>
    <w:basedOn w:val="Normal"/>
    <w:link w:val="HeaderChar"/>
    <w:uiPriority w:val="99"/>
    <w:unhideWhenUsed/>
    <w:rsid w:val="00D4386B"/>
    <w:pPr>
      <w:tabs>
        <w:tab w:val="center" w:pos="4819"/>
        <w:tab w:val="right" w:pos="9638"/>
      </w:tabs>
      <w:spacing w:after="0" w:line="240" w:lineRule="auto"/>
    </w:pPr>
  </w:style>
  <w:style w:type="character" w:customStyle="1" w:styleId="HeaderChar">
    <w:name w:val="Header Char"/>
    <w:basedOn w:val="DefaultParagraphFont"/>
    <w:link w:val="Header"/>
    <w:uiPriority w:val="99"/>
    <w:rsid w:val="00D4386B"/>
    <w:rPr>
      <w:rFonts w:ascii="Times New Roman" w:eastAsia="MS PGothic" w:hAnsi="Times New Roman"/>
      <w:sz w:val="22"/>
      <w:szCs w:val="22"/>
      <w:lang w:val="en-US" w:eastAsia="ko-KR"/>
    </w:rPr>
  </w:style>
  <w:style w:type="paragraph" w:styleId="Footer">
    <w:name w:val="footer"/>
    <w:basedOn w:val="Normal"/>
    <w:link w:val="FooterChar"/>
    <w:uiPriority w:val="99"/>
    <w:unhideWhenUsed/>
    <w:rsid w:val="00D4386B"/>
    <w:pPr>
      <w:tabs>
        <w:tab w:val="center" w:pos="4819"/>
        <w:tab w:val="right" w:pos="9638"/>
      </w:tabs>
      <w:spacing w:after="0" w:line="240" w:lineRule="auto"/>
    </w:pPr>
  </w:style>
  <w:style w:type="character" w:customStyle="1" w:styleId="FooterChar">
    <w:name w:val="Footer Char"/>
    <w:basedOn w:val="DefaultParagraphFont"/>
    <w:link w:val="Footer"/>
    <w:uiPriority w:val="99"/>
    <w:rsid w:val="00D4386B"/>
    <w:rPr>
      <w:rFonts w:ascii="Times New Roman" w:eastAsia="MS PGothic" w:hAnsi="Times New Roman"/>
      <w:sz w:val="22"/>
      <w:szCs w:val="22"/>
      <w:lang w:val="en-US" w:eastAsia="ko-KR"/>
    </w:rPr>
  </w:style>
  <w:style w:type="character" w:styleId="CommentReference">
    <w:name w:val="annotation reference"/>
    <w:basedOn w:val="DefaultParagraphFont"/>
    <w:uiPriority w:val="99"/>
    <w:semiHidden/>
    <w:unhideWhenUsed/>
    <w:rsid w:val="00D4386B"/>
    <w:rPr>
      <w:sz w:val="16"/>
      <w:szCs w:val="16"/>
    </w:rPr>
  </w:style>
  <w:style w:type="paragraph" w:styleId="CommentText">
    <w:name w:val="annotation text"/>
    <w:basedOn w:val="Normal"/>
    <w:link w:val="CommentTextChar"/>
    <w:uiPriority w:val="99"/>
    <w:unhideWhenUsed/>
    <w:rsid w:val="00D4386B"/>
    <w:pPr>
      <w:spacing w:line="240" w:lineRule="auto"/>
    </w:pPr>
    <w:rPr>
      <w:sz w:val="20"/>
      <w:szCs w:val="20"/>
    </w:rPr>
  </w:style>
  <w:style w:type="character" w:customStyle="1" w:styleId="CommentTextChar">
    <w:name w:val="Comment Text Char"/>
    <w:basedOn w:val="DefaultParagraphFont"/>
    <w:link w:val="CommentText"/>
    <w:uiPriority w:val="99"/>
    <w:rsid w:val="00D4386B"/>
    <w:rPr>
      <w:rFonts w:ascii="Times New Roman" w:eastAsia="MS PGothic" w:hAnsi="Times New Roman"/>
      <w:sz w:val="20"/>
      <w:szCs w:val="20"/>
      <w:lang w:val="en-US" w:eastAsia="ko-KR"/>
    </w:rPr>
  </w:style>
  <w:style w:type="paragraph" w:styleId="CommentSubject">
    <w:name w:val="annotation subject"/>
    <w:basedOn w:val="CommentText"/>
    <w:next w:val="CommentText"/>
    <w:link w:val="CommentSubjectChar"/>
    <w:uiPriority w:val="99"/>
    <w:semiHidden/>
    <w:unhideWhenUsed/>
    <w:rsid w:val="00D4386B"/>
    <w:rPr>
      <w:b/>
      <w:bCs/>
    </w:rPr>
  </w:style>
  <w:style w:type="character" w:customStyle="1" w:styleId="CommentSubjectChar">
    <w:name w:val="Comment Subject Char"/>
    <w:basedOn w:val="CommentTextChar"/>
    <w:link w:val="CommentSubject"/>
    <w:uiPriority w:val="99"/>
    <w:semiHidden/>
    <w:rsid w:val="00D4386B"/>
    <w:rPr>
      <w:rFonts w:ascii="Times New Roman" w:eastAsia="MS PGothic" w:hAnsi="Times New Roman"/>
      <w:b/>
      <w:bCs/>
      <w:sz w:val="20"/>
      <w:szCs w:val="20"/>
      <w:lang w:val="en-US" w:eastAsia="ko-KR"/>
    </w:rPr>
  </w:style>
  <w:style w:type="paragraph" w:styleId="Subtitle">
    <w:name w:val="Subtitle"/>
    <w:basedOn w:val="Normal"/>
    <w:next w:val="Normal"/>
    <w:link w:val="SubtitleChar"/>
    <w:uiPriority w:val="11"/>
    <w:qFormat/>
    <w:rsid w:val="00D4386B"/>
    <w:pPr>
      <w:jc w:val="center"/>
    </w:pPr>
    <w:rPr>
      <w:rFonts w:eastAsia="SimSun"/>
      <w:sz w:val="24"/>
      <w:szCs w:val="24"/>
      <w:u w:val="single"/>
      <w:lang w:eastAsia="zh-CN"/>
    </w:rPr>
  </w:style>
  <w:style w:type="character" w:customStyle="1" w:styleId="SubtitleChar">
    <w:name w:val="Subtitle Char"/>
    <w:basedOn w:val="DefaultParagraphFont"/>
    <w:link w:val="Subtitle"/>
    <w:uiPriority w:val="11"/>
    <w:rsid w:val="00D4386B"/>
    <w:rPr>
      <w:rFonts w:ascii="Times New Roman" w:eastAsia="SimSun" w:hAnsi="Times New Roman"/>
      <w:u w:val="single"/>
      <w:lang w:val="en-US" w:eastAsia="zh-CN"/>
    </w:rPr>
  </w:style>
  <w:style w:type="paragraph" w:styleId="Title">
    <w:name w:val="Title"/>
    <w:basedOn w:val="Normal"/>
    <w:next w:val="Normal"/>
    <w:link w:val="TitleChar"/>
    <w:uiPriority w:val="10"/>
    <w:qFormat/>
    <w:rsid w:val="00D4386B"/>
    <w:pPr>
      <w:jc w:val="center"/>
    </w:pPr>
    <w:rPr>
      <w:b/>
      <w:bCs/>
      <w:sz w:val="24"/>
      <w:szCs w:val="24"/>
    </w:rPr>
  </w:style>
  <w:style w:type="character" w:customStyle="1" w:styleId="TitleChar">
    <w:name w:val="Title Char"/>
    <w:basedOn w:val="DefaultParagraphFont"/>
    <w:link w:val="Title"/>
    <w:uiPriority w:val="10"/>
    <w:rsid w:val="00D4386B"/>
    <w:rPr>
      <w:rFonts w:ascii="Times New Roman" w:eastAsia="MS PGothic" w:hAnsi="Times New Roman"/>
      <w:b/>
      <w:bCs/>
      <w:lang w:val="en-US" w:eastAsia="ko-KR"/>
    </w:rPr>
  </w:style>
  <w:style w:type="paragraph" w:styleId="Quote">
    <w:name w:val="Quote"/>
    <w:basedOn w:val="Normal"/>
    <w:next w:val="Normal"/>
    <w:link w:val="QuoteChar"/>
    <w:uiPriority w:val="29"/>
    <w:qFormat/>
    <w:rsid w:val="00D4386B"/>
    <w:pPr>
      <w:spacing w:after="120"/>
      <w:jc w:val="center"/>
    </w:pPr>
    <w:rPr>
      <w:i/>
      <w:iCs/>
      <w:sz w:val="20"/>
    </w:rPr>
  </w:style>
  <w:style w:type="character" w:customStyle="1" w:styleId="QuoteChar">
    <w:name w:val="Quote Char"/>
    <w:basedOn w:val="DefaultParagraphFont"/>
    <w:link w:val="Quote"/>
    <w:uiPriority w:val="29"/>
    <w:rsid w:val="00D4386B"/>
    <w:rPr>
      <w:rFonts w:ascii="Times New Roman" w:eastAsia="MS PGothic" w:hAnsi="Times New Roman"/>
      <w:i/>
      <w:iCs/>
      <w:sz w:val="20"/>
      <w:szCs w:val="22"/>
      <w:lang w:val="en-US" w:eastAsia="ko-KR"/>
    </w:rPr>
  </w:style>
  <w:style w:type="paragraph" w:customStyle="1" w:styleId="EndNoteBibliographyTitle">
    <w:name w:val="EndNote Bibliography Title"/>
    <w:basedOn w:val="Normal"/>
    <w:link w:val="EndNoteBibliographyTitleChar"/>
    <w:rsid w:val="00D4386B"/>
    <w:pPr>
      <w:spacing w:after="0"/>
      <w:jc w:val="center"/>
    </w:pPr>
    <w:rPr>
      <w:rFonts w:cs="Times New Roman"/>
    </w:rPr>
  </w:style>
  <w:style w:type="character" w:customStyle="1" w:styleId="EndNoteBibliographyTitleChar">
    <w:name w:val="EndNote Bibliography Title Char"/>
    <w:basedOn w:val="DefaultParagraphFont"/>
    <w:link w:val="EndNoteBibliographyTitle"/>
    <w:rsid w:val="00D4386B"/>
    <w:rPr>
      <w:rFonts w:ascii="Times New Roman" w:eastAsia="MS PGothic" w:hAnsi="Times New Roman" w:cs="Times New Roman"/>
      <w:sz w:val="22"/>
      <w:szCs w:val="22"/>
      <w:lang w:val="en-US" w:eastAsia="ko-KR"/>
    </w:rPr>
  </w:style>
  <w:style w:type="paragraph" w:customStyle="1" w:styleId="EndNoteBibliography">
    <w:name w:val="EndNote Bibliography"/>
    <w:basedOn w:val="Normal"/>
    <w:link w:val="EndNoteBibliographyChar"/>
    <w:rsid w:val="00D4386B"/>
    <w:pPr>
      <w:spacing w:line="240" w:lineRule="auto"/>
    </w:pPr>
    <w:rPr>
      <w:rFonts w:cs="Times New Roman"/>
    </w:rPr>
  </w:style>
  <w:style w:type="character" w:customStyle="1" w:styleId="EndNoteBibliographyChar">
    <w:name w:val="EndNote Bibliography Char"/>
    <w:basedOn w:val="DefaultParagraphFont"/>
    <w:link w:val="EndNoteBibliography"/>
    <w:rsid w:val="00D4386B"/>
    <w:rPr>
      <w:rFonts w:ascii="Times New Roman" w:eastAsia="MS PGothic" w:hAnsi="Times New Roman" w:cs="Times New Roman"/>
      <w:sz w:val="22"/>
      <w:szCs w:val="22"/>
      <w:lang w:val="en-US" w:eastAsia="ko-KR"/>
    </w:rPr>
  </w:style>
  <w:style w:type="character" w:styleId="IntenseReference">
    <w:name w:val="Intense Reference"/>
    <w:uiPriority w:val="32"/>
    <w:qFormat/>
    <w:rsid w:val="00D4386B"/>
    <w:rPr>
      <w:rFonts w:ascii="Calibri" w:hAnsi="Calibri" w:cs="Calibri"/>
      <w:b/>
      <w:i/>
      <w:color w:val="2E74B5" w:themeColor="accent5" w:themeShade="BF"/>
      <w:sz w:val="24"/>
      <w:szCs w:val="24"/>
    </w:rPr>
  </w:style>
  <w:style w:type="character" w:styleId="PlaceholderText">
    <w:name w:val="Placeholder Text"/>
    <w:basedOn w:val="DefaultParagraphFont"/>
    <w:uiPriority w:val="99"/>
    <w:semiHidden/>
    <w:rsid w:val="00D4386B"/>
    <w:rPr>
      <w:color w:val="808080"/>
    </w:rPr>
  </w:style>
  <w:style w:type="character" w:styleId="Hyperlink">
    <w:name w:val="Hyperlink"/>
    <w:basedOn w:val="DefaultParagraphFont"/>
    <w:uiPriority w:val="99"/>
    <w:unhideWhenUsed/>
    <w:rsid w:val="00D4386B"/>
    <w:rPr>
      <w:color w:val="0563C1" w:themeColor="hyperlink"/>
      <w:u w:val="single"/>
    </w:rPr>
  </w:style>
  <w:style w:type="character" w:styleId="UnresolvedMention">
    <w:name w:val="Unresolved Mention"/>
    <w:basedOn w:val="DefaultParagraphFont"/>
    <w:uiPriority w:val="99"/>
    <w:unhideWhenUsed/>
    <w:rsid w:val="00D4386B"/>
    <w:rPr>
      <w:color w:val="605E5C"/>
      <w:shd w:val="clear" w:color="auto" w:fill="E1DFDD"/>
    </w:rPr>
  </w:style>
  <w:style w:type="table" w:styleId="TableGrid">
    <w:name w:val="Table Grid"/>
    <w:basedOn w:val="TableNormal"/>
    <w:uiPriority w:val="39"/>
    <w:rsid w:val="00D4386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journal-citation">
    <w:name w:val="docsum-journal-citation"/>
    <w:basedOn w:val="DefaultParagraphFont"/>
    <w:rsid w:val="00D4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1604</Words>
  <Characters>9147</Characters>
  <Application>Microsoft Office Word</Application>
  <DocSecurity>0</DocSecurity>
  <Lines>76</Lines>
  <Paragraphs>21</Paragraphs>
  <ScaleCrop>false</ScaleCrop>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Domenico Marson</dc:creator>
  <cp:keywords/>
  <dc:description/>
  <cp:lastModifiedBy>Domenico Marson</cp:lastModifiedBy>
  <cp:revision>5</cp:revision>
  <dcterms:created xsi:type="dcterms:W3CDTF">2022-03-15T18:07:00Z</dcterms:created>
  <dcterms:modified xsi:type="dcterms:W3CDTF">2022-03-15T18:13:00Z</dcterms:modified>
</cp:coreProperties>
</file>