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E7BE" w14:textId="3A493B3A" w:rsidR="00DA51A3" w:rsidRPr="000C4C76" w:rsidRDefault="000C4C76" w:rsidP="00DA51A3">
      <w:pPr>
        <w:snapToGrid w:val="0"/>
        <w:jc w:val="center"/>
        <w:rPr>
          <w:rFonts w:ascii="Times New Roman" w:eastAsia="MS PGothic" w:hAnsi="Times New Roman"/>
          <w:b/>
          <w:bCs/>
          <w:sz w:val="24"/>
          <w:szCs w:val="24"/>
          <w:lang w:val="en-US"/>
        </w:rPr>
      </w:pPr>
      <w:r>
        <w:rPr>
          <w:rFonts w:ascii="Times New Roman" w:eastAsia="MS PGothic" w:hAnsi="Times New Roman"/>
          <w:b/>
          <w:bCs/>
          <w:sz w:val="24"/>
          <w:szCs w:val="24"/>
          <w:lang w:val="en-US"/>
        </w:rPr>
        <w:t>Dynamic simulation and control of NGL recovery plant</w:t>
      </w:r>
    </w:p>
    <w:p w14:paraId="5DC330F9" w14:textId="77777777" w:rsidR="00DA51A3" w:rsidRPr="000C4C76" w:rsidRDefault="00DA51A3" w:rsidP="001879E6">
      <w:pPr>
        <w:snapToGrid w:val="0"/>
        <w:rPr>
          <w:rFonts w:ascii="Times New Roman" w:eastAsia="MS PGothic" w:hAnsi="Times New Roman"/>
          <w:b/>
          <w:bCs/>
          <w:sz w:val="24"/>
          <w:szCs w:val="24"/>
          <w:lang w:val="en-US" w:eastAsia="ko-KR"/>
        </w:rPr>
      </w:pPr>
    </w:p>
    <w:p w14:paraId="243AAF34" w14:textId="7DE5474D" w:rsidR="00DA51A3" w:rsidRPr="004308FD" w:rsidRDefault="004308FD" w:rsidP="00DA51A3">
      <w:pPr>
        <w:snapToGrid w:val="0"/>
        <w:jc w:val="center"/>
        <w:rPr>
          <w:rFonts w:ascii="Times New Roman" w:eastAsia="SimSun" w:hAnsi="Times New Roman"/>
          <w:sz w:val="24"/>
          <w:szCs w:val="24"/>
          <w:lang w:eastAsia="zh-CN"/>
        </w:rPr>
      </w:pPr>
      <w:r w:rsidRPr="004308FD">
        <w:rPr>
          <w:rFonts w:ascii="Times New Roman" w:eastAsia="SimSun" w:hAnsi="Times New Roman"/>
          <w:sz w:val="24"/>
          <w:szCs w:val="24"/>
          <w:u w:val="single"/>
          <w:lang w:eastAsia="zh-CN"/>
        </w:rPr>
        <w:t>Marta Mandis</w:t>
      </w:r>
      <w:r w:rsidR="00DA51A3" w:rsidRPr="004308FD">
        <w:rPr>
          <w:rFonts w:ascii="Times New Roman" w:eastAsia="SimSun" w:hAnsi="Times New Roman"/>
          <w:sz w:val="24"/>
          <w:szCs w:val="24"/>
          <w:u w:val="single"/>
          <w:vertAlign w:val="superscript"/>
          <w:lang w:eastAsia="zh-CN"/>
        </w:rPr>
        <w:t>1</w:t>
      </w:r>
      <w:r w:rsidR="00DA51A3" w:rsidRPr="004308FD">
        <w:rPr>
          <w:rFonts w:ascii="Times New Roman" w:eastAsia="SimSun" w:hAnsi="Times New Roman"/>
          <w:sz w:val="24"/>
          <w:szCs w:val="24"/>
          <w:lang w:eastAsia="zh-CN"/>
        </w:rPr>
        <w:t xml:space="preserve">, </w:t>
      </w:r>
      <w:r w:rsidR="00152DBB" w:rsidRPr="00152DBB">
        <w:rPr>
          <w:rFonts w:ascii="Times New Roman" w:eastAsia="SimSun" w:hAnsi="Times New Roman"/>
          <w:sz w:val="24"/>
          <w:szCs w:val="24"/>
          <w:lang w:eastAsia="zh-CN"/>
        </w:rPr>
        <w:t>Roberto Baratti</w:t>
      </w:r>
      <w:r w:rsidR="00152DBB" w:rsidRPr="00152DBB">
        <w:rPr>
          <w:rFonts w:ascii="Times New Roman" w:eastAsia="SimSun" w:hAnsi="Times New Roman"/>
          <w:sz w:val="24"/>
          <w:szCs w:val="24"/>
          <w:vertAlign w:val="superscript"/>
          <w:lang w:eastAsia="zh-CN"/>
        </w:rPr>
        <w:t>1</w:t>
      </w:r>
      <w:r w:rsidR="00152DBB" w:rsidRPr="00152DBB">
        <w:rPr>
          <w:rFonts w:ascii="Times New Roman" w:eastAsia="SimSun" w:hAnsi="Times New Roman"/>
          <w:sz w:val="24"/>
          <w:szCs w:val="24"/>
          <w:lang w:eastAsia="zh-CN"/>
        </w:rPr>
        <w:t>, Stefania Tronci</w:t>
      </w:r>
      <w:r w:rsidR="00152DBB" w:rsidRPr="00152DBB">
        <w:rPr>
          <w:rFonts w:ascii="Times New Roman" w:eastAsia="SimSun" w:hAnsi="Times New Roman"/>
          <w:sz w:val="24"/>
          <w:szCs w:val="24"/>
          <w:vertAlign w:val="superscript"/>
          <w:lang w:eastAsia="zh-CN"/>
        </w:rPr>
        <w:t>1</w:t>
      </w:r>
      <w:r w:rsidR="00BC1EA8">
        <w:rPr>
          <w:rFonts w:ascii="Times New Roman" w:eastAsia="MS PGothic" w:hAnsi="Times New Roman"/>
          <w:sz w:val="24"/>
          <w:szCs w:val="24"/>
        </w:rPr>
        <w:t xml:space="preserve">, </w:t>
      </w:r>
      <w:r w:rsidR="00BC1EA8" w:rsidRPr="004308FD">
        <w:rPr>
          <w:rFonts w:ascii="Times New Roman" w:eastAsia="MS PGothic" w:hAnsi="Times New Roman"/>
          <w:sz w:val="24"/>
          <w:szCs w:val="24"/>
        </w:rPr>
        <w:t>José A. Romagnoli</w:t>
      </w:r>
      <w:r w:rsidR="00BC1EA8" w:rsidRPr="004308FD">
        <w:rPr>
          <w:rFonts w:ascii="Times New Roman" w:eastAsia="SimSun" w:hAnsi="Times New Roman"/>
          <w:sz w:val="24"/>
          <w:szCs w:val="24"/>
          <w:vertAlign w:val="superscript"/>
          <w:lang w:eastAsia="zh-CN"/>
        </w:rPr>
        <w:t>2</w:t>
      </w:r>
    </w:p>
    <w:p w14:paraId="7A99C856" w14:textId="79DF26DE" w:rsidR="004308FD" w:rsidRPr="00152DBB" w:rsidRDefault="00152DBB" w:rsidP="004308FD">
      <w:pPr>
        <w:snapToGrid w:val="0"/>
        <w:jc w:val="center"/>
        <w:rPr>
          <w:rFonts w:ascii="Times New Roman" w:eastAsia="MS PGothic" w:hAnsi="Times New Roman"/>
          <w:i/>
          <w:iCs/>
          <w:sz w:val="20"/>
        </w:rPr>
      </w:pPr>
      <w:r>
        <w:rPr>
          <w:rFonts w:ascii="Times New Roman" w:eastAsia="MS PGothic" w:hAnsi="Times New Roman"/>
          <w:i/>
          <w:iCs/>
          <w:sz w:val="20"/>
        </w:rPr>
        <w:t xml:space="preserve">1 </w:t>
      </w:r>
      <w:r w:rsidR="004308FD" w:rsidRPr="00152DBB">
        <w:rPr>
          <w:rFonts w:ascii="Times New Roman" w:eastAsia="MS PGothic" w:hAnsi="Times New Roman"/>
          <w:i/>
          <w:iCs/>
          <w:sz w:val="20"/>
        </w:rPr>
        <w:t>Dip. di Ingegneria Meccanica, Chimica e dei Materiali, Università degli Studi di Cagliari, Cagliari 09123 Italy</w:t>
      </w:r>
      <w:r>
        <w:rPr>
          <w:rFonts w:ascii="Times New Roman" w:eastAsia="MS PGothic" w:hAnsi="Times New Roman"/>
          <w:i/>
          <w:iCs/>
          <w:sz w:val="20"/>
        </w:rPr>
        <w:t>;</w:t>
      </w:r>
    </w:p>
    <w:p w14:paraId="4F07C14D" w14:textId="59C02E96" w:rsidR="004308FD" w:rsidRPr="00152DBB" w:rsidRDefault="00152DBB" w:rsidP="004308FD">
      <w:pPr>
        <w:snapToGrid w:val="0"/>
        <w:jc w:val="center"/>
        <w:rPr>
          <w:rFonts w:ascii="Times New Roman" w:eastAsia="MS PGothic" w:hAnsi="Times New Roman"/>
          <w:i/>
          <w:iCs/>
          <w:sz w:val="20"/>
          <w:lang w:val="en-GB"/>
        </w:rPr>
      </w:pPr>
      <w:r w:rsidRPr="00152DBB">
        <w:rPr>
          <w:rFonts w:ascii="Times New Roman" w:eastAsia="MS PGothic" w:hAnsi="Times New Roman"/>
          <w:i/>
          <w:iCs/>
          <w:sz w:val="20"/>
          <w:lang w:val="en-GB"/>
        </w:rPr>
        <w:t xml:space="preserve">2 </w:t>
      </w:r>
      <w:r w:rsidR="004308FD" w:rsidRPr="00152DBB">
        <w:rPr>
          <w:rFonts w:ascii="Times New Roman" w:eastAsia="MS PGothic" w:hAnsi="Times New Roman"/>
          <w:i/>
          <w:iCs/>
          <w:sz w:val="20"/>
          <w:lang w:val="en-GB"/>
        </w:rPr>
        <w:t xml:space="preserve">Department of Chemical Engineering, Louisiana State University, Baton Rouge, LA 70809 USA </w:t>
      </w:r>
    </w:p>
    <w:p w14:paraId="5533360A" w14:textId="4AE7A060" w:rsidR="00DA51A3" w:rsidRPr="00BC1EA8" w:rsidRDefault="00DA51A3" w:rsidP="00DA51A3">
      <w:pPr>
        <w:snapToGrid w:val="0"/>
        <w:jc w:val="center"/>
        <w:rPr>
          <w:rFonts w:ascii="Times New Roman" w:eastAsia="MS PGothic" w:hAnsi="Times New Roman"/>
          <w:bCs/>
          <w:i/>
          <w:iCs/>
          <w:sz w:val="20"/>
          <w:lang w:val="en-US"/>
        </w:rPr>
      </w:pPr>
      <w:r w:rsidRPr="008D64F0">
        <w:rPr>
          <w:rFonts w:ascii="Times New Roman" w:eastAsia="MS PGothic" w:hAnsi="Times New Roman"/>
          <w:bCs/>
          <w:i/>
          <w:iCs/>
          <w:sz w:val="20"/>
          <w:lang w:val="en-US"/>
        </w:rPr>
        <w:t>*Corresponding author</w:t>
      </w:r>
      <w:r w:rsidRPr="008D64F0">
        <w:rPr>
          <w:rFonts w:ascii="Times New Roman" w:eastAsia="MS PGothic" w:hAnsi="Times New Roman"/>
          <w:bCs/>
          <w:i/>
          <w:iCs/>
          <w:sz w:val="20"/>
          <w:lang w:val="en-US" w:eastAsia="ko-KR"/>
        </w:rPr>
        <w:t xml:space="preserve"> E-Mail: </w:t>
      </w:r>
      <w:r w:rsidRPr="008D64F0">
        <w:rPr>
          <w:rFonts w:ascii="Times New Roman" w:eastAsia="MS PGothic" w:hAnsi="Times New Roman"/>
          <w:bCs/>
          <w:i/>
          <w:iCs/>
          <w:sz w:val="20"/>
          <w:lang w:val="en-US"/>
        </w:rPr>
        <w:t xml:space="preserve"> </w:t>
      </w:r>
      <w:r w:rsidR="00BC1EA8" w:rsidRPr="008D64F0">
        <w:rPr>
          <w:rFonts w:ascii="Times New Roman" w:eastAsia="MS PGothic" w:hAnsi="Times New Roman"/>
          <w:bCs/>
          <w:i/>
          <w:iCs/>
          <w:sz w:val="20"/>
          <w:lang w:val="en-US"/>
        </w:rPr>
        <w:t>roberto.baratti</w:t>
      </w:r>
      <w:r w:rsidRPr="008D64F0">
        <w:rPr>
          <w:rFonts w:ascii="Times New Roman" w:eastAsia="MS PGothic" w:hAnsi="Times New Roman"/>
          <w:bCs/>
          <w:i/>
          <w:iCs/>
          <w:sz w:val="20"/>
          <w:lang w:val="en-US"/>
        </w:rPr>
        <w:t>@</w:t>
      </w:r>
      <w:r w:rsidR="00BC1EA8" w:rsidRPr="008D64F0">
        <w:rPr>
          <w:rFonts w:ascii="Times New Roman" w:eastAsia="MS PGothic" w:hAnsi="Times New Roman"/>
          <w:bCs/>
          <w:i/>
          <w:iCs/>
          <w:sz w:val="20"/>
          <w:lang w:val="en-US"/>
        </w:rPr>
        <w:t>unica.it</w:t>
      </w:r>
    </w:p>
    <w:p w14:paraId="28AD07A8" w14:textId="77777777" w:rsidR="00DA51A3" w:rsidRPr="00466FFD" w:rsidRDefault="00DA51A3" w:rsidP="00DA51A3">
      <w:pPr>
        <w:snapToGrid w:val="0"/>
        <w:spacing w:after="120"/>
        <w:jc w:val="center"/>
        <w:rPr>
          <w:rFonts w:ascii="Times New Roman" w:eastAsia="SimSun" w:hAnsi="Times New Roman"/>
          <w:bCs/>
          <w:i/>
          <w:iCs/>
          <w:sz w:val="20"/>
          <w:lang w:val="en-US" w:eastAsia="zh-CN"/>
        </w:rPr>
      </w:pPr>
    </w:p>
    <w:p w14:paraId="110B92B3" w14:textId="77777777" w:rsidR="00DA51A3" w:rsidRPr="009D79D7" w:rsidRDefault="00DA51A3" w:rsidP="00DA51A3">
      <w:pPr>
        <w:snapToGrid w:val="0"/>
        <w:spacing w:line="300" w:lineRule="auto"/>
        <w:rPr>
          <w:rFonts w:ascii="Times New Roman" w:eastAsia="MS PGothic" w:hAnsi="Times New Roman"/>
          <w:b/>
          <w:bCs/>
          <w:lang w:val="en-US" w:eastAsia="ko-KR"/>
        </w:rPr>
      </w:pPr>
      <w:r w:rsidRPr="00466FFD">
        <w:rPr>
          <w:rFonts w:ascii="Times New Roman" w:eastAsia="MS PGothic" w:hAnsi="Times New Roman"/>
          <w:b/>
          <w:bCs/>
          <w:lang w:val="en-US"/>
        </w:rPr>
        <w:t>1.</w:t>
      </w:r>
      <w:r w:rsidR="003F160A" w:rsidRPr="009D79D7">
        <w:rPr>
          <w:rFonts w:ascii="Times New Roman" w:eastAsia="MS PGothic" w:hAnsi="Times New Roman"/>
          <w:b/>
          <w:bCs/>
          <w:lang w:val="en-US"/>
        </w:rPr>
        <w:t>Introduction</w:t>
      </w:r>
    </w:p>
    <w:p w14:paraId="428B7833" w14:textId="0E1FD85D" w:rsidR="00AD33FA" w:rsidRPr="009D79D7" w:rsidRDefault="00DF6652" w:rsidP="00AD33FA">
      <w:pPr>
        <w:snapToGrid w:val="0"/>
        <w:spacing w:after="0"/>
        <w:jc w:val="both"/>
        <w:rPr>
          <w:rFonts w:ascii="Times New Roman" w:eastAsia="MS PGothic" w:hAnsi="Times New Roman"/>
          <w:lang w:val="en-US"/>
        </w:rPr>
      </w:pPr>
      <w:r w:rsidRPr="009D79D7">
        <w:rPr>
          <w:rFonts w:ascii="Times New Roman" w:eastAsia="MS PGothic" w:hAnsi="Times New Roman"/>
          <w:lang w:val="en-US"/>
        </w:rPr>
        <w:t>In the last 20 years, technological improvements in the gas extraction techniques such as hydraulic fracturing and horizontal drilling, have brought to the so-called "shale gas revolution" [</w:t>
      </w:r>
      <w:r w:rsidR="005808EC" w:rsidRPr="009D79D7">
        <w:rPr>
          <w:rFonts w:ascii="Times New Roman" w:eastAsia="MS PGothic" w:hAnsi="Times New Roman"/>
          <w:lang w:val="en-US"/>
        </w:rPr>
        <w:t>1</w:t>
      </w:r>
      <w:r w:rsidRPr="009D79D7">
        <w:rPr>
          <w:rFonts w:ascii="Times New Roman" w:eastAsia="MS PGothic" w:hAnsi="Times New Roman"/>
          <w:lang w:val="en-US"/>
        </w:rPr>
        <w:t>], allowing the extraction from unconventional reservoirs. This scenario is reflected in the increased availability of natural gas [</w:t>
      </w:r>
      <w:r w:rsidR="005808EC" w:rsidRPr="009D79D7">
        <w:rPr>
          <w:rFonts w:ascii="Times New Roman" w:eastAsia="MS PGothic" w:hAnsi="Times New Roman"/>
          <w:lang w:val="en-US"/>
        </w:rPr>
        <w:t>1</w:t>
      </w:r>
      <w:r w:rsidR="00653354" w:rsidRPr="009D79D7">
        <w:rPr>
          <w:rFonts w:ascii="Times New Roman" w:eastAsia="MS PGothic" w:hAnsi="Times New Roman"/>
          <w:lang w:val="en-US"/>
        </w:rPr>
        <w:t>,</w:t>
      </w:r>
      <w:r w:rsidR="005808EC" w:rsidRPr="009D79D7">
        <w:rPr>
          <w:rFonts w:ascii="Times New Roman" w:eastAsia="MS PGothic" w:hAnsi="Times New Roman"/>
          <w:lang w:val="en-US"/>
        </w:rPr>
        <w:t>2</w:t>
      </w:r>
      <w:r w:rsidRPr="009D79D7">
        <w:rPr>
          <w:rFonts w:ascii="Times New Roman" w:eastAsia="MS PGothic" w:hAnsi="Times New Roman"/>
          <w:lang w:val="en-US"/>
        </w:rPr>
        <w:t xml:space="preserve">], an attractive energy source </w:t>
      </w:r>
      <w:r w:rsidR="002E5497">
        <w:rPr>
          <w:rFonts w:ascii="Times New Roman" w:eastAsia="MS PGothic" w:hAnsi="Times New Roman"/>
          <w:lang w:val="en-US"/>
        </w:rPr>
        <w:t>as</w:t>
      </w:r>
      <w:r w:rsidRPr="009D79D7">
        <w:rPr>
          <w:rFonts w:ascii="Times New Roman" w:eastAsia="MS PGothic" w:hAnsi="Times New Roman"/>
          <w:lang w:val="en-US"/>
        </w:rPr>
        <w:t xml:space="preserve"> cleaner alternative to coal and oil.</w:t>
      </w:r>
      <w:r w:rsidR="007347C0" w:rsidRPr="009D79D7">
        <w:rPr>
          <w:rFonts w:ascii="Times New Roman" w:eastAsia="MS PGothic" w:hAnsi="Times New Roman"/>
          <w:lang w:val="en-US"/>
        </w:rPr>
        <w:t xml:space="preserve"> T</w:t>
      </w:r>
      <w:r w:rsidR="00EF2858" w:rsidRPr="009D79D7">
        <w:rPr>
          <w:rFonts w:ascii="Times New Roman" w:eastAsia="MS PGothic" w:hAnsi="Times New Roman"/>
          <w:lang w:val="en-US"/>
        </w:rPr>
        <w:t>he heavier hydrocarbon fraction contained in Natural gas is known as natural gas liquids (NGL), a valuable product that can be sold separately and used as feedstock for various industrial processes. For this reason, it possesses significantly higher market value than as part of the raw gas [</w:t>
      </w:r>
      <w:r w:rsidR="005808EC" w:rsidRPr="009D79D7">
        <w:rPr>
          <w:rFonts w:ascii="Times New Roman" w:eastAsia="MS PGothic" w:hAnsi="Times New Roman"/>
          <w:lang w:val="en-US"/>
        </w:rPr>
        <w:t>3</w:t>
      </w:r>
      <w:r w:rsidR="00EF2858" w:rsidRPr="009D79D7">
        <w:rPr>
          <w:rFonts w:ascii="Times New Roman" w:eastAsia="MS PGothic" w:hAnsi="Times New Roman"/>
          <w:lang w:val="en-US"/>
        </w:rPr>
        <w:t>]. The increased availability of natural gas makes the separation process for the NGL recovery economically profitable.</w:t>
      </w:r>
      <w:r w:rsidR="00D6058F" w:rsidRPr="009D79D7">
        <w:rPr>
          <w:rFonts w:ascii="Times New Roman" w:eastAsia="MS PGothic" w:hAnsi="Times New Roman"/>
          <w:lang w:val="en-US"/>
        </w:rPr>
        <w:t xml:space="preserve"> </w:t>
      </w:r>
      <w:r w:rsidR="00945853" w:rsidRPr="009D79D7">
        <w:rPr>
          <w:rFonts w:ascii="Times New Roman" w:eastAsia="MS PGothic" w:hAnsi="Times New Roman"/>
          <w:lang w:val="en-US"/>
        </w:rPr>
        <w:t xml:space="preserve">Different separation technologies have been developed for NGL production, </w:t>
      </w:r>
      <w:r w:rsidR="00075F19" w:rsidRPr="009D79D7">
        <w:rPr>
          <w:rFonts w:ascii="Times New Roman" w:eastAsia="MS PGothic" w:hAnsi="Times New Roman"/>
          <w:lang w:val="en-US"/>
        </w:rPr>
        <w:t>and among them</w:t>
      </w:r>
      <w:r w:rsidR="00945853" w:rsidRPr="009D79D7">
        <w:rPr>
          <w:rFonts w:ascii="Times New Roman" w:eastAsia="MS PGothic" w:hAnsi="Times New Roman"/>
          <w:lang w:val="en-US"/>
        </w:rPr>
        <w:t xml:space="preserve"> a technology that allows reaching high recoveries is the cryogenic distillation [</w:t>
      </w:r>
      <w:r w:rsidR="005808EC" w:rsidRPr="009D79D7">
        <w:rPr>
          <w:rFonts w:ascii="Times New Roman" w:eastAsia="MS PGothic" w:hAnsi="Times New Roman"/>
          <w:lang w:val="en-US"/>
        </w:rPr>
        <w:t>4</w:t>
      </w:r>
      <w:r w:rsidR="00945853" w:rsidRPr="009D79D7">
        <w:rPr>
          <w:rFonts w:ascii="Times New Roman" w:eastAsia="MS PGothic" w:hAnsi="Times New Roman"/>
          <w:lang w:val="en-US"/>
        </w:rPr>
        <w:t>]. This process uses a separation train, where the first column is given by a cryogenic distillation unit for the methane separation, while the other columns are responsible for separating the heavier hydrocarbon fractions.</w:t>
      </w:r>
      <w:r w:rsidR="001E0C61" w:rsidRPr="009D79D7">
        <w:rPr>
          <w:rFonts w:ascii="Times New Roman" w:eastAsia="MS PGothic" w:hAnsi="Times New Roman"/>
          <w:lang w:val="en-US"/>
        </w:rPr>
        <w:t xml:space="preserve"> The most common disturbances entering the process are related to the feed flow rate conditions. The plant inlet flow rate is dictated by the gas demand, as a result, variations are present on a daily but also seasonal basis, while the composition may be subject to fluctuations due to the characteristics of the extraction basin. To meet the product specification of the NGL separation process, it is thus necessary to design a control system based on dynamic analysis of the plant capable of mitigating or eliminating, as far as possible, the effect of these disturbances on the plant.</w:t>
      </w:r>
      <w:r w:rsidR="00D6058F" w:rsidRPr="009D79D7">
        <w:rPr>
          <w:rFonts w:ascii="Times New Roman" w:eastAsia="MS PGothic" w:hAnsi="Times New Roman"/>
          <w:lang w:val="en-US"/>
        </w:rPr>
        <w:t xml:space="preserve"> </w:t>
      </w:r>
      <w:r w:rsidR="00E75896" w:rsidRPr="009D79D7">
        <w:rPr>
          <w:rFonts w:ascii="Times New Roman" w:eastAsia="MS PGothic" w:hAnsi="Times New Roman"/>
          <w:lang w:val="en-US"/>
        </w:rPr>
        <w:t>Given the control objective of maintaining the purity of the products, the most intuitive control loop is represented by the direct control of concentrations. Unfortunately, this type of composition controller has drawbacks related to the long delay times due to measurement times and additionally, the use of composition analyzers involves high costs of purchasing and maintaining the equipment.</w:t>
      </w:r>
      <w:r w:rsidR="005A06B7" w:rsidRPr="009D79D7">
        <w:rPr>
          <w:rFonts w:ascii="Times New Roman" w:eastAsia="MS PGothic" w:hAnsi="Times New Roman"/>
          <w:lang w:val="en-US"/>
        </w:rPr>
        <w:t xml:space="preserve"> </w:t>
      </w:r>
      <w:r w:rsidR="00AD33FA" w:rsidRPr="009D79D7">
        <w:rPr>
          <w:rFonts w:ascii="Times New Roman" w:eastAsia="MS PGothic" w:hAnsi="Times New Roman"/>
          <w:lang w:val="en-US"/>
        </w:rPr>
        <w:t>An alternative to the direct control of composition, widely used in industry, is the indirect control of composition employing temperature measurements [</w:t>
      </w:r>
      <w:r w:rsidR="005808EC" w:rsidRPr="009D79D7">
        <w:rPr>
          <w:rFonts w:ascii="Times New Roman" w:eastAsia="MS PGothic" w:hAnsi="Times New Roman"/>
          <w:lang w:val="en-US"/>
        </w:rPr>
        <w:t>5</w:t>
      </w:r>
      <w:r w:rsidR="00AD33FA" w:rsidRPr="009D79D7">
        <w:rPr>
          <w:rFonts w:ascii="Times New Roman" w:eastAsia="MS PGothic" w:hAnsi="Times New Roman"/>
          <w:lang w:val="en-US"/>
        </w:rPr>
        <w:t>], a more convenient control strategy that gives the possibility to control the process by using online measurements. However, considering the complexity of the process and the not biunivocal relation between compositions and temperatures in multicomponent columns, it may not be the best control strategy to ensure process specifications in the presence of disturbances.</w:t>
      </w:r>
      <w:r w:rsidR="000161F8" w:rsidRPr="009D79D7">
        <w:rPr>
          <w:rFonts w:ascii="Times New Roman" w:eastAsia="MS PGothic" w:hAnsi="Times New Roman"/>
          <w:lang w:val="en-US"/>
        </w:rPr>
        <w:t xml:space="preserve"> This work aims to show the improvements obtained by modifying</w:t>
      </w:r>
      <w:r w:rsidR="00075F19" w:rsidRPr="009D79D7">
        <w:rPr>
          <w:rFonts w:ascii="Times New Roman" w:eastAsia="MS PGothic" w:hAnsi="Times New Roman"/>
          <w:lang w:val="en-US"/>
        </w:rPr>
        <w:t xml:space="preserve"> </w:t>
      </w:r>
      <w:r w:rsidR="000161F8" w:rsidRPr="009D79D7">
        <w:rPr>
          <w:rFonts w:ascii="Times New Roman" w:eastAsia="MS PGothic" w:hAnsi="Times New Roman"/>
          <w:lang w:val="en-US"/>
        </w:rPr>
        <w:t>the control strategy of the NGL recovery process, starting from conventional temperature controllers. For this purpose, different control strategies are investigated and compared under feed flowrate disturbances.</w:t>
      </w:r>
    </w:p>
    <w:p w14:paraId="0871BF31" w14:textId="30CECACF" w:rsidR="00DA51A3" w:rsidRPr="009D79D7" w:rsidRDefault="00DA51A3" w:rsidP="00DA51A3">
      <w:pPr>
        <w:snapToGrid w:val="0"/>
        <w:spacing w:before="240" w:line="300" w:lineRule="auto"/>
        <w:rPr>
          <w:rFonts w:ascii="Times New Roman" w:eastAsia="MS PGothic" w:hAnsi="Times New Roman"/>
          <w:b/>
          <w:bCs/>
          <w:lang w:val="en-US"/>
        </w:rPr>
      </w:pPr>
      <w:r w:rsidRPr="009D79D7">
        <w:rPr>
          <w:rFonts w:ascii="Times New Roman" w:eastAsia="MS PGothic" w:hAnsi="Times New Roman"/>
          <w:b/>
          <w:bCs/>
          <w:lang w:val="en-US"/>
        </w:rPr>
        <w:t xml:space="preserve">2. </w:t>
      </w:r>
      <w:r w:rsidR="00CA3E7E" w:rsidRPr="009D79D7">
        <w:rPr>
          <w:rFonts w:ascii="Times New Roman" w:eastAsia="MS PGothic" w:hAnsi="Times New Roman"/>
          <w:b/>
          <w:bCs/>
          <w:lang w:val="en-US"/>
        </w:rPr>
        <w:t>Plant s</w:t>
      </w:r>
      <w:r w:rsidR="003B7366" w:rsidRPr="009D79D7">
        <w:rPr>
          <w:rFonts w:ascii="Times New Roman" w:eastAsia="MS PGothic" w:hAnsi="Times New Roman"/>
          <w:b/>
          <w:bCs/>
          <w:lang w:val="en-US"/>
        </w:rPr>
        <w:t xml:space="preserve">imulation </w:t>
      </w:r>
      <w:r w:rsidR="00F30FBE" w:rsidRPr="009D79D7">
        <w:rPr>
          <w:rFonts w:ascii="Times New Roman" w:eastAsia="MS PGothic" w:hAnsi="Times New Roman"/>
          <w:b/>
          <w:bCs/>
          <w:lang w:val="en-US"/>
        </w:rPr>
        <w:t>and Control structure</w:t>
      </w:r>
      <w:r w:rsidR="003B7366" w:rsidRPr="009D79D7">
        <w:rPr>
          <w:rFonts w:ascii="Times New Roman" w:eastAsia="MS PGothic" w:hAnsi="Times New Roman"/>
          <w:b/>
          <w:bCs/>
          <w:lang w:val="en-US"/>
        </w:rPr>
        <w:t>s</w:t>
      </w:r>
    </w:p>
    <w:p w14:paraId="0EC05FD2" w14:textId="66B41C17" w:rsidR="00DA51A3" w:rsidRPr="009D79D7" w:rsidRDefault="003B7366" w:rsidP="002518AF">
      <w:pPr>
        <w:snapToGrid w:val="0"/>
        <w:spacing w:after="120"/>
        <w:jc w:val="both"/>
        <w:rPr>
          <w:rFonts w:ascii="Times New Roman" w:eastAsia="MS PGothic" w:hAnsi="Times New Roman"/>
          <w:i/>
          <w:lang w:val="en-US"/>
        </w:rPr>
      </w:pPr>
      <w:r w:rsidRPr="009D79D7">
        <w:rPr>
          <w:rFonts w:ascii="Times New Roman" w:eastAsia="MS PGothic" w:hAnsi="Times New Roman"/>
          <w:lang w:val="en-US"/>
        </w:rPr>
        <w:t xml:space="preserve">The NGL fractionation </w:t>
      </w:r>
      <w:r w:rsidR="008B0530" w:rsidRPr="009D79D7">
        <w:rPr>
          <w:rFonts w:ascii="Times New Roman" w:eastAsia="MS PGothic" w:hAnsi="Times New Roman"/>
          <w:lang w:val="en-US"/>
        </w:rPr>
        <w:t xml:space="preserve">process </w:t>
      </w:r>
      <w:r w:rsidRPr="009D79D7">
        <w:rPr>
          <w:rFonts w:ascii="Times New Roman" w:eastAsia="MS PGothic" w:hAnsi="Times New Roman"/>
          <w:lang w:val="en-US"/>
        </w:rPr>
        <w:t>take</w:t>
      </w:r>
      <w:r w:rsidR="009A0749" w:rsidRPr="009D79D7">
        <w:rPr>
          <w:rFonts w:ascii="Times New Roman" w:eastAsia="MS PGothic" w:hAnsi="Times New Roman"/>
          <w:lang w:val="en-US"/>
        </w:rPr>
        <w:t>s</w:t>
      </w:r>
      <w:r w:rsidRPr="009D79D7">
        <w:rPr>
          <w:rFonts w:ascii="Times New Roman" w:eastAsia="MS PGothic" w:hAnsi="Times New Roman"/>
          <w:lang w:val="en-US"/>
        </w:rPr>
        <w:t xml:space="preserve"> place in a</w:t>
      </w:r>
      <w:r w:rsidR="002818F7" w:rsidRPr="009D79D7">
        <w:rPr>
          <w:rFonts w:ascii="Times New Roman" w:eastAsia="MS PGothic" w:hAnsi="Times New Roman"/>
          <w:lang w:val="en-US"/>
        </w:rPr>
        <w:t xml:space="preserve"> </w:t>
      </w:r>
      <w:r w:rsidRPr="009D79D7">
        <w:rPr>
          <w:rFonts w:ascii="Times New Roman" w:eastAsia="MS PGothic" w:hAnsi="Times New Roman"/>
          <w:lang w:val="en-US"/>
        </w:rPr>
        <w:t>separation train</w:t>
      </w:r>
      <w:r w:rsidR="00C61077" w:rsidRPr="009D79D7">
        <w:rPr>
          <w:rFonts w:ascii="Times New Roman" w:eastAsia="MS PGothic" w:hAnsi="Times New Roman"/>
          <w:lang w:val="en-US"/>
        </w:rPr>
        <w:t xml:space="preserve"> </w:t>
      </w:r>
      <w:r w:rsidR="00FB2AB5" w:rsidRPr="009D79D7">
        <w:rPr>
          <w:rFonts w:ascii="Times New Roman" w:eastAsia="MS PGothic" w:hAnsi="Times New Roman"/>
          <w:lang w:val="en-US"/>
        </w:rPr>
        <w:t xml:space="preserve">in a direct sequence arrangement </w:t>
      </w:r>
      <w:r w:rsidR="00C61077" w:rsidRPr="009D79D7">
        <w:rPr>
          <w:rFonts w:ascii="Times New Roman" w:eastAsia="MS PGothic" w:hAnsi="Times New Roman"/>
          <w:lang w:val="en-US"/>
        </w:rPr>
        <w:t>which comprises</w:t>
      </w:r>
      <w:r w:rsidR="00452F6D" w:rsidRPr="009D79D7">
        <w:rPr>
          <w:rFonts w:ascii="Times New Roman" w:eastAsia="MS PGothic" w:hAnsi="Times New Roman"/>
          <w:lang w:val="en-US"/>
        </w:rPr>
        <w:t xml:space="preserve"> </w:t>
      </w:r>
      <w:r w:rsidR="00F27126" w:rsidRPr="009D79D7">
        <w:rPr>
          <w:rFonts w:ascii="Times New Roman" w:eastAsia="MS PGothic" w:hAnsi="Times New Roman"/>
          <w:lang w:val="en-US"/>
        </w:rPr>
        <w:t xml:space="preserve">a </w:t>
      </w:r>
      <w:r w:rsidR="00075F19" w:rsidRPr="009D79D7">
        <w:rPr>
          <w:rFonts w:ascii="Times New Roman" w:eastAsia="MS PGothic" w:hAnsi="Times New Roman"/>
          <w:lang w:val="en-US"/>
        </w:rPr>
        <w:t>d</w:t>
      </w:r>
      <w:r w:rsidR="00452F6D" w:rsidRPr="009D79D7">
        <w:rPr>
          <w:rFonts w:ascii="Times New Roman" w:eastAsia="MS PGothic" w:hAnsi="Times New Roman"/>
          <w:lang w:val="en-US"/>
        </w:rPr>
        <w:t xml:space="preserve">eethanizer, </w:t>
      </w:r>
      <w:r w:rsidR="00075F19" w:rsidRPr="009D79D7">
        <w:rPr>
          <w:rFonts w:ascii="Times New Roman" w:eastAsia="MS PGothic" w:hAnsi="Times New Roman"/>
          <w:lang w:val="en-US"/>
        </w:rPr>
        <w:t>d</w:t>
      </w:r>
      <w:r w:rsidR="00452F6D" w:rsidRPr="009D79D7">
        <w:rPr>
          <w:rFonts w:ascii="Times New Roman" w:eastAsia="MS PGothic" w:hAnsi="Times New Roman"/>
          <w:lang w:val="en-US"/>
        </w:rPr>
        <w:t>epropanizer</w:t>
      </w:r>
      <w:r w:rsidR="00527B8E" w:rsidRPr="009D79D7">
        <w:rPr>
          <w:rFonts w:ascii="Times New Roman" w:eastAsia="MS PGothic" w:hAnsi="Times New Roman"/>
          <w:lang w:val="en-US"/>
        </w:rPr>
        <w:t xml:space="preserve">, </w:t>
      </w:r>
      <w:r w:rsidR="00075F19" w:rsidRPr="009D79D7">
        <w:rPr>
          <w:rFonts w:ascii="Times New Roman" w:eastAsia="MS PGothic" w:hAnsi="Times New Roman"/>
          <w:lang w:val="en-US"/>
        </w:rPr>
        <w:t>d</w:t>
      </w:r>
      <w:r w:rsidR="00452F6D" w:rsidRPr="009D79D7">
        <w:rPr>
          <w:rFonts w:ascii="Times New Roman" w:eastAsia="MS PGothic" w:hAnsi="Times New Roman"/>
          <w:lang w:val="en-US"/>
        </w:rPr>
        <w:t>ebutanizer column</w:t>
      </w:r>
      <w:r w:rsidR="00DF0D51" w:rsidRPr="009D79D7">
        <w:rPr>
          <w:rFonts w:ascii="Times New Roman" w:eastAsia="MS PGothic" w:hAnsi="Times New Roman"/>
          <w:lang w:val="en-US"/>
        </w:rPr>
        <w:t>s</w:t>
      </w:r>
      <w:r w:rsidR="00C61077" w:rsidRPr="009D79D7">
        <w:rPr>
          <w:rFonts w:ascii="Times New Roman" w:eastAsia="MS PGothic" w:hAnsi="Times New Roman"/>
          <w:lang w:val="en-US"/>
        </w:rPr>
        <w:t>,</w:t>
      </w:r>
      <w:r w:rsidRPr="009D79D7">
        <w:rPr>
          <w:rFonts w:ascii="Times New Roman" w:eastAsia="MS PGothic" w:hAnsi="Times New Roman"/>
          <w:lang w:val="en-US"/>
        </w:rPr>
        <w:t xml:space="preserve"> and </w:t>
      </w:r>
      <w:r w:rsidR="00452F6D" w:rsidRPr="009D79D7">
        <w:rPr>
          <w:rFonts w:ascii="Times New Roman" w:eastAsia="MS PGothic" w:hAnsi="Times New Roman"/>
          <w:lang w:val="en-US"/>
        </w:rPr>
        <w:t xml:space="preserve">a </w:t>
      </w:r>
      <w:r w:rsidR="00075F19" w:rsidRPr="009D79D7">
        <w:rPr>
          <w:rFonts w:ascii="Times New Roman" w:eastAsia="MS PGothic" w:hAnsi="Times New Roman"/>
          <w:lang w:val="en-US"/>
        </w:rPr>
        <w:t>d</w:t>
      </w:r>
      <w:r w:rsidR="00452F6D" w:rsidRPr="009D79D7">
        <w:rPr>
          <w:rFonts w:ascii="Times New Roman" w:eastAsia="MS PGothic" w:hAnsi="Times New Roman"/>
          <w:lang w:val="en-US"/>
        </w:rPr>
        <w:t xml:space="preserve">emethanizer column </w:t>
      </w:r>
      <w:r w:rsidR="005D4310" w:rsidRPr="009D79D7">
        <w:rPr>
          <w:rFonts w:ascii="Times New Roman" w:eastAsia="MS PGothic" w:hAnsi="Times New Roman"/>
          <w:lang w:val="en-US"/>
        </w:rPr>
        <w:t xml:space="preserve">arranged in </w:t>
      </w:r>
      <w:r w:rsidRPr="009D79D7">
        <w:rPr>
          <w:rFonts w:ascii="Times New Roman" w:eastAsia="MS PGothic" w:hAnsi="Times New Roman"/>
          <w:lang w:val="en-US"/>
        </w:rPr>
        <w:t>a cryogenic unit given by a CRR scheme. The process is simulated using the Aspen HYSYS® process simulator and based on realistic operating conditions</w:t>
      </w:r>
      <w:r w:rsidR="00BB48A0" w:rsidRPr="009D79D7">
        <w:rPr>
          <w:rFonts w:ascii="Times New Roman" w:eastAsia="MS PGothic" w:hAnsi="Times New Roman"/>
          <w:lang w:val="en-US"/>
        </w:rPr>
        <w:t xml:space="preserve"> [</w:t>
      </w:r>
      <w:r w:rsidR="005808EC" w:rsidRPr="009D79D7">
        <w:rPr>
          <w:rFonts w:ascii="Times New Roman" w:eastAsia="MS PGothic" w:hAnsi="Times New Roman"/>
          <w:lang w:val="en-US"/>
        </w:rPr>
        <w:t>6</w:t>
      </w:r>
      <w:r w:rsidR="00BB48A0" w:rsidRPr="009D79D7">
        <w:rPr>
          <w:rFonts w:ascii="Times New Roman" w:eastAsia="MS PGothic" w:hAnsi="Times New Roman"/>
          <w:lang w:val="en-US"/>
        </w:rPr>
        <w:t>]</w:t>
      </w:r>
      <w:r w:rsidRPr="009D79D7">
        <w:rPr>
          <w:rFonts w:ascii="Times New Roman" w:eastAsia="MS PGothic" w:hAnsi="Times New Roman"/>
          <w:lang w:val="en-US"/>
        </w:rPr>
        <w:t>. The feed to the plant is represented by a natural gas mixture with low content of liquids, while the disturbance applied is represented by</w:t>
      </w:r>
      <w:r w:rsidR="0058370A" w:rsidRPr="009D79D7">
        <w:rPr>
          <w:rFonts w:ascii="Times New Roman" w:eastAsia="MS PGothic" w:hAnsi="Times New Roman"/>
          <w:lang w:val="en-US"/>
        </w:rPr>
        <w:t xml:space="preserve"> 10%</w:t>
      </w:r>
      <w:r w:rsidRPr="009D79D7">
        <w:rPr>
          <w:rFonts w:ascii="Times New Roman" w:eastAsia="MS PGothic" w:hAnsi="Times New Roman"/>
          <w:lang w:val="en-US"/>
        </w:rPr>
        <w:t xml:space="preserve"> variations</w:t>
      </w:r>
      <w:r w:rsidR="0058370A" w:rsidRPr="009D79D7">
        <w:rPr>
          <w:rFonts w:ascii="Times New Roman" w:eastAsia="MS PGothic" w:hAnsi="Times New Roman"/>
          <w:lang w:val="en-US"/>
        </w:rPr>
        <w:t xml:space="preserve"> in the</w:t>
      </w:r>
      <w:r w:rsidRPr="009D79D7">
        <w:rPr>
          <w:rFonts w:ascii="Times New Roman" w:eastAsia="MS PGothic" w:hAnsi="Times New Roman"/>
          <w:lang w:val="en-US"/>
        </w:rPr>
        <w:t xml:space="preserve"> feed flowrate, realized by manipulating the </w:t>
      </w:r>
      <w:r w:rsidR="00370EF6" w:rsidRPr="009D79D7">
        <w:rPr>
          <w:rFonts w:ascii="Times New Roman" w:eastAsia="MS PGothic" w:hAnsi="Times New Roman"/>
          <w:lang w:val="en-US"/>
        </w:rPr>
        <w:t xml:space="preserve">plant </w:t>
      </w:r>
      <w:r w:rsidRPr="009D79D7">
        <w:rPr>
          <w:rFonts w:ascii="Times New Roman" w:eastAsia="MS PGothic" w:hAnsi="Times New Roman"/>
          <w:lang w:val="en-US"/>
        </w:rPr>
        <w:t xml:space="preserve">line pressure. </w:t>
      </w:r>
      <w:r w:rsidR="00BB48A0" w:rsidRPr="009D79D7">
        <w:rPr>
          <w:rFonts w:ascii="Times New Roman" w:eastAsia="MS PGothic" w:hAnsi="Times New Roman"/>
          <w:lang w:val="en-US"/>
        </w:rPr>
        <w:t xml:space="preserve">The process targets are represented by the maintenance </w:t>
      </w:r>
      <w:r w:rsidR="00D01307" w:rsidRPr="009D79D7">
        <w:rPr>
          <w:rFonts w:ascii="Times New Roman" w:eastAsia="MS PGothic" w:hAnsi="Times New Roman"/>
          <w:lang w:val="en-US"/>
        </w:rPr>
        <w:t xml:space="preserve">of </w:t>
      </w:r>
      <w:r w:rsidR="00BB48A0" w:rsidRPr="009D79D7">
        <w:rPr>
          <w:rFonts w:ascii="Times New Roman" w:eastAsia="MS PGothic" w:hAnsi="Times New Roman"/>
          <w:lang w:val="en-US"/>
        </w:rPr>
        <w:t xml:space="preserve">product impurity level in the top and bottom product of </w:t>
      </w:r>
      <w:r w:rsidR="00075F19" w:rsidRPr="009D79D7">
        <w:rPr>
          <w:rFonts w:ascii="Times New Roman" w:eastAsia="MS PGothic" w:hAnsi="Times New Roman"/>
          <w:lang w:val="en-US"/>
        </w:rPr>
        <w:t>d</w:t>
      </w:r>
      <w:r w:rsidR="00D01307" w:rsidRPr="009D79D7">
        <w:rPr>
          <w:rFonts w:ascii="Times New Roman" w:eastAsia="MS PGothic" w:hAnsi="Times New Roman"/>
          <w:lang w:val="en-US"/>
        </w:rPr>
        <w:t xml:space="preserve">eethanizer, </w:t>
      </w:r>
      <w:r w:rsidR="00075F19" w:rsidRPr="009D79D7">
        <w:rPr>
          <w:rFonts w:ascii="Times New Roman" w:eastAsia="MS PGothic" w:hAnsi="Times New Roman"/>
          <w:lang w:val="en-US"/>
        </w:rPr>
        <w:t>d</w:t>
      </w:r>
      <w:r w:rsidR="00D01307" w:rsidRPr="009D79D7">
        <w:rPr>
          <w:rFonts w:ascii="Times New Roman" w:eastAsia="MS PGothic" w:hAnsi="Times New Roman"/>
          <w:lang w:val="en-US"/>
        </w:rPr>
        <w:t xml:space="preserve">epropanizer and </w:t>
      </w:r>
      <w:r w:rsidR="00075F19" w:rsidRPr="009D79D7">
        <w:rPr>
          <w:rFonts w:ascii="Times New Roman" w:eastAsia="MS PGothic" w:hAnsi="Times New Roman"/>
          <w:lang w:val="en-US"/>
        </w:rPr>
        <w:t>d</w:t>
      </w:r>
      <w:r w:rsidR="00D01307" w:rsidRPr="009D79D7">
        <w:rPr>
          <w:rFonts w:ascii="Times New Roman" w:eastAsia="MS PGothic" w:hAnsi="Times New Roman"/>
          <w:lang w:val="en-US"/>
        </w:rPr>
        <w:t>ebutanizer</w:t>
      </w:r>
      <w:r w:rsidR="00BB48A0" w:rsidRPr="009D79D7">
        <w:rPr>
          <w:rFonts w:ascii="Times New Roman" w:eastAsia="MS PGothic" w:hAnsi="Times New Roman"/>
          <w:lang w:val="en-US"/>
        </w:rPr>
        <w:t>.</w:t>
      </w:r>
      <w:r w:rsidR="00AC527D" w:rsidRPr="009D79D7">
        <w:rPr>
          <w:rFonts w:ascii="Times New Roman" w:eastAsia="MS PGothic" w:hAnsi="Times New Roman"/>
          <w:lang w:val="en-US"/>
        </w:rPr>
        <w:t xml:space="preserve"> </w:t>
      </w:r>
      <w:r w:rsidR="003136C9" w:rsidRPr="009D79D7">
        <w:rPr>
          <w:rFonts w:ascii="Times New Roman" w:eastAsia="MS PGothic" w:hAnsi="Times New Roman"/>
          <w:lang w:val="en-US"/>
        </w:rPr>
        <w:t xml:space="preserve">Given the high cost of composition </w:t>
      </w:r>
      <w:proofErr w:type="spellStart"/>
      <w:r w:rsidR="003136C9" w:rsidRPr="009D79D7">
        <w:rPr>
          <w:rFonts w:ascii="Times New Roman" w:eastAsia="MS PGothic" w:hAnsi="Times New Roman"/>
          <w:lang w:val="en-US"/>
        </w:rPr>
        <w:t>analysers</w:t>
      </w:r>
      <w:proofErr w:type="spellEnd"/>
      <w:r w:rsidR="003136C9" w:rsidRPr="009D79D7">
        <w:rPr>
          <w:rFonts w:ascii="Times New Roman" w:eastAsia="MS PGothic" w:hAnsi="Times New Roman"/>
          <w:lang w:val="en-US"/>
        </w:rPr>
        <w:t xml:space="preserve"> and the delays in composition controllers, indirect composition controllers </w:t>
      </w:r>
      <w:r w:rsidR="003136C9" w:rsidRPr="009D79D7">
        <w:rPr>
          <w:rFonts w:ascii="Times New Roman" w:eastAsia="MS PGothic" w:hAnsi="Times New Roman"/>
          <w:lang w:val="en-US"/>
        </w:rPr>
        <w:lastRenderedPageBreak/>
        <w:t>based on temperature measurements</w:t>
      </w:r>
      <w:r w:rsidR="00550937" w:rsidRPr="009D79D7">
        <w:rPr>
          <w:rFonts w:ascii="Times New Roman" w:eastAsia="MS PGothic" w:hAnsi="Times New Roman"/>
          <w:lang w:val="en-US"/>
        </w:rPr>
        <w:t xml:space="preserve"> are used along with</w:t>
      </w:r>
      <w:r w:rsidR="003136C9" w:rsidRPr="009D79D7">
        <w:rPr>
          <w:rFonts w:ascii="Times New Roman" w:eastAsia="MS PGothic" w:hAnsi="Times New Roman"/>
          <w:lang w:val="en-US"/>
        </w:rPr>
        <w:t xml:space="preserve"> reflux ratio controllers in the enriching section of the columns to mitigate the feed disturbances [</w:t>
      </w:r>
      <w:r w:rsidR="005808EC" w:rsidRPr="009D79D7">
        <w:rPr>
          <w:rFonts w:ascii="Times New Roman" w:eastAsia="MS PGothic" w:hAnsi="Times New Roman"/>
          <w:lang w:val="en-US"/>
        </w:rPr>
        <w:t>7</w:t>
      </w:r>
      <w:r w:rsidR="003136C9" w:rsidRPr="009D79D7">
        <w:rPr>
          <w:rFonts w:ascii="Times New Roman" w:eastAsia="MS PGothic" w:hAnsi="Times New Roman"/>
          <w:lang w:val="en-US"/>
        </w:rPr>
        <w:t>]</w:t>
      </w:r>
      <w:r w:rsidR="009D79D7" w:rsidRPr="009D79D7">
        <w:rPr>
          <w:rFonts w:ascii="Times New Roman" w:hAnsi="Times New Roman"/>
          <w:lang w:val="en-US"/>
        </w:rPr>
        <w:t>.</w:t>
      </w:r>
      <w:r w:rsidR="00864CAE" w:rsidRPr="009D79D7">
        <w:rPr>
          <w:rFonts w:ascii="Times New Roman" w:eastAsia="MS PGothic" w:hAnsi="Times New Roman"/>
          <w:lang w:val="en-US"/>
        </w:rPr>
        <w:t xml:space="preserve"> The effects on the functioning of the demethanizer downstream columns of a conventional control strategy, comprising only temperature controllers, are compared with a control scheme developed for improving the demethanizer transient operation [</w:t>
      </w:r>
      <w:r w:rsidR="005808EC" w:rsidRPr="009D79D7">
        <w:rPr>
          <w:rFonts w:ascii="Times New Roman" w:eastAsia="MS PGothic" w:hAnsi="Times New Roman"/>
          <w:lang w:val="en-US"/>
        </w:rPr>
        <w:t>8</w:t>
      </w:r>
      <w:r w:rsidR="00864CAE" w:rsidRPr="009D79D7">
        <w:rPr>
          <w:rFonts w:ascii="Times New Roman" w:eastAsia="MS PGothic" w:hAnsi="Times New Roman"/>
          <w:lang w:val="en-US"/>
        </w:rPr>
        <w:t>]. The latter control scheme is given by a cascade control with boilup approximation plus a pressure compensator control</w:t>
      </w:r>
      <w:r w:rsidR="00D07963" w:rsidRPr="009D79D7">
        <w:rPr>
          <w:rFonts w:ascii="Times New Roman" w:eastAsia="MS PGothic" w:hAnsi="Times New Roman"/>
          <w:lang w:val="en-US"/>
        </w:rPr>
        <w:t xml:space="preserve"> in the separator upstream the demethanizer</w:t>
      </w:r>
      <w:r w:rsidR="00864CAE" w:rsidRPr="009D79D7">
        <w:rPr>
          <w:rFonts w:ascii="Times New Roman" w:eastAsia="MS PGothic" w:hAnsi="Times New Roman"/>
          <w:lang w:val="en-US"/>
        </w:rPr>
        <w:t>.</w:t>
      </w:r>
    </w:p>
    <w:p w14:paraId="0528A46E" w14:textId="77777777" w:rsidR="00DA51A3" w:rsidRDefault="00DA51A3" w:rsidP="00DA51A3">
      <w:pPr>
        <w:snapToGrid w:val="0"/>
        <w:spacing w:before="240" w:line="300" w:lineRule="auto"/>
        <w:rPr>
          <w:rFonts w:ascii="Times New Roman" w:eastAsia="MS PGothic" w:hAnsi="Times New Roman"/>
          <w:b/>
          <w:bCs/>
          <w:lang w:val="en-US"/>
        </w:rPr>
      </w:pPr>
      <w:r w:rsidRPr="009D79D7">
        <w:rPr>
          <w:rFonts w:ascii="Times New Roman" w:eastAsia="MS PGothic" w:hAnsi="Times New Roman"/>
          <w:b/>
          <w:bCs/>
          <w:lang w:val="en-US"/>
        </w:rPr>
        <w:t>3. Results and discussion</w:t>
      </w:r>
    </w:p>
    <w:p w14:paraId="0DC37E5D" w14:textId="364C9173" w:rsidR="0069656D" w:rsidRPr="00C41A34" w:rsidRDefault="00045255" w:rsidP="001B5B13">
      <w:pPr>
        <w:pStyle w:val="SubsectionTitle"/>
        <w:rPr>
          <w:sz w:val="22"/>
          <w:szCs w:val="22"/>
        </w:rPr>
      </w:pPr>
      <w:r w:rsidRPr="00C41A34">
        <w:rPr>
          <w:sz w:val="22"/>
          <w:szCs w:val="22"/>
        </w:rPr>
        <w:t xml:space="preserve">The results </w:t>
      </w:r>
      <w:r w:rsidR="007A6CAC">
        <w:rPr>
          <w:sz w:val="22"/>
          <w:szCs w:val="22"/>
        </w:rPr>
        <w:t xml:space="preserve">obtained with </w:t>
      </w:r>
      <w:r w:rsidRPr="00C41A34">
        <w:rPr>
          <w:sz w:val="22"/>
          <w:szCs w:val="22"/>
        </w:rPr>
        <w:t>the control strateg</w:t>
      </w:r>
      <w:r w:rsidR="007A6CAC">
        <w:rPr>
          <w:sz w:val="22"/>
          <w:szCs w:val="22"/>
        </w:rPr>
        <w:t>ies</w:t>
      </w:r>
      <w:r w:rsidRPr="00C41A34">
        <w:rPr>
          <w:sz w:val="22"/>
          <w:szCs w:val="22"/>
        </w:rPr>
        <w:t xml:space="preserve"> implemented in the separation plant are compared under the applied</w:t>
      </w:r>
      <w:r w:rsidR="00D01307">
        <w:rPr>
          <w:sz w:val="22"/>
          <w:szCs w:val="22"/>
        </w:rPr>
        <w:t xml:space="preserve"> </w:t>
      </w:r>
      <w:r w:rsidRPr="00C41A34">
        <w:rPr>
          <w:sz w:val="22"/>
          <w:szCs w:val="22"/>
        </w:rPr>
        <w:t xml:space="preserve">variations to the plant feed flowrate. The control performances are </w:t>
      </w:r>
      <w:r w:rsidR="00030F69" w:rsidRPr="00030F69">
        <w:rPr>
          <w:sz w:val="22"/>
          <w:szCs w:val="22"/>
        </w:rPr>
        <w:t>assessed</w:t>
      </w:r>
      <w:r w:rsidRPr="00C41A34">
        <w:rPr>
          <w:sz w:val="22"/>
          <w:szCs w:val="22"/>
        </w:rPr>
        <w:t xml:space="preserve"> by evaluating the production targets dynamic profiles for the different columns of the train</w:t>
      </w:r>
      <w:r w:rsidR="00CC365F">
        <w:rPr>
          <w:sz w:val="22"/>
          <w:szCs w:val="22"/>
        </w:rPr>
        <w:t>, the corresponding ISE values are calculated and reported in Table 1</w:t>
      </w:r>
      <w:r w:rsidRPr="00C41A34">
        <w:rPr>
          <w:sz w:val="22"/>
          <w:szCs w:val="22"/>
        </w:rPr>
        <w:t>.</w:t>
      </w:r>
    </w:p>
    <w:p w14:paraId="0DE84306" w14:textId="77777777" w:rsidR="008C177B" w:rsidRDefault="008C177B" w:rsidP="001B5B13">
      <w:pPr>
        <w:pStyle w:val="SubsectionTitle"/>
      </w:pPr>
    </w:p>
    <w:p w14:paraId="18AC55D4" w14:textId="7DABF156" w:rsidR="006E4736" w:rsidRPr="00FC2A4D" w:rsidRDefault="006E4736" w:rsidP="001B5B13">
      <w:pPr>
        <w:pStyle w:val="Caption"/>
        <w:keepNext/>
        <w:jc w:val="center"/>
        <w:rPr>
          <w:rFonts w:ascii="Times New Roman" w:eastAsia="MS PGothic" w:hAnsi="Times New Roman"/>
          <w:b/>
          <w:i w:val="0"/>
          <w:iCs w:val="0"/>
          <w:color w:val="auto"/>
          <w:lang w:val="en-US"/>
        </w:rPr>
      </w:pPr>
      <w:r w:rsidRPr="00FC2A4D">
        <w:rPr>
          <w:rFonts w:ascii="Times New Roman" w:eastAsia="MS PGothic" w:hAnsi="Times New Roman"/>
          <w:b/>
          <w:i w:val="0"/>
          <w:iCs w:val="0"/>
          <w:color w:val="auto"/>
          <w:lang w:val="en-US"/>
        </w:rPr>
        <w:t>Ta</w:t>
      </w:r>
      <w:r w:rsidR="00CC365F">
        <w:rPr>
          <w:rFonts w:ascii="Times New Roman" w:eastAsia="MS PGothic" w:hAnsi="Times New Roman"/>
          <w:b/>
          <w:i w:val="0"/>
          <w:iCs w:val="0"/>
          <w:color w:val="auto"/>
          <w:lang w:val="en-US"/>
        </w:rPr>
        <w:t>ble</w:t>
      </w:r>
      <w:r w:rsidRPr="00FC2A4D">
        <w:rPr>
          <w:rFonts w:ascii="Times New Roman" w:eastAsia="MS PGothic" w:hAnsi="Times New Roman"/>
          <w:b/>
          <w:i w:val="0"/>
          <w:iCs w:val="0"/>
          <w:color w:val="auto"/>
          <w:lang w:val="en-US"/>
        </w:rPr>
        <w:t xml:space="preserve"> </w:t>
      </w:r>
      <w:r w:rsidRPr="00FC2A4D">
        <w:rPr>
          <w:rFonts w:ascii="Times New Roman" w:eastAsia="MS PGothic" w:hAnsi="Times New Roman"/>
          <w:b/>
          <w:i w:val="0"/>
          <w:iCs w:val="0"/>
          <w:color w:val="auto"/>
          <w:lang w:val="en-US"/>
        </w:rPr>
        <w:fldChar w:fldCharType="begin"/>
      </w:r>
      <w:r w:rsidRPr="00FC2A4D">
        <w:rPr>
          <w:rFonts w:ascii="Times New Roman" w:eastAsia="MS PGothic" w:hAnsi="Times New Roman"/>
          <w:b/>
          <w:i w:val="0"/>
          <w:iCs w:val="0"/>
          <w:color w:val="auto"/>
          <w:lang w:val="en-US"/>
        </w:rPr>
        <w:instrText xml:space="preserve"> SEQ Tabella \* ARABIC </w:instrText>
      </w:r>
      <w:r w:rsidRPr="00FC2A4D">
        <w:rPr>
          <w:rFonts w:ascii="Times New Roman" w:eastAsia="MS PGothic" w:hAnsi="Times New Roman"/>
          <w:b/>
          <w:i w:val="0"/>
          <w:iCs w:val="0"/>
          <w:color w:val="auto"/>
          <w:lang w:val="en-US"/>
        </w:rPr>
        <w:fldChar w:fldCharType="separate"/>
      </w:r>
      <w:r w:rsidRPr="00FC2A4D">
        <w:rPr>
          <w:rFonts w:ascii="Times New Roman" w:eastAsia="MS PGothic" w:hAnsi="Times New Roman"/>
          <w:b/>
          <w:i w:val="0"/>
          <w:iCs w:val="0"/>
          <w:color w:val="auto"/>
          <w:lang w:val="en-US"/>
        </w:rPr>
        <w:t>1</w:t>
      </w:r>
      <w:r w:rsidRPr="00FC2A4D">
        <w:rPr>
          <w:rFonts w:ascii="Times New Roman" w:eastAsia="MS PGothic" w:hAnsi="Times New Roman"/>
          <w:b/>
          <w:i w:val="0"/>
          <w:iCs w:val="0"/>
          <w:color w:val="auto"/>
          <w:lang w:val="en-US"/>
        </w:rPr>
        <w:fldChar w:fldCharType="end"/>
      </w:r>
      <w:r w:rsidR="00741848" w:rsidRPr="00FC2A4D">
        <w:rPr>
          <w:rFonts w:ascii="Times New Roman" w:eastAsia="MS PGothic" w:hAnsi="Times New Roman"/>
          <w:b/>
          <w:i w:val="0"/>
          <w:iCs w:val="0"/>
          <w:color w:val="auto"/>
          <w:lang w:val="en-US"/>
        </w:rPr>
        <w:t xml:space="preserve">. </w:t>
      </w:r>
      <w:r w:rsidR="001661AD">
        <w:rPr>
          <w:rFonts w:ascii="Times New Roman" w:eastAsia="Calibri" w:hAnsi="Times New Roman" w:cs="Times New Roman"/>
          <w:i w:val="0"/>
          <w:color w:val="000000"/>
          <w:lang w:val="en-US"/>
        </w:rPr>
        <w:t>ISE</w:t>
      </w:r>
      <w:r w:rsidR="00FC2A4D" w:rsidRPr="00FC2A4D">
        <w:rPr>
          <w:rFonts w:ascii="Times New Roman" w:eastAsia="Calibri" w:hAnsi="Times New Roman" w:cs="Times New Roman"/>
          <w:i w:val="0"/>
          <w:color w:val="000000"/>
          <w:lang w:val="en-US"/>
        </w:rPr>
        <w:t xml:space="preserve"> </w:t>
      </w:r>
      <w:r w:rsidR="001B5B13">
        <w:rPr>
          <w:rFonts w:ascii="Times New Roman" w:eastAsia="Calibri" w:hAnsi="Times New Roman" w:cs="Times New Roman"/>
          <w:i w:val="0"/>
          <w:color w:val="000000"/>
          <w:lang w:val="en-US"/>
        </w:rPr>
        <w:t>values obtained under</w:t>
      </w:r>
      <w:r w:rsidR="00FC2A4D">
        <w:rPr>
          <w:rFonts w:ascii="Times New Roman" w:eastAsia="Calibri" w:hAnsi="Times New Roman" w:cs="Times New Roman"/>
          <w:i w:val="0"/>
          <w:color w:val="000000"/>
          <w:lang w:val="en-US"/>
        </w:rPr>
        <w:t xml:space="preserve"> </w:t>
      </w:r>
      <w:r w:rsidR="00687E88">
        <w:rPr>
          <w:rFonts w:ascii="Times New Roman" w:eastAsia="Calibri" w:hAnsi="Times New Roman" w:cs="Times New Roman"/>
          <w:i w:val="0"/>
          <w:color w:val="000000"/>
          <w:lang w:val="en-US"/>
        </w:rPr>
        <w:t>10% variations in the plant feed flowrate</w:t>
      </w:r>
      <w:r w:rsidR="001B5B13">
        <w:rPr>
          <w:rFonts w:ascii="Times New Roman" w:eastAsia="Calibri" w:hAnsi="Times New Roman" w:cs="Times New Roman"/>
          <w:i w:val="0"/>
          <w:color w:val="000000"/>
          <w:lang w:val="en-US"/>
        </w:rPr>
        <w:t xml:space="preserve"> for</w:t>
      </w:r>
      <w:r w:rsidR="001B5B13" w:rsidRPr="00FC2A4D">
        <w:rPr>
          <w:rFonts w:ascii="Times New Roman" w:eastAsia="Calibri" w:hAnsi="Times New Roman" w:cs="Times New Roman"/>
          <w:i w:val="0"/>
          <w:color w:val="000000"/>
          <w:lang w:val="en-US"/>
        </w:rPr>
        <w:t xml:space="preserve"> the proposed and </w:t>
      </w:r>
      <w:r w:rsidR="001B5B13">
        <w:rPr>
          <w:rFonts w:ascii="Times New Roman" w:eastAsia="Calibri" w:hAnsi="Times New Roman" w:cs="Times New Roman"/>
          <w:i w:val="0"/>
          <w:color w:val="000000"/>
          <w:lang w:val="en-US"/>
        </w:rPr>
        <w:t xml:space="preserve">the </w:t>
      </w:r>
      <w:r w:rsidR="001B5B13" w:rsidRPr="00FC2A4D">
        <w:rPr>
          <w:rFonts w:ascii="Times New Roman" w:eastAsia="Calibri" w:hAnsi="Times New Roman" w:cs="Times New Roman"/>
          <w:i w:val="0"/>
          <w:color w:val="000000"/>
          <w:lang w:val="en-US"/>
        </w:rPr>
        <w:t>conventional control</w:t>
      </w:r>
      <w:r w:rsidR="001B5B13">
        <w:rPr>
          <w:rFonts w:ascii="Times New Roman" w:eastAsia="Calibri" w:hAnsi="Times New Roman" w:cs="Times New Roman"/>
          <w:i w:val="0"/>
          <w:color w:val="000000"/>
          <w:lang w:val="en-US"/>
        </w:rPr>
        <w:t xml:space="preserve"> schemes</w:t>
      </w:r>
      <w:r w:rsidR="00687E88">
        <w:rPr>
          <w:rFonts w:ascii="Times New Roman" w:eastAsia="Calibri" w:hAnsi="Times New Roman" w:cs="Times New Roman"/>
          <w:i w:val="0"/>
          <w:color w:val="00000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043"/>
        <w:gridCol w:w="1046"/>
        <w:gridCol w:w="1043"/>
        <w:gridCol w:w="1043"/>
        <w:gridCol w:w="1043"/>
        <w:gridCol w:w="1043"/>
        <w:gridCol w:w="1984"/>
      </w:tblGrid>
      <w:tr w:rsidR="007311E2" w:rsidRPr="00DC4B1D" w14:paraId="7C5EC6FF" w14:textId="11D309AA" w:rsidTr="006E4736">
        <w:trPr>
          <w:trHeight w:val="288"/>
        </w:trPr>
        <w:tc>
          <w:tcPr>
            <w:tcW w:w="993" w:type="dxa"/>
            <w:tcBorders>
              <w:right w:val="single" w:sz="4" w:space="0" w:color="auto"/>
            </w:tcBorders>
            <w:noWrap/>
            <w:vAlign w:val="center"/>
            <w:hideMark/>
          </w:tcPr>
          <w:p w14:paraId="09CDD86C" w14:textId="77777777" w:rsidR="004265A2" w:rsidRPr="001B5B13" w:rsidRDefault="004265A2" w:rsidP="001B5B13">
            <w:pPr>
              <w:pStyle w:val="SubsectionTitle"/>
            </w:pPr>
          </w:p>
        </w:tc>
        <w:tc>
          <w:tcPr>
            <w:tcW w:w="2089" w:type="dxa"/>
            <w:gridSpan w:val="2"/>
            <w:tcBorders>
              <w:top w:val="single" w:sz="4" w:space="0" w:color="auto"/>
              <w:left w:val="single" w:sz="4" w:space="0" w:color="auto"/>
              <w:bottom w:val="single" w:sz="4" w:space="0" w:color="auto"/>
              <w:right w:val="single" w:sz="4" w:space="0" w:color="auto"/>
            </w:tcBorders>
            <w:noWrap/>
            <w:vAlign w:val="center"/>
            <w:hideMark/>
          </w:tcPr>
          <w:p w14:paraId="38F4510C" w14:textId="10C60B6A" w:rsidR="004265A2" w:rsidRPr="001B5B13" w:rsidRDefault="007311E2" w:rsidP="001B5B13">
            <w:pPr>
              <w:pStyle w:val="SubsectionTitle"/>
              <w:jc w:val="center"/>
              <w:rPr>
                <w:b/>
                <w:bCs/>
              </w:rPr>
            </w:pPr>
            <w:r w:rsidRPr="001B5B13">
              <w:rPr>
                <w:b/>
                <w:bCs/>
              </w:rPr>
              <w:t>Deethanizer</w:t>
            </w:r>
          </w:p>
        </w:tc>
        <w:tc>
          <w:tcPr>
            <w:tcW w:w="2086" w:type="dxa"/>
            <w:gridSpan w:val="2"/>
            <w:tcBorders>
              <w:top w:val="single" w:sz="4" w:space="0" w:color="auto"/>
              <w:left w:val="single" w:sz="4" w:space="0" w:color="auto"/>
              <w:bottom w:val="single" w:sz="4" w:space="0" w:color="auto"/>
              <w:right w:val="single" w:sz="4" w:space="0" w:color="auto"/>
            </w:tcBorders>
            <w:noWrap/>
            <w:vAlign w:val="center"/>
            <w:hideMark/>
          </w:tcPr>
          <w:p w14:paraId="0FD5FA7A" w14:textId="4C83945C" w:rsidR="004265A2" w:rsidRPr="001B5B13" w:rsidRDefault="007311E2" w:rsidP="001B5B13">
            <w:pPr>
              <w:pStyle w:val="SubsectionTitle"/>
              <w:jc w:val="center"/>
              <w:rPr>
                <w:b/>
                <w:bCs/>
              </w:rPr>
            </w:pPr>
            <w:r w:rsidRPr="001B5B13">
              <w:rPr>
                <w:b/>
                <w:bCs/>
              </w:rPr>
              <w:t>Depropanizer</w:t>
            </w:r>
          </w:p>
        </w:tc>
        <w:tc>
          <w:tcPr>
            <w:tcW w:w="2086" w:type="dxa"/>
            <w:gridSpan w:val="2"/>
            <w:tcBorders>
              <w:top w:val="single" w:sz="4" w:space="0" w:color="auto"/>
              <w:left w:val="single" w:sz="4" w:space="0" w:color="auto"/>
              <w:bottom w:val="single" w:sz="4" w:space="0" w:color="auto"/>
              <w:right w:val="single" w:sz="4" w:space="0" w:color="auto"/>
            </w:tcBorders>
            <w:noWrap/>
            <w:vAlign w:val="center"/>
            <w:hideMark/>
          </w:tcPr>
          <w:p w14:paraId="1EF6C7E1" w14:textId="0DAE4E50" w:rsidR="004265A2" w:rsidRPr="001B5B13" w:rsidRDefault="007311E2" w:rsidP="001B5B13">
            <w:pPr>
              <w:pStyle w:val="SubsectionTitle"/>
              <w:jc w:val="center"/>
              <w:rPr>
                <w:b/>
                <w:bCs/>
              </w:rPr>
            </w:pPr>
            <w:r w:rsidRPr="001B5B13">
              <w:rPr>
                <w:b/>
                <w:bCs/>
              </w:rPr>
              <w:t>Debutanizer</w:t>
            </w:r>
          </w:p>
        </w:tc>
        <w:tc>
          <w:tcPr>
            <w:tcW w:w="1984" w:type="dxa"/>
            <w:tcBorders>
              <w:left w:val="single" w:sz="4" w:space="0" w:color="auto"/>
              <w:bottom w:val="single" w:sz="4" w:space="0" w:color="auto"/>
            </w:tcBorders>
            <w:vAlign w:val="center"/>
          </w:tcPr>
          <w:p w14:paraId="68266857" w14:textId="77777777" w:rsidR="004265A2" w:rsidRPr="001B5B13" w:rsidRDefault="004265A2" w:rsidP="001B5B13">
            <w:pPr>
              <w:pStyle w:val="SubsectionTitle"/>
            </w:pPr>
          </w:p>
        </w:tc>
      </w:tr>
      <w:tr w:rsidR="007311E2" w:rsidRPr="00DC4B1D" w14:paraId="3F55F51D" w14:textId="2C46FC02" w:rsidTr="006E4736">
        <w:trPr>
          <w:trHeight w:val="406"/>
        </w:trPr>
        <w:tc>
          <w:tcPr>
            <w:tcW w:w="993" w:type="dxa"/>
            <w:tcBorders>
              <w:bottom w:val="single" w:sz="4" w:space="0" w:color="auto"/>
              <w:right w:val="single" w:sz="4" w:space="0" w:color="auto"/>
            </w:tcBorders>
            <w:noWrap/>
            <w:vAlign w:val="center"/>
            <w:hideMark/>
          </w:tcPr>
          <w:p w14:paraId="5B0510AF" w14:textId="3B99ADCD" w:rsidR="004265A2" w:rsidRPr="001B5B13" w:rsidRDefault="004265A2" w:rsidP="001B5B13">
            <w:pPr>
              <w:pStyle w:val="SubsectionTitle"/>
            </w:pPr>
          </w:p>
        </w:tc>
        <w:tc>
          <w:tcPr>
            <w:tcW w:w="1043" w:type="dxa"/>
            <w:tcBorders>
              <w:top w:val="single" w:sz="4" w:space="0" w:color="auto"/>
              <w:left w:val="single" w:sz="4" w:space="0" w:color="auto"/>
              <w:bottom w:val="single" w:sz="4" w:space="0" w:color="auto"/>
            </w:tcBorders>
            <w:noWrap/>
            <w:vAlign w:val="center"/>
          </w:tcPr>
          <w:p w14:paraId="5EBCEF2E" w14:textId="68D4C935" w:rsidR="004265A2" w:rsidRPr="001B5B13" w:rsidRDefault="004265A2" w:rsidP="001B5B13">
            <w:pPr>
              <w:pStyle w:val="SubsectionTitle"/>
              <w:jc w:val="center"/>
            </w:pPr>
            <w:r w:rsidRPr="001B5B13">
              <w:t>-10%</w:t>
            </w:r>
          </w:p>
        </w:tc>
        <w:tc>
          <w:tcPr>
            <w:tcW w:w="1046" w:type="dxa"/>
            <w:tcBorders>
              <w:top w:val="single" w:sz="4" w:space="0" w:color="auto"/>
              <w:bottom w:val="single" w:sz="4" w:space="0" w:color="auto"/>
              <w:right w:val="single" w:sz="4" w:space="0" w:color="auto"/>
            </w:tcBorders>
            <w:vAlign w:val="center"/>
          </w:tcPr>
          <w:p w14:paraId="6C5DE0B7" w14:textId="56CC1E12" w:rsidR="004265A2" w:rsidRPr="001B5B13" w:rsidRDefault="004265A2" w:rsidP="001B5B13">
            <w:pPr>
              <w:pStyle w:val="SubsectionTitle"/>
              <w:jc w:val="center"/>
            </w:pPr>
            <w:r w:rsidRPr="001B5B13">
              <w:t>+10%</w:t>
            </w:r>
          </w:p>
        </w:tc>
        <w:tc>
          <w:tcPr>
            <w:tcW w:w="1043" w:type="dxa"/>
            <w:tcBorders>
              <w:top w:val="single" w:sz="4" w:space="0" w:color="auto"/>
              <w:left w:val="single" w:sz="4" w:space="0" w:color="auto"/>
              <w:bottom w:val="single" w:sz="4" w:space="0" w:color="auto"/>
            </w:tcBorders>
            <w:noWrap/>
            <w:vAlign w:val="center"/>
          </w:tcPr>
          <w:p w14:paraId="62826A01" w14:textId="6B306119" w:rsidR="004265A2" w:rsidRPr="001B5B13" w:rsidRDefault="004265A2" w:rsidP="001B5B13">
            <w:pPr>
              <w:pStyle w:val="SubsectionTitle"/>
              <w:jc w:val="center"/>
            </w:pPr>
            <w:r w:rsidRPr="001B5B13">
              <w:t>-10%</w:t>
            </w:r>
          </w:p>
        </w:tc>
        <w:tc>
          <w:tcPr>
            <w:tcW w:w="1043" w:type="dxa"/>
            <w:tcBorders>
              <w:top w:val="single" w:sz="4" w:space="0" w:color="auto"/>
              <w:bottom w:val="single" w:sz="4" w:space="0" w:color="auto"/>
              <w:right w:val="single" w:sz="4" w:space="0" w:color="auto"/>
            </w:tcBorders>
            <w:vAlign w:val="center"/>
          </w:tcPr>
          <w:p w14:paraId="6882AFD5" w14:textId="6FAA7CA4" w:rsidR="004265A2" w:rsidRPr="001B5B13" w:rsidRDefault="004265A2" w:rsidP="001B5B13">
            <w:pPr>
              <w:pStyle w:val="SubsectionTitle"/>
              <w:jc w:val="center"/>
            </w:pPr>
            <w:r w:rsidRPr="001B5B13">
              <w:t>+10%</w:t>
            </w:r>
          </w:p>
        </w:tc>
        <w:tc>
          <w:tcPr>
            <w:tcW w:w="1043" w:type="dxa"/>
            <w:tcBorders>
              <w:top w:val="single" w:sz="4" w:space="0" w:color="auto"/>
              <w:left w:val="single" w:sz="4" w:space="0" w:color="auto"/>
              <w:bottom w:val="single" w:sz="4" w:space="0" w:color="auto"/>
            </w:tcBorders>
            <w:noWrap/>
            <w:vAlign w:val="center"/>
          </w:tcPr>
          <w:p w14:paraId="426E76A3" w14:textId="28ADD5E5" w:rsidR="004265A2" w:rsidRPr="001B5B13" w:rsidRDefault="004265A2" w:rsidP="001B5B13">
            <w:pPr>
              <w:pStyle w:val="SubsectionTitle"/>
              <w:jc w:val="center"/>
            </w:pPr>
            <w:r w:rsidRPr="001B5B13">
              <w:t>-10%</w:t>
            </w:r>
          </w:p>
        </w:tc>
        <w:tc>
          <w:tcPr>
            <w:tcW w:w="1043" w:type="dxa"/>
            <w:tcBorders>
              <w:top w:val="single" w:sz="4" w:space="0" w:color="auto"/>
              <w:bottom w:val="single" w:sz="4" w:space="0" w:color="auto"/>
              <w:right w:val="single" w:sz="4" w:space="0" w:color="auto"/>
            </w:tcBorders>
            <w:vAlign w:val="center"/>
          </w:tcPr>
          <w:p w14:paraId="78A0792F" w14:textId="7A7C9330" w:rsidR="004265A2" w:rsidRPr="001B5B13" w:rsidRDefault="004265A2" w:rsidP="001B5B13">
            <w:pPr>
              <w:pStyle w:val="SubsectionTitle"/>
              <w:jc w:val="center"/>
            </w:pPr>
            <w:r w:rsidRPr="001B5B13">
              <w:t>+10%</w:t>
            </w:r>
          </w:p>
        </w:tc>
        <w:tc>
          <w:tcPr>
            <w:tcW w:w="1984" w:type="dxa"/>
            <w:tcBorders>
              <w:top w:val="single" w:sz="4" w:space="0" w:color="auto"/>
              <w:left w:val="single" w:sz="4" w:space="0" w:color="auto"/>
              <w:bottom w:val="single" w:sz="4" w:space="0" w:color="auto"/>
              <w:right w:val="single" w:sz="4" w:space="0" w:color="auto"/>
            </w:tcBorders>
            <w:vAlign w:val="center"/>
          </w:tcPr>
          <w:p w14:paraId="3A3EA8FA" w14:textId="77D3C8EC" w:rsidR="004265A2" w:rsidRPr="001B5B13" w:rsidRDefault="00931669" w:rsidP="001B5B13">
            <w:pPr>
              <w:pStyle w:val="SubsectionTitle"/>
              <w:jc w:val="center"/>
              <w:rPr>
                <w:b/>
                <w:bCs/>
              </w:rPr>
            </w:pPr>
            <w:r w:rsidRPr="001B5B13">
              <w:rPr>
                <w:b/>
                <w:bCs/>
              </w:rPr>
              <w:t>Flowrate variations</w:t>
            </w:r>
          </w:p>
        </w:tc>
      </w:tr>
      <w:tr w:rsidR="00931669" w:rsidRPr="00DC4B1D" w14:paraId="1CDCD815" w14:textId="73D91C24" w:rsidTr="006E4736">
        <w:trPr>
          <w:trHeight w:val="288"/>
        </w:trPr>
        <w:tc>
          <w:tcPr>
            <w:tcW w:w="993" w:type="dxa"/>
            <w:tcBorders>
              <w:top w:val="single" w:sz="4" w:space="0" w:color="auto"/>
              <w:left w:val="single" w:sz="4" w:space="0" w:color="auto"/>
              <w:right w:val="single" w:sz="4" w:space="0" w:color="auto"/>
            </w:tcBorders>
            <w:noWrap/>
            <w:vAlign w:val="center"/>
            <w:hideMark/>
          </w:tcPr>
          <w:p w14:paraId="4CC5AB02" w14:textId="450F5973" w:rsidR="00FF11E5" w:rsidRPr="001B5B13" w:rsidRDefault="00FF11E5" w:rsidP="001B5B13">
            <w:pPr>
              <w:pStyle w:val="SubsectionTitle"/>
              <w:jc w:val="center"/>
            </w:pPr>
            <w:r w:rsidRPr="001B5B13">
              <w:t>CONV</w:t>
            </w:r>
          </w:p>
        </w:tc>
        <w:tc>
          <w:tcPr>
            <w:tcW w:w="1043" w:type="dxa"/>
            <w:tcBorders>
              <w:top w:val="single" w:sz="4" w:space="0" w:color="auto"/>
              <w:left w:val="single" w:sz="4" w:space="0" w:color="auto"/>
            </w:tcBorders>
            <w:noWrap/>
            <w:vAlign w:val="center"/>
            <w:hideMark/>
          </w:tcPr>
          <w:p w14:paraId="563E5826" w14:textId="404F735C" w:rsidR="00FF11E5" w:rsidRPr="001B5B13" w:rsidRDefault="00FF11E5" w:rsidP="001B5B13">
            <w:pPr>
              <w:pStyle w:val="SubsectionTitle"/>
              <w:jc w:val="center"/>
            </w:pPr>
            <w:r w:rsidRPr="001B5B13">
              <w:t>1.43E+02</w:t>
            </w:r>
          </w:p>
        </w:tc>
        <w:tc>
          <w:tcPr>
            <w:tcW w:w="1046" w:type="dxa"/>
            <w:tcBorders>
              <w:top w:val="single" w:sz="4" w:space="0" w:color="auto"/>
              <w:right w:val="single" w:sz="4" w:space="0" w:color="auto"/>
            </w:tcBorders>
            <w:noWrap/>
            <w:vAlign w:val="center"/>
            <w:hideMark/>
          </w:tcPr>
          <w:p w14:paraId="30C87D47" w14:textId="77777777" w:rsidR="00FF11E5" w:rsidRPr="001B5B13" w:rsidRDefault="00FF11E5" w:rsidP="001B5B13">
            <w:pPr>
              <w:pStyle w:val="SubsectionTitle"/>
              <w:jc w:val="center"/>
            </w:pPr>
            <w:r w:rsidRPr="001B5B13">
              <w:t>1.69E+02</w:t>
            </w:r>
          </w:p>
        </w:tc>
        <w:tc>
          <w:tcPr>
            <w:tcW w:w="1043" w:type="dxa"/>
            <w:tcBorders>
              <w:top w:val="single" w:sz="4" w:space="0" w:color="auto"/>
              <w:left w:val="single" w:sz="4" w:space="0" w:color="auto"/>
            </w:tcBorders>
            <w:noWrap/>
            <w:vAlign w:val="center"/>
            <w:hideMark/>
          </w:tcPr>
          <w:p w14:paraId="167ACD9C" w14:textId="77777777" w:rsidR="00FF11E5" w:rsidRPr="001B5B13" w:rsidRDefault="00FF11E5" w:rsidP="001B5B13">
            <w:pPr>
              <w:pStyle w:val="SubsectionTitle"/>
              <w:jc w:val="center"/>
            </w:pPr>
            <w:r w:rsidRPr="001B5B13">
              <w:t>2.43E+00</w:t>
            </w:r>
          </w:p>
        </w:tc>
        <w:tc>
          <w:tcPr>
            <w:tcW w:w="1043" w:type="dxa"/>
            <w:tcBorders>
              <w:top w:val="single" w:sz="4" w:space="0" w:color="auto"/>
              <w:right w:val="single" w:sz="4" w:space="0" w:color="auto"/>
            </w:tcBorders>
            <w:noWrap/>
            <w:vAlign w:val="center"/>
            <w:hideMark/>
          </w:tcPr>
          <w:p w14:paraId="002E91B9" w14:textId="77777777" w:rsidR="00FF11E5" w:rsidRPr="001B5B13" w:rsidRDefault="00FF11E5" w:rsidP="001B5B13">
            <w:pPr>
              <w:pStyle w:val="SubsectionTitle"/>
              <w:jc w:val="center"/>
            </w:pPr>
            <w:r w:rsidRPr="001B5B13">
              <w:t>2.52E+00</w:t>
            </w:r>
          </w:p>
        </w:tc>
        <w:tc>
          <w:tcPr>
            <w:tcW w:w="1043" w:type="dxa"/>
            <w:tcBorders>
              <w:top w:val="single" w:sz="4" w:space="0" w:color="auto"/>
              <w:left w:val="single" w:sz="4" w:space="0" w:color="auto"/>
            </w:tcBorders>
            <w:noWrap/>
            <w:vAlign w:val="center"/>
            <w:hideMark/>
          </w:tcPr>
          <w:p w14:paraId="15991497" w14:textId="77777777" w:rsidR="00FF11E5" w:rsidRPr="001B5B13" w:rsidRDefault="00FF11E5" w:rsidP="001B5B13">
            <w:pPr>
              <w:pStyle w:val="SubsectionTitle"/>
              <w:jc w:val="center"/>
            </w:pPr>
            <w:r w:rsidRPr="001B5B13">
              <w:t>2.38E+00</w:t>
            </w:r>
          </w:p>
        </w:tc>
        <w:tc>
          <w:tcPr>
            <w:tcW w:w="1043" w:type="dxa"/>
            <w:tcBorders>
              <w:top w:val="single" w:sz="4" w:space="0" w:color="auto"/>
              <w:right w:val="single" w:sz="4" w:space="0" w:color="auto"/>
            </w:tcBorders>
            <w:noWrap/>
            <w:vAlign w:val="center"/>
            <w:hideMark/>
          </w:tcPr>
          <w:p w14:paraId="2CB7A90B" w14:textId="77777777" w:rsidR="00FF11E5" w:rsidRPr="001B5B13" w:rsidRDefault="00FF11E5" w:rsidP="001B5B13">
            <w:pPr>
              <w:pStyle w:val="SubsectionTitle"/>
              <w:jc w:val="center"/>
            </w:pPr>
            <w:r w:rsidRPr="001B5B13">
              <w:t>2.82E+00</w:t>
            </w:r>
          </w:p>
        </w:tc>
        <w:tc>
          <w:tcPr>
            <w:tcW w:w="1984" w:type="dxa"/>
            <w:vMerge w:val="restart"/>
            <w:tcBorders>
              <w:top w:val="single" w:sz="4" w:space="0" w:color="auto"/>
              <w:left w:val="single" w:sz="4" w:space="0" w:color="auto"/>
              <w:right w:val="single" w:sz="4" w:space="0" w:color="auto"/>
            </w:tcBorders>
            <w:vAlign w:val="center"/>
          </w:tcPr>
          <w:p w14:paraId="6B19837E" w14:textId="52AE6C48" w:rsidR="00FF11E5" w:rsidRPr="001B5B13" w:rsidRDefault="00931669" w:rsidP="001B5B13">
            <w:pPr>
              <w:pStyle w:val="SubsectionTitle"/>
              <w:jc w:val="center"/>
              <w:rPr>
                <w:b/>
                <w:bCs/>
              </w:rPr>
            </w:pPr>
            <w:r w:rsidRPr="001B5B13">
              <w:rPr>
                <w:b/>
                <w:bCs/>
              </w:rPr>
              <w:t>Tray temperature</w:t>
            </w:r>
          </w:p>
        </w:tc>
      </w:tr>
      <w:tr w:rsidR="00931669" w:rsidRPr="00DC4B1D" w14:paraId="6D6D5729" w14:textId="14F4F676" w:rsidTr="006E4736">
        <w:trPr>
          <w:trHeight w:val="288"/>
        </w:trPr>
        <w:tc>
          <w:tcPr>
            <w:tcW w:w="993" w:type="dxa"/>
            <w:tcBorders>
              <w:left w:val="single" w:sz="4" w:space="0" w:color="auto"/>
              <w:bottom w:val="single" w:sz="4" w:space="0" w:color="auto"/>
              <w:right w:val="single" w:sz="4" w:space="0" w:color="auto"/>
            </w:tcBorders>
            <w:noWrap/>
            <w:vAlign w:val="center"/>
            <w:hideMark/>
          </w:tcPr>
          <w:p w14:paraId="5F5A5573" w14:textId="638A0332" w:rsidR="00FF11E5" w:rsidRPr="001B5B13" w:rsidRDefault="00FF11E5" w:rsidP="001B5B13">
            <w:pPr>
              <w:pStyle w:val="SubsectionTitle"/>
              <w:jc w:val="center"/>
            </w:pPr>
            <w:r w:rsidRPr="001B5B13">
              <w:t>PROP</w:t>
            </w:r>
          </w:p>
        </w:tc>
        <w:tc>
          <w:tcPr>
            <w:tcW w:w="1043" w:type="dxa"/>
            <w:tcBorders>
              <w:left w:val="single" w:sz="4" w:space="0" w:color="auto"/>
              <w:bottom w:val="single" w:sz="4" w:space="0" w:color="auto"/>
            </w:tcBorders>
            <w:noWrap/>
            <w:vAlign w:val="center"/>
            <w:hideMark/>
          </w:tcPr>
          <w:p w14:paraId="278D02FB" w14:textId="4EA3F7F1" w:rsidR="00FF11E5" w:rsidRPr="001B5B13" w:rsidRDefault="00FF11E5" w:rsidP="001B5B13">
            <w:pPr>
              <w:pStyle w:val="SubsectionTitle"/>
              <w:jc w:val="center"/>
            </w:pPr>
            <w:r w:rsidRPr="001B5B13">
              <w:t>5.75E+01</w:t>
            </w:r>
          </w:p>
        </w:tc>
        <w:tc>
          <w:tcPr>
            <w:tcW w:w="1046" w:type="dxa"/>
            <w:tcBorders>
              <w:bottom w:val="single" w:sz="4" w:space="0" w:color="auto"/>
              <w:right w:val="single" w:sz="4" w:space="0" w:color="auto"/>
            </w:tcBorders>
            <w:noWrap/>
            <w:vAlign w:val="center"/>
            <w:hideMark/>
          </w:tcPr>
          <w:p w14:paraId="67B827BB" w14:textId="77777777" w:rsidR="00FF11E5" w:rsidRPr="001B5B13" w:rsidRDefault="00FF11E5" w:rsidP="001B5B13">
            <w:pPr>
              <w:pStyle w:val="SubsectionTitle"/>
              <w:jc w:val="center"/>
            </w:pPr>
            <w:r w:rsidRPr="001B5B13">
              <w:t>5.01E+01</w:t>
            </w:r>
          </w:p>
        </w:tc>
        <w:tc>
          <w:tcPr>
            <w:tcW w:w="1043" w:type="dxa"/>
            <w:tcBorders>
              <w:left w:val="single" w:sz="4" w:space="0" w:color="auto"/>
              <w:bottom w:val="single" w:sz="4" w:space="0" w:color="auto"/>
            </w:tcBorders>
            <w:noWrap/>
            <w:vAlign w:val="center"/>
            <w:hideMark/>
          </w:tcPr>
          <w:p w14:paraId="1ED914E4" w14:textId="77777777" w:rsidR="00FF11E5" w:rsidRPr="001B5B13" w:rsidRDefault="00FF11E5" w:rsidP="001B5B13">
            <w:pPr>
              <w:pStyle w:val="SubsectionTitle"/>
              <w:jc w:val="center"/>
            </w:pPr>
            <w:r w:rsidRPr="001B5B13">
              <w:t>1.60E+00</w:t>
            </w:r>
          </w:p>
        </w:tc>
        <w:tc>
          <w:tcPr>
            <w:tcW w:w="1043" w:type="dxa"/>
            <w:tcBorders>
              <w:bottom w:val="single" w:sz="4" w:space="0" w:color="auto"/>
              <w:right w:val="single" w:sz="4" w:space="0" w:color="auto"/>
            </w:tcBorders>
            <w:noWrap/>
            <w:vAlign w:val="center"/>
            <w:hideMark/>
          </w:tcPr>
          <w:p w14:paraId="09032E25" w14:textId="77777777" w:rsidR="00FF11E5" w:rsidRPr="001B5B13" w:rsidRDefault="00FF11E5" w:rsidP="001B5B13">
            <w:pPr>
              <w:pStyle w:val="SubsectionTitle"/>
              <w:jc w:val="center"/>
            </w:pPr>
            <w:r w:rsidRPr="001B5B13">
              <w:t>1.70E+00</w:t>
            </w:r>
          </w:p>
        </w:tc>
        <w:tc>
          <w:tcPr>
            <w:tcW w:w="1043" w:type="dxa"/>
            <w:tcBorders>
              <w:left w:val="single" w:sz="4" w:space="0" w:color="auto"/>
              <w:bottom w:val="single" w:sz="4" w:space="0" w:color="auto"/>
            </w:tcBorders>
            <w:noWrap/>
            <w:vAlign w:val="center"/>
            <w:hideMark/>
          </w:tcPr>
          <w:p w14:paraId="5A0E0793" w14:textId="77777777" w:rsidR="00FF11E5" w:rsidRPr="001B5B13" w:rsidRDefault="00FF11E5" w:rsidP="001B5B13">
            <w:pPr>
              <w:pStyle w:val="SubsectionTitle"/>
              <w:jc w:val="center"/>
            </w:pPr>
            <w:r w:rsidRPr="001B5B13">
              <w:t>1.72E+00</w:t>
            </w:r>
          </w:p>
        </w:tc>
        <w:tc>
          <w:tcPr>
            <w:tcW w:w="1043" w:type="dxa"/>
            <w:tcBorders>
              <w:bottom w:val="single" w:sz="4" w:space="0" w:color="auto"/>
              <w:right w:val="single" w:sz="4" w:space="0" w:color="auto"/>
            </w:tcBorders>
            <w:noWrap/>
            <w:vAlign w:val="center"/>
            <w:hideMark/>
          </w:tcPr>
          <w:p w14:paraId="67456CD7" w14:textId="77777777" w:rsidR="00FF11E5" w:rsidRPr="001B5B13" w:rsidRDefault="00FF11E5" w:rsidP="001B5B13">
            <w:pPr>
              <w:pStyle w:val="SubsectionTitle"/>
              <w:jc w:val="center"/>
            </w:pPr>
            <w:r w:rsidRPr="001B5B13">
              <w:t>1.76E+00</w:t>
            </w:r>
          </w:p>
        </w:tc>
        <w:tc>
          <w:tcPr>
            <w:tcW w:w="1984" w:type="dxa"/>
            <w:vMerge/>
            <w:tcBorders>
              <w:left w:val="single" w:sz="4" w:space="0" w:color="auto"/>
              <w:bottom w:val="single" w:sz="4" w:space="0" w:color="auto"/>
              <w:right w:val="single" w:sz="4" w:space="0" w:color="auto"/>
            </w:tcBorders>
            <w:vAlign w:val="center"/>
          </w:tcPr>
          <w:p w14:paraId="149FD0AE" w14:textId="77777777" w:rsidR="00FF11E5" w:rsidRPr="001B5B13" w:rsidRDefault="00FF11E5" w:rsidP="001B5B13">
            <w:pPr>
              <w:pStyle w:val="SubsectionTitle"/>
              <w:jc w:val="center"/>
              <w:rPr>
                <w:b/>
                <w:bCs/>
              </w:rPr>
            </w:pPr>
          </w:p>
        </w:tc>
      </w:tr>
      <w:tr w:rsidR="007311E2" w:rsidRPr="00DC4B1D" w14:paraId="065B9729" w14:textId="0A31D62A" w:rsidTr="006E4736">
        <w:trPr>
          <w:trHeight w:val="288"/>
        </w:trPr>
        <w:tc>
          <w:tcPr>
            <w:tcW w:w="993" w:type="dxa"/>
            <w:tcBorders>
              <w:top w:val="single" w:sz="4" w:space="0" w:color="auto"/>
              <w:left w:val="single" w:sz="4" w:space="0" w:color="auto"/>
              <w:right w:val="single" w:sz="4" w:space="0" w:color="auto"/>
            </w:tcBorders>
            <w:noWrap/>
            <w:vAlign w:val="center"/>
            <w:hideMark/>
          </w:tcPr>
          <w:p w14:paraId="26E80D6A" w14:textId="4016FF65" w:rsidR="00FF11E5" w:rsidRPr="001B5B13" w:rsidRDefault="00FF11E5" w:rsidP="001B5B13">
            <w:pPr>
              <w:pStyle w:val="SubsectionTitle"/>
              <w:jc w:val="center"/>
            </w:pPr>
            <w:r w:rsidRPr="001B5B13">
              <w:t>CONV</w:t>
            </w:r>
          </w:p>
        </w:tc>
        <w:tc>
          <w:tcPr>
            <w:tcW w:w="1043" w:type="dxa"/>
            <w:tcBorders>
              <w:top w:val="single" w:sz="4" w:space="0" w:color="auto"/>
              <w:left w:val="single" w:sz="4" w:space="0" w:color="auto"/>
            </w:tcBorders>
            <w:noWrap/>
            <w:vAlign w:val="center"/>
            <w:hideMark/>
          </w:tcPr>
          <w:p w14:paraId="2F575AE6" w14:textId="26ACEA7C" w:rsidR="00FF11E5" w:rsidRPr="001B5B13" w:rsidRDefault="00FF11E5" w:rsidP="001B5B13">
            <w:pPr>
              <w:pStyle w:val="SubsectionTitle"/>
              <w:jc w:val="center"/>
            </w:pPr>
            <w:r w:rsidRPr="001B5B13">
              <w:t>4.90E-05</w:t>
            </w:r>
          </w:p>
        </w:tc>
        <w:tc>
          <w:tcPr>
            <w:tcW w:w="1046" w:type="dxa"/>
            <w:tcBorders>
              <w:top w:val="single" w:sz="4" w:space="0" w:color="auto"/>
              <w:right w:val="single" w:sz="4" w:space="0" w:color="auto"/>
            </w:tcBorders>
            <w:noWrap/>
            <w:vAlign w:val="center"/>
            <w:hideMark/>
          </w:tcPr>
          <w:p w14:paraId="4546F6A8" w14:textId="77777777" w:rsidR="00FF11E5" w:rsidRPr="001B5B13" w:rsidRDefault="00FF11E5" w:rsidP="001B5B13">
            <w:pPr>
              <w:pStyle w:val="SubsectionTitle"/>
              <w:jc w:val="center"/>
            </w:pPr>
            <w:r w:rsidRPr="001B5B13">
              <w:t>2.77E-05</w:t>
            </w:r>
          </w:p>
        </w:tc>
        <w:tc>
          <w:tcPr>
            <w:tcW w:w="1043" w:type="dxa"/>
            <w:tcBorders>
              <w:top w:val="single" w:sz="4" w:space="0" w:color="auto"/>
              <w:left w:val="single" w:sz="4" w:space="0" w:color="auto"/>
            </w:tcBorders>
            <w:noWrap/>
            <w:vAlign w:val="center"/>
            <w:hideMark/>
          </w:tcPr>
          <w:p w14:paraId="4E716159" w14:textId="77777777" w:rsidR="00FF11E5" w:rsidRPr="001B5B13" w:rsidRDefault="00FF11E5" w:rsidP="001B5B13">
            <w:pPr>
              <w:pStyle w:val="SubsectionTitle"/>
              <w:jc w:val="center"/>
            </w:pPr>
            <w:r w:rsidRPr="001B5B13">
              <w:t>4.82E-07</w:t>
            </w:r>
          </w:p>
        </w:tc>
        <w:tc>
          <w:tcPr>
            <w:tcW w:w="1043" w:type="dxa"/>
            <w:tcBorders>
              <w:top w:val="single" w:sz="4" w:space="0" w:color="auto"/>
              <w:right w:val="single" w:sz="4" w:space="0" w:color="auto"/>
            </w:tcBorders>
            <w:noWrap/>
            <w:vAlign w:val="center"/>
            <w:hideMark/>
          </w:tcPr>
          <w:p w14:paraId="6EB076C2" w14:textId="77777777" w:rsidR="00FF11E5" w:rsidRPr="001B5B13" w:rsidRDefault="00FF11E5" w:rsidP="001B5B13">
            <w:pPr>
              <w:pStyle w:val="SubsectionTitle"/>
              <w:jc w:val="center"/>
            </w:pPr>
            <w:r w:rsidRPr="001B5B13">
              <w:t>1.23E-07</w:t>
            </w:r>
          </w:p>
        </w:tc>
        <w:tc>
          <w:tcPr>
            <w:tcW w:w="1043" w:type="dxa"/>
            <w:tcBorders>
              <w:top w:val="single" w:sz="4" w:space="0" w:color="auto"/>
              <w:left w:val="single" w:sz="4" w:space="0" w:color="auto"/>
            </w:tcBorders>
            <w:noWrap/>
            <w:vAlign w:val="center"/>
            <w:hideMark/>
          </w:tcPr>
          <w:p w14:paraId="02C8F21B" w14:textId="77777777" w:rsidR="00FF11E5" w:rsidRPr="001B5B13" w:rsidRDefault="00FF11E5" w:rsidP="001B5B13">
            <w:pPr>
              <w:pStyle w:val="SubsectionTitle"/>
              <w:jc w:val="center"/>
            </w:pPr>
            <w:r w:rsidRPr="001B5B13">
              <w:t>1.95E-06</w:t>
            </w:r>
          </w:p>
        </w:tc>
        <w:tc>
          <w:tcPr>
            <w:tcW w:w="1043" w:type="dxa"/>
            <w:tcBorders>
              <w:top w:val="single" w:sz="4" w:space="0" w:color="auto"/>
              <w:right w:val="single" w:sz="4" w:space="0" w:color="auto"/>
            </w:tcBorders>
            <w:noWrap/>
            <w:vAlign w:val="center"/>
            <w:hideMark/>
          </w:tcPr>
          <w:p w14:paraId="71FCB293" w14:textId="77777777" w:rsidR="00FF11E5" w:rsidRPr="001B5B13" w:rsidRDefault="00FF11E5" w:rsidP="001B5B13">
            <w:pPr>
              <w:pStyle w:val="SubsectionTitle"/>
              <w:jc w:val="center"/>
            </w:pPr>
            <w:r w:rsidRPr="001B5B13">
              <w:t>1.92E-06</w:t>
            </w:r>
          </w:p>
        </w:tc>
        <w:tc>
          <w:tcPr>
            <w:tcW w:w="1984" w:type="dxa"/>
            <w:vMerge w:val="restart"/>
            <w:tcBorders>
              <w:top w:val="single" w:sz="4" w:space="0" w:color="auto"/>
              <w:left w:val="single" w:sz="4" w:space="0" w:color="auto"/>
              <w:right w:val="single" w:sz="4" w:space="0" w:color="auto"/>
            </w:tcBorders>
            <w:vAlign w:val="center"/>
          </w:tcPr>
          <w:p w14:paraId="34F1B398" w14:textId="37FDBE94" w:rsidR="00FF11E5" w:rsidRPr="001B5B13" w:rsidRDefault="00931669" w:rsidP="001B5B13">
            <w:pPr>
              <w:pStyle w:val="SubsectionTitle"/>
              <w:jc w:val="center"/>
              <w:rPr>
                <w:b/>
                <w:bCs/>
              </w:rPr>
            </w:pPr>
            <w:r w:rsidRPr="001B5B13">
              <w:rPr>
                <w:b/>
                <w:bCs/>
              </w:rPr>
              <w:t>Bottom impurity level</w:t>
            </w:r>
          </w:p>
        </w:tc>
      </w:tr>
      <w:tr w:rsidR="007311E2" w:rsidRPr="00DC4B1D" w14:paraId="2707F9E0" w14:textId="06EE928A" w:rsidTr="006E4736">
        <w:trPr>
          <w:trHeight w:val="288"/>
        </w:trPr>
        <w:tc>
          <w:tcPr>
            <w:tcW w:w="993" w:type="dxa"/>
            <w:tcBorders>
              <w:left w:val="single" w:sz="4" w:space="0" w:color="auto"/>
              <w:bottom w:val="single" w:sz="4" w:space="0" w:color="auto"/>
              <w:right w:val="single" w:sz="4" w:space="0" w:color="auto"/>
            </w:tcBorders>
            <w:noWrap/>
            <w:vAlign w:val="center"/>
            <w:hideMark/>
          </w:tcPr>
          <w:p w14:paraId="02C2BDB7" w14:textId="2ADC60DF" w:rsidR="00FF11E5" w:rsidRPr="001B5B13" w:rsidRDefault="00FF11E5" w:rsidP="001B5B13">
            <w:pPr>
              <w:pStyle w:val="SubsectionTitle"/>
              <w:jc w:val="center"/>
            </w:pPr>
            <w:r w:rsidRPr="001B5B13">
              <w:t>PROP</w:t>
            </w:r>
          </w:p>
        </w:tc>
        <w:tc>
          <w:tcPr>
            <w:tcW w:w="1043" w:type="dxa"/>
            <w:tcBorders>
              <w:left w:val="single" w:sz="4" w:space="0" w:color="auto"/>
              <w:bottom w:val="single" w:sz="4" w:space="0" w:color="auto"/>
            </w:tcBorders>
            <w:noWrap/>
            <w:vAlign w:val="center"/>
            <w:hideMark/>
          </w:tcPr>
          <w:p w14:paraId="03F4C357" w14:textId="7382DA98" w:rsidR="00FF11E5" w:rsidRPr="001B5B13" w:rsidRDefault="00FF11E5" w:rsidP="001B5B13">
            <w:pPr>
              <w:pStyle w:val="SubsectionTitle"/>
              <w:jc w:val="center"/>
            </w:pPr>
            <w:r w:rsidRPr="001B5B13">
              <w:t>9.48E-06</w:t>
            </w:r>
          </w:p>
        </w:tc>
        <w:tc>
          <w:tcPr>
            <w:tcW w:w="1046" w:type="dxa"/>
            <w:tcBorders>
              <w:bottom w:val="single" w:sz="4" w:space="0" w:color="auto"/>
              <w:right w:val="single" w:sz="4" w:space="0" w:color="auto"/>
            </w:tcBorders>
            <w:noWrap/>
            <w:vAlign w:val="center"/>
            <w:hideMark/>
          </w:tcPr>
          <w:p w14:paraId="5FF69A60" w14:textId="77777777" w:rsidR="00FF11E5" w:rsidRPr="001B5B13" w:rsidRDefault="00FF11E5" w:rsidP="001B5B13">
            <w:pPr>
              <w:pStyle w:val="SubsectionTitle"/>
              <w:jc w:val="center"/>
            </w:pPr>
            <w:r w:rsidRPr="001B5B13">
              <w:t>1.42E-05</w:t>
            </w:r>
          </w:p>
        </w:tc>
        <w:tc>
          <w:tcPr>
            <w:tcW w:w="1043" w:type="dxa"/>
            <w:tcBorders>
              <w:left w:val="single" w:sz="4" w:space="0" w:color="auto"/>
              <w:bottom w:val="single" w:sz="4" w:space="0" w:color="auto"/>
            </w:tcBorders>
            <w:noWrap/>
            <w:vAlign w:val="center"/>
            <w:hideMark/>
          </w:tcPr>
          <w:p w14:paraId="128D476F" w14:textId="77777777" w:rsidR="00FF11E5" w:rsidRPr="001B5B13" w:rsidRDefault="00FF11E5" w:rsidP="001B5B13">
            <w:pPr>
              <w:pStyle w:val="SubsectionTitle"/>
              <w:jc w:val="center"/>
            </w:pPr>
            <w:r w:rsidRPr="001B5B13">
              <w:t>2.96E-07</w:t>
            </w:r>
          </w:p>
        </w:tc>
        <w:tc>
          <w:tcPr>
            <w:tcW w:w="1043" w:type="dxa"/>
            <w:tcBorders>
              <w:bottom w:val="single" w:sz="4" w:space="0" w:color="auto"/>
              <w:right w:val="single" w:sz="4" w:space="0" w:color="auto"/>
            </w:tcBorders>
            <w:noWrap/>
            <w:vAlign w:val="center"/>
            <w:hideMark/>
          </w:tcPr>
          <w:p w14:paraId="50FA2D76" w14:textId="77777777" w:rsidR="00FF11E5" w:rsidRPr="001B5B13" w:rsidRDefault="00FF11E5" w:rsidP="001B5B13">
            <w:pPr>
              <w:pStyle w:val="SubsectionTitle"/>
              <w:jc w:val="center"/>
            </w:pPr>
            <w:r w:rsidRPr="001B5B13">
              <w:t>3.55E-07</w:t>
            </w:r>
          </w:p>
        </w:tc>
        <w:tc>
          <w:tcPr>
            <w:tcW w:w="1043" w:type="dxa"/>
            <w:tcBorders>
              <w:left w:val="single" w:sz="4" w:space="0" w:color="auto"/>
              <w:bottom w:val="single" w:sz="4" w:space="0" w:color="auto"/>
            </w:tcBorders>
            <w:noWrap/>
            <w:vAlign w:val="center"/>
            <w:hideMark/>
          </w:tcPr>
          <w:p w14:paraId="28AEF44A" w14:textId="77777777" w:rsidR="00FF11E5" w:rsidRPr="001B5B13" w:rsidRDefault="00FF11E5" w:rsidP="001B5B13">
            <w:pPr>
              <w:pStyle w:val="SubsectionTitle"/>
              <w:jc w:val="center"/>
            </w:pPr>
            <w:r w:rsidRPr="001B5B13">
              <w:t>2.07E-06</w:t>
            </w:r>
          </w:p>
        </w:tc>
        <w:tc>
          <w:tcPr>
            <w:tcW w:w="1043" w:type="dxa"/>
            <w:tcBorders>
              <w:bottom w:val="single" w:sz="4" w:space="0" w:color="auto"/>
              <w:right w:val="single" w:sz="4" w:space="0" w:color="auto"/>
            </w:tcBorders>
            <w:noWrap/>
            <w:vAlign w:val="center"/>
            <w:hideMark/>
          </w:tcPr>
          <w:p w14:paraId="5ADE8E5A" w14:textId="77777777" w:rsidR="00FF11E5" w:rsidRPr="001B5B13" w:rsidRDefault="00FF11E5" w:rsidP="001B5B13">
            <w:pPr>
              <w:pStyle w:val="SubsectionTitle"/>
              <w:jc w:val="center"/>
            </w:pPr>
            <w:r w:rsidRPr="001B5B13">
              <w:t>2.02E-06</w:t>
            </w:r>
          </w:p>
        </w:tc>
        <w:tc>
          <w:tcPr>
            <w:tcW w:w="1984" w:type="dxa"/>
            <w:vMerge/>
            <w:tcBorders>
              <w:left w:val="single" w:sz="4" w:space="0" w:color="auto"/>
              <w:bottom w:val="single" w:sz="4" w:space="0" w:color="auto"/>
              <w:right w:val="single" w:sz="4" w:space="0" w:color="auto"/>
            </w:tcBorders>
            <w:vAlign w:val="center"/>
          </w:tcPr>
          <w:p w14:paraId="0978652B" w14:textId="77777777" w:rsidR="00FF11E5" w:rsidRPr="001B5B13" w:rsidRDefault="00FF11E5" w:rsidP="001B5B13">
            <w:pPr>
              <w:pStyle w:val="SubsectionTitle"/>
              <w:jc w:val="center"/>
              <w:rPr>
                <w:b/>
                <w:bCs/>
              </w:rPr>
            </w:pPr>
          </w:p>
        </w:tc>
      </w:tr>
      <w:tr w:rsidR="007311E2" w:rsidRPr="00DC4B1D" w14:paraId="139DA48A" w14:textId="54F87F39" w:rsidTr="006E4736">
        <w:trPr>
          <w:trHeight w:val="288"/>
        </w:trPr>
        <w:tc>
          <w:tcPr>
            <w:tcW w:w="993" w:type="dxa"/>
            <w:tcBorders>
              <w:top w:val="single" w:sz="4" w:space="0" w:color="auto"/>
              <w:left w:val="single" w:sz="4" w:space="0" w:color="auto"/>
              <w:right w:val="single" w:sz="4" w:space="0" w:color="auto"/>
            </w:tcBorders>
            <w:noWrap/>
            <w:vAlign w:val="center"/>
            <w:hideMark/>
          </w:tcPr>
          <w:p w14:paraId="6BD565CB" w14:textId="4F5DFA82" w:rsidR="00FF11E5" w:rsidRPr="001B5B13" w:rsidRDefault="00FF11E5" w:rsidP="001B5B13">
            <w:pPr>
              <w:pStyle w:val="SubsectionTitle"/>
              <w:jc w:val="center"/>
            </w:pPr>
            <w:r w:rsidRPr="001B5B13">
              <w:t>CONV</w:t>
            </w:r>
          </w:p>
        </w:tc>
        <w:tc>
          <w:tcPr>
            <w:tcW w:w="1043" w:type="dxa"/>
            <w:tcBorders>
              <w:top w:val="single" w:sz="4" w:space="0" w:color="auto"/>
              <w:left w:val="single" w:sz="4" w:space="0" w:color="auto"/>
            </w:tcBorders>
            <w:noWrap/>
            <w:vAlign w:val="center"/>
            <w:hideMark/>
          </w:tcPr>
          <w:p w14:paraId="74AF1441" w14:textId="41B74BA6" w:rsidR="00FF11E5" w:rsidRPr="001B5B13" w:rsidRDefault="00FF11E5" w:rsidP="001B5B13">
            <w:pPr>
              <w:pStyle w:val="SubsectionTitle"/>
              <w:jc w:val="center"/>
            </w:pPr>
            <w:r w:rsidRPr="001B5B13">
              <w:t>2.95E-03</w:t>
            </w:r>
          </w:p>
        </w:tc>
        <w:tc>
          <w:tcPr>
            <w:tcW w:w="1046" w:type="dxa"/>
            <w:tcBorders>
              <w:top w:val="single" w:sz="4" w:space="0" w:color="auto"/>
              <w:right w:val="single" w:sz="4" w:space="0" w:color="auto"/>
            </w:tcBorders>
            <w:noWrap/>
            <w:vAlign w:val="center"/>
            <w:hideMark/>
          </w:tcPr>
          <w:p w14:paraId="7BA8F706" w14:textId="77777777" w:rsidR="00FF11E5" w:rsidRPr="001B5B13" w:rsidRDefault="00FF11E5" w:rsidP="001B5B13">
            <w:pPr>
              <w:pStyle w:val="SubsectionTitle"/>
              <w:jc w:val="center"/>
            </w:pPr>
            <w:r w:rsidRPr="001B5B13">
              <w:t>4.09E-04</w:t>
            </w:r>
          </w:p>
        </w:tc>
        <w:tc>
          <w:tcPr>
            <w:tcW w:w="1043" w:type="dxa"/>
            <w:tcBorders>
              <w:top w:val="single" w:sz="4" w:space="0" w:color="auto"/>
              <w:left w:val="single" w:sz="4" w:space="0" w:color="auto"/>
            </w:tcBorders>
            <w:noWrap/>
            <w:vAlign w:val="center"/>
            <w:hideMark/>
          </w:tcPr>
          <w:p w14:paraId="1C19934C" w14:textId="77777777" w:rsidR="00FF11E5" w:rsidRPr="001B5B13" w:rsidRDefault="00FF11E5" w:rsidP="001B5B13">
            <w:pPr>
              <w:pStyle w:val="SubsectionTitle"/>
              <w:jc w:val="center"/>
            </w:pPr>
            <w:r w:rsidRPr="001B5B13">
              <w:t>2.47E-05</w:t>
            </w:r>
          </w:p>
        </w:tc>
        <w:tc>
          <w:tcPr>
            <w:tcW w:w="1043" w:type="dxa"/>
            <w:tcBorders>
              <w:top w:val="single" w:sz="4" w:space="0" w:color="auto"/>
              <w:right w:val="single" w:sz="4" w:space="0" w:color="auto"/>
            </w:tcBorders>
            <w:noWrap/>
            <w:vAlign w:val="center"/>
            <w:hideMark/>
          </w:tcPr>
          <w:p w14:paraId="1C3496AA" w14:textId="77777777" w:rsidR="00FF11E5" w:rsidRPr="001B5B13" w:rsidRDefault="00FF11E5" w:rsidP="001B5B13">
            <w:pPr>
              <w:pStyle w:val="SubsectionTitle"/>
              <w:jc w:val="center"/>
            </w:pPr>
            <w:r w:rsidRPr="001B5B13">
              <w:t>1.92E-06</w:t>
            </w:r>
          </w:p>
        </w:tc>
        <w:tc>
          <w:tcPr>
            <w:tcW w:w="1043" w:type="dxa"/>
            <w:tcBorders>
              <w:top w:val="single" w:sz="4" w:space="0" w:color="auto"/>
              <w:left w:val="single" w:sz="4" w:space="0" w:color="auto"/>
            </w:tcBorders>
            <w:noWrap/>
            <w:vAlign w:val="center"/>
            <w:hideMark/>
          </w:tcPr>
          <w:p w14:paraId="2884B93F" w14:textId="77777777" w:rsidR="00FF11E5" w:rsidRPr="001B5B13" w:rsidRDefault="00FF11E5" w:rsidP="001B5B13">
            <w:pPr>
              <w:pStyle w:val="SubsectionTitle"/>
              <w:jc w:val="center"/>
            </w:pPr>
            <w:r w:rsidRPr="001B5B13">
              <w:t>3.61E-06</w:t>
            </w:r>
          </w:p>
        </w:tc>
        <w:tc>
          <w:tcPr>
            <w:tcW w:w="1043" w:type="dxa"/>
            <w:tcBorders>
              <w:top w:val="single" w:sz="4" w:space="0" w:color="auto"/>
              <w:right w:val="single" w:sz="4" w:space="0" w:color="auto"/>
            </w:tcBorders>
            <w:noWrap/>
            <w:vAlign w:val="center"/>
            <w:hideMark/>
          </w:tcPr>
          <w:p w14:paraId="06C3764A" w14:textId="77777777" w:rsidR="00FF11E5" w:rsidRPr="001B5B13" w:rsidRDefault="00FF11E5" w:rsidP="001B5B13">
            <w:pPr>
              <w:pStyle w:val="SubsectionTitle"/>
              <w:jc w:val="center"/>
            </w:pPr>
            <w:r w:rsidRPr="001B5B13">
              <w:t>3.52E-06</w:t>
            </w:r>
          </w:p>
        </w:tc>
        <w:tc>
          <w:tcPr>
            <w:tcW w:w="1984" w:type="dxa"/>
            <w:vMerge w:val="restart"/>
            <w:tcBorders>
              <w:top w:val="single" w:sz="4" w:space="0" w:color="auto"/>
              <w:left w:val="single" w:sz="4" w:space="0" w:color="auto"/>
              <w:right w:val="single" w:sz="4" w:space="0" w:color="auto"/>
            </w:tcBorders>
            <w:vAlign w:val="center"/>
          </w:tcPr>
          <w:p w14:paraId="5C359329" w14:textId="375F255F" w:rsidR="00FF11E5" w:rsidRPr="001B5B13" w:rsidRDefault="00931669" w:rsidP="001B5B13">
            <w:pPr>
              <w:pStyle w:val="SubsectionTitle"/>
              <w:jc w:val="center"/>
              <w:rPr>
                <w:b/>
                <w:bCs/>
              </w:rPr>
            </w:pPr>
            <w:r w:rsidRPr="001B5B13">
              <w:rPr>
                <w:b/>
                <w:bCs/>
              </w:rPr>
              <w:t>Top impurity level</w:t>
            </w:r>
          </w:p>
        </w:tc>
      </w:tr>
      <w:tr w:rsidR="007311E2" w:rsidRPr="00DC4B1D" w14:paraId="1BB97EAC" w14:textId="3CB6D0C4" w:rsidTr="006E4736">
        <w:trPr>
          <w:trHeight w:val="288"/>
        </w:trPr>
        <w:tc>
          <w:tcPr>
            <w:tcW w:w="993" w:type="dxa"/>
            <w:tcBorders>
              <w:left w:val="single" w:sz="4" w:space="0" w:color="auto"/>
              <w:bottom w:val="single" w:sz="4" w:space="0" w:color="auto"/>
              <w:right w:val="single" w:sz="4" w:space="0" w:color="auto"/>
            </w:tcBorders>
            <w:noWrap/>
            <w:vAlign w:val="center"/>
            <w:hideMark/>
          </w:tcPr>
          <w:p w14:paraId="21BE09B1" w14:textId="7E1A6290" w:rsidR="00FF11E5" w:rsidRPr="001B5B13" w:rsidRDefault="00FF11E5" w:rsidP="001B5B13">
            <w:pPr>
              <w:pStyle w:val="SubsectionTitle"/>
              <w:jc w:val="center"/>
            </w:pPr>
            <w:r w:rsidRPr="001B5B13">
              <w:t>PROP</w:t>
            </w:r>
          </w:p>
        </w:tc>
        <w:tc>
          <w:tcPr>
            <w:tcW w:w="1043" w:type="dxa"/>
            <w:tcBorders>
              <w:left w:val="single" w:sz="4" w:space="0" w:color="auto"/>
              <w:bottom w:val="single" w:sz="4" w:space="0" w:color="auto"/>
            </w:tcBorders>
            <w:noWrap/>
            <w:vAlign w:val="center"/>
            <w:hideMark/>
          </w:tcPr>
          <w:p w14:paraId="128690B0" w14:textId="66A2236C" w:rsidR="00FF11E5" w:rsidRPr="00DC4B1D" w:rsidRDefault="00FF11E5" w:rsidP="001B5B13">
            <w:pPr>
              <w:pStyle w:val="SubsectionTitle"/>
              <w:jc w:val="center"/>
            </w:pPr>
            <w:r w:rsidRPr="00DC4B1D">
              <w:t>2.81E-04</w:t>
            </w:r>
          </w:p>
        </w:tc>
        <w:tc>
          <w:tcPr>
            <w:tcW w:w="1046" w:type="dxa"/>
            <w:tcBorders>
              <w:bottom w:val="single" w:sz="4" w:space="0" w:color="auto"/>
              <w:right w:val="single" w:sz="4" w:space="0" w:color="auto"/>
            </w:tcBorders>
            <w:noWrap/>
            <w:vAlign w:val="center"/>
            <w:hideMark/>
          </w:tcPr>
          <w:p w14:paraId="4F696B0E" w14:textId="77777777" w:rsidR="00FF11E5" w:rsidRPr="00DC4B1D" w:rsidRDefault="00FF11E5" w:rsidP="001B5B13">
            <w:pPr>
              <w:pStyle w:val="SubsectionTitle"/>
              <w:jc w:val="center"/>
            </w:pPr>
            <w:r w:rsidRPr="00DC4B1D">
              <w:t>4.07E-04</w:t>
            </w:r>
          </w:p>
        </w:tc>
        <w:tc>
          <w:tcPr>
            <w:tcW w:w="1043" w:type="dxa"/>
            <w:tcBorders>
              <w:left w:val="single" w:sz="4" w:space="0" w:color="auto"/>
              <w:bottom w:val="single" w:sz="4" w:space="0" w:color="auto"/>
            </w:tcBorders>
            <w:noWrap/>
            <w:vAlign w:val="center"/>
            <w:hideMark/>
          </w:tcPr>
          <w:p w14:paraId="1A3CDDFE" w14:textId="77777777" w:rsidR="00FF11E5" w:rsidRPr="00DC4B1D" w:rsidRDefault="00FF11E5" w:rsidP="001B5B13">
            <w:pPr>
              <w:pStyle w:val="SubsectionTitle"/>
              <w:jc w:val="center"/>
            </w:pPr>
            <w:r w:rsidRPr="00DC4B1D">
              <w:t>8.41E-06</w:t>
            </w:r>
          </w:p>
        </w:tc>
        <w:tc>
          <w:tcPr>
            <w:tcW w:w="1043" w:type="dxa"/>
            <w:tcBorders>
              <w:bottom w:val="single" w:sz="4" w:space="0" w:color="auto"/>
              <w:right w:val="single" w:sz="4" w:space="0" w:color="auto"/>
            </w:tcBorders>
            <w:noWrap/>
            <w:vAlign w:val="center"/>
            <w:hideMark/>
          </w:tcPr>
          <w:p w14:paraId="2C1D0DF3" w14:textId="77777777" w:rsidR="00FF11E5" w:rsidRPr="00DC4B1D" w:rsidRDefault="00FF11E5" w:rsidP="001B5B13">
            <w:pPr>
              <w:pStyle w:val="SubsectionTitle"/>
              <w:jc w:val="center"/>
            </w:pPr>
            <w:r w:rsidRPr="00DC4B1D">
              <w:t>9.16E-06</w:t>
            </w:r>
          </w:p>
        </w:tc>
        <w:tc>
          <w:tcPr>
            <w:tcW w:w="1043" w:type="dxa"/>
            <w:tcBorders>
              <w:left w:val="single" w:sz="4" w:space="0" w:color="auto"/>
              <w:bottom w:val="single" w:sz="4" w:space="0" w:color="auto"/>
            </w:tcBorders>
            <w:noWrap/>
            <w:vAlign w:val="center"/>
            <w:hideMark/>
          </w:tcPr>
          <w:p w14:paraId="71ACF15A" w14:textId="77777777" w:rsidR="00FF11E5" w:rsidRPr="00DC4B1D" w:rsidRDefault="00FF11E5" w:rsidP="001B5B13">
            <w:pPr>
              <w:pStyle w:val="SubsectionTitle"/>
              <w:jc w:val="center"/>
            </w:pPr>
            <w:r w:rsidRPr="00DC4B1D">
              <w:t>5.10E-06</w:t>
            </w:r>
          </w:p>
        </w:tc>
        <w:tc>
          <w:tcPr>
            <w:tcW w:w="1043" w:type="dxa"/>
            <w:tcBorders>
              <w:bottom w:val="single" w:sz="4" w:space="0" w:color="auto"/>
              <w:right w:val="single" w:sz="4" w:space="0" w:color="auto"/>
            </w:tcBorders>
            <w:noWrap/>
            <w:vAlign w:val="center"/>
            <w:hideMark/>
          </w:tcPr>
          <w:p w14:paraId="12B3EDE1" w14:textId="77777777" w:rsidR="00FF11E5" w:rsidRPr="00DC4B1D" w:rsidRDefault="00FF11E5" w:rsidP="001B5B13">
            <w:pPr>
              <w:pStyle w:val="SubsectionTitle"/>
              <w:jc w:val="center"/>
            </w:pPr>
            <w:r w:rsidRPr="00DC4B1D">
              <w:t>4.93E-06</w:t>
            </w:r>
          </w:p>
        </w:tc>
        <w:tc>
          <w:tcPr>
            <w:tcW w:w="1984" w:type="dxa"/>
            <w:vMerge/>
            <w:tcBorders>
              <w:left w:val="single" w:sz="4" w:space="0" w:color="auto"/>
              <w:bottom w:val="single" w:sz="4" w:space="0" w:color="auto"/>
              <w:right w:val="single" w:sz="4" w:space="0" w:color="auto"/>
            </w:tcBorders>
            <w:vAlign w:val="center"/>
          </w:tcPr>
          <w:p w14:paraId="4C73B230" w14:textId="77777777" w:rsidR="00FF11E5" w:rsidRPr="00DC4B1D" w:rsidRDefault="00FF11E5" w:rsidP="001B5B13">
            <w:pPr>
              <w:pStyle w:val="SubsectionTitle"/>
            </w:pPr>
          </w:p>
        </w:tc>
      </w:tr>
    </w:tbl>
    <w:p w14:paraId="7B232A29" w14:textId="77777777" w:rsidR="00DC4B1D" w:rsidRDefault="00DC4B1D" w:rsidP="001B5B13">
      <w:pPr>
        <w:pStyle w:val="SubsectionTitle"/>
      </w:pPr>
    </w:p>
    <w:p w14:paraId="0B5A1F3B" w14:textId="0B559D23" w:rsidR="004E4EA2" w:rsidRPr="004E4EA2" w:rsidRDefault="00A819CD" w:rsidP="008A39B8">
      <w:pPr>
        <w:pStyle w:val="SubsectionTitle"/>
        <w:rPr>
          <w:sz w:val="22"/>
          <w:szCs w:val="22"/>
        </w:rPr>
      </w:pPr>
      <w:r w:rsidRPr="00A819CD">
        <w:rPr>
          <w:sz w:val="22"/>
          <w:szCs w:val="22"/>
        </w:rPr>
        <w:t xml:space="preserve">As shown by the ISE values, the implementation of the cascade arrangement with PCT control in the CRR process scheme improves the performance of the temperature controls for deethanizer, depropanizer and debutanizer under both flow rate variations considered. </w:t>
      </w:r>
      <w:r w:rsidR="00D13B66" w:rsidRPr="00D13B66">
        <w:rPr>
          <w:sz w:val="22"/>
          <w:szCs w:val="22"/>
        </w:rPr>
        <w:t>Regarding the target</w:t>
      </w:r>
      <w:r w:rsidR="009E53C5">
        <w:rPr>
          <w:sz w:val="22"/>
          <w:szCs w:val="22"/>
        </w:rPr>
        <w:t xml:space="preserve"> concentrations</w:t>
      </w:r>
      <w:r w:rsidR="00D13B66" w:rsidRPr="00D13B66">
        <w:rPr>
          <w:sz w:val="22"/>
          <w:szCs w:val="22"/>
        </w:rPr>
        <w:t xml:space="preserve">, the </w:t>
      </w:r>
      <w:r w:rsidR="00192850">
        <w:rPr>
          <w:sz w:val="22"/>
          <w:szCs w:val="22"/>
        </w:rPr>
        <w:t>higher</w:t>
      </w:r>
      <w:r w:rsidR="00D13B66" w:rsidRPr="00D13B66">
        <w:rPr>
          <w:sz w:val="22"/>
          <w:szCs w:val="22"/>
        </w:rPr>
        <w:t xml:space="preserve"> improvement is recorded for the deethanizer column</w:t>
      </w:r>
      <w:r w:rsidR="00192850">
        <w:rPr>
          <w:sz w:val="22"/>
          <w:szCs w:val="22"/>
        </w:rPr>
        <w:t>. W</w:t>
      </w:r>
      <w:r w:rsidR="00D13B66" w:rsidRPr="00D13B66">
        <w:rPr>
          <w:sz w:val="22"/>
          <w:szCs w:val="22"/>
        </w:rPr>
        <w:t xml:space="preserve">ith the proposed control </w:t>
      </w:r>
      <w:r w:rsidR="00A807DE">
        <w:rPr>
          <w:sz w:val="22"/>
          <w:szCs w:val="22"/>
        </w:rPr>
        <w:t>scheme,</w:t>
      </w:r>
      <w:r w:rsidR="00D13B66" w:rsidRPr="00D13B66">
        <w:rPr>
          <w:sz w:val="22"/>
          <w:szCs w:val="22"/>
        </w:rPr>
        <w:t xml:space="preserve"> the ISE values of both top and bottom products are </w:t>
      </w:r>
      <w:r w:rsidR="00FA13AD" w:rsidRPr="00D13B66">
        <w:rPr>
          <w:sz w:val="22"/>
          <w:szCs w:val="22"/>
        </w:rPr>
        <w:t>reduced,</w:t>
      </w:r>
      <w:r w:rsidR="00D13B66" w:rsidRPr="00D13B66">
        <w:rPr>
          <w:sz w:val="22"/>
          <w:szCs w:val="22"/>
        </w:rPr>
        <w:t xml:space="preserve"> </w:t>
      </w:r>
      <w:r w:rsidR="002E5497">
        <w:rPr>
          <w:sz w:val="22"/>
          <w:szCs w:val="22"/>
        </w:rPr>
        <w:t xml:space="preserve">and </w:t>
      </w:r>
      <w:r w:rsidR="00D13B66" w:rsidRPr="00D13B66">
        <w:rPr>
          <w:sz w:val="22"/>
          <w:szCs w:val="22"/>
        </w:rPr>
        <w:t xml:space="preserve">the responses </w:t>
      </w:r>
      <w:r w:rsidR="00FA13AD">
        <w:rPr>
          <w:sz w:val="22"/>
          <w:szCs w:val="22"/>
        </w:rPr>
        <w:t xml:space="preserve">result </w:t>
      </w:r>
      <w:r w:rsidR="00D13B66" w:rsidRPr="00D13B66">
        <w:rPr>
          <w:sz w:val="22"/>
          <w:szCs w:val="22"/>
        </w:rPr>
        <w:t>lineari</w:t>
      </w:r>
      <w:r w:rsidR="00FA13AD">
        <w:rPr>
          <w:sz w:val="22"/>
          <w:szCs w:val="22"/>
        </w:rPr>
        <w:t>z</w:t>
      </w:r>
      <w:r w:rsidR="00D13B66" w:rsidRPr="00D13B66">
        <w:rPr>
          <w:sz w:val="22"/>
          <w:szCs w:val="22"/>
        </w:rPr>
        <w:t>ed, with symmetrical dynamic profiles obtained for changes in the applied flow rate. In addition, lower variations in the load of the manipulated variable represented by the reboiler duty are obtained.</w:t>
      </w:r>
      <w:r w:rsidR="00880591" w:rsidRPr="00880591">
        <w:rPr>
          <w:sz w:val="22"/>
          <w:szCs w:val="22"/>
        </w:rPr>
        <w:t xml:space="preserve"> In the depropanizer top and bottom impurity level, the proposed control scheme succeeds to mitigate the disturbances in the worst-case variation represented by the decreasing in the feed flowrate, </w:t>
      </w:r>
      <w:proofErr w:type="gramStart"/>
      <w:r w:rsidR="00724690">
        <w:rPr>
          <w:sz w:val="22"/>
          <w:szCs w:val="22"/>
        </w:rPr>
        <w:t xml:space="preserve">and </w:t>
      </w:r>
      <w:r w:rsidR="00880591" w:rsidRPr="00880591">
        <w:rPr>
          <w:sz w:val="22"/>
          <w:szCs w:val="22"/>
        </w:rPr>
        <w:t>also</w:t>
      </w:r>
      <w:proofErr w:type="gramEnd"/>
      <w:r w:rsidR="00880591" w:rsidRPr="00880591">
        <w:rPr>
          <w:sz w:val="22"/>
          <w:szCs w:val="22"/>
        </w:rPr>
        <w:t xml:space="preserve"> in this case </w:t>
      </w:r>
      <w:r w:rsidR="00667E62">
        <w:rPr>
          <w:sz w:val="22"/>
          <w:szCs w:val="22"/>
        </w:rPr>
        <w:t xml:space="preserve">the obtained </w:t>
      </w:r>
      <w:r w:rsidR="00880591" w:rsidRPr="00880591">
        <w:rPr>
          <w:sz w:val="22"/>
          <w:szCs w:val="22"/>
        </w:rPr>
        <w:t xml:space="preserve">response </w:t>
      </w:r>
      <w:r w:rsidR="00667E62">
        <w:rPr>
          <w:sz w:val="22"/>
          <w:szCs w:val="22"/>
        </w:rPr>
        <w:t>shows linear behavior</w:t>
      </w:r>
      <w:r w:rsidR="00206648">
        <w:rPr>
          <w:sz w:val="22"/>
          <w:szCs w:val="22"/>
        </w:rPr>
        <w:t>.</w:t>
      </w:r>
    </w:p>
    <w:p w14:paraId="0DE817AB" w14:textId="77777777" w:rsidR="00DA51A3" w:rsidRDefault="00DA51A3" w:rsidP="00DA51A3">
      <w:pPr>
        <w:snapToGrid w:val="0"/>
        <w:spacing w:before="240" w:line="300" w:lineRule="auto"/>
        <w:rPr>
          <w:rFonts w:ascii="Times New Roman" w:eastAsia="MS PGothic" w:hAnsi="Times New Roman"/>
          <w:b/>
          <w:bCs/>
          <w:lang w:val="en-US" w:eastAsia="ko-KR"/>
        </w:rPr>
      </w:pPr>
      <w:r w:rsidRPr="00466FFD">
        <w:rPr>
          <w:rFonts w:ascii="Times New Roman" w:eastAsia="MS PGothic" w:hAnsi="Times New Roman"/>
          <w:b/>
          <w:bCs/>
          <w:lang w:val="en-US"/>
        </w:rPr>
        <w:t>4. Conclusion</w:t>
      </w:r>
      <w:r w:rsidRPr="00466FFD">
        <w:rPr>
          <w:rFonts w:ascii="Times New Roman" w:eastAsia="MS PGothic" w:hAnsi="Times New Roman"/>
          <w:b/>
          <w:bCs/>
          <w:lang w:val="en-US" w:eastAsia="ko-KR"/>
        </w:rPr>
        <w:t>s</w:t>
      </w:r>
    </w:p>
    <w:p w14:paraId="056B40F8" w14:textId="5F2642D8" w:rsidR="005225CD" w:rsidRPr="005225CD" w:rsidRDefault="00F63B7F" w:rsidP="005225CD">
      <w:pPr>
        <w:snapToGrid w:val="0"/>
        <w:spacing w:before="240" w:line="240" w:lineRule="auto"/>
        <w:jc w:val="both"/>
        <w:rPr>
          <w:rFonts w:ascii="Times New Roman" w:eastAsia="MS PGothic" w:hAnsi="Times New Roman" w:cs="Times New Roman"/>
          <w:iCs/>
          <w:color w:val="000000" w:themeColor="text1"/>
          <w:lang w:val="en-US"/>
        </w:rPr>
      </w:pPr>
      <w:r>
        <w:rPr>
          <w:rFonts w:ascii="Times New Roman" w:eastAsia="MS PGothic" w:hAnsi="Times New Roman" w:cs="Times New Roman"/>
          <w:iCs/>
          <w:color w:val="000000" w:themeColor="text1"/>
          <w:lang w:val="en-US"/>
        </w:rPr>
        <w:t xml:space="preserve">The use of indirect composition control showed to be a successful strategy for guaranteeing specifics in </w:t>
      </w:r>
      <w:r w:rsidR="00EA2648">
        <w:rPr>
          <w:rFonts w:ascii="Times New Roman" w:eastAsia="MS PGothic" w:hAnsi="Times New Roman" w:cs="Times New Roman"/>
          <w:iCs/>
          <w:color w:val="000000" w:themeColor="text1"/>
          <w:lang w:val="en-US"/>
        </w:rPr>
        <w:t>the whole train of</w:t>
      </w:r>
      <w:r>
        <w:rPr>
          <w:rFonts w:ascii="Times New Roman" w:eastAsia="MS PGothic" w:hAnsi="Times New Roman" w:cs="Times New Roman"/>
          <w:iCs/>
          <w:color w:val="000000" w:themeColor="text1"/>
          <w:lang w:val="en-US"/>
        </w:rPr>
        <w:t xml:space="preserve"> NGL recovery plants, when </w:t>
      </w:r>
      <w:r w:rsidR="00EA2648">
        <w:rPr>
          <w:rFonts w:ascii="Times New Roman" w:eastAsia="MS PGothic" w:hAnsi="Times New Roman" w:cs="Times New Roman"/>
          <w:iCs/>
          <w:color w:val="000000" w:themeColor="text1"/>
          <w:lang w:val="en-US"/>
        </w:rPr>
        <w:t>PCT</w:t>
      </w:r>
      <w:r>
        <w:rPr>
          <w:rFonts w:ascii="Times New Roman" w:eastAsia="MS PGothic" w:hAnsi="Times New Roman" w:cs="Times New Roman"/>
          <w:iCs/>
          <w:color w:val="000000" w:themeColor="text1"/>
          <w:lang w:val="en-US"/>
        </w:rPr>
        <w:t xml:space="preserve"> control in the separator upstream the demethanizer and </w:t>
      </w:r>
      <w:r w:rsidR="005808EC">
        <w:rPr>
          <w:rFonts w:ascii="Times New Roman" w:eastAsia="MS PGothic" w:hAnsi="Times New Roman" w:cs="Times New Roman"/>
          <w:iCs/>
          <w:color w:val="000000" w:themeColor="text1"/>
          <w:lang w:val="en-US"/>
        </w:rPr>
        <w:t>boil-up ratio control are used</w:t>
      </w:r>
      <w:r w:rsidR="00EA2648">
        <w:rPr>
          <w:rFonts w:ascii="Times New Roman" w:eastAsia="MS PGothic" w:hAnsi="Times New Roman" w:cs="Times New Roman"/>
          <w:iCs/>
          <w:color w:val="000000" w:themeColor="text1"/>
          <w:lang w:val="en-US"/>
        </w:rPr>
        <w:t xml:space="preserve"> in the CRR separation scheme</w:t>
      </w:r>
      <w:r w:rsidR="005808EC">
        <w:rPr>
          <w:rFonts w:ascii="Times New Roman" w:eastAsia="MS PGothic" w:hAnsi="Times New Roman" w:cs="Times New Roman"/>
          <w:iCs/>
          <w:color w:val="000000" w:themeColor="text1"/>
          <w:lang w:val="en-US"/>
        </w:rPr>
        <w:t xml:space="preserve">. </w:t>
      </w:r>
      <w:r w:rsidR="00EA2648">
        <w:rPr>
          <w:rFonts w:ascii="Times New Roman" w:eastAsia="MS PGothic" w:hAnsi="Times New Roman" w:cs="Times New Roman"/>
          <w:iCs/>
          <w:color w:val="000000" w:themeColor="text1"/>
          <w:lang w:val="en-US"/>
        </w:rPr>
        <w:t>When compared to a conventional control strategy, the proposed approach</w:t>
      </w:r>
      <w:r w:rsidR="00EA2648" w:rsidRPr="002031D5">
        <w:rPr>
          <w:rFonts w:ascii="Times New Roman" w:eastAsia="MS PGothic" w:hAnsi="Times New Roman" w:cs="Times New Roman"/>
          <w:iCs/>
          <w:color w:val="000000" w:themeColor="text1"/>
          <w:lang w:val="en-US"/>
        </w:rPr>
        <w:t xml:space="preserve"> </w:t>
      </w:r>
      <w:r w:rsidR="00EA2648">
        <w:rPr>
          <w:rFonts w:ascii="Times New Roman" w:eastAsia="MS PGothic" w:hAnsi="Times New Roman" w:cs="Times New Roman"/>
          <w:iCs/>
          <w:color w:val="000000" w:themeColor="text1"/>
          <w:lang w:val="en-US"/>
        </w:rPr>
        <w:t>led</w:t>
      </w:r>
      <w:r w:rsidR="00EA2648" w:rsidRPr="002031D5">
        <w:rPr>
          <w:rFonts w:ascii="Times New Roman" w:eastAsia="MS PGothic" w:hAnsi="Times New Roman" w:cs="Times New Roman"/>
          <w:iCs/>
          <w:color w:val="000000" w:themeColor="text1"/>
          <w:lang w:val="en-US"/>
        </w:rPr>
        <w:t xml:space="preserve"> the best control performance, especially under the worst-case variation</w:t>
      </w:r>
      <w:r w:rsidR="00EA2648" w:rsidRPr="005225CD">
        <w:rPr>
          <w:rFonts w:ascii="Times New Roman" w:eastAsia="MS PGothic" w:hAnsi="Times New Roman" w:cs="Times New Roman"/>
          <w:iCs/>
          <w:color w:val="000000" w:themeColor="text1"/>
          <w:lang w:val="en-US"/>
        </w:rPr>
        <w:t>.</w:t>
      </w:r>
    </w:p>
    <w:p w14:paraId="1845F659" w14:textId="77777777" w:rsidR="00DA51A3" w:rsidRPr="00466FFD" w:rsidRDefault="00DA51A3" w:rsidP="00DA51A3">
      <w:pPr>
        <w:snapToGrid w:val="0"/>
        <w:spacing w:before="240" w:line="300" w:lineRule="auto"/>
        <w:rPr>
          <w:rFonts w:ascii="Times New Roman" w:eastAsia="SimSun" w:hAnsi="Times New Roman"/>
          <w:b/>
          <w:bCs/>
          <w:lang w:val="en-US" w:eastAsia="zh-CN"/>
        </w:rPr>
      </w:pPr>
      <w:r w:rsidRPr="00466FFD">
        <w:rPr>
          <w:rFonts w:ascii="Times New Roman" w:eastAsia="MS PGothic" w:hAnsi="Times New Roman"/>
          <w:b/>
          <w:bCs/>
          <w:lang w:val="en-US"/>
        </w:rPr>
        <w:t xml:space="preserve">References </w:t>
      </w:r>
    </w:p>
    <w:p w14:paraId="240D041A" w14:textId="33773E5C" w:rsidR="005808EC" w:rsidRPr="005808EC" w:rsidRDefault="005808EC" w:rsidP="005808EC">
      <w:pPr>
        <w:pStyle w:val="FirstParagraph"/>
        <w:widowControl w:val="0"/>
        <w:numPr>
          <w:ilvl w:val="0"/>
          <w:numId w:val="1"/>
        </w:numPr>
        <w:tabs>
          <w:tab w:val="left" w:pos="426"/>
        </w:tabs>
        <w:autoSpaceDE w:val="0"/>
        <w:autoSpaceDN w:val="0"/>
        <w:adjustRightInd w:val="0"/>
        <w:spacing w:line="240" w:lineRule="auto"/>
        <w:ind w:left="640" w:hanging="640"/>
        <w:rPr>
          <w:rFonts w:ascii="Times New Roman" w:eastAsia="SimSun" w:hAnsi="Times New Roman"/>
          <w:sz w:val="22"/>
          <w:szCs w:val="22"/>
          <w:lang w:val="it-IT" w:eastAsia="zh-CN"/>
        </w:rPr>
      </w:pPr>
      <w:r w:rsidRPr="00FD5E11">
        <w:rPr>
          <w:rFonts w:ascii="Times New Roman" w:hAnsi="Times New Roman"/>
          <w:lang w:val="it-IT"/>
        </w:rPr>
        <w:t xml:space="preserve">M. </w:t>
      </w:r>
      <w:proofErr w:type="spellStart"/>
      <w:r w:rsidRPr="00FD5E11">
        <w:rPr>
          <w:rFonts w:ascii="Times New Roman" w:hAnsi="Times New Roman"/>
          <w:lang w:val="it-IT"/>
        </w:rPr>
        <w:t>Caporin</w:t>
      </w:r>
      <w:proofErr w:type="spellEnd"/>
      <w:r w:rsidRPr="00FD5E11">
        <w:rPr>
          <w:rFonts w:ascii="Times New Roman" w:hAnsi="Times New Roman"/>
          <w:lang w:val="it-IT"/>
        </w:rPr>
        <w:t xml:space="preserve">, F. </w:t>
      </w:r>
      <w:proofErr w:type="spellStart"/>
      <w:r w:rsidRPr="00FD5E11">
        <w:rPr>
          <w:rFonts w:ascii="Times New Roman" w:hAnsi="Times New Roman"/>
          <w:lang w:val="it-IT"/>
        </w:rPr>
        <w:t>Fontini</w:t>
      </w:r>
      <w:proofErr w:type="spellEnd"/>
      <w:r w:rsidRPr="00FD5E11">
        <w:rPr>
          <w:rFonts w:ascii="Times New Roman" w:hAnsi="Times New Roman"/>
          <w:lang w:val="it-IT"/>
        </w:rPr>
        <w:t xml:space="preserve">, Energy </w:t>
      </w:r>
      <w:proofErr w:type="spellStart"/>
      <w:r w:rsidRPr="00FD5E11">
        <w:rPr>
          <w:rFonts w:ascii="Times New Roman" w:hAnsi="Times New Roman"/>
          <w:lang w:val="it-IT"/>
        </w:rPr>
        <w:t>Econ</w:t>
      </w:r>
      <w:proofErr w:type="spellEnd"/>
      <w:r w:rsidRPr="00FD5E11">
        <w:rPr>
          <w:rFonts w:ascii="Times New Roman" w:hAnsi="Times New Roman"/>
          <w:lang w:val="it-IT"/>
        </w:rPr>
        <w:t>. 64, (2017) 511–519.</w:t>
      </w:r>
    </w:p>
    <w:p w14:paraId="00A0212C" w14:textId="7E4EF62A" w:rsidR="005808EC" w:rsidRPr="005808EC" w:rsidRDefault="005808EC" w:rsidP="005808EC">
      <w:pPr>
        <w:pStyle w:val="FirstParagraph"/>
        <w:widowControl w:val="0"/>
        <w:numPr>
          <w:ilvl w:val="0"/>
          <w:numId w:val="1"/>
        </w:numPr>
        <w:tabs>
          <w:tab w:val="left" w:pos="426"/>
        </w:tabs>
        <w:autoSpaceDE w:val="0"/>
        <w:autoSpaceDN w:val="0"/>
        <w:adjustRightInd w:val="0"/>
        <w:spacing w:line="240" w:lineRule="auto"/>
        <w:ind w:left="640" w:hanging="640"/>
        <w:rPr>
          <w:rFonts w:ascii="Times New Roman" w:eastAsia="SimSun" w:hAnsi="Times New Roman"/>
          <w:sz w:val="22"/>
          <w:szCs w:val="22"/>
          <w:lang w:val="it-IT" w:eastAsia="zh-CN"/>
        </w:rPr>
      </w:pPr>
      <w:r>
        <w:rPr>
          <w:rFonts w:ascii="Times New Roman" w:hAnsi="Times New Roman"/>
        </w:rPr>
        <w:t>G.F</w:t>
      </w:r>
      <w:r w:rsidRPr="00466FFD">
        <w:rPr>
          <w:rFonts w:ascii="Times New Roman" w:hAnsi="Times New Roman"/>
        </w:rPr>
        <w:t xml:space="preserve">. </w:t>
      </w:r>
      <w:r w:rsidRPr="00073CEC">
        <w:rPr>
          <w:rFonts w:ascii="Times New Roman" w:hAnsi="Times New Roman"/>
        </w:rPr>
        <w:t>Feng</w:t>
      </w:r>
      <w:r w:rsidRPr="00466FFD">
        <w:rPr>
          <w:rFonts w:ascii="Times New Roman" w:hAnsi="Times New Roman"/>
        </w:rPr>
        <w:t>,</w:t>
      </w:r>
      <w:r>
        <w:rPr>
          <w:rFonts w:ascii="Times New Roman" w:hAnsi="Times New Roman"/>
        </w:rPr>
        <w:t xml:space="preserve"> Q.J. Wang, Y. Chu, J. Wen, C.P. </w:t>
      </w:r>
      <w:r w:rsidRPr="0051447E">
        <w:rPr>
          <w:rFonts w:ascii="Times New Roman" w:hAnsi="Times New Roman"/>
        </w:rPr>
        <w:t>Chang</w:t>
      </w:r>
      <w:r>
        <w:rPr>
          <w:rFonts w:ascii="Times New Roman" w:hAnsi="Times New Roman"/>
        </w:rPr>
        <w:t>,</w:t>
      </w:r>
      <w:r w:rsidRPr="00466FFD">
        <w:rPr>
          <w:rFonts w:ascii="Times New Roman" w:hAnsi="Times New Roman"/>
        </w:rPr>
        <w:t xml:space="preserve"> </w:t>
      </w:r>
      <w:r w:rsidRPr="00653354">
        <w:t>Energy Econ.</w:t>
      </w:r>
      <w:r>
        <w:t xml:space="preserve"> (2019),</w:t>
      </w:r>
      <w:r w:rsidRPr="00653354">
        <w:t xml:space="preserve"> 104327</w:t>
      </w:r>
    </w:p>
    <w:p w14:paraId="4EA693C9" w14:textId="77777777" w:rsidR="005808EC" w:rsidRPr="00713257" w:rsidRDefault="005808EC" w:rsidP="005808EC">
      <w:pPr>
        <w:pStyle w:val="FirstParagraph"/>
        <w:widowControl w:val="0"/>
        <w:numPr>
          <w:ilvl w:val="0"/>
          <w:numId w:val="1"/>
        </w:numPr>
        <w:tabs>
          <w:tab w:val="left" w:pos="426"/>
        </w:tabs>
        <w:autoSpaceDE w:val="0"/>
        <w:autoSpaceDN w:val="0"/>
        <w:adjustRightInd w:val="0"/>
        <w:spacing w:line="240" w:lineRule="auto"/>
        <w:ind w:left="640" w:hanging="640"/>
        <w:rPr>
          <w:rFonts w:ascii="Times New Roman" w:eastAsia="SimSun" w:hAnsi="Times New Roman"/>
          <w:sz w:val="22"/>
          <w:szCs w:val="22"/>
          <w:lang w:eastAsia="zh-CN"/>
        </w:rPr>
      </w:pPr>
      <w:r>
        <w:rPr>
          <w:rFonts w:ascii="Times New Roman" w:hAnsi="Times New Roman"/>
        </w:rPr>
        <w:t>S</w:t>
      </w:r>
      <w:r w:rsidRPr="00466FFD">
        <w:rPr>
          <w:rFonts w:ascii="Times New Roman" w:hAnsi="Times New Roman"/>
        </w:rPr>
        <w:t xml:space="preserve">. </w:t>
      </w:r>
      <w:r w:rsidRPr="00931C40">
        <w:rPr>
          <w:rFonts w:ascii="Times New Roman" w:hAnsi="Times New Roman"/>
        </w:rPr>
        <w:t>Mokhatab</w:t>
      </w:r>
      <w:r w:rsidRPr="00466FFD">
        <w:rPr>
          <w:rFonts w:ascii="Times New Roman" w:hAnsi="Times New Roman"/>
        </w:rPr>
        <w:t xml:space="preserve">, </w:t>
      </w:r>
      <w:r>
        <w:rPr>
          <w:rFonts w:ascii="Times New Roman" w:hAnsi="Times New Roman"/>
        </w:rPr>
        <w:t>W.A</w:t>
      </w:r>
      <w:r w:rsidRPr="00466FFD">
        <w:rPr>
          <w:rFonts w:ascii="Times New Roman" w:hAnsi="Times New Roman"/>
        </w:rPr>
        <w:t xml:space="preserve">. </w:t>
      </w:r>
      <w:r w:rsidRPr="009A3578">
        <w:rPr>
          <w:rFonts w:ascii="Times New Roman" w:hAnsi="Times New Roman"/>
        </w:rPr>
        <w:t>Poe</w:t>
      </w:r>
      <w:r>
        <w:rPr>
          <w:rFonts w:ascii="Times New Roman" w:hAnsi="Times New Roman"/>
        </w:rPr>
        <w:t xml:space="preserve">, J.Y. </w:t>
      </w:r>
      <w:proofErr w:type="spellStart"/>
      <w:r>
        <w:rPr>
          <w:rFonts w:ascii="Times New Roman" w:hAnsi="Times New Roman"/>
        </w:rPr>
        <w:t>Mak</w:t>
      </w:r>
      <w:proofErr w:type="spellEnd"/>
      <w:r w:rsidRPr="00466FFD">
        <w:rPr>
          <w:rFonts w:ascii="Times New Roman" w:hAnsi="Times New Roman"/>
        </w:rPr>
        <w:t xml:space="preserve">, </w:t>
      </w:r>
      <w:r w:rsidRPr="00703169">
        <w:rPr>
          <w:rFonts w:ascii="Times New Roman" w:hAnsi="Times New Roman"/>
        </w:rPr>
        <w:t>Handbook of Natural Gas Transmission and Processing: Principles and Practices</w:t>
      </w:r>
      <w:r w:rsidRPr="00466FFD">
        <w:rPr>
          <w:rFonts w:ascii="Times New Roman" w:hAnsi="Times New Roman"/>
        </w:rPr>
        <w:t xml:space="preserve">, </w:t>
      </w:r>
      <w:r w:rsidRPr="00A47017">
        <w:t>Gulf Professional Publishing</w:t>
      </w:r>
      <w:r>
        <w:t>,</w:t>
      </w:r>
      <w:r w:rsidRPr="00D1353F">
        <w:t xml:space="preserve"> New York</w:t>
      </w:r>
      <w:r>
        <w:t>, 2015</w:t>
      </w:r>
      <w:r w:rsidRPr="00466FFD">
        <w:rPr>
          <w:rFonts w:ascii="Times New Roman" w:hAnsi="Times New Roman"/>
        </w:rPr>
        <w:t>.</w:t>
      </w:r>
    </w:p>
    <w:p w14:paraId="7D049585" w14:textId="0DB82BD1" w:rsidR="00931C40" w:rsidRPr="005808EC" w:rsidRDefault="00931C40" w:rsidP="005808EC">
      <w:pPr>
        <w:pStyle w:val="FirstParagraph"/>
        <w:widowControl w:val="0"/>
        <w:numPr>
          <w:ilvl w:val="0"/>
          <w:numId w:val="1"/>
        </w:numPr>
        <w:tabs>
          <w:tab w:val="left" w:pos="426"/>
        </w:tabs>
        <w:autoSpaceDE w:val="0"/>
        <w:autoSpaceDN w:val="0"/>
        <w:adjustRightInd w:val="0"/>
        <w:spacing w:line="240" w:lineRule="auto"/>
        <w:ind w:left="640" w:hanging="640"/>
        <w:rPr>
          <w:rFonts w:ascii="Times New Roman" w:eastAsia="SimSun" w:hAnsi="Times New Roman"/>
          <w:sz w:val="22"/>
          <w:szCs w:val="22"/>
          <w:lang w:eastAsia="zh-CN"/>
        </w:rPr>
      </w:pPr>
      <w:r w:rsidRPr="005808EC">
        <w:rPr>
          <w:rFonts w:ascii="Times New Roman" w:hAnsi="Times New Roman"/>
        </w:rPr>
        <w:t xml:space="preserve">C. Olsen, T.A. </w:t>
      </w:r>
      <w:proofErr w:type="spellStart"/>
      <w:r w:rsidRPr="005808EC">
        <w:rPr>
          <w:rFonts w:ascii="Times New Roman" w:hAnsi="Times New Roman"/>
        </w:rPr>
        <w:t>Kozman</w:t>
      </w:r>
      <w:proofErr w:type="spellEnd"/>
      <w:r w:rsidRPr="005808EC">
        <w:rPr>
          <w:rFonts w:ascii="Times New Roman" w:hAnsi="Times New Roman"/>
        </w:rPr>
        <w:t xml:space="preserve">, J. Lee, K. </w:t>
      </w:r>
      <w:proofErr w:type="spellStart"/>
      <w:r w:rsidRPr="005808EC">
        <w:rPr>
          <w:rFonts w:ascii="Times New Roman" w:hAnsi="Times New Roman"/>
        </w:rPr>
        <w:t>Yuvamitra</w:t>
      </w:r>
      <w:proofErr w:type="spellEnd"/>
      <w:r w:rsidRPr="005808EC">
        <w:rPr>
          <w:rFonts w:ascii="Times New Roman" w:hAnsi="Times New Roman"/>
        </w:rPr>
        <w:t xml:space="preserve"> Distributed Generation and Alternative Energy Journal 27, (2012) 42–55.</w:t>
      </w:r>
    </w:p>
    <w:p w14:paraId="6CFA528F" w14:textId="3A9AE897" w:rsidR="00C27362" w:rsidRPr="005808EC" w:rsidRDefault="00455B75" w:rsidP="005808EC">
      <w:pPr>
        <w:pStyle w:val="FirstParagraph"/>
        <w:widowControl w:val="0"/>
        <w:numPr>
          <w:ilvl w:val="0"/>
          <w:numId w:val="1"/>
        </w:numPr>
        <w:tabs>
          <w:tab w:val="left" w:pos="426"/>
        </w:tabs>
        <w:autoSpaceDE w:val="0"/>
        <w:autoSpaceDN w:val="0"/>
        <w:adjustRightInd w:val="0"/>
        <w:spacing w:line="240" w:lineRule="auto"/>
        <w:ind w:left="640" w:hanging="640"/>
        <w:rPr>
          <w:rFonts w:ascii="Times New Roman" w:eastAsia="SimSun" w:hAnsi="Times New Roman"/>
          <w:sz w:val="22"/>
          <w:szCs w:val="22"/>
          <w:lang w:eastAsia="zh-CN"/>
        </w:rPr>
      </w:pPr>
      <w:r>
        <w:rPr>
          <w:rFonts w:ascii="Times New Roman" w:hAnsi="Times New Roman"/>
        </w:rPr>
        <w:t>E.S</w:t>
      </w:r>
      <w:r w:rsidRPr="00466FFD">
        <w:rPr>
          <w:rFonts w:ascii="Times New Roman" w:hAnsi="Times New Roman"/>
        </w:rPr>
        <w:t xml:space="preserve">. </w:t>
      </w:r>
      <w:r w:rsidRPr="00052125">
        <w:rPr>
          <w:rFonts w:ascii="Times New Roman" w:hAnsi="Times New Roman"/>
        </w:rPr>
        <w:t>Hori</w:t>
      </w:r>
      <w:r w:rsidRPr="00466FFD">
        <w:rPr>
          <w:rFonts w:ascii="Times New Roman" w:hAnsi="Times New Roman"/>
        </w:rPr>
        <w:t xml:space="preserve">, </w:t>
      </w:r>
      <w:r>
        <w:rPr>
          <w:rFonts w:ascii="Times New Roman" w:hAnsi="Times New Roman"/>
        </w:rPr>
        <w:t>S</w:t>
      </w:r>
      <w:r w:rsidRPr="00466FFD">
        <w:rPr>
          <w:rFonts w:ascii="Times New Roman" w:hAnsi="Times New Roman"/>
        </w:rPr>
        <w:t>.</w:t>
      </w:r>
      <w:r>
        <w:rPr>
          <w:rFonts w:ascii="Times New Roman" w:hAnsi="Times New Roman"/>
        </w:rPr>
        <w:t xml:space="preserve"> </w:t>
      </w:r>
      <w:proofErr w:type="spellStart"/>
      <w:r w:rsidRPr="00052125">
        <w:rPr>
          <w:rFonts w:ascii="Times New Roman" w:hAnsi="Times New Roman"/>
        </w:rPr>
        <w:t>Skogestad</w:t>
      </w:r>
      <w:proofErr w:type="spellEnd"/>
      <w:r w:rsidRPr="00466FFD">
        <w:rPr>
          <w:rFonts w:ascii="Times New Roman" w:hAnsi="Times New Roman"/>
        </w:rPr>
        <w:t xml:space="preserve">, </w:t>
      </w:r>
      <w:r w:rsidRPr="00F438D6">
        <w:t>Chem. Eng. Res. Des. 85</w:t>
      </w:r>
      <w:r>
        <w:t xml:space="preserve"> (2007), 293-306</w:t>
      </w:r>
      <w:r w:rsidRPr="00466FFD">
        <w:rPr>
          <w:rFonts w:ascii="Times New Roman" w:hAnsi="Times New Roman"/>
        </w:rPr>
        <w:t>.</w:t>
      </w:r>
    </w:p>
    <w:p w14:paraId="4A172929" w14:textId="68E5F176" w:rsidR="009D69AC" w:rsidRPr="009D69AC" w:rsidRDefault="009D69AC" w:rsidP="009D69AC">
      <w:pPr>
        <w:pStyle w:val="FirstParagraph"/>
        <w:widowControl w:val="0"/>
        <w:numPr>
          <w:ilvl w:val="0"/>
          <w:numId w:val="1"/>
        </w:numPr>
        <w:tabs>
          <w:tab w:val="left" w:pos="426"/>
        </w:tabs>
        <w:autoSpaceDE w:val="0"/>
        <w:autoSpaceDN w:val="0"/>
        <w:adjustRightInd w:val="0"/>
        <w:spacing w:line="240" w:lineRule="auto"/>
        <w:ind w:left="640" w:hanging="640"/>
        <w:rPr>
          <w:rFonts w:ascii="Times New Roman" w:eastAsia="SimSun" w:hAnsi="Times New Roman"/>
          <w:sz w:val="22"/>
          <w:szCs w:val="22"/>
          <w:lang w:eastAsia="zh-CN"/>
        </w:rPr>
      </w:pPr>
      <w:r w:rsidRPr="005808EC">
        <w:rPr>
          <w:rFonts w:ascii="Times New Roman" w:hAnsi="Times New Roman"/>
          <w:lang w:val="it-IT"/>
        </w:rPr>
        <w:t xml:space="preserve">J. </w:t>
      </w:r>
      <w:r w:rsidRPr="005808EC">
        <w:rPr>
          <w:lang w:val="it-IT"/>
        </w:rPr>
        <w:t>Chebeir</w:t>
      </w:r>
      <w:r w:rsidRPr="005808EC">
        <w:rPr>
          <w:rFonts w:ascii="Times New Roman" w:hAnsi="Times New Roman"/>
          <w:lang w:val="it-IT"/>
        </w:rPr>
        <w:t xml:space="preserve">, S.D. </w:t>
      </w:r>
      <w:proofErr w:type="spellStart"/>
      <w:r w:rsidRPr="005808EC">
        <w:rPr>
          <w:rFonts w:ascii="Times New Roman" w:hAnsi="Times New Roman"/>
          <w:lang w:val="it-IT"/>
        </w:rPr>
        <w:t>Salas</w:t>
      </w:r>
      <w:proofErr w:type="spellEnd"/>
      <w:r w:rsidRPr="005808EC">
        <w:rPr>
          <w:rFonts w:ascii="Times New Roman" w:hAnsi="Times New Roman"/>
          <w:lang w:val="it-IT"/>
        </w:rPr>
        <w:t xml:space="preserve">, J.A. Romagnoli, </w:t>
      </w:r>
      <w:r w:rsidRPr="005808EC">
        <w:rPr>
          <w:lang w:val="it-IT"/>
        </w:rPr>
        <w:t xml:space="preserve">J. </w:t>
      </w:r>
      <w:proofErr w:type="spellStart"/>
      <w:r w:rsidRPr="005808EC">
        <w:rPr>
          <w:lang w:val="it-IT"/>
        </w:rPr>
        <w:t>Nat</w:t>
      </w:r>
      <w:proofErr w:type="spellEnd"/>
      <w:r w:rsidRPr="005808EC">
        <w:rPr>
          <w:lang w:val="it-IT"/>
        </w:rPr>
        <w:t xml:space="preserve">. </w:t>
      </w:r>
      <w:r w:rsidRPr="00D11E22">
        <w:t>Gas Sci. Eng.</w:t>
      </w:r>
      <w:r>
        <w:t xml:space="preserve"> 71, (2019),</w:t>
      </w:r>
      <w:r w:rsidRPr="00D1353F">
        <w:t xml:space="preserve"> </w:t>
      </w:r>
      <w:r>
        <w:t>102974</w:t>
      </w:r>
      <w:r w:rsidRPr="00466FFD">
        <w:rPr>
          <w:rFonts w:ascii="Times New Roman" w:hAnsi="Times New Roman"/>
        </w:rPr>
        <w:t>.</w:t>
      </w:r>
    </w:p>
    <w:p w14:paraId="6F136DF5" w14:textId="15012229" w:rsidR="00C55DC3" w:rsidRPr="005808EC" w:rsidRDefault="0002011E" w:rsidP="00C27362">
      <w:pPr>
        <w:pStyle w:val="FirstParagraph"/>
        <w:widowControl w:val="0"/>
        <w:numPr>
          <w:ilvl w:val="0"/>
          <w:numId w:val="1"/>
        </w:numPr>
        <w:tabs>
          <w:tab w:val="left" w:pos="426"/>
        </w:tabs>
        <w:autoSpaceDE w:val="0"/>
        <w:autoSpaceDN w:val="0"/>
        <w:adjustRightInd w:val="0"/>
        <w:spacing w:line="240" w:lineRule="auto"/>
        <w:ind w:left="640" w:hanging="640"/>
        <w:rPr>
          <w:rFonts w:ascii="Times New Roman" w:eastAsia="SimSun" w:hAnsi="Times New Roman"/>
          <w:sz w:val="22"/>
          <w:szCs w:val="22"/>
          <w:lang w:eastAsia="zh-CN"/>
        </w:rPr>
      </w:pPr>
      <w:r>
        <w:rPr>
          <w:rFonts w:ascii="Times New Roman" w:hAnsi="Times New Roman"/>
        </w:rPr>
        <w:t>W.L</w:t>
      </w:r>
      <w:r w:rsidRPr="00466FFD">
        <w:rPr>
          <w:rFonts w:ascii="Times New Roman" w:hAnsi="Times New Roman"/>
        </w:rPr>
        <w:t xml:space="preserve">. </w:t>
      </w:r>
      <w:proofErr w:type="spellStart"/>
      <w:r w:rsidRPr="0002011E">
        <w:rPr>
          <w:rFonts w:ascii="Times New Roman" w:hAnsi="Times New Roman"/>
        </w:rPr>
        <w:t>Luyben</w:t>
      </w:r>
      <w:proofErr w:type="spellEnd"/>
      <w:r w:rsidRPr="00466FFD">
        <w:rPr>
          <w:rFonts w:ascii="Times New Roman" w:hAnsi="Times New Roman"/>
        </w:rPr>
        <w:t xml:space="preserve">, </w:t>
      </w:r>
      <w:r w:rsidRPr="0002011E">
        <w:t>Ind. Eng. Chem. Res. 44</w:t>
      </w:r>
      <w:r w:rsidR="00713257">
        <w:t xml:space="preserve">, </w:t>
      </w:r>
      <w:r w:rsidRPr="0002011E">
        <w:t>20</w:t>
      </w:r>
      <w:r w:rsidRPr="00D1353F">
        <w:t xml:space="preserve"> </w:t>
      </w:r>
      <w:r w:rsidR="00D50847">
        <w:t>(2005)</w:t>
      </w:r>
      <w:r>
        <w:t xml:space="preserve">, </w:t>
      </w:r>
      <w:r w:rsidR="00D50847">
        <w:t>7800</w:t>
      </w:r>
      <w:r w:rsidR="00713257" w:rsidRPr="00713257">
        <w:rPr>
          <w:lang w:val="en-GB"/>
        </w:rPr>
        <w:t>-7813</w:t>
      </w:r>
      <w:r w:rsidRPr="00466FFD">
        <w:rPr>
          <w:rFonts w:ascii="Times New Roman" w:hAnsi="Times New Roman"/>
        </w:rPr>
        <w:t>.</w:t>
      </w:r>
    </w:p>
    <w:p w14:paraId="26C95B35" w14:textId="7086DBCD" w:rsidR="00A47017" w:rsidRPr="005808EC" w:rsidRDefault="005808EC" w:rsidP="00A47017">
      <w:pPr>
        <w:pStyle w:val="FirstParagraph"/>
        <w:widowControl w:val="0"/>
        <w:numPr>
          <w:ilvl w:val="0"/>
          <w:numId w:val="1"/>
        </w:numPr>
        <w:tabs>
          <w:tab w:val="left" w:pos="426"/>
        </w:tabs>
        <w:autoSpaceDE w:val="0"/>
        <w:autoSpaceDN w:val="0"/>
        <w:adjustRightInd w:val="0"/>
        <w:spacing w:line="240" w:lineRule="auto"/>
        <w:ind w:left="640" w:hanging="640"/>
        <w:rPr>
          <w:rFonts w:ascii="Times New Roman" w:eastAsia="SimSun" w:hAnsi="Times New Roman"/>
          <w:sz w:val="22"/>
          <w:szCs w:val="22"/>
          <w:lang w:val="it-IT" w:eastAsia="zh-CN"/>
        </w:rPr>
      </w:pPr>
      <w:r w:rsidRPr="00FD5E11">
        <w:rPr>
          <w:rFonts w:ascii="Times New Roman" w:hAnsi="Times New Roman"/>
          <w:lang w:val="it-IT"/>
        </w:rPr>
        <w:t xml:space="preserve">M. Mandis, J.A. Chebeir, S. Tronci, R. Baratti, J. A. Romagnoli, </w:t>
      </w:r>
      <w:r w:rsidRPr="00FD5E11">
        <w:rPr>
          <w:lang w:val="it-IT"/>
        </w:rPr>
        <w:t xml:space="preserve">IFAC </w:t>
      </w:r>
      <w:proofErr w:type="spellStart"/>
      <w:r w:rsidRPr="00FD5E11">
        <w:rPr>
          <w:lang w:val="it-IT"/>
        </w:rPr>
        <w:t>PapersOnLine</w:t>
      </w:r>
      <w:proofErr w:type="spellEnd"/>
      <w:r w:rsidRPr="00FD5E11">
        <w:rPr>
          <w:lang w:val="it-IT"/>
        </w:rPr>
        <w:t xml:space="preserve"> 54-3 (2021), 182-18</w:t>
      </w:r>
    </w:p>
    <w:sectPr w:rsidR="00A47017" w:rsidRPr="005808EC" w:rsidSect="001D0E0C">
      <w:headerReference w:type="default" r:id="rId8"/>
      <w:head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2F9C" w14:textId="77777777" w:rsidR="00EB2DFB" w:rsidRDefault="00EB2DFB" w:rsidP="001D0E0C">
      <w:pPr>
        <w:spacing w:after="0" w:line="240" w:lineRule="auto"/>
      </w:pPr>
      <w:r>
        <w:separator/>
      </w:r>
    </w:p>
  </w:endnote>
  <w:endnote w:type="continuationSeparator" w:id="0">
    <w:p w14:paraId="574724C4" w14:textId="77777777" w:rsidR="00EB2DFB" w:rsidRDefault="00EB2DFB" w:rsidP="001D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3740" w14:textId="77777777" w:rsidR="00EB2DFB" w:rsidRDefault="00EB2DFB" w:rsidP="001D0E0C">
      <w:pPr>
        <w:spacing w:after="0" w:line="240" w:lineRule="auto"/>
      </w:pPr>
      <w:r>
        <w:separator/>
      </w:r>
    </w:p>
  </w:footnote>
  <w:footnote w:type="continuationSeparator" w:id="0">
    <w:p w14:paraId="378194B8" w14:textId="77777777" w:rsidR="00EB2DFB" w:rsidRDefault="00EB2DFB" w:rsidP="001D0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BBF7" w14:textId="24434349" w:rsidR="001D0E0C" w:rsidRPr="001B060D" w:rsidRDefault="001B060D" w:rsidP="001B060D">
    <w:pPr>
      <w:pStyle w:val="Header"/>
      <w:jc w:val="center"/>
    </w:pPr>
    <w:r w:rsidRPr="005C2A12">
      <w:rPr>
        <w:b/>
        <w:i/>
        <w:color w:val="2E74B5" w:themeColor="accent5" w:themeShade="BF"/>
        <w:sz w:val="24"/>
        <w:szCs w:val="24"/>
      </w:rPr>
      <w:t xml:space="preserve">GRICU 2022, Ischia, (Italy), </w:t>
    </w:r>
    <w:proofErr w:type="spellStart"/>
    <w:r w:rsidRPr="005C2A12">
      <w:rPr>
        <w:b/>
        <w:i/>
        <w:color w:val="2E74B5" w:themeColor="accent5" w:themeShade="BF"/>
        <w:sz w:val="24"/>
        <w:szCs w:val="24"/>
      </w:rPr>
      <w:t>July</w:t>
    </w:r>
    <w:proofErr w:type="spellEnd"/>
    <w:r w:rsidRPr="005C2A12">
      <w:rPr>
        <w:b/>
        <w:i/>
        <w:color w:val="2E74B5" w:themeColor="accent5" w:themeShade="BF"/>
        <w:sz w:val="24"/>
        <w:szCs w:val="24"/>
      </w:rPr>
      <w:t xml:space="preserve"> 3-6,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5D5F" w14:textId="292CCFE8" w:rsidR="001D0E0C" w:rsidRDefault="00F24290" w:rsidP="000517B4">
    <w:pPr>
      <w:pStyle w:val="Header"/>
      <w:tabs>
        <w:tab w:val="left" w:pos="1188"/>
      </w:tabs>
      <w:jc w:val="center"/>
      <w:rPr>
        <w:b/>
        <w:i/>
        <w:color w:val="2E74B5" w:themeColor="accent5" w:themeShade="BF"/>
        <w:sz w:val="24"/>
        <w:szCs w:val="24"/>
      </w:rPr>
    </w:pPr>
    <w:r>
      <w:rPr>
        <w:b/>
        <w:i/>
        <w:noProof/>
        <w:color w:val="2E74B5" w:themeColor="accent5" w:themeShade="BF"/>
        <w:sz w:val="24"/>
        <w:szCs w:val="24"/>
      </w:rPr>
      <w:drawing>
        <wp:anchor distT="0" distB="0" distL="114300" distR="114300" simplePos="0" relativeHeight="251660288" behindDoc="0" locked="0" layoutInCell="1" allowOverlap="1" wp14:anchorId="5A213143" wp14:editId="773337C5">
          <wp:simplePos x="0" y="0"/>
          <wp:positionH relativeFrom="column">
            <wp:posOffset>614128</wp:posOffset>
          </wp:positionH>
          <wp:positionV relativeFrom="paragraph">
            <wp:posOffset>-170180</wp:posOffset>
          </wp:positionV>
          <wp:extent cx="1494000" cy="529200"/>
          <wp:effectExtent l="0" t="0" r="508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_GRICU.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494000" cy="529200"/>
                  </a:xfrm>
                  <a:prstGeom prst="rect">
                    <a:avLst/>
                  </a:prstGeom>
                </pic:spPr>
              </pic:pic>
            </a:graphicData>
          </a:graphic>
          <wp14:sizeRelH relativeFrom="margin">
            <wp14:pctWidth>0</wp14:pctWidth>
          </wp14:sizeRelH>
          <wp14:sizeRelV relativeFrom="margin">
            <wp14:pctHeight>0</wp14:pctHeight>
          </wp14:sizeRelV>
        </wp:anchor>
      </w:drawing>
    </w:r>
    <w:r>
      <w:rPr>
        <w:b/>
        <w:i/>
        <w:color w:val="2E74B5" w:themeColor="accent5" w:themeShade="BF"/>
        <w:sz w:val="24"/>
        <w:szCs w:val="24"/>
      </w:rPr>
      <w:t xml:space="preserve"> </w:t>
    </w:r>
    <w:r w:rsidR="008871B1">
      <w:rPr>
        <w:b/>
        <w:i/>
        <w:color w:val="2E74B5" w:themeColor="accent5" w:themeShade="BF"/>
        <w:sz w:val="24"/>
        <w:szCs w:val="24"/>
      </w:rPr>
      <w:tab/>
    </w:r>
    <w:r w:rsidR="000517B4" w:rsidRPr="005C2A12">
      <w:rPr>
        <w:b/>
        <w:i/>
        <w:color w:val="2E74B5" w:themeColor="accent5" w:themeShade="BF"/>
        <w:sz w:val="24"/>
        <w:szCs w:val="24"/>
      </w:rPr>
      <w:t xml:space="preserve">GRICU 2022, Ischia, (Italy), </w:t>
    </w:r>
    <w:proofErr w:type="spellStart"/>
    <w:r w:rsidR="000517B4" w:rsidRPr="005C2A12">
      <w:rPr>
        <w:b/>
        <w:i/>
        <w:color w:val="2E74B5" w:themeColor="accent5" w:themeShade="BF"/>
        <w:sz w:val="24"/>
        <w:szCs w:val="24"/>
      </w:rPr>
      <w:t>July</w:t>
    </w:r>
    <w:proofErr w:type="spellEnd"/>
    <w:r w:rsidR="000517B4" w:rsidRPr="005C2A12">
      <w:rPr>
        <w:b/>
        <w:i/>
        <w:color w:val="2E74B5" w:themeColor="accent5" w:themeShade="BF"/>
        <w:sz w:val="24"/>
        <w:szCs w:val="24"/>
      </w:rPr>
      <w:t xml:space="preserve"> 3-6, 2022</w:t>
    </w:r>
  </w:p>
  <w:p w14:paraId="14E4AC61" w14:textId="77777777" w:rsidR="008871B1" w:rsidRPr="005C2A12" w:rsidRDefault="008871B1" w:rsidP="000517B4">
    <w:pPr>
      <w:pStyle w:val="Header"/>
      <w:tabs>
        <w:tab w:val="left" w:pos="1188"/>
      </w:tabs>
      <w:jc w:val="center"/>
      <w:rPr>
        <w:b/>
        <w:i/>
        <w:color w:val="2E74B5" w:themeColor="accent5" w:themeShade="BF"/>
        <w:sz w:val="24"/>
        <w:szCs w:val="24"/>
      </w:rPr>
    </w:pPr>
  </w:p>
  <w:p w14:paraId="2DF8C760" w14:textId="77777777" w:rsidR="001D0E0C" w:rsidRDefault="000517B4" w:rsidP="001D0E0C">
    <w:pPr>
      <w:pStyle w:val="Header"/>
      <w:jc w:val="center"/>
    </w:pPr>
    <w:r w:rsidRPr="005C2A12">
      <w:rPr>
        <w:noProof/>
        <w:color w:val="00B0F0"/>
      </w:rPr>
      <mc:AlternateContent>
        <mc:Choice Requires="wps">
          <w:drawing>
            <wp:anchor distT="0" distB="0" distL="114300" distR="114300" simplePos="0" relativeHeight="251659264" behindDoc="0" locked="0" layoutInCell="1" allowOverlap="1" wp14:anchorId="2FAF1E66" wp14:editId="6C2DECB8">
              <wp:simplePos x="0" y="0"/>
              <wp:positionH relativeFrom="column">
                <wp:posOffset>57150</wp:posOffset>
              </wp:positionH>
              <wp:positionV relativeFrom="paragraph">
                <wp:posOffset>103505</wp:posOffset>
              </wp:positionV>
              <wp:extent cx="5631180" cy="7620"/>
              <wp:effectExtent l="0" t="0" r="26670" b="30480"/>
              <wp:wrapNone/>
              <wp:docPr id="1" name="Connettore diritto 1"/>
              <wp:cNvGraphicFramePr/>
              <a:graphic xmlns:a="http://schemas.openxmlformats.org/drawingml/2006/main">
                <a:graphicData uri="http://schemas.microsoft.com/office/word/2010/wordprocessingShape">
                  <wps:wsp>
                    <wps:cNvCnPr/>
                    <wps:spPr>
                      <a:xfrm>
                        <a:off x="0" y="0"/>
                        <a:ext cx="5631180" cy="7620"/>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A113F" id="Connettore dirit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15pt" to="447.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A3"/>
    <w:rsid w:val="000161F8"/>
    <w:rsid w:val="0002011E"/>
    <w:rsid w:val="00030D39"/>
    <w:rsid w:val="00030F69"/>
    <w:rsid w:val="00045255"/>
    <w:rsid w:val="0005150B"/>
    <w:rsid w:val="000517B4"/>
    <w:rsid w:val="00052125"/>
    <w:rsid w:val="00066D01"/>
    <w:rsid w:val="000726EE"/>
    <w:rsid w:val="00073ACD"/>
    <w:rsid w:val="00073CEC"/>
    <w:rsid w:val="00075F19"/>
    <w:rsid w:val="00076F37"/>
    <w:rsid w:val="000A0C48"/>
    <w:rsid w:val="000A4D1A"/>
    <w:rsid w:val="000A7A5C"/>
    <w:rsid w:val="000B07FC"/>
    <w:rsid w:val="000B0FD6"/>
    <w:rsid w:val="000C4C76"/>
    <w:rsid w:val="000C6093"/>
    <w:rsid w:val="000E256E"/>
    <w:rsid w:val="000F09EE"/>
    <w:rsid w:val="00115BDC"/>
    <w:rsid w:val="00132C77"/>
    <w:rsid w:val="00152DBB"/>
    <w:rsid w:val="00161E5E"/>
    <w:rsid w:val="001661AD"/>
    <w:rsid w:val="0018667F"/>
    <w:rsid w:val="001879E6"/>
    <w:rsid w:val="00192850"/>
    <w:rsid w:val="001B060D"/>
    <w:rsid w:val="001B20A0"/>
    <w:rsid w:val="001B2A87"/>
    <w:rsid w:val="001B5B13"/>
    <w:rsid w:val="001B6A71"/>
    <w:rsid w:val="001B7FFD"/>
    <w:rsid w:val="001C1509"/>
    <w:rsid w:val="001C5F05"/>
    <w:rsid w:val="001D0CE2"/>
    <w:rsid w:val="001D0E0C"/>
    <w:rsid w:val="001D2EB1"/>
    <w:rsid w:val="001E0C61"/>
    <w:rsid w:val="001E0EC0"/>
    <w:rsid w:val="001F2F0C"/>
    <w:rsid w:val="002031D5"/>
    <w:rsid w:val="002031F4"/>
    <w:rsid w:val="00206648"/>
    <w:rsid w:val="0025016B"/>
    <w:rsid w:val="0025072B"/>
    <w:rsid w:val="002518AF"/>
    <w:rsid w:val="00252C9F"/>
    <w:rsid w:val="00254A36"/>
    <w:rsid w:val="00257ED2"/>
    <w:rsid w:val="0026612D"/>
    <w:rsid w:val="0027095D"/>
    <w:rsid w:val="002818F7"/>
    <w:rsid w:val="00282961"/>
    <w:rsid w:val="0029760E"/>
    <w:rsid w:val="002A235F"/>
    <w:rsid w:val="002D6A51"/>
    <w:rsid w:val="002E3DE7"/>
    <w:rsid w:val="002E5497"/>
    <w:rsid w:val="00304810"/>
    <w:rsid w:val="00305B14"/>
    <w:rsid w:val="003136C9"/>
    <w:rsid w:val="00314288"/>
    <w:rsid w:val="0032431B"/>
    <w:rsid w:val="00344F5A"/>
    <w:rsid w:val="00362820"/>
    <w:rsid w:val="00370EF6"/>
    <w:rsid w:val="00371A27"/>
    <w:rsid w:val="00371D1B"/>
    <w:rsid w:val="00376D1B"/>
    <w:rsid w:val="00396F64"/>
    <w:rsid w:val="003A151A"/>
    <w:rsid w:val="003B49ED"/>
    <w:rsid w:val="003B7366"/>
    <w:rsid w:val="003F011C"/>
    <w:rsid w:val="003F160A"/>
    <w:rsid w:val="00402674"/>
    <w:rsid w:val="004032D0"/>
    <w:rsid w:val="00407B8D"/>
    <w:rsid w:val="00416929"/>
    <w:rsid w:val="004265A2"/>
    <w:rsid w:val="004308FD"/>
    <w:rsid w:val="00442ABA"/>
    <w:rsid w:val="00443601"/>
    <w:rsid w:val="00446089"/>
    <w:rsid w:val="00452F6D"/>
    <w:rsid w:val="00455B75"/>
    <w:rsid w:val="00462E90"/>
    <w:rsid w:val="00465DBA"/>
    <w:rsid w:val="00494156"/>
    <w:rsid w:val="00494FEE"/>
    <w:rsid w:val="004969EA"/>
    <w:rsid w:val="004A4032"/>
    <w:rsid w:val="004A4196"/>
    <w:rsid w:val="004B053F"/>
    <w:rsid w:val="004B3BEE"/>
    <w:rsid w:val="004C03C7"/>
    <w:rsid w:val="004C56B4"/>
    <w:rsid w:val="004C7546"/>
    <w:rsid w:val="004D0D42"/>
    <w:rsid w:val="004D5660"/>
    <w:rsid w:val="004D6910"/>
    <w:rsid w:val="004E4B19"/>
    <w:rsid w:val="004E4EA2"/>
    <w:rsid w:val="004E72AA"/>
    <w:rsid w:val="004F3A87"/>
    <w:rsid w:val="005054F2"/>
    <w:rsid w:val="00505F48"/>
    <w:rsid w:val="0051447E"/>
    <w:rsid w:val="005213D2"/>
    <w:rsid w:val="0052239F"/>
    <w:rsid w:val="005225CD"/>
    <w:rsid w:val="00527B8E"/>
    <w:rsid w:val="005313D8"/>
    <w:rsid w:val="0053493B"/>
    <w:rsid w:val="00536A83"/>
    <w:rsid w:val="005407D6"/>
    <w:rsid w:val="00550937"/>
    <w:rsid w:val="005808EC"/>
    <w:rsid w:val="005826BE"/>
    <w:rsid w:val="0058370A"/>
    <w:rsid w:val="00584388"/>
    <w:rsid w:val="005926E7"/>
    <w:rsid w:val="005A06B7"/>
    <w:rsid w:val="005A3709"/>
    <w:rsid w:val="005A4F61"/>
    <w:rsid w:val="005A6F2E"/>
    <w:rsid w:val="005B71B2"/>
    <w:rsid w:val="005B71BA"/>
    <w:rsid w:val="005C2A12"/>
    <w:rsid w:val="005C2BB9"/>
    <w:rsid w:val="005D4310"/>
    <w:rsid w:val="005D54AD"/>
    <w:rsid w:val="005E2BEB"/>
    <w:rsid w:val="005F2F8A"/>
    <w:rsid w:val="0060358E"/>
    <w:rsid w:val="0064546A"/>
    <w:rsid w:val="00653354"/>
    <w:rsid w:val="00657D96"/>
    <w:rsid w:val="00660AD5"/>
    <w:rsid w:val="00663ECA"/>
    <w:rsid w:val="00666C71"/>
    <w:rsid w:val="00667E62"/>
    <w:rsid w:val="00667EF9"/>
    <w:rsid w:val="00672F06"/>
    <w:rsid w:val="00676134"/>
    <w:rsid w:val="00682CD2"/>
    <w:rsid w:val="0068572B"/>
    <w:rsid w:val="0068625F"/>
    <w:rsid w:val="00686663"/>
    <w:rsid w:val="00687E88"/>
    <w:rsid w:val="0069656D"/>
    <w:rsid w:val="00697CD6"/>
    <w:rsid w:val="006A705A"/>
    <w:rsid w:val="006E4736"/>
    <w:rsid w:val="006F5907"/>
    <w:rsid w:val="00703169"/>
    <w:rsid w:val="00710E36"/>
    <w:rsid w:val="00713257"/>
    <w:rsid w:val="00724690"/>
    <w:rsid w:val="007311E2"/>
    <w:rsid w:val="007347C0"/>
    <w:rsid w:val="0074177F"/>
    <w:rsid w:val="00741848"/>
    <w:rsid w:val="00746820"/>
    <w:rsid w:val="00750DA2"/>
    <w:rsid w:val="007529E4"/>
    <w:rsid w:val="00774A3D"/>
    <w:rsid w:val="00776608"/>
    <w:rsid w:val="00787139"/>
    <w:rsid w:val="00794C71"/>
    <w:rsid w:val="007A1817"/>
    <w:rsid w:val="007A2418"/>
    <w:rsid w:val="007A6CAC"/>
    <w:rsid w:val="007D2049"/>
    <w:rsid w:val="007D4732"/>
    <w:rsid w:val="007F799D"/>
    <w:rsid w:val="00810C40"/>
    <w:rsid w:val="00813B2B"/>
    <w:rsid w:val="008334BB"/>
    <w:rsid w:val="00837177"/>
    <w:rsid w:val="00842BDC"/>
    <w:rsid w:val="00846402"/>
    <w:rsid w:val="00860310"/>
    <w:rsid w:val="00864CAE"/>
    <w:rsid w:val="0087053D"/>
    <w:rsid w:val="00880591"/>
    <w:rsid w:val="0088291D"/>
    <w:rsid w:val="00883CCB"/>
    <w:rsid w:val="0088585B"/>
    <w:rsid w:val="008871B1"/>
    <w:rsid w:val="008871E5"/>
    <w:rsid w:val="008A39B8"/>
    <w:rsid w:val="008B0530"/>
    <w:rsid w:val="008B14CC"/>
    <w:rsid w:val="008C177B"/>
    <w:rsid w:val="008D1376"/>
    <w:rsid w:val="008D64F0"/>
    <w:rsid w:val="008D654C"/>
    <w:rsid w:val="008E27B9"/>
    <w:rsid w:val="00904932"/>
    <w:rsid w:val="009067C4"/>
    <w:rsid w:val="0091191E"/>
    <w:rsid w:val="00931669"/>
    <w:rsid w:val="00931C40"/>
    <w:rsid w:val="00945853"/>
    <w:rsid w:val="00947394"/>
    <w:rsid w:val="00950D9D"/>
    <w:rsid w:val="00954C1D"/>
    <w:rsid w:val="0095645E"/>
    <w:rsid w:val="00957E6F"/>
    <w:rsid w:val="009714AF"/>
    <w:rsid w:val="0097198F"/>
    <w:rsid w:val="00976CC8"/>
    <w:rsid w:val="00984736"/>
    <w:rsid w:val="0099215F"/>
    <w:rsid w:val="009A0749"/>
    <w:rsid w:val="009A3578"/>
    <w:rsid w:val="009C13AB"/>
    <w:rsid w:val="009C4D62"/>
    <w:rsid w:val="009D190A"/>
    <w:rsid w:val="009D69AC"/>
    <w:rsid w:val="009D79D7"/>
    <w:rsid w:val="009E53C5"/>
    <w:rsid w:val="00A260F1"/>
    <w:rsid w:val="00A47017"/>
    <w:rsid w:val="00A607AB"/>
    <w:rsid w:val="00A67D10"/>
    <w:rsid w:val="00A74180"/>
    <w:rsid w:val="00A774B8"/>
    <w:rsid w:val="00A807DE"/>
    <w:rsid w:val="00A80A52"/>
    <w:rsid w:val="00A819CD"/>
    <w:rsid w:val="00A84790"/>
    <w:rsid w:val="00AA4285"/>
    <w:rsid w:val="00AB1801"/>
    <w:rsid w:val="00AB52E2"/>
    <w:rsid w:val="00AB779F"/>
    <w:rsid w:val="00AC0F26"/>
    <w:rsid w:val="00AC1F6B"/>
    <w:rsid w:val="00AC527D"/>
    <w:rsid w:val="00AD33FA"/>
    <w:rsid w:val="00AE1715"/>
    <w:rsid w:val="00AE343B"/>
    <w:rsid w:val="00AE53AF"/>
    <w:rsid w:val="00AE6C8F"/>
    <w:rsid w:val="00AF1B16"/>
    <w:rsid w:val="00B163BF"/>
    <w:rsid w:val="00B31D2D"/>
    <w:rsid w:val="00B4461F"/>
    <w:rsid w:val="00B46022"/>
    <w:rsid w:val="00B55DB3"/>
    <w:rsid w:val="00B771FF"/>
    <w:rsid w:val="00B81D8B"/>
    <w:rsid w:val="00B833D5"/>
    <w:rsid w:val="00B923A7"/>
    <w:rsid w:val="00B9444D"/>
    <w:rsid w:val="00B957A2"/>
    <w:rsid w:val="00B970AA"/>
    <w:rsid w:val="00BB48A0"/>
    <w:rsid w:val="00BB4A86"/>
    <w:rsid w:val="00BC1083"/>
    <w:rsid w:val="00BC1EA8"/>
    <w:rsid w:val="00BE1AC4"/>
    <w:rsid w:val="00BE72C6"/>
    <w:rsid w:val="00C0166E"/>
    <w:rsid w:val="00C160E9"/>
    <w:rsid w:val="00C21418"/>
    <w:rsid w:val="00C267C0"/>
    <w:rsid w:val="00C27362"/>
    <w:rsid w:val="00C40840"/>
    <w:rsid w:val="00C41A34"/>
    <w:rsid w:val="00C5163F"/>
    <w:rsid w:val="00C55DC3"/>
    <w:rsid w:val="00C60D29"/>
    <w:rsid w:val="00C61077"/>
    <w:rsid w:val="00C9421B"/>
    <w:rsid w:val="00C94953"/>
    <w:rsid w:val="00C960B8"/>
    <w:rsid w:val="00CA1CF3"/>
    <w:rsid w:val="00CA3E7E"/>
    <w:rsid w:val="00CB2E23"/>
    <w:rsid w:val="00CB6E17"/>
    <w:rsid w:val="00CC2FC4"/>
    <w:rsid w:val="00CC354D"/>
    <w:rsid w:val="00CC365F"/>
    <w:rsid w:val="00CD285E"/>
    <w:rsid w:val="00CD5FB8"/>
    <w:rsid w:val="00CE1CA6"/>
    <w:rsid w:val="00D01307"/>
    <w:rsid w:val="00D03DB3"/>
    <w:rsid w:val="00D07963"/>
    <w:rsid w:val="00D10ED7"/>
    <w:rsid w:val="00D11E22"/>
    <w:rsid w:val="00D1353F"/>
    <w:rsid w:val="00D13B66"/>
    <w:rsid w:val="00D17D26"/>
    <w:rsid w:val="00D2291B"/>
    <w:rsid w:val="00D2608B"/>
    <w:rsid w:val="00D26451"/>
    <w:rsid w:val="00D322F1"/>
    <w:rsid w:val="00D33C5C"/>
    <w:rsid w:val="00D412A9"/>
    <w:rsid w:val="00D4219E"/>
    <w:rsid w:val="00D50847"/>
    <w:rsid w:val="00D50D33"/>
    <w:rsid w:val="00D6058F"/>
    <w:rsid w:val="00D62074"/>
    <w:rsid w:val="00D72301"/>
    <w:rsid w:val="00D73288"/>
    <w:rsid w:val="00D939B7"/>
    <w:rsid w:val="00D962FE"/>
    <w:rsid w:val="00DA51A3"/>
    <w:rsid w:val="00DB7733"/>
    <w:rsid w:val="00DC25E8"/>
    <w:rsid w:val="00DC4B1D"/>
    <w:rsid w:val="00DD2D8C"/>
    <w:rsid w:val="00DF0D51"/>
    <w:rsid w:val="00DF6652"/>
    <w:rsid w:val="00E00552"/>
    <w:rsid w:val="00E07481"/>
    <w:rsid w:val="00E1283F"/>
    <w:rsid w:val="00E13965"/>
    <w:rsid w:val="00E15D11"/>
    <w:rsid w:val="00E32FCE"/>
    <w:rsid w:val="00E40F3A"/>
    <w:rsid w:val="00E62DC9"/>
    <w:rsid w:val="00E65653"/>
    <w:rsid w:val="00E673AE"/>
    <w:rsid w:val="00E72268"/>
    <w:rsid w:val="00E75896"/>
    <w:rsid w:val="00E765F6"/>
    <w:rsid w:val="00E91A45"/>
    <w:rsid w:val="00E93F17"/>
    <w:rsid w:val="00E97E73"/>
    <w:rsid w:val="00EA2648"/>
    <w:rsid w:val="00EB2DFB"/>
    <w:rsid w:val="00EC4B32"/>
    <w:rsid w:val="00EE2293"/>
    <w:rsid w:val="00EE736B"/>
    <w:rsid w:val="00EF1FA2"/>
    <w:rsid w:val="00EF2858"/>
    <w:rsid w:val="00F01D59"/>
    <w:rsid w:val="00F17710"/>
    <w:rsid w:val="00F23A33"/>
    <w:rsid w:val="00F24091"/>
    <w:rsid w:val="00F24290"/>
    <w:rsid w:val="00F27126"/>
    <w:rsid w:val="00F30FBE"/>
    <w:rsid w:val="00F34B7B"/>
    <w:rsid w:val="00F438D6"/>
    <w:rsid w:val="00F53B39"/>
    <w:rsid w:val="00F63689"/>
    <w:rsid w:val="00F63B7F"/>
    <w:rsid w:val="00F820C4"/>
    <w:rsid w:val="00F83572"/>
    <w:rsid w:val="00FA13AD"/>
    <w:rsid w:val="00FB2AB5"/>
    <w:rsid w:val="00FB372B"/>
    <w:rsid w:val="00FC016A"/>
    <w:rsid w:val="00FC2A4D"/>
    <w:rsid w:val="00FC6891"/>
    <w:rsid w:val="00FD1F4C"/>
    <w:rsid w:val="00FD21A2"/>
    <w:rsid w:val="00FD5E11"/>
    <w:rsid w:val="00FE096B"/>
    <w:rsid w:val="00FE4F9D"/>
    <w:rsid w:val="00FE70DD"/>
    <w:rsid w:val="00FF11E5"/>
    <w:rsid w:val="00FF3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A12EF"/>
  <w15:chartTrackingRefBased/>
  <w15:docId w15:val="{703246FC-8267-4F37-8037-AA1D01B4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Paragraph">
    <w:name w:val="First Paragraph"/>
    <w:basedOn w:val="Normal"/>
    <w:rsid w:val="00DA51A3"/>
    <w:pPr>
      <w:spacing w:after="0" w:line="240" w:lineRule="atLeast"/>
      <w:jc w:val="both"/>
    </w:pPr>
    <w:rPr>
      <w:rFonts w:ascii="Times" w:eastAsia="Times New Roman" w:hAnsi="Times" w:cs="Times New Roman"/>
      <w:sz w:val="20"/>
      <w:szCs w:val="20"/>
      <w:lang w:val="en-US"/>
    </w:rPr>
  </w:style>
  <w:style w:type="paragraph" w:styleId="Header">
    <w:name w:val="header"/>
    <w:basedOn w:val="Normal"/>
    <w:link w:val="HeaderChar"/>
    <w:uiPriority w:val="99"/>
    <w:unhideWhenUsed/>
    <w:rsid w:val="001D0E0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0E0C"/>
  </w:style>
  <w:style w:type="paragraph" w:styleId="Footer">
    <w:name w:val="footer"/>
    <w:basedOn w:val="Normal"/>
    <w:link w:val="FooterChar"/>
    <w:uiPriority w:val="99"/>
    <w:unhideWhenUsed/>
    <w:rsid w:val="001D0E0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D0E0C"/>
  </w:style>
  <w:style w:type="paragraph" w:styleId="BalloonText">
    <w:name w:val="Balloon Text"/>
    <w:basedOn w:val="Normal"/>
    <w:link w:val="BalloonTextChar"/>
    <w:uiPriority w:val="99"/>
    <w:semiHidden/>
    <w:unhideWhenUsed/>
    <w:rsid w:val="003F1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60A"/>
    <w:rPr>
      <w:rFonts w:ascii="Segoe UI" w:hAnsi="Segoe UI" w:cs="Segoe UI"/>
      <w:sz w:val="18"/>
      <w:szCs w:val="18"/>
    </w:rPr>
  </w:style>
  <w:style w:type="paragraph" w:customStyle="1" w:styleId="SubsectionTitle">
    <w:name w:val="Subsection Title"/>
    <w:basedOn w:val="Normal"/>
    <w:link w:val="SubsectionTitleCharChar"/>
    <w:autoRedefine/>
    <w:rsid w:val="001B5B13"/>
    <w:pPr>
      <w:tabs>
        <w:tab w:val="left" w:pos="-1161"/>
        <w:tab w:val="left" w:pos="-720"/>
        <w:tab w:val="left" w:pos="0"/>
        <w:tab w:val="num" w:pos="360"/>
        <w:tab w:val="left" w:pos="1440"/>
      </w:tabs>
      <w:spacing w:after="0" w:line="240" w:lineRule="auto"/>
      <w:jc w:val="both"/>
    </w:pPr>
    <w:rPr>
      <w:rFonts w:ascii="Times New Roman" w:eastAsia="MS PGothic" w:hAnsi="Times New Roman" w:cs="Times New Roman"/>
      <w:iCs/>
      <w:color w:val="000000" w:themeColor="text1"/>
      <w:sz w:val="18"/>
      <w:szCs w:val="18"/>
      <w:lang w:val="en-US"/>
    </w:rPr>
  </w:style>
  <w:style w:type="character" w:customStyle="1" w:styleId="SubsectionTitleCharChar">
    <w:name w:val="Subsection Title Char Char"/>
    <w:link w:val="SubsectionTitle"/>
    <w:rsid w:val="001B5B13"/>
    <w:rPr>
      <w:rFonts w:ascii="Times New Roman" w:eastAsia="MS PGothic" w:hAnsi="Times New Roman" w:cs="Times New Roman"/>
      <w:iCs/>
      <w:color w:val="000000" w:themeColor="text1"/>
      <w:sz w:val="18"/>
      <w:szCs w:val="18"/>
      <w:lang w:val="en-US"/>
    </w:rPr>
  </w:style>
  <w:style w:type="paragraph" w:customStyle="1" w:styleId="StyleStyle10ptItalic">
    <w:name w:val="Style Style 10 pt Italic +"/>
    <w:basedOn w:val="SubsectionTitle"/>
    <w:autoRedefine/>
    <w:rsid w:val="00A607AB"/>
    <w:pPr>
      <w:tabs>
        <w:tab w:val="clear" w:pos="0"/>
        <w:tab w:val="left" w:pos="426"/>
      </w:tabs>
      <w:snapToGrid w:val="0"/>
      <w:spacing w:after="240"/>
    </w:pPr>
    <w:rPr>
      <w:iCs w:val="0"/>
    </w:rPr>
  </w:style>
  <w:style w:type="character" w:styleId="CommentReference">
    <w:name w:val="annotation reference"/>
    <w:basedOn w:val="DefaultParagraphFont"/>
    <w:uiPriority w:val="99"/>
    <w:semiHidden/>
    <w:unhideWhenUsed/>
    <w:rsid w:val="00EE2293"/>
    <w:rPr>
      <w:sz w:val="16"/>
      <w:szCs w:val="16"/>
    </w:rPr>
  </w:style>
  <w:style w:type="paragraph" w:styleId="CommentText">
    <w:name w:val="annotation text"/>
    <w:basedOn w:val="Normal"/>
    <w:link w:val="CommentTextChar"/>
    <w:uiPriority w:val="99"/>
    <w:semiHidden/>
    <w:unhideWhenUsed/>
    <w:rsid w:val="00EE2293"/>
    <w:pPr>
      <w:spacing w:line="240" w:lineRule="auto"/>
    </w:pPr>
    <w:rPr>
      <w:sz w:val="20"/>
      <w:szCs w:val="20"/>
    </w:rPr>
  </w:style>
  <w:style w:type="character" w:customStyle="1" w:styleId="CommentTextChar">
    <w:name w:val="Comment Text Char"/>
    <w:basedOn w:val="DefaultParagraphFont"/>
    <w:link w:val="CommentText"/>
    <w:uiPriority w:val="99"/>
    <w:semiHidden/>
    <w:rsid w:val="00EE2293"/>
    <w:rPr>
      <w:sz w:val="20"/>
      <w:szCs w:val="20"/>
    </w:rPr>
  </w:style>
  <w:style w:type="paragraph" w:styleId="CommentSubject">
    <w:name w:val="annotation subject"/>
    <w:basedOn w:val="CommentText"/>
    <w:next w:val="CommentText"/>
    <w:link w:val="CommentSubjectChar"/>
    <w:uiPriority w:val="99"/>
    <w:semiHidden/>
    <w:unhideWhenUsed/>
    <w:rsid w:val="00EE2293"/>
    <w:rPr>
      <w:b/>
      <w:bCs/>
    </w:rPr>
  </w:style>
  <w:style w:type="character" w:customStyle="1" w:styleId="CommentSubjectChar">
    <w:name w:val="Comment Subject Char"/>
    <w:basedOn w:val="CommentTextChar"/>
    <w:link w:val="CommentSubject"/>
    <w:uiPriority w:val="99"/>
    <w:semiHidden/>
    <w:rsid w:val="00EE2293"/>
    <w:rPr>
      <w:b/>
      <w:bCs/>
      <w:sz w:val="20"/>
      <w:szCs w:val="20"/>
    </w:rPr>
  </w:style>
  <w:style w:type="table" w:styleId="TableGrid">
    <w:name w:val="Table Grid"/>
    <w:basedOn w:val="TableNormal"/>
    <w:uiPriority w:val="39"/>
    <w:rsid w:val="00505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F3A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F3A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ption">
    <w:name w:val="caption"/>
    <w:basedOn w:val="Normal"/>
    <w:next w:val="Normal"/>
    <w:uiPriority w:val="35"/>
    <w:unhideWhenUsed/>
    <w:qFormat/>
    <w:rsid w:val="006E473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4223">
      <w:bodyDiv w:val="1"/>
      <w:marLeft w:val="0"/>
      <w:marRight w:val="0"/>
      <w:marTop w:val="0"/>
      <w:marBottom w:val="0"/>
      <w:divBdr>
        <w:top w:val="none" w:sz="0" w:space="0" w:color="auto"/>
        <w:left w:val="none" w:sz="0" w:space="0" w:color="auto"/>
        <w:bottom w:val="none" w:sz="0" w:space="0" w:color="auto"/>
        <w:right w:val="none" w:sz="0" w:space="0" w:color="auto"/>
      </w:divBdr>
    </w:div>
    <w:div w:id="877745273">
      <w:bodyDiv w:val="1"/>
      <w:marLeft w:val="0"/>
      <w:marRight w:val="0"/>
      <w:marTop w:val="0"/>
      <w:marBottom w:val="0"/>
      <w:divBdr>
        <w:top w:val="none" w:sz="0" w:space="0" w:color="auto"/>
        <w:left w:val="none" w:sz="0" w:space="0" w:color="auto"/>
        <w:bottom w:val="none" w:sz="0" w:space="0" w:color="auto"/>
        <w:right w:val="none" w:sz="0" w:space="0" w:color="auto"/>
      </w:divBdr>
    </w:div>
    <w:div w:id="932280225">
      <w:bodyDiv w:val="1"/>
      <w:marLeft w:val="0"/>
      <w:marRight w:val="0"/>
      <w:marTop w:val="0"/>
      <w:marBottom w:val="0"/>
      <w:divBdr>
        <w:top w:val="none" w:sz="0" w:space="0" w:color="auto"/>
        <w:left w:val="none" w:sz="0" w:space="0" w:color="auto"/>
        <w:bottom w:val="none" w:sz="0" w:space="0" w:color="auto"/>
        <w:right w:val="none" w:sz="0" w:space="0" w:color="auto"/>
      </w:divBdr>
    </w:div>
    <w:div w:id="115992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EC567-F340-4287-916B-715D9930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1200</Words>
  <Characters>6840</Characters>
  <Application>Microsoft Office Word</Application>
  <DocSecurity>0</DocSecurity>
  <Lines>57</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Sauro Pierucci</dc:creator>
  <cp:keywords/>
  <dc:description/>
  <cp:lastModifiedBy>MARTA MANDIS</cp:lastModifiedBy>
  <cp:revision>2</cp:revision>
  <cp:lastPrinted>2022-01-31T11:56:00Z</cp:lastPrinted>
  <dcterms:created xsi:type="dcterms:W3CDTF">2022-03-14T10:57:00Z</dcterms:created>
  <dcterms:modified xsi:type="dcterms:W3CDTF">2022-03-14T10:57:00Z</dcterms:modified>
</cp:coreProperties>
</file>